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2103B" w14:textId="400EEEFD" w:rsidR="00486DA6" w:rsidRDefault="007C2DD7" w:rsidP="0005607E">
      <w:pPr>
        <w:spacing w:after="0" w:line="240" w:lineRule="auto"/>
        <w:ind w:left="360" w:right="360"/>
        <w:jc w:val="both"/>
      </w:pPr>
      <w:r>
        <w:rPr>
          <w:noProof/>
        </w:rPr>
        <w:drawing>
          <wp:anchor distT="0" distB="0" distL="114300" distR="114300" simplePos="0" relativeHeight="251798528" behindDoc="1" locked="0" layoutInCell="1" allowOverlap="1" wp14:anchorId="17F32812" wp14:editId="634F5118">
            <wp:simplePos x="0" y="0"/>
            <wp:positionH relativeFrom="column">
              <wp:posOffset>-989330</wp:posOffset>
            </wp:positionH>
            <wp:positionV relativeFrom="paragraph">
              <wp:posOffset>-1156970</wp:posOffset>
            </wp:positionV>
            <wp:extent cx="7953360" cy="10670540"/>
            <wp:effectExtent l="0" t="0" r="0" b="0"/>
            <wp:wrapNone/>
            <wp:docPr id="653651570" name="Picture 43" descr="A dark blue cover page with rainbow accents saying, &quot;Massachusetts Commission on LGBTQ Youth Report &amp; Recommendations for the Fiscal Year 2027. Dates July 1, 2026 to June 30, 2027.&quot; The cover page includes a QR code to the Commission's linktree, the Commission's website, and social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651570" name="Picture 43" descr="A dark blue cover page with rainbow accents saying, &quot;Massachusetts Commission on LGBTQ Youth Report &amp; Recommendations for the Fiscal Year 2027. Dates July 1, 2026 to June 30, 2027.&quot; The cover page includes a QR code to the Commission's linktree, the Commission's website, and social media."/>
                    <pic:cNvPicPr/>
                  </pic:nvPicPr>
                  <pic:blipFill>
                    <a:blip r:embed="rId8">
                      <a:extLst>
                        <a:ext uri="{28A0092B-C50C-407E-A947-70E740481C1C}">
                          <a14:useLocalDpi xmlns:a14="http://schemas.microsoft.com/office/drawing/2010/main" val="0"/>
                        </a:ext>
                      </a:extLst>
                    </a:blip>
                    <a:stretch>
                      <a:fillRect/>
                    </a:stretch>
                  </pic:blipFill>
                  <pic:spPr>
                    <a:xfrm>
                      <a:off x="0" y="0"/>
                      <a:ext cx="7953360" cy="10670540"/>
                    </a:xfrm>
                    <a:prstGeom prst="rect">
                      <a:avLst/>
                    </a:prstGeom>
                  </pic:spPr>
                </pic:pic>
              </a:graphicData>
            </a:graphic>
            <wp14:sizeRelH relativeFrom="page">
              <wp14:pctWidth>0</wp14:pctWidth>
            </wp14:sizeRelH>
            <wp14:sizeRelV relativeFrom="page">
              <wp14:pctHeight>0</wp14:pctHeight>
            </wp14:sizeRelV>
          </wp:anchor>
        </w:drawing>
      </w:r>
    </w:p>
    <w:p w14:paraId="52349D0B" w14:textId="4C66A468" w:rsidR="00DC0226" w:rsidRDefault="00486DA6" w:rsidP="0005607E">
      <w:pPr>
        <w:jc w:val="both"/>
      </w:pPr>
      <w:r>
        <w:br w:type="page"/>
      </w:r>
    </w:p>
    <w:p w14:paraId="6C6652E6" w14:textId="2EB560E8" w:rsidR="00DC0226" w:rsidRPr="00897D82" w:rsidRDefault="00DC0226" w:rsidP="00FA5BE7">
      <w:pPr>
        <w:spacing w:after="0" w:line="240" w:lineRule="auto"/>
        <w:jc w:val="both"/>
        <w:rPr>
          <w:sz w:val="23"/>
          <w:szCs w:val="23"/>
        </w:rPr>
      </w:pPr>
      <w:r w:rsidRPr="00897D82">
        <w:rPr>
          <w:b/>
          <w:bCs/>
          <w:sz w:val="23"/>
          <w:szCs w:val="23"/>
        </w:rPr>
        <w:lastRenderedPageBreak/>
        <w:t>Recommendation Citation</w:t>
      </w:r>
      <w:r w:rsidRPr="00897D82">
        <w:rPr>
          <w:sz w:val="23"/>
          <w:szCs w:val="23"/>
        </w:rPr>
        <w:t xml:space="preserve">: Massachusetts Commission on Lesbian, Gay, Bisexual, Transgender, Queer, and Questioning Youth. </w:t>
      </w:r>
      <w:r w:rsidR="00C97CD0" w:rsidRPr="00897D82">
        <w:rPr>
          <w:sz w:val="23"/>
          <w:szCs w:val="23"/>
        </w:rPr>
        <w:t>2</w:t>
      </w:r>
      <w:r w:rsidRPr="00897D82">
        <w:rPr>
          <w:sz w:val="23"/>
          <w:szCs w:val="23"/>
        </w:rPr>
        <w:t xml:space="preserve">026. Massachusetts Commission on LGBTQ Youth: Report and Recommendations for Fiscal Year 2027. Retrieved from: </w:t>
      </w:r>
      <w:hyperlink r:id="rId9" w:history="1">
        <w:r w:rsidRPr="00897D82">
          <w:rPr>
            <w:rStyle w:val="Hyperlink"/>
            <w:sz w:val="23"/>
            <w:szCs w:val="23"/>
          </w:rPr>
          <w:t>https://www.mass.gov/annual-recommendations</w:t>
        </w:r>
      </w:hyperlink>
      <w:r w:rsidRPr="00897D82">
        <w:rPr>
          <w:sz w:val="23"/>
          <w:szCs w:val="23"/>
        </w:rPr>
        <w:t>.</w:t>
      </w:r>
    </w:p>
    <w:p w14:paraId="24D983E2" w14:textId="06F748F4" w:rsidR="00FA5BE7" w:rsidRPr="00897D82" w:rsidRDefault="00DC0226" w:rsidP="00FA5BE7">
      <w:pPr>
        <w:spacing w:after="0" w:line="240" w:lineRule="auto"/>
        <w:jc w:val="center"/>
        <w:rPr>
          <w:sz w:val="23"/>
          <w:szCs w:val="23"/>
        </w:rPr>
      </w:pPr>
      <w:r w:rsidRPr="00897D82">
        <w:rPr>
          <w:b/>
          <w:bCs/>
          <w:sz w:val="23"/>
          <w:szCs w:val="23"/>
        </w:rPr>
        <w:t>Shaplaie Brooks</w:t>
      </w:r>
      <w:r w:rsidRPr="00897D82">
        <w:rPr>
          <w:sz w:val="23"/>
          <w:szCs w:val="23"/>
        </w:rPr>
        <w:t>, Executive Director, Lead Co-Editor</w:t>
      </w:r>
      <w:r w:rsidR="00FA5BE7" w:rsidRPr="00897D82">
        <w:rPr>
          <w:sz w:val="23"/>
          <w:szCs w:val="23"/>
        </w:rPr>
        <w:br/>
        <w:t>Author of the FY 2027 Annual Recommendations Report</w:t>
      </w:r>
    </w:p>
    <w:p w14:paraId="58662A17" w14:textId="77777777" w:rsidR="00DC0226" w:rsidRPr="00897D82" w:rsidRDefault="00DC0226" w:rsidP="00FA5BE7">
      <w:pPr>
        <w:spacing w:after="0" w:line="240" w:lineRule="auto"/>
        <w:jc w:val="center"/>
        <w:rPr>
          <w:sz w:val="23"/>
          <w:szCs w:val="23"/>
        </w:rPr>
      </w:pPr>
      <w:r w:rsidRPr="00897D82">
        <w:rPr>
          <w:b/>
          <w:bCs/>
          <w:sz w:val="23"/>
          <w:szCs w:val="23"/>
        </w:rPr>
        <w:t>Rayna Hill</w:t>
      </w:r>
      <w:r w:rsidRPr="00897D82">
        <w:rPr>
          <w:sz w:val="23"/>
          <w:szCs w:val="23"/>
        </w:rPr>
        <w:t>, Policy &amp; Research Director, Lead Co-Editor</w:t>
      </w:r>
      <w:r w:rsidRPr="00897D82">
        <w:rPr>
          <w:sz w:val="23"/>
          <w:szCs w:val="23"/>
        </w:rPr>
        <w:br/>
        <w:t>Author of the FY 2027 Annual Recommendations Report</w:t>
      </w:r>
    </w:p>
    <w:p w14:paraId="6269929D" w14:textId="6011BA87" w:rsidR="00DC0226" w:rsidRPr="00897D82" w:rsidRDefault="00DC0226" w:rsidP="00FA5BE7">
      <w:pPr>
        <w:spacing w:after="0" w:line="240" w:lineRule="auto"/>
        <w:jc w:val="center"/>
        <w:rPr>
          <w:sz w:val="23"/>
          <w:szCs w:val="23"/>
        </w:rPr>
      </w:pPr>
      <w:r w:rsidRPr="00897D82">
        <w:rPr>
          <w:b/>
          <w:bCs/>
          <w:sz w:val="23"/>
          <w:szCs w:val="23"/>
        </w:rPr>
        <w:t>Jason Wheeler</w:t>
      </w:r>
      <w:r w:rsidRPr="00897D82">
        <w:rPr>
          <w:sz w:val="23"/>
          <w:szCs w:val="23"/>
        </w:rPr>
        <w:t xml:space="preserve">, Safe Schools Director, </w:t>
      </w:r>
      <w:r w:rsidRPr="00897D82">
        <w:rPr>
          <w:sz w:val="23"/>
          <w:szCs w:val="23"/>
        </w:rPr>
        <w:br/>
        <w:t>Author of Education Recommendations</w:t>
      </w:r>
      <w:r w:rsidR="00FA5BE7" w:rsidRPr="00897D82">
        <w:rPr>
          <w:sz w:val="23"/>
          <w:szCs w:val="23"/>
        </w:rPr>
        <w:t xml:space="preserve"> and DESE, DHE, and EEC Recommendations</w:t>
      </w:r>
    </w:p>
    <w:p w14:paraId="072A7E36" w14:textId="77777777" w:rsidR="00DC0226" w:rsidRPr="00897D82" w:rsidRDefault="00DC0226" w:rsidP="00FA5BE7">
      <w:pPr>
        <w:spacing w:after="0" w:line="240" w:lineRule="auto"/>
        <w:jc w:val="center"/>
        <w:rPr>
          <w:sz w:val="23"/>
          <w:szCs w:val="23"/>
        </w:rPr>
      </w:pPr>
      <w:r w:rsidRPr="00897D82">
        <w:rPr>
          <w:b/>
          <w:bCs/>
          <w:sz w:val="23"/>
          <w:szCs w:val="23"/>
        </w:rPr>
        <w:t>Craig C. Aarons-Martin</w:t>
      </w:r>
      <w:r w:rsidRPr="00897D82">
        <w:rPr>
          <w:sz w:val="23"/>
          <w:szCs w:val="23"/>
        </w:rPr>
        <w:t xml:space="preserve"> &amp; </w:t>
      </w:r>
      <w:r w:rsidRPr="00897D82">
        <w:rPr>
          <w:b/>
          <w:bCs/>
          <w:sz w:val="23"/>
          <w:szCs w:val="23"/>
        </w:rPr>
        <w:t>Lezlie Braxton Campbell</w:t>
      </w:r>
      <w:r w:rsidRPr="00897D82">
        <w:rPr>
          <w:sz w:val="23"/>
          <w:szCs w:val="23"/>
        </w:rPr>
        <w:br/>
        <w:t>Commission Co-Chairs</w:t>
      </w:r>
    </w:p>
    <w:p w14:paraId="043883AF" w14:textId="77777777" w:rsidR="00DC0226" w:rsidRPr="00897D82" w:rsidRDefault="00DC0226" w:rsidP="00FA5BE7">
      <w:pPr>
        <w:spacing w:after="0" w:line="240" w:lineRule="auto"/>
        <w:jc w:val="center"/>
        <w:rPr>
          <w:sz w:val="23"/>
          <w:szCs w:val="23"/>
        </w:rPr>
      </w:pPr>
      <w:r w:rsidRPr="00897D82">
        <w:rPr>
          <w:b/>
          <w:bCs/>
          <w:sz w:val="23"/>
          <w:szCs w:val="23"/>
        </w:rPr>
        <w:t>Jules Tucher</w:t>
      </w:r>
      <w:r w:rsidRPr="00897D82">
        <w:rPr>
          <w:sz w:val="23"/>
          <w:szCs w:val="23"/>
        </w:rPr>
        <w:br/>
        <w:t>Analyst for the 2023 MYRBS Analysis Report</w:t>
      </w:r>
    </w:p>
    <w:p w14:paraId="07208E8B" w14:textId="77777777" w:rsidR="00DC0226" w:rsidRPr="00897D82" w:rsidRDefault="00DC0226" w:rsidP="00DC0226">
      <w:pPr>
        <w:spacing w:line="240" w:lineRule="auto"/>
        <w:jc w:val="both"/>
        <w:rPr>
          <w:sz w:val="23"/>
          <w:szCs w:val="23"/>
        </w:rPr>
      </w:pPr>
      <w:r w:rsidRPr="00897D82">
        <w:rPr>
          <w:sz w:val="23"/>
          <w:szCs w:val="23"/>
        </w:rPr>
        <w:br/>
      </w:r>
      <w:r w:rsidRPr="00897D82">
        <w:rPr>
          <w:b/>
          <w:bCs/>
          <w:sz w:val="23"/>
          <w:szCs w:val="23"/>
          <w:u w:val="single"/>
        </w:rPr>
        <w:t>Special thanks to</w:t>
      </w:r>
      <w:r w:rsidRPr="00897D82">
        <w:rPr>
          <w:sz w:val="23"/>
          <w:szCs w:val="23"/>
        </w:rPr>
        <w:t>:</w:t>
      </w:r>
    </w:p>
    <w:p w14:paraId="0709264B" w14:textId="351CAAB1" w:rsidR="00DC0226" w:rsidRPr="00897D82" w:rsidRDefault="00DC0226" w:rsidP="00FA5BE7">
      <w:pPr>
        <w:spacing w:before="0" w:line="240" w:lineRule="auto"/>
        <w:jc w:val="both"/>
        <w:rPr>
          <w:sz w:val="23"/>
          <w:szCs w:val="23"/>
        </w:rPr>
      </w:pPr>
      <w:r w:rsidRPr="00897D82">
        <w:rPr>
          <w:sz w:val="23"/>
          <w:szCs w:val="23"/>
        </w:rPr>
        <w:t>Celina Savage, Jack Donovan, Jay Nichols, Lily Avina Gutierrez, Nico Bethea, Sahana Sudarsan for their significant contributions to updating, editing, and drafting this report</w:t>
      </w:r>
      <w:r w:rsidR="00C97CD0" w:rsidRPr="00897D82">
        <w:rPr>
          <w:sz w:val="23"/>
          <w:szCs w:val="23"/>
        </w:rPr>
        <w:t>.</w:t>
      </w:r>
      <w:r w:rsidR="008F0445" w:rsidRPr="00897D82">
        <w:rPr>
          <w:sz w:val="23"/>
          <w:szCs w:val="23"/>
        </w:rPr>
        <w:t xml:space="preserve"> And to the </w:t>
      </w:r>
      <w:r w:rsidR="00C45725" w:rsidRPr="00897D82">
        <w:rPr>
          <w:sz w:val="23"/>
          <w:szCs w:val="23"/>
        </w:rPr>
        <w:t xml:space="preserve">numerous </w:t>
      </w:r>
      <w:r w:rsidR="008F0445" w:rsidRPr="00897D82">
        <w:rPr>
          <w:sz w:val="23"/>
          <w:szCs w:val="23"/>
        </w:rPr>
        <w:t>fellows</w:t>
      </w:r>
      <w:r w:rsidR="00C45725" w:rsidRPr="00897D82">
        <w:rPr>
          <w:sz w:val="23"/>
          <w:szCs w:val="23"/>
        </w:rPr>
        <w:t>, staff,</w:t>
      </w:r>
      <w:r w:rsidR="008F0445" w:rsidRPr="00897D82">
        <w:rPr>
          <w:sz w:val="23"/>
          <w:szCs w:val="23"/>
        </w:rPr>
        <w:t xml:space="preserve"> and Commission members who assisted in organizing and executing the FY 2026 listening sessions.</w:t>
      </w:r>
      <w:r w:rsidR="00897D82" w:rsidRPr="00897D82">
        <w:rPr>
          <w:sz w:val="23"/>
          <w:szCs w:val="23"/>
        </w:rPr>
        <w:t xml:space="preserve"> </w:t>
      </w:r>
      <w:r w:rsidR="00897D82" w:rsidRPr="00897D82">
        <w:rPr>
          <w:sz w:val="23"/>
          <w:szCs w:val="23"/>
        </w:rPr>
        <w:t>Additional thanks to Vida Robledo and Geo Ferrari for their creation of the graphics in this report.</w:t>
      </w:r>
    </w:p>
    <w:p w14:paraId="050EBCC7" w14:textId="7E8DA6E5" w:rsidR="00DC0226" w:rsidRPr="00897D82" w:rsidRDefault="00DC0226" w:rsidP="00FA5BE7">
      <w:pPr>
        <w:spacing w:before="0" w:line="240" w:lineRule="auto"/>
        <w:jc w:val="both"/>
        <w:rPr>
          <w:sz w:val="23"/>
          <w:szCs w:val="23"/>
        </w:rPr>
      </w:pPr>
      <w:r w:rsidRPr="00897D82">
        <w:rPr>
          <w:b/>
          <w:bCs/>
          <w:sz w:val="23"/>
          <w:szCs w:val="23"/>
        </w:rPr>
        <w:t>Acknowledgments:</w:t>
      </w:r>
      <w:r w:rsidRPr="00897D82">
        <w:rPr>
          <w:sz w:val="23"/>
          <w:szCs w:val="23"/>
        </w:rPr>
        <w:t xml:space="preserve"> The Commission thanks the contributions of the numerous writers, staff, fellows, interns, consultants, agency liaisons, community partners, youth, parents, and others who have helped draft and contribute to this report</w:t>
      </w:r>
      <w:r w:rsidR="00C97CD0" w:rsidRPr="00897D82">
        <w:rPr>
          <w:sz w:val="23"/>
          <w:szCs w:val="23"/>
        </w:rPr>
        <w:t xml:space="preserve"> each year</w:t>
      </w:r>
      <w:r w:rsidRPr="00897D82">
        <w:rPr>
          <w:sz w:val="23"/>
          <w:szCs w:val="23"/>
        </w:rPr>
        <w:t>.</w:t>
      </w:r>
      <w:r w:rsidR="00897D82" w:rsidRPr="00897D82">
        <w:rPr>
          <w:sz w:val="23"/>
          <w:szCs w:val="23"/>
        </w:rPr>
        <w:t xml:space="preserve"> AI technology was used in the development of this report to support voice unification and minor editing to check for clarity. All research, drafting, and recommendation development was done by our staff and contributors.</w:t>
      </w:r>
    </w:p>
    <w:p w14:paraId="68154AF2" w14:textId="5D042099" w:rsidR="008F0445" w:rsidRPr="00897D82" w:rsidRDefault="00DC0226" w:rsidP="00FA5BE7">
      <w:pPr>
        <w:spacing w:before="0" w:line="240" w:lineRule="auto"/>
        <w:jc w:val="both"/>
        <w:rPr>
          <w:sz w:val="23"/>
          <w:szCs w:val="23"/>
        </w:rPr>
      </w:pPr>
      <w:r w:rsidRPr="00897D82">
        <w:rPr>
          <w:b/>
          <w:bCs/>
          <w:sz w:val="23"/>
          <w:szCs w:val="23"/>
        </w:rPr>
        <w:t>About Us:</w:t>
      </w:r>
      <w:r w:rsidRPr="00897D82">
        <w:rPr>
          <w:sz w:val="23"/>
          <w:szCs w:val="23"/>
        </w:rPr>
        <w:t xml:space="preserve"> The Massachusetts Commission on Lesbian, Gay, Bisexual, Transgender, Queer, and Questioning (LGBTQ) Youth is established by law as an independent agency of the Commonwealth to recommend to all branches of state government effective policies, programs, and resources for LGBTQ youth to thrive. Per its legislative authority, the Commission works closely with the agencies to which it issues non-binding recommendations to receive their input and assist them in achieving the goals that the Commission has set. The Commission was originally founded as the Governor’s Commission on Gay and Lesbian Youth in 1992 in response to high suicide rates among gay and lesbian young people and was reestablished by the legislature as an independent agency in 2006 (Act of Jul. 1, 2006, Ch. 139 §4, codified in Mass. Gen. Laws Ch.3 § 67). Now thirty-four years after the creation of the original Governor’s Commission, it remains the first and only such commission in the country dedicated to uplifting LGBTQ youth voices in state government. The Commission additionally operates the Safe Schools Program for LGBTQ Students in partnership with the Department of Elementary and Secondary Education.</w:t>
      </w:r>
    </w:p>
    <w:p w14:paraId="11F9392A" w14:textId="1EB5E583" w:rsidR="008F0445" w:rsidRDefault="008F0445"/>
    <w:p w14:paraId="4763B95A" w14:textId="4AB0951C" w:rsidR="00B81F6A" w:rsidRPr="00B81F6A" w:rsidRDefault="00BC6653" w:rsidP="00C97CD0">
      <w:pPr>
        <w:spacing w:line="240" w:lineRule="auto"/>
        <w:jc w:val="both"/>
      </w:pPr>
      <w:r>
        <w:rPr>
          <w:noProof/>
        </w:rPr>
        <w:lastRenderedPageBreak/>
        <mc:AlternateContent>
          <mc:Choice Requires="wps">
            <w:drawing>
              <wp:anchor distT="0" distB="0" distL="114300" distR="114300" simplePos="0" relativeHeight="251772928" behindDoc="1" locked="0" layoutInCell="1" allowOverlap="1" wp14:anchorId="0EF19F02" wp14:editId="2ED841D8">
                <wp:simplePos x="0" y="0"/>
                <wp:positionH relativeFrom="column">
                  <wp:posOffset>-82550</wp:posOffset>
                </wp:positionH>
                <wp:positionV relativeFrom="paragraph">
                  <wp:posOffset>60050</wp:posOffset>
                </wp:positionV>
                <wp:extent cx="6080760" cy="8147304"/>
                <wp:effectExtent l="0" t="0" r="15240" b="25400"/>
                <wp:wrapNone/>
                <wp:docPr id="502911997" name="Rectangle 40"/>
                <wp:cNvGraphicFramePr/>
                <a:graphic xmlns:a="http://schemas.openxmlformats.org/drawingml/2006/main">
                  <a:graphicData uri="http://schemas.microsoft.com/office/word/2010/wordprocessingShape">
                    <wps:wsp>
                      <wps:cNvSpPr/>
                      <wps:spPr>
                        <a:xfrm>
                          <a:off x="0" y="0"/>
                          <a:ext cx="6080760" cy="8147304"/>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11FD99" id="Rectangle 40" o:spid="_x0000_s1026" style="position:absolute;margin-left:-6.5pt;margin-top:4.75pt;width:478.8pt;height:641.5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0eXcgIAAEcFAAAOAAAAZHJzL2Uyb0RvYy54bWysVEtv2zAMvg/YfxB0X21n6WNBnSJo0WFA&#10;0RZth54VWYoNyKJGKXGyXz9KdpysK3YYdpFJk/z40EddXm1bwzYKfQO25MVJzpmyEqrGrkr+/eX2&#10;0wVnPghbCQNWlXynPL+af/xw2bmZmkANplLICMT6WedKXofgZlnmZa1a4U/AKUtGDdiKQCqusgpF&#10;R+itySZ5fpZ1gJVDkMp7+nvTG/k84WutZHjQ2qvATMmptpBOTOcyntn8UsxWKFzdyKEM8Q9VtKKx&#10;lHSEuhFBsDU2f0C1jUTwoMOJhDYDrRupUg/UTZG/6ea5Fk6lXmg43o1j8v8PVt5vnt0j0hg652ee&#10;xNjFVmMbv1Qf26Zh7cZhqW1gkn6e5Rf5+RnNVJLtopief86ncZzZIdyhD18VtCwKJUe6jTQksbnz&#10;oXfdu8RsHkxT3TbGJCUyQF0bZBtBd7dcFQP4kVd2qDlJYWdUjDX2SWnWVFTlJCVMdDqACSmVDUVv&#10;qkWl+hzFaZ4nRlALY0RqKAFGZE3VjdgDwO+F7rH79gb/GKoSG8fg/G+F9cFjRMoMNozBbWMB3wMw&#10;1NWQufen8o9GE8UlVLtHZAj9Lngnbxu6njvhw6NAIj9dKS10eKBDG+hKDoPEWQ34873/0Z84SVbO&#10;Olqmkvsfa4GKM/PNElu/FNNp3L6kTE/PJ6TgsWV5bLHr9hrozgt6OpxMYvQPZi9qhPaV9n4Rs5JJ&#10;WEm5Sy4D7pXr0C85vRxSLRbJjTbOiXBnn52M4HGqkX4v21eBbuBoIHrfw37xxOwNVXvfGGlhsQ6g&#10;m8Tjw1yHedO2JuIML0t8Do715HV4/+a/AAAA//8DAFBLAwQUAAYACAAAACEAcbst7OEAAAAKAQAA&#10;DwAAAGRycy9kb3ducmV2LnhtbEyPzU7DMBCE70i8g7VI3FqnIa1IGqdCRfycIrWUQ2+OvSQR8Tqy&#10;3Ta8PeZUjqMZzXxTbiYzsDM631sSsJgnwJCU1T21Ag4fL7NHYD5I0nKwhAJ+0MOmur0pZaHthXZ4&#10;3oeWxRLyhRTQhTAWnHvVoZF+bkek6H1ZZ2SI0rVcO3mJ5WbgaZKsuJE9xYVOjrjtUH3vT0bA7lAb&#10;dWw+69ctqnp6fsts496FuL+bntbAAk7hGoY//IgOVWRq7Im0Z4OA2eIhfgkC8iWw6OdZtgLWxGCa&#10;p0vgVcn/X6h+AQAA//8DAFBLAQItABQABgAIAAAAIQC2gziS/gAAAOEBAAATAAAAAAAAAAAAAAAA&#10;AAAAAABbQ29udGVudF9UeXBlc10ueG1sUEsBAi0AFAAGAAgAAAAhADj9If/WAAAAlAEAAAsAAAAA&#10;AAAAAAAAAAAALwEAAF9yZWxzLy5yZWxzUEsBAi0AFAAGAAgAAAAhANsjR5dyAgAARwUAAA4AAAAA&#10;AAAAAAAAAAAALgIAAGRycy9lMm9Eb2MueG1sUEsBAi0AFAAGAAgAAAAhAHG7LezhAAAACgEAAA8A&#10;AAAAAAAAAAAAAAAAzAQAAGRycy9kb3ducmV2LnhtbFBLBQYAAAAABAAEAPMAAADaBQAAAAA=&#10;" fillcolor="white [3212]" strokecolor="#1a0f21 [484]" strokeweight="1pt"/>
            </w:pict>
          </mc:Fallback>
        </mc:AlternateContent>
      </w:r>
      <w:r>
        <w:rPr>
          <w:b/>
          <w:bCs/>
        </w:rPr>
        <w:br/>
      </w:r>
      <w:r>
        <w:rPr>
          <w:b/>
          <w:bCs/>
        </w:rPr>
        <w:br/>
      </w:r>
      <w:r w:rsidR="00897D82">
        <w:rPr>
          <w:noProof/>
        </w:rPr>
        <w:drawing>
          <wp:anchor distT="0" distB="0" distL="114300" distR="114300" simplePos="0" relativeHeight="251771904" behindDoc="1" locked="0" layoutInCell="1" allowOverlap="1" wp14:anchorId="4E69CF95" wp14:editId="2DDA1700">
            <wp:simplePos x="0" y="0"/>
            <wp:positionH relativeFrom="column">
              <wp:posOffset>-1269002</wp:posOffset>
            </wp:positionH>
            <wp:positionV relativeFrom="paragraph">
              <wp:posOffset>-1036287</wp:posOffset>
            </wp:positionV>
            <wp:extent cx="8162925" cy="11546302"/>
            <wp:effectExtent l="0" t="0" r="0" b="0"/>
            <wp:wrapNone/>
            <wp:docPr id="1876643627"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643627" name="Picture 39">
                      <a:extLst>
                        <a:ext uri="{C183D7F6-B498-43B3-948B-1728B52AA6E4}">
                          <adec:decorative xmlns:adec="http://schemas.microsoft.com/office/drawing/2017/decorative" val="1"/>
                        </a:ext>
                      </a:extLst>
                    </pic:cNvPr>
                    <pic:cNvPicPr/>
                  </pic:nvPicPr>
                  <pic:blipFill>
                    <a:blip r:embed="rId10">
                      <a:extLst>
                        <a:ext uri="{28A0092B-C50C-407E-A947-70E740481C1C}">
                          <a14:useLocalDpi xmlns:a14="http://schemas.microsoft.com/office/drawing/2010/main" val="0"/>
                        </a:ext>
                      </a:extLst>
                    </a:blip>
                    <a:stretch>
                      <a:fillRect/>
                    </a:stretch>
                  </pic:blipFill>
                  <pic:spPr>
                    <a:xfrm rot="10800000">
                      <a:off x="0" y="0"/>
                      <a:ext cx="8162925" cy="11546302"/>
                    </a:xfrm>
                    <a:prstGeom prst="rect">
                      <a:avLst/>
                    </a:prstGeom>
                  </pic:spPr>
                </pic:pic>
              </a:graphicData>
            </a:graphic>
            <wp14:sizeRelH relativeFrom="page">
              <wp14:pctWidth>0</wp14:pctWidth>
            </wp14:sizeRelH>
            <wp14:sizeRelV relativeFrom="page">
              <wp14:pctHeight>0</wp14:pctHeight>
            </wp14:sizeRelV>
          </wp:anchor>
        </w:drawing>
      </w:r>
      <w:r w:rsidR="00B81F6A" w:rsidRPr="00DC0226">
        <w:rPr>
          <w:b/>
          <w:bCs/>
        </w:rPr>
        <w:t>Greetings</w:t>
      </w:r>
      <w:r w:rsidR="00B81F6A" w:rsidRPr="00B81F6A">
        <w:t>,</w:t>
      </w:r>
    </w:p>
    <w:p w14:paraId="57CA920D" w14:textId="4EAA0377" w:rsidR="00B81F6A" w:rsidRPr="00B81F6A" w:rsidRDefault="00B81F6A" w:rsidP="0005607E">
      <w:pPr>
        <w:spacing w:after="0" w:line="240" w:lineRule="auto"/>
        <w:ind w:left="360" w:right="360"/>
        <w:jc w:val="both"/>
      </w:pPr>
      <w:r w:rsidRPr="00B81F6A">
        <w:t xml:space="preserve">This year, amid escalating attacks on marginalized communities, the Massachusetts Commission on LGBTQ Youth asked </w:t>
      </w:r>
      <w:proofErr w:type="gramStart"/>
      <w:r w:rsidRPr="00B81F6A">
        <w:t>ourselves</w:t>
      </w:r>
      <w:proofErr w:type="gramEnd"/>
      <w:r w:rsidRPr="00B81F6A">
        <w:t xml:space="preserve"> and our partners a critical question: </w:t>
      </w:r>
      <w:r w:rsidRPr="00B81F6A">
        <w:rPr>
          <w:i/>
          <w:iCs/>
        </w:rPr>
        <w:t>In this moment, how do we create a Commonwealth where every LGBTQ+ young person can live safely, openly, and with dignity?</w:t>
      </w:r>
    </w:p>
    <w:p w14:paraId="1151ED31" w14:textId="5A5AC7F6" w:rsidR="00B81F6A" w:rsidRPr="00B81F6A" w:rsidRDefault="00B81F6A" w:rsidP="0005607E">
      <w:pPr>
        <w:spacing w:after="0" w:line="240" w:lineRule="auto"/>
        <w:ind w:left="360" w:right="360"/>
        <w:jc w:val="both"/>
      </w:pPr>
      <w:r w:rsidRPr="00B81F6A">
        <w:t>Our work this year was grounded in answering that question in the face of constitutional threats to our freedoms, rollbacks in equity-focused education and community care, fear-based policy shifts across systems, restrictions on gender-affirming care, coordinated attacks on transgender youth, and judicial decisions that threaten the safety and well-being of LGBTQ+ young people nationwide.</w:t>
      </w:r>
    </w:p>
    <w:p w14:paraId="0F053CEE" w14:textId="59D1AAF2" w:rsidR="00B81F6A" w:rsidRPr="00B81F6A" w:rsidRDefault="00B81F6A" w:rsidP="0005607E">
      <w:pPr>
        <w:spacing w:after="0" w:line="240" w:lineRule="auto"/>
        <w:ind w:left="360" w:right="360"/>
        <w:jc w:val="both"/>
      </w:pPr>
      <w:r w:rsidRPr="00B81F6A">
        <w:t>We know hatred does not emerge overnight. The executive orders, threats to defund state systems through coercive pressure, and recycled strategies rooted in exclusion and division existed long before this administration took office. What we are witnessing is not isolated; it is the continued unfolding of coordinated oppression.</w:t>
      </w:r>
    </w:p>
    <w:p w14:paraId="56FF3EEA" w14:textId="305C780E" w:rsidR="00B81F6A" w:rsidRPr="00B81F6A" w:rsidRDefault="00B81F6A" w:rsidP="0005607E">
      <w:pPr>
        <w:spacing w:after="0" w:line="240" w:lineRule="auto"/>
        <w:ind w:left="360" w:right="360"/>
        <w:jc w:val="both"/>
      </w:pPr>
      <w:r w:rsidRPr="00B81F6A">
        <w:t>And yet, Massachusetts has continued to stand in the widening gaps created by these attacks. The Commission remains unwavering and unapologetic in its commitment to LGBTQ+ youth, particularly those pushed furthest to the margins.</w:t>
      </w:r>
    </w:p>
    <w:p w14:paraId="191D89A7" w14:textId="77777777" w:rsidR="00B81F6A" w:rsidRPr="00B81F6A" w:rsidRDefault="00B81F6A" w:rsidP="0005607E">
      <w:pPr>
        <w:spacing w:after="0" w:line="240" w:lineRule="auto"/>
        <w:ind w:left="360" w:right="360"/>
        <w:jc w:val="both"/>
      </w:pPr>
      <w:r w:rsidRPr="00B81F6A">
        <w:t>Even amid uncertainty, LGBTQ+ young people continue to show us what resilience, courage, brilliance, and leadership look like.</w:t>
      </w:r>
    </w:p>
    <w:p w14:paraId="4E344610" w14:textId="712B69AC" w:rsidR="00B81F6A" w:rsidRPr="00B81F6A" w:rsidRDefault="00B81F6A" w:rsidP="0005607E">
      <w:pPr>
        <w:spacing w:before="240" w:after="0" w:line="240" w:lineRule="auto"/>
        <w:ind w:left="360" w:right="360"/>
        <w:jc w:val="both"/>
      </w:pPr>
      <w:r w:rsidRPr="00B81F6A">
        <w:t>To the young people reading this report first: please know that what you are feeling is real, and it matters. What you have shared with us has been heard, documented, investigated, and brought forward with care and urgency. Through this work, we hope to show you that you are not alone. Through our continued commitment to your safety, well-being, and future, we hope to remind you of your immeasurable value and the undeniable truth that your future matters.</w:t>
      </w:r>
    </w:p>
    <w:p w14:paraId="4670AAF4" w14:textId="577B166A" w:rsidR="00B81F6A" w:rsidRPr="00B81F6A" w:rsidRDefault="00B81F6A" w:rsidP="0005607E">
      <w:pPr>
        <w:spacing w:after="0" w:line="240" w:lineRule="auto"/>
        <w:ind w:left="360" w:right="360"/>
        <w:jc w:val="both"/>
      </w:pPr>
      <w:r w:rsidRPr="00B81F6A">
        <w:t>Over the past year, we deepened our engagement across Massachusetts through listening sessions with youth, families, educators, providers, and advocates. Those conversations shaped this report in profound ways and reinforced what LGBTQ+ youth have consistently told us: they need to feel safe, seen, affirmed, and supported in every system they encounter.</w:t>
      </w:r>
    </w:p>
    <w:p w14:paraId="2EC0C7F8" w14:textId="4D1B7BA2" w:rsidR="00DC0226" w:rsidRDefault="00B81F6A" w:rsidP="00DC0226">
      <w:pPr>
        <w:spacing w:after="0" w:line="240" w:lineRule="auto"/>
        <w:ind w:left="360" w:right="360"/>
        <w:jc w:val="both"/>
      </w:pPr>
      <w:r w:rsidRPr="00B81F6A">
        <w:t>This year also marked the first-ever LGBTQ+ Youth Day on the Hill, creating space for young people to engage directly with policymakers and state leadership. At the same time, requests for technical assistance from schools increased significantly as educators and administrators sought guidance in navigating an increasingly volatile and politicized climate</w:t>
      </w:r>
      <w:r w:rsidR="00DC0226">
        <w:t>.</w:t>
      </w:r>
    </w:p>
    <w:p w14:paraId="25334BEF" w14:textId="735529DC" w:rsidR="00B81F6A" w:rsidRPr="00B81F6A" w:rsidRDefault="00486DA6" w:rsidP="00DC0226">
      <w:pPr>
        <w:spacing w:after="0" w:line="240" w:lineRule="auto"/>
        <w:ind w:left="360" w:right="360"/>
        <w:jc w:val="both"/>
      </w:pPr>
      <w:r>
        <w:br/>
      </w:r>
      <w:r w:rsidR="008F0445">
        <w:br/>
      </w:r>
      <w:r w:rsidR="006A6D91">
        <w:lastRenderedPageBreak/>
        <w:br/>
      </w:r>
      <w:r w:rsidR="00897D82">
        <w:rPr>
          <w:noProof/>
        </w:rPr>
        <w:drawing>
          <wp:anchor distT="0" distB="0" distL="114300" distR="114300" simplePos="0" relativeHeight="251661311" behindDoc="1" locked="0" layoutInCell="1" allowOverlap="1" wp14:anchorId="7E7DDD3E" wp14:editId="21675DA2">
            <wp:simplePos x="0" y="0"/>
            <wp:positionH relativeFrom="column">
              <wp:posOffset>-2258942</wp:posOffset>
            </wp:positionH>
            <wp:positionV relativeFrom="paragraph">
              <wp:posOffset>-1600571</wp:posOffset>
            </wp:positionV>
            <wp:extent cx="10403488" cy="11545500"/>
            <wp:effectExtent l="635" t="0" r="0" b="0"/>
            <wp:wrapNone/>
            <wp:docPr id="2113011495"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011495" name="Picture 39">
                      <a:extLst>
                        <a:ext uri="{C183D7F6-B498-43B3-948B-1728B52AA6E4}">
                          <adec:decorative xmlns:adec="http://schemas.microsoft.com/office/drawing/2017/decorative" val="1"/>
                        </a:ext>
                      </a:extLst>
                    </pic:cNvPr>
                    <pic:cNvPicPr/>
                  </pic:nvPicPr>
                  <pic:blipFill>
                    <a:blip r:embed="rId10">
                      <a:extLst>
                        <a:ext uri="{28A0092B-C50C-407E-A947-70E740481C1C}">
                          <a14:useLocalDpi xmlns:a14="http://schemas.microsoft.com/office/drawing/2010/main" val="0"/>
                        </a:ext>
                      </a:extLst>
                    </a:blip>
                    <a:stretch>
                      <a:fillRect/>
                    </a:stretch>
                  </pic:blipFill>
                  <pic:spPr>
                    <a:xfrm rot="5400000">
                      <a:off x="0" y="0"/>
                      <a:ext cx="10403488" cy="11545500"/>
                    </a:xfrm>
                    <a:prstGeom prst="rect">
                      <a:avLst/>
                    </a:prstGeom>
                  </pic:spPr>
                </pic:pic>
              </a:graphicData>
            </a:graphic>
            <wp14:sizeRelH relativeFrom="page">
              <wp14:pctWidth>0</wp14:pctWidth>
            </wp14:sizeRelH>
            <wp14:sizeRelV relativeFrom="page">
              <wp14:pctHeight>0</wp14:pctHeight>
            </wp14:sizeRelV>
          </wp:anchor>
        </w:drawing>
      </w:r>
      <w:r w:rsidR="00897D82">
        <w:rPr>
          <w:noProof/>
        </w:rPr>
        <mc:AlternateContent>
          <mc:Choice Requires="wps">
            <w:drawing>
              <wp:anchor distT="0" distB="0" distL="114300" distR="114300" simplePos="0" relativeHeight="251781120" behindDoc="1" locked="0" layoutInCell="1" allowOverlap="1" wp14:anchorId="4FD7A226" wp14:editId="2533E332">
                <wp:simplePos x="0" y="0"/>
                <wp:positionH relativeFrom="column">
                  <wp:posOffset>-82550</wp:posOffset>
                </wp:positionH>
                <wp:positionV relativeFrom="paragraph">
                  <wp:posOffset>64135</wp:posOffset>
                </wp:positionV>
                <wp:extent cx="6080760" cy="8147304"/>
                <wp:effectExtent l="0" t="0" r="15240" b="25400"/>
                <wp:wrapNone/>
                <wp:docPr id="1995790921" name="Rectangle 40"/>
                <wp:cNvGraphicFramePr/>
                <a:graphic xmlns:a="http://schemas.openxmlformats.org/drawingml/2006/main">
                  <a:graphicData uri="http://schemas.microsoft.com/office/word/2010/wordprocessingShape">
                    <wps:wsp>
                      <wps:cNvSpPr/>
                      <wps:spPr>
                        <a:xfrm>
                          <a:off x="0" y="0"/>
                          <a:ext cx="6080760" cy="8147304"/>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9AEC1" id="Rectangle 40" o:spid="_x0000_s1026" style="position:absolute;margin-left:-6.5pt;margin-top:5.05pt;width:478.8pt;height:641.5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0eXcgIAAEcFAAAOAAAAZHJzL2Uyb0RvYy54bWysVEtv2zAMvg/YfxB0X21n6WNBnSJo0WFA&#10;0RZth54VWYoNyKJGKXGyXz9KdpysK3YYdpFJk/z40EddXm1bwzYKfQO25MVJzpmyEqrGrkr+/eX2&#10;0wVnPghbCQNWlXynPL+af/xw2bmZmkANplLICMT6WedKXofgZlnmZa1a4U/AKUtGDdiKQCqusgpF&#10;R+itySZ5fpZ1gJVDkMp7+nvTG/k84WutZHjQ2qvATMmptpBOTOcyntn8UsxWKFzdyKEM8Q9VtKKx&#10;lHSEuhFBsDU2f0C1jUTwoMOJhDYDrRupUg/UTZG/6ea5Fk6lXmg43o1j8v8PVt5vnt0j0hg652ee&#10;xNjFVmMbv1Qf26Zh7cZhqW1gkn6e5Rf5+RnNVJLtopief86ncZzZIdyhD18VtCwKJUe6jTQksbnz&#10;oXfdu8RsHkxT3TbGJCUyQF0bZBtBd7dcFQP4kVd2qDlJYWdUjDX2SWnWVFTlJCVMdDqACSmVDUVv&#10;qkWl+hzFaZ4nRlALY0RqKAFGZE3VjdgDwO+F7rH79gb/GKoSG8fg/G+F9cFjRMoMNozBbWMB3wMw&#10;1NWQufen8o9GE8UlVLtHZAj9Lngnbxu6njvhw6NAIj9dKS10eKBDG+hKDoPEWQ34873/0Z84SVbO&#10;Olqmkvsfa4GKM/PNElu/FNNp3L6kTE/PJ6TgsWV5bLHr9hrozgt6OpxMYvQPZi9qhPaV9n4Rs5JJ&#10;WEm5Sy4D7pXr0C85vRxSLRbJjTbOiXBnn52M4HGqkX4v21eBbuBoIHrfw37xxOwNVXvfGGlhsQ6g&#10;m8Tjw1yHedO2JuIML0t8Do715HV4/+a/AAAA//8DAFBLAwQUAAYACAAAACEAkNNPPuEAAAALAQAA&#10;DwAAAGRycy9kb3ducmV2LnhtbEyPwU7DMBBE70j8g7VI3FonbVTREKdCRUBPkVrKgZtjL0lEvI5i&#10;tw1/z3Iqx50Zzb4pNpPrxRnH0HlSkM4TEEjG244aBcf3l9kDiBA1Wd17QgU/GGBT3t4UOrf+Qns8&#10;H2IjuIRCrhW0MQ65lMG06HSY+wGJvS8/Oh35HBtpR33hctfLRZKspNMd8YdWD7ht0XwfTk7B/lg5&#10;81l/VK9bNNX0/Jb5etwpdX83PT2CiDjFaxj+8BkdSmaq/YlsEL2CWbrkLZGNJAXBgXWWrUDULCzW&#10;yxRkWcj/G8pfAAAA//8DAFBLAQItABQABgAIAAAAIQC2gziS/gAAAOEBAAATAAAAAAAAAAAAAAAA&#10;AAAAAABbQ29udGVudF9UeXBlc10ueG1sUEsBAi0AFAAGAAgAAAAhADj9If/WAAAAlAEAAAsAAAAA&#10;AAAAAAAAAAAALwEAAF9yZWxzLy5yZWxzUEsBAi0AFAAGAAgAAAAhANsjR5dyAgAARwUAAA4AAAAA&#10;AAAAAAAAAAAALgIAAGRycy9lMm9Eb2MueG1sUEsBAi0AFAAGAAgAAAAhAJDTTz7hAAAACwEAAA8A&#10;AAAAAAAAAAAAAAAAzAQAAGRycy9kb3ducmV2LnhtbFBLBQYAAAAABAAEAPMAAADaBQAAAAA=&#10;" fillcolor="white [3212]" strokecolor="#1a0f21 [484]" strokeweight="1pt"/>
            </w:pict>
          </mc:Fallback>
        </mc:AlternateContent>
      </w:r>
      <w:r w:rsidR="00B81F6A" w:rsidRPr="00B81F6A">
        <w:t xml:space="preserve">In this recommendations report, we have incorporated the voices and experiences of youth across the Commonwealth as they relate to systems, including child welfare, </w:t>
      </w:r>
      <w:r w:rsidR="0005607E">
        <w:br/>
      </w:r>
      <w:r w:rsidR="00B81F6A" w:rsidRPr="00B81F6A">
        <w:t>mental health, housing, developmental services, carceral systems, and gender-affirming care. LGBTQ+ youth have reported a significant shift in support from systems that once publicly declared unwavering affirmation and commitment. That shift, combined with the current political climate, has had a profound impact on their mental health and overall well-being.</w:t>
      </w:r>
    </w:p>
    <w:p w14:paraId="3BF4D0A3" w14:textId="7209C474" w:rsidR="00B81F6A" w:rsidRPr="00B81F6A" w:rsidRDefault="00B81F6A" w:rsidP="0005607E">
      <w:pPr>
        <w:spacing w:after="0" w:line="240" w:lineRule="auto"/>
        <w:ind w:left="360" w:right="360"/>
        <w:jc w:val="both"/>
      </w:pPr>
      <w:r w:rsidRPr="00B81F6A">
        <w:t>The data reflects the urgency of this moment. The Trevor Project reports that:</w:t>
      </w:r>
    </w:p>
    <w:p w14:paraId="3BDF02B3" w14:textId="283915EE" w:rsidR="00B81F6A" w:rsidRDefault="00B81F6A">
      <w:pPr>
        <w:pStyle w:val="ListParagraph"/>
        <w:numPr>
          <w:ilvl w:val="0"/>
          <w:numId w:val="5"/>
        </w:numPr>
        <w:spacing w:after="0" w:line="240" w:lineRule="auto"/>
        <w:ind w:left="1080" w:right="720"/>
        <w:jc w:val="both"/>
      </w:pPr>
      <w:r w:rsidRPr="00B81F6A">
        <w:t>36% of LGBTQ+ young people seriously considered attempting suicide in the past year, including 40% of transgender and nonbinary youth.</w:t>
      </w:r>
    </w:p>
    <w:p w14:paraId="2F69B727" w14:textId="6D39905B" w:rsidR="00B81F6A" w:rsidRDefault="00B81F6A">
      <w:pPr>
        <w:pStyle w:val="ListParagraph"/>
        <w:numPr>
          <w:ilvl w:val="0"/>
          <w:numId w:val="5"/>
        </w:numPr>
        <w:spacing w:after="0" w:line="240" w:lineRule="auto"/>
        <w:ind w:left="1080" w:right="720"/>
        <w:jc w:val="both"/>
      </w:pPr>
      <w:r>
        <w:t>1</w:t>
      </w:r>
      <w:r w:rsidRPr="00B81F6A">
        <w:t xml:space="preserve"> in 10 LGBTQ+ young people attempted suicide in the past year.</w:t>
      </w:r>
    </w:p>
    <w:p w14:paraId="34B87089" w14:textId="1B9C9822" w:rsidR="00B81F6A" w:rsidRDefault="00B81F6A">
      <w:pPr>
        <w:pStyle w:val="ListParagraph"/>
        <w:numPr>
          <w:ilvl w:val="0"/>
          <w:numId w:val="5"/>
        </w:numPr>
        <w:spacing w:after="0" w:line="240" w:lineRule="auto"/>
        <w:ind w:left="1080" w:right="720"/>
        <w:jc w:val="both"/>
      </w:pPr>
      <w:r w:rsidRPr="00B81F6A">
        <w:t>LGBTQ+ young people of color experienced suicide attempts at higher rates than their white peers, with nearly one-third reporting racial or ethnic discrimination.</w:t>
      </w:r>
    </w:p>
    <w:p w14:paraId="1CE8CA16" w14:textId="2D4C1A76" w:rsidR="00B81F6A" w:rsidRDefault="00B81F6A">
      <w:pPr>
        <w:pStyle w:val="ListParagraph"/>
        <w:numPr>
          <w:ilvl w:val="0"/>
          <w:numId w:val="5"/>
        </w:numPr>
        <w:spacing w:after="0" w:line="240" w:lineRule="auto"/>
        <w:ind w:left="1080" w:right="720"/>
        <w:jc w:val="both"/>
      </w:pPr>
      <w:r w:rsidRPr="00B81F6A">
        <w:t>90% of LGBTQ+ young people said recent anti-LGBTQ+ laws and political debates negatively impacted their mental health.</w:t>
      </w:r>
    </w:p>
    <w:p w14:paraId="454E1BBB" w14:textId="013D95E1" w:rsidR="00B81F6A" w:rsidRDefault="00B81F6A">
      <w:pPr>
        <w:pStyle w:val="ListParagraph"/>
        <w:numPr>
          <w:ilvl w:val="0"/>
          <w:numId w:val="5"/>
        </w:numPr>
        <w:spacing w:after="0" w:line="240" w:lineRule="auto"/>
        <w:ind w:left="1080" w:right="720"/>
        <w:jc w:val="both"/>
      </w:pPr>
      <w:r w:rsidRPr="00B81F6A">
        <w:t>More than half of LGBTQ+ youth ages 13–17 experienced bullying in the past year.</w:t>
      </w:r>
    </w:p>
    <w:p w14:paraId="39F4DBA0" w14:textId="1F53FFB0" w:rsidR="00B81F6A" w:rsidRPr="00B81F6A" w:rsidRDefault="00B81F6A">
      <w:pPr>
        <w:pStyle w:val="ListParagraph"/>
        <w:numPr>
          <w:ilvl w:val="0"/>
          <w:numId w:val="5"/>
        </w:numPr>
        <w:spacing w:after="0" w:line="240" w:lineRule="auto"/>
        <w:ind w:left="1080" w:right="720"/>
        <w:jc w:val="both"/>
      </w:pPr>
      <w:r w:rsidRPr="00B81F6A">
        <w:t>Transgender and nonbinary youth unable to access desired hormone care were nearly twice as likely to attempt suicide.</w:t>
      </w:r>
    </w:p>
    <w:p w14:paraId="019A5DDF" w14:textId="7ED11BB9" w:rsidR="00B81F6A" w:rsidRPr="00B81F6A" w:rsidRDefault="00B81F6A" w:rsidP="0005607E">
      <w:pPr>
        <w:spacing w:after="0" w:line="240" w:lineRule="auto"/>
        <w:ind w:left="360" w:right="360"/>
        <w:jc w:val="both"/>
      </w:pPr>
      <w:r w:rsidRPr="00B81F6A">
        <w:t>These numbers do not simply validate our recommendations; they underscore the urgency of this work and the necessity of sustained, courageous action.</w:t>
      </w:r>
    </w:p>
    <w:p w14:paraId="1A0FF833" w14:textId="64CB5CBA" w:rsidR="00B81F6A" w:rsidRPr="00B81F6A" w:rsidRDefault="00B81F6A" w:rsidP="0005607E">
      <w:pPr>
        <w:spacing w:before="240" w:after="0" w:line="240" w:lineRule="auto"/>
        <w:ind w:left="360" w:right="360"/>
        <w:jc w:val="both"/>
        <w:rPr>
          <w:b/>
          <w:bCs/>
        </w:rPr>
      </w:pPr>
      <w:r w:rsidRPr="00B81F6A">
        <w:rPr>
          <w:b/>
          <w:bCs/>
          <w:u w:val="single"/>
        </w:rPr>
        <w:t>Accountability</w:t>
      </w:r>
    </w:p>
    <w:p w14:paraId="71B17B3E" w14:textId="3FE64642" w:rsidR="00B81F6A" w:rsidRPr="00B81F6A" w:rsidRDefault="00B81F6A" w:rsidP="0005607E">
      <w:pPr>
        <w:spacing w:after="0" w:line="240" w:lineRule="auto"/>
        <w:ind w:left="360" w:right="360"/>
        <w:jc w:val="both"/>
      </w:pPr>
      <w:r w:rsidRPr="00B81F6A">
        <w:t>How do we hold systems accountable while centering the lived experiences of LGBTQ+ youth during a time when many agencies are operating from fear?</w:t>
      </w:r>
    </w:p>
    <w:p w14:paraId="40D1E023" w14:textId="2D1CAED9" w:rsidR="00B81F6A" w:rsidRPr="00B81F6A" w:rsidRDefault="00B81F6A" w:rsidP="0005607E">
      <w:pPr>
        <w:spacing w:after="0" w:line="240" w:lineRule="auto"/>
        <w:ind w:left="360" w:right="360"/>
        <w:jc w:val="both"/>
      </w:pPr>
      <w:r w:rsidRPr="00B81F6A">
        <w:t>The Commission recognizes the immense pressure facing state agencies, healthcare systems, and organizational leaders as they navigate threats to funding, politically motivated attacks, and personal liability concerns. We also recognize that, in response, many institutions have begun making decisions intended to protect LGBTQ+ youth while simultaneously contributing to their digital erasure.</w:t>
      </w:r>
    </w:p>
    <w:p w14:paraId="4E908272" w14:textId="7EAF1B85" w:rsidR="00B81F6A" w:rsidRPr="00B81F6A" w:rsidRDefault="00B81F6A" w:rsidP="00562343">
      <w:pPr>
        <w:spacing w:after="0" w:line="240" w:lineRule="auto"/>
        <w:ind w:left="360" w:right="360"/>
        <w:jc w:val="both"/>
      </w:pPr>
      <w:r w:rsidRPr="00B81F6A">
        <w:t>The Commission is committed to helping identify alternative pathways for collecting and protecting SOGIE data in ways that safeguard young people while still allowing communities to understand the realities, risks, and needs facing marginalized populations. Data informs funding, policy, services, and accountability. Without it, inequities become easier to ignore.</w:t>
      </w:r>
      <w:r w:rsidR="00486DA6" w:rsidRPr="00486DA6">
        <w:rPr>
          <w:noProof/>
        </w:rPr>
        <w:t xml:space="preserve"> </w:t>
      </w:r>
      <w:r w:rsidR="00C97CD0" w:rsidRPr="00B81F6A">
        <w:t>This moment requires</w:t>
      </w:r>
      <w:r w:rsidR="00C97CD0">
        <w:t xml:space="preserve"> </w:t>
      </w:r>
      <w:r w:rsidR="00C97CD0" w:rsidRPr="00B81F6A">
        <w:t xml:space="preserve">equity-driven practices and inclusive policy solutions that acknowledge the intersectional and interwoven identities our young people hold. If we are truly committed to liberation, we must prioritize those most </w:t>
      </w:r>
      <w:r w:rsidR="00562343">
        <w:br/>
      </w:r>
      <w:r w:rsidR="00562343">
        <w:br/>
      </w:r>
      <w:r w:rsidR="00BC6653">
        <w:br/>
      </w:r>
      <w:r w:rsidR="00BC6653">
        <w:lastRenderedPageBreak/>
        <w:br/>
      </w:r>
      <w:r w:rsidR="00897D82">
        <w:rPr>
          <w:noProof/>
        </w:rPr>
        <w:drawing>
          <wp:anchor distT="0" distB="0" distL="114300" distR="114300" simplePos="0" relativeHeight="251777024" behindDoc="1" locked="0" layoutInCell="1" allowOverlap="1" wp14:anchorId="1A615424" wp14:editId="4D50BE7F">
            <wp:simplePos x="0" y="0"/>
            <wp:positionH relativeFrom="column">
              <wp:posOffset>-2348114</wp:posOffset>
            </wp:positionH>
            <wp:positionV relativeFrom="paragraph">
              <wp:posOffset>-2145492</wp:posOffset>
            </wp:positionV>
            <wp:extent cx="11612845" cy="11546205"/>
            <wp:effectExtent l="0" t="5080" r="3175" b="3175"/>
            <wp:wrapNone/>
            <wp:docPr id="1242092047"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092047" name="Picture 39">
                      <a:extLst>
                        <a:ext uri="{C183D7F6-B498-43B3-948B-1728B52AA6E4}">
                          <adec:decorative xmlns:adec="http://schemas.microsoft.com/office/drawing/2017/decorative" val="1"/>
                        </a:ext>
                      </a:extLst>
                    </pic:cNvPr>
                    <pic:cNvPicPr/>
                  </pic:nvPicPr>
                  <pic:blipFill>
                    <a:blip r:embed="rId10">
                      <a:extLst>
                        <a:ext uri="{28A0092B-C50C-407E-A947-70E740481C1C}">
                          <a14:useLocalDpi xmlns:a14="http://schemas.microsoft.com/office/drawing/2010/main" val="0"/>
                        </a:ext>
                      </a:extLst>
                    </a:blip>
                    <a:stretch>
                      <a:fillRect/>
                    </a:stretch>
                  </pic:blipFill>
                  <pic:spPr>
                    <a:xfrm rot="16200000">
                      <a:off x="0" y="0"/>
                      <a:ext cx="11612845" cy="11546205"/>
                    </a:xfrm>
                    <a:prstGeom prst="rect">
                      <a:avLst/>
                    </a:prstGeom>
                  </pic:spPr>
                </pic:pic>
              </a:graphicData>
            </a:graphic>
            <wp14:sizeRelH relativeFrom="page">
              <wp14:pctWidth>0</wp14:pctWidth>
            </wp14:sizeRelH>
            <wp14:sizeRelV relativeFrom="page">
              <wp14:pctHeight>0</wp14:pctHeight>
            </wp14:sizeRelV>
          </wp:anchor>
        </w:drawing>
      </w:r>
      <w:r w:rsidR="00897D82">
        <w:rPr>
          <w:noProof/>
        </w:rPr>
        <mc:AlternateContent>
          <mc:Choice Requires="wps">
            <w:drawing>
              <wp:anchor distT="0" distB="0" distL="114300" distR="114300" simplePos="0" relativeHeight="251783168" behindDoc="1" locked="0" layoutInCell="1" allowOverlap="1" wp14:anchorId="553F1270" wp14:editId="049B6A7A">
                <wp:simplePos x="0" y="0"/>
                <wp:positionH relativeFrom="column">
                  <wp:posOffset>-82550</wp:posOffset>
                </wp:positionH>
                <wp:positionV relativeFrom="paragraph">
                  <wp:posOffset>64135</wp:posOffset>
                </wp:positionV>
                <wp:extent cx="6080760" cy="8147304"/>
                <wp:effectExtent l="0" t="0" r="15240" b="25400"/>
                <wp:wrapNone/>
                <wp:docPr id="89437044" name="Rectangle 40"/>
                <wp:cNvGraphicFramePr/>
                <a:graphic xmlns:a="http://schemas.openxmlformats.org/drawingml/2006/main">
                  <a:graphicData uri="http://schemas.microsoft.com/office/word/2010/wordprocessingShape">
                    <wps:wsp>
                      <wps:cNvSpPr/>
                      <wps:spPr>
                        <a:xfrm>
                          <a:off x="0" y="0"/>
                          <a:ext cx="6080760" cy="8147304"/>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E78786" id="Rectangle 40" o:spid="_x0000_s1026" style="position:absolute;margin-left:-6.5pt;margin-top:5.05pt;width:478.8pt;height:641.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0eXcgIAAEcFAAAOAAAAZHJzL2Uyb0RvYy54bWysVEtv2zAMvg/YfxB0X21n6WNBnSJo0WFA&#10;0RZth54VWYoNyKJGKXGyXz9KdpysK3YYdpFJk/z40EddXm1bwzYKfQO25MVJzpmyEqrGrkr+/eX2&#10;0wVnPghbCQNWlXynPL+af/xw2bmZmkANplLICMT6WedKXofgZlnmZa1a4U/AKUtGDdiKQCqusgpF&#10;R+itySZ5fpZ1gJVDkMp7+nvTG/k84WutZHjQ2qvATMmptpBOTOcyntn8UsxWKFzdyKEM8Q9VtKKx&#10;lHSEuhFBsDU2f0C1jUTwoMOJhDYDrRupUg/UTZG/6ea5Fk6lXmg43o1j8v8PVt5vnt0j0hg652ee&#10;xNjFVmMbv1Qf26Zh7cZhqW1gkn6e5Rf5+RnNVJLtopief86ncZzZIdyhD18VtCwKJUe6jTQksbnz&#10;oXfdu8RsHkxT3TbGJCUyQF0bZBtBd7dcFQP4kVd2qDlJYWdUjDX2SWnWVFTlJCVMdDqACSmVDUVv&#10;qkWl+hzFaZ4nRlALY0RqKAFGZE3VjdgDwO+F7rH79gb/GKoSG8fg/G+F9cFjRMoMNozBbWMB3wMw&#10;1NWQufen8o9GE8UlVLtHZAj9Lngnbxu6njvhw6NAIj9dKS10eKBDG+hKDoPEWQ34873/0Z84SVbO&#10;Olqmkvsfa4GKM/PNElu/FNNp3L6kTE/PJ6TgsWV5bLHr9hrozgt6OpxMYvQPZi9qhPaV9n4Rs5JJ&#10;WEm5Sy4D7pXr0C85vRxSLRbJjTbOiXBnn52M4HGqkX4v21eBbuBoIHrfw37xxOwNVXvfGGlhsQ6g&#10;m8Tjw1yHedO2JuIML0t8Do715HV4/+a/AAAA//8DAFBLAwQUAAYACAAAACEAkNNPPuEAAAALAQAA&#10;DwAAAGRycy9kb3ducmV2LnhtbEyPwU7DMBBE70j8g7VI3FonbVTREKdCRUBPkVrKgZtjL0lEvI5i&#10;tw1/z3Iqx50Zzb4pNpPrxRnH0HlSkM4TEEjG244aBcf3l9kDiBA1Wd17QgU/GGBT3t4UOrf+Qns8&#10;H2IjuIRCrhW0MQ65lMG06HSY+wGJvS8/Oh35HBtpR33hctfLRZKspNMd8YdWD7ht0XwfTk7B/lg5&#10;81l/VK9bNNX0/Jb5etwpdX83PT2CiDjFaxj+8BkdSmaq/YlsEL2CWbrkLZGNJAXBgXWWrUDULCzW&#10;yxRkWcj/G8pfAAAA//8DAFBLAQItABQABgAIAAAAIQC2gziS/gAAAOEBAAATAAAAAAAAAAAAAAAA&#10;AAAAAABbQ29udGVudF9UeXBlc10ueG1sUEsBAi0AFAAGAAgAAAAhADj9If/WAAAAlAEAAAsAAAAA&#10;AAAAAAAAAAAALwEAAF9yZWxzLy5yZWxzUEsBAi0AFAAGAAgAAAAhANsjR5dyAgAARwUAAA4AAAAA&#10;AAAAAAAAAAAALgIAAGRycy9lMm9Eb2MueG1sUEsBAi0AFAAGAAgAAAAhAJDTTz7hAAAACwEAAA8A&#10;AAAAAAAAAAAAAAAAzAQAAGRycy9kb3ducmV2LnhtbFBLBQYAAAAABAAEAPMAAADaBQAAAAA=&#10;" fillcolor="white [3212]" strokecolor="#1a0f21 [484]" strokeweight="1pt"/>
            </w:pict>
          </mc:Fallback>
        </mc:AlternateContent>
      </w:r>
      <w:r w:rsidR="00562343" w:rsidRPr="00B81F6A">
        <w:t>marginalized within our communities. The Commission remains committed to assisting in every way possible.</w:t>
      </w:r>
    </w:p>
    <w:p w14:paraId="4284A3EF" w14:textId="608D345C" w:rsidR="00B81F6A" w:rsidRPr="00B81F6A" w:rsidRDefault="00B81F6A" w:rsidP="00562343">
      <w:pPr>
        <w:spacing w:before="240" w:after="0" w:line="240" w:lineRule="auto"/>
        <w:ind w:right="360" w:firstLine="360"/>
        <w:jc w:val="both"/>
        <w:rPr>
          <w:b/>
          <w:bCs/>
        </w:rPr>
      </w:pPr>
      <w:r w:rsidRPr="00B81F6A">
        <w:rPr>
          <w:b/>
          <w:bCs/>
          <w:u w:val="single"/>
        </w:rPr>
        <w:t>Leadership</w:t>
      </w:r>
    </w:p>
    <w:p w14:paraId="7591E123" w14:textId="53B99A1F" w:rsidR="00B81F6A" w:rsidRPr="00B81F6A" w:rsidRDefault="00B81F6A" w:rsidP="0005607E">
      <w:pPr>
        <w:spacing w:after="0" w:line="240" w:lineRule="auto"/>
        <w:ind w:left="360" w:right="360"/>
        <w:jc w:val="both"/>
      </w:pPr>
      <w:r w:rsidRPr="00B81F6A">
        <w:t>Leadership at a time when the humanity and rights of LGBTQ+ youth are publicly debated requires courage, clarity, and conviction. It demands leadership grounded in truth, informed by facts, and responsive to the emotional realities impacting vulnerable communities.</w:t>
      </w:r>
    </w:p>
    <w:p w14:paraId="7876E955" w14:textId="45BCEDD7" w:rsidR="00B81F6A" w:rsidRPr="00B81F6A" w:rsidRDefault="00B81F6A" w:rsidP="0005607E">
      <w:pPr>
        <w:spacing w:after="0" w:line="240" w:lineRule="auto"/>
        <w:ind w:left="360" w:right="360"/>
        <w:jc w:val="both"/>
      </w:pPr>
      <w:r w:rsidRPr="00B81F6A">
        <w:t xml:space="preserve">This moment requires us to move away from leadership models rooted in individualism, performative urgency, avoidance of discomfort, or fear of </w:t>
      </w:r>
      <w:r w:rsidR="00C97CD0">
        <w:t xml:space="preserve">open </w:t>
      </w:r>
      <w:r w:rsidRPr="00B81F6A">
        <w:t>conflict</w:t>
      </w:r>
      <w:r w:rsidR="00C97CD0">
        <w:t xml:space="preserve"> (this is vastly different from conflict that is necessary to confront oppression</w:t>
      </w:r>
      <w:r w:rsidRPr="00B81F6A">
        <w:t>. Th</w:t>
      </w:r>
      <w:r w:rsidR="00C97CD0">
        <w:t>e</w:t>
      </w:r>
      <w:r w:rsidRPr="00B81F6A">
        <w:t>se practices silence critical conversations, discourage authenticity, and leave the most marginalized unheard.</w:t>
      </w:r>
    </w:p>
    <w:p w14:paraId="04E25832" w14:textId="0683BE2D" w:rsidR="00B81F6A" w:rsidRPr="00B81F6A" w:rsidRDefault="00B81F6A" w:rsidP="0005607E">
      <w:pPr>
        <w:spacing w:after="0" w:line="240" w:lineRule="auto"/>
        <w:ind w:left="360" w:right="360"/>
        <w:jc w:val="both"/>
      </w:pPr>
      <w:r w:rsidRPr="00B81F6A">
        <w:t>Now more than ever, leaders must engage in honest self-reflection. Examining our own beliefs, decisions, and biases is essential if we are to lead equitably and justly. Community care, transparency, and courageous dialogue are necessary to build solutions that are truly inclusive and sustainable. Every young person deserves to feel heard, valued, and protected, especially those historically pushed to the margins.</w:t>
      </w:r>
    </w:p>
    <w:p w14:paraId="7A5E2272" w14:textId="06E344CC" w:rsidR="00B81F6A" w:rsidRPr="00B81F6A" w:rsidRDefault="00B81F6A" w:rsidP="0005607E">
      <w:pPr>
        <w:spacing w:before="240" w:after="0" w:line="240" w:lineRule="auto"/>
        <w:ind w:left="360" w:right="360"/>
        <w:jc w:val="both"/>
        <w:rPr>
          <w:b/>
          <w:bCs/>
        </w:rPr>
      </w:pPr>
      <w:r w:rsidRPr="00B81F6A">
        <w:rPr>
          <w:b/>
          <w:bCs/>
          <w:u w:val="single"/>
        </w:rPr>
        <w:t>Vision for 2027</w:t>
      </w:r>
    </w:p>
    <w:p w14:paraId="085C56AB" w14:textId="3AFA63D8" w:rsidR="00B81F6A" w:rsidRPr="00B81F6A" w:rsidRDefault="00B81F6A" w:rsidP="0005607E">
      <w:pPr>
        <w:spacing w:after="0" w:line="240" w:lineRule="auto"/>
        <w:ind w:left="360" w:right="360"/>
        <w:jc w:val="both"/>
      </w:pPr>
      <w:r w:rsidRPr="00B81F6A">
        <w:t>Imagine a future where LGBTQ+ young people are not merely protected, but fully seen, valued, affirmed, and empowered. A future where youth, especially those most impacted by systemic inequities, have access to the resources, opportunities, and support necessary to thrive.</w:t>
      </w:r>
    </w:p>
    <w:p w14:paraId="59759D49" w14:textId="1698E0AC" w:rsidR="00B81F6A" w:rsidRPr="00B81F6A" w:rsidRDefault="00B81F6A" w:rsidP="0005607E">
      <w:pPr>
        <w:spacing w:after="0" w:line="240" w:lineRule="auto"/>
        <w:ind w:left="360" w:right="360"/>
        <w:jc w:val="both"/>
      </w:pPr>
      <w:r w:rsidRPr="00B81F6A">
        <w:t>As we look toward 2027, the Commission will continue advancing work in several key areas:</w:t>
      </w:r>
    </w:p>
    <w:p w14:paraId="658B3E75" w14:textId="3B3BB513" w:rsidR="00B81F6A" w:rsidRDefault="00B81F6A">
      <w:pPr>
        <w:pStyle w:val="ListParagraph"/>
        <w:numPr>
          <w:ilvl w:val="0"/>
          <w:numId w:val="6"/>
        </w:numPr>
        <w:spacing w:after="0" w:line="240" w:lineRule="auto"/>
        <w:ind w:left="1080" w:right="720"/>
        <w:jc w:val="both"/>
      </w:pPr>
      <w:r w:rsidRPr="00B81F6A">
        <w:rPr>
          <w:b/>
          <w:bCs/>
        </w:rPr>
        <w:t>Education and School Climate:</w:t>
      </w:r>
      <w:r w:rsidRPr="00B81F6A">
        <w:t xml:space="preserve"> Continued advocacy for inclusive education, with focused attention on residential school settings, high-acuity placements, bullying, harassment, and the sharp rise in anti-LGBTQ+ activity in schools.</w:t>
      </w:r>
    </w:p>
    <w:p w14:paraId="455E14E0" w14:textId="1BF661A4" w:rsidR="00B81F6A" w:rsidRDefault="00B81F6A">
      <w:pPr>
        <w:pStyle w:val="ListParagraph"/>
        <w:numPr>
          <w:ilvl w:val="0"/>
          <w:numId w:val="6"/>
        </w:numPr>
        <w:spacing w:after="0" w:line="240" w:lineRule="auto"/>
        <w:ind w:left="1080" w:right="720"/>
        <w:jc w:val="both"/>
      </w:pPr>
      <w:r w:rsidRPr="00B81F6A">
        <w:rPr>
          <w:b/>
          <w:bCs/>
        </w:rPr>
        <w:t>Criminal Justice:</w:t>
      </w:r>
      <w:r w:rsidRPr="00B81F6A">
        <w:t xml:space="preserve"> Advancing research and recommendations addressing the impact of carceral systems on LGBTQ+ youth and advocating for reforms that reduce harm.</w:t>
      </w:r>
    </w:p>
    <w:p w14:paraId="3761580C" w14:textId="576404DE" w:rsidR="00B81F6A" w:rsidRPr="00B81F6A" w:rsidRDefault="00B81F6A">
      <w:pPr>
        <w:pStyle w:val="ListParagraph"/>
        <w:numPr>
          <w:ilvl w:val="0"/>
          <w:numId w:val="6"/>
        </w:numPr>
        <w:spacing w:after="0" w:line="240" w:lineRule="auto"/>
        <w:ind w:left="1080" w:right="720"/>
        <w:jc w:val="both"/>
        <w:rPr>
          <w:b/>
          <w:bCs/>
        </w:rPr>
      </w:pPr>
      <w:r w:rsidRPr="00B81F6A">
        <w:rPr>
          <w:b/>
          <w:bCs/>
        </w:rPr>
        <w:t>Child Welfare:</w:t>
      </w:r>
      <w:r w:rsidRPr="00B81F6A">
        <w:t xml:space="preserve"> Expanding upon </w:t>
      </w:r>
      <w:r w:rsidRPr="00B81F6A">
        <w:rPr>
          <w:i/>
          <w:iCs/>
        </w:rPr>
        <w:t>Pervasive Threats in the Child Welfare System</w:t>
      </w:r>
      <w:r w:rsidRPr="00B81F6A">
        <w:t xml:space="preserve"> to address ongoing gaps, emerging concerns, and new findings.</w:t>
      </w:r>
    </w:p>
    <w:p w14:paraId="7BC8F4C4" w14:textId="39C43EB7" w:rsidR="00DC0226" w:rsidRPr="00DC0226" w:rsidRDefault="00B81F6A">
      <w:pPr>
        <w:pStyle w:val="ListParagraph"/>
        <w:numPr>
          <w:ilvl w:val="0"/>
          <w:numId w:val="6"/>
        </w:numPr>
        <w:spacing w:after="0" w:line="240" w:lineRule="auto"/>
        <w:ind w:left="1080" w:right="720"/>
        <w:jc w:val="both"/>
        <w:rPr>
          <w:b/>
          <w:bCs/>
        </w:rPr>
      </w:pPr>
      <w:r w:rsidRPr="00B81F6A">
        <w:rPr>
          <w:b/>
          <w:bCs/>
        </w:rPr>
        <w:t>State of Trans Youth:</w:t>
      </w:r>
      <w:r w:rsidRPr="00B81F6A">
        <w:t xml:space="preserve"> Centering the lived experiences, rights, and wellbeing of transgender and nonbinary youth across systems.</w:t>
      </w:r>
    </w:p>
    <w:p w14:paraId="75AE23A4" w14:textId="33E2F060" w:rsidR="00DC0226" w:rsidRPr="00DC0226" w:rsidRDefault="00B81F6A">
      <w:pPr>
        <w:pStyle w:val="ListParagraph"/>
        <w:numPr>
          <w:ilvl w:val="0"/>
          <w:numId w:val="6"/>
        </w:numPr>
        <w:spacing w:after="0" w:line="240" w:lineRule="auto"/>
        <w:ind w:left="1080" w:right="720"/>
        <w:jc w:val="both"/>
        <w:rPr>
          <w:b/>
          <w:bCs/>
        </w:rPr>
      </w:pPr>
      <w:r w:rsidRPr="00DC0226">
        <w:rPr>
          <w:b/>
          <w:bCs/>
        </w:rPr>
        <w:t>Transitional Age Youth (TAY):</w:t>
      </w:r>
      <w:r w:rsidRPr="00B81F6A">
        <w:t xml:space="preserve"> Supporting policy reforms and investments that foster stability, independence, and self-determination for youth transitioning into adulthood.</w:t>
      </w:r>
    </w:p>
    <w:p w14:paraId="101FD815" w14:textId="2DDE109C" w:rsidR="00B81F6A" w:rsidRPr="00DC0226" w:rsidRDefault="00B81F6A">
      <w:pPr>
        <w:pStyle w:val="ListParagraph"/>
        <w:numPr>
          <w:ilvl w:val="0"/>
          <w:numId w:val="6"/>
        </w:numPr>
        <w:spacing w:after="0" w:line="240" w:lineRule="auto"/>
        <w:ind w:left="1080" w:right="720"/>
        <w:jc w:val="both"/>
        <w:rPr>
          <w:b/>
          <w:bCs/>
        </w:rPr>
      </w:pPr>
      <w:r w:rsidRPr="00DC0226">
        <w:rPr>
          <w:b/>
          <w:bCs/>
        </w:rPr>
        <w:t>Gender-Affirming Care:</w:t>
      </w:r>
      <w:r w:rsidRPr="00B81F6A">
        <w:t xml:space="preserve"> Continuing advocacy for accessible, affirming healthcare and defending the critical importance of gender-affirming care for young people who need it.</w:t>
      </w:r>
    </w:p>
    <w:p w14:paraId="30B159F3" w14:textId="0EC27CCF" w:rsidR="00B81F6A" w:rsidRPr="00B81F6A" w:rsidRDefault="006A6D91" w:rsidP="0005607E">
      <w:pPr>
        <w:spacing w:after="0" w:line="240" w:lineRule="auto"/>
        <w:ind w:left="360" w:right="360"/>
        <w:jc w:val="both"/>
      </w:pPr>
      <w:r>
        <w:rPr>
          <w:noProof/>
        </w:rPr>
        <w:lastRenderedPageBreak/>
        <w:drawing>
          <wp:anchor distT="0" distB="0" distL="114300" distR="114300" simplePos="0" relativeHeight="251779072" behindDoc="1" locked="0" layoutInCell="1" allowOverlap="1" wp14:anchorId="6D4A07A4" wp14:editId="053CCB21">
            <wp:simplePos x="0" y="0"/>
            <wp:positionH relativeFrom="column">
              <wp:posOffset>-3227961</wp:posOffset>
            </wp:positionH>
            <wp:positionV relativeFrom="paragraph">
              <wp:posOffset>-1459255</wp:posOffset>
            </wp:positionV>
            <wp:extent cx="10403488" cy="11545500"/>
            <wp:effectExtent l="635" t="0" r="0" b="0"/>
            <wp:wrapNone/>
            <wp:docPr id="1038290164"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290164" name="Picture 39">
                      <a:extLst>
                        <a:ext uri="{C183D7F6-B498-43B3-948B-1728B52AA6E4}">
                          <adec:decorative xmlns:adec="http://schemas.microsoft.com/office/drawing/2017/decorative" val="1"/>
                        </a:ext>
                      </a:extLst>
                    </pic:cNvPr>
                    <pic:cNvPicPr/>
                  </pic:nvPicPr>
                  <pic:blipFill>
                    <a:blip r:embed="rId10">
                      <a:extLst>
                        <a:ext uri="{28A0092B-C50C-407E-A947-70E740481C1C}">
                          <a14:useLocalDpi xmlns:a14="http://schemas.microsoft.com/office/drawing/2010/main" val="0"/>
                        </a:ext>
                      </a:extLst>
                    </a:blip>
                    <a:stretch>
                      <a:fillRect/>
                    </a:stretch>
                  </pic:blipFill>
                  <pic:spPr>
                    <a:xfrm rot="5400000">
                      <a:off x="0" y="0"/>
                      <a:ext cx="10403488" cy="115455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03648" behindDoc="1" locked="0" layoutInCell="1" allowOverlap="1" wp14:anchorId="6B0D9487" wp14:editId="1EBFC683">
                <wp:simplePos x="0" y="0"/>
                <wp:positionH relativeFrom="column">
                  <wp:posOffset>-82550</wp:posOffset>
                </wp:positionH>
                <wp:positionV relativeFrom="paragraph">
                  <wp:posOffset>64135</wp:posOffset>
                </wp:positionV>
                <wp:extent cx="6080760" cy="8147304"/>
                <wp:effectExtent l="0" t="0" r="15240" b="25400"/>
                <wp:wrapNone/>
                <wp:docPr id="975633010" name="Rectangle 40"/>
                <wp:cNvGraphicFramePr/>
                <a:graphic xmlns:a="http://schemas.openxmlformats.org/drawingml/2006/main">
                  <a:graphicData uri="http://schemas.microsoft.com/office/word/2010/wordprocessingShape">
                    <wps:wsp>
                      <wps:cNvSpPr/>
                      <wps:spPr>
                        <a:xfrm>
                          <a:off x="0" y="0"/>
                          <a:ext cx="6080760" cy="8147304"/>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80821" id="Rectangle 40" o:spid="_x0000_s1026" style="position:absolute;margin-left:-6.5pt;margin-top:5.05pt;width:478.8pt;height:641.5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0eXcgIAAEcFAAAOAAAAZHJzL2Uyb0RvYy54bWysVEtv2zAMvg/YfxB0X21n6WNBnSJo0WFA&#10;0RZth54VWYoNyKJGKXGyXz9KdpysK3YYdpFJk/z40EddXm1bwzYKfQO25MVJzpmyEqrGrkr+/eX2&#10;0wVnPghbCQNWlXynPL+af/xw2bmZmkANplLICMT6WedKXofgZlnmZa1a4U/AKUtGDdiKQCqusgpF&#10;R+itySZ5fpZ1gJVDkMp7+nvTG/k84WutZHjQ2qvATMmptpBOTOcyntn8UsxWKFzdyKEM8Q9VtKKx&#10;lHSEuhFBsDU2f0C1jUTwoMOJhDYDrRupUg/UTZG/6ea5Fk6lXmg43o1j8v8PVt5vnt0j0hg652ee&#10;xNjFVmMbv1Qf26Zh7cZhqW1gkn6e5Rf5+RnNVJLtopief86ncZzZIdyhD18VtCwKJUe6jTQksbnz&#10;oXfdu8RsHkxT3TbGJCUyQF0bZBtBd7dcFQP4kVd2qDlJYWdUjDX2SWnWVFTlJCVMdDqACSmVDUVv&#10;qkWl+hzFaZ4nRlALY0RqKAFGZE3VjdgDwO+F7rH79gb/GKoSG8fg/G+F9cFjRMoMNozBbWMB3wMw&#10;1NWQufen8o9GE8UlVLtHZAj9Lngnbxu6njvhw6NAIj9dKS10eKBDG+hKDoPEWQ34873/0Z84SVbO&#10;Olqmkvsfa4GKM/PNElu/FNNp3L6kTE/PJ6TgsWV5bLHr9hrozgt6OpxMYvQPZi9qhPaV9n4Rs5JJ&#10;WEm5Sy4D7pXr0C85vRxSLRbJjTbOiXBnn52M4HGqkX4v21eBbuBoIHrfw37xxOwNVXvfGGlhsQ6g&#10;m8Tjw1yHedO2JuIML0t8Do715HV4/+a/AAAA//8DAFBLAwQUAAYACAAAACEAkNNPPuEAAAALAQAA&#10;DwAAAGRycy9kb3ducmV2LnhtbEyPwU7DMBBE70j8g7VI3FonbVTREKdCRUBPkVrKgZtjL0lEvI5i&#10;tw1/z3Iqx50Zzb4pNpPrxRnH0HlSkM4TEEjG244aBcf3l9kDiBA1Wd17QgU/GGBT3t4UOrf+Qns8&#10;H2IjuIRCrhW0MQ65lMG06HSY+wGJvS8/Oh35HBtpR33hctfLRZKspNMd8YdWD7ht0XwfTk7B/lg5&#10;81l/VK9bNNX0/Jb5etwpdX83PT2CiDjFaxj+8BkdSmaq/YlsEL2CWbrkLZGNJAXBgXWWrUDULCzW&#10;yxRkWcj/G8pfAAAA//8DAFBLAQItABQABgAIAAAAIQC2gziS/gAAAOEBAAATAAAAAAAAAAAAAAAA&#10;AAAAAABbQ29udGVudF9UeXBlc10ueG1sUEsBAi0AFAAGAAgAAAAhADj9If/WAAAAlAEAAAsAAAAA&#10;AAAAAAAAAAAALwEAAF9yZWxzLy5yZWxzUEsBAi0AFAAGAAgAAAAhANsjR5dyAgAARwUAAA4AAAAA&#10;AAAAAAAAAAAALgIAAGRycy9lMm9Eb2MueG1sUEsBAi0AFAAGAAgAAAAhAJDTTz7hAAAACwEAAA8A&#10;AAAAAAAAAAAAAAAAzAQAAGRycy9kb3ducmV2LnhtbFBLBQYAAAAABAAEAPMAAADaBQAAAAA=&#10;" fillcolor="white [3212]" strokecolor="#1a0f21 [484]" strokeweight="1pt"/>
            </w:pict>
          </mc:Fallback>
        </mc:AlternateContent>
      </w:r>
      <w:r w:rsidR="0005607E">
        <w:rPr>
          <w:b/>
          <w:bCs/>
          <w:u w:val="single"/>
        </w:rPr>
        <w:br/>
      </w:r>
      <w:r w:rsidR="00DC0226">
        <w:rPr>
          <w:b/>
          <w:bCs/>
          <w:u w:val="single"/>
        </w:rPr>
        <w:br/>
      </w:r>
      <w:r w:rsidR="00B81F6A" w:rsidRPr="00B81F6A">
        <w:rPr>
          <w:b/>
          <w:bCs/>
          <w:u w:val="single"/>
        </w:rPr>
        <w:t>A Final Word To LGBTQ Youth</w:t>
      </w:r>
    </w:p>
    <w:p w14:paraId="1ED47B39" w14:textId="6B6B4EFF" w:rsidR="00B81F6A" w:rsidRPr="00B81F6A" w:rsidRDefault="00B81F6A" w:rsidP="0005607E">
      <w:pPr>
        <w:spacing w:after="0" w:line="240" w:lineRule="auto"/>
        <w:ind w:left="360" w:right="360"/>
        <w:jc w:val="both"/>
      </w:pPr>
      <w:r w:rsidRPr="00B81F6A">
        <w:t>To young people across the Commonwealth: you are not a problem to be solved, a burden to carry, or a debate for others to have. You are leaders, visionaries, artists, advocates, builders, and change-makers already shaping the future in ways both visible and unseen.</w:t>
      </w:r>
    </w:p>
    <w:p w14:paraId="5887F92C" w14:textId="41524BCB" w:rsidR="00B81F6A" w:rsidRPr="00B81F6A" w:rsidRDefault="00B81F6A" w:rsidP="0005607E">
      <w:pPr>
        <w:spacing w:after="0" w:line="240" w:lineRule="auto"/>
        <w:ind w:left="360" w:right="360"/>
        <w:jc w:val="both"/>
      </w:pPr>
      <w:r w:rsidRPr="00B81F6A">
        <w:t>When the world feels especially heavy, we hope you hold tightly to this truth: your existence is powerful, necessary, and worthy of protection. There is nothing wrong with who you are. Your identity, your voice, your joy, your culture, your gender, your love, and your dreams deserve to exist fully, openly, and safely.</w:t>
      </w:r>
    </w:p>
    <w:p w14:paraId="736EE10D" w14:textId="2C1DAD29" w:rsidR="00B81F6A" w:rsidRPr="00B81F6A" w:rsidRDefault="00B81F6A" w:rsidP="0005607E">
      <w:pPr>
        <w:spacing w:after="0" w:line="240" w:lineRule="auto"/>
        <w:ind w:left="360" w:right="360"/>
        <w:jc w:val="both"/>
      </w:pPr>
      <w:r w:rsidRPr="00B81F6A">
        <w:t>We know many of you are navigating systems, schools, communities, and conversations that ask you to shrink yourselves simply to survive. But survival alone has never been the goal. You deserve joy. You deserve belonging. You deserve freedom, safety, visibility, and the ability to exist without fear.</w:t>
      </w:r>
    </w:p>
    <w:p w14:paraId="0390B60A" w14:textId="67F132B8" w:rsidR="00B81F6A" w:rsidRDefault="00B81F6A" w:rsidP="0005607E">
      <w:pPr>
        <w:spacing w:before="240" w:after="0" w:line="240" w:lineRule="auto"/>
        <w:ind w:left="360" w:right="360"/>
        <w:jc w:val="both"/>
      </w:pPr>
      <w:r w:rsidRPr="00B81F6A">
        <w:t>The Commission remains committed to moving the Commonwealth toward true intersectional liberation, building a future where all young people are not only protected but able to thrive.</w:t>
      </w:r>
    </w:p>
    <w:p w14:paraId="023A0936" w14:textId="77777777" w:rsidR="007D658D" w:rsidRPr="00B81F6A" w:rsidRDefault="007D658D" w:rsidP="0005607E">
      <w:pPr>
        <w:spacing w:before="240" w:after="0" w:line="240" w:lineRule="auto"/>
        <w:ind w:left="360" w:right="360"/>
        <w:jc w:val="both"/>
      </w:pPr>
    </w:p>
    <w:p w14:paraId="54D8A680" w14:textId="33FA00AB" w:rsidR="00B81F6A" w:rsidRDefault="00B81F6A" w:rsidP="0005607E">
      <w:pPr>
        <w:spacing w:before="0" w:after="0" w:line="240" w:lineRule="auto"/>
        <w:ind w:left="360" w:right="360"/>
      </w:pPr>
      <w:r w:rsidRPr="00B81F6A">
        <w:t>In solidarity and service,</w:t>
      </w:r>
      <w:r w:rsidRPr="00B81F6A">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3426"/>
        <w:gridCol w:w="3351"/>
      </w:tblGrid>
      <w:tr w:rsidR="00B81F6A" w14:paraId="27E4CD92" w14:textId="77777777" w:rsidTr="00B81F6A">
        <w:tc>
          <w:tcPr>
            <w:tcW w:w="3116" w:type="dxa"/>
          </w:tcPr>
          <w:p w14:paraId="7B287C75" w14:textId="52779386" w:rsidR="00B81F6A" w:rsidRDefault="00B81F6A" w:rsidP="00562343">
            <w:pPr>
              <w:spacing w:before="0"/>
              <w:jc w:val="center"/>
            </w:pPr>
            <w:r>
              <w:br/>
            </w:r>
            <w:r>
              <w:rPr>
                <w:noProof/>
              </w:rPr>
              <w:drawing>
                <wp:inline distT="0" distB="0" distL="0" distR="0" wp14:anchorId="09D22AA5" wp14:editId="7EF1A1AB">
                  <wp:extent cx="1362075" cy="514350"/>
                  <wp:effectExtent l="0" t="0" r="9525" b="0"/>
                  <wp:docPr id="644616887" name="Picture 38" descr="Shaplaie'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616887" name="Picture 38" descr="Shaplaie's signa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2075" cy="514350"/>
                          </a:xfrm>
                          <a:prstGeom prst="rect">
                            <a:avLst/>
                          </a:prstGeom>
                          <a:noFill/>
                          <a:ln>
                            <a:noFill/>
                          </a:ln>
                        </pic:spPr>
                      </pic:pic>
                    </a:graphicData>
                  </a:graphic>
                </wp:inline>
              </w:drawing>
            </w:r>
            <w:r>
              <w:br/>
            </w:r>
            <w:r>
              <w:br/>
            </w:r>
            <w:r w:rsidRPr="00B81F6A">
              <w:t>Shaplaie Brooks, She/Her/Hers</w:t>
            </w:r>
            <w:r w:rsidRPr="00B81F6A">
              <w:br/>
            </w:r>
            <w:r w:rsidRPr="00B81F6A">
              <w:rPr>
                <w:b/>
                <w:bCs/>
              </w:rPr>
              <w:t>Executive Director</w:t>
            </w:r>
          </w:p>
        </w:tc>
        <w:tc>
          <w:tcPr>
            <w:tcW w:w="3117" w:type="dxa"/>
          </w:tcPr>
          <w:p w14:paraId="6F456AD4" w14:textId="0CF76E80" w:rsidR="00B81F6A" w:rsidRPr="00B81F6A" w:rsidRDefault="00B81F6A" w:rsidP="00562343">
            <w:pPr>
              <w:spacing w:before="0"/>
              <w:jc w:val="center"/>
            </w:pPr>
            <w:r w:rsidRPr="00B81F6A">
              <w:rPr>
                <w:noProof/>
              </w:rPr>
              <w:drawing>
                <wp:inline distT="0" distB="0" distL="0" distR="0" wp14:anchorId="4F7EE1F0" wp14:editId="1C77B134">
                  <wp:extent cx="2038350" cy="781050"/>
                  <wp:effectExtent l="0" t="0" r="0" b="0"/>
                  <wp:docPr id="1830307130" name="Picture 36" descr="Craig'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307130" name="Picture 36" descr="Craig's signatur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2701" b="28436"/>
                          <a:stretch>
                            <a:fillRect/>
                          </a:stretch>
                        </pic:blipFill>
                        <pic:spPr bwMode="auto">
                          <a:xfrm>
                            <a:off x="0" y="0"/>
                            <a:ext cx="2038350" cy="781050"/>
                          </a:xfrm>
                          <a:prstGeom prst="rect">
                            <a:avLst/>
                          </a:prstGeom>
                          <a:noFill/>
                          <a:ln>
                            <a:noFill/>
                          </a:ln>
                          <a:extLst>
                            <a:ext uri="{53640926-AAD7-44D8-BBD7-CCE9431645EC}">
                              <a14:shadowObscured xmlns:a14="http://schemas.microsoft.com/office/drawing/2010/main"/>
                            </a:ext>
                          </a:extLst>
                        </pic:spPr>
                      </pic:pic>
                    </a:graphicData>
                  </a:graphic>
                </wp:inline>
              </w:drawing>
            </w:r>
          </w:p>
          <w:p w14:paraId="5520342F" w14:textId="6B7F85D9" w:rsidR="00B81F6A" w:rsidRPr="00B81F6A" w:rsidRDefault="00B81F6A" w:rsidP="00562343">
            <w:pPr>
              <w:jc w:val="center"/>
            </w:pPr>
            <w:r w:rsidRPr="00B81F6A">
              <w:t>Craig Aarons-Martin, He/Him/His</w:t>
            </w:r>
            <w:r w:rsidRPr="00B81F6A">
              <w:br/>
            </w:r>
            <w:r w:rsidRPr="00B81F6A">
              <w:rPr>
                <w:b/>
                <w:bCs/>
              </w:rPr>
              <w:t>Co-Chair</w:t>
            </w:r>
          </w:p>
          <w:p w14:paraId="5B3B8891" w14:textId="77777777" w:rsidR="00B81F6A" w:rsidRDefault="00B81F6A" w:rsidP="00562343">
            <w:pPr>
              <w:spacing w:before="0"/>
              <w:jc w:val="center"/>
            </w:pPr>
          </w:p>
        </w:tc>
        <w:tc>
          <w:tcPr>
            <w:tcW w:w="3117" w:type="dxa"/>
          </w:tcPr>
          <w:p w14:paraId="057E800A" w14:textId="209FAC68" w:rsidR="00B81F6A" w:rsidRDefault="00B81F6A" w:rsidP="00562343">
            <w:pPr>
              <w:spacing w:before="0"/>
              <w:jc w:val="center"/>
            </w:pPr>
            <w:r>
              <w:rPr>
                <w:noProof/>
              </w:rPr>
              <w:drawing>
                <wp:inline distT="0" distB="0" distL="0" distR="0" wp14:anchorId="2D425B4C" wp14:editId="58A13555">
                  <wp:extent cx="1990725" cy="721050"/>
                  <wp:effectExtent l="0" t="0" r="0" b="3175"/>
                  <wp:docPr id="1216405037" name="Picture 37" descr="Braxton'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405037" name="Picture 37" descr="Braxton's signature"/>
                          <pic:cNvPicPr/>
                        </pic:nvPicPr>
                        <pic:blipFill rotWithShape="1">
                          <a:blip r:embed="rId13" cstate="print">
                            <a:extLst>
                              <a:ext uri="{28A0092B-C50C-407E-A947-70E740481C1C}">
                                <a14:useLocalDpi xmlns:a14="http://schemas.microsoft.com/office/drawing/2010/main" val="0"/>
                              </a:ext>
                            </a:extLst>
                          </a:blip>
                          <a:srcRect l="29648" t="36468" r="29647" b="37322"/>
                          <a:stretch>
                            <a:fillRect/>
                          </a:stretch>
                        </pic:blipFill>
                        <pic:spPr bwMode="auto">
                          <a:xfrm>
                            <a:off x="0" y="0"/>
                            <a:ext cx="2014012" cy="729485"/>
                          </a:xfrm>
                          <a:prstGeom prst="rect">
                            <a:avLst/>
                          </a:prstGeom>
                          <a:ln>
                            <a:noFill/>
                          </a:ln>
                          <a:extLst>
                            <a:ext uri="{53640926-AAD7-44D8-BBD7-CCE9431645EC}">
                              <a14:shadowObscured xmlns:a14="http://schemas.microsoft.com/office/drawing/2010/main"/>
                            </a:ext>
                          </a:extLst>
                        </pic:spPr>
                      </pic:pic>
                    </a:graphicData>
                  </a:graphic>
                </wp:inline>
              </w:drawing>
            </w:r>
          </w:p>
          <w:p w14:paraId="15F30A74" w14:textId="4AE34520" w:rsidR="00B81F6A" w:rsidRDefault="00B81F6A" w:rsidP="00562343">
            <w:pPr>
              <w:spacing w:before="0"/>
              <w:jc w:val="center"/>
            </w:pPr>
            <w:r>
              <w:br/>
            </w:r>
            <w:r w:rsidRPr="00B81F6A">
              <w:t>Lezlie Braxton Campbell, He/Him/His</w:t>
            </w:r>
            <w:r w:rsidRPr="00B81F6A">
              <w:br/>
            </w:r>
            <w:r w:rsidRPr="00B81F6A">
              <w:rPr>
                <w:b/>
                <w:bCs/>
              </w:rPr>
              <w:t>Co-Chair</w:t>
            </w:r>
          </w:p>
        </w:tc>
      </w:tr>
    </w:tbl>
    <w:p w14:paraId="39A842DC" w14:textId="67688A4F" w:rsidR="00B81F6A" w:rsidRDefault="00B81F6A" w:rsidP="0005607E">
      <w:pPr>
        <w:jc w:val="both"/>
        <w:rPr>
          <w:caps/>
          <w:color w:val="FFFFFF" w:themeColor="background1"/>
          <w:spacing w:val="15"/>
          <w:sz w:val="32"/>
          <w:szCs w:val="32"/>
        </w:rPr>
      </w:pPr>
    </w:p>
    <w:p w14:paraId="0A2EA9CF" w14:textId="4CF9CE15" w:rsidR="00B81F6A" w:rsidRDefault="00B81F6A" w:rsidP="0005607E">
      <w:pPr>
        <w:jc w:val="both"/>
        <w:rPr>
          <w:caps/>
          <w:color w:val="FFFFFF" w:themeColor="background1"/>
          <w:spacing w:val="15"/>
          <w:sz w:val="32"/>
          <w:szCs w:val="32"/>
        </w:rPr>
      </w:pPr>
      <w:r>
        <w:br w:type="page"/>
      </w:r>
    </w:p>
    <w:p w14:paraId="6C20FFF6" w14:textId="793D701C" w:rsidR="000329CD" w:rsidRPr="000329CD" w:rsidRDefault="009D70D2" w:rsidP="000329CD">
      <w:pPr>
        <w:pStyle w:val="Heading1"/>
        <w:rPr>
          <w:noProof/>
          <w:color w:val="593470" w:themeColor="accent1" w:themeShade="80"/>
        </w:rPr>
      </w:pPr>
      <w:r>
        <w:lastRenderedPageBreak/>
        <w:t>Table of contents</w:t>
      </w:r>
      <w:r w:rsidR="000329CD" w:rsidRPr="000329CD">
        <w:rPr>
          <w:color w:val="593470" w:themeColor="accent1" w:themeShade="80"/>
        </w:rPr>
        <w:fldChar w:fldCharType="begin"/>
      </w:r>
      <w:r w:rsidR="000329CD" w:rsidRPr="000329CD">
        <w:rPr>
          <w:color w:val="593470" w:themeColor="accent1" w:themeShade="80"/>
        </w:rPr>
        <w:instrText xml:space="preserve"> TOC \o "1-2" \h \z \u </w:instrText>
      </w:r>
      <w:r w:rsidR="000329CD" w:rsidRPr="000329CD">
        <w:rPr>
          <w:color w:val="593470" w:themeColor="accent1" w:themeShade="80"/>
        </w:rPr>
        <w:fldChar w:fldCharType="separate"/>
      </w:r>
    </w:p>
    <w:p w14:paraId="58DE6F30" w14:textId="7D0DB0DE" w:rsidR="000329CD" w:rsidRPr="000329CD" w:rsidRDefault="000329CD" w:rsidP="000329CD">
      <w:pPr>
        <w:pStyle w:val="TOC1"/>
        <w:rPr>
          <w:rFonts w:cstheme="minorBidi"/>
          <w:noProof/>
          <w:color w:val="593470" w:themeColor="accent1" w:themeShade="80"/>
          <w:kern w:val="2"/>
          <w:sz w:val="24"/>
          <w:szCs w:val="24"/>
          <w:u w:val="none"/>
          <w:lang w:eastAsia="en-US"/>
          <w14:ligatures w14:val="standardContextual"/>
        </w:rPr>
      </w:pPr>
      <w:hyperlink w:anchor="_Toc230355465" w:history="1">
        <w:r w:rsidRPr="000329CD">
          <w:rPr>
            <w:rStyle w:val="Hyperlink"/>
            <w:noProof/>
            <w:color w:val="593470" w:themeColor="accent1" w:themeShade="80"/>
          </w:rPr>
          <w:t>Grounding Principles</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_Toc230355465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9</w:t>
        </w:r>
        <w:r w:rsidRPr="000329CD">
          <w:rPr>
            <w:noProof/>
            <w:webHidden/>
            <w:color w:val="593470" w:themeColor="accent1" w:themeShade="80"/>
          </w:rPr>
          <w:fldChar w:fldCharType="end"/>
        </w:r>
      </w:hyperlink>
    </w:p>
    <w:p w14:paraId="685C7C65" w14:textId="72EBCA90" w:rsidR="000329CD" w:rsidRPr="000329CD" w:rsidRDefault="000329CD" w:rsidP="000329CD">
      <w:pPr>
        <w:pStyle w:val="TOC1"/>
        <w:rPr>
          <w:rFonts w:cstheme="minorBidi"/>
          <w:noProof/>
          <w:color w:val="593470" w:themeColor="accent1" w:themeShade="80"/>
          <w:kern w:val="2"/>
          <w:sz w:val="24"/>
          <w:szCs w:val="24"/>
          <w:u w:val="none"/>
          <w:lang w:eastAsia="en-US"/>
          <w14:ligatures w14:val="standardContextual"/>
        </w:rPr>
      </w:pPr>
      <w:hyperlink w:anchor="_Toc230355466" w:history="1">
        <w:r w:rsidRPr="000329CD">
          <w:rPr>
            <w:rStyle w:val="Hyperlink"/>
            <w:noProof/>
            <w:color w:val="593470" w:themeColor="accent1" w:themeShade="80"/>
          </w:rPr>
          <w:t>Listening Session Themes</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_Toc230355466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13</w:t>
        </w:r>
        <w:r w:rsidRPr="000329CD">
          <w:rPr>
            <w:noProof/>
            <w:webHidden/>
            <w:color w:val="593470" w:themeColor="accent1" w:themeShade="80"/>
          </w:rPr>
          <w:fldChar w:fldCharType="end"/>
        </w:r>
      </w:hyperlink>
    </w:p>
    <w:p w14:paraId="3F1D277A" w14:textId="1E2E14CD"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467" w:history="1">
        <w:r w:rsidRPr="000329CD">
          <w:rPr>
            <w:rStyle w:val="Hyperlink"/>
            <w:noProof/>
            <w:color w:val="593470" w:themeColor="accent1" w:themeShade="80"/>
          </w:rPr>
          <w:t>Overview</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_Toc230355467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13</w:t>
        </w:r>
        <w:r w:rsidRPr="000329CD">
          <w:rPr>
            <w:noProof/>
            <w:webHidden/>
            <w:color w:val="593470" w:themeColor="accent1" w:themeShade="80"/>
          </w:rPr>
          <w:fldChar w:fldCharType="end"/>
        </w:r>
      </w:hyperlink>
    </w:p>
    <w:p w14:paraId="5C8045AA" w14:textId="13DB34A0"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468" w:history="1">
        <w:r w:rsidRPr="000329CD">
          <w:rPr>
            <w:rStyle w:val="Hyperlink"/>
            <w:noProof/>
            <w:color w:val="593470" w:themeColor="accent1" w:themeShade="80"/>
          </w:rPr>
          <w:t>General Themes</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_Toc230355468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13</w:t>
        </w:r>
        <w:r w:rsidRPr="000329CD">
          <w:rPr>
            <w:noProof/>
            <w:webHidden/>
            <w:color w:val="593470" w:themeColor="accent1" w:themeShade="80"/>
          </w:rPr>
          <w:fldChar w:fldCharType="end"/>
        </w:r>
      </w:hyperlink>
    </w:p>
    <w:p w14:paraId="3FFD7C80" w14:textId="24C0CECC" w:rsidR="000329CD" w:rsidRPr="000329CD" w:rsidRDefault="000329CD" w:rsidP="000329CD">
      <w:pPr>
        <w:pStyle w:val="TOC1"/>
        <w:rPr>
          <w:rFonts w:cstheme="minorBidi"/>
          <w:noProof/>
          <w:color w:val="593470" w:themeColor="accent1" w:themeShade="80"/>
          <w:kern w:val="2"/>
          <w:sz w:val="24"/>
          <w:szCs w:val="24"/>
          <w:u w:val="none"/>
          <w:lang w:eastAsia="en-US"/>
          <w14:ligatures w14:val="standardContextual"/>
        </w:rPr>
      </w:pPr>
      <w:hyperlink w:anchor="_Toc230355469" w:history="1">
        <w:r w:rsidRPr="000329CD">
          <w:rPr>
            <w:rStyle w:val="Hyperlink"/>
            <w:noProof/>
            <w:color w:val="593470" w:themeColor="accent1" w:themeShade="80"/>
          </w:rPr>
          <w:t>2023 MYRBS Analysis</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_Toc230355469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19</w:t>
        </w:r>
        <w:r w:rsidRPr="000329CD">
          <w:rPr>
            <w:noProof/>
            <w:webHidden/>
            <w:color w:val="593470" w:themeColor="accent1" w:themeShade="80"/>
          </w:rPr>
          <w:fldChar w:fldCharType="end"/>
        </w:r>
      </w:hyperlink>
    </w:p>
    <w:p w14:paraId="7A9E09FF" w14:textId="4CE72BC6"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470" w:history="1">
        <w:r w:rsidRPr="000329CD">
          <w:rPr>
            <w:rStyle w:val="Hyperlink"/>
            <w:noProof/>
            <w:color w:val="593470" w:themeColor="accent1" w:themeShade="80"/>
          </w:rPr>
          <w:t>Longitudinal Trends, 2015-2023</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_Toc230355470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20</w:t>
        </w:r>
        <w:r w:rsidRPr="000329CD">
          <w:rPr>
            <w:noProof/>
            <w:webHidden/>
            <w:color w:val="593470" w:themeColor="accent1" w:themeShade="80"/>
          </w:rPr>
          <w:fldChar w:fldCharType="end"/>
        </w:r>
      </w:hyperlink>
    </w:p>
    <w:p w14:paraId="1BF27120" w14:textId="6BC83DA8"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471" w:history="1">
        <w:r w:rsidRPr="000329CD">
          <w:rPr>
            <w:rStyle w:val="Hyperlink"/>
            <w:noProof/>
            <w:color w:val="593470" w:themeColor="accent1" w:themeShade="80"/>
          </w:rPr>
          <w:t>Bullying and Self-Harm</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_Toc230355471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23</w:t>
        </w:r>
        <w:r w:rsidRPr="000329CD">
          <w:rPr>
            <w:noProof/>
            <w:webHidden/>
            <w:color w:val="593470" w:themeColor="accent1" w:themeShade="80"/>
          </w:rPr>
          <w:fldChar w:fldCharType="end"/>
        </w:r>
      </w:hyperlink>
    </w:p>
    <w:p w14:paraId="3EEAAB45" w14:textId="1936C0E4"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472" w:history="1">
        <w:r w:rsidRPr="000329CD">
          <w:rPr>
            <w:rStyle w:val="Hyperlink"/>
            <w:noProof/>
            <w:color w:val="593470" w:themeColor="accent1" w:themeShade="80"/>
          </w:rPr>
          <w:t>Adverse Household and Mental Health Experiences</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_Toc230355472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24</w:t>
        </w:r>
        <w:r w:rsidRPr="000329CD">
          <w:rPr>
            <w:noProof/>
            <w:webHidden/>
            <w:color w:val="593470" w:themeColor="accent1" w:themeShade="80"/>
          </w:rPr>
          <w:fldChar w:fldCharType="end"/>
        </w:r>
      </w:hyperlink>
    </w:p>
    <w:p w14:paraId="4BB95D51" w14:textId="69E0D036"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473" w:history="1">
        <w:r w:rsidRPr="000329CD">
          <w:rPr>
            <w:rStyle w:val="Hyperlink"/>
            <w:noProof/>
            <w:color w:val="593470" w:themeColor="accent1" w:themeShade="80"/>
          </w:rPr>
          <w:t>Physical Health</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_Toc230355473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28</w:t>
        </w:r>
        <w:r w:rsidRPr="000329CD">
          <w:rPr>
            <w:noProof/>
            <w:webHidden/>
            <w:color w:val="593470" w:themeColor="accent1" w:themeShade="80"/>
          </w:rPr>
          <w:fldChar w:fldCharType="end"/>
        </w:r>
      </w:hyperlink>
    </w:p>
    <w:p w14:paraId="213DD1CE" w14:textId="59DAE86E" w:rsidR="000329CD" w:rsidRPr="000329CD" w:rsidRDefault="000329CD" w:rsidP="000329CD">
      <w:pPr>
        <w:pStyle w:val="TOC1"/>
        <w:rPr>
          <w:rFonts w:cstheme="minorBidi"/>
          <w:noProof/>
          <w:color w:val="593470" w:themeColor="accent1" w:themeShade="80"/>
          <w:kern w:val="2"/>
          <w:sz w:val="24"/>
          <w:szCs w:val="24"/>
          <w:u w:val="none"/>
          <w:lang w:eastAsia="en-US"/>
          <w14:ligatures w14:val="standardContextual"/>
        </w:rPr>
      </w:pPr>
      <w:hyperlink w:anchor="_Toc230355474" w:history="1">
        <w:r w:rsidRPr="000329CD">
          <w:rPr>
            <w:rStyle w:val="Hyperlink"/>
            <w:noProof/>
            <w:color w:val="593470" w:themeColor="accent1" w:themeShade="80"/>
          </w:rPr>
          <w:t>Executive Summary of FY 2027 Report</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_Toc230355474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31</w:t>
        </w:r>
        <w:r w:rsidRPr="000329CD">
          <w:rPr>
            <w:noProof/>
            <w:webHidden/>
            <w:color w:val="593470" w:themeColor="accent1" w:themeShade="80"/>
          </w:rPr>
          <w:fldChar w:fldCharType="end"/>
        </w:r>
      </w:hyperlink>
    </w:p>
    <w:p w14:paraId="5BA69C75" w14:textId="15DDE201"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475" w:history="1">
        <w:r w:rsidRPr="000329CD">
          <w:rPr>
            <w:rStyle w:val="Hyperlink"/>
            <w:noProof/>
            <w:color w:val="593470" w:themeColor="accent1" w:themeShade="80"/>
          </w:rPr>
          <w:t>Overview</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_Toc230355475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31</w:t>
        </w:r>
        <w:r w:rsidRPr="000329CD">
          <w:rPr>
            <w:noProof/>
            <w:webHidden/>
            <w:color w:val="593470" w:themeColor="accent1" w:themeShade="80"/>
          </w:rPr>
          <w:fldChar w:fldCharType="end"/>
        </w:r>
      </w:hyperlink>
    </w:p>
    <w:p w14:paraId="21CD1F6E" w14:textId="711585A7"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476" w:history="1">
        <w:r w:rsidRPr="000329CD">
          <w:rPr>
            <w:rStyle w:val="Hyperlink"/>
            <w:noProof/>
            <w:color w:val="593470" w:themeColor="accent1" w:themeShade="80"/>
          </w:rPr>
          <w:t>Summarized Recommendations to the Commonwealth of Massachusetts</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_Toc230355476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32</w:t>
        </w:r>
        <w:r w:rsidRPr="000329CD">
          <w:rPr>
            <w:noProof/>
            <w:webHidden/>
            <w:color w:val="593470" w:themeColor="accent1" w:themeShade="80"/>
          </w:rPr>
          <w:fldChar w:fldCharType="end"/>
        </w:r>
      </w:hyperlink>
    </w:p>
    <w:p w14:paraId="553B7A27" w14:textId="0388E851"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477" w:history="1">
        <w:r w:rsidRPr="000329CD">
          <w:rPr>
            <w:rStyle w:val="Hyperlink"/>
            <w:noProof/>
            <w:color w:val="593470" w:themeColor="accent1" w:themeShade="80"/>
          </w:rPr>
          <w:t>Child Welfare and Youth Development</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_Toc230355477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38</w:t>
        </w:r>
        <w:r w:rsidRPr="000329CD">
          <w:rPr>
            <w:noProof/>
            <w:webHidden/>
            <w:color w:val="593470" w:themeColor="accent1" w:themeShade="80"/>
          </w:rPr>
          <w:fldChar w:fldCharType="end"/>
        </w:r>
      </w:hyperlink>
    </w:p>
    <w:p w14:paraId="65CA1709" w14:textId="14497AE5"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478" w:history="1">
        <w:r w:rsidRPr="000329CD">
          <w:rPr>
            <w:rStyle w:val="Hyperlink"/>
            <w:noProof/>
            <w:color w:val="593470" w:themeColor="accent1" w:themeShade="80"/>
          </w:rPr>
          <w:t>Education Systems &amp; School Climate</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_Toc230355478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55</w:t>
        </w:r>
        <w:r w:rsidRPr="000329CD">
          <w:rPr>
            <w:noProof/>
            <w:webHidden/>
            <w:color w:val="593470" w:themeColor="accent1" w:themeShade="80"/>
          </w:rPr>
          <w:fldChar w:fldCharType="end"/>
        </w:r>
      </w:hyperlink>
    </w:p>
    <w:p w14:paraId="14E2B18D" w14:textId="2AD775CD"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479" w:history="1">
        <w:r w:rsidRPr="000329CD">
          <w:rPr>
            <w:rStyle w:val="Hyperlink"/>
            <w:noProof/>
            <w:color w:val="593470" w:themeColor="accent1" w:themeShade="80"/>
          </w:rPr>
          <w:t>Justice &amp; Legal Systems</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_Toc230355479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80</w:t>
        </w:r>
        <w:r w:rsidRPr="000329CD">
          <w:rPr>
            <w:noProof/>
            <w:webHidden/>
            <w:color w:val="593470" w:themeColor="accent1" w:themeShade="80"/>
          </w:rPr>
          <w:fldChar w:fldCharType="end"/>
        </w:r>
      </w:hyperlink>
    </w:p>
    <w:p w14:paraId="57C23CAC" w14:textId="6DAC7DB2"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480" w:history="1">
        <w:r w:rsidRPr="000329CD">
          <w:rPr>
            <w:rStyle w:val="Hyperlink"/>
            <w:noProof/>
            <w:color w:val="593470" w:themeColor="accent1" w:themeShade="80"/>
          </w:rPr>
          <w:t>Housing Stability and Economic Opportunity</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_Toc230355480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91</w:t>
        </w:r>
        <w:r w:rsidRPr="000329CD">
          <w:rPr>
            <w:noProof/>
            <w:webHidden/>
            <w:color w:val="593470" w:themeColor="accent1" w:themeShade="80"/>
          </w:rPr>
          <w:fldChar w:fldCharType="end"/>
        </w:r>
      </w:hyperlink>
    </w:p>
    <w:p w14:paraId="519E7324" w14:textId="0F224D83"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481" w:history="1">
        <w:r w:rsidRPr="000329CD">
          <w:rPr>
            <w:rStyle w:val="Hyperlink"/>
            <w:noProof/>
            <w:color w:val="593470" w:themeColor="accent1" w:themeShade="80"/>
          </w:rPr>
          <w:t>Access to State Services and Inclusive Governance</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_Toc230355481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109</w:t>
        </w:r>
        <w:r w:rsidRPr="000329CD">
          <w:rPr>
            <w:noProof/>
            <w:webHidden/>
            <w:color w:val="593470" w:themeColor="accent1" w:themeShade="80"/>
          </w:rPr>
          <w:fldChar w:fldCharType="end"/>
        </w:r>
      </w:hyperlink>
    </w:p>
    <w:p w14:paraId="46B4120E" w14:textId="6A30D3FA"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482" w:history="1">
        <w:r w:rsidRPr="000329CD">
          <w:rPr>
            <w:rStyle w:val="Hyperlink"/>
            <w:noProof/>
            <w:color w:val="593470" w:themeColor="accent1" w:themeShade="80"/>
          </w:rPr>
          <w:t>Access to LGBTQ-Affirming Healthcare: Recommendations</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_Toc230355482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117</w:t>
        </w:r>
        <w:r w:rsidRPr="000329CD">
          <w:rPr>
            <w:noProof/>
            <w:webHidden/>
            <w:color w:val="593470" w:themeColor="accent1" w:themeShade="80"/>
          </w:rPr>
          <w:fldChar w:fldCharType="end"/>
        </w:r>
      </w:hyperlink>
    </w:p>
    <w:p w14:paraId="05258519" w14:textId="4DF6B9BB"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483" w:history="1">
        <w:r w:rsidRPr="000329CD">
          <w:rPr>
            <w:rStyle w:val="Hyperlink"/>
            <w:noProof/>
            <w:color w:val="593470" w:themeColor="accent1" w:themeShade="80"/>
          </w:rPr>
          <w:t>Community Public Health &amp; Violence Prevention: Recommendations</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_Toc230355483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129</w:t>
        </w:r>
        <w:r w:rsidRPr="000329CD">
          <w:rPr>
            <w:noProof/>
            <w:webHidden/>
            <w:color w:val="593470" w:themeColor="accent1" w:themeShade="80"/>
          </w:rPr>
          <w:fldChar w:fldCharType="end"/>
        </w:r>
      </w:hyperlink>
    </w:p>
    <w:p w14:paraId="0B6FB3AD" w14:textId="6CD753B4"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484" w:history="1">
        <w:r w:rsidRPr="000329CD">
          <w:rPr>
            <w:rStyle w:val="Hyperlink"/>
            <w:noProof/>
            <w:color w:val="593470" w:themeColor="accent1" w:themeShade="80"/>
          </w:rPr>
          <w:t>Mental Health: Recommendations</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_Toc230355484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144</w:t>
        </w:r>
        <w:r w:rsidRPr="000329CD">
          <w:rPr>
            <w:noProof/>
            <w:webHidden/>
            <w:color w:val="593470" w:themeColor="accent1" w:themeShade="80"/>
          </w:rPr>
          <w:fldChar w:fldCharType="end"/>
        </w:r>
      </w:hyperlink>
    </w:p>
    <w:p w14:paraId="574CB209" w14:textId="421E7728"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485" w:history="1">
        <w:r w:rsidRPr="000329CD">
          <w:rPr>
            <w:rStyle w:val="Hyperlink"/>
            <w:noProof/>
            <w:color w:val="593470" w:themeColor="accent1" w:themeShade="80"/>
          </w:rPr>
          <w:t>Sexual and Reproductive Health: Recommendations</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_Toc230355485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155</w:t>
        </w:r>
        <w:r w:rsidRPr="000329CD">
          <w:rPr>
            <w:noProof/>
            <w:webHidden/>
            <w:color w:val="593470" w:themeColor="accent1" w:themeShade="80"/>
          </w:rPr>
          <w:fldChar w:fldCharType="end"/>
        </w:r>
      </w:hyperlink>
    </w:p>
    <w:p w14:paraId="3456FA55" w14:textId="6BDE6B4C"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486" w:history="1">
        <w:r w:rsidRPr="000329CD">
          <w:rPr>
            <w:rStyle w:val="Hyperlink"/>
            <w:noProof/>
            <w:color w:val="593470" w:themeColor="accent1" w:themeShade="80"/>
          </w:rPr>
          <w:t>Environmental Health: Recommendations</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_Toc230355486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164</w:t>
        </w:r>
        <w:r w:rsidRPr="000329CD">
          <w:rPr>
            <w:noProof/>
            <w:webHidden/>
            <w:color w:val="593470" w:themeColor="accent1" w:themeShade="80"/>
          </w:rPr>
          <w:fldChar w:fldCharType="end"/>
        </w:r>
      </w:hyperlink>
    </w:p>
    <w:p w14:paraId="07CE5A69" w14:textId="49A941EF" w:rsidR="000329CD" w:rsidRPr="000329CD" w:rsidRDefault="000329CD" w:rsidP="000329CD">
      <w:pPr>
        <w:pStyle w:val="TOC1"/>
        <w:rPr>
          <w:rFonts w:cstheme="minorBidi"/>
          <w:noProof/>
          <w:color w:val="593470" w:themeColor="accent1" w:themeShade="80"/>
          <w:kern w:val="2"/>
          <w:sz w:val="24"/>
          <w:szCs w:val="24"/>
          <w:u w:val="none"/>
          <w:lang w:eastAsia="en-US"/>
          <w14:ligatures w14:val="standardContextual"/>
        </w:rPr>
      </w:pPr>
      <w:hyperlink w:anchor="_Toc230355487" w:history="1">
        <w:r w:rsidRPr="000329CD">
          <w:rPr>
            <w:rStyle w:val="Hyperlink"/>
            <w:noProof/>
            <w:color w:val="593470" w:themeColor="accent1" w:themeShade="80"/>
          </w:rPr>
          <w:t>STATE AGENCY RECOMMENDATIONS – Table of contents</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_Toc230355487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171</w:t>
        </w:r>
        <w:r w:rsidRPr="000329CD">
          <w:rPr>
            <w:noProof/>
            <w:webHidden/>
            <w:color w:val="593470" w:themeColor="accent1" w:themeShade="80"/>
          </w:rPr>
          <w:fldChar w:fldCharType="end"/>
        </w:r>
      </w:hyperlink>
    </w:p>
    <w:p w14:paraId="126F2538" w14:textId="7D2DCABB" w:rsidR="000329CD" w:rsidRPr="000329CD" w:rsidRDefault="000329CD" w:rsidP="000329CD">
      <w:pPr>
        <w:pStyle w:val="TOC1"/>
        <w:rPr>
          <w:rFonts w:cstheme="minorBidi"/>
          <w:noProof/>
          <w:color w:val="593470" w:themeColor="accent1" w:themeShade="80"/>
          <w:kern w:val="2"/>
          <w:sz w:val="24"/>
          <w:szCs w:val="24"/>
          <w:u w:val="none"/>
          <w:lang w:eastAsia="en-US"/>
          <w14:ligatures w14:val="standardContextual"/>
        </w:rPr>
      </w:pPr>
      <w:hyperlink w:anchor="_Toc230355488" w:history="1">
        <w:r w:rsidRPr="000329CD">
          <w:rPr>
            <w:rStyle w:val="Hyperlink"/>
            <w:noProof/>
            <w:color w:val="593470" w:themeColor="accent1" w:themeShade="80"/>
          </w:rPr>
          <w:t>Executive Office of Health and Human Services</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_Toc230355488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172</w:t>
        </w:r>
        <w:r w:rsidRPr="000329CD">
          <w:rPr>
            <w:noProof/>
            <w:webHidden/>
            <w:color w:val="593470" w:themeColor="accent1" w:themeShade="80"/>
          </w:rPr>
          <w:fldChar w:fldCharType="end"/>
        </w:r>
      </w:hyperlink>
    </w:p>
    <w:p w14:paraId="4CF39C3A" w14:textId="5C1E2208"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489" w:history="1">
        <w:r w:rsidRPr="000329CD">
          <w:rPr>
            <w:rStyle w:val="Hyperlink"/>
            <w:noProof/>
            <w:color w:val="593470" w:themeColor="accent1" w:themeShade="80"/>
          </w:rPr>
          <w:t>Commission for the Blind</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_Toc230355489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172</w:t>
        </w:r>
        <w:r w:rsidRPr="000329CD">
          <w:rPr>
            <w:noProof/>
            <w:webHidden/>
            <w:color w:val="593470" w:themeColor="accent1" w:themeShade="80"/>
          </w:rPr>
          <w:fldChar w:fldCharType="end"/>
        </w:r>
      </w:hyperlink>
    </w:p>
    <w:p w14:paraId="38BD3077" w14:textId="767DD72B"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490" w:history="1">
        <w:r w:rsidRPr="000329CD">
          <w:rPr>
            <w:rStyle w:val="Hyperlink"/>
            <w:noProof/>
            <w:color w:val="593470" w:themeColor="accent1" w:themeShade="80"/>
          </w:rPr>
          <w:t>Commission for the Deaf and Hard of Hearing</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_Toc230355490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174</w:t>
        </w:r>
        <w:r w:rsidRPr="000329CD">
          <w:rPr>
            <w:noProof/>
            <w:webHidden/>
            <w:color w:val="593470" w:themeColor="accent1" w:themeShade="80"/>
          </w:rPr>
          <w:fldChar w:fldCharType="end"/>
        </w:r>
      </w:hyperlink>
    </w:p>
    <w:p w14:paraId="4CF92570" w14:textId="2A4C91DA"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491" w:history="1">
        <w:r w:rsidRPr="000329CD">
          <w:rPr>
            <w:rStyle w:val="Hyperlink"/>
            <w:noProof/>
            <w:color w:val="593470" w:themeColor="accent1" w:themeShade="80"/>
          </w:rPr>
          <w:t>Department of Children and Families</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_Toc230355491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177</w:t>
        </w:r>
        <w:r w:rsidRPr="000329CD">
          <w:rPr>
            <w:noProof/>
            <w:webHidden/>
            <w:color w:val="593470" w:themeColor="accent1" w:themeShade="80"/>
          </w:rPr>
          <w:fldChar w:fldCharType="end"/>
        </w:r>
      </w:hyperlink>
    </w:p>
    <w:p w14:paraId="0D1E1C39" w14:textId="25081CE8"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492" w:history="1">
        <w:r w:rsidRPr="000329CD">
          <w:rPr>
            <w:rStyle w:val="Hyperlink"/>
            <w:noProof/>
            <w:color w:val="593470" w:themeColor="accent1" w:themeShade="80"/>
          </w:rPr>
          <w:t>Department of Developmental Services</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_Toc230355492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189</w:t>
        </w:r>
        <w:r w:rsidRPr="000329CD">
          <w:rPr>
            <w:noProof/>
            <w:webHidden/>
            <w:color w:val="593470" w:themeColor="accent1" w:themeShade="80"/>
          </w:rPr>
          <w:fldChar w:fldCharType="end"/>
        </w:r>
      </w:hyperlink>
    </w:p>
    <w:p w14:paraId="572D64B6" w14:textId="7C276F1E"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493" w:history="1">
        <w:r w:rsidRPr="000329CD">
          <w:rPr>
            <w:rStyle w:val="Hyperlink"/>
            <w:noProof/>
            <w:color w:val="593470" w:themeColor="accent1" w:themeShade="80"/>
          </w:rPr>
          <w:t>MassAbility</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_Toc230355493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191</w:t>
        </w:r>
        <w:r w:rsidRPr="000329CD">
          <w:rPr>
            <w:noProof/>
            <w:webHidden/>
            <w:color w:val="593470" w:themeColor="accent1" w:themeShade="80"/>
          </w:rPr>
          <w:fldChar w:fldCharType="end"/>
        </w:r>
      </w:hyperlink>
    </w:p>
    <w:p w14:paraId="037D8831" w14:textId="722C2165"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494" w:history="1">
        <w:r w:rsidRPr="000329CD">
          <w:rPr>
            <w:rStyle w:val="Hyperlink"/>
            <w:noProof/>
            <w:color w:val="593470" w:themeColor="accent1" w:themeShade="80"/>
          </w:rPr>
          <w:t>MassHealth</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_Toc230355494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193</w:t>
        </w:r>
        <w:r w:rsidRPr="000329CD">
          <w:rPr>
            <w:noProof/>
            <w:webHidden/>
            <w:color w:val="593470" w:themeColor="accent1" w:themeShade="80"/>
          </w:rPr>
          <w:fldChar w:fldCharType="end"/>
        </w:r>
      </w:hyperlink>
    </w:p>
    <w:p w14:paraId="01DE6CC3" w14:textId="765A29D5"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495" w:history="1">
        <w:r w:rsidRPr="000329CD">
          <w:rPr>
            <w:rStyle w:val="Hyperlink"/>
            <w:noProof/>
            <w:color w:val="593470" w:themeColor="accent1" w:themeShade="80"/>
          </w:rPr>
          <w:t>Department of Mental Health</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_Toc230355495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196</w:t>
        </w:r>
        <w:r w:rsidRPr="000329CD">
          <w:rPr>
            <w:noProof/>
            <w:webHidden/>
            <w:color w:val="593470" w:themeColor="accent1" w:themeShade="80"/>
          </w:rPr>
          <w:fldChar w:fldCharType="end"/>
        </w:r>
      </w:hyperlink>
    </w:p>
    <w:p w14:paraId="4CFF27B7" w14:textId="3A03CED7"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496" w:history="1">
        <w:r w:rsidRPr="000329CD">
          <w:rPr>
            <w:rStyle w:val="Hyperlink"/>
            <w:noProof/>
            <w:color w:val="593470" w:themeColor="accent1" w:themeShade="80"/>
          </w:rPr>
          <w:t>Department of Public Health</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_Toc230355496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202</w:t>
        </w:r>
        <w:r w:rsidRPr="000329CD">
          <w:rPr>
            <w:noProof/>
            <w:webHidden/>
            <w:color w:val="593470" w:themeColor="accent1" w:themeShade="80"/>
          </w:rPr>
          <w:fldChar w:fldCharType="end"/>
        </w:r>
      </w:hyperlink>
    </w:p>
    <w:p w14:paraId="73A37E22" w14:textId="35F8A551"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497" w:history="1">
        <w:r w:rsidRPr="000329CD">
          <w:rPr>
            <w:rStyle w:val="Hyperlink"/>
            <w:noProof/>
            <w:color w:val="593470" w:themeColor="accent1" w:themeShade="80"/>
          </w:rPr>
          <w:t>Department of Transitional Assistance</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_Toc230355497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207</w:t>
        </w:r>
        <w:r w:rsidRPr="000329CD">
          <w:rPr>
            <w:noProof/>
            <w:webHidden/>
            <w:color w:val="593470" w:themeColor="accent1" w:themeShade="80"/>
          </w:rPr>
          <w:fldChar w:fldCharType="end"/>
        </w:r>
      </w:hyperlink>
    </w:p>
    <w:p w14:paraId="622AC959" w14:textId="32DDD9BE"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498" w:history="1">
        <w:r w:rsidRPr="000329CD">
          <w:rPr>
            <w:rStyle w:val="Hyperlink"/>
            <w:noProof/>
            <w:color w:val="593470" w:themeColor="accent1" w:themeShade="80"/>
          </w:rPr>
          <w:t>Department of Youth Services</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_Toc230355498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210</w:t>
        </w:r>
        <w:r w:rsidRPr="000329CD">
          <w:rPr>
            <w:noProof/>
            <w:webHidden/>
            <w:color w:val="593470" w:themeColor="accent1" w:themeShade="80"/>
          </w:rPr>
          <w:fldChar w:fldCharType="end"/>
        </w:r>
      </w:hyperlink>
    </w:p>
    <w:p w14:paraId="1E7B43DC" w14:textId="3A0C2E9D"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499" w:history="1">
        <w:r w:rsidRPr="000329CD">
          <w:rPr>
            <w:rStyle w:val="Hyperlink"/>
            <w:noProof/>
            <w:color w:val="593470" w:themeColor="accent1" w:themeShade="80"/>
          </w:rPr>
          <w:t>O</w:t>
        </w:r>
        <w:r w:rsidRPr="000329CD">
          <w:rPr>
            <w:rStyle w:val="Hyperlink"/>
            <w:rFonts w:ascii="Arial" w:hAnsi="Arial" w:cs="Arial"/>
            <w:noProof/>
            <w:color w:val="593470" w:themeColor="accent1" w:themeShade="80"/>
          </w:rPr>
          <w:t>ﬃ</w:t>
        </w:r>
        <w:r w:rsidRPr="000329CD">
          <w:rPr>
            <w:rStyle w:val="Hyperlink"/>
            <w:noProof/>
            <w:color w:val="593470" w:themeColor="accent1" w:themeShade="80"/>
          </w:rPr>
          <w:t xml:space="preserve">ce for Refugees and </w:t>
        </w:r>
        <w:r w:rsidRPr="000329CD">
          <w:rPr>
            <w:rStyle w:val="Hyperlink"/>
            <w:rFonts w:ascii="Arial" w:hAnsi="Arial" w:cs="Arial"/>
            <w:noProof/>
            <w:color w:val="593470" w:themeColor="accent1" w:themeShade="80"/>
          </w:rPr>
          <w:t>​</w:t>
        </w:r>
        <w:r w:rsidRPr="000329CD">
          <w:rPr>
            <w:rStyle w:val="Hyperlink"/>
            <w:noProof/>
            <w:color w:val="593470" w:themeColor="accent1" w:themeShade="80"/>
          </w:rPr>
          <w:t>Immigrants</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_Toc230355499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215</w:t>
        </w:r>
        <w:r w:rsidRPr="000329CD">
          <w:rPr>
            <w:noProof/>
            <w:webHidden/>
            <w:color w:val="593470" w:themeColor="accent1" w:themeShade="80"/>
          </w:rPr>
          <w:fldChar w:fldCharType="end"/>
        </w:r>
      </w:hyperlink>
    </w:p>
    <w:p w14:paraId="79E7114E" w14:textId="42FD0C19" w:rsidR="000329CD" w:rsidRPr="000329CD" w:rsidRDefault="000329CD" w:rsidP="000329CD">
      <w:pPr>
        <w:pStyle w:val="TOC1"/>
        <w:rPr>
          <w:rFonts w:cstheme="minorBidi"/>
          <w:noProof/>
          <w:color w:val="593470" w:themeColor="accent1" w:themeShade="80"/>
          <w:kern w:val="2"/>
          <w:sz w:val="24"/>
          <w:szCs w:val="24"/>
          <w:u w:val="none"/>
          <w:lang w:eastAsia="en-US"/>
          <w14:ligatures w14:val="standardContextual"/>
        </w:rPr>
      </w:pPr>
      <w:hyperlink w:anchor="_Toc230355500" w:history="1">
        <w:r w:rsidRPr="000329CD">
          <w:rPr>
            <w:rStyle w:val="Hyperlink"/>
            <w:noProof/>
            <w:color w:val="593470" w:themeColor="accent1" w:themeShade="80"/>
          </w:rPr>
          <w:t>Executive Office of Education</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_Toc230355500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220</w:t>
        </w:r>
        <w:r w:rsidRPr="000329CD">
          <w:rPr>
            <w:noProof/>
            <w:webHidden/>
            <w:color w:val="593470" w:themeColor="accent1" w:themeShade="80"/>
          </w:rPr>
          <w:fldChar w:fldCharType="end"/>
        </w:r>
      </w:hyperlink>
    </w:p>
    <w:p w14:paraId="308FDAFE" w14:textId="42F07D36"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501" w:history="1">
        <w:r w:rsidRPr="000329CD">
          <w:rPr>
            <w:rStyle w:val="Hyperlink"/>
            <w:noProof/>
            <w:color w:val="593470" w:themeColor="accent1" w:themeShade="80"/>
          </w:rPr>
          <w:t>Department of Early Education and Care</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_Toc230355501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220</w:t>
        </w:r>
        <w:r w:rsidRPr="000329CD">
          <w:rPr>
            <w:noProof/>
            <w:webHidden/>
            <w:color w:val="593470" w:themeColor="accent1" w:themeShade="80"/>
          </w:rPr>
          <w:fldChar w:fldCharType="end"/>
        </w:r>
      </w:hyperlink>
    </w:p>
    <w:p w14:paraId="19D10D48" w14:textId="69846FB1"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502" w:history="1">
        <w:r w:rsidRPr="000329CD">
          <w:rPr>
            <w:rStyle w:val="Hyperlink"/>
            <w:noProof/>
            <w:color w:val="593470" w:themeColor="accent1" w:themeShade="80"/>
          </w:rPr>
          <w:t>Department of Elementary and Secondary Education</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_Toc230355502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224</w:t>
        </w:r>
        <w:r w:rsidRPr="000329CD">
          <w:rPr>
            <w:noProof/>
            <w:webHidden/>
            <w:color w:val="593470" w:themeColor="accent1" w:themeShade="80"/>
          </w:rPr>
          <w:fldChar w:fldCharType="end"/>
        </w:r>
      </w:hyperlink>
    </w:p>
    <w:p w14:paraId="03F72FD1" w14:textId="44EC6B71"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503" w:history="1">
        <w:r w:rsidRPr="000329CD">
          <w:rPr>
            <w:rStyle w:val="Hyperlink"/>
            <w:noProof/>
            <w:color w:val="593470" w:themeColor="accent1" w:themeShade="80"/>
          </w:rPr>
          <w:t>Department of Higher Education</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_Toc230355503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233</w:t>
        </w:r>
        <w:r w:rsidRPr="000329CD">
          <w:rPr>
            <w:noProof/>
            <w:webHidden/>
            <w:color w:val="593470" w:themeColor="accent1" w:themeShade="80"/>
          </w:rPr>
          <w:fldChar w:fldCharType="end"/>
        </w:r>
      </w:hyperlink>
    </w:p>
    <w:p w14:paraId="3CF2224B" w14:textId="5F77BA2E" w:rsidR="000329CD" w:rsidRPr="000329CD" w:rsidRDefault="000329CD" w:rsidP="000329CD">
      <w:pPr>
        <w:pStyle w:val="TOC1"/>
        <w:rPr>
          <w:rFonts w:cstheme="minorBidi"/>
          <w:noProof/>
          <w:color w:val="593470" w:themeColor="accent1" w:themeShade="80"/>
          <w:kern w:val="2"/>
          <w:sz w:val="24"/>
          <w:szCs w:val="24"/>
          <w:u w:val="none"/>
          <w:lang w:eastAsia="en-US"/>
          <w14:ligatures w14:val="standardContextual"/>
        </w:rPr>
      </w:pPr>
      <w:hyperlink w:anchor="_Toc230355504" w:history="1">
        <w:r w:rsidRPr="000329CD">
          <w:rPr>
            <w:rStyle w:val="Hyperlink"/>
            <w:noProof/>
            <w:color w:val="593470" w:themeColor="accent1" w:themeShade="80"/>
          </w:rPr>
          <w:t>Executive Office of Public Safety and Security</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_Toc230355504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236</w:t>
        </w:r>
        <w:r w:rsidRPr="000329CD">
          <w:rPr>
            <w:noProof/>
            <w:webHidden/>
            <w:color w:val="593470" w:themeColor="accent1" w:themeShade="80"/>
          </w:rPr>
          <w:fldChar w:fldCharType="end"/>
        </w:r>
      </w:hyperlink>
    </w:p>
    <w:p w14:paraId="301A6805" w14:textId="7E64E7EF"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505" w:history="1">
        <w:r w:rsidRPr="000329CD">
          <w:rPr>
            <w:rStyle w:val="Hyperlink"/>
            <w:noProof/>
            <w:color w:val="593470" w:themeColor="accent1" w:themeShade="80"/>
          </w:rPr>
          <w:t>Department of Correction</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_Toc230355505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238</w:t>
        </w:r>
        <w:r w:rsidRPr="000329CD">
          <w:rPr>
            <w:noProof/>
            <w:webHidden/>
            <w:color w:val="593470" w:themeColor="accent1" w:themeShade="80"/>
          </w:rPr>
          <w:fldChar w:fldCharType="end"/>
        </w:r>
      </w:hyperlink>
    </w:p>
    <w:p w14:paraId="00155A51" w14:textId="5099BE98" w:rsidR="000329CD" w:rsidRPr="000329CD" w:rsidRDefault="000329CD" w:rsidP="000329CD">
      <w:pPr>
        <w:pStyle w:val="TOC1"/>
        <w:rPr>
          <w:rFonts w:cstheme="minorBidi"/>
          <w:noProof/>
          <w:color w:val="593470" w:themeColor="accent1" w:themeShade="80"/>
          <w:kern w:val="2"/>
          <w:sz w:val="24"/>
          <w:szCs w:val="24"/>
          <w:u w:val="none"/>
          <w:lang w:eastAsia="en-US"/>
          <w14:ligatures w14:val="standardContextual"/>
        </w:rPr>
      </w:pPr>
      <w:hyperlink w:anchor="_Toc230355506" w:history="1">
        <w:r w:rsidRPr="000329CD">
          <w:rPr>
            <w:rStyle w:val="Hyperlink"/>
            <w:noProof/>
            <w:color w:val="593470" w:themeColor="accent1" w:themeShade="80"/>
          </w:rPr>
          <w:t>Additional Secretariats &amp; State Agencies</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_Toc230355506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240</w:t>
        </w:r>
        <w:r w:rsidRPr="000329CD">
          <w:rPr>
            <w:noProof/>
            <w:webHidden/>
            <w:color w:val="593470" w:themeColor="accent1" w:themeShade="80"/>
          </w:rPr>
          <w:fldChar w:fldCharType="end"/>
        </w:r>
      </w:hyperlink>
    </w:p>
    <w:p w14:paraId="4E368860" w14:textId="5032C45B"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507" w:history="1">
        <w:r w:rsidRPr="000329CD">
          <w:rPr>
            <w:rStyle w:val="Hyperlink"/>
            <w:noProof/>
            <w:color w:val="593470" w:themeColor="accent1" w:themeShade="80"/>
          </w:rPr>
          <w:t>Board of Library Commissioners</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_Toc230355507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240</w:t>
        </w:r>
        <w:r w:rsidRPr="000329CD">
          <w:rPr>
            <w:noProof/>
            <w:webHidden/>
            <w:color w:val="593470" w:themeColor="accent1" w:themeShade="80"/>
          </w:rPr>
          <w:fldChar w:fldCharType="end"/>
        </w:r>
      </w:hyperlink>
    </w:p>
    <w:p w14:paraId="1D1AB880" w14:textId="11C60DB8"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508" w:history="1">
        <w:r w:rsidRPr="000329CD">
          <w:rPr>
            <w:rStyle w:val="Hyperlink"/>
            <w:noProof/>
            <w:color w:val="593470" w:themeColor="accent1" w:themeShade="80"/>
          </w:rPr>
          <w:t>Committee for Public Counsel Services</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_Toc230355508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244</w:t>
        </w:r>
        <w:r w:rsidRPr="000329CD">
          <w:rPr>
            <w:noProof/>
            <w:webHidden/>
            <w:color w:val="593470" w:themeColor="accent1" w:themeShade="80"/>
          </w:rPr>
          <w:fldChar w:fldCharType="end"/>
        </w:r>
      </w:hyperlink>
    </w:p>
    <w:p w14:paraId="2524BDA6" w14:textId="54AD4223"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509" w:history="1">
        <w:r w:rsidRPr="000329CD">
          <w:rPr>
            <w:rStyle w:val="Hyperlink"/>
            <w:noProof/>
            <w:color w:val="593470" w:themeColor="accent1" w:themeShade="80"/>
          </w:rPr>
          <w:t>Executive Office of Housing and Livable Communities</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_Toc230355509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247</w:t>
        </w:r>
        <w:r w:rsidRPr="000329CD">
          <w:rPr>
            <w:noProof/>
            <w:webHidden/>
            <w:color w:val="593470" w:themeColor="accent1" w:themeShade="80"/>
          </w:rPr>
          <w:fldChar w:fldCharType="end"/>
        </w:r>
      </w:hyperlink>
    </w:p>
    <w:p w14:paraId="0D8C5729" w14:textId="46B3C47A"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510" w:history="1">
        <w:r w:rsidRPr="000329CD">
          <w:rPr>
            <w:rStyle w:val="Hyperlink"/>
            <w:noProof/>
            <w:color w:val="593470" w:themeColor="accent1" w:themeShade="80"/>
          </w:rPr>
          <w:t>MassHire</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_Toc230355510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251</w:t>
        </w:r>
        <w:r w:rsidRPr="000329CD">
          <w:rPr>
            <w:noProof/>
            <w:webHidden/>
            <w:color w:val="593470" w:themeColor="accent1" w:themeShade="80"/>
          </w:rPr>
          <w:fldChar w:fldCharType="end"/>
        </w:r>
      </w:hyperlink>
    </w:p>
    <w:p w14:paraId="5BF868CE" w14:textId="0DB418A3" w:rsidR="000329CD" w:rsidRPr="000329CD" w:rsidRDefault="000329CD">
      <w:pPr>
        <w:pStyle w:val="TOC2"/>
        <w:tabs>
          <w:tab w:val="right" w:pos="9350"/>
        </w:tabs>
        <w:rPr>
          <w:rFonts w:cstheme="minorBidi"/>
          <w:b w:val="0"/>
          <w:bCs w:val="0"/>
          <w:smallCaps w:val="0"/>
          <w:noProof/>
          <w:color w:val="593470" w:themeColor="accent1" w:themeShade="80"/>
          <w:kern w:val="2"/>
          <w:sz w:val="24"/>
          <w:szCs w:val="24"/>
          <w:lang w:eastAsia="en-US"/>
          <w14:ligatures w14:val="standardContextual"/>
        </w:rPr>
      </w:pPr>
      <w:hyperlink w:anchor="_Toc230355511" w:history="1">
        <w:r w:rsidRPr="000329CD">
          <w:rPr>
            <w:rStyle w:val="Hyperlink"/>
            <w:noProof/>
            <w:color w:val="593470" w:themeColor="accent1" w:themeShade="80"/>
          </w:rPr>
          <w:t>O</w:t>
        </w:r>
        <w:r w:rsidRPr="000329CD">
          <w:rPr>
            <w:rStyle w:val="Hyperlink"/>
            <w:rFonts w:ascii="Arial" w:hAnsi="Arial" w:cs="Arial"/>
            <w:noProof/>
            <w:color w:val="593470" w:themeColor="accent1" w:themeShade="80"/>
          </w:rPr>
          <w:t>ﬃ</w:t>
        </w:r>
        <w:r w:rsidRPr="000329CD">
          <w:rPr>
            <w:rStyle w:val="Hyperlink"/>
            <w:noProof/>
            <w:color w:val="593470" w:themeColor="accent1" w:themeShade="80"/>
          </w:rPr>
          <w:t>ce of the Child Advocate</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_Toc230355511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254</w:t>
        </w:r>
        <w:r w:rsidRPr="000329CD">
          <w:rPr>
            <w:noProof/>
            <w:webHidden/>
            <w:color w:val="593470" w:themeColor="accent1" w:themeShade="80"/>
          </w:rPr>
          <w:fldChar w:fldCharType="end"/>
        </w:r>
      </w:hyperlink>
    </w:p>
    <w:p w14:paraId="63D9876B" w14:textId="194C5DF1" w:rsidR="000329CD" w:rsidRPr="000329CD" w:rsidRDefault="000329CD" w:rsidP="000329CD">
      <w:pPr>
        <w:pStyle w:val="TOC1"/>
        <w:rPr>
          <w:rFonts w:cstheme="minorBidi"/>
          <w:noProof/>
          <w:color w:val="593470" w:themeColor="accent1" w:themeShade="80"/>
          <w:kern w:val="2"/>
          <w:sz w:val="24"/>
          <w:szCs w:val="24"/>
          <w:u w:val="none"/>
          <w:lang w:eastAsia="en-US"/>
          <w14:ligatures w14:val="standardContextual"/>
        </w:rPr>
      </w:pPr>
      <w:hyperlink w:anchor="_Toc230355512" w:history="1">
        <w:r w:rsidRPr="000329CD">
          <w:rPr>
            <w:rStyle w:val="Hyperlink"/>
            <w:noProof/>
            <w:color w:val="593470" w:themeColor="accent1" w:themeShade="80"/>
          </w:rPr>
          <w:t>Glossary – Appendix A</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_Toc230355512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261</w:t>
        </w:r>
        <w:r w:rsidRPr="000329CD">
          <w:rPr>
            <w:noProof/>
            <w:webHidden/>
            <w:color w:val="593470" w:themeColor="accent1" w:themeShade="80"/>
          </w:rPr>
          <w:fldChar w:fldCharType="end"/>
        </w:r>
      </w:hyperlink>
    </w:p>
    <w:p w14:paraId="2B2CF2E2" w14:textId="5ED1E928" w:rsidR="000329CD" w:rsidRPr="000329CD" w:rsidRDefault="000329CD" w:rsidP="000329CD">
      <w:pPr>
        <w:pStyle w:val="TOC1"/>
        <w:rPr>
          <w:rFonts w:cstheme="minorBidi"/>
          <w:noProof/>
          <w:color w:val="593470" w:themeColor="accent1" w:themeShade="80"/>
          <w:kern w:val="2"/>
          <w:sz w:val="24"/>
          <w:szCs w:val="24"/>
          <w:u w:val="none"/>
          <w:lang w:eastAsia="en-US"/>
          <w14:ligatures w14:val="standardContextual"/>
        </w:rPr>
      </w:pPr>
      <w:hyperlink w:anchor="_Toc230355513" w:history="1">
        <w:r w:rsidRPr="000329CD">
          <w:rPr>
            <w:rStyle w:val="Hyperlink"/>
            <w:noProof/>
            <w:color w:val="593470" w:themeColor="accent1" w:themeShade="80"/>
          </w:rPr>
          <w:t>2026 – 27 | COMMISSION MEMBERS</w:t>
        </w:r>
        <w:r>
          <w:rPr>
            <w:rStyle w:val="Hyperlink"/>
            <w:noProof/>
            <w:color w:val="593470" w:themeColor="accent1" w:themeShade="80"/>
          </w:rPr>
          <w:t xml:space="preserve"> – Appendix B</w:t>
        </w:r>
        <w:r w:rsidRPr="000329CD">
          <w:rPr>
            <w:noProof/>
            <w:webHidden/>
            <w:color w:val="593470" w:themeColor="accent1" w:themeShade="80"/>
          </w:rPr>
          <w:tab/>
        </w:r>
        <w:r w:rsidRPr="000329CD">
          <w:rPr>
            <w:noProof/>
            <w:webHidden/>
            <w:color w:val="593470" w:themeColor="accent1" w:themeShade="80"/>
          </w:rPr>
          <w:fldChar w:fldCharType="begin"/>
        </w:r>
        <w:r w:rsidRPr="000329CD">
          <w:rPr>
            <w:noProof/>
            <w:webHidden/>
            <w:color w:val="593470" w:themeColor="accent1" w:themeShade="80"/>
          </w:rPr>
          <w:instrText xml:space="preserve"> PAGEREF _Toc230355513 \h </w:instrText>
        </w:r>
        <w:r w:rsidRPr="000329CD">
          <w:rPr>
            <w:noProof/>
            <w:webHidden/>
            <w:color w:val="593470" w:themeColor="accent1" w:themeShade="80"/>
          </w:rPr>
        </w:r>
        <w:r w:rsidRPr="000329CD">
          <w:rPr>
            <w:noProof/>
            <w:webHidden/>
            <w:color w:val="593470" w:themeColor="accent1" w:themeShade="80"/>
          </w:rPr>
          <w:fldChar w:fldCharType="separate"/>
        </w:r>
        <w:r w:rsidR="00273732">
          <w:rPr>
            <w:noProof/>
            <w:webHidden/>
            <w:color w:val="593470" w:themeColor="accent1" w:themeShade="80"/>
          </w:rPr>
          <w:t>265</w:t>
        </w:r>
        <w:r w:rsidRPr="000329CD">
          <w:rPr>
            <w:noProof/>
            <w:webHidden/>
            <w:color w:val="593470" w:themeColor="accent1" w:themeShade="80"/>
          </w:rPr>
          <w:fldChar w:fldCharType="end"/>
        </w:r>
      </w:hyperlink>
    </w:p>
    <w:p w14:paraId="6537629E" w14:textId="6C289675" w:rsidR="0065603B" w:rsidRPr="000329CD" w:rsidRDefault="000329CD" w:rsidP="0005607E">
      <w:pPr>
        <w:jc w:val="both"/>
        <w:rPr>
          <w:color w:val="593470" w:themeColor="accent1" w:themeShade="80"/>
        </w:rPr>
      </w:pPr>
      <w:r w:rsidRPr="000329CD">
        <w:rPr>
          <w:color w:val="593470" w:themeColor="accent1" w:themeShade="80"/>
        </w:rPr>
        <w:fldChar w:fldCharType="end"/>
      </w:r>
    </w:p>
    <w:p w14:paraId="63EE0919" w14:textId="77777777" w:rsidR="0065603B" w:rsidRPr="000329CD" w:rsidRDefault="0065603B">
      <w:pPr>
        <w:rPr>
          <w:color w:val="593470" w:themeColor="accent1" w:themeShade="80"/>
        </w:rPr>
      </w:pPr>
      <w:r w:rsidRPr="000329CD">
        <w:rPr>
          <w:color w:val="593470" w:themeColor="accent1" w:themeShade="80"/>
        </w:rPr>
        <w:br w:type="page"/>
      </w:r>
    </w:p>
    <w:p w14:paraId="0B18B227" w14:textId="4D77405C" w:rsidR="00C3485C" w:rsidRDefault="0065603B" w:rsidP="00C3485C">
      <w:pPr>
        <w:pStyle w:val="Heading1"/>
        <w:spacing w:after="240"/>
      </w:pPr>
      <w:bookmarkStart w:id="0" w:name="_Toc230355465"/>
      <w:r>
        <w:lastRenderedPageBreak/>
        <w:t>Grounding Principles</w:t>
      </w:r>
      <w:bookmarkEnd w:id="0"/>
    </w:p>
    <w:p w14:paraId="6C2EC86E" w14:textId="65C57EBA" w:rsidR="0059069B" w:rsidRDefault="0059069B" w:rsidP="0059069B">
      <w:pPr>
        <w:pStyle w:val="Heading5"/>
      </w:pPr>
      <w:r>
        <w:t>Equity</w:t>
      </w:r>
    </w:p>
    <w:p w14:paraId="5A2DA117" w14:textId="52BB0800" w:rsidR="00C3485C" w:rsidRPr="00C3485C" w:rsidRDefault="00D712F1" w:rsidP="00C3485C">
      <w:pPr>
        <w:jc w:val="both"/>
      </w:pPr>
      <w:r>
        <w:t>At the Commission, we know that our</w:t>
      </w:r>
      <w:r w:rsidR="00C3485C" w:rsidRPr="00C3485C">
        <w:t xml:space="preserve"> work </w:t>
      </w:r>
      <w:r>
        <w:t xml:space="preserve">– and the work of the Commonwealth - </w:t>
      </w:r>
      <w:r w:rsidR="00C3485C" w:rsidRPr="00C3485C">
        <w:t>must be grounded in a clear commitment to examining privilege, positioning, whiteness, and culture. Supporting LGBTQ youth requires more than affirming them in principle</w:t>
      </w:r>
      <w:r w:rsidR="000329CD">
        <w:t xml:space="preserve"> - i</w:t>
      </w:r>
      <w:r w:rsidR="00C3485C" w:rsidRPr="00C3485C">
        <w:t xml:space="preserve">t requires ongoing reflection on the systems of power that shape who is heard, protected, believed, and resourced by government. These principles are especially urgent at a time when many </w:t>
      </w:r>
      <w:r>
        <w:t xml:space="preserve">of our </w:t>
      </w:r>
      <w:r w:rsidR="00C3485C" w:rsidRPr="00C3485C">
        <w:t>institutions are operating under fear, uncertainty, and political pressure</w:t>
      </w:r>
      <w:r w:rsidR="000329CD">
        <w:t>; t</w:t>
      </w:r>
      <w:r w:rsidR="00C3485C" w:rsidRPr="00C3485C">
        <w:t xml:space="preserve">hey also guide the Commission’s work and recommendations throughout </w:t>
      </w:r>
      <w:r>
        <w:t xml:space="preserve">each </w:t>
      </w:r>
      <w:r w:rsidR="00C3485C" w:rsidRPr="00C3485C">
        <w:t>year.</w:t>
      </w:r>
    </w:p>
    <w:p w14:paraId="2389DACE" w14:textId="0C1BE966" w:rsidR="00C3485C" w:rsidRPr="00C3485C" w:rsidRDefault="00C3485C" w:rsidP="00C3485C">
      <w:pPr>
        <w:jc w:val="both"/>
      </w:pPr>
      <w:r w:rsidRPr="00C3485C">
        <w:t>The Commission recognizes that institutions, including state agencies, schools, and advocacy organizations</w:t>
      </w:r>
      <w:r w:rsidR="000329CD">
        <w:t>,</w:t>
      </w:r>
      <w:r w:rsidRPr="00C3485C">
        <w:t xml:space="preserve"> often operate within cultural norms that can reproduce whiteness and assumptions about whose experiences are treated as legitimate. Centering equity requires </w:t>
      </w:r>
      <w:r w:rsidR="00D712F1">
        <w:t xml:space="preserve">us to pay </w:t>
      </w:r>
      <w:r w:rsidRPr="00C3485C">
        <w:t>careful attention to</w:t>
      </w:r>
      <w:r w:rsidR="000329CD">
        <w:t xml:space="preserve"> those</w:t>
      </w:r>
      <w:r w:rsidRPr="00C3485C">
        <w:t xml:space="preserve"> who hold decision-making power, whose knowledge is recognized as expertise, whose needs are prioritized, and how policies may unintentionally reinforce existing inequities.</w:t>
      </w:r>
    </w:p>
    <w:p w14:paraId="7A9BD671" w14:textId="78C0B6C6" w:rsidR="00C3485C" w:rsidRPr="00C3485C" w:rsidRDefault="00C3485C" w:rsidP="00C3485C">
      <w:pPr>
        <w:jc w:val="both"/>
      </w:pPr>
      <w:r w:rsidRPr="00C3485C">
        <w:t xml:space="preserve">These grounding principles require humility, accountability, and honest self-reflection from all of us working to serve LGBTQ youth across Massachusetts. Agencies, schools, advocates, and policymakers should regularly examine their positionality, beliefs, biases, decisions, organizational cultures, and practices. </w:t>
      </w:r>
      <w:r w:rsidR="00D712F1">
        <w:t xml:space="preserve">The </w:t>
      </w:r>
      <w:r w:rsidRPr="00C3485C">
        <w:t xml:space="preserve">work </w:t>
      </w:r>
      <w:r w:rsidR="00D712F1">
        <w:t xml:space="preserve">we do each day </w:t>
      </w:r>
      <w:r w:rsidRPr="00C3485C">
        <w:t xml:space="preserve">must center those </w:t>
      </w:r>
      <w:r w:rsidR="00D712F1">
        <w:t xml:space="preserve">who are </w:t>
      </w:r>
      <w:r w:rsidRPr="00C3485C">
        <w:t xml:space="preserve">pushed furthest to the margins </w:t>
      </w:r>
      <w:r w:rsidR="00D712F1">
        <w:t xml:space="preserve">in our society, </w:t>
      </w:r>
      <w:r w:rsidRPr="00C3485C">
        <w:t xml:space="preserve">and create meaningful opportunities for youth, families, and communities most impacted by systemic inequities to shape the systems </w:t>
      </w:r>
      <w:r w:rsidR="00D712F1">
        <w:t xml:space="preserve">that are </w:t>
      </w:r>
      <w:r w:rsidRPr="00C3485C">
        <w:t>intended to serve them.</w:t>
      </w:r>
    </w:p>
    <w:p w14:paraId="477EA370" w14:textId="288B50A8" w:rsidR="00C3485C" w:rsidRDefault="00D712F1" w:rsidP="00C3485C">
      <w:pPr>
        <w:jc w:val="both"/>
      </w:pPr>
      <w:r>
        <w:t xml:space="preserve">We must hold a </w:t>
      </w:r>
      <w:r w:rsidR="00C3485C" w:rsidRPr="00C3485C">
        <w:t xml:space="preserve">deliberate focus on privilege, positioning, whiteness, and culture </w:t>
      </w:r>
      <w:r>
        <w:t xml:space="preserve">to help </w:t>
      </w:r>
      <w:r w:rsidR="00C3485C" w:rsidRPr="00C3485C">
        <w:t xml:space="preserve">ensure that </w:t>
      </w:r>
      <w:r>
        <w:t xml:space="preserve">our commitments to equity </w:t>
      </w:r>
      <w:r w:rsidR="00C3485C" w:rsidRPr="00C3485C">
        <w:t>are not merely symbolic, but reflected in real change: funding decisions, accurate data collection, improved training, policy implementation and evaluation, and accountability. This approach is essential to building systems that are not only affirming of LGBTQ youth, but also responsive, equitable, and accountable.</w:t>
      </w:r>
    </w:p>
    <w:p w14:paraId="13DAFA25" w14:textId="027AC05E" w:rsidR="0059069B" w:rsidRDefault="0059069B" w:rsidP="0059069B">
      <w:pPr>
        <w:pStyle w:val="Heading5"/>
      </w:pPr>
      <w:r>
        <w:t>Intersectionality and Interwoven Identities</w:t>
      </w:r>
    </w:p>
    <w:p w14:paraId="331679E8" w14:textId="77777777" w:rsidR="0059069B" w:rsidRPr="0059069B" w:rsidRDefault="0059069B" w:rsidP="0059069B">
      <w:pPr>
        <w:jc w:val="both"/>
      </w:pPr>
      <w:r w:rsidRPr="0059069B">
        <w:t>The Commission has been intentional about naming the distinction between intersectional identities and interwoven identities, and what that distinction looks like in both theory and practice.</w:t>
      </w:r>
    </w:p>
    <w:p w14:paraId="004F8D5B" w14:textId="77777777" w:rsidR="0059069B" w:rsidRPr="0059069B" w:rsidRDefault="0059069B" w:rsidP="0059069B">
      <w:pPr>
        <w:jc w:val="both"/>
      </w:pPr>
      <w:r w:rsidRPr="0059069B">
        <w:lastRenderedPageBreak/>
        <w:t>In theory, Dr. Kimberlé Crenshaw developed intersectionality as a framework for legal analysis rooted in equity. Her work sought to name and examine the compounded forms of oppression experienced by individuals who hold multiple historically marginalized identities, particularly Black women. Grounded in legal scholarship and lived experience, intersectionality illuminated a reality that was often rendered invisible in public discourse, policy, and legal systems despite being an everyday experience for many Black people. Dr. Crenshaw's work provided language, legitimacy, and analytical rigor to understand how systems of oppression overlap and reinforce one another.</w:t>
      </w:r>
    </w:p>
    <w:p w14:paraId="06EE87E5" w14:textId="77777777" w:rsidR="0059069B" w:rsidRPr="0059069B" w:rsidRDefault="0059069B" w:rsidP="0059069B">
      <w:pPr>
        <w:jc w:val="both"/>
      </w:pPr>
      <w:r w:rsidRPr="0059069B">
        <w:t>Over time, conversations about intersectionality have expanded to include a broader range of identities and experiences. The Commission recognizes this evolution while also acknowledging the framework's origins in Black feminist legal scholarship and its focus on the unique ways anti-Black racism intersects with other forms of oppression.</w:t>
      </w:r>
    </w:p>
    <w:p w14:paraId="07E019A3" w14:textId="77777777" w:rsidR="0059069B" w:rsidRPr="0059069B" w:rsidRDefault="0059069B" w:rsidP="0059069B">
      <w:pPr>
        <w:jc w:val="both"/>
      </w:pPr>
      <w:r w:rsidRPr="0059069B">
        <w:t>The concept of interwoven identities shares a similar goal: naming the complexity of lived experience for individuals who hold multiple identities that may shape how they move through the world. However, interwoven identities begin from a different analytical starting point. While individuals may experience marginalization based on gender identity, sexual orientation, disability, religion, class, or other factors, they may simultaneously hold racial privilege or proximity to privilege. As a result, their experiences of oppression and access are shaped differently than those whose identities include both racial marginalization and other forms of systemic oppression.</w:t>
      </w:r>
    </w:p>
    <w:p w14:paraId="3B4441F8" w14:textId="77777777" w:rsidR="0059069B" w:rsidRPr="0059069B" w:rsidRDefault="0059069B" w:rsidP="0059069B">
      <w:pPr>
        <w:jc w:val="both"/>
      </w:pPr>
      <w:r w:rsidRPr="0059069B">
        <w:t>The distinction is not intended to create hierarchies of suffering or diminish the reality of anyone's experiences. Rather, it provides the Commission with a more precise framework for understanding how power, privilege, and oppression operate simultaneously across different identities.</w:t>
      </w:r>
    </w:p>
    <w:p w14:paraId="44A3A7C8" w14:textId="77777777" w:rsidR="0059069B" w:rsidRPr="0059069B" w:rsidRDefault="0059069B" w:rsidP="0059069B">
      <w:pPr>
        <w:jc w:val="both"/>
      </w:pPr>
      <w:r w:rsidRPr="0059069B">
        <w:t>In practice, grounding intersectionality in its origins helps the Commission identify harm in real time. It requires ongoing reflection on how whiteness and the tenets of white supremacy culture may influence our analysis, our support for legislation and policy change, our organizational practices, and our interpersonal relationships. This approach challenges us to examine where privilege may be operating, even when we ourselves hold marginalized identities, and helps prevent the weaponization of one identity to obscure racial harm experienced by others.</w:t>
      </w:r>
    </w:p>
    <w:p w14:paraId="55686AB0" w14:textId="77777777" w:rsidR="0059069B" w:rsidRPr="0059069B" w:rsidRDefault="0059069B" w:rsidP="0059069B">
      <w:pPr>
        <w:jc w:val="both"/>
      </w:pPr>
      <w:r w:rsidRPr="0059069B">
        <w:t xml:space="preserve">This framework also strengthens our ability to advocate equitably. It reminds us that meaningful equity work requires more than acknowledging difference; it requires an honest examination of power, proximity to privilege, and the ways systems </w:t>
      </w:r>
      <w:proofErr w:type="gramStart"/>
      <w:r w:rsidRPr="0059069B">
        <w:t>advantage some</w:t>
      </w:r>
      <w:proofErr w:type="gramEnd"/>
      <w:r w:rsidRPr="0059069B">
        <w:t xml:space="preserve"> while disadvantaging others.</w:t>
      </w:r>
    </w:p>
    <w:p w14:paraId="21D1C346" w14:textId="77777777" w:rsidR="0059069B" w:rsidRPr="0059069B" w:rsidRDefault="0059069B" w:rsidP="0059069B">
      <w:pPr>
        <w:jc w:val="both"/>
      </w:pPr>
      <w:r w:rsidRPr="0059069B">
        <w:lastRenderedPageBreak/>
        <w:t>As you move through this document and continue in your own work, we invite you to engage in that same practice of reflection, accountability, and curiosity. Our collective ability to create safer, more equitable communities depends on our willingness to understand not only the identities we hold, but also the systems that shape how those identities are experienced.</w:t>
      </w:r>
    </w:p>
    <w:p w14:paraId="41B69B34" w14:textId="14811D5A" w:rsidR="0059069B" w:rsidRDefault="0059069B" w:rsidP="00897D82">
      <w:pPr>
        <w:pStyle w:val="Heading5"/>
      </w:pPr>
      <w:r>
        <w:t>Following the Child</w:t>
      </w:r>
    </w:p>
    <w:p w14:paraId="6AE67D67" w14:textId="77777777" w:rsidR="00897D82" w:rsidRPr="00897D82" w:rsidRDefault="00897D82" w:rsidP="00897D82">
      <w:pPr>
        <w:jc w:val="both"/>
      </w:pPr>
      <w:r w:rsidRPr="00897D82">
        <w:t>Akin to a multidisciplinary approach, structural change requires a holistic framework to dismantle and rebuild systems originally designed to use oppression as a tool of control against the marginalized communities within them. Young people who hold multiple identities need a framework that grounds advocates, educators, policymakers, and state agencies in the truth of their lived realities. Only then can we create policies, legislation, and service models that are truly effective. This approach must sustain a system of support that allows for concurrent planning, with each part of a young person’s identity considered simultaneously, so they are repositioned not merely to survive, but to thrive.</w:t>
      </w:r>
    </w:p>
    <w:p w14:paraId="2765C930" w14:textId="77777777" w:rsidR="00897D82" w:rsidRPr="00897D82" w:rsidRDefault="00897D82" w:rsidP="00897D82">
      <w:pPr>
        <w:jc w:val="both"/>
      </w:pPr>
      <w:r w:rsidRPr="00897D82">
        <w:t>The Commission refers to this framework as “Follow the Child.”</w:t>
      </w:r>
    </w:p>
    <w:p w14:paraId="06E3F827" w14:textId="77777777" w:rsidR="00897D82" w:rsidRPr="00897D82" w:rsidRDefault="00897D82" w:rsidP="00897D82">
      <w:pPr>
        <w:jc w:val="both"/>
      </w:pPr>
      <w:r w:rsidRPr="00897D82">
        <w:t>Following the child requires us to engage in aerial analysis with a granular focus on the most marginalized person in the room. It calls us to confront our own blind spots so that our lens becomes clearer. To do this, we examine the pressure points for young people who are system impacted.</w:t>
      </w:r>
    </w:p>
    <w:p w14:paraId="72B3AF1B" w14:textId="77777777" w:rsidR="00897D82" w:rsidRPr="00897D82" w:rsidRDefault="00897D82" w:rsidP="00897D82">
      <w:pPr>
        <w:jc w:val="both"/>
      </w:pPr>
      <w:r w:rsidRPr="00897D82">
        <w:t>We begin with age, because the most vulnerable demographic in our analysis is the young person. We ask: Which age group is most often silenced? Which age group is society most likely to deem incapable of knowing what is best for themselves? We understand that it is young people under the age of 18.</w:t>
      </w:r>
    </w:p>
    <w:p w14:paraId="72518ED3" w14:textId="77777777" w:rsidR="00897D82" w:rsidRPr="00897D82" w:rsidRDefault="00897D82" w:rsidP="00897D82">
      <w:pPr>
        <w:jc w:val="both"/>
      </w:pPr>
      <w:r w:rsidRPr="00897D82">
        <w:t>From there, we examine race, gender identity, class, citizenship status, disability, and neurodivergence, including intellectual disabilities. We then consider system involvement, including whether a young person is impacted by multiple systems at once.</w:t>
      </w:r>
    </w:p>
    <w:p w14:paraId="3DE123C5" w14:textId="77777777" w:rsidR="00897D82" w:rsidRPr="00897D82" w:rsidRDefault="00897D82" w:rsidP="00897D82">
      <w:pPr>
        <w:jc w:val="both"/>
      </w:pPr>
      <w:r w:rsidRPr="00897D82">
        <w:t>Through this analysis, we understood that the young person for whom policy should be built is a Black transgender girl, living below the poverty line, who is not a United States citizen, whose IQ is below 70, who has a visible or audible disability, and who is impacted by multiple systems. She becomes the baseline, not the exception. The liberation we achieve for this young person will create liberation for everyone else.</w:t>
      </w:r>
    </w:p>
    <w:p w14:paraId="012624CC" w14:textId="77777777" w:rsidR="00897D82" w:rsidRPr="00897D82" w:rsidRDefault="00897D82" w:rsidP="00897D82">
      <w:pPr>
        <w:jc w:val="both"/>
      </w:pPr>
      <w:r w:rsidRPr="00897D82">
        <w:t>As you read through this report, we ask that you consider this child. Who is she in your community? Which case number is she in your department? Which young person has been made invisible because the system was not built with her at the center?</w:t>
      </w:r>
    </w:p>
    <w:p w14:paraId="2F5E4CA0" w14:textId="6C3331DC" w:rsidR="00897D82" w:rsidRPr="00897D82" w:rsidRDefault="00897D82" w:rsidP="00897D82">
      <w:pPr>
        <w:jc w:val="both"/>
      </w:pPr>
      <w:r w:rsidRPr="00897D82">
        <w:lastRenderedPageBreak/>
        <w:t xml:space="preserve">Finally, we ask that you go forward by following the child within your state agency, school, organization, or system of care. Following the child means examining each historically marginalized identity a young person holds and intentionally considering the unique barriers, risks, and needs associated with each one. It requires asking not only who the child is, but what supports, protections, and resources are necessary for them to thrive. It also requires evaluating how every system that </w:t>
      </w:r>
      <w:proofErr w:type="gramStart"/>
      <w:r w:rsidRPr="00897D82">
        <w:t>comes into contact with</w:t>
      </w:r>
      <w:proofErr w:type="gramEnd"/>
      <w:r w:rsidRPr="00897D82">
        <w:t xml:space="preserve"> that young person</w:t>
      </w:r>
      <w:r>
        <w:t xml:space="preserve"> - </w:t>
      </w:r>
      <w:r w:rsidRPr="00897D82">
        <w:t>including education, child welfare, juvenile justice, healthcare, housing, disability services, and community-based organizations</w:t>
      </w:r>
      <w:r>
        <w:t xml:space="preserve"> - </w:t>
      </w:r>
      <w:r w:rsidRPr="00897D82">
        <w:t>should respond to and serve them through that lens.</w:t>
      </w:r>
    </w:p>
    <w:p w14:paraId="4FAE578A" w14:textId="030CAEF3" w:rsidR="00897D82" w:rsidRPr="00897D82" w:rsidRDefault="00897D82" w:rsidP="00897D82">
      <w:pPr>
        <w:jc w:val="both"/>
      </w:pPr>
      <w:r w:rsidRPr="00897D82">
        <w:t>Holistically considering the needs of young people through this framework in multidisciplinary team meetings allows us to identify our blind spots, strengthen service provision, and create the conditions for true healing. When we follow the child, we build systems capable of producing lifelong benefits and futures where all young people can thrive.</w:t>
      </w:r>
    </w:p>
    <w:p w14:paraId="6574362D" w14:textId="77777777" w:rsidR="0059069B" w:rsidRPr="00C3485C" w:rsidRDefault="0059069B" w:rsidP="00C3485C">
      <w:pPr>
        <w:jc w:val="both"/>
      </w:pPr>
    </w:p>
    <w:p w14:paraId="2B5A55F6" w14:textId="4A33EBCB" w:rsidR="0065603B" w:rsidRDefault="007C2DD7">
      <w:r>
        <w:br w:type="page"/>
      </w:r>
    </w:p>
    <w:p w14:paraId="280F2ABB" w14:textId="255FBF37" w:rsidR="00E944EC" w:rsidRPr="00083E3E" w:rsidRDefault="00486DA6" w:rsidP="0005607E">
      <w:pPr>
        <w:pStyle w:val="Heading1"/>
        <w:jc w:val="both"/>
      </w:pPr>
      <w:bookmarkStart w:id="1" w:name="_Toc230276109"/>
      <w:bookmarkStart w:id="2" w:name="_Toc230276216"/>
      <w:bookmarkStart w:id="3" w:name="_Toc230276299"/>
      <w:bookmarkStart w:id="4" w:name="_Toc230276351"/>
      <w:bookmarkStart w:id="5" w:name="_Toc230277092"/>
      <w:bookmarkStart w:id="6" w:name="_Toc230277253"/>
      <w:bookmarkStart w:id="7" w:name="_Toc230355466"/>
      <w:r>
        <w:rPr>
          <w:noProof/>
        </w:rPr>
        <w:lastRenderedPageBreak/>
        <w:drawing>
          <wp:anchor distT="0" distB="0" distL="114300" distR="114300" simplePos="0" relativeHeight="251784192" behindDoc="1" locked="0" layoutInCell="1" allowOverlap="1" wp14:anchorId="04BDBD3F" wp14:editId="67D86394">
            <wp:simplePos x="0" y="0"/>
            <wp:positionH relativeFrom="column">
              <wp:posOffset>-1685925</wp:posOffset>
            </wp:positionH>
            <wp:positionV relativeFrom="paragraph">
              <wp:posOffset>-3106420</wp:posOffset>
            </wp:positionV>
            <wp:extent cx="8727160" cy="12344400"/>
            <wp:effectExtent l="0" t="0" r="0" b="0"/>
            <wp:wrapNone/>
            <wp:docPr id="992778917"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78917" name="Picture 41">
                      <a:extLst>
                        <a:ext uri="{C183D7F6-B498-43B3-948B-1728B52AA6E4}">
                          <adec:decorative xmlns:adec="http://schemas.microsoft.com/office/drawing/2017/decorative" val="1"/>
                        </a:ext>
                      </a:extLst>
                    </pic:cNvPr>
                    <pic:cNvPicPr/>
                  </pic:nvPicPr>
                  <pic:blipFill>
                    <a:blip r:embed="rId14">
                      <a:alphaModFix amt="50000"/>
                      <a:extLst>
                        <a:ext uri="{28A0092B-C50C-407E-A947-70E740481C1C}">
                          <a14:useLocalDpi xmlns:a14="http://schemas.microsoft.com/office/drawing/2010/main" val="0"/>
                        </a:ext>
                      </a:extLst>
                    </a:blip>
                    <a:stretch>
                      <a:fillRect/>
                    </a:stretch>
                  </pic:blipFill>
                  <pic:spPr>
                    <a:xfrm>
                      <a:off x="0" y="0"/>
                      <a:ext cx="8727160" cy="12344400"/>
                    </a:xfrm>
                    <a:prstGeom prst="rect">
                      <a:avLst/>
                    </a:prstGeom>
                  </pic:spPr>
                </pic:pic>
              </a:graphicData>
            </a:graphic>
            <wp14:sizeRelH relativeFrom="page">
              <wp14:pctWidth>0</wp14:pctWidth>
            </wp14:sizeRelH>
            <wp14:sizeRelV relativeFrom="page">
              <wp14:pctHeight>0</wp14:pctHeight>
            </wp14:sizeRelV>
          </wp:anchor>
        </w:drawing>
      </w:r>
      <w:r w:rsidR="00E944EC" w:rsidRPr="00083E3E">
        <w:t>Listening Session Themes</w:t>
      </w:r>
      <w:bookmarkEnd w:id="1"/>
      <w:bookmarkEnd w:id="2"/>
      <w:bookmarkEnd w:id="3"/>
      <w:bookmarkEnd w:id="4"/>
      <w:bookmarkEnd w:id="5"/>
      <w:bookmarkEnd w:id="6"/>
      <w:bookmarkEnd w:id="7"/>
    </w:p>
    <w:p w14:paraId="0FA8860E" w14:textId="18013283" w:rsidR="00E944EC" w:rsidRPr="00083E3E" w:rsidRDefault="00E944EC" w:rsidP="00B7107C">
      <w:pPr>
        <w:pStyle w:val="Heading2"/>
      </w:pPr>
      <w:bookmarkStart w:id="8" w:name="_Toc230276110"/>
      <w:bookmarkStart w:id="9" w:name="_Toc230276217"/>
      <w:bookmarkStart w:id="10" w:name="_Toc230276300"/>
      <w:bookmarkStart w:id="11" w:name="_Toc230276352"/>
      <w:bookmarkStart w:id="12" w:name="_Toc230277093"/>
      <w:bookmarkStart w:id="13" w:name="_Toc230277254"/>
      <w:bookmarkStart w:id="14" w:name="_Toc230355467"/>
      <w:r w:rsidRPr="00083E3E">
        <w:t>Overview</w:t>
      </w:r>
      <w:bookmarkEnd w:id="8"/>
      <w:bookmarkEnd w:id="9"/>
      <w:bookmarkEnd w:id="10"/>
      <w:bookmarkEnd w:id="11"/>
      <w:bookmarkEnd w:id="12"/>
      <w:bookmarkEnd w:id="13"/>
      <w:bookmarkEnd w:id="14"/>
    </w:p>
    <w:p w14:paraId="3D31EFD3" w14:textId="1482FF18" w:rsidR="00012117" w:rsidRPr="00E64629" w:rsidRDefault="00E944EC" w:rsidP="0005607E">
      <w:pPr>
        <w:jc w:val="both"/>
      </w:pPr>
      <w:r w:rsidRPr="00E64629">
        <w:t>Throughout FY 2026, the Commission hosted a combination of in-person and virtual listening sessions with dozens of young people, parents, educators, community organizations, an</w:t>
      </w:r>
      <w:r w:rsidR="00803390" w:rsidRPr="00E64629">
        <w:t xml:space="preserve">d more in multiple cities across the state. In-person events took place this year in Boston, Yarmouth, Pittsfield, Northampton, Beverly, and Worcester. </w:t>
      </w:r>
      <w:r w:rsidR="00012117" w:rsidRPr="00E64629">
        <w:t xml:space="preserve">Listening session youth ages ranged from as young as </w:t>
      </w:r>
      <w:r w:rsidR="007D658D" w:rsidRPr="00E64629">
        <w:t>twelve</w:t>
      </w:r>
      <w:r w:rsidR="00012117" w:rsidRPr="00E64629">
        <w:t xml:space="preserve"> to college-aged. All listening session participants were asked a series of open-ended questions:</w:t>
      </w:r>
    </w:p>
    <w:p w14:paraId="0869A5B0" w14:textId="363F2216" w:rsidR="00012117" w:rsidRPr="00E64629" w:rsidRDefault="00012117" w:rsidP="00B219D7">
      <w:pPr>
        <w:ind w:left="360" w:right="360"/>
        <w:jc w:val="both"/>
      </w:pPr>
      <w:r w:rsidRPr="00E64629">
        <w:t>Youth were asked about safe and supportive spaces, challenges in their community, how they interacted with schools and other state systems, and recommendations for how to make their communities and schools safer.</w:t>
      </w:r>
    </w:p>
    <w:p w14:paraId="29E0F792" w14:textId="1EBFD096" w:rsidR="00012117" w:rsidRPr="00E64629" w:rsidRDefault="00012117" w:rsidP="00B219D7">
      <w:pPr>
        <w:ind w:left="360" w:right="360"/>
        <w:jc w:val="both"/>
      </w:pPr>
      <w:r w:rsidRPr="00E64629">
        <w:t>Community organizations, educators, and parents were asked similar questions and how they felt prepared to support LGBTQ youth.</w:t>
      </w:r>
    </w:p>
    <w:p w14:paraId="53431E7F" w14:textId="5645DA43" w:rsidR="00FA42CB" w:rsidRPr="00E64629" w:rsidRDefault="00E944EC" w:rsidP="0005607E">
      <w:pPr>
        <w:jc w:val="both"/>
      </w:pPr>
      <w:r w:rsidRPr="00E64629">
        <w:t xml:space="preserve">A series of themes emerged from these conversations that help ground the recommendations featured in this annual report and should inform </w:t>
      </w:r>
      <w:proofErr w:type="gramStart"/>
      <w:r w:rsidRPr="00E64629">
        <w:t>the work of the</w:t>
      </w:r>
      <w:proofErr w:type="gramEnd"/>
      <w:r w:rsidRPr="00E64629">
        <w:t xml:space="preserve"> Commonwealth in the coming years.</w:t>
      </w:r>
      <w:r w:rsidR="00012117" w:rsidRPr="00E64629">
        <w:t xml:space="preserve"> These themes are summarized below and direct quotes from the listening sessions are included throughout the core sections of the annual report.</w:t>
      </w:r>
    </w:p>
    <w:p w14:paraId="08930122" w14:textId="0F8947A3" w:rsidR="00443CE5" w:rsidRPr="00083E3E" w:rsidRDefault="00FA42CB" w:rsidP="00B7107C">
      <w:pPr>
        <w:pStyle w:val="Heading2"/>
      </w:pPr>
      <w:bookmarkStart w:id="15" w:name="_Toc230276111"/>
      <w:bookmarkStart w:id="16" w:name="_Toc230276218"/>
      <w:bookmarkStart w:id="17" w:name="_Toc230276301"/>
      <w:bookmarkStart w:id="18" w:name="_Toc230276353"/>
      <w:bookmarkStart w:id="19" w:name="_Toc230277094"/>
      <w:bookmarkStart w:id="20" w:name="_Toc230277255"/>
      <w:bookmarkStart w:id="21" w:name="_Toc230355468"/>
      <w:r w:rsidRPr="00083E3E">
        <w:t>General Themes</w:t>
      </w:r>
      <w:bookmarkEnd w:id="15"/>
      <w:bookmarkEnd w:id="16"/>
      <w:bookmarkEnd w:id="17"/>
      <w:bookmarkEnd w:id="18"/>
      <w:bookmarkEnd w:id="19"/>
      <w:bookmarkEnd w:id="20"/>
      <w:bookmarkEnd w:id="21"/>
    </w:p>
    <w:p w14:paraId="3885A9EB" w14:textId="65C02B5A" w:rsidR="00FA42CB" w:rsidRPr="00083E3E" w:rsidRDefault="00FA42CB" w:rsidP="00E97E73">
      <w:pPr>
        <w:pStyle w:val="Heading3"/>
      </w:pPr>
      <w:bookmarkStart w:id="22" w:name="_Toc230277256"/>
      <w:r w:rsidRPr="00083E3E">
        <w:t>Affirming spaces are essential but</w:t>
      </w:r>
      <w:r w:rsidR="00BC6653">
        <w:t xml:space="preserve"> are</w:t>
      </w:r>
      <w:r w:rsidRPr="00083E3E">
        <w:t xml:space="preserve"> unevenly available</w:t>
      </w:r>
      <w:r w:rsidR="00BC6653">
        <w:t xml:space="preserve"> across the state</w:t>
      </w:r>
      <w:r w:rsidRPr="00083E3E">
        <w:t>.</w:t>
      </w:r>
      <w:bookmarkEnd w:id="22"/>
    </w:p>
    <w:p w14:paraId="2E6A3DA6" w14:textId="547E3116" w:rsidR="00FA42CB" w:rsidRPr="00083E3E" w:rsidRDefault="0054417F" w:rsidP="0005607E">
      <w:pPr>
        <w:jc w:val="both"/>
      </w:pPr>
      <w:r>
        <w:t>M</w:t>
      </w:r>
      <w:r w:rsidR="00012117" w:rsidRPr="00083E3E">
        <w:t>ost LGBTQ youth in the</w:t>
      </w:r>
      <w:r w:rsidR="00EC6578" w:rsidRPr="00083E3E">
        <w:t xml:space="preserve"> listening sessions shared that they feel the most welcome and supported in exclusively LGBTQ spaces, or spaces where most of the group also identified as LGBTQ even if it </w:t>
      </w:r>
      <w:r w:rsidR="007D658D" w:rsidRPr="00083E3E">
        <w:t>was not</w:t>
      </w:r>
      <w:r w:rsidR="00EC6578" w:rsidRPr="00083E3E">
        <w:t xml:space="preserve"> LGBTQ-specific. Across the listening sessions, youth</w:t>
      </w:r>
      <w:r w:rsidR="00FA42CB" w:rsidRPr="00083E3E">
        <w:t xml:space="preserve">, </w:t>
      </w:r>
      <w:r w:rsidR="00EC6578" w:rsidRPr="00083E3E">
        <w:t>parents</w:t>
      </w:r>
      <w:r w:rsidR="00FA42CB" w:rsidRPr="00083E3E">
        <w:t xml:space="preserve">, school leaders, and </w:t>
      </w:r>
      <w:r w:rsidR="00EC6578" w:rsidRPr="00083E3E">
        <w:t xml:space="preserve">community </w:t>
      </w:r>
      <w:r w:rsidR="00FA42CB" w:rsidRPr="00083E3E">
        <w:t xml:space="preserve">providers all </w:t>
      </w:r>
      <w:r w:rsidR="00EC6578" w:rsidRPr="00083E3E">
        <w:t xml:space="preserve">consistently </w:t>
      </w:r>
      <w:r w:rsidR="00FA42CB" w:rsidRPr="00083E3E">
        <w:t xml:space="preserve">emphasized the importance of GSAs, drop-in centers, peer-led programs, community events, internships, and trusted adults. However, </w:t>
      </w:r>
      <w:r w:rsidR="00EC6578" w:rsidRPr="00083E3E">
        <w:t>another common theme was that access</w:t>
      </w:r>
      <w:r w:rsidR="00FA42CB" w:rsidRPr="00083E3E">
        <w:t xml:space="preserve"> significantly </w:t>
      </w:r>
      <w:r w:rsidR="00EC6578" w:rsidRPr="00083E3E">
        <w:t xml:space="preserve">varies across the state </w:t>
      </w:r>
      <w:r w:rsidR="00FA42CB" w:rsidRPr="00083E3E">
        <w:t xml:space="preserve">by </w:t>
      </w:r>
      <w:r w:rsidR="00EC6578" w:rsidRPr="00083E3E">
        <w:t>region</w:t>
      </w:r>
      <w:r w:rsidR="00FA42CB" w:rsidRPr="00083E3E">
        <w:t xml:space="preserve">, transportation, funding, and whether youth know where </w:t>
      </w:r>
      <w:r w:rsidR="009833EE" w:rsidRPr="00083E3E">
        <w:t>they can go</w:t>
      </w:r>
      <w:r w:rsidR="00FA42CB" w:rsidRPr="00083E3E">
        <w:t>.</w:t>
      </w:r>
    </w:p>
    <w:p w14:paraId="2767C272" w14:textId="69C83D13" w:rsidR="00FA42CB" w:rsidRPr="00083E3E" w:rsidRDefault="00FA42CB" w:rsidP="00E97E73">
      <w:pPr>
        <w:pStyle w:val="Heading3"/>
      </w:pPr>
      <w:bookmarkStart w:id="23" w:name="_Toc230277257"/>
      <w:r w:rsidRPr="00083E3E">
        <w:lastRenderedPageBreak/>
        <w:t>Young people are seeking practical</w:t>
      </w:r>
      <w:r w:rsidR="00BC6653">
        <w:t xml:space="preserve">, tangible </w:t>
      </w:r>
      <w:r w:rsidRPr="00083E3E">
        <w:t>support</w:t>
      </w:r>
      <w:r w:rsidR="00BC6653">
        <w:t>s</w:t>
      </w:r>
      <w:r w:rsidRPr="00083E3E">
        <w:t xml:space="preserve"> in addition to affirmation.</w:t>
      </w:r>
      <w:bookmarkEnd w:id="23"/>
      <w:r w:rsidR="004B54A9" w:rsidRPr="004B54A9">
        <w:rPr>
          <w:noProof/>
        </w:rPr>
        <w:t xml:space="preserve"> </w:t>
      </w:r>
    </w:p>
    <w:p w14:paraId="64AC5667" w14:textId="1496D27C" w:rsidR="00FA42CB" w:rsidRPr="00083E3E" w:rsidRDefault="00471E48" w:rsidP="0005607E">
      <w:pPr>
        <w:jc w:val="both"/>
      </w:pPr>
      <w:r w:rsidRPr="00083E3E">
        <w:t xml:space="preserve">Organization representatives in the Commission’s listening sessions </w:t>
      </w:r>
      <w:r w:rsidR="00FA42CB" w:rsidRPr="00083E3E">
        <w:t xml:space="preserve">repeatedly named housing instability, food access, hygiene supplies, transportation, employment, financial assistance, </w:t>
      </w:r>
      <w:r w:rsidR="00B07767">
        <w:rPr>
          <w:noProof/>
        </w:rPr>
        <w:drawing>
          <wp:anchor distT="0" distB="0" distL="114300" distR="114300" simplePos="0" relativeHeight="251788288" behindDoc="1" locked="0" layoutInCell="1" allowOverlap="1" wp14:anchorId="47F58ECF" wp14:editId="5567DDFE">
            <wp:simplePos x="0" y="0"/>
            <wp:positionH relativeFrom="column">
              <wp:posOffset>-2579370</wp:posOffset>
            </wp:positionH>
            <wp:positionV relativeFrom="paragraph">
              <wp:posOffset>-1550036</wp:posOffset>
            </wp:positionV>
            <wp:extent cx="12759286" cy="12343898"/>
            <wp:effectExtent l="1464945" t="1411605" r="1450340" b="1412240"/>
            <wp:wrapNone/>
            <wp:docPr id="526745191"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745191" name="Picture 41">
                      <a:extLst>
                        <a:ext uri="{C183D7F6-B498-43B3-948B-1728B52AA6E4}">
                          <adec:decorative xmlns:adec="http://schemas.microsoft.com/office/drawing/2017/decorative" val="1"/>
                        </a:ext>
                      </a:extLst>
                    </pic:cNvPr>
                    <pic:cNvPicPr/>
                  </pic:nvPicPr>
                  <pic:blipFill>
                    <a:blip r:embed="rId14">
                      <a:alphaModFix amt="50000"/>
                      <a:extLst>
                        <a:ext uri="{28A0092B-C50C-407E-A947-70E740481C1C}">
                          <a14:useLocalDpi xmlns:a14="http://schemas.microsoft.com/office/drawing/2010/main" val="0"/>
                        </a:ext>
                      </a:extLst>
                    </a:blip>
                    <a:stretch>
                      <a:fillRect/>
                    </a:stretch>
                  </pic:blipFill>
                  <pic:spPr>
                    <a:xfrm rot="17111304">
                      <a:off x="0" y="0"/>
                      <a:ext cx="12759286" cy="12343898"/>
                    </a:xfrm>
                    <a:prstGeom prst="rect">
                      <a:avLst/>
                    </a:prstGeom>
                  </pic:spPr>
                </pic:pic>
              </a:graphicData>
            </a:graphic>
            <wp14:sizeRelH relativeFrom="page">
              <wp14:pctWidth>0</wp14:pctWidth>
            </wp14:sizeRelH>
            <wp14:sizeRelV relativeFrom="page">
              <wp14:pctHeight>0</wp14:pctHeight>
            </wp14:sizeRelV>
          </wp:anchor>
        </w:drawing>
      </w:r>
      <w:r w:rsidR="00FA42CB" w:rsidRPr="00083E3E">
        <w:t>gender-affirming supplies, and help navigating benefits or documentation as urgent needs</w:t>
      </w:r>
      <w:r w:rsidRPr="00083E3E">
        <w:t xml:space="preserve"> for youth they are serving</w:t>
      </w:r>
      <w:r w:rsidR="00FA42CB" w:rsidRPr="00083E3E">
        <w:t xml:space="preserve">. Several providers emphasized that youth are often looking less for symbolic affirmation alone and more for  </w:t>
      </w:r>
      <w:r w:rsidR="0054417F">
        <w:t xml:space="preserve">realistic </w:t>
      </w:r>
      <w:r w:rsidR="00FA42CB" w:rsidRPr="00083E3E">
        <w:t>help</w:t>
      </w:r>
      <w:r w:rsidR="001766F7" w:rsidRPr="00083E3E">
        <w:t xml:space="preserve"> and mutual aid support</w:t>
      </w:r>
      <w:r w:rsidR="00FA42CB" w:rsidRPr="00083E3E">
        <w:t>.</w:t>
      </w:r>
      <w:r w:rsidRPr="00083E3E">
        <w:t xml:space="preserve"> Youth participants uplifted this, as well, </w:t>
      </w:r>
      <w:r w:rsidR="00B443A2" w:rsidRPr="00083E3E">
        <w:t>and</w:t>
      </w:r>
      <w:r w:rsidRPr="00083E3E">
        <w:t xml:space="preserve"> noted </w:t>
      </w:r>
      <w:proofErr w:type="gramStart"/>
      <w:r w:rsidRPr="00083E3E">
        <w:t>a need</w:t>
      </w:r>
      <w:proofErr w:type="gramEnd"/>
      <w:r w:rsidRPr="00083E3E">
        <w:t xml:space="preserve"> for more consistent policy enforcement</w:t>
      </w:r>
      <w:r w:rsidR="00DD5809" w:rsidRPr="00083E3E">
        <w:t xml:space="preserve"> in schools</w:t>
      </w:r>
      <w:r w:rsidRPr="00083E3E">
        <w:t xml:space="preserve">. Several </w:t>
      </w:r>
      <w:r w:rsidR="0054417F" w:rsidRPr="00083E3E">
        <w:t>youths</w:t>
      </w:r>
      <w:r w:rsidRPr="00083E3E">
        <w:t xml:space="preserve"> named in listening sessions that they had no knowledge of the legal protections in place to protect them, or how to get support when they did experience discrimination.</w:t>
      </w:r>
      <w:r w:rsidR="00DD5809" w:rsidRPr="00083E3E">
        <w:t xml:space="preserve"> Additionally, youth specifically asked policymakers for more </w:t>
      </w:r>
      <w:r w:rsidR="00BC6653">
        <w:t>tangible</w:t>
      </w:r>
      <w:r w:rsidR="00DD5809" w:rsidRPr="00083E3E">
        <w:t xml:space="preserve"> supports, including more resources for homeless youth and a recognition of the basic right to housing.</w:t>
      </w:r>
    </w:p>
    <w:p w14:paraId="548D8B6B" w14:textId="35593403" w:rsidR="00FA42CB" w:rsidRPr="00083E3E" w:rsidRDefault="00FA42CB" w:rsidP="00E97E73">
      <w:pPr>
        <w:pStyle w:val="Heading3"/>
      </w:pPr>
      <w:bookmarkStart w:id="24" w:name="_Toc230277258"/>
      <w:r w:rsidRPr="00083E3E">
        <w:t>Mental health needs, isolation, and fear are increasing</w:t>
      </w:r>
      <w:r w:rsidR="00BC6653">
        <w:t xml:space="preserve"> among lgbtq youth and community providers</w:t>
      </w:r>
      <w:r w:rsidRPr="00083E3E">
        <w:t>.</w:t>
      </w:r>
      <w:bookmarkEnd w:id="24"/>
    </w:p>
    <w:p w14:paraId="36501F28" w14:textId="0753B82C" w:rsidR="00FA42CB" w:rsidRPr="00083E3E" w:rsidRDefault="00FA42CB" w:rsidP="0005607E">
      <w:pPr>
        <w:jc w:val="both"/>
      </w:pPr>
      <w:r w:rsidRPr="00083E3E">
        <w:t xml:space="preserve">Across </w:t>
      </w:r>
      <w:r w:rsidR="00471E48" w:rsidRPr="00083E3E">
        <w:t xml:space="preserve">all the listening </w:t>
      </w:r>
      <w:r w:rsidRPr="00083E3E">
        <w:t xml:space="preserve">sessions, </w:t>
      </w:r>
      <w:r w:rsidR="00897D82">
        <w:t xml:space="preserve">many </w:t>
      </w:r>
      <w:r w:rsidRPr="00083E3E">
        <w:t xml:space="preserve">participants described </w:t>
      </w:r>
      <w:r w:rsidR="00897D82">
        <w:t xml:space="preserve">their </w:t>
      </w:r>
      <w:r w:rsidR="00471E48" w:rsidRPr="00083E3E">
        <w:t xml:space="preserve">concerns about </w:t>
      </w:r>
      <w:r w:rsidRPr="00083E3E">
        <w:t>rising isolation</w:t>
      </w:r>
      <w:r w:rsidR="00471E48" w:rsidRPr="00083E3E">
        <w:t xml:space="preserve"> among youth and communities</w:t>
      </w:r>
      <w:r w:rsidRPr="00083E3E">
        <w:t xml:space="preserve">, </w:t>
      </w:r>
      <w:r w:rsidR="00471E48" w:rsidRPr="00083E3E">
        <w:t xml:space="preserve">and </w:t>
      </w:r>
      <w:r w:rsidR="00897D82">
        <w:t xml:space="preserve">how we are </w:t>
      </w:r>
      <w:r w:rsidR="00471E48" w:rsidRPr="00083E3E">
        <w:t xml:space="preserve">seeing significant rises in feelings of </w:t>
      </w:r>
      <w:r w:rsidRPr="00083E3E">
        <w:t>anxiety, nihilism, fear, and burnout</w:t>
      </w:r>
      <w:r w:rsidR="00471E48" w:rsidRPr="00083E3E">
        <w:t xml:space="preserve"> among youth</w:t>
      </w:r>
      <w:r w:rsidR="00BC6653">
        <w:t xml:space="preserve"> and community providers</w:t>
      </w:r>
      <w:r w:rsidRPr="00083E3E">
        <w:t xml:space="preserve">. </w:t>
      </w:r>
      <w:r w:rsidR="00471E48" w:rsidRPr="00083E3E">
        <w:t xml:space="preserve">Additionally, youth and community organizations </w:t>
      </w:r>
      <w:r w:rsidR="00897D82">
        <w:t xml:space="preserve">frequently </w:t>
      </w:r>
      <w:r w:rsidR="00B443A2" w:rsidRPr="00083E3E">
        <w:t>described</w:t>
      </w:r>
      <w:r w:rsidR="00471E48" w:rsidRPr="00083E3E">
        <w:t xml:space="preserve"> how n</w:t>
      </w:r>
      <w:r w:rsidRPr="00083E3E">
        <w:t>ational politics, misinformation</w:t>
      </w:r>
      <w:r w:rsidR="00471E48" w:rsidRPr="00083E3E">
        <w:t xml:space="preserve"> about LGBTQ identities and care</w:t>
      </w:r>
      <w:r w:rsidRPr="00083E3E">
        <w:t xml:space="preserve">, threats </w:t>
      </w:r>
      <w:r w:rsidR="00471E48" w:rsidRPr="00083E3E">
        <w:t xml:space="preserve">to and rollbacks of </w:t>
      </w:r>
      <w:r w:rsidRPr="00083E3E">
        <w:t xml:space="preserve">gender-affirming care, immigration enforcement, housing instability, and </w:t>
      </w:r>
      <w:r w:rsidR="00471E48" w:rsidRPr="00083E3E">
        <w:t xml:space="preserve">a </w:t>
      </w:r>
      <w:r w:rsidRPr="00083E3E">
        <w:t xml:space="preserve">loss of trust in institutions are all contributing to worsening </w:t>
      </w:r>
      <w:r w:rsidR="00471E48" w:rsidRPr="00083E3E">
        <w:t xml:space="preserve">their </w:t>
      </w:r>
      <w:r w:rsidRPr="00083E3E">
        <w:t>mental health and withdrawal from community life.</w:t>
      </w:r>
      <w:r w:rsidR="00471E48" w:rsidRPr="00083E3E">
        <w:t xml:space="preserve"> Youth frequently shared that they often do not feel welcome or safe in some Massachusetts schools, in their work or internships, in healthcare settings, and even in their own communities.</w:t>
      </w:r>
    </w:p>
    <w:p w14:paraId="0A2227B7" w14:textId="0869F0F7" w:rsidR="00FA42CB" w:rsidRPr="00083E3E" w:rsidRDefault="00FA42CB" w:rsidP="00E97E73">
      <w:pPr>
        <w:pStyle w:val="Heading3"/>
      </w:pPr>
      <w:bookmarkStart w:id="25" w:name="_Toc230277259"/>
      <w:r w:rsidRPr="00083E3E">
        <w:t>Access to gender-affirming care is increasingly fragile</w:t>
      </w:r>
      <w:r w:rsidR="00BC6653">
        <w:t>, even in massachusetts</w:t>
      </w:r>
      <w:r w:rsidRPr="00083E3E">
        <w:t>.</w:t>
      </w:r>
      <w:bookmarkEnd w:id="25"/>
    </w:p>
    <w:p w14:paraId="7F1BF69B" w14:textId="525904D7" w:rsidR="00FA42CB" w:rsidRPr="00083E3E" w:rsidRDefault="00897D82" w:rsidP="0005607E">
      <w:pPr>
        <w:jc w:val="both"/>
      </w:pPr>
      <w:r>
        <w:t>Throughout the listening sessions, y</w:t>
      </w:r>
      <w:r w:rsidR="00471E48" w:rsidRPr="00083E3E">
        <w:t xml:space="preserve">outh named and organizations </w:t>
      </w:r>
      <w:r>
        <w:t xml:space="preserve">and caregivers </w:t>
      </w:r>
      <w:r w:rsidR="00471E48" w:rsidRPr="00083E3E">
        <w:t>echoed that many young people and adults are</w:t>
      </w:r>
      <w:r w:rsidR="00FA42CB" w:rsidRPr="00083E3E">
        <w:t xml:space="preserve"> delaying or avoiding care</w:t>
      </w:r>
      <w:r w:rsidR="00471E48" w:rsidRPr="00083E3E">
        <w:t xml:space="preserve"> in fear that state legal protections may not hold. Additionally, with</w:t>
      </w:r>
      <w:r w:rsidR="00FA42CB" w:rsidRPr="00083E3E">
        <w:t xml:space="preserve"> clinics limiting services, insurance barriers, </w:t>
      </w:r>
      <w:r w:rsidR="00471E48" w:rsidRPr="00083E3E">
        <w:t xml:space="preserve">and a </w:t>
      </w:r>
      <w:r w:rsidR="00FA42CB" w:rsidRPr="00083E3E">
        <w:t xml:space="preserve">lack of </w:t>
      </w:r>
      <w:r w:rsidR="00471E48" w:rsidRPr="00083E3E">
        <w:t xml:space="preserve">affirming </w:t>
      </w:r>
      <w:r w:rsidR="00FA42CB" w:rsidRPr="00083E3E">
        <w:t>providers</w:t>
      </w:r>
      <w:r w:rsidR="00471E48" w:rsidRPr="00083E3E">
        <w:t xml:space="preserve"> in rural areas, barriers to care persist in the Commonwealth</w:t>
      </w:r>
      <w:r w:rsidR="00FA42CB" w:rsidRPr="00083E3E">
        <w:t xml:space="preserve">. This was especially acute for youth under </w:t>
      </w:r>
      <w:r w:rsidR="007D658D" w:rsidRPr="00083E3E">
        <w:t>eighteen</w:t>
      </w:r>
      <w:r w:rsidR="00FA42CB" w:rsidRPr="00083E3E">
        <w:t>, youth without supportive parents, rural youth, and youth relying on MassHealth or limited provider networks.</w:t>
      </w:r>
      <w:r w:rsidR="00471E48" w:rsidRPr="00083E3E">
        <w:t xml:space="preserve"> Youth frequently uplifted the need for more healthcare providers to be trained on LGBTQ-affirming care, especially on language to use with transgender and gender expansive people and how to ask inclusive questions.</w:t>
      </w:r>
    </w:p>
    <w:p w14:paraId="516F63FC" w14:textId="36811C2C" w:rsidR="00FA42CB" w:rsidRPr="00083E3E" w:rsidRDefault="00BC6653" w:rsidP="00E97E73">
      <w:pPr>
        <w:pStyle w:val="Heading3"/>
      </w:pPr>
      <w:bookmarkStart w:id="26" w:name="_Toc230277260"/>
      <w:r>
        <w:rPr>
          <w:noProof/>
        </w:rPr>
        <w:lastRenderedPageBreak/>
        <w:drawing>
          <wp:anchor distT="0" distB="0" distL="114300" distR="114300" simplePos="0" relativeHeight="251790336" behindDoc="1" locked="0" layoutInCell="1" allowOverlap="1" wp14:anchorId="0E22EE12" wp14:editId="6DE5DD25">
            <wp:simplePos x="0" y="0"/>
            <wp:positionH relativeFrom="column">
              <wp:posOffset>-1382395</wp:posOffset>
            </wp:positionH>
            <wp:positionV relativeFrom="paragraph">
              <wp:posOffset>-1055825</wp:posOffset>
            </wp:positionV>
            <wp:extent cx="8727160" cy="12344400"/>
            <wp:effectExtent l="0" t="0" r="0" b="0"/>
            <wp:wrapNone/>
            <wp:docPr id="166325874"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25874" name="Picture 41">
                      <a:extLst>
                        <a:ext uri="{C183D7F6-B498-43B3-948B-1728B52AA6E4}">
                          <adec:decorative xmlns:adec="http://schemas.microsoft.com/office/drawing/2017/decorative" val="1"/>
                        </a:ext>
                      </a:extLst>
                    </pic:cNvPr>
                    <pic:cNvPicPr/>
                  </pic:nvPicPr>
                  <pic:blipFill>
                    <a:blip r:embed="rId14">
                      <a:alphaModFix amt="50000"/>
                      <a:extLst>
                        <a:ext uri="{28A0092B-C50C-407E-A947-70E740481C1C}">
                          <a14:useLocalDpi xmlns:a14="http://schemas.microsoft.com/office/drawing/2010/main" val="0"/>
                        </a:ext>
                      </a:extLst>
                    </a:blip>
                    <a:stretch>
                      <a:fillRect/>
                    </a:stretch>
                  </pic:blipFill>
                  <pic:spPr>
                    <a:xfrm rot="10800000">
                      <a:off x="0" y="0"/>
                      <a:ext cx="8727160" cy="12344400"/>
                    </a:xfrm>
                    <a:prstGeom prst="rect">
                      <a:avLst/>
                    </a:prstGeom>
                  </pic:spPr>
                </pic:pic>
              </a:graphicData>
            </a:graphic>
            <wp14:sizeRelH relativeFrom="page">
              <wp14:pctWidth>0</wp14:pctWidth>
            </wp14:sizeRelH>
            <wp14:sizeRelV relativeFrom="page">
              <wp14:pctHeight>0</wp14:pctHeight>
            </wp14:sizeRelV>
          </wp:anchor>
        </w:drawing>
      </w:r>
      <w:r w:rsidR="00FA42CB" w:rsidRPr="00083E3E">
        <w:t xml:space="preserve">Schools are critical sites of support, but implementation </w:t>
      </w:r>
      <w:r>
        <w:t xml:space="preserve">often </w:t>
      </w:r>
      <w:r w:rsidR="00FA42CB" w:rsidRPr="00083E3E">
        <w:t>remains inconsistent.</w:t>
      </w:r>
      <w:bookmarkEnd w:id="26"/>
      <w:r w:rsidR="004B54A9" w:rsidRPr="004B54A9">
        <w:rPr>
          <w:noProof/>
        </w:rPr>
        <w:t xml:space="preserve"> </w:t>
      </w:r>
    </w:p>
    <w:p w14:paraId="0B8BEB74" w14:textId="114F9E85" w:rsidR="00BF0A74" w:rsidRPr="00083E3E" w:rsidRDefault="007E49C5" w:rsidP="0005607E">
      <w:pPr>
        <w:jc w:val="both"/>
      </w:pPr>
      <w:r w:rsidRPr="00083E3E">
        <w:t xml:space="preserve">In several of the listening sessions, </w:t>
      </w:r>
      <w:r w:rsidR="00897D82">
        <w:t xml:space="preserve">caregivers </w:t>
      </w:r>
      <w:r w:rsidRPr="00083E3E">
        <w:t xml:space="preserve">and youth </w:t>
      </w:r>
      <w:r w:rsidR="00BF0A74" w:rsidRPr="00083E3E">
        <w:t>described</w:t>
      </w:r>
      <w:r w:rsidR="00897D82">
        <w:t xml:space="preserve"> some Massachusetts</w:t>
      </w:r>
      <w:r w:rsidR="00BF0A74" w:rsidRPr="00083E3E">
        <w:t xml:space="preserve"> schools </w:t>
      </w:r>
      <w:r w:rsidR="00897D82">
        <w:t xml:space="preserve">across the state </w:t>
      </w:r>
      <w:r w:rsidR="00BF0A74" w:rsidRPr="00083E3E">
        <w:t xml:space="preserve">as inconsistent or sometimes performative in their support, while </w:t>
      </w:r>
      <w:r w:rsidR="00897D82">
        <w:t>superintendents in their listening sessions</w:t>
      </w:r>
      <w:r w:rsidR="00BF0A74" w:rsidRPr="00083E3E">
        <w:t xml:space="preserve"> described staff who are committed but underprepared. Across </w:t>
      </w:r>
      <w:r w:rsidRPr="00083E3E">
        <w:t xml:space="preserve">the </w:t>
      </w:r>
      <w:r w:rsidR="00BF0A74" w:rsidRPr="00083E3E">
        <w:t>sessions, participants called for clearer guidance</w:t>
      </w:r>
      <w:r w:rsidRPr="00083E3E">
        <w:t xml:space="preserve"> for school staff</w:t>
      </w:r>
      <w:r w:rsidR="00BF0A74" w:rsidRPr="00083E3E">
        <w:t xml:space="preserve">, staff training, </w:t>
      </w:r>
      <w:r w:rsidRPr="00083E3E">
        <w:t xml:space="preserve">more </w:t>
      </w:r>
      <w:r w:rsidR="00BF0A74" w:rsidRPr="00083E3E">
        <w:t>visible leadership, consistent enforcement of rules</w:t>
      </w:r>
      <w:r w:rsidRPr="00083E3E">
        <w:t xml:space="preserve"> for students and teachers</w:t>
      </w:r>
      <w:r w:rsidR="00BF0A74" w:rsidRPr="00083E3E">
        <w:t>, and stronger support for GSAs.</w:t>
      </w:r>
      <w:r w:rsidRPr="00083E3E">
        <w:t xml:space="preserve"> Additionally, youth frequently discussed – not only in the Commission’s listening sessions but also in its Regional GSA meetings across the state – how gender-neutral bathrooms in schools (if the school even has one) are frequently locked and unavailable to gender expansive students who need them.</w:t>
      </w:r>
    </w:p>
    <w:p w14:paraId="3D8D4720" w14:textId="348B92F3" w:rsidR="00FA42CB" w:rsidRPr="00083E3E" w:rsidRDefault="00FA42CB" w:rsidP="00E97E73">
      <w:pPr>
        <w:pStyle w:val="Heading3"/>
      </w:pPr>
      <w:bookmarkStart w:id="27" w:name="_Toc230277261"/>
      <w:r w:rsidRPr="00083E3E">
        <w:t>Adult education and misinformation responses are urgent.</w:t>
      </w:r>
      <w:bookmarkEnd w:id="27"/>
    </w:p>
    <w:p w14:paraId="2DEF3ECF" w14:textId="3AC1B6CA" w:rsidR="00B219D7" w:rsidRDefault="001766F7" w:rsidP="0005607E">
      <w:pPr>
        <w:jc w:val="both"/>
      </w:pPr>
      <w:r w:rsidRPr="00083E3E">
        <w:t>Y</w:t>
      </w:r>
      <w:r w:rsidR="00BF0A74" w:rsidRPr="00083E3E">
        <w:t xml:space="preserve">outh repeatedly </w:t>
      </w:r>
      <w:r w:rsidRPr="00083E3E">
        <w:t xml:space="preserve">reported </w:t>
      </w:r>
      <w:r w:rsidR="00BF0A74" w:rsidRPr="00083E3E">
        <w:t>having to explain LGBTQ identities, pronouns, gender-affirming care, and basic terminology to adults. Providers and school leaders called for better professional development, public education, accurate information, and guidance that helps adults support youth even when they do not fully understand every identity.</w:t>
      </w:r>
      <w:r w:rsidR="00C35BBC" w:rsidRPr="00083E3E">
        <w:t xml:space="preserve"> Additionally, many </w:t>
      </w:r>
      <w:r w:rsidR="0054417F" w:rsidRPr="00083E3E">
        <w:t>youths</w:t>
      </w:r>
      <w:r w:rsidR="00C35BBC" w:rsidRPr="00083E3E">
        <w:t xml:space="preserve"> shared often feeling targeted or used as a political pawn alongside significant concerns about whether Massachusetts legal protections will continue to hold. Youth specifically raised a desire to see Massachusetts leader</w:t>
      </w:r>
      <w:r w:rsidR="00B219D7">
        <w:t>s</w:t>
      </w:r>
      <w:r w:rsidR="00C35BBC" w:rsidRPr="00083E3E">
        <w:t xml:space="preserve"> being more consistent with their support and to reassure trans youth that harmful laws from other states will not be adopted in Massachusetts, such as the driver’s license law passed in Kansas. </w:t>
      </w:r>
    </w:p>
    <w:p w14:paraId="5D83787C" w14:textId="6D954CE7" w:rsidR="00BF0A74" w:rsidRPr="00083E3E" w:rsidRDefault="00B219D7" w:rsidP="0005607E">
      <w:pPr>
        <w:jc w:val="both"/>
      </w:pPr>
      <w:r>
        <w:t>Additionally</w:t>
      </w:r>
      <w:r w:rsidR="00C35BBC" w:rsidRPr="00083E3E">
        <w:t xml:space="preserve">, in the superintendents listening session, participants raised a </w:t>
      </w:r>
      <w:r>
        <w:t xml:space="preserve">gratitude </w:t>
      </w:r>
      <w:r w:rsidR="00C35BBC" w:rsidRPr="00083E3E">
        <w:t xml:space="preserve">for Massachusetts </w:t>
      </w:r>
      <w:r>
        <w:t xml:space="preserve">legal </w:t>
      </w:r>
      <w:r w:rsidR="00C35BBC" w:rsidRPr="00083E3E">
        <w:t>protections, DESE guidance, and programs like Safe Schools, but also raised concerns about whether laws are understood, enforced, funded, and durable in the face of federal pressure. District leaders and</w:t>
      </w:r>
      <w:r>
        <w:t xml:space="preserve"> community</w:t>
      </w:r>
      <w:r w:rsidR="00C35BBC" w:rsidRPr="00083E3E">
        <w:t xml:space="preserve"> providers stated </w:t>
      </w:r>
      <w:r>
        <w:t xml:space="preserve">needs </w:t>
      </w:r>
      <w:r w:rsidR="00C35BBC" w:rsidRPr="00083E3E">
        <w:t>for clear, timely guidance and reassurance that they will not be left alone.</w:t>
      </w:r>
    </w:p>
    <w:p w14:paraId="7D73B8FA" w14:textId="285B9175" w:rsidR="00FA42CB" w:rsidRPr="00083E3E" w:rsidRDefault="00FA42CB" w:rsidP="00E97E73">
      <w:pPr>
        <w:pStyle w:val="Heading3"/>
      </w:pPr>
      <w:bookmarkStart w:id="28" w:name="_Toc230277262"/>
      <w:r w:rsidRPr="00083E3E">
        <w:t>Funding instability threatens the programs youth rely on the most.</w:t>
      </w:r>
      <w:bookmarkEnd w:id="28"/>
    </w:p>
    <w:p w14:paraId="26834E43" w14:textId="101BC2BB" w:rsidR="00BF0A74" w:rsidRPr="00083E3E" w:rsidRDefault="00C35BBC" w:rsidP="0005607E">
      <w:pPr>
        <w:jc w:val="both"/>
      </w:pPr>
      <w:r w:rsidRPr="00083E3E">
        <w:t xml:space="preserve">Community-based organizations consistently </w:t>
      </w:r>
      <w:r w:rsidR="00BF0A74" w:rsidRPr="00083E3E">
        <w:t xml:space="preserve">described </w:t>
      </w:r>
      <w:r w:rsidRPr="00083E3E">
        <w:t xml:space="preserve">funding instability as one of the most significant threats to their ability to support LGBTQ youth. Providers named </w:t>
      </w:r>
      <w:r w:rsidR="00BF0A74" w:rsidRPr="00083E3E">
        <w:t xml:space="preserve">federal </w:t>
      </w:r>
      <w:r w:rsidRPr="00083E3E">
        <w:t xml:space="preserve">funding </w:t>
      </w:r>
      <w:r w:rsidR="00BF0A74" w:rsidRPr="00083E3E">
        <w:t xml:space="preserve">cuts, </w:t>
      </w:r>
      <w:r w:rsidRPr="00083E3E">
        <w:t xml:space="preserve">short-term grants and </w:t>
      </w:r>
      <w:r w:rsidR="00BF0A74" w:rsidRPr="00083E3E">
        <w:t xml:space="preserve">grant instability, </w:t>
      </w:r>
      <w:r w:rsidRPr="00083E3E">
        <w:t>shrinking interests from private philanthropy</w:t>
      </w:r>
      <w:r w:rsidR="00BF0A74" w:rsidRPr="00083E3E">
        <w:t xml:space="preserve">, staff burnout, loss of case managers, limited shelter beds, and </w:t>
      </w:r>
      <w:r w:rsidRPr="00083E3E">
        <w:t>insufficient general operating support as barriers to maintaining consistent services</w:t>
      </w:r>
      <w:r w:rsidR="00BF0A74" w:rsidRPr="00083E3E">
        <w:t>.</w:t>
      </w:r>
      <w:r w:rsidRPr="00083E3E">
        <w:t xml:space="preserve"> Several organizations also described “performative” or temporary funding that supports a program for a short period of </w:t>
      </w:r>
      <w:r w:rsidR="00B443A2" w:rsidRPr="00083E3E">
        <w:t>time but</w:t>
      </w:r>
      <w:r w:rsidRPr="00083E3E">
        <w:t xml:space="preserve"> does not allow </w:t>
      </w:r>
      <w:r w:rsidR="00BC6653">
        <w:rPr>
          <w:noProof/>
        </w:rPr>
        <w:lastRenderedPageBreak/>
        <w:drawing>
          <wp:anchor distT="0" distB="0" distL="114300" distR="114300" simplePos="0" relativeHeight="251792384" behindDoc="1" locked="0" layoutInCell="1" allowOverlap="1" wp14:anchorId="54C0A060" wp14:editId="53DF94F8">
            <wp:simplePos x="0" y="0"/>
            <wp:positionH relativeFrom="column">
              <wp:posOffset>-1157264</wp:posOffset>
            </wp:positionH>
            <wp:positionV relativeFrom="paragraph">
              <wp:posOffset>-1276815</wp:posOffset>
            </wp:positionV>
            <wp:extent cx="8727160" cy="12344400"/>
            <wp:effectExtent l="0" t="0" r="0" b="0"/>
            <wp:wrapNone/>
            <wp:docPr id="809277143"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277143" name="Picture 41">
                      <a:extLst>
                        <a:ext uri="{C183D7F6-B498-43B3-948B-1728B52AA6E4}">
                          <adec:decorative xmlns:adec="http://schemas.microsoft.com/office/drawing/2017/decorative" val="1"/>
                        </a:ext>
                      </a:extLst>
                    </pic:cNvPr>
                    <pic:cNvPicPr/>
                  </pic:nvPicPr>
                  <pic:blipFill>
                    <a:blip r:embed="rId14">
                      <a:alphaModFix amt="50000"/>
                      <a:extLst>
                        <a:ext uri="{28A0092B-C50C-407E-A947-70E740481C1C}">
                          <a14:useLocalDpi xmlns:a14="http://schemas.microsoft.com/office/drawing/2010/main" val="0"/>
                        </a:ext>
                      </a:extLst>
                    </a:blip>
                    <a:stretch>
                      <a:fillRect/>
                    </a:stretch>
                  </pic:blipFill>
                  <pic:spPr>
                    <a:xfrm>
                      <a:off x="0" y="0"/>
                      <a:ext cx="8727160" cy="12344400"/>
                    </a:xfrm>
                    <a:prstGeom prst="rect">
                      <a:avLst/>
                    </a:prstGeom>
                  </pic:spPr>
                </pic:pic>
              </a:graphicData>
            </a:graphic>
            <wp14:sizeRelH relativeFrom="page">
              <wp14:pctWidth>0</wp14:pctWidth>
            </wp14:sizeRelH>
            <wp14:sizeRelV relativeFrom="page">
              <wp14:pctHeight>0</wp14:pctHeight>
            </wp14:sizeRelV>
          </wp:anchor>
        </w:drawing>
      </w:r>
      <w:r w:rsidRPr="00083E3E">
        <w:t xml:space="preserve">organizations to build sustainable infrastructure to respond to year-round needs. This instability is especially concerning given that many of these programs most affected are the same programs that youth most rely upon for basic needs, peer connection, crisis support, housing navigation, and trusted adult relationships. Participants emphasized that Massachusetts must more deeply invest and prioritize existing community-based programs with flexible funding that allows organizations to respond to the needs youth </w:t>
      </w:r>
      <w:r w:rsidR="00B443A2" w:rsidRPr="00083E3E">
        <w:t>identify</w:t>
      </w:r>
      <w:r w:rsidRPr="00083E3E">
        <w:t>.</w:t>
      </w:r>
    </w:p>
    <w:p w14:paraId="63093270" w14:textId="505CB86B" w:rsidR="00FA42CB" w:rsidRPr="00083E3E" w:rsidRDefault="00FA42CB" w:rsidP="00E97E73">
      <w:pPr>
        <w:pStyle w:val="Heading3"/>
      </w:pPr>
      <w:bookmarkStart w:id="29" w:name="_Toc230277263"/>
      <w:r w:rsidRPr="00083E3E">
        <w:t>Coordination exists, but</w:t>
      </w:r>
      <w:r w:rsidR="00BC6653">
        <w:t xml:space="preserve"> many state</w:t>
      </w:r>
      <w:r w:rsidRPr="00083E3E">
        <w:t xml:space="preserve"> systems remain fragmented.</w:t>
      </w:r>
      <w:bookmarkEnd w:id="29"/>
    </w:p>
    <w:p w14:paraId="1B066CA7" w14:textId="3FB91E21" w:rsidR="00083E3E" w:rsidRPr="00083E3E" w:rsidRDefault="00083E3E" w:rsidP="0005607E">
      <w:pPr>
        <w:jc w:val="both"/>
      </w:pPr>
      <w:r w:rsidRPr="00083E3E">
        <w:t xml:space="preserve">In the listening sessions, many organizations described having strong local partnerships and deep informal collaboration across schools, other community organizations, providers, and advocates. However, participants also noted that these partnerships are frequently uneven, </w:t>
      </w:r>
      <w:proofErr w:type="gramStart"/>
      <w:r w:rsidRPr="00083E3E">
        <w:t>siloed</w:t>
      </w:r>
      <w:proofErr w:type="gramEnd"/>
      <w:r w:rsidRPr="00083E3E">
        <w:t xml:space="preserve"> by region and interests, and often dependent on individual staff relationships. When staff leave, referral pathways and institutional knowledge can collapse which leaves youth and families without clear guidance about where to turn. Participants also described a need for stronger statewide coordination, clearer resource mapping, and better cross-agency collaboration. Youth whose needs intersect within multiple systems uplifted these needs, particularly those who interact with the housing, child welfare, and mental health systems.</w:t>
      </w:r>
    </w:p>
    <w:p w14:paraId="64080DB9" w14:textId="07DE018A" w:rsidR="00FA42CB" w:rsidRPr="00083E3E" w:rsidRDefault="00FA42CB" w:rsidP="00E97E73">
      <w:pPr>
        <w:pStyle w:val="Heading3"/>
      </w:pPr>
      <w:bookmarkStart w:id="30" w:name="_Toc230277264"/>
      <w:r w:rsidRPr="00083E3E">
        <w:t xml:space="preserve">LGBTQ youth of color, trans youth, immigrant youth, rural youth, and  youth </w:t>
      </w:r>
      <w:r w:rsidR="00BC6653">
        <w:t xml:space="preserve">experiencing homelessness </w:t>
      </w:r>
      <w:r w:rsidRPr="00083E3E">
        <w:t>face compounded barriers.</w:t>
      </w:r>
      <w:bookmarkEnd w:id="30"/>
    </w:p>
    <w:p w14:paraId="7DAFEBFF" w14:textId="4A4F30AE" w:rsidR="00083E3E" w:rsidRPr="00083E3E" w:rsidRDefault="00083E3E" w:rsidP="0005607E">
      <w:pPr>
        <w:jc w:val="both"/>
      </w:pPr>
      <w:r w:rsidRPr="00083E3E">
        <w:t>Across listening sessions, participants emphasized that LGBTQ youth do not experience barriers in isolation. Youth of color, transgender and gender expansive youth, immigrant youth, rural youth, youth</w:t>
      </w:r>
      <w:r w:rsidR="00BC6653">
        <w:t xml:space="preserve"> experiencing homelessness</w:t>
      </w:r>
      <w:r w:rsidRPr="00083E3E">
        <w:t>, and youth involved in state systems often face overlapping forms of discrimination and exclusion, particularly where identities intersect. These barriers include racism, poverty, immigration-related fear, housing instability, lack of culturally responsive providers, limited transportation, justice-system involvement, and uneven access to affirming services outside major urban areas. Participants also noted that youth in rural communities or less densely populated regions may have fewer LGBTQ-specific spaces, fewer affirming providers, and longer travel times to access care or community support. These compounded barriers point to the need for policies and programs that do not treat LGBTQ youth as a monolithic group, but instead account for the ways geography, race, immigration status, disability, income, housing status, and gender identity shape access to safety and support.</w:t>
      </w:r>
    </w:p>
    <w:p w14:paraId="36BFBEEC" w14:textId="07A70970" w:rsidR="00FA42CB" w:rsidRPr="00083E3E" w:rsidRDefault="00BC6653" w:rsidP="00E97E73">
      <w:pPr>
        <w:pStyle w:val="Heading3"/>
      </w:pPr>
      <w:bookmarkStart w:id="31" w:name="_Toc230277265"/>
      <w:r>
        <w:rPr>
          <w:noProof/>
        </w:rPr>
        <w:lastRenderedPageBreak/>
        <w:drawing>
          <wp:anchor distT="0" distB="0" distL="114300" distR="114300" simplePos="0" relativeHeight="251805696" behindDoc="1" locked="0" layoutInCell="1" allowOverlap="1" wp14:anchorId="3484A23F" wp14:editId="66B64A32">
            <wp:simplePos x="0" y="0"/>
            <wp:positionH relativeFrom="column">
              <wp:posOffset>-1485900</wp:posOffset>
            </wp:positionH>
            <wp:positionV relativeFrom="paragraph">
              <wp:posOffset>-1006286</wp:posOffset>
            </wp:positionV>
            <wp:extent cx="8727160" cy="12344400"/>
            <wp:effectExtent l="0" t="0" r="0" b="0"/>
            <wp:wrapNone/>
            <wp:docPr id="1672150638"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150638" name="Picture 41">
                      <a:extLst>
                        <a:ext uri="{C183D7F6-B498-43B3-948B-1728B52AA6E4}">
                          <adec:decorative xmlns:adec="http://schemas.microsoft.com/office/drawing/2017/decorative" val="1"/>
                        </a:ext>
                      </a:extLst>
                    </pic:cNvPr>
                    <pic:cNvPicPr/>
                  </pic:nvPicPr>
                  <pic:blipFill>
                    <a:blip r:embed="rId14">
                      <a:alphaModFix amt="50000"/>
                      <a:extLst>
                        <a:ext uri="{28A0092B-C50C-407E-A947-70E740481C1C}">
                          <a14:useLocalDpi xmlns:a14="http://schemas.microsoft.com/office/drawing/2010/main" val="0"/>
                        </a:ext>
                      </a:extLst>
                    </a:blip>
                    <a:stretch>
                      <a:fillRect/>
                    </a:stretch>
                  </pic:blipFill>
                  <pic:spPr>
                    <a:xfrm>
                      <a:off x="0" y="0"/>
                      <a:ext cx="8727160" cy="12344400"/>
                    </a:xfrm>
                    <a:prstGeom prst="rect">
                      <a:avLst/>
                    </a:prstGeom>
                  </pic:spPr>
                </pic:pic>
              </a:graphicData>
            </a:graphic>
            <wp14:sizeRelH relativeFrom="page">
              <wp14:pctWidth>0</wp14:pctWidth>
            </wp14:sizeRelH>
            <wp14:sizeRelV relativeFrom="page">
              <wp14:pctHeight>0</wp14:pctHeight>
            </wp14:sizeRelV>
          </wp:anchor>
        </w:drawing>
      </w:r>
      <w:r w:rsidR="00FA42CB" w:rsidRPr="00083E3E">
        <w:t>Joy, creativity, and community are protective and should be centered</w:t>
      </w:r>
      <w:r>
        <w:t xml:space="preserve"> wherever possible</w:t>
      </w:r>
      <w:r w:rsidR="00FA42CB" w:rsidRPr="00083E3E">
        <w:t>.</w:t>
      </w:r>
      <w:bookmarkEnd w:id="31"/>
    </w:p>
    <w:p w14:paraId="292A4AA4" w14:textId="52A10E1B" w:rsidR="00083E3E" w:rsidRDefault="00083E3E" w:rsidP="00A615F1">
      <w:pPr>
        <w:jc w:val="both"/>
      </w:pPr>
      <w:r w:rsidRPr="00083E3E">
        <w:t>Participants repeatedly emphasized that LGBTQ youth should not only be discussed through crisis, risk, or negative data. While youth and providers named serious concerns related to safety, mental health, housing, and access to care, they also described joy, creativity, peer connection, and community care as essential protective factors. Pride events, art, nightlife, peer programs, sticker-making, drag, balls, youth leadership, and community gatherings were all named as spaces where LGBTQ youth and communities build resilience, belonging, and hope. Several youth and organizational participants stressed that centering joy is not separate from policy work; it is part of what helps young people survive, connect, and imagine futures for themselves. This theme suggests that state and community responses should support not only crisis intervention, but also the affirming spaces, cultural programs, leadership opportunities, and creative outlets that allow LGB</w:t>
      </w:r>
      <w:r w:rsidR="00A615F1">
        <w:t>T</w:t>
      </w:r>
      <w:r w:rsidRPr="00083E3E">
        <w:t>Q youth to flourish.</w:t>
      </w:r>
      <w:r w:rsidR="004B54A9" w:rsidRPr="004B54A9">
        <w:rPr>
          <w:noProof/>
        </w:rPr>
        <w:t xml:space="preserve"> </w:t>
      </w:r>
    </w:p>
    <w:tbl>
      <w:tblPr>
        <w:tblpPr w:leftFromText="180" w:rightFromText="180" w:vertAnchor="text" w:horzAnchor="margin" w:tblpY="148"/>
        <w:tblW w:w="9630" w:type="dxa"/>
        <w:tblCellMar>
          <w:top w:w="72" w:type="dxa"/>
          <w:left w:w="0" w:type="dxa"/>
          <w:bottom w:w="72" w:type="dxa"/>
          <w:right w:w="0" w:type="dxa"/>
        </w:tblCellMar>
        <w:tblLook w:val="04A0" w:firstRow="1" w:lastRow="0" w:firstColumn="1" w:lastColumn="0" w:noHBand="0" w:noVBand="1"/>
      </w:tblPr>
      <w:tblGrid>
        <w:gridCol w:w="9630"/>
      </w:tblGrid>
      <w:tr w:rsidR="00A615F1" w:rsidRPr="00DA70FC" w14:paraId="4F599E30" w14:textId="77777777" w:rsidTr="00A615F1">
        <w:trPr>
          <w:trHeight w:val="1440"/>
        </w:trPr>
        <w:tc>
          <w:tcPr>
            <w:tcW w:w="9630" w:type="dxa"/>
            <w:vAlign w:val="center"/>
          </w:tcPr>
          <w:p w14:paraId="60B56FC1" w14:textId="695C5A99" w:rsidR="00A615F1" w:rsidRPr="00A615F1" w:rsidRDefault="00A615F1" w:rsidP="00A615F1">
            <w:pPr>
              <w:rPr>
                <w:rStyle w:val="QuoteChar"/>
                <w:bCs/>
                <w:color w:val="AD84C6" w:themeColor="accent1"/>
                <w:sz w:val="36"/>
                <w:szCs w:val="36"/>
              </w:rPr>
            </w:pPr>
            <w:r w:rsidRPr="00A615F1">
              <w:rPr>
                <w:rStyle w:val="QuoteChar"/>
                <w:bCs/>
                <w:color w:val="AD84C6" w:themeColor="accent1"/>
                <w:sz w:val="36"/>
                <w:szCs w:val="36"/>
              </w:rPr>
              <w:t>“What should policy makers understand that they may currently be missing?</w:t>
            </w:r>
          </w:p>
          <w:p w14:paraId="2B8D23E5" w14:textId="2A674E28" w:rsidR="00A615F1" w:rsidRPr="00DA70FC" w:rsidRDefault="00A615F1" w:rsidP="00E97E73">
            <w:pPr>
              <w:pStyle w:val="Heading3"/>
              <w:rPr>
                <w:rStyle w:val="IntenseEmphasis"/>
              </w:rPr>
            </w:pPr>
            <w:bookmarkStart w:id="32" w:name="_Toc230277266"/>
            <w:r w:rsidRPr="00DA70FC">
              <w:rPr>
                <w:rStyle w:val="IntenseEmphasis"/>
              </w:rPr>
              <w:t>“Acceptance is suicide prevention.”</w:t>
            </w:r>
            <w:bookmarkEnd w:id="32"/>
          </w:p>
          <w:p w14:paraId="1EEC9CDB" w14:textId="76F959BD" w:rsidR="006028DF" w:rsidRPr="006028DF" w:rsidRDefault="00A615F1" w:rsidP="006028DF">
            <w:pPr>
              <w:pStyle w:val="Heading3"/>
              <w:rPr>
                <w:b w:val="0"/>
                <w:bCs w:val="0"/>
                <w:caps w:val="0"/>
                <w:spacing w:val="10"/>
              </w:rPr>
            </w:pPr>
            <w:bookmarkStart w:id="33" w:name="_Toc230277267"/>
            <w:r w:rsidRPr="00DA70FC">
              <w:rPr>
                <w:rStyle w:val="IntenseEmphasis"/>
              </w:rPr>
              <w:t>“Compassion over comprehension – you don’t need to understand what it’s like to be LGBTQ+ to have compassion and help.”</w:t>
            </w:r>
            <w:bookmarkEnd w:id="33"/>
          </w:p>
          <w:p w14:paraId="793DAC7C" w14:textId="48FB59B8" w:rsidR="00A615F1" w:rsidRPr="00DA70FC" w:rsidRDefault="00A615F1" w:rsidP="00E97E73">
            <w:pPr>
              <w:pStyle w:val="Heading3"/>
              <w:rPr>
                <w:rStyle w:val="IntenseEmphasis"/>
              </w:rPr>
            </w:pPr>
            <w:bookmarkStart w:id="34" w:name="_Toc230277268"/>
            <w:proofErr w:type="gramStart"/>
            <w:r w:rsidRPr="00DA70FC">
              <w:rPr>
                <w:rStyle w:val="IntenseEmphasis"/>
              </w:rPr>
              <w:t>“[That] we’re</w:t>
            </w:r>
            <w:proofErr w:type="gramEnd"/>
            <w:r w:rsidRPr="00DA70FC">
              <w:rPr>
                <w:rStyle w:val="IntenseEmphasis"/>
              </w:rPr>
              <w:t xml:space="preserve"> human, just like them. Not less than.”</w:t>
            </w:r>
            <w:bookmarkEnd w:id="34"/>
          </w:p>
          <w:p w14:paraId="4E0F15F8" w14:textId="6AAFFC16" w:rsidR="00A615F1" w:rsidRPr="00DA70FC" w:rsidRDefault="00A615F1" w:rsidP="00E97E73">
            <w:pPr>
              <w:pStyle w:val="Heading3"/>
              <w:rPr>
                <w:rStyle w:val="IntenseEmphasis"/>
              </w:rPr>
            </w:pPr>
            <w:bookmarkStart w:id="35" w:name="_Toc230277269"/>
            <w:r w:rsidRPr="00DA70FC">
              <w:rPr>
                <w:rStyle w:val="IntenseEmphasis"/>
              </w:rPr>
              <w:t>“Don’t underestimate the need for support during the ‘off-season’ – everyone wants to volunteer during Pride season, but year-round support is critical.”</w:t>
            </w:r>
            <w:bookmarkEnd w:id="35"/>
          </w:p>
          <w:p w14:paraId="33CAADED" w14:textId="77777777" w:rsidR="00A615F1" w:rsidRPr="00DA70FC" w:rsidRDefault="00A615F1" w:rsidP="00E97E73">
            <w:pPr>
              <w:pStyle w:val="Heading3"/>
              <w:rPr>
                <w:rStyle w:val="IntenseEmphasis"/>
              </w:rPr>
            </w:pPr>
            <w:bookmarkStart w:id="36" w:name="_Toc230277270"/>
            <w:r w:rsidRPr="00DA70FC">
              <w:rPr>
                <w:rStyle w:val="IntenseEmphasis"/>
              </w:rPr>
              <w:t>“Some of the challenges we’re seeing are related to the federal administration, but some are also just challenges that queer and trans youth experience.”</w:t>
            </w:r>
            <w:bookmarkEnd w:id="36"/>
          </w:p>
          <w:p w14:paraId="017F26FB" w14:textId="2C8CC9AD" w:rsidR="00A615F1" w:rsidRPr="00DA70FC" w:rsidRDefault="00A615F1" w:rsidP="00E97E73">
            <w:pPr>
              <w:pStyle w:val="Heading3"/>
              <w:rPr>
                <w:rStyle w:val="IntenseEmphasis"/>
              </w:rPr>
            </w:pPr>
            <w:bookmarkStart w:id="37" w:name="_Toc230277271"/>
            <w:r w:rsidRPr="00DA70FC">
              <w:rPr>
                <w:rStyle w:val="IntenseEmphasis"/>
              </w:rPr>
              <w:t>“Young people aren’t look as much for affirmation – they’re looking for practical support and advice, like ‘how do I find a job’?”</w:t>
            </w:r>
            <w:bookmarkEnd w:id="37"/>
          </w:p>
          <w:p w14:paraId="06072269" w14:textId="26F4FF0F" w:rsidR="00A615F1" w:rsidRPr="00DA70FC" w:rsidRDefault="00A615F1" w:rsidP="00E97E73">
            <w:pPr>
              <w:pStyle w:val="Heading3"/>
              <w:rPr>
                <w:rStyle w:val="IntenseEmphasis"/>
              </w:rPr>
            </w:pPr>
            <w:bookmarkStart w:id="38" w:name="_Toc230277272"/>
            <w:r w:rsidRPr="00DA70FC">
              <w:rPr>
                <w:rStyle w:val="IntenseEmphasis"/>
              </w:rPr>
              <w:t>“There are many social determinants of well-being and there isn’t just one fix to their mental health.”</w:t>
            </w:r>
            <w:bookmarkEnd w:id="38"/>
          </w:p>
          <w:p w14:paraId="5ABFC49A" w14:textId="63C1DA46" w:rsidR="00A615F1" w:rsidRDefault="00A615F1" w:rsidP="00E97E73">
            <w:pPr>
              <w:pStyle w:val="Heading3"/>
              <w:rPr>
                <w:rStyle w:val="IntenseEmphasis"/>
              </w:rPr>
            </w:pPr>
            <w:bookmarkStart w:id="39" w:name="_Toc230277273"/>
            <w:r w:rsidRPr="00DA70FC">
              <w:rPr>
                <w:rStyle w:val="IntenseEmphasis"/>
              </w:rPr>
              <w:t xml:space="preserve">“Trans experience is not a monolith… adults tend to come into spaces thinking we know what youth need or what’s best for them. I would love to see more legislators and </w:t>
            </w:r>
            <w:r w:rsidR="00BC6653">
              <w:rPr>
                <w:noProof/>
              </w:rPr>
              <w:lastRenderedPageBreak/>
              <w:drawing>
                <wp:anchor distT="0" distB="0" distL="114300" distR="114300" simplePos="0" relativeHeight="251807744" behindDoc="1" locked="0" layoutInCell="1" allowOverlap="1" wp14:anchorId="280A9C27" wp14:editId="669C2CE7">
                  <wp:simplePos x="0" y="0"/>
                  <wp:positionH relativeFrom="column">
                    <wp:posOffset>-1858010</wp:posOffset>
                  </wp:positionH>
                  <wp:positionV relativeFrom="paragraph">
                    <wp:posOffset>-1170940</wp:posOffset>
                  </wp:positionV>
                  <wp:extent cx="8726805" cy="12344400"/>
                  <wp:effectExtent l="0" t="0" r="0" b="0"/>
                  <wp:wrapNone/>
                  <wp:docPr id="1987276696"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276696" name="Picture 41">
                            <a:extLst>
                              <a:ext uri="{C183D7F6-B498-43B3-948B-1728B52AA6E4}">
                                <adec:decorative xmlns:adec="http://schemas.microsoft.com/office/drawing/2017/decorative" val="1"/>
                              </a:ext>
                            </a:extLst>
                          </pic:cNvPr>
                          <pic:cNvPicPr/>
                        </pic:nvPicPr>
                        <pic:blipFill>
                          <a:blip r:embed="rId14">
                            <a:alphaModFix amt="50000"/>
                            <a:extLst>
                              <a:ext uri="{28A0092B-C50C-407E-A947-70E740481C1C}">
                                <a14:useLocalDpi xmlns:a14="http://schemas.microsoft.com/office/drawing/2010/main" val="0"/>
                              </a:ext>
                            </a:extLst>
                          </a:blip>
                          <a:stretch>
                            <a:fillRect/>
                          </a:stretch>
                        </pic:blipFill>
                        <pic:spPr>
                          <a:xfrm rot="10800000">
                            <a:off x="0" y="0"/>
                            <a:ext cx="8726805" cy="12344400"/>
                          </a:xfrm>
                          <a:prstGeom prst="rect">
                            <a:avLst/>
                          </a:prstGeom>
                        </pic:spPr>
                      </pic:pic>
                    </a:graphicData>
                  </a:graphic>
                  <wp14:sizeRelH relativeFrom="page">
                    <wp14:pctWidth>0</wp14:pctWidth>
                  </wp14:sizeRelH>
                  <wp14:sizeRelV relativeFrom="page">
                    <wp14:pctHeight>0</wp14:pctHeight>
                  </wp14:sizeRelV>
                </wp:anchor>
              </w:drawing>
            </w:r>
            <w:r w:rsidRPr="00DA70FC">
              <w:rPr>
                <w:rStyle w:val="IntenseEmphasis"/>
              </w:rPr>
              <w:t xml:space="preserve">community leaders who center youth voice and understand their ability to name what </w:t>
            </w:r>
            <w:r w:rsidR="006028DF">
              <w:rPr>
                <w:rStyle w:val="IntenseEmphasis"/>
              </w:rPr>
              <w:br/>
            </w:r>
            <w:r w:rsidRPr="00DA70FC">
              <w:rPr>
                <w:rStyle w:val="IntenseEmphasis"/>
              </w:rPr>
              <w:t>they need.”</w:t>
            </w:r>
            <w:bookmarkEnd w:id="39"/>
          </w:p>
          <w:p w14:paraId="09E61E99" w14:textId="0802EF2F" w:rsidR="00A615F1" w:rsidRPr="00DA70FC" w:rsidRDefault="006028DF" w:rsidP="00E97E73">
            <w:pPr>
              <w:pStyle w:val="Heading3"/>
              <w:rPr>
                <w:rStyle w:val="IntenseEmphasis"/>
              </w:rPr>
            </w:pPr>
            <w:bookmarkStart w:id="40" w:name="_Toc230277274"/>
            <w:r>
              <w:rPr>
                <w:rStyle w:val="IntenseEmphasis"/>
              </w:rPr>
              <w:t>“LGBTQ kids just want to be seen.”</w:t>
            </w:r>
            <w:r>
              <w:rPr>
                <w:rStyle w:val="IntenseEmphasis"/>
              </w:rPr>
              <w:br/>
            </w:r>
            <w:r>
              <w:rPr>
                <w:rStyle w:val="IntenseEmphasis"/>
              </w:rPr>
              <w:br/>
            </w:r>
            <w:r w:rsidR="00A615F1" w:rsidRPr="00DA70FC">
              <w:rPr>
                <w:rStyle w:val="IntenseEmphasis"/>
              </w:rPr>
              <w:t>“Do, don’t just say. Sponsor bills. Hold town halls for LGBTQ youth and youth in general.”</w:t>
            </w:r>
            <w:bookmarkEnd w:id="40"/>
            <w:r w:rsidR="00A615F1">
              <w:rPr>
                <w:noProof/>
              </w:rPr>
              <w:t xml:space="preserve"> </w:t>
            </w:r>
          </w:p>
          <w:p w14:paraId="54643700" w14:textId="77777777" w:rsidR="00A615F1" w:rsidRDefault="00A615F1" w:rsidP="00E97E73">
            <w:pPr>
              <w:pStyle w:val="Heading3"/>
              <w:rPr>
                <w:rStyle w:val="IntenseEmphasis"/>
              </w:rPr>
            </w:pPr>
            <w:bookmarkStart w:id="41" w:name="_Toc230277275"/>
            <w:r w:rsidRPr="00DA70FC">
              <w:rPr>
                <w:rStyle w:val="IntenseEmphasis"/>
              </w:rPr>
              <w:t>“[Make Massachusetts] a sanctuary state where youth can feel comfortable and accepted and welcome in community.”</w:t>
            </w:r>
            <w:bookmarkEnd w:id="41"/>
            <w:r w:rsidRPr="00DA70FC">
              <w:rPr>
                <w:rStyle w:val="IntenseEmphasis"/>
              </w:rPr>
              <w:t xml:space="preserve"> </w:t>
            </w:r>
          </w:p>
          <w:p w14:paraId="7045843E" w14:textId="4FB02892" w:rsidR="00A615F1" w:rsidRDefault="00A615F1" w:rsidP="00A615F1">
            <w:pPr>
              <w:rPr>
                <w:rStyle w:val="SubtleEmphasis"/>
                <w:color w:val="AD84C6" w:themeColor="accent1"/>
                <w:sz w:val="36"/>
                <w:szCs w:val="36"/>
              </w:rPr>
            </w:pPr>
          </w:p>
          <w:p w14:paraId="2140B7CB" w14:textId="1D04FF46" w:rsidR="00A615F1" w:rsidRPr="00A615F1" w:rsidRDefault="00A615F1" w:rsidP="00A615F1">
            <w:pPr>
              <w:keepNext/>
              <w:rPr>
                <w:rStyle w:val="IntenseEmphasis"/>
                <w:b w:val="0"/>
                <w:bCs w:val="0"/>
                <w:i/>
                <w:iCs/>
                <w:caps w:val="0"/>
                <w:color w:val="AD84C6" w:themeColor="accent1"/>
                <w:spacing w:val="0"/>
                <w:sz w:val="36"/>
                <w:szCs w:val="36"/>
              </w:rPr>
            </w:pPr>
            <w:r>
              <w:rPr>
                <w:rStyle w:val="SubtleEmphasis"/>
                <w:color w:val="AD84C6" w:themeColor="accent1"/>
                <w:sz w:val="36"/>
                <w:szCs w:val="36"/>
              </w:rPr>
              <w:t>“What is something giving you hope?”</w:t>
            </w:r>
          </w:p>
          <w:p w14:paraId="5C309538" w14:textId="6B1FB8C9" w:rsidR="00A615F1" w:rsidRPr="00DA70FC" w:rsidRDefault="00A615F1" w:rsidP="00E97E73">
            <w:pPr>
              <w:pStyle w:val="Heading3"/>
              <w:rPr>
                <w:rStyle w:val="IntenseEmphasis"/>
              </w:rPr>
            </w:pPr>
            <w:bookmarkStart w:id="42" w:name="_Toc230277276"/>
            <w:r w:rsidRPr="00DA70FC">
              <w:rPr>
                <w:rStyle w:val="IntenseEmphasis"/>
              </w:rPr>
              <w:t>“Students are awesome… this generation gives us a lot of hope.”</w:t>
            </w:r>
            <w:bookmarkEnd w:id="42"/>
          </w:p>
          <w:p w14:paraId="4ED963AE" w14:textId="59776678" w:rsidR="00A615F1" w:rsidRPr="00DA70FC" w:rsidRDefault="00A615F1" w:rsidP="00E97E73">
            <w:pPr>
              <w:pStyle w:val="Heading3"/>
              <w:rPr>
                <w:rStyle w:val="IntenseEmphasis"/>
              </w:rPr>
            </w:pPr>
            <w:bookmarkStart w:id="43" w:name="_Toc230277277"/>
            <w:r w:rsidRPr="00DA70FC">
              <w:rPr>
                <w:rStyle w:val="IntenseEmphasis"/>
              </w:rPr>
              <w:t>“There are really cool and good people in the field who are super dedicated to supporting young people.”</w:t>
            </w:r>
            <w:bookmarkEnd w:id="43"/>
          </w:p>
          <w:p w14:paraId="04D1D7FE" w14:textId="4A5E5480" w:rsidR="00A615F1" w:rsidRPr="00DA70FC" w:rsidRDefault="00A615F1" w:rsidP="00E97E73">
            <w:pPr>
              <w:pStyle w:val="Heading3"/>
              <w:rPr>
                <w:rStyle w:val="IntenseEmphasis"/>
              </w:rPr>
            </w:pPr>
            <w:bookmarkStart w:id="44" w:name="_Toc230277278"/>
            <w:r w:rsidRPr="00DA70FC">
              <w:rPr>
                <w:rStyle w:val="IntenseEmphasis"/>
              </w:rPr>
              <w:t>“Intergenerational relationships are really giving us hope... Also, creative resistance.”</w:t>
            </w:r>
            <w:bookmarkEnd w:id="44"/>
          </w:p>
          <w:p w14:paraId="0157CD38" w14:textId="77777777" w:rsidR="00A615F1" w:rsidRPr="00DA70FC" w:rsidRDefault="00A615F1" w:rsidP="00E97E73">
            <w:pPr>
              <w:pStyle w:val="Heading3"/>
              <w:rPr>
                <w:rStyle w:val="IntenseEmphasis"/>
              </w:rPr>
            </w:pPr>
            <w:bookmarkStart w:id="45" w:name="_Toc230277279"/>
            <w:r w:rsidRPr="00DA70FC">
              <w:rPr>
                <w:rStyle w:val="IntenseEmphasis"/>
              </w:rPr>
              <w:t>“There are folks who won’t stop trying to push this work forward, even when I am feeling burnt out and things seem hopeless. There is a persistent belief that a better world is possible.”</w:t>
            </w:r>
            <w:bookmarkEnd w:id="45"/>
          </w:p>
          <w:p w14:paraId="20689BB0" w14:textId="058FD6D0" w:rsidR="00A615F1" w:rsidRPr="00DA70FC" w:rsidRDefault="00A615F1" w:rsidP="00E97E73">
            <w:pPr>
              <w:pStyle w:val="Heading3"/>
              <w:rPr>
                <w:rStyle w:val="IntenseEmphasis"/>
              </w:rPr>
            </w:pPr>
            <w:bookmarkStart w:id="46" w:name="_Toc230277280"/>
            <w:r w:rsidRPr="00DA70FC">
              <w:rPr>
                <w:rStyle w:val="IntenseEmphasis"/>
              </w:rPr>
              <w:t>“The young people. They still have a joy that has not yet been shattered by everything that has happened and that feels precious.”</w:t>
            </w:r>
            <w:bookmarkEnd w:id="46"/>
          </w:p>
          <w:p w14:paraId="68296735" w14:textId="77777777" w:rsidR="00A615F1" w:rsidRDefault="00A615F1" w:rsidP="00E97E73">
            <w:pPr>
              <w:pStyle w:val="Heading3"/>
              <w:rPr>
                <w:rStyle w:val="IntenseEmphasis"/>
              </w:rPr>
            </w:pPr>
            <w:bookmarkStart w:id="47" w:name="_Toc230277281"/>
            <w:r w:rsidRPr="00DA70FC">
              <w:rPr>
                <w:rStyle w:val="IntenseEmphasis"/>
              </w:rPr>
              <w:t>“Remembering that so much of what the federal administration puts out there, you shouldn’t take it at face value… The part that gives me hope is remembering that there are lawyers – many of them trans and many of them not – many people are working so hard and doing so much. And that’s how many of these things are getting shut down. I feel like we will always as humans be better than our institutions.”</w:t>
            </w:r>
            <w:bookmarkEnd w:id="47"/>
          </w:p>
          <w:p w14:paraId="17695168" w14:textId="4A02F237" w:rsidR="00A615F1" w:rsidRDefault="00A615F1" w:rsidP="00A615F1">
            <w:pPr>
              <w:rPr>
                <w:rStyle w:val="SubtleEmphasis"/>
                <w:color w:val="AD84C6" w:themeColor="accent1"/>
                <w:sz w:val="36"/>
                <w:szCs w:val="36"/>
              </w:rPr>
            </w:pPr>
            <w:r w:rsidRPr="002337A6">
              <w:rPr>
                <w:rStyle w:val="SubtleEmphasis"/>
                <w:color w:val="AD84C6" w:themeColor="accent1"/>
                <w:sz w:val="36"/>
                <w:szCs w:val="36"/>
              </w:rPr>
              <w:t>“What are challenges you are seeing across the state?”</w:t>
            </w:r>
          </w:p>
          <w:p w14:paraId="3E64C937" w14:textId="53414871" w:rsidR="00A615F1" w:rsidRPr="002337A6" w:rsidRDefault="00A615F1" w:rsidP="00E97E73">
            <w:pPr>
              <w:pStyle w:val="Heading3"/>
              <w:rPr>
                <w:rStyle w:val="IntenseEmphasis"/>
              </w:rPr>
            </w:pPr>
            <w:bookmarkStart w:id="48" w:name="_Toc230277282"/>
            <w:r w:rsidRPr="002337A6">
              <w:rPr>
                <w:rStyle w:val="IntenseEmphasis"/>
              </w:rPr>
              <w:t>“There’s coalition infighting across the state. Young people are organizing but are concerned about being perceived as being ‘on a side</w:t>
            </w:r>
            <w:r w:rsidR="007D658D" w:rsidRPr="002337A6">
              <w:rPr>
                <w:rStyle w:val="IntenseEmphasis"/>
              </w:rPr>
              <w:t>.’</w:t>
            </w:r>
            <w:r w:rsidRPr="002337A6">
              <w:rPr>
                <w:rStyle w:val="IntenseEmphasis"/>
              </w:rPr>
              <w:t xml:space="preserve"> There’s a lot of fractured community discourse and community repair is important.”</w:t>
            </w:r>
            <w:bookmarkEnd w:id="48"/>
          </w:p>
          <w:p w14:paraId="3B8812EE" w14:textId="2B906D2B" w:rsidR="00A615F1" w:rsidRPr="002337A6" w:rsidRDefault="00A615F1" w:rsidP="00E97E73">
            <w:pPr>
              <w:pStyle w:val="Heading3"/>
              <w:rPr>
                <w:rStyle w:val="IntenseEmphasis"/>
              </w:rPr>
            </w:pPr>
            <w:bookmarkStart w:id="49" w:name="_Toc230277283"/>
            <w:r w:rsidRPr="002337A6">
              <w:rPr>
                <w:rStyle w:val="IntenseEmphasis"/>
              </w:rPr>
              <w:lastRenderedPageBreak/>
              <w:t xml:space="preserve">“Youth are thinking ‘Massachusetts state law protects me, but for how long?’ And that’s what they’re terrified of... ‘They’re coming for me and they’re coming for me now.’ So, the combination of lack of media literacy and how bad things are in other places is yielding this terror of not being able to go outside. I have talked with one youth who has not left their house in 9 </w:t>
            </w:r>
            <w:r w:rsidR="00B443A2" w:rsidRPr="002337A6">
              <w:rPr>
                <w:rStyle w:val="IntenseEmphasis"/>
              </w:rPr>
              <w:t>days,</w:t>
            </w:r>
            <w:r w:rsidRPr="002337A6">
              <w:rPr>
                <w:rStyle w:val="IntenseEmphasis"/>
              </w:rPr>
              <w:t xml:space="preserve"> and they have not showered in 7 days, because they are so afraid of what could happen to them.”</w:t>
            </w:r>
            <w:bookmarkEnd w:id="49"/>
          </w:p>
          <w:p w14:paraId="6E4B0708" w14:textId="170C87E3" w:rsidR="00BC6653" w:rsidRPr="00BC6653" w:rsidRDefault="00A615F1" w:rsidP="00BC6653">
            <w:pPr>
              <w:pStyle w:val="Heading3"/>
              <w:rPr>
                <w:b w:val="0"/>
                <w:bCs w:val="0"/>
                <w:caps w:val="0"/>
                <w:spacing w:val="10"/>
              </w:rPr>
            </w:pPr>
            <w:bookmarkStart w:id="50" w:name="_Toc230277284"/>
            <w:r w:rsidRPr="002337A6">
              <w:rPr>
                <w:rStyle w:val="IntenseEmphasis"/>
              </w:rPr>
              <w:t>“Youth have grown up online for better or for worse. They have friends in other states who are living through these things and the youth are just as compassionate as young people have always been. And they are feeling that pain so deeply and they are scared for their friends’ lives.”</w:t>
            </w:r>
            <w:bookmarkEnd w:id="50"/>
          </w:p>
        </w:tc>
      </w:tr>
    </w:tbl>
    <w:p w14:paraId="579AEB7E" w14:textId="3FC79D82" w:rsidR="00BC6653" w:rsidRDefault="00BC6653" w:rsidP="00BC6653">
      <w:pPr>
        <w:pStyle w:val="BodyText"/>
        <w:rPr>
          <w:color w:val="FFFFFF" w:themeColor="background1"/>
          <w:spacing w:val="15"/>
          <w:sz w:val="32"/>
          <w:szCs w:val="32"/>
        </w:rPr>
      </w:pPr>
      <w:bookmarkStart w:id="51" w:name="_Toc230355469"/>
      <w:bookmarkStart w:id="52" w:name="myrbs-analysis"/>
      <w:r>
        <w:rPr>
          <w:noProof/>
        </w:rPr>
        <w:lastRenderedPageBreak/>
        <w:drawing>
          <wp:anchor distT="0" distB="0" distL="114300" distR="114300" simplePos="0" relativeHeight="251812864" behindDoc="1" locked="0" layoutInCell="1" allowOverlap="1" wp14:anchorId="14240018" wp14:editId="0306A18D">
            <wp:simplePos x="0" y="0"/>
            <wp:positionH relativeFrom="column">
              <wp:posOffset>-1105469</wp:posOffset>
            </wp:positionH>
            <wp:positionV relativeFrom="paragraph">
              <wp:posOffset>-1093233</wp:posOffset>
            </wp:positionV>
            <wp:extent cx="8726805" cy="12344400"/>
            <wp:effectExtent l="0" t="0" r="0" b="0"/>
            <wp:wrapNone/>
            <wp:docPr id="1283698764"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276696" name="Picture 41">
                      <a:extLst>
                        <a:ext uri="{C183D7F6-B498-43B3-948B-1728B52AA6E4}">
                          <adec:decorative xmlns:adec="http://schemas.microsoft.com/office/drawing/2017/decorative" val="1"/>
                        </a:ext>
                      </a:extLst>
                    </pic:cNvPr>
                    <pic:cNvPicPr/>
                  </pic:nvPicPr>
                  <pic:blipFill>
                    <a:blip r:embed="rId14">
                      <a:alphaModFix amt="50000"/>
                      <a:extLst>
                        <a:ext uri="{28A0092B-C50C-407E-A947-70E740481C1C}">
                          <a14:useLocalDpi xmlns:a14="http://schemas.microsoft.com/office/drawing/2010/main" val="0"/>
                        </a:ext>
                      </a:extLst>
                    </a:blip>
                    <a:stretch>
                      <a:fillRect/>
                    </a:stretch>
                  </pic:blipFill>
                  <pic:spPr>
                    <a:xfrm rot="10800000">
                      <a:off x="0" y="0"/>
                      <a:ext cx="8726805" cy="12344400"/>
                    </a:xfrm>
                    <a:prstGeom prst="rect">
                      <a:avLst/>
                    </a:prstGeom>
                  </pic:spPr>
                </pic:pic>
              </a:graphicData>
            </a:graphic>
            <wp14:sizeRelH relativeFrom="page">
              <wp14:pctWidth>0</wp14:pctWidth>
            </wp14:sizeRelH>
            <wp14:sizeRelV relativeFrom="page">
              <wp14:pctHeight>0</wp14:pctHeight>
            </wp14:sizeRelV>
          </wp:anchor>
        </w:drawing>
      </w:r>
      <w:r>
        <w:br w:type="page"/>
      </w:r>
    </w:p>
    <w:p w14:paraId="60CA5B0D" w14:textId="25AF77FD" w:rsidR="00DC0226" w:rsidRDefault="00DC0226" w:rsidP="00DC0226">
      <w:pPr>
        <w:pStyle w:val="Heading1"/>
      </w:pPr>
      <w:r>
        <w:lastRenderedPageBreak/>
        <w:t>2023 MYRBS Analysis</w:t>
      </w:r>
      <w:bookmarkEnd w:id="51"/>
    </w:p>
    <w:p w14:paraId="4E13E5E7" w14:textId="77777777" w:rsidR="00DC0226" w:rsidRDefault="00DC0226" w:rsidP="00DC0226">
      <w:pPr>
        <w:pStyle w:val="FirstParagraph"/>
        <w:jc w:val="both"/>
      </w:pPr>
      <w:r>
        <w:t>The Massachusetts Youth Risk Behavior Survey (MYRBS) is a biennial, representative survey of youth statewide. The longitudinal analyses presented here use data from 2015-2023, with particular emphasis on longitudinal changes between 2021 and 2023. The remainder of the report explores results from the most recent survey data available (2023).</w:t>
      </w:r>
    </w:p>
    <w:p w14:paraId="6C67A323" w14:textId="77777777" w:rsidR="00DC0226" w:rsidRDefault="00DC0226" w:rsidP="00DC0226">
      <w:pPr>
        <w:pStyle w:val="BodyText"/>
        <w:jc w:val="both"/>
      </w:pPr>
      <w:r>
        <w:t>Youth are classified as transgender for the purposes of this report if they identify as transgender male, transgender female, non-binary, or some other gender identify. Youth are classified as LGBTQ for the purposes of this report if they identify their sexuality as gay, lesbian, bisexual, or other and/or if they identify their gender as transgender, non-binary, or other.</w:t>
      </w:r>
    </w:p>
    <w:p w14:paraId="5EEA55D9" w14:textId="77777777" w:rsidR="00DC0226" w:rsidRDefault="00DC0226" w:rsidP="00DC0226">
      <w:pPr>
        <w:pStyle w:val="Heading2"/>
      </w:pPr>
      <w:bookmarkStart w:id="53" w:name="_Toc230355470"/>
      <w:bookmarkStart w:id="54" w:name="longitudinal-trends-2015-2023"/>
      <w:r>
        <w:t>Longitudinal Trends, 2015-2023</w:t>
      </w:r>
      <w:bookmarkEnd w:id="53"/>
    </w:p>
    <w:p w14:paraId="5EEC4178" w14:textId="77777777" w:rsidR="00DC0226" w:rsidRDefault="00DC0226" w:rsidP="00DC0226">
      <w:pPr>
        <w:pStyle w:val="FirstParagraph"/>
      </w:pPr>
      <w:r>
        <w:rPr>
          <w:noProof/>
        </w:rPr>
        <w:drawing>
          <wp:inline distT="0" distB="0" distL="0" distR="0" wp14:anchorId="1A74A09C" wp14:editId="7E820443">
            <wp:extent cx="5943600" cy="4245610"/>
            <wp:effectExtent l="0" t="0" r="0" b="2540"/>
            <wp:docPr id="48636483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364835" name="Picture 1">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245610"/>
                    </a:xfrm>
                    <a:prstGeom prst="rect">
                      <a:avLst/>
                    </a:prstGeom>
                    <a:noFill/>
                    <a:ln>
                      <a:noFill/>
                    </a:ln>
                  </pic:spPr>
                </pic:pic>
              </a:graphicData>
            </a:graphic>
          </wp:inline>
        </w:drawing>
      </w:r>
    </w:p>
    <w:p w14:paraId="2898780E" w14:textId="77777777" w:rsidR="00DC0226" w:rsidRDefault="00DC0226" w:rsidP="00DC0226">
      <w:pPr>
        <w:pStyle w:val="BodyText"/>
        <w:jc w:val="both"/>
      </w:pPr>
      <w:r>
        <w:t xml:space="preserve">Figure 1 depicts the proportion of youth who identify as LGBTQ by year and gender, for 2015, 2021, and 2023. The percentage of youth who identify as LGBTQ has remained relatively steady from 21.9% in 2021 to 21% in 2023. The percentage of youth identifying as female who identified as LGBTQ declined from 32.9% in 2021 to 26.8% in 2023. Among male youth, </w:t>
      </w:r>
      <w:r>
        <w:lastRenderedPageBreak/>
        <w:t>the percentage of youth identifying as LGBTQ did not change: 10% in both 2021 and 2023. Although there is no data from 2021 on the percentage of LGBTQ youth who do not identify as male or female, we can assume an increase between 2021 and 2023 to account for a consistent percentage of overall youth identifying as LGBTQ.</w:t>
      </w:r>
    </w:p>
    <w:p w14:paraId="7C42744B" w14:textId="77777777" w:rsidR="00DC0226" w:rsidRDefault="00DC0226" w:rsidP="00DC0226">
      <w:pPr>
        <w:pStyle w:val="BodyText"/>
      </w:pPr>
      <w:r>
        <w:rPr>
          <w:noProof/>
        </w:rPr>
        <w:drawing>
          <wp:inline distT="0" distB="0" distL="0" distR="0" wp14:anchorId="133337D5" wp14:editId="4883D6D3">
            <wp:extent cx="5943600" cy="4245610"/>
            <wp:effectExtent l="0" t="0" r="0" b="0"/>
            <wp:docPr id="945122345" name="Picture 2" descr="A graph image of which the details are provided in the Figure 2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122345" name="Picture 2" descr="A graph image of which the details are provided in the Figure 2 paragrap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4245610"/>
                    </a:xfrm>
                    <a:prstGeom prst="rect">
                      <a:avLst/>
                    </a:prstGeom>
                    <a:noFill/>
                    <a:ln>
                      <a:noFill/>
                    </a:ln>
                  </pic:spPr>
                </pic:pic>
              </a:graphicData>
            </a:graphic>
          </wp:inline>
        </w:drawing>
      </w:r>
    </w:p>
    <w:p w14:paraId="1C745ED4" w14:textId="77777777" w:rsidR="00DC0226" w:rsidRDefault="00DC0226" w:rsidP="00DC0226">
      <w:pPr>
        <w:pStyle w:val="BodyText"/>
        <w:jc w:val="both"/>
      </w:pPr>
      <w:r>
        <w:t>The percentage of youth who identify as transgender increased marginally from 5.3% in 2021 to 5.9% in 2023. However, the percentage of female youth who identify as transgender decreased from 6.3% in 2021 to 1.1% in 2023. Unlike in 2021, where youth who identified as female were significantly more likely to identify as transgender (6.3% versus 3.3%, p&lt;.001), youth who identify as male are twice as likely to identify as transgender than youth who identify as female in 2023 (2.3% versus 1.1%). This variance is unsurprising due to the small sample size of transgender youth in Massachusetts.</w:t>
      </w:r>
    </w:p>
    <w:p w14:paraId="3766AEFA" w14:textId="77777777" w:rsidR="00DC0226" w:rsidRDefault="00DC0226" w:rsidP="00DC0226">
      <w:pPr>
        <w:pStyle w:val="BodyText"/>
      </w:pPr>
      <w:r>
        <w:rPr>
          <w:noProof/>
        </w:rPr>
        <w:lastRenderedPageBreak/>
        <w:drawing>
          <wp:inline distT="0" distB="0" distL="0" distR="0" wp14:anchorId="0599D8E2" wp14:editId="5AE9DC07">
            <wp:extent cx="5943600" cy="4245610"/>
            <wp:effectExtent l="0" t="0" r="0" b="0"/>
            <wp:docPr id="1395653209" name="Picture 3" descr="Figure 3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653209" name="Picture 3" descr="Figure 3 char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245610"/>
                    </a:xfrm>
                    <a:prstGeom prst="rect">
                      <a:avLst/>
                    </a:prstGeom>
                    <a:noFill/>
                    <a:ln>
                      <a:noFill/>
                    </a:ln>
                  </pic:spPr>
                </pic:pic>
              </a:graphicData>
            </a:graphic>
          </wp:inline>
        </w:drawing>
      </w:r>
    </w:p>
    <w:p w14:paraId="79537CFE" w14:textId="77777777" w:rsidR="00DC0226" w:rsidRDefault="00DC0226" w:rsidP="00DC0226">
      <w:pPr>
        <w:pStyle w:val="BodyText"/>
        <w:jc w:val="both"/>
      </w:pPr>
      <w:r>
        <w:t>Figure 3 depicts the percentage of youth who identify as LGBTQ disaggregated by racial-ethnic background. Native Hawaiian or Pacific Islander is excluded due to small sample size. Only 2023 has data on American Indian or Alaska Native youth who identify as LGBTQ (17%), as previous years omitted the data due to small sample size. No racial/ethnic group saw a significant increase in youth who identify as LGBTQ. No growth in percentage of youth who identify as LGBTQ was observed between 2021 and 2023 for Black or African American youth, Multiracial, and White racial/ethnic groups. Percent of Asian youth who identify as LGBTQ declined from 22% in 2021 to 15% in 2023. Percent of Hispanic/Latino youth who identify as LGBTQ declined from 19% in 2021 to 15% in 2023. Finally, while 25% of Multiracial &amp; Hispanic/Latino youth identified as LGBTQ in 2021, 21% of Multiracial &amp; Hispanic/Latino youth identify as LGBTQ in 2023.</w:t>
      </w:r>
    </w:p>
    <w:p w14:paraId="12EF03C1" w14:textId="77777777" w:rsidR="00DC0226" w:rsidRDefault="00DC0226" w:rsidP="00DC0226">
      <w:pPr>
        <w:pStyle w:val="Heading2"/>
        <w:keepNext/>
        <w:jc w:val="both"/>
      </w:pPr>
      <w:bookmarkStart w:id="55" w:name="_Toc230355471"/>
      <w:bookmarkStart w:id="56" w:name="bullying-and-self-harm"/>
      <w:bookmarkEnd w:id="54"/>
      <w:r>
        <w:lastRenderedPageBreak/>
        <w:t>Bullying and Self-Harm</w:t>
      </w:r>
      <w:bookmarkEnd w:id="55"/>
    </w:p>
    <w:p w14:paraId="766FB0BE" w14:textId="77777777" w:rsidR="00DC0226" w:rsidRDefault="00DC0226" w:rsidP="00DC0226">
      <w:pPr>
        <w:pStyle w:val="FirstParagraph"/>
        <w:jc w:val="both"/>
      </w:pPr>
      <w:r>
        <w:rPr>
          <w:noProof/>
        </w:rPr>
        <w:drawing>
          <wp:inline distT="0" distB="0" distL="0" distR="0" wp14:anchorId="041BC3DE" wp14:editId="424B39E8">
            <wp:extent cx="5943600" cy="4245610"/>
            <wp:effectExtent l="0" t="0" r="0" b="0"/>
            <wp:docPr id="1934095162" name="Picture 4" descr="Figure 4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095162" name="Picture 4" descr="Figure 4 char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245610"/>
                    </a:xfrm>
                    <a:prstGeom prst="rect">
                      <a:avLst/>
                    </a:prstGeom>
                    <a:noFill/>
                    <a:ln>
                      <a:noFill/>
                    </a:ln>
                  </pic:spPr>
                </pic:pic>
              </a:graphicData>
            </a:graphic>
          </wp:inline>
        </w:drawing>
      </w:r>
    </w:p>
    <w:p w14:paraId="35DC5A9E" w14:textId="77777777" w:rsidR="00DC0226" w:rsidRDefault="00DC0226" w:rsidP="00DC0226">
      <w:pPr>
        <w:pStyle w:val="BodyText"/>
        <w:jc w:val="both"/>
      </w:pPr>
      <w:r>
        <w:t>Rates of bullying, self-harm, and intimate partner violence vary between cisgender-heterosexual (cis-het) and LGBTQ youth in Massachusetts. In 2023, 15% of LGBTQ youth reported a suicide attempt in the past year, while 4% of cis-het youth reported a suicide attempt. A third of LGBTQ youth experienced suicidal ideation, while 11% of cis-het youth experienced suicidal ideation. LGBTQ youth are also four times as likely to report having sex against their will, with 17% of LGBTQ youth compared to 4% of cis-het youth. Rates of self-harm are reported as three times higher among LGBTQ youth, with 41% of LGBTQ youth reported self-harm compared to 14% of cis-het youth. Among LGBTQ youth, 26% of students experienced electronic bullying, while 11% of cis-het youth experienced electronic bullying.</w:t>
      </w:r>
    </w:p>
    <w:p w14:paraId="618D20F5" w14:textId="77777777" w:rsidR="00DC0226" w:rsidRDefault="00DC0226" w:rsidP="00DC0226">
      <w:pPr>
        <w:pStyle w:val="BodyText"/>
      </w:pPr>
      <w:r>
        <w:rPr>
          <w:noProof/>
        </w:rPr>
        <w:lastRenderedPageBreak/>
        <w:drawing>
          <wp:inline distT="0" distB="0" distL="0" distR="0" wp14:anchorId="03E1CA18" wp14:editId="0B5EA306">
            <wp:extent cx="5943600" cy="4245610"/>
            <wp:effectExtent l="0" t="0" r="0" b="0"/>
            <wp:docPr id="233293841" name="Picture 5" descr="Figure 5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293841" name="Picture 5" descr="Figure 5 char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245610"/>
                    </a:xfrm>
                    <a:prstGeom prst="rect">
                      <a:avLst/>
                    </a:prstGeom>
                    <a:noFill/>
                    <a:ln>
                      <a:noFill/>
                    </a:ln>
                  </pic:spPr>
                </pic:pic>
              </a:graphicData>
            </a:graphic>
          </wp:inline>
        </w:drawing>
      </w:r>
    </w:p>
    <w:p w14:paraId="7E3654BB" w14:textId="77777777" w:rsidR="00DC0226" w:rsidRDefault="00DC0226" w:rsidP="00DC0226">
      <w:pPr>
        <w:pStyle w:val="BodyText"/>
        <w:jc w:val="both"/>
      </w:pPr>
      <w:r>
        <w:t>In addition, rates of bullying, self-harm, and intimate partner violence vary between cisgender and transgender youth in Massachusetts (Figure 5). In 2023, 23% of transgender youth reported a suicide attempt in the past year, while 5% of cisgender youth reported a suicide attempt. Among transgender youth, 42% of respondents experienced suicidal ideation, while 14% of cisgender youth experienced suicidal ideation. Transgender youth are also more than three times as likely to report having sex against their will, with 20% of transgender youth compared to 6% of cis-het youth. Rates of self-harm are reported as higher among transgender youth, with 47% of transgender youth reported self-harm compared to 18% of cisgender youth. Among transgender youth, 33% of students experienced electronic bullying, while 13% of cisgender youth experienced electronic bullying.</w:t>
      </w:r>
    </w:p>
    <w:p w14:paraId="055D8233" w14:textId="77777777" w:rsidR="00DC0226" w:rsidRDefault="00DC0226" w:rsidP="00DC0226">
      <w:pPr>
        <w:pStyle w:val="Heading2"/>
        <w:jc w:val="both"/>
      </w:pPr>
      <w:bookmarkStart w:id="57" w:name="_Toc230355472"/>
      <w:bookmarkStart w:id="58" w:name="X67546dd698e37ce4c07234aa6612da43406bec2"/>
      <w:bookmarkEnd w:id="56"/>
      <w:r>
        <w:t>Adverse Household and Mental Health Experiences</w:t>
      </w:r>
      <w:bookmarkEnd w:id="57"/>
    </w:p>
    <w:p w14:paraId="6F58802B" w14:textId="2BF85E8D" w:rsidR="00DC0226" w:rsidRDefault="00DC0226" w:rsidP="00DC0226">
      <w:pPr>
        <w:pStyle w:val="FirstParagraph"/>
        <w:jc w:val="both"/>
      </w:pPr>
      <w:r>
        <w:t xml:space="preserve">The survey asked youth, “During the past 30 days, how often was your mental health not good? (Poor mental health includes stress, anxiety, and depression).” Poor mental health continues to be strongly associated with LGBTQ identity (p&lt;0.001), although some rates have improved compared to 2021. As represented in Figure 6, only 6% of LGBTQ youth reported that their mental health was never not good, 11% said it was rarely not good, 29% said it was sometimes not good, 32% said it was most of the time not good, and 19% said it </w:t>
      </w:r>
      <w:r>
        <w:lastRenderedPageBreak/>
        <w:t xml:space="preserve">was always not good (compared to 31% in 2021). In contrast, 23% of cis-het youth reported that their mental health was </w:t>
      </w:r>
      <w:proofErr w:type="gramStart"/>
      <w:r>
        <w:t>never not</w:t>
      </w:r>
      <w:proofErr w:type="gramEnd"/>
      <w:r>
        <w:t xml:space="preserve"> good, 24% said it was rarely not good, 26% said it was sometimes not good, 17% said it was most of the time not good, and 6% said it was always not good (compared to 8% in 2021).</w:t>
      </w:r>
    </w:p>
    <w:p w14:paraId="3139E0D1" w14:textId="77777777" w:rsidR="00DC0226" w:rsidRDefault="00DC0226" w:rsidP="00DC0226">
      <w:pPr>
        <w:pStyle w:val="BodyText"/>
        <w:jc w:val="both"/>
      </w:pPr>
      <w:r>
        <w:rPr>
          <w:noProof/>
        </w:rPr>
        <w:drawing>
          <wp:inline distT="0" distB="0" distL="0" distR="0" wp14:anchorId="4EBA50F5" wp14:editId="276E0B03">
            <wp:extent cx="5943600" cy="4245429"/>
            <wp:effectExtent l="0" t="0" r="0" b="0"/>
            <wp:docPr id="6" name="Picture 1" descr="Figure 6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Figure 6 char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245429"/>
                    </a:xfrm>
                    <a:prstGeom prst="rect">
                      <a:avLst/>
                    </a:prstGeom>
                    <a:noFill/>
                    <a:ln>
                      <a:noFill/>
                    </a:ln>
                  </pic:spPr>
                </pic:pic>
              </a:graphicData>
            </a:graphic>
          </wp:inline>
        </w:drawing>
      </w:r>
    </w:p>
    <w:p w14:paraId="14727AAF" w14:textId="77777777" w:rsidR="00DC0226" w:rsidRDefault="00DC0226" w:rsidP="00DC0226">
      <w:pPr>
        <w:pStyle w:val="BodyText"/>
        <w:jc w:val="both"/>
      </w:pPr>
      <w:r>
        <w:t>Three questions about lifetime household experiences with adults are asked on the MYRBS. These questions capture presence of verbal and physical abuse in the home, and Table 1 depicts the percentage of responses for each category, disaggregated for cis-het and LGBTQ youth. Results are not independent of gender-sexuality minority status, with LGBTQ youth experiencing higher rates of adverse household experiences. For the first time since 2019, the 2023 MYRBS did not ask about COVID-related experiences. So, only lifetime experiences of household adverse experiences are reported in Table 1.</w:t>
      </w:r>
    </w:p>
    <w:p w14:paraId="06D94D5D" w14:textId="77777777" w:rsidR="00DC0226" w:rsidRDefault="00DC0226" w:rsidP="00DC0226">
      <w:pPr>
        <w:pStyle w:val="BodyText"/>
        <w:jc w:val="both"/>
      </w:pPr>
      <w:r>
        <w:t>One question on the survey asked about lifetime experience of verbal abuse in the home: “During your life, how often has a parent or other adult in your home insulted you or put you down?” Among LGBTQ youth, 23% said that they had never been abused verbally by an adult in their home, 27.9% said rarely, 25.8% said sometimes, 15.5% said most of the time, and 7.8% said always. Among cis-het youth, 48.9% said they had never been abused verbally by an adult in their home, 26.8% said rarely, 17.5% said sometimes, 4.8% said most of the time, and 2% said always. (See Table 1.)</w:t>
      </w:r>
    </w:p>
    <w:p w14:paraId="5979AEB1" w14:textId="77777777" w:rsidR="00DC0226" w:rsidRDefault="00DC0226" w:rsidP="00DC0226">
      <w:pPr>
        <w:pStyle w:val="BodyText"/>
        <w:jc w:val="both"/>
      </w:pPr>
      <w:r>
        <w:lastRenderedPageBreak/>
        <w:t>For the second survey year, a question on the survey asked about lifetime experience of physical abuse in the home: “During your life, how often has a parent or other adult in your home hit, beat, kicked, or physically hurt you in any way?” Among LGBTQ youth, 61.5% said that they had never been abused physically by an adult in their home, 24.5% said rarely, 10.3% said sometimes, 2% said most of the time, and 1.7% said always. Among cis-het youth, 76.9% said they had never been abused physically by an adult in their home, 15.8% said rarely, 5.9% said sometimes, 1.1% said most of the time, and 0.2% said always. (See Table 1.)</w:t>
      </w:r>
    </w:p>
    <w:p w14:paraId="2C2FA833" w14:textId="77777777" w:rsidR="00DC0226" w:rsidRDefault="00DC0226" w:rsidP="00DC0226">
      <w:pPr>
        <w:pStyle w:val="BodyText"/>
        <w:jc w:val="both"/>
      </w:pPr>
      <w:r>
        <w:t>Another MYRBS survey question asked about neglect: “During your life, how often has there been an adult in your household who tried hard to make sure your basic needs were met, such as looking after your safety and making sure you had clean clothes and enough to eat?” LGBTQ youth were significantly less likely than cis-het youth to have their needs met overall (p&lt;.001). Among LGBTQ youth, 2.8% said that they never had their needs met, 2% said rarely, 9.6% said sometimes, 24.1% said most of the time, and 60.6% said always. Among cis-het youth, 4.3% said that they never had their needs met, 15.8% said rarely, 2.9% said sometimes, 5.1% said most of the time, and 73.1% said always. (See Table 1.)</w:t>
      </w:r>
    </w:p>
    <w:tbl>
      <w:tblPr>
        <w:tblW w:w="9072" w:type="dxa"/>
        <w:shd w:val="clear" w:color="auto" w:fill="FFFFFF"/>
        <w:tblCellMar>
          <w:left w:w="0" w:type="dxa"/>
          <w:right w:w="0" w:type="dxa"/>
        </w:tblCellMar>
        <w:tblLook w:val="06A0" w:firstRow="1" w:lastRow="0" w:firstColumn="1" w:lastColumn="0" w:noHBand="1" w:noVBand="1"/>
      </w:tblPr>
      <w:tblGrid>
        <w:gridCol w:w="3842"/>
        <w:gridCol w:w="2692"/>
        <w:gridCol w:w="2538"/>
      </w:tblGrid>
      <w:tr w:rsidR="00DC0226" w:rsidRPr="00310DF8" w14:paraId="322FB2CA" w14:textId="77777777" w:rsidTr="009642E5">
        <w:trPr>
          <w:trHeight w:val="275"/>
          <w:tblHeader/>
        </w:trPr>
        <w:tc>
          <w:tcPr>
            <w:tcW w:w="9126" w:type="dxa"/>
            <w:gridSpan w:val="3"/>
            <w:tcBorders>
              <w:top w:val="nil"/>
              <w:left w:val="nil"/>
              <w:right w:val="nil"/>
            </w:tcBorders>
            <w:tcMar>
              <w:top w:w="0" w:type="dxa"/>
              <w:left w:w="0" w:type="dxa"/>
              <w:bottom w:w="0" w:type="dxa"/>
              <w:right w:w="0" w:type="dxa"/>
            </w:tcMar>
            <w:vAlign w:val="center"/>
            <w:hideMark/>
          </w:tcPr>
          <w:p w14:paraId="3B547595" w14:textId="77777777" w:rsidR="00DC0226" w:rsidRPr="00DC0226" w:rsidRDefault="00DC0226" w:rsidP="00DC0226">
            <w:pPr>
              <w:pStyle w:val="BodyText"/>
              <w:spacing w:before="0" w:after="0"/>
              <w:jc w:val="both"/>
              <w:rPr>
                <w:rStyle w:val="SubtleEmphasis"/>
              </w:rPr>
            </w:pPr>
            <w:r w:rsidRPr="00DC0226">
              <w:rPr>
                <w:rStyle w:val="SubtleEmphasis"/>
              </w:rPr>
              <w:t>Table 1. Percentage of Het-Cis and LGBTQ Youth with Adverse Household Experiences (2023)</w:t>
            </w:r>
          </w:p>
        </w:tc>
      </w:tr>
      <w:tr w:rsidR="00DC0226" w:rsidRPr="00310DF8" w14:paraId="35B2D6FC" w14:textId="77777777" w:rsidTr="009642E5">
        <w:trPr>
          <w:trHeight w:val="192"/>
          <w:tblHeader/>
        </w:trPr>
        <w:tc>
          <w:tcPr>
            <w:tcW w:w="3862" w:type="dxa"/>
            <w:tcBorders>
              <w:bottom w:val="single" w:sz="8" w:space="0" w:color="auto"/>
            </w:tcBorders>
            <w:shd w:val="clear" w:color="auto" w:fill="FFFFFF"/>
            <w:tcMar>
              <w:top w:w="0" w:type="dxa"/>
              <w:left w:w="0" w:type="dxa"/>
              <w:bottom w:w="0" w:type="dxa"/>
              <w:right w:w="0" w:type="dxa"/>
            </w:tcMar>
            <w:vAlign w:val="center"/>
            <w:hideMark/>
          </w:tcPr>
          <w:p w14:paraId="6AEACB2B" w14:textId="77777777" w:rsidR="00DC0226" w:rsidRPr="00310DF8" w:rsidRDefault="00DC0226" w:rsidP="00DC0226">
            <w:pPr>
              <w:pStyle w:val="BodyText"/>
              <w:spacing w:before="0" w:after="0"/>
              <w:jc w:val="both"/>
              <w:rPr>
                <w:b/>
                <w:bCs/>
              </w:rPr>
            </w:pPr>
            <w:r w:rsidRPr="00310DF8">
              <w:rPr>
                <w:b/>
                <w:bCs/>
              </w:rPr>
              <w:t>Adverse Experience</w:t>
            </w:r>
          </w:p>
        </w:tc>
        <w:tc>
          <w:tcPr>
            <w:tcW w:w="2710" w:type="dxa"/>
            <w:tcBorders>
              <w:bottom w:val="single" w:sz="8" w:space="0" w:color="auto"/>
            </w:tcBorders>
            <w:shd w:val="clear" w:color="auto" w:fill="FFFFFF"/>
            <w:tcMar>
              <w:top w:w="0" w:type="dxa"/>
              <w:left w:w="0" w:type="dxa"/>
              <w:bottom w:w="0" w:type="dxa"/>
              <w:right w:w="0" w:type="dxa"/>
            </w:tcMar>
            <w:vAlign w:val="center"/>
            <w:hideMark/>
          </w:tcPr>
          <w:p w14:paraId="4C811E04" w14:textId="77777777" w:rsidR="00DC0226" w:rsidRPr="00310DF8" w:rsidRDefault="00DC0226" w:rsidP="00DC0226">
            <w:pPr>
              <w:pStyle w:val="BodyText"/>
              <w:spacing w:before="0" w:after="0"/>
              <w:jc w:val="both"/>
              <w:rPr>
                <w:b/>
                <w:bCs/>
              </w:rPr>
            </w:pPr>
            <w:r w:rsidRPr="00310DF8">
              <w:rPr>
                <w:b/>
                <w:bCs/>
              </w:rPr>
              <w:t>Cis-Het Youth</w:t>
            </w:r>
          </w:p>
        </w:tc>
        <w:tc>
          <w:tcPr>
            <w:tcW w:w="2553" w:type="dxa"/>
            <w:tcBorders>
              <w:bottom w:val="single" w:sz="4" w:space="0" w:color="auto"/>
            </w:tcBorders>
            <w:shd w:val="clear" w:color="auto" w:fill="FFFFFF"/>
            <w:tcMar>
              <w:top w:w="0" w:type="dxa"/>
              <w:left w:w="0" w:type="dxa"/>
              <w:bottom w:w="0" w:type="dxa"/>
              <w:right w:w="0" w:type="dxa"/>
            </w:tcMar>
            <w:vAlign w:val="center"/>
            <w:hideMark/>
          </w:tcPr>
          <w:p w14:paraId="106960CA" w14:textId="77777777" w:rsidR="00DC0226" w:rsidRPr="00310DF8" w:rsidRDefault="00DC0226" w:rsidP="00DC0226">
            <w:pPr>
              <w:pStyle w:val="BodyText"/>
              <w:spacing w:before="0" w:after="0"/>
              <w:jc w:val="both"/>
              <w:rPr>
                <w:b/>
                <w:bCs/>
              </w:rPr>
            </w:pPr>
            <w:r w:rsidRPr="00310DF8">
              <w:rPr>
                <w:b/>
                <w:bCs/>
              </w:rPr>
              <w:t>LGBTQ Youth</w:t>
            </w:r>
          </w:p>
        </w:tc>
      </w:tr>
      <w:tr w:rsidR="00DC0226" w:rsidRPr="00310DF8" w14:paraId="5C9EE657" w14:textId="77777777" w:rsidTr="009642E5">
        <w:trPr>
          <w:trHeight w:val="187"/>
        </w:trPr>
        <w:tc>
          <w:tcPr>
            <w:tcW w:w="9126" w:type="dxa"/>
            <w:gridSpan w:val="3"/>
            <w:tcBorders>
              <w:top w:val="single" w:sz="12" w:space="0" w:color="auto"/>
              <w:bottom w:val="single" w:sz="6" w:space="0" w:color="auto"/>
            </w:tcBorders>
            <w:shd w:val="clear" w:color="auto" w:fill="FFFFFF"/>
            <w:tcMar>
              <w:top w:w="0" w:type="dxa"/>
              <w:left w:w="0" w:type="dxa"/>
              <w:bottom w:w="0" w:type="dxa"/>
              <w:right w:w="0" w:type="dxa"/>
            </w:tcMar>
            <w:vAlign w:val="center"/>
            <w:hideMark/>
          </w:tcPr>
          <w:p w14:paraId="28EE64D4" w14:textId="77777777" w:rsidR="00DC0226" w:rsidRPr="00310DF8" w:rsidRDefault="00DC0226" w:rsidP="00DC0226">
            <w:pPr>
              <w:pStyle w:val="BodyText"/>
              <w:spacing w:before="0" w:after="0"/>
              <w:jc w:val="both"/>
            </w:pPr>
            <w:r w:rsidRPr="00310DF8">
              <w:rPr>
                <w:b/>
                <w:bCs/>
              </w:rPr>
              <w:t>Verbal abuse at any time***</w:t>
            </w:r>
          </w:p>
        </w:tc>
      </w:tr>
      <w:tr w:rsidR="00DC0226" w:rsidRPr="00310DF8" w14:paraId="2FC231F2" w14:textId="77777777" w:rsidTr="009642E5">
        <w:trPr>
          <w:trHeight w:val="5"/>
        </w:trPr>
        <w:tc>
          <w:tcPr>
            <w:tcW w:w="3862" w:type="dxa"/>
            <w:shd w:val="clear" w:color="auto" w:fill="FFFFFF"/>
            <w:tcMar>
              <w:top w:w="0" w:type="dxa"/>
              <w:left w:w="480" w:type="dxa"/>
              <w:bottom w:w="0" w:type="dxa"/>
              <w:right w:w="0" w:type="dxa"/>
            </w:tcMar>
            <w:vAlign w:val="center"/>
            <w:hideMark/>
          </w:tcPr>
          <w:p w14:paraId="56F782D4" w14:textId="77777777" w:rsidR="00DC0226" w:rsidRPr="00310DF8" w:rsidRDefault="00DC0226" w:rsidP="00DC0226">
            <w:pPr>
              <w:pStyle w:val="BodyText"/>
              <w:spacing w:before="0" w:after="0"/>
              <w:jc w:val="both"/>
            </w:pPr>
            <w:r w:rsidRPr="00310DF8">
              <w:t>Never</w:t>
            </w:r>
          </w:p>
        </w:tc>
        <w:tc>
          <w:tcPr>
            <w:tcW w:w="2710" w:type="dxa"/>
            <w:shd w:val="clear" w:color="auto" w:fill="FFFFFF"/>
            <w:tcMar>
              <w:top w:w="0" w:type="dxa"/>
              <w:left w:w="0" w:type="dxa"/>
              <w:bottom w:w="0" w:type="dxa"/>
              <w:right w:w="0" w:type="dxa"/>
            </w:tcMar>
            <w:vAlign w:val="center"/>
            <w:hideMark/>
          </w:tcPr>
          <w:p w14:paraId="7062D614" w14:textId="77777777" w:rsidR="00DC0226" w:rsidRPr="00310DF8" w:rsidRDefault="00DC0226" w:rsidP="00DC0226">
            <w:pPr>
              <w:pStyle w:val="BodyText"/>
              <w:spacing w:before="0" w:after="0"/>
              <w:jc w:val="both"/>
            </w:pPr>
            <w:r w:rsidRPr="00310DF8">
              <w:t>48.9</w:t>
            </w:r>
          </w:p>
        </w:tc>
        <w:tc>
          <w:tcPr>
            <w:tcW w:w="2553" w:type="dxa"/>
            <w:shd w:val="clear" w:color="auto" w:fill="FFFFFF"/>
            <w:tcMar>
              <w:top w:w="0" w:type="dxa"/>
              <w:left w:w="0" w:type="dxa"/>
              <w:bottom w:w="0" w:type="dxa"/>
              <w:right w:w="0" w:type="dxa"/>
            </w:tcMar>
            <w:vAlign w:val="center"/>
            <w:hideMark/>
          </w:tcPr>
          <w:p w14:paraId="1ABBC005" w14:textId="77777777" w:rsidR="00DC0226" w:rsidRPr="00310DF8" w:rsidRDefault="00DC0226" w:rsidP="00DC0226">
            <w:pPr>
              <w:pStyle w:val="BodyText"/>
              <w:spacing w:before="0" w:after="0"/>
              <w:jc w:val="both"/>
            </w:pPr>
            <w:r w:rsidRPr="00310DF8">
              <w:t>23.0</w:t>
            </w:r>
          </w:p>
        </w:tc>
      </w:tr>
      <w:tr w:rsidR="00DC0226" w:rsidRPr="00310DF8" w14:paraId="60143749" w14:textId="77777777" w:rsidTr="009642E5">
        <w:tc>
          <w:tcPr>
            <w:tcW w:w="3862" w:type="dxa"/>
            <w:shd w:val="clear" w:color="auto" w:fill="FFFFFF"/>
            <w:tcMar>
              <w:top w:w="0" w:type="dxa"/>
              <w:left w:w="480" w:type="dxa"/>
              <w:bottom w:w="0" w:type="dxa"/>
              <w:right w:w="0" w:type="dxa"/>
            </w:tcMar>
            <w:vAlign w:val="center"/>
            <w:hideMark/>
          </w:tcPr>
          <w:p w14:paraId="4802D83F" w14:textId="77777777" w:rsidR="00DC0226" w:rsidRPr="00310DF8" w:rsidRDefault="00DC0226" w:rsidP="00DC0226">
            <w:pPr>
              <w:pStyle w:val="BodyText"/>
              <w:spacing w:before="0" w:after="0"/>
              <w:jc w:val="both"/>
            </w:pPr>
            <w:r w:rsidRPr="00310DF8">
              <w:t>Rarely</w:t>
            </w:r>
          </w:p>
        </w:tc>
        <w:tc>
          <w:tcPr>
            <w:tcW w:w="2710" w:type="dxa"/>
            <w:shd w:val="clear" w:color="auto" w:fill="FFFFFF"/>
            <w:tcMar>
              <w:top w:w="0" w:type="dxa"/>
              <w:left w:w="0" w:type="dxa"/>
              <w:bottom w:w="0" w:type="dxa"/>
              <w:right w:w="0" w:type="dxa"/>
            </w:tcMar>
            <w:vAlign w:val="center"/>
            <w:hideMark/>
          </w:tcPr>
          <w:p w14:paraId="302EBFBB" w14:textId="77777777" w:rsidR="00DC0226" w:rsidRPr="00310DF8" w:rsidRDefault="00DC0226" w:rsidP="00DC0226">
            <w:pPr>
              <w:pStyle w:val="BodyText"/>
              <w:spacing w:before="0" w:after="0"/>
              <w:jc w:val="both"/>
            </w:pPr>
            <w:r w:rsidRPr="00310DF8">
              <w:t>26.8</w:t>
            </w:r>
          </w:p>
        </w:tc>
        <w:tc>
          <w:tcPr>
            <w:tcW w:w="2553" w:type="dxa"/>
            <w:shd w:val="clear" w:color="auto" w:fill="FFFFFF"/>
            <w:tcMar>
              <w:top w:w="0" w:type="dxa"/>
              <w:left w:w="0" w:type="dxa"/>
              <w:bottom w:w="0" w:type="dxa"/>
              <w:right w:w="0" w:type="dxa"/>
            </w:tcMar>
            <w:vAlign w:val="center"/>
            <w:hideMark/>
          </w:tcPr>
          <w:p w14:paraId="0C7E306B" w14:textId="77777777" w:rsidR="00DC0226" w:rsidRPr="00310DF8" w:rsidRDefault="00DC0226" w:rsidP="00DC0226">
            <w:pPr>
              <w:pStyle w:val="BodyText"/>
              <w:spacing w:before="0" w:after="0"/>
              <w:jc w:val="both"/>
            </w:pPr>
            <w:r w:rsidRPr="00310DF8">
              <w:t>27.9</w:t>
            </w:r>
          </w:p>
        </w:tc>
      </w:tr>
      <w:tr w:rsidR="00DC0226" w:rsidRPr="00310DF8" w14:paraId="05FF3D3D" w14:textId="77777777" w:rsidTr="009642E5">
        <w:trPr>
          <w:trHeight w:val="192"/>
        </w:trPr>
        <w:tc>
          <w:tcPr>
            <w:tcW w:w="3862" w:type="dxa"/>
            <w:shd w:val="clear" w:color="auto" w:fill="FFFFFF"/>
            <w:tcMar>
              <w:top w:w="0" w:type="dxa"/>
              <w:left w:w="480" w:type="dxa"/>
              <w:bottom w:w="0" w:type="dxa"/>
              <w:right w:w="0" w:type="dxa"/>
            </w:tcMar>
            <w:vAlign w:val="center"/>
            <w:hideMark/>
          </w:tcPr>
          <w:p w14:paraId="0299D120" w14:textId="77777777" w:rsidR="00DC0226" w:rsidRPr="00310DF8" w:rsidRDefault="00DC0226" w:rsidP="00DC0226">
            <w:pPr>
              <w:pStyle w:val="BodyText"/>
              <w:spacing w:before="0" w:after="0"/>
              <w:jc w:val="both"/>
            </w:pPr>
            <w:r w:rsidRPr="00310DF8">
              <w:t>Sometimes</w:t>
            </w:r>
          </w:p>
        </w:tc>
        <w:tc>
          <w:tcPr>
            <w:tcW w:w="2710" w:type="dxa"/>
            <w:shd w:val="clear" w:color="auto" w:fill="FFFFFF"/>
            <w:tcMar>
              <w:top w:w="0" w:type="dxa"/>
              <w:left w:w="0" w:type="dxa"/>
              <w:bottom w:w="0" w:type="dxa"/>
              <w:right w:w="0" w:type="dxa"/>
            </w:tcMar>
            <w:vAlign w:val="center"/>
            <w:hideMark/>
          </w:tcPr>
          <w:p w14:paraId="61F877CA" w14:textId="77777777" w:rsidR="00DC0226" w:rsidRPr="00310DF8" w:rsidRDefault="00DC0226" w:rsidP="00DC0226">
            <w:pPr>
              <w:pStyle w:val="BodyText"/>
              <w:spacing w:before="0" w:after="0"/>
              <w:jc w:val="both"/>
            </w:pPr>
            <w:r w:rsidRPr="00310DF8">
              <w:t>17.5</w:t>
            </w:r>
          </w:p>
        </w:tc>
        <w:tc>
          <w:tcPr>
            <w:tcW w:w="2553" w:type="dxa"/>
            <w:shd w:val="clear" w:color="auto" w:fill="FFFFFF"/>
            <w:tcMar>
              <w:top w:w="0" w:type="dxa"/>
              <w:left w:w="0" w:type="dxa"/>
              <w:bottom w:w="0" w:type="dxa"/>
              <w:right w:w="0" w:type="dxa"/>
            </w:tcMar>
            <w:vAlign w:val="center"/>
            <w:hideMark/>
          </w:tcPr>
          <w:p w14:paraId="14185EF3" w14:textId="77777777" w:rsidR="00DC0226" w:rsidRPr="00310DF8" w:rsidRDefault="00DC0226" w:rsidP="00DC0226">
            <w:pPr>
              <w:pStyle w:val="BodyText"/>
              <w:spacing w:before="0" w:after="0"/>
              <w:jc w:val="both"/>
            </w:pPr>
            <w:r w:rsidRPr="00310DF8">
              <w:t>25.8</w:t>
            </w:r>
          </w:p>
        </w:tc>
      </w:tr>
      <w:tr w:rsidR="00DC0226" w:rsidRPr="00310DF8" w14:paraId="69F41529" w14:textId="77777777" w:rsidTr="009642E5">
        <w:trPr>
          <w:trHeight w:val="187"/>
        </w:trPr>
        <w:tc>
          <w:tcPr>
            <w:tcW w:w="3862" w:type="dxa"/>
            <w:shd w:val="clear" w:color="auto" w:fill="FFFFFF"/>
            <w:tcMar>
              <w:top w:w="0" w:type="dxa"/>
              <w:left w:w="480" w:type="dxa"/>
              <w:bottom w:w="0" w:type="dxa"/>
              <w:right w:w="0" w:type="dxa"/>
            </w:tcMar>
            <w:vAlign w:val="center"/>
            <w:hideMark/>
          </w:tcPr>
          <w:p w14:paraId="2BDD000A" w14:textId="77777777" w:rsidR="00DC0226" w:rsidRPr="00310DF8" w:rsidRDefault="00DC0226" w:rsidP="00DC0226">
            <w:pPr>
              <w:pStyle w:val="BodyText"/>
              <w:spacing w:before="0" w:after="0"/>
              <w:jc w:val="both"/>
            </w:pPr>
            <w:r w:rsidRPr="00310DF8">
              <w:t>Most of the time</w:t>
            </w:r>
          </w:p>
        </w:tc>
        <w:tc>
          <w:tcPr>
            <w:tcW w:w="2710" w:type="dxa"/>
            <w:shd w:val="clear" w:color="auto" w:fill="FFFFFF"/>
            <w:tcMar>
              <w:top w:w="0" w:type="dxa"/>
              <w:left w:w="0" w:type="dxa"/>
              <w:bottom w:w="0" w:type="dxa"/>
              <w:right w:w="0" w:type="dxa"/>
            </w:tcMar>
            <w:vAlign w:val="center"/>
            <w:hideMark/>
          </w:tcPr>
          <w:p w14:paraId="58573FEC" w14:textId="77777777" w:rsidR="00DC0226" w:rsidRPr="00310DF8" w:rsidRDefault="00DC0226" w:rsidP="00DC0226">
            <w:pPr>
              <w:pStyle w:val="BodyText"/>
              <w:spacing w:before="0" w:after="0"/>
              <w:jc w:val="both"/>
            </w:pPr>
            <w:r w:rsidRPr="00310DF8">
              <w:t>4.8</w:t>
            </w:r>
          </w:p>
        </w:tc>
        <w:tc>
          <w:tcPr>
            <w:tcW w:w="2553" w:type="dxa"/>
            <w:shd w:val="clear" w:color="auto" w:fill="FFFFFF"/>
            <w:tcMar>
              <w:top w:w="0" w:type="dxa"/>
              <w:left w:w="0" w:type="dxa"/>
              <w:bottom w:w="0" w:type="dxa"/>
              <w:right w:w="0" w:type="dxa"/>
            </w:tcMar>
            <w:vAlign w:val="center"/>
            <w:hideMark/>
          </w:tcPr>
          <w:p w14:paraId="263C14BB" w14:textId="77777777" w:rsidR="00DC0226" w:rsidRPr="00310DF8" w:rsidRDefault="00DC0226" w:rsidP="00DC0226">
            <w:pPr>
              <w:pStyle w:val="BodyText"/>
              <w:spacing w:before="0" w:after="0"/>
              <w:jc w:val="both"/>
            </w:pPr>
            <w:r w:rsidRPr="00310DF8">
              <w:t>15.5</w:t>
            </w:r>
          </w:p>
        </w:tc>
      </w:tr>
      <w:tr w:rsidR="00DC0226" w:rsidRPr="00310DF8" w14:paraId="3A462065" w14:textId="77777777" w:rsidTr="009642E5">
        <w:trPr>
          <w:trHeight w:val="192"/>
        </w:trPr>
        <w:tc>
          <w:tcPr>
            <w:tcW w:w="3862" w:type="dxa"/>
            <w:shd w:val="clear" w:color="auto" w:fill="FFFFFF"/>
            <w:tcMar>
              <w:top w:w="0" w:type="dxa"/>
              <w:left w:w="480" w:type="dxa"/>
              <w:bottom w:w="0" w:type="dxa"/>
              <w:right w:w="0" w:type="dxa"/>
            </w:tcMar>
            <w:vAlign w:val="center"/>
            <w:hideMark/>
          </w:tcPr>
          <w:p w14:paraId="53DCADD2" w14:textId="77777777" w:rsidR="00DC0226" w:rsidRPr="00310DF8" w:rsidRDefault="00DC0226" w:rsidP="00DC0226">
            <w:pPr>
              <w:pStyle w:val="BodyText"/>
              <w:spacing w:before="0" w:after="0"/>
              <w:jc w:val="both"/>
            </w:pPr>
            <w:r w:rsidRPr="00310DF8">
              <w:t>Always</w:t>
            </w:r>
          </w:p>
        </w:tc>
        <w:tc>
          <w:tcPr>
            <w:tcW w:w="2710" w:type="dxa"/>
            <w:shd w:val="clear" w:color="auto" w:fill="FFFFFF"/>
            <w:tcMar>
              <w:top w:w="0" w:type="dxa"/>
              <w:left w:w="0" w:type="dxa"/>
              <w:bottom w:w="0" w:type="dxa"/>
              <w:right w:w="0" w:type="dxa"/>
            </w:tcMar>
            <w:vAlign w:val="center"/>
            <w:hideMark/>
          </w:tcPr>
          <w:p w14:paraId="540528A8" w14:textId="77777777" w:rsidR="00DC0226" w:rsidRPr="00310DF8" w:rsidRDefault="00DC0226" w:rsidP="00DC0226">
            <w:pPr>
              <w:pStyle w:val="BodyText"/>
              <w:spacing w:before="0" w:after="0"/>
              <w:jc w:val="both"/>
            </w:pPr>
            <w:r w:rsidRPr="00310DF8">
              <w:t>2.0</w:t>
            </w:r>
          </w:p>
        </w:tc>
        <w:tc>
          <w:tcPr>
            <w:tcW w:w="2553" w:type="dxa"/>
            <w:shd w:val="clear" w:color="auto" w:fill="FFFFFF"/>
            <w:tcMar>
              <w:top w:w="0" w:type="dxa"/>
              <w:left w:w="0" w:type="dxa"/>
              <w:bottom w:w="0" w:type="dxa"/>
              <w:right w:w="0" w:type="dxa"/>
            </w:tcMar>
            <w:vAlign w:val="center"/>
            <w:hideMark/>
          </w:tcPr>
          <w:p w14:paraId="64F586ED" w14:textId="77777777" w:rsidR="00DC0226" w:rsidRPr="00310DF8" w:rsidRDefault="00DC0226" w:rsidP="00DC0226">
            <w:pPr>
              <w:pStyle w:val="BodyText"/>
              <w:spacing w:before="0" w:after="0"/>
              <w:jc w:val="both"/>
            </w:pPr>
            <w:r w:rsidRPr="00310DF8">
              <w:t>7.8</w:t>
            </w:r>
          </w:p>
        </w:tc>
      </w:tr>
      <w:tr w:rsidR="00DC0226" w:rsidRPr="00310DF8" w14:paraId="7ECB0875" w14:textId="77777777" w:rsidTr="009642E5">
        <w:trPr>
          <w:trHeight w:val="187"/>
        </w:trPr>
        <w:tc>
          <w:tcPr>
            <w:tcW w:w="9126" w:type="dxa"/>
            <w:gridSpan w:val="3"/>
            <w:tcBorders>
              <w:bottom w:val="single" w:sz="6" w:space="0" w:color="auto"/>
            </w:tcBorders>
            <w:shd w:val="clear" w:color="auto" w:fill="FFFFFF"/>
            <w:tcMar>
              <w:top w:w="0" w:type="dxa"/>
              <w:left w:w="0" w:type="dxa"/>
              <w:bottom w:w="0" w:type="dxa"/>
              <w:right w:w="0" w:type="dxa"/>
            </w:tcMar>
            <w:vAlign w:val="center"/>
            <w:hideMark/>
          </w:tcPr>
          <w:p w14:paraId="2F55848E" w14:textId="77777777" w:rsidR="00DC0226" w:rsidRPr="00310DF8" w:rsidRDefault="00DC0226" w:rsidP="00DC0226">
            <w:pPr>
              <w:pStyle w:val="BodyText"/>
              <w:spacing w:before="0" w:after="0"/>
              <w:jc w:val="both"/>
            </w:pPr>
            <w:r w:rsidRPr="00310DF8">
              <w:rPr>
                <w:b/>
                <w:bCs/>
              </w:rPr>
              <w:t>Physical abuse at any time***</w:t>
            </w:r>
          </w:p>
        </w:tc>
      </w:tr>
      <w:tr w:rsidR="00DC0226" w:rsidRPr="00310DF8" w14:paraId="697486BD" w14:textId="77777777" w:rsidTr="009642E5">
        <w:trPr>
          <w:trHeight w:val="192"/>
        </w:trPr>
        <w:tc>
          <w:tcPr>
            <w:tcW w:w="3862" w:type="dxa"/>
            <w:shd w:val="clear" w:color="auto" w:fill="FFFFFF"/>
            <w:tcMar>
              <w:top w:w="0" w:type="dxa"/>
              <w:left w:w="480" w:type="dxa"/>
              <w:bottom w:w="0" w:type="dxa"/>
              <w:right w:w="0" w:type="dxa"/>
            </w:tcMar>
            <w:vAlign w:val="center"/>
            <w:hideMark/>
          </w:tcPr>
          <w:p w14:paraId="4E107EA4" w14:textId="77777777" w:rsidR="00DC0226" w:rsidRPr="00310DF8" w:rsidRDefault="00DC0226" w:rsidP="00DC0226">
            <w:pPr>
              <w:pStyle w:val="BodyText"/>
              <w:spacing w:before="0" w:after="0"/>
              <w:jc w:val="both"/>
            </w:pPr>
            <w:r w:rsidRPr="00310DF8">
              <w:t>Never</w:t>
            </w:r>
          </w:p>
        </w:tc>
        <w:tc>
          <w:tcPr>
            <w:tcW w:w="2710" w:type="dxa"/>
            <w:shd w:val="clear" w:color="auto" w:fill="FFFFFF"/>
            <w:tcMar>
              <w:top w:w="0" w:type="dxa"/>
              <w:left w:w="0" w:type="dxa"/>
              <w:bottom w:w="0" w:type="dxa"/>
              <w:right w:w="0" w:type="dxa"/>
            </w:tcMar>
            <w:vAlign w:val="center"/>
            <w:hideMark/>
          </w:tcPr>
          <w:p w14:paraId="69D74972" w14:textId="77777777" w:rsidR="00DC0226" w:rsidRPr="00310DF8" w:rsidRDefault="00DC0226" w:rsidP="00DC0226">
            <w:pPr>
              <w:pStyle w:val="BodyText"/>
              <w:spacing w:before="0" w:after="0"/>
              <w:jc w:val="both"/>
            </w:pPr>
            <w:r w:rsidRPr="00310DF8">
              <w:t>76.9</w:t>
            </w:r>
          </w:p>
        </w:tc>
        <w:tc>
          <w:tcPr>
            <w:tcW w:w="2553" w:type="dxa"/>
            <w:shd w:val="clear" w:color="auto" w:fill="FFFFFF"/>
            <w:tcMar>
              <w:top w:w="0" w:type="dxa"/>
              <w:left w:w="0" w:type="dxa"/>
              <w:bottom w:w="0" w:type="dxa"/>
              <w:right w:w="0" w:type="dxa"/>
            </w:tcMar>
            <w:vAlign w:val="center"/>
            <w:hideMark/>
          </w:tcPr>
          <w:p w14:paraId="03297B86" w14:textId="77777777" w:rsidR="00DC0226" w:rsidRPr="00310DF8" w:rsidRDefault="00DC0226" w:rsidP="00DC0226">
            <w:pPr>
              <w:pStyle w:val="BodyText"/>
              <w:spacing w:before="0" w:after="0"/>
              <w:jc w:val="both"/>
            </w:pPr>
            <w:r w:rsidRPr="00310DF8">
              <w:t>61.5</w:t>
            </w:r>
          </w:p>
        </w:tc>
      </w:tr>
      <w:tr w:rsidR="00DC0226" w:rsidRPr="00310DF8" w14:paraId="6E7AA789" w14:textId="77777777" w:rsidTr="009642E5">
        <w:trPr>
          <w:trHeight w:val="187"/>
        </w:trPr>
        <w:tc>
          <w:tcPr>
            <w:tcW w:w="3862" w:type="dxa"/>
            <w:shd w:val="clear" w:color="auto" w:fill="FFFFFF"/>
            <w:tcMar>
              <w:top w:w="0" w:type="dxa"/>
              <w:left w:w="480" w:type="dxa"/>
              <w:bottom w:w="0" w:type="dxa"/>
              <w:right w:w="0" w:type="dxa"/>
            </w:tcMar>
            <w:vAlign w:val="center"/>
            <w:hideMark/>
          </w:tcPr>
          <w:p w14:paraId="3661F04E" w14:textId="77777777" w:rsidR="00DC0226" w:rsidRPr="00310DF8" w:rsidRDefault="00DC0226" w:rsidP="00DC0226">
            <w:pPr>
              <w:pStyle w:val="BodyText"/>
              <w:spacing w:before="0" w:after="0"/>
              <w:jc w:val="both"/>
            </w:pPr>
            <w:r w:rsidRPr="00310DF8">
              <w:t>Rarely</w:t>
            </w:r>
          </w:p>
        </w:tc>
        <w:tc>
          <w:tcPr>
            <w:tcW w:w="2710" w:type="dxa"/>
            <w:shd w:val="clear" w:color="auto" w:fill="FFFFFF"/>
            <w:tcMar>
              <w:top w:w="0" w:type="dxa"/>
              <w:left w:w="0" w:type="dxa"/>
              <w:bottom w:w="0" w:type="dxa"/>
              <w:right w:w="0" w:type="dxa"/>
            </w:tcMar>
            <w:vAlign w:val="center"/>
            <w:hideMark/>
          </w:tcPr>
          <w:p w14:paraId="664CC38A" w14:textId="77777777" w:rsidR="00DC0226" w:rsidRPr="00310DF8" w:rsidRDefault="00DC0226" w:rsidP="00DC0226">
            <w:pPr>
              <w:pStyle w:val="BodyText"/>
              <w:spacing w:before="0" w:after="0"/>
              <w:jc w:val="both"/>
            </w:pPr>
            <w:r w:rsidRPr="00310DF8">
              <w:t>15.8</w:t>
            </w:r>
          </w:p>
        </w:tc>
        <w:tc>
          <w:tcPr>
            <w:tcW w:w="2553" w:type="dxa"/>
            <w:shd w:val="clear" w:color="auto" w:fill="FFFFFF"/>
            <w:tcMar>
              <w:top w:w="0" w:type="dxa"/>
              <w:left w:w="0" w:type="dxa"/>
              <w:bottom w:w="0" w:type="dxa"/>
              <w:right w:w="0" w:type="dxa"/>
            </w:tcMar>
            <w:vAlign w:val="center"/>
            <w:hideMark/>
          </w:tcPr>
          <w:p w14:paraId="29F671DB" w14:textId="77777777" w:rsidR="00DC0226" w:rsidRPr="00310DF8" w:rsidRDefault="00DC0226" w:rsidP="00DC0226">
            <w:pPr>
              <w:pStyle w:val="BodyText"/>
              <w:spacing w:before="0" w:after="0"/>
              <w:jc w:val="both"/>
            </w:pPr>
            <w:r w:rsidRPr="00310DF8">
              <w:t>24.5</w:t>
            </w:r>
          </w:p>
        </w:tc>
      </w:tr>
      <w:tr w:rsidR="00DC0226" w:rsidRPr="00310DF8" w14:paraId="1D61E3B6" w14:textId="77777777" w:rsidTr="009642E5">
        <w:trPr>
          <w:trHeight w:val="192"/>
        </w:trPr>
        <w:tc>
          <w:tcPr>
            <w:tcW w:w="3862" w:type="dxa"/>
            <w:shd w:val="clear" w:color="auto" w:fill="FFFFFF"/>
            <w:tcMar>
              <w:top w:w="0" w:type="dxa"/>
              <w:left w:w="480" w:type="dxa"/>
              <w:bottom w:w="0" w:type="dxa"/>
              <w:right w:w="0" w:type="dxa"/>
            </w:tcMar>
            <w:vAlign w:val="center"/>
            <w:hideMark/>
          </w:tcPr>
          <w:p w14:paraId="727A2FD2" w14:textId="77777777" w:rsidR="00DC0226" w:rsidRPr="00310DF8" w:rsidRDefault="00DC0226" w:rsidP="00DC0226">
            <w:pPr>
              <w:pStyle w:val="BodyText"/>
              <w:spacing w:before="0" w:after="0"/>
              <w:jc w:val="both"/>
            </w:pPr>
            <w:r w:rsidRPr="00310DF8">
              <w:t>Sometimes</w:t>
            </w:r>
          </w:p>
        </w:tc>
        <w:tc>
          <w:tcPr>
            <w:tcW w:w="2710" w:type="dxa"/>
            <w:shd w:val="clear" w:color="auto" w:fill="FFFFFF"/>
            <w:tcMar>
              <w:top w:w="0" w:type="dxa"/>
              <w:left w:w="0" w:type="dxa"/>
              <w:bottom w:w="0" w:type="dxa"/>
              <w:right w:w="0" w:type="dxa"/>
            </w:tcMar>
            <w:vAlign w:val="center"/>
            <w:hideMark/>
          </w:tcPr>
          <w:p w14:paraId="548991A2" w14:textId="77777777" w:rsidR="00DC0226" w:rsidRPr="00310DF8" w:rsidRDefault="00DC0226" w:rsidP="00DC0226">
            <w:pPr>
              <w:pStyle w:val="BodyText"/>
              <w:spacing w:before="0" w:after="0"/>
              <w:jc w:val="both"/>
            </w:pPr>
            <w:r w:rsidRPr="00310DF8">
              <w:t>5.9</w:t>
            </w:r>
          </w:p>
        </w:tc>
        <w:tc>
          <w:tcPr>
            <w:tcW w:w="2553" w:type="dxa"/>
            <w:shd w:val="clear" w:color="auto" w:fill="FFFFFF"/>
            <w:tcMar>
              <w:top w:w="0" w:type="dxa"/>
              <w:left w:w="0" w:type="dxa"/>
              <w:bottom w:w="0" w:type="dxa"/>
              <w:right w:w="0" w:type="dxa"/>
            </w:tcMar>
            <w:vAlign w:val="center"/>
            <w:hideMark/>
          </w:tcPr>
          <w:p w14:paraId="3CA4E7EA" w14:textId="77777777" w:rsidR="00DC0226" w:rsidRPr="00310DF8" w:rsidRDefault="00DC0226" w:rsidP="00DC0226">
            <w:pPr>
              <w:pStyle w:val="BodyText"/>
              <w:spacing w:before="0" w:after="0"/>
              <w:jc w:val="both"/>
            </w:pPr>
            <w:r w:rsidRPr="00310DF8">
              <w:t>10.3</w:t>
            </w:r>
          </w:p>
        </w:tc>
      </w:tr>
      <w:tr w:rsidR="00DC0226" w:rsidRPr="00310DF8" w14:paraId="4419D71F" w14:textId="77777777" w:rsidTr="009642E5">
        <w:trPr>
          <w:trHeight w:val="192"/>
        </w:trPr>
        <w:tc>
          <w:tcPr>
            <w:tcW w:w="3862" w:type="dxa"/>
            <w:shd w:val="clear" w:color="auto" w:fill="FFFFFF"/>
            <w:tcMar>
              <w:top w:w="0" w:type="dxa"/>
              <w:left w:w="480" w:type="dxa"/>
              <w:bottom w:w="0" w:type="dxa"/>
              <w:right w:w="0" w:type="dxa"/>
            </w:tcMar>
            <w:vAlign w:val="center"/>
            <w:hideMark/>
          </w:tcPr>
          <w:p w14:paraId="4F697F94" w14:textId="77777777" w:rsidR="00DC0226" w:rsidRPr="00310DF8" w:rsidRDefault="00DC0226" w:rsidP="00DC0226">
            <w:pPr>
              <w:pStyle w:val="BodyText"/>
              <w:spacing w:before="0" w:after="0"/>
              <w:jc w:val="both"/>
            </w:pPr>
            <w:r w:rsidRPr="00310DF8">
              <w:t>Most of the time</w:t>
            </w:r>
          </w:p>
        </w:tc>
        <w:tc>
          <w:tcPr>
            <w:tcW w:w="2710" w:type="dxa"/>
            <w:shd w:val="clear" w:color="auto" w:fill="FFFFFF"/>
            <w:tcMar>
              <w:top w:w="0" w:type="dxa"/>
              <w:left w:w="0" w:type="dxa"/>
              <w:bottom w:w="0" w:type="dxa"/>
              <w:right w:w="0" w:type="dxa"/>
            </w:tcMar>
            <w:vAlign w:val="center"/>
            <w:hideMark/>
          </w:tcPr>
          <w:p w14:paraId="1D502F07" w14:textId="77777777" w:rsidR="00DC0226" w:rsidRPr="00310DF8" w:rsidRDefault="00DC0226" w:rsidP="00DC0226">
            <w:pPr>
              <w:pStyle w:val="BodyText"/>
              <w:spacing w:before="0" w:after="0"/>
              <w:jc w:val="both"/>
            </w:pPr>
            <w:r w:rsidRPr="00310DF8">
              <w:t>1.1</w:t>
            </w:r>
          </w:p>
        </w:tc>
        <w:tc>
          <w:tcPr>
            <w:tcW w:w="2553" w:type="dxa"/>
            <w:shd w:val="clear" w:color="auto" w:fill="FFFFFF"/>
            <w:tcMar>
              <w:top w:w="0" w:type="dxa"/>
              <w:left w:w="0" w:type="dxa"/>
              <w:bottom w:w="0" w:type="dxa"/>
              <w:right w:w="0" w:type="dxa"/>
            </w:tcMar>
            <w:vAlign w:val="center"/>
            <w:hideMark/>
          </w:tcPr>
          <w:p w14:paraId="2828E65A" w14:textId="77777777" w:rsidR="00DC0226" w:rsidRPr="00310DF8" w:rsidRDefault="00DC0226" w:rsidP="00DC0226">
            <w:pPr>
              <w:pStyle w:val="BodyText"/>
              <w:spacing w:before="0" w:after="0"/>
              <w:jc w:val="both"/>
            </w:pPr>
            <w:r w:rsidRPr="00310DF8">
              <w:t>2.0</w:t>
            </w:r>
          </w:p>
        </w:tc>
      </w:tr>
      <w:tr w:rsidR="00DC0226" w:rsidRPr="00310DF8" w14:paraId="2F946A92" w14:textId="77777777" w:rsidTr="009642E5">
        <w:trPr>
          <w:trHeight w:val="83"/>
        </w:trPr>
        <w:tc>
          <w:tcPr>
            <w:tcW w:w="3862" w:type="dxa"/>
            <w:shd w:val="clear" w:color="auto" w:fill="FFFFFF"/>
            <w:tcMar>
              <w:top w:w="0" w:type="dxa"/>
              <w:left w:w="480" w:type="dxa"/>
              <w:bottom w:w="0" w:type="dxa"/>
              <w:right w:w="0" w:type="dxa"/>
            </w:tcMar>
            <w:vAlign w:val="center"/>
            <w:hideMark/>
          </w:tcPr>
          <w:p w14:paraId="2E5EA498" w14:textId="77777777" w:rsidR="00DC0226" w:rsidRPr="00310DF8" w:rsidRDefault="00DC0226" w:rsidP="00DC0226">
            <w:pPr>
              <w:pStyle w:val="BodyText"/>
              <w:spacing w:before="0" w:after="0"/>
              <w:jc w:val="both"/>
            </w:pPr>
            <w:r w:rsidRPr="00310DF8">
              <w:t>Always</w:t>
            </w:r>
          </w:p>
        </w:tc>
        <w:tc>
          <w:tcPr>
            <w:tcW w:w="2710" w:type="dxa"/>
            <w:shd w:val="clear" w:color="auto" w:fill="FFFFFF"/>
            <w:tcMar>
              <w:top w:w="0" w:type="dxa"/>
              <w:left w:w="0" w:type="dxa"/>
              <w:bottom w:w="0" w:type="dxa"/>
              <w:right w:w="0" w:type="dxa"/>
            </w:tcMar>
            <w:vAlign w:val="center"/>
            <w:hideMark/>
          </w:tcPr>
          <w:p w14:paraId="7FDD1702" w14:textId="77777777" w:rsidR="00DC0226" w:rsidRPr="00310DF8" w:rsidRDefault="00DC0226" w:rsidP="00DC0226">
            <w:pPr>
              <w:pStyle w:val="BodyText"/>
              <w:spacing w:before="0" w:after="0"/>
              <w:jc w:val="both"/>
            </w:pPr>
            <w:r w:rsidRPr="00310DF8">
              <w:t>0.2</w:t>
            </w:r>
          </w:p>
        </w:tc>
        <w:tc>
          <w:tcPr>
            <w:tcW w:w="2553" w:type="dxa"/>
            <w:shd w:val="clear" w:color="auto" w:fill="FFFFFF"/>
            <w:tcMar>
              <w:top w:w="0" w:type="dxa"/>
              <w:left w:w="0" w:type="dxa"/>
              <w:bottom w:w="0" w:type="dxa"/>
              <w:right w:w="0" w:type="dxa"/>
            </w:tcMar>
            <w:vAlign w:val="center"/>
            <w:hideMark/>
          </w:tcPr>
          <w:p w14:paraId="5FC8A5FB" w14:textId="77777777" w:rsidR="00DC0226" w:rsidRPr="00310DF8" w:rsidRDefault="00DC0226" w:rsidP="00DC0226">
            <w:pPr>
              <w:pStyle w:val="BodyText"/>
              <w:spacing w:before="0" w:after="0"/>
              <w:jc w:val="both"/>
            </w:pPr>
            <w:r w:rsidRPr="00310DF8">
              <w:t>1.7</w:t>
            </w:r>
          </w:p>
        </w:tc>
      </w:tr>
      <w:tr w:rsidR="00DC0226" w:rsidRPr="00310DF8" w14:paraId="21FAB7DF" w14:textId="77777777" w:rsidTr="009642E5">
        <w:trPr>
          <w:trHeight w:val="192"/>
        </w:trPr>
        <w:tc>
          <w:tcPr>
            <w:tcW w:w="9126" w:type="dxa"/>
            <w:gridSpan w:val="3"/>
            <w:tcBorders>
              <w:bottom w:val="single" w:sz="6" w:space="0" w:color="auto"/>
            </w:tcBorders>
            <w:shd w:val="clear" w:color="auto" w:fill="FFFFFF"/>
            <w:tcMar>
              <w:top w:w="0" w:type="dxa"/>
              <w:left w:w="0" w:type="dxa"/>
              <w:bottom w:w="0" w:type="dxa"/>
              <w:right w:w="0" w:type="dxa"/>
            </w:tcMar>
            <w:vAlign w:val="center"/>
            <w:hideMark/>
          </w:tcPr>
          <w:p w14:paraId="6BC93B74" w14:textId="77777777" w:rsidR="00DC0226" w:rsidRPr="00310DF8" w:rsidRDefault="00DC0226" w:rsidP="00DC0226">
            <w:pPr>
              <w:pStyle w:val="BodyText"/>
              <w:spacing w:before="0" w:after="0"/>
              <w:jc w:val="both"/>
            </w:pPr>
            <w:r w:rsidRPr="00310DF8">
              <w:rPr>
                <w:b/>
                <w:bCs/>
              </w:rPr>
              <w:t>Adult in home tries to meet physical needs***</w:t>
            </w:r>
          </w:p>
        </w:tc>
      </w:tr>
      <w:tr w:rsidR="00DC0226" w:rsidRPr="00310DF8" w14:paraId="1501E64A" w14:textId="77777777" w:rsidTr="009642E5">
        <w:trPr>
          <w:trHeight w:val="190"/>
        </w:trPr>
        <w:tc>
          <w:tcPr>
            <w:tcW w:w="3862" w:type="dxa"/>
            <w:shd w:val="clear" w:color="auto" w:fill="FFFFFF"/>
            <w:tcMar>
              <w:top w:w="0" w:type="dxa"/>
              <w:left w:w="480" w:type="dxa"/>
              <w:bottom w:w="0" w:type="dxa"/>
              <w:right w:w="0" w:type="dxa"/>
            </w:tcMar>
            <w:vAlign w:val="center"/>
            <w:hideMark/>
          </w:tcPr>
          <w:p w14:paraId="2A6C9AB0" w14:textId="77777777" w:rsidR="00DC0226" w:rsidRPr="00310DF8" w:rsidRDefault="00DC0226" w:rsidP="00DC0226">
            <w:pPr>
              <w:pStyle w:val="BodyText"/>
              <w:spacing w:before="0" w:after="0"/>
              <w:jc w:val="both"/>
            </w:pPr>
            <w:r w:rsidRPr="00310DF8">
              <w:t>Never</w:t>
            </w:r>
          </w:p>
        </w:tc>
        <w:tc>
          <w:tcPr>
            <w:tcW w:w="2710" w:type="dxa"/>
            <w:shd w:val="clear" w:color="auto" w:fill="FFFFFF"/>
            <w:tcMar>
              <w:top w:w="0" w:type="dxa"/>
              <w:left w:w="0" w:type="dxa"/>
              <w:bottom w:w="0" w:type="dxa"/>
              <w:right w:w="0" w:type="dxa"/>
            </w:tcMar>
            <w:vAlign w:val="center"/>
            <w:hideMark/>
          </w:tcPr>
          <w:p w14:paraId="23772004" w14:textId="77777777" w:rsidR="00DC0226" w:rsidRPr="00310DF8" w:rsidRDefault="00DC0226" w:rsidP="00DC0226">
            <w:pPr>
              <w:pStyle w:val="BodyText"/>
              <w:spacing w:before="0" w:after="0"/>
              <w:jc w:val="both"/>
            </w:pPr>
            <w:r w:rsidRPr="00310DF8">
              <w:t>4.3</w:t>
            </w:r>
          </w:p>
        </w:tc>
        <w:tc>
          <w:tcPr>
            <w:tcW w:w="2553" w:type="dxa"/>
            <w:shd w:val="clear" w:color="auto" w:fill="FFFFFF"/>
            <w:tcMar>
              <w:top w:w="0" w:type="dxa"/>
              <w:left w:w="0" w:type="dxa"/>
              <w:bottom w:w="0" w:type="dxa"/>
              <w:right w:w="0" w:type="dxa"/>
            </w:tcMar>
            <w:vAlign w:val="center"/>
            <w:hideMark/>
          </w:tcPr>
          <w:p w14:paraId="2C13F745" w14:textId="77777777" w:rsidR="00DC0226" w:rsidRPr="00310DF8" w:rsidRDefault="00DC0226" w:rsidP="00DC0226">
            <w:pPr>
              <w:pStyle w:val="BodyText"/>
              <w:spacing w:before="0" w:after="0"/>
              <w:jc w:val="both"/>
            </w:pPr>
            <w:r w:rsidRPr="00310DF8">
              <w:t>2.8</w:t>
            </w:r>
          </w:p>
        </w:tc>
      </w:tr>
      <w:tr w:rsidR="00DC0226" w:rsidRPr="00310DF8" w14:paraId="4CB12681" w14:textId="77777777" w:rsidTr="009642E5">
        <w:trPr>
          <w:trHeight w:val="190"/>
        </w:trPr>
        <w:tc>
          <w:tcPr>
            <w:tcW w:w="3862" w:type="dxa"/>
            <w:shd w:val="clear" w:color="auto" w:fill="FFFFFF"/>
            <w:tcMar>
              <w:top w:w="0" w:type="dxa"/>
              <w:left w:w="480" w:type="dxa"/>
              <w:bottom w:w="0" w:type="dxa"/>
              <w:right w:w="0" w:type="dxa"/>
            </w:tcMar>
            <w:vAlign w:val="center"/>
            <w:hideMark/>
          </w:tcPr>
          <w:p w14:paraId="04EC5EA8" w14:textId="77777777" w:rsidR="00DC0226" w:rsidRPr="00310DF8" w:rsidRDefault="00DC0226" w:rsidP="00DC0226">
            <w:pPr>
              <w:pStyle w:val="BodyText"/>
              <w:spacing w:before="0" w:after="0"/>
              <w:jc w:val="both"/>
            </w:pPr>
            <w:r w:rsidRPr="00310DF8">
              <w:t>Rarely</w:t>
            </w:r>
          </w:p>
        </w:tc>
        <w:tc>
          <w:tcPr>
            <w:tcW w:w="2710" w:type="dxa"/>
            <w:shd w:val="clear" w:color="auto" w:fill="FFFFFF"/>
            <w:tcMar>
              <w:top w:w="0" w:type="dxa"/>
              <w:left w:w="0" w:type="dxa"/>
              <w:bottom w:w="0" w:type="dxa"/>
              <w:right w:w="0" w:type="dxa"/>
            </w:tcMar>
            <w:vAlign w:val="center"/>
            <w:hideMark/>
          </w:tcPr>
          <w:p w14:paraId="7AF8083A" w14:textId="77777777" w:rsidR="00DC0226" w:rsidRPr="00310DF8" w:rsidRDefault="00DC0226" w:rsidP="00DC0226">
            <w:pPr>
              <w:pStyle w:val="BodyText"/>
              <w:spacing w:before="0" w:after="0"/>
              <w:jc w:val="both"/>
            </w:pPr>
            <w:r w:rsidRPr="00310DF8">
              <w:t>2.9</w:t>
            </w:r>
          </w:p>
        </w:tc>
        <w:tc>
          <w:tcPr>
            <w:tcW w:w="2553" w:type="dxa"/>
            <w:shd w:val="clear" w:color="auto" w:fill="FFFFFF"/>
            <w:tcMar>
              <w:top w:w="0" w:type="dxa"/>
              <w:left w:w="0" w:type="dxa"/>
              <w:bottom w:w="0" w:type="dxa"/>
              <w:right w:w="0" w:type="dxa"/>
            </w:tcMar>
            <w:vAlign w:val="center"/>
            <w:hideMark/>
          </w:tcPr>
          <w:p w14:paraId="186097ED" w14:textId="77777777" w:rsidR="00DC0226" w:rsidRPr="00310DF8" w:rsidRDefault="00DC0226" w:rsidP="00DC0226">
            <w:pPr>
              <w:pStyle w:val="BodyText"/>
              <w:spacing w:before="0" w:after="0"/>
              <w:jc w:val="both"/>
            </w:pPr>
            <w:r w:rsidRPr="00310DF8">
              <w:t>3.0</w:t>
            </w:r>
          </w:p>
        </w:tc>
      </w:tr>
      <w:tr w:rsidR="00DC0226" w:rsidRPr="00310DF8" w14:paraId="425D65DD" w14:textId="77777777" w:rsidTr="009642E5">
        <w:trPr>
          <w:trHeight w:val="190"/>
        </w:trPr>
        <w:tc>
          <w:tcPr>
            <w:tcW w:w="3862" w:type="dxa"/>
            <w:shd w:val="clear" w:color="auto" w:fill="FFFFFF"/>
            <w:tcMar>
              <w:top w:w="0" w:type="dxa"/>
              <w:left w:w="480" w:type="dxa"/>
              <w:bottom w:w="0" w:type="dxa"/>
              <w:right w:w="0" w:type="dxa"/>
            </w:tcMar>
            <w:vAlign w:val="center"/>
            <w:hideMark/>
          </w:tcPr>
          <w:p w14:paraId="431F00AC" w14:textId="77777777" w:rsidR="00DC0226" w:rsidRPr="00310DF8" w:rsidRDefault="00DC0226" w:rsidP="00DC0226">
            <w:pPr>
              <w:pStyle w:val="BodyText"/>
              <w:spacing w:before="0" w:after="0"/>
              <w:jc w:val="both"/>
            </w:pPr>
            <w:r w:rsidRPr="00310DF8">
              <w:t>Sometimes</w:t>
            </w:r>
          </w:p>
        </w:tc>
        <w:tc>
          <w:tcPr>
            <w:tcW w:w="2710" w:type="dxa"/>
            <w:shd w:val="clear" w:color="auto" w:fill="FFFFFF"/>
            <w:tcMar>
              <w:top w:w="0" w:type="dxa"/>
              <w:left w:w="0" w:type="dxa"/>
              <w:bottom w:w="0" w:type="dxa"/>
              <w:right w:w="0" w:type="dxa"/>
            </w:tcMar>
            <w:vAlign w:val="center"/>
            <w:hideMark/>
          </w:tcPr>
          <w:p w14:paraId="1769B036" w14:textId="77777777" w:rsidR="00DC0226" w:rsidRPr="00310DF8" w:rsidRDefault="00DC0226" w:rsidP="00DC0226">
            <w:pPr>
              <w:pStyle w:val="BodyText"/>
              <w:spacing w:before="0" w:after="0"/>
              <w:jc w:val="both"/>
            </w:pPr>
            <w:r w:rsidRPr="00310DF8">
              <w:t>5.1</w:t>
            </w:r>
          </w:p>
        </w:tc>
        <w:tc>
          <w:tcPr>
            <w:tcW w:w="2553" w:type="dxa"/>
            <w:shd w:val="clear" w:color="auto" w:fill="FFFFFF"/>
            <w:tcMar>
              <w:top w:w="0" w:type="dxa"/>
              <w:left w:w="0" w:type="dxa"/>
              <w:bottom w:w="0" w:type="dxa"/>
              <w:right w:w="0" w:type="dxa"/>
            </w:tcMar>
            <w:vAlign w:val="center"/>
            <w:hideMark/>
          </w:tcPr>
          <w:p w14:paraId="4C99C668" w14:textId="77777777" w:rsidR="00DC0226" w:rsidRPr="00310DF8" w:rsidRDefault="00DC0226" w:rsidP="00DC0226">
            <w:pPr>
              <w:pStyle w:val="BodyText"/>
              <w:spacing w:before="0" w:after="0"/>
              <w:jc w:val="both"/>
            </w:pPr>
            <w:r w:rsidRPr="00310DF8">
              <w:t>9.6</w:t>
            </w:r>
          </w:p>
        </w:tc>
      </w:tr>
      <w:tr w:rsidR="00DC0226" w:rsidRPr="00310DF8" w14:paraId="23B54119" w14:textId="77777777" w:rsidTr="009642E5">
        <w:trPr>
          <w:trHeight w:val="190"/>
        </w:trPr>
        <w:tc>
          <w:tcPr>
            <w:tcW w:w="3862" w:type="dxa"/>
            <w:shd w:val="clear" w:color="auto" w:fill="FFFFFF"/>
            <w:tcMar>
              <w:top w:w="0" w:type="dxa"/>
              <w:left w:w="480" w:type="dxa"/>
              <w:bottom w:w="0" w:type="dxa"/>
              <w:right w:w="0" w:type="dxa"/>
            </w:tcMar>
            <w:vAlign w:val="center"/>
            <w:hideMark/>
          </w:tcPr>
          <w:p w14:paraId="1419A036" w14:textId="77777777" w:rsidR="00DC0226" w:rsidRPr="00310DF8" w:rsidRDefault="00DC0226" w:rsidP="00DC0226">
            <w:pPr>
              <w:pStyle w:val="BodyText"/>
              <w:spacing w:before="0" w:after="0"/>
              <w:jc w:val="both"/>
            </w:pPr>
            <w:r w:rsidRPr="00310DF8">
              <w:t>Most of the time</w:t>
            </w:r>
          </w:p>
        </w:tc>
        <w:tc>
          <w:tcPr>
            <w:tcW w:w="2710" w:type="dxa"/>
            <w:shd w:val="clear" w:color="auto" w:fill="FFFFFF"/>
            <w:tcMar>
              <w:top w:w="0" w:type="dxa"/>
              <w:left w:w="0" w:type="dxa"/>
              <w:bottom w:w="0" w:type="dxa"/>
              <w:right w:w="0" w:type="dxa"/>
            </w:tcMar>
            <w:vAlign w:val="center"/>
            <w:hideMark/>
          </w:tcPr>
          <w:p w14:paraId="3623F1B0" w14:textId="77777777" w:rsidR="00DC0226" w:rsidRPr="00310DF8" w:rsidRDefault="00DC0226" w:rsidP="00DC0226">
            <w:pPr>
              <w:pStyle w:val="BodyText"/>
              <w:spacing w:before="0" w:after="0"/>
              <w:jc w:val="both"/>
            </w:pPr>
            <w:r w:rsidRPr="00310DF8">
              <w:t>14.6</w:t>
            </w:r>
          </w:p>
        </w:tc>
        <w:tc>
          <w:tcPr>
            <w:tcW w:w="2553" w:type="dxa"/>
            <w:shd w:val="clear" w:color="auto" w:fill="FFFFFF"/>
            <w:tcMar>
              <w:top w:w="0" w:type="dxa"/>
              <w:left w:w="0" w:type="dxa"/>
              <w:bottom w:w="0" w:type="dxa"/>
              <w:right w:w="0" w:type="dxa"/>
            </w:tcMar>
            <w:vAlign w:val="center"/>
            <w:hideMark/>
          </w:tcPr>
          <w:p w14:paraId="1BFBBE03" w14:textId="77777777" w:rsidR="00DC0226" w:rsidRPr="00310DF8" w:rsidRDefault="00DC0226" w:rsidP="00DC0226">
            <w:pPr>
              <w:pStyle w:val="BodyText"/>
              <w:spacing w:before="0" w:after="0"/>
              <w:jc w:val="both"/>
            </w:pPr>
            <w:r w:rsidRPr="00310DF8">
              <w:t>24.1</w:t>
            </w:r>
          </w:p>
        </w:tc>
      </w:tr>
      <w:tr w:rsidR="00DC0226" w:rsidRPr="00310DF8" w14:paraId="36F56B0E" w14:textId="77777777" w:rsidTr="009642E5">
        <w:trPr>
          <w:trHeight w:val="80"/>
        </w:trPr>
        <w:tc>
          <w:tcPr>
            <w:tcW w:w="3862" w:type="dxa"/>
            <w:shd w:val="clear" w:color="auto" w:fill="FFFFFF"/>
            <w:tcMar>
              <w:top w:w="0" w:type="dxa"/>
              <w:left w:w="480" w:type="dxa"/>
              <w:bottom w:w="0" w:type="dxa"/>
              <w:right w:w="0" w:type="dxa"/>
            </w:tcMar>
            <w:vAlign w:val="center"/>
            <w:hideMark/>
          </w:tcPr>
          <w:p w14:paraId="7B8F24E9" w14:textId="77777777" w:rsidR="00DC0226" w:rsidRPr="00310DF8" w:rsidRDefault="00DC0226" w:rsidP="00DC0226">
            <w:pPr>
              <w:pStyle w:val="BodyText"/>
              <w:spacing w:before="0" w:after="0"/>
              <w:jc w:val="both"/>
            </w:pPr>
            <w:r w:rsidRPr="00310DF8">
              <w:t>Always</w:t>
            </w:r>
          </w:p>
        </w:tc>
        <w:tc>
          <w:tcPr>
            <w:tcW w:w="2710" w:type="dxa"/>
            <w:shd w:val="clear" w:color="auto" w:fill="FFFFFF"/>
            <w:tcMar>
              <w:top w:w="0" w:type="dxa"/>
              <w:left w:w="0" w:type="dxa"/>
              <w:bottom w:w="0" w:type="dxa"/>
              <w:right w:w="0" w:type="dxa"/>
            </w:tcMar>
            <w:vAlign w:val="center"/>
            <w:hideMark/>
          </w:tcPr>
          <w:p w14:paraId="3D87EDC3" w14:textId="77777777" w:rsidR="00DC0226" w:rsidRPr="00310DF8" w:rsidRDefault="00DC0226" w:rsidP="00DC0226">
            <w:pPr>
              <w:pStyle w:val="BodyText"/>
              <w:spacing w:before="0" w:after="0"/>
              <w:jc w:val="both"/>
            </w:pPr>
            <w:r w:rsidRPr="00310DF8">
              <w:t>73.1</w:t>
            </w:r>
          </w:p>
        </w:tc>
        <w:tc>
          <w:tcPr>
            <w:tcW w:w="2553" w:type="dxa"/>
            <w:shd w:val="clear" w:color="auto" w:fill="FFFFFF"/>
            <w:tcMar>
              <w:top w:w="0" w:type="dxa"/>
              <w:left w:w="0" w:type="dxa"/>
              <w:bottom w:w="0" w:type="dxa"/>
              <w:right w:w="0" w:type="dxa"/>
            </w:tcMar>
            <w:vAlign w:val="center"/>
            <w:hideMark/>
          </w:tcPr>
          <w:p w14:paraId="22B93A11" w14:textId="77777777" w:rsidR="00DC0226" w:rsidRPr="00310DF8" w:rsidRDefault="00DC0226" w:rsidP="00DC0226">
            <w:pPr>
              <w:pStyle w:val="BodyText"/>
              <w:spacing w:before="0" w:after="0"/>
              <w:jc w:val="both"/>
            </w:pPr>
            <w:r w:rsidRPr="00310DF8">
              <w:t>60.6</w:t>
            </w:r>
          </w:p>
        </w:tc>
      </w:tr>
      <w:tr w:rsidR="00DC0226" w:rsidRPr="00310DF8" w14:paraId="29D368C4" w14:textId="77777777" w:rsidTr="009642E5">
        <w:trPr>
          <w:trHeight w:val="192"/>
        </w:trPr>
        <w:tc>
          <w:tcPr>
            <w:tcW w:w="3862" w:type="dxa"/>
            <w:shd w:val="clear" w:color="auto" w:fill="FFFFFF"/>
            <w:tcMar>
              <w:top w:w="0" w:type="dxa"/>
              <w:left w:w="0" w:type="dxa"/>
              <w:bottom w:w="0" w:type="dxa"/>
              <w:right w:w="0" w:type="dxa"/>
            </w:tcMar>
            <w:vAlign w:val="center"/>
            <w:hideMark/>
          </w:tcPr>
          <w:p w14:paraId="0018B981" w14:textId="77777777" w:rsidR="00DC0226" w:rsidRPr="00310DF8" w:rsidRDefault="00DC0226" w:rsidP="00DC0226">
            <w:pPr>
              <w:pStyle w:val="BodyText"/>
              <w:spacing w:before="0" w:after="0"/>
              <w:jc w:val="both"/>
            </w:pPr>
            <w:r w:rsidRPr="00310DF8">
              <w:rPr>
                <w:i/>
                <w:iCs/>
              </w:rPr>
              <w:t>Note:</w:t>
            </w:r>
            <w:r>
              <w:rPr>
                <w:i/>
                <w:iCs/>
              </w:rPr>
              <w:t xml:space="preserve"> </w:t>
            </w:r>
            <w:r w:rsidRPr="00310DF8">
              <w:t>*** p&lt;0.001</w:t>
            </w:r>
          </w:p>
        </w:tc>
        <w:tc>
          <w:tcPr>
            <w:tcW w:w="2710" w:type="dxa"/>
            <w:shd w:val="clear" w:color="auto" w:fill="FFFFFF"/>
            <w:vAlign w:val="center"/>
            <w:hideMark/>
          </w:tcPr>
          <w:p w14:paraId="4F912CEE" w14:textId="77777777" w:rsidR="00DC0226" w:rsidRPr="00310DF8" w:rsidRDefault="00DC0226" w:rsidP="00DC0226">
            <w:pPr>
              <w:pStyle w:val="BodyText"/>
              <w:spacing w:before="0" w:after="0"/>
              <w:jc w:val="both"/>
            </w:pPr>
          </w:p>
        </w:tc>
        <w:tc>
          <w:tcPr>
            <w:tcW w:w="2553" w:type="dxa"/>
            <w:shd w:val="clear" w:color="auto" w:fill="FFFFFF"/>
            <w:vAlign w:val="center"/>
            <w:hideMark/>
          </w:tcPr>
          <w:p w14:paraId="0F75809B" w14:textId="77777777" w:rsidR="00DC0226" w:rsidRPr="00310DF8" w:rsidRDefault="00DC0226" w:rsidP="00DC0226">
            <w:pPr>
              <w:pStyle w:val="BodyText"/>
              <w:spacing w:before="0" w:after="0"/>
              <w:jc w:val="both"/>
            </w:pPr>
          </w:p>
        </w:tc>
      </w:tr>
      <w:tr w:rsidR="00DC0226" w:rsidRPr="00310DF8" w14:paraId="10A47113" w14:textId="77777777" w:rsidTr="009642E5">
        <w:tc>
          <w:tcPr>
            <w:tcW w:w="3862" w:type="dxa"/>
            <w:shd w:val="clear" w:color="auto" w:fill="FFFFFF"/>
            <w:tcMar>
              <w:top w:w="0" w:type="dxa"/>
              <w:left w:w="0" w:type="dxa"/>
              <w:bottom w:w="0" w:type="dxa"/>
              <w:right w:w="0" w:type="dxa"/>
            </w:tcMar>
            <w:vAlign w:val="center"/>
            <w:hideMark/>
          </w:tcPr>
          <w:p w14:paraId="2E66F25C" w14:textId="77777777" w:rsidR="00DC0226" w:rsidRPr="00310DF8" w:rsidRDefault="00DC0226" w:rsidP="00DC0226">
            <w:pPr>
              <w:pStyle w:val="BodyText"/>
              <w:spacing w:before="0" w:after="0"/>
              <w:jc w:val="both"/>
            </w:pPr>
          </w:p>
        </w:tc>
        <w:tc>
          <w:tcPr>
            <w:tcW w:w="2710" w:type="dxa"/>
            <w:shd w:val="clear" w:color="auto" w:fill="FFFFFF"/>
            <w:vAlign w:val="center"/>
            <w:hideMark/>
          </w:tcPr>
          <w:p w14:paraId="3E6C6E04" w14:textId="77777777" w:rsidR="00DC0226" w:rsidRPr="00310DF8" w:rsidRDefault="00DC0226" w:rsidP="00DC0226">
            <w:pPr>
              <w:pStyle w:val="BodyText"/>
              <w:spacing w:before="0" w:after="0"/>
              <w:jc w:val="both"/>
            </w:pPr>
          </w:p>
        </w:tc>
        <w:tc>
          <w:tcPr>
            <w:tcW w:w="2553" w:type="dxa"/>
            <w:shd w:val="clear" w:color="auto" w:fill="FFFFFF"/>
            <w:vAlign w:val="center"/>
            <w:hideMark/>
          </w:tcPr>
          <w:p w14:paraId="60C56AF0" w14:textId="77777777" w:rsidR="00DC0226" w:rsidRPr="00310DF8" w:rsidRDefault="00DC0226" w:rsidP="00DC0226">
            <w:pPr>
              <w:pStyle w:val="BodyText"/>
              <w:spacing w:before="0" w:after="0"/>
              <w:jc w:val="both"/>
            </w:pPr>
          </w:p>
        </w:tc>
      </w:tr>
    </w:tbl>
    <w:p w14:paraId="0F92B15C" w14:textId="77777777" w:rsidR="00DC0226" w:rsidRDefault="00DC0226" w:rsidP="00DC0226">
      <w:pPr>
        <w:pStyle w:val="BodyText"/>
        <w:jc w:val="both"/>
      </w:pPr>
      <w:r>
        <w:t xml:space="preserve">Table 2 explores the differences in the three questions about lifetime household experiences with adults between cisgender and transgender youth. Results are not </w:t>
      </w:r>
      <w:r>
        <w:lastRenderedPageBreak/>
        <w:t>independent of gender minority status, with transgender youth experiencing higher rates of adverse household experiences (p&lt;0.001).</w:t>
      </w:r>
    </w:p>
    <w:p w14:paraId="09AAC688" w14:textId="77777777" w:rsidR="00DC0226" w:rsidRDefault="00DC0226" w:rsidP="00DC0226">
      <w:pPr>
        <w:pStyle w:val="BodyText"/>
        <w:jc w:val="both"/>
      </w:pPr>
      <w:r>
        <w:t>Transgender youth were significantly more likely than cisgender youth to experience verbal abuse (p&lt;.001). Among transgender youth, 22.7% said that they had never been abused verbally by an adult in their home, 23.9% said rarely, 23.3% said sometimes, 19.9% said most of the time, and 10.2% said always. Among cisgender youth, 44.2% said they had never been abused verbally by an adult in their home, 27.4% said rarely, 19.3% said sometimes, 6.3% said most of the time, and 2.8% said always. (See Table 2).</w:t>
      </w:r>
    </w:p>
    <w:p w14:paraId="778EF40B" w14:textId="77777777" w:rsidR="00DC0226" w:rsidRDefault="00DC0226" w:rsidP="00DC0226">
      <w:pPr>
        <w:pStyle w:val="BodyText"/>
        <w:jc w:val="both"/>
      </w:pPr>
      <w:r>
        <w:t>Transgender youth were significantly more likely cisgender youth to experience physical abuse (p&lt;.001). Among transgender youth, 60.8% said that they had never been abused physically by an adult in their home, 25% said rarely, 9.1% said sometimes, 2.8% said most of the time, and 2.3% said always. Among cisgender youth, 74.8% said they had never been abused physically by an adult in their home, 16.9% said rarely, 6.7% said sometimes, 1.2% said most of the time, and 0.4% said always. (See Table 2).</w:t>
      </w:r>
    </w:p>
    <w:p w14:paraId="42354361" w14:textId="77777777" w:rsidR="00DC0226" w:rsidRDefault="00DC0226" w:rsidP="00DC0226">
      <w:pPr>
        <w:pStyle w:val="BodyText"/>
        <w:jc w:val="both"/>
      </w:pPr>
      <w:r>
        <w:t>Transgender youth were significantly less likely than cisgender youth to have their needs met overall (p&lt;.001). Among LGBTQ youth, 3.6% said that they never had their needs met, 3% said rarely, 10.1% said sometimes, 28.6% said most of the time, and 54.8% said always. Among cisgender youth, 3.8% said that they never had their needs met, 2.8% said rarely, 5.8% said sometimes, 15.7% said most of the time, and 71.8% said always. (See Table 2).</w:t>
      </w:r>
    </w:p>
    <w:p w14:paraId="0E8884E6" w14:textId="77777777" w:rsidR="00637E28" w:rsidRDefault="00637E28" w:rsidP="00DC0226">
      <w:pPr>
        <w:pStyle w:val="BodyText"/>
        <w:jc w:val="both"/>
      </w:pPr>
    </w:p>
    <w:tbl>
      <w:tblPr>
        <w:tblW w:w="9360" w:type="dxa"/>
        <w:tblBorders>
          <w:top w:val="single" w:sz="12" w:space="0" w:color="111111"/>
        </w:tblBorders>
        <w:shd w:val="clear" w:color="auto" w:fill="FFFFFF"/>
        <w:tblCellMar>
          <w:top w:w="15" w:type="dxa"/>
          <w:left w:w="15" w:type="dxa"/>
          <w:bottom w:w="15" w:type="dxa"/>
          <w:right w:w="15" w:type="dxa"/>
        </w:tblCellMar>
        <w:tblLook w:val="04A0" w:firstRow="1" w:lastRow="0" w:firstColumn="1" w:lastColumn="0" w:noHBand="0" w:noVBand="1"/>
      </w:tblPr>
      <w:tblGrid>
        <w:gridCol w:w="3364"/>
        <w:gridCol w:w="2812"/>
        <w:gridCol w:w="3184"/>
      </w:tblGrid>
      <w:tr w:rsidR="00DC0226" w:rsidRPr="00310DF8" w14:paraId="5178D1DE" w14:textId="77777777" w:rsidTr="00DC0226">
        <w:trPr>
          <w:tblHeader/>
        </w:trPr>
        <w:tc>
          <w:tcPr>
            <w:tcW w:w="0" w:type="auto"/>
            <w:gridSpan w:val="3"/>
            <w:tcBorders>
              <w:top w:val="nil"/>
              <w:left w:val="nil"/>
              <w:bottom w:val="nil"/>
              <w:right w:val="nil"/>
            </w:tcBorders>
            <w:tcMar>
              <w:top w:w="0" w:type="dxa"/>
              <w:left w:w="75" w:type="dxa"/>
              <w:bottom w:w="0" w:type="dxa"/>
              <w:right w:w="75" w:type="dxa"/>
            </w:tcMar>
            <w:vAlign w:val="center"/>
            <w:hideMark/>
          </w:tcPr>
          <w:p w14:paraId="1066C3F9" w14:textId="77777777" w:rsidR="00DC0226" w:rsidRPr="00DC0226" w:rsidRDefault="00DC0226" w:rsidP="00DC0226">
            <w:pPr>
              <w:pStyle w:val="BodyText"/>
              <w:spacing w:before="0" w:after="0"/>
              <w:jc w:val="both"/>
              <w:rPr>
                <w:rStyle w:val="SubtleEmphasis"/>
              </w:rPr>
            </w:pPr>
            <w:r w:rsidRPr="00DC0226">
              <w:rPr>
                <w:rStyle w:val="SubtleEmphasis"/>
              </w:rPr>
              <w:t>Table 2. Percentage of Cisgender and Transgender Youth with Adverse Household Experiences (2023)</w:t>
            </w:r>
          </w:p>
        </w:tc>
      </w:tr>
      <w:tr w:rsidR="00DC0226" w:rsidRPr="00310DF8" w14:paraId="5F6F693E" w14:textId="77777777" w:rsidTr="00DC0226">
        <w:trPr>
          <w:tblHeader/>
        </w:trPr>
        <w:tc>
          <w:tcPr>
            <w:tcW w:w="0" w:type="auto"/>
            <w:tcBorders>
              <w:top w:val="nil"/>
              <w:bottom w:val="single" w:sz="4" w:space="0" w:color="auto"/>
            </w:tcBorders>
            <w:shd w:val="clear" w:color="auto" w:fill="FFFFFF"/>
            <w:tcMar>
              <w:top w:w="0" w:type="dxa"/>
              <w:left w:w="75" w:type="dxa"/>
              <w:bottom w:w="0" w:type="dxa"/>
              <w:right w:w="75" w:type="dxa"/>
            </w:tcMar>
            <w:vAlign w:val="center"/>
            <w:hideMark/>
          </w:tcPr>
          <w:p w14:paraId="23180426" w14:textId="77777777" w:rsidR="00DC0226" w:rsidRPr="00310DF8" w:rsidRDefault="00DC0226" w:rsidP="00DC0226">
            <w:pPr>
              <w:pStyle w:val="BodyText"/>
              <w:spacing w:before="0" w:after="0"/>
              <w:jc w:val="both"/>
              <w:rPr>
                <w:b/>
                <w:bCs/>
              </w:rPr>
            </w:pPr>
            <w:r w:rsidRPr="00310DF8">
              <w:rPr>
                <w:b/>
                <w:bCs/>
              </w:rPr>
              <w:t>Adverse Experience</w:t>
            </w:r>
          </w:p>
        </w:tc>
        <w:tc>
          <w:tcPr>
            <w:tcW w:w="0" w:type="auto"/>
            <w:tcBorders>
              <w:top w:val="nil"/>
              <w:bottom w:val="single" w:sz="4" w:space="0" w:color="auto"/>
            </w:tcBorders>
            <w:shd w:val="clear" w:color="auto" w:fill="FFFFFF"/>
            <w:tcMar>
              <w:top w:w="0" w:type="dxa"/>
              <w:left w:w="75" w:type="dxa"/>
              <w:bottom w:w="0" w:type="dxa"/>
              <w:right w:w="75" w:type="dxa"/>
            </w:tcMar>
            <w:vAlign w:val="center"/>
            <w:hideMark/>
          </w:tcPr>
          <w:p w14:paraId="6B63D8C1" w14:textId="77777777" w:rsidR="00DC0226" w:rsidRPr="00310DF8" w:rsidRDefault="00DC0226" w:rsidP="00DC0226">
            <w:pPr>
              <w:pStyle w:val="BodyText"/>
              <w:spacing w:before="0" w:after="0"/>
              <w:jc w:val="both"/>
              <w:rPr>
                <w:b/>
                <w:bCs/>
              </w:rPr>
            </w:pPr>
            <w:r w:rsidRPr="00310DF8">
              <w:rPr>
                <w:b/>
                <w:bCs/>
              </w:rPr>
              <w:t>Cisgender Youth</w:t>
            </w:r>
          </w:p>
        </w:tc>
        <w:tc>
          <w:tcPr>
            <w:tcW w:w="0" w:type="auto"/>
            <w:tcBorders>
              <w:top w:val="nil"/>
              <w:bottom w:val="single" w:sz="4" w:space="0" w:color="auto"/>
            </w:tcBorders>
            <w:shd w:val="clear" w:color="auto" w:fill="FFFFFF"/>
            <w:tcMar>
              <w:top w:w="0" w:type="dxa"/>
              <w:left w:w="75" w:type="dxa"/>
              <w:bottom w:w="0" w:type="dxa"/>
              <w:right w:w="75" w:type="dxa"/>
            </w:tcMar>
            <w:vAlign w:val="center"/>
            <w:hideMark/>
          </w:tcPr>
          <w:p w14:paraId="707F51BB" w14:textId="77777777" w:rsidR="00DC0226" w:rsidRPr="00310DF8" w:rsidRDefault="00DC0226" w:rsidP="00DC0226">
            <w:pPr>
              <w:pStyle w:val="BodyText"/>
              <w:spacing w:before="0" w:after="0"/>
              <w:jc w:val="both"/>
              <w:rPr>
                <w:b/>
                <w:bCs/>
              </w:rPr>
            </w:pPr>
            <w:r w:rsidRPr="00310DF8">
              <w:rPr>
                <w:b/>
                <w:bCs/>
              </w:rPr>
              <w:t>Transgender Youth</w:t>
            </w:r>
          </w:p>
        </w:tc>
      </w:tr>
      <w:tr w:rsidR="00DC0226" w:rsidRPr="00310DF8" w14:paraId="462810A8" w14:textId="77777777" w:rsidTr="00DC0226">
        <w:tc>
          <w:tcPr>
            <w:tcW w:w="0" w:type="auto"/>
            <w:gridSpan w:val="3"/>
            <w:tcBorders>
              <w:top w:val="single" w:sz="12" w:space="0" w:color="auto"/>
              <w:bottom w:val="single" w:sz="4" w:space="0" w:color="auto"/>
            </w:tcBorders>
            <w:shd w:val="clear" w:color="auto" w:fill="FFFFFF"/>
            <w:tcMar>
              <w:top w:w="0" w:type="dxa"/>
              <w:left w:w="75" w:type="dxa"/>
              <w:bottom w:w="0" w:type="dxa"/>
              <w:right w:w="75" w:type="dxa"/>
            </w:tcMar>
            <w:vAlign w:val="center"/>
            <w:hideMark/>
          </w:tcPr>
          <w:p w14:paraId="50256888" w14:textId="77777777" w:rsidR="00DC0226" w:rsidRPr="00310DF8" w:rsidRDefault="00DC0226" w:rsidP="00DC0226">
            <w:pPr>
              <w:pStyle w:val="BodyText"/>
              <w:spacing w:before="0" w:after="0"/>
              <w:jc w:val="both"/>
            </w:pPr>
            <w:r w:rsidRPr="00310DF8">
              <w:rPr>
                <w:b/>
                <w:bCs/>
              </w:rPr>
              <w:t>Verbal abuse at any time***</w:t>
            </w:r>
          </w:p>
        </w:tc>
      </w:tr>
      <w:tr w:rsidR="00DC0226" w:rsidRPr="00310DF8" w14:paraId="1223E52F" w14:textId="77777777" w:rsidTr="00DC0226">
        <w:tc>
          <w:tcPr>
            <w:tcW w:w="0" w:type="auto"/>
            <w:tcBorders>
              <w:top w:val="single" w:sz="4" w:space="0" w:color="auto"/>
            </w:tcBorders>
            <w:shd w:val="clear" w:color="auto" w:fill="FFFFFF"/>
            <w:tcMar>
              <w:top w:w="0" w:type="dxa"/>
              <w:left w:w="480" w:type="dxa"/>
              <w:bottom w:w="0" w:type="dxa"/>
              <w:right w:w="75" w:type="dxa"/>
            </w:tcMar>
            <w:hideMark/>
          </w:tcPr>
          <w:p w14:paraId="0A13E26A" w14:textId="77777777" w:rsidR="00DC0226" w:rsidRPr="00310DF8" w:rsidRDefault="00DC0226" w:rsidP="00DC0226">
            <w:pPr>
              <w:pStyle w:val="BodyText"/>
              <w:spacing w:before="0" w:after="0"/>
              <w:jc w:val="both"/>
            </w:pPr>
            <w:r w:rsidRPr="00310DF8">
              <w:t>Never</w:t>
            </w:r>
          </w:p>
        </w:tc>
        <w:tc>
          <w:tcPr>
            <w:tcW w:w="0" w:type="auto"/>
            <w:tcBorders>
              <w:top w:val="single" w:sz="4" w:space="0" w:color="auto"/>
            </w:tcBorders>
            <w:shd w:val="clear" w:color="auto" w:fill="FFFFFF"/>
            <w:tcMar>
              <w:top w:w="0" w:type="dxa"/>
              <w:left w:w="75" w:type="dxa"/>
              <w:bottom w:w="0" w:type="dxa"/>
              <w:right w:w="75" w:type="dxa"/>
            </w:tcMar>
            <w:vAlign w:val="center"/>
            <w:hideMark/>
          </w:tcPr>
          <w:p w14:paraId="37E1A6C5" w14:textId="77777777" w:rsidR="00DC0226" w:rsidRPr="00310DF8" w:rsidRDefault="00DC0226" w:rsidP="00DC0226">
            <w:pPr>
              <w:pStyle w:val="BodyText"/>
              <w:spacing w:before="0" w:after="0"/>
              <w:jc w:val="both"/>
            </w:pPr>
            <w:r w:rsidRPr="00310DF8">
              <w:t>44.2</w:t>
            </w:r>
          </w:p>
        </w:tc>
        <w:tc>
          <w:tcPr>
            <w:tcW w:w="0" w:type="auto"/>
            <w:tcBorders>
              <w:top w:val="single" w:sz="4" w:space="0" w:color="auto"/>
            </w:tcBorders>
            <w:shd w:val="clear" w:color="auto" w:fill="FFFFFF"/>
            <w:tcMar>
              <w:top w:w="0" w:type="dxa"/>
              <w:left w:w="75" w:type="dxa"/>
              <w:bottom w:w="0" w:type="dxa"/>
              <w:right w:w="75" w:type="dxa"/>
            </w:tcMar>
            <w:vAlign w:val="center"/>
            <w:hideMark/>
          </w:tcPr>
          <w:p w14:paraId="66C79820" w14:textId="77777777" w:rsidR="00DC0226" w:rsidRPr="00310DF8" w:rsidRDefault="00DC0226" w:rsidP="00DC0226">
            <w:pPr>
              <w:pStyle w:val="BodyText"/>
              <w:spacing w:before="0" w:after="0"/>
              <w:jc w:val="both"/>
            </w:pPr>
            <w:r w:rsidRPr="00310DF8">
              <w:t>22.7</w:t>
            </w:r>
          </w:p>
        </w:tc>
      </w:tr>
      <w:tr w:rsidR="00DC0226" w:rsidRPr="00310DF8" w14:paraId="1ACDA4EF" w14:textId="77777777" w:rsidTr="00DC0226">
        <w:tc>
          <w:tcPr>
            <w:tcW w:w="0" w:type="auto"/>
            <w:shd w:val="clear" w:color="auto" w:fill="FFFFFF"/>
            <w:tcMar>
              <w:top w:w="0" w:type="dxa"/>
              <w:left w:w="480" w:type="dxa"/>
              <w:bottom w:w="0" w:type="dxa"/>
              <w:right w:w="75" w:type="dxa"/>
            </w:tcMar>
            <w:hideMark/>
          </w:tcPr>
          <w:p w14:paraId="061C0296" w14:textId="77777777" w:rsidR="00DC0226" w:rsidRPr="00310DF8" w:rsidRDefault="00DC0226" w:rsidP="00DC0226">
            <w:pPr>
              <w:pStyle w:val="BodyText"/>
              <w:spacing w:before="0" w:after="0"/>
              <w:jc w:val="both"/>
            </w:pPr>
            <w:r w:rsidRPr="00310DF8">
              <w:t>Rarely</w:t>
            </w:r>
          </w:p>
        </w:tc>
        <w:tc>
          <w:tcPr>
            <w:tcW w:w="0" w:type="auto"/>
            <w:shd w:val="clear" w:color="auto" w:fill="FFFFFF"/>
            <w:tcMar>
              <w:top w:w="0" w:type="dxa"/>
              <w:left w:w="75" w:type="dxa"/>
              <w:bottom w:w="0" w:type="dxa"/>
              <w:right w:w="75" w:type="dxa"/>
            </w:tcMar>
            <w:vAlign w:val="center"/>
            <w:hideMark/>
          </w:tcPr>
          <w:p w14:paraId="7B9BE50B" w14:textId="77777777" w:rsidR="00DC0226" w:rsidRPr="00310DF8" w:rsidRDefault="00DC0226" w:rsidP="00DC0226">
            <w:pPr>
              <w:pStyle w:val="BodyText"/>
              <w:spacing w:before="0" w:after="0"/>
              <w:jc w:val="both"/>
            </w:pPr>
            <w:r w:rsidRPr="00310DF8">
              <w:t>27.4</w:t>
            </w:r>
          </w:p>
        </w:tc>
        <w:tc>
          <w:tcPr>
            <w:tcW w:w="0" w:type="auto"/>
            <w:shd w:val="clear" w:color="auto" w:fill="FFFFFF"/>
            <w:tcMar>
              <w:top w:w="0" w:type="dxa"/>
              <w:left w:w="75" w:type="dxa"/>
              <w:bottom w:w="0" w:type="dxa"/>
              <w:right w:w="75" w:type="dxa"/>
            </w:tcMar>
            <w:vAlign w:val="center"/>
            <w:hideMark/>
          </w:tcPr>
          <w:p w14:paraId="26AECBD0" w14:textId="77777777" w:rsidR="00DC0226" w:rsidRPr="00310DF8" w:rsidRDefault="00DC0226" w:rsidP="00DC0226">
            <w:pPr>
              <w:pStyle w:val="BodyText"/>
              <w:spacing w:before="0" w:after="0"/>
              <w:jc w:val="both"/>
            </w:pPr>
            <w:r w:rsidRPr="00310DF8">
              <w:t>23.9</w:t>
            </w:r>
          </w:p>
        </w:tc>
      </w:tr>
      <w:tr w:rsidR="00DC0226" w:rsidRPr="00310DF8" w14:paraId="54D5C0CF" w14:textId="77777777" w:rsidTr="00DC0226">
        <w:tc>
          <w:tcPr>
            <w:tcW w:w="0" w:type="auto"/>
            <w:shd w:val="clear" w:color="auto" w:fill="FFFFFF"/>
            <w:tcMar>
              <w:top w:w="0" w:type="dxa"/>
              <w:left w:w="480" w:type="dxa"/>
              <w:bottom w:w="0" w:type="dxa"/>
              <w:right w:w="75" w:type="dxa"/>
            </w:tcMar>
            <w:hideMark/>
          </w:tcPr>
          <w:p w14:paraId="5E3D2B68" w14:textId="77777777" w:rsidR="00DC0226" w:rsidRPr="00310DF8" w:rsidRDefault="00DC0226" w:rsidP="00DC0226">
            <w:pPr>
              <w:pStyle w:val="BodyText"/>
              <w:spacing w:before="0" w:after="0"/>
              <w:jc w:val="both"/>
            </w:pPr>
            <w:r w:rsidRPr="00310DF8">
              <w:t>Sometimes</w:t>
            </w:r>
          </w:p>
        </w:tc>
        <w:tc>
          <w:tcPr>
            <w:tcW w:w="0" w:type="auto"/>
            <w:shd w:val="clear" w:color="auto" w:fill="FFFFFF"/>
            <w:tcMar>
              <w:top w:w="0" w:type="dxa"/>
              <w:left w:w="75" w:type="dxa"/>
              <w:bottom w:w="0" w:type="dxa"/>
              <w:right w:w="75" w:type="dxa"/>
            </w:tcMar>
            <w:vAlign w:val="center"/>
            <w:hideMark/>
          </w:tcPr>
          <w:p w14:paraId="6BB712AA" w14:textId="77777777" w:rsidR="00DC0226" w:rsidRPr="00310DF8" w:rsidRDefault="00DC0226" w:rsidP="00DC0226">
            <w:pPr>
              <w:pStyle w:val="BodyText"/>
              <w:spacing w:before="0" w:after="0"/>
              <w:jc w:val="both"/>
            </w:pPr>
            <w:r w:rsidRPr="00310DF8">
              <w:t>19.3</w:t>
            </w:r>
          </w:p>
        </w:tc>
        <w:tc>
          <w:tcPr>
            <w:tcW w:w="0" w:type="auto"/>
            <w:shd w:val="clear" w:color="auto" w:fill="FFFFFF"/>
            <w:tcMar>
              <w:top w:w="0" w:type="dxa"/>
              <w:left w:w="75" w:type="dxa"/>
              <w:bottom w:w="0" w:type="dxa"/>
              <w:right w:w="75" w:type="dxa"/>
            </w:tcMar>
            <w:vAlign w:val="center"/>
            <w:hideMark/>
          </w:tcPr>
          <w:p w14:paraId="6953F473" w14:textId="77777777" w:rsidR="00DC0226" w:rsidRPr="00310DF8" w:rsidRDefault="00DC0226" w:rsidP="00DC0226">
            <w:pPr>
              <w:pStyle w:val="BodyText"/>
              <w:spacing w:before="0" w:after="0"/>
              <w:jc w:val="both"/>
            </w:pPr>
            <w:r w:rsidRPr="00310DF8">
              <w:t>23.3</w:t>
            </w:r>
          </w:p>
        </w:tc>
      </w:tr>
      <w:tr w:rsidR="00DC0226" w:rsidRPr="00310DF8" w14:paraId="2F902E1D" w14:textId="77777777" w:rsidTr="00DC0226">
        <w:tc>
          <w:tcPr>
            <w:tcW w:w="0" w:type="auto"/>
            <w:shd w:val="clear" w:color="auto" w:fill="FFFFFF"/>
            <w:tcMar>
              <w:top w:w="0" w:type="dxa"/>
              <w:left w:w="480" w:type="dxa"/>
              <w:bottom w:w="0" w:type="dxa"/>
              <w:right w:w="75" w:type="dxa"/>
            </w:tcMar>
            <w:hideMark/>
          </w:tcPr>
          <w:p w14:paraId="2752A7A8" w14:textId="77777777" w:rsidR="00DC0226" w:rsidRPr="00310DF8" w:rsidRDefault="00DC0226" w:rsidP="00DC0226">
            <w:pPr>
              <w:pStyle w:val="BodyText"/>
              <w:spacing w:before="0" w:after="0"/>
              <w:jc w:val="both"/>
            </w:pPr>
            <w:r w:rsidRPr="00310DF8">
              <w:t>Most of the time</w:t>
            </w:r>
          </w:p>
        </w:tc>
        <w:tc>
          <w:tcPr>
            <w:tcW w:w="0" w:type="auto"/>
            <w:shd w:val="clear" w:color="auto" w:fill="FFFFFF"/>
            <w:tcMar>
              <w:top w:w="0" w:type="dxa"/>
              <w:left w:w="75" w:type="dxa"/>
              <w:bottom w:w="0" w:type="dxa"/>
              <w:right w:w="75" w:type="dxa"/>
            </w:tcMar>
            <w:vAlign w:val="center"/>
            <w:hideMark/>
          </w:tcPr>
          <w:p w14:paraId="28F6A56F" w14:textId="77777777" w:rsidR="00DC0226" w:rsidRPr="00310DF8" w:rsidRDefault="00DC0226" w:rsidP="00DC0226">
            <w:pPr>
              <w:pStyle w:val="BodyText"/>
              <w:spacing w:before="0" w:after="0"/>
              <w:jc w:val="both"/>
            </w:pPr>
            <w:r w:rsidRPr="00310DF8">
              <w:t>6.3</w:t>
            </w:r>
          </w:p>
        </w:tc>
        <w:tc>
          <w:tcPr>
            <w:tcW w:w="0" w:type="auto"/>
            <w:shd w:val="clear" w:color="auto" w:fill="FFFFFF"/>
            <w:tcMar>
              <w:top w:w="0" w:type="dxa"/>
              <w:left w:w="75" w:type="dxa"/>
              <w:bottom w:w="0" w:type="dxa"/>
              <w:right w:w="75" w:type="dxa"/>
            </w:tcMar>
            <w:vAlign w:val="center"/>
            <w:hideMark/>
          </w:tcPr>
          <w:p w14:paraId="19355F28" w14:textId="77777777" w:rsidR="00DC0226" w:rsidRPr="00310DF8" w:rsidRDefault="00DC0226" w:rsidP="00DC0226">
            <w:pPr>
              <w:pStyle w:val="BodyText"/>
              <w:spacing w:before="0" w:after="0"/>
              <w:jc w:val="both"/>
            </w:pPr>
            <w:r w:rsidRPr="00310DF8">
              <w:t>19.9</w:t>
            </w:r>
          </w:p>
        </w:tc>
      </w:tr>
      <w:tr w:rsidR="00DC0226" w:rsidRPr="00310DF8" w14:paraId="69D5FD61" w14:textId="77777777" w:rsidTr="00DC0226">
        <w:tc>
          <w:tcPr>
            <w:tcW w:w="0" w:type="auto"/>
            <w:shd w:val="clear" w:color="auto" w:fill="FFFFFF"/>
            <w:tcMar>
              <w:top w:w="0" w:type="dxa"/>
              <w:left w:w="480" w:type="dxa"/>
              <w:bottom w:w="0" w:type="dxa"/>
              <w:right w:w="75" w:type="dxa"/>
            </w:tcMar>
            <w:hideMark/>
          </w:tcPr>
          <w:p w14:paraId="4945EB4C" w14:textId="77777777" w:rsidR="00DC0226" w:rsidRPr="00310DF8" w:rsidRDefault="00DC0226" w:rsidP="00DC0226">
            <w:pPr>
              <w:pStyle w:val="BodyText"/>
              <w:spacing w:before="0" w:after="0"/>
              <w:jc w:val="both"/>
            </w:pPr>
            <w:r w:rsidRPr="00310DF8">
              <w:t>Always</w:t>
            </w:r>
          </w:p>
        </w:tc>
        <w:tc>
          <w:tcPr>
            <w:tcW w:w="0" w:type="auto"/>
            <w:shd w:val="clear" w:color="auto" w:fill="FFFFFF"/>
            <w:tcMar>
              <w:top w:w="0" w:type="dxa"/>
              <w:left w:w="75" w:type="dxa"/>
              <w:bottom w:w="0" w:type="dxa"/>
              <w:right w:w="75" w:type="dxa"/>
            </w:tcMar>
            <w:vAlign w:val="center"/>
            <w:hideMark/>
          </w:tcPr>
          <w:p w14:paraId="1A609781" w14:textId="77777777" w:rsidR="00DC0226" w:rsidRPr="00310DF8" w:rsidRDefault="00DC0226" w:rsidP="00DC0226">
            <w:pPr>
              <w:pStyle w:val="BodyText"/>
              <w:spacing w:before="0" w:after="0"/>
              <w:jc w:val="both"/>
            </w:pPr>
            <w:r w:rsidRPr="00310DF8">
              <w:t>2.8</w:t>
            </w:r>
          </w:p>
        </w:tc>
        <w:tc>
          <w:tcPr>
            <w:tcW w:w="0" w:type="auto"/>
            <w:shd w:val="clear" w:color="auto" w:fill="FFFFFF"/>
            <w:tcMar>
              <w:top w:w="0" w:type="dxa"/>
              <w:left w:w="75" w:type="dxa"/>
              <w:bottom w:w="0" w:type="dxa"/>
              <w:right w:w="75" w:type="dxa"/>
            </w:tcMar>
            <w:vAlign w:val="center"/>
            <w:hideMark/>
          </w:tcPr>
          <w:p w14:paraId="06A101FD" w14:textId="77777777" w:rsidR="00DC0226" w:rsidRPr="00310DF8" w:rsidRDefault="00DC0226" w:rsidP="00DC0226">
            <w:pPr>
              <w:pStyle w:val="BodyText"/>
              <w:spacing w:before="0" w:after="0"/>
              <w:jc w:val="both"/>
            </w:pPr>
            <w:r w:rsidRPr="00310DF8">
              <w:t>10.2</w:t>
            </w:r>
          </w:p>
        </w:tc>
      </w:tr>
      <w:tr w:rsidR="00DC0226" w:rsidRPr="00310DF8" w14:paraId="628EC73B" w14:textId="77777777" w:rsidTr="00DC0226">
        <w:tc>
          <w:tcPr>
            <w:tcW w:w="0" w:type="auto"/>
            <w:gridSpan w:val="3"/>
            <w:tcBorders>
              <w:bottom w:val="nil"/>
            </w:tcBorders>
            <w:shd w:val="clear" w:color="auto" w:fill="FFFFFF"/>
            <w:tcMar>
              <w:top w:w="0" w:type="dxa"/>
              <w:left w:w="75" w:type="dxa"/>
              <w:bottom w:w="0" w:type="dxa"/>
              <w:right w:w="75" w:type="dxa"/>
            </w:tcMar>
            <w:vAlign w:val="center"/>
            <w:hideMark/>
          </w:tcPr>
          <w:p w14:paraId="51667477" w14:textId="77777777" w:rsidR="00DC0226" w:rsidRPr="00310DF8" w:rsidRDefault="00DC0226" w:rsidP="00DC0226">
            <w:pPr>
              <w:pStyle w:val="BodyText"/>
              <w:spacing w:before="0" w:after="0"/>
              <w:jc w:val="both"/>
            </w:pPr>
            <w:r w:rsidRPr="00310DF8">
              <w:rPr>
                <w:b/>
                <w:bCs/>
              </w:rPr>
              <w:t>Physical abuse at any time***</w:t>
            </w:r>
          </w:p>
        </w:tc>
      </w:tr>
      <w:tr w:rsidR="00DC0226" w:rsidRPr="00310DF8" w14:paraId="11D5F23F" w14:textId="77777777" w:rsidTr="00DC0226">
        <w:tc>
          <w:tcPr>
            <w:tcW w:w="0" w:type="auto"/>
            <w:tcBorders>
              <w:top w:val="single" w:sz="4" w:space="0" w:color="auto"/>
            </w:tcBorders>
            <w:shd w:val="clear" w:color="auto" w:fill="FFFFFF"/>
            <w:tcMar>
              <w:top w:w="0" w:type="dxa"/>
              <w:left w:w="480" w:type="dxa"/>
              <w:bottom w:w="0" w:type="dxa"/>
              <w:right w:w="75" w:type="dxa"/>
            </w:tcMar>
            <w:vAlign w:val="center"/>
            <w:hideMark/>
          </w:tcPr>
          <w:p w14:paraId="1A7DFFA6" w14:textId="77777777" w:rsidR="00DC0226" w:rsidRPr="00310DF8" w:rsidRDefault="00DC0226" w:rsidP="00DC0226">
            <w:pPr>
              <w:pStyle w:val="BodyText"/>
              <w:spacing w:before="0" w:after="0"/>
              <w:jc w:val="both"/>
            </w:pPr>
            <w:r w:rsidRPr="00310DF8">
              <w:t>Never</w:t>
            </w:r>
          </w:p>
        </w:tc>
        <w:tc>
          <w:tcPr>
            <w:tcW w:w="0" w:type="auto"/>
            <w:tcBorders>
              <w:top w:val="single" w:sz="4" w:space="0" w:color="auto"/>
            </w:tcBorders>
            <w:shd w:val="clear" w:color="auto" w:fill="FFFFFF"/>
            <w:tcMar>
              <w:top w:w="0" w:type="dxa"/>
              <w:left w:w="75" w:type="dxa"/>
              <w:bottom w:w="0" w:type="dxa"/>
              <w:right w:w="75" w:type="dxa"/>
            </w:tcMar>
            <w:vAlign w:val="center"/>
            <w:hideMark/>
          </w:tcPr>
          <w:p w14:paraId="6EC53548" w14:textId="77777777" w:rsidR="00DC0226" w:rsidRPr="00310DF8" w:rsidRDefault="00DC0226" w:rsidP="00DC0226">
            <w:pPr>
              <w:pStyle w:val="BodyText"/>
              <w:spacing w:before="0" w:after="0"/>
              <w:jc w:val="both"/>
            </w:pPr>
            <w:r w:rsidRPr="00310DF8">
              <w:t>74.8</w:t>
            </w:r>
          </w:p>
        </w:tc>
        <w:tc>
          <w:tcPr>
            <w:tcW w:w="0" w:type="auto"/>
            <w:tcBorders>
              <w:top w:val="single" w:sz="4" w:space="0" w:color="auto"/>
            </w:tcBorders>
            <w:shd w:val="clear" w:color="auto" w:fill="FFFFFF"/>
            <w:tcMar>
              <w:top w:w="0" w:type="dxa"/>
              <w:left w:w="75" w:type="dxa"/>
              <w:bottom w:w="0" w:type="dxa"/>
              <w:right w:w="75" w:type="dxa"/>
            </w:tcMar>
            <w:vAlign w:val="center"/>
            <w:hideMark/>
          </w:tcPr>
          <w:p w14:paraId="1E99EAEB" w14:textId="77777777" w:rsidR="00DC0226" w:rsidRPr="00310DF8" w:rsidRDefault="00DC0226" w:rsidP="00DC0226">
            <w:pPr>
              <w:pStyle w:val="BodyText"/>
              <w:spacing w:before="0" w:after="0"/>
              <w:jc w:val="both"/>
            </w:pPr>
            <w:r w:rsidRPr="00310DF8">
              <w:t>60.8</w:t>
            </w:r>
          </w:p>
        </w:tc>
      </w:tr>
      <w:tr w:rsidR="00DC0226" w:rsidRPr="00310DF8" w14:paraId="7F228D6C" w14:textId="77777777" w:rsidTr="00DC0226">
        <w:tc>
          <w:tcPr>
            <w:tcW w:w="0" w:type="auto"/>
            <w:shd w:val="clear" w:color="auto" w:fill="FFFFFF"/>
            <w:tcMar>
              <w:top w:w="0" w:type="dxa"/>
              <w:left w:w="480" w:type="dxa"/>
              <w:bottom w:w="0" w:type="dxa"/>
              <w:right w:w="75" w:type="dxa"/>
            </w:tcMar>
            <w:vAlign w:val="center"/>
            <w:hideMark/>
          </w:tcPr>
          <w:p w14:paraId="57BB0931" w14:textId="77777777" w:rsidR="00DC0226" w:rsidRPr="00310DF8" w:rsidRDefault="00DC0226" w:rsidP="00DC0226">
            <w:pPr>
              <w:pStyle w:val="BodyText"/>
              <w:spacing w:before="0" w:after="0"/>
              <w:jc w:val="both"/>
            </w:pPr>
            <w:r w:rsidRPr="00310DF8">
              <w:t>Rarely</w:t>
            </w:r>
          </w:p>
        </w:tc>
        <w:tc>
          <w:tcPr>
            <w:tcW w:w="0" w:type="auto"/>
            <w:shd w:val="clear" w:color="auto" w:fill="FFFFFF"/>
            <w:tcMar>
              <w:top w:w="0" w:type="dxa"/>
              <w:left w:w="75" w:type="dxa"/>
              <w:bottom w:w="0" w:type="dxa"/>
              <w:right w:w="75" w:type="dxa"/>
            </w:tcMar>
            <w:vAlign w:val="center"/>
            <w:hideMark/>
          </w:tcPr>
          <w:p w14:paraId="3D5C8062" w14:textId="77777777" w:rsidR="00DC0226" w:rsidRPr="00310DF8" w:rsidRDefault="00DC0226" w:rsidP="00DC0226">
            <w:pPr>
              <w:pStyle w:val="BodyText"/>
              <w:spacing w:before="0" w:after="0"/>
              <w:jc w:val="both"/>
            </w:pPr>
            <w:r w:rsidRPr="00310DF8">
              <w:t>16.9</w:t>
            </w:r>
          </w:p>
        </w:tc>
        <w:tc>
          <w:tcPr>
            <w:tcW w:w="0" w:type="auto"/>
            <w:shd w:val="clear" w:color="auto" w:fill="FFFFFF"/>
            <w:tcMar>
              <w:top w:w="0" w:type="dxa"/>
              <w:left w:w="75" w:type="dxa"/>
              <w:bottom w:w="0" w:type="dxa"/>
              <w:right w:w="75" w:type="dxa"/>
            </w:tcMar>
            <w:vAlign w:val="center"/>
            <w:hideMark/>
          </w:tcPr>
          <w:p w14:paraId="20B5F271" w14:textId="77777777" w:rsidR="00DC0226" w:rsidRPr="00310DF8" w:rsidRDefault="00DC0226" w:rsidP="00DC0226">
            <w:pPr>
              <w:pStyle w:val="BodyText"/>
              <w:spacing w:before="0" w:after="0"/>
              <w:jc w:val="both"/>
            </w:pPr>
            <w:r w:rsidRPr="00310DF8">
              <w:t>25.0</w:t>
            </w:r>
          </w:p>
        </w:tc>
      </w:tr>
      <w:tr w:rsidR="00DC0226" w:rsidRPr="00310DF8" w14:paraId="7A8D25FD" w14:textId="77777777" w:rsidTr="00DC0226">
        <w:tc>
          <w:tcPr>
            <w:tcW w:w="0" w:type="auto"/>
            <w:shd w:val="clear" w:color="auto" w:fill="FFFFFF"/>
            <w:tcMar>
              <w:top w:w="0" w:type="dxa"/>
              <w:left w:w="480" w:type="dxa"/>
              <w:bottom w:w="0" w:type="dxa"/>
              <w:right w:w="75" w:type="dxa"/>
            </w:tcMar>
            <w:vAlign w:val="center"/>
            <w:hideMark/>
          </w:tcPr>
          <w:p w14:paraId="6B986729" w14:textId="77777777" w:rsidR="00DC0226" w:rsidRPr="00310DF8" w:rsidRDefault="00DC0226" w:rsidP="00DC0226">
            <w:pPr>
              <w:pStyle w:val="BodyText"/>
              <w:spacing w:before="0" w:after="0"/>
              <w:jc w:val="both"/>
            </w:pPr>
            <w:r w:rsidRPr="00310DF8">
              <w:t>Sometimes</w:t>
            </w:r>
          </w:p>
        </w:tc>
        <w:tc>
          <w:tcPr>
            <w:tcW w:w="0" w:type="auto"/>
            <w:shd w:val="clear" w:color="auto" w:fill="FFFFFF"/>
            <w:tcMar>
              <w:top w:w="0" w:type="dxa"/>
              <w:left w:w="75" w:type="dxa"/>
              <w:bottom w:w="0" w:type="dxa"/>
              <w:right w:w="75" w:type="dxa"/>
            </w:tcMar>
            <w:vAlign w:val="center"/>
            <w:hideMark/>
          </w:tcPr>
          <w:p w14:paraId="50BA84B5" w14:textId="77777777" w:rsidR="00DC0226" w:rsidRPr="00310DF8" w:rsidRDefault="00DC0226" w:rsidP="00DC0226">
            <w:pPr>
              <w:pStyle w:val="BodyText"/>
              <w:spacing w:before="0" w:after="0"/>
              <w:jc w:val="both"/>
            </w:pPr>
            <w:r w:rsidRPr="00310DF8">
              <w:t>6.7</w:t>
            </w:r>
          </w:p>
        </w:tc>
        <w:tc>
          <w:tcPr>
            <w:tcW w:w="0" w:type="auto"/>
            <w:shd w:val="clear" w:color="auto" w:fill="FFFFFF"/>
            <w:tcMar>
              <w:top w:w="0" w:type="dxa"/>
              <w:left w:w="75" w:type="dxa"/>
              <w:bottom w:w="0" w:type="dxa"/>
              <w:right w:w="75" w:type="dxa"/>
            </w:tcMar>
            <w:vAlign w:val="center"/>
            <w:hideMark/>
          </w:tcPr>
          <w:p w14:paraId="1E81F47D" w14:textId="77777777" w:rsidR="00DC0226" w:rsidRPr="00310DF8" w:rsidRDefault="00DC0226" w:rsidP="00DC0226">
            <w:pPr>
              <w:pStyle w:val="BodyText"/>
              <w:spacing w:before="0" w:after="0"/>
              <w:jc w:val="both"/>
            </w:pPr>
            <w:r w:rsidRPr="00310DF8">
              <w:t>9.1</w:t>
            </w:r>
          </w:p>
        </w:tc>
      </w:tr>
      <w:tr w:rsidR="00DC0226" w:rsidRPr="00310DF8" w14:paraId="0E770003" w14:textId="77777777" w:rsidTr="00DC0226">
        <w:tc>
          <w:tcPr>
            <w:tcW w:w="0" w:type="auto"/>
            <w:shd w:val="clear" w:color="auto" w:fill="FFFFFF"/>
            <w:tcMar>
              <w:top w:w="0" w:type="dxa"/>
              <w:left w:w="480" w:type="dxa"/>
              <w:bottom w:w="0" w:type="dxa"/>
              <w:right w:w="75" w:type="dxa"/>
            </w:tcMar>
            <w:vAlign w:val="center"/>
            <w:hideMark/>
          </w:tcPr>
          <w:p w14:paraId="13F75F29" w14:textId="77777777" w:rsidR="00DC0226" w:rsidRPr="00310DF8" w:rsidRDefault="00DC0226" w:rsidP="00DC0226">
            <w:pPr>
              <w:pStyle w:val="BodyText"/>
              <w:spacing w:before="0" w:after="0"/>
              <w:jc w:val="both"/>
            </w:pPr>
            <w:r w:rsidRPr="00310DF8">
              <w:t>Most of the time</w:t>
            </w:r>
          </w:p>
        </w:tc>
        <w:tc>
          <w:tcPr>
            <w:tcW w:w="0" w:type="auto"/>
            <w:shd w:val="clear" w:color="auto" w:fill="FFFFFF"/>
            <w:tcMar>
              <w:top w:w="0" w:type="dxa"/>
              <w:left w:w="75" w:type="dxa"/>
              <w:bottom w:w="0" w:type="dxa"/>
              <w:right w:w="75" w:type="dxa"/>
            </w:tcMar>
            <w:vAlign w:val="center"/>
            <w:hideMark/>
          </w:tcPr>
          <w:p w14:paraId="140A724D" w14:textId="77777777" w:rsidR="00DC0226" w:rsidRPr="00310DF8" w:rsidRDefault="00DC0226" w:rsidP="00DC0226">
            <w:pPr>
              <w:pStyle w:val="BodyText"/>
              <w:spacing w:before="0" w:after="0"/>
              <w:jc w:val="both"/>
            </w:pPr>
            <w:r w:rsidRPr="00310DF8">
              <w:t>1.2</w:t>
            </w:r>
          </w:p>
        </w:tc>
        <w:tc>
          <w:tcPr>
            <w:tcW w:w="0" w:type="auto"/>
            <w:shd w:val="clear" w:color="auto" w:fill="FFFFFF"/>
            <w:tcMar>
              <w:top w:w="0" w:type="dxa"/>
              <w:left w:w="75" w:type="dxa"/>
              <w:bottom w:w="0" w:type="dxa"/>
              <w:right w:w="75" w:type="dxa"/>
            </w:tcMar>
            <w:vAlign w:val="center"/>
            <w:hideMark/>
          </w:tcPr>
          <w:p w14:paraId="6FCFB59B" w14:textId="77777777" w:rsidR="00DC0226" w:rsidRPr="00310DF8" w:rsidRDefault="00DC0226" w:rsidP="00DC0226">
            <w:pPr>
              <w:pStyle w:val="BodyText"/>
              <w:spacing w:before="0" w:after="0"/>
              <w:jc w:val="both"/>
            </w:pPr>
            <w:r w:rsidRPr="00310DF8">
              <w:t>2.8</w:t>
            </w:r>
          </w:p>
        </w:tc>
      </w:tr>
      <w:tr w:rsidR="00DC0226" w:rsidRPr="00310DF8" w14:paraId="598823FD" w14:textId="77777777" w:rsidTr="00DC0226">
        <w:tc>
          <w:tcPr>
            <w:tcW w:w="0" w:type="auto"/>
            <w:tcBorders>
              <w:bottom w:val="nil"/>
            </w:tcBorders>
            <w:shd w:val="clear" w:color="auto" w:fill="FFFFFF"/>
            <w:tcMar>
              <w:top w:w="0" w:type="dxa"/>
              <w:left w:w="480" w:type="dxa"/>
              <w:bottom w:w="0" w:type="dxa"/>
              <w:right w:w="75" w:type="dxa"/>
            </w:tcMar>
            <w:vAlign w:val="center"/>
            <w:hideMark/>
          </w:tcPr>
          <w:p w14:paraId="06481A95" w14:textId="77777777" w:rsidR="00DC0226" w:rsidRPr="00310DF8" w:rsidRDefault="00DC0226" w:rsidP="00DC0226">
            <w:pPr>
              <w:pStyle w:val="BodyText"/>
              <w:spacing w:before="0" w:after="0"/>
              <w:jc w:val="both"/>
            </w:pPr>
            <w:r w:rsidRPr="00310DF8">
              <w:t>Always</w:t>
            </w:r>
          </w:p>
        </w:tc>
        <w:tc>
          <w:tcPr>
            <w:tcW w:w="0" w:type="auto"/>
            <w:tcBorders>
              <w:bottom w:val="nil"/>
            </w:tcBorders>
            <w:shd w:val="clear" w:color="auto" w:fill="FFFFFF"/>
            <w:tcMar>
              <w:top w:w="0" w:type="dxa"/>
              <w:left w:w="75" w:type="dxa"/>
              <w:bottom w:w="0" w:type="dxa"/>
              <w:right w:w="75" w:type="dxa"/>
            </w:tcMar>
            <w:vAlign w:val="center"/>
            <w:hideMark/>
          </w:tcPr>
          <w:p w14:paraId="17306F0B" w14:textId="77777777" w:rsidR="00DC0226" w:rsidRPr="00310DF8" w:rsidRDefault="00DC0226" w:rsidP="00DC0226">
            <w:pPr>
              <w:pStyle w:val="BodyText"/>
              <w:spacing w:before="0" w:after="0"/>
              <w:jc w:val="both"/>
            </w:pPr>
            <w:r w:rsidRPr="00310DF8">
              <w:t>0.4</w:t>
            </w:r>
          </w:p>
        </w:tc>
        <w:tc>
          <w:tcPr>
            <w:tcW w:w="0" w:type="auto"/>
            <w:tcBorders>
              <w:bottom w:val="nil"/>
            </w:tcBorders>
            <w:shd w:val="clear" w:color="auto" w:fill="FFFFFF"/>
            <w:tcMar>
              <w:top w:w="0" w:type="dxa"/>
              <w:left w:w="75" w:type="dxa"/>
              <w:bottom w:w="0" w:type="dxa"/>
              <w:right w:w="75" w:type="dxa"/>
            </w:tcMar>
            <w:vAlign w:val="center"/>
            <w:hideMark/>
          </w:tcPr>
          <w:p w14:paraId="3820B337" w14:textId="77777777" w:rsidR="00DC0226" w:rsidRPr="00310DF8" w:rsidRDefault="00DC0226" w:rsidP="00DC0226">
            <w:pPr>
              <w:pStyle w:val="BodyText"/>
              <w:spacing w:before="0" w:after="0"/>
              <w:jc w:val="both"/>
            </w:pPr>
            <w:r w:rsidRPr="00310DF8">
              <w:t>2.3</w:t>
            </w:r>
          </w:p>
        </w:tc>
      </w:tr>
      <w:tr w:rsidR="00DC0226" w:rsidRPr="00310DF8" w14:paraId="721E5436" w14:textId="77777777" w:rsidTr="00DC0226">
        <w:tc>
          <w:tcPr>
            <w:tcW w:w="0" w:type="auto"/>
            <w:gridSpan w:val="3"/>
            <w:tcBorders>
              <w:top w:val="nil"/>
              <w:bottom w:val="single" w:sz="4" w:space="0" w:color="auto"/>
            </w:tcBorders>
            <w:shd w:val="clear" w:color="auto" w:fill="FFFFFF"/>
            <w:tcMar>
              <w:top w:w="0" w:type="dxa"/>
              <w:left w:w="75" w:type="dxa"/>
              <w:bottom w:w="0" w:type="dxa"/>
              <w:right w:w="75" w:type="dxa"/>
            </w:tcMar>
            <w:vAlign w:val="center"/>
            <w:hideMark/>
          </w:tcPr>
          <w:p w14:paraId="56D98709" w14:textId="77777777" w:rsidR="00DC0226" w:rsidRPr="00310DF8" w:rsidRDefault="00DC0226" w:rsidP="00DC0226">
            <w:pPr>
              <w:pStyle w:val="BodyText"/>
              <w:spacing w:before="0" w:after="0"/>
              <w:jc w:val="both"/>
            </w:pPr>
            <w:r w:rsidRPr="00310DF8">
              <w:rPr>
                <w:b/>
                <w:bCs/>
              </w:rPr>
              <w:t>Adult in home tries to meet physical needs***</w:t>
            </w:r>
          </w:p>
        </w:tc>
      </w:tr>
      <w:tr w:rsidR="00DC0226" w:rsidRPr="00310DF8" w14:paraId="7920DF4C" w14:textId="77777777" w:rsidTr="00DC0226">
        <w:tc>
          <w:tcPr>
            <w:tcW w:w="0" w:type="auto"/>
            <w:tcBorders>
              <w:top w:val="single" w:sz="4" w:space="0" w:color="auto"/>
            </w:tcBorders>
            <w:shd w:val="clear" w:color="auto" w:fill="FFFFFF"/>
            <w:tcMar>
              <w:top w:w="0" w:type="dxa"/>
              <w:left w:w="480" w:type="dxa"/>
              <w:bottom w:w="0" w:type="dxa"/>
              <w:right w:w="75" w:type="dxa"/>
            </w:tcMar>
            <w:vAlign w:val="center"/>
            <w:hideMark/>
          </w:tcPr>
          <w:p w14:paraId="109183B2" w14:textId="77777777" w:rsidR="00DC0226" w:rsidRPr="00310DF8" w:rsidRDefault="00DC0226" w:rsidP="00DC0226">
            <w:pPr>
              <w:pStyle w:val="BodyText"/>
              <w:spacing w:before="0" w:after="0"/>
              <w:jc w:val="both"/>
            </w:pPr>
            <w:r w:rsidRPr="00310DF8">
              <w:t>Never</w:t>
            </w:r>
          </w:p>
        </w:tc>
        <w:tc>
          <w:tcPr>
            <w:tcW w:w="0" w:type="auto"/>
            <w:tcBorders>
              <w:top w:val="single" w:sz="4" w:space="0" w:color="auto"/>
            </w:tcBorders>
            <w:shd w:val="clear" w:color="auto" w:fill="FFFFFF"/>
            <w:tcMar>
              <w:top w:w="0" w:type="dxa"/>
              <w:left w:w="75" w:type="dxa"/>
              <w:bottom w:w="0" w:type="dxa"/>
              <w:right w:w="75" w:type="dxa"/>
            </w:tcMar>
            <w:vAlign w:val="center"/>
            <w:hideMark/>
          </w:tcPr>
          <w:p w14:paraId="397602AE" w14:textId="77777777" w:rsidR="00DC0226" w:rsidRPr="00310DF8" w:rsidRDefault="00DC0226" w:rsidP="00DC0226">
            <w:pPr>
              <w:pStyle w:val="BodyText"/>
              <w:spacing w:before="0" w:after="0"/>
              <w:jc w:val="both"/>
            </w:pPr>
            <w:r w:rsidRPr="00310DF8">
              <w:t>3.8</w:t>
            </w:r>
          </w:p>
        </w:tc>
        <w:tc>
          <w:tcPr>
            <w:tcW w:w="0" w:type="auto"/>
            <w:tcBorders>
              <w:top w:val="single" w:sz="4" w:space="0" w:color="auto"/>
            </w:tcBorders>
            <w:shd w:val="clear" w:color="auto" w:fill="FFFFFF"/>
            <w:tcMar>
              <w:top w:w="0" w:type="dxa"/>
              <w:left w:w="75" w:type="dxa"/>
              <w:bottom w:w="0" w:type="dxa"/>
              <w:right w:w="75" w:type="dxa"/>
            </w:tcMar>
            <w:vAlign w:val="center"/>
            <w:hideMark/>
          </w:tcPr>
          <w:p w14:paraId="7F519DD5" w14:textId="77777777" w:rsidR="00DC0226" w:rsidRPr="00310DF8" w:rsidRDefault="00DC0226" w:rsidP="00DC0226">
            <w:pPr>
              <w:pStyle w:val="BodyText"/>
              <w:spacing w:before="0" w:after="0"/>
              <w:jc w:val="both"/>
            </w:pPr>
            <w:r w:rsidRPr="00310DF8">
              <w:t>3.6</w:t>
            </w:r>
          </w:p>
        </w:tc>
      </w:tr>
      <w:tr w:rsidR="00DC0226" w:rsidRPr="00310DF8" w14:paraId="32EA9C83" w14:textId="77777777" w:rsidTr="00DC0226">
        <w:tc>
          <w:tcPr>
            <w:tcW w:w="0" w:type="auto"/>
            <w:shd w:val="clear" w:color="auto" w:fill="FFFFFF"/>
            <w:tcMar>
              <w:top w:w="0" w:type="dxa"/>
              <w:left w:w="480" w:type="dxa"/>
              <w:bottom w:w="0" w:type="dxa"/>
              <w:right w:w="75" w:type="dxa"/>
            </w:tcMar>
            <w:vAlign w:val="center"/>
            <w:hideMark/>
          </w:tcPr>
          <w:p w14:paraId="7D236E9A" w14:textId="77777777" w:rsidR="00DC0226" w:rsidRPr="00310DF8" w:rsidRDefault="00DC0226" w:rsidP="00DC0226">
            <w:pPr>
              <w:pStyle w:val="BodyText"/>
              <w:spacing w:before="0" w:after="0"/>
              <w:jc w:val="both"/>
            </w:pPr>
            <w:r w:rsidRPr="00310DF8">
              <w:t>Rarely</w:t>
            </w:r>
          </w:p>
        </w:tc>
        <w:tc>
          <w:tcPr>
            <w:tcW w:w="0" w:type="auto"/>
            <w:shd w:val="clear" w:color="auto" w:fill="FFFFFF"/>
            <w:tcMar>
              <w:top w:w="0" w:type="dxa"/>
              <w:left w:w="75" w:type="dxa"/>
              <w:bottom w:w="0" w:type="dxa"/>
              <w:right w:w="75" w:type="dxa"/>
            </w:tcMar>
            <w:vAlign w:val="center"/>
            <w:hideMark/>
          </w:tcPr>
          <w:p w14:paraId="5356FDDC" w14:textId="77777777" w:rsidR="00DC0226" w:rsidRPr="00310DF8" w:rsidRDefault="00DC0226" w:rsidP="00DC0226">
            <w:pPr>
              <w:pStyle w:val="BodyText"/>
              <w:spacing w:before="0" w:after="0"/>
              <w:jc w:val="both"/>
            </w:pPr>
            <w:r w:rsidRPr="00310DF8">
              <w:t>2.8</w:t>
            </w:r>
          </w:p>
        </w:tc>
        <w:tc>
          <w:tcPr>
            <w:tcW w:w="0" w:type="auto"/>
            <w:shd w:val="clear" w:color="auto" w:fill="FFFFFF"/>
            <w:tcMar>
              <w:top w:w="0" w:type="dxa"/>
              <w:left w:w="75" w:type="dxa"/>
              <w:bottom w:w="0" w:type="dxa"/>
              <w:right w:w="75" w:type="dxa"/>
            </w:tcMar>
            <w:vAlign w:val="center"/>
            <w:hideMark/>
          </w:tcPr>
          <w:p w14:paraId="4B55BAC3" w14:textId="77777777" w:rsidR="00DC0226" w:rsidRPr="00310DF8" w:rsidRDefault="00DC0226" w:rsidP="00DC0226">
            <w:pPr>
              <w:pStyle w:val="BodyText"/>
              <w:spacing w:before="0" w:after="0"/>
              <w:jc w:val="both"/>
            </w:pPr>
            <w:r w:rsidRPr="00310DF8">
              <w:t>3.0</w:t>
            </w:r>
          </w:p>
        </w:tc>
      </w:tr>
      <w:tr w:rsidR="00DC0226" w:rsidRPr="00310DF8" w14:paraId="046B0F89" w14:textId="77777777" w:rsidTr="00DC0226">
        <w:tc>
          <w:tcPr>
            <w:tcW w:w="0" w:type="auto"/>
            <w:shd w:val="clear" w:color="auto" w:fill="FFFFFF"/>
            <w:tcMar>
              <w:top w:w="0" w:type="dxa"/>
              <w:left w:w="480" w:type="dxa"/>
              <w:bottom w:w="0" w:type="dxa"/>
              <w:right w:w="75" w:type="dxa"/>
            </w:tcMar>
            <w:vAlign w:val="center"/>
            <w:hideMark/>
          </w:tcPr>
          <w:p w14:paraId="6D8326FA" w14:textId="77777777" w:rsidR="00DC0226" w:rsidRPr="00310DF8" w:rsidRDefault="00DC0226" w:rsidP="00DC0226">
            <w:pPr>
              <w:pStyle w:val="BodyText"/>
              <w:spacing w:before="0" w:after="0"/>
              <w:jc w:val="both"/>
            </w:pPr>
            <w:r w:rsidRPr="00310DF8">
              <w:t>Sometimes</w:t>
            </w:r>
          </w:p>
        </w:tc>
        <w:tc>
          <w:tcPr>
            <w:tcW w:w="0" w:type="auto"/>
            <w:shd w:val="clear" w:color="auto" w:fill="FFFFFF"/>
            <w:tcMar>
              <w:top w:w="0" w:type="dxa"/>
              <w:left w:w="75" w:type="dxa"/>
              <w:bottom w:w="0" w:type="dxa"/>
              <w:right w:w="75" w:type="dxa"/>
            </w:tcMar>
            <w:vAlign w:val="center"/>
            <w:hideMark/>
          </w:tcPr>
          <w:p w14:paraId="5B7B3968" w14:textId="77777777" w:rsidR="00DC0226" w:rsidRPr="00310DF8" w:rsidRDefault="00DC0226" w:rsidP="00DC0226">
            <w:pPr>
              <w:pStyle w:val="BodyText"/>
              <w:spacing w:before="0" w:after="0"/>
              <w:jc w:val="both"/>
            </w:pPr>
            <w:r w:rsidRPr="00310DF8">
              <w:t>5.8</w:t>
            </w:r>
          </w:p>
        </w:tc>
        <w:tc>
          <w:tcPr>
            <w:tcW w:w="0" w:type="auto"/>
            <w:shd w:val="clear" w:color="auto" w:fill="FFFFFF"/>
            <w:tcMar>
              <w:top w:w="0" w:type="dxa"/>
              <w:left w:w="75" w:type="dxa"/>
              <w:bottom w:w="0" w:type="dxa"/>
              <w:right w:w="75" w:type="dxa"/>
            </w:tcMar>
            <w:vAlign w:val="center"/>
            <w:hideMark/>
          </w:tcPr>
          <w:p w14:paraId="21563CE6" w14:textId="77777777" w:rsidR="00DC0226" w:rsidRPr="00310DF8" w:rsidRDefault="00DC0226" w:rsidP="00DC0226">
            <w:pPr>
              <w:pStyle w:val="BodyText"/>
              <w:spacing w:before="0" w:after="0"/>
              <w:jc w:val="both"/>
            </w:pPr>
            <w:r w:rsidRPr="00310DF8">
              <w:t>10.1</w:t>
            </w:r>
          </w:p>
        </w:tc>
      </w:tr>
      <w:tr w:rsidR="00DC0226" w:rsidRPr="00310DF8" w14:paraId="617F4DE4" w14:textId="77777777" w:rsidTr="00DC0226">
        <w:tc>
          <w:tcPr>
            <w:tcW w:w="0" w:type="auto"/>
            <w:tcBorders>
              <w:bottom w:val="nil"/>
            </w:tcBorders>
            <w:shd w:val="clear" w:color="auto" w:fill="FFFFFF"/>
            <w:tcMar>
              <w:top w:w="0" w:type="dxa"/>
              <w:left w:w="480" w:type="dxa"/>
              <w:bottom w:w="0" w:type="dxa"/>
              <w:right w:w="75" w:type="dxa"/>
            </w:tcMar>
            <w:vAlign w:val="center"/>
            <w:hideMark/>
          </w:tcPr>
          <w:p w14:paraId="1A3FB54B" w14:textId="77777777" w:rsidR="00DC0226" w:rsidRPr="00310DF8" w:rsidRDefault="00DC0226" w:rsidP="00DC0226">
            <w:pPr>
              <w:pStyle w:val="BodyText"/>
              <w:spacing w:before="0" w:after="0"/>
              <w:jc w:val="both"/>
            </w:pPr>
            <w:r w:rsidRPr="00310DF8">
              <w:t>Most of the time</w:t>
            </w:r>
          </w:p>
        </w:tc>
        <w:tc>
          <w:tcPr>
            <w:tcW w:w="0" w:type="auto"/>
            <w:shd w:val="clear" w:color="auto" w:fill="FFFFFF"/>
            <w:tcMar>
              <w:top w:w="0" w:type="dxa"/>
              <w:left w:w="75" w:type="dxa"/>
              <w:bottom w:w="0" w:type="dxa"/>
              <w:right w:w="75" w:type="dxa"/>
            </w:tcMar>
            <w:vAlign w:val="center"/>
            <w:hideMark/>
          </w:tcPr>
          <w:p w14:paraId="191AAC68" w14:textId="77777777" w:rsidR="00DC0226" w:rsidRPr="00310DF8" w:rsidRDefault="00DC0226" w:rsidP="00DC0226">
            <w:pPr>
              <w:pStyle w:val="BodyText"/>
              <w:spacing w:before="0" w:after="0"/>
              <w:jc w:val="both"/>
            </w:pPr>
            <w:r w:rsidRPr="00310DF8">
              <w:t>15.7</w:t>
            </w:r>
          </w:p>
        </w:tc>
        <w:tc>
          <w:tcPr>
            <w:tcW w:w="0" w:type="auto"/>
            <w:shd w:val="clear" w:color="auto" w:fill="FFFFFF"/>
            <w:tcMar>
              <w:top w:w="0" w:type="dxa"/>
              <w:left w:w="75" w:type="dxa"/>
              <w:bottom w:w="0" w:type="dxa"/>
              <w:right w:w="75" w:type="dxa"/>
            </w:tcMar>
            <w:vAlign w:val="center"/>
            <w:hideMark/>
          </w:tcPr>
          <w:p w14:paraId="2F54C110" w14:textId="77777777" w:rsidR="00DC0226" w:rsidRPr="00310DF8" w:rsidRDefault="00DC0226" w:rsidP="00DC0226">
            <w:pPr>
              <w:pStyle w:val="BodyText"/>
              <w:spacing w:before="0" w:after="0"/>
              <w:jc w:val="both"/>
            </w:pPr>
            <w:r w:rsidRPr="00310DF8">
              <w:t>28.6</w:t>
            </w:r>
          </w:p>
        </w:tc>
      </w:tr>
      <w:tr w:rsidR="00DC0226" w:rsidRPr="00310DF8" w14:paraId="6E30686B" w14:textId="77777777" w:rsidTr="00DC0226">
        <w:trPr>
          <w:trHeight w:val="80"/>
        </w:trPr>
        <w:tc>
          <w:tcPr>
            <w:tcW w:w="0" w:type="auto"/>
            <w:tcBorders>
              <w:top w:val="nil"/>
              <w:bottom w:val="nil"/>
            </w:tcBorders>
            <w:shd w:val="clear" w:color="auto" w:fill="FFFFFF"/>
            <w:tcMar>
              <w:top w:w="0" w:type="dxa"/>
              <w:left w:w="480" w:type="dxa"/>
              <w:bottom w:w="0" w:type="dxa"/>
              <w:right w:w="75" w:type="dxa"/>
            </w:tcMar>
            <w:vAlign w:val="center"/>
            <w:hideMark/>
          </w:tcPr>
          <w:p w14:paraId="6BDBFDD1" w14:textId="77777777" w:rsidR="00DC0226" w:rsidRPr="00310DF8" w:rsidRDefault="00DC0226" w:rsidP="00DC0226">
            <w:pPr>
              <w:pStyle w:val="BodyText"/>
              <w:spacing w:before="0" w:after="0"/>
              <w:jc w:val="both"/>
            </w:pPr>
            <w:r w:rsidRPr="00310DF8">
              <w:lastRenderedPageBreak/>
              <w:t>Always</w:t>
            </w:r>
          </w:p>
        </w:tc>
        <w:tc>
          <w:tcPr>
            <w:tcW w:w="0" w:type="auto"/>
            <w:shd w:val="clear" w:color="auto" w:fill="FFFFFF"/>
            <w:tcMar>
              <w:top w:w="0" w:type="dxa"/>
              <w:left w:w="75" w:type="dxa"/>
              <w:bottom w:w="0" w:type="dxa"/>
              <w:right w:w="75" w:type="dxa"/>
            </w:tcMar>
            <w:vAlign w:val="center"/>
            <w:hideMark/>
          </w:tcPr>
          <w:p w14:paraId="71A51A88" w14:textId="77777777" w:rsidR="00DC0226" w:rsidRPr="00310DF8" w:rsidRDefault="00DC0226" w:rsidP="00DC0226">
            <w:pPr>
              <w:pStyle w:val="BodyText"/>
              <w:spacing w:before="0" w:after="0"/>
              <w:jc w:val="both"/>
            </w:pPr>
            <w:r w:rsidRPr="00310DF8">
              <w:t>71.8</w:t>
            </w:r>
          </w:p>
        </w:tc>
        <w:tc>
          <w:tcPr>
            <w:tcW w:w="0" w:type="auto"/>
            <w:shd w:val="clear" w:color="auto" w:fill="FFFFFF"/>
            <w:tcMar>
              <w:top w:w="0" w:type="dxa"/>
              <w:left w:w="75" w:type="dxa"/>
              <w:bottom w:w="0" w:type="dxa"/>
              <w:right w:w="75" w:type="dxa"/>
            </w:tcMar>
            <w:vAlign w:val="center"/>
            <w:hideMark/>
          </w:tcPr>
          <w:p w14:paraId="65F7CAEA" w14:textId="77777777" w:rsidR="00DC0226" w:rsidRPr="00310DF8" w:rsidRDefault="00DC0226" w:rsidP="00DC0226">
            <w:pPr>
              <w:pStyle w:val="BodyText"/>
              <w:spacing w:before="0" w:after="0"/>
              <w:jc w:val="both"/>
            </w:pPr>
            <w:r w:rsidRPr="00310DF8">
              <w:t>54.8</w:t>
            </w:r>
          </w:p>
        </w:tc>
      </w:tr>
      <w:tr w:rsidR="00DC0226" w:rsidRPr="00310DF8" w14:paraId="4810C66E" w14:textId="77777777" w:rsidTr="00DC0226">
        <w:tc>
          <w:tcPr>
            <w:tcW w:w="0" w:type="auto"/>
            <w:tcBorders>
              <w:top w:val="nil"/>
              <w:left w:val="nil"/>
              <w:bottom w:val="nil"/>
              <w:right w:val="nil"/>
            </w:tcBorders>
            <w:shd w:val="clear" w:color="auto" w:fill="FFFFFF"/>
            <w:tcMar>
              <w:top w:w="0" w:type="dxa"/>
              <w:left w:w="0" w:type="dxa"/>
              <w:bottom w:w="0" w:type="dxa"/>
              <w:right w:w="0" w:type="dxa"/>
            </w:tcMar>
            <w:vAlign w:val="center"/>
            <w:hideMark/>
          </w:tcPr>
          <w:p w14:paraId="5222C2E9" w14:textId="205D3314" w:rsidR="00DC0226" w:rsidRPr="00310DF8" w:rsidRDefault="00DC0226" w:rsidP="009642E5">
            <w:pPr>
              <w:pStyle w:val="BodyText"/>
              <w:spacing w:before="0" w:after="0"/>
            </w:pPr>
            <w:r w:rsidRPr="00310DF8">
              <w:rPr>
                <w:i/>
                <w:iCs/>
              </w:rPr>
              <w:t>Note:</w:t>
            </w:r>
            <w:r>
              <w:rPr>
                <w:i/>
                <w:iCs/>
              </w:rPr>
              <w:t xml:space="preserve"> </w:t>
            </w:r>
            <w:r w:rsidRPr="00310DF8">
              <w:t>*** p&lt;0.001</w:t>
            </w:r>
          </w:p>
        </w:tc>
        <w:tc>
          <w:tcPr>
            <w:tcW w:w="0" w:type="auto"/>
            <w:shd w:val="clear" w:color="auto" w:fill="FFFFFF"/>
            <w:vAlign w:val="center"/>
            <w:hideMark/>
          </w:tcPr>
          <w:p w14:paraId="1A9C502B" w14:textId="77777777" w:rsidR="00DC0226" w:rsidRPr="00310DF8" w:rsidRDefault="00DC0226" w:rsidP="009642E5">
            <w:pPr>
              <w:pStyle w:val="BodyText"/>
              <w:spacing w:before="0" w:after="0"/>
            </w:pPr>
          </w:p>
        </w:tc>
        <w:tc>
          <w:tcPr>
            <w:tcW w:w="0" w:type="auto"/>
            <w:shd w:val="clear" w:color="auto" w:fill="FFFFFF"/>
            <w:vAlign w:val="center"/>
            <w:hideMark/>
          </w:tcPr>
          <w:p w14:paraId="79BC4E32" w14:textId="77777777" w:rsidR="00DC0226" w:rsidRPr="00310DF8" w:rsidRDefault="00DC0226" w:rsidP="009642E5">
            <w:pPr>
              <w:pStyle w:val="BodyText"/>
              <w:spacing w:before="0" w:after="0"/>
            </w:pPr>
          </w:p>
        </w:tc>
      </w:tr>
      <w:tr w:rsidR="00DC0226" w:rsidRPr="00310DF8" w14:paraId="78B35702" w14:textId="77777777" w:rsidTr="00DC0226">
        <w:tc>
          <w:tcPr>
            <w:tcW w:w="0" w:type="auto"/>
            <w:tcBorders>
              <w:top w:val="nil"/>
              <w:left w:val="nil"/>
              <w:bottom w:val="nil"/>
              <w:right w:val="nil"/>
            </w:tcBorders>
            <w:shd w:val="clear" w:color="auto" w:fill="FFFFFF"/>
            <w:tcMar>
              <w:top w:w="0" w:type="dxa"/>
              <w:left w:w="0" w:type="dxa"/>
              <w:bottom w:w="0" w:type="dxa"/>
              <w:right w:w="0" w:type="dxa"/>
            </w:tcMar>
            <w:vAlign w:val="center"/>
            <w:hideMark/>
          </w:tcPr>
          <w:p w14:paraId="469943F3" w14:textId="77777777" w:rsidR="00DC0226" w:rsidRPr="00310DF8" w:rsidRDefault="00DC0226" w:rsidP="009642E5">
            <w:pPr>
              <w:pStyle w:val="BodyText"/>
              <w:spacing w:before="0" w:after="0"/>
            </w:pPr>
          </w:p>
        </w:tc>
        <w:tc>
          <w:tcPr>
            <w:tcW w:w="0" w:type="auto"/>
            <w:shd w:val="clear" w:color="auto" w:fill="FFFFFF"/>
            <w:vAlign w:val="center"/>
            <w:hideMark/>
          </w:tcPr>
          <w:p w14:paraId="00D0A0E4" w14:textId="77777777" w:rsidR="00DC0226" w:rsidRPr="00310DF8" w:rsidRDefault="00DC0226" w:rsidP="009642E5">
            <w:pPr>
              <w:pStyle w:val="BodyText"/>
              <w:spacing w:before="0" w:after="0"/>
            </w:pPr>
          </w:p>
        </w:tc>
        <w:tc>
          <w:tcPr>
            <w:tcW w:w="0" w:type="auto"/>
            <w:shd w:val="clear" w:color="auto" w:fill="FFFFFF"/>
            <w:vAlign w:val="center"/>
            <w:hideMark/>
          </w:tcPr>
          <w:p w14:paraId="5EB8F59C" w14:textId="77777777" w:rsidR="00DC0226" w:rsidRPr="00310DF8" w:rsidRDefault="00DC0226" w:rsidP="009642E5">
            <w:pPr>
              <w:pStyle w:val="BodyText"/>
              <w:spacing w:before="0" w:after="0"/>
            </w:pPr>
          </w:p>
        </w:tc>
      </w:tr>
      <w:tr w:rsidR="00DC0226" w:rsidRPr="00310DF8" w14:paraId="0845E226" w14:textId="77777777" w:rsidTr="00DC0226">
        <w:tc>
          <w:tcPr>
            <w:tcW w:w="0" w:type="auto"/>
            <w:tcBorders>
              <w:top w:val="nil"/>
              <w:left w:val="nil"/>
              <w:bottom w:val="nil"/>
              <w:right w:val="nil"/>
            </w:tcBorders>
            <w:shd w:val="clear" w:color="auto" w:fill="FFFFFF"/>
            <w:tcMar>
              <w:top w:w="0" w:type="dxa"/>
              <w:left w:w="0" w:type="dxa"/>
              <w:bottom w:w="0" w:type="dxa"/>
              <w:right w:w="0" w:type="dxa"/>
            </w:tcMar>
            <w:vAlign w:val="center"/>
          </w:tcPr>
          <w:p w14:paraId="6FB35FF9" w14:textId="77777777" w:rsidR="00DC0226" w:rsidRPr="00310DF8" w:rsidRDefault="00DC0226" w:rsidP="009642E5">
            <w:pPr>
              <w:pStyle w:val="BodyText"/>
              <w:spacing w:before="0" w:after="0"/>
            </w:pPr>
          </w:p>
        </w:tc>
        <w:tc>
          <w:tcPr>
            <w:tcW w:w="0" w:type="auto"/>
            <w:shd w:val="clear" w:color="auto" w:fill="FFFFFF"/>
            <w:vAlign w:val="center"/>
          </w:tcPr>
          <w:p w14:paraId="4F75D4A2" w14:textId="77777777" w:rsidR="00DC0226" w:rsidRPr="00310DF8" w:rsidRDefault="00DC0226" w:rsidP="009642E5">
            <w:pPr>
              <w:pStyle w:val="BodyText"/>
              <w:spacing w:before="0" w:after="0"/>
            </w:pPr>
          </w:p>
        </w:tc>
        <w:tc>
          <w:tcPr>
            <w:tcW w:w="0" w:type="auto"/>
            <w:shd w:val="clear" w:color="auto" w:fill="FFFFFF"/>
            <w:vAlign w:val="center"/>
          </w:tcPr>
          <w:p w14:paraId="766B2A62" w14:textId="77777777" w:rsidR="00DC0226" w:rsidRPr="00310DF8" w:rsidRDefault="00DC0226" w:rsidP="009642E5">
            <w:pPr>
              <w:pStyle w:val="BodyText"/>
              <w:spacing w:before="0" w:after="0"/>
            </w:pPr>
          </w:p>
        </w:tc>
      </w:tr>
    </w:tbl>
    <w:p w14:paraId="131DDE44" w14:textId="0952E1B4" w:rsidR="00DC0226" w:rsidRDefault="00DC0226" w:rsidP="00DC0226">
      <w:pPr>
        <w:pStyle w:val="Heading2"/>
      </w:pPr>
      <w:bookmarkStart w:id="59" w:name="_Toc230355473"/>
      <w:bookmarkStart w:id="60" w:name="physical-health"/>
      <w:bookmarkEnd w:id="58"/>
      <w:r>
        <w:t>Physical Health</w:t>
      </w:r>
      <w:bookmarkEnd w:id="59"/>
    </w:p>
    <w:p w14:paraId="7BE497F6" w14:textId="77777777" w:rsidR="00DC0226" w:rsidRDefault="00DC0226" w:rsidP="00DC0226">
      <w:pPr>
        <w:pStyle w:val="FirstParagraph"/>
        <w:jc w:val="both"/>
      </w:pPr>
      <w:r>
        <w:t>Table 3 compares multiple dimensions of health between LGBTQ and cis-het youth, including physical, mental, and sexual health and drug and alcohol use behaviors. Compared with cis-het youth, LGBTQ youth were more likely to never eat breakfast (21% versus 15.2%), less likely to get 8 or more hours of sleep (16.8% versus 23.7%), less likely to be physically active at least 60 minutes per day on 5 or more days (30.5% versus 49.9%).</w:t>
      </w:r>
    </w:p>
    <w:p w14:paraId="0BA6C097" w14:textId="77777777" w:rsidR="00DC0226" w:rsidRDefault="00DC0226" w:rsidP="00DC0226">
      <w:pPr>
        <w:pStyle w:val="BodyText"/>
        <w:jc w:val="both"/>
      </w:pPr>
      <w:r>
        <w:t>LGBTQ youth and cis-het youth reported similar rates of daily social media use, with around 81% of both transgender and cisgender youth using social media at least several times a day. LGBTQ youth were more likely than cis-het youth to report trying to lose weight (51.2% versus 40.2%). 40% of LGBTQ youth report experiencing homophobia at least sometimes. The MYRBS does not distinguish between homophobia and transphobia, instead only asking “During your life, how often have you felt that you were treated badly or unfairly because you are or people think you are lesbian, gay, bisexual, transgender, or questioning? This could include being treated badly because of who you are sexually attracted to or because you express your gender in a way that is different from what people expect.”</w:t>
      </w:r>
    </w:p>
    <w:p w14:paraId="17371D07" w14:textId="77777777" w:rsidR="00DC0226" w:rsidRDefault="00DC0226" w:rsidP="00DC0226">
      <w:pPr>
        <w:pStyle w:val="BodyText"/>
        <w:jc w:val="both"/>
      </w:pPr>
      <w:r>
        <w:t>Around 72% of cis-het and LGBTQ youth reported receiving sex education in school, but fewer LGBTQ youth reported using a condom last time they had sexual intercourse (45.6% versus 56.3%).</w:t>
      </w:r>
    </w:p>
    <w:tbl>
      <w:tblPr>
        <w:tblW w:w="0" w:type="dxa"/>
        <w:tblBorders>
          <w:top w:val="single" w:sz="12" w:space="0" w:color="111111"/>
        </w:tblBorders>
        <w:shd w:val="clear" w:color="auto" w:fill="FFFFFF"/>
        <w:tblCellMar>
          <w:top w:w="15" w:type="dxa"/>
          <w:left w:w="15" w:type="dxa"/>
          <w:bottom w:w="15" w:type="dxa"/>
          <w:right w:w="15" w:type="dxa"/>
        </w:tblCellMar>
        <w:tblLook w:val="04A0" w:firstRow="1" w:lastRow="0" w:firstColumn="1" w:lastColumn="0" w:noHBand="0" w:noVBand="1"/>
      </w:tblPr>
      <w:tblGrid>
        <w:gridCol w:w="5863"/>
        <w:gridCol w:w="1674"/>
        <w:gridCol w:w="1583"/>
      </w:tblGrid>
      <w:tr w:rsidR="00DC0226" w:rsidRPr="00310DF8" w14:paraId="06693FEF" w14:textId="77777777" w:rsidTr="009642E5">
        <w:trPr>
          <w:cantSplit/>
          <w:tblHeader/>
        </w:trPr>
        <w:tc>
          <w:tcPr>
            <w:tcW w:w="0" w:type="auto"/>
            <w:gridSpan w:val="3"/>
            <w:tcBorders>
              <w:top w:val="nil"/>
              <w:left w:val="nil"/>
              <w:bottom w:val="nil"/>
              <w:right w:val="nil"/>
            </w:tcBorders>
            <w:tcMar>
              <w:top w:w="0" w:type="dxa"/>
              <w:left w:w="75" w:type="dxa"/>
              <w:bottom w:w="0" w:type="dxa"/>
              <w:right w:w="75" w:type="dxa"/>
            </w:tcMar>
            <w:vAlign w:val="center"/>
            <w:hideMark/>
          </w:tcPr>
          <w:p w14:paraId="3861438D" w14:textId="77777777" w:rsidR="00DC0226" w:rsidRPr="00DC0226" w:rsidRDefault="00DC0226" w:rsidP="00DC0226">
            <w:pPr>
              <w:pStyle w:val="BodyText"/>
              <w:spacing w:before="0"/>
              <w:jc w:val="both"/>
              <w:rPr>
                <w:rStyle w:val="SubtleEmphasis"/>
              </w:rPr>
            </w:pPr>
            <w:r w:rsidRPr="00DC0226">
              <w:rPr>
                <w:rStyle w:val="SubtleEmphasis"/>
              </w:rPr>
              <w:t>Table 3. Health Measures for Youth for Cis-Het and LGBTQ Youth (2023)</w:t>
            </w:r>
          </w:p>
        </w:tc>
      </w:tr>
      <w:tr w:rsidR="00DC0226" w:rsidRPr="00310DF8" w14:paraId="4249269D" w14:textId="77777777" w:rsidTr="009642E5">
        <w:trPr>
          <w:cantSplit/>
          <w:tblHeader/>
        </w:trPr>
        <w:tc>
          <w:tcPr>
            <w:tcW w:w="0" w:type="auto"/>
            <w:tcBorders>
              <w:bottom w:val="single" w:sz="12" w:space="0" w:color="111111"/>
            </w:tcBorders>
            <w:shd w:val="clear" w:color="auto" w:fill="FFFFFF"/>
            <w:tcMar>
              <w:top w:w="0" w:type="dxa"/>
              <w:left w:w="75" w:type="dxa"/>
              <w:bottom w:w="0" w:type="dxa"/>
              <w:right w:w="75" w:type="dxa"/>
            </w:tcMar>
            <w:vAlign w:val="center"/>
            <w:hideMark/>
          </w:tcPr>
          <w:p w14:paraId="0EC660C9" w14:textId="77777777" w:rsidR="00DC0226" w:rsidRPr="00310DF8" w:rsidRDefault="00DC0226" w:rsidP="00DC0226">
            <w:pPr>
              <w:pStyle w:val="BodyText"/>
              <w:spacing w:before="0" w:after="0"/>
              <w:jc w:val="both"/>
              <w:rPr>
                <w:b/>
                <w:bCs/>
              </w:rPr>
            </w:pPr>
            <w:r w:rsidRPr="00310DF8">
              <w:rPr>
                <w:b/>
                <w:bCs/>
              </w:rPr>
              <w:t>Health Measure</w:t>
            </w:r>
          </w:p>
        </w:tc>
        <w:tc>
          <w:tcPr>
            <w:tcW w:w="0" w:type="auto"/>
            <w:tcBorders>
              <w:bottom w:val="single" w:sz="12" w:space="0" w:color="111111"/>
            </w:tcBorders>
            <w:shd w:val="clear" w:color="auto" w:fill="FFFFFF"/>
            <w:tcMar>
              <w:top w:w="0" w:type="dxa"/>
              <w:left w:w="75" w:type="dxa"/>
              <w:bottom w:w="0" w:type="dxa"/>
              <w:right w:w="75" w:type="dxa"/>
            </w:tcMar>
            <w:vAlign w:val="center"/>
            <w:hideMark/>
          </w:tcPr>
          <w:p w14:paraId="6B7BB1E5" w14:textId="77777777" w:rsidR="00DC0226" w:rsidRPr="00310DF8" w:rsidRDefault="00DC0226" w:rsidP="00DC0226">
            <w:pPr>
              <w:pStyle w:val="BodyText"/>
              <w:spacing w:before="0" w:after="0"/>
              <w:jc w:val="both"/>
              <w:rPr>
                <w:b/>
                <w:bCs/>
              </w:rPr>
            </w:pPr>
            <w:r w:rsidRPr="00310DF8">
              <w:rPr>
                <w:b/>
                <w:bCs/>
              </w:rPr>
              <w:t>Cis-Het Youth</w:t>
            </w:r>
          </w:p>
        </w:tc>
        <w:tc>
          <w:tcPr>
            <w:tcW w:w="0" w:type="auto"/>
            <w:tcBorders>
              <w:bottom w:val="single" w:sz="12" w:space="0" w:color="111111"/>
            </w:tcBorders>
            <w:shd w:val="clear" w:color="auto" w:fill="FFFFFF"/>
            <w:tcMar>
              <w:top w:w="0" w:type="dxa"/>
              <w:left w:w="75" w:type="dxa"/>
              <w:bottom w:w="0" w:type="dxa"/>
              <w:right w:w="75" w:type="dxa"/>
            </w:tcMar>
            <w:vAlign w:val="center"/>
            <w:hideMark/>
          </w:tcPr>
          <w:p w14:paraId="036484D9" w14:textId="77777777" w:rsidR="00DC0226" w:rsidRPr="00310DF8" w:rsidRDefault="00DC0226" w:rsidP="00DC0226">
            <w:pPr>
              <w:pStyle w:val="BodyText"/>
              <w:spacing w:before="0" w:after="0"/>
              <w:jc w:val="both"/>
              <w:rPr>
                <w:b/>
                <w:bCs/>
              </w:rPr>
            </w:pPr>
            <w:r w:rsidRPr="00310DF8">
              <w:rPr>
                <w:b/>
                <w:bCs/>
              </w:rPr>
              <w:t>LGBTQ Youth</w:t>
            </w:r>
          </w:p>
        </w:tc>
      </w:tr>
      <w:tr w:rsidR="00DC0226" w:rsidRPr="00310DF8" w14:paraId="44083A36" w14:textId="77777777" w:rsidTr="009642E5">
        <w:trPr>
          <w:cantSplit/>
          <w:trHeight w:val="375"/>
        </w:trPr>
        <w:tc>
          <w:tcPr>
            <w:tcW w:w="0" w:type="auto"/>
            <w:gridSpan w:val="3"/>
            <w:tcBorders>
              <w:bottom w:val="nil"/>
            </w:tcBorders>
            <w:shd w:val="clear" w:color="auto" w:fill="FFFFFF"/>
            <w:tcMar>
              <w:top w:w="0" w:type="dxa"/>
              <w:left w:w="75" w:type="dxa"/>
              <w:bottom w:w="0" w:type="dxa"/>
              <w:right w:w="75" w:type="dxa"/>
            </w:tcMar>
            <w:vAlign w:val="center"/>
            <w:hideMark/>
          </w:tcPr>
          <w:p w14:paraId="0B5B2E34" w14:textId="77777777" w:rsidR="00DC0226" w:rsidRPr="00310DF8" w:rsidRDefault="00DC0226" w:rsidP="00DC0226">
            <w:pPr>
              <w:pStyle w:val="BodyText"/>
              <w:spacing w:before="0" w:after="0"/>
              <w:jc w:val="both"/>
            </w:pPr>
            <w:r w:rsidRPr="00310DF8">
              <w:rPr>
                <w:b/>
                <w:bCs/>
              </w:rPr>
              <w:t>Physical Health</w:t>
            </w:r>
          </w:p>
        </w:tc>
      </w:tr>
      <w:tr w:rsidR="00DC0226" w:rsidRPr="00310DF8" w14:paraId="07DA803A" w14:textId="77777777" w:rsidTr="009642E5">
        <w:trPr>
          <w:cantSplit/>
        </w:trPr>
        <w:tc>
          <w:tcPr>
            <w:tcW w:w="0" w:type="auto"/>
            <w:tcBorders>
              <w:top w:val="single" w:sz="4" w:space="0" w:color="auto"/>
            </w:tcBorders>
            <w:shd w:val="clear" w:color="auto" w:fill="FFFFFF"/>
            <w:tcMar>
              <w:top w:w="0" w:type="dxa"/>
              <w:left w:w="480" w:type="dxa"/>
              <w:bottom w:w="0" w:type="dxa"/>
              <w:right w:w="75" w:type="dxa"/>
            </w:tcMar>
            <w:vAlign w:val="center"/>
            <w:hideMark/>
          </w:tcPr>
          <w:p w14:paraId="0AAE01BD" w14:textId="77777777" w:rsidR="00DC0226" w:rsidRPr="00310DF8" w:rsidRDefault="00DC0226" w:rsidP="00DC0226">
            <w:pPr>
              <w:pStyle w:val="BodyText"/>
              <w:spacing w:before="0" w:after="0"/>
              <w:jc w:val="both"/>
            </w:pPr>
            <w:r w:rsidRPr="00310DF8">
              <w:t>Never eats breakfast</w:t>
            </w:r>
          </w:p>
        </w:tc>
        <w:tc>
          <w:tcPr>
            <w:tcW w:w="0" w:type="auto"/>
            <w:tcBorders>
              <w:top w:val="single" w:sz="4" w:space="0" w:color="auto"/>
            </w:tcBorders>
            <w:shd w:val="clear" w:color="auto" w:fill="FFFFFF"/>
            <w:tcMar>
              <w:top w:w="0" w:type="dxa"/>
              <w:left w:w="75" w:type="dxa"/>
              <w:bottom w:w="0" w:type="dxa"/>
              <w:right w:w="75" w:type="dxa"/>
            </w:tcMar>
            <w:vAlign w:val="center"/>
            <w:hideMark/>
          </w:tcPr>
          <w:p w14:paraId="50855426" w14:textId="77777777" w:rsidR="00DC0226" w:rsidRPr="00310DF8" w:rsidRDefault="00DC0226" w:rsidP="00DC0226">
            <w:pPr>
              <w:pStyle w:val="BodyText"/>
              <w:spacing w:before="0" w:after="0"/>
              <w:jc w:val="both"/>
            </w:pPr>
            <w:r w:rsidRPr="00310DF8">
              <w:t>15.2</w:t>
            </w:r>
          </w:p>
        </w:tc>
        <w:tc>
          <w:tcPr>
            <w:tcW w:w="0" w:type="auto"/>
            <w:tcBorders>
              <w:top w:val="single" w:sz="4" w:space="0" w:color="auto"/>
            </w:tcBorders>
            <w:shd w:val="clear" w:color="auto" w:fill="FFFFFF"/>
            <w:tcMar>
              <w:top w:w="0" w:type="dxa"/>
              <w:left w:w="75" w:type="dxa"/>
              <w:bottom w:w="0" w:type="dxa"/>
              <w:right w:w="75" w:type="dxa"/>
            </w:tcMar>
            <w:vAlign w:val="center"/>
            <w:hideMark/>
          </w:tcPr>
          <w:p w14:paraId="25FA2141" w14:textId="77777777" w:rsidR="00DC0226" w:rsidRPr="00310DF8" w:rsidRDefault="00DC0226" w:rsidP="00DC0226">
            <w:pPr>
              <w:pStyle w:val="BodyText"/>
              <w:spacing w:before="0" w:after="0"/>
              <w:jc w:val="both"/>
            </w:pPr>
            <w:r w:rsidRPr="00310DF8">
              <w:t>21**</w:t>
            </w:r>
          </w:p>
        </w:tc>
      </w:tr>
      <w:tr w:rsidR="00DC0226" w:rsidRPr="00310DF8" w14:paraId="265F07C6" w14:textId="77777777" w:rsidTr="009642E5">
        <w:trPr>
          <w:cantSplit/>
        </w:trPr>
        <w:tc>
          <w:tcPr>
            <w:tcW w:w="0" w:type="auto"/>
            <w:shd w:val="clear" w:color="auto" w:fill="FFFFFF"/>
            <w:tcMar>
              <w:top w:w="0" w:type="dxa"/>
              <w:left w:w="480" w:type="dxa"/>
              <w:bottom w:w="0" w:type="dxa"/>
              <w:right w:w="75" w:type="dxa"/>
            </w:tcMar>
            <w:vAlign w:val="center"/>
            <w:hideMark/>
          </w:tcPr>
          <w:p w14:paraId="6475DABB" w14:textId="77777777" w:rsidR="00DC0226" w:rsidRPr="00310DF8" w:rsidRDefault="00DC0226" w:rsidP="00DC0226">
            <w:pPr>
              <w:pStyle w:val="BodyText"/>
              <w:spacing w:before="0" w:after="0"/>
              <w:jc w:val="both"/>
            </w:pPr>
            <w:r w:rsidRPr="00310DF8">
              <w:t>Sleeps an average of 8 hours</w:t>
            </w:r>
          </w:p>
        </w:tc>
        <w:tc>
          <w:tcPr>
            <w:tcW w:w="0" w:type="auto"/>
            <w:shd w:val="clear" w:color="auto" w:fill="FFFFFF"/>
            <w:tcMar>
              <w:top w:w="0" w:type="dxa"/>
              <w:left w:w="75" w:type="dxa"/>
              <w:bottom w:w="0" w:type="dxa"/>
              <w:right w:w="75" w:type="dxa"/>
            </w:tcMar>
            <w:vAlign w:val="center"/>
            <w:hideMark/>
          </w:tcPr>
          <w:p w14:paraId="1855117A" w14:textId="77777777" w:rsidR="00DC0226" w:rsidRPr="00310DF8" w:rsidRDefault="00DC0226" w:rsidP="00DC0226">
            <w:pPr>
              <w:pStyle w:val="BodyText"/>
              <w:spacing w:before="0" w:after="0"/>
              <w:jc w:val="both"/>
            </w:pPr>
            <w:r w:rsidRPr="00310DF8">
              <w:t>23.7</w:t>
            </w:r>
          </w:p>
        </w:tc>
        <w:tc>
          <w:tcPr>
            <w:tcW w:w="0" w:type="auto"/>
            <w:shd w:val="clear" w:color="auto" w:fill="FFFFFF"/>
            <w:tcMar>
              <w:top w:w="0" w:type="dxa"/>
              <w:left w:w="75" w:type="dxa"/>
              <w:bottom w:w="0" w:type="dxa"/>
              <w:right w:w="75" w:type="dxa"/>
            </w:tcMar>
            <w:vAlign w:val="center"/>
            <w:hideMark/>
          </w:tcPr>
          <w:p w14:paraId="128C2B1F" w14:textId="77777777" w:rsidR="00DC0226" w:rsidRPr="00310DF8" w:rsidRDefault="00DC0226" w:rsidP="00DC0226">
            <w:pPr>
              <w:pStyle w:val="BodyText"/>
              <w:spacing w:before="0" w:after="0"/>
              <w:jc w:val="both"/>
            </w:pPr>
            <w:r w:rsidRPr="00310DF8">
              <w:t>16.8***</w:t>
            </w:r>
          </w:p>
        </w:tc>
      </w:tr>
      <w:tr w:rsidR="00DC0226" w:rsidRPr="00310DF8" w14:paraId="421DA3F7" w14:textId="77777777" w:rsidTr="009642E5">
        <w:trPr>
          <w:cantSplit/>
        </w:trPr>
        <w:tc>
          <w:tcPr>
            <w:tcW w:w="0" w:type="auto"/>
            <w:shd w:val="clear" w:color="auto" w:fill="FFFFFF"/>
            <w:tcMar>
              <w:top w:w="0" w:type="dxa"/>
              <w:left w:w="480" w:type="dxa"/>
              <w:bottom w:w="0" w:type="dxa"/>
              <w:right w:w="75" w:type="dxa"/>
            </w:tcMar>
            <w:vAlign w:val="center"/>
            <w:hideMark/>
          </w:tcPr>
          <w:p w14:paraId="26BA03A8" w14:textId="77777777" w:rsidR="00DC0226" w:rsidRPr="00310DF8" w:rsidRDefault="00DC0226" w:rsidP="00DC0226">
            <w:pPr>
              <w:pStyle w:val="BodyText"/>
              <w:spacing w:before="0" w:after="0"/>
              <w:jc w:val="both"/>
            </w:pPr>
            <w:r w:rsidRPr="00310DF8">
              <w:t>Physically active at least 60 mins/day 5+ days/week</w:t>
            </w:r>
          </w:p>
        </w:tc>
        <w:tc>
          <w:tcPr>
            <w:tcW w:w="0" w:type="auto"/>
            <w:shd w:val="clear" w:color="auto" w:fill="FFFFFF"/>
            <w:tcMar>
              <w:top w:w="0" w:type="dxa"/>
              <w:left w:w="75" w:type="dxa"/>
              <w:bottom w:w="0" w:type="dxa"/>
              <w:right w:w="75" w:type="dxa"/>
            </w:tcMar>
            <w:vAlign w:val="center"/>
            <w:hideMark/>
          </w:tcPr>
          <w:p w14:paraId="492B1DDF" w14:textId="77777777" w:rsidR="00DC0226" w:rsidRPr="00310DF8" w:rsidRDefault="00DC0226" w:rsidP="00DC0226">
            <w:pPr>
              <w:pStyle w:val="BodyText"/>
              <w:spacing w:before="0" w:after="0"/>
              <w:jc w:val="both"/>
            </w:pPr>
            <w:r w:rsidRPr="00310DF8">
              <w:t>49.9</w:t>
            </w:r>
          </w:p>
        </w:tc>
        <w:tc>
          <w:tcPr>
            <w:tcW w:w="0" w:type="auto"/>
            <w:shd w:val="clear" w:color="auto" w:fill="FFFFFF"/>
            <w:tcMar>
              <w:top w:w="0" w:type="dxa"/>
              <w:left w:w="75" w:type="dxa"/>
              <w:bottom w:w="0" w:type="dxa"/>
              <w:right w:w="75" w:type="dxa"/>
            </w:tcMar>
            <w:vAlign w:val="center"/>
            <w:hideMark/>
          </w:tcPr>
          <w:p w14:paraId="1625C5B0" w14:textId="77777777" w:rsidR="00DC0226" w:rsidRPr="00310DF8" w:rsidRDefault="00DC0226" w:rsidP="00DC0226">
            <w:pPr>
              <w:pStyle w:val="BodyText"/>
              <w:spacing w:before="0" w:after="0"/>
              <w:jc w:val="both"/>
            </w:pPr>
            <w:r w:rsidRPr="00310DF8">
              <w:t>30.5***</w:t>
            </w:r>
          </w:p>
        </w:tc>
      </w:tr>
      <w:tr w:rsidR="00DC0226" w:rsidRPr="00310DF8" w14:paraId="48EC6AC2" w14:textId="77777777" w:rsidTr="009642E5">
        <w:trPr>
          <w:cantSplit/>
        </w:trPr>
        <w:tc>
          <w:tcPr>
            <w:tcW w:w="0" w:type="auto"/>
            <w:gridSpan w:val="3"/>
            <w:tcBorders>
              <w:bottom w:val="nil"/>
            </w:tcBorders>
            <w:shd w:val="clear" w:color="auto" w:fill="FFFFFF"/>
            <w:tcMar>
              <w:top w:w="0" w:type="dxa"/>
              <w:left w:w="75" w:type="dxa"/>
              <w:bottom w:w="0" w:type="dxa"/>
              <w:right w:w="75" w:type="dxa"/>
            </w:tcMar>
            <w:vAlign w:val="center"/>
            <w:hideMark/>
          </w:tcPr>
          <w:p w14:paraId="062808F6" w14:textId="77777777" w:rsidR="00DC0226" w:rsidRPr="00310DF8" w:rsidRDefault="00DC0226" w:rsidP="00DC0226">
            <w:pPr>
              <w:pStyle w:val="BodyText"/>
              <w:spacing w:before="0" w:after="0"/>
              <w:jc w:val="both"/>
            </w:pPr>
            <w:r w:rsidRPr="00310DF8">
              <w:rPr>
                <w:b/>
                <w:bCs/>
              </w:rPr>
              <w:t>Mental Health</w:t>
            </w:r>
          </w:p>
        </w:tc>
      </w:tr>
      <w:tr w:rsidR="00DC0226" w:rsidRPr="00310DF8" w14:paraId="36E3B5AC" w14:textId="77777777" w:rsidTr="009642E5">
        <w:trPr>
          <w:cantSplit/>
        </w:trPr>
        <w:tc>
          <w:tcPr>
            <w:tcW w:w="0" w:type="auto"/>
            <w:tcBorders>
              <w:top w:val="single" w:sz="4" w:space="0" w:color="auto"/>
            </w:tcBorders>
            <w:shd w:val="clear" w:color="auto" w:fill="FFFFFF"/>
            <w:tcMar>
              <w:top w:w="0" w:type="dxa"/>
              <w:left w:w="480" w:type="dxa"/>
              <w:bottom w:w="0" w:type="dxa"/>
              <w:right w:w="75" w:type="dxa"/>
            </w:tcMar>
            <w:vAlign w:val="center"/>
            <w:hideMark/>
          </w:tcPr>
          <w:p w14:paraId="30C86075" w14:textId="77777777" w:rsidR="00DC0226" w:rsidRPr="00310DF8" w:rsidRDefault="00DC0226" w:rsidP="00DC0226">
            <w:pPr>
              <w:pStyle w:val="BodyText"/>
              <w:spacing w:before="0" w:after="0"/>
              <w:jc w:val="both"/>
            </w:pPr>
            <w:r w:rsidRPr="00310DF8">
              <w:t>Uses social media several times a day</w:t>
            </w:r>
          </w:p>
        </w:tc>
        <w:tc>
          <w:tcPr>
            <w:tcW w:w="0" w:type="auto"/>
            <w:tcBorders>
              <w:top w:val="single" w:sz="4" w:space="0" w:color="auto"/>
            </w:tcBorders>
            <w:shd w:val="clear" w:color="auto" w:fill="FFFFFF"/>
            <w:tcMar>
              <w:top w:w="0" w:type="dxa"/>
              <w:left w:w="75" w:type="dxa"/>
              <w:bottom w:w="0" w:type="dxa"/>
              <w:right w:w="75" w:type="dxa"/>
            </w:tcMar>
            <w:vAlign w:val="center"/>
            <w:hideMark/>
          </w:tcPr>
          <w:p w14:paraId="12292307" w14:textId="77777777" w:rsidR="00DC0226" w:rsidRPr="00310DF8" w:rsidRDefault="00DC0226" w:rsidP="00DC0226">
            <w:pPr>
              <w:pStyle w:val="BodyText"/>
              <w:spacing w:before="0" w:after="0"/>
              <w:jc w:val="both"/>
            </w:pPr>
            <w:r w:rsidRPr="00310DF8">
              <w:t>80.7</w:t>
            </w:r>
          </w:p>
        </w:tc>
        <w:tc>
          <w:tcPr>
            <w:tcW w:w="0" w:type="auto"/>
            <w:tcBorders>
              <w:top w:val="single" w:sz="4" w:space="0" w:color="auto"/>
            </w:tcBorders>
            <w:shd w:val="clear" w:color="auto" w:fill="FFFFFF"/>
            <w:tcMar>
              <w:top w:w="0" w:type="dxa"/>
              <w:left w:w="75" w:type="dxa"/>
              <w:bottom w:w="0" w:type="dxa"/>
              <w:right w:w="75" w:type="dxa"/>
            </w:tcMar>
            <w:vAlign w:val="center"/>
            <w:hideMark/>
          </w:tcPr>
          <w:p w14:paraId="4F3171B3" w14:textId="77777777" w:rsidR="00DC0226" w:rsidRPr="00310DF8" w:rsidRDefault="00DC0226" w:rsidP="00DC0226">
            <w:pPr>
              <w:pStyle w:val="BodyText"/>
              <w:spacing w:before="0" w:after="0"/>
              <w:jc w:val="both"/>
            </w:pPr>
            <w:r w:rsidRPr="00310DF8">
              <w:t>80.6</w:t>
            </w:r>
          </w:p>
        </w:tc>
      </w:tr>
      <w:tr w:rsidR="00DC0226" w:rsidRPr="00310DF8" w14:paraId="17984247" w14:textId="77777777" w:rsidTr="009642E5">
        <w:trPr>
          <w:cantSplit/>
        </w:trPr>
        <w:tc>
          <w:tcPr>
            <w:tcW w:w="0" w:type="auto"/>
            <w:shd w:val="clear" w:color="auto" w:fill="FFFFFF"/>
            <w:tcMar>
              <w:top w:w="0" w:type="dxa"/>
              <w:left w:w="480" w:type="dxa"/>
              <w:bottom w:w="0" w:type="dxa"/>
              <w:right w:w="75" w:type="dxa"/>
            </w:tcMar>
            <w:vAlign w:val="bottom"/>
            <w:hideMark/>
          </w:tcPr>
          <w:p w14:paraId="58BD5290" w14:textId="77777777" w:rsidR="00DC0226" w:rsidRPr="00310DF8" w:rsidRDefault="00DC0226" w:rsidP="00DC0226">
            <w:pPr>
              <w:pStyle w:val="BodyText"/>
              <w:spacing w:before="0" w:after="0"/>
              <w:jc w:val="both"/>
            </w:pPr>
            <w:r w:rsidRPr="00310DF8">
              <w:t>Trying to lose weight</w:t>
            </w:r>
          </w:p>
        </w:tc>
        <w:tc>
          <w:tcPr>
            <w:tcW w:w="0" w:type="auto"/>
            <w:shd w:val="clear" w:color="auto" w:fill="FFFFFF"/>
            <w:tcMar>
              <w:top w:w="0" w:type="dxa"/>
              <w:left w:w="75" w:type="dxa"/>
              <w:bottom w:w="0" w:type="dxa"/>
              <w:right w:w="75" w:type="dxa"/>
            </w:tcMar>
            <w:vAlign w:val="center"/>
            <w:hideMark/>
          </w:tcPr>
          <w:p w14:paraId="7215384C" w14:textId="77777777" w:rsidR="00DC0226" w:rsidRPr="00310DF8" w:rsidRDefault="00DC0226" w:rsidP="00DC0226">
            <w:pPr>
              <w:pStyle w:val="BodyText"/>
              <w:spacing w:before="0" w:after="0"/>
              <w:jc w:val="both"/>
            </w:pPr>
            <w:r w:rsidRPr="00310DF8">
              <w:t>40.2</w:t>
            </w:r>
          </w:p>
        </w:tc>
        <w:tc>
          <w:tcPr>
            <w:tcW w:w="0" w:type="auto"/>
            <w:shd w:val="clear" w:color="auto" w:fill="FFFFFF"/>
            <w:tcMar>
              <w:top w:w="0" w:type="dxa"/>
              <w:left w:w="75" w:type="dxa"/>
              <w:bottom w:w="0" w:type="dxa"/>
              <w:right w:w="75" w:type="dxa"/>
            </w:tcMar>
            <w:vAlign w:val="center"/>
            <w:hideMark/>
          </w:tcPr>
          <w:p w14:paraId="331DC195" w14:textId="77777777" w:rsidR="00DC0226" w:rsidRPr="00310DF8" w:rsidRDefault="00DC0226" w:rsidP="00DC0226">
            <w:pPr>
              <w:pStyle w:val="BodyText"/>
              <w:spacing w:before="0" w:after="0"/>
              <w:jc w:val="both"/>
            </w:pPr>
            <w:r w:rsidRPr="00310DF8">
              <w:t>51.2***</w:t>
            </w:r>
          </w:p>
        </w:tc>
      </w:tr>
      <w:tr w:rsidR="00DC0226" w:rsidRPr="00310DF8" w14:paraId="43F1B45D" w14:textId="77777777" w:rsidTr="009642E5">
        <w:trPr>
          <w:cantSplit/>
        </w:trPr>
        <w:tc>
          <w:tcPr>
            <w:tcW w:w="0" w:type="auto"/>
            <w:shd w:val="clear" w:color="auto" w:fill="FFFFFF"/>
            <w:tcMar>
              <w:top w:w="0" w:type="dxa"/>
              <w:left w:w="480" w:type="dxa"/>
              <w:bottom w:w="0" w:type="dxa"/>
              <w:right w:w="75" w:type="dxa"/>
            </w:tcMar>
            <w:vAlign w:val="center"/>
            <w:hideMark/>
          </w:tcPr>
          <w:p w14:paraId="47336CC4" w14:textId="77777777" w:rsidR="00DC0226" w:rsidRPr="00310DF8" w:rsidRDefault="00DC0226" w:rsidP="00DC0226">
            <w:pPr>
              <w:pStyle w:val="BodyText"/>
              <w:spacing w:before="0" w:after="0"/>
              <w:jc w:val="both"/>
            </w:pPr>
            <w:r w:rsidRPr="00310DF8">
              <w:t>Experiences homophobia at least sometimes</w:t>
            </w:r>
          </w:p>
        </w:tc>
        <w:tc>
          <w:tcPr>
            <w:tcW w:w="0" w:type="auto"/>
            <w:shd w:val="clear" w:color="auto" w:fill="FFFFFF"/>
            <w:tcMar>
              <w:top w:w="0" w:type="dxa"/>
              <w:left w:w="75" w:type="dxa"/>
              <w:bottom w:w="0" w:type="dxa"/>
              <w:right w:w="75" w:type="dxa"/>
            </w:tcMar>
            <w:vAlign w:val="center"/>
            <w:hideMark/>
          </w:tcPr>
          <w:p w14:paraId="1AE08647" w14:textId="77777777" w:rsidR="00DC0226" w:rsidRPr="00310DF8" w:rsidRDefault="00DC0226" w:rsidP="00DC0226">
            <w:pPr>
              <w:pStyle w:val="BodyText"/>
              <w:spacing w:before="0" w:after="0"/>
              <w:jc w:val="both"/>
            </w:pPr>
            <w:r w:rsidRPr="00310DF8">
              <w:t>2.8</w:t>
            </w:r>
          </w:p>
        </w:tc>
        <w:tc>
          <w:tcPr>
            <w:tcW w:w="0" w:type="auto"/>
            <w:shd w:val="clear" w:color="auto" w:fill="FFFFFF"/>
            <w:tcMar>
              <w:top w:w="0" w:type="dxa"/>
              <w:left w:w="75" w:type="dxa"/>
              <w:bottom w:w="0" w:type="dxa"/>
              <w:right w:w="75" w:type="dxa"/>
            </w:tcMar>
            <w:vAlign w:val="center"/>
            <w:hideMark/>
          </w:tcPr>
          <w:p w14:paraId="328C1AED" w14:textId="77777777" w:rsidR="00DC0226" w:rsidRPr="00310DF8" w:rsidRDefault="00DC0226" w:rsidP="00DC0226">
            <w:pPr>
              <w:pStyle w:val="BodyText"/>
              <w:spacing w:before="0" w:after="0"/>
              <w:jc w:val="both"/>
            </w:pPr>
            <w:r w:rsidRPr="00310DF8">
              <w:t>40***</w:t>
            </w:r>
          </w:p>
        </w:tc>
      </w:tr>
      <w:tr w:rsidR="00DC0226" w:rsidRPr="00310DF8" w14:paraId="040CC88D" w14:textId="77777777" w:rsidTr="009642E5">
        <w:trPr>
          <w:cantSplit/>
        </w:trPr>
        <w:tc>
          <w:tcPr>
            <w:tcW w:w="0" w:type="auto"/>
            <w:gridSpan w:val="3"/>
            <w:tcBorders>
              <w:bottom w:val="nil"/>
            </w:tcBorders>
            <w:shd w:val="clear" w:color="auto" w:fill="FFFFFF"/>
            <w:tcMar>
              <w:top w:w="0" w:type="dxa"/>
              <w:left w:w="75" w:type="dxa"/>
              <w:bottom w:w="0" w:type="dxa"/>
              <w:right w:w="75" w:type="dxa"/>
            </w:tcMar>
            <w:vAlign w:val="center"/>
            <w:hideMark/>
          </w:tcPr>
          <w:p w14:paraId="2AA12B74" w14:textId="77777777" w:rsidR="00DC0226" w:rsidRPr="00310DF8" w:rsidRDefault="00DC0226" w:rsidP="00DC0226">
            <w:pPr>
              <w:pStyle w:val="BodyText"/>
              <w:spacing w:before="0" w:after="0"/>
              <w:jc w:val="both"/>
            </w:pPr>
            <w:r w:rsidRPr="00310DF8">
              <w:rPr>
                <w:b/>
                <w:bCs/>
              </w:rPr>
              <w:t>Sexual Health</w:t>
            </w:r>
          </w:p>
        </w:tc>
      </w:tr>
      <w:tr w:rsidR="00DC0226" w:rsidRPr="00310DF8" w14:paraId="2141FDB7" w14:textId="77777777" w:rsidTr="009642E5">
        <w:trPr>
          <w:cantSplit/>
        </w:trPr>
        <w:tc>
          <w:tcPr>
            <w:tcW w:w="0" w:type="auto"/>
            <w:tcBorders>
              <w:top w:val="single" w:sz="4" w:space="0" w:color="auto"/>
            </w:tcBorders>
            <w:shd w:val="clear" w:color="auto" w:fill="FFFFFF"/>
            <w:tcMar>
              <w:top w:w="0" w:type="dxa"/>
              <w:left w:w="480" w:type="dxa"/>
              <w:bottom w:w="0" w:type="dxa"/>
              <w:right w:w="75" w:type="dxa"/>
            </w:tcMar>
            <w:vAlign w:val="center"/>
            <w:hideMark/>
          </w:tcPr>
          <w:p w14:paraId="797680AB" w14:textId="77777777" w:rsidR="00DC0226" w:rsidRPr="00310DF8" w:rsidRDefault="00DC0226" w:rsidP="00DC0226">
            <w:pPr>
              <w:pStyle w:val="BodyText"/>
              <w:spacing w:before="0" w:after="0"/>
              <w:jc w:val="both"/>
            </w:pPr>
            <w:r w:rsidRPr="00310DF8">
              <w:t>Received sex education in school</w:t>
            </w:r>
          </w:p>
        </w:tc>
        <w:tc>
          <w:tcPr>
            <w:tcW w:w="0" w:type="auto"/>
            <w:tcBorders>
              <w:top w:val="single" w:sz="4" w:space="0" w:color="auto"/>
            </w:tcBorders>
            <w:shd w:val="clear" w:color="auto" w:fill="FFFFFF"/>
            <w:tcMar>
              <w:top w:w="0" w:type="dxa"/>
              <w:left w:w="75" w:type="dxa"/>
              <w:bottom w:w="0" w:type="dxa"/>
              <w:right w:w="75" w:type="dxa"/>
            </w:tcMar>
            <w:vAlign w:val="center"/>
            <w:hideMark/>
          </w:tcPr>
          <w:p w14:paraId="523309D8" w14:textId="77777777" w:rsidR="00DC0226" w:rsidRPr="00310DF8" w:rsidRDefault="00DC0226" w:rsidP="00DC0226">
            <w:pPr>
              <w:pStyle w:val="BodyText"/>
              <w:spacing w:before="0" w:after="0"/>
              <w:jc w:val="both"/>
            </w:pPr>
            <w:r w:rsidRPr="00310DF8">
              <w:t>71.6</w:t>
            </w:r>
          </w:p>
        </w:tc>
        <w:tc>
          <w:tcPr>
            <w:tcW w:w="0" w:type="auto"/>
            <w:tcBorders>
              <w:top w:val="single" w:sz="4" w:space="0" w:color="auto"/>
            </w:tcBorders>
            <w:shd w:val="clear" w:color="auto" w:fill="FFFFFF"/>
            <w:tcMar>
              <w:top w:w="0" w:type="dxa"/>
              <w:left w:w="75" w:type="dxa"/>
              <w:bottom w:w="0" w:type="dxa"/>
              <w:right w:w="75" w:type="dxa"/>
            </w:tcMar>
            <w:vAlign w:val="center"/>
            <w:hideMark/>
          </w:tcPr>
          <w:p w14:paraId="0B0D88B3" w14:textId="77777777" w:rsidR="00DC0226" w:rsidRPr="00310DF8" w:rsidRDefault="00DC0226" w:rsidP="00DC0226">
            <w:pPr>
              <w:pStyle w:val="BodyText"/>
              <w:spacing w:before="0" w:after="0"/>
              <w:jc w:val="both"/>
            </w:pPr>
            <w:r w:rsidRPr="00310DF8">
              <w:t>72</w:t>
            </w:r>
          </w:p>
        </w:tc>
      </w:tr>
      <w:tr w:rsidR="00DC0226" w:rsidRPr="00310DF8" w14:paraId="3848B4EC" w14:textId="77777777" w:rsidTr="009642E5">
        <w:trPr>
          <w:cantSplit/>
        </w:trPr>
        <w:tc>
          <w:tcPr>
            <w:tcW w:w="0" w:type="auto"/>
            <w:shd w:val="clear" w:color="auto" w:fill="FFFFFF"/>
            <w:tcMar>
              <w:top w:w="0" w:type="dxa"/>
              <w:left w:w="480" w:type="dxa"/>
              <w:bottom w:w="0" w:type="dxa"/>
              <w:right w:w="75" w:type="dxa"/>
            </w:tcMar>
            <w:vAlign w:val="center"/>
            <w:hideMark/>
          </w:tcPr>
          <w:p w14:paraId="7BAF2247" w14:textId="77777777" w:rsidR="00DC0226" w:rsidRPr="00310DF8" w:rsidRDefault="00DC0226" w:rsidP="00DC0226">
            <w:pPr>
              <w:pStyle w:val="BodyText"/>
              <w:spacing w:before="0" w:after="0"/>
              <w:jc w:val="both"/>
            </w:pPr>
            <w:r w:rsidRPr="00310DF8">
              <w:t>Used a condom last time having sexual intercourse</w:t>
            </w:r>
          </w:p>
        </w:tc>
        <w:tc>
          <w:tcPr>
            <w:tcW w:w="0" w:type="auto"/>
            <w:shd w:val="clear" w:color="auto" w:fill="FFFFFF"/>
            <w:tcMar>
              <w:top w:w="0" w:type="dxa"/>
              <w:left w:w="75" w:type="dxa"/>
              <w:bottom w:w="0" w:type="dxa"/>
              <w:right w:w="75" w:type="dxa"/>
            </w:tcMar>
            <w:vAlign w:val="center"/>
            <w:hideMark/>
          </w:tcPr>
          <w:p w14:paraId="08C304F8" w14:textId="77777777" w:rsidR="00DC0226" w:rsidRPr="00310DF8" w:rsidRDefault="00DC0226" w:rsidP="00DC0226">
            <w:pPr>
              <w:pStyle w:val="BodyText"/>
              <w:spacing w:before="0" w:after="0"/>
              <w:jc w:val="both"/>
            </w:pPr>
            <w:r w:rsidRPr="00310DF8">
              <w:t>56.3</w:t>
            </w:r>
          </w:p>
        </w:tc>
        <w:tc>
          <w:tcPr>
            <w:tcW w:w="0" w:type="auto"/>
            <w:shd w:val="clear" w:color="auto" w:fill="FFFFFF"/>
            <w:tcMar>
              <w:top w:w="0" w:type="dxa"/>
              <w:left w:w="75" w:type="dxa"/>
              <w:bottom w:w="0" w:type="dxa"/>
              <w:right w:w="75" w:type="dxa"/>
            </w:tcMar>
            <w:vAlign w:val="center"/>
            <w:hideMark/>
          </w:tcPr>
          <w:p w14:paraId="3CA24548" w14:textId="77777777" w:rsidR="00DC0226" w:rsidRPr="00310DF8" w:rsidRDefault="00DC0226" w:rsidP="00DC0226">
            <w:pPr>
              <w:pStyle w:val="BodyText"/>
              <w:spacing w:before="0" w:after="0"/>
              <w:jc w:val="both"/>
            </w:pPr>
            <w:r w:rsidRPr="00310DF8">
              <w:t>45.6*</w:t>
            </w:r>
          </w:p>
        </w:tc>
      </w:tr>
      <w:tr w:rsidR="00DC0226" w:rsidRPr="00310DF8" w14:paraId="4B858233" w14:textId="77777777" w:rsidTr="009642E5">
        <w:trPr>
          <w:cantSplit/>
        </w:trPr>
        <w:tc>
          <w:tcPr>
            <w:tcW w:w="0" w:type="auto"/>
            <w:gridSpan w:val="3"/>
            <w:tcBorders>
              <w:bottom w:val="nil"/>
            </w:tcBorders>
            <w:shd w:val="clear" w:color="auto" w:fill="FFFFFF"/>
            <w:tcMar>
              <w:top w:w="0" w:type="dxa"/>
              <w:left w:w="75" w:type="dxa"/>
              <w:bottom w:w="0" w:type="dxa"/>
              <w:right w:w="75" w:type="dxa"/>
            </w:tcMar>
            <w:vAlign w:val="center"/>
            <w:hideMark/>
          </w:tcPr>
          <w:p w14:paraId="58518C70" w14:textId="77777777" w:rsidR="00DC0226" w:rsidRPr="00310DF8" w:rsidRDefault="00DC0226" w:rsidP="00DC0226">
            <w:pPr>
              <w:pStyle w:val="BodyText"/>
              <w:spacing w:before="0" w:after="0"/>
              <w:jc w:val="both"/>
            </w:pPr>
            <w:r w:rsidRPr="00310DF8">
              <w:rPr>
                <w:b/>
                <w:bCs/>
              </w:rPr>
              <w:t>Drug and Alcohol Use</w:t>
            </w:r>
          </w:p>
        </w:tc>
      </w:tr>
      <w:tr w:rsidR="00DC0226" w:rsidRPr="00310DF8" w14:paraId="7F6224FD" w14:textId="77777777" w:rsidTr="009642E5">
        <w:trPr>
          <w:cantSplit/>
        </w:trPr>
        <w:tc>
          <w:tcPr>
            <w:tcW w:w="0" w:type="auto"/>
            <w:tcBorders>
              <w:top w:val="single" w:sz="4" w:space="0" w:color="auto"/>
            </w:tcBorders>
            <w:shd w:val="clear" w:color="auto" w:fill="FFFFFF"/>
            <w:tcMar>
              <w:top w:w="0" w:type="dxa"/>
              <w:left w:w="480" w:type="dxa"/>
              <w:bottom w:w="0" w:type="dxa"/>
              <w:right w:w="75" w:type="dxa"/>
            </w:tcMar>
            <w:vAlign w:val="center"/>
            <w:hideMark/>
          </w:tcPr>
          <w:p w14:paraId="5BE0AC60" w14:textId="77777777" w:rsidR="00DC0226" w:rsidRPr="00310DF8" w:rsidRDefault="00DC0226" w:rsidP="00DC0226">
            <w:pPr>
              <w:pStyle w:val="BodyText"/>
              <w:spacing w:before="0" w:after="0"/>
              <w:jc w:val="both"/>
            </w:pPr>
            <w:r w:rsidRPr="00310DF8">
              <w:lastRenderedPageBreak/>
              <w:t>Smoked cigarettes or vaped nicotine (last 30 days)</w:t>
            </w:r>
          </w:p>
        </w:tc>
        <w:tc>
          <w:tcPr>
            <w:tcW w:w="0" w:type="auto"/>
            <w:tcBorders>
              <w:top w:val="single" w:sz="4" w:space="0" w:color="auto"/>
            </w:tcBorders>
            <w:shd w:val="clear" w:color="auto" w:fill="FFFFFF"/>
            <w:tcMar>
              <w:top w:w="0" w:type="dxa"/>
              <w:left w:w="75" w:type="dxa"/>
              <w:bottom w:w="0" w:type="dxa"/>
              <w:right w:w="75" w:type="dxa"/>
            </w:tcMar>
            <w:vAlign w:val="center"/>
            <w:hideMark/>
          </w:tcPr>
          <w:p w14:paraId="5541D483" w14:textId="77777777" w:rsidR="00DC0226" w:rsidRPr="00310DF8" w:rsidRDefault="00DC0226" w:rsidP="00DC0226">
            <w:pPr>
              <w:pStyle w:val="BodyText"/>
              <w:spacing w:before="0" w:after="0"/>
              <w:jc w:val="both"/>
            </w:pPr>
            <w:r w:rsidRPr="00310DF8">
              <w:t>16.7</w:t>
            </w:r>
          </w:p>
        </w:tc>
        <w:tc>
          <w:tcPr>
            <w:tcW w:w="0" w:type="auto"/>
            <w:tcBorders>
              <w:top w:val="single" w:sz="4" w:space="0" w:color="auto"/>
            </w:tcBorders>
            <w:shd w:val="clear" w:color="auto" w:fill="FFFFFF"/>
            <w:tcMar>
              <w:top w:w="0" w:type="dxa"/>
              <w:left w:w="75" w:type="dxa"/>
              <w:bottom w:w="0" w:type="dxa"/>
              <w:right w:w="75" w:type="dxa"/>
            </w:tcMar>
            <w:vAlign w:val="center"/>
            <w:hideMark/>
          </w:tcPr>
          <w:p w14:paraId="5982862C" w14:textId="77777777" w:rsidR="00DC0226" w:rsidRPr="00310DF8" w:rsidRDefault="00DC0226" w:rsidP="00DC0226">
            <w:pPr>
              <w:pStyle w:val="BodyText"/>
              <w:spacing w:before="0" w:after="0"/>
              <w:jc w:val="both"/>
            </w:pPr>
            <w:r w:rsidRPr="00310DF8">
              <w:t>25.2***</w:t>
            </w:r>
          </w:p>
        </w:tc>
      </w:tr>
      <w:tr w:rsidR="00DC0226" w:rsidRPr="00310DF8" w14:paraId="7DC1852E" w14:textId="77777777" w:rsidTr="009642E5">
        <w:trPr>
          <w:cantSplit/>
        </w:trPr>
        <w:tc>
          <w:tcPr>
            <w:tcW w:w="0" w:type="auto"/>
            <w:shd w:val="clear" w:color="auto" w:fill="FFFFFF"/>
            <w:tcMar>
              <w:top w:w="0" w:type="dxa"/>
              <w:left w:w="480" w:type="dxa"/>
              <w:bottom w:w="0" w:type="dxa"/>
              <w:right w:w="75" w:type="dxa"/>
            </w:tcMar>
            <w:vAlign w:val="center"/>
            <w:hideMark/>
          </w:tcPr>
          <w:p w14:paraId="73320A66" w14:textId="77777777" w:rsidR="00DC0226" w:rsidRPr="00310DF8" w:rsidRDefault="00DC0226" w:rsidP="00DC0226">
            <w:pPr>
              <w:pStyle w:val="BodyText"/>
              <w:spacing w:before="0" w:after="0"/>
              <w:jc w:val="both"/>
            </w:pPr>
            <w:r w:rsidRPr="00310DF8">
              <w:t>Used marijuana (last 30 days)</w:t>
            </w:r>
          </w:p>
        </w:tc>
        <w:tc>
          <w:tcPr>
            <w:tcW w:w="0" w:type="auto"/>
            <w:shd w:val="clear" w:color="auto" w:fill="FFFFFF"/>
            <w:tcMar>
              <w:top w:w="0" w:type="dxa"/>
              <w:left w:w="75" w:type="dxa"/>
              <w:bottom w:w="0" w:type="dxa"/>
              <w:right w:w="75" w:type="dxa"/>
            </w:tcMar>
            <w:vAlign w:val="center"/>
            <w:hideMark/>
          </w:tcPr>
          <w:p w14:paraId="61C5DB12" w14:textId="77777777" w:rsidR="00DC0226" w:rsidRPr="00310DF8" w:rsidRDefault="00DC0226" w:rsidP="00DC0226">
            <w:pPr>
              <w:pStyle w:val="BodyText"/>
              <w:spacing w:before="0" w:after="0"/>
              <w:jc w:val="both"/>
            </w:pPr>
            <w:r w:rsidRPr="00310DF8">
              <w:t>14.6</w:t>
            </w:r>
          </w:p>
        </w:tc>
        <w:tc>
          <w:tcPr>
            <w:tcW w:w="0" w:type="auto"/>
            <w:shd w:val="clear" w:color="auto" w:fill="FFFFFF"/>
            <w:tcMar>
              <w:top w:w="0" w:type="dxa"/>
              <w:left w:w="75" w:type="dxa"/>
              <w:bottom w:w="0" w:type="dxa"/>
              <w:right w:w="75" w:type="dxa"/>
            </w:tcMar>
            <w:vAlign w:val="center"/>
            <w:hideMark/>
          </w:tcPr>
          <w:p w14:paraId="7E7230A7" w14:textId="77777777" w:rsidR="00DC0226" w:rsidRPr="00310DF8" w:rsidRDefault="00DC0226" w:rsidP="00DC0226">
            <w:pPr>
              <w:pStyle w:val="BodyText"/>
              <w:spacing w:before="0" w:after="0"/>
              <w:jc w:val="both"/>
            </w:pPr>
            <w:r w:rsidRPr="00310DF8">
              <w:t>26.2***</w:t>
            </w:r>
          </w:p>
        </w:tc>
      </w:tr>
      <w:tr w:rsidR="00DC0226" w:rsidRPr="00310DF8" w14:paraId="3C59CD88" w14:textId="77777777" w:rsidTr="009642E5">
        <w:trPr>
          <w:cantSplit/>
        </w:trPr>
        <w:tc>
          <w:tcPr>
            <w:tcW w:w="0" w:type="auto"/>
            <w:shd w:val="clear" w:color="auto" w:fill="FFFFFF"/>
            <w:tcMar>
              <w:top w:w="0" w:type="dxa"/>
              <w:left w:w="480" w:type="dxa"/>
              <w:bottom w:w="0" w:type="dxa"/>
              <w:right w:w="75" w:type="dxa"/>
            </w:tcMar>
            <w:vAlign w:val="center"/>
            <w:hideMark/>
          </w:tcPr>
          <w:p w14:paraId="041F2223" w14:textId="77777777" w:rsidR="00DC0226" w:rsidRPr="00310DF8" w:rsidRDefault="00DC0226" w:rsidP="00DC0226">
            <w:pPr>
              <w:pStyle w:val="BodyText"/>
              <w:spacing w:before="0" w:after="0"/>
              <w:jc w:val="both"/>
            </w:pPr>
            <w:r w:rsidRPr="00310DF8">
              <w:t>Drank alcohol (last 30 days)</w:t>
            </w:r>
          </w:p>
        </w:tc>
        <w:tc>
          <w:tcPr>
            <w:tcW w:w="0" w:type="auto"/>
            <w:shd w:val="clear" w:color="auto" w:fill="FFFFFF"/>
            <w:tcMar>
              <w:top w:w="0" w:type="dxa"/>
              <w:left w:w="75" w:type="dxa"/>
              <w:bottom w:w="0" w:type="dxa"/>
              <w:right w:w="75" w:type="dxa"/>
            </w:tcMar>
            <w:vAlign w:val="center"/>
            <w:hideMark/>
          </w:tcPr>
          <w:p w14:paraId="396D45E6" w14:textId="77777777" w:rsidR="00DC0226" w:rsidRPr="00310DF8" w:rsidRDefault="00DC0226" w:rsidP="00DC0226">
            <w:pPr>
              <w:pStyle w:val="BodyText"/>
              <w:spacing w:before="0" w:after="0"/>
              <w:jc w:val="both"/>
            </w:pPr>
            <w:r w:rsidRPr="00310DF8">
              <w:t>19.3</w:t>
            </w:r>
          </w:p>
        </w:tc>
        <w:tc>
          <w:tcPr>
            <w:tcW w:w="0" w:type="auto"/>
            <w:shd w:val="clear" w:color="auto" w:fill="FFFFFF"/>
            <w:tcMar>
              <w:top w:w="0" w:type="dxa"/>
              <w:left w:w="75" w:type="dxa"/>
              <w:bottom w:w="0" w:type="dxa"/>
              <w:right w:w="75" w:type="dxa"/>
            </w:tcMar>
            <w:vAlign w:val="center"/>
            <w:hideMark/>
          </w:tcPr>
          <w:p w14:paraId="301F5056" w14:textId="77777777" w:rsidR="00DC0226" w:rsidRPr="00310DF8" w:rsidRDefault="00DC0226" w:rsidP="00DC0226">
            <w:pPr>
              <w:pStyle w:val="BodyText"/>
              <w:spacing w:before="0" w:after="0"/>
              <w:jc w:val="both"/>
            </w:pPr>
            <w:r w:rsidRPr="00310DF8">
              <w:t>22</w:t>
            </w:r>
          </w:p>
        </w:tc>
      </w:tr>
      <w:tr w:rsidR="00DC0226" w:rsidRPr="00310DF8" w14:paraId="540D3C0E" w14:textId="77777777" w:rsidTr="009642E5">
        <w:trPr>
          <w:cantSplit/>
        </w:trPr>
        <w:tc>
          <w:tcPr>
            <w:tcW w:w="0" w:type="auto"/>
            <w:tcBorders>
              <w:top w:val="single" w:sz="12" w:space="0" w:color="111111"/>
              <w:left w:val="nil"/>
              <w:bottom w:val="nil"/>
              <w:right w:val="nil"/>
            </w:tcBorders>
            <w:shd w:val="clear" w:color="auto" w:fill="FFFFFF"/>
            <w:tcMar>
              <w:top w:w="0" w:type="dxa"/>
              <w:left w:w="0" w:type="dxa"/>
              <w:bottom w:w="0" w:type="dxa"/>
              <w:right w:w="0" w:type="dxa"/>
            </w:tcMar>
            <w:vAlign w:val="center"/>
            <w:hideMark/>
          </w:tcPr>
          <w:p w14:paraId="5C2EAF86" w14:textId="77777777" w:rsidR="00DC0226" w:rsidRPr="00310DF8" w:rsidRDefault="00DC0226" w:rsidP="00DC0226">
            <w:pPr>
              <w:pStyle w:val="BodyText"/>
              <w:spacing w:before="0" w:after="0"/>
              <w:jc w:val="both"/>
            </w:pPr>
            <w:r w:rsidRPr="00310DF8">
              <w:rPr>
                <w:i/>
                <w:iCs/>
              </w:rPr>
              <w:t>Note:</w:t>
            </w:r>
            <w:r>
              <w:rPr>
                <w:i/>
                <w:iCs/>
              </w:rPr>
              <w:t xml:space="preserve"> </w:t>
            </w:r>
            <w:r w:rsidRPr="00310DF8">
              <w:t>*** p&lt;0.001; ** p&lt;0.01; * p&lt;0.05</w:t>
            </w:r>
          </w:p>
        </w:tc>
        <w:tc>
          <w:tcPr>
            <w:tcW w:w="0" w:type="auto"/>
            <w:shd w:val="clear" w:color="auto" w:fill="FFFFFF"/>
            <w:vAlign w:val="center"/>
            <w:hideMark/>
          </w:tcPr>
          <w:p w14:paraId="06108EB6" w14:textId="77777777" w:rsidR="00DC0226" w:rsidRPr="00310DF8" w:rsidRDefault="00DC0226" w:rsidP="00DC0226">
            <w:pPr>
              <w:pStyle w:val="BodyText"/>
              <w:spacing w:before="0" w:after="0"/>
              <w:jc w:val="both"/>
            </w:pPr>
          </w:p>
        </w:tc>
        <w:tc>
          <w:tcPr>
            <w:tcW w:w="0" w:type="auto"/>
            <w:shd w:val="clear" w:color="auto" w:fill="FFFFFF"/>
            <w:vAlign w:val="center"/>
            <w:hideMark/>
          </w:tcPr>
          <w:p w14:paraId="443F863A" w14:textId="77777777" w:rsidR="00DC0226" w:rsidRPr="00310DF8" w:rsidRDefault="00DC0226" w:rsidP="00DC0226">
            <w:pPr>
              <w:pStyle w:val="BodyText"/>
              <w:spacing w:before="0" w:after="0"/>
              <w:jc w:val="both"/>
            </w:pPr>
          </w:p>
        </w:tc>
      </w:tr>
      <w:tr w:rsidR="00DC0226" w:rsidRPr="00310DF8" w14:paraId="1108D96C" w14:textId="77777777" w:rsidTr="009642E5">
        <w:trPr>
          <w:cantSplit/>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14:paraId="1AC5CEE3" w14:textId="77777777" w:rsidR="00DC0226" w:rsidRPr="00310DF8" w:rsidRDefault="00DC0226" w:rsidP="00DC0226">
            <w:pPr>
              <w:pStyle w:val="BodyText"/>
              <w:spacing w:before="0" w:after="0"/>
              <w:jc w:val="both"/>
            </w:pPr>
          </w:p>
        </w:tc>
        <w:tc>
          <w:tcPr>
            <w:tcW w:w="0" w:type="auto"/>
            <w:shd w:val="clear" w:color="auto" w:fill="FFFFFF"/>
            <w:vAlign w:val="center"/>
            <w:hideMark/>
          </w:tcPr>
          <w:p w14:paraId="319EA039" w14:textId="77777777" w:rsidR="00DC0226" w:rsidRPr="00310DF8" w:rsidRDefault="00DC0226" w:rsidP="00DC0226">
            <w:pPr>
              <w:pStyle w:val="BodyText"/>
              <w:spacing w:before="0" w:after="0"/>
              <w:jc w:val="both"/>
            </w:pPr>
          </w:p>
        </w:tc>
        <w:tc>
          <w:tcPr>
            <w:tcW w:w="0" w:type="auto"/>
            <w:shd w:val="clear" w:color="auto" w:fill="FFFFFF"/>
            <w:vAlign w:val="center"/>
            <w:hideMark/>
          </w:tcPr>
          <w:p w14:paraId="2D7588AB" w14:textId="77777777" w:rsidR="00DC0226" w:rsidRPr="00310DF8" w:rsidRDefault="00DC0226" w:rsidP="00DC0226">
            <w:pPr>
              <w:pStyle w:val="BodyText"/>
              <w:spacing w:before="0" w:after="0"/>
              <w:jc w:val="both"/>
            </w:pPr>
          </w:p>
        </w:tc>
      </w:tr>
    </w:tbl>
    <w:p w14:paraId="69A81E4A" w14:textId="77777777" w:rsidR="00DC0226" w:rsidRDefault="00DC0226" w:rsidP="00DC0226">
      <w:pPr>
        <w:pStyle w:val="BodyText"/>
        <w:jc w:val="both"/>
      </w:pPr>
      <w:r>
        <w:t>LGBTQ youth were more likely to report smoking cigarettes or vaping in the last 30 days (25.2% versus 16.7%) and more likely to use marijuana in the last 30 days (26.2% versus 14.6%) compared to cis-het youth. LGBTQ and cis-het youth report drinking alcohol at similar rates (around 20%).</w:t>
      </w:r>
    </w:p>
    <w:p w14:paraId="719EDA77" w14:textId="77777777" w:rsidR="00DC0226" w:rsidRDefault="00DC0226" w:rsidP="00DC0226">
      <w:pPr>
        <w:pStyle w:val="BodyText"/>
        <w:jc w:val="both"/>
      </w:pPr>
      <w:r>
        <w:t>Table 4 compares multiple dimensions of health between transgender and cisgender youth, including the same physical, mental, and sexual health and drug and alcohol use behaviors as Table 3. Compared with cisgender youth, transgender youth were not statistically significantly more likely to never eat breakfast (21.9% versus 16%) nor less likely to get 8 or more hours of sleep (17.3% versus 22.8%). However, transgender use were much less likely to be physically active at least 60 minutes per day on 5 or more days (26.5% versus 46.9%).</w:t>
      </w:r>
    </w:p>
    <w:p w14:paraId="2AD967AA" w14:textId="25C08B21" w:rsidR="00DC0226" w:rsidRDefault="00DC0226" w:rsidP="00DC0226">
      <w:pPr>
        <w:pStyle w:val="BodyText"/>
        <w:jc w:val="both"/>
      </w:pPr>
      <w:r>
        <w:t>Transgender youth and cisgender youth reported similar rates of daily social media use, with around 75.7% of transgender youth and 81.1% of cisgender youth using social media at least several times a day. Transgender youth were more likely than cisgender youth to report trying to lose weight (55.4% versus 41.8%). 54.3% of LGBTQ youth report experiencing homophobia at least sometimes.</w:t>
      </w:r>
    </w:p>
    <w:tbl>
      <w:tblPr>
        <w:tblW w:w="9510" w:type="dxa"/>
        <w:tblBorders>
          <w:top w:val="single" w:sz="12" w:space="0" w:color="111111"/>
        </w:tblBorders>
        <w:shd w:val="clear" w:color="auto" w:fill="FFFFFF"/>
        <w:tblCellMar>
          <w:top w:w="15" w:type="dxa"/>
          <w:left w:w="15" w:type="dxa"/>
          <w:bottom w:w="15" w:type="dxa"/>
          <w:right w:w="15" w:type="dxa"/>
        </w:tblCellMar>
        <w:tblLook w:val="04A0" w:firstRow="1" w:lastRow="0" w:firstColumn="1" w:lastColumn="0" w:noHBand="0" w:noVBand="1"/>
      </w:tblPr>
      <w:tblGrid>
        <w:gridCol w:w="5637"/>
        <w:gridCol w:w="1802"/>
        <w:gridCol w:w="2071"/>
      </w:tblGrid>
      <w:tr w:rsidR="00DC0226" w:rsidRPr="00407DEF" w14:paraId="2272FB0E" w14:textId="77777777" w:rsidTr="009642E5">
        <w:trPr>
          <w:tblHeader/>
        </w:trPr>
        <w:tc>
          <w:tcPr>
            <w:tcW w:w="0" w:type="auto"/>
            <w:gridSpan w:val="3"/>
            <w:tcBorders>
              <w:top w:val="nil"/>
              <w:left w:val="nil"/>
              <w:bottom w:val="nil"/>
              <w:right w:val="nil"/>
            </w:tcBorders>
            <w:tcMar>
              <w:top w:w="0" w:type="dxa"/>
              <w:left w:w="75" w:type="dxa"/>
              <w:bottom w:w="0" w:type="dxa"/>
              <w:right w:w="75" w:type="dxa"/>
            </w:tcMar>
            <w:vAlign w:val="center"/>
            <w:hideMark/>
          </w:tcPr>
          <w:bookmarkEnd w:id="52"/>
          <w:bookmarkEnd w:id="60"/>
          <w:p w14:paraId="716A9F6D" w14:textId="77777777" w:rsidR="00DC0226" w:rsidRPr="00DC0226" w:rsidRDefault="00DC0226" w:rsidP="00DC0226">
            <w:pPr>
              <w:spacing w:after="0"/>
              <w:jc w:val="both"/>
              <w:rPr>
                <w:rStyle w:val="SubtleEmphasis"/>
              </w:rPr>
            </w:pPr>
            <w:r w:rsidRPr="00DC0226">
              <w:rPr>
                <w:rStyle w:val="SubtleEmphasis"/>
              </w:rPr>
              <w:t>Table 4. Health Measures for Youth for Cisgender and Transgender Youth (2023)</w:t>
            </w:r>
          </w:p>
        </w:tc>
      </w:tr>
      <w:tr w:rsidR="00DC0226" w:rsidRPr="00407DEF" w14:paraId="0690ABFB" w14:textId="77777777" w:rsidTr="009642E5">
        <w:trPr>
          <w:tblHeader/>
        </w:trPr>
        <w:tc>
          <w:tcPr>
            <w:tcW w:w="0" w:type="auto"/>
            <w:tcBorders>
              <w:bottom w:val="single" w:sz="12" w:space="0" w:color="111111"/>
            </w:tcBorders>
            <w:shd w:val="clear" w:color="auto" w:fill="FFFFFF"/>
            <w:tcMar>
              <w:top w:w="0" w:type="dxa"/>
              <w:left w:w="75" w:type="dxa"/>
              <w:bottom w:w="0" w:type="dxa"/>
              <w:right w:w="75" w:type="dxa"/>
            </w:tcMar>
            <w:vAlign w:val="center"/>
            <w:hideMark/>
          </w:tcPr>
          <w:p w14:paraId="301615A3" w14:textId="77777777" w:rsidR="00DC0226" w:rsidRPr="00407DEF" w:rsidRDefault="00DC0226" w:rsidP="00DC0226">
            <w:pPr>
              <w:spacing w:after="0"/>
              <w:jc w:val="both"/>
              <w:rPr>
                <w:b/>
                <w:bCs/>
                <w:iCs/>
              </w:rPr>
            </w:pPr>
            <w:r w:rsidRPr="00407DEF">
              <w:rPr>
                <w:b/>
                <w:bCs/>
                <w:iCs/>
              </w:rPr>
              <w:t>Health Measure</w:t>
            </w:r>
          </w:p>
        </w:tc>
        <w:tc>
          <w:tcPr>
            <w:tcW w:w="0" w:type="auto"/>
            <w:tcBorders>
              <w:bottom w:val="single" w:sz="12" w:space="0" w:color="111111"/>
            </w:tcBorders>
            <w:shd w:val="clear" w:color="auto" w:fill="FFFFFF"/>
            <w:tcMar>
              <w:top w:w="0" w:type="dxa"/>
              <w:left w:w="75" w:type="dxa"/>
              <w:bottom w:w="0" w:type="dxa"/>
              <w:right w:w="75" w:type="dxa"/>
            </w:tcMar>
            <w:vAlign w:val="bottom"/>
            <w:hideMark/>
          </w:tcPr>
          <w:p w14:paraId="5A48E7FA" w14:textId="77777777" w:rsidR="00DC0226" w:rsidRPr="00407DEF" w:rsidRDefault="00DC0226" w:rsidP="00DC0226">
            <w:pPr>
              <w:spacing w:after="0"/>
              <w:jc w:val="both"/>
              <w:rPr>
                <w:b/>
                <w:bCs/>
                <w:iCs/>
              </w:rPr>
            </w:pPr>
            <w:r w:rsidRPr="00407DEF">
              <w:rPr>
                <w:b/>
                <w:bCs/>
                <w:iCs/>
              </w:rPr>
              <w:t>Cisgender Youth</w:t>
            </w:r>
          </w:p>
        </w:tc>
        <w:tc>
          <w:tcPr>
            <w:tcW w:w="0" w:type="auto"/>
            <w:tcBorders>
              <w:bottom w:val="single" w:sz="12" w:space="0" w:color="111111"/>
            </w:tcBorders>
            <w:shd w:val="clear" w:color="auto" w:fill="FFFFFF"/>
            <w:tcMar>
              <w:top w:w="0" w:type="dxa"/>
              <w:left w:w="75" w:type="dxa"/>
              <w:bottom w:w="0" w:type="dxa"/>
              <w:right w:w="75" w:type="dxa"/>
            </w:tcMar>
            <w:vAlign w:val="bottom"/>
            <w:hideMark/>
          </w:tcPr>
          <w:p w14:paraId="39F852E3" w14:textId="77777777" w:rsidR="00DC0226" w:rsidRPr="00407DEF" w:rsidRDefault="00DC0226" w:rsidP="00DC0226">
            <w:pPr>
              <w:spacing w:after="0"/>
              <w:jc w:val="both"/>
              <w:rPr>
                <w:b/>
                <w:bCs/>
                <w:iCs/>
              </w:rPr>
            </w:pPr>
            <w:r w:rsidRPr="00407DEF">
              <w:rPr>
                <w:b/>
                <w:bCs/>
                <w:iCs/>
              </w:rPr>
              <w:t>Transgender Youth</w:t>
            </w:r>
          </w:p>
        </w:tc>
      </w:tr>
      <w:tr w:rsidR="00DC0226" w:rsidRPr="00407DEF" w14:paraId="7D568CC1" w14:textId="77777777" w:rsidTr="009642E5">
        <w:tc>
          <w:tcPr>
            <w:tcW w:w="0" w:type="auto"/>
            <w:gridSpan w:val="3"/>
            <w:tcBorders>
              <w:bottom w:val="nil"/>
            </w:tcBorders>
            <w:shd w:val="clear" w:color="auto" w:fill="FFFFFF"/>
            <w:tcMar>
              <w:top w:w="0" w:type="dxa"/>
              <w:left w:w="75" w:type="dxa"/>
              <w:bottom w:w="0" w:type="dxa"/>
              <w:right w:w="75" w:type="dxa"/>
            </w:tcMar>
            <w:vAlign w:val="center"/>
            <w:hideMark/>
          </w:tcPr>
          <w:p w14:paraId="772263AB" w14:textId="77777777" w:rsidR="00DC0226" w:rsidRPr="00407DEF" w:rsidRDefault="00DC0226" w:rsidP="00DC0226">
            <w:pPr>
              <w:spacing w:after="0"/>
              <w:jc w:val="both"/>
              <w:rPr>
                <w:iCs/>
              </w:rPr>
            </w:pPr>
            <w:r w:rsidRPr="00407DEF">
              <w:rPr>
                <w:b/>
                <w:bCs/>
                <w:iCs/>
              </w:rPr>
              <w:t>Physical Health</w:t>
            </w:r>
          </w:p>
        </w:tc>
      </w:tr>
      <w:tr w:rsidR="00DC0226" w:rsidRPr="00407DEF" w14:paraId="751389AC" w14:textId="77777777" w:rsidTr="009642E5">
        <w:tc>
          <w:tcPr>
            <w:tcW w:w="0" w:type="auto"/>
            <w:tcBorders>
              <w:top w:val="single" w:sz="4" w:space="0" w:color="auto"/>
            </w:tcBorders>
            <w:shd w:val="clear" w:color="auto" w:fill="FFFFFF"/>
            <w:tcMar>
              <w:top w:w="0" w:type="dxa"/>
              <w:left w:w="480" w:type="dxa"/>
              <w:bottom w:w="0" w:type="dxa"/>
              <w:right w:w="75" w:type="dxa"/>
            </w:tcMar>
            <w:vAlign w:val="center"/>
            <w:hideMark/>
          </w:tcPr>
          <w:p w14:paraId="7C62CF35" w14:textId="77777777" w:rsidR="00DC0226" w:rsidRPr="00407DEF" w:rsidRDefault="00DC0226" w:rsidP="00DC0226">
            <w:pPr>
              <w:spacing w:after="0"/>
              <w:jc w:val="both"/>
              <w:rPr>
                <w:iCs/>
              </w:rPr>
            </w:pPr>
            <w:r w:rsidRPr="00407DEF">
              <w:rPr>
                <w:iCs/>
              </w:rPr>
              <w:t>Never eats breakfast</w:t>
            </w:r>
          </w:p>
        </w:tc>
        <w:tc>
          <w:tcPr>
            <w:tcW w:w="0" w:type="auto"/>
            <w:tcBorders>
              <w:top w:val="single" w:sz="4" w:space="0" w:color="auto"/>
            </w:tcBorders>
            <w:shd w:val="clear" w:color="auto" w:fill="FFFFFF"/>
            <w:tcMar>
              <w:top w:w="0" w:type="dxa"/>
              <w:left w:w="75" w:type="dxa"/>
              <w:bottom w:w="0" w:type="dxa"/>
              <w:right w:w="75" w:type="dxa"/>
            </w:tcMar>
            <w:vAlign w:val="center"/>
            <w:hideMark/>
          </w:tcPr>
          <w:p w14:paraId="75B41146" w14:textId="77777777" w:rsidR="00DC0226" w:rsidRPr="00407DEF" w:rsidRDefault="00DC0226" w:rsidP="00DC0226">
            <w:pPr>
              <w:spacing w:after="0"/>
              <w:jc w:val="both"/>
              <w:rPr>
                <w:iCs/>
              </w:rPr>
            </w:pPr>
            <w:r w:rsidRPr="00407DEF">
              <w:rPr>
                <w:iCs/>
              </w:rPr>
              <w:t>16.0</w:t>
            </w:r>
          </w:p>
        </w:tc>
        <w:tc>
          <w:tcPr>
            <w:tcW w:w="0" w:type="auto"/>
            <w:tcBorders>
              <w:top w:val="single" w:sz="4" w:space="0" w:color="auto"/>
            </w:tcBorders>
            <w:shd w:val="clear" w:color="auto" w:fill="FFFFFF"/>
            <w:tcMar>
              <w:top w:w="0" w:type="dxa"/>
              <w:left w:w="75" w:type="dxa"/>
              <w:bottom w:w="0" w:type="dxa"/>
              <w:right w:w="75" w:type="dxa"/>
            </w:tcMar>
            <w:vAlign w:val="center"/>
            <w:hideMark/>
          </w:tcPr>
          <w:p w14:paraId="18078F5C" w14:textId="77777777" w:rsidR="00DC0226" w:rsidRPr="00407DEF" w:rsidRDefault="00DC0226" w:rsidP="00DC0226">
            <w:pPr>
              <w:spacing w:after="0"/>
              <w:jc w:val="both"/>
              <w:rPr>
                <w:iCs/>
              </w:rPr>
            </w:pPr>
            <w:r w:rsidRPr="00407DEF">
              <w:rPr>
                <w:iCs/>
              </w:rPr>
              <w:t>21.9</w:t>
            </w:r>
          </w:p>
        </w:tc>
      </w:tr>
      <w:tr w:rsidR="00DC0226" w:rsidRPr="00407DEF" w14:paraId="4BA66E30" w14:textId="77777777" w:rsidTr="009642E5">
        <w:tc>
          <w:tcPr>
            <w:tcW w:w="0" w:type="auto"/>
            <w:shd w:val="clear" w:color="auto" w:fill="FFFFFF"/>
            <w:tcMar>
              <w:top w:w="0" w:type="dxa"/>
              <w:left w:w="480" w:type="dxa"/>
              <w:bottom w:w="0" w:type="dxa"/>
              <w:right w:w="75" w:type="dxa"/>
            </w:tcMar>
            <w:vAlign w:val="center"/>
            <w:hideMark/>
          </w:tcPr>
          <w:p w14:paraId="09956FBE" w14:textId="77777777" w:rsidR="00DC0226" w:rsidRPr="00407DEF" w:rsidRDefault="00DC0226" w:rsidP="00DC0226">
            <w:pPr>
              <w:spacing w:after="0"/>
              <w:jc w:val="both"/>
              <w:rPr>
                <w:iCs/>
              </w:rPr>
            </w:pPr>
            <w:r w:rsidRPr="00407DEF">
              <w:rPr>
                <w:iCs/>
              </w:rPr>
              <w:t>Sleeps an average of 8 hours</w:t>
            </w:r>
          </w:p>
        </w:tc>
        <w:tc>
          <w:tcPr>
            <w:tcW w:w="0" w:type="auto"/>
            <w:shd w:val="clear" w:color="auto" w:fill="FFFFFF"/>
            <w:tcMar>
              <w:top w:w="0" w:type="dxa"/>
              <w:left w:w="75" w:type="dxa"/>
              <w:bottom w:w="0" w:type="dxa"/>
              <w:right w:w="75" w:type="dxa"/>
            </w:tcMar>
            <w:vAlign w:val="center"/>
            <w:hideMark/>
          </w:tcPr>
          <w:p w14:paraId="44EC80FF" w14:textId="77777777" w:rsidR="00DC0226" w:rsidRPr="00407DEF" w:rsidRDefault="00DC0226" w:rsidP="00DC0226">
            <w:pPr>
              <w:spacing w:after="0"/>
              <w:jc w:val="both"/>
              <w:rPr>
                <w:iCs/>
              </w:rPr>
            </w:pPr>
            <w:r w:rsidRPr="00407DEF">
              <w:rPr>
                <w:iCs/>
              </w:rPr>
              <w:t>22.8</w:t>
            </w:r>
          </w:p>
        </w:tc>
        <w:tc>
          <w:tcPr>
            <w:tcW w:w="0" w:type="auto"/>
            <w:shd w:val="clear" w:color="auto" w:fill="FFFFFF"/>
            <w:tcMar>
              <w:top w:w="0" w:type="dxa"/>
              <w:left w:w="75" w:type="dxa"/>
              <w:bottom w:w="0" w:type="dxa"/>
              <w:right w:w="75" w:type="dxa"/>
            </w:tcMar>
            <w:vAlign w:val="center"/>
            <w:hideMark/>
          </w:tcPr>
          <w:p w14:paraId="401DA096" w14:textId="77777777" w:rsidR="00DC0226" w:rsidRPr="00407DEF" w:rsidRDefault="00DC0226" w:rsidP="00DC0226">
            <w:pPr>
              <w:spacing w:after="0"/>
              <w:jc w:val="both"/>
              <w:rPr>
                <w:iCs/>
              </w:rPr>
            </w:pPr>
            <w:r w:rsidRPr="00407DEF">
              <w:rPr>
                <w:iCs/>
              </w:rPr>
              <w:t>17.3</w:t>
            </w:r>
          </w:p>
        </w:tc>
      </w:tr>
      <w:tr w:rsidR="00DC0226" w:rsidRPr="00407DEF" w14:paraId="69A27ED5" w14:textId="77777777" w:rsidTr="009642E5">
        <w:tc>
          <w:tcPr>
            <w:tcW w:w="0" w:type="auto"/>
            <w:tcBorders>
              <w:bottom w:val="nil"/>
            </w:tcBorders>
            <w:shd w:val="clear" w:color="auto" w:fill="FFFFFF"/>
            <w:tcMar>
              <w:top w:w="0" w:type="dxa"/>
              <w:left w:w="480" w:type="dxa"/>
              <w:bottom w:w="0" w:type="dxa"/>
              <w:right w:w="75" w:type="dxa"/>
            </w:tcMar>
            <w:vAlign w:val="center"/>
            <w:hideMark/>
          </w:tcPr>
          <w:p w14:paraId="4ADDFD28" w14:textId="77777777" w:rsidR="00DC0226" w:rsidRPr="00407DEF" w:rsidRDefault="00DC0226" w:rsidP="00DC0226">
            <w:pPr>
              <w:spacing w:after="0"/>
              <w:jc w:val="both"/>
              <w:rPr>
                <w:iCs/>
              </w:rPr>
            </w:pPr>
            <w:r w:rsidRPr="00407DEF">
              <w:rPr>
                <w:iCs/>
              </w:rPr>
              <w:t>Physically active at least 60 mins/day 5+ days/week</w:t>
            </w:r>
          </w:p>
        </w:tc>
        <w:tc>
          <w:tcPr>
            <w:tcW w:w="0" w:type="auto"/>
            <w:tcBorders>
              <w:bottom w:val="nil"/>
            </w:tcBorders>
            <w:shd w:val="clear" w:color="auto" w:fill="FFFFFF"/>
            <w:tcMar>
              <w:top w:w="0" w:type="dxa"/>
              <w:left w:w="75" w:type="dxa"/>
              <w:bottom w:w="0" w:type="dxa"/>
              <w:right w:w="75" w:type="dxa"/>
            </w:tcMar>
            <w:vAlign w:val="center"/>
            <w:hideMark/>
          </w:tcPr>
          <w:p w14:paraId="4145B994" w14:textId="77777777" w:rsidR="00DC0226" w:rsidRPr="00407DEF" w:rsidRDefault="00DC0226" w:rsidP="00DC0226">
            <w:pPr>
              <w:spacing w:after="0"/>
              <w:jc w:val="both"/>
              <w:rPr>
                <w:iCs/>
              </w:rPr>
            </w:pPr>
            <w:r w:rsidRPr="00407DEF">
              <w:rPr>
                <w:iCs/>
              </w:rPr>
              <w:t>46.9</w:t>
            </w:r>
          </w:p>
        </w:tc>
        <w:tc>
          <w:tcPr>
            <w:tcW w:w="0" w:type="auto"/>
            <w:tcBorders>
              <w:bottom w:val="nil"/>
            </w:tcBorders>
            <w:shd w:val="clear" w:color="auto" w:fill="FFFFFF"/>
            <w:tcMar>
              <w:top w:w="0" w:type="dxa"/>
              <w:left w:w="75" w:type="dxa"/>
              <w:bottom w:w="0" w:type="dxa"/>
              <w:right w:w="75" w:type="dxa"/>
            </w:tcMar>
            <w:vAlign w:val="center"/>
            <w:hideMark/>
          </w:tcPr>
          <w:p w14:paraId="2AED38A3" w14:textId="77777777" w:rsidR="00DC0226" w:rsidRPr="00407DEF" w:rsidRDefault="00DC0226" w:rsidP="00DC0226">
            <w:pPr>
              <w:spacing w:after="0"/>
              <w:jc w:val="both"/>
              <w:rPr>
                <w:iCs/>
              </w:rPr>
            </w:pPr>
            <w:r w:rsidRPr="00407DEF">
              <w:rPr>
                <w:iCs/>
              </w:rPr>
              <w:t>26.5***</w:t>
            </w:r>
          </w:p>
        </w:tc>
      </w:tr>
      <w:tr w:rsidR="00DC0226" w:rsidRPr="00407DEF" w14:paraId="0D1CE7E2" w14:textId="77777777" w:rsidTr="009642E5">
        <w:tc>
          <w:tcPr>
            <w:tcW w:w="0" w:type="auto"/>
            <w:gridSpan w:val="3"/>
            <w:tcBorders>
              <w:top w:val="nil"/>
              <w:bottom w:val="nil"/>
            </w:tcBorders>
            <w:shd w:val="clear" w:color="auto" w:fill="FFFFFF"/>
            <w:tcMar>
              <w:top w:w="0" w:type="dxa"/>
              <w:left w:w="75" w:type="dxa"/>
              <w:bottom w:w="0" w:type="dxa"/>
              <w:right w:w="75" w:type="dxa"/>
            </w:tcMar>
            <w:vAlign w:val="center"/>
            <w:hideMark/>
          </w:tcPr>
          <w:p w14:paraId="19E8A55F" w14:textId="77777777" w:rsidR="00DC0226" w:rsidRPr="00407DEF" w:rsidRDefault="00DC0226" w:rsidP="00DC0226">
            <w:pPr>
              <w:spacing w:after="0"/>
              <w:jc w:val="both"/>
              <w:rPr>
                <w:iCs/>
              </w:rPr>
            </w:pPr>
            <w:r w:rsidRPr="00407DEF">
              <w:rPr>
                <w:b/>
                <w:bCs/>
                <w:iCs/>
              </w:rPr>
              <w:t>Mental Health</w:t>
            </w:r>
          </w:p>
        </w:tc>
      </w:tr>
      <w:tr w:rsidR="00DC0226" w:rsidRPr="00407DEF" w14:paraId="2B5B2E33" w14:textId="77777777" w:rsidTr="009642E5">
        <w:tc>
          <w:tcPr>
            <w:tcW w:w="0" w:type="auto"/>
            <w:tcBorders>
              <w:top w:val="single" w:sz="4" w:space="0" w:color="auto"/>
            </w:tcBorders>
            <w:shd w:val="clear" w:color="auto" w:fill="FFFFFF"/>
            <w:tcMar>
              <w:top w:w="0" w:type="dxa"/>
              <w:left w:w="480" w:type="dxa"/>
              <w:bottom w:w="0" w:type="dxa"/>
              <w:right w:w="75" w:type="dxa"/>
            </w:tcMar>
            <w:vAlign w:val="center"/>
            <w:hideMark/>
          </w:tcPr>
          <w:p w14:paraId="28F88FB0" w14:textId="77777777" w:rsidR="00DC0226" w:rsidRPr="00407DEF" w:rsidRDefault="00DC0226" w:rsidP="00DC0226">
            <w:pPr>
              <w:spacing w:after="0"/>
              <w:jc w:val="both"/>
              <w:rPr>
                <w:iCs/>
              </w:rPr>
            </w:pPr>
            <w:r w:rsidRPr="00407DEF">
              <w:rPr>
                <w:iCs/>
              </w:rPr>
              <w:t>Uses social media several times a day</w:t>
            </w:r>
          </w:p>
        </w:tc>
        <w:tc>
          <w:tcPr>
            <w:tcW w:w="0" w:type="auto"/>
            <w:tcBorders>
              <w:top w:val="single" w:sz="4" w:space="0" w:color="auto"/>
            </w:tcBorders>
            <w:shd w:val="clear" w:color="auto" w:fill="FFFFFF"/>
            <w:tcMar>
              <w:top w:w="0" w:type="dxa"/>
              <w:left w:w="75" w:type="dxa"/>
              <w:bottom w:w="0" w:type="dxa"/>
              <w:right w:w="75" w:type="dxa"/>
            </w:tcMar>
            <w:vAlign w:val="center"/>
            <w:hideMark/>
          </w:tcPr>
          <w:p w14:paraId="62AD0A75" w14:textId="77777777" w:rsidR="00DC0226" w:rsidRPr="00407DEF" w:rsidRDefault="00DC0226" w:rsidP="00DC0226">
            <w:pPr>
              <w:spacing w:after="0"/>
              <w:jc w:val="both"/>
              <w:rPr>
                <w:iCs/>
              </w:rPr>
            </w:pPr>
            <w:r w:rsidRPr="00407DEF">
              <w:rPr>
                <w:iCs/>
              </w:rPr>
              <w:t>81.1</w:t>
            </w:r>
          </w:p>
        </w:tc>
        <w:tc>
          <w:tcPr>
            <w:tcW w:w="0" w:type="auto"/>
            <w:tcBorders>
              <w:top w:val="single" w:sz="4" w:space="0" w:color="auto"/>
            </w:tcBorders>
            <w:shd w:val="clear" w:color="auto" w:fill="FFFFFF"/>
            <w:tcMar>
              <w:top w:w="0" w:type="dxa"/>
              <w:left w:w="75" w:type="dxa"/>
              <w:bottom w:w="0" w:type="dxa"/>
              <w:right w:w="75" w:type="dxa"/>
            </w:tcMar>
            <w:vAlign w:val="center"/>
            <w:hideMark/>
          </w:tcPr>
          <w:p w14:paraId="23771B33" w14:textId="77777777" w:rsidR="00DC0226" w:rsidRPr="00407DEF" w:rsidRDefault="00DC0226" w:rsidP="00DC0226">
            <w:pPr>
              <w:spacing w:after="0"/>
              <w:jc w:val="both"/>
              <w:rPr>
                <w:iCs/>
              </w:rPr>
            </w:pPr>
            <w:r w:rsidRPr="00407DEF">
              <w:rPr>
                <w:iCs/>
              </w:rPr>
              <w:t>75.7</w:t>
            </w:r>
          </w:p>
        </w:tc>
      </w:tr>
      <w:tr w:rsidR="00DC0226" w:rsidRPr="00407DEF" w14:paraId="276150F1" w14:textId="77777777" w:rsidTr="009642E5">
        <w:tc>
          <w:tcPr>
            <w:tcW w:w="0" w:type="auto"/>
            <w:shd w:val="clear" w:color="auto" w:fill="FFFFFF"/>
            <w:tcMar>
              <w:top w:w="0" w:type="dxa"/>
              <w:left w:w="480" w:type="dxa"/>
              <w:bottom w:w="0" w:type="dxa"/>
              <w:right w:w="75" w:type="dxa"/>
            </w:tcMar>
            <w:vAlign w:val="center"/>
            <w:hideMark/>
          </w:tcPr>
          <w:p w14:paraId="6408169E" w14:textId="77777777" w:rsidR="00DC0226" w:rsidRPr="00407DEF" w:rsidRDefault="00DC0226" w:rsidP="00DC0226">
            <w:pPr>
              <w:spacing w:after="0"/>
              <w:jc w:val="both"/>
              <w:rPr>
                <w:iCs/>
              </w:rPr>
            </w:pPr>
            <w:r w:rsidRPr="00407DEF">
              <w:rPr>
                <w:iCs/>
              </w:rPr>
              <w:t>Trying to lose weight</w:t>
            </w:r>
          </w:p>
        </w:tc>
        <w:tc>
          <w:tcPr>
            <w:tcW w:w="0" w:type="auto"/>
            <w:shd w:val="clear" w:color="auto" w:fill="FFFFFF"/>
            <w:tcMar>
              <w:top w:w="0" w:type="dxa"/>
              <w:left w:w="75" w:type="dxa"/>
              <w:bottom w:w="0" w:type="dxa"/>
              <w:right w:w="75" w:type="dxa"/>
            </w:tcMar>
            <w:vAlign w:val="center"/>
            <w:hideMark/>
          </w:tcPr>
          <w:p w14:paraId="25589F2A" w14:textId="77777777" w:rsidR="00DC0226" w:rsidRPr="00407DEF" w:rsidRDefault="00DC0226" w:rsidP="00DC0226">
            <w:pPr>
              <w:spacing w:after="0"/>
              <w:jc w:val="both"/>
              <w:rPr>
                <w:iCs/>
              </w:rPr>
            </w:pPr>
            <w:r w:rsidRPr="00407DEF">
              <w:rPr>
                <w:iCs/>
              </w:rPr>
              <w:t>41.8</w:t>
            </w:r>
          </w:p>
        </w:tc>
        <w:tc>
          <w:tcPr>
            <w:tcW w:w="0" w:type="auto"/>
            <w:shd w:val="clear" w:color="auto" w:fill="FFFFFF"/>
            <w:tcMar>
              <w:top w:w="0" w:type="dxa"/>
              <w:left w:w="75" w:type="dxa"/>
              <w:bottom w:w="0" w:type="dxa"/>
              <w:right w:w="75" w:type="dxa"/>
            </w:tcMar>
            <w:vAlign w:val="center"/>
            <w:hideMark/>
          </w:tcPr>
          <w:p w14:paraId="53DEDA16" w14:textId="77777777" w:rsidR="00DC0226" w:rsidRPr="00407DEF" w:rsidRDefault="00DC0226" w:rsidP="00DC0226">
            <w:pPr>
              <w:spacing w:after="0"/>
              <w:jc w:val="both"/>
              <w:rPr>
                <w:iCs/>
              </w:rPr>
            </w:pPr>
            <w:r w:rsidRPr="00407DEF">
              <w:rPr>
                <w:iCs/>
              </w:rPr>
              <w:t>55.4***</w:t>
            </w:r>
          </w:p>
        </w:tc>
      </w:tr>
      <w:tr w:rsidR="00DC0226" w:rsidRPr="00407DEF" w14:paraId="6C7650A4" w14:textId="77777777" w:rsidTr="009642E5">
        <w:tc>
          <w:tcPr>
            <w:tcW w:w="0" w:type="auto"/>
            <w:shd w:val="clear" w:color="auto" w:fill="FFFFFF"/>
            <w:tcMar>
              <w:top w:w="0" w:type="dxa"/>
              <w:left w:w="480" w:type="dxa"/>
              <w:bottom w:w="0" w:type="dxa"/>
              <w:right w:w="75" w:type="dxa"/>
            </w:tcMar>
            <w:vAlign w:val="center"/>
            <w:hideMark/>
          </w:tcPr>
          <w:p w14:paraId="5B6AE3F3" w14:textId="77777777" w:rsidR="00DC0226" w:rsidRPr="00407DEF" w:rsidRDefault="00DC0226" w:rsidP="00DC0226">
            <w:pPr>
              <w:spacing w:after="0"/>
              <w:jc w:val="both"/>
              <w:rPr>
                <w:iCs/>
              </w:rPr>
            </w:pPr>
            <w:r w:rsidRPr="00407DEF">
              <w:rPr>
                <w:iCs/>
              </w:rPr>
              <w:t>Experiences homophobia at least sometimes</w:t>
            </w:r>
          </w:p>
        </w:tc>
        <w:tc>
          <w:tcPr>
            <w:tcW w:w="0" w:type="auto"/>
            <w:shd w:val="clear" w:color="auto" w:fill="FFFFFF"/>
            <w:tcMar>
              <w:top w:w="0" w:type="dxa"/>
              <w:left w:w="75" w:type="dxa"/>
              <w:bottom w:w="0" w:type="dxa"/>
              <w:right w:w="75" w:type="dxa"/>
            </w:tcMar>
            <w:vAlign w:val="center"/>
            <w:hideMark/>
          </w:tcPr>
          <w:p w14:paraId="2EB7B62C" w14:textId="77777777" w:rsidR="00DC0226" w:rsidRPr="00407DEF" w:rsidRDefault="00DC0226" w:rsidP="00DC0226">
            <w:pPr>
              <w:spacing w:after="0"/>
              <w:jc w:val="both"/>
              <w:rPr>
                <w:iCs/>
              </w:rPr>
            </w:pPr>
            <w:r w:rsidRPr="00407DEF">
              <w:rPr>
                <w:iCs/>
              </w:rPr>
              <w:t>8.1</w:t>
            </w:r>
          </w:p>
        </w:tc>
        <w:tc>
          <w:tcPr>
            <w:tcW w:w="0" w:type="auto"/>
            <w:shd w:val="clear" w:color="auto" w:fill="FFFFFF"/>
            <w:tcMar>
              <w:top w:w="0" w:type="dxa"/>
              <w:left w:w="75" w:type="dxa"/>
              <w:bottom w:w="0" w:type="dxa"/>
              <w:right w:w="75" w:type="dxa"/>
            </w:tcMar>
            <w:vAlign w:val="center"/>
            <w:hideMark/>
          </w:tcPr>
          <w:p w14:paraId="58D4881B" w14:textId="77777777" w:rsidR="00DC0226" w:rsidRPr="00407DEF" w:rsidRDefault="00DC0226" w:rsidP="00DC0226">
            <w:pPr>
              <w:spacing w:after="0"/>
              <w:jc w:val="both"/>
              <w:rPr>
                <w:iCs/>
              </w:rPr>
            </w:pPr>
            <w:r w:rsidRPr="00407DEF">
              <w:rPr>
                <w:iCs/>
              </w:rPr>
              <w:t>54.3***</w:t>
            </w:r>
          </w:p>
        </w:tc>
      </w:tr>
      <w:tr w:rsidR="00DC0226" w:rsidRPr="00407DEF" w14:paraId="3DE59DFD" w14:textId="77777777" w:rsidTr="009642E5">
        <w:tc>
          <w:tcPr>
            <w:tcW w:w="0" w:type="auto"/>
            <w:gridSpan w:val="3"/>
            <w:tcBorders>
              <w:bottom w:val="nil"/>
            </w:tcBorders>
            <w:shd w:val="clear" w:color="auto" w:fill="FFFFFF"/>
            <w:tcMar>
              <w:top w:w="0" w:type="dxa"/>
              <w:left w:w="75" w:type="dxa"/>
              <w:bottom w:w="0" w:type="dxa"/>
              <w:right w:w="75" w:type="dxa"/>
            </w:tcMar>
            <w:vAlign w:val="center"/>
            <w:hideMark/>
          </w:tcPr>
          <w:p w14:paraId="1200A5CE" w14:textId="77777777" w:rsidR="00DC0226" w:rsidRPr="00407DEF" w:rsidRDefault="00DC0226" w:rsidP="009642E5">
            <w:pPr>
              <w:spacing w:after="0"/>
              <w:rPr>
                <w:iCs/>
              </w:rPr>
            </w:pPr>
            <w:r w:rsidRPr="00407DEF">
              <w:rPr>
                <w:b/>
                <w:bCs/>
                <w:iCs/>
              </w:rPr>
              <w:t>Sexual Health</w:t>
            </w:r>
          </w:p>
        </w:tc>
      </w:tr>
      <w:tr w:rsidR="00DC0226" w:rsidRPr="00407DEF" w14:paraId="4A35325F" w14:textId="77777777" w:rsidTr="009642E5">
        <w:tc>
          <w:tcPr>
            <w:tcW w:w="0" w:type="auto"/>
            <w:tcBorders>
              <w:top w:val="single" w:sz="4" w:space="0" w:color="auto"/>
            </w:tcBorders>
            <w:shd w:val="clear" w:color="auto" w:fill="FFFFFF"/>
            <w:tcMar>
              <w:top w:w="0" w:type="dxa"/>
              <w:left w:w="480" w:type="dxa"/>
              <w:bottom w:w="0" w:type="dxa"/>
              <w:right w:w="75" w:type="dxa"/>
            </w:tcMar>
            <w:vAlign w:val="center"/>
            <w:hideMark/>
          </w:tcPr>
          <w:p w14:paraId="2CEAB7B2" w14:textId="77777777" w:rsidR="00DC0226" w:rsidRPr="00407DEF" w:rsidRDefault="00DC0226" w:rsidP="009642E5">
            <w:pPr>
              <w:spacing w:after="0"/>
              <w:rPr>
                <w:iCs/>
              </w:rPr>
            </w:pPr>
            <w:r w:rsidRPr="00407DEF">
              <w:rPr>
                <w:iCs/>
              </w:rPr>
              <w:t>Received sex education in school</w:t>
            </w:r>
          </w:p>
        </w:tc>
        <w:tc>
          <w:tcPr>
            <w:tcW w:w="0" w:type="auto"/>
            <w:tcBorders>
              <w:top w:val="single" w:sz="4" w:space="0" w:color="auto"/>
            </w:tcBorders>
            <w:shd w:val="clear" w:color="auto" w:fill="FFFFFF"/>
            <w:tcMar>
              <w:top w:w="0" w:type="dxa"/>
              <w:left w:w="75" w:type="dxa"/>
              <w:bottom w:w="0" w:type="dxa"/>
              <w:right w:w="75" w:type="dxa"/>
            </w:tcMar>
            <w:vAlign w:val="center"/>
            <w:hideMark/>
          </w:tcPr>
          <w:p w14:paraId="4395F7C3" w14:textId="77777777" w:rsidR="00DC0226" w:rsidRPr="00407DEF" w:rsidRDefault="00DC0226" w:rsidP="009642E5">
            <w:pPr>
              <w:spacing w:after="0"/>
              <w:jc w:val="center"/>
              <w:rPr>
                <w:iCs/>
              </w:rPr>
            </w:pPr>
            <w:r w:rsidRPr="00407DEF">
              <w:rPr>
                <w:iCs/>
              </w:rPr>
              <w:t>73.0</w:t>
            </w:r>
          </w:p>
        </w:tc>
        <w:tc>
          <w:tcPr>
            <w:tcW w:w="0" w:type="auto"/>
            <w:tcBorders>
              <w:top w:val="single" w:sz="4" w:space="0" w:color="auto"/>
            </w:tcBorders>
            <w:shd w:val="clear" w:color="auto" w:fill="FFFFFF"/>
            <w:tcMar>
              <w:top w:w="0" w:type="dxa"/>
              <w:left w:w="75" w:type="dxa"/>
              <w:bottom w:w="0" w:type="dxa"/>
              <w:right w:w="75" w:type="dxa"/>
            </w:tcMar>
            <w:vAlign w:val="center"/>
            <w:hideMark/>
          </w:tcPr>
          <w:p w14:paraId="6B4ED458" w14:textId="77777777" w:rsidR="00DC0226" w:rsidRPr="00407DEF" w:rsidRDefault="00DC0226" w:rsidP="009642E5">
            <w:pPr>
              <w:spacing w:after="0"/>
              <w:jc w:val="center"/>
              <w:rPr>
                <w:iCs/>
              </w:rPr>
            </w:pPr>
            <w:r w:rsidRPr="00407DEF">
              <w:rPr>
                <w:iCs/>
              </w:rPr>
              <w:t>66.9</w:t>
            </w:r>
          </w:p>
        </w:tc>
      </w:tr>
      <w:tr w:rsidR="00DC0226" w:rsidRPr="00407DEF" w14:paraId="3D7F79B5" w14:textId="77777777" w:rsidTr="009642E5">
        <w:tc>
          <w:tcPr>
            <w:tcW w:w="0" w:type="auto"/>
            <w:shd w:val="clear" w:color="auto" w:fill="FFFFFF"/>
            <w:tcMar>
              <w:top w:w="0" w:type="dxa"/>
              <w:left w:w="480" w:type="dxa"/>
              <w:bottom w:w="0" w:type="dxa"/>
              <w:right w:w="75" w:type="dxa"/>
            </w:tcMar>
            <w:vAlign w:val="center"/>
            <w:hideMark/>
          </w:tcPr>
          <w:p w14:paraId="75DA50D5" w14:textId="77777777" w:rsidR="00DC0226" w:rsidRPr="00407DEF" w:rsidRDefault="00DC0226" w:rsidP="009642E5">
            <w:pPr>
              <w:spacing w:after="0"/>
              <w:rPr>
                <w:iCs/>
              </w:rPr>
            </w:pPr>
            <w:r w:rsidRPr="00407DEF">
              <w:rPr>
                <w:iCs/>
              </w:rPr>
              <w:lastRenderedPageBreak/>
              <w:t>Used a condom last time having sexual intercourse</w:t>
            </w:r>
          </w:p>
        </w:tc>
        <w:tc>
          <w:tcPr>
            <w:tcW w:w="0" w:type="auto"/>
            <w:shd w:val="clear" w:color="auto" w:fill="FFFFFF"/>
            <w:tcMar>
              <w:top w:w="0" w:type="dxa"/>
              <w:left w:w="75" w:type="dxa"/>
              <w:bottom w:w="0" w:type="dxa"/>
              <w:right w:w="75" w:type="dxa"/>
            </w:tcMar>
            <w:vAlign w:val="center"/>
            <w:hideMark/>
          </w:tcPr>
          <w:p w14:paraId="535BF1EA" w14:textId="77777777" w:rsidR="00DC0226" w:rsidRPr="00407DEF" w:rsidRDefault="00DC0226" w:rsidP="009642E5">
            <w:pPr>
              <w:spacing w:after="0"/>
              <w:jc w:val="center"/>
              <w:rPr>
                <w:iCs/>
              </w:rPr>
            </w:pPr>
            <w:r w:rsidRPr="00407DEF">
              <w:rPr>
                <w:iCs/>
              </w:rPr>
              <w:t>54.9</w:t>
            </w:r>
          </w:p>
        </w:tc>
        <w:tc>
          <w:tcPr>
            <w:tcW w:w="0" w:type="auto"/>
            <w:shd w:val="clear" w:color="auto" w:fill="FFFFFF"/>
            <w:tcMar>
              <w:top w:w="0" w:type="dxa"/>
              <w:left w:w="75" w:type="dxa"/>
              <w:bottom w:w="0" w:type="dxa"/>
              <w:right w:w="75" w:type="dxa"/>
            </w:tcMar>
            <w:vAlign w:val="center"/>
            <w:hideMark/>
          </w:tcPr>
          <w:p w14:paraId="095C85A3" w14:textId="77777777" w:rsidR="00DC0226" w:rsidRPr="00407DEF" w:rsidRDefault="00DC0226" w:rsidP="009642E5">
            <w:pPr>
              <w:spacing w:after="0"/>
              <w:jc w:val="center"/>
              <w:rPr>
                <w:iCs/>
              </w:rPr>
            </w:pPr>
            <w:r w:rsidRPr="00407DEF">
              <w:rPr>
                <w:iCs/>
              </w:rPr>
              <w:t>44.7</w:t>
            </w:r>
          </w:p>
        </w:tc>
      </w:tr>
      <w:tr w:rsidR="00DC0226" w:rsidRPr="00407DEF" w14:paraId="1551C026" w14:textId="77777777" w:rsidTr="009642E5">
        <w:tc>
          <w:tcPr>
            <w:tcW w:w="0" w:type="auto"/>
            <w:gridSpan w:val="3"/>
            <w:tcBorders>
              <w:bottom w:val="nil"/>
            </w:tcBorders>
            <w:shd w:val="clear" w:color="auto" w:fill="FFFFFF"/>
            <w:tcMar>
              <w:top w:w="0" w:type="dxa"/>
              <w:left w:w="75" w:type="dxa"/>
              <w:bottom w:w="0" w:type="dxa"/>
              <w:right w:w="75" w:type="dxa"/>
            </w:tcMar>
            <w:vAlign w:val="center"/>
            <w:hideMark/>
          </w:tcPr>
          <w:p w14:paraId="5E6CF722" w14:textId="77777777" w:rsidR="00DC0226" w:rsidRPr="00407DEF" w:rsidRDefault="00DC0226" w:rsidP="009642E5">
            <w:pPr>
              <w:spacing w:after="0"/>
              <w:rPr>
                <w:iCs/>
              </w:rPr>
            </w:pPr>
            <w:r w:rsidRPr="00407DEF">
              <w:rPr>
                <w:b/>
                <w:bCs/>
                <w:iCs/>
              </w:rPr>
              <w:t>Drug and Alcohol Use</w:t>
            </w:r>
          </w:p>
        </w:tc>
      </w:tr>
      <w:tr w:rsidR="00DC0226" w:rsidRPr="00407DEF" w14:paraId="484C02CC" w14:textId="77777777" w:rsidTr="009642E5">
        <w:tc>
          <w:tcPr>
            <w:tcW w:w="0" w:type="auto"/>
            <w:tcBorders>
              <w:top w:val="single" w:sz="4" w:space="0" w:color="auto"/>
            </w:tcBorders>
            <w:shd w:val="clear" w:color="auto" w:fill="FFFFFF"/>
            <w:tcMar>
              <w:top w:w="0" w:type="dxa"/>
              <w:left w:w="480" w:type="dxa"/>
              <w:bottom w:w="0" w:type="dxa"/>
              <w:right w:w="75" w:type="dxa"/>
            </w:tcMar>
            <w:vAlign w:val="center"/>
            <w:hideMark/>
          </w:tcPr>
          <w:p w14:paraId="7C4541C0" w14:textId="77777777" w:rsidR="00DC0226" w:rsidRPr="00407DEF" w:rsidRDefault="00DC0226" w:rsidP="009642E5">
            <w:pPr>
              <w:spacing w:after="0"/>
              <w:rPr>
                <w:iCs/>
              </w:rPr>
            </w:pPr>
            <w:r w:rsidRPr="00407DEF">
              <w:rPr>
                <w:iCs/>
              </w:rPr>
              <w:t>Smoked cigarettes or vaped nicotine (last 30 days)</w:t>
            </w:r>
          </w:p>
        </w:tc>
        <w:tc>
          <w:tcPr>
            <w:tcW w:w="0" w:type="auto"/>
            <w:tcBorders>
              <w:top w:val="single" w:sz="4" w:space="0" w:color="auto"/>
            </w:tcBorders>
            <w:shd w:val="clear" w:color="auto" w:fill="FFFFFF"/>
            <w:tcMar>
              <w:top w:w="0" w:type="dxa"/>
              <w:left w:w="75" w:type="dxa"/>
              <w:bottom w:w="0" w:type="dxa"/>
              <w:right w:w="75" w:type="dxa"/>
            </w:tcMar>
            <w:vAlign w:val="center"/>
            <w:hideMark/>
          </w:tcPr>
          <w:p w14:paraId="07F85BB0" w14:textId="77777777" w:rsidR="00DC0226" w:rsidRPr="00407DEF" w:rsidRDefault="00DC0226" w:rsidP="009642E5">
            <w:pPr>
              <w:spacing w:after="0"/>
              <w:jc w:val="center"/>
              <w:rPr>
                <w:iCs/>
              </w:rPr>
            </w:pPr>
            <w:r w:rsidRPr="00407DEF">
              <w:rPr>
                <w:iCs/>
              </w:rPr>
              <w:t>18.2</w:t>
            </w:r>
          </w:p>
        </w:tc>
        <w:tc>
          <w:tcPr>
            <w:tcW w:w="0" w:type="auto"/>
            <w:tcBorders>
              <w:top w:val="single" w:sz="4" w:space="0" w:color="auto"/>
            </w:tcBorders>
            <w:shd w:val="clear" w:color="auto" w:fill="FFFFFF"/>
            <w:tcMar>
              <w:top w:w="0" w:type="dxa"/>
              <w:left w:w="75" w:type="dxa"/>
              <w:bottom w:w="0" w:type="dxa"/>
              <w:right w:w="75" w:type="dxa"/>
            </w:tcMar>
            <w:vAlign w:val="center"/>
            <w:hideMark/>
          </w:tcPr>
          <w:p w14:paraId="5DE22901" w14:textId="77777777" w:rsidR="00DC0226" w:rsidRPr="00407DEF" w:rsidRDefault="00DC0226" w:rsidP="009642E5">
            <w:pPr>
              <w:spacing w:after="0"/>
              <w:jc w:val="center"/>
              <w:rPr>
                <w:iCs/>
              </w:rPr>
            </w:pPr>
            <w:r w:rsidRPr="00407DEF">
              <w:rPr>
                <w:iCs/>
              </w:rPr>
              <w:t>19.7</w:t>
            </w:r>
          </w:p>
        </w:tc>
      </w:tr>
      <w:tr w:rsidR="00DC0226" w:rsidRPr="00407DEF" w14:paraId="0A2EA8E8" w14:textId="77777777" w:rsidTr="009642E5">
        <w:tc>
          <w:tcPr>
            <w:tcW w:w="0" w:type="auto"/>
            <w:shd w:val="clear" w:color="auto" w:fill="FFFFFF"/>
            <w:tcMar>
              <w:top w:w="0" w:type="dxa"/>
              <w:left w:w="480" w:type="dxa"/>
              <w:bottom w:w="0" w:type="dxa"/>
              <w:right w:w="75" w:type="dxa"/>
            </w:tcMar>
            <w:vAlign w:val="center"/>
            <w:hideMark/>
          </w:tcPr>
          <w:p w14:paraId="27143A7B" w14:textId="77777777" w:rsidR="00DC0226" w:rsidRPr="00407DEF" w:rsidRDefault="00DC0226" w:rsidP="009642E5">
            <w:pPr>
              <w:spacing w:after="0"/>
              <w:rPr>
                <w:iCs/>
              </w:rPr>
            </w:pPr>
            <w:r w:rsidRPr="00407DEF">
              <w:rPr>
                <w:iCs/>
              </w:rPr>
              <w:t>Used marijuana (last 30 days)</w:t>
            </w:r>
          </w:p>
        </w:tc>
        <w:tc>
          <w:tcPr>
            <w:tcW w:w="0" w:type="auto"/>
            <w:shd w:val="clear" w:color="auto" w:fill="FFFFFF"/>
            <w:tcMar>
              <w:top w:w="0" w:type="dxa"/>
              <w:left w:w="75" w:type="dxa"/>
              <w:bottom w:w="0" w:type="dxa"/>
              <w:right w:w="75" w:type="dxa"/>
            </w:tcMar>
            <w:vAlign w:val="center"/>
            <w:hideMark/>
          </w:tcPr>
          <w:p w14:paraId="4E144983" w14:textId="77777777" w:rsidR="00DC0226" w:rsidRPr="00407DEF" w:rsidRDefault="00DC0226" w:rsidP="009642E5">
            <w:pPr>
              <w:spacing w:after="0"/>
              <w:jc w:val="center"/>
              <w:rPr>
                <w:iCs/>
              </w:rPr>
            </w:pPr>
            <w:r w:rsidRPr="00407DEF">
              <w:rPr>
                <w:iCs/>
              </w:rPr>
              <w:t>16.7</w:t>
            </w:r>
          </w:p>
        </w:tc>
        <w:tc>
          <w:tcPr>
            <w:tcW w:w="0" w:type="auto"/>
            <w:shd w:val="clear" w:color="auto" w:fill="FFFFFF"/>
            <w:tcMar>
              <w:top w:w="0" w:type="dxa"/>
              <w:left w:w="75" w:type="dxa"/>
              <w:bottom w:w="0" w:type="dxa"/>
              <w:right w:w="75" w:type="dxa"/>
            </w:tcMar>
            <w:vAlign w:val="center"/>
            <w:hideMark/>
          </w:tcPr>
          <w:p w14:paraId="7B5515B5" w14:textId="77777777" w:rsidR="00DC0226" w:rsidRPr="00407DEF" w:rsidRDefault="00DC0226" w:rsidP="009642E5">
            <w:pPr>
              <w:spacing w:after="0"/>
              <w:jc w:val="center"/>
              <w:rPr>
                <w:iCs/>
              </w:rPr>
            </w:pPr>
            <w:r w:rsidRPr="00407DEF">
              <w:rPr>
                <w:iCs/>
              </w:rPr>
              <w:t>23.6*</w:t>
            </w:r>
          </w:p>
        </w:tc>
      </w:tr>
      <w:tr w:rsidR="00DC0226" w:rsidRPr="00407DEF" w14:paraId="082CFCAE" w14:textId="77777777" w:rsidTr="009642E5">
        <w:tc>
          <w:tcPr>
            <w:tcW w:w="0" w:type="auto"/>
            <w:tcBorders>
              <w:bottom w:val="nil"/>
            </w:tcBorders>
            <w:shd w:val="clear" w:color="auto" w:fill="FFFFFF"/>
            <w:tcMar>
              <w:top w:w="0" w:type="dxa"/>
              <w:left w:w="480" w:type="dxa"/>
              <w:bottom w:w="0" w:type="dxa"/>
              <w:right w:w="75" w:type="dxa"/>
            </w:tcMar>
            <w:vAlign w:val="center"/>
            <w:hideMark/>
          </w:tcPr>
          <w:p w14:paraId="3B129257" w14:textId="77777777" w:rsidR="00DC0226" w:rsidRPr="00407DEF" w:rsidRDefault="00DC0226" w:rsidP="009642E5">
            <w:pPr>
              <w:spacing w:after="0"/>
              <w:rPr>
                <w:iCs/>
              </w:rPr>
            </w:pPr>
            <w:r w:rsidRPr="00407DEF">
              <w:rPr>
                <w:iCs/>
              </w:rPr>
              <w:t>Drank alcohol (last 30 days)</w:t>
            </w:r>
          </w:p>
        </w:tc>
        <w:tc>
          <w:tcPr>
            <w:tcW w:w="0" w:type="auto"/>
            <w:shd w:val="clear" w:color="auto" w:fill="FFFFFF"/>
            <w:tcMar>
              <w:top w:w="0" w:type="dxa"/>
              <w:left w:w="75" w:type="dxa"/>
              <w:bottom w:w="0" w:type="dxa"/>
              <w:right w:w="75" w:type="dxa"/>
            </w:tcMar>
            <w:vAlign w:val="center"/>
            <w:hideMark/>
          </w:tcPr>
          <w:p w14:paraId="5284E713" w14:textId="77777777" w:rsidR="00DC0226" w:rsidRPr="00407DEF" w:rsidRDefault="00DC0226" w:rsidP="009642E5">
            <w:pPr>
              <w:spacing w:after="0"/>
              <w:jc w:val="center"/>
              <w:rPr>
                <w:iCs/>
              </w:rPr>
            </w:pPr>
            <w:r w:rsidRPr="00407DEF">
              <w:rPr>
                <w:iCs/>
              </w:rPr>
              <w:t>20.2</w:t>
            </w:r>
          </w:p>
        </w:tc>
        <w:tc>
          <w:tcPr>
            <w:tcW w:w="0" w:type="auto"/>
            <w:shd w:val="clear" w:color="auto" w:fill="FFFFFF"/>
            <w:tcMar>
              <w:top w:w="0" w:type="dxa"/>
              <w:left w:w="75" w:type="dxa"/>
              <w:bottom w:w="0" w:type="dxa"/>
              <w:right w:w="75" w:type="dxa"/>
            </w:tcMar>
            <w:vAlign w:val="center"/>
            <w:hideMark/>
          </w:tcPr>
          <w:p w14:paraId="4FA1AB14" w14:textId="77777777" w:rsidR="00DC0226" w:rsidRPr="00407DEF" w:rsidRDefault="00DC0226" w:rsidP="009642E5">
            <w:pPr>
              <w:spacing w:after="0"/>
              <w:jc w:val="center"/>
              <w:rPr>
                <w:iCs/>
              </w:rPr>
            </w:pPr>
            <w:r w:rsidRPr="00407DEF">
              <w:rPr>
                <w:iCs/>
              </w:rPr>
              <w:t>16.5</w:t>
            </w:r>
          </w:p>
        </w:tc>
      </w:tr>
      <w:tr w:rsidR="00DC0226" w:rsidRPr="00407DEF" w14:paraId="12110B41" w14:textId="77777777" w:rsidTr="009642E5">
        <w:tc>
          <w:tcPr>
            <w:tcW w:w="0" w:type="auto"/>
            <w:tcBorders>
              <w:top w:val="nil"/>
              <w:left w:val="nil"/>
              <w:bottom w:val="nil"/>
              <w:right w:val="nil"/>
            </w:tcBorders>
            <w:shd w:val="clear" w:color="auto" w:fill="FFFFFF"/>
            <w:tcMar>
              <w:top w:w="0" w:type="dxa"/>
              <w:left w:w="0" w:type="dxa"/>
              <w:bottom w:w="0" w:type="dxa"/>
              <w:right w:w="0" w:type="dxa"/>
            </w:tcMar>
            <w:vAlign w:val="center"/>
            <w:hideMark/>
          </w:tcPr>
          <w:p w14:paraId="40E64D98" w14:textId="77777777" w:rsidR="00DC0226" w:rsidRPr="00407DEF" w:rsidRDefault="00DC0226" w:rsidP="009642E5">
            <w:pPr>
              <w:spacing w:after="0"/>
              <w:rPr>
                <w:i/>
              </w:rPr>
            </w:pPr>
            <w:r w:rsidRPr="00407DEF">
              <w:rPr>
                <w:i/>
                <w:iCs/>
              </w:rPr>
              <w:t>Note:</w:t>
            </w:r>
            <w:r>
              <w:rPr>
                <w:i/>
                <w:iCs/>
              </w:rPr>
              <w:t xml:space="preserve"> </w:t>
            </w:r>
            <w:r w:rsidRPr="00407DEF">
              <w:rPr>
                <w:iCs/>
              </w:rPr>
              <w:t>*** p&lt;0.001; ** p&lt;0.01; * p&lt;0.05</w:t>
            </w:r>
          </w:p>
        </w:tc>
        <w:tc>
          <w:tcPr>
            <w:tcW w:w="0" w:type="auto"/>
            <w:shd w:val="clear" w:color="auto" w:fill="FFFFFF"/>
            <w:vAlign w:val="center"/>
            <w:hideMark/>
          </w:tcPr>
          <w:p w14:paraId="5E3B8467" w14:textId="77777777" w:rsidR="00DC0226" w:rsidRPr="00407DEF" w:rsidRDefault="00DC0226" w:rsidP="009642E5">
            <w:pPr>
              <w:spacing w:after="0"/>
              <w:rPr>
                <w:i/>
              </w:rPr>
            </w:pPr>
          </w:p>
        </w:tc>
        <w:tc>
          <w:tcPr>
            <w:tcW w:w="0" w:type="auto"/>
            <w:shd w:val="clear" w:color="auto" w:fill="FFFFFF"/>
            <w:vAlign w:val="center"/>
            <w:hideMark/>
          </w:tcPr>
          <w:p w14:paraId="2C53487F" w14:textId="77777777" w:rsidR="00DC0226" w:rsidRPr="00407DEF" w:rsidRDefault="00DC0226" w:rsidP="009642E5">
            <w:pPr>
              <w:spacing w:after="0"/>
              <w:rPr>
                <w:i/>
              </w:rPr>
            </w:pPr>
          </w:p>
        </w:tc>
      </w:tr>
      <w:tr w:rsidR="00DC0226" w:rsidRPr="00407DEF" w14:paraId="582F5712" w14:textId="77777777" w:rsidTr="009642E5">
        <w:tc>
          <w:tcPr>
            <w:tcW w:w="0" w:type="auto"/>
            <w:tcBorders>
              <w:top w:val="nil"/>
              <w:left w:val="nil"/>
              <w:bottom w:val="nil"/>
              <w:right w:val="nil"/>
            </w:tcBorders>
            <w:shd w:val="clear" w:color="auto" w:fill="FFFFFF"/>
            <w:tcMar>
              <w:top w:w="0" w:type="dxa"/>
              <w:left w:w="0" w:type="dxa"/>
              <w:bottom w:w="0" w:type="dxa"/>
              <w:right w:w="0" w:type="dxa"/>
            </w:tcMar>
            <w:vAlign w:val="center"/>
            <w:hideMark/>
          </w:tcPr>
          <w:p w14:paraId="32E96B4B" w14:textId="77777777" w:rsidR="00DC0226" w:rsidRPr="00407DEF" w:rsidRDefault="00DC0226" w:rsidP="009642E5">
            <w:pPr>
              <w:spacing w:after="0"/>
              <w:rPr>
                <w:iCs/>
              </w:rPr>
            </w:pPr>
          </w:p>
        </w:tc>
        <w:tc>
          <w:tcPr>
            <w:tcW w:w="0" w:type="auto"/>
            <w:shd w:val="clear" w:color="auto" w:fill="FFFFFF"/>
            <w:vAlign w:val="center"/>
            <w:hideMark/>
          </w:tcPr>
          <w:p w14:paraId="3FC5FC4E" w14:textId="77777777" w:rsidR="00DC0226" w:rsidRPr="00407DEF" w:rsidRDefault="00DC0226" w:rsidP="009642E5">
            <w:pPr>
              <w:spacing w:after="0"/>
              <w:rPr>
                <w:i/>
              </w:rPr>
            </w:pPr>
          </w:p>
        </w:tc>
        <w:tc>
          <w:tcPr>
            <w:tcW w:w="0" w:type="auto"/>
            <w:shd w:val="clear" w:color="auto" w:fill="FFFFFF"/>
            <w:vAlign w:val="center"/>
            <w:hideMark/>
          </w:tcPr>
          <w:p w14:paraId="296D10EF" w14:textId="77777777" w:rsidR="00DC0226" w:rsidRPr="00407DEF" w:rsidRDefault="00DC0226" w:rsidP="009642E5">
            <w:pPr>
              <w:spacing w:after="0"/>
              <w:rPr>
                <w:i/>
              </w:rPr>
            </w:pPr>
          </w:p>
        </w:tc>
      </w:tr>
    </w:tbl>
    <w:p w14:paraId="2B2C3ADC" w14:textId="77777777" w:rsidR="00DC0226" w:rsidRDefault="00DC0226" w:rsidP="00DC0226">
      <w:pPr>
        <w:pStyle w:val="BodyText"/>
        <w:jc w:val="both"/>
      </w:pPr>
      <w:r>
        <w:t>Fewer transgender youth reported receiving sex education in school than cisgender youth (66.9% versus 73%), and fewer transgender youth reported using a condom last time they had sexual intercourse (44.7% versus 54.9%). Neither result has statistical significance (p &gt; 0.05).</w:t>
      </w:r>
    </w:p>
    <w:p w14:paraId="5ADAE449" w14:textId="0ED0F5AC" w:rsidR="0009166F" w:rsidRDefault="00DC0226" w:rsidP="00DC0226">
      <w:pPr>
        <w:jc w:val="both"/>
      </w:pPr>
      <w:r>
        <w:t>Transgender youth reported smoking cigarettes or vaping in the last 30 days at similar rates as cisgender youth (19.7% versus 18.2%), but transgender youth were more likely to use marijuana in the last 30 days (23.6% versus 16.7%) compared to cisgender youth. Among transgender youth, 16.5% reported drinking alcohol in the last 30 days compared to 20.2% of cisgender youth.</w:t>
      </w:r>
    </w:p>
    <w:p w14:paraId="016D7917" w14:textId="77777777" w:rsidR="0009166F" w:rsidRDefault="0009166F">
      <w:r>
        <w:br w:type="page"/>
      </w:r>
    </w:p>
    <w:p w14:paraId="399760A6" w14:textId="7C5F22F0" w:rsidR="0009166F" w:rsidRPr="00405575" w:rsidRDefault="0009166F" w:rsidP="0009166F">
      <w:pPr>
        <w:pStyle w:val="Heading1"/>
      </w:pPr>
      <w:bookmarkStart w:id="61" w:name="_Toc230355474"/>
      <w:r w:rsidRPr="00405575">
        <w:lastRenderedPageBreak/>
        <w:t>Executive Summary</w:t>
      </w:r>
      <w:r>
        <w:t xml:space="preserve"> of FY 2027 Report</w:t>
      </w:r>
      <w:bookmarkEnd w:id="61"/>
    </w:p>
    <w:p w14:paraId="7F63877C" w14:textId="77777777" w:rsidR="0009166F" w:rsidRPr="00405575" w:rsidRDefault="0009166F" w:rsidP="0009166F">
      <w:pPr>
        <w:jc w:val="both"/>
      </w:pPr>
      <w:r w:rsidRPr="00405575">
        <w:t>The Massachusetts Commission on Lesbian, Gay, Bisexual, Transgender, Queer, and Questioning (LGBTQ) Youth is an independent state agency first founded in 1992 as the Governor’s Commission on Gay and Lesbian Youth. The Commission was established as an independent agency by the Legislature in 2006 and tasked with providing expert advice and programming to the Commonwealth of Massachusetts on how to improve services and decrease inequities facing Massachusetts LGBTQ youth. In keeping with its legislative requirements, the Commission submits this annual report of policy recommendations for the 2027 fiscal year beginning July 1, 2026.</w:t>
      </w:r>
    </w:p>
    <w:p w14:paraId="28518F51" w14:textId="77777777" w:rsidR="0009166F" w:rsidRPr="00405575" w:rsidRDefault="0009166F" w:rsidP="0009166F">
      <w:pPr>
        <w:jc w:val="both"/>
      </w:pPr>
      <w:r w:rsidRPr="00405575">
        <w:t>The Commission develops these policy recommendations with input from its staff, Commission members, consultants, community partners, educators, providers, state agency partners, parents and, most importantly – youth. The Commission defines youth as “individuals under the age of 26” and so many of these recommendations cover a broad range of issues with an intersectional viewpoint that works to uplift the most marginalized voices within our Commonwealth so that all our young people can thrive.</w:t>
      </w:r>
    </w:p>
    <w:p w14:paraId="36D403B5" w14:textId="06E24FF8" w:rsidR="0009166F" w:rsidRDefault="0009166F" w:rsidP="0009166F">
      <w:pPr>
        <w:jc w:val="both"/>
      </w:pPr>
      <w:r w:rsidRPr="00405575">
        <w:t>This year’s annual report has been reorganized from past reports to provide more clarity and alignment on recommendations between core subjects. As it has the past several years, this report contains two main sections – core recommendations and agency recommendations. This year’s core section of recommendations is broken into two themes - “State Systems &amp; Structural Supports” and “Health Equity &amp; Community Wellbeing” – which feature ten subsections focusing on child welfare, education, the legal system, homelessness and housing instability, inclusive governance, LGBTQ-affirming healthcare, community public health, mental health, sexual health, and environmental health. Each section covers a range of intersectional policy recommendations reflecting the work of the Commission in the past year; input from community partners, youth, and families; and state and national research. The agency recommendations section features specific recommendations for the Commission’s twenty-one agency partners with whom it collaborates throughout the year to help improve policies, programming, resources, and agency capacity to support LGBTQ youth across the Commonwealth.</w:t>
      </w:r>
    </w:p>
    <w:p w14:paraId="12233E89" w14:textId="7955C9E3" w:rsidR="0009166F" w:rsidRDefault="0009166F" w:rsidP="0009166F">
      <w:pPr>
        <w:pStyle w:val="Heading2"/>
      </w:pPr>
      <w:bookmarkStart w:id="62" w:name="_Toc230355475"/>
      <w:r>
        <w:t>Overview</w:t>
      </w:r>
      <w:bookmarkEnd w:id="62"/>
    </w:p>
    <w:p w14:paraId="7849B567" w14:textId="1E2935F7" w:rsidR="0009166F" w:rsidRPr="0009166F" w:rsidRDefault="0009166F" w:rsidP="0009166F">
      <w:pPr>
        <w:jc w:val="both"/>
      </w:pPr>
      <w:r w:rsidRPr="0009166F">
        <w:t>Across these sections, the Commission’s recommendations emphasize that LGBTQ youth safety</w:t>
      </w:r>
      <w:r w:rsidR="00291D08">
        <w:t xml:space="preserve"> </w:t>
      </w:r>
      <w:r w:rsidRPr="0009166F">
        <w:t xml:space="preserve">and well-being </w:t>
      </w:r>
      <w:r w:rsidR="00291D08">
        <w:t xml:space="preserve">is </w:t>
      </w:r>
      <w:r w:rsidRPr="0009166F">
        <w:t xml:space="preserve">shaped by far more than </w:t>
      </w:r>
      <w:r w:rsidR="00291D08">
        <w:t xml:space="preserve">just </w:t>
      </w:r>
      <w:r w:rsidRPr="0009166F">
        <w:t xml:space="preserve">individual access to services. Throughout the Commission’s FY 2026 listening sessions, youth, families, providers, and district leaders </w:t>
      </w:r>
      <w:r w:rsidR="00291D08">
        <w:t xml:space="preserve">emphasized </w:t>
      </w:r>
      <w:r w:rsidRPr="0009166F">
        <w:t>that LGBTQ youth need both affirmation</w:t>
      </w:r>
      <w:r w:rsidR="00291D08">
        <w:t>s</w:t>
      </w:r>
      <w:r w:rsidRPr="0009166F">
        <w:t xml:space="preserve"> and </w:t>
      </w:r>
      <w:r>
        <w:t>strong</w:t>
      </w:r>
      <w:r w:rsidRPr="0009166F">
        <w:t xml:space="preserve"> support, including </w:t>
      </w:r>
      <w:r>
        <w:t xml:space="preserve">through access to </w:t>
      </w:r>
      <w:r w:rsidRPr="0009166F">
        <w:t xml:space="preserve">safe spaces, </w:t>
      </w:r>
      <w:r>
        <w:t xml:space="preserve">reliable </w:t>
      </w:r>
      <w:r w:rsidRPr="0009166F">
        <w:t xml:space="preserve">transportation, </w:t>
      </w:r>
      <w:r>
        <w:t xml:space="preserve">basic rights to housing, affirming and quality </w:t>
      </w:r>
      <w:r w:rsidRPr="0009166F">
        <w:lastRenderedPageBreak/>
        <w:t>employment opportunities, culturally competent care, and clear information about their rights</w:t>
      </w:r>
      <w:r>
        <w:t xml:space="preserve"> and the strength of Massachusetts’ legal protections</w:t>
      </w:r>
      <w:r w:rsidRPr="0009166F">
        <w:t>.</w:t>
      </w:r>
    </w:p>
    <w:p w14:paraId="3EC13A10" w14:textId="0AC1A757" w:rsidR="0009166F" w:rsidRPr="0009166F" w:rsidRDefault="0009166F" w:rsidP="0009166F">
      <w:pPr>
        <w:jc w:val="both"/>
      </w:pPr>
      <w:r w:rsidRPr="0009166F">
        <w:t>The</w:t>
      </w:r>
      <w:r w:rsidR="00291D08">
        <w:t>se</w:t>
      </w:r>
      <w:r w:rsidRPr="0009166F">
        <w:t xml:space="preserve"> recommendations also reflect the importance of addressing compounded barriers faced by </w:t>
      </w:r>
      <w:r>
        <w:t>youth with intersecting marginalized identities, particular</w:t>
      </w:r>
      <w:r w:rsidR="00291D08">
        <w:t>ly</w:t>
      </w:r>
      <w:r>
        <w:t xml:space="preserve"> QTBIPOC youth</w:t>
      </w:r>
      <w:r w:rsidRPr="0009166F">
        <w:t xml:space="preserve">. Across </w:t>
      </w:r>
      <w:r>
        <w:t>the sections in this report</w:t>
      </w:r>
      <w:r w:rsidRPr="0009166F">
        <w:t xml:space="preserve">, </w:t>
      </w:r>
      <w:r>
        <w:t xml:space="preserve">listening session </w:t>
      </w:r>
      <w:r w:rsidRPr="0009166F">
        <w:t xml:space="preserve">participants described systems that are often well-intentioned but </w:t>
      </w:r>
      <w:r w:rsidR="00291D08">
        <w:t xml:space="preserve">can be </w:t>
      </w:r>
      <w:r w:rsidRPr="0009166F">
        <w:t xml:space="preserve">fragmented, under-resourced, </w:t>
      </w:r>
      <w:r w:rsidR="00291D08">
        <w:t>and</w:t>
      </w:r>
      <w:r w:rsidRPr="0009166F">
        <w:t xml:space="preserve"> difficult to navigate. These challenges are </w:t>
      </w:r>
      <w:r w:rsidR="00291D08">
        <w:t xml:space="preserve">exacerbated </w:t>
      </w:r>
      <w:r w:rsidRPr="0009166F">
        <w:t>by the current political climate</w:t>
      </w:r>
      <w:r w:rsidR="00291D08">
        <w:t xml:space="preserve"> where</w:t>
      </w:r>
      <w:r w:rsidRPr="0009166F">
        <w:t xml:space="preserve"> misinformation</w:t>
      </w:r>
      <w:r w:rsidR="00291D08">
        <w:t xml:space="preserve"> and disinformation</w:t>
      </w:r>
      <w:r w:rsidRPr="0009166F">
        <w:t>, federal policy uncertainty, and fear that existing protections may not be fully understood or enforced</w:t>
      </w:r>
      <w:r w:rsidR="00291D08">
        <w:t xml:space="preserve"> continue to cause stress and worsen mental health among our youth.</w:t>
      </w:r>
    </w:p>
    <w:p w14:paraId="15DD4537" w14:textId="77A19D2A" w:rsidR="0009166F" w:rsidRPr="0009166F" w:rsidRDefault="0009166F" w:rsidP="0009166F">
      <w:pPr>
        <w:jc w:val="both"/>
      </w:pPr>
      <w:r w:rsidRPr="0009166F">
        <w:t xml:space="preserve">A central theme across the report is that </w:t>
      </w:r>
      <w:r w:rsidR="009D70D2">
        <w:t xml:space="preserve">policy </w:t>
      </w:r>
      <w:r w:rsidRPr="0009166F">
        <w:t xml:space="preserve">protections are </w:t>
      </w:r>
      <w:r w:rsidR="009D70D2">
        <w:t xml:space="preserve">critical </w:t>
      </w:r>
      <w:r w:rsidRPr="0009166F">
        <w:t xml:space="preserve">but not </w:t>
      </w:r>
      <w:r w:rsidR="009D70D2">
        <w:t>enough on their own</w:t>
      </w:r>
      <w:r w:rsidRPr="0009166F">
        <w:t xml:space="preserve">. LGBTQ youth need implementation, accountability, funding, training, and visible leadership to ensure that </w:t>
      </w:r>
      <w:r w:rsidR="009D70D2">
        <w:t xml:space="preserve">these </w:t>
      </w:r>
      <w:r w:rsidRPr="0009166F">
        <w:t>protections translate into lived safety and belonging</w:t>
      </w:r>
      <w:r w:rsidR="00291D08">
        <w:t xml:space="preserve"> in Massachusetts</w:t>
      </w:r>
      <w:r w:rsidRPr="0009166F">
        <w:t>. This includes expanding culturally competent and trauma-informed services; investing in community-based and youth-led programs; strengthening data collection while protecting privacy; supporting providers, educators, and caregivers with practical guidance; and ensuring that youth are meaningfully engaged in decisions that affect their lives.</w:t>
      </w:r>
    </w:p>
    <w:p w14:paraId="0411B3A3" w14:textId="733E75BA" w:rsidR="0009166F" w:rsidRPr="0009166F" w:rsidRDefault="0009166F" w:rsidP="009D70D2">
      <w:pPr>
        <w:jc w:val="both"/>
      </w:pPr>
      <w:r w:rsidRPr="0009166F">
        <w:t xml:space="preserve">Finally, the report emphasizes that LGBTQ youth should </w:t>
      </w:r>
      <w:r w:rsidR="00291D08" w:rsidRPr="0009166F">
        <w:t>be</w:t>
      </w:r>
      <w:r w:rsidRPr="0009166F">
        <w:t xml:space="preserve"> </w:t>
      </w:r>
      <w:r w:rsidR="00291D08">
        <w:t xml:space="preserve">only </w:t>
      </w:r>
      <w:r w:rsidRPr="0009166F">
        <w:t xml:space="preserve">understood through </w:t>
      </w:r>
      <w:r w:rsidR="00291D08">
        <w:t>the negatives and fears</w:t>
      </w:r>
      <w:r w:rsidRPr="0009166F">
        <w:t xml:space="preserve">. </w:t>
      </w:r>
      <w:r w:rsidR="00291D08">
        <w:t xml:space="preserve">During our listening sessions, youth, parents, </w:t>
      </w:r>
      <w:r w:rsidRPr="0009166F">
        <w:t xml:space="preserve">and providers repeatedly </w:t>
      </w:r>
      <w:r w:rsidR="00291D08">
        <w:t xml:space="preserve">uplifted that </w:t>
      </w:r>
      <w:r w:rsidRPr="0009166F">
        <w:t xml:space="preserve">joy, creativity, peer connection, community care, identity pride, and youth leadership </w:t>
      </w:r>
      <w:r w:rsidR="00291D08">
        <w:t xml:space="preserve">are </w:t>
      </w:r>
      <w:r w:rsidRPr="0009166F">
        <w:t xml:space="preserve">protective factors that support resilience and well-being. The Commission’s recommendations call on Massachusetts to continue </w:t>
      </w:r>
      <w:r w:rsidR="00291D08">
        <w:t xml:space="preserve">to strengthen </w:t>
      </w:r>
      <w:r w:rsidRPr="0009166F">
        <w:t xml:space="preserve">legal protections while also </w:t>
      </w:r>
      <w:r w:rsidR="00291D08">
        <w:t xml:space="preserve">to invest </w:t>
      </w:r>
      <w:r w:rsidRPr="0009166F">
        <w:t xml:space="preserve">in </w:t>
      </w:r>
      <w:r w:rsidR="00291D08">
        <w:t xml:space="preserve">more </w:t>
      </w:r>
      <w:r w:rsidRPr="0009166F">
        <w:t xml:space="preserve">material supports, </w:t>
      </w:r>
      <w:r w:rsidR="00291D08">
        <w:t xml:space="preserve">stronger </w:t>
      </w:r>
      <w:r w:rsidRPr="0009166F">
        <w:t>public infrastructure, affirming services, and community spaces that allow LGBTQ youth not only to be safe, but to thrive.</w:t>
      </w:r>
    </w:p>
    <w:p w14:paraId="7E9EF8E9" w14:textId="77777777" w:rsidR="0009166F" w:rsidRPr="00405575" w:rsidRDefault="0009166F" w:rsidP="0009166F">
      <w:pPr>
        <w:pStyle w:val="Heading2"/>
        <w:keepNext/>
      </w:pPr>
      <w:bookmarkStart w:id="63" w:name="_Toc230355476"/>
      <w:r w:rsidRPr="00405575">
        <w:t>Summarized Recommendations to the Commonwealth of Massachusetts</w:t>
      </w:r>
      <w:bookmarkEnd w:id="63"/>
    </w:p>
    <w:p w14:paraId="33C011C2" w14:textId="77777777" w:rsidR="0009166F" w:rsidRPr="00405575" w:rsidRDefault="0009166F" w:rsidP="00E97E73">
      <w:pPr>
        <w:pStyle w:val="Heading3"/>
      </w:pPr>
      <w:r w:rsidRPr="00405575">
        <w:t>Child Welfare &amp; Youth Development</w:t>
      </w:r>
    </w:p>
    <w:p w14:paraId="6A7616EA" w14:textId="3CA6D839" w:rsidR="0009166F" w:rsidRPr="00405575" w:rsidRDefault="0009166F" w:rsidP="0009166F">
      <w:pPr>
        <w:pStyle w:val="ListParagraph"/>
        <w:numPr>
          <w:ilvl w:val="0"/>
          <w:numId w:val="29"/>
        </w:numPr>
        <w:spacing w:before="0" w:after="160" w:line="240" w:lineRule="auto"/>
        <w:jc w:val="both"/>
      </w:pPr>
      <w:r w:rsidRPr="00405575">
        <w:t xml:space="preserve">Expand programming and independent living </w:t>
      </w:r>
      <w:r w:rsidR="00D712F1">
        <w:t>services</w:t>
      </w:r>
      <w:r w:rsidRPr="00405575">
        <w:t xml:space="preserve"> for transition-aged foster youth, including workforce development, housing stabilization supports, and direct financial assistance. </w:t>
      </w:r>
    </w:p>
    <w:p w14:paraId="4F5A0E3C" w14:textId="77777777" w:rsidR="0009166F" w:rsidRPr="00405575" w:rsidRDefault="0009166F" w:rsidP="0009166F">
      <w:pPr>
        <w:pStyle w:val="ListParagraph"/>
        <w:numPr>
          <w:ilvl w:val="0"/>
          <w:numId w:val="29"/>
        </w:numPr>
        <w:spacing w:before="0" w:after="160" w:line="240" w:lineRule="auto"/>
        <w:jc w:val="both"/>
      </w:pPr>
      <w:r w:rsidRPr="00405575">
        <w:t>Expand and invest in community-based Family Resource Centers and prevention-oriented family support programs that provide affirming, culturally responsive services for LGBTQ youth and their families. </w:t>
      </w:r>
    </w:p>
    <w:p w14:paraId="4CE0FDF8" w14:textId="77777777" w:rsidR="0009166F" w:rsidRPr="00405575" w:rsidRDefault="0009166F" w:rsidP="0009166F">
      <w:pPr>
        <w:pStyle w:val="ListParagraph"/>
        <w:numPr>
          <w:ilvl w:val="0"/>
          <w:numId w:val="29"/>
        </w:numPr>
        <w:spacing w:before="0" w:after="160" w:line="240" w:lineRule="auto"/>
        <w:jc w:val="both"/>
      </w:pPr>
      <w:r w:rsidRPr="00405575">
        <w:t>Codify policies and legislation that strengthen child welfare protections, improve data collection, and advance economic security for youth in foster care. </w:t>
      </w:r>
    </w:p>
    <w:p w14:paraId="6E7BFBB1" w14:textId="77777777" w:rsidR="0009166F" w:rsidRPr="00405575" w:rsidRDefault="0009166F" w:rsidP="0009166F">
      <w:pPr>
        <w:pStyle w:val="ListParagraph"/>
        <w:numPr>
          <w:ilvl w:val="0"/>
          <w:numId w:val="29"/>
        </w:numPr>
        <w:spacing w:before="0" w:after="160" w:line="240" w:lineRule="auto"/>
        <w:jc w:val="both"/>
      </w:pPr>
      <w:r w:rsidRPr="00405575">
        <w:lastRenderedPageBreak/>
        <w:t>Increase educational and employment supports for youth involved in state systems. </w:t>
      </w:r>
    </w:p>
    <w:p w14:paraId="2573A505" w14:textId="77777777" w:rsidR="0009166F" w:rsidRPr="00405575" w:rsidRDefault="0009166F" w:rsidP="0009166F">
      <w:pPr>
        <w:pStyle w:val="ListParagraph"/>
        <w:numPr>
          <w:ilvl w:val="0"/>
          <w:numId w:val="29"/>
        </w:numPr>
        <w:spacing w:before="0" w:after="160" w:line="240" w:lineRule="auto"/>
        <w:jc w:val="both"/>
      </w:pPr>
      <w:r w:rsidRPr="00405575">
        <w:t>Improve cross-agency collaboration to support youth involved in multiple state systems. </w:t>
      </w:r>
    </w:p>
    <w:p w14:paraId="608E840F" w14:textId="77777777" w:rsidR="0009166F" w:rsidRPr="00405575" w:rsidRDefault="0009166F" w:rsidP="0009166F">
      <w:pPr>
        <w:pStyle w:val="ListParagraph"/>
        <w:numPr>
          <w:ilvl w:val="0"/>
          <w:numId w:val="29"/>
        </w:numPr>
        <w:spacing w:before="0" w:after="160" w:line="240" w:lineRule="auto"/>
        <w:jc w:val="both"/>
      </w:pPr>
      <w:r w:rsidRPr="00405575">
        <w:t>Increase training opportunities for child welfare staff and providers to improve the safety, permanency, and well-being of LGBTQ youth. </w:t>
      </w:r>
    </w:p>
    <w:p w14:paraId="566D2C15" w14:textId="77777777" w:rsidR="0009166F" w:rsidRPr="00405575" w:rsidRDefault="0009166F" w:rsidP="0009166F">
      <w:pPr>
        <w:pStyle w:val="ListParagraph"/>
        <w:numPr>
          <w:ilvl w:val="0"/>
          <w:numId w:val="29"/>
        </w:numPr>
        <w:spacing w:before="0" w:after="160" w:line="240" w:lineRule="auto"/>
        <w:jc w:val="both"/>
      </w:pPr>
      <w:r w:rsidRPr="00405575">
        <w:t>Explore the creation of an LGBTQ youth maltreatment code system within the Department of Children and Families. </w:t>
      </w:r>
    </w:p>
    <w:p w14:paraId="35410C67" w14:textId="77777777" w:rsidR="0009166F" w:rsidRPr="00405575" w:rsidRDefault="0009166F" w:rsidP="0009166F">
      <w:pPr>
        <w:pStyle w:val="ListParagraph"/>
        <w:numPr>
          <w:ilvl w:val="0"/>
          <w:numId w:val="29"/>
        </w:numPr>
        <w:spacing w:before="0" w:after="160" w:line="240" w:lineRule="auto"/>
        <w:jc w:val="both"/>
      </w:pPr>
      <w:r w:rsidRPr="00405575">
        <w:t>Expand mental health services for youth in state systems, including foster care and the juvenile legal system. </w:t>
      </w:r>
    </w:p>
    <w:p w14:paraId="1B859F0A" w14:textId="77777777" w:rsidR="0009166F" w:rsidRPr="00405575" w:rsidRDefault="0009166F" w:rsidP="0009166F">
      <w:pPr>
        <w:pStyle w:val="ListParagraph"/>
        <w:numPr>
          <w:ilvl w:val="0"/>
          <w:numId w:val="29"/>
        </w:numPr>
        <w:spacing w:before="0" w:after="160" w:line="240" w:lineRule="auto"/>
        <w:jc w:val="both"/>
      </w:pPr>
      <w:r w:rsidRPr="00405575">
        <w:t>Investigate reports of youth held in psychiatric facilities while awaiting placement or access to state agency services. </w:t>
      </w:r>
    </w:p>
    <w:p w14:paraId="722EB2C4" w14:textId="77BE9DD4" w:rsidR="0009166F" w:rsidRPr="00405575" w:rsidRDefault="0009166F" w:rsidP="0009166F">
      <w:pPr>
        <w:pStyle w:val="ListParagraph"/>
        <w:numPr>
          <w:ilvl w:val="0"/>
          <w:numId w:val="29"/>
        </w:numPr>
        <w:spacing w:before="0" w:after="160" w:line="240" w:lineRule="auto"/>
        <w:jc w:val="both"/>
      </w:pPr>
      <w:r w:rsidRPr="00405575">
        <w:t>Address caregiver burdens placed on youth who are supporting family members through expanded social service supports. </w:t>
      </w:r>
    </w:p>
    <w:p w14:paraId="048D0537" w14:textId="77777777" w:rsidR="0009166F" w:rsidRPr="00405575" w:rsidRDefault="0009166F" w:rsidP="00E97E73">
      <w:pPr>
        <w:pStyle w:val="Heading3"/>
      </w:pPr>
      <w:r w:rsidRPr="00405575">
        <w:t>Education Systems &amp; School Climate</w:t>
      </w:r>
    </w:p>
    <w:p w14:paraId="310DB3C6" w14:textId="77777777" w:rsidR="0009166F" w:rsidRPr="00405575" w:rsidRDefault="0009166F" w:rsidP="0009166F">
      <w:pPr>
        <w:pStyle w:val="ListParagraph"/>
        <w:numPr>
          <w:ilvl w:val="0"/>
          <w:numId w:val="30"/>
        </w:numPr>
        <w:spacing w:before="0" w:after="160" w:line="240" w:lineRule="auto"/>
        <w:jc w:val="both"/>
      </w:pPr>
      <w:r w:rsidRPr="00405575">
        <w:t>Support comprehensive professional development for educators and administrators to strengthen their capacity to support LGBTQ students, particularly QTBIPOC students. </w:t>
      </w:r>
    </w:p>
    <w:p w14:paraId="75B66D85" w14:textId="4ADBF5F3" w:rsidR="0009166F" w:rsidRPr="00405575" w:rsidRDefault="0009166F" w:rsidP="0009166F">
      <w:pPr>
        <w:pStyle w:val="ListParagraph"/>
        <w:numPr>
          <w:ilvl w:val="0"/>
          <w:numId w:val="30"/>
        </w:numPr>
        <w:spacing w:before="0" w:after="160" w:line="240" w:lineRule="auto"/>
        <w:jc w:val="both"/>
      </w:pPr>
      <w:r w:rsidRPr="00405575">
        <w:t xml:space="preserve">Provide training, mentorship, and resources for advisors of GSAs, affinity </w:t>
      </w:r>
      <w:r w:rsidR="007D658D" w:rsidRPr="00405575">
        <w:t>spaces,</w:t>
      </w:r>
      <w:r w:rsidRPr="00405575">
        <w:t xml:space="preserve"> and similar student organizations to support youth leadership and ensure consistent, affirming environments. </w:t>
      </w:r>
    </w:p>
    <w:p w14:paraId="7294892A" w14:textId="77777777" w:rsidR="0009166F" w:rsidRPr="00405575" w:rsidRDefault="0009166F" w:rsidP="0009166F">
      <w:pPr>
        <w:pStyle w:val="ListParagraph"/>
        <w:numPr>
          <w:ilvl w:val="0"/>
          <w:numId w:val="30"/>
        </w:numPr>
        <w:spacing w:before="0" w:after="160" w:line="240" w:lineRule="auto"/>
        <w:jc w:val="both"/>
      </w:pPr>
      <w:r w:rsidRPr="00405575">
        <w:t>Invest in peer leadership and youth engagement programs that support student advocacy and civic participation. </w:t>
      </w:r>
    </w:p>
    <w:p w14:paraId="475F0838" w14:textId="77777777" w:rsidR="0009166F" w:rsidRPr="00405575" w:rsidRDefault="0009166F" w:rsidP="0009166F">
      <w:pPr>
        <w:pStyle w:val="ListParagraph"/>
        <w:numPr>
          <w:ilvl w:val="0"/>
          <w:numId w:val="30"/>
        </w:numPr>
        <w:spacing w:before="0" w:after="160" w:line="240" w:lineRule="auto"/>
        <w:jc w:val="both"/>
      </w:pPr>
      <w:r w:rsidRPr="00405575">
        <w:t>Support efforts to expand policies and update statewide guidance for supporting transgender and nonbinary students. </w:t>
      </w:r>
    </w:p>
    <w:p w14:paraId="23CB1ED8" w14:textId="77777777" w:rsidR="0009166F" w:rsidRPr="00405575" w:rsidRDefault="0009166F" w:rsidP="0009166F">
      <w:pPr>
        <w:pStyle w:val="ListParagraph"/>
        <w:numPr>
          <w:ilvl w:val="0"/>
          <w:numId w:val="30"/>
        </w:numPr>
        <w:spacing w:before="0" w:after="160" w:line="240" w:lineRule="auto"/>
        <w:jc w:val="both"/>
      </w:pPr>
      <w:r w:rsidRPr="00405575">
        <w:t>Encourage educators and administrators to affirm the inclusion of materials on race and LGBTQ topics and establish statewide guidance for addressing challenged curricula, book bans, and attacks on librarians. </w:t>
      </w:r>
    </w:p>
    <w:p w14:paraId="426AF76C" w14:textId="77777777" w:rsidR="0009166F" w:rsidRPr="00405575" w:rsidRDefault="0009166F" w:rsidP="0009166F">
      <w:pPr>
        <w:pStyle w:val="ListParagraph"/>
        <w:numPr>
          <w:ilvl w:val="0"/>
          <w:numId w:val="30"/>
        </w:numPr>
        <w:spacing w:before="0" w:after="160" w:line="240" w:lineRule="auto"/>
        <w:jc w:val="both"/>
      </w:pPr>
      <w:r w:rsidRPr="00405575">
        <w:t>Ensure curricula across subject areas reflect LGBTQ and BIPOC individuals, histories, and contributions. </w:t>
      </w:r>
    </w:p>
    <w:p w14:paraId="1CA2B17E" w14:textId="77777777" w:rsidR="0009166F" w:rsidRPr="00405575" w:rsidRDefault="0009166F" w:rsidP="0009166F">
      <w:pPr>
        <w:pStyle w:val="ListParagraph"/>
        <w:numPr>
          <w:ilvl w:val="0"/>
          <w:numId w:val="30"/>
        </w:numPr>
        <w:spacing w:before="0" w:after="160" w:line="240" w:lineRule="auto"/>
        <w:jc w:val="both"/>
      </w:pPr>
      <w:r w:rsidRPr="00405575">
        <w:t>Invest in resources and professional development for family liaisons and school staff to strengthen family engagement and acceptance. </w:t>
      </w:r>
    </w:p>
    <w:p w14:paraId="287FFEA6" w14:textId="77777777" w:rsidR="0009166F" w:rsidRPr="00405575" w:rsidRDefault="0009166F" w:rsidP="0009166F">
      <w:pPr>
        <w:pStyle w:val="ListParagraph"/>
        <w:numPr>
          <w:ilvl w:val="0"/>
          <w:numId w:val="30"/>
        </w:numPr>
        <w:spacing w:before="0" w:after="160" w:line="240" w:lineRule="auto"/>
        <w:jc w:val="both"/>
      </w:pPr>
      <w:r w:rsidRPr="00405575">
        <w:t>Collect data to better understand the experiences of QTBIPOC students who are disproportionately represented across multiple systems. </w:t>
      </w:r>
    </w:p>
    <w:p w14:paraId="5158F1E8" w14:textId="77777777" w:rsidR="0009166F" w:rsidRPr="00405575" w:rsidRDefault="0009166F" w:rsidP="0009166F">
      <w:pPr>
        <w:pStyle w:val="ListParagraph"/>
        <w:numPr>
          <w:ilvl w:val="0"/>
          <w:numId w:val="30"/>
        </w:numPr>
        <w:spacing w:before="0" w:after="160" w:line="240" w:lineRule="auto"/>
        <w:jc w:val="both"/>
      </w:pPr>
      <w:r w:rsidRPr="00405575">
        <w:t>Convene education agencies annually to strengthen coordination of supports for LGBTQ students and families. </w:t>
      </w:r>
    </w:p>
    <w:p w14:paraId="5C4535AF" w14:textId="77777777" w:rsidR="0009166F" w:rsidRPr="00405575" w:rsidRDefault="0009166F" w:rsidP="0009166F">
      <w:pPr>
        <w:pStyle w:val="ListParagraph"/>
        <w:numPr>
          <w:ilvl w:val="0"/>
          <w:numId w:val="30"/>
        </w:numPr>
        <w:spacing w:before="0" w:after="160" w:line="240" w:lineRule="auto"/>
        <w:jc w:val="both"/>
      </w:pPr>
      <w:r w:rsidRPr="00405575">
        <w:t>Strengthen protections, educational access, and school-based supports for undocumented and immigrant youth facing heightened immigration enforcement and family instability. </w:t>
      </w:r>
    </w:p>
    <w:p w14:paraId="662963B2" w14:textId="77777777" w:rsidR="0009166F" w:rsidRPr="00405575" w:rsidRDefault="0009166F" w:rsidP="0009166F">
      <w:pPr>
        <w:pStyle w:val="ListParagraph"/>
        <w:numPr>
          <w:ilvl w:val="0"/>
          <w:numId w:val="30"/>
        </w:numPr>
        <w:spacing w:before="0" w:after="160" w:line="240" w:lineRule="auto"/>
        <w:jc w:val="both"/>
      </w:pPr>
      <w:r w:rsidRPr="00405575">
        <w:t>Disrupt the school-to-prison pipeline by removing police from schools. </w:t>
      </w:r>
    </w:p>
    <w:p w14:paraId="5CE29DCC" w14:textId="77777777" w:rsidR="0009166F" w:rsidRPr="00405575" w:rsidRDefault="0009166F" w:rsidP="0009166F">
      <w:pPr>
        <w:pStyle w:val="ListParagraph"/>
        <w:numPr>
          <w:ilvl w:val="0"/>
          <w:numId w:val="30"/>
        </w:numPr>
        <w:spacing w:before="0" w:after="160" w:line="240" w:lineRule="auto"/>
        <w:jc w:val="both"/>
      </w:pPr>
      <w:r w:rsidRPr="00405575">
        <w:t>Increase the availability of media literacy education for youth, families, and teachers. </w:t>
      </w:r>
    </w:p>
    <w:p w14:paraId="4B1C9B09" w14:textId="2C6EFB63" w:rsidR="0009166F" w:rsidRPr="00405575" w:rsidRDefault="0009166F" w:rsidP="0009166F">
      <w:pPr>
        <w:pStyle w:val="ListParagraph"/>
        <w:numPr>
          <w:ilvl w:val="0"/>
          <w:numId w:val="30"/>
        </w:numPr>
        <w:spacing w:before="0" w:after="160" w:line="240" w:lineRule="auto"/>
        <w:jc w:val="both"/>
      </w:pPr>
      <w:r w:rsidRPr="00405575">
        <w:t>Ensure schools maintain comprehensive anti-bullying, anti-cyberbullying, and anti-harassment policies. </w:t>
      </w:r>
    </w:p>
    <w:p w14:paraId="23747E84" w14:textId="77777777" w:rsidR="0009166F" w:rsidRPr="00405575" w:rsidRDefault="0009166F" w:rsidP="00E97E73">
      <w:pPr>
        <w:pStyle w:val="Heading3"/>
      </w:pPr>
      <w:r w:rsidRPr="00405575">
        <w:lastRenderedPageBreak/>
        <w:t>Justice &amp; Legal Systems</w:t>
      </w:r>
    </w:p>
    <w:p w14:paraId="4726440D" w14:textId="77777777" w:rsidR="0009166F" w:rsidRPr="00405575" w:rsidRDefault="0009166F" w:rsidP="0009166F">
      <w:pPr>
        <w:pStyle w:val="ListParagraph"/>
        <w:numPr>
          <w:ilvl w:val="0"/>
          <w:numId w:val="31"/>
        </w:numPr>
        <w:spacing w:before="0" w:after="160" w:line="240" w:lineRule="auto"/>
        <w:jc w:val="both"/>
      </w:pPr>
      <w:r w:rsidRPr="00405575">
        <w:t>Expand the collection of sexual orientation and gender identity data to identify and reduce disparities within the juvenile and adult legal systems. </w:t>
      </w:r>
    </w:p>
    <w:p w14:paraId="220D861C" w14:textId="77777777" w:rsidR="0009166F" w:rsidRPr="00405575" w:rsidRDefault="0009166F" w:rsidP="0009166F">
      <w:pPr>
        <w:pStyle w:val="ListParagraph"/>
        <w:numPr>
          <w:ilvl w:val="0"/>
          <w:numId w:val="31"/>
        </w:numPr>
        <w:spacing w:before="0" w:after="160" w:line="240" w:lineRule="auto"/>
        <w:jc w:val="both"/>
      </w:pPr>
      <w:r w:rsidRPr="00405575">
        <w:t>Improve conditions of confinement for incarcerated LGBTQ and intersex individuals, including access to affirming healthcare and protections from discrimination. </w:t>
      </w:r>
    </w:p>
    <w:p w14:paraId="7BDE9C69" w14:textId="77777777" w:rsidR="0009166F" w:rsidRPr="00405575" w:rsidRDefault="0009166F" w:rsidP="0009166F">
      <w:pPr>
        <w:pStyle w:val="ListParagraph"/>
        <w:numPr>
          <w:ilvl w:val="0"/>
          <w:numId w:val="31"/>
        </w:numPr>
        <w:spacing w:before="0" w:after="160" w:line="240" w:lineRule="auto"/>
        <w:jc w:val="both"/>
      </w:pPr>
      <w:r w:rsidRPr="00405575">
        <w:t>Expand diversion initiatives for youth involved in the legal system. </w:t>
      </w:r>
    </w:p>
    <w:p w14:paraId="262369D9" w14:textId="77777777" w:rsidR="0009166F" w:rsidRPr="00405575" w:rsidRDefault="0009166F" w:rsidP="0009166F">
      <w:pPr>
        <w:pStyle w:val="ListParagraph"/>
        <w:numPr>
          <w:ilvl w:val="0"/>
          <w:numId w:val="31"/>
        </w:numPr>
        <w:spacing w:before="0" w:after="160" w:line="240" w:lineRule="auto"/>
        <w:jc w:val="both"/>
      </w:pPr>
      <w:r w:rsidRPr="00405575">
        <w:t>Raise the age of the juvenile legal system to include youth ages 18 to 20. </w:t>
      </w:r>
    </w:p>
    <w:p w14:paraId="37A06D7E" w14:textId="77777777" w:rsidR="0009166F" w:rsidRPr="00405575" w:rsidRDefault="0009166F" w:rsidP="0009166F">
      <w:pPr>
        <w:pStyle w:val="ListParagraph"/>
        <w:numPr>
          <w:ilvl w:val="0"/>
          <w:numId w:val="31"/>
        </w:numPr>
        <w:spacing w:before="0" w:after="160" w:line="240" w:lineRule="auto"/>
        <w:jc w:val="both"/>
      </w:pPr>
      <w:r w:rsidRPr="00405575">
        <w:t>Limit the use of force by law enforcement and correctional officers and expand community-based response systems that reduce police intervention. </w:t>
      </w:r>
    </w:p>
    <w:p w14:paraId="20955570" w14:textId="77777777" w:rsidR="0009166F" w:rsidRPr="00405575" w:rsidRDefault="0009166F" w:rsidP="0009166F">
      <w:pPr>
        <w:pStyle w:val="ListParagraph"/>
        <w:numPr>
          <w:ilvl w:val="0"/>
          <w:numId w:val="31"/>
        </w:numPr>
        <w:spacing w:before="0" w:after="160" w:line="240" w:lineRule="auto"/>
        <w:jc w:val="both"/>
      </w:pPr>
      <w:r w:rsidRPr="00405575">
        <w:t>Ensure justice-involved youth are meaningfully engaged in government decisions affecting them. </w:t>
      </w:r>
    </w:p>
    <w:p w14:paraId="1BFB7B49" w14:textId="77777777" w:rsidR="0009166F" w:rsidRPr="00405575" w:rsidRDefault="0009166F" w:rsidP="0009166F">
      <w:pPr>
        <w:pStyle w:val="ListParagraph"/>
        <w:numPr>
          <w:ilvl w:val="0"/>
          <w:numId w:val="31"/>
        </w:numPr>
        <w:spacing w:before="0" w:after="160" w:line="240" w:lineRule="auto"/>
        <w:jc w:val="both"/>
      </w:pPr>
      <w:r w:rsidRPr="00405575">
        <w:t>Eliminate common night-walking laws and increase funding for programs serving LGBTQ youth at risk of sexual exploitation. </w:t>
      </w:r>
    </w:p>
    <w:p w14:paraId="60E0FCE5" w14:textId="6E6A7664" w:rsidR="0009166F" w:rsidRPr="00405575" w:rsidRDefault="0009166F" w:rsidP="0009166F">
      <w:pPr>
        <w:pStyle w:val="ListParagraph"/>
        <w:numPr>
          <w:ilvl w:val="0"/>
          <w:numId w:val="31"/>
        </w:numPr>
        <w:spacing w:before="0" w:after="160" w:line="240" w:lineRule="auto"/>
        <w:jc w:val="both"/>
      </w:pPr>
      <w:r w:rsidRPr="00405575">
        <w:t>Support legislative initiatives that improve equity and accountability within the Massachusetts legal system. </w:t>
      </w:r>
    </w:p>
    <w:p w14:paraId="3252CEEF" w14:textId="77777777" w:rsidR="0009166F" w:rsidRPr="00405575" w:rsidRDefault="0009166F" w:rsidP="00E97E73">
      <w:pPr>
        <w:pStyle w:val="Heading3"/>
      </w:pPr>
      <w:r w:rsidRPr="00405575">
        <w:t>Housing Stability &amp; Economic Opportunity</w:t>
      </w:r>
    </w:p>
    <w:p w14:paraId="2DD97653" w14:textId="77777777" w:rsidR="0009166F" w:rsidRPr="00405575" w:rsidRDefault="0009166F" w:rsidP="0009166F">
      <w:pPr>
        <w:pStyle w:val="ListParagraph"/>
        <w:numPr>
          <w:ilvl w:val="0"/>
          <w:numId w:val="32"/>
        </w:numPr>
        <w:spacing w:before="0" w:after="160" w:line="240" w:lineRule="auto"/>
        <w:jc w:val="both"/>
      </w:pPr>
      <w:r w:rsidRPr="00405575">
        <w:t>Increase funding for drop-in centers, shelter spaces, and housing programs for youth, with particular attention to services for transition-aged foster youth. </w:t>
      </w:r>
    </w:p>
    <w:p w14:paraId="0A9D1D48" w14:textId="77777777" w:rsidR="0009166F" w:rsidRPr="00405575" w:rsidRDefault="0009166F" w:rsidP="0009166F">
      <w:pPr>
        <w:pStyle w:val="ListParagraph"/>
        <w:numPr>
          <w:ilvl w:val="0"/>
          <w:numId w:val="32"/>
        </w:numPr>
        <w:spacing w:before="0" w:after="160" w:line="240" w:lineRule="auto"/>
        <w:jc w:val="both"/>
      </w:pPr>
      <w:r w:rsidRPr="00405575">
        <w:t>Implement the recommendations highlighted in the 2025 report of the Unaccompanied Homeless Youth Commission’s regarding young adults exchanging sex to meet their needs. </w:t>
      </w:r>
    </w:p>
    <w:p w14:paraId="4878FF70" w14:textId="77777777" w:rsidR="0009166F" w:rsidRPr="00405575" w:rsidRDefault="0009166F" w:rsidP="0009166F">
      <w:pPr>
        <w:pStyle w:val="ListParagraph"/>
        <w:numPr>
          <w:ilvl w:val="0"/>
          <w:numId w:val="32"/>
        </w:numPr>
        <w:spacing w:before="0" w:after="160" w:line="240" w:lineRule="auto"/>
        <w:jc w:val="both"/>
      </w:pPr>
      <w:r w:rsidRPr="00405575">
        <w:t>Invest in homelessness prevention and transitional housing resources. </w:t>
      </w:r>
    </w:p>
    <w:p w14:paraId="64EC52F0" w14:textId="77777777" w:rsidR="0009166F" w:rsidRPr="00405575" w:rsidRDefault="0009166F" w:rsidP="0009166F">
      <w:pPr>
        <w:pStyle w:val="ListParagraph"/>
        <w:numPr>
          <w:ilvl w:val="0"/>
          <w:numId w:val="32"/>
        </w:numPr>
        <w:spacing w:before="0" w:after="160" w:line="240" w:lineRule="auto"/>
        <w:jc w:val="both"/>
      </w:pPr>
      <w:r w:rsidRPr="00405575">
        <w:t>Improve access to rental assistance and housing stabilization programs, including increasing funding levels for RAFT. </w:t>
      </w:r>
    </w:p>
    <w:p w14:paraId="5936A690" w14:textId="77777777" w:rsidR="0009166F" w:rsidRPr="00405575" w:rsidRDefault="0009166F" w:rsidP="0009166F">
      <w:pPr>
        <w:pStyle w:val="ListParagraph"/>
        <w:numPr>
          <w:ilvl w:val="0"/>
          <w:numId w:val="32"/>
        </w:numPr>
        <w:spacing w:before="0" w:after="160" w:line="240" w:lineRule="auto"/>
        <w:jc w:val="both"/>
      </w:pPr>
      <w:r w:rsidRPr="00405575">
        <w:t>Codify and expand rental assistance programs - RAFT and the Massachusetts Rental Voucher Program - to ensure long-term housing stability. </w:t>
      </w:r>
    </w:p>
    <w:p w14:paraId="20A0D94D" w14:textId="77777777" w:rsidR="0009166F" w:rsidRPr="00405575" w:rsidRDefault="0009166F" w:rsidP="0009166F">
      <w:pPr>
        <w:pStyle w:val="ListParagraph"/>
        <w:numPr>
          <w:ilvl w:val="0"/>
          <w:numId w:val="32"/>
        </w:numPr>
        <w:spacing w:before="0" w:after="160" w:line="240" w:lineRule="auto"/>
        <w:jc w:val="both"/>
      </w:pPr>
      <w:r w:rsidRPr="00405575">
        <w:t>Mandate LGBTQ cultural awareness training and LGBTQ-inclusive nondiscrimination policies and procedures in shelters and housing programs. </w:t>
      </w:r>
    </w:p>
    <w:p w14:paraId="55BD2388" w14:textId="77777777" w:rsidR="0009166F" w:rsidRPr="00405575" w:rsidRDefault="0009166F" w:rsidP="0009166F">
      <w:pPr>
        <w:pStyle w:val="ListParagraph"/>
        <w:numPr>
          <w:ilvl w:val="0"/>
          <w:numId w:val="32"/>
        </w:numPr>
        <w:spacing w:before="0" w:after="160" w:line="240" w:lineRule="auto"/>
        <w:jc w:val="both"/>
      </w:pPr>
      <w:r w:rsidRPr="00405575">
        <w:t>Improve multicultural, LGBTQ-affirming housing services for immigrants and refugees. </w:t>
      </w:r>
    </w:p>
    <w:p w14:paraId="5408F9F6" w14:textId="77777777" w:rsidR="0009166F" w:rsidRPr="00405575" w:rsidRDefault="0009166F" w:rsidP="0009166F">
      <w:pPr>
        <w:pStyle w:val="ListParagraph"/>
        <w:numPr>
          <w:ilvl w:val="0"/>
          <w:numId w:val="32"/>
        </w:numPr>
        <w:spacing w:before="0" w:after="160" w:line="240" w:lineRule="auto"/>
        <w:jc w:val="both"/>
      </w:pPr>
      <w:r w:rsidRPr="00405575">
        <w:t>Pass legislation improving access to services for LGBTQ youth experiencing homelessness. </w:t>
      </w:r>
    </w:p>
    <w:p w14:paraId="776A3F3C" w14:textId="77777777" w:rsidR="0009166F" w:rsidRPr="00405575" w:rsidRDefault="0009166F" w:rsidP="0009166F">
      <w:pPr>
        <w:pStyle w:val="ListParagraph"/>
        <w:numPr>
          <w:ilvl w:val="0"/>
          <w:numId w:val="32"/>
        </w:numPr>
        <w:spacing w:before="0" w:after="160" w:line="240" w:lineRule="auto"/>
        <w:jc w:val="both"/>
      </w:pPr>
      <w:r w:rsidRPr="00405575">
        <w:t>Improve youth access to affordable housing by addressing the high cost of living across the Commonwealth. </w:t>
      </w:r>
    </w:p>
    <w:p w14:paraId="4208DE14" w14:textId="77777777" w:rsidR="0009166F" w:rsidRPr="00405575" w:rsidRDefault="0009166F" w:rsidP="0009166F">
      <w:pPr>
        <w:pStyle w:val="ListParagraph"/>
        <w:numPr>
          <w:ilvl w:val="0"/>
          <w:numId w:val="32"/>
        </w:numPr>
        <w:spacing w:before="0" w:after="160" w:line="240" w:lineRule="auto"/>
        <w:jc w:val="both"/>
      </w:pPr>
      <w:r w:rsidRPr="00405575">
        <w:t>Increase research on LGBTQ youth and families relocating to Massachusetts due to anti-LGBTQ policies in other states. </w:t>
      </w:r>
    </w:p>
    <w:p w14:paraId="693C73B7" w14:textId="77777777" w:rsidR="0009166F" w:rsidRPr="00405575" w:rsidRDefault="0009166F" w:rsidP="0009166F">
      <w:pPr>
        <w:pStyle w:val="ListParagraph"/>
        <w:numPr>
          <w:ilvl w:val="0"/>
          <w:numId w:val="32"/>
        </w:numPr>
        <w:spacing w:before="0" w:after="160" w:line="240" w:lineRule="auto"/>
        <w:jc w:val="both"/>
      </w:pPr>
      <w:r w:rsidRPr="00405575">
        <w:t>Improve access to LGBTQ-affirming job training and professional development opportunities in rural areas. </w:t>
      </w:r>
    </w:p>
    <w:p w14:paraId="399A304F" w14:textId="77777777" w:rsidR="0009166F" w:rsidRPr="00405575" w:rsidRDefault="0009166F" w:rsidP="00E97E73">
      <w:pPr>
        <w:pStyle w:val="Heading3"/>
      </w:pPr>
      <w:r w:rsidRPr="00405575">
        <w:lastRenderedPageBreak/>
        <w:t>Access to State Services &amp; Inclusive Governance</w:t>
      </w:r>
    </w:p>
    <w:p w14:paraId="6B3C10A7" w14:textId="77777777" w:rsidR="0009166F" w:rsidRPr="00405575" w:rsidRDefault="0009166F" w:rsidP="0009166F">
      <w:pPr>
        <w:pStyle w:val="ListParagraph"/>
        <w:numPr>
          <w:ilvl w:val="0"/>
          <w:numId w:val="33"/>
        </w:numPr>
        <w:spacing w:before="0" w:after="160" w:line="240" w:lineRule="auto"/>
        <w:jc w:val="both"/>
      </w:pPr>
      <w:r w:rsidRPr="00405575">
        <w:t>Establish an Immigrant and Refugee Task Force or Commission which includes a focus on the needs of LGBTQ immigrants. </w:t>
      </w:r>
    </w:p>
    <w:p w14:paraId="7A57D239" w14:textId="77777777" w:rsidR="0009166F" w:rsidRPr="00405575" w:rsidRDefault="0009166F" w:rsidP="0009166F">
      <w:pPr>
        <w:pStyle w:val="ListParagraph"/>
        <w:numPr>
          <w:ilvl w:val="0"/>
          <w:numId w:val="33"/>
        </w:numPr>
        <w:spacing w:before="0" w:after="160" w:line="240" w:lineRule="auto"/>
        <w:jc w:val="both"/>
      </w:pPr>
      <w:r w:rsidRPr="00405575">
        <w:t>Improve the availability of multilingual, LGBTQ-affirming services for foreign-born residents and increase funding for existing programs. </w:t>
      </w:r>
    </w:p>
    <w:p w14:paraId="1628C2C8" w14:textId="77777777" w:rsidR="0009166F" w:rsidRPr="00405575" w:rsidRDefault="0009166F" w:rsidP="0009166F">
      <w:pPr>
        <w:pStyle w:val="ListParagraph"/>
        <w:numPr>
          <w:ilvl w:val="0"/>
          <w:numId w:val="33"/>
        </w:numPr>
        <w:spacing w:before="0" w:after="160" w:line="240" w:lineRule="auto"/>
        <w:jc w:val="both"/>
      </w:pPr>
      <w:r w:rsidRPr="00405575">
        <w:t>Protect and support undocumented youth through inclusive policies and access to state services. </w:t>
      </w:r>
    </w:p>
    <w:p w14:paraId="34C51FB0" w14:textId="77777777" w:rsidR="0009166F" w:rsidRPr="00405575" w:rsidRDefault="0009166F" w:rsidP="0009166F">
      <w:pPr>
        <w:pStyle w:val="ListParagraph"/>
        <w:numPr>
          <w:ilvl w:val="0"/>
          <w:numId w:val="33"/>
        </w:numPr>
        <w:spacing w:before="0" w:after="160" w:line="240" w:lineRule="auto"/>
        <w:jc w:val="both"/>
      </w:pPr>
      <w:r w:rsidRPr="00405575">
        <w:t>Standardize sexual orientation and gender identity data collection across state agencies and update state forms to reflect inclusive demographic questions. </w:t>
      </w:r>
    </w:p>
    <w:p w14:paraId="095D8326" w14:textId="77777777" w:rsidR="0009166F" w:rsidRPr="00405575" w:rsidRDefault="0009166F" w:rsidP="0009166F">
      <w:pPr>
        <w:pStyle w:val="ListParagraph"/>
        <w:numPr>
          <w:ilvl w:val="0"/>
          <w:numId w:val="33"/>
        </w:numPr>
        <w:spacing w:before="0" w:after="160" w:line="240" w:lineRule="auto"/>
        <w:jc w:val="both"/>
      </w:pPr>
      <w:r w:rsidRPr="00405575">
        <w:t>Require all state agencies to adopt LGBTQ-inclusive nondiscrimination policies and review internal policies for compliance. </w:t>
      </w:r>
    </w:p>
    <w:p w14:paraId="637D04F8" w14:textId="77777777" w:rsidR="0009166F" w:rsidRPr="00405575" w:rsidRDefault="0009166F" w:rsidP="0009166F">
      <w:pPr>
        <w:pStyle w:val="ListParagraph"/>
        <w:numPr>
          <w:ilvl w:val="0"/>
          <w:numId w:val="33"/>
        </w:numPr>
        <w:spacing w:before="0" w:after="160" w:line="240" w:lineRule="auto"/>
        <w:jc w:val="both"/>
      </w:pPr>
      <w:r w:rsidRPr="00405575">
        <w:t>Ensure that all agencies provide mandatory LGBTQ cultural awareness trainings to staff and contracted providers. </w:t>
      </w:r>
    </w:p>
    <w:p w14:paraId="4E3498D3" w14:textId="77777777" w:rsidR="0009166F" w:rsidRPr="00405575" w:rsidRDefault="0009166F" w:rsidP="0009166F">
      <w:pPr>
        <w:pStyle w:val="ListParagraph"/>
        <w:numPr>
          <w:ilvl w:val="0"/>
          <w:numId w:val="33"/>
        </w:numPr>
        <w:spacing w:before="0" w:after="160" w:line="240" w:lineRule="auto"/>
        <w:jc w:val="both"/>
      </w:pPr>
      <w:r w:rsidRPr="00405575">
        <w:t>Develop a middle-school Youth Risk Behavior Survey and assess the needs of parents and elementary school educators. </w:t>
      </w:r>
    </w:p>
    <w:p w14:paraId="3AA2C087" w14:textId="4A4F7390" w:rsidR="0009166F" w:rsidRPr="00405575" w:rsidRDefault="0009166F" w:rsidP="0009166F">
      <w:pPr>
        <w:pStyle w:val="ListParagraph"/>
        <w:numPr>
          <w:ilvl w:val="0"/>
          <w:numId w:val="33"/>
        </w:numPr>
        <w:spacing w:before="0" w:after="160" w:line="240" w:lineRule="auto"/>
        <w:jc w:val="both"/>
      </w:pPr>
      <w:r w:rsidRPr="00405575">
        <w:t>Eliminate archaic homophobic and transphobic language from the Massachusetts General Laws. </w:t>
      </w:r>
    </w:p>
    <w:p w14:paraId="10C0D449" w14:textId="77777777" w:rsidR="0009166F" w:rsidRPr="00405575" w:rsidRDefault="0009166F" w:rsidP="00E97E73">
      <w:pPr>
        <w:pStyle w:val="Heading3"/>
      </w:pPr>
      <w:r w:rsidRPr="00405575">
        <w:t>Access to LGBTQ-Affirming Healthcare</w:t>
      </w:r>
    </w:p>
    <w:p w14:paraId="509CB4CF" w14:textId="407B4EE4" w:rsidR="0009166F" w:rsidRPr="00405575" w:rsidRDefault="0009166F" w:rsidP="0009166F">
      <w:pPr>
        <w:pStyle w:val="ListParagraph"/>
        <w:numPr>
          <w:ilvl w:val="0"/>
          <w:numId w:val="34"/>
        </w:numPr>
        <w:spacing w:before="0" w:after="160" w:line="240" w:lineRule="auto"/>
        <w:jc w:val="both"/>
      </w:pPr>
      <w:r w:rsidRPr="00405575">
        <w:t>Expand access to LGBTQ-affirming, multilingual, culturally competent healthcare, particularly in rural communities</w:t>
      </w:r>
      <w:r w:rsidR="007D658D" w:rsidRPr="00405575">
        <w:t xml:space="preserve">. </w:t>
      </w:r>
    </w:p>
    <w:p w14:paraId="26D13D32" w14:textId="77777777" w:rsidR="0009166F" w:rsidRPr="00405575" w:rsidRDefault="0009166F" w:rsidP="0009166F">
      <w:pPr>
        <w:pStyle w:val="ListParagraph"/>
        <w:numPr>
          <w:ilvl w:val="0"/>
          <w:numId w:val="34"/>
        </w:numPr>
        <w:spacing w:before="0" w:after="160" w:line="240" w:lineRule="auto"/>
        <w:jc w:val="both"/>
      </w:pPr>
      <w:r w:rsidRPr="00405575">
        <w:t>Expand LGBTQ cultural awareness, anti-bias, and racial equity training for hospital providers and staff. </w:t>
      </w:r>
    </w:p>
    <w:p w14:paraId="44257264" w14:textId="77777777" w:rsidR="0009166F" w:rsidRPr="00405575" w:rsidRDefault="0009166F" w:rsidP="0009166F">
      <w:pPr>
        <w:pStyle w:val="ListParagraph"/>
        <w:numPr>
          <w:ilvl w:val="0"/>
          <w:numId w:val="34"/>
        </w:numPr>
        <w:spacing w:before="0" w:after="160" w:line="240" w:lineRule="auto"/>
        <w:jc w:val="both"/>
      </w:pPr>
      <w:r w:rsidRPr="00405575">
        <w:t>Increase access to gender-affirming healthcare services, including removing barriers to care for youth under age 19. </w:t>
      </w:r>
    </w:p>
    <w:p w14:paraId="4CA0EAFB" w14:textId="2218B7C8" w:rsidR="0009166F" w:rsidRPr="00405575" w:rsidRDefault="0009166F" w:rsidP="0009166F">
      <w:pPr>
        <w:pStyle w:val="ListParagraph"/>
        <w:numPr>
          <w:ilvl w:val="0"/>
          <w:numId w:val="34"/>
        </w:numPr>
        <w:spacing w:before="0" w:after="160" w:line="240" w:lineRule="auto"/>
        <w:jc w:val="both"/>
      </w:pPr>
      <w:r w:rsidRPr="00405575">
        <w:t>Invest in community-based participatory research and strengthen sexual orientation and gender identity data collection standards. </w:t>
      </w:r>
    </w:p>
    <w:p w14:paraId="5463713B" w14:textId="77777777" w:rsidR="0009166F" w:rsidRPr="00405575" w:rsidRDefault="0009166F" w:rsidP="00E97E73">
      <w:pPr>
        <w:pStyle w:val="Heading3"/>
      </w:pPr>
      <w:r w:rsidRPr="00405575">
        <w:t>Community Public Health &amp; Violence Prevention</w:t>
      </w:r>
    </w:p>
    <w:p w14:paraId="05FBBA4E" w14:textId="77777777" w:rsidR="0009166F" w:rsidRPr="00405575" w:rsidRDefault="0009166F" w:rsidP="0009166F">
      <w:pPr>
        <w:pStyle w:val="ListParagraph"/>
        <w:numPr>
          <w:ilvl w:val="0"/>
          <w:numId w:val="35"/>
        </w:numPr>
        <w:spacing w:before="0" w:after="160" w:line="240" w:lineRule="auto"/>
        <w:jc w:val="both"/>
      </w:pPr>
      <w:r w:rsidRPr="00405575">
        <w:t>Create and expand community-informed public health programming that supports underserved youth and communities. </w:t>
      </w:r>
    </w:p>
    <w:p w14:paraId="2526FBF5" w14:textId="77777777" w:rsidR="0009166F" w:rsidRPr="00405575" w:rsidRDefault="0009166F" w:rsidP="0009166F">
      <w:pPr>
        <w:pStyle w:val="ListParagraph"/>
        <w:numPr>
          <w:ilvl w:val="0"/>
          <w:numId w:val="35"/>
        </w:numPr>
        <w:spacing w:before="0" w:after="160" w:line="240" w:lineRule="auto"/>
        <w:jc w:val="both"/>
      </w:pPr>
      <w:r w:rsidRPr="00405575">
        <w:t>Strengthen digital privacy protections, including limitations on the sale of personal location data and protections against doxxing. </w:t>
      </w:r>
    </w:p>
    <w:p w14:paraId="639CB3A1" w14:textId="77777777" w:rsidR="0009166F" w:rsidRPr="00405575" w:rsidRDefault="0009166F" w:rsidP="0009166F">
      <w:pPr>
        <w:pStyle w:val="ListParagraph"/>
        <w:numPr>
          <w:ilvl w:val="0"/>
          <w:numId w:val="35"/>
        </w:numPr>
        <w:spacing w:before="0" w:after="160" w:line="240" w:lineRule="auto"/>
        <w:jc w:val="both"/>
      </w:pPr>
      <w:r w:rsidRPr="00405575">
        <w:t>Increase access to sexually-transmitted infection screenings, prevention, and treatment. </w:t>
      </w:r>
    </w:p>
    <w:p w14:paraId="0DA40839" w14:textId="77777777" w:rsidR="0009166F" w:rsidRPr="00405575" w:rsidRDefault="0009166F" w:rsidP="0009166F">
      <w:pPr>
        <w:pStyle w:val="ListParagraph"/>
        <w:numPr>
          <w:ilvl w:val="0"/>
          <w:numId w:val="35"/>
        </w:numPr>
        <w:spacing w:before="0" w:after="160" w:line="240" w:lineRule="auto"/>
        <w:jc w:val="both"/>
      </w:pPr>
      <w:r w:rsidRPr="00405575">
        <w:t>Expand community-based substance use treatment supports, particularly in rural areas. </w:t>
      </w:r>
    </w:p>
    <w:p w14:paraId="68DC394A" w14:textId="77777777" w:rsidR="0009166F" w:rsidRPr="00405575" w:rsidRDefault="0009166F" w:rsidP="0009166F">
      <w:pPr>
        <w:pStyle w:val="ListParagraph"/>
        <w:numPr>
          <w:ilvl w:val="0"/>
          <w:numId w:val="35"/>
        </w:numPr>
        <w:spacing w:before="0" w:after="160" w:line="240" w:lineRule="auto"/>
        <w:jc w:val="both"/>
      </w:pPr>
      <w:r w:rsidRPr="00405575">
        <w:t>Increase funding for organizations supporting LGBTQ survivors of intimate partner violence. </w:t>
      </w:r>
    </w:p>
    <w:p w14:paraId="638EA9C4" w14:textId="77777777" w:rsidR="0009166F" w:rsidRPr="00405575" w:rsidRDefault="0009166F" w:rsidP="0009166F">
      <w:pPr>
        <w:pStyle w:val="ListParagraph"/>
        <w:numPr>
          <w:ilvl w:val="0"/>
          <w:numId w:val="35"/>
        </w:numPr>
        <w:spacing w:before="0" w:after="160" w:line="240" w:lineRule="auto"/>
        <w:jc w:val="both"/>
      </w:pPr>
      <w:r w:rsidRPr="00405575">
        <w:t>Invest in initiatives addressing high rates of sexual victimization among LGBTQ youth. </w:t>
      </w:r>
    </w:p>
    <w:p w14:paraId="560F9639" w14:textId="2DDB7E11" w:rsidR="0009166F" w:rsidRPr="00405575" w:rsidRDefault="0009166F" w:rsidP="0009166F">
      <w:pPr>
        <w:pStyle w:val="ListParagraph"/>
        <w:numPr>
          <w:ilvl w:val="0"/>
          <w:numId w:val="35"/>
        </w:numPr>
        <w:spacing w:before="0" w:after="160" w:line="240" w:lineRule="auto"/>
        <w:jc w:val="both"/>
      </w:pPr>
      <w:r w:rsidRPr="00405575">
        <w:t>Decriminalize sex work and increase resources for programs serving youth at risk of commercial sexual exploitation. </w:t>
      </w:r>
    </w:p>
    <w:p w14:paraId="2F02EB3D" w14:textId="77777777" w:rsidR="0009166F" w:rsidRPr="00405575" w:rsidRDefault="0009166F" w:rsidP="00E97E73">
      <w:pPr>
        <w:pStyle w:val="Heading3"/>
      </w:pPr>
      <w:r w:rsidRPr="00405575">
        <w:lastRenderedPageBreak/>
        <w:t>Mental Health</w:t>
      </w:r>
    </w:p>
    <w:p w14:paraId="1E075788" w14:textId="35BEC1C1" w:rsidR="0009166F" w:rsidRPr="00405575" w:rsidRDefault="0009166F" w:rsidP="0009166F">
      <w:pPr>
        <w:pStyle w:val="ListParagraph"/>
        <w:numPr>
          <w:ilvl w:val="0"/>
          <w:numId w:val="36"/>
        </w:numPr>
        <w:spacing w:before="0" w:after="160" w:line="240" w:lineRule="auto"/>
        <w:jc w:val="both"/>
      </w:pPr>
      <w:r w:rsidRPr="00405575">
        <w:t xml:space="preserve">Expand culturally competent mental health services for QTBIPOC, immigrant, and </w:t>
      </w:r>
      <w:r w:rsidR="00121BF5">
        <w:t xml:space="preserve">youth </w:t>
      </w:r>
      <w:proofErr w:type="spellStart"/>
      <w:r w:rsidRPr="00405575">
        <w:t>youth</w:t>
      </w:r>
      <w:proofErr w:type="spellEnd"/>
      <w:r w:rsidR="00121BF5">
        <w:t xml:space="preserve"> with disabilities</w:t>
      </w:r>
      <w:r w:rsidRPr="00405575">
        <w:t>. </w:t>
      </w:r>
    </w:p>
    <w:p w14:paraId="1AB5C41D" w14:textId="77777777" w:rsidR="0009166F" w:rsidRPr="00405575" w:rsidRDefault="0009166F" w:rsidP="0009166F">
      <w:pPr>
        <w:pStyle w:val="ListParagraph"/>
        <w:numPr>
          <w:ilvl w:val="0"/>
          <w:numId w:val="36"/>
        </w:numPr>
        <w:spacing w:before="0" w:after="160" w:line="240" w:lineRule="auto"/>
        <w:jc w:val="both"/>
      </w:pPr>
      <w:r w:rsidRPr="00405575">
        <w:t>Invest in recruitment, retention, and professional development for mental health professionals. </w:t>
      </w:r>
    </w:p>
    <w:p w14:paraId="4A315FDB" w14:textId="77777777" w:rsidR="0009166F" w:rsidRPr="00405575" w:rsidRDefault="0009166F" w:rsidP="0009166F">
      <w:pPr>
        <w:pStyle w:val="ListParagraph"/>
        <w:numPr>
          <w:ilvl w:val="0"/>
          <w:numId w:val="36"/>
        </w:numPr>
        <w:spacing w:before="0" w:after="160" w:line="240" w:lineRule="auto"/>
        <w:jc w:val="both"/>
      </w:pPr>
      <w:r w:rsidRPr="00405575">
        <w:t>Expand access to peer support programs, community gathering spaces, and youth-led support networks. </w:t>
      </w:r>
    </w:p>
    <w:p w14:paraId="63372DCC" w14:textId="77777777" w:rsidR="0009166F" w:rsidRPr="00405575" w:rsidRDefault="0009166F" w:rsidP="0009166F">
      <w:pPr>
        <w:pStyle w:val="ListParagraph"/>
        <w:numPr>
          <w:ilvl w:val="0"/>
          <w:numId w:val="36"/>
        </w:numPr>
        <w:spacing w:before="0" w:after="160" w:line="240" w:lineRule="auto"/>
        <w:jc w:val="both"/>
      </w:pPr>
      <w:r w:rsidRPr="00405575">
        <w:t>Support innovative and community-based mental health resources for LGBTQ youth. </w:t>
      </w:r>
    </w:p>
    <w:p w14:paraId="234FF9D6" w14:textId="3696D38E" w:rsidR="0009166F" w:rsidRPr="00405575" w:rsidRDefault="0009166F" w:rsidP="0009166F">
      <w:pPr>
        <w:pStyle w:val="ListParagraph"/>
        <w:numPr>
          <w:ilvl w:val="0"/>
          <w:numId w:val="36"/>
        </w:numPr>
        <w:spacing w:before="0" w:after="160" w:line="240" w:lineRule="auto"/>
        <w:jc w:val="both"/>
      </w:pPr>
      <w:r w:rsidRPr="00405575">
        <w:t xml:space="preserve">Expand access to mental health services for youth </w:t>
      </w:r>
      <w:proofErr w:type="gramStart"/>
      <w:r w:rsidRPr="00405575">
        <w:t>involved</w:t>
      </w:r>
      <w:proofErr w:type="gramEnd"/>
      <w:r w:rsidRPr="00405575">
        <w:t xml:space="preserve"> in state systems, including education, child welfare, and juvenile justice. </w:t>
      </w:r>
    </w:p>
    <w:p w14:paraId="4E3051F8" w14:textId="77777777" w:rsidR="0009166F" w:rsidRPr="00405575" w:rsidRDefault="0009166F" w:rsidP="00E97E73">
      <w:pPr>
        <w:pStyle w:val="Heading3"/>
      </w:pPr>
      <w:r w:rsidRPr="00405575">
        <w:t>Sexual &amp; Reproductive Health</w:t>
      </w:r>
    </w:p>
    <w:p w14:paraId="2EC57F05" w14:textId="77777777" w:rsidR="0009166F" w:rsidRPr="00405575" w:rsidRDefault="0009166F" w:rsidP="0009166F">
      <w:pPr>
        <w:pStyle w:val="ListParagraph"/>
        <w:numPr>
          <w:ilvl w:val="0"/>
          <w:numId w:val="37"/>
        </w:numPr>
        <w:spacing w:before="0" w:after="160" w:line="240" w:lineRule="auto"/>
        <w:jc w:val="both"/>
      </w:pPr>
      <w:r w:rsidRPr="00405575">
        <w:t>Ensure all youth have access to age-appropriate, LGBTQ-inclusive, consent-based sexual health education and provide educators with implementation support. </w:t>
      </w:r>
    </w:p>
    <w:p w14:paraId="69A6BA2E" w14:textId="77777777" w:rsidR="0009166F" w:rsidRPr="00405575" w:rsidRDefault="0009166F" w:rsidP="0009166F">
      <w:pPr>
        <w:pStyle w:val="ListParagraph"/>
        <w:numPr>
          <w:ilvl w:val="0"/>
          <w:numId w:val="37"/>
        </w:numPr>
        <w:spacing w:before="0" w:after="160" w:line="240" w:lineRule="auto"/>
        <w:jc w:val="both"/>
      </w:pPr>
      <w:r w:rsidRPr="00405575">
        <w:t>Improve research on the experiences of LGBTQ birthing people and access to gender-affirming reproductive healthcare. </w:t>
      </w:r>
    </w:p>
    <w:p w14:paraId="3C416EF9" w14:textId="77777777" w:rsidR="0009166F" w:rsidRPr="00405575" w:rsidRDefault="0009166F" w:rsidP="0009166F">
      <w:pPr>
        <w:pStyle w:val="ListParagraph"/>
        <w:numPr>
          <w:ilvl w:val="0"/>
          <w:numId w:val="37"/>
        </w:numPr>
        <w:spacing w:before="0" w:after="160" w:line="240" w:lineRule="auto"/>
        <w:jc w:val="both"/>
      </w:pPr>
      <w:r w:rsidRPr="00405575">
        <w:t>Create and fund community birthing centers across the Commonwealth and expand access to culturally competent doula services. </w:t>
      </w:r>
    </w:p>
    <w:p w14:paraId="354B0E64" w14:textId="77777777" w:rsidR="0009166F" w:rsidRPr="00405575" w:rsidRDefault="0009166F" w:rsidP="0009166F">
      <w:pPr>
        <w:pStyle w:val="ListParagraph"/>
        <w:numPr>
          <w:ilvl w:val="0"/>
          <w:numId w:val="37"/>
        </w:numPr>
        <w:spacing w:before="0" w:after="160" w:line="240" w:lineRule="auto"/>
        <w:jc w:val="both"/>
      </w:pPr>
      <w:r w:rsidRPr="00405575">
        <w:t>Increase access to contraceptives, menstrual products, and other essential reproductive health supplies. </w:t>
      </w:r>
    </w:p>
    <w:p w14:paraId="45A028AD" w14:textId="5189A02C" w:rsidR="0009166F" w:rsidRPr="00405575" w:rsidRDefault="0009166F" w:rsidP="0009166F">
      <w:pPr>
        <w:pStyle w:val="ListParagraph"/>
        <w:numPr>
          <w:ilvl w:val="0"/>
          <w:numId w:val="37"/>
        </w:numPr>
        <w:spacing w:before="0" w:after="160" w:line="240" w:lineRule="auto"/>
        <w:jc w:val="both"/>
      </w:pPr>
      <w:r w:rsidRPr="00405575">
        <w:t>Continue exploring pathways to expand access to abortion services, particularly in rural areas</w:t>
      </w:r>
      <w:r w:rsidR="007D658D" w:rsidRPr="00405575">
        <w:t xml:space="preserve">. </w:t>
      </w:r>
    </w:p>
    <w:p w14:paraId="2C455CA0" w14:textId="77777777" w:rsidR="0009166F" w:rsidRPr="00405575" w:rsidRDefault="0009166F" w:rsidP="00E97E73">
      <w:pPr>
        <w:pStyle w:val="Heading3"/>
      </w:pPr>
      <w:r w:rsidRPr="00405575">
        <w:t>Environmental Health</w:t>
      </w:r>
    </w:p>
    <w:p w14:paraId="7BFF2F8D" w14:textId="77777777" w:rsidR="0009166F" w:rsidRPr="00405575" w:rsidRDefault="0009166F" w:rsidP="0009166F">
      <w:pPr>
        <w:pStyle w:val="ListParagraph"/>
        <w:numPr>
          <w:ilvl w:val="0"/>
          <w:numId w:val="38"/>
        </w:numPr>
        <w:spacing w:before="0" w:after="160" w:line="240" w:lineRule="auto"/>
        <w:jc w:val="both"/>
      </w:pPr>
      <w:r w:rsidRPr="00405575">
        <w:t>Increase research on the impacts of environmental hazards on marginalized communities. </w:t>
      </w:r>
    </w:p>
    <w:p w14:paraId="07D034BA" w14:textId="54145E9E" w:rsidR="0009166F" w:rsidRPr="00405575" w:rsidRDefault="0009166F" w:rsidP="0009166F">
      <w:pPr>
        <w:pStyle w:val="ListParagraph"/>
        <w:numPr>
          <w:ilvl w:val="0"/>
          <w:numId w:val="38"/>
        </w:numPr>
        <w:spacing w:before="0" w:after="160" w:line="240" w:lineRule="auto"/>
        <w:jc w:val="both"/>
      </w:pPr>
      <w:r w:rsidRPr="00405575">
        <w:t>Expand environmental justice policies and programs to address the unique impacts of environmental inequities on LGBTQ and QTBIPOC youth</w:t>
      </w:r>
      <w:r w:rsidR="007D658D" w:rsidRPr="00405575">
        <w:t xml:space="preserve">. </w:t>
      </w:r>
    </w:p>
    <w:p w14:paraId="59838AD3" w14:textId="77777777" w:rsidR="0009166F" w:rsidRPr="00405575" w:rsidRDefault="0009166F" w:rsidP="0009166F">
      <w:pPr>
        <w:spacing w:line="240" w:lineRule="auto"/>
        <w:jc w:val="both"/>
      </w:pPr>
    </w:p>
    <w:p w14:paraId="51CBB44E" w14:textId="77777777" w:rsidR="00DC0226" w:rsidRDefault="00DC0226" w:rsidP="00DC0226">
      <w:pPr>
        <w:jc w:val="both"/>
      </w:pPr>
    </w:p>
    <w:p w14:paraId="61FE878F" w14:textId="14F356C7" w:rsidR="00A615F1" w:rsidRDefault="00A615F1"/>
    <w:p w14:paraId="7460F900" w14:textId="1DBAEF09" w:rsidR="00DC0226" w:rsidRDefault="00DC0226" w:rsidP="0005607E">
      <w:pPr>
        <w:jc w:val="both"/>
      </w:pPr>
    </w:p>
    <w:p w14:paraId="277100CA" w14:textId="77777777" w:rsidR="00DC0226" w:rsidRDefault="00DC0226">
      <w:r>
        <w:br w:type="page"/>
      </w:r>
    </w:p>
    <w:p w14:paraId="68123653" w14:textId="5654D513" w:rsidR="00E621D0" w:rsidRDefault="00DC0226" w:rsidP="0005607E">
      <w:pPr>
        <w:jc w:val="both"/>
      </w:pPr>
      <w:r>
        <w:rPr>
          <w:noProof/>
        </w:rPr>
        <w:lastRenderedPageBreak/>
        <w:drawing>
          <wp:anchor distT="0" distB="0" distL="114300" distR="114300" simplePos="0" relativeHeight="251797504" behindDoc="1" locked="0" layoutInCell="1" allowOverlap="1" wp14:anchorId="59700EF4" wp14:editId="4A74F854">
            <wp:simplePos x="0" y="0"/>
            <wp:positionH relativeFrom="column">
              <wp:posOffset>-1024255</wp:posOffset>
            </wp:positionH>
            <wp:positionV relativeFrom="paragraph">
              <wp:posOffset>-962660</wp:posOffset>
            </wp:positionV>
            <wp:extent cx="7877175" cy="10387330"/>
            <wp:effectExtent l="0" t="0" r="9525" b="0"/>
            <wp:wrapNone/>
            <wp:docPr id="1604706328" name="Picture 42" descr="A cover page marking the core recommendation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06328" name="Picture 42" descr="A cover page marking the core recommendations section."/>
                    <pic:cNvPicPr/>
                  </pic:nvPicPr>
                  <pic:blipFill>
                    <a:blip r:embed="rId21">
                      <a:extLst>
                        <a:ext uri="{28A0092B-C50C-407E-A947-70E740481C1C}">
                          <a14:useLocalDpi xmlns:a14="http://schemas.microsoft.com/office/drawing/2010/main" val="0"/>
                        </a:ext>
                      </a:extLst>
                    </a:blip>
                    <a:stretch>
                      <a:fillRect/>
                    </a:stretch>
                  </pic:blipFill>
                  <pic:spPr>
                    <a:xfrm>
                      <a:off x="0" y="0"/>
                      <a:ext cx="7877175" cy="10387330"/>
                    </a:xfrm>
                    <a:prstGeom prst="rect">
                      <a:avLst/>
                    </a:prstGeom>
                  </pic:spPr>
                </pic:pic>
              </a:graphicData>
            </a:graphic>
            <wp14:sizeRelH relativeFrom="page">
              <wp14:pctWidth>0</wp14:pctWidth>
            </wp14:sizeRelH>
            <wp14:sizeRelV relativeFrom="page">
              <wp14:pctHeight>0</wp14:pctHeight>
            </wp14:sizeRelV>
          </wp:anchor>
        </w:drawing>
      </w:r>
    </w:p>
    <w:p w14:paraId="359E2699" w14:textId="59D3E610" w:rsidR="00E621D0" w:rsidRDefault="00E621D0" w:rsidP="0005607E">
      <w:pPr>
        <w:jc w:val="both"/>
      </w:pPr>
      <w:r>
        <w:br w:type="page"/>
      </w:r>
    </w:p>
    <w:p w14:paraId="4982CE3E" w14:textId="77777777" w:rsidR="00C65721" w:rsidRDefault="00C65721" w:rsidP="0005607E">
      <w:pPr>
        <w:jc w:val="both"/>
      </w:pPr>
    </w:p>
    <w:p w14:paraId="54FE4A88" w14:textId="3C1B760F" w:rsidR="00091812" w:rsidRDefault="00091812" w:rsidP="0005607E">
      <w:pPr>
        <w:jc w:val="both"/>
      </w:pPr>
      <w:r>
        <w:rPr>
          <w:noProof/>
        </w:rPr>
        <w:drawing>
          <wp:anchor distT="0" distB="0" distL="114300" distR="114300" simplePos="0" relativeHeight="251752448" behindDoc="1" locked="0" layoutInCell="1" allowOverlap="1" wp14:anchorId="56C68E05" wp14:editId="79855B64">
            <wp:simplePos x="0" y="0"/>
            <wp:positionH relativeFrom="column">
              <wp:posOffset>1747838</wp:posOffset>
            </wp:positionH>
            <wp:positionV relativeFrom="paragraph">
              <wp:posOffset>-5580062</wp:posOffset>
            </wp:positionV>
            <wp:extent cx="2924175" cy="8286750"/>
            <wp:effectExtent l="4763" t="0" r="0" b="0"/>
            <wp:wrapNone/>
            <wp:docPr id="227317294" name="Picture 62" descr="a rainbow progress flag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317294" name="Picture 62" descr="a rainbow progress flag header"/>
                    <pic:cNvPicPr/>
                  </pic:nvPicPr>
                  <pic:blipFill rotWithShape="1">
                    <a:blip r:embed="rId22" cstate="print">
                      <a:extLst>
                        <a:ext uri="{28A0092B-C50C-407E-A947-70E740481C1C}">
                          <a14:useLocalDpi xmlns:a14="http://schemas.microsoft.com/office/drawing/2010/main" val="0"/>
                        </a:ext>
                      </a:extLst>
                    </a:blip>
                    <a:srcRect r="47069"/>
                    <a:stretch>
                      <a:fillRect/>
                    </a:stretch>
                  </pic:blipFill>
                  <pic:spPr bwMode="auto">
                    <a:xfrm rot="5400000">
                      <a:off x="0" y="0"/>
                      <a:ext cx="2924175" cy="8286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94AC0F" w14:textId="1797F840" w:rsidR="23B6FB0B" w:rsidRPr="00E621D0" w:rsidRDefault="5AEC7EA3" w:rsidP="00B7107C">
      <w:pPr>
        <w:pStyle w:val="Heading2"/>
      </w:pPr>
      <w:bookmarkStart w:id="64" w:name="_Toc230276112"/>
      <w:bookmarkStart w:id="65" w:name="_Toc230276219"/>
      <w:bookmarkStart w:id="66" w:name="_Toc230276302"/>
      <w:bookmarkStart w:id="67" w:name="_Toc230276354"/>
      <w:bookmarkStart w:id="68" w:name="_Toc230277095"/>
      <w:bookmarkStart w:id="69" w:name="_Toc230277285"/>
      <w:bookmarkStart w:id="70" w:name="_Toc230355477"/>
      <w:r w:rsidRPr="00E621D0">
        <w:t>Child Welfare and Youth Development</w:t>
      </w:r>
      <w:bookmarkEnd w:id="64"/>
      <w:bookmarkEnd w:id="65"/>
      <w:bookmarkEnd w:id="66"/>
      <w:bookmarkEnd w:id="67"/>
      <w:bookmarkEnd w:id="68"/>
      <w:bookmarkEnd w:id="69"/>
      <w:bookmarkEnd w:id="70"/>
    </w:p>
    <w:p w14:paraId="5FC17E8E" w14:textId="6C146DA3" w:rsidR="21DE2578" w:rsidRPr="00083E3E" w:rsidRDefault="21DE2578" w:rsidP="0005607E">
      <w:pPr>
        <w:jc w:val="both"/>
      </w:pPr>
      <w:r w:rsidRPr="00083E3E">
        <w:t>LGBTQ youth involved in state systems - including child welfare, juvenile justice, education, and housing - face overlapping and compounding barriers that</w:t>
      </w:r>
      <w:r w:rsidR="00D712F1">
        <w:t xml:space="preserve"> can</w:t>
      </w:r>
      <w:r w:rsidRPr="00083E3E">
        <w:t xml:space="preserve"> significantly impact their long-term outcomes. These challenges are often intensified for QTBIPOC youth, immigrant youth, youth with disabilities, and those experiencing homelessness or </w:t>
      </w:r>
      <w:r w:rsidR="00790BEF">
        <w:t>caregiver</w:t>
      </w:r>
      <w:r w:rsidRPr="00083E3E">
        <w:t xml:space="preserve"> rejection. While Massachusetts has made meaningful progress in advancing protections and services, </w:t>
      </w:r>
      <w:r w:rsidR="00790BEF">
        <w:t xml:space="preserve">there are </w:t>
      </w:r>
      <w:r w:rsidRPr="00083E3E">
        <w:t>persistent gaps in coordination</w:t>
      </w:r>
      <w:r w:rsidR="00790BEF">
        <w:t xml:space="preserve"> that remain, and limited</w:t>
      </w:r>
      <w:r w:rsidRPr="00083E3E">
        <w:t xml:space="preserve"> data collection and access to affirming resources continue to limit the effectiveness of these efforts.</w:t>
      </w:r>
    </w:p>
    <w:p w14:paraId="1CC501EB" w14:textId="44BA10E8" w:rsidR="21DE2578" w:rsidRPr="00083E3E" w:rsidRDefault="21DE2578" w:rsidP="0005607E">
      <w:pPr>
        <w:jc w:val="both"/>
      </w:pPr>
      <w:r w:rsidRPr="00083E3E">
        <w:t xml:space="preserve">The following recommendations outline a comprehensive, </w:t>
      </w:r>
      <w:r w:rsidR="00291D08">
        <w:t>multi</w:t>
      </w:r>
      <w:r w:rsidRPr="00083E3E">
        <w:t>system approach to improving outcomes for LGBTQ youth by strengthening supports related to economic stability, education, housing, mental health, and system accountability.</w:t>
      </w:r>
    </w:p>
    <w:p w14:paraId="2B13113E" w14:textId="1B3AA290" w:rsidR="23B6FB0B" w:rsidRPr="00637E28" w:rsidRDefault="5AEC7EA3" w:rsidP="00E97E73">
      <w:pPr>
        <w:pStyle w:val="Heading3"/>
      </w:pPr>
      <w:bookmarkStart w:id="71" w:name="_Toc230277286"/>
      <w:r w:rsidRPr="00637E28">
        <w:t xml:space="preserve">Expand programming and independent living </w:t>
      </w:r>
      <w:r w:rsidR="00D712F1" w:rsidRPr="00637E28">
        <w:t xml:space="preserve">services </w:t>
      </w:r>
      <w:r w:rsidRPr="00637E28">
        <w:t>for transition</w:t>
      </w:r>
      <w:r w:rsidR="58EBCD6F" w:rsidRPr="00637E28">
        <w:t>-</w:t>
      </w:r>
      <w:r w:rsidRPr="00637E28">
        <w:t>aged foster youth, including workforce development, housing stabilization supports, and direct financial assistance.</w:t>
      </w:r>
      <w:bookmarkEnd w:id="71"/>
    </w:p>
    <w:p w14:paraId="5AA5A626" w14:textId="3796FDA9" w:rsidR="003F51E6" w:rsidRDefault="00D712F1" w:rsidP="0005607E">
      <w:pPr>
        <w:jc w:val="both"/>
      </w:pPr>
      <w:r>
        <w:t xml:space="preserve">Expanding </w:t>
      </w:r>
      <w:r w:rsidR="2A7E70B2" w:rsidRPr="00083E3E">
        <w:t xml:space="preserve">programming and independent living </w:t>
      </w:r>
      <w:r w:rsidR="00291D08">
        <w:t xml:space="preserve">services </w:t>
      </w:r>
      <w:r w:rsidR="2A7E70B2" w:rsidRPr="00083E3E">
        <w:t xml:space="preserve">for transition-aged foster youth is essential to </w:t>
      </w:r>
      <w:r w:rsidR="00291D08">
        <w:t xml:space="preserve">improve </w:t>
      </w:r>
      <w:r w:rsidR="2A7E70B2" w:rsidRPr="00083E3E">
        <w:t xml:space="preserve">long-term outcomes for young people </w:t>
      </w:r>
      <w:proofErr w:type="gramStart"/>
      <w:r w:rsidR="2A7E70B2" w:rsidRPr="00083E3E">
        <w:t>exiting</w:t>
      </w:r>
      <w:proofErr w:type="gramEnd"/>
      <w:r w:rsidR="2A7E70B2" w:rsidRPr="00083E3E">
        <w:t xml:space="preserve"> the child welfare system. Youth transitioning out of </w:t>
      </w:r>
      <w:r w:rsidR="00291D08">
        <w:t xml:space="preserve">the child welfare system often </w:t>
      </w:r>
      <w:r w:rsidR="2A7E70B2" w:rsidRPr="00083E3E">
        <w:t xml:space="preserve">face significant barriers to </w:t>
      </w:r>
      <w:r w:rsidR="00291D08">
        <w:t xml:space="preserve">securing </w:t>
      </w:r>
      <w:r w:rsidR="2A7E70B2" w:rsidRPr="00083E3E">
        <w:t xml:space="preserve">stable employment, financial independence, and educational </w:t>
      </w:r>
      <w:r w:rsidR="00291D08">
        <w:t>achievement</w:t>
      </w:r>
      <w:r w:rsidR="2A7E70B2" w:rsidRPr="00083E3E">
        <w:t xml:space="preserve">, </w:t>
      </w:r>
      <w:r w:rsidR="003F51E6">
        <w:t xml:space="preserve">which contributes </w:t>
      </w:r>
      <w:r w:rsidR="2A7E70B2" w:rsidRPr="00083E3E">
        <w:t xml:space="preserve">to some of the most pronounced disparities in health, employment, and housing outcomes </w:t>
      </w:r>
      <w:r w:rsidR="00291D08">
        <w:t>among the Commonwealth’s residents</w:t>
      </w:r>
      <w:r w:rsidR="2A7E70B2" w:rsidRPr="00083E3E">
        <w:t>.</w:t>
      </w:r>
      <w:r w:rsidR="00D04751">
        <w:t xml:space="preserve"> </w:t>
      </w:r>
    </w:p>
    <w:p w14:paraId="445B78A0" w14:textId="642F6940" w:rsidR="2A7E70B2" w:rsidRPr="00083E3E" w:rsidRDefault="00FF7045" w:rsidP="0005607E">
      <w:pPr>
        <w:jc w:val="both"/>
      </w:pPr>
      <w:r w:rsidRPr="00FF7045">
        <w:t xml:space="preserve">Across the Commission’s FY 2026 listening sessions, youth and providers repeatedly emphasized that LGBTQ youth need </w:t>
      </w:r>
      <w:r w:rsidR="00291D08">
        <w:t>tangible forms of assistance</w:t>
      </w:r>
      <w:r w:rsidR="00790BEF">
        <w:t xml:space="preserve"> </w:t>
      </w:r>
      <w:proofErr w:type="gramStart"/>
      <w:r w:rsidR="00790BEF">
        <w:t>in order to</w:t>
      </w:r>
      <w:proofErr w:type="gramEnd"/>
      <w:r w:rsidR="00790BEF">
        <w:t xml:space="preserve"> thrive. These types of assistance</w:t>
      </w:r>
      <w:r>
        <w:t xml:space="preserve"> </w:t>
      </w:r>
      <w:r w:rsidR="00790BEF">
        <w:t xml:space="preserve">include </w:t>
      </w:r>
      <w:r w:rsidRPr="00FF7045">
        <w:t xml:space="preserve">housing </w:t>
      </w:r>
      <w:r w:rsidR="00291D08">
        <w:t>support</w:t>
      </w:r>
      <w:r w:rsidRPr="00FF7045">
        <w:t>, transportation</w:t>
      </w:r>
      <w:r w:rsidR="00790BEF">
        <w:t xml:space="preserve"> assistance (especially in rural areas with limited or no public transit systems)</w:t>
      </w:r>
      <w:r w:rsidRPr="00FF7045">
        <w:t xml:space="preserve">, employment </w:t>
      </w:r>
      <w:r w:rsidR="00790BEF">
        <w:t>services and readiness training</w:t>
      </w:r>
      <w:r w:rsidRPr="00FF7045">
        <w:t xml:space="preserve">, documentation assistance, gender-affirming supplies, and direct financial </w:t>
      </w:r>
      <w:r w:rsidR="00291D08">
        <w:t>assistance</w:t>
      </w:r>
      <w:r w:rsidRPr="00FF7045">
        <w:t xml:space="preserve">. </w:t>
      </w:r>
      <w:r w:rsidR="00291D08">
        <w:t>The difficulties in finding these</w:t>
      </w:r>
      <w:r w:rsidR="003F51E6">
        <w:t xml:space="preserve"> reliable</w:t>
      </w:r>
      <w:r w:rsidR="00291D08">
        <w:t xml:space="preserve"> supports </w:t>
      </w:r>
      <w:r w:rsidR="003F51E6">
        <w:t xml:space="preserve">from the state </w:t>
      </w:r>
      <w:r w:rsidR="00291D08">
        <w:t xml:space="preserve">and </w:t>
      </w:r>
      <w:r w:rsidR="00790BEF">
        <w:t xml:space="preserve">of navigating </w:t>
      </w:r>
      <w:r w:rsidR="00291D08">
        <w:t xml:space="preserve">existing protective mechanisms also highlight the necessity for </w:t>
      </w:r>
      <w:r w:rsidR="00790BEF">
        <w:t xml:space="preserve">the state to further invest in </w:t>
      </w:r>
      <w:r w:rsidR="00291D08">
        <w:t xml:space="preserve">accessible, youth-centered independent living </w:t>
      </w:r>
      <w:r w:rsidR="00790BEF">
        <w:t>services</w:t>
      </w:r>
      <w:r w:rsidR="00291D08">
        <w:t xml:space="preserve">. </w:t>
      </w:r>
    </w:p>
    <w:p w14:paraId="4054B0E8" w14:textId="7DDA2A28" w:rsidR="00592E89" w:rsidRPr="00083E3E" w:rsidRDefault="003F51E6" w:rsidP="0005607E">
      <w:pPr>
        <w:jc w:val="both"/>
      </w:pPr>
      <w:r>
        <w:rPr>
          <w:noProof/>
        </w:rPr>
        <w:lastRenderedPageBreak/>
        <w:drawing>
          <wp:anchor distT="0" distB="0" distL="114300" distR="114300" simplePos="0" relativeHeight="251737088" behindDoc="0" locked="0" layoutInCell="1" allowOverlap="1" wp14:anchorId="35AFA531" wp14:editId="50B9D23E">
            <wp:simplePos x="0" y="0"/>
            <wp:positionH relativeFrom="column">
              <wp:posOffset>0</wp:posOffset>
            </wp:positionH>
            <wp:positionV relativeFrom="paragraph">
              <wp:posOffset>1032650</wp:posOffset>
            </wp:positionV>
            <wp:extent cx="1905000" cy="1676400"/>
            <wp:effectExtent l="0" t="0" r="0" b="0"/>
            <wp:wrapSquare wrapText="bothSides"/>
            <wp:docPr id="2056741628" name="Picture 49" descr="a graphic saying that 39.7% of foster youth were emplo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741628" name="Picture 49" descr="a graphic saying that 39.7% of foster youth were employed"/>
                    <pic:cNvPicPr/>
                  </pic:nvPicPr>
                  <pic:blipFill rotWithShape="1">
                    <a:blip r:embed="rId23" cstate="print">
                      <a:extLst>
                        <a:ext uri="{28A0092B-C50C-407E-A947-70E740481C1C}">
                          <a14:useLocalDpi xmlns:a14="http://schemas.microsoft.com/office/drawing/2010/main" val="0"/>
                        </a:ext>
                      </a:extLst>
                    </a:blip>
                    <a:srcRect b="29600"/>
                    <a:stretch>
                      <a:fillRect/>
                    </a:stretch>
                  </pic:blipFill>
                  <pic:spPr bwMode="auto">
                    <a:xfrm>
                      <a:off x="0" y="0"/>
                      <a:ext cx="1905000" cy="167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7F4AE659" w:rsidRPr="00083E3E">
        <w:t xml:space="preserve">Employment outcomes for youth exiting </w:t>
      </w:r>
      <w:r w:rsidR="00B219D7">
        <w:t>the child welfare system</w:t>
      </w:r>
      <w:r w:rsidR="7F4AE659" w:rsidRPr="00083E3E">
        <w:t xml:space="preserve"> remain a significant concern.</w:t>
      </w:r>
      <w:r w:rsidR="00592E89" w:rsidRPr="00083E3E">
        <w:rPr>
          <w:rStyle w:val="FootnoteReference"/>
          <w:sz w:val="22"/>
          <w:szCs w:val="22"/>
        </w:rPr>
        <w:footnoteReference w:id="2"/>
      </w:r>
      <w:r w:rsidR="00592E89" w:rsidRPr="00083E3E">
        <w:t xml:space="preserve"> Nationally, only about 46% of young people who have transitioned out of foster care are employed by</w:t>
      </w:r>
      <w:r>
        <w:t xml:space="preserve"> the</w:t>
      </w:r>
      <w:r w:rsidR="00592E89" w:rsidRPr="00083E3E">
        <w:t xml:space="preserve"> age </w:t>
      </w:r>
      <w:r>
        <w:t xml:space="preserve">of </w:t>
      </w:r>
      <w:r w:rsidR="00592E89" w:rsidRPr="00083E3E">
        <w:t>24.</w:t>
      </w:r>
      <w:r w:rsidR="00592E89" w:rsidRPr="00083E3E">
        <w:rPr>
          <w:rStyle w:val="FootnoteReference"/>
          <w:sz w:val="22"/>
          <w:szCs w:val="22"/>
        </w:rPr>
        <w:footnoteReference w:id="3"/>
      </w:r>
      <w:r w:rsidR="00592E89" w:rsidRPr="00083E3E">
        <w:t xml:space="preserve"> In Massachusetts, 39.7% of foster youth ages 14-22 were employed in FY 2024, though available data does not specify whether this employment is part-time or full-time or provide insight into job quality or wages.</w:t>
      </w:r>
      <w:r w:rsidR="00592E89" w:rsidRPr="00083E3E">
        <w:rPr>
          <w:rStyle w:val="FootnoteReference"/>
          <w:sz w:val="22"/>
          <w:szCs w:val="22"/>
        </w:rPr>
        <w:footnoteReference w:id="4"/>
      </w:r>
      <w:r w:rsidR="00592E89" w:rsidRPr="00083E3E">
        <w:t xml:space="preserve"> These gaps </w:t>
      </w:r>
      <w:r>
        <w:t xml:space="preserve">in employment highlight </w:t>
      </w:r>
      <w:r w:rsidR="00592E89" w:rsidRPr="00083E3E">
        <w:t>the need for more robust workforce development programming</w:t>
      </w:r>
      <w:r>
        <w:t xml:space="preserve"> for youth involved in the child welfare system</w:t>
      </w:r>
      <w:r w:rsidR="00592E89" w:rsidRPr="00083E3E">
        <w:t xml:space="preserve">, including job readiness training, </w:t>
      </w:r>
      <w:r>
        <w:t xml:space="preserve">assistance with determining </w:t>
      </w:r>
      <w:r w:rsidR="00592E89" w:rsidRPr="00083E3E">
        <w:t xml:space="preserve">career pathways, and partnerships with employers committed to equitable and affirming hiring practices. </w:t>
      </w:r>
      <w:r>
        <w:t>Centering a</w:t>
      </w:r>
      <w:r w:rsidR="00592E89" w:rsidRPr="00083E3E">
        <w:t xml:space="preserve">ffirming employment environments are </w:t>
      </w:r>
      <w:r>
        <w:t xml:space="preserve">especially </w:t>
      </w:r>
      <w:r w:rsidR="00592E89" w:rsidRPr="00083E3E">
        <w:t xml:space="preserve">critical as </w:t>
      </w:r>
      <w:r>
        <w:t xml:space="preserve">LGBTQ youth </w:t>
      </w:r>
      <w:r w:rsidR="00592E89" w:rsidRPr="00083E3E">
        <w:t>often face discrimination and additional barriers in the job market, including challenges related to</w:t>
      </w:r>
      <w:r>
        <w:t xml:space="preserve"> appropriate</w:t>
      </w:r>
      <w:r w:rsidR="00592E89" w:rsidRPr="00083E3E">
        <w:t xml:space="preserve"> identity documentation.</w:t>
      </w:r>
      <w:r w:rsidR="00592E89" w:rsidRPr="00083E3E">
        <w:rPr>
          <w:rStyle w:val="FootnoteReference"/>
          <w:sz w:val="22"/>
          <w:szCs w:val="22"/>
        </w:rPr>
        <w:footnoteReference w:id="5"/>
      </w:r>
    </w:p>
    <w:p w14:paraId="5AD232BB" w14:textId="53B6DE11" w:rsidR="003F51E6" w:rsidRDefault="008304B3" w:rsidP="0005607E">
      <w:pPr>
        <w:jc w:val="both"/>
      </w:pPr>
      <w:r>
        <w:rPr>
          <w:noProof/>
        </w:rPr>
        <w:drawing>
          <wp:anchor distT="0" distB="0" distL="114300" distR="114300" simplePos="0" relativeHeight="251738112" behindDoc="0" locked="0" layoutInCell="1" allowOverlap="1" wp14:anchorId="60DB3802" wp14:editId="57D00497">
            <wp:simplePos x="0" y="0"/>
            <wp:positionH relativeFrom="column">
              <wp:posOffset>3071817</wp:posOffset>
            </wp:positionH>
            <wp:positionV relativeFrom="paragraph">
              <wp:posOffset>717344</wp:posOffset>
            </wp:positionV>
            <wp:extent cx="2847975" cy="1181735"/>
            <wp:effectExtent l="0" t="0" r="9525" b="0"/>
            <wp:wrapSquare wrapText="bothSides"/>
            <wp:docPr id="400925830" name="Picture 50" descr="a graphic saying that 49% of youth who have aged out of foster care experience homeless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925830" name="Picture 50" descr="a graphic saying that 49% of youth who have aged out of foster care experience homelessness"/>
                    <pic:cNvPicPr/>
                  </pic:nvPicPr>
                  <pic:blipFill rotWithShape="1">
                    <a:blip r:embed="rId24" cstate="print">
                      <a:extLst>
                        <a:ext uri="{28A0092B-C50C-407E-A947-70E740481C1C}">
                          <a14:useLocalDpi xmlns:a14="http://schemas.microsoft.com/office/drawing/2010/main" val="0"/>
                        </a:ext>
                      </a:extLst>
                    </a:blip>
                    <a:srcRect b="66795"/>
                    <a:stretch>
                      <a:fillRect/>
                    </a:stretch>
                  </pic:blipFill>
                  <pic:spPr bwMode="auto">
                    <a:xfrm>
                      <a:off x="0" y="0"/>
                      <a:ext cx="2847975" cy="11817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F51E6">
        <w:t>Additionally, h</w:t>
      </w:r>
      <w:r w:rsidR="00592E89" w:rsidRPr="00083E3E">
        <w:t>ousing instability remains a pressing issue for transition-aged foster youth. By age 21, 49% of youth who have aged out of foster care report experiencing homelessness within the previous two years.</w:t>
      </w:r>
      <w:r w:rsidR="00592E89" w:rsidRPr="00083E3E">
        <w:rPr>
          <w:rStyle w:val="FootnoteReference"/>
          <w:sz w:val="22"/>
          <w:szCs w:val="22"/>
        </w:rPr>
        <w:footnoteReference w:id="6"/>
      </w:r>
      <w:r w:rsidR="00592E89" w:rsidRPr="00083E3E">
        <w:t xml:space="preserve"> </w:t>
      </w:r>
      <w:r w:rsidR="003F51E6">
        <w:t xml:space="preserve">In </w:t>
      </w:r>
      <w:r w:rsidR="00592E89" w:rsidRPr="00083E3E">
        <w:t>the 2024 Massachusetts Youth Count</w:t>
      </w:r>
      <w:r w:rsidR="003F51E6">
        <w:t>,</w:t>
      </w:r>
      <w:r w:rsidR="00592E89" w:rsidRPr="00083E3E">
        <w:t xml:space="preserve"> 203 of 661 unaccompanied homeless youth reported prior involvement in foster care, 65.5% </w:t>
      </w:r>
      <w:r w:rsidR="003F51E6">
        <w:t xml:space="preserve">of whom </w:t>
      </w:r>
      <w:r w:rsidR="00592E89" w:rsidRPr="00083E3E">
        <w:t>identified as BIPOC. Among these youth, only 47.3% had a high school diploma, 21.2% were pregnant or parenting, and 23.6% reported having exchanged sex for basic needs.</w:t>
      </w:r>
      <w:r w:rsidR="00592E89" w:rsidRPr="00083E3E">
        <w:rPr>
          <w:rStyle w:val="FootnoteReference"/>
          <w:sz w:val="22"/>
          <w:szCs w:val="22"/>
        </w:rPr>
        <w:footnoteReference w:id="7"/>
      </w:r>
      <w:r w:rsidR="00592E89" w:rsidRPr="00083E3E">
        <w:t xml:space="preserve"> </w:t>
      </w:r>
      <w:r w:rsidR="003F51E6">
        <w:t xml:space="preserve">Transition-aged </w:t>
      </w:r>
      <w:r w:rsidR="003F51E6">
        <w:lastRenderedPageBreak/>
        <w:t xml:space="preserve">foster youth need more reliable access to expanded housing stabilization </w:t>
      </w:r>
      <w:r w:rsidR="00790BEF">
        <w:t xml:space="preserve">services, </w:t>
      </w:r>
      <w:r w:rsidR="003F51E6">
        <w:t>including transitional housing and rental assistance</w:t>
      </w:r>
      <w:r w:rsidR="00790BEF">
        <w:t>,</w:t>
      </w:r>
      <w:r w:rsidR="003F51E6">
        <w:t xml:space="preserve"> to prevent homelessness and reduce exposure to exploitation.</w:t>
      </w:r>
    </w:p>
    <w:p w14:paraId="0331D3F1" w14:textId="6AC0338D" w:rsidR="00592E89" w:rsidRPr="00083E3E" w:rsidRDefault="003F51E6" w:rsidP="0005607E">
      <w:pPr>
        <w:jc w:val="both"/>
      </w:pPr>
      <w:r>
        <w:rPr>
          <w:noProof/>
        </w:rPr>
        <w:drawing>
          <wp:anchor distT="0" distB="0" distL="114300" distR="114300" simplePos="0" relativeHeight="251739136" behindDoc="0" locked="0" layoutInCell="1" allowOverlap="1" wp14:anchorId="5B4D4454" wp14:editId="4B312031">
            <wp:simplePos x="0" y="0"/>
            <wp:positionH relativeFrom="column">
              <wp:posOffset>37721</wp:posOffset>
            </wp:positionH>
            <wp:positionV relativeFrom="paragraph">
              <wp:posOffset>2249879</wp:posOffset>
            </wp:positionV>
            <wp:extent cx="2867025" cy="3583305"/>
            <wp:effectExtent l="0" t="0" r="9525" b="0"/>
            <wp:wrapSquare wrapText="bothSides"/>
            <wp:docPr id="918960405" name="Picture 51" descr="a graphic detailing the homelessness statistics included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960405" name="Picture 51" descr="a graphic detailing the homelessness statistics included in this section"/>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67025" cy="3583305"/>
                    </a:xfrm>
                    <a:prstGeom prst="rect">
                      <a:avLst/>
                    </a:prstGeom>
                  </pic:spPr>
                </pic:pic>
              </a:graphicData>
            </a:graphic>
          </wp:anchor>
        </w:drawing>
      </w:r>
      <w:r>
        <w:t>Furthermore, e</w:t>
      </w:r>
      <w:r w:rsidR="00592E89" w:rsidRPr="00083E3E">
        <w:t>ducational attainment is another key determinant of successful transitions to adulthood, yet significant gaps remain. In DCF’s FY 2024 report, 58.3% of foster youth graduate</w:t>
      </w:r>
      <w:r>
        <w:t>d</w:t>
      </w:r>
      <w:r w:rsidR="00592E89" w:rsidRPr="00083E3E">
        <w:t xml:space="preserve"> from high school within four years, </w:t>
      </w:r>
      <w:r>
        <w:t xml:space="preserve">though this data rose </w:t>
      </w:r>
      <w:r w:rsidR="00592E89" w:rsidRPr="00083E3E">
        <w:t>to 68.2% when considering graduating within five years.</w:t>
      </w:r>
      <w:r w:rsidR="00592E89" w:rsidRPr="008304B3">
        <w:rPr>
          <w:rStyle w:val="FootnoteReference"/>
          <w:sz w:val="22"/>
          <w:szCs w:val="22"/>
        </w:rPr>
        <w:footnoteReference w:id="8"/>
      </w:r>
      <w:r w:rsidR="00592E89" w:rsidRPr="00083E3E">
        <w:t xml:space="preserve"> However, there is currently no data on educational attainment beyond high school for youth transitioning out of the child welfare system, </w:t>
      </w:r>
      <w:r>
        <w:t xml:space="preserve">which limits </w:t>
      </w:r>
      <w:r w:rsidR="00592E89" w:rsidRPr="00083E3E">
        <w:t>the Commonwealth’s ability to assess long-term outcomes. Nationally and within Massachusetts, LGBTQ youth transitioning out of care frequently report not having sufficient resources or independent living planning to prepare for higher education, financial planning, or employment.</w:t>
      </w:r>
      <w:r w:rsidR="00592E89" w:rsidRPr="008304B3">
        <w:rPr>
          <w:rStyle w:val="FootnoteReference"/>
          <w:sz w:val="22"/>
          <w:szCs w:val="22"/>
        </w:rPr>
        <w:footnoteReference w:id="9"/>
      </w:r>
      <w:r w:rsidR="00592E89" w:rsidRPr="00083E3E">
        <w:t xml:space="preserve"> Strengthening independent living programs to include comprehensive educational support, college and career counseling, and financial planning resources is essential. This also includes ensuring that transgender and nonbinary youth have access to up-to-date identification reflecting their correct name and gender markers, as </w:t>
      </w:r>
      <w:r w:rsidR="00903FC6">
        <w:t xml:space="preserve">a </w:t>
      </w:r>
      <w:r w:rsidR="00592E89" w:rsidRPr="00083E3E">
        <w:t>lack of proper documentation can create additional barriers to both education and employment.</w:t>
      </w:r>
    </w:p>
    <w:p w14:paraId="6A72308D" w14:textId="4194B65A" w:rsidR="00592E89" w:rsidRPr="00083E3E" w:rsidRDefault="00592E89" w:rsidP="0005607E">
      <w:pPr>
        <w:jc w:val="both"/>
      </w:pPr>
      <w:r w:rsidRPr="00083E3E">
        <w:t xml:space="preserve">Finally, while many </w:t>
      </w:r>
      <w:proofErr w:type="gramStart"/>
      <w:r w:rsidRPr="00083E3E">
        <w:t>youth</w:t>
      </w:r>
      <w:proofErr w:type="gramEnd"/>
      <w:r w:rsidRPr="00083E3E">
        <w:t xml:space="preserve"> choose to remain in care beyond age 18 through voluntary placement agreements, continued engagement alone does not guarantee adequate preparation for independence. Youth </w:t>
      </w:r>
      <w:r w:rsidR="003F51E6">
        <w:t xml:space="preserve">in DCF care will </w:t>
      </w:r>
      <w:r w:rsidRPr="00083E3E">
        <w:t>exit the system at age 18 unless they opt to remain in care until age 23. In FY 2024, 1,987 transition-aged foster youth chose to continue receiving services.</w:t>
      </w:r>
      <w:r w:rsidRPr="008304B3">
        <w:rPr>
          <w:rStyle w:val="FootnoteReference"/>
          <w:sz w:val="22"/>
          <w:szCs w:val="22"/>
        </w:rPr>
        <w:footnoteReference w:id="10"/>
      </w:r>
      <w:r w:rsidRPr="00083E3E">
        <w:t xml:space="preserve"> Despite this continued engagement, transition-aged foster youth </w:t>
      </w:r>
      <w:proofErr w:type="gramStart"/>
      <w:r w:rsidR="00637E28">
        <w:t xml:space="preserve">still </w:t>
      </w:r>
      <w:r w:rsidRPr="00083E3E">
        <w:t>remain</w:t>
      </w:r>
      <w:proofErr w:type="gramEnd"/>
      <w:r w:rsidRPr="00083E3E">
        <w:t xml:space="preserve"> uniquely vulnerable to homelessness, trafficking, and exploitation, and </w:t>
      </w:r>
      <w:r w:rsidRPr="00083E3E">
        <w:lastRenderedPageBreak/>
        <w:t>many - particularly LGBTQ youth - report gaps in independent living planning and other affirming resources designed to address their complex needs. Addressing these disparities requires both expanded services and updated, comprehensive research capturing the lived experiences of LGBTQ youth in the child welfare system to better inform policy and program development. One suggestion for helping support youth across the child welfare system is to develop an app through DCF that connects directly to i-Family Net; allowing youth and families to independently report their demographic information, enter requests for assistance (</w:t>
      </w:r>
      <w:r w:rsidR="0054417F" w:rsidRPr="00083E3E">
        <w:t>e.g.</w:t>
      </w:r>
      <w:r w:rsidRPr="00083E3E">
        <w:t xml:space="preserve"> clothing vouchers, name change requests, immigration paperwork updates, and gender affirming medication requests), track requisitions, and communications with DCF workers. The proposed application will serve as a resource hub for independent living supports, case tracking, and a tool that can provide </w:t>
      </w:r>
      <w:r w:rsidR="0054417F" w:rsidRPr="00083E3E">
        <w:t>youth with</w:t>
      </w:r>
      <w:r w:rsidRPr="00083E3E">
        <w:t xml:space="preserve"> the autonomy and information needed to navigate complex systems while serving to prepare them for managing their everyday lives.</w:t>
      </w:r>
    </w:p>
    <w:p w14:paraId="1C7C1826" w14:textId="755E10F5" w:rsidR="00592E89" w:rsidRPr="00083E3E" w:rsidRDefault="00592E89" w:rsidP="00E97E73">
      <w:pPr>
        <w:pStyle w:val="Heading3"/>
      </w:pPr>
      <w:bookmarkStart w:id="72" w:name="_Toc230277287"/>
      <w:r w:rsidRPr="00083E3E">
        <w:t>Expand and invest in community-based Family Resource Centers and prevention-oriented family support programs that provide affirming, culturally responsive services for LGBTQ youth and their families.</w:t>
      </w:r>
      <w:bookmarkEnd w:id="72"/>
    </w:p>
    <w:p w14:paraId="570C2753" w14:textId="77777777" w:rsidR="00790BEF" w:rsidRDefault="00592E89" w:rsidP="0005607E">
      <w:pPr>
        <w:jc w:val="both"/>
      </w:pPr>
      <w:r w:rsidRPr="00083E3E">
        <w:t xml:space="preserve">The Commission recommends that the Commonwealth continue </w:t>
      </w:r>
      <w:r w:rsidR="00903FC6">
        <w:t xml:space="preserve">to move </w:t>
      </w:r>
      <w:r w:rsidRPr="00083E3E">
        <w:t>toward</w:t>
      </w:r>
      <w:r w:rsidR="00903FC6">
        <w:t>s</w:t>
      </w:r>
      <w:r w:rsidRPr="00083E3E">
        <w:t xml:space="preserve"> upstream, community-based prevention strategies that </w:t>
      </w:r>
      <w:r w:rsidR="00903FC6">
        <w:t xml:space="preserve">can </w:t>
      </w:r>
      <w:r w:rsidRPr="00083E3E">
        <w:t xml:space="preserve">strengthen families and </w:t>
      </w:r>
      <w:r w:rsidR="00903FC6">
        <w:t xml:space="preserve">minimize </w:t>
      </w:r>
      <w:r w:rsidRPr="00083E3E">
        <w:t>unnecessary involvement with</w:t>
      </w:r>
      <w:r w:rsidR="00903FC6">
        <w:t>in</w:t>
      </w:r>
      <w:r w:rsidRPr="00083E3E">
        <w:t xml:space="preserve"> the child welfare system. </w:t>
      </w:r>
      <w:proofErr w:type="gramStart"/>
      <w:r w:rsidR="00637E28">
        <w:t>In particular, F</w:t>
      </w:r>
      <w:r w:rsidRPr="00083E3E">
        <w:t>amily</w:t>
      </w:r>
      <w:proofErr w:type="gramEnd"/>
      <w:r w:rsidRPr="00083E3E">
        <w:t xml:space="preserve"> Resource Centers (FRCs) and </w:t>
      </w:r>
      <w:r w:rsidR="00903FC6">
        <w:t xml:space="preserve">other </w:t>
      </w:r>
      <w:r w:rsidRPr="00083E3E">
        <w:t xml:space="preserve">community-based </w:t>
      </w:r>
      <w:r w:rsidR="00903FC6">
        <w:t xml:space="preserve">approaches </w:t>
      </w:r>
      <w:r w:rsidRPr="00083E3E">
        <w:t xml:space="preserve">can </w:t>
      </w:r>
      <w:r w:rsidR="00903FC6">
        <w:t xml:space="preserve">help families </w:t>
      </w:r>
      <w:r w:rsidRPr="00083E3E">
        <w:t xml:space="preserve">access behavioral health </w:t>
      </w:r>
      <w:r w:rsidR="00903FC6">
        <w:t>services</w:t>
      </w:r>
      <w:r w:rsidRPr="00083E3E">
        <w:t>, peer support</w:t>
      </w:r>
      <w:r w:rsidR="00903FC6">
        <w:t xml:space="preserve"> services</w:t>
      </w:r>
      <w:r w:rsidRPr="00083E3E">
        <w:t>, family navigation</w:t>
      </w:r>
      <w:r w:rsidR="00903FC6">
        <w:t xml:space="preserve"> services</w:t>
      </w:r>
      <w:r w:rsidRPr="00083E3E">
        <w:t>, crisis intervention</w:t>
      </w:r>
      <w:r w:rsidR="00903FC6">
        <w:t xml:space="preserve"> services</w:t>
      </w:r>
      <w:r w:rsidRPr="00083E3E">
        <w:t xml:space="preserve">, housing and economic assistance </w:t>
      </w:r>
      <w:r w:rsidR="00903FC6">
        <w:t xml:space="preserve">and </w:t>
      </w:r>
      <w:r w:rsidRPr="00083E3E">
        <w:t xml:space="preserve">referrals, and youth programming before challenges </w:t>
      </w:r>
      <w:r w:rsidR="00903FC6">
        <w:t xml:space="preserve">can </w:t>
      </w:r>
      <w:r w:rsidRPr="00083E3E">
        <w:t xml:space="preserve">escalate to </w:t>
      </w:r>
      <w:r w:rsidR="00903FC6">
        <w:t xml:space="preserve">a </w:t>
      </w:r>
      <w:r w:rsidRPr="00083E3E">
        <w:t xml:space="preserve">level of formal child welfare involvement. </w:t>
      </w:r>
    </w:p>
    <w:p w14:paraId="194FB1F0" w14:textId="13428753" w:rsidR="00592E89" w:rsidRPr="00083E3E" w:rsidRDefault="00903FC6" w:rsidP="00790BEF">
      <w:pPr>
        <w:jc w:val="both"/>
      </w:pPr>
      <w:r>
        <w:t xml:space="preserve">Within </w:t>
      </w:r>
      <w:r w:rsidR="00790BEF">
        <w:t xml:space="preserve">the </w:t>
      </w:r>
      <w:r>
        <w:t xml:space="preserve">listening sessions held by </w:t>
      </w:r>
      <w:r w:rsidR="00FF7045" w:rsidRPr="00FF7045">
        <w:t>the Commission</w:t>
      </w:r>
      <w:r>
        <w:t xml:space="preserve"> in </w:t>
      </w:r>
      <w:r w:rsidR="00FF7045" w:rsidRPr="00FF7045">
        <w:t xml:space="preserve">FY 2026, </w:t>
      </w:r>
      <w:r w:rsidR="00FF7045">
        <w:t>youth</w:t>
      </w:r>
      <w:r w:rsidR="00790BEF">
        <w:t>, caregivers,</w:t>
      </w:r>
      <w:r w:rsidR="00FF7045">
        <w:t xml:space="preserve"> and organization</w:t>
      </w:r>
      <w:r w:rsidR="00790BEF">
        <w:t>s</w:t>
      </w:r>
      <w:r w:rsidR="00FF7045">
        <w:t xml:space="preserve"> </w:t>
      </w:r>
      <w:r>
        <w:t xml:space="preserve">expressed </w:t>
      </w:r>
      <w:r w:rsidR="00FF7045" w:rsidRPr="00FF7045">
        <w:t>the importance of</w:t>
      </w:r>
      <w:r w:rsidR="00FF7045">
        <w:t xml:space="preserve"> having</w:t>
      </w:r>
      <w:r w:rsidR="00FF7045" w:rsidRPr="00FF7045">
        <w:t xml:space="preserve"> trusted adults</w:t>
      </w:r>
      <w:r w:rsidR="00FF7045">
        <w:t xml:space="preserve"> in youths’ lives</w:t>
      </w:r>
      <w:r w:rsidR="00FF7045" w:rsidRPr="00FF7045">
        <w:t xml:space="preserve">, family </w:t>
      </w:r>
      <w:r w:rsidR="00790BEF">
        <w:t xml:space="preserve">and caregiver </w:t>
      </w:r>
      <w:r w:rsidR="00FF7045" w:rsidRPr="00FF7045">
        <w:t xml:space="preserve">acceptance, and </w:t>
      </w:r>
      <w:r w:rsidR="00790BEF">
        <w:t xml:space="preserve">reliable </w:t>
      </w:r>
      <w:r w:rsidR="00FF7045" w:rsidRPr="00FF7045">
        <w:t xml:space="preserve">community-based </w:t>
      </w:r>
      <w:r>
        <w:t xml:space="preserve">supports to </w:t>
      </w:r>
      <w:r w:rsidR="00FF7045" w:rsidRPr="00FF7045">
        <w:t xml:space="preserve">help families access </w:t>
      </w:r>
      <w:r w:rsidR="00790BEF">
        <w:t xml:space="preserve">LGBTQ-affirming </w:t>
      </w:r>
      <w:r w:rsidR="00FF7045" w:rsidRPr="00FF7045">
        <w:t>education</w:t>
      </w:r>
      <w:r w:rsidR="00790BEF">
        <w:t xml:space="preserve"> services</w:t>
      </w:r>
      <w:r w:rsidR="00FF7045" w:rsidRPr="00FF7045">
        <w:t xml:space="preserve">, behavioral health services, and </w:t>
      </w:r>
      <w:r>
        <w:t xml:space="preserve">other forms of aid </w:t>
      </w:r>
      <w:r w:rsidR="00FF7045" w:rsidRPr="00FF7045">
        <w:t xml:space="preserve">before </w:t>
      </w:r>
      <w:r>
        <w:t>more severe problems arise</w:t>
      </w:r>
      <w:r w:rsidR="00790BEF">
        <w:t xml:space="preserve"> that could increase involvement in state systems</w:t>
      </w:r>
      <w:r w:rsidR="00FF7045" w:rsidRPr="00FF7045">
        <w:t xml:space="preserve">. </w:t>
      </w:r>
      <w:proofErr w:type="gramStart"/>
      <w:r w:rsidR="00790BEF">
        <w:t>A number of</w:t>
      </w:r>
      <w:proofErr w:type="gramEnd"/>
      <w:r w:rsidR="00790BEF">
        <w:t xml:space="preserve"> young people and school leaders also shared their experiences with navigating difficult situations where youth may be affirmed in one setting – like schools – but may not be affirmed at home. Massachusetts must invest more in family support models that can help meet caregivers </w:t>
      </w:r>
      <w:proofErr w:type="gramStart"/>
      <w:r w:rsidR="00790BEF">
        <w:t>along</w:t>
      </w:r>
      <w:proofErr w:type="gramEnd"/>
      <w:r w:rsidR="00790BEF">
        <w:t xml:space="preserve"> a continuum of understanding to improve acceptance.</w:t>
      </w:r>
    </w:p>
    <w:p w14:paraId="1554A2F3" w14:textId="29694A13" w:rsidR="00592E89" w:rsidRPr="00083E3E" w:rsidRDefault="00E64629" w:rsidP="0005607E">
      <w:pPr>
        <w:jc w:val="both"/>
      </w:pPr>
      <w:r>
        <w:rPr>
          <w:noProof/>
        </w:rPr>
        <w:lastRenderedPageBreak/>
        <mc:AlternateContent>
          <mc:Choice Requires="wps">
            <w:drawing>
              <wp:anchor distT="91440" distB="91440" distL="114300" distR="114300" simplePos="0" relativeHeight="251662336" behindDoc="0" locked="0" layoutInCell="1" allowOverlap="1" wp14:anchorId="3421D282" wp14:editId="0269CE09">
                <wp:simplePos x="0" y="0"/>
                <wp:positionH relativeFrom="page">
                  <wp:posOffset>914268</wp:posOffset>
                </wp:positionH>
                <wp:positionV relativeFrom="paragraph">
                  <wp:posOffset>150495</wp:posOffset>
                </wp:positionV>
                <wp:extent cx="3474720" cy="1403985"/>
                <wp:effectExtent l="0" t="0" r="0" b="254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06D59EAF" w14:textId="60C46438" w:rsidR="00E64629" w:rsidRPr="00E64629" w:rsidRDefault="00E64629" w:rsidP="00E64629">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“Sometimes when youth are in care and preparing for reunification, some parents are not open to LGBTQ+ identities and there is a failure to engage in parental acceptance which leads to an unsafe reunification.”</w:t>
                            </w:r>
                            <w:r>
                              <w:rPr>
                                <w:color w:val="AD84C6" w:themeColor="accent1"/>
                              </w:rPr>
                              <w:t xml:space="preserve"> – Community Organization working to support foster youth.</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type w14:anchorId="3421D282" id="_x0000_t202" coordsize="21600,21600" o:spt="202" path="m,l,21600r21600,l21600,xe">
                <v:stroke joinstyle="miter"/>
                <v:path gradientshapeok="t" o:connecttype="rect"/>
              </v:shapetype>
              <v:shape id="Text Box 2" o:spid="_x0000_s1026" type="#_x0000_t202" style="position:absolute;left:0;text-align:left;margin-left:1in;margin-top:11.85pt;width:273.6pt;height:110.55pt;z-index:251662336;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TJD+QEAAM4DAAAOAAAAZHJzL2Uyb0RvYy54bWysU11v2yAUfZ+0/4B4X+ykzppYcaquXaZJ&#10;3YfU7gdgjGM04DIgsbNfvwt202h7q+YHBL7cc+8597C5GbQiR+G8BFPR+SynRBgOjTT7iv542r1b&#10;UeIDMw1TYERFT8LTm+3bN5velmIBHahGOIIgxpe9rWgXgi2zzPNOaOZnYIXBYAtOs4BHt88ax3pE&#10;1ypb5Pn7rAfXWAdceI9/78cg3Sb8thU8fGtbLwJRFcXeQlpdWuu4ZtsNK/eO2U7yqQ32ii40kwaL&#10;nqHuWWDk4OQ/UFpyBx7aMOOgM2hbyUXigGzm+V9sHjtmReKC4nh7lsn/P1j+9fhovzsShg8w4AAT&#10;CW8fgP/0xMBdx8xe3DoHfSdYg4XnUbKst76cUqPUvvQRpO6/QINDZocACWhonY6qIE+C6DiA01l0&#10;MQTC8edVcV1cLzDEMTYv8qv1aplqsPI53TofPgnQJG4q6nCqCZ4dH3yI7bDy+UqsZmAnlUqTVYb0&#10;FV0vF8uUcBHRMqDxlNQVXeXxG60QWX40TUoOTKpxjwWUmWhHpiPnMNQDXoz0a2hOKICD0WD4IHDT&#10;gftNSY/mqqj/dWBOUKI+GxRxPS+K6MZ0KJaJvruM1JcRZjhCVTRQMm7vQnJw5OrtLYq9k0mGl06m&#10;XtE0SZ3J4NGVl+d06+UZbv8AAAD//wMAUEsDBBQABgAIAAAAIQBXqXmx4AAAAAoBAAAPAAAAZHJz&#10;L2Rvd25yZXYueG1sTI/NTsMwEITvSLyDtUjcqNM0Kmkapyo/5VQJUXrpzYmXJGq8jmKnDW/PcoLj&#10;zI5mv8k3k+3EBQffOlIwn0UgkCpnWqoVHD93DykIHzQZ3TlCBd/oYVPc3uQ6M+5KH3g5hFpwCflM&#10;K2hC6DMpfdWg1X7meiS+fbnB6sByqKUZ9JXLbSfjKFpKq1viD43u8bnB6nwYrYI9Dqd0NaZP7ell&#10;9/p+XpjybWuUur+btmsQAafwF4ZffEaHgplKN5LxomOdJLwlKIgXjyA4sFzNYxAlG0mSgixy+X9C&#10;8QMAAP//AwBQSwECLQAUAAYACAAAACEAtoM4kv4AAADhAQAAEwAAAAAAAAAAAAAAAAAAAAAAW0Nv&#10;bnRlbnRfVHlwZXNdLnhtbFBLAQItABQABgAIAAAAIQA4/SH/1gAAAJQBAAALAAAAAAAAAAAAAAAA&#10;AC8BAABfcmVscy8ucmVsc1BLAQItABQABgAIAAAAIQB1oTJD+QEAAM4DAAAOAAAAAAAAAAAAAAAA&#10;AC4CAABkcnMvZTJvRG9jLnhtbFBLAQItABQABgAIAAAAIQBXqXmx4AAAAAoBAAAPAAAAAAAAAAAA&#10;AAAAAFMEAABkcnMvZG93bnJldi54bWxQSwUGAAAAAAQABADzAAAAYAUAAAAA&#10;" filled="f" stroked="f">
                <v:textbox style="mso-fit-shape-to-text:t">
                  <w:txbxContent>
                    <w:p w14:paraId="06D59EAF" w14:textId="60C46438" w:rsidR="00E64629" w:rsidRPr="00E64629" w:rsidRDefault="00E64629" w:rsidP="00E64629">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“Sometimes when youth are in care and preparing for reunification, some parents are not open to LGBTQ+ identities and there is a failure to engage in parental acceptance which leads to an unsafe reunification.”</w:t>
                      </w:r>
                      <w:r>
                        <w:rPr>
                          <w:color w:val="AD84C6" w:themeColor="accent1"/>
                        </w:rPr>
                        <w:t xml:space="preserve"> – Community Organization working to support foster youth.</w:t>
                      </w:r>
                    </w:p>
                  </w:txbxContent>
                </v:textbox>
                <w10:wrap type="square" anchorx="page"/>
              </v:shape>
            </w:pict>
          </mc:Fallback>
        </mc:AlternateContent>
      </w:r>
      <w:r w:rsidR="00637E28">
        <w:t>For c</w:t>
      </w:r>
      <w:r w:rsidR="00592E89" w:rsidRPr="00083E3E">
        <w:t>ases that involve families who may be resistant to services because of historic systemic harm and cultural differences and additional resources are needed to preserve the family unit</w:t>
      </w:r>
      <w:r w:rsidR="00637E28">
        <w:t>,</w:t>
      </w:r>
      <w:r w:rsidR="00592E89" w:rsidRPr="00083E3E">
        <w:t xml:space="preserve"> a family preservation team can be assigned to their case. The family preservation team is a temporary connection to the system that would serve as a risk reduction team, mitigating aggravating circumstances that are a threat to family disruption and child welfare involvement. It is critical to distinguish a family’s involvement with the family preservation team from a family’s involvement with DCF having a supported case of abuse and neglect. Parents and caregivers who become involved with family preservation would not be registered in the child protection registry. It is important to note: some families may have repeated family preservation cases, as some family units with generations of complex trauma and systemic oppression often need </w:t>
      </w:r>
      <w:r w:rsidR="001509C4" w:rsidRPr="00083E3E">
        <w:t>comprehensive long term</w:t>
      </w:r>
      <w:r w:rsidR="00592E89" w:rsidRPr="00083E3E">
        <w:t xml:space="preserve"> support. Family preservation units do not serve as surveillance units – its purpose is to engage in social support and interrupt cycles that lead to family disruption causing irreparable harm.</w:t>
      </w:r>
    </w:p>
    <w:p w14:paraId="4AC64B80" w14:textId="1C511F8A" w:rsidR="00592E89" w:rsidRPr="00083E3E" w:rsidRDefault="00592E89" w:rsidP="0005607E">
      <w:pPr>
        <w:jc w:val="both"/>
      </w:pPr>
      <w:r w:rsidRPr="00083E3E">
        <w:t xml:space="preserve">This approach is particularly important for LGBTQ youth, who are disproportionately represented in child welfare systems nationwide and often encounter family rejection, homelessness, behavioral health crises, or school instability prior to system involvement. As discussed throughout this annual report, supportive adults, affirming family relationships, and strong community connections significantly improve outcomes for LGBTQ youth and young adults, especially those involved in or transitioning out of foster care. The Commission </w:t>
      </w:r>
      <w:r w:rsidR="001C7200">
        <w:t xml:space="preserve">continues to recommend </w:t>
      </w:r>
      <w:r w:rsidRPr="00083E3E">
        <w:t>that Massachusetts expand investments in LGBTQ-affirming prevention services through Family Resource Centers and related community-based programs, including family acceptance programming, peer support opportunities, conflict mediation, behavioral health services, caregiver education</w:t>
      </w:r>
      <w:r w:rsidR="001C7200">
        <w:t xml:space="preserve"> services</w:t>
      </w:r>
      <w:r w:rsidRPr="00083E3E">
        <w:t>, and connections to material supports that help stabilize families.</w:t>
      </w:r>
    </w:p>
    <w:p w14:paraId="435395E7" w14:textId="190CC786" w:rsidR="00592E89" w:rsidRPr="00083E3E" w:rsidRDefault="00592E89" w:rsidP="0005607E">
      <w:pPr>
        <w:jc w:val="both"/>
      </w:pPr>
      <w:r w:rsidRPr="00083E3E">
        <w:t>The Commission further recommends that the Commonwealth work to ensure that Family Resource Centers have training and technical assistance related to LGBTQ cultural engagement, family rejection, trauma-informed practices, and affirming responses to transgender and nonbinary youth</w:t>
      </w:r>
      <w:r w:rsidR="001C7200">
        <w:t>; p</w:t>
      </w:r>
      <w:r w:rsidRPr="00083E3E">
        <w:t>articular attention should also be given to ensuring equitable access in rural regions, multilingual access for immigrant families, and partnerships with trusted LGBTQ community organizations.</w:t>
      </w:r>
    </w:p>
    <w:p w14:paraId="61AEB31B" w14:textId="5FDA65A7" w:rsidR="00592E89" w:rsidRPr="00083E3E" w:rsidRDefault="00592E89" w:rsidP="00E97E73">
      <w:pPr>
        <w:pStyle w:val="Heading3"/>
      </w:pPr>
      <w:bookmarkStart w:id="73" w:name="_Toc230277288"/>
      <w:r w:rsidRPr="00083E3E">
        <w:lastRenderedPageBreak/>
        <w:t>Codify policies and legislation that strengthen child welfare protections, improve data collection, and advance economic security for youth in foster care.</w:t>
      </w:r>
      <w:bookmarkEnd w:id="73"/>
    </w:p>
    <w:p w14:paraId="4A491624" w14:textId="24F42E77" w:rsidR="00592E89" w:rsidRPr="00A82E8F" w:rsidRDefault="00592E89" w:rsidP="0005607E">
      <w:pPr>
        <w:jc w:val="both"/>
      </w:pPr>
      <w:r w:rsidRPr="00A82E8F">
        <w:t>While expanded services are essential, structural reforms are needed to ensure long-term, system-wide improvements. The child welfare system plays a critical role in ensuring safety, permanency, and well-being, yet LGBTQ youth continue to face disparities across multiple systems.</w:t>
      </w:r>
    </w:p>
    <w:p w14:paraId="738A10BD" w14:textId="5EEE13EC" w:rsidR="00592E89" w:rsidRPr="00083E3E" w:rsidRDefault="00592E89" w:rsidP="0005607E">
      <w:pPr>
        <w:jc w:val="both"/>
      </w:pPr>
      <w:r w:rsidRPr="00083E3E">
        <w:t xml:space="preserve">The Juvenile Justice Policy and Data Board (JJPAD) plays an essential role in evaluating juvenile justice system policies and outcomes and making recommendations for improvement. Involvement in the child welfare system is a known risk factor for juvenile justice system involvement and is closely linked to experiences of childhood trauma. However, despite well-documented disparities faced by LGBTQ youth across both systems, there remains no formal and dedicated LGBTQ youth representation on JJPAD or its Childhood Trauma Task Force (CTTF). The Commission urges the legislature to address this gap by passing </w:t>
      </w:r>
      <w:r w:rsidRPr="00083E3E">
        <w:rPr>
          <w:i/>
          <w:iCs/>
        </w:rPr>
        <w:t>An Act Updating the Juvenile Justice Policy and Data Board</w:t>
      </w:r>
      <w:r w:rsidRPr="00083E3E">
        <w:t xml:space="preserve"> (S.116/H.247), which would also expand representation for parents and youth with lived experience in the juvenile justice system.</w:t>
      </w:r>
    </w:p>
    <w:p w14:paraId="4D3D3CB6" w14:textId="6E7F2BC2" w:rsidR="00592E89" w:rsidRPr="00083E3E" w:rsidRDefault="00E64629" w:rsidP="0005607E">
      <w:pPr>
        <w:jc w:val="both"/>
      </w:pPr>
      <w:r>
        <w:rPr>
          <w:noProof/>
        </w:rPr>
        <mc:AlternateContent>
          <mc:Choice Requires="wps">
            <w:drawing>
              <wp:anchor distT="91440" distB="91440" distL="114300" distR="114300" simplePos="0" relativeHeight="251664384" behindDoc="0" locked="0" layoutInCell="1" allowOverlap="1" wp14:anchorId="2FB474DF" wp14:editId="30B9B73C">
                <wp:simplePos x="0" y="0"/>
                <wp:positionH relativeFrom="page">
                  <wp:posOffset>4085590</wp:posOffset>
                </wp:positionH>
                <wp:positionV relativeFrom="paragraph">
                  <wp:posOffset>100330</wp:posOffset>
                </wp:positionV>
                <wp:extent cx="2800985" cy="1403985"/>
                <wp:effectExtent l="0" t="0" r="0" b="0"/>
                <wp:wrapSquare wrapText="bothSides"/>
                <wp:docPr id="415358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985" cy="1403985"/>
                        </a:xfrm>
                        <a:prstGeom prst="rect">
                          <a:avLst/>
                        </a:prstGeom>
                        <a:noFill/>
                        <a:ln w="9525">
                          <a:noFill/>
                          <a:miter lim="800000"/>
                          <a:headEnd/>
                          <a:tailEnd/>
                        </a:ln>
                      </wps:spPr>
                      <wps:txbx>
                        <w:txbxContent>
                          <w:p w14:paraId="3E1A669C" w14:textId="5372E8DE" w:rsidR="00E64629" w:rsidRPr="00E64629" w:rsidRDefault="00E64629" w:rsidP="00E64629">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“We need more housing support for youth aging out of the system.”</w:t>
                            </w:r>
                            <w:r>
                              <w:rPr>
                                <w:color w:val="AD84C6" w:themeColor="accent1"/>
                              </w:rPr>
                              <w:t xml:space="preserve"> – Community organization supporting LGBTQ youth.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B474DF" id="_x0000_s1027" type="#_x0000_t202" style="position:absolute;left:0;text-align:left;margin-left:321.7pt;margin-top:7.9pt;width:220.55pt;height:110.55pt;z-index:251664384;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fvZ+gEAANUDAAAOAAAAZHJzL2Uyb0RvYy54bWysU9uO0zAQfUfiHyy/01xooY2arpZdipCW&#10;i7TwAY7jNBa2x9huk/L1jJ1st4I3RB4sT8ZzPOfM8fZm1IqchPMSTE2LRU6JMBxaaQ41/f5t/2pN&#10;iQ/MtEyBETU9C09vdi9fbAdbiRJ6UK1wBEGMrwZb0z4EW2WZ573QzC/ACoPJDpxmAUN3yFrHBkTX&#10;Kivz/E02gGutAy68x7/3U5LuEn7XCR6+dJ0XgaiaYm8hrS6tTVyz3ZZVB8dsL/ncBvuHLjSTBi+9&#10;QN2zwMjRyb+gtOQOPHRhwUFn0HWSi8QB2RT5H2wee2ZF4oLieHuRyf8/WP759Gi/OhLGdzDiABMJ&#10;bx+A//DEwF3PzEHcOgdDL1iLFxdRsmywvppLo9S+8hGkGT5Bi0NmxwAJaOycjqogT4LoOIDzRXQx&#10;BsLxZ7nO8816RQnHXLHMX8cg3sGqp3LrfPggQJO4qanDqSZ4dnrwYTr6dCTeZmAvlUqTVYYMNd2s&#10;ylUquMpoGdB4SuqaYgP4TVaILN+bNhUHJtW0x16UmWlHphPnMDYjke2sSVShgfaMOjiYfIbvAjc9&#10;uF+UDOixmvqfR+YEJeqjQS03xXIZTZmC5eptiYG7zjTXGWY4QtU0UDJt70IycqTs7S1qvpdJjedO&#10;5pbRO0nP2efRnNdxOvX8Gne/AQAA//8DAFBLAwQUAAYACAAAACEAnuHr4N8AAAALAQAADwAAAGRy&#10;cy9kb3ducmV2LnhtbEyPwU7DMBBE70j8g7VI3KhNmoY2xKkq1JYjUKKe3XhJIuK1Fbtp+HvcExxX&#10;8zT7plhPpmcjDr6zJOFxJoAh1VZ31EioPncPS2A+KNKqt4QSftDDury9KVSu7YU+cDyEhsUS8rmS&#10;0Ibgcs593aJRfmYdUsy+7GBUiOfQcD2oSyw3PU+EyLhRHcUPrXL40mL9fTgbCS64/dPr8Pa+2e5G&#10;UR33VdI1Wynv76bNM7CAU/iD4aof1aGMTid7Ju1ZLyFL52lEY7CIE66AWKYLYCcJyTxbAS8L/n9D&#10;+QsAAP//AwBQSwECLQAUAAYACAAAACEAtoM4kv4AAADhAQAAEwAAAAAAAAAAAAAAAAAAAAAAW0Nv&#10;bnRlbnRfVHlwZXNdLnhtbFBLAQItABQABgAIAAAAIQA4/SH/1gAAAJQBAAALAAAAAAAAAAAAAAAA&#10;AC8BAABfcmVscy8ucmVsc1BLAQItABQABgAIAAAAIQA18fvZ+gEAANUDAAAOAAAAAAAAAAAAAAAA&#10;AC4CAABkcnMvZTJvRG9jLnhtbFBLAQItABQABgAIAAAAIQCe4evg3wAAAAsBAAAPAAAAAAAAAAAA&#10;AAAAAFQEAABkcnMvZG93bnJldi54bWxQSwUGAAAAAAQABADzAAAAYAUAAAAA&#10;" filled="f" stroked="f">
                <v:textbox style="mso-fit-shape-to-text:t">
                  <w:txbxContent>
                    <w:p w14:paraId="3E1A669C" w14:textId="5372E8DE" w:rsidR="00E64629" w:rsidRPr="00E64629" w:rsidRDefault="00E64629" w:rsidP="00E64629">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“We need more housing support for youth aging out of the system.”</w:t>
                      </w:r>
                      <w:r>
                        <w:rPr>
                          <w:color w:val="AD84C6" w:themeColor="accent1"/>
                        </w:rPr>
                        <w:t xml:space="preserve"> – Community organization supporting LGBTQ youth.</w:t>
                      </w:r>
                    </w:p>
                  </w:txbxContent>
                </v:textbox>
                <w10:wrap type="square" anchorx="page"/>
              </v:shape>
            </w:pict>
          </mc:Fallback>
        </mc:AlternateContent>
      </w:r>
      <w:r w:rsidR="00592E89" w:rsidRPr="00083E3E">
        <w:t>In addition to strengthening representation and data-informed policymaking, the Commission continues to recommend that Massachusetts examine the possibility of codifying gender-affirming child welfare protections into state law. Establishing clear statutory protections - such as provisions within child abuse and neglect laws that recognize the withholding of medically necessary gender-affirming care - would better support LGBTQ youth and their families while ensuring consistent protections across the Commonwealth.</w:t>
      </w:r>
    </w:p>
    <w:p w14:paraId="0284912C" w14:textId="381611F6" w:rsidR="00592E89" w:rsidRPr="00083E3E" w:rsidRDefault="00592E89" w:rsidP="0005607E">
      <w:pPr>
        <w:jc w:val="both"/>
      </w:pPr>
      <w:r w:rsidRPr="00083E3E">
        <w:t xml:space="preserve">The Commission also emphasizes the importance of advancing economic stability for youth in foster care, particularly those transitioning to adulthood. Youth aging out of care face disproportionately high rates of poverty, housing instability, and barriers to employment. To address these challenges, Massachusetts should reintroduce legislation to establish a guaranteed basic income program for transition-aged foster youth, modeled after efforts in other states. For example, California has piloted a program providing $1,000 per month for five years, and similar </w:t>
      </w:r>
      <w:r w:rsidRPr="00083E3E">
        <w:lastRenderedPageBreak/>
        <w:t>legislation has been introduced in Maryland (HB 628, filed January 2026).</w:t>
      </w:r>
      <w:r w:rsidRPr="00083E3E">
        <w:rPr>
          <w:rStyle w:val="FootnoteReference"/>
          <w:sz w:val="22"/>
          <w:szCs w:val="22"/>
        </w:rPr>
        <w:footnoteReference w:id="11"/>
      </w:r>
      <w:r w:rsidRPr="00083E3E">
        <w:t xml:space="preserve"> In Massachusetts, a proposed omnibus anti-poverty bill (S.161), introduced by Senator Liz Miranda, includes a comparable five-year pilot for youth ages 18–23 aging out of care. Additionally, a Boston program, BAY-CASH, was recently piloted to provide </w:t>
      </w:r>
      <w:r w:rsidR="007D658D" w:rsidRPr="00083E3E">
        <w:t>fifteen</w:t>
      </w:r>
      <w:r w:rsidRPr="00083E3E">
        <w:t xml:space="preserve"> youth with cash assistance combined with support services to demonstrate how similar programs can help reduce homelessness across the Commonwealth.</w:t>
      </w:r>
    </w:p>
    <w:p w14:paraId="5EF11C87" w14:textId="5D106960" w:rsidR="00592E89" w:rsidRPr="00083E3E" w:rsidRDefault="00637E28" w:rsidP="0005607E">
      <w:pPr>
        <w:jc w:val="both"/>
      </w:pPr>
      <w:r>
        <w:t>The</w:t>
      </w:r>
      <w:r w:rsidR="00592E89" w:rsidRPr="00083E3E">
        <w:t xml:space="preserve"> Commission was pleased to see that in July 2025, the Commonwealth enacted S.105/H.227 as part of the FY 2026 budget, prohibiting the Department of Children and Families (DCF) from using youth’s Social Security benefits to offset foster care placement costs, though DCF itself had halted this practice the prior year. This reform addresses a longstanding practice in which states - including Massachusetts - accessed these benefits, often without notifying youth</w:t>
      </w:r>
      <w:r>
        <w:t>, and absorbed the funds into their own child welfare system budget</w:t>
      </w:r>
      <w:r w:rsidR="00592E89" w:rsidRPr="00083E3E">
        <w:t>. Nationally, research indicates that approximately 10% of foster youth are entitled to Social Security benefits, yet many have historically been unable to access these funds directly.</w:t>
      </w:r>
      <w:r w:rsidR="00592E89" w:rsidRPr="00083E3E">
        <w:rPr>
          <w:rStyle w:val="FootnoteReference"/>
          <w:sz w:val="22"/>
          <w:szCs w:val="22"/>
        </w:rPr>
        <w:footnoteReference w:id="12"/>
      </w:r>
      <w:r w:rsidR="00592E89" w:rsidRPr="00083E3E">
        <w:t xml:space="preserve"> The Commission encourages continued efforts to ensure that youth can retain and utilize these benefits to support their transition to independence. To that end, these benefits should not be reduced when a youth becomes employed - as the goal is </w:t>
      </w:r>
      <w:r w:rsidR="00592E89" w:rsidRPr="00083E3E">
        <w:rPr>
          <w:b/>
          <w:bCs/>
        </w:rPr>
        <w:t>sustained</w:t>
      </w:r>
      <w:r w:rsidR="00592E89" w:rsidRPr="00083E3E">
        <w:t xml:space="preserve"> independence. Existing assistance programs operate on a benefit reduction model, keeping families in a constant state of survival and dependence. Families experience this approach as punitive. </w:t>
      </w:r>
    </w:p>
    <w:p w14:paraId="782D4903" w14:textId="6F58D613" w:rsidR="00637E28" w:rsidRDefault="00592E89" w:rsidP="0005607E">
      <w:pPr>
        <w:jc w:val="both"/>
      </w:pPr>
      <w:r w:rsidRPr="00083E3E">
        <w:t xml:space="preserve">The Commission supports and would assist in creating a support to independence framework, </w:t>
      </w:r>
      <w:r w:rsidR="00B443A2" w:rsidRPr="00083E3E">
        <w:t>which</w:t>
      </w:r>
      <w:r w:rsidRPr="00083E3E">
        <w:t xml:space="preserve"> would complement the financial assistance model of rapid rehousing program; stepping young people down after a certain number of years of consistent employment, one year before their 22</w:t>
      </w:r>
      <w:r w:rsidRPr="00083E3E">
        <w:rPr>
          <w:vertAlign w:val="superscript"/>
        </w:rPr>
        <w:t>nd</w:t>
      </w:r>
      <w:r w:rsidRPr="00083E3E">
        <w:t xml:space="preserve"> birthday, and continued assistance through a community organization for one year after their cases closes with the department. The same framework should be utilized for youth who have signed themselves back in </w:t>
      </w:r>
      <w:r w:rsidR="00637E28">
        <w:t xml:space="preserve">to care </w:t>
      </w:r>
      <w:r w:rsidRPr="00083E3E">
        <w:t xml:space="preserve">and are enrolled in college or </w:t>
      </w:r>
      <w:r w:rsidR="001509C4" w:rsidRPr="00083E3E">
        <w:t xml:space="preserve">university. </w:t>
      </w:r>
    </w:p>
    <w:p w14:paraId="665F60C9" w14:textId="71D0F3FE" w:rsidR="00592E89" w:rsidRPr="00083E3E" w:rsidRDefault="00637E28" w:rsidP="0005607E">
      <w:pPr>
        <w:jc w:val="both"/>
      </w:pPr>
      <w:r>
        <w:t xml:space="preserve">However, at </w:t>
      </w:r>
      <w:r w:rsidR="00592E89" w:rsidRPr="00083E3E">
        <w:t xml:space="preserve">the federal level, recent policy changes also present new challenges. The </w:t>
      </w:r>
      <w:r w:rsidR="00592E89" w:rsidRPr="00083E3E">
        <w:rPr>
          <w:i/>
          <w:iCs/>
        </w:rPr>
        <w:t>One Big Beautiful Bill Act</w:t>
      </w:r>
      <w:r w:rsidR="00592E89" w:rsidRPr="00083E3E">
        <w:t xml:space="preserve"> (signed July 2025) eliminated Supplemental Nutrition Assistance Program (SNAP) work exemptions for foster youth under age 24, potentially increasing food insecurity </w:t>
      </w:r>
      <w:r w:rsidR="00592E89" w:rsidRPr="00083E3E">
        <w:lastRenderedPageBreak/>
        <w:t>among this already vulnerable population.</w:t>
      </w:r>
      <w:r w:rsidR="00592E89" w:rsidRPr="00083E3E">
        <w:rPr>
          <w:rStyle w:val="FootnoteReference"/>
          <w:sz w:val="22"/>
          <w:szCs w:val="22"/>
        </w:rPr>
        <w:footnoteReference w:id="13"/>
      </w:r>
      <w:r w:rsidR="00592E89" w:rsidRPr="00083E3E">
        <w:t xml:space="preserve"> Considering these shifts, the Commission urges the Commonwealth to pursue state-level solutions that protect and expand access to public benefits, strengthen workforce development pathways, and promote long-term economic mobility for youth in and exiting the child welfare system.</w:t>
      </w:r>
    </w:p>
    <w:p w14:paraId="013CD987" w14:textId="28632855" w:rsidR="00592E89" w:rsidRPr="00083E3E" w:rsidRDefault="00592E89" w:rsidP="00E97E73">
      <w:pPr>
        <w:pStyle w:val="Heading3"/>
      </w:pPr>
      <w:bookmarkStart w:id="74" w:name="_Toc230277289"/>
      <w:r w:rsidRPr="00083E3E">
        <w:t>Increase educational and employment supports for youth involved in state systems.</w:t>
      </w:r>
      <w:bookmarkEnd w:id="74"/>
    </w:p>
    <w:p w14:paraId="3A39C00C" w14:textId="44956AF6" w:rsidR="00224479" w:rsidRDefault="00637E28" w:rsidP="0005607E">
      <w:pPr>
        <w:jc w:val="both"/>
      </w:pPr>
      <w:r>
        <w:t>As previously noted, i</w:t>
      </w:r>
      <w:r w:rsidR="00592E89" w:rsidRPr="00083E3E">
        <w:t xml:space="preserve">ncreasing educational and employment supports for youth involved in state systems is critical to addressing persistent inequities in access to opportunity and long-term economic stability. </w:t>
      </w:r>
      <w:r w:rsidR="00224479" w:rsidRPr="00224479">
        <w:t xml:space="preserve">During the Commission’s FY 2026 listening sessions, youth and providers consistently </w:t>
      </w:r>
      <w:r w:rsidR="00903FC6">
        <w:t>mentioned</w:t>
      </w:r>
      <w:r w:rsidR="001C7200">
        <w:t xml:space="preserve"> how</w:t>
      </w:r>
      <w:r w:rsidR="00903FC6">
        <w:t xml:space="preserve"> </w:t>
      </w:r>
      <w:r w:rsidR="001C7200">
        <w:t xml:space="preserve">multiple barriers prevent LGBTQ youth from securing long-term stability, including </w:t>
      </w:r>
      <w:r w:rsidR="00224479" w:rsidRPr="00224479">
        <w:t xml:space="preserve">underemployment, </w:t>
      </w:r>
      <w:r w:rsidR="00903FC6">
        <w:t>discrimination in the workplace</w:t>
      </w:r>
      <w:r w:rsidR="00224479" w:rsidRPr="00224479">
        <w:t xml:space="preserve">, and the lack of </w:t>
      </w:r>
      <w:r w:rsidR="001C7200">
        <w:t xml:space="preserve">quality and </w:t>
      </w:r>
      <w:r w:rsidR="00224479" w:rsidRPr="00224479">
        <w:t>affirming job opportunities</w:t>
      </w:r>
      <w:r w:rsidR="001C7200">
        <w:t xml:space="preserve"> across the state, particularly in areas outside of Greater Boston</w:t>
      </w:r>
      <w:r w:rsidR="00224479" w:rsidRPr="00224479">
        <w:t xml:space="preserve">. </w:t>
      </w:r>
      <w:r w:rsidR="001C7200">
        <w:t xml:space="preserve">These participants especially </w:t>
      </w:r>
      <w:r w:rsidR="00224479" w:rsidRPr="00224479">
        <w:t>emphasized that young people need access not only to jobs, but to workplaces, internship</w:t>
      </w:r>
      <w:r w:rsidR="00903FC6">
        <w:t xml:space="preserve"> programs</w:t>
      </w:r>
      <w:r w:rsidR="00224479" w:rsidRPr="00224479">
        <w:t>, and career path</w:t>
      </w:r>
      <w:r w:rsidR="00903FC6">
        <w:t>s</w:t>
      </w:r>
      <w:r w:rsidR="00224479" w:rsidRPr="00224479">
        <w:t xml:space="preserve"> </w:t>
      </w:r>
      <w:r w:rsidR="00903FC6">
        <w:t>that validate and affirm their identity</w:t>
      </w:r>
      <w:r w:rsidR="00224479" w:rsidRPr="00224479">
        <w:t xml:space="preserve">, </w:t>
      </w:r>
      <w:r w:rsidR="001C7200">
        <w:t xml:space="preserve">particularly </w:t>
      </w:r>
      <w:r w:rsidR="00224479" w:rsidRPr="00224479">
        <w:t>for trans youth, QTBIPOC youth, immigrant youth, and youth with prior system involvement.</w:t>
      </w:r>
    </w:p>
    <w:p w14:paraId="03FE56D3" w14:textId="35B4E828" w:rsidR="00592E89" w:rsidRPr="00083E3E" w:rsidRDefault="00903FC6" w:rsidP="0005607E">
      <w:pPr>
        <w:jc w:val="both"/>
      </w:pPr>
      <w:r>
        <w:rPr>
          <w:noProof/>
        </w:rPr>
        <mc:AlternateContent>
          <mc:Choice Requires="wps">
            <w:drawing>
              <wp:anchor distT="91440" distB="91440" distL="114300" distR="114300" simplePos="0" relativeHeight="251666432" behindDoc="0" locked="0" layoutInCell="1" allowOverlap="1" wp14:anchorId="23C28B2E" wp14:editId="2C3E23FF">
                <wp:simplePos x="0" y="0"/>
                <wp:positionH relativeFrom="page">
                  <wp:posOffset>831850</wp:posOffset>
                </wp:positionH>
                <wp:positionV relativeFrom="paragraph">
                  <wp:posOffset>109220</wp:posOffset>
                </wp:positionV>
                <wp:extent cx="3474720" cy="1403985"/>
                <wp:effectExtent l="0" t="0" r="0" b="2540"/>
                <wp:wrapSquare wrapText="bothSides"/>
                <wp:docPr id="11853341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40498EC0" w14:textId="15640E0B" w:rsidR="00E64629" w:rsidRPr="00903FC6" w:rsidRDefault="00E64629" w:rsidP="00E64629">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“We have seen an increase in need for mutual aid and employment resources. Our young people need more access to spaces and jobs where they feel seen and safe in their identity, especially trans people.”</w:t>
                            </w:r>
                            <w:r w:rsidR="00903FC6">
                              <w:rPr>
                                <w:color w:val="AD84C6" w:themeColor="accent1"/>
                              </w:rPr>
                              <w:t xml:space="preserve"> – Community organization supporting LGBTQ youth.</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23C28B2E" id="_x0000_s1028" type="#_x0000_t202" style="position:absolute;left:0;text-align:left;margin-left:65.5pt;margin-top:8.6pt;width:273.6pt;height:110.55pt;z-index:251666432;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YNl/QEAANUDAAAOAAAAZHJzL2Uyb0RvYy54bWysU11v2yAUfZ+0/4B4X+ykzppYIVXXLtOk&#10;7kNq9wMIxjEacBmQ2Nmv3wWnabS9VfMDAq7vufece1jdDEaTg/RBgWV0OikpkVZAo+yO0R9Pm3cL&#10;SkLktuEarGT0KAO9Wb99s+pdLWfQgW6kJwhiQ907RrsYXV0UQXTS8DABJy0GW/CGRzz6XdF43iO6&#10;0cWsLN8XPfjGeRAyBLy9H4N0nfHbVor4rW2DjEQzir3FvPq8btNarFe83nnuOiVObfBXdGG4slj0&#10;DHXPIyd7r/6BMkp4CNDGiQBTQNsqITMHZDMt/2Lz2HEnMxcUJ7izTOH/wYqvh0f33ZM4fIABB5hJ&#10;BPcA4mcgFu46bnfy1nvoO8kbLDxNkhW9C/UpNUkd6pBAtv0XaHDIfB8hAw2tN0kV5EkQHQdwPIsu&#10;h0gEXl5V19X1DEMCY9OqvFou5rkGr5/TnQ/xkwRD0oZRj1PN8PzwEGJqh9fPv6RqFjZK6zxZbUnP&#10;6HI+m+eEi4hREY2nlWF0UaZvtEJi+dE2OTlypcc9FtD2RDsxHTnHYTsQ1TA6S7lJhS00R9TBw+gz&#10;fBe46cD/pqRHjzEafu25l5Tozxa1XE6rKpkyH6p5VsFfRraXEW4FQjEaKRm3dzEbOVEO7hY136is&#10;xksnp5bRO1mkk8+TOS/P+a+X17j+AwAA//8DAFBLAwQUAAYACAAAACEAi6S4Jd8AAAAKAQAADwAA&#10;AGRycy9kb3ducmV2LnhtbEyPzU7DMBCE70i8g7VI3KjTRGpNiFOVn3JCqihcenPiJYkar6PYacPb&#10;s5zgNqMdzX5TbGbXizOOofOkYblIQCDV3nbUaPj82N0pECEasqb3hBq+McCmvL4qTG79hd7xfIiN&#10;4BIKudHQxjjkUoa6RWfCwg9IfPvyozOR7dhIO5oLl7tepkmyks50xB9aM+BTi/XpMDkNbzge1f2k&#10;Hrvj8+5lf8ps9bq1Wt/ezNsHEBHn+BeGX3xGh5KZKj+RDaJnny15S2SxTkFwYLVWLCoNaaYykGUh&#10;/08ofwAAAP//AwBQSwECLQAUAAYACAAAACEAtoM4kv4AAADhAQAAEwAAAAAAAAAAAAAAAAAAAAAA&#10;W0NvbnRlbnRfVHlwZXNdLnhtbFBLAQItABQABgAIAAAAIQA4/SH/1gAAAJQBAAALAAAAAAAAAAAA&#10;AAAAAC8BAABfcmVscy8ucmVsc1BLAQItABQABgAIAAAAIQD2KYNl/QEAANUDAAAOAAAAAAAAAAAA&#10;AAAAAC4CAABkcnMvZTJvRG9jLnhtbFBLAQItABQABgAIAAAAIQCLpLgl3wAAAAoBAAAPAAAAAAAA&#10;AAAAAAAAAFcEAABkcnMvZG93bnJldi54bWxQSwUGAAAAAAQABADzAAAAYwUAAAAA&#10;" filled="f" stroked="f">
                <v:textbox style="mso-fit-shape-to-text:t">
                  <w:txbxContent>
                    <w:p w14:paraId="40498EC0" w14:textId="15640E0B" w:rsidR="00E64629" w:rsidRPr="00903FC6" w:rsidRDefault="00E64629" w:rsidP="00E64629">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“We have seen an increase in need for mutual aid and employment resources. Our young people need more access to spaces and jobs where they feel seen and safe in their identity, especially trans people.”</w:t>
                      </w:r>
                      <w:r w:rsidR="00903FC6">
                        <w:rPr>
                          <w:color w:val="AD84C6" w:themeColor="accent1"/>
                        </w:rPr>
                        <w:t xml:space="preserve"> – Community organization supporting LGBTQ youth.</w:t>
                      </w:r>
                    </w:p>
                  </w:txbxContent>
                </v:textbox>
                <w10:wrap type="square" anchorx="page"/>
              </v:shape>
            </w:pict>
          </mc:Fallback>
        </mc:AlternateContent>
      </w:r>
      <w:r w:rsidR="00592E89" w:rsidRPr="00083E3E">
        <w:t xml:space="preserve">Youth of color - particularly immigrant youth of color - are more likely to face systemic barriers to both education and employment, often compounded by intersectional factors such as language barriers, disability, involvement with the justice system, and experiences of homelessness. </w:t>
      </w:r>
      <w:r w:rsidR="00434076">
        <w:t xml:space="preserve">For example, </w:t>
      </w:r>
      <w:r w:rsidR="00592E89" w:rsidRPr="00083E3E">
        <w:t xml:space="preserve">LGBTQ youth who are immigrants, children of immigrants, or refugees </w:t>
      </w:r>
      <w:r w:rsidR="00637E28">
        <w:t xml:space="preserve">often </w:t>
      </w:r>
      <w:r w:rsidR="00592E89" w:rsidRPr="00083E3E">
        <w:t>face additional language-related barriers that can further limit access to education and employment opportunities. Expanding state-funded programming, including English language learning programs that incorporate career-specific terminology, as well as professional development initiatives that support the transfer of education, licenses, and degrees, is essential to improving access and outcomes</w:t>
      </w:r>
      <w:r w:rsidR="00434076">
        <w:t xml:space="preserve"> for all youth across the Commonwealth</w:t>
      </w:r>
      <w:r w:rsidR="00592E89" w:rsidRPr="00083E3E">
        <w:t>.</w:t>
      </w:r>
      <w:r w:rsidR="00592E89" w:rsidRPr="00083E3E">
        <w:rPr>
          <w:rStyle w:val="FootnoteReference"/>
          <w:sz w:val="22"/>
          <w:szCs w:val="22"/>
        </w:rPr>
        <w:footnoteReference w:id="14"/>
      </w:r>
      <w:r w:rsidR="00592E89" w:rsidRPr="00083E3E">
        <w:t xml:space="preserve"> At the same time, Massachusetts lacks </w:t>
      </w:r>
      <w:r w:rsidR="00592E89" w:rsidRPr="00083E3E">
        <w:lastRenderedPageBreak/>
        <w:t xml:space="preserve">recent, comprehensive data on the specific experiences of LGBTQ immigrant youth in education and employment, </w:t>
      </w:r>
      <w:r w:rsidR="00434076">
        <w:t xml:space="preserve">emphasizing </w:t>
      </w:r>
      <w:r w:rsidR="00592E89" w:rsidRPr="00083E3E">
        <w:t xml:space="preserve">the need for further research to </w:t>
      </w:r>
      <w:r w:rsidR="00434076">
        <w:t xml:space="preserve">better </w:t>
      </w:r>
      <w:r w:rsidR="00592E89" w:rsidRPr="00083E3E">
        <w:t>inform policy and practice.</w:t>
      </w:r>
    </w:p>
    <w:p w14:paraId="6E92D456" w14:textId="5FA25CFC" w:rsidR="00592E89" w:rsidRPr="00083E3E" w:rsidRDefault="00EF5E52" w:rsidP="0005607E">
      <w:pPr>
        <w:jc w:val="both"/>
      </w:pPr>
      <w:r>
        <w:rPr>
          <w:noProof/>
        </w:rPr>
        <w:drawing>
          <wp:anchor distT="0" distB="0" distL="114300" distR="114300" simplePos="0" relativeHeight="251740160" behindDoc="0" locked="0" layoutInCell="1" allowOverlap="1" wp14:anchorId="3961E031" wp14:editId="4250B7E4">
            <wp:simplePos x="0" y="0"/>
            <wp:positionH relativeFrom="column">
              <wp:posOffset>3657600</wp:posOffset>
            </wp:positionH>
            <wp:positionV relativeFrom="paragraph">
              <wp:posOffset>1356360</wp:posOffset>
            </wp:positionV>
            <wp:extent cx="2276475" cy="2486025"/>
            <wp:effectExtent l="0" t="0" r="9525" b="9525"/>
            <wp:wrapSquare wrapText="bothSides"/>
            <wp:docPr id="177268604" name="Picture 52" descr="a graphic detailing that 70% of transgender employees experienced discrimination at some point and 47% experienced recent discrimination or hara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68604" name="Picture 52" descr="a graphic detailing that 70% of transgender employees experienced discrimination at some point and 47% experienced recent discrimination or harassment"/>
                    <pic:cNvPicPr/>
                  </pic:nvPicPr>
                  <pic:blipFill rotWithShape="1">
                    <a:blip r:embed="rId26" cstate="print">
                      <a:extLst>
                        <a:ext uri="{28A0092B-C50C-407E-A947-70E740481C1C}">
                          <a14:useLocalDpi xmlns:a14="http://schemas.microsoft.com/office/drawing/2010/main" val="0"/>
                        </a:ext>
                      </a:extLst>
                    </a:blip>
                    <a:srcRect b="12612"/>
                    <a:stretch>
                      <a:fillRect/>
                    </a:stretch>
                  </pic:blipFill>
                  <pic:spPr bwMode="auto">
                    <a:xfrm>
                      <a:off x="0" y="0"/>
                      <a:ext cx="2276475" cy="2486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2E89" w:rsidRPr="00083E3E">
        <w:t>Youth with involvement in the juvenile and adult legal systems also face significant barriers to employment and educational attainment. Despite ongoing efforts by the Department of Youth Services, unemployment rates remain high among youth who have been released from the justice system, and data on employment outcomes for formerly incarcerated individuals in Massachusetts is extremely limited. Nationally, approximately 65% of individuals are unemployed during the first four years following release, reflecting the profound challenges associated with reentry.</w:t>
      </w:r>
      <w:r w:rsidR="00592E89" w:rsidRPr="00083E3E">
        <w:rPr>
          <w:rStyle w:val="FootnoteReference"/>
          <w:sz w:val="22"/>
          <w:szCs w:val="22"/>
        </w:rPr>
        <w:footnoteReference w:id="15"/>
      </w:r>
      <w:r w:rsidR="00592E89" w:rsidRPr="00083E3E">
        <w:t xml:space="preserve"> Individuals with a history of incarceration frequently face hiring discrimination, which contributes to higher unemployment rates and limits access to stable, living-wage employment. These challenges are</w:t>
      </w:r>
      <w:r w:rsidR="00434076">
        <w:t xml:space="preserve"> often</w:t>
      </w:r>
      <w:r w:rsidR="00592E89" w:rsidRPr="00083E3E">
        <w:t xml:space="preserve"> further compounded for Black, Latinx, and multiracial youth, as well as youth with psychiatric and substance use needs - groups that are disproportionately represented in the legal system and face an increased risk of recidivism.</w:t>
      </w:r>
      <w:r w:rsidR="00592E89" w:rsidRPr="00083E3E">
        <w:rPr>
          <w:rStyle w:val="FootnoteReference"/>
          <w:sz w:val="22"/>
          <w:szCs w:val="22"/>
        </w:rPr>
        <w:footnoteReference w:id="16"/>
      </w:r>
      <w:r w:rsidR="00592E89" w:rsidRPr="00083E3E">
        <w:t xml:space="preserve"> Expanding targeted workforce development, reentry support services, and educational pathways for these youth is essential to reducing disparities and promoting long-term stability.</w:t>
      </w:r>
    </w:p>
    <w:p w14:paraId="12382A3B" w14:textId="3E65640A" w:rsidR="00592E89" w:rsidRPr="00083E3E" w:rsidRDefault="00592E89" w:rsidP="0005607E">
      <w:pPr>
        <w:jc w:val="both"/>
      </w:pPr>
      <w:r w:rsidRPr="00083E3E">
        <w:t xml:space="preserve">LGBTQ youth, particularly those who are QTBIPOC, face additional and well-documented barriers in both hiring </w:t>
      </w:r>
      <w:r w:rsidR="00434076">
        <w:t xml:space="preserve">processes </w:t>
      </w:r>
      <w:r w:rsidRPr="00083E3E">
        <w:t xml:space="preserve">and workplace environments. Discrimination </w:t>
      </w:r>
      <w:r w:rsidR="00434076">
        <w:t xml:space="preserve">against QTBIPOC individuals can occur </w:t>
      </w:r>
      <w:r w:rsidRPr="00083E3E">
        <w:t xml:space="preserve">at multiple stages of the employment process and </w:t>
      </w:r>
      <w:r w:rsidR="00434076">
        <w:t xml:space="preserve">can </w:t>
      </w:r>
      <w:r w:rsidRPr="00083E3E">
        <w:t xml:space="preserve">continue once individuals are employed. </w:t>
      </w:r>
      <w:r w:rsidR="00434076">
        <w:t>Nationally, a</w:t>
      </w:r>
      <w:r w:rsidRPr="00083E3E">
        <w:t>pproximately 70% of transgender employees report experiencing employment discrimination based on their sexual orientation or gender identity at some point in their lives, while 47% reported recent discrimination or harassment.</w:t>
      </w:r>
      <w:r w:rsidRPr="00083E3E">
        <w:rPr>
          <w:rStyle w:val="FootnoteReference"/>
          <w:sz w:val="22"/>
          <w:szCs w:val="22"/>
        </w:rPr>
        <w:footnoteReference w:id="17"/>
      </w:r>
      <w:r w:rsidRPr="00083E3E">
        <w:t xml:space="preserve"> These </w:t>
      </w:r>
      <w:r w:rsidRPr="00083E3E">
        <w:lastRenderedPageBreak/>
        <w:t xml:space="preserve">disparities are further compounded by racial discrimination in hiring, with employers nationwide being 30% more likely to hire white workers than Black workers. LGBTQ individuals also report higher rates of discrimination in the workplace overall, with </w:t>
      </w:r>
      <w:r w:rsidR="00434076">
        <w:t xml:space="preserve">LGBTQ </w:t>
      </w:r>
      <w:r w:rsidRPr="00083E3E">
        <w:t>BIPOC workers reporting even higher rates.</w:t>
      </w:r>
      <w:r w:rsidRPr="00083E3E">
        <w:rPr>
          <w:rStyle w:val="FootnoteReference"/>
          <w:sz w:val="22"/>
          <w:szCs w:val="22"/>
        </w:rPr>
        <w:footnoteReference w:id="18"/>
      </w:r>
      <w:r w:rsidRPr="00083E3E">
        <w:t xml:space="preserve"> </w:t>
      </w:r>
      <w:r w:rsidR="00434076">
        <w:t>The Commonwealth must strengthen policies</w:t>
      </w:r>
      <w:r w:rsidRPr="00083E3E">
        <w:t xml:space="preserve"> and programs that not only expand access to education and employment supports, but also address systemic discrimination and promote equitable, inclusive workplaces</w:t>
      </w:r>
      <w:r w:rsidR="00434076">
        <w:t>, particularly</w:t>
      </w:r>
      <w:r w:rsidRPr="00083E3E">
        <w:t xml:space="preserve"> for youth involved in state systems.</w:t>
      </w:r>
    </w:p>
    <w:p w14:paraId="7734DDF2" w14:textId="60C48DF6" w:rsidR="00592E89" w:rsidRPr="00083E3E" w:rsidRDefault="00592E89" w:rsidP="00E97E73">
      <w:pPr>
        <w:pStyle w:val="Heading3"/>
      </w:pPr>
      <w:bookmarkStart w:id="75" w:name="_Toc230277290"/>
      <w:r w:rsidRPr="00083E3E">
        <w:t>Improve cross-agency collaboration to support youth involved in multiple state systems.</w:t>
      </w:r>
      <w:bookmarkEnd w:id="75"/>
    </w:p>
    <w:p w14:paraId="61A181AF" w14:textId="0470B330" w:rsidR="00224479" w:rsidRDefault="00592E89" w:rsidP="0005607E">
      <w:pPr>
        <w:jc w:val="both"/>
      </w:pPr>
      <w:r w:rsidRPr="00083E3E">
        <w:t xml:space="preserve">Youth in the child welfare system are often involved in multiple other systems, sometimes labeled as multisystem-involved youth, dual-system-involved youth, or crossover youth. </w:t>
      </w:r>
      <w:r w:rsidR="00903FC6" w:rsidRPr="00903FC6">
        <w:t xml:space="preserve">The fragmentation of referral pathways, unequal referral processes, and reliance on personal relationships between staff members within systems, rather than institutional processes, was noted as an issue that often contributes to problems related to high turnover rates within the child welfare system during the listening sessions for the Commission in </w:t>
      </w:r>
      <w:r w:rsidR="00903FC6">
        <w:t xml:space="preserve">FY </w:t>
      </w:r>
      <w:r w:rsidR="00903FC6" w:rsidRPr="00903FC6">
        <w:t xml:space="preserve">2026. </w:t>
      </w:r>
      <w:r w:rsidR="001C7200">
        <w:t>Several community organization p</w:t>
      </w:r>
      <w:r w:rsidR="00903FC6">
        <w:t>articipants</w:t>
      </w:r>
      <w:r w:rsidR="00903FC6" w:rsidRPr="00903FC6">
        <w:t xml:space="preserve"> cited </w:t>
      </w:r>
      <w:r w:rsidR="001C7200">
        <w:t xml:space="preserve">a need for </w:t>
      </w:r>
      <w:r w:rsidR="00903FC6" w:rsidRPr="00903FC6">
        <w:t xml:space="preserve">greater clarity regarding available resources </w:t>
      </w:r>
      <w:r w:rsidR="001C7200">
        <w:t xml:space="preserve">across </w:t>
      </w:r>
      <w:r w:rsidR="00903FC6" w:rsidRPr="00903FC6">
        <w:t>the state, better referral pathways from schools to communities, and better communication between youth systems to ensure that youth are not navigating multiple systems without proper support.</w:t>
      </w:r>
    </w:p>
    <w:p w14:paraId="74707E06" w14:textId="0290ADD9" w:rsidR="00592E89" w:rsidRPr="00083E3E" w:rsidRDefault="00592E89" w:rsidP="0005607E">
      <w:pPr>
        <w:jc w:val="both"/>
      </w:pPr>
      <w:r w:rsidRPr="00083E3E">
        <w:t>While the specific experiences of Massachusetts LGBTQ multisystem-involved youth have been largely understudied, national research highlights that multisystem-involvement often compounds negative outcomes for youth due to a lack of adequate communication between state systems and a lack of comprehensive tracking and collaboration.</w:t>
      </w:r>
      <w:r w:rsidR="00434076">
        <w:rPr>
          <w:rStyle w:val="FootnoteReference"/>
        </w:rPr>
        <w:footnoteReference w:id="19"/>
      </w:r>
      <w:r w:rsidRPr="00083E3E">
        <w:t xml:space="preserve"> QTBIPOC youth are some of the most vulnerable </w:t>
      </w:r>
      <w:r w:rsidR="001509C4" w:rsidRPr="00083E3E">
        <w:t>youths</w:t>
      </w:r>
      <w:r w:rsidRPr="00083E3E">
        <w:t xml:space="preserve"> in state systems, and are disproportionately</w:t>
      </w:r>
      <w:r w:rsidR="00434076">
        <w:t xml:space="preserve"> represented</w:t>
      </w:r>
      <w:r w:rsidRPr="00083E3E">
        <w:t xml:space="preserve"> in the child welfare system, the juvenile justice system, the court system, and in experiences of homelessness, </w:t>
      </w:r>
      <w:r w:rsidR="007D658D" w:rsidRPr="00083E3E">
        <w:t>trafficking,</w:t>
      </w:r>
      <w:r w:rsidRPr="00083E3E">
        <w:t xml:space="preserve"> and sexual exploitation. The frequent failures of state systems to appropriately collaborate, communicate, and support multisystem-involved youth place our youth in even more vulnerable positions, and must be addressed. As has been highlighted for multiple years in the Commission’s annual report, state systems must engage with multisystem-involved youth in decision-making processes to better identify areas of improvement.</w:t>
      </w:r>
    </w:p>
    <w:p w14:paraId="54844AA6" w14:textId="2A6194BB" w:rsidR="00592E89" w:rsidRPr="00083E3E" w:rsidRDefault="00592E89" w:rsidP="00E97E73">
      <w:pPr>
        <w:pStyle w:val="Heading3"/>
      </w:pPr>
      <w:bookmarkStart w:id="76" w:name="_Toc230277291"/>
      <w:r w:rsidRPr="00083E3E">
        <w:lastRenderedPageBreak/>
        <w:t>Increase training opportunities for child welfare staff and providers to improve the safety, permanency, and well-being of LGBTQ youth.</w:t>
      </w:r>
      <w:bookmarkEnd w:id="76"/>
    </w:p>
    <w:p w14:paraId="59DEE3D2" w14:textId="3A5686F3" w:rsidR="00592E89" w:rsidRPr="00083E3E" w:rsidRDefault="00224479" w:rsidP="0005607E">
      <w:pPr>
        <w:jc w:val="both"/>
      </w:pPr>
      <w:r>
        <w:rPr>
          <w:noProof/>
        </w:rPr>
        <mc:AlternateContent>
          <mc:Choice Requires="wps">
            <w:drawing>
              <wp:anchor distT="91440" distB="91440" distL="114300" distR="114300" simplePos="0" relativeHeight="251668480" behindDoc="0" locked="0" layoutInCell="1" allowOverlap="1" wp14:anchorId="4F3254AD" wp14:editId="6DC73BD2">
                <wp:simplePos x="0" y="0"/>
                <wp:positionH relativeFrom="page">
                  <wp:posOffset>937895</wp:posOffset>
                </wp:positionH>
                <wp:positionV relativeFrom="paragraph">
                  <wp:posOffset>735330</wp:posOffset>
                </wp:positionV>
                <wp:extent cx="3181985" cy="1403985"/>
                <wp:effectExtent l="0" t="0" r="0" b="0"/>
                <wp:wrapSquare wrapText="bothSides"/>
                <wp:docPr id="7468746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985" cy="1403985"/>
                        </a:xfrm>
                        <a:prstGeom prst="rect">
                          <a:avLst/>
                        </a:prstGeom>
                        <a:noFill/>
                        <a:ln w="9525">
                          <a:noFill/>
                          <a:miter lim="800000"/>
                          <a:headEnd/>
                          <a:tailEnd/>
                        </a:ln>
                      </wps:spPr>
                      <wps:txbx>
                        <w:txbxContent>
                          <w:p w14:paraId="2117B0BA" w14:textId="29EF1711" w:rsidR="00E64629" w:rsidRPr="00E64629" w:rsidRDefault="00E64629" w:rsidP="00E64629">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“We’ve worked with some families of trans youth who experienced discrimination from DCF workers. DCF needs to make sure that its policies and protocols are being followed and that staff are being trained.”</w:t>
                            </w:r>
                            <w:r>
                              <w:rPr>
                                <w:color w:val="AD84C6" w:themeColor="accent1"/>
                              </w:rPr>
                              <w:t xml:space="preserve"> – Community organization supporting trans youth.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3254AD" id="_x0000_s1029" type="#_x0000_t202" style="position:absolute;left:0;text-align:left;margin-left:73.85pt;margin-top:57.9pt;width:250.55pt;height:110.55pt;z-index:251668480;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Lk/AEAANUDAAAOAAAAZHJzL2Uyb0RvYy54bWysU11v2yAUfZ+0/4B4X2ynyZZYcaquXaZJ&#10;3YfU7gdgjGM04DIgsbNf3wt202h9m+YHxPXlHu4597C5HrQiR+G8BFPRYpZTIgyHRpp9RX8+7t6t&#10;KPGBmYYpMKKiJ+Hp9fbtm01vSzGHDlQjHEEQ48veVrQLwZZZ5nknNPMzsMJgsgWnWcDQ7bPGsR7R&#10;tcrmef4+68E11gEX3uPfuzFJtwm/bQUP39vWi0BURbG3kFaX1jqu2XbDyr1jtpN8aoP9QxeaSYOX&#10;nqHuWGDk4OQrKC25Aw9tmHHQGbSt5CJxQDZF/hebh45ZkbigON6eZfL/D5Z/Oz7YH46E4SMMOMBE&#10;wtt74L88MXDbMbMXN85B3wnW4MVFlCzrrS+n0ii1L30Eqfuv0OCQ2SFAAhpap6MqyJMgOg7gdBZd&#10;DIFw/HlVrIr1akkJx1yxyK9iEO9g5XO5dT58FqBJ3FTU4VQTPDve+zAefT4SbzOwk0qlySpD+oqu&#10;l/NlKrjIaBnQeErqiq7y+I1WiCw/mSYVBybVuMdelJloR6Yj5zDUA5ENUoi1UYUamhPq4GD0Gb4L&#10;3HTg/lDSo8cq6n8fmBOUqC8GtVwXi0U0ZQoWyw9zDNxlpr7MMMMRqqKBknF7G5KRI2Vvb1DznUxq&#10;vHQytYzeSXpOPo/mvIzTqZfXuH0CAAD//wMAUEsDBBQABgAIAAAAIQAR84WC3wAAAAsBAAAPAAAA&#10;ZHJzL2Rvd25yZXYueG1sTI/NTsMwEITvSLyDtUjcqNMfkhLiVBVqyxEoEWc3XpKIeG3FbhrenuUE&#10;txntp9mZYjPZXow4hM6RgvksAYFUO9NRo6B639+tQYSoyejeESr4xgCb8vqq0LlxF3rD8RgbwSEU&#10;cq2gjdHnUoa6RavDzHkkvn26werIdmikGfSFw20vF0mSSqs74g+t9vjUYv11PFsFPvpD9jy8vG53&#10;+zGpPg7Vomt2St3eTNtHEBGn+AfDb32uDiV3OrkzmSB69qssY5TF/J43MJGu1ixOCpbL9AFkWcj/&#10;G8ofAAAA//8DAFBLAQItABQABgAIAAAAIQC2gziS/gAAAOEBAAATAAAAAAAAAAAAAAAAAAAAAABb&#10;Q29udGVudF9UeXBlc10ueG1sUEsBAi0AFAAGAAgAAAAhADj9If/WAAAAlAEAAAsAAAAAAAAAAAAA&#10;AAAALwEAAF9yZWxzLy5yZWxzUEsBAi0AFAAGAAgAAAAhAK36IuT8AQAA1QMAAA4AAAAAAAAAAAAA&#10;AAAALgIAAGRycy9lMm9Eb2MueG1sUEsBAi0AFAAGAAgAAAAhABHzhYLfAAAACwEAAA8AAAAAAAAA&#10;AAAAAAAAVgQAAGRycy9kb3ducmV2LnhtbFBLBQYAAAAABAAEAPMAAABiBQAAAAA=&#10;" filled="f" stroked="f">
                <v:textbox style="mso-fit-shape-to-text:t">
                  <w:txbxContent>
                    <w:p w14:paraId="2117B0BA" w14:textId="29EF1711" w:rsidR="00E64629" w:rsidRPr="00E64629" w:rsidRDefault="00E64629" w:rsidP="00E64629">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“We’ve worked with some families of trans youth who experienced discrimination from DCF workers. DCF needs to make sure that its policies and protocols are being followed and that staff are being trained.”</w:t>
                      </w:r>
                      <w:r>
                        <w:rPr>
                          <w:color w:val="AD84C6" w:themeColor="accent1"/>
                        </w:rPr>
                        <w:t xml:space="preserve"> – Community organization supporting trans youth.</w:t>
                      </w:r>
                    </w:p>
                  </w:txbxContent>
                </v:textbox>
                <w10:wrap type="square" anchorx="page"/>
              </v:shape>
            </w:pict>
          </mc:Fallback>
        </mc:AlternateContent>
      </w:r>
      <w:r w:rsidR="00592E89" w:rsidRPr="00083E3E">
        <w:t xml:space="preserve">Across the nation, LGBTQ foster youth disproportionately face discrimination, abuse, and violence in child welfare settings - particularly in congregate care - from other youth, foster families, and staff. Comprehensive and mandatory training for congregate care staff, caseworkers, and foster parents is critical to increasing LGBTQ-affirming services and strengthening accountability. Training opportunities should also be expanded to the Massachusetts </w:t>
      </w:r>
      <w:r w:rsidR="00434076">
        <w:t>court</w:t>
      </w:r>
      <w:r w:rsidR="00592E89" w:rsidRPr="00083E3E">
        <w:t xml:space="preserve"> system to ensure that judges and attorneys are equipped to provide LGBTQ-affirming services.</w:t>
      </w:r>
    </w:p>
    <w:p w14:paraId="65925626" w14:textId="34D226C2" w:rsidR="00592E89" w:rsidRPr="00083E3E" w:rsidRDefault="00592E89" w:rsidP="0005607E">
      <w:pPr>
        <w:jc w:val="both"/>
      </w:pPr>
      <w:r w:rsidRPr="00083E3E">
        <w:t xml:space="preserve">However, even with expanded training opportunities for state employees, significant barriers remain. Far too many youth involved in the child welfare system are not provided with adequate resources to understand their rights, nor is there a clear and accessible accountability process to ensure that the system is meeting their needs. In FY 2025, the Office of the Child Advocate (OCA) began hosting a series of informational sessions with youth in congregate care settings to inform them of their rights and available resources. However, additional state investment is needed to ensure that multilingual, LGBTQ-affirming trainings </w:t>
      </w:r>
      <w:r w:rsidR="00434076">
        <w:t xml:space="preserve">are provided to staff </w:t>
      </w:r>
      <w:r w:rsidRPr="00083E3E">
        <w:t xml:space="preserve">and resources are consistently </w:t>
      </w:r>
      <w:r w:rsidR="00434076">
        <w:t xml:space="preserve">made </w:t>
      </w:r>
      <w:r w:rsidRPr="00083E3E">
        <w:t xml:space="preserve">available to youth. The Commission was encouraged by the development of the Foster Child Bill of Rights, informed by DCF’s Youth Advisory Board, which affirms that every child should be treated with respect regardless of gender identity or sexual orientation. The Commission also supports </w:t>
      </w:r>
      <w:r w:rsidRPr="00434076">
        <w:rPr>
          <w:i/>
          <w:iCs/>
        </w:rPr>
        <w:t>An Act Establishing a Bill of Rights for Children in Foster Care</w:t>
      </w:r>
      <w:r w:rsidRPr="00083E3E">
        <w:t xml:space="preserve"> (S.107/H.235), which would require DCF to provide youth and their attorneys with a copy of these rights.</w:t>
      </w:r>
    </w:p>
    <w:p w14:paraId="58677749" w14:textId="1671DA00" w:rsidR="00592E89" w:rsidRPr="00083E3E" w:rsidRDefault="00592E89" w:rsidP="0005607E">
      <w:pPr>
        <w:jc w:val="both"/>
      </w:pPr>
      <w:r w:rsidRPr="00083E3E">
        <w:t>Training for parents and caregivers to support family preservation and youth permanency is another critical component of ensuring that LGBTQ youth thrive. However, few resources currently exist within state systems to support parents and caregivers of LGBTQ youth. Given that familial rejection is a significant risk factor for LGBTQ youth involvement in the child welfare system and experiences of homelessness, LGBTQ-focused parent and caregiver engagement curricula must become a priority for policymakers and stakeholders in the Commonwealth. Additionally, an increased focus on the supports that family resource centers can offer families with LGBTQ youth is critical to reducing continued family involvement in DCF and other state systems.</w:t>
      </w:r>
    </w:p>
    <w:p w14:paraId="7318C15D" w14:textId="772384E3" w:rsidR="00592E89" w:rsidRPr="00083E3E" w:rsidRDefault="00592E89" w:rsidP="0005607E">
      <w:pPr>
        <w:jc w:val="both"/>
      </w:pPr>
      <w:r w:rsidRPr="00083E3E">
        <w:lastRenderedPageBreak/>
        <w:t>Finally, in many conversations with state agencies regarding training and accountability processes, agencies often cite limitations in their ability to mandate trainings or hold contracted providers accountable for delivering LGBTQ-affirming services. However, many agencies already maintain quality assurance and improvement systems to ensure that contracted providers deliver required services. As such, all youth-serving state agencies should assess existing accountability mechanisms and identify opportunities to strengthen requirements and oversight to ensure the consistent provision of LGBTQ-affirming care.</w:t>
      </w:r>
    </w:p>
    <w:p w14:paraId="51537E8B" w14:textId="0E4B8CA7" w:rsidR="00592E89" w:rsidRPr="00083E3E" w:rsidRDefault="00592E89" w:rsidP="00E97E73">
      <w:pPr>
        <w:pStyle w:val="Heading3"/>
      </w:pPr>
      <w:bookmarkStart w:id="77" w:name="_Toc230277292"/>
      <w:r w:rsidRPr="00083E3E">
        <w:t>Explore the creation of an LGBTQ youth maltreatment code system within the Department of Children and Families.</w:t>
      </w:r>
      <w:bookmarkEnd w:id="77"/>
    </w:p>
    <w:p w14:paraId="147C5B45" w14:textId="546E2D13" w:rsidR="00592E89" w:rsidRPr="00083E3E" w:rsidRDefault="00592E89" w:rsidP="0005607E">
      <w:pPr>
        <w:jc w:val="both"/>
      </w:pPr>
      <w:r w:rsidRPr="00083E3E">
        <w:t xml:space="preserve">The state should explore the creation of a maltreatment code system for use in the child welfare system to better support social workers in tracking and addressing critical cases and incidents, with a specific maltreatment code being assigned to LGBTQ youth. Such a system would also provide </w:t>
      </w:r>
      <w:r w:rsidR="001509C4" w:rsidRPr="00083E3E">
        <w:t>clearer</w:t>
      </w:r>
      <w:r w:rsidRPr="00083E3E">
        <w:t xml:space="preserve"> information on the child’s case as it is reviewed </w:t>
      </w:r>
      <w:proofErr w:type="gramStart"/>
      <w:r w:rsidRPr="00083E3E">
        <w:t>to better</w:t>
      </w:r>
      <w:proofErr w:type="gramEnd"/>
      <w:r w:rsidRPr="00083E3E">
        <w:t xml:space="preserve"> ensure that all youth are receiving appropriate access to resources and care. The Commission understands that there are other states, such as Georgia, that have implemented a maltreatment code system that provides multiple benefits, including indicating and categorizing levels of imminent risk - used by social workers to better prepare and support youth in their caseload - as well as better categorizing a case’s eligibility for family preservation services; and providing the state and researchers with helpful data to better understand critical trends and gaps in case. </w:t>
      </w:r>
    </w:p>
    <w:p w14:paraId="170787B8" w14:textId="40406379" w:rsidR="00592E89" w:rsidRPr="00083E3E" w:rsidRDefault="00592E89" w:rsidP="0005607E">
      <w:pPr>
        <w:jc w:val="both"/>
      </w:pPr>
      <w:r w:rsidRPr="00083E3E">
        <w:t>Furthermore, proper coding of cases minimizes child abuse and neglect (CAN) registries for parents and families by supporting service intervention rather than a removal, as having a CAN registry can negatively impact caregivers’ economic status and ability to retain employment. However, despite the unique experiences faced by LGBTQ youth who may be in the child welfare system, or may potentially become involved in the system, no state has any LGBTQ-specific codes to support youth, providers, and families. Without these codes, collecting more comprehensive qualitative and quantitative data on LGBTQ youth maltreatment experiences is incredibly difficult. This session, A</w:t>
      </w:r>
      <w:r w:rsidRPr="00083E3E">
        <w:rPr>
          <w:i/>
          <w:iCs/>
        </w:rPr>
        <w:t xml:space="preserve">n act </w:t>
      </w:r>
      <w:proofErr w:type="gramStart"/>
      <w:r w:rsidRPr="00083E3E">
        <w:rPr>
          <w:i/>
          <w:iCs/>
        </w:rPr>
        <w:t>relative</w:t>
      </w:r>
      <w:proofErr w:type="gramEnd"/>
      <w:r w:rsidRPr="00083E3E">
        <w:rPr>
          <w:i/>
          <w:iCs/>
        </w:rPr>
        <w:t xml:space="preserve"> to maltreatment coding</w:t>
      </w:r>
      <w:r w:rsidRPr="00083E3E">
        <w:t xml:space="preserve"> (S.146/H.273) was filed to encourage greater conversation about this initiative across the state.</w:t>
      </w:r>
      <w:r w:rsidRPr="00083E3E">
        <w:rPr>
          <w:rStyle w:val="FootnoteReference"/>
          <w:sz w:val="22"/>
          <w:szCs w:val="22"/>
        </w:rPr>
        <w:footnoteReference w:id="20"/>
      </w:r>
    </w:p>
    <w:p w14:paraId="6D65167D" w14:textId="4085FBEA" w:rsidR="00592E89" w:rsidRPr="00083E3E" w:rsidRDefault="00592E89" w:rsidP="00E97E73">
      <w:pPr>
        <w:pStyle w:val="Heading3"/>
      </w:pPr>
      <w:bookmarkStart w:id="78" w:name="_Toc230277293"/>
      <w:r w:rsidRPr="00083E3E">
        <w:lastRenderedPageBreak/>
        <w:t>Expand mental health services for youth in state systems, including foster care and the juvenile legal system.</w:t>
      </w:r>
      <w:bookmarkEnd w:id="78"/>
    </w:p>
    <w:p w14:paraId="670A479A" w14:textId="7D4AEF18" w:rsidR="00224479" w:rsidRDefault="00224479" w:rsidP="0005607E">
      <w:pPr>
        <w:jc w:val="both"/>
      </w:pPr>
      <w:r w:rsidRPr="00224479">
        <w:t>Across the Commission’s FY 2026 listening sessions, participants described rising isolation, fear, burnout, and distrust among LGBTQ youth</w:t>
      </w:r>
      <w:r w:rsidR="006D651C">
        <w:t xml:space="preserve"> as impacting their mental health, often </w:t>
      </w:r>
      <w:r w:rsidRPr="00224479">
        <w:t xml:space="preserve">shaped by national politics, misinformation, family rejection, housing instability, and inconsistent institutional support. At the same time, youth and providers emphasized that affirming peer spaces, trusted adults, community events, creative programming, and youth-led spaces are protective factors that should be </w:t>
      </w:r>
      <w:r>
        <w:t xml:space="preserve">included </w:t>
      </w:r>
      <w:r w:rsidRPr="00224479">
        <w:t xml:space="preserve">in mental health supports for youth </w:t>
      </w:r>
      <w:r>
        <w:t>across the state, including those involved in state systems</w:t>
      </w:r>
      <w:r w:rsidRPr="00224479">
        <w:t>.</w:t>
      </w:r>
    </w:p>
    <w:p w14:paraId="0EDC1916" w14:textId="20CF6995" w:rsidR="00592E89" w:rsidRPr="00083E3E" w:rsidRDefault="00592E89" w:rsidP="0005607E">
      <w:pPr>
        <w:jc w:val="both"/>
      </w:pPr>
      <w:r w:rsidRPr="00083E3E">
        <w:t xml:space="preserve">Research has consistently indicated that LGBTQ youth thrive when they are surrounded by affirming institutions. The same research demonstrates that they are actively harmed when those institutions fail them. Whether they are in school, foster care, or the juvenile justice system, it is essential that LGBTQ youth are in spaces that result in positive long-term outcomes in youths’ mental health and safety. Because of the disproportionate rates of victimizations, family rejection, and housing instability faced by LGBTQ youth, the absence of affirming support structures in state systems can be the difference between a crisis and stability. </w:t>
      </w:r>
      <w:r w:rsidR="006D651C">
        <w:t>As such, the</w:t>
      </w:r>
      <w:r w:rsidRPr="00083E3E">
        <w:t xml:space="preserve"> </w:t>
      </w:r>
      <w:r w:rsidR="00903FC6">
        <w:t>C</w:t>
      </w:r>
      <w:r w:rsidRPr="00083E3E">
        <w:t xml:space="preserve">ommission </w:t>
      </w:r>
      <w:r w:rsidR="006D651C">
        <w:t xml:space="preserve">recommends that the Commonwealth heavily invest in </w:t>
      </w:r>
      <w:r w:rsidRPr="00083E3E">
        <w:t>an expansion of mental health services for LGBTQ youth who are in state systems.</w:t>
      </w:r>
    </w:p>
    <w:p w14:paraId="22BFF8A8" w14:textId="0A48D6A6" w:rsidR="00592E89" w:rsidRPr="00083E3E" w:rsidRDefault="008304B3" w:rsidP="0005607E">
      <w:pPr>
        <w:jc w:val="both"/>
      </w:pPr>
      <w:r>
        <w:rPr>
          <w:noProof/>
        </w:rPr>
        <w:drawing>
          <wp:anchor distT="0" distB="0" distL="114300" distR="114300" simplePos="0" relativeHeight="251741184" behindDoc="0" locked="0" layoutInCell="1" allowOverlap="1" wp14:anchorId="5F5557FB" wp14:editId="7C763E9A">
            <wp:simplePos x="0" y="0"/>
            <wp:positionH relativeFrom="column">
              <wp:posOffset>3007302</wp:posOffset>
            </wp:positionH>
            <wp:positionV relativeFrom="paragraph">
              <wp:posOffset>1206005</wp:posOffset>
            </wp:positionV>
            <wp:extent cx="2924175" cy="1616710"/>
            <wp:effectExtent l="0" t="0" r="9525" b="2540"/>
            <wp:wrapSquare wrapText="bothSides"/>
            <wp:docPr id="1313653323" name="Picture 53" descr="a graphic saying that 6.1% of youth in DYS identify as LGBTQ and 83% of the detained DYS population are BIP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653323" name="Picture 53" descr="a graphic saying that 6.1% of youth in DYS identify as LGBTQ and 83% of the detained DYS population are BIPOC"/>
                    <pic:cNvPicPr/>
                  </pic:nvPicPr>
                  <pic:blipFill rotWithShape="1">
                    <a:blip r:embed="rId27" cstate="print">
                      <a:extLst>
                        <a:ext uri="{28A0092B-C50C-407E-A947-70E740481C1C}">
                          <a14:useLocalDpi xmlns:a14="http://schemas.microsoft.com/office/drawing/2010/main" val="0"/>
                        </a:ext>
                      </a:extLst>
                    </a:blip>
                    <a:srcRect b="55769"/>
                    <a:stretch>
                      <a:fillRect/>
                    </a:stretch>
                  </pic:blipFill>
                  <pic:spPr bwMode="auto">
                    <a:xfrm>
                      <a:off x="0" y="0"/>
                      <a:ext cx="2924175" cy="16167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2E89" w:rsidRPr="00083E3E">
        <w:t>Glisten found that students in schools with GSAs, positive curriculum about LGBTQ people, and more supportive school staff had higher self-esteem and lower levels of depression and suicidal ideation than peers who lacked these key supports. In-person peer programs like GSAs have been popular for decades and provide a template for improving mental health than newer alternatives. Research shows that when students engaged more actively with their GSA over the course of a school year, they reported higher perceived levels of peer validation and greater self-efficacy to promote social justice. The protective effects extend beyond emotional well-being: Glisten found that students with active GSAs experienced nearly half as much in-person victimization for their sexual orientation or gender expression as their peers without such programs.</w:t>
      </w:r>
      <w:r w:rsidR="00592E89" w:rsidRPr="00083E3E">
        <w:rPr>
          <w:rStyle w:val="FootnoteReference"/>
          <w:sz w:val="22"/>
          <w:szCs w:val="22"/>
        </w:rPr>
        <w:footnoteReference w:id="21"/>
      </w:r>
    </w:p>
    <w:p w14:paraId="39D5FD4A" w14:textId="4E7B7F15" w:rsidR="00592E89" w:rsidRPr="00083E3E" w:rsidRDefault="006D651C" w:rsidP="0005607E">
      <w:pPr>
        <w:jc w:val="both"/>
      </w:pPr>
      <w:r>
        <w:lastRenderedPageBreak/>
        <w:t xml:space="preserve">Additionally, </w:t>
      </w:r>
      <w:r w:rsidR="00592E89" w:rsidRPr="00083E3E">
        <w:t xml:space="preserve">LGBTQ youth in the child welfare system also require affirming services and professionals, especially those who have trauma informed and culturally responsive training. Nationally, LGBTQ youth are twice as likely to report being unfairly treated by the child welfare system, which results in higher rates of placement runaways, chronic absenteeism, discipline, and dropping out </w:t>
      </w:r>
      <w:r>
        <w:t>of school</w:t>
      </w:r>
      <w:r w:rsidR="00592E89" w:rsidRPr="00083E3E">
        <w:t>.</w:t>
      </w:r>
      <w:r w:rsidR="00592E89" w:rsidRPr="00083E3E">
        <w:rPr>
          <w:rStyle w:val="FootnoteReference"/>
          <w:sz w:val="22"/>
          <w:szCs w:val="22"/>
        </w:rPr>
        <w:footnoteReference w:id="22"/>
      </w:r>
      <w:r w:rsidR="00592E89" w:rsidRPr="00083E3E">
        <w:t xml:space="preserve"> LGBTQ youth are also nearly three times as likely to be hospitalized for mental health reasons, and when they age out of </w:t>
      </w:r>
      <w:r>
        <w:t xml:space="preserve">systems, </w:t>
      </w:r>
      <w:r w:rsidR="00592E89" w:rsidRPr="00083E3E">
        <w:t>many are left on their own.</w:t>
      </w:r>
      <w:r w:rsidR="00592E89" w:rsidRPr="00083E3E">
        <w:rPr>
          <w:rStyle w:val="FootnoteReference"/>
          <w:sz w:val="22"/>
          <w:szCs w:val="22"/>
        </w:rPr>
        <w:footnoteReference w:id="23"/>
      </w:r>
    </w:p>
    <w:p w14:paraId="20138483" w14:textId="29C24AEB" w:rsidR="00592E89" w:rsidRPr="00083E3E" w:rsidRDefault="006D651C" w:rsidP="0005607E">
      <w:pPr>
        <w:jc w:val="both"/>
      </w:pPr>
      <w:r>
        <w:t xml:space="preserve">Furthermore, </w:t>
      </w:r>
      <w:r w:rsidR="00592E89" w:rsidRPr="00083E3E">
        <w:t>LGBTQ youth who are involved within the juvenile and criminal justice systems often hold complex multiple marginalized identities. In Massachusetts, the DYS Annual Report for 2023 found that 6.1% of youth in the juvenile justice system identified as LGBTQ and 83% of the detained juvenile population identifies as BIPOC.</w:t>
      </w:r>
      <w:r w:rsidR="00592E89" w:rsidRPr="00083E3E">
        <w:rPr>
          <w:rStyle w:val="FootnoteReference"/>
          <w:sz w:val="22"/>
          <w:szCs w:val="22"/>
        </w:rPr>
        <w:footnoteReference w:id="24"/>
      </w:r>
      <w:r w:rsidR="00592E89" w:rsidRPr="00083E3E">
        <w:t xml:space="preserve"> LGBTQ youth with experience being incarcerated are frequently survivors of childhood abuse and trauma</w:t>
      </w:r>
      <w:r>
        <w:t xml:space="preserve"> and may have been </w:t>
      </w:r>
      <w:r w:rsidR="00592E89" w:rsidRPr="00083E3E">
        <w:t xml:space="preserve">unemployed or homeless before incarceration. </w:t>
      </w:r>
      <w:r>
        <w:t>Additionally, n</w:t>
      </w:r>
      <w:r w:rsidR="00592E89" w:rsidRPr="00083E3E">
        <w:t>ational research shows that arrest rates are higher for BIPOC youth and transgender youth, driven at least in part by prejudice, poverty, and inequitable laws such as the criminalization of sex work.</w:t>
      </w:r>
      <w:r w:rsidR="00592E89" w:rsidRPr="00083E3E">
        <w:rPr>
          <w:rStyle w:val="FootnoteReference"/>
          <w:sz w:val="22"/>
          <w:szCs w:val="22"/>
        </w:rPr>
        <w:footnoteReference w:id="25"/>
      </w:r>
    </w:p>
    <w:p w14:paraId="538FC88E" w14:textId="18F0FB8D" w:rsidR="00592E89" w:rsidRPr="00083E3E" w:rsidRDefault="00592E89" w:rsidP="0005607E">
      <w:pPr>
        <w:jc w:val="both"/>
      </w:pPr>
      <w:r w:rsidRPr="00083E3E">
        <w:t xml:space="preserve">Given these circumstances, the </w:t>
      </w:r>
      <w:r w:rsidR="006D651C">
        <w:t xml:space="preserve">Commonwealth </w:t>
      </w:r>
      <w:r w:rsidRPr="00083E3E">
        <w:t>should ensure that policies and programs</w:t>
      </w:r>
      <w:r w:rsidR="006D651C">
        <w:t>, especially those within the child welfare and justice systems,</w:t>
      </w:r>
      <w:r w:rsidRPr="00083E3E">
        <w:t xml:space="preserve"> </w:t>
      </w:r>
      <w:r w:rsidR="006D651C">
        <w:t xml:space="preserve">center mental health programs </w:t>
      </w:r>
      <w:r w:rsidRPr="00083E3E">
        <w:t>to support youth and families, as well as work to prevent removal or detainment in the first place. Key recommendations include recognizing trauma responses rather than simply labeling youth as aggressive, offering LGBTQ competency trainings for system employees and foster parents, extending eligibility for support services after youth exit the systems, providing trauma-informed, LGBTQ-specific social spaces and support services, and creating clear pathways for reporting and enforcing consequences for anti-LGBTQ discrimination.</w:t>
      </w:r>
    </w:p>
    <w:p w14:paraId="3DA038BB" w14:textId="4227C9D6" w:rsidR="00592E89" w:rsidRPr="00083E3E" w:rsidRDefault="00592E89" w:rsidP="00E97E73">
      <w:pPr>
        <w:pStyle w:val="Heading3"/>
      </w:pPr>
      <w:bookmarkStart w:id="79" w:name="_Toc230277294"/>
      <w:r w:rsidRPr="00083E3E">
        <w:t>Investigate reports of youth held in psychiatric facilities while awaiting placement or access to state agency services.</w:t>
      </w:r>
      <w:bookmarkEnd w:id="79"/>
    </w:p>
    <w:p w14:paraId="3154FB3B" w14:textId="044F3F6B" w:rsidR="00592E89" w:rsidRPr="00083E3E" w:rsidRDefault="00592E89" w:rsidP="0005607E">
      <w:pPr>
        <w:jc w:val="both"/>
      </w:pPr>
      <w:r w:rsidRPr="00083E3E">
        <w:t xml:space="preserve">Recently, the Commission has begun to hear concerning reports of youth remaining in psychiatric hospitals for extended periods of time after they no longer meet the criteria for inpatient </w:t>
      </w:r>
      <w:r w:rsidRPr="00083E3E">
        <w:lastRenderedPageBreak/>
        <w:t xml:space="preserve">psychiatric care, often because appropriate placements, community-based services, or interagency supports are unavailable. While some </w:t>
      </w:r>
      <w:r w:rsidR="001509C4" w:rsidRPr="00083E3E">
        <w:t>youths</w:t>
      </w:r>
      <w:r w:rsidRPr="00083E3E">
        <w:t xml:space="preserve"> are awaiting placements coordinated through state agencies such as DCF, DMH, or DDS, the Commission has also heard reports of youth remaining hospitalized because they do not feel safe returning to prior placements or because alternative options have not been identified. In some cases, youth described to the Commission as feeling as though they are being held against their will despite no longer requiring acute psychiatric treatment. </w:t>
      </w:r>
    </w:p>
    <w:p w14:paraId="1EB9F037" w14:textId="3EF7E100" w:rsidR="00224479" w:rsidRPr="00083E3E" w:rsidRDefault="00592E89" w:rsidP="0005607E">
      <w:pPr>
        <w:jc w:val="both"/>
      </w:pPr>
      <w:r w:rsidRPr="00083E3E">
        <w:t xml:space="preserve">The Children’s League of Massachusetts report, </w:t>
      </w:r>
      <w:r w:rsidRPr="00083E3E">
        <w:rPr>
          <w:i/>
          <w:iCs/>
        </w:rPr>
        <w:t xml:space="preserve">Where Do We </w:t>
      </w:r>
      <w:proofErr w:type="gramStart"/>
      <w:r w:rsidRPr="00083E3E">
        <w:rPr>
          <w:i/>
          <w:iCs/>
        </w:rPr>
        <w:t>Belong?</w:t>
      </w:r>
      <w:r w:rsidRPr="00083E3E">
        <w:t>,</w:t>
      </w:r>
      <w:proofErr w:type="gramEnd"/>
      <w:r w:rsidRPr="00083E3E">
        <w:t xml:space="preserve"> paints a deeply troubling picture of a child welfare and congregate care system struggling to meet the needs of “high acuity” youth. The report describes “high acuity” as young people whose behavioral, mental health, trauma-related, developmental, and medical needs exceed the capacity of their current placements. The report found that approximately 24% of youth in congregate care were considered highly disruptive or severely mismatched to their settings, while nearly 15% of contracted beds were offline due to staffing shortages, intensifying system strain. Providers documented repeated incidents involving assaults, suicidal ideation, self-harm, exploitation risks, substance use, property destruction, police intervention, emergency room boarding, and chronic runaway behavior, all while youth experienced increasingly prolonged stays in care and instability across placements.</w:t>
      </w:r>
      <w:r w:rsidRPr="00083E3E">
        <w:rPr>
          <w:rStyle w:val="FootnoteReference"/>
          <w:sz w:val="22"/>
          <w:szCs w:val="22"/>
        </w:rPr>
        <w:footnoteReference w:id="26"/>
      </w:r>
      <w:r w:rsidRPr="00083E3E">
        <w:t xml:space="preserve"> More troubling is evidence of youth’s multisystem</w:t>
      </w:r>
      <w:r w:rsidR="006D651C">
        <w:t>-</w:t>
      </w:r>
      <w:r w:rsidRPr="00083E3E">
        <w:t xml:space="preserve">involvement. Youth described as high acuity have significant involvement with DYS. </w:t>
      </w:r>
    </w:p>
    <w:p w14:paraId="42354F59" w14:textId="467FA5F9" w:rsidR="00592E89" w:rsidRPr="00083E3E" w:rsidRDefault="00592E89" w:rsidP="0005607E">
      <w:pPr>
        <w:jc w:val="both"/>
      </w:pPr>
      <w:r w:rsidRPr="00083E3E">
        <w:t xml:space="preserve">The Commission seeks to examine whether congregate care placements are actively exacerbating trauma and behavioral deterioration among high acuity youth due to placement mismatch, prolonged stays, inadequate clinical infrastructure, and the absence of trauma-responsive step-up and step-down care models. </w:t>
      </w:r>
      <w:r w:rsidR="00746AB2">
        <w:t>The Commission</w:t>
      </w:r>
      <w:r w:rsidRPr="00083E3E">
        <w:t xml:space="preserve"> hope</w:t>
      </w:r>
      <w:r w:rsidR="00746AB2">
        <w:t>s</w:t>
      </w:r>
      <w:r w:rsidRPr="00083E3E">
        <w:t xml:space="preserve"> to specifically assess patterns involving LGBTQ youth, commercially sexually exploited youth, youth with repeated psychiatric boarding histories, and youth cycling between DCF, hospitals, police, and juvenile justice systems; including data analysis on placement instability, emergency department utilization, police involvement, staffing ratios, restraint incidents, runaway episodes, and racial and identity-based disparities in treatment outcomes. It is important that our investigation evaluates whether current referral and placement practices lack transparency and sufficient clinical assessment, contributing to unsafe environments for youth. Our investigative process would involve interviews with all collateral contacts to inform the recommendations for highly supported therapeutic settings with integrated behavioral health, substance use, educational, </w:t>
      </w:r>
      <w:r w:rsidRPr="00083E3E">
        <w:lastRenderedPageBreak/>
        <w:t>and permanency planning services capable of interrupting the current crisis-to-crisis cycle identified throughout the report.</w:t>
      </w:r>
    </w:p>
    <w:p w14:paraId="60128092" w14:textId="0F807EBC" w:rsidR="00592E89" w:rsidRPr="00083E3E" w:rsidRDefault="00592E89" w:rsidP="0005607E">
      <w:pPr>
        <w:jc w:val="both"/>
      </w:pPr>
      <w:r w:rsidRPr="00083E3E">
        <w:t>The Commission is particularly concerned by reports that some youth struggle to meaningfully communicate with legal counsel or advocates while confined in these settings, creating additional barriers to understanding their rights, challenging placements, or navigating complex interagency systems. The Commission recently spoke with a young person who described prolonged confinement in a psychiatric facility while awaiting services, despite already having legal representation through the mental health division of the Committee for Public Counsel Services (CPCS). This raises broader concerns regarding youth access to advocacy, communication, and due process while institutionalized.</w:t>
      </w:r>
    </w:p>
    <w:p w14:paraId="7E80217C" w14:textId="13EFE653" w:rsidR="00592E89" w:rsidRPr="00083E3E" w:rsidRDefault="00592E89" w:rsidP="0005607E">
      <w:pPr>
        <w:jc w:val="both"/>
      </w:pPr>
      <w:r w:rsidRPr="00083E3E">
        <w:t>The Commission recommends that relevant agencies collaboratively investigate the prevalence and causes of prolonged psychiatric boarding among youth, including barriers related to placement shortages, service coordination, family conflict, congregate care capacity, and interagency communication. This review should include attention to the experiences of LGBTQ youth, who may face heightened family rejection, placement instability, or discrimination that can complicate discharge planning and access to affirming placements. The Commission further recommends exploring mechanisms to strengthen youth access to legal advocates, improve oversight and accountability around discharge delays, and expand trauma-informed, community-based alternatives that prevent unnecessary institutionalization.</w:t>
      </w:r>
    </w:p>
    <w:p w14:paraId="763B4DD5" w14:textId="168AA30A" w:rsidR="00592E89" w:rsidRPr="00083E3E" w:rsidRDefault="00592E89" w:rsidP="00E97E73">
      <w:pPr>
        <w:pStyle w:val="Heading3"/>
      </w:pPr>
      <w:bookmarkStart w:id="80" w:name="_Toc230277295"/>
      <w:r w:rsidRPr="00083E3E">
        <w:t>Address caregiver burdens placed on youth who are supporting family members through expanded social service supports.</w:t>
      </w:r>
      <w:bookmarkEnd w:id="80"/>
    </w:p>
    <w:p w14:paraId="2F6ABCB3" w14:textId="145D0ACF" w:rsidR="00592E89" w:rsidRPr="00083E3E" w:rsidRDefault="00592E89" w:rsidP="0005607E">
      <w:pPr>
        <w:jc w:val="both"/>
      </w:pPr>
      <w:r w:rsidRPr="00083E3E">
        <w:t xml:space="preserve">Across the United States, millions of young people serve as caregivers for family members living with chronic illness, disability, mental illness, or substance use disorders. This population remains largely invisible to educators, healthcare providers, and policymakers. Estimates of the number of caregivers </w:t>
      </w:r>
      <w:r w:rsidR="001509C4" w:rsidRPr="00083E3E">
        <w:t>vary, with</w:t>
      </w:r>
      <w:r w:rsidRPr="00083E3E">
        <w:t xml:space="preserve"> a 2024 study published in </w:t>
      </w:r>
      <w:r w:rsidRPr="00083E3E">
        <w:rPr>
          <w:i/>
          <w:iCs/>
        </w:rPr>
        <w:t>Demography</w:t>
      </w:r>
      <w:r w:rsidRPr="00083E3E">
        <w:t xml:space="preserve"> identifying approximately 1.6 million caregivers ages 15 to 18, representing 9.2% of that age group, while a 2023 report from the Caregiving Youth Research Collaborative places the figure at roughly 5.4 million when emotional and support caregiving are included.</w:t>
      </w:r>
      <w:r w:rsidRPr="00083E3E">
        <w:rPr>
          <w:vertAlign w:val="superscript"/>
        </w:rPr>
        <w:footnoteReference w:id="27"/>
      </w:r>
      <w:r w:rsidRPr="00083E3E">
        <w:t xml:space="preserve"> Non-white youth are disproportionately represented among caregivers, </w:t>
      </w:r>
      <w:r w:rsidR="006D651C">
        <w:t xml:space="preserve">highlighting </w:t>
      </w:r>
      <w:r w:rsidRPr="00083E3E">
        <w:t>the equity dimensions of this issue.</w:t>
      </w:r>
    </w:p>
    <w:p w14:paraId="4212410C" w14:textId="76C9C973" w:rsidR="00592E89" w:rsidRPr="00083E3E" w:rsidRDefault="00592E89" w:rsidP="0005607E">
      <w:pPr>
        <w:jc w:val="both"/>
      </w:pPr>
      <w:r w:rsidRPr="00083E3E">
        <w:t xml:space="preserve">The educational costs of youth caregiving are substantial and measurable. Recent national research found that youth caregivers spend </w:t>
      </w:r>
      <w:r w:rsidR="007D658D" w:rsidRPr="00083E3E">
        <w:t>forty-two</w:t>
      </w:r>
      <w:r w:rsidRPr="00083E3E">
        <w:t xml:space="preserve"> fewer minutes per day on educational activities and </w:t>
      </w:r>
      <w:r w:rsidR="007D658D" w:rsidRPr="00083E3E">
        <w:t>thirty-one</w:t>
      </w:r>
      <w:r w:rsidRPr="00083E3E">
        <w:t xml:space="preserve"> fewer minutes per day in class compared to non-caregiving peers. Among </w:t>
      </w:r>
      <w:r w:rsidRPr="00083E3E">
        <w:lastRenderedPageBreak/>
        <w:t xml:space="preserve">young adult caregivers enrolled full-time, the gap in educational time widens to </w:t>
      </w:r>
      <w:r w:rsidR="00746AB2">
        <w:t>seventy-one</w:t>
      </w:r>
      <w:r w:rsidRPr="00083E3E">
        <w:t xml:space="preserve"> fewer minutes per day; 27% of youth caregivers are not enrolled in school at all, compared to 18% of their non-caregiving peers.</w:t>
      </w:r>
      <w:r w:rsidRPr="00083E3E">
        <w:rPr>
          <w:vertAlign w:val="superscript"/>
        </w:rPr>
        <w:footnoteReference w:id="28"/>
      </w:r>
      <w:r w:rsidRPr="00083E3E">
        <w:t xml:space="preserve"> Beyond school engagement, caregiving is associated with elevated stress, anxiety, and challenges completing higher education, compounding the risks faced by youth who are already navigating hostile or unsupportive environments.</w:t>
      </w:r>
      <w:r w:rsidRPr="00083E3E">
        <w:rPr>
          <w:vertAlign w:val="superscript"/>
        </w:rPr>
        <w:footnoteReference w:id="29"/>
      </w:r>
    </w:p>
    <w:p w14:paraId="46EC25E5" w14:textId="507464DD" w:rsidR="00592E89" w:rsidRPr="00083E3E" w:rsidRDefault="00592E89" w:rsidP="0005607E">
      <w:pPr>
        <w:jc w:val="both"/>
      </w:pPr>
      <w:r w:rsidRPr="00083E3E">
        <w:t>For LGBTQ youth, these burdens do not exist in isolation. LGBTQ youth who are simultaneously managing caregiving responsibilities and navigating the school climate challenges documented elsewhere in this report -</w:t>
      </w:r>
      <w:r w:rsidR="006D651C">
        <w:t xml:space="preserve"> </w:t>
      </w:r>
      <w:r w:rsidRPr="00083E3E">
        <w:t>including bullying, discrimination, and inadequate institutional support - face compounded barriers to academic success and well-being. Given these circumstances, Massachusetts should expand social service supports to identify and assist caregiving youth, including school-based screening protocols, caregiver support programming, and coordinated referral systems. The United States currently has no national standards for identifying or supporting youth caregivers, and state-level data collection remains limited.</w:t>
      </w:r>
      <w:r w:rsidRPr="00083E3E">
        <w:rPr>
          <w:vertAlign w:val="superscript"/>
        </w:rPr>
        <w:footnoteReference w:id="30"/>
      </w:r>
      <w:r w:rsidRPr="00083E3E">
        <w:t xml:space="preserve"> Massachusetts has an opportunity to lead on this issue, consistent with the 2022 National Strategy to Support Family Caregivers, which established young caregivers as a federal priority for research and support. Key steps include training school staff to recognize caregiving responsibilities among students; connecting caregiving youth to trauma-informed, LGBTQ-specific support services; and extending eligibility for social service programs to youth whose caregiving roles place them at risk of disengagement from school and community life.</w:t>
      </w:r>
    </w:p>
    <w:p w14:paraId="4F53416C" w14:textId="6E89EED8" w:rsidR="00592E89" w:rsidRPr="00083E3E" w:rsidRDefault="00592E89" w:rsidP="00E97E73">
      <w:pPr>
        <w:pStyle w:val="Heading3"/>
      </w:pPr>
      <w:bookmarkStart w:id="81" w:name="_Toc230277296"/>
      <w:r w:rsidRPr="00083E3E">
        <w:t>Conclusion</w:t>
      </w:r>
      <w:bookmarkEnd w:id="81"/>
    </w:p>
    <w:p w14:paraId="7EF9976E" w14:textId="387F0F25" w:rsidR="00746AB2" w:rsidRDefault="00746AB2" w:rsidP="000C290C">
      <w:pPr>
        <w:spacing w:line="240" w:lineRule="auto"/>
        <w:jc w:val="both"/>
      </w:pPr>
      <w:r>
        <w:t xml:space="preserve">Overall, these </w:t>
      </w:r>
      <w:r w:rsidR="006D651C">
        <w:t xml:space="preserve">recommendations </w:t>
      </w:r>
      <w:r>
        <w:t>represent an approach that requires a coordinated effort across systems to ensure proper support for LGBTQ youth in Massachusetts. By enhancing services, improving data collection, offering more economic supports, and promoting accountability across all these systems, Massachusetts could more effectively overcome the structural barriers that influence the outcomes of its youth.</w:t>
      </w:r>
    </w:p>
    <w:p w14:paraId="5735835F" w14:textId="28DD49E8" w:rsidR="00091812" w:rsidRPr="00746AB2" w:rsidRDefault="00746AB2" w:rsidP="000C290C">
      <w:pPr>
        <w:spacing w:line="240" w:lineRule="auto"/>
        <w:jc w:val="both"/>
      </w:pPr>
      <w:r>
        <w:t>On the other hand, many of the challenges faced by youth appear to manifest prominently in education systems, where youth spend considerable amounts of time daily. Schools provide access to vital services and offer the opportunity for developing positive relationships and fostering healthy identities among youth. Consequently, schools play a critical role in the process of ensuring that youth not only excel within, but outside of, state systems as well.</w:t>
      </w:r>
      <w:r w:rsidR="00091812">
        <w:rPr>
          <w:spacing w:val="-6"/>
        </w:rPr>
        <w:br w:type="page"/>
      </w:r>
    </w:p>
    <w:p w14:paraId="0F41524A" w14:textId="77F156D2" w:rsidR="008304B3" w:rsidRPr="00091812" w:rsidRDefault="00091812" w:rsidP="0005607E">
      <w:pPr>
        <w:jc w:val="both"/>
        <w:rPr>
          <w:spacing w:val="-6"/>
        </w:rPr>
      </w:pPr>
      <w:r>
        <w:rPr>
          <w:noProof/>
        </w:rPr>
        <w:lastRenderedPageBreak/>
        <w:drawing>
          <wp:anchor distT="0" distB="0" distL="114300" distR="114300" simplePos="0" relativeHeight="251743232" behindDoc="1" locked="0" layoutInCell="1" allowOverlap="1" wp14:anchorId="36CEF8B1" wp14:editId="56879CD8">
            <wp:simplePos x="0" y="0"/>
            <wp:positionH relativeFrom="column">
              <wp:posOffset>-1181100</wp:posOffset>
            </wp:positionH>
            <wp:positionV relativeFrom="paragraph">
              <wp:posOffset>-993775</wp:posOffset>
            </wp:positionV>
            <wp:extent cx="9392920" cy="1133475"/>
            <wp:effectExtent l="19050" t="19050" r="17780" b="28575"/>
            <wp:wrapNone/>
            <wp:docPr id="564179969" name="Picture 34" descr="People carrying Prid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179969" name="Picture 564179969" descr="People carrying Pride banner"/>
                    <pic:cNvPicPr/>
                  </pic:nvPicPr>
                  <pic:blipFill rotWithShape="1">
                    <a:blip r:embed="rId28" cstate="print">
                      <a:extLst>
                        <a:ext uri="{28A0092B-C50C-407E-A947-70E740481C1C}">
                          <a14:useLocalDpi xmlns:a14="http://schemas.microsoft.com/office/drawing/2010/main" val="0"/>
                        </a:ext>
                      </a:extLst>
                    </a:blip>
                    <a:srcRect t="17392" b="55862"/>
                    <a:stretch>
                      <a:fillRect/>
                    </a:stretch>
                  </pic:blipFill>
                  <pic:spPr bwMode="auto">
                    <a:xfrm>
                      <a:off x="0" y="0"/>
                      <a:ext cx="9392920" cy="113347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DE6347" w14:textId="3C7BF0D2" w:rsidR="00592E89" w:rsidRPr="00083E3E" w:rsidRDefault="00592E89" w:rsidP="00B7107C">
      <w:pPr>
        <w:pStyle w:val="Heading2"/>
        <w:rPr>
          <w:rFonts w:eastAsia="Calibri"/>
        </w:rPr>
      </w:pPr>
      <w:bookmarkStart w:id="82" w:name="_Toc230276113"/>
      <w:bookmarkStart w:id="83" w:name="_Toc230276220"/>
      <w:bookmarkStart w:id="84" w:name="_Toc230276303"/>
      <w:bookmarkStart w:id="85" w:name="_Toc230276355"/>
      <w:bookmarkStart w:id="86" w:name="_Toc230277096"/>
      <w:bookmarkStart w:id="87" w:name="_Toc230277297"/>
      <w:bookmarkStart w:id="88" w:name="_Toc230355478"/>
      <w:r w:rsidRPr="00083E3E">
        <w:t>Education Systems &amp; School Climate</w:t>
      </w:r>
      <w:bookmarkEnd w:id="82"/>
      <w:bookmarkEnd w:id="83"/>
      <w:bookmarkEnd w:id="84"/>
      <w:bookmarkEnd w:id="85"/>
      <w:bookmarkEnd w:id="86"/>
      <w:bookmarkEnd w:id="87"/>
      <w:bookmarkEnd w:id="88"/>
    </w:p>
    <w:p w14:paraId="38A77EEF" w14:textId="26ECBE56" w:rsidR="00592E89" w:rsidRPr="00083E3E" w:rsidRDefault="00592E89" w:rsidP="0005607E">
      <w:pPr>
        <w:jc w:val="both"/>
      </w:pPr>
      <w:r w:rsidRPr="00083E3E">
        <w:t>Education systems play a central role in shaping the safety</w:t>
      </w:r>
      <w:r w:rsidR="004A7B56">
        <w:t xml:space="preserve"> and wellbeing of </w:t>
      </w:r>
      <w:r w:rsidRPr="00083E3E">
        <w:t>LGBTQ youth. Schools are often the primary point of access to supportive adults, mental health resources, and affirming environments</w:t>
      </w:r>
      <w:r w:rsidR="004A7B56">
        <w:t>, such as peer supports</w:t>
      </w:r>
      <w:r w:rsidRPr="00083E3E">
        <w:t>. However, persistent gaps in training, policy implementation, and access to inclusive curricula continue to limit the ability of schools to fully support LGBTQ students - particularly those with multiple marginalized identities. The following recommendations outline a comprehensive approach to strengthening school climate, educator capacity, and student supports across the Commonwealth.</w:t>
      </w:r>
    </w:p>
    <w:p w14:paraId="57046292" w14:textId="5127E424" w:rsidR="00592E89" w:rsidRPr="00083E3E" w:rsidRDefault="00592E89" w:rsidP="00E97E73">
      <w:pPr>
        <w:pStyle w:val="Heading3"/>
      </w:pPr>
      <w:bookmarkStart w:id="89" w:name="_Toc230277298"/>
      <w:r w:rsidRPr="00083E3E">
        <w:t>Support comprehensive professional development for educators and administrators to strengthen their capacity to support LGBTQ students, particularly QTBIPOC students.</w:t>
      </w:r>
      <w:bookmarkEnd w:id="89"/>
    </w:p>
    <w:p w14:paraId="2E9075AA" w14:textId="767A4051" w:rsidR="00213ACE" w:rsidRDefault="00592E89" w:rsidP="0005607E">
      <w:pPr>
        <w:jc w:val="both"/>
      </w:pPr>
      <w:r w:rsidRPr="00083E3E">
        <w:t xml:space="preserve">Training and professional development for educators, administrators, and school staff is critical to creating safe and affirming school environments for LGBTQ students. </w:t>
      </w:r>
      <w:r w:rsidR="00213ACE" w:rsidRPr="00213ACE">
        <w:t xml:space="preserve">The Commission’s FY 2026 listening sessions </w:t>
      </w:r>
      <w:r w:rsidR="00746AB2">
        <w:t>uplifted these needs as</w:t>
      </w:r>
      <w:r w:rsidR="00213ACE" w:rsidRPr="00213ACE">
        <w:t xml:space="preserve"> </w:t>
      </w:r>
      <w:r w:rsidR="00746AB2">
        <w:t>y</w:t>
      </w:r>
      <w:r w:rsidR="00213ACE" w:rsidRPr="00213ACE">
        <w:t xml:space="preserve">outh </w:t>
      </w:r>
      <w:r w:rsidR="00213ACE">
        <w:t xml:space="preserve">participants </w:t>
      </w:r>
      <w:r w:rsidR="00213ACE" w:rsidRPr="00213ACE">
        <w:t>described repeated experiences of having to explain LGBTQ identities, pronouns, gender-affirming care, and harmful language to adults</w:t>
      </w:r>
      <w:r w:rsidR="001C7200">
        <w:t xml:space="preserve">. Additionally, </w:t>
      </w:r>
      <w:r w:rsidR="004A7B56">
        <w:t>superintendent</w:t>
      </w:r>
      <w:r w:rsidR="001C7200">
        <w:t xml:space="preserve"> participants</w:t>
      </w:r>
      <w:r w:rsidR="00213ACE" w:rsidRPr="00213ACE">
        <w:t xml:space="preserve"> noted that many </w:t>
      </w:r>
      <w:r w:rsidR="001C7200">
        <w:t xml:space="preserve">school </w:t>
      </w:r>
      <w:r w:rsidR="00213ACE" w:rsidRPr="00213ACE">
        <w:t xml:space="preserve">staff are supportive but </w:t>
      </w:r>
      <w:r w:rsidR="001C7200">
        <w:t xml:space="preserve">often </w:t>
      </w:r>
      <w:r w:rsidR="00213ACE" w:rsidRPr="00213ACE">
        <w:t xml:space="preserve">need clearer, example-based guidance to translate inclusive values into daily practice. As one </w:t>
      </w:r>
      <w:r w:rsidR="004A7B56">
        <w:t xml:space="preserve">superintendent </w:t>
      </w:r>
      <w:r w:rsidR="00213ACE" w:rsidRPr="00213ACE">
        <w:t xml:space="preserve">explained, some educators are </w:t>
      </w:r>
      <w:r w:rsidR="004A7B56">
        <w:t>informing them</w:t>
      </w:r>
      <w:r w:rsidR="00213ACE" w:rsidRPr="00213ACE">
        <w:t xml:space="preserve">, “I don’t know what specifically I should be doing,” </w:t>
      </w:r>
      <w:proofErr w:type="gramStart"/>
      <w:r w:rsidR="004A7B56">
        <w:t>in regards to</w:t>
      </w:r>
      <w:proofErr w:type="gramEnd"/>
      <w:r w:rsidR="004A7B56">
        <w:t xml:space="preserve"> supporting LGBTQ youth in schools which emphasizes </w:t>
      </w:r>
      <w:r w:rsidR="00213ACE" w:rsidRPr="00213ACE">
        <w:t>the need for</w:t>
      </w:r>
      <w:r w:rsidR="00746AB2">
        <w:t xml:space="preserve"> more</w:t>
      </w:r>
      <w:r w:rsidR="00213ACE" w:rsidRPr="00213ACE">
        <w:t xml:space="preserve"> practical, scenario-based professional development</w:t>
      </w:r>
      <w:r w:rsidR="00746AB2">
        <w:t xml:space="preserve"> across the state.</w:t>
      </w:r>
    </w:p>
    <w:p w14:paraId="76DE379D" w14:textId="71DDE015" w:rsidR="00592E89" w:rsidRPr="00083E3E" w:rsidRDefault="00592E89" w:rsidP="0005607E">
      <w:pPr>
        <w:jc w:val="both"/>
      </w:pPr>
      <w:r w:rsidRPr="00083E3E">
        <w:t>Expanding access to training is particularly important given its demonstrated impact on student outcomes. One national study found that training elementary school educators on LGBTQ-inclusive practices led to lower rates of discipline for all students. The same study found that schools with higher proportions of low-income BIPOC students were less likely to offer LGBTQ-inclusivity trainings; however, when such trainings were implemented, these schools experienced reductions in disciplinary rates</w:t>
      </w:r>
      <w:r w:rsidR="001509C4" w:rsidRPr="00083E3E">
        <w:t>;</w:t>
      </w:r>
      <w:r w:rsidRPr="00083E3E">
        <w:rPr>
          <w:rStyle w:val="FootnoteReference"/>
          <w:sz w:val="22"/>
          <w:szCs w:val="22"/>
        </w:rPr>
        <w:footnoteReference w:id="31"/>
      </w:r>
      <w:r w:rsidRPr="00083E3E">
        <w:t xml:space="preserve"> </w:t>
      </w:r>
      <w:proofErr w:type="gramStart"/>
      <w:r w:rsidR="001509C4" w:rsidRPr="00083E3E">
        <w:t>t</w:t>
      </w:r>
      <w:r w:rsidRPr="00083E3E">
        <w:t>his highlights</w:t>
      </w:r>
      <w:proofErr w:type="gramEnd"/>
      <w:r w:rsidRPr="00083E3E">
        <w:t xml:space="preserve"> both the inequitable distribution of training opportunities and the importance of prioritizing schools serving low-income BIPOC communities. All professional development </w:t>
      </w:r>
      <w:r w:rsidR="006857E2">
        <w:t xml:space="preserve">should </w:t>
      </w:r>
      <w:r w:rsidRPr="00083E3E">
        <w:t xml:space="preserve">be grounded in an intersectional, antiracist </w:t>
      </w:r>
      <w:r w:rsidRPr="00083E3E">
        <w:lastRenderedPageBreak/>
        <w:t xml:space="preserve">framework to ensure that educators are equipped to support students with multiple </w:t>
      </w:r>
      <w:r w:rsidR="00746AB2">
        <w:rPr>
          <w:noProof/>
        </w:rPr>
        <mc:AlternateContent>
          <mc:Choice Requires="wps">
            <w:drawing>
              <wp:anchor distT="91440" distB="91440" distL="114300" distR="114300" simplePos="0" relativeHeight="251670528" behindDoc="0" locked="0" layoutInCell="1" allowOverlap="1" wp14:anchorId="431E9626" wp14:editId="5448DFE9">
                <wp:simplePos x="0" y="0"/>
                <wp:positionH relativeFrom="page">
                  <wp:posOffset>866775</wp:posOffset>
                </wp:positionH>
                <wp:positionV relativeFrom="paragraph">
                  <wp:posOffset>1228725</wp:posOffset>
                </wp:positionV>
                <wp:extent cx="3390900" cy="1403985"/>
                <wp:effectExtent l="0" t="0" r="0" b="2540"/>
                <wp:wrapSquare wrapText="bothSides"/>
                <wp:docPr id="406555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1403985"/>
                        </a:xfrm>
                        <a:prstGeom prst="rect">
                          <a:avLst/>
                        </a:prstGeom>
                        <a:noFill/>
                        <a:ln w="9525">
                          <a:noFill/>
                          <a:miter lim="800000"/>
                          <a:headEnd/>
                          <a:tailEnd/>
                        </a:ln>
                      </wps:spPr>
                      <wps:txbx>
                        <w:txbxContent>
                          <w:p w14:paraId="71FF7EEC" w14:textId="23B88211" w:rsidR="006F7541" w:rsidRPr="006F7541" w:rsidRDefault="006F7541" w:rsidP="006F7541">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“Having a trusted teacher to support LGBTQ+ identities is nice, but knowing the person that runs the school and makes the rules means so much to us.”</w:t>
                            </w:r>
                            <w:r>
                              <w:rPr>
                                <w:color w:val="AD84C6" w:themeColor="accent1"/>
                              </w:rPr>
                              <w:t xml:space="preserve"> – LGBTQ+ youth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1E9626" id="_x0000_s1030" type="#_x0000_t202" style="position:absolute;left:0;text-align:left;margin-left:68.25pt;margin-top:96.75pt;width:267pt;height:110.55pt;z-index:251670528;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aWE/QEAANUDAAAOAAAAZHJzL2Uyb0RvYy54bWysU9uO2yAQfa/Uf0C8N3ZubWKFrLa7TVVp&#10;e5G2/QCCcYwKDAUSO/36HbA3G7VvVf2AgPGcmXPmsLnpjSYn6YMCy+h0UlIirYBa2QOjP77v3qwo&#10;CZHbmmuwktGzDPRm+/rVpnOVnEELupaeIIgNVecYbWN0VVEE0UrDwwSctBhswBse8egPRe15h+hG&#10;F7OyfFt04GvnQcgQ8PZ+CNJtxm8aKeLXpgkyEs0o9hbz6vO6T2ux3fDq4LlrlRjb4P/QheHKYtEL&#10;1D2PnBy9+gvKKOEhQBMnAkwBTaOEzByQzbT8g81jy53MXFCc4C4yhf8HK76cHt03T2L/HnocYCYR&#10;3AOIn4FYuGu5Pchb76FrJa+x8DRJVnQuVGNqkjpUIYHsu89Q45D5MUIG6htvkirIkyA6DuB8EV32&#10;kQi8nM/X5brEkMDYdFHO16tlrsGr53TnQ/wowZC0YdTjVDM8Pz2EmNrh1fMvqZqFndI6T1Zb0jG6&#10;Xs6WOeEqYlRE42llGF2V6RuskFh+sHVOjlzpYY8FtB1pJ6YD59jve6JqRhcpN6mwh/qMOngYfIbv&#10;Ajct+N+UdOgxRsOvI/eSEv3Jopbr6WKRTJkPi+W7GR78dWR/HeFWIBSjkZJhexezkRPl4G5R853K&#10;arx0MraM3skijT5P5rw+579eXuP2CQAA//8DAFBLAwQUAAYACAAAACEAmSyI/N4AAAALAQAADwAA&#10;AGRycy9kb3ducmV2LnhtbEyPzU7DMBCE70i8g7VI3KjdH9IS4lQVasuxUKKe3dgkEfHast00vD3L&#10;CW4z2tHsN8V6tD0bTIidQwnTiQBmsHa6w0ZC9bF7WAGLSaFWvUMj4dtEWJe3N4XKtbviuxmOqWFU&#10;gjFXEtqUfM55rFtjVZw4b5Buny5YlciGhuugrlRuez4TIuNWdUgfWuXNS2vqr+PFSvDJ75ev4fC2&#10;2e4GUZ321axrtlLe342bZ2DJjOkvDL/4hA4lMZ3dBXVkPfl59khREk9zEpTIloLEWcJiusiAlwX/&#10;v6H8AQAA//8DAFBLAQItABQABgAIAAAAIQC2gziS/gAAAOEBAAATAAAAAAAAAAAAAAAAAAAAAABb&#10;Q29udGVudF9UeXBlc10ueG1sUEsBAi0AFAAGAAgAAAAhADj9If/WAAAAlAEAAAsAAAAAAAAAAAAA&#10;AAAALwEAAF9yZWxzLy5yZWxzUEsBAi0AFAAGAAgAAAAhAEGxpYT9AQAA1QMAAA4AAAAAAAAAAAAA&#10;AAAALgIAAGRycy9lMm9Eb2MueG1sUEsBAi0AFAAGAAgAAAAhAJksiPzeAAAACwEAAA8AAAAAAAAA&#10;AAAAAAAAVwQAAGRycy9kb3ducmV2LnhtbFBLBQYAAAAABAAEAPMAAABiBQAAAAA=&#10;" filled="f" stroked="f">
                <v:textbox style="mso-fit-shape-to-text:t">
                  <w:txbxContent>
                    <w:p w14:paraId="71FF7EEC" w14:textId="23B88211" w:rsidR="006F7541" w:rsidRPr="006F7541" w:rsidRDefault="006F7541" w:rsidP="006F7541">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“Having a trusted teacher to support LGBTQ+ identities is nice, but knowing the person that runs the school and makes the rules means so much to us.”</w:t>
                      </w:r>
                      <w:r>
                        <w:rPr>
                          <w:color w:val="AD84C6" w:themeColor="accent1"/>
                        </w:rPr>
                        <w:t xml:space="preserve"> – LGBTQ+ youth</w:t>
                      </w:r>
                    </w:p>
                  </w:txbxContent>
                </v:textbox>
                <w10:wrap type="square" anchorx="page"/>
              </v:shape>
            </w:pict>
          </mc:Fallback>
        </mc:AlternateContent>
      </w:r>
      <w:r w:rsidRPr="00083E3E">
        <w:t>marginalized identities.</w:t>
      </w:r>
    </w:p>
    <w:p w14:paraId="709E13BE" w14:textId="14E85AA1" w:rsidR="00592E89" w:rsidRPr="00083E3E" w:rsidRDefault="00592E89" w:rsidP="0005607E">
      <w:pPr>
        <w:jc w:val="both"/>
      </w:pPr>
      <w:r w:rsidRPr="00083E3E">
        <w:t>Current literature further demonstrates that educators need increased opportunities for training that directly addresses the experiences and needs of LGBTQ youth. Research consistently shows that students with access to more school-based supports report higher self-esteem, lower rates of depression and suicide risk, and a greater likelihood of pursuing higher education.</w:t>
      </w:r>
      <w:r w:rsidRPr="00083E3E">
        <w:rPr>
          <w:rStyle w:val="FootnoteReference"/>
          <w:sz w:val="22"/>
          <w:szCs w:val="22"/>
        </w:rPr>
        <w:footnoteReference w:id="32"/>
      </w:r>
      <w:r w:rsidRPr="00083E3E">
        <w:t xml:space="preserve"> The Safe Schools Program for LGBTQ Students and the Commission currently provide statewide professional development</w:t>
      </w:r>
      <w:r w:rsidR="004A7B56">
        <w:t xml:space="preserve"> and technical assistance for K-12 public schools</w:t>
      </w:r>
      <w:r w:rsidRPr="00083E3E">
        <w:t>, and evaluation data indicates that participants leave these trainings with increased confidence and practical tools to support LGBTQ students and address anti-LGBTQ bullying.</w:t>
      </w:r>
    </w:p>
    <w:p w14:paraId="04045B68" w14:textId="6D0E1806" w:rsidR="00592E89" w:rsidRPr="00083E3E" w:rsidRDefault="00592E89" w:rsidP="0005607E">
      <w:pPr>
        <w:jc w:val="both"/>
      </w:pPr>
      <w:r w:rsidRPr="00083E3E">
        <w:t>Evidence-based approaches to professional development emphasize the importance of whole-school engagement, active learning strategies (such as small group work and applied activities), and sustained programming over time. While not all schools are able to implement long-term training models, establishing ongoing relationships with districts and offering annual training opportunities, supplemented by technical assistance, can support more consistent and lasting impact.</w:t>
      </w:r>
    </w:p>
    <w:p w14:paraId="398A6E02" w14:textId="29A0C7BC" w:rsidR="00592E89" w:rsidRPr="00083E3E" w:rsidRDefault="00592E89" w:rsidP="0005607E">
      <w:pPr>
        <w:jc w:val="both"/>
      </w:pPr>
      <w:r w:rsidRPr="00083E3E">
        <w:t>Feedback from educators who have participated in professional development sessions reinforces the effectiveness of these approaches:</w:t>
      </w:r>
    </w:p>
    <w:p w14:paraId="78CAFBB8" w14:textId="5893041C" w:rsidR="00592E89" w:rsidRPr="00083E3E" w:rsidRDefault="00592E89">
      <w:pPr>
        <w:pStyle w:val="ListParagraph"/>
        <w:numPr>
          <w:ilvl w:val="0"/>
          <w:numId w:val="4"/>
        </w:numPr>
        <w:jc w:val="both"/>
      </w:pPr>
      <w:r w:rsidRPr="00083E3E">
        <w:t>“The session provided practical strategies and resources that I can immediately implement to create a more inclusive and supportive environment for all students, particularly those who identify as LGBTQ.”</w:t>
      </w:r>
    </w:p>
    <w:p w14:paraId="10269C82" w14:textId="0DA7CF24" w:rsidR="00592E89" w:rsidRPr="00083E3E" w:rsidRDefault="00592E89">
      <w:pPr>
        <w:pStyle w:val="ListParagraph"/>
        <w:numPr>
          <w:ilvl w:val="0"/>
          <w:numId w:val="4"/>
        </w:numPr>
        <w:jc w:val="both"/>
      </w:pPr>
      <w:r w:rsidRPr="00083E3E">
        <w:t>“I learned valuable communication techniques to better engage with students and parents on sensitive topics related to gender identity.”</w:t>
      </w:r>
    </w:p>
    <w:p w14:paraId="4291760E" w14:textId="6A6223A9" w:rsidR="00592E89" w:rsidRPr="00083E3E" w:rsidRDefault="00592E89">
      <w:pPr>
        <w:pStyle w:val="ListParagraph"/>
        <w:numPr>
          <w:ilvl w:val="0"/>
          <w:numId w:val="4"/>
        </w:numPr>
        <w:jc w:val="both"/>
      </w:pPr>
      <w:r w:rsidRPr="00083E3E">
        <w:lastRenderedPageBreak/>
        <w:t xml:space="preserve">“The workshop clarified our school's policies and legal obligations regarding the protection of LGBTQ students. I feel more confident in my role and my ability to uphold these policies - while also advocating for </w:t>
      </w:r>
      <w:proofErr w:type="gramStart"/>
      <w:r w:rsidRPr="00083E3E">
        <w:t>students.”</w:t>
      </w:r>
      <w:proofErr w:type="gramEnd"/>
    </w:p>
    <w:p w14:paraId="7E02E6F6" w14:textId="5A8F9A58" w:rsidR="00592E89" w:rsidRPr="00083E3E" w:rsidRDefault="00592E89">
      <w:pPr>
        <w:pStyle w:val="ListParagraph"/>
        <w:numPr>
          <w:ilvl w:val="0"/>
          <w:numId w:val="4"/>
        </w:numPr>
        <w:jc w:val="both"/>
      </w:pPr>
      <w:r w:rsidRPr="00083E3E">
        <w:t>“I left the workshop feeling empowered to take the needed steps in promoting a safe and affirming school culture. The training inspired me to take on initiatives that support LGBTQ students.”</w:t>
      </w:r>
    </w:p>
    <w:p w14:paraId="7164BB7E" w14:textId="5220FA02" w:rsidR="00592E89" w:rsidRPr="00083E3E" w:rsidRDefault="00D0433F" w:rsidP="0005607E">
      <w:pPr>
        <w:jc w:val="both"/>
      </w:pPr>
      <w:r>
        <w:rPr>
          <w:noProof/>
        </w:rPr>
        <w:drawing>
          <wp:anchor distT="0" distB="0" distL="114300" distR="114300" simplePos="0" relativeHeight="251745280" behindDoc="0" locked="0" layoutInCell="1" allowOverlap="1" wp14:anchorId="0485FAAB" wp14:editId="6423AC53">
            <wp:simplePos x="0" y="0"/>
            <wp:positionH relativeFrom="column">
              <wp:posOffset>3548380</wp:posOffset>
            </wp:positionH>
            <wp:positionV relativeFrom="paragraph">
              <wp:posOffset>10160</wp:posOffset>
            </wp:positionV>
            <wp:extent cx="2432685" cy="1266825"/>
            <wp:effectExtent l="0" t="0" r="5715" b="9525"/>
            <wp:wrapSquare wrapText="bothSides"/>
            <wp:docPr id="937963526" name="Picture 55" descr="a graphic saying 519 anti-LGBTQ bills are being tracked across the 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963526" name="Picture 55" descr="a graphic saying 519 anti-LGBTQ bills are being tracked across the nation"/>
                    <pic:cNvPicPr/>
                  </pic:nvPicPr>
                  <pic:blipFill rotWithShape="1">
                    <a:blip r:embed="rId29" cstate="print">
                      <a:extLst>
                        <a:ext uri="{28A0092B-C50C-407E-A947-70E740481C1C}">
                          <a14:useLocalDpi xmlns:a14="http://schemas.microsoft.com/office/drawing/2010/main" val="0"/>
                        </a:ext>
                      </a:extLst>
                    </a:blip>
                    <a:srcRect b="58333"/>
                    <a:stretch>
                      <a:fillRect/>
                    </a:stretch>
                  </pic:blipFill>
                  <pic:spPr bwMode="auto">
                    <a:xfrm>
                      <a:off x="0" y="0"/>
                      <a:ext cx="2432685" cy="1266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2E89" w:rsidRPr="00083E3E">
        <w:t>In addition to foundational competency training, educators must also be prepared to respond to emerging challenges affecting LGBTQ youth. This includes understanding the impact of the current political climate, particularly for transgender youth. As of April 2026, 519 anti-LGBTQ bills are being tracked across the nation.</w:t>
      </w:r>
      <w:r w:rsidR="00592E89" w:rsidRPr="00083E3E">
        <w:rPr>
          <w:vertAlign w:val="superscript"/>
        </w:rPr>
        <w:footnoteReference w:id="33"/>
      </w:r>
      <w:r w:rsidR="00592E89" w:rsidRPr="00083E3E">
        <w:t xml:space="preserve"> These trends contribute to increased stress, fear, and mental health challenges for LGBTQ students and underscore the importance of affirming school environments.</w:t>
      </w:r>
    </w:p>
    <w:p w14:paraId="0E4FD609" w14:textId="07907016" w:rsidR="00592E89" w:rsidRPr="00083E3E" w:rsidRDefault="00592E89" w:rsidP="0005607E">
      <w:pPr>
        <w:jc w:val="both"/>
      </w:pPr>
      <w:r w:rsidRPr="00083E3E">
        <w:t>Professional development must also address the heightened risk of sexual violence experienced by LGBTQ youth. LGBTQ students experience higher rates of sexual violence than their heterosexual and cisgender peers, with transgender and gender non-conforming youth at the greatest risk.</w:t>
      </w:r>
      <w:r w:rsidRPr="00083E3E">
        <w:rPr>
          <w:rStyle w:val="FootnoteReference"/>
          <w:sz w:val="22"/>
          <w:szCs w:val="22"/>
        </w:rPr>
        <w:footnoteReference w:id="34"/>
      </w:r>
      <w:r w:rsidRPr="00083E3E">
        <w:t xml:space="preserve"> A recent national survey of 39,126 LGBTQ youth ages 13-24 found that 11% of those in a relationship in the past year experienced physical dating violence, and those who experienced such violence were nearly four times more likely to attempt suicide in the past year. Youth with multiple marginalized identities, including those who are BIPOC and/or low-income, faced even greater risk.</w:t>
      </w:r>
      <w:r w:rsidRPr="00083E3E">
        <w:rPr>
          <w:rStyle w:val="FootnoteReference"/>
          <w:sz w:val="22"/>
          <w:szCs w:val="22"/>
        </w:rPr>
        <w:footnoteReference w:id="35"/>
      </w:r>
    </w:p>
    <w:p w14:paraId="1A7E8EAB" w14:textId="2409FAE4" w:rsidR="00592E89" w:rsidRPr="00083E3E" w:rsidRDefault="00592E89" w:rsidP="0005607E">
      <w:pPr>
        <w:jc w:val="both"/>
      </w:pPr>
      <w:r w:rsidRPr="00083E3E">
        <w:t xml:space="preserve">Additional research highlights the vulnerability of transgender and gender diverse youth to exploitation. A study of Minnesota high school students found that 1.2% of cisgender boys, 1.3% of cisgender girls, and 5.9% of transgender and gender diverse youth reported trading sex (defined as exchanging sexual services for basic needs such as money, food, shelter, or substances). Among transgender and gender diverse youth who reported trading sex, 75.9% reported a lifetime suicide attempt and 86.2% reported non-suicidal self-injury. These youth </w:t>
      </w:r>
      <w:r w:rsidRPr="00083E3E">
        <w:lastRenderedPageBreak/>
        <w:t>were more likely to be BIPOC (including 23.3% Native and 10% Black), identify as LGBQ (26.7% pansexual and 25% bisexual), and experience housing instability. Rates were consistent across both metropolitan and non-metropolitan schools.</w:t>
      </w:r>
      <w:r w:rsidRPr="00083E3E">
        <w:rPr>
          <w:vertAlign w:val="superscript"/>
        </w:rPr>
        <w:footnoteReference w:id="36"/>
      </w:r>
      <w:r w:rsidRPr="00083E3E">
        <w:t xml:space="preserve"> These findings </w:t>
      </w:r>
      <w:r w:rsidR="00746AB2">
        <w:t>center</w:t>
      </w:r>
      <w:r w:rsidRPr="00083E3E">
        <w:t xml:space="preserve"> the need for trauma-informed, intersectional training that equips educators to recognize and respond to these risks.</w:t>
      </w:r>
    </w:p>
    <w:p w14:paraId="4EE941D5" w14:textId="0FF06C75" w:rsidR="00592E89" w:rsidRPr="00083E3E" w:rsidRDefault="00592E89" w:rsidP="0005607E">
      <w:pPr>
        <w:jc w:val="both"/>
      </w:pPr>
      <w:r w:rsidRPr="00083E3E">
        <w:t>To better prevent and respond to sexual violence, LGBTQ students themselves recommend several key actions:</w:t>
      </w:r>
      <w:r w:rsidRPr="00083E3E">
        <w:rPr>
          <w:rStyle w:val="FootnoteReference"/>
          <w:sz w:val="22"/>
          <w:szCs w:val="22"/>
        </w:rPr>
        <w:footnoteReference w:id="37"/>
      </w:r>
    </w:p>
    <w:p w14:paraId="2CEA70B2" w14:textId="5923F96C" w:rsidR="00592E89" w:rsidRPr="00083E3E" w:rsidRDefault="00592E89">
      <w:pPr>
        <w:pStyle w:val="ListParagraph"/>
        <w:numPr>
          <w:ilvl w:val="0"/>
          <w:numId w:val="3"/>
        </w:numPr>
        <w:jc w:val="both"/>
      </w:pPr>
      <w:r w:rsidRPr="00083E3E">
        <w:t xml:space="preserve">ensuring access to gender-neutral spaces such as bathrooms and locker rooms; providing LGBTQ competency training for all school staff; </w:t>
      </w:r>
    </w:p>
    <w:p w14:paraId="0C8FB01E" w14:textId="27F8415C" w:rsidR="00592E89" w:rsidRPr="00083E3E" w:rsidRDefault="00592E89">
      <w:pPr>
        <w:pStyle w:val="ListParagraph"/>
        <w:numPr>
          <w:ilvl w:val="0"/>
          <w:numId w:val="3"/>
        </w:numPr>
        <w:jc w:val="both"/>
      </w:pPr>
      <w:r w:rsidRPr="00083E3E">
        <w:t xml:space="preserve">enforcing school policies related to sexual violence and bullying; </w:t>
      </w:r>
    </w:p>
    <w:p w14:paraId="2171644E" w14:textId="27F505FB" w:rsidR="00592E89" w:rsidRPr="00083E3E" w:rsidRDefault="00592E89">
      <w:pPr>
        <w:pStyle w:val="ListParagraph"/>
        <w:numPr>
          <w:ilvl w:val="0"/>
          <w:numId w:val="3"/>
        </w:numPr>
        <w:jc w:val="both"/>
      </w:pPr>
      <w:r w:rsidRPr="00083E3E">
        <w:t xml:space="preserve">expanding access to LGBTQ-competent mental health supports; </w:t>
      </w:r>
    </w:p>
    <w:p w14:paraId="56EA59AE" w14:textId="692EAC6E" w:rsidR="00592E89" w:rsidRPr="00083E3E" w:rsidRDefault="00592E89">
      <w:pPr>
        <w:pStyle w:val="ListParagraph"/>
        <w:numPr>
          <w:ilvl w:val="0"/>
          <w:numId w:val="3"/>
        </w:numPr>
        <w:jc w:val="both"/>
      </w:pPr>
      <w:r w:rsidRPr="00083E3E">
        <w:t xml:space="preserve">and implementing comprehensive sexual health education that includes LGBTQ identities and experiences. </w:t>
      </w:r>
    </w:p>
    <w:p w14:paraId="001FEAF3" w14:textId="717A0133" w:rsidR="00592E89" w:rsidRPr="00083E3E" w:rsidRDefault="00592E89" w:rsidP="0005607E">
      <w:pPr>
        <w:jc w:val="both"/>
      </w:pPr>
      <w:r w:rsidRPr="00083E3E">
        <w:t>As reflected throughout this report, adopting these practices strengthens school climate and benefits all students. Beyond classroom environments, co-curricular spaces also play a critical role in supporting LGBTQ students.</w:t>
      </w:r>
    </w:p>
    <w:p w14:paraId="7CFBF20A" w14:textId="27D52218" w:rsidR="00592E89" w:rsidRPr="00083E3E" w:rsidRDefault="00592E89" w:rsidP="00E97E73">
      <w:pPr>
        <w:pStyle w:val="Heading3"/>
      </w:pPr>
      <w:bookmarkStart w:id="90" w:name="_Toc230277299"/>
      <w:r w:rsidRPr="00083E3E">
        <w:t>Provide training, mentorship, and resources for advisors of GSAs, affinity spaces and similar student organizations to support youth leadership and ensure consistent, affirming environments.</w:t>
      </w:r>
      <w:bookmarkEnd w:id="90"/>
    </w:p>
    <w:p w14:paraId="4BFD0112" w14:textId="51B122C6" w:rsidR="006857E2" w:rsidRDefault="00592E89" w:rsidP="0005607E">
      <w:pPr>
        <w:jc w:val="both"/>
      </w:pPr>
      <w:r w:rsidRPr="00083E3E">
        <w:t xml:space="preserve">It is essential for advisors of all student clubs to possess knowledge and skills in best practices for supporting youth leadership, running effective meetings, and creating supportive environments for young people. However, this is especially important for advisors of identity-based clubs, such as GSAs, who are responsible for creating co-curricular spaces that foster belonging and community for marginalized students. </w:t>
      </w:r>
      <w:r w:rsidR="00746AB2" w:rsidRPr="00746AB2">
        <w:t xml:space="preserve">In FY 2026, </w:t>
      </w:r>
      <w:r w:rsidR="001C7200">
        <w:t xml:space="preserve">youth listening session participants across Massachusetts consistently discussed how their </w:t>
      </w:r>
      <w:r w:rsidR="00746AB2" w:rsidRPr="00746AB2">
        <w:t xml:space="preserve">GSAs are one of the top places for </w:t>
      </w:r>
      <w:r w:rsidR="001C7200">
        <w:t xml:space="preserve">them to feel </w:t>
      </w:r>
      <w:r w:rsidR="00746AB2" w:rsidRPr="00746AB2">
        <w:t xml:space="preserve">affirmed and connected </w:t>
      </w:r>
      <w:r w:rsidR="001C7200">
        <w:t xml:space="preserve">to </w:t>
      </w:r>
      <w:r w:rsidR="00746AB2" w:rsidRPr="00746AB2">
        <w:t xml:space="preserve">their peers. However, while recognizing the value of GSAs, youth in these listening sessions </w:t>
      </w:r>
      <w:r w:rsidR="004A7B56">
        <w:t xml:space="preserve">also </w:t>
      </w:r>
      <w:r w:rsidR="00746AB2" w:rsidRPr="00746AB2">
        <w:t xml:space="preserve">pointed out that these spaces have often been affected by a lack of administrative support and equitable access, especially when compared to other school </w:t>
      </w:r>
      <w:r w:rsidR="00746AB2" w:rsidRPr="00746AB2">
        <w:lastRenderedPageBreak/>
        <w:t>programming</w:t>
      </w:r>
      <w:r w:rsidR="00213ACE" w:rsidRPr="00213ACE">
        <w:t>. As one student explained, “Schools should support LGBTQ communities/clubs and programs at the same level as other programs in the school,” including athletics, technical programs, and other student activities.</w:t>
      </w:r>
    </w:p>
    <w:p w14:paraId="3ADD04ED" w14:textId="1F63FB69" w:rsidR="00592E89" w:rsidRPr="00083E3E" w:rsidRDefault="00592E89" w:rsidP="0005607E">
      <w:pPr>
        <w:jc w:val="both"/>
      </w:pPr>
      <w:r w:rsidRPr="00083E3E">
        <w:t xml:space="preserve">GSAs </w:t>
      </w:r>
      <w:r w:rsidR="004A7B56">
        <w:t xml:space="preserve">can </w:t>
      </w:r>
      <w:r w:rsidRPr="00083E3E">
        <w:t>empower LGBTQ youth to build resilience</w:t>
      </w:r>
      <w:r w:rsidR="004A7B56">
        <w:t xml:space="preserve"> and</w:t>
      </w:r>
      <w:r w:rsidRPr="00083E3E">
        <w:t xml:space="preserve"> positive support networks. Research and youth testimony strongly show that the presence of GSAs in schools lead to better outcomes for LGBTQ students and reduce instances of harassment and victimization.</w:t>
      </w:r>
      <w:r w:rsidRPr="00083E3E">
        <w:rPr>
          <w:rStyle w:val="FootnoteReference"/>
          <w:sz w:val="22"/>
          <w:szCs w:val="22"/>
        </w:rPr>
        <w:footnoteReference w:id="38"/>
      </w:r>
      <w:r w:rsidRPr="00083E3E">
        <w:t xml:space="preserve"> Therefore, the Commission recommends </w:t>
      </w:r>
      <w:r w:rsidR="004A7B56">
        <w:t xml:space="preserve">the schools invest more in </w:t>
      </w:r>
      <w:r w:rsidRPr="00083E3E">
        <w:t>providing training, mentorship, and support for GSA advisors in these areas, as well as allocating dedicated planning time during their workday specifically for club-related activities.</w:t>
      </w:r>
    </w:p>
    <w:p w14:paraId="2F06DF0C" w14:textId="69181C0B" w:rsidR="00592E89" w:rsidRPr="00083E3E" w:rsidRDefault="006F7541" w:rsidP="0005607E">
      <w:pPr>
        <w:jc w:val="both"/>
      </w:pPr>
      <w:r>
        <w:rPr>
          <w:noProof/>
        </w:rPr>
        <mc:AlternateContent>
          <mc:Choice Requires="wps">
            <w:drawing>
              <wp:anchor distT="91440" distB="91440" distL="114300" distR="114300" simplePos="0" relativeHeight="251674624" behindDoc="0" locked="0" layoutInCell="1" allowOverlap="1" wp14:anchorId="0A099C05" wp14:editId="02ACDFE5">
                <wp:simplePos x="0" y="0"/>
                <wp:positionH relativeFrom="page">
                  <wp:posOffset>914400</wp:posOffset>
                </wp:positionH>
                <wp:positionV relativeFrom="paragraph">
                  <wp:posOffset>121920</wp:posOffset>
                </wp:positionV>
                <wp:extent cx="3477260" cy="1388110"/>
                <wp:effectExtent l="0" t="0" r="0" b="2540"/>
                <wp:wrapSquare wrapText="bothSides"/>
                <wp:docPr id="11677001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260" cy="1388110"/>
                        </a:xfrm>
                        <a:prstGeom prst="rect">
                          <a:avLst/>
                        </a:prstGeom>
                        <a:noFill/>
                        <a:ln w="9525">
                          <a:noFill/>
                          <a:miter lim="800000"/>
                          <a:headEnd/>
                          <a:tailEnd/>
                        </a:ln>
                      </wps:spPr>
                      <wps:txbx>
                        <w:txbxContent>
                          <w:p w14:paraId="777DD5F3" w14:textId="371BB4B5" w:rsidR="006F7541" w:rsidRPr="006F7541" w:rsidRDefault="006F7541">
                            <w:pPr>
                              <w:pBdr>
                                <w:top w:val="single" w:sz="24" w:space="8" w:color="AD84C6" w:themeColor="accent1"/>
                                <w:bottom w:val="single" w:sz="24" w:space="8" w:color="AD84C6" w:themeColor="accent1"/>
                              </w:pBdr>
                              <w:spacing w:after="0"/>
                              <w:rPr>
                                <w:color w:val="AD84C6" w:themeColor="accent1"/>
                              </w:rPr>
                            </w:pPr>
                            <w:r>
                              <w:rPr>
                                <w:i/>
                                <w:iCs/>
                                <w:color w:val="AD84C6" w:themeColor="accent1"/>
                              </w:rPr>
                              <w:t>“We’ve been seeing more pushback in schools since 2025. We have some schools claiming that the students need permission slips for GSAs, so establishing GSAs and keeping them connected is challenging.”</w:t>
                            </w:r>
                            <w:r>
                              <w:rPr>
                                <w:color w:val="AD84C6" w:themeColor="accent1"/>
                              </w:rPr>
                              <w:t xml:space="preserve"> – Community organization in Western Massachusetts.</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0A099C05" id="_x0000_s1031" type="#_x0000_t202" style="position:absolute;left:0;text-align:left;margin-left:1in;margin-top:9.6pt;width:273.8pt;height:109.3pt;z-index:251674624;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DSA/wEAANUDAAAOAAAAZHJzL2Uyb0RvYy54bWysU11v2yAUfZ+0/4B4X2ynSZNaIVXXLtOk&#10;7kPq9gMIxjEacBmQ2Nmv7wWnabS9TfMD4nJ9D/ece1jdDkaTg/RBgWW0mpSUSCugUXbH6I/vm3dL&#10;SkLktuEarGT0KAO9Xb99s+pdLafQgW6kJwhiQ907RrsYXV0UQXTS8DABJy0mW/CGRwz9rmg87xHd&#10;6GJaltdFD75xHoQMAU8fxiRdZ/y2lSJ+bdsgI9GMYm8xrz6v27QW6xWvd567TolTG/wfujBcWbz0&#10;DPXAIyd7r/6CMkp4CNDGiQBTQNsqITMHZFOVf7B56riTmQuKE9xZpvD/YMWXw5P75kkc3sOAA8wk&#10;gnsE8TMQC/cdtzt55z30neQNXlwlyYrehfpUmqQOdUgg2/4zNDhkvo+QgYbWm6QK8iSIjgM4nkWX&#10;QyQCD69mi8X0GlMCc9XVcllVeSwFr1/KnQ/xowRD0oZRj1PN8PzwGGJqh9cvv6TbLGyU1nmy2pKe&#10;0Zv5dJ4LLjJGRTSeVobRZZm+0QqJ5Qfb5OLIlR73eIG2J9qJ6cg5DtuBqIbReapNKmyhOaIOHkaf&#10;4bvATQf+NyU9eozR8GvPvaREf7Ko5U01myVT5mA2X0wx8JeZ7WWGW4FQjEZKxu19zEZOlIO7Q803&#10;Kqvx2smpZfROFunk82TOyzj/9foa188AAAD//wMAUEsDBBQABgAIAAAAIQD5zNk74AAAAAoBAAAP&#10;AAAAZHJzL2Rvd25yZXYueG1sTI/NTsMwEITvSLyDtUjcqNO0CkmIU5WfcqqEKFx6c+IliRqvo9hp&#10;w9uznOC2ox3NfFNsZtuLM46+c6RguYhAINXOdNQo+PzY3aUgfNBkdO8IFXyjh015fVXo3LgLveP5&#10;EBrBIeRzraANYcil9HWLVvuFG5D49+VGqwPLsZFm1BcOt72MoyiRVnfEDa0e8KnF+nSYrII9jsc0&#10;m9LH7vi8e3k7rUz1ujVK3d7M2wcQAefwZ4ZffEaHkpkqN5Hxome9XvOWwEcWg2BDki0TEJWCeHWf&#10;giwL+X9C+QMAAP//AwBQSwECLQAUAAYACAAAACEAtoM4kv4AAADhAQAAEwAAAAAAAAAAAAAAAAAA&#10;AAAAW0NvbnRlbnRfVHlwZXNdLnhtbFBLAQItABQABgAIAAAAIQA4/SH/1gAAAJQBAAALAAAAAAAA&#10;AAAAAAAAAC8BAABfcmVscy8ucmVsc1BLAQItABQABgAIAAAAIQA9fDSA/wEAANUDAAAOAAAAAAAA&#10;AAAAAAAAAC4CAABkcnMvZTJvRG9jLnhtbFBLAQItABQABgAIAAAAIQD5zNk74AAAAAoBAAAPAAAA&#10;AAAAAAAAAAAAAFkEAABkcnMvZG93bnJldi54bWxQSwUGAAAAAAQABADzAAAAZgUAAAAA&#10;" filled="f" stroked="f">
                <v:textbox style="mso-fit-shape-to-text:t">
                  <w:txbxContent>
                    <w:p w14:paraId="777DD5F3" w14:textId="371BB4B5" w:rsidR="006F7541" w:rsidRPr="006F7541" w:rsidRDefault="006F7541">
                      <w:pPr>
                        <w:pBdr>
                          <w:top w:val="single" w:sz="24" w:space="8" w:color="AD84C6" w:themeColor="accent1"/>
                          <w:bottom w:val="single" w:sz="24" w:space="8" w:color="AD84C6" w:themeColor="accent1"/>
                        </w:pBdr>
                        <w:spacing w:after="0"/>
                        <w:rPr>
                          <w:color w:val="AD84C6" w:themeColor="accent1"/>
                        </w:rPr>
                      </w:pPr>
                      <w:r>
                        <w:rPr>
                          <w:i/>
                          <w:iCs/>
                          <w:color w:val="AD84C6" w:themeColor="accent1"/>
                        </w:rPr>
                        <w:t>“We’ve been seeing more pushback in schools since 2025. We have some schools claiming that the students need permission slips for GSAs, so establishing GSAs and keeping them connected is challenging.”</w:t>
                      </w:r>
                      <w:r>
                        <w:rPr>
                          <w:color w:val="AD84C6" w:themeColor="accent1"/>
                        </w:rPr>
                        <w:t xml:space="preserve"> – Community organization in Western Massachusetts.</w:t>
                      </w:r>
                    </w:p>
                  </w:txbxContent>
                </v:textbox>
                <w10:wrap type="square" anchorx="page"/>
              </v:shape>
            </w:pict>
          </mc:Fallback>
        </mc:AlternateContent>
      </w:r>
      <w:r w:rsidR="00592E89" w:rsidRPr="00083E3E">
        <w:t>Given the positive impact that GSAs can have on mental health outcomes for LGBTQ youth, it is critical that all LGBTQ</w:t>
      </w:r>
      <w:r w:rsidR="006857E2">
        <w:t xml:space="preserve"> youth</w:t>
      </w:r>
      <w:r w:rsidR="00592E89" w:rsidRPr="00083E3E">
        <w:t xml:space="preserve"> have access to GSAs or other spaces that fulfill similar goals. Glisten studies found that Black and Latine students who attended majority-white schools were more likely to have a GSA than those in majority-Latine schools. Given this disparity, the state should look to invest more intentional support and resources to create safe and supportive spaces, as well as to foster and develop LGBTQ student leadership in schools that are not majority-white. Furthermore, the </w:t>
      </w:r>
      <w:r w:rsidR="004A7B56">
        <w:t>s</w:t>
      </w:r>
      <w:r w:rsidR="00592E89" w:rsidRPr="00083E3E">
        <w:t xml:space="preserve">tate should provide more intersectional professional development opportunities for educators to better foster learning on how to be effective advisors of school clubs. </w:t>
      </w:r>
    </w:p>
    <w:p w14:paraId="5B391B71" w14:textId="6129A34C" w:rsidR="00592E89" w:rsidRPr="00083E3E" w:rsidRDefault="00592E89" w:rsidP="0005607E">
      <w:pPr>
        <w:jc w:val="both"/>
      </w:pPr>
      <w:r w:rsidRPr="00083E3E">
        <w:t xml:space="preserve">However, we must look beyond simply whether youth have access to or attend GSA meetings but pay attention to the specific happenings of those meetings to have a greater understanding of mental health outcomes for LGBTQ young people. For example, youth reported feeling greater positive affect and decreased negative affect after GSA meetings where they were more behaviorally engaged, compared to meetings where they were less engaged. Furthermore, youth reported less negative affect after meetings where their GSA advisor was more involved and responsive. </w:t>
      </w:r>
      <w:r w:rsidR="00746AB2">
        <w:t xml:space="preserve">Unfortunately, </w:t>
      </w:r>
      <w:r w:rsidRPr="00083E3E">
        <w:t xml:space="preserve">GSA advisors </w:t>
      </w:r>
      <w:r w:rsidR="004A7B56">
        <w:t xml:space="preserve">often </w:t>
      </w:r>
      <w:r w:rsidRPr="00083E3E">
        <w:t xml:space="preserve">report receiving no training or mentorship of how to serve in this role. Furthermore, the Commission has received reports from students and </w:t>
      </w:r>
      <w:r w:rsidRPr="00083E3E">
        <w:lastRenderedPageBreak/>
        <w:t>educators about GSAs, particularly those in smaller schools, struggling with attendance and engagement, as well as support from school administration.</w:t>
      </w:r>
    </w:p>
    <w:p w14:paraId="5D6AAE7C" w14:textId="2A4527F9" w:rsidR="00592E89" w:rsidRPr="00083E3E" w:rsidRDefault="006857E2" w:rsidP="0005607E">
      <w:pPr>
        <w:jc w:val="both"/>
      </w:pPr>
      <w:r>
        <w:t>More years of experience as an advisor</w:t>
      </w:r>
      <w:r w:rsidR="00592E89" w:rsidRPr="00083E3E">
        <w:t>, increased time given to the GSA on a weekly basis, and more structured meetings</w:t>
      </w:r>
      <w:r>
        <w:t xml:space="preserve"> often</w:t>
      </w:r>
      <w:r w:rsidR="00592E89" w:rsidRPr="00083E3E">
        <w:t xml:space="preserve"> </w:t>
      </w:r>
      <w:r>
        <w:t xml:space="preserve">yield </w:t>
      </w:r>
      <w:r w:rsidR="00592E89" w:rsidRPr="00083E3E">
        <w:t xml:space="preserve">greater increases in advocacy from LGBTQ students in the GSA during the year. In addition, although research shows that GSAs are effective mental health interventions, many school staff are minimally compensated for advising GSAs (if they are compensated at all), creating issues with retaining advisors and keeping clubs operational. As such, schools should give GSA advisors time during their </w:t>
      </w:r>
      <w:r w:rsidRPr="00083E3E">
        <w:t>workday</w:t>
      </w:r>
      <w:r w:rsidR="00592E89" w:rsidRPr="00083E3E">
        <w:t xml:space="preserve"> to devote to the GSA, as well as provide professional development and mentorship related to supporting LGBTQ youth, youth leadership development, and how to structure GSA meetings. In addition to school-based supports, opportunities for youth leadership and civic engagement further strengthen student well-being and connection.</w:t>
      </w:r>
    </w:p>
    <w:p w14:paraId="78F15007" w14:textId="0331D996" w:rsidR="00592E89" w:rsidRPr="00083E3E" w:rsidRDefault="00592E89" w:rsidP="00E97E73">
      <w:pPr>
        <w:pStyle w:val="Heading3"/>
      </w:pPr>
      <w:bookmarkStart w:id="91" w:name="_Toc230277300"/>
      <w:r w:rsidRPr="00083E3E">
        <w:t>Invest in peer leadership and youth engagement programs that support student advocacy and civic participation.</w:t>
      </w:r>
      <w:bookmarkEnd w:id="91"/>
    </w:p>
    <w:p w14:paraId="40F56C36" w14:textId="4D626143" w:rsidR="006857E2" w:rsidRDefault="00D0433F" w:rsidP="0005607E">
      <w:pPr>
        <w:jc w:val="both"/>
      </w:pPr>
      <w:r>
        <w:rPr>
          <w:noProof/>
        </w:rPr>
        <mc:AlternateContent>
          <mc:Choice Requires="wps">
            <w:drawing>
              <wp:anchor distT="91440" distB="91440" distL="114300" distR="114300" simplePos="0" relativeHeight="251676672" behindDoc="0" locked="0" layoutInCell="1" allowOverlap="1" wp14:anchorId="75568E13" wp14:editId="4876A26A">
                <wp:simplePos x="0" y="0"/>
                <wp:positionH relativeFrom="page">
                  <wp:posOffset>952500</wp:posOffset>
                </wp:positionH>
                <wp:positionV relativeFrom="paragraph">
                  <wp:posOffset>241935</wp:posOffset>
                </wp:positionV>
                <wp:extent cx="3238500" cy="1403985"/>
                <wp:effectExtent l="0" t="0" r="0" b="0"/>
                <wp:wrapSquare wrapText="bothSides"/>
                <wp:docPr id="21467379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1403985"/>
                        </a:xfrm>
                        <a:prstGeom prst="rect">
                          <a:avLst/>
                        </a:prstGeom>
                        <a:noFill/>
                        <a:ln w="9525">
                          <a:noFill/>
                          <a:miter lim="800000"/>
                          <a:headEnd/>
                          <a:tailEnd/>
                        </a:ln>
                      </wps:spPr>
                      <wps:txbx>
                        <w:txbxContent>
                          <w:p w14:paraId="3CF05713" w14:textId="2BD3E9EE" w:rsidR="006F7541" w:rsidRPr="006F7541" w:rsidRDefault="006F7541" w:rsidP="006F7541">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“Policymakers should have youth focus groups.”</w:t>
                            </w:r>
                            <w:r>
                              <w:rPr>
                                <w:color w:val="AD84C6" w:themeColor="accent1"/>
                              </w:rPr>
                              <w:t xml:space="preserve"> – Trans youth from the Cape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568E13" id="_x0000_s1032" type="#_x0000_t202" style="position:absolute;left:0;text-align:left;margin-left:75pt;margin-top:19.05pt;width:255pt;height:110.55pt;z-index:251676672;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b58/gEAANUDAAAOAAAAZHJzL2Uyb0RvYy54bWysU9uO2yAQfa/Uf0C8N3Zu28QKWW13m6rS&#10;9iJt+wEE4xgVGAokdvr1HbA3G7VvVf2AgPGcmXPmsLntjSYn6YMCy+h0UlIirYBa2QOj37/t3qwo&#10;CZHbmmuwktGzDPR2+/rVpnOVnEELupaeIIgNVecYbWN0VVEE0UrDwwSctBhswBse8egPRe15h+hG&#10;F7OyvCk68LXzIGQIePswBOk24zeNFPFL0wQZiWYUe4t59Xndp7XYbnh18Ny1Soxt8H/ownBlsegF&#10;6oFHTo5e/QVllPAQoIkTAaaAplFCZg7IZlr+weap5U5mLihOcBeZwv+DFZ9PT+6rJ7F/Bz0OMJMI&#10;7hHEj0As3LfcHuSd99C1ktdYeJokKzoXqjE1SR2qkED23Seoccj8GCED9Y03SRXkSRAdB3C+iC77&#10;SARezmfz1bLEkMDYdFHO16tlrsGr53TnQ/wgwZC0YdTjVDM8Pz2GmNrh1fMvqZqFndI6T1Zb0jG6&#10;Xs6WOeEqYlRE42llGF2V6RuskFi+t3VOjlzpYY8FtB1pJ6YD59jve6JqRm9SblJhD/UZdfAw+Azf&#10;BW5a8L8o6dBjjIafR+4lJfqjRS3X08UimTIfFsu3Mzz468j+OsKtQChGIyXD9j5mIyfKwd2h5juV&#10;1XjpZGwZvZNFGn2ezHl9zn+9vMbtbwAAAP//AwBQSwMEFAAGAAgAAAAhAIL4vTzeAAAACgEAAA8A&#10;AABkcnMvZG93bnJldi54bWxMj8FOwzAQRO9I/IO1SNyo3aCGksapKtSWI1Aizm7sJhHx2rLdNPw9&#10;2xMcZ3Y0+6ZcT3ZgowmxdyhhPhPADDZO99hKqD93D0tgMSnUanBoJPyYCOvq9qZUhXYX/DDjIbWM&#10;SjAWSkKXki84j01nrIoz5w3S7eSCVYlkaLkO6kLlduCZEDm3qkf60ClvXjrTfB/OVoJPfv/0Gt7e&#10;N9vdKOqvfZ317VbK+7tpswKWzJT+wnDFJ3SoiOnozqgjG0gvBG1JEh6Xc2AUyPOrcZSQLZ4z4FXJ&#10;/0+ofgEAAP//AwBQSwECLQAUAAYACAAAACEAtoM4kv4AAADhAQAAEwAAAAAAAAAAAAAAAAAAAAAA&#10;W0NvbnRlbnRfVHlwZXNdLnhtbFBLAQItABQABgAIAAAAIQA4/SH/1gAAAJQBAAALAAAAAAAAAAAA&#10;AAAAAC8BAABfcmVscy8ucmVsc1BLAQItABQABgAIAAAAIQBUsb58/gEAANUDAAAOAAAAAAAAAAAA&#10;AAAAAC4CAABkcnMvZTJvRG9jLnhtbFBLAQItABQABgAIAAAAIQCC+L083gAAAAoBAAAPAAAAAAAA&#10;AAAAAAAAAFgEAABkcnMvZG93bnJldi54bWxQSwUGAAAAAAQABADzAAAAYwUAAAAA&#10;" filled="f" stroked="f">
                <v:textbox style="mso-fit-shape-to-text:t">
                  <w:txbxContent>
                    <w:p w14:paraId="3CF05713" w14:textId="2BD3E9EE" w:rsidR="006F7541" w:rsidRPr="006F7541" w:rsidRDefault="006F7541" w:rsidP="006F7541">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“Policymakers should have youth focus groups.”</w:t>
                      </w:r>
                      <w:r>
                        <w:rPr>
                          <w:color w:val="AD84C6" w:themeColor="accent1"/>
                        </w:rPr>
                        <w:t xml:space="preserve"> – Trans youth from the Cape</w:t>
                      </w:r>
                    </w:p>
                  </w:txbxContent>
                </v:textbox>
                <w10:wrap type="square" anchorx="page"/>
              </v:shape>
            </w:pict>
          </mc:Fallback>
        </mc:AlternateContent>
      </w:r>
      <w:r w:rsidR="00592E89" w:rsidRPr="00083E3E">
        <w:t xml:space="preserve">Massachusetts should continue to invest in peer leadership and youth engagement programs that support student advocacy and civic participation in an accessible and inclusive way. </w:t>
      </w:r>
      <w:r w:rsidR="00C50419" w:rsidRPr="00C50419">
        <w:t xml:space="preserve">During the Commission’s FY 2026 listening sessions, </w:t>
      </w:r>
      <w:r w:rsidR="001C7200">
        <w:t xml:space="preserve">many </w:t>
      </w:r>
      <w:r w:rsidR="00C50419" w:rsidRPr="00C50419">
        <w:t xml:space="preserve">participants emphasized that </w:t>
      </w:r>
      <w:r w:rsidR="001C7200">
        <w:t xml:space="preserve">most </w:t>
      </w:r>
      <w:r w:rsidR="00C50419" w:rsidRPr="00C50419">
        <w:t xml:space="preserve">LGBTQ youth want </w:t>
      </w:r>
      <w:r w:rsidR="001C7200">
        <w:t xml:space="preserve">more </w:t>
      </w:r>
      <w:r w:rsidR="00C50419" w:rsidRPr="00C50419">
        <w:t xml:space="preserve">meaningful opportunities to engage with policymakers, learn how laws are made, and help shape decisions that affect their lives. As several </w:t>
      </w:r>
      <w:proofErr w:type="gramStart"/>
      <w:r w:rsidR="00C50419" w:rsidRPr="00C50419">
        <w:t>youth</w:t>
      </w:r>
      <w:proofErr w:type="gramEnd"/>
      <w:r w:rsidR="00C50419" w:rsidRPr="00C50419">
        <w:t xml:space="preserve"> made clear, they want elected leaders to recognize that they “exist,” are constituents, and </w:t>
      </w:r>
      <w:r w:rsidR="00C50419">
        <w:t xml:space="preserve">that they </w:t>
      </w:r>
      <w:r w:rsidR="00C50419" w:rsidRPr="00C50419">
        <w:t>should be engaged directly rather than spoken about abstractly. One youth summarized this directly: “Youth are humans. We are people. We’re not objects, we’re not concepts.”</w:t>
      </w:r>
    </w:p>
    <w:p w14:paraId="186E214D" w14:textId="54083062" w:rsidR="00592E89" w:rsidRPr="00083E3E" w:rsidRDefault="00592E89" w:rsidP="0005607E">
      <w:pPr>
        <w:jc w:val="both"/>
        <w:rPr>
          <w:vertAlign w:val="superscript"/>
        </w:rPr>
      </w:pPr>
      <w:r w:rsidRPr="00083E3E">
        <w:t xml:space="preserve">By supporting these programs, LGBTQ youth may feel more empowered and supported in navigating civic engagement, which can be a daunting process in the current political climate. Civic education and participation can be more difficult to understand and facilitate when current elected officials set inconsistent or challenging precedents. Additionally, research suggests that lower levels of in-person connection correlate with lower rates of voting. </w:t>
      </w:r>
      <w:r w:rsidR="004A7B56">
        <w:t>Nationally, i</w:t>
      </w:r>
      <w:r w:rsidRPr="00083E3E">
        <w:t>n 2024, 60% of youth who did not participate in voting reported a lack of in-person connection</w:t>
      </w:r>
      <w:r w:rsidR="004A7B56">
        <w:t xml:space="preserve"> as the reason </w:t>
      </w:r>
      <w:r w:rsidR="004A7B56">
        <w:lastRenderedPageBreak/>
        <w:t>to why they did not vote</w:t>
      </w:r>
      <w:r w:rsidRPr="00083E3E">
        <w:t>.</w:t>
      </w:r>
      <w:r w:rsidRPr="00083E3E">
        <w:rPr>
          <w:vertAlign w:val="superscript"/>
        </w:rPr>
        <w:footnoteReference w:id="39"/>
      </w:r>
      <w:r w:rsidRPr="00083E3E">
        <w:t xml:space="preserve"> Recent data also show</w:t>
      </w:r>
      <w:r w:rsidR="004A7B56">
        <w:t>s</w:t>
      </w:r>
      <w:r w:rsidRPr="00083E3E">
        <w:t xml:space="preserve"> a correlation between higher levels of civic engagement among LGBTQ youth and increased rates of anxiety and suicidal ideation, indicating a need to better support youth who </w:t>
      </w:r>
      <w:r w:rsidR="00C50419">
        <w:rPr>
          <w:noProof/>
        </w:rPr>
        <w:drawing>
          <wp:anchor distT="0" distB="0" distL="114300" distR="114300" simplePos="0" relativeHeight="251744256" behindDoc="0" locked="0" layoutInCell="1" allowOverlap="1" wp14:anchorId="31252571" wp14:editId="26783ECA">
            <wp:simplePos x="0" y="0"/>
            <wp:positionH relativeFrom="column">
              <wp:posOffset>3390900</wp:posOffset>
            </wp:positionH>
            <wp:positionV relativeFrom="paragraph">
              <wp:posOffset>786765</wp:posOffset>
            </wp:positionV>
            <wp:extent cx="2531745" cy="3164205"/>
            <wp:effectExtent l="0" t="0" r="1905" b="0"/>
            <wp:wrapSquare wrapText="bothSides"/>
            <wp:docPr id="1095861099" name="Picture 54" descr="a graphic detailing civic engagement statistics named in this sub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861099" name="Picture 54" descr="a graphic detailing civic engagement statistics named in this subsection"/>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31745" cy="3164205"/>
                    </a:xfrm>
                    <a:prstGeom prst="rect">
                      <a:avLst/>
                    </a:prstGeom>
                  </pic:spPr>
                </pic:pic>
              </a:graphicData>
            </a:graphic>
            <wp14:sizeRelH relativeFrom="margin">
              <wp14:pctWidth>0</wp14:pctWidth>
            </wp14:sizeRelH>
            <wp14:sizeRelV relativeFrom="margin">
              <wp14:pctHeight>0</wp14:pctHeight>
            </wp14:sizeRelV>
          </wp:anchor>
        </w:drawing>
      </w:r>
      <w:r w:rsidRPr="00083E3E">
        <w:t>are engaging in advocacy.</w:t>
      </w:r>
      <w:r w:rsidRPr="00083E3E">
        <w:rPr>
          <w:vertAlign w:val="superscript"/>
        </w:rPr>
        <w:footnoteReference w:id="40"/>
      </w:r>
      <w:r w:rsidRPr="00083E3E">
        <w:rPr>
          <w:vertAlign w:val="superscript"/>
        </w:rPr>
        <w:t xml:space="preserve"> </w:t>
      </w:r>
      <w:r w:rsidRPr="00083E3E">
        <w:t>At the same time, research suggests that meaningful civic engagement can contribute to improved mental health outcomes when youth are adequately supported.</w:t>
      </w:r>
      <w:r w:rsidRPr="00083E3E">
        <w:rPr>
          <w:vertAlign w:val="superscript"/>
        </w:rPr>
        <w:footnoteReference w:id="41"/>
      </w:r>
    </w:p>
    <w:p w14:paraId="023D3562" w14:textId="6FEF37BE" w:rsidR="00592E89" w:rsidRPr="00083E3E" w:rsidRDefault="00592E89" w:rsidP="0005607E">
      <w:pPr>
        <w:jc w:val="both"/>
      </w:pPr>
      <w:r w:rsidRPr="00083E3E">
        <w:t xml:space="preserve">According to the Center for Information &amp; Research on Civic Learning and Engagement, about one in five youth </w:t>
      </w:r>
      <w:r w:rsidR="004A7B56">
        <w:t xml:space="preserve">across the nation </w:t>
      </w:r>
      <w:r w:rsidRPr="00083E3E">
        <w:t>have participated in protests (18%) or engaged in issue advocacy (20%); more than a third have boycotted products (41%) or tried to convince other youth to vote (34%); and more than half have signed petitions (56%). For each of these measures, youth reported they were more likely to engage when formally given the opportunity, emphasizing the need for accessible peer leadership and youth engagement programming. Youth are also more likely to trust local communities compared to large political institutions.</w:t>
      </w:r>
      <w:r w:rsidRPr="00083E3E">
        <w:rPr>
          <w:vertAlign w:val="superscript"/>
        </w:rPr>
        <w:footnoteReference w:id="42"/>
      </w:r>
    </w:p>
    <w:p w14:paraId="23BEAAC7" w14:textId="473A56B4" w:rsidR="00592E89" w:rsidRPr="00083E3E" w:rsidRDefault="00592E89" w:rsidP="0005607E">
      <w:pPr>
        <w:jc w:val="both"/>
      </w:pPr>
      <w:r w:rsidRPr="00083E3E">
        <w:t>Further, the Commission encourages state policymakers to engage directly with youth advocacy programming to help facilitate connection and build tangible civic skills.</w:t>
      </w:r>
      <w:r w:rsidRPr="00083E3E">
        <w:rPr>
          <w:vertAlign w:val="superscript"/>
        </w:rPr>
        <w:footnoteReference w:id="43"/>
      </w:r>
      <w:r w:rsidRPr="00083E3E">
        <w:t xml:space="preserve"> This can be an empowering way for youth to recognize the value of their perspectives and advocacy. A 2024 survey by CIRCLE found that 44% of young nonvoters (ages 18–34) expressed disinterest in or </w:t>
      </w:r>
      <w:r w:rsidRPr="00083E3E">
        <w:lastRenderedPageBreak/>
        <w:t>dissatisfaction with candidates.</w:t>
      </w:r>
      <w:r w:rsidRPr="00083E3E">
        <w:rPr>
          <w:vertAlign w:val="superscript"/>
        </w:rPr>
        <w:footnoteReference w:id="44"/>
      </w:r>
      <w:r w:rsidRPr="00083E3E">
        <w:t xml:space="preserve"> By fostering direct engagement between youth and policymakers, there is an opportunity to build mutual understanding and strengthen civic participation in ways that are beneficial for both groups. </w:t>
      </w:r>
    </w:p>
    <w:p w14:paraId="1081678E" w14:textId="02901934" w:rsidR="00592E89" w:rsidRPr="00083E3E" w:rsidRDefault="00592E89" w:rsidP="00E97E73">
      <w:pPr>
        <w:pStyle w:val="Heading3"/>
      </w:pPr>
      <w:bookmarkStart w:id="92" w:name="_Toc230277301"/>
      <w:r w:rsidRPr="00083E3E">
        <w:t>Support efforts to expand policies and update statewide guidance for supporting transgender and nonbinary students.</w:t>
      </w:r>
      <w:bookmarkEnd w:id="92"/>
    </w:p>
    <w:p w14:paraId="618535FE" w14:textId="7712A356" w:rsidR="00592E89" w:rsidRPr="00083E3E" w:rsidRDefault="00592E89" w:rsidP="0005607E">
      <w:pPr>
        <w:jc w:val="both"/>
      </w:pPr>
      <w:r w:rsidRPr="00083E3E">
        <w:t xml:space="preserve">Education agencies must strengthen and expand policies and guidance to better support transgender and nonbinary students. This includes implementing enforceable protections; ensuring access to gender-affirming facilities and resources; and providing ongoing, mandatory professional development for educators on gender inclusivity, cultural competency, and trauma-informed practices. </w:t>
      </w:r>
      <w:r w:rsidR="00C50419">
        <w:t xml:space="preserve">During the Commission’s FY 2026 listening sessions, youth </w:t>
      </w:r>
      <w:r w:rsidR="00C50419" w:rsidRPr="00C50419">
        <w:t>participants also raised significant concerns about inaccessible gender-neutral bathrooms, uncertainty about whether state and school protections would be enforced, and fear that anti-transgender policies adopted in other states could spread to Massachusetts. These concerns underscore the need for clear statewide guidance and visible reassurance from state and school leaders</w:t>
      </w:r>
      <w:r w:rsidR="001C7200">
        <w:t>, as well as frequent reviews of students’ access to gender-neutral bathrooms in every school across the Commonwealth.</w:t>
      </w:r>
    </w:p>
    <w:p w14:paraId="3F2A5F2E" w14:textId="6CD71DA7" w:rsidR="00592E89" w:rsidRPr="00083E3E" w:rsidRDefault="00D0433F" w:rsidP="0005607E">
      <w:pPr>
        <w:jc w:val="both"/>
      </w:pPr>
      <w:r>
        <w:rPr>
          <w:noProof/>
        </w:rPr>
        <w:drawing>
          <wp:anchor distT="0" distB="0" distL="114300" distR="114300" simplePos="0" relativeHeight="251746304" behindDoc="0" locked="0" layoutInCell="1" allowOverlap="1" wp14:anchorId="074C2CB8" wp14:editId="0BCD54D9">
            <wp:simplePos x="0" y="0"/>
            <wp:positionH relativeFrom="column">
              <wp:posOffset>276225</wp:posOffset>
            </wp:positionH>
            <wp:positionV relativeFrom="paragraph">
              <wp:posOffset>1863090</wp:posOffset>
            </wp:positionV>
            <wp:extent cx="5372100" cy="1838325"/>
            <wp:effectExtent l="0" t="0" r="0" b="0"/>
            <wp:wrapTopAndBottom/>
            <wp:docPr id="1614916317" name="Picture 56" descr="a graphic detailing the MYRBS statistics named in this sub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916317" name="Picture 56" descr="a graphic detailing the MYRBS statistics named in this subsection"/>
                    <pic:cNvPicPr/>
                  </pic:nvPicPr>
                  <pic:blipFill rotWithShape="1">
                    <a:blip r:embed="rId31" cstate="print">
                      <a:extLst>
                        <a:ext uri="{28A0092B-C50C-407E-A947-70E740481C1C}">
                          <a14:useLocalDpi xmlns:a14="http://schemas.microsoft.com/office/drawing/2010/main" val="0"/>
                        </a:ext>
                      </a:extLst>
                    </a:blip>
                    <a:srcRect l="4007" t="27199" r="5608" b="29057"/>
                    <a:stretch>
                      <a:fillRect/>
                    </a:stretch>
                  </pic:blipFill>
                  <pic:spPr bwMode="auto">
                    <a:xfrm>
                      <a:off x="0" y="0"/>
                      <a:ext cx="5372100" cy="18383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592E89" w:rsidRPr="00083E3E">
        <w:t xml:space="preserve">This need is particularly urgent in the context of a rapidly shifting national policy landscape. In February 2025, a federal executive order titled </w:t>
      </w:r>
      <w:r w:rsidR="00592E89" w:rsidRPr="00083E3E">
        <w:rPr>
          <w:i/>
          <w:iCs/>
        </w:rPr>
        <w:t>“Keeping Men Out of Women’s Sports”</w:t>
      </w:r>
      <w:r w:rsidR="00592E89" w:rsidRPr="00083E3E">
        <w:t xml:space="preserve"> introduced threats to withhold federal funding from schools that allow transgender girls to participate in athletics consistent with their gender identity.</w:t>
      </w:r>
      <w:r w:rsidR="00592E89" w:rsidRPr="00083E3E">
        <w:rPr>
          <w:rStyle w:val="FootnoteReference"/>
          <w:sz w:val="22"/>
          <w:szCs w:val="22"/>
        </w:rPr>
        <w:footnoteReference w:id="45"/>
      </w:r>
      <w:r w:rsidR="00592E89" w:rsidRPr="00083E3E">
        <w:t xml:space="preserve"> At the same time, the U.S. Supreme Court granted certiorari in two cases involving transgender student-athletes in July 2025, with rulings </w:t>
      </w:r>
      <w:r w:rsidR="00592E89" w:rsidRPr="00083E3E">
        <w:lastRenderedPageBreak/>
        <w:t>expected in 2026.</w:t>
      </w:r>
      <w:r w:rsidR="00592E89" w:rsidRPr="00083E3E">
        <w:rPr>
          <w:rStyle w:val="FootnoteReference"/>
          <w:sz w:val="22"/>
          <w:szCs w:val="22"/>
        </w:rPr>
        <w:footnoteReference w:id="46"/>
      </w:r>
      <w:r w:rsidR="00592E89" w:rsidRPr="00083E3E">
        <w:t xml:space="preserve"> These developments create significant uncertainty for schools and underscore the importance of clear, consistent, and affirming statewide guidance to ensure that Massachusetts students are protected regardless of federal shifts.</w:t>
      </w:r>
    </w:p>
    <w:p w14:paraId="3899FA3E" w14:textId="63E1E9E7" w:rsidR="00592E89" w:rsidRPr="00083E3E" w:rsidRDefault="00592E89" w:rsidP="0005607E">
      <w:pPr>
        <w:jc w:val="both"/>
      </w:pPr>
      <w:r w:rsidRPr="00083E3E">
        <w:t>Addressing bullying - particularly anti-LGBTQ bias - remains a critical need. Data from the 2023 Massachusetts Youth Risk Behavior Survey (MYRBS) show that LGBTQ youth experience significantly higher rates of harm than their cisgender, heterosexual peers, including suicide attempts (15% vs. 4%), suicidal ideation (approximately one-third vs. 11%), self-harm (41% vs. 14%), and electronic bullying (26% vs. 11%). Disparities are even more pronounced for transgender youth, with 23% reporting suicide attempts, 42% suicidal ideation, 47% self-harm, and 33% electronic bullying. These disparities underscore the urgent need for targeted, systemic interventions.</w:t>
      </w:r>
      <w:r w:rsidRPr="00083E3E">
        <w:rPr>
          <w:rStyle w:val="FootnoteReference"/>
          <w:sz w:val="22"/>
          <w:szCs w:val="22"/>
        </w:rPr>
        <w:footnoteReference w:id="47"/>
      </w:r>
    </w:p>
    <w:p w14:paraId="29613ED4" w14:textId="3C66A283" w:rsidR="00592E89" w:rsidRPr="00083E3E" w:rsidRDefault="00592E89" w:rsidP="0005607E">
      <w:pPr>
        <w:jc w:val="both"/>
      </w:pPr>
      <w:r w:rsidRPr="00083E3E">
        <w:t xml:space="preserve">Recent research further highlights the growing risks faced by LGBTQ youth. Findings from </w:t>
      </w:r>
      <w:r w:rsidR="00A05D52">
        <w:t xml:space="preserve">a national </w:t>
      </w:r>
      <w:r w:rsidRPr="00083E3E">
        <w:t>study indicate that exposure to conversion therapy threats has doubled in recent years, increasing from 11% to 22%.</w:t>
      </w:r>
      <w:r w:rsidRPr="00083E3E">
        <w:rPr>
          <w:vertAlign w:val="superscript"/>
        </w:rPr>
        <w:footnoteReference w:id="48"/>
      </w:r>
      <w:r w:rsidRPr="00083E3E">
        <w:t xml:space="preserve"> This trend reflects a broader climate of hostility toward LGBTQ youth and underscores the need for schools</w:t>
      </w:r>
      <w:r w:rsidR="00A05D52">
        <w:t>, even in Massachusetts,</w:t>
      </w:r>
      <w:r w:rsidRPr="00083E3E">
        <w:t xml:space="preserve"> to serve as protective environments where students are affirmed and supported. Conversion therapy remains a widely discredited and harmful practice, associated with significant psychological distress and increased risk of suicidality. Recent legal developments have further complicated this landscape. A 2026 decision from the U.S. Supreme Court raised serious concerns about the scope of protections against conversion therapy, particularly in relation to talk therapy and First Amendment claims, potentially weakening enforcement of existing state-level bans. While Massachusetts maintains strong protections, including bans on conversion therapy for minors, these national shifts create uncertainty and reinforce the need for clear, proactive guidance and safeguards at the state and local levels. In this context, schools play a critical role as affirming spaces that can mitigate harm by ensuring students have access to supportive adults, accurate information, and identity-affirming resources.</w:t>
      </w:r>
    </w:p>
    <w:p w14:paraId="2575FC84" w14:textId="53C98CBB" w:rsidR="00592E89" w:rsidRPr="00083E3E" w:rsidRDefault="00592E89" w:rsidP="0005607E">
      <w:pPr>
        <w:jc w:val="both"/>
      </w:pPr>
      <w:r w:rsidRPr="00083E3E">
        <w:t>A</w:t>
      </w:r>
      <w:r w:rsidR="00A05D52">
        <w:t>dditionally, a</w:t>
      </w:r>
      <w:r w:rsidRPr="00083E3E">
        <w:t xml:space="preserve">lthough Massachusetts has implemented a statewide anti-bullying framework, gaps remain in </w:t>
      </w:r>
      <w:r w:rsidR="00A05D52">
        <w:t xml:space="preserve">schools’ commitments to </w:t>
      </w:r>
      <w:r w:rsidRPr="00083E3E">
        <w:t>consistency</w:t>
      </w:r>
      <w:r w:rsidR="00A05D52">
        <w:t xml:space="preserve"> and accountability</w:t>
      </w:r>
      <w:r w:rsidRPr="00083E3E">
        <w:t xml:space="preserve">. </w:t>
      </w:r>
      <w:r w:rsidR="00A05D52">
        <w:t xml:space="preserve">In many cases, schools </w:t>
      </w:r>
      <w:r w:rsidRPr="00083E3E">
        <w:t xml:space="preserve">require increased funding </w:t>
      </w:r>
      <w:r w:rsidR="00A05D52">
        <w:t xml:space="preserve">to train teachers </w:t>
      </w:r>
      <w:r w:rsidRPr="00083E3E">
        <w:t xml:space="preserve">and </w:t>
      </w:r>
      <w:r w:rsidR="00A05D52">
        <w:t xml:space="preserve">clear guidance naming more </w:t>
      </w:r>
      <w:r w:rsidRPr="00083E3E">
        <w:t xml:space="preserve">defined, mandatory </w:t>
      </w:r>
      <w:r w:rsidRPr="00083E3E">
        <w:lastRenderedPageBreak/>
        <w:t>requirements for preventing and responding to bullying that explicitly address sexual orientation, gender identity, and gender expression. These efforts should be grounded in an intersectional, anti-racist framework that reflects the experiences of BIPOC LGBTQ youth. The Commonwealth should also strengthen and monitor requirements for age-appropriate, evidence-based bullying prevention education.</w:t>
      </w:r>
    </w:p>
    <w:p w14:paraId="3F075D57" w14:textId="644625C9" w:rsidR="00A05D52" w:rsidRDefault="00592E89" w:rsidP="0005607E">
      <w:pPr>
        <w:jc w:val="both"/>
      </w:pPr>
      <w:r w:rsidRPr="00083E3E">
        <w:t>Feedback from student listening sessions conducted by the Commission in 2024 further highlights persistent challenges</w:t>
      </w:r>
      <w:r w:rsidR="00A05D52">
        <w:t xml:space="preserve"> that LGBTQ youth experience in schools</w:t>
      </w:r>
      <w:r w:rsidRPr="00083E3E">
        <w:t xml:space="preserve">, including widespread bullying, inadequate school responses, and retaliation following reports. </w:t>
      </w:r>
      <w:r w:rsidR="00A05D52">
        <w:t xml:space="preserve">Several LGBTQ </w:t>
      </w:r>
      <w:proofErr w:type="gramStart"/>
      <w:r w:rsidR="00A05D52">
        <w:t>youth</w:t>
      </w:r>
      <w:proofErr w:type="gramEnd"/>
      <w:r w:rsidR="00A05D52">
        <w:t xml:space="preserve"> reported not hearing anything from the school after they reported bullying, while others reported facing retaliation from their bully with no consequences or recourse after reporting.</w:t>
      </w:r>
    </w:p>
    <w:p w14:paraId="3C798FC7" w14:textId="598A4E0F" w:rsidR="00592E89" w:rsidRPr="00083E3E" w:rsidRDefault="00592E89" w:rsidP="0005607E">
      <w:pPr>
        <w:jc w:val="both"/>
      </w:pPr>
      <w:r w:rsidRPr="00083E3E">
        <w:t>Participation in school activities, including athletics, is also critical to student well-being. While research shows that sports participation is associated with improved self-esteem and school connectedness, many LGBTQ students - particularly transgender youth -</w:t>
      </w:r>
      <w:r w:rsidR="00A05D52">
        <w:t xml:space="preserve"> often</w:t>
      </w:r>
      <w:r w:rsidRPr="00083E3E">
        <w:t xml:space="preserve"> avoid </w:t>
      </w:r>
      <w:r w:rsidR="00A05D52">
        <w:t xml:space="preserve">participating in sports teams </w:t>
      </w:r>
      <w:r w:rsidRPr="00083E3E">
        <w:t>due to safety concerns and lack of inclusive environments</w:t>
      </w:r>
      <w:r w:rsidR="00A05D52">
        <w:t xml:space="preserve"> in their schools</w:t>
      </w:r>
      <w:r w:rsidRPr="00083E3E">
        <w:t xml:space="preserve">. </w:t>
      </w:r>
      <w:r w:rsidR="00A05D52">
        <w:t xml:space="preserve">Massachusetts schools must implement </w:t>
      </w:r>
      <w:r w:rsidRPr="00083E3E">
        <w:t>inclusive policies, such as access to gender-affirming uniforms, safe changing facilities, and increased training for coaches and staff</w:t>
      </w:r>
      <w:r w:rsidR="00A05D52">
        <w:t>, to improve access to sports for transgender and gender expansive youth</w:t>
      </w:r>
      <w:r w:rsidRPr="00083E3E">
        <w:t>. Although policies like those of the Massachusetts Interscholastic Athletic Association (MIAA) support participation based on gender identity, stronger implementation and enforcement are needed.</w:t>
      </w:r>
    </w:p>
    <w:p w14:paraId="47776711" w14:textId="4AB9BFB5" w:rsidR="00A05D52" w:rsidRPr="00083E3E" w:rsidRDefault="00592E89" w:rsidP="0005607E">
      <w:pPr>
        <w:jc w:val="both"/>
      </w:pPr>
      <w:r w:rsidRPr="00083E3E">
        <w:t>Finally, policy review data reveal gaps in LGBTQ-inclusive protections across Massachusetts schools. In 2022, the Commission published a special report examining more than 1,700 public school handbooks, finding that only 19.4% of schools in the Commonwealth were covered by district-level policies specifically addressing gender identity, though reports from the Safe Schools Program for LGBTQ Students suggest that this number has risen in recent years.</w:t>
      </w:r>
      <w:r w:rsidRPr="00083E3E">
        <w:rPr>
          <w:rStyle w:val="FootnoteReference"/>
          <w:sz w:val="22"/>
          <w:szCs w:val="22"/>
        </w:rPr>
        <w:footnoteReference w:id="49"/>
      </w:r>
      <w:r w:rsidRPr="00083E3E">
        <w:t xml:space="preserve"> While inclusive anti-discrimination policies are important, they are insufficient on their own. Comprehensive approaches - including inclusive curricula, supportive school climates, and sustained investment in training and student supports - are necessary to improve outcomes for LGBTQ students. School climate is also shaped by what students </w:t>
      </w:r>
      <w:r w:rsidR="00B443A2" w:rsidRPr="00083E3E">
        <w:t>can</w:t>
      </w:r>
      <w:r w:rsidRPr="00083E3E">
        <w:t xml:space="preserve"> see, read, and learn within their educational environments.</w:t>
      </w:r>
    </w:p>
    <w:p w14:paraId="4BDDCBB5" w14:textId="3ED6F1E4" w:rsidR="00592E89" w:rsidRPr="00083E3E" w:rsidRDefault="00592E89" w:rsidP="00E97E73">
      <w:pPr>
        <w:pStyle w:val="Heading3"/>
      </w:pPr>
      <w:bookmarkStart w:id="93" w:name="_Toc230277302"/>
      <w:r w:rsidRPr="00083E3E">
        <w:t xml:space="preserve">Encourage educators and administrators to affirm the inclusion of materials on race and LGBTQ topics and establish statewide guidance </w:t>
      </w:r>
      <w:r w:rsidRPr="00083E3E">
        <w:lastRenderedPageBreak/>
        <w:t>for addressing challenged curricula, book bans, and attacks on librarians.</w:t>
      </w:r>
      <w:bookmarkEnd w:id="93"/>
    </w:p>
    <w:p w14:paraId="4984C5A0" w14:textId="02BF3C4F" w:rsidR="00592E89" w:rsidRDefault="006F7541" w:rsidP="0005607E">
      <w:pPr>
        <w:jc w:val="both"/>
      </w:pPr>
      <w:r>
        <w:rPr>
          <w:noProof/>
        </w:rPr>
        <mc:AlternateContent>
          <mc:Choice Requires="wps">
            <w:drawing>
              <wp:anchor distT="91440" distB="91440" distL="114300" distR="114300" simplePos="0" relativeHeight="251680768" behindDoc="0" locked="0" layoutInCell="1" allowOverlap="1" wp14:anchorId="391A8E3A" wp14:editId="2B33D80D">
                <wp:simplePos x="0" y="0"/>
                <wp:positionH relativeFrom="page">
                  <wp:posOffset>3468823</wp:posOffset>
                </wp:positionH>
                <wp:positionV relativeFrom="paragraph">
                  <wp:posOffset>290830</wp:posOffset>
                </wp:positionV>
                <wp:extent cx="3474720" cy="1403985"/>
                <wp:effectExtent l="0" t="0" r="0" b="2540"/>
                <wp:wrapSquare wrapText="bothSides"/>
                <wp:docPr id="17543597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7AC52011" w14:textId="7D794A7C" w:rsidR="006F7541" w:rsidRPr="006F7541" w:rsidRDefault="006F7541" w:rsidP="006F7541">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“We can learn to respect identities that are different from ours. I think students and staff should be intentional about education themselves out of respect for all people.”</w:t>
                            </w:r>
                            <w:r>
                              <w:rPr>
                                <w:color w:val="AD84C6" w:themeColor="accent1"/>
                              </w:rPr>
                              <w:t xml:space="preserve"> – LGBTQ youth</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391A8E3A" id="_x0000_s1033" type="#_x0000_t202" style="position:absolute;left:0;text-align:left;margin-left:273.15pt;margin-top:22.9pt;width:273.6pt;height:110.55pt;z-index:251680768;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bX8/QEAANUDAAAOAAAAZHJzL2Uyb0RvYy54bWysU9uO2yAQfa/Uf0C8N3ayTpNYIavtblNV&#10;2l6kbT+AYByjAkOBxE6/vgPOZqP2raofEDCeM3POHNa3g9HkKH1QYBmdTkpKpBXQKLtn9Pu37Zsl&#10;JSFy23ANVjJ6koHebl6/WveuljPoQDfSEwSxoe4do12Mri6KIDppeJiAkxaDLXjDIx79vmg87xHd&#10;6GJWlm+LHnzjPAgZAt4+jEG6yfhtK0X80rZBRqIZxd5iXn1ed2ktNmte7z13nRLnNvg/dGG4slj0&#10;AvXAIycHr/6CMkp4CNDGiQBTQNsqITMHZDMt/2Dz1HEnMxcUJ7iLTOH/wYrPxyf31ZM4vIMBB5hJ&#10;BPcI4kcgFu47bvfyznvoO8kbLDxNkhW9C/U5NUkd6pBAdv0naHDI/BAhAw2tN0kV5EkQHQdwuogu&#10;h0gEXt5Ui2oxw5DA2LQqb1bLea7B6+d050P8IMGQtGHU41QzPD8+hpja4fXzL6maha3SOk9WW9Iz&#10;uprP5jnhKmJURONpZRhdlukbrZBYvrdNTo5c6XGPBbQ9005MR85x2A1ENYwuUm5SYQfNCXXwMPoM&#10;3wVuOvC/KOnRY4yGnwfuJSX6o0UtV9OqSqbMh2qeVfDXkd11hFuBUIxGSsbtfcxGTpSDu0PNtyqr&#10;8dLJuWX0Thbp7PNkzutz/uvlNW5+AwAA//8DAFBLAwQUAAYACAAAACEAQvW8I+EAAAALAQAADwAA&#10;AGRycy9kb3ducmV2LnhtbEyPy26DMBBF95X6D9ZU6q4xDQEBZYjSR7qqVDXJJjuDp4CCbWSbhP59&#10;nVW7HM3RveeW61kN7EzW9UYjPC4iYKQbI3vdIhz224cMmPNCSzEYTQg/5GBd3d6UopDmor/ovPMt&#10;CyHaFQKh834sOHdNR0q4hRlJh9+3sUr4cNqWSysuIVwNfBlFKVei16GhEyO9dNScdpNC+CB7zPIp&#10;e+6Pr9u3z1Ms6/eNRLy/mzdPwDzN/g+Gq35Qhyo41WbS0rEBIVmlcUARVkmYcAWiPE6A1QjLNM2B&#10;VyX/v6H6BQAA//8DAFBLAQItABQABgAIAAAAIQC2gziS/gAAAOEBAAATAAAAAAAAAAAAAAAAAAAA&#10;AABbQ29udGVudF9UeXBlc10ueG1sUEsBAi0AFAAGAAgAAAAhADj9If/WAAAAlAEAAAsAAAAAAAAA&#10;AAAAAAAALwEAAF9yZWxzLy5yZWxzUEsBAi0AFAAGAAgAAAAhAO5Ntfz9AQAA1QMAAA4AAAAAAAAA&#10;AAAAAAAALgIAAGRycy9lMm9Eb2MueG1sUEsBAi0AFAAGAAgAAAAhAEL1vCPhAAAACwEAAA8AAAAA&#10;AAAAAAAAAAAAVwQAAGRycy9kb3ducmV2LnhtbFBLBQYAAAAABAAEAPMAAABlBQAAAAA=&#10;" filled="f" stroked="f">
                <v:textbox style="mso-fit-shape-to-text:t">
                  <w:txbxContent>
                    <w:p w14:paraId="7AC52011" w14:textId="7D794A7C" w:rsidR="006F7541" w:rsidRPr="006F7541" w:rsidRDefault="006F7541" w:rsidP="006F7541">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“We can learn to respect identities that are different from ours. I think students and staff should be intentional about education themselves out of respect for all people.”</w:t>
                      </w:r>
                      <w:r>
                        <w:rPr>
                          <w:color w:val="AD84C6" w:themeColor="accent1"/>
                        </w:rPr>
                        <w:t xml:space="preserve"> – LGBTQ youth</w:t>
                      </w:r>
                    </w:p>
                  </w:txbxContent>
                </v:textbox>
                <w10:wrap type="square" anchorx="page"/>
              </v:shape>
            </w:pict>
          </mc:Fallback>
        </mc:AlternateContent>
      </w:r>
      <w:r w:rsidR="00592E89" w:rsidRPr="00083E3E">
        <w:t xml:space="preserve">As challenges to school-based content related to race and LGBTQ topics continue across the Commonwealth, there is an increasing need for clear strategies, guidance, and support for administrators, educators, and librarians. Schools and libraries are experiencing a significant rise in book challenges, particularly </w:t>
      </w:r>
      <w:r w:rsidR="00401CAC">
        <w:t xml:space="preserve">from challenges </w:t>
      </w:r>
      <w:r w:rsidR="00592E89" w:rsidRPr="00083E3E">
        <w:t xml:space="preserve">targeting LGBTQ- and BIPOC-affirming materials. The Commission recommends that the </w:t>
      </w:r>
      <w:r w:rsidR="00401CAC">
        <w:t xml:space="preserve">Commonwealth </w:t>
      </w:r>
      <w:r w:rsidR="00592E89" w:rsidRPr="00083E3E">
        <w:t>establish</w:t>
      </w:r>
      <w:r w:rsidR="00401CAC">
        <w:t>es</w:t>
      </w:r>
      <w:r w:rsidR="00592E89" w:rsidRPr="00083E3E">
        <w:t xml:space="preserve"> clear, consistent, and transparent processes for reviewing challenged books and curricula. In addition, school and district leaders should proactively affirm their support for LGBTQ-inclusive materials, consistent with the Principles for Ensuring Safe and Supportive Learning Environments for LGBTQ Students.</w:t>
      </w:r>
      <w:r w:rsidR="00592E89" w:rsidRPr="00083E3E">
        <w:rPr>
          <w:rStyle w:val="FootnoteReference"/>
          <w:sz w:val="22"/>
          <w:szCs w:val="22"/>
        </w:rPr>
        <w:footnoteReference w:id="50"/>
      </w:r>
    </w:p>
    <w:p w14:paraId="469B15E7" w14:textId="2662049D" w:rsidR="00C50419" w:rsidRDefault="00C50419" w:rsidP="0005607E">
      <w:pPr>
        <w:jc w:val="both"/>
      </w:pPr>
      <w:r w:rsidRPr="00C50419">
        <w:t xml:space="preserve">During the Commission’s FY 2026 listening sessions, youth participants </w:t>
      </w:r>
      <w:r w:rsidR="001C7200">
        <w:t xml:space="preserve">frequently </w:t>
      </w:r>
      <w:r w:rsidRPr="00C50419">
        <w:t xml:space="preserve">identified inclusive education as a central priority and specifically called for LGBTQ history, identities, and experiences to be normalized across school settings, including in elementary and middle school. </w:t>
      </w:r>
      <w:r w:rsidR="001C7200">
        <w:t>Many of these y</w:t>
      </w:r>
      <w:r w:rsidRPr="00C50419">
        <w:t>outh also emphasized that visible signs of support, such as Pride flags in classrooms, help students know where they are welcome</w:t>
      </w:r>
      <w:r w:rsidR="001C7200">
        <w:t xml:space="preserve"> in schools, communities, and more</w:t>
      </w:r>
      <w:r w:rsidRPr="00C50419">
        <w:t>.</w:t>
      </w:r>
    </w:p>
    <w:p w14:paraId="60026CBB" w14:textId="5D12F5B5" w:rsidR="00592E89" w:rsidRPr="00083E3E" w:rsidRDefault="00401CAC" w:rsidP="0005607E">
      <w:pPr>
        <w:jc w:val="both"/>
      </w:pPr>
      <w:r w:rsidRPr="00083E3E">
        <w:t>The 2025 National School Climate Survey from Glisten found that 62% of LGBTQ students nationally reported seeing no LGBTQ+ content in their classes, with only 27% reporting positive depictions of LGBTQ+ figures in their curriculum.</w:t>
      </w:r>
      <w:r w:rsidRPr="00083E3E">
        <w:rPr>
          <w:vertAlign w:val="superscript"/>
        </w:rPr>
        <w:footnoteReference w:id="51"/>
      </w:r>
      <w:r w:rsidRPr="00083E3E">
        <w:t xml:space="preserve"> </w:t>
      </w:r>
      <w:r>
        <w:t xml:space="preserve">While Massachusetts often leads in education-related initiatives, many LGBTQ youth have reported to the Commission that their schools also lack accurate and comprehensive LGBTQ-inclusive content.  </w:t>
      </w:r>
      <w:r w:rsidR="00592E89" w:rsidRPr="00083E3E">
        <w:t xml:space="preserve">Massachusetts-specific data from the 2021 Glisten School Climate survey (as MA-specific data is not yet available from the 2025 survey) highlights ongoing gaps in access: only 31% of LGBTQ students reported being taught positive representations of LGBTQ people, history, or events; 54% reported access to inclusive library resources; and just 15% reported receiving LGBTQ-inclusive sex education. Additionally, LGBTQ students who reported seeing visible signs of support - such as Safe Space stickers or </w:t>
      </w:r>
      <w:r w:rsidR="00592E89" w:rsidRPr="00083E3E">
        <w:lastRenderedPageBreak/>
        <w:t>affirming posters - were more likely to identify supportive adults in their schools and report more positive mental health outcomes.</w:t>
      </w:r>
      <w:r w:rsidR="00592E89" w:rsidRPr="00083E3E">
        <w:rPr>
          <w:rStyle w:val="FootnoteReference"/>
          <w:sz w:val="22"/>
          <w:szCs w:val="22"/>
        </w:rPr>
        <w:footnoteReference w:id="52"/>
      </w:r>
    </w:p>
    <w:p w14:paraId="78D74791" w14:textId="02829DFA" w:rsidR="00592E89" w:rsidRPr="00083E3E" w:rsidRDefault="00EF1335" w:rsidP="0005607E">
      <w:pPr>
        <w:jc w:val="both"/>
      </w:pPr>
      <w:r>
        <w:rPr>
          <w:noProof/>
        </w:rPr>
        <mc:AlternateContent>
          <mc:Choice Requires="wps">
            <w:drawing>
              <wp:anchor distT="91440" distB="91440" distL="114300" distR="114300" simplePos="0" relativeHeight="251682816" behindDoc="0" locked="0" layoutInCell="1" allowOverlap="1" wp14:anchorId="7E43B3B2" wp14:editId="1FB34573">
                <wp:simplePos x="0" y="0"/>
                <wp:positionH relativeFrom="page">
                  <wp:posOffset>923925</wp:posOffset>
                </wp:positionH>
                <wp:positionV relativeFrom="paragraph">
                  <wp:posOffset>173990</wp:posOffset>
                </wp:positionV>
                <wp:extent cx="3133725" cy="1403985"/>
                <wp:effectExtent l="0" t="0" r="0" b="2540"/>
                <wp:wrapSquare wrapText="bothSides"/>
                <wp:docPr id="448229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1403985"/>
                        </a:xfrm>
                        <a:prstGeom prst="rect">
                          <a:avLst/>
                        </a:prstGeom>
                        <a:noFill/>
                        <a:ln w="9525">
                          <a:noFill/>
                          <a:miter lim="800000"/>
                          <a:headEnd/>
                          <a:tailEnd/>
                        </a:ln>
                      </wps:spPr>
                      <wps:txbx>
                        <w:txbxContent>
                          <w:p w14:paraId="0A8633B9" w14:textId="49566D66" w:rsidR="00EF1335" w:rsidRPr="00EF1335" w:rsidRDefault="00EF1335" w:rsidP="00EF1335">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“How many of our teachers are… taking a book off the shelf and then deciding, ‘you know what, it’s not worth it’… because of fear?”</w:t>
                            </w:r>
                            <w:r>
                              <w:rPr>
                                <w:color w:val="AD84C6" w:themeColor="accent1"/>
                              </w:rPr>
                              <w:t xml:space="preserve"> – MA Superintendent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43B3B2" id="_x0000_s1034" type="#_x0000_t202" style="position:absolute;left:0;text-align:left;margin-left:72.75pt;margin-top:13.7pt;width:246.75pt;height:110.55pt;z-index:251682816;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yjV/QEAANUDAAAOAAAAZHJzL2Uyb0RvYy54bWysU8tu2zAQvBfoPxC815L8aGzBcpAmdVEg&#10;fQBJP4CmKIsoyWVJ2pL79VlSimMkt6I6EFyuOLszO1xf91qRo3BegqloMckpEYZDLc2+or8etx+W&#10;lPjATM0UGFHRk/D0evP+3bqzpZhCC6oWjiCI8WVnK9qGYMss87wVmvkJWGEw2YDTLGDo9lntWIfo&#10;WmXTPP+YdeBq64AL7/H0bkjSTcJvGsHDj6bxIhBVUewtpNWldRfXbLNm5d4x20o+tsH+oQvNpMGi&#10;Z6g7Fhg5OPkGSkvuwEMTJhx0Bk0juUgckE2Rv2Lz0DIrEhcUx9uzTP7/wfLvxwf705HQf4IeB5hI&#10;eHsP/LcnBm5bZvbixjnoWsFqLFxEybLO+nK8GqX2pY8gu+4b1DhkdgiQgPrG6agK8iSIjgM4nUUX&#10;fSAcD2fFbHY1XVDCMVfM89lquUg1WPl83TofvgjQJG4q6nCqCZ4d732I7bDy+ZdYzcBWKpUmqwzp&#10;KrpaIP6rjJYBjaekrugyj99ghcjys6nT5cCkGvZYQJmRdmQ6cA79rieyRoB4N6qwg/qEOjgYfIbv&#10;AjctuL+UdOixivo/B+YEJeqrQS1XxXweTZmC+eJqioG7zOwuM8xwhKpooGTY3oZk5EjM2xvUfCuT&#10;Gi+djC2jd5JIo8+jOS/j9NfLa9w8AQAA//8DAFBLAwQUAAYACAAAACEASI6v/98AAAAKAQAADwAA&#10;AGRycy9kb3ducmV2LnhtbEyPzU7DMBCE70i8g7VI3KhDSPoT4lQVasuxUKKe3dgkEfHast00vD3L&#10;CY4z+2l2plxPZmCj9qG3KOBxlgDT2FjVYyug/tg9LIGFKFHJwaIW8K0DrKvbm1IWyl7xXY/H2DIK&#10;wVBIAV2MruA8NJ02Msys00i3T+uNjCR9y5WXVwo3A0+TZM6N7JE+dNLpl043X8eLEeCi2y9e/eFt&#10;s92NSX3a12nfboW4v5s2z8CinuIfDL/1qTpU1OlsL6gCG0hneU6ogHSRASNg/rSicWcysmUOvCr5&#10;/wnVDwAAAP//AwBQSwECLQAUAAYACAAAACEAtoM4kv4AAADhAQAAEwAAAAAAAAAAAAAAAAAAAAAA&#10;W0NvbnRlbnRfVHlwZXNdLnhtbFBLAQItABQABgAIAAAAIQA4/SH/1gAAAJQBAAALAAAAAAAAAAAA&#10;AAAAAC8BAABfcmVscy8ucmVsc1BLAQItABQABgAIAAAAIQC9oyjV/QEAANUDAAAOAAAAAAAAAAAA&#10;AAAAAC4CAABkcnMvZTJvRG9jLnhtbFBLAQItABQABgAIAAAAIQBIjq//3wAAAAoBAAAPAAAAAAAA&#10;AAAAAAAAAFcEAABkcnMvZG93bnJldi54bWxQSwUGAAAAAAQABADzAAAAYwUAAAAA&#10;" filled="f" stroked="f">
                <v:textbox style="mso-fit-shape-to-text:t">
                  <w:txbxContent>
                    <w:p w14:paraId="0A8633B9" w14:textId="49566D66" w:rsidR="00EF1335" w:rsidRPr="00EF1335" w:rsidRDefault="00EF1335" w:rsidP="00EF1335">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“How many of our teachers are… taking a book off the shelf and then deciding, ‘you know what, it’s not worth it’… because of fear?”</w:t>
                      </w:r>
                      <w:r>
                        <w:rPr>
                          <w:color w:val="AD84C6" w:themeColor="accent1"/>
                        </w:rPr>
                        <w:t xml:space="preserve"> – MA Superintendent</w:t>
                      </w:r>
                    </w:p>
                  </w:txbxContent>
                </v:textbox>
                <w10:wrap type="square" anchorx="page"/>
              </v:shape>
            </w:pict>
          </mc:Fallback>
        </mc:AlternateContent>
      </w:r>
      <w:r w:rsidR="00401CAC">
        <w:t>Additionally, i</w:t>
      </w:r>
      <w:r w:rsidR="00592E89" w:rsidRPr="00083E3E">
        <w:t xml:space="preserve">ntersectional LGBTQ-affirming curriculum extends beyond classroom instruction to include library collections, school displays, and other visible indicators of inclusion throughout school environments. However, recent efforts to restrict such materials and displays </w:t>
      </w:r>
      <w:r w:rsidR="00401CAC">
        <w:t>emphasize</w:t>
      </w:r>
      <w:r w:rsidR="00592E89" w:rsidRPr="00083E3E">
        <w:t xml:space="preserve"> the need for clearer statewide guidance and stronger institutional support. For example, a proposal to the Pembroke School Committee to prohibit educators from displaying Pride flags or other affirming symbols - though ultimately rejected - reflects broader trends seen across the Commonwealth. Similarly, in December 2023, a classroom in a Great Barrington middle school was searched by law enforcement following a complaint regarding the book </w:t>
      </w:r>
      <w:r w:rsidR="00592E89" w:rsidRPr="00083E3E">
        <w:rPr>
          <w:i/>
          <w:iCs/>
        </w:rPr>
        <w:t>Gender Queer</w:t>
      </w:r>
      <w:r w:rsidR="00592E89" w:rsidRPr="00083E3E">
        <w:t>. These incidents illustrate the growing scrutiny faced by educators and the chilling effect such actions may have on inclusive educational practices.</w:t>
      </w:r>
    </w:p>
    <w:p w14:paraId="01ED1A81" w14:textId="3B4CE4DE" w:rsidR="00592E89" w:rsidRPr="00083E3E" w:rsidRDefault="00EF1335" w:rsidP="0005607E">
      <w:pPr>
        <w:jc w:val="both"/>
      </w:pPr>
      <w:r>
        <w:rPr>
          <w:noProof/>
        </w:rPr>
        <mc:AlternateContent>
          <mc:Choice Requires="wps">
            <w:drawing>
              <wp:anchor distT="91440" distB="91440" distL="114300" distR="114300" simplePos="0" relativeHeight="251684864" behindDoc="0" locked="0" layoutInCell="1" allowOverlap="1" wp14:anchorId="060E0C9B" wp14:editId="00DC3F10">
                <wp:simplePos x="0" y="0"/>
                <wp:positionH relativeFrom="page">
                  <wp:posOffset>3347720</wp:posOffset>
                </wp:positionH>
                <wp:positionV relativeFrom="paragraph">
                  <wp:posOffset>121920</wp:posOffset>
                </wp:positionV>
                <wp:extent cx="3474720" cy="1403985"/>
                <wp:effectExtent l="0" t="0" r="0" b="0"/>
                <wp:wrapSquare wrapText="bothSides"/>
                <wp:docPr id="5977586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0E5AA274" w14:textId="1768F9B3" w:rsidR="00EF1335" w:rsidRPr="00EF1335" w:rsidRDefault="00EF1335" w:rsidP="00EF1335">
                            <w:pPr>
                              <w:pBdr>
                                <w:top w:val="single" w:sz="24" w:space="8" w:color="AD84C6" w:themeColor="accent1"/>
                                <w:bottom w:val="single" w:sz="24" w:space="8" w:color="AD84C6" w:themeColor="accent1"/>
                              </w:pBdr>
                              <w:spacing w:before="0" w:after="0"/>
                            </w:pPr>
                            <w:r>
                              <w:rPr>
                                <w:i/>
                                <w:iCs/>
                                <w:color w:val="AD84C6" w:themeColor="accent1"/>
                              </w:rPr>
                              <w:t xml:space="preserve">“It feels like we’re compromising on our values by letting families opt out of content.” </w:t>
                            </w:r>
                            <w:r>
                              <w:rPr>
                                <w:color w:val="AD84C6" w:themeColor="accent1"/>
                              </w:rPr>
                              <w:t>– MA Superintendent</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060E0C9B" id="_x0000_s1035" type="#_x0000_t202" style="position:absolute;left:0;text-align:left;margin-left:263.6pt;margin-top:9.6pt;width:273.6pt;height:110.55pt;z-index:251684864;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PB6/QEAANUDAAAOAAAAZHJzL2Uyb0RvYy54bWysU11v2yAUfZ+0/4B4X+ykzppYcaquXaZJ&#10;3YfU7gdgjGM04DIgsbNfvwt202h7q+YHBFzfc+8597C5GbQiR+G8BFPR+SynRBgOjTT7iv542r1b&#10;UeIDMw1TYERFT8LTm+3bN5velmIBHahGOIIgxpe9rWgXgi2zzPNOaOZnYIXBYAtOs4BHt88ax3pE&#10;1ypb5Pn7rAfXWAdceI+392OQbhN+2woevrWtF4GoimJvIa0urXVcs+2GlXvHbCf51AZ7RReaSYNF&#10;z1D3LDBycPIfKC25Aw9tmHHQGbSt5CJxQDbz/C82jx2zInFBcbw9y+T/Hyz/eny03x0JwwcYcICJ&#10;hLcPwH96YuCuY2Yvbp2DvhOswcLzKFnWW19OqVFqX/oIUvdfoMEhs0OABDS0TkdVkCdBdBzA6Sy6&#10;GALheHlVXBfXCwxxjM2L/Gq9WqYarHxOt86HTwI0iZuKOpxqgmfHBx9iO6x8/iVWM7CTSqXJKkP6&#10;iq6Xi2VKuIhoGdB4SuqKrvL4jVaILD+aJiUHJtW4xwLKTLQj05FzGOqByAbxY25UoYbmhDo4GH2G&#10;7wI3HbjflPTosYr6XwfmBCXqs0Et1/OiiKZMh2KZVHCXkfoywgxHqIoGSsbtXUhGjpS9vUXNdzKp&#10;8dLJ1DJ6J4k0+Tya8/Kc/np5jds/AAAA//8DAFBLAwQUAAYACAAAACEA1IH3F+EAAAALAQAADwAA&#10;AGRycy9kb3ducmV2LnhtbEyPy07DMBBF90j8gzVI7KhNGmiaxqnKo6yQEKWb7px4SKLG48h22vD3&#10;uCtYjUb36M6ZYj2Znp3Q+c6ShPuZAIZUW91RI2H/tb3LgPmgSKveEkr4QQ/r8vqqULm2Z/rE0y40&#10;LJaQz5WENoQh59zXLRrlZ3ZAitm3dUaFuLqGa6fOsdz0PBHikRvVUbzQqgGfW6yPu9FIeEd3yJZj&#10;9tQdXravH8e5rt42Wsrbm2mzAhZwCn8wXPSjOpTRqbIjac96CQ/JIoloDJZxXgCxSFNglYQkFXPg&#10;ZcH//1D+AgAA//8DAFBLAQItABQABgAIAAAAIQC2gziS/gAAAOEBAAATAAAAAAAAAAAAAAAAAAAA&#10;AABbQ29udGVudF9UeXBlc10ueG1sUEsBAi0AFAAGAAgAAAAhADj9If/WAAAAlAEAAAsAAAAAAAAA&#10;AAAAAAAALwEAAF9yZWxzLy5yZWxzUEsBAi0AFAAGAAgAAAAhAFVQ8Hr9AQAA1QMAAA4AAAAAAAAA&#10;AAAAAAAALgIAAGRycy9lMm9Eb2MueG1sUEsBAi0AFAAGAAgAAAAhANSB9xfhAAAACwEAAA8AAAAA&#10;AAAAAAAAAAAAVwQAAGRycy9kb3ducmV2LnhtbFBLBQYAAAAABAAEAPMAAABlBQAAAAA=&#10;" filled="f" stroked="f">
                <v:textbox style="mso-fit-shape-to-text:t">
                  <w:txbxContent>
                    <w:p w14:paraId="0E5AA274" w14:textId="1768F9B3" w:rsidR="00EF1335" w:rsidRPr="00EF1335" w:rsidRDefault="00EF1335" w:rsidP="00EF1335">
                      <w:pPr>
                        <w:pBdr>
                          <w:top w:val="single" w:sz="24" w:space="8" w:color="AD84C6" w:themeColor="accent1"/>
                          <w:bottom w:val="single" w:sz="24" w:space="8" w:color="AD84C6" w:themeColor="accent1"/>
                        </w:pBdr>
                        <w:spacing w:before="0" w:after="0"/>
                      </w:pPr>
                      <w:r>
                        <w:rPr>
                          <w:i/>
                          <w:iCs/>
                          <w:color w:val="AD84C6" w:themeColor="accent1"/>
                        </w:rPr>
                        <w:t xml:space="preserve">“It feels like we’re compromising on our values by letting families opt out of content.” </w:t>
                      </w:r>
                      <w:r>
                        <w:rPr>
                          <w:color w:val="AD84C6" w:themeColor="accent1"/>
                        </w:rPr>
                        <w:t>– MA Superintendent</w:t>
                      </w:r>
                    </w:p>
                  </w:txbxContent>
                </v:textbox>
                <w10:wrap type="square" anchorx="page"/>
              </v:shape>
            </w:pict>
          </mc:Fallback>
        </mc:AlternateContent>
      </w:r>
      <w:r w:rsidR="00592E89" w:rsidRPr="00083E3E">
        <w:t>Data further highlights the scale and impact of these challenges. A 2024 survey conducted by the Boston Globe of 291 Massachusetts public school districts found that eight books accounted for nearly one-third of all reported challenges, the majority of which were graphic novels addressing gender and sexuality.</w:t>
      </w:r>
      <w:r w:rsidR="00592E89" w:rsidRPr="00083E3E">
        <w:rPr>
          <w:rStyle w:val="FootnoteReference"/>
          <w:sz w:val="22"/>
          <w:szCs w:val="22"/>
        </w:rPr>
        <w:footnoteReference w:id="53"/>
      </w:r>
      <w:r w:rsidR="00592E89" w:rsidRPr="00083E3E">
        <w:t xml:space="preserve"> In addition, a July 2023 survey conducted by the Joint Task Force for Intellectual Freedom found that nearly 25% of school and public librarians reported experiencing harassment on social media, 22% reported harassment via email, and 18% reported harassment in person related to book or program challenges. Nearly half (48.5%) of school library respondents reported reconsidering displays, books, or featured materials due to controversy and backlash.</w:t>
      </w:r>
      <w:r w:rsidR="00592E89" w:rsidRPr="00083E3E">
        <w:rPr>
          <w:rStyle w:val="FootnoteReference"/>
          <w:sz w:val="22"/>
          <w:szCs w:val="22"/>
        </w:rPr>
        <w:footnoteReference w:id="54"/>
      </w:r>
      <w:r w:rsidR="00592E89" w:rsidRPr="00083E3E">
        <w:t xml:space="preserve"> </w:t>
      </w:r>
      <w:r w:rsidR="00401CAC">
        <w:t xml:space="preserve">The </w:t>
      </w:r>
      <w:r w:rsidR="00401CAC">
        <w:lastRenderedPageBreak/>
        <w:t>Commonwealth must invest more in supporting school and public librarians from harassment, as well as strengthening its support for LGBTQ-inclusive materials in schools and libraries</w:t>
      </w:r>
      <w:r w:rsidR="00592E89" w:rsidRPr="00083E3E">
        <w:t>.</w:t>
      </w:r>
    </w:p>
    <w:p w14:paraId="2AE34487" w14:textId="7FD2F715" w:rsidR="00592E89" w:rsidRPr="00083E3E" w:rsidRDefault="00401CAC" w:rsidP="0005607E">
      <w:pPr>
        <w:jc w:val="both"/>
      </w:pPr>
      <w:r>
        <w:t>However, w</w:t>
      </w:r>
      <w:r w:rsidR="00592E89" w:rsidRPr="00083E3E">
        <w:t>hile increasing access to LGBTQ-inclusive materials is critical, inclusion alone is insufficient to achieve the broader educational goals outlined by the Commission. Curriculum must also reflect an intersectional approach that incorporates the experiences and contributions of LGBTQ individuals across race, class, gender, sexuality, ability, and immigration status. This approach is essential to creating learning environments that support all LGBTQ students, particularly those with multiple marginalized identities. Administrators should not only support LGBTQ-inclusive materials but also prioritize the integration of intersectional, LGBTQ-affirming content across subject areas.</w:t>
      </w:r>
    </w:p>
    <w:p w14:paraId="2F4B4373" w14:textId="51F9AD59" w:rsidR="00592E89" w:rsidRPr="00083E3E" w:rsidRDefault="00592E89" w:rsidP="00E97E73">
      <w:pPr>
        <w:pStyle w:val="Heading3"/>
      </w:pPr>
      <w:bookmarkStart w:id="94" w:name="_Toc230277303"/>
      <w:r w:rsidRPr="00083E3E">
        <w:t>Ensure curricula across subject areas reflect LGBTQ and BIPOC individuals, histories, and contributions.</w:t>
      </w:r>
      <w:bookmarkEnd w:id="94"/>
    </w:p>
    <w:p w14:paraId="041C011A" w14:textId="3C2E4B57" w:rsidR="00746AB2" w:rsidRDefault="00592E89" w:rsidP="0005607E">
      <w:pPr>
        <w:jc w:val="both"/>
      </w:pPr>
      <w:r w:rsidRPr="00083E3E">
        <w:t>The Commission recommends that policymakers and education leaders ensure that all state subject frameworks incorporate LGBTQ and BIPOC individuals, historical events, and social concepts</w:t>
      </w:r>
      <w:r w:rsidR="00746AB2">
        <w:t>. As previously noted,</w:t>
      </w:r>
      <w:r w:rsidR="00746AB2" w:rsidRPr="00746AB2">
        <w:t xml:space="preserve"> LGBTQ-inclusion in education was repeatedly raised by many participants in the listening sessions conducted by the Commission for FY 2026, emphasizing that such education should not be reduced to isolated instances in lessons or units of study within the history subject; rather, LGBTQ people's lives have to be represented throughout the entire process of schooling</w:t>
      </w:r>
      <w:r w:rsidR="00746AB2">
        <w:t xml:space="preserve"> and inclusive </w:t>
      </w:r>
      <w:r w:rsidR="00746AB2" w:rsidRPr="00746AB2">
        <w:t xml:space="preserve">of </w:t>
      </w:r>
      <w:r w:rsidR="00746AB2">
        <w:t xml:space="preserve">non-white </w:t>
      </w:r>
      <w:r w:rsidR="00746AB2" w:rsidRPr="00746AB2">
        <w:t>racial, gender, and cultural backgrounds.</w:t>
      </w:r>
    </w:p>
    <w:p w14:paraId="55B1F15C" w14:textId="5566D6E5" w:rsidR="00592E89" w:rsidRPr="00083E3E" w:rsidRDefault="00592E89" w:rsidP="0005607E">
      <w:pPr>
        <w:jc w:val="both"/>
      </w:pPr>
      <w:r w:rsidRPr="00083E3E">
        <w:t xml:space="preserve">While access to inclusive materials remains a critical issue, as discussed </w:t>
      </w:r>
      <w:r w:rsidR="00401CAC">
        <w:t>previously</w:t>
      </w:r>
      <w:r w:rsidRPr="00083E3E">
        <w:t>, it is equally important to ensure that inclusive content is formally embedded within statewide curriculum standards. Without this alignment, implementation will remain inconsistent across districts and schools.</w:t>
      </w:r>
      <w:r w:rsidR="001C7200">
        <w:t xml:space="preserve"> </w:t>
      </w:r>
      <w:r w:rsidRPr="00083E3E">
        <w:t>Although progress has been made in certain subject areas, significant gaps persist - particularly in arts and music curricula, where the contributions of LGBTQ and BIPOC individuals are often underrepresented. Expanding inclusion across all disciplines is essential to providing students with a comprehensive and accurate education that reflects the diversity of their communities and histories.</w:t>
      </w:r>
    </w:p>
    <w:p w14:paraId="2B90220F" w14:textId="0BC54C42" w:rsidR="00592E89" w:rsidRPr="005E09EF" w:rsidRDefault="00592E89" w:rsidP="0005607E">
      <w:pPr>
        <w:jc w:val="both"/>
      </w:pPr>
      <w:r w:rsidRPr="00083E3E">
        <w:t>The Commission urges the passage of</w:t>
      </w:r>
      <w:r w:rsidRPr="00083E3E">
        <w:rPr>
          <w:i/>
          <w:iCs/>
        </w:rPr>
        <w:t xml:space="preserve"> An Act relative to LGBTQ+ inclusive curriculum</w:t>
      </w:r>
      <w:r w:rsidRPr="00083E3E">
        <w:t xml:space="preserve"> (S.336/H.599).</w:t>
      </w:r>
      <w:r w:rsidR="00401CAC" w:rsidRPr="00401CAC">
        <w:rPr>
          <w:rStyle w:val="FootnoteReference"/>
          <w:sz w:val="22"/>
          <w:szCs w:val="22"/>
        </w:rPr>
        <w:t xml:space="preserve"> </w:t>
      </w:r>
      <w:r w:rsidR="00401CAC" w:rsidRPr="00083E3E">
        <w:rPr>
          <w:rStyle w:val="FootnoteReference"/>
          <w:sz w:val="22"/>
          <w:szCs w:val="22"/>
        </w:rPr>
        <w:footnoteReference w:id="55"/>
      </w:r>
      <w:r w:rsidRPr="00083E3E">
        <w:t xml:space="preserve"> As of November 13, 2025, S.336 was reported favorably by committee, replaced by S.340, and referred to the Senate Committee on Ways and Means. While the Commission supports this legislation, it also notes its current limitations, as the bill primarily focuses on </w:t>
      </w:r>
      <w:r w:rsidRPr="00083E3E">
        <w:lastRenderedPageBreak/>
        <w:t>inclusion within history curriculum rather than all topic areas. A more comprehensive approach is needed to ensure that LGBTQ-inclusive content is integrated across all subject areas and grade levels.</w:t>
      </w:r>
      <w:r w:rsidR="001C7200">
        <w:t xml:space="preserve"> The Commission also supports the simultaneous passage of </w:t>
      </w:r>
      <w:r w:rsidR="001C7200">
        <w:rPr>
          <w:i/>
          <w:iCs/>
        </w:rPr>
        <w:t xml:space="preserve">An Act </w:t>
      </w:r>
      <w:r w:rsidR="005E09EF">
        <w:rPr>
          <w:i/>
          <w:iCs/>
        </w:rPr>
        <w:t>to promote comprehensive and inclusive curriculum in schools</w:t>
      </w:r>
      <w:r w:rsidR="005E09EF">
        <w:t xml:space="preserve"> (S.371/H.655) and </w:t>
      </w:r>
      <w:r w:rsidR="005E09EF">
        <w:rPr>
          <w:i/>
          <w:iCs/>
        </w:rPr>
        <w:t>An act relative to celebrating and teaching Native American culture and history</w:t>
      </w:r>
      <w:r w:rsidR="005E09EF">
        <w:t xml:space="preserve"> (S.444/H.628).</w:t>
      </w:r>
    </w:p>
    <w:p w14:paraId="135FCE8F" w14:textId="1C75B409" w:rsidR="00592E89" w:rsidRPr="00083E3E" w:rsidRDefault="00592E89" w:rsidP="0005607E">
      <w:pPr>
        <w:jc w:val="both"/>
      </w:pPr>
      <w:r w:rsidRPr="00083E3E">
        <w:t>Recent state guidance further reinforces the importance of this work. The Healey-Driscoll Administration’s Joint Guidance issued on September 23, 2025, reaffirms the Commonwealth’s commitment to inclusive curriculum and safe, supportive learning environments for all students.</w:t>
      </w:r>
      <w:r w:rsidRPr="00083E3E">
        <w:rPr>
          <w:rStyle w:val="FootnoteReference"/>
          <w:sz w:val="22"/>
          <w:szCs w:val="22"/>
        </w:rPr>
        <w:footnoteReference w:id="56"/>
      </w:r>
      <w:r w:rsidRPr="00083E3E">
        <w:t xml:space="preserve"> This guidance aligns with the Commission’s recommendations and highlights the role of inclusive curriculum in promoting both student well-being and academic success.</w:t>
      </w:r>
    </w:p>
    <w:p w14:paraId="0E1DADDE" w14:textId="4E73A09F" w:rsidR="00592E89" w:rsidRPr="00083E3E" w:rsidRDefault="00592E89" w:rsidP="0005607E">
      <w:pPr>
        <w:jc w:val="both"/>
      </w:pPr>
      <w:r w:rsidRPr="00083E3E">
        <w:t>To support effective implementation, schools from preK-12 through higher education must be equipped with the resources and professional development necessary to deliver inclusive instruction. This includes supporting educators in integrating LGBTQ topics, histories, and perspectives across disciplines, and advancing culturally responsive, intersectional approaches to teaching. Embedding LGBTQ and BIPOC narratives throughout curriculum frameworks ensures that inclusive education is not optional, but a consistent and sustained component of the Commonwealth’s education system.</w:t>
      </w:r>
    </w:p>
    <w:p w14:paraId="36F9A45B" w14:textId="117506C0" w:rsidR="00592E89" w:rsidRPr="00083E3E" w:rsidRDefault="00592E89" w:rsidP="00E97E73">
      <w:pPr>
        <w:pStyle w:val="Heading3"/>
      </w:pPr>
      <w:bookmarkStart w:id="95" w:name="_Toc230277304"/>
      <w:r w:rsidRPr="00083E3E">
        <w:t>Invest in resources and professional development for family liaisons and school staff to strengthen family engagement and acceptance.</w:t>
      </w:r>
      <w:bookmarkEnd w:id="95"/>
    </w:p>
    <w:p w14:paraId="0BFA1800" w14:textId="219F8BF4" w:rsidR="00213ACE" w:rsidRDefault="00C50419" w:rsidP="0005607E">
      <w:pPr>
        <w:jc w:val="both"/>
      </w:pPr>
      <w:r>
        <w:rPr>
          <w:noProof/>
        </w:rPr>
        <mc:AlternateContent>
          <mc:Choice Requires="wps">
            <w:drawing>
              <wp:anchor distT="91440" distB="91440" distL="114300" distR="114300" simplePos="0" relativeHeight="251686912" behindDoc="0" locked="0" layoutInCell="1" allowOverlap="1" wp14:anchorId="392E8D00" wp14:editId="5914F574">
                <wp:simplePos x="0" y="0"/>
                <wp:positionH relativeFrom="page">
                  <wp:posOffset>3181985</wp:posOffset>
                </wp:positionH>
                <wp:positionV relativeFrom="paragraph">
                  <wp:posOffset>726440</wp:posOffset>
                </wp:positionV>
                <wp:extent cx="3655060" cy="1403985"/>
                <wp:effectExtent l="0" t="0" r="0" b="0"/>
                <wp:wrapSquare wrapText="bothSides"/>
                <wp:docPr id="1108964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5060" cy="1403985"/>
                        </a:xfrm>
                        <a:prstGeom prst="rect">
                          <a:avLst/>
                        </a:prstGeom>
                        <a:noFill/>
                        <a:ln w="9525">
                          <a:noFill/>
                          <a:miter lim="800000"/>
                          <a:headEnd/>
                          <a:tailEnd/>
                        </a:ln>
                      </wps:spPr>
                      <wps:txbx>
                        <w:txbxContent>
                          <w:p w14:paraId="2B05027F" w14:textId="372404A1" w:rsidR="00EF1335" w:rsidRPr="00EF1335" w:rsidRDefault="00EF1335" w:rsidP="00EF1335">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 xml:space="preserve">“It took my mom so long to figure out that being trans is different than being asexual or aromantic. But older people weren’t exposed to this, so you </w:t>
                            </w:r>
                            <w:proofErr w:type="gramStart"/>
                            <w:r>
                              <w:rPr>
                                <w:i/>
                                <w:iCs/>
                                <w:color w:val="AD84C6" w:themeColor="accent1"/>
                              </w:rPr>
                              <w:t>have to</w:t>
                            </w:r>
                            <w:proofErr w:type="gramEnd"/>
                            <w:r>
                              <w:rPr>
                                <w:i/>
                                <w:iCs/>
                                <w:color w:val="AD84C6" w:themeColor="accent1"/>
                              </w:rPr>
                              <w:t xml:space="preserve"> give them a little space to process the information and internalize it… but they </w:t>
                            </w:r>
                            <w:proofErr w:type="gramStart"/>
                            <w:r>
                              <w:rPr>
                                <w:i/>
                                <w:iCs/>
                                <w:color w:val="AD84C6" w:themeColor="accent1"/>
                              </w:rPr>
                              <w:t>actually have</w:t>
                            </w:r>
                            <w:proofErr w:type="gramEnd"/>
                            <w:r>
                              <w:rPr>
                                <w:i/>
                                <w:iCs/>
                                <w:color w:val="AD84C6" w:themeColor="accent1"/>
                              </w:rPr>
                              <w:t xml:space="preserve"> to try.”</w:t>
                            </w:r>
                            <w:r>
                              <w:rPr>
                                <w:color w:val="AD84C6" w:themeColor="accent1"/>
                              </w:rPr>
                              <w:t xml:space="preserve"> – Trans youth</w:t>
                            </w:r>
                            <w:r w:rsidR="00746AB2">
                              <w:rPr>
                                <w:color w:val="AD84C6" w:themeColor="accent1"/>
                              </w:rPr>
                              <w:t xml:space="preserve"> on the Cape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2E8D00" id="_x0000_s1036" type="#_x0000_t202" style="position:absolute;left:0;text-align:left;margin-left:250.55pt;margin-top:57.2pt;width:287.8pt;height:110.55pt;z-index:251686912;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gQY/gEAANYDAAAOAAAAZHJzL2Uyb0RvYy54bWysU9uO2yAQfa/Uf0C8N3aycZpYcVbb3aaq&#10;tL1I234AxjhGBYYCiZ1+fQfszUbtW1U/IGA8Z+acOWxvB63ISTgvwVR0PsspEYZDI82hot+/7d+s&#10;KfGBmYYpMKKiZ+Hp7e71q21vS7GADlQjHEEQ48veVrQLwZZZ5nknNPMzsMJgsAWnWcCjO2SNYz2i&#10;a5Ut8nyV9eAa64AL7/H2YQzSXcJvW8HDl7b1IhBVUewtpNWltY5rttuy8uCY7SSf2mD/0IVm0mDR&#10;C9QDC4wcnfwLSkvuwEMbZhx0Bm0ruUgckM08/4PNU8esSFxQHG8vMvn/B8s/n57sV0fC8A4GHGAi&#10;4e0j8B+eGLjvmDmIO+eg7wRrsPA8Spb11pdTapTalz6C1P0naHDI7BggAQ2t01EV5EkQHQdwvogu&#10;hkA4Xt6siiJfYYhjbL7MbzbrItVg5XO6dT58EKBJ3FTU4VQTPDs9+hDbYeXzL7Gagb1UKk1WGdJX&#10;dFMsipRwFdEyoPGU1BVd5/EbrRBZvjdNSg5MqnGPBZSZaEemI+cw1AORDXadkqMMNTRnFMLBaDR8&#10;GLjpwP2ipEeTVdT/PDInKFEfDYq5mS+X0ZXpsCzeLvDgriP1dYQZjlAVDZSM2/uQnBw5e3uHou9l&#10;kuOlk6lnNE9SaTJ6dOf1Of318hx3vwEAAP//AwBQSwMEFAAGAAgAAAAhAJz6hZrgAAAADAEAAA8A&#10;AABkcnMvZG93bnJldi54bWxMj8FOwzAQRO9I/IO1SNyonbZpqjROVaG2HIEScXbjJYmI15HtpuHv&#10;cU9wXM3TzNtiO5mejeh8Z0lCMhPAkGqrO2okVB+HpzUwHxRp1VtCCT/oYVve3xUq1/ZK7zieQsNi&#10;CflcSWhDGHLOfd2iUX5mB6SYfVlnVIina7h26hrLTc/nQqy4UR3FhVYN+Nxi/X26GAlDGI7Zi3t9&#10;2+0Po6g+j9W8a/ZSPj5Muw2wgFP4g+GmH9WhjE5neyHtWS8hFUkS0RgkyyWwGyGyVQbsLGGxSFPg&#10;ZcH/P1H+AgAA//8DAFBLAQItABQABgAIAAAAIQC2gziS/gAAAOEBAAATAAAAAAAAAAAAAAAAAAAA&#10;AABbQ29udGVudF9UeXBlc10ueG1sUEsBAi0AFAAGAAgAAAAhADj9If/WAAAAlAEAAAsAAAAAAAAA&#10;AAAAAAAALwEAAF9yZWxzLy5yZWxzUEsBAi0AFAAGAAgAAAAhAJ+iBBj+AQAA1gMAAA4AAAAAAAAA&#10;AAAAAAAALgIAAGRycy9lMm9Eb2MueG1sUEsBAi0AFAAGAAgAAAAhAJz6hZrgAAAADAEAAA8AAAAA&#10;AAAAAAAAAAAAWAQAAGRycy9kb3ducmV2LnhtbFBLBQYAAAAABAAEAPMAAABlBQAAAAA=&#10;" filled="f" stroked="f">
                <v:textbox style="mso-fit-shape-to-text:t">
                  <w:txbxContent>
                    <w:p w14:paraId="2B05027F" w14:textId="372404A1" w:rsidR="00EF1335" w:rsidRPr="00EF1335" w:rsidRDefault="00EF1335" w:rsidP="00EF1335">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 xml:space="preserve">“It took my mom so long to figure out that being trans is different than being asexual or aromantic. But older people weren’t exposed to this, so you </w:t>
                      </w:r>
                      <w:proofErr w:type="gramStart"/>
                      <w:r>
                        <w:rPr>
                          <w:i/>
                          <w:iCs/>
                          <w:color w:val="AD84C6" w:themeColor="accent1"/>
                        </w:rPr>
                        <w:t>have to</w:t>
                      </w:r>
                      <w:proofErr w:type="gramEnd"/>
                      <w:r>
                        <w:rPr>
                          <w:i/>
                          <w:iCs/>
                          <w:color w:val="AD84C6" w:themeColor="accent1"/>
                        </w:rPr>
                        <w:t xml:space="preserve"> give them a little space to process the information and internalize it… but they </w:t>
                      </w:r>
                      <w:proofErr w:type="gramStart"/>
                      <w:r>
                        <w:rPr>
                          <w:i/>
                          <w:iCs/>
                          <w:color w:val="AD84C6" w:themeColor="accent1"/>
                        </w:rPr>
                        <w:t>actually have</w:t>
                      </w:r>
                      <w:proofErr w:type="gramEnd"/>
                      <w:r>
                        <w:rPr>
                          <w:i/>
                          <w:iCs/>
                          <w:color w:val="AD84C6" w:themeColor="accent1"/>
                        </w:rPr>
                        <w:t xml:space="preserve"> to try.”</w:t>
                      </w:r>
                      <w:r>
                        <w:rPr>
                          <w:color w:val="AD84C6" w:themeColor="accent1"/>
                        </w:rPr>
                        <w:t xml:space="preserve"> – Trans youth</w:t>
                      </w:r>
                      <w:r w:rsidR="00746AB2">
                        <w:rPr>
                          <w:color w:val="AD84C6" w:themeColor="accent1"/>
                        </w:rPr>
                        <w:t xml:space="preserve"> on the Cape</w:t>
                      </w:r>
                    </w:p>
                  </w:txbxContent>
                </v:textbox>
                <w10:wrap type="square" anchorx="page"/>
              </v:shape>
            </w:pict>
          </mc:Fallback>
        </mc:AlternateContent>
      </w:r>
      <w:r w:rsidR="00592E89" w:rsidRPr="00083E3E">
        <w:t xml:space="preserve">Family engagement and LGBTQ acceptance are crucial for a positive school climate, leading to improved student outcomes such as higher academic achievement, better attendance, and enhanced social-emotional well-being. </w:t>
      </w:r>
      <w:r w:rsidR="00401CAC">
        <w:t xml:space="preserve">As noted in the previous section, during </w:t>
      </w:r>
      <w:r w:rsidRPr="00C50419">
        <w:t xml:space="preserve">the Commission’s FY 2026 listening sessions, youth participants and </w:t>
      </w:r>
      <w:r w:rsidR="00401CAC">
        <w:t xml:space="preserve">superintendents </w:t>
      </w:r>
      <w:r w:rsidRPr="00C50419">
        <w:t xml:space="preserve">described the difficulty of navigating situations where students are affirmed at school but not at home. </w:t>
      </w:r>
      <w:r w:rsidR="00746AB2" w:rsidRPr="00746AB2">
        <w:t>Relationship-based family engagement was noted as</w:t>
      </w:r>
      <w:r w:rsidR="00401CAC">
        <w:t xml:space="preserve"> incredibly</w:t>
      </w:r>
      <w:r w:rsidR="00746AB2" w:rsidRPr="00746AB2">
        <w:t xml:space="preserve"> important by district </w:t>
      </w:r>
      <w:r w:rsidR="00746AB2" w:rsidRPr="00746AB2">
        <w:lastRenderedPageBreak/>
        <w:t xml:space="preserve">leaders, and </w:t>
      </w:r>
      <w:r w:rsidR="00401CAC">
        <w:t xml:space="preserve">the need for stronger </w:t>
      </w:r>
      <w:r w:rsidR="00746AB2" w:rsidRPr="00746AB2">
        <w:t>family support was noted as an important protective factor by youth</w:t>
      </w:r>
      <w:r w:rsidR="00746AB2">
        <w:t xml:space="preserve"> attendees</w:t>
      </w:r>
      <w:r w:rsidR="00746AB2" w:rsidRPr="00746AB2">
        <w:t>. Both points highlight the importance of family liaisons and educators being equipped with the ability to help caregivers get the proper information and referrals.</w:t>
      </w:r>
    </w:p>
    <w:p w14:paraId="258CB59A" w14:textId="1F9F3081" w:rsidR="00592E89" w:rsidRPr="00083E3E" w:rsidRDefault="00401CAC" w:rsidP="0005607E">
      <w:pPr>
        <w:jc w:val="both"/>
      </w:pPr>
      <w:r>
        <w:t>Unfortunately, t</w:t>
      </w:r>
      <w:r w:rsidR="00592E89" w:rsidRPr="00083E3E">
        <w:t>he Trevor Project’s 2024 survey found that 65% of Massachusetts LGBTQ youth - and within this number, 71% of trans and nonbinary youth - reported low or moderate family support.</w:t>
      </w:r>
      <w:r w:rsidR="00592E89" w:rsidRPr="00083E3E">
        <w:rPr>
          <w:rStyle w:val="FootnoteReference"/>
          <w:sz w:val="22"/>
          <w:szCs w:val="22"/>
        </w:rPr>
        <w:footnoteReference w:id="57"/>
      </w:r>
      <w:r w:rsidR="00592E89" w:rsidRPr="00083E3E">
        <w:t xml:space="preserve"> </w:t>
      </w:r>
      <w:r>
        <w:t>However, s</w:t>
      </w:r>
      <w:r w:rsidR="00592E89" w:rsidRPr="00083E3E">
        <w:t xml:space="preserve">chools that actively promote LGBTQ acceptance </w:t>
      </w:r>
      <w:r>
        <w:t xml:space="preserve">can help </w:t>
      </w:r>
      <w:r w:rsidR="00592E89" w:rsidRPr="00083E3E">
        <w:t>create safer and more inclusive environments</w:t>
      </w:r>
      <w:r>
        <w:t xml:space="preserve"> to reduce </w:t>
      </w:r>
      <w:r w:rsidR="00592E89" w:rsidRPr="00083E3E">
        <w:t>bullying and discrimination</w:t>
      </w:r>
      <w:r>
        <w:t xml:space="preserve"> and better engage families to provide individualized support and increase caregiver acceptance</w:t>
      </w:r>
      <w:r w:rsidR="00592E89" w:rsidRPr="00083E3E">
        <w:t xml:space="preserve">. </w:t>
      </w:r>
      <w:r>
        <w:t>To support educators in this work, s</w:t>
      </w:r>
      <w:r w:rsidR="00592E89" w:rsidRPr="00083E3E">
        <w:t>pecialized training should be provided on best practices in family engagement</w:t>
      </w:r>
      <w:r>
        <w:t xml:space="preserve"> and should be inclusive of </w:t>
      </w:r>
      <w:r w:rsidR="00592E89" w:rsidRPr="00083E3E">
        <w:t xml:space="preserve">diverse families, </w:t>
      </w:r>
      <w:r>
        <w:t>with a particular focus on supporting LGBTQ family members</w:t>
      </w:r>
      <w:r w:rsidR="00592E89" w:rsidRPr="00083E3E">
        <w:t>. Additionally, mandatory professional development for school staff should cover cultural competence, family engagement strategies, and LGBTQ acceptance. Schools should review and update their policies to explicitly support family engagement and LGBTQ inclusion</w:t>
      </w:r>
      <w:r>
        <w:t xml:space="preserve"> and </w:t>
      </w:r>
      <w:r w:rsidR="00592E89" w:rsidRPr="00083E3E">
        <w:t>provide guidance on effective implementation</w:t>
      </w:r>
      <w:r>
        <w:t>.</w:t>
      </w:r>
    </w:p>
    <w:p w14:paraId="18AB0C0A" w14:textId="031AF239" w:rsidR="00592E89" w:rsidRPr="00083E3E" w:rsidRDefault="00592E89" w:rsidP="00E97E73">
      <w:pPr>
        <w:pStyle w:val="Heading3"/>
      </w:pPr>
      <w:bookmarkStart w:id="96" w:name="_Toc230277305"/>
      <w:r w:rsidRPr="00083E3E">
        <w:t>Collect data to better understand the experiences of QTBIPOC students who are disproportionately represented across multiple systems.</w:t>
      </w:r>
      <w:bookmarkEnd w:id="96"/>
    </w:p>
    <w:p w14:paraId="1FBD6E21" w14:textId="11213B6C" w:rsidR="00213ACE" w:rsidRDefault="00592E89" w:rsidP="0005607E">
      <w:pPr>
        <w:jc w:val="both"/>
      </w:pPr>
      <w:r w:rsidRPr="00083E3E">
        <w:t xml:space="preserve">Education agencies should prioritize the collection of comprehensive data to better understand the unique experiences of </w:t>
      </w:r>
      <w:r w:rsidR="00266838">
        <w:t>QT</w:t>
      </w:r>
      <w:r w:rsidRPr="00083E3E">
        <w:t>BIPOC students</w:t>
      </w:r>
      <w:r w:rsidR="00266838">
        <w:t xml:space="preserve"> in schools</w:t>
      </w:r>
      <w:r w:rsidRPr="00083E3E">
        <w:t xml:space="preserve">. </w:t>
      </w:r>
      <w:r w:rsidR="00213ACE">
        <w:t>In the Commission’s FY 2026 listening sessions, y</w:t>
      </w:r>
      <w:r w:rsidR="00213ACE" w:rsidRPr="00213ACE">
        <w:t>outh participants specifically raised concerns about the mistreatment of queer youth of color</w:t>
      </w:r>
      <w:r w:rsidR="00266838">
        <w:t>;</w:t>
      </w:r>
      <w:r w:rsidR="00213ACE" w:rsidRPr="00213ACE">
        <w:t xml:space="preserve"> </w:t>
      </w:r>
      <w:r w:rsidR="00412336" w:rsidRPr="00412336">
        <w:t xml:space="preserve">underrepresentation </w:t>
      </w:r>
      <w:r w:rsidR="00266838">
        <w:t xml:space="preserve">of BIPOC educators </w:t>
      </w:r>
      <w:r w:rsidR="00412336" w:rsidRPr="00412336">
        <w:t>in school staff and mentoring programs; and the importance of schools being aware of how racial, gender, sexuality, geographic location, and other aspects of a student's identity influence</w:t>
      </w:r>
      <w:r w:rsidR="00412336">
        <w:t xml:space="preserve"> </w:t>
      </w:r>
      <w:r w:rsidR="00412336" w:rsidRPr="00412336">
        <w:t>experience</w:t>
      </w:r>
      <w:r w:rsidR="00412336">
        <w:t>s</w:t>
      </w:r>
      <w:r w:rsidR="00412336" w:rsidRPr="00412336">
        <w:t xml:space="preserve"> of safety and belonging.</w:t>
      </w:r>
    </w:p>
    <w:p w14:paraId="7DA3EA5B" w14:textId="193EDC13" w:rsidR="00592E89" w:rsidRPr="00083E3E" w:rsidRDefault="00266838" w:rsidP="0005607E">
      <w:pPr>
        <w:jc w:val="both"/>
      </w:pPr>
      <w:r>
        <w:t>QT</w:t>
      </w:r>
      <w:r w:rsidR="00213ACE">
        <w:t xml:space="preserve">BIPOC students in Massachusetts frequently </w:t>
      </w:r>
      <w:r w:rsidR="00592E89" w:rsidRPr="00083E3E">
        <w:t>lack coordinated and comprehensive support, which can negatively impact their academic and social-emotional well-being. By gathering detailed and disaggregated data, education agencies can more effectively identify the specific needs and challenges faced by these students and develop targeted interventions and resources. This data-driven approach is essential to creating more equitable and supportive educational environments.</w:t>
      </w:r>
    </w:p>
    <w:p w14:paraId="1B9ED9A9" w14:textId="1B8D7CE0" w:rsidR="00592E89" w:rsidRPr="00083E3E" w:rsidRDefault="00592E89" w:rsidP="0005607E">
      <w:pPr>
        <w:jc w:val="both"/>
      </w:pPr>
      <w:r w:rsidRPr="00083E3E">
        <w:t xml:space="preserve">Understanding these experiences is particularly important given what research shows about the conditions that support student success. An extensive review of literature on protective factors </w:t>
      </w:r>
      <w:r w:rsidRPr="00083E3E">
        <w:lastRenderedPageBreak/>
        <w:t>for LGBTQ youth in schools identified seven key support systems that positively impact socioemotional, behavioral, and educational outcomes: family, curriculum, school professionals and teachers, peers, school policies, GSAs and programs, and overall school climate. School climate is defined as “the quality and character of school life…based on patterns of students’, parents’, and school personnel’s experience of school life and reflects norms, goals, values, interpersonal relationships, teaching and learning practices, and organizational structures.”</w:t>
      </w:r>
      <w:r w:rsidRPr="00083E3E">
        <w:rPr>
          <w:vertAlign w:val="superscript"/>
        </w:rPr>
        <w:footnoteReference w:id="58"/>
      </w:r>
      <w:r w:rsidRPr="00083E3E">
        <w:t xml:space="preserve"> </w:t>
      </w:r>
    </w:p>
    <w:p w14:paraId="5536C74C" w14:textId="52AD237A" w:rsidR="00592E89" w:rsidRPr="00083E3E" w:rsidRDefault="00592E89" w:rsidP="0005607E">
      <w:pPr>
        <w:jc w:val="both"/>
      </w:pPr>
      <w:r w:rsidRPr="00083E3E">
        <w:t xml:space="preserve">However, these protective factors are not experienced equally. Specific attention must be paid to the needs and experiences of </w:t>
      </w:r>
      <w:r w:rsidR="00266838">
        <w:t xml:space="preserve">QTBIPOC </w:t>
      </w:r>
      <w:r w:rsidRPr="00083E3E">
        <w:t xml:space="preserve">youth in efforts to create positive school climates. Data from the 2021 Glisten School Climate Survey </w:t>
      </w:r>
      <w:r w:rsidR="00266838">
        <w:t xml:space="preserve">demonstrates that </w:t>
      </w:r>
      <w:r w:rsidRPr="00083E3E">
        <w:t>LGBTQ youth of color in K-12 public schools often feel unsafe in school due to</w:t>
      </w:r>
      <w:r w:rsidR="00266838">
        <w:t xml:space="preserve"> discrimination arising from</w:t>
      </w:r>
      <w:r w:rsidRPr="00083E3E">
        <w:t xml:space="preserve"> the intersecting impacts of their sexual orientation, gender expression, and race/ethnicity. For Latine LGBTQ students, 54.9% felt unsafe at school because of </w:t>
      </w:r>
      <w:r w:rsidR="00266838">
        <w:t xml:space="preserve">treatment based on </w:t>
      </w:r>
      <w:r w:rsidRPr="00083E3E">
        <w:t xml:space="preserve">their sexual orientation, 44.2% because of their gender expression, and 22.3% because of their race or ethnicity. Latine LGBTQ students born outside the U.S. were more likely to feel unsafe about their race/ethnicity than those born in the U.S. (29.1% vs. 21.8%). Among Native LGBTQ students, 65% felt unsafe because of </w:t>
      </w:r>
      <w:r w:rsidR="00266838">
        <w:t xml:space="preserve">treatment they received based on </w:t>
      </w:r>
      <w:r w:rsidRPr="00083E3E">
        <w:t xml:space="preserve">their sexual orientation, 51% because of their gender expression, and 19.7% because of their race or ethnicity. Feelings of unsafety based on race/ethnicity differed significantly among Native students: 5.9% of students who identify as </w:t>
      </w:r>
      <w:r w:rsidR="00266838">
        <w:t>w</w:t>
      </w:r>
      <w:r w:rsidRPr="00083E3E">
        <w:t xml:space="preserve">hite and Native felt unsafe because of race/ethnicity, compared to 18.9% of students who identified as only Native and 34.4% of other multiracial Native students. Among Black LGBTQ students, 51.6% felt unsafe because of </w:t>
      </w:r>
      <w:r w:rsidR="00266838">
        <w:t xml:space="preserve">treatment they received based on </w:t>
      </w:r>
      <w:r w:rsidRPr="00083E3E">
        <w:t>their sexual orientation, 40.2% because of their gender expression, and 30.6% because of their race or ethnicity, and 30.4% reported missing at least one day of school in the last month because they felt unsafe or uncomfortable.</w:t>
      </w:r>
      <w:r w:rsidRPr="00083E3E">
        <w:rPr>
          <w:vertAlign w:val="superscript"/>
        </w:rPr>
        <w:footnoteReference w:id="59"/>
      </w:r>
      <w:r w:rsidRPr="00083E3E">
        <w:t xml:space="preserve"> While specific data disaggregated by both ethnicity and LGBTQ identity is not yet available in the 2025 School Climate Survey, summary findings indicate that BIPOC LGBTQ youth continue to report similar school experiences</w:t>
      </w:r>
      <w:r w:rsidR="00266838">
        <w:t xml:space="preserve"> across the nation</w:t>
      </w:r>
      <w:r w:rsidRPr="00083E3E">
        <w:t>.</w:t>
      </w:r>
      <w:r w:rsidRPr="00083E3E">
        <w:rPr>
          <w:vertAlign w:val="superscript"/>
        </w:rPr>
        <w:footnoteReference w:id="60"/>
      </w:r>
    </w:p>
    <w:p w14:paraId="20A826F2" w14:textId="734A8011" w:rsidR="00592E89" w:rsidRPr="00083E3E" w:rsidRDefault="00592E89" w:rsidP="0005607E">
      <w:pPr>
        <w:jc w:val="both"/>
      </w:pPr>
      <w:r w:rsidRPr="00083E3E">
        <w:t>These intersecting forms of oppression - and their cumulative impacts - are experienced differently, or not at all, by white LGBTQ students and therefore require targeted attention. Educators and administrators should engage in ongoing professional development</w:t>
      </w:r>
      <w:r w:rsidR="00022960">
        <w:t xml:space="preserve"> </w:t>
      </w:r>
      <w:r w:rsidRPr="00083E3E">
        <w:t xml:space="preserve">that address </w:t>
      </w:r>
      <w:r w:rsidRPr="00083E3E">
        <w:lastRenderedPageBreak/>
        <w:t xml:space="preserve">gender, sexuality, race, ethnicity, and their intersections, with an emphasis on self-reflection and skill-building to better support </w:t>
      </w:r>
      <w:r w:rsidR="00022960">
        <w:t>QTBIPOC</w:t>
      </w:r>
      <w:r w:rsidRPr="00083E3E">
        <w:t xml:space="preserve"> students. </w:t>
      </w:r>
      <w:r w:rsidR="00022960">
        <w:t>Implemented p</w:t>
      </w:r>
      <w:r w:rsidRPr="00083E3E">
        <w:t xml:space="preserve">olicies and practices should be intentionally designed with BIPOC and other marginalized LGBTQ youth in mind, with the goal of creating safe, affirming, and celebratory educational environments. As noted above, schools with LGBTQ-supportive policies and practices experience less emotional distress, reduced violence and harassment, and lower rates of suicidal thoughts and behaviors among students. If Massachusetts schools </w:t>
      </w:r>
      <w:r w:rsidR="00022960">
        <w:t xml:space="preserve">create welcoming and affirming environments for students with marginalized identities, </w:t>
      </w:r>
      <w:r w:rsidRPr="00083E3E">
        <w:t>they will be welcoming for all students.</w:t>
      </w:r>
    </w:p>
    <w:p w14:paraId="36FE92B8" w14:textId="295896B4" w:rsidR="00592E89" w:rsidRPr="00083E3E" w:rsidRDefault="00592E89" w:rsidP="0005607E">
      <w:pPr>
        <w:jc w:val="both"/>
      </w:pPr>
      <w:r w:rsidRPr="00083E3E">
        <w:t xml:space="preserve">At the same time, it is critical that data collection and policy responses do not frame </w:t>
      </w:r>
      <w:r w:rsidR="00022960">
        <w:t xml:space="preserve">QTBIPOC </w:t>
      </w:r>
      <w:r w:rsidRPr="00083E3E">
        <w:t xml:space="preserve">youth solely through a deficit lens. Although </w:t>
      </w:r>
      <w:r w:rsidR="00022960">
        <w:t xml:space="preserve">QTBIPOC </w:t>
      </w:r>
      <w:r w:rsidRPr="00083E3E">
        <w:t xml:space="preserve">youth face higher risks for negative mental and physical health outcomes, they also demonstrate </w:t>
      </w:r>
      <w:r w:rsidR="00022960">
        <w:t xml:space="preserve">higher rates of </w:t>
      </w:r>
      <w:r w:rsidRPr="00083E3E">
        <w:t>resilienc</w:t>
      </w:r>
      <w:r w:rsidR="00022960">
        <w:t>y</w:t>
      </w:r>
      <w:r w:rsidRPr="00083E3E">
        <w:t>, agency, and community-building practices. For example, research highlights that Black LGBTQ youth exercise agency in navigating their identities, including when they strategically conceal aspects of themselves for safety. When able to access affirming spaces outside of systems shaped by whiteness, cisnormativity, and heteronormativity - such as ballroom communities - they can engage in what scholars describe as a “radical Black LGBTQ+ creative imagination” that is transformative for themselves and their communities.</w:t>
      </w:r>
      <w:r w:rsidRPr="00083E3E">
        <w:rPr>
          <w:vertAlign w:val="superscript"/>
        </w:rPr>
        <w:footnoteReference w:id="61"/>
      </w:r>
    </w:p>
    <w:p w14:paraId="5D02F328" w14:textId="73B4878F" w:rsidR="00592E89" w:rsidRPr="00083E3E" w:rsidRDefault="00592E89" w:rsidP="00E97E73">
      <w:pPr>
        <w:pStyle w:val="Heading3"/>
      </w:pPr>
      <w:bookmarkStart w:id="97" w:name="_Toc230277306"/>
      <w:r w:rsidRPr="00083E3E">
        <w:t>Convene education agencies annually to strengthen coordination of supports for LGBTQ students and families.</w:t>
      </w:r>
      <w:bookmarkEnd w:id="97"/>
    </w:p>
    <w:p w14:paraId="5A1C82DC" w14:textId="13815FF1" w:rsidR="00592E89" w:rsidRPr="00083E3E" w:rsidRDefault="00EF1335" w:rsidP="0005607E">
      <w:pPr>
        <w:jc w:val="both"/>
      </w:pPr>
      <w:r>
        <w:rPr>
          <w:noProof/>
        </w:rPr>
        <mc:AlternateContent>
          <mc:Choice Requires="wps">
            <w:drawing>
              <wp:anchor distT="91440" distB="91440" distL="114300" distR="114300" simplePos="0" relativeHeight="251688960" behindDoc="0" locked="0" layoutInCell="1" allowOverlap="1" wp14:anchorId="794319CA" wp14:editId="30499FBA">
                <wp:simplePos x="0" y="0"/>
                <wp:positionH relativeFrom="page">
                  <wp:posOffset>902517</wp:posOffset>
                </wp:positionH>
                <wp:positionV relativeFrom="paragraph">
                  <wp:posOffset>131816</wp:posOffset>
                </wp:positionV>
                <wp:extent cx="3474720" cy="1403985"/>
                <wp:effectExtent l="0" t="0" r="0" b="0"/>
                <wp:wrapSquare wrapText="bothSides"/>
                <wp:docPr id="3317197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2A8C805E" w14:textId="70FA3A01" w:rsidR="00EF1335" w:rsidRPr="00EF1335" w:rsidRDefault="00EF1335" w:rsidP="00EF1335">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“Schools need more guidance. We see adult supporters in school settings who are hesitant to support their trans students because they’re afraid of potential backlash.”</w:t>
                            </w:r>
                            <w:r>
                              <w:rPr>
                                <w:color w:val="AD84C6" w:themeColor="accent1"/>
                              </w:rPr>
                              <w:t xml:space="preserve"> – Community organization supporting LGBTQ+ youth</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794319CA" id="_x0000_s1037" type="#_x0000_t202" style="position:absolute;left:0;text-align:left;margin-left:71.05pt;margin-top:10.4pt;width:273.6pt;height:110.55pt;z-index:251688960;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DXO/QEAANYDAAAOAAAAZHJzL2Uyb0RvYy54bWysU11v2yAUfZ+0/4B4X+ykzppYcaquXaZJ&#10;3YfU7gdgjGM04DIgsbNfvwt202h7q+YHdOGac+8597C5GbQiR+G8BFPR+SynRBgOjTT7iv542r1b&#10;UeIDMw1TYERFT8LTm+3bN5velmIBHahGOIIgxpe9rWgXgi2zzPNOaOZnYIXBZAtOs4Bbt88ax3pE&#10;1ypb5Pn7rAfXWAdceI+n92OSbhN+2woevrWtF4GoimJvIa0urXVcs+2GlXvHbCf51AZ7RReaSYNF&#10;z1D3LDBycPIfKC25Aw9tmHHQGbSt5CJxQDbz/C82jx2zInFBcbw9y+T/Hyz/eny03x0JwwcYcICJ&#10;hLcPwH96YuCuY2Yvbp2DvhOswcLzKFnWW19OV6PUvvQRpO6/QINDZocACWhonY6qIE+C6DiA01l0&#10;MQTC8fCquC6uF5jimJsX+dV6tUw1WPl83TofPgnQJAYVdTjVBM+ODz7Edlj5/EusZmAnlUqTVYb0&#10;FV0vF8t04SKjZUDjKakrusrjN1ohsvxomnQ5MKnGGAsoM9GOTEfOYagHIhvsOokSZaihOaEQDkaj&#10;4cPAoAP3m5IeTVZR/+vAnKBEfTYo5npeFNGVaVMskwzuMlNfZpjhCFXRQMkY3oXk5MjZ21sUfSeT&#10;HC+dTD2jeZJKk9GjOy/36a+X57j9AwAA//8DAFBLAwQUAAYACAAAACEABpE2A98AAAAKAQAADwAA&#10;AGRycy9kb3ducmV2LnhtbEyPzW6DMBCE75X6DtZW6q0xkCgCgonSn/RUqWraS24GbwAFrxE2CX37&#10;bk/tcWY/zc4U29n24oKj7xwpiBcRCKTamY4aBV+f+4cUhA+ajO4doYJv9LAtb28KnRt3pQ+8HEIj&#10;OIR8rhW0IQy5lL5u0Wq/cAMS305utDqwHBtpRn3lcNvLJIrW0uqO+EOrB3xqsT4fJqvgDcdjmk3p&#10;Y3d83r+8n5emet0Zpe7v5t0GRMA5/MHwW5+rQ8mdKjeR8aJnvUpiRhUkEU9gYJ1mSxAVG6s4A1kW&#10;8v+E8gcAAP//AwBQSwECLQAUAAYACAAAACEAtoM4kv4AAADhAQAAEwAAAAAAAAAAAAAAAAAAAAAA&#10;W0NvbnRlbnRfVHlwZXNdLnhtbFBLAQItABQABgAIAAAAIQA4/SH/1gAAAJQBAAALAAAAAAAAAAAA&#10;AAAAAC8BAABfcmVscy8ucmVsc1BLAQItABQABgAIAAAAIQD5eDXO/QEAANYDAAAOAAAAAAAAAAAA&#10;AAAAAC4CAABkcnMvZTJvRG9jLnhtbFBLAQItABQABgAIAAAAIQAGkTYD3wAAAAoBAAAPAAAAAAAA&#10;AAAAAAAAAFcEAABkcnMvZG93bnJldi54bWxQSwUGAAAAAAQABADzAAAAYwUAAAAA&#10;" filled="f" stroked="f">
                <v:textbox style="mso-fit-shape-to-text:t">
                  <w:txbxContent>
                    <w:p w14:paraId="2A8C805E" w14:textId="70FA3A01" w:rsidR="00EF1335" w:rsidRPr="00EF1335" w:rsidRDefault="00EF1335" w:rsidP="00EF1335">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“Schools need more guidance. We see adult supporters in school settings who are hesitant to support their trans students because they’re afraid of potential backlash.”</w:t>
                      </w:r>
                      <w:r>
                        <w:rPr>
                          <w:color w:val="AD84C6" w:themeColor="accent1"/>
                        </w:rPr>
                        <w:t xml:space="preserve"> – Community organization supporting LGBTQ+ youth</w:t>
                      </w:r>
                    </w:p>
                  </w:txbxContent>
                </v:textbox>
                <w10:wrap type="square" anchorx="page"/>
              </v:shape>
            </w:pict>
          </mc:Fallback>
        </mc:AlternateContent>
      </w:r>
      <w:r w:rsidR="00592E89" w:rsidRPr="00083E3E">
        <w:t>This convening should focus on identifying and addressing the unique challenges faced by LGBTQ students at each educational level, ensuring seamless support and access to resources from early education through higher education. By fostering collaboration and sharing best practices, these agencies can create a more cohesive and inclusive educational system that promotes the wellbeing and success of LGBTQ students throughout their academic journeys.</w:t>
      </w:r>
      <w:r w:rsidR="00213ACE">
        <w:t xml:space="preserve"> </w:t>
      </w:r>
    </w:p>
    <w:p w14:paraId="4CEED587" w14:textId="1F6ECAA4" w:rsidR="00592E89" w:rsidRPr="00083E3E" w:rsidRDefault="00592E89" w:rsidP="0005607E">
      <w:pPr>
        <w:jc w:val="both"/>
      </w:pPr>
      <w:r w:rsidRPr="00083E3E">
        <w:t xml:space="preserve">The Commission envisions an education system in the Commonwealth - from early childhood through higher education - where LGBTQ students feel safe, affirmed, and supported with the </w:t>
      </w:r>
      <w:r w:rsidRPr="00083E3E">
        <w:lastRenderedPageBreak/>
        <w:t>resources they need to succeed. While it is essential to maintain a strong focus on safe and inclusive K–12 environments, it is equally critical to strengthen supports in early childhood and higher education. Doing so ensures continuity of care and reduces gaps in support as students and families transition across systems.</w:t>
      </w:r>
      <w:r w:rsidR="00213ACE">
        <w:t xml:space="preserve"> During the Commission’s FY 2026 listening sessions, youth</w:t>
      </w:r>
      <w:r w:rsidR="00022960">
        <w:t xml:space="preserve">, parents, </w:t>
      </w:r>
      <w:r w:rsidR="00213ACE">
        <w:t xml:space="preserve">and organization </w:t>
      </w:r>
      <w:r w:rsidR="00213ACE" w:rsidRPr="00213ACE">
        <w:t xml:space="preserve">participants described </w:t>
      </w:r>
      <w:r w:rsidR="00213ACE">
        <w:t xml:space="preserve">frequently experiencing </w:t>
      </w:r>
      <w:r w:rsidR="00213ACE" w:rsidRPr="00213ACE">
        <w:t xml:space="preserve">uneven access to affirming supports across educational settings, from early school experiences to higher education, </w:t>
      </w:r>
      <w:r w:rsidR="00213ACE">
        <w:t>which reinforces</w:t>
      </w:r>
      <w:r w:rsidR="00213ACE" w:rsidRPr="00213ACE">
        <w:t xml:space="preserve"> the need for coordinated statewide planning so that students and families do not lose support as they move between schools, districts, and educational levels.</w:t>
      </w:r>
    </w:p>
    <w:p w14:paraId="730F2E51" w14:textId="31730B5A" w:rsidR="00592E89" w:rsidRPr="00083E3E" w:rsidRDefault="00592E89" w:rsidP="0005607E">
      <w:pPr>
        <w:jc w:val="both"/>
      </w:pPr>
      <w:r w:rsidRPr="00083E3E">
        <w:t>Much of the rhetoric used in current attacks on LGBTQ-inclusive education claims that young children are being exposed to concepts of gender and sexuality in ways that are not age-appropriate. However, according to the Mayo Clinic, children can begin to label their own gender around the age of three.</w:t>
      </w:r>
      <w:r w:rsidRPr="00083E3E">
        <w:rPr>
          <w:vertAlign w:val="superscript"/>
        </w:rPr>
        <w:footnoteReference w:id="62"/>
      </w:r>
      <w:r w:rsidRPr="00083E3E">
        <w:rPr>
          <w:vertAlign w:val="superscript"/>
        </w:rPr>
        <w:t xml:space="preserve"> </w:t>
      </w:r>
      <w:r w:rsidRPr="00083E3E">
        <w:t>This does not suggest that all transgender individuals know their identities at that age but rather demonstrates that children are already developing an awareness of gender in early childhood. It is therefore developmentally appropriate for early education programs to engage with age-appropriate materials related to gender. One of the Commission’s goals for the 2026–2027 academic year is to continue deepening relationships with early education centers and providers across Massachusetts to provide training and technical assistance for educators, administrators, students, and families.</w:t>
      </w:r>
    </w:p>
    <w:p w14:paraId="4189F78C" w14:textId="728B1D6F" w:rsidR="00592E89" w:rsidRPr="00083E3E" w:rsidRDefault="00592E89" w:rsidP="0005607E">
      <w:pPr>
        <w:jc w:val="both"/>
      </w:pPr>
      <w:r w:rsidRPr="00083E3E">
        <w:t xml:space="preserve">At the higher education level, </w:t>
      </w:r>
      <w:r w:rsidR="00702A0E">
        <w:t xml:space="preserve">recent </w:t>
      </w:r>
      <w:r w:rsidRPr="00083E3E">
        <w:t>national developments signal a growing threat to LGBTQ support structures on college campuses. Institutions such as Ohio State University, Ivy Tech Community College, and the University of Iowa have eliminated LGBTQ-focused living-learning communities and related programming in response to federal pressure and shifting policy environments. These changes risk eroding critical sources of community, housing stability, and identity-affirming support for LGBTQ students.</w:t>
      </w:r>
    </w:p>
    <w:p w14:paraId="7CF9C359" w14:textId="4DAC2269" w:rsidR="00592E89" w:rsidRPr="00083E3E" w:rsidRDefault="00592E89" w:rsidP="0005607E">
      <w:pPr>
        <w:jc w:val="both"/>
      </w:pPr>
      <w:r w:rsidRPr="00083E3E">
        <w:t xml:space="preserve">Despite these challenges, there is significant work being led by faculty and staff across higher education institutions in the Commonwealth to support LGBTQ students and promote equitable outcomes. To build on this work and address emerging threats, the Commission recommends establishing an annual convening of the Massachusetts Department of Early Education and Care, the Massachusetts Department of Elementary and Secondary Education, and the Massachusetts Department of Higher Education. This convening would support the development of a </w:t>
      </w:r>
      <w:r w:rsidRPr="00083E3E">
        <w:lastRenderedPageBreak/>
        <w:t>coordinated, cross-agency strategy to sustain a continuum of care for LGBTQ students and families as they move through the education system in Massachusetts.</w:t>
      </w:r>
    </w:p>
    <w:p w14:paraId="011847E0" w14:textId="2399AF1B" w:rsidR="00592E89" w:rsidRPr="00083E3E" w:rsidRDefault="00592E89" w:rsidP="00E97E73">
      <w:pPr>
        <w:pStyle w:val="Heading3"/>
      </w:pPr>
      <w:bookmarkStart w:id="98" w:name="_Toc230277307"/>
      <w:r w:rsidRPr="00083E3E">
        <w:t>Strengthen protections, educational access, and school-based supports for undocumented and immigrant youth facing heightened immigration enforcement and family instability.</w:t>
      </w:r>
      <w:bookmarkEnd w:id="98"/>
    </w:p>
    <w:p w14:paraId="1AF377CC" w14:textId="6B321841" w:rsidR="00592E89" w:rsidRPr="00083E3E" w:rsidRDefault="00592E89" w:rsidP="0005607E">
      <w:pPr>
        <w:jc w:val="both"/>
      </w:pPr>
      <w:r w:rsidRPr="00083E3E">
        <w:t xml:space="preserve">Unfortunately, little research exists examining the experiences of undocumented youth in Massachusetts public schools. </w:t>
      </w:r>
      <w:r w:rsidR="00022960">
        <w:t>In Massachusetts, a</w:t>
      </w:r>
      <w:r w:rsidRPr="00083E3E">
        <w:t xml:space="preserve">ll children have the right to attend public school regardless of immigration status, and schools cannot use immigration status as a condition of enrollment. </w:t>
      </w:r>
      <w:r w:rsidR="00022960">
        <w:t xml:space="preserve">Additionally, students </w:t>
      </w:r>
      <w:r w:rsidRPr="00083E3E">
        <w:t>are not required to provide Social Security numbers or birth certificates to enroll, and schools must provide support to youth who may not speak English as their primary language. Despite these protections, undocumented youth may avoid school enrollment due to fear of deportation, misinformation about their educational rights, or the need to work to support their families.</w:t>
      </w:r>
      <w:r w:rsidRPr="00083E3E">
        <w:rPr>
          <w:rStyle w:val="FootnoteReference"/>
          <w:sz w:val="22"/>
          <w:szCs w:val="22"/>
        </w:rPr>
        <w:footnoteReference w:id="63"/>
      </w:r>
      <w:r w:rsidRPr="00083E3E">
        <w:t xml:space="preserve"> There is a critical need for increased research on the specific educational needs of undocumented youth</w:t>
      </w:r>
      <w:r w:rsidR="00022960">
        <w:t xml:space="preserve"> in Massachusetts</w:t>
      </w:r>
      <w:r w:rsidRPr="00083E3E">
        <w:t>, particularly LGBTQ undocumented youth who may face heightened marginalization due to bullying and discrimination based on sexual orientation, gender identity, and immigration status.</w:t>
      </w:r>
    </w:p>
    <w:p w14:paraId="60E53E53" w14:textId="59E65C1D" w:rsidR="00592E89" w:rsidRPr="00083E3E" w:rsidRDefault="00592E89" w:rsidP="0005607E">
      <w:pPr>
        <w:jc w:val="both"/>
      </w:pPr>
      <w:r w:rsidRPr="00083E3E">
        <w:t>Over the last year, advocates and educators across Massachusetts have also reported growing concerns about increased fear and instability among immigrant families due to heightened immigration enforcement activity, including reports of parental detention and deportation, and resulting disruptions to school attendance.</w:t>
      </w:r>
      <w:r w:rsidR="00213ACE">
        <w:t xml:space="preserve"> During the Commission’s FY 2026 listening sessions, </w:t>
      </w:r>
      <w:r w:rsidR="00213ACE" w:rsidRPr="00213ACE">
        <w:t xml:space="preserve">community providers </w:t>
      </w:r>
      <w:r w:rsidR="00213ACE">
        <w:t xml:space="preserve">across the state </w:t>
      </w:r>
      <w:r w:rsidR="00213ACE" w:rsidRPr="00213ACE">
        <w:t xml:space="preserve">described </w:t>
      </w:r>
      <w:r w:rsidR="00213ACE">
        <w:t xml:space="preserve">frequently seeing </w:t>
      </w:r>
      <w:r w:rsidR="00213ACE" w:rsidRPr="00213ACE">
        <w:t>immigration-related fear, family instability, and distrust of institutions as factors that can further isolate LGBTQ immigrant youth from schools, supportive adults, and community-based resources.</w:t>
      </w:r>
      <w:r w:rsidRPr="00083E3E">
        <w:t xml:space="preserve"> Community organizations and school districts have observed increased absenteeism and truancy among students who fear family separation, detention, or deportation, even when schools themselves remain legally accessible to undocumented youth. These fears can be especially destabilizing for LGBTQ undocumented youth, who may already experience isolation, family conflict, housing instability, or discrimination within school settings. The Commission is concerned that heightened immigration enforcement and community fear may further disconnect vulnerable youth from educational systems, supportive adults, and critical services at a time when school connectedness remains one of the strongest protective factors for LGBTQ young people.</w:t>
      </w:r>
    </w:p>
    <w:p w14:paraId="46EE31D0" w14:textId="661F0B97" w:rsidR="00592E89" w:rsidRPr="00083E3E" w:rsidRDefault="00592E89" w:rsidP="0005607E">
      <w:pPr>
        <w:jc w:val="both"/>
      </w:pPr>
      <w:r w:rsidRPr="00083E3E">
        <w:lastRenderedPageBreak/>
        <w:t>These barriers continue beyond K–12 education and can significantly impact access to higher education and long-term economic stability. For undocumented youth in Massachusetts higher education, the Deferred Action for Childhood Arrivals (DACA) program provides temporary protection from deportation for Dreamers-those who would have been protected by the yet-to-pass federal “Dream Act.” Since its establishment in 2012, DACA has allowed recipients to pursue higher education, participate fully in the labor force, purchase homes and cars, and support their families.</w:t>
      </w:r>
      <w:r w:rsidRPr="00083E3E">
        <w:rPr>
          <w:rStyle w:val="FootnoteReference"/>
          <w:sz w:val="22"/>
          <w:szCs w:val="22"/>
        </w:rPr>
        <w:footnoteReference w:id="64"/>
      </w:r>
      <w:r w:rsidRPr="00083E3E">
        <w:t xml:space="preserve"> While research on LGBTQ DACA recipients is limited, the Williams Institute estimated in 2020 that approximately 36,000 LGBTQ people may be enrolled in the program, and a 2017 survey found that roughly 10% of DACA recipients identified as LGBTQ.</w:t>
      </w:r>
      <w:r w:rsidRPr="00083E3E">
        <w:rPr>
          <w:rStyle w:val="FootnoteReference"/>
          <w:sz w:val="22"/>
          <w:szCs w:val="22"/>
        </w:rPr>
        <w:footnoteReference w:id="65"/>
      </w:r>
    </w:p>
    <w:p w14:paraId="7038B489" w14:textId="12D33C7A" w:rsidR="00592E89" w:rsidRPr="00083E3E" w:rsidRDefault="00592E89" w:rsidP="0005607E">
      <w:pPr>
        <w:jc w:val="both"/>
      </w:pPr>
      <w:r w:rsidRPr="00083E3E">
        <w:t xml:space="preserve">DACA has significantly improved economic security and educational opportunities for LGBTQ young people. According to </w:t>
      </w:r>
      <w:r w:rsidR="00022960">
        <w:t xml:space="preserve">national </w:t>
      </w:r>
      <w:r w:rsidRPr="00083E3E">
        <w:t>survey data, 76.4% of LGBTQ respondents reported that DACA enabled them to earn more money and become financially independent. Employment rates also increased dramatically, with 94.5% of LGBTQ respondents employed under DACA compared to 55.8% before receiving protections. In addition, recipients obtained higher-paying jobs with benefits, with average hourly wages rising 73.7% and 63.4% holding positions with health insurance or other benefits. Among those currently enrolled in school, 92.8% indicated that DACA allowed them to pursue educational opportunities previously unavailable, and 49.2% were currently in school, with 77.6% pursuing a bachelor’s degree or higher. In Massachusetts, undocumented students are eligible for in-state tuition and state financial aid, further expanding educational opportunities.</w:t>
      </w:r>
      <w:r w:rsidRPr="00083E3E">
        <w:rPr>
          <w:rStyle w:val="FootnoteReference"/>
          <w:sz w:val="22"/>
          <w:szCs w:val="22"/>
        </w:rPr>
        <w:footnoteReference w:id="66"/>
      </w:r>
    </w:p>
    <w:p w14:paraId="10FD526D" w14:textId="3CC669C7" w:rsidR="00592E89" w:rsidRPr="00083E3E" w:rsidRDefault="00592E89" w:rsidP="0005607E">
      <w:pPr>
        <w:jc w:val="both"/>
      </w:pPr>
      <w:r w:rsidRPr="00083E3E">
        <w:t>The Commission recommends that the Commonwealth continue exploring additional opportunities to support undocumented youth, including expanding English-learning programs, facilitating degree and credit transfer, increasing access to grants and financial assistance, and strengthening school-based supports for students impacted by immigration enforcement and family instability. However,</w:t>
      </w:r>
      <w:r w:rsidR="00EB2940">
        <w:t xml:space="preserve"> at the federal level,</w:t>
      </w:r>
      <w:r w:rsidRPr="00083E3E">
        <w:t xml:space="preserve"> the future of DACA remains uncertain. The program has faced repeated legal challenges, including termination under the Trump </w:t>
      </w:r>
      <w:r w:rsidRPr="00083E3E">
        <w:lastRenderedPageBreak/>
        <w:t>administration in 2017, a Supreme Court reversal in June 2022,</w:t>
      </w:r>
      <w:r w:rsidRPr="00083E3E">
        <w:rPr>
          <w:rStyle w:val="FootnoteReference"/>
          <w:sz w:val="22"/>
          <w:szCs w:val="22"/>
        </w:rPr>
        <w:footnoteReference w:id="67"/>
      </w:r>
      <w:r w:rsidRPr="00083E3E">
        <w:t xml:space="preserve"> and ongoing litigation as of April 2026. If LGBTQ DACA recipients lose their protected status, they risk losing the ability to work, pursue education, and live safely in the U.S., and could face deportation to countries they may have never known or where their lives could be at risk. Prior to deportation, many could spend time in detention facilities, environments where abuse of LGBTQ individuals is well-documented.</w:t>
      </w:r>
    </w:p>
    <w:p w14:paraId="11D92298" w14:textId="1D078849" w:rsidR="00592E89" w:rsidRPr="00083E3E" w:rsidRDefault="00592E89" w:rsidP="00E97E73">
      <w:pPr>
        <w:pStyle w:val="Heading3"/>
      </w:pPr>
      <w:bookmarkStart w:id="99" w:name="_Toc230277308"/>
      <w:r w:rsidRPr="00083E3E">
        <w:t>Disrupt the school-to-prison pipeline by removing police from schools.</w:t>
      </w:r>
      <w:bookmarkEnd w:id="99"/>
    </w:p>
    <w:p w14:paraId="6597D170" w14:textId="21482FFC" w:rsidR="00592E89" w:rsidRPr="00083E3E" w:rsidRDefault="00592E89" w:rsidP="0005607E">
      <w:pPr>
        <w:jc w:val="both"/>
      </w:pPr>
      <w:r w:rsidRPr="00083E3E">
        <w:t>In the 2024 Trevor Project Massachusetts snapshot, 20% of LGBTQ youth are reported to have experienced physical threats or harm based on their sexual orientation or gender identity in the past year, while 54% of youth had experienced discrimination. Additionally, 57% of LGBTQ youth aged 13-17 experienced bullying in the past year.</w:t>
      </w:r>
      <w:r w:rsidRPr="00083E3E">
        <w:rPr>
          <w:rStyle w:val="FootnoteReference"/>
          <w:sz w:val="22"/>
          <w:szCs w:val="22"/>
        </w:rPr>
        <w:footnoteReference w:id="68"/>
      </w:r>
      <w:r w:rsidRPr="00083E3E">
        <w:t xml:space="preserve"> LGBTQ youth frequently cite fears of repercussions or doubts about receiving adequate assistance</w:t>
      </w:r>
      <w:r w:rsidR="00EB2940">
        <w:t xml:space="preserve"> from school officials</w:t>
      </w:r>
      <w:r w:rsidRPr="00083E3E">
        <w:t>, leading them to not report bullying or harm to school authorities. This lack of trust is further exacerbated by the patterned, negative treatment of LGBTQ youth who do report the harassment</w:t>
      </w:r>
      <w:r w:rsidR="00EB2940">
        <w:t>, as previously noted</w:t>
      </w:r>
      <w:r w:rsidRPr="00083E3E">
        <w:t xml:space="preserve">. </w:t>
      </w:r>
      <w:r w:rsidR="00EB2940">
        <w:t xml:space="preserve">In some instances, </w:t>
      </w:r>
      <w:r w:rsidRPr="00083E3E">
        <w:t xml:space="preserve">LGBTQ youth who endure bullying or harassment </w:t>
      </w:r>
      <w:r w:rsidR="00EB2940">
        <w:t xml:space="preserve">can </w:t>
      </w:r>
      <w:r w:rsidRPr="00083E3E">
        <w:t>find themselves facing more severe disciplinary actions than the perpetrators themselves. In some cases, LGBTQ youth have even been suspended after reporting incidents of bullying.</w:t>
      </w:r>
    </w:p>
    <w:p w14:paraId="02A833A2" w14:textId="29DB5A99" w:rsidR="00592E89" w:rsidRPr="00083E3E" w:rsidRDefault="00592E89" w:rsidP="0005607E">
      <w:pPr>
        <w:jc w:val="both"/>
      </w:pPr>
      <w:r w:rsidRPr="00083E3E">
        <w:t>This harm is exacerbated in schools with the presence of School Resource Officers (SROs), where LGBTQ youth are more likely to be referred to law enforcement for disciplinary infractions. Research shows that these interactions with law enforcement contribute to the school-to-prison pipeline, in which punitive policies and practices within the education system disproportionately funnel students, particularly those already at risk, out of classrooms and into the juvenile and criminal legal systems.</w:t>
      </w:r>
      <w:r w:rsidRPr="00083E3E">
        <w:rPr>
          <w:rStyle w:val="FootnoteReference"/>
          <w:sz w:val="22"/>
          <w:szCs w:val="22"/>
        </w:rPr>
        <w:footnoteReference w:id="69"/>
      </w:r>
      <w:r w:rsidRPr="00083E3E">
        <w:t xml:space="preserve"> Once involved in the juvenile legal system, students often face numerous barriers to re-entering traditional schooling; </w:t>
      </w:r>
      <w:r w:rsidR="00EB2940">
        <w:t xml:space="preserve">some of these </w:t>
      </w:r>
      <w:r w:rsidRPr="00083E3E">
        <w:t xml:space="preserve">students </w:t>
      </w:r>
      <w:r w:rsidR="00EB2940">
        <w:t xml:space="preserve">may </w:t>
      </w:r>
      <w:r w:rsidRPr="00083E3E">
        <w:t>never graduate from high school, further limiting their opportunities for future success and increasing their likelihood of incarceration or re-incarceration.</w:t>
      </w:r>
      <w:r w:rsidRPr="00083E3E">
        <w:rPr>
          <w:rStyle w:val="FootnoteReference"/>
          <w:sz w:val="22"/>
          <w:szCs w:val="22"/>
        </w:rPr>
        <w:footnoteReference w:id="70"/>
      </w:r>
    </w:p>
    <w:p w14:paraId="349B4BA7" w14:textId="48FB79BF" w:rsidR="00592E89" w:rsidRPr="00083E3E" w:rsidRDefault="00592E89" w:rsidP="00E97E73">
      <w:pPr>
        <w:pStyle w:val="Heading3"/>
      </w:pPr>
      <w:bookmarkStart w:id="100" w:name="_Toc230277309"/>
      <w:r w:rsidRPr="00083E3E">
        <w:lastRenderedPageBreak/>
        <w:t>Increase the availability of media literacy education for youth, families, and teachers.</w:t>
      </w:r>
      <w:bookmarkEnd w:id="100"/>
    </w:p>
    <w:p w14:paraId="69D8B038" w14:textId="77777777" w:rsidR="005E09EF" w:rsidRDefault="00592E89" w:rsidP="0005607E">
      <w:pPr>
        <w:jc w:val="both"/>
      </w:pPr>
      <w:r w:rsidRPr="00083E3E">
        <w:t>A common theme throughout the Commission’s conversations with youth, families, and advocates in Massachusetts over the last few years has been a strong desire to see more of a commitment to media literacy education in schools.</w:t>
      </w:r>
      <w:r w:rsidR="00213ACE">
        <w:t xml:space="preserve"> </w:t>
      </w:r>
      <w:r w:rsidR="00C50419" w:rsidRPr="00C50419">
        <w:t xml:space="preserve">During the Commission’s FY 2026 listening sessions, youth and community providers repeatedly </w:t>
      </w:r>
      <w:r w:rsidR="005E09EF">
        <w:t>discussed how</w:t>
      </w:r>
      <w:r w:rsidR="00C50419" w:rsidRPr="00C50419">
        <w:t xml:space="preserve"> misinformation and politicized media narratives </w:t>
      </w:r>
      <w:r w:rsidR="005E09EF">
        <w:t xml:space="preserve">contribute significantly </w:t>
      </w:r>
      <w:r w:rsidR="00C50419" w:rsidRPr="00C50419">
        <w:t>to family conflict</w:t>
      </w:r>
      <w:r w:rsidR="005E09EF">
        <w:t xml:space="preserve"> and rising rates of neglect and abuse among transgender and gender expansive youth</w:t>
      </w:r>
      <w:r w:rsidR="00C50419" w:rsidRPr="00C50419">
        <w:t xml:space="preserve">. </w:t>
      </w:r>
      <w:r w:rsidR="005E09EF">
        <w:t>Several p</w:t>
      </w:r>
      <w:r w:rsidR="00C50419" w:rsidRPr="00C50419">
        <w:t xml:space="preserve">articipants also noted that online spaces can provide </w:t>
      </w:r>
      <w:r w:rsidR="005E09EF">
        <w:t xml:space="preserve">valuable </w:t>
      </w:r>
      <w:r w:rsidR="00C50419" w:rsidRPr="00C50419">
        <w:t xml:space="preserve">visibility and connection for youth who lack affirming in-person </w:t>
      </w:r>
      <w:r w:rsidR="005E09EF">
        <w:t>connections within their schools and communities</w:t>
      </w:r>
      <w:r w:rsidR="00213ACE" w:rsidRPr="00213ACE">
        <w:t>.</w:t>
      </w:r>
      <w:r w:rsidRPr="00083E3E">
        <w:t xml:space="preserve"> </w:t>
      </w:r>
    </w:p>
    <w:p w14:paraId="7A51FBA2" w14:textId="3C537C6A" w:rsidR="00592E89" w:rsidRPr="00083E3E" w:rsidRDefault="00C50419" w:rsidP="0005607E">
      <w:pPr>
        <w:jc w:val="both"/>
        <w:rPr>
          <w:rStyle w:val="FootnoteReference"/>
          <w:sz w:val="22"/>
          <w:szCs w:val="22"/>
        </w:rPr>
      </w:pPr>
      <w:r w:rsidRPr="00C50419">
        <w:t xml:space="preserve">Media literacy empowers young people to make informed decisions by strengthening critical thinking skills, evaluating misinformation, recognizing bias and disinformation, and adapting to rapidly changing digital environments that are increasingly enmeshed in </w:t>
      </w:r>
      <w:r>
        <w:t xml:space="preserve">our </w:t>
      </w:r>
      <w:r w:rsidRPr="00C50419">
        <w:t>everyday li</w:t>
      </w:r>
      <w:r>
        <w:t>ves</w:t>
      </w:r>
      <w:r w:rsidRPr="00C50419">
        <w:t>.</w:t>
      </w:r>
      <w:r>
        <w:t xml:space="preserve"> </w:t>
      </w:r>
      <w:r w:rsidR="00592E89" w:rsidRPr="00083E3E">
        <w:t>LGBTQ youth especially rely on digital communit</w:t>
      </w:r>
      <w:r w:rsidR="00EB2940">
        <w:t>ies</w:t>
      </w:r>
      <w:r w:rsidR="00592E89" w:rsidRPr="00083E3E">
        <w:t xml:space="preserve"> to learn, connect with peers, and access critical resources</w:t>
      </w:r>
      <w:r w:rsidR="00EB2940">
        <w:t xml:space="preserve"> that may not be available to them in their communities</w:t>
      </w:r>
      <w:r w:rsidR="00592E89" w:rsidRPr="00083E3E">
        <w:t xml:space="preserve">. Nationally, LGBTQ youth report </w:t>
      </w:r>
      <w:r w:rsidR="00EB2940">
        <w:t xml:space="preserve">often </w:t>
      </w:r>
      <w:r w:rsidR="00592E89" w:rsidRPr="00083E3E">
        <w:t xml:space="preserve">feeling </w:t>
      </w:r>
      <w:r w:rsidR="00EB2940">
        <w:t>safer and more understood</w:t>
      </w:r>
      <w:r w:rsidR="00592E89" w:rsidRPr="00083E3E">
        <w:t xml:space="preserve"> on online platforms</w:t>
      </w:r>
      <w:r w:rsidR="00EB2940">
        <w:t xml:space="preserve"> than in-person in their local communities</w:t>
      </w:r>
      <w:r w:rsidR="00592E89" w:rsidRPr="00083E3E">
        <w:t>, with transgender and gender expansive youth reporting at higher rates than cisgender youth (79% v. 65%) that they often go online to connect to peers because they have difficulty with in-person connections.</w:t>
      </w:r>
      <w:r w:rsidR="00592E89" w:rsidRPr="00083E3E">
        <w:rPr>
          <w:rStyle w:val="FootnoteReference"/>
          <w:sz w:val="22"/>
          <w:szCs w:val="22"/>
        </w:rPr>
        <w:footnoteReference w:id="71"/>
      </w:r>
    </w:p>
    <w:p w14:paraId="6CF28FAD" w14:textId="12351833" w:rsidR="00592E89" w:rsidRPr="00083E3E" w:rsidRDefault="00EF5E52" w:rsidP="0005607E">
      <w:pPr>
        <w:jc w:val="both"/>
      </w:pPr>
      <w:r>
        <w:rPr>
          <w:noProof/>
        </w:rPr>
        <mc:AlternateContent>
          <mc:Choice Requires="wps">
            <w:drawing>
              <wp:anchor distT="91440" distB="91440" distL="114300" distR="114300" simplePos="0" relativeHeight="251691008" behindDoc="0" locked="0" layoutInCell="1" allowOverlap="1" wp14:anchorId="520A7ED3" wp14:editId="088BDD36">
                <wp:simplePos x="0" y="0"/>
                <wp:positionH relativeFrom="page">
                  <wp:posOffset>828040</wp:posOffset>
                </wp:positionH>
                <wp:positionV relativeFrom="paragraph">
                  <wp:posOffset>65405</wp:posOffset>
                </wp:positionV>
                <wp:extent cx="3474720" cy="1403985"/>
                <wp:effectExtent l="0" t="0" r="0" b="0"/>
                <wp:wrapSquare wrapText="bothSides"/>
                <wp:docPr id="1942826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6678E8F0" w14:textId="2EDF5A78" w:rsidR="00EF1335" w:rsidRPr="00EF1335" w:rsidRDefault="00EF1335" w:rsidP="00EF1335">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“We’re seeing an infiltration of technology in our day-to-day lives that are really impacting mental health, but even still we see isolation and a lack of community for young people.”</w:t>
                            </w:r>
                            <w:r>
                              <w:rPr>
                                <w:color w:val="AD84C6" w:themeColor="accent1"/>
                              </w:rPr>
                              <w:t xml:space="preserve"> – Community Organization supporting youth in Central Massachusetts</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520A7ED3" id="_x0000_s1038" type="#_x0000_t202" style="position:absolute;left:0;text-align:left;margin-left:65.2pt;margin-top:5.15pt;width:273.6pt;height:110.55pt;z-index:251691008;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vcP/gEAANYDAAAOAAAAZHJzL2Uyb0RvYy54bWysU8tu2zAQvBfoPxC813pEbmzBcpAmdVEg&#10;fQBJP4CmKIsoyWVJ2pL79V1SjmO0t6A6ECRXO7szO1zdjFqRg3BegmloMcspEYZDK82uoT+eNu8W&#10;lPjATMsUGNHQo/D0Zv32zWqwtSihB9UKRxDE+HqwDe1DsHWWed4LzfwMrDAY7MBpFvDodlnr2IDo&#10;WmVlnr/PBnCtdcCF93h7PwXpOuF3neDhW9d5EYhqKPYW0urSuo1rtl6xeueY7SU/tcFe0YVm0mDR&#10;M9Q9C4zsnfwHSkvuwEMXZhx0Bl0nuUgckE2R/8XmsWdWJC4ojrdnmfz/g+VfD4/2uyNh/AAjDjCR&#10;8PYB+E9PDNz1zOzErXMw9IK1WLiIkmWD9fUpNUrtax9BtsMXaHHIbB8gAY2d01EV5EkQHQdwPIsu&#10;xkA4Xl5V19V1iSGOsaLKr5aLearB6ud063z4JECTuGmow6kmeHZ48CG2w+rnX2I1AxupVJqsMmRo&#10;6HJezlPCRUTLgMZTUjd0kcdvskJk+dG0KTkwqaY9FlDmRDsynTiHcTsS2WLXZUyOMmyhPaIQDiaj&#10;4cPATQ/uNyUDmqyh/teeOUGJ+mxQzGVRVdGV6VDNkwzuMrK9jDDDEaqhgZJpexeSkyNnb29R9I1M&#10;crx0cuoZzZNUOhk9uvPynP56eY7rPwAAAP//AwBQSwMEFAAGAAgAAAAhAAwg/cfgAAAACgEAAA8A&#10;AABkcnMvZG93bnJldi54bWxMj8tOwzAQRfdI/IM1SOyo3aZK0xCnKo+yqoQo3XTnxEMSNbYj22nD&#10;3zOsYDdXc3TnTLGZTM8u6EPnrIT5TABDWzvd2UbC8XP3kAELUVmtemdRwjcG2JS3N4XKtbvaD7wc&#10;YsOoxIZcSWhjHHLOQ92iUWHmBrS0+3LeqEjRN1x7daVy0/OFECk3qrN0oVUDPrdYnw+jkbBHf8rW&#10;Y/bUnV52r+/nRFdvWy3l/d20fQQWcYp/MPzqkzqU5FS50erAesqJWBJKg0iAEZCuVimwSsIimS+B&#10;lwX//0L5AwAA//8DAFBLAQItABQABgAIAAAAIQC2gziS/gAAAOEBAAATAAAAAAAAAAAAAAAAAAAA&#10;AABbQ29udGVudF9UeXBlc10ueG1sUEsBAi0AFAAGAAgAAAAhADj9If/WAAAAlAEAAAsAAAAAAAAA&#10;AAAAAAAALwEAAF9yZWxzLy5yZWxzUEsBAi0AFAAGAAgAAAAhAM6m9w/+AQAA1gMAAA4AAAAAAAAA&#10;AAAAAAAALgIAAGRycy9lMm9Eb2MueG1sUEsBAi0AFAAGAAgAAAAhAAwg/cfgAAAACgEAAA8AAAAA&#10;AAAAAAAAAAAAWAQAAGRycy9kb3ducmV2LnhtbFBLBQYAAAAABAAEAPMAAABlBQAAAAA=&#10;" filled="f" stroked="f">
                <v:textbox style="mso-fit-shape-to-text:t">
                  <w:txbxContent>
                    <w:p w14:paraId="6678E8F0" w14:textId="2EDF5A78" w:rsidR="00EF1335" w:rsidRPr="00EF1335" w:rsidRDefault="00EF1335" w:rsidP="00EF1335">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“We’re seeing an infiltration of technology in our day-to-day lives that are really impacting mental health, but even still we see isolation and a lack of community for young people.”</w:t>
                      </w:r>
                      <w:r>
                        <w:rPr>
                          <w:color w:val="AD84C6" w:themeColor="accent1"/>
                        </w:rPr>
                        <w:t xml:space="preserve"> – Community Organization supporting youth in Central Massachusetts</w:t>
                      </w:r>
                    </w:p>
                  </w:txbxContent>
                </v:textbox>
                <w10:wrap type="square" anchorx="page"/>
              </v:shape>
            </w:pict>
          </mc:Fallback>
        </mc:AlternateContent>
      </w:r>
      <w:r w:rsidR="00592E89" w:rsidRPr="00083E3E">
        <w:t>A 2025 DESE report highlighted a series of policy recommendations to help support Massachusetts schools in offering students a comprehensive media literacy education. Specifically, the report uplifted the need to build educator confidence in how to teach media literacy beginning in elementary school and suggested legislation to mandate comprehensive instruction and training in media literacy in K-12 schools.</w:t>
      </w:r>
      <w:r w:rsidR="00592E89" w:rsidRPr="00083E3E">
        <w:rPr>
          <w:rStyle w:val="FootnoteReference"/>
          <w:sz w:val="22"/>
          <w:szCs w:val="22"/>
        </w:rPr>
        <w:footnoteReference w:id="72"/>
      </w:r>
      <w:r w:rsidR="0059069B">
        <w:t xml:space="preserve"> The Commission strongly recommends that Massachusetts enact the recommendations outlined in </w:t>
      </w:r>
      <w:r w:rsidR="0059069B">
        <w:lastRenderedPageBreak/>
        <w:t>the DESE report and strengthen media literacy education through schools and communities for both youth and parents.</w:t>
      </w:r>
    </w:p>
    <w:p w14:paraId="19671283" w14:textId="229B479E" w:rsidR="00592E89" w:rsidRPr="00083E3E" w:rsidRDefault="00592E89" w:rsidP="00E97E73">
      <w:pPr>
        <w:pStyle w:val="Heading3"/>
      </w:pPr>
      <w:bookmarkStart w:id="101" w:name="_Toc230277310"/>
      <w:r w:rsidRPr="00083E3E">
        <w:t>Ensure schools maintain comprehensive anti-bullying, anti-cyberbullying, and anti-harassment policies.</w:t>
      </w:r>
      <w:bookmarkEnd w:id="101"/>
    </w:p>
    <w:p w14:paraId="0BE122F2" w14:textId="5DA45D9F" w:rsidR="00592E89" w:rsidRPr="00083E3E" w:rsidRDefault="00592E89" w:rsidP="0005607E">
      <w:pPr>
        <w:jc w:val="both"/>
      </w:pPr>
      <w:r w:rsidRPr="00083E3E">
        <w:t>The Commission recommends that Massachusetts ensure all schools maintain and consistently implement comprehensive anti-bullying, anti-cyberbullying, and anti-harassment policies that explicitly protect LGBTQ youth. Bullying and harassment remain significant public health concerns that negatively impact students’ physical, emotional, and mental well-being, as well as their ability to learn and thrive in school environments. For LGBTQ youth, these experiences are often compounded by discrimination and stigma, contributing to heightened risks of adverse outcomes.</w:t>
      </w:r>
      <w:r w:rsidRPr="00083E3E">
        <w:rPr>
          <w:rStyle w:val="FootnoteReference"/>
          <w:sz w:val="22"/>
          <w:szCs w:val="22"/>
        </w:rPr>
        <w:footnoteReference w:id="73"/>
      </w:r>
      <w:r w:rsidR="00213ACE">
        <w:t xml:space="preserve"> </w:t>
      </w:r>
      <w:r w:rsidR="00C50419" w:rsidRPr="00C50419">
        <w:t xml:space="preserve">While attending the Commission’s FY 2026 listening sessions, youth participants across the state </w:t>
      </w:r>
      <w:r w:rsidR="0059069B">
        <w:t xml:space="preserve">frequently </w:t>
      </w:r>
      <w:r w:rsidR="00C50419" w:rsidRPr="00C50419">
        <w:t xml:space="preserve">described </w:t>
      </w:r>
      <w:r w:rsidR="0059069B">
        <w:t xml:space="preserve">experiences of </w:t>
      </w:r>
      <w:r w:rsidR="00C50419" w:rsidRPr="00C50419">
        <w:t xml:space="preserve">bullying, </w:t>
      </w:r>
      <w:r w:rsidR="0059069B">
        <w:t xml:space="preserve">hearing </w:t>
      </w:r>
      <w:r w:rsidR="00C50419" w:rsidRPr="00C50419">
        <w:t>anti-LGBTQ language</w:t>
      </w:r>
      <w:r w:rsidR="0059069B">
        <w:t xml:space="preserve"> and rhetoric</w:t>
      </w:r>
      <w:r w:rsidR="00C50419" w:rsidRPr="00C50419">
        <w:t xml:space="preserve">, </w:t>
      </w:r>
      <w:r w:rsidR="0059069B">
        <w:t xml:space="preserve">encountered </w:t>
      </w:r>
      <w:r w:rsidR="00C50419" w:rsidRPr="00C50419">
        <w:t xml:space="preserve">misgendering, and </w:t>
      </w:r>
      <w:r w:rsidR="0059069B">
        <w:t xml:space="preserve">dealt with </w:t>
      </w:r>
      <w:r w:rsidR="00C50419" w:rsidRPr="00C50419">
        <w:t xml:space="preserve">inconsistent school responses. Several also noted </w:t>
      </w:r>
      <w:proofErr w:type="gramStart"/>
      <w:r w:rsidR="00C50419" w:rsidRPr="00C50419">
        <w:t>uncertainty</w:t>
      </w:r>
      <w:proofErr w:type="gramEnd"/>
      <w:r w:rsidR="00C50419" w:rsidRPr="00C50419">
        <w:t xml:space="preserve"> about what protections exist </w:t>
      </w:r>
      <w:r w:rsidR="0059069B">
        <w:t xml:space="preserve">within their schools, communities, and the broader Commonwealth, as well as </w:t>
      </w:r>
      <w:r w:rsidR="00C50419" w:rsidRPr="00C50419">
        <w:t>where to seek support when discrimination occurs. As one youth explained, “I know I’m flourishing when I’m comfortable around people and they respect my identity fully,” underscoring that school safety must include both protection from harm and active affirmation</w:t>
      </w:r>
      <w:r w:rsidR="0059069B">
        <w:t xml:space="preserve"> from educators, school staff, and more</w:t>
      </w:r>
      <w:r w:rsidR="00C50419" w:rsidRPr="00C50419">
        <w:t>.</w:t>
      </w:r>
    </w:p>
    <w:p w14:paraId="5C4500A1" w14:textId="0F522CB9" w:rsidR="00592E89" w:rsidRPr="00083E3E" w:rsidRDefault="00EB2940" w:rsidP="0005607E">
      <w:pPr>
        <w:jc w:val="both"/>
      </w:pPr>
      <w:r>
        <w:t>In the 2023 Massachusetts Youth Risk Behavior Survey (MYRBS)</w:t>
      </w:r>
      <w:r w:rsidR="00592E89" w:rsidRPr="00083E3E">
        <w:t>, 26% of LGBTQ youth reported experiencing electronic bullying, compared to 11% of their cisgender, heterosexual peers. LGBTQ youth also reported significantly higher rates of self-harm (41% compared to 14%), suicide attempts (15% compared to 4%), and suicidal ideation (approximately one-third compared to 11%).</w:t>
      </w:r>
      <w:r w:rsidR="00592E89" w:rsidRPr="00083E3E">
        <w:rPr>
          <w:rStyle w:val="FootnoteReference"/>
          <w:sz w:val="22"/>
          <w:szCs w:val="22"/>
        </w:rPr>
        <w:footnoteReference w:id="74"/>
      </w:r>
      <w:r w:rsidR="00592E89" w:rsidRPr="00083E3E">
        <w:t xml:space="preserve"> </w:t>
      </w:r>
    </w:p>
    <w:p w14:paraId="6DFEB25C" w14:textId="6F2CA2DF" w:rsidR="00592E89" w:rsidRPr="00083E3E" w:rsidRDefault="006F7541" w:rsidP="0005607E">
      <w:pPr>
        <w:jc w:val="both"/>
      </w:pPr>
      <w:r>
        <w:rPr>
          <w:noProof/>
        </w:rPr>
        <mc:AlternateContent>
          <mc:Choice Requires="wps">
            <w:drawing>
              <wp:anchor distT="91440" distB="91440" distL="114300" distR="114300" simplePos="0" relativeHeight="251678720" behindDoc="0" locked="0" layoutInCell="1" allowOverlap="1" wp14:anchorId="42710A72" wp14:editId="13646373">
                <wp:simplePos x="0" y="0"/>
                <wp:positionH relativeFrom="page">
                  <wp:posOffset>3404870</wp:posOffset>
                </wp:positionH>
                <wp:positionV relativeFrom="paragraph">
                  <wp:posOffset>102870</wp:posOffset>
                </wp:positionV>
                <wp:extent cx="3474720" cy="1403985"/>
                <wp:effectExtent l="0" t="0" r="0" b="2540"/>
                <wp:wrapSquare wrapText="bothSides"/>
                <wp:docPr id="940567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77C63D47" w14:textId="7154277D" w:rsidR="006F7541" w:rsidRPr="006F7541" w:rsidRDefault="006F7541" w:rsidP="006F7541">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“Kids need to be taught social-emotional learning because they don’t always have the awareness to know when they’re hurting someone else.”</w:t>
                            </w:r>
                            <w:r>
                              <w:rPr>
                                <w:color w:val="AD84C6" w:themeColor="accent1"/>
                              </w:rPr>
                              <w:t xml:space="preserve"> – Trans youth</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42710A72" id="_x0000_s1039" type="#_x0000_t202" style="position:absolute;left:0;text-align:left;margin-left:268.1pt;margin-top:8.1pt;width:273.6pt;height:110.55pt;z-index:251678720;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Zn5/gEAANYDAAAOAAAAZHJzL2Uyb0RvYy54bWysU9uO2yAQfa/Uf0C8N3YSp5tYcVbb3aaq&#10;tL1I234AxjhGBYYCiZ1+fQfszUbtW1U/IGA8Z+acOWxvB63ISTgvwVR0PsspEYZDI82hot+/7d+s&#10;KfGBmYYpMKKiZ+Hp7e71q21vS7GADlQjHEEQ48veVrQLwZZZ5nknNPMzsMJgsAWnWcCjO2SNYz2i&#10;a5Ut8vxt1oNrrAMuvMfbhzFIdwm/bQUPX9rWi0BURbG3kFaX1jqu2W7LyoNjtpN8aoP9QxeaSYNF&#10;L1APLDBydPIvKC25Aw9tmHHQGbSt5CJxQDbz/A82Tx2zInFBcby9yOT/Hyz/fHqyXx0JwzsYcICJ&#10;hLePwH94YuC+Y+Yg7pyDvhOswcLzKFnWW19OqVFqX/oIUvefoMEhs2OABDS0TkdVkCdBdBzA+SK6&#10;GALheLksboqbBYY4xuZFvtysV6kGK5/TrfPhgwBN4qaiDqea4Nnp0YfYDiuff4nVDOylUmmyypC+&#10;opvVYpUSriJaBjSekrqi6zx+oxUiy/emScmBSTXusYAyE+3IdOQchnogssGulzE5ylBDc0YhHIxG&#10;w4eBmw7cL0p6NFlF/c8jc4IS9dGgmJt5UURXpkOxSjK460h9HWGGI1RFAyXj9j4kJ0fO3t6h6HuZ&#10;5HjpZOoZzZNUmowe3Xl9Tn+9PMfdbwAAAP//AwBQSwMEFAAGAAgAAAAhALebu5/gAAAACwEAAA8A&#10;AABkcnMvZG93bnJldi54bWxMj8tOwzAQRfdI/IM1SOyoQwwlhDhVeZQVEqLtpjsnHpKo8TiynTb8&#10;Pc4KVqPRPbpzplhNpmcndL6zJOF2kQBDqq3uqJGw321uMmA+KNKqt4QSftDDqry8KFSu7Zm+8LQN&#10;DYsl5HMloQ1hyDn3dYtG+YUdkGL2bZ1RIa6u4dqpcyw3PU+TZMmN6iheaNWALy3Wx+1oJHygO2SP&#10;Y/bcHV43b59Hoav3tZby+mpaPwELOIU/GGb9qA5ldKrsSNqzXsK9WKYRjcE8ZyDJxB2wSkIqHgTw&#10;suD/fyh/AQAA//8DAFBLAQItABQABgAIAAAAIQC2gziS/gAAAOEBAAATAAAAAAAAAAAAAAAAAAAA&#10;AABbQ29udGVudF9UeXBlc10ueG1sUEsBAi0AFAAGAAgAAAAhADj9If/WAAAAlAEAAAsAAAAAAAAA&#10;AAAAAAAALwEAAF9yZWxzLy5yZWxzUEsBAi0AFAAGAAgAAAAhABwRmfn+AQAA1gMAAA4AAAAAAAAA&#10;AAAAAAAALgIAAGRycy9lMm9Eb2MueG1sUEsBAi0AFAAGAAgAAAAhALebu5/gAAAACwEAAA8AAAAA&#10;AAAAAAAAAAAAWAQAAGRycy9kb3ducmV2LnhtbFBLBQYAAAAABAAEAPMAAABlBQAAAAA=&#10;" filled="f" stroked="f">
                <v:textbox style="mso-fit-shape-to-text:t">
                  <w:txbxContent>
                    <w:p w14:paraId="77C63D47" w14:textId="7154277D" w:rsidR="006F7541" w:rsidRPr="006F7541" w:rsidRDefault="006F7541" w:rsidP="006F7541">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“Kids need to be taught social-emotional learning because they don’t always have the awareness to know when they’re hurting someone else.”</w:t>
                      </w:r>
                      <w:r>
                        <w:rPr>
                          <w:color w:val="AD84C6" w:themeColor="accent1"/>
                        </w:rPr>
                        <w:t xml:space="preserve"> – Trans youth</w:t>
                      </w:r>
                    </w:p>
                  </w:txbxContent>
                </v:textbox>
                <w10:wrap type="square" anchorx="page"/>
              </v:shape>
            </w:pict>
          </mc:Fallback>
        </mc:AlternateContent>
      </w:r>
      <w:r w:rsidR="0059069B">
        <w:t>Additionally, b</w:t>
      </w:r>
      <w:r w:rsidR="00592E89" w:rsidRPr="00083E3E">
        <w:t xml:space="preserve">ullying and harassment are not limited to in-person interactions and increasingly occur in digital spaces, where harmful behaviors can be pervasive and difficult to monitor. As such, school policies must address both traditional bullying and cyberbullying, including clear definitions, reporting mechanisms, and accountability </w:t>
      </w:r>
      <w:r w:rsidR="00592E89" w:rsidRPr="00083E3E">
        <w:lastRenderedPageBreak/>
        <w:t>measures. Importantly, these policies should be trauma-informed, culturally responsive, and inclusive of the unique experiences of LGBTQ youth, including those who are transgender, nonbinary, multilingual, or living in rural communities.</w:t>
      </w:r>
    </w:p>
    <w:p w14:paraId="6275759B" w14:textId="06BDCAA5" w:rsidR="00592E89" w:rsidRPr="00083E3E" w:rsidRDefault="00592E89" w:rsidP="0005607E">
      <w:pPr>
        <w:jc w:val="both"/>
      </w:pPr>
      <w:r w:rsidRPr="00083E3E">
        <w:t xml:space="preserve">Effective implementation of anti-bullying policies requires more than formal adoption. Schools must be equipped with the resources, training, and support necessary to respond to incidents appropriately and to foster safe and affirming environments. Evidence suggests that comprehensive, multi-tiered approaches </w:t>
      </w:r>
      <w:r w:rsidR="00EB2940">
        <w:t xml:space="preserve">like </w:t>
      </w:r>
      <w:r w:rsidRPr="00083E3E">
        <w:t>school-wide climate initiatives</w:t>
      </w:r>
      <w:r w:rsidR="0059069B">
        <w:t xml:space="preserve"> to promote acceptance of diverse identities, increased attention to</w:t>
      </w:r>
      <w:r w:rsidRPr="00083E3E">
        <w:t xml:space="preserve"> social-emotional learning, and </w:t>
      </w:r>
      <w:r w:rsidR="0059069B">
        <w:t xml:space="preserve">expansion of </w:t>
      </w:r>
      <w:r w:rsidRPr="00083E3E">
        <w:t>peer-led programs are more effective than one-time interventions.</w:t>
      </w:r>
      <w:r w:rsidRPr="00083E3E">
        <w:rPr>
          <w:rStyle w:val="FootnoteReference"/>
          <w:sz w:val="22"/>
          <w:szCs w:val="22"/>
        </w:rPr>
        <w:footnoteReference w:id="75"/>
      </w:r>
      <w:r w:rsidRPr="00083E3E">
        <w:t xml:space="preserve"> </w:t>
      </w:r>
      <w:r w:rsidR="00EB2940">
        <w:t>Bullying pr</w:t>
      </w:r>
      <w:r w:rsidRPr="00083E3E">
        <w:t>evention efforts should also include education on healthy relationships, digital citizenship, and bystander intervention</w:t>
      </w:r>
      <w:r w:rsidR="0059069B">
        <w:t>, tying with additional recommendations discussed in this report around media literacy and healthy relationship education.</w:t>
      </w:r>
    </w:p>
    <w:p w14:paraId="3795F6AF" w14:textId="38472C20" w:rsidR="00592E89" w:rsidRPr="00083E3E" w:rsidRDefault="00592E89" w:rsidP="0005607E">
      <w:pPr>
        <w:jc w:val="both"/>
      </w:pPr>
      <w:r w:rsidRPr="00083E3E">
        <w:t xml:space="preserve">Finally, it is critical that LGBTQ youth are included in the development and evaluation of school policies and practices. </w:t>
      </w:r>
      <w:r w:rsidR="0059069B">
        <w:t>Undeniably, s</w:t>
      </w:r>
      <w:r w:rsidRPr="00083E3E">
        <w:t xml:space="preserve">tudents are best positioned to identify gaps in protections and to inform strategies that will be most effective in their </w:t>
      </w:r>
      <w:r w:rsidR="0059069B">
        <w:t>schools and communities</w:t>
      </w:r>
      <w:r w:rsidRPr="00083E3E">
        <w:t>. Ensuring that anti-bullying and anti-harassment policies are robust, inclusive, and consistently enforced is an essential step toward creating safer, more supportive school environments for all students across Massachusetts.</w:t>
      </w:r>
    </w:p>
    <w:p w14:paraId="5AA56476" w14:textId="30C81DB1" w:rsidR="00592E89" w:rsidRPr="00083E3E" w:rsidRDefault="0059069B" w:rsidP="00E97E73">
      <w:pPr>
        <w:pStyle w:val="Heading3"/>
      </w:pPr>
      <w:bookmarkStart w:id="102" w:name="_Toc230277311"/>
      <w:r>
        <w:rPr>
          <w:noProof/>
        </w:rPr>
        <mc:AlternateContent>
          <mc:Choice Requires="wps">
            <w:drawing>
              <wp:anchor distT="91440" distB="91440" distL="114300" distR="114300" simplePos="0" relativeHeight="251672576" behindDoc="0" locked="0" layoutInCell="1" allowOverlap="1" wp14:anchorId="0AA78D2C" wp14:editId="507DB4D4">
                <wp:simplePos x="0" y="0"/>
                <wp:positionH relativeFrom="page">
                  <wp:posOffset>867410</wp:posOffset>
                </wp:positionH>
                <wp:positionV relativeFrom="paragraph">
                  <wp:posOffset>461645</wp:posOffset>
                </wp:positionV>
                <wp:extent cx="3743325" cy="1403985"/>
                <wp:effectExtent l="0" t="0" r="0" b="0"/>
                <wp:wrapSquare wrapText="bothSides"/>
                <wp:docPr id="1668830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325" cy="1403985"/>
                        </a:xfrm>
                        <a:prstGeom prst="rect">
                          <a:avLst/>
                        </a:prstGeom>
                        <a:noFill/>
                        <a:ln w="9525">
                          <a:noFill/>
                          <a:miter lim="800000"/>
                          <a:headEnd/>
                          <a:tailEnd/>
                        </a:ln>
                      </wps:spPr>
                      <wps:txbx>
                        <w:txbxContent>
                          <w:p w14:paraId="0C0C5C97" w14:textId="4A1B6C57" w:rsidR="006F7541" w:rsidRPr="006F7541" w:rsidRDefault="006F7541" w:rsidP="006F7541">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“They first came out in 2</w:t>
                            </w:r>
                            <w:r w:rsidRPr="006F7541">
                              <w:rPr>
                                <w:i/>
                                <w:iCs/>
                                <w:color w:val="AD84C6" w:themeColor="accent1"/>
                                <w:vertAlign w:val="superscript"/>
                              </w:rPr>
                              <w:t>nd</w:t>
                            </w:r>
                            <w:r>
                              <w:rPr>
                                <w:i/>
                                <w:iCs/>
                                <w:color w:val="AD84C6" w:themeColor="accent1"/>
                              </w:rPr>
                              <w:t xml:space="preserve"> grade and there was support, but we couldn’t see it until we were there asking… We’re trying to help teachers be more supportive. They’re not homophobic, but kind of wary about doing the wrong thing and didn’t know much about gender identities.” – </w:t>
                            </w:r>
                            <w:r>
                              <w:rPr>
                                <w:color w:val="AD84C6" w:themeColor="accent1"/>
                              </w:rPr>
                              <w:t>Parent of gender expansive youth.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A78D2C" id="_x0000_s1040" type="#_x0000_t202" style="position:absolute;margin-left:68.3pt;margin-top:36.35pt;width:294.75pt;height:110.55pt;z-index:251672576;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PN/gEAANYDAAAOAAAAZHJzL2Uyb0RvYy54bWysU11v2yAUfZ+0/4B4X2wnzppYcaquXaZJ&#10;3YfU7gcQjGM04DIgsbNf3wtO06h9m+YHxOWac+8597C6HrQiB+G8BFPTYpJTIgyHRppdTX89bj4s&#10;KPGBmYYpMKKmR+Hp9fr9u1VvKzGFDlQjHEEQ46ve1rQLwVZZ5nknNPMTsMJgsgWnWcDQ7bLGsR7R&#10;tcqmef4x68E11gEX3uPp3Zik64TftoKHH23rRSCqpthbSKtL6zau2XrFqp1jtpP81Ab7hy40kwaL&#10;nqHuWGBk7+QbKC25Aw9tmHDQGbSt5CJxQDZF/orNQ8esSFxQHG/PMvn/B8u/Hx7sT0fC8AkGHGAi&#10;4e098N+eGLjtmNmJG+eg7wRrsHARJct666vT1Si1r3wE2fbfoMEhs32ABDS0TkdVkCdBdBzA8Sy6&#10;GALheDi7Kmez6ZwSjrmizGfLxTzVYNXzdet8+CJAk7ipqcOpJnh2uPchtsOq519iNQMbqVSarDKk&#10;r+lyjvivMloGNJ6SuqaLPH6jFSLLz6ZJlwOTatxjAWVOtCPTkXMYtgORTew6Xo4ybKE5ohAORqPh&#10;w8BNB+4vJT2arKb+z545QYn6alDMZVGW0ZUpKOdXUwzcZWZ7mWGGI1RNAyXj9jYkJ0dm3t6g6BuZ&#10;5Hjp5NQzmiepdDJ6dOdlnP56eY7rJwAAAP//AwBQSwMEFAAGAAgAAAAhAFjJpWTeAAAACgEAAA8A&#10;AABkcnMvZG93bnJldi54bWxMj8tOwzAQRfdI/IM1SOyoU1dKSohTVagtS6BErN14SCLih2w3DX/P&#10;sKLLqzm690y1mc3IJgxxcFbCcpEBQ9s6PdhOQvOxf1gDi0lZrUZnUcIPRtjUtzeVKrW72Hecjqlj&#10;VGJjqST0KfmS89j2aFRcOI+Wbl8uGJUoho7roC5UbkYusiznRg2WFnrl8bnH9vt4NhJ88ofiJby+&#10;bXf7KWs+D40Yup2U93fz9glYwjn9w/CnT+pQk9PJna2ObKS8ynNCJRSiAEZAIfIlsJME8bhaA68r&#10;fv1C/QsAAP//AwBQSwECLQAUAAYACAAAACEAtoM4kv4AAADhAQAAEwAAAAAAAAAAAAAAAAAAAAAA&#10;W0NvbnRlbnRfVHlwZXNdLnhtbFBLAQItABQABgAIAAAAIQA4/SH/1gAAAJQBAAALAAAAAAAAAAAA&#10;AAAAAC8BAABfcmVscy8ucmVsc1BLAQItABQABgAIAAAAIQDiHwPN/gEAANYDAAAOAAAAAAAAAAAA&#10;AAAAAC4CAABkcnMvZTJvRG9jLnhtbFBLAQItABQABgAIAAAAIQBYyaVk3gAAAAoBAAAPAAAAAAAA&#10;AAAAAAAAAFgEAABkcnMvZG93bnJldi54bWxQSwUGAAAAAAQABADzAAAAYwUAAAAA&#10;" filled="f" stroked="f">
                <v:textbox style="mso-fit-shape-to-text:t">
                  <w:txbxContent>
                    <w:p w14:paraId="0C0C5C97" w14:textId="4A1B6C57" w:rsidR="006F7541" w:rsidRPr="006F7541" w:rsidRDefault="006F7541" w:rsidP="006F7541">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“They first came out in 2</w:t>
                      </w:r>
                      <w:r w:rsidRPr="006F7541">
                        <w:rPr>
                          <w:i/>
                          <w:iCs/>
                          <w:color w:val="AD84C6" w:themeColor="accent1"/>
                          <w:vertAlign w:val="superscript"/>
                        </w:rPr>
                        <w:t>nd</w:t>
                      </w:r>
                      <w:r>
                        <w:rPr>
                          <w:i/>
                          <w:iCs/>
                          <w:color w:val="AD84C6" w:themeColor="accent1"/>
                        </w:rPr>
                        <w:t xml:space="preserve"> grade and there was support, but we couldn’t see it until we were there asking… We’re trying to help teachers be more supportive. They’re not homophobic, but kind of wary about doing the wrong thing and didn’t know much about gender identities.” – </w:t>
                      </w:r>
                      <w:r>
                        <w:rPr>
                          <w:color w:val="AD84C6" w:themeColor="accent1"/>
                        </w:rPr>
                        <w:t>Parent of gender expansive youth.</w:t>
                      </w:r>
                    </w:p>
                  </w:txbxContent>
                </v:textbox>
                <w10:wrap type="square" anchorx="page"/>
              </v:shape>
            </w:pict>
          </mc:Fallback>
        </mc:AlternateContent>
      </w:r>
      <w:r w:rsidR="00592E89" w:rsidRPr="00083E3E">
        <w:t>Conclusion</w:t>
      </w:r>
      <w:bookmarkEnd w:id="102"/>
    </w:p>
    <w:p w14:paraId="40B6C2D0" w14:textId="7D729B98" w:rsidR="0059069B" w:rsidRDefault="00412336" w:rsidP="0005607E">
      <w:pPr>
        <w:jc w:val="both"/>
      </w:pPr>
      <w:r w:rsidRPr="00412336">
        <w:t xml:space="preserve">It is imperative </w:t>
      </w:r>
      <w:r>
        <w:t xml:space="preserve">that </w:t>
      </w:r>
      <w:r w:rsidRPr="00412336">
        <w:t>schools focus on building positive school environment</w:t>
      </w:r>
      <w:r>
        <w:t>s</w:t>
      </w:r>
      <w:r w:rsidRPr="00412336">
        <w:t>, enhancing teacher effectiveness, and developing inclusive curriculum</w:t>
      </w:r>
      <w:r>
        <w:t>s</w:t>
      </w:r>
      <w:r w:rsidRPr="00412336">
        <w:t xml:space="preserve">, which are </w:t>
      </w:r>
      <w:r w:rsidR="0059069B">
        <w:t xml:space="preserve">critical to </w:t>
      </w:r>
      <w:r w:rsidRPr="00412336">
        <w:t>creating safe</w:t>
      </w:r>
      <w:r w:rsidR="0059069B">
        <w:t xml:space="preserve"> </w:t>
      </w:r>
      <w:r w:rsidRPr="00412336">
        <w:t>and supportive learning environment</w:t>
      </w:r>
      <w:r w:rsidR="0059069B">
        <w:t>s for LGBTQ youth</w:t>
      </w:r>
      <w:r w:rsidRPr="00412336">
        <w:t xml:space="preserve">. </w:t>
      </w:r>
    </w:p>
    <w:p w14:paraId="2CEE620E" w14:textId="099A1D15" w:rsidR="00412336" w:rsidRDefault="00412336" w:rsidP="0005607E">
      <w:pPr>
        <w:jc w:val="both"/>
      </w:pPr>
      <w:r>
        <w:t>As this section highlights,</w:t>
      </w:r>
      <w:r w:rsidR="0059069B">
        <w:t xml:space="preserve"> the Commonwealth must invest more </w:t>
      </w:r>
      <w:r w:rsidRPr="00412336">
        <w:t>in professional development</w:t>
      </w:r>
      <w:r w:rsidR="0059069B">
        <w:t xml:space="preserve"> for educators</w:t>
      </w:r>
      <w:r w:rsidRPr="00412336">
        <w:t xml:space="preserve">, </w:t>
      </w:r>
      <w:r w:rsidR="0059069B">
        <w:t xml:space="preserve">clearer guidance within schools, caregiver education, and inclusive curriculum that </w:t>
      </w:r>
      <w:r w:rsidR="0059069B">
        <w:lastRenderedPageBreak/>
        <w:t xml:space="preserve">reflects the diversity of all students. By doing so, the Commonwealth can better support and uplift </w:t>
      </w:r>
      <w:r w:rsidRPr="00412336">
        <w:t>LGBTQ youth and help mitigate mental health risks.</w:t>
      </w:r>
    </w:p>
    <w:p w14:paraId="505B092B" w14:textId="20AC39C5" w:rsidR="00592E89" w:rsidRPr="00083E3E" w:rsidRDefault="00412336" w:rsidP="0005607E">
      <w:pPr>
        <w:jc w:val="both"/>
      </w:pPr>
      <w:r>
        <w:t>Conversely</w:t>
      </w:r>
      <w:r w:rsidR="00592E89" w:rsidRPr="00083E3E">
        <w:t xml:space="preserve">, when these supports are </w:t>
      </w:r>
      <w:r>
        <w:t xml:space="preserve">lacking </w:t>
      </w:r>
      <w:r w:rsidR="00592E89" w:rsidRPr="00083E3E">
        <w:t xml:space="preserve">or </w:t>
      </w:r>
      <w:r>
        <w:t>inconsistent</w:t>
      </w:r>
      <w:r w:rsidR="00592E89" w:rsidRPr="00083E3E">
        <w:t>, the consequences extend beyond the classroom</w:t>
      </w:r>
      <w:r w:rsidR="0059069B">
        <w:t>; d</w:t>
      </w:r>
      <w:r w:rsidR="00592E89" w:rsidRPr="00083E3E">
        <w:t>isparities in school discipline, lack of affirming environments, and unmet mental health needs</w:t>
      </w:r>
      <w:r>
        <w:t xml:space="preserve"> may put young people at risk of involvement in the legal systems –</w:t>
      </w:r>
      <w:r w:rsidR="00592E89" w:rsidRPr="00083E3E">
        <w:t xml:space="preserve"> </w:t>
      </w:r>
      <w:r>
        <w:t xml:space="preserve">especially </w:t>
      </w:r>
      <w:r w:rsidR="00592E89" w:rsidRPr="00083E3E">
        <w:t xml:space="preserve">for those </w:t>
      </w:r>
      <w:r>
        <w:t>impacted by multiple systems of oppression</w:t>
      </w:r>
      <w:r w:rsidR="00592E89" w:rsidRPr="00083E3E">
        <w:t>.</w:t>
      </w:r>
    </w:p>
    <w:p w14:paraId="404FB67F" w14:textId="458BC862" w:rsidR="0082613B" w:rsidRPr="00083E3E" w:rsidRDefault="00592E89" w:rsidP="0005607E">
      <w:pPr>
        <w:jc w:val="both"/>
      </w:pPr>
      <w:r w:rsidRPr="00083E3E">
        <w:t xml:space="preserve">For this reason, advancing equity within education systems </w:t>
      </w:r>
      <w:r w:rsidR="00412336" w:rsidRPr="00412336">
        <w:t xml:space="preserve">should be complemented by </w:t>
      </w:r>
      <w:r w:rsidR="00412336">
        <w:t xml:space="preserve">legal </w:t>
      </w:r>
      <w:r w:rsidR="00412336" w:rsidRPr="00412336">
        <w:t xml:space="preserve">system reforms. Making sure that LGBTQ youth do not experience even more trauma as they transition into the juvenile and criminal legal system </w:t>
      </w:r>
      <w:r w:rsidR="00412336">
        <w:t>-</w:t>
      </w:r>
      <w:r w:rsidR="00412336" w:rsidRPr="00412336">
        <w:t xml:space="preserve"> but rather receive affirming, rehabilitative, and developmentally-appropriate services </w:t>
      </w:r>
      <w:r w:rsidR="00412336">
        <w:t>-</w:t>
      </w:r>
      <w:r w:rsidR="00412336" w:rsidRPr="00412336">
        <w:t xml:space="preserve"> is essential. The following recommendations highlight several crucial actions needed to create greater equity and support for LGBTQ youth in the Commonwealth’s justice and legal systems.</w:t>
      </w:r>
    </w:p>
    <w:p w14:paraId="6906FA3F" w14:textId="46AF4F7E" w:rsidR="00215027" w:rsidRDefault="00215027" w:rsidP="0005607E">
      <w:pPr>
        <w:jc w:val="both"/>
        <w:rPr>
          <w:b/>
          <w:bCs/>
          <w:caps/>
          <w:spacing w:val="15"/>
          <w:sz w:val="28"/>
          <w:szCs w:val="28"/>
        </w:rPr>
      </w:pPr>
      <w:r>
        <w:br w:type="page"/>
      </w:r>
      <w:r>
        <w:rPr>
          <w:noProof/>
        </w:rPr>
        <w:lastRenderedPageBreak/>
        <w:drawing>
          <wp:anchor distT="0" distB="0" distL="114300" distR="114300" simplePos="0" relativeHeight="251727872" behindDoc="1" locked="0" layoutInCell="1" allowOverlap="1" wp14:anchorId="7A38F970" wp14:editId="5D3712D6">
            <wp:simplePos x="0" y="0"/>
            <wp:positionH relativeFrom="column">
              <wp:posOffset>-971550</wp:posOffset>
            </wp:positionH>
            <wp:positionV relativeFrom="paragraph">
              <wp:posOffset>-2315845</wp:posOffset>
            </wp:positionV>
            <wp:extent cx="7905750" cy="2728448"/>
            <wp:effectExtent l="0" t="0" r="0" b="0"/>
            <wp:wrapNone/>
            <wp:docPr id="1472011958" name="Picture 35" descr="Close-up of rainbow flag in suns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011958" name="Picture 1472011958" descr="Close-up of rainbow flag in sunshin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907929" cy="2729200"/>
                    </a:xfrm>
                    <a:prstGeom prst="rect">
                      <a:avLst/>
                    </a:prstGeom>
                  </pic:spPr>
                </pic:pic>
              </a:graphicData>
            </a:graphic>
            <wp14:sizeRelH relativeFrom="margin">
              <wp14:pctWidth>0</wp14:pctWidth>
            </wp14:sizeRelH>
            <wp14:sizeRelV relativeFrom="margin">
              <wp14:pctHeight>0</wp14:pctHeight>
            </wp14:sizeRelV>
          </wp:anchor>
        </w:drawing>
      </w:r>
      <w:r>
        <w:br/>
      </w:r>
    </w:p>
    <w:p w14:paraId="4BB17211" w14:textId="22703BB5" w:rsidR="00592E89" w:rsidRPr="00083E3E" w:rsidRDefault="00592E89" w:rsidP="00B7107C">
      <w:pPr>
        <w:pStyle w:val="Heading2"/>
        <w:rPr>
          <w:rFonts w:eastAsia="Calibri"/>
        </w:rPr>
      </w:pPr>
      <w:bookmarkStart w:id="103" w:name="_Toc230276114"/>
      <w:bookmarkStart w:id="104" w:name="_Toc230276221"/>
      <w:bookmarkStart w:id="105" w:name="_Toc230276304"/>
      <w:bookmarkStart w:id="106" w:name="_Toc230276356"/>
      <w:bookmarkStart w:id="107" w:name="_Toc230277097"/>
      <w:bookmarkStart w:id="108" w:name="_Toc230277312"/>
      <w:bookmarkStart w:id="109" w:name="_Toc230355479"/>
      <w:r w:rsidRPr="00083E3E">
        <w:t>Justice &amp; Legal Systems</w:t>
      </w:r>
      <w:bookmarkEnd w:id="103"/>
      <w:bookmarkEnd w:id="104"/>
      <w:bookmarkEnd w:id="105"/>
      <w:bookmarkEnd w:id="106"/>
      <w:bookmarkEnd w:id="107"/>
      <w:bookmarkEnd w:id="108"/>
      <w:bookmarkEnd w:id="109"/>
    </w:p>
    <w:p w14:paraId="1D801171" w14:textId="5AD107E9" w:rsidR="00592E89" w:rsidRPr="00083E3E" w:rsidRDefault="007043A9" w:rsidP="0005607E">
      <w:pPr>
        <w:jc w:val="both"/>
      </w:pPr>
      <w:r>
        <w:t xml:space="preserve">Nationally, </w:t>
      </w:r>
      <w:r w:rsidR="00592E89" w:rsidRPr="00083E3E">
        <w:t xml:space="preserve">LGBTQ youth are disproportionately impacted by the juvenile and </w:t>
      </w:r>
      <w:r>
        <w:t xml:space="preserve">adult </w:t>
      </w:r>
      <w:r w:rsidR="00592E89" w:rsidRPr="00083E3E">
        <w:t xml:space="preserve">criminal legal systems, where they </w:t>
      </w:r>
      <w:r>
        <w:t xml:space="preserve">can often </w:t>
      </w:r>
      <w:r w:rsidR="00592E89" w:rsidRPr="00083E3E">
        <w:t>face heightened risks of discrimination, violence, and extended system involvement. These disparities are particularly pronounced for QTBIPOC youth, who experience intersecting forms of bias across race, gender identity, sexual orientation, and socioeconomic status. Despite ongoing reform efforts in Massachusetts, significant gaps remain in data collection, conditions of confinement, access to diversion, and accountability across the legal system</w:t>
      </w:r>
      <w:r>
        <w:t>, particularly in the adult legal system.</w:t>
      </w:r>
    </w:p>
    <w:p w14:paraId="3BEA50EC" w14:textId="14BBDE4D" w:rsidR="00592E89" w:rsidRPr="00083E3E" w:rsidRDefault="00EF1335" w:rsidP="0005607E">
      <w:pPr>
        <w:jc w:val="both"/>
      </w:pPr>
      <w:r>
        <w:rPr>
          <w:noProof/>
        </w:rPr>
        <mc:AlternateContent>
          <mc:Choice Requires="wps">
            <w:drawing>
              <wp:anchor distT="91440" distB="91440" distL="114300" distR="114300" simplePos="0" relativeHeight="251693056" behindDoc="0" locked="0" layoutInCell="1" allowOverlap="1" wp14:anchorId="49CD9E0F" wp14:editId="4B515FA9">
                <wp:simplePos x="0" y="0"/>
                <wp:positionH relativeFrom="page">
                  <wp:posOffset>2133600</wp:posOffset>
                </wp:positionH>
                <wp:positionV relativeFrom="paragraph">
                  <wp:posOffset>1701165</wp:posOffset>
                </wp:positionV>
                <wp:extent cx="3352800" cy="1104900"/>
                <wp:effectExtent l="0" t="0" r="0" b="0"/>
                <wp:wrapTopAndBottom/>
                <wp:docPr id="1494600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1104900"/>
                        </a:xfrm>
                        <a:prstGeom prst="rect">
                          <a:avLst/>
                        </a:prstGeom>
                        <a:noFill/>
                        <a:ln w="9525">
                          <a:noFill/>
                          <a:miter lim="800000"/>
                          <a:headEnd/>
                          <a:tailEnd/>
                        </a:ln>
                      </wps:spPr>
                      <wps:txbx>
                        <w:txbxContent>
                          <w:p w14:paraId="4B01918E" w14:textId="5A22ADC1" w:rsidR="00EF1335" w:rsidRPr="00EF1335" w:rsidRDefault="00EF1335" w:rsidP="00091812">
                            <w:pPr>
                              <w:pBdr>
                                <w:top w:val="single" w:sz="24" w:space="8" w:color="AD84C6" w:themeColor="accent1"/>
                                <w:bottom w:val="single" w:sz="24" w:space="8" w:color="AD84C6" w:themeColor="accent1"/>
                              </w:pBdr>
                              <w:spacing w:before="0" w:after="0" w:line="240" w:lineRule="auto"/>
                              <w:rPr>
                                <w:color w:val="AD84C6" w:themeColor="accent1"/>
                              </w:rPr>
                            </w:pPr>
                            <w:r>
                              <w:rPr>
                                <w:i/>
                                <w:iCs/>
                                <w:color w:val="AD84C6" w:themeColor="accent1"/>
                              </w:rPr>
                              <w:t>“We need more safety for incarcerated trans people and more training and education for staff in the justice system.”</w:t>
                            </w:r>
                            <w:r>
                              <w:rPr>
                                <w:color w:val="AD84C6" w:themeColor="accent1"/>
                              </w:rPr>
                              <w:t xml:space="preserve"> – Community organization supporting trans youth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CD9E0F" id="_x0000_s1041" type="#_x0000_t202" style="position:absolute;left:0;text-align:left;margin-left:168pt;margin-top:133.95pt;width:264pt;height:87pt;z-index:251693056;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PrS/AEAANYDAAAOAAAAZHJzL2Uyb0RvYy54bWysU9tu2zAMfR+wfxD0vthOk60x4hRduw4D&#10;ugvQ7QMUWY6FSaJGKbG7ry8lp2mwvQ3zg0Ca4iHPIbW+Gq1hB4VBg2t4NSs5U05Cq92u4T++3725&#10;5CxE4VphwKmGP6rArzavX60HX6s59GBahYxAXKgH3/A+Rl8XRZC9siLMwCtHwQ7Qikgu7ooWxUDo&#10;1hTzsnxbDICtR5AqBPp7OwX5JuN3nZLxa9cFFZlpOPUW84n53Kaz2KxFvUPhey2PbYh/6MIK7ajo&#10;CepWRMH2qP+CsloiBOjiTIItoOu0VJkDsanKP9g89MKrzIXECf4kU/h/sPLL4cF/QxbH9zDSADOJ&#10;4O9B/gzMwU0v3E5dI8LQK9FS4SpJVgw+1MfUJHWoQwLZDp+hpSGLfYQMNHZokyrEkxE6DeDxJLoa&#10;I5P08+JiOb8sKSQpVlXlYkVOqiHq53SPIX5UYFkyGo401QwvDvchTlefr6RqDu60MXmyxrGh4avl&#10;fJkTziJWR1o8o23DqTp90yoklh9cm5Oj0GayqRfjjrQT04lzHLcj0y11vUzJSYYttI8kBMK0aPQw&#10;yOgBf3M20JI1PPzaC1ScmU+OxFxVi0Xayuwslu/m5OB5ZHseEU4SVMMjZ5N5E/MmT5yvSfROZzle&#10;Ojn2TMuTBT0uetrOcz/fenmOmycAAAD//wMAUEsDBBQABgAIAAAAIQAxZaOy4AAAAAsBAAAPAAAA&#10;ZHJzL2Rvd25yZXYueG1sTI/NTsMwEITvSLyDtUjcqN02hCZkUyEQVxDlR+LmJtskIl5HsduEt2c5&#10;wXF2RrPfFNvZ9epEY+g8IywXBhRx5euOG4S318erDagQLde290wI3xRgW56fFTav/cQvdNrFRkkJ&#10;h9witDEOudahasnZsPADsXgHPzobRY6Nrkc7Sbnr9cqYVDvbsXxo7UD3LVVfu6NDeH86fH4k5rl5&#10;cNfD5Gej2WUa8fJivrsFFWmOf2H4xRd0KIVp749cB9UjrNepbIkIq/QmAyWJTZrIZY+QJMsMdFno&#10;/xvKHwAAAP//AwBQSwECLQAUAAYACAAAACEAtoM4kv4AAADhAQAAEwAAAAAAAAAAAAAAAAAAAAAA&#10;W0NvbnRlbnRfVHlwZXNdLnhtbFBLAQItABQABgAIAAAAIQA4/SH/1gAAAJQBAAALAAAAAAAAAAAA&#10;AAAAAC8BAABfcmVscy8ucmVsc1BLAQItABQABgAIAAAAIQA7SPrS/AEAANYDAAAOAAAAAAAAAAAA&#10;AAAAAC4CAABkcnMvZTJvRG9jLnhtbFBLAQItABQABgAIAAAAIQAxZaOy4AAAAAsBAAAPAAAAAAAA&#10;AAAAAAAAAFYEAABkcnMvZG93bnJldi54bWxQSwUGAAAAAAQABADzAAAAYwUAAAAA&#10;" filled="f" stroked="f">
                <v:textbox>
                  <w:txbxContent>
                    <w:p w14:paraId="4B01918E" w14:textId="5A22ADC1" w:rsidR="00EF1335" w:rsidRPr="00EF1335" w:rsidRDefault="00EF1335" w:rsidP="00091812">
                      <w:pPr>
                        <w:pBdr>
                          <w:top w:val="single" w:sz="24" w:space="8" w:color="AD84C6" w:themeColor="accent1"/>
                          <w:bottom w:val="single" w:sz="24" w:space="8" w:color="AD84C6" w:themeColor="accent1"/>
                        </w:pBdr>
                        <w:spacing w:before="0" w:after="0" w:line="240" w:lineRule="auto"/>
                        <w:rPr>
                          <w:color w:val="AD84C6" w:themeColor="accent1"/>
                        </w:rPr>
                      </w:pPr>
                      <w:r>
                        <w:rPr>
                          <w:i/>
                          <w:iCs/>
                          <w:color w:val="AD84C6" w:themeColor="accent1"/>
                        </w:rPr>
                        <w:t>“We need more safety for incarcerated trans people and more training and education for staff in the justice system.”</w:t>
                      </w:r>
                      <w:r>
                        <w:rPr>
                          <w:color w:val="AD84C6" w:themeColor="accent1"/>
                        </w:rPr>
                        <w:t xml:space="preserve"> – Community organization supporting trans youth</w:t>
                      </w:r>
                    </w:p>
                  </w:txbxContent>
                </v:textbox>
                <w10:wrap type="topAndBottom" anchorx="page"/>
              </v:shape>
            </w:pict>
          </mc:Fallback>
        </mc:AlternateContent>
      </w:r>
      <w:r w:rsidR="00592E89" w:rsidRPr="00083E3E">
        <w:t>At multiple points - from initial law enforcement contact to detention and reentry - LGBTQ youth encounter systems that are often not designed to meet their developmental needs or affirm their identities</w:t>
      </w:r>
      <w:r w:rsidR="007043A9">
        <w:t>; i</w:t>
      </w:r>
      <w:r w:rsidR="00592E89" w:rsidRPr="00083E3E">
        <w:t xml:space="preserve">nconsistent protections, limited access to affirming health care, and insufficient oversight can exacerbate harm rather than promote rehabilitation. At the same time, structural factors such as school discipline disparities, housing instability, and unmet mental health needs increase the likelihood of system involvement, </w:t>
      </w:r>
      <w:r w:rsidR="007043A9">
        <w:t xml:space="preserve">emphasizing </w:t>
      </w:r>
      <w:r w:rsidR="00592E89" w:rsidRPr="00083E3E">
        <w:t xml:space="preserve">the importance of </w:t>
      </w:r>
      <w:r w:rsidR="00412336">
        <w:t>multi</w:t>
      </w:r>
      <w:r w:rsidR="00592E89" w:rsidRPr="00083E3E">
        <w:t>system coordination.</w:t>
      </w:r>
    </w:p>
    <w:p w14:paraId="495BF2F9" w14:textId="1FB705B5" w:rsidR="00592E89" w:rsidRPr="00083E3E" w:rsidRDefault="00592E89" w:rsidP="0005607E">
      <w:pPr>
        <w:jc w:val="both"/>
      </w:pPr>
      <w:r w:rsidRPr="00083E3E">
        <w:t>The following recommendations outline comprehensive approach</w:t>
      </w:r>
      <w:r w:rsidR="00412336">
        <w:t>es</w:t>
      </w:r>
      <w:r w:rsidRPr="00083E3E">
        <w:t xml:space="preserve"> to improving outcomes for LGBTQ youth within Massachusetts’ juvenile and </w:t>
      </w:r>
      <w:r w:rsidR="007043A9">
        <w:t xml:space="preserve">adult </w:t>
      </w:r>
      <w:r w:rsidRPr="00083E3E">
        <w:t>criminal legal systems. These strategies focus on strengthening data collection and transparency, improving conditions of confinement, expanding diversion and prevention efforts, increasing accountability for law enforcement practices, and centering the voices of youth with lived experience. Together, these reforms aim to reduce disparities, promote safety and dignity, and ensure that all young people are supported in achieving long-term stability and wellbeing.</w:t>
      </w:r>
    </w:p>
    <w:p w14:paraId="2C1182E6" w14:textId="11E6AABC" w:rsidR="00592E89" w:rsidRPr="00083E3E" w:rsidRDefault="00592E89" w:rsidP="00E97E73">
      <w:pPr>
        <w:pStyle w:val="Heading3"/>
      </w:pPr>
      <w:bookmarkStart w:id="110" w:name="_Toc230277313"/>
      <w:r w:rsidRPr="00083E3E">
        <w:lastRenderedPageBreak/>
        <w:t>Expand the collection of sexual orientation and gender identity data to identify and reduce disparities within the juvenile and adult legal systems.</w:t>
      </w:r>
      <w:bookmarkEnd w:id="110"/>
    </w:p>
    <w:p w14:paraId="23395013" w14:textId="6C1F4748" w:rsidR="007043A9" w:rsidRDefault="00592E89" w:rsidP="0005607E">
      <w:pPr>
        <w:jc w:val="both"/>
      </w:pPr>
      <w:r w:rsidRPr="00083E3E">
        <w:t xml:space="preserve">Without comprehensive data, the state has little insight </w:t>
      </w:r>
      <w:r w:rsidR="007D5540">
        <w:t>in</w:t>
      </w:r>
      <w:r w:rsidRPr="00083E3E">
        <w:t xml:space="preserve">to the widespread disparities experienced by LGBTQ youth in the Commonwealth. The Department of Correction does not currently publicize </w:t>
      </w:r>
      <w:r w:rsidR="007043A9">
        <w:t xml:space="preserve">its collected self-reported </w:t>
      </w:r>
      <w:r w:rsidRPr="00083E3E">
        <w:t>sexual orientation, gender identity, and gender expression (SOGIE) data on incarcerated people in Massachusetts. This data gap severely limits the understanding of the disparities faced by LGBTQ you</w:t>
      </w:r>
      <w:r w:rsidR="007043A9">
        <w:t>ng adults</w:t>
      </w:r>
      <w:r w:rsidRPr="00083E3E">
        <w:t xml:space="preserve"> and hinders the development of targeted interventions.</w:t>
      </w:r>
      <w:r w:rsidR="007043A9">
        <w:t xml:space="preserve"> The Commonwealth must increase its data collection and reporting on experiences of LGBTQ individuals in state systems</w:t>
      </w:r>
      <w:r w:rsidRPr="00083E3E">
        <w:t xml:space="preserve">. </w:t>
      </w:r>
    </w:p>
    <w:p w14:paraId="6FDDEF92" w14:textId="25B6C8DD" w:rsidR="00592E89" w:rsidRPr="00083E3E" w:rsidRDefault="007043A9" w:rsidP="0005607E">
      <w:pPr>
        <w:jc w:val="both"/>
      </w:pPr>
      <w:r>
        <w:t>Currently, t</w:t>
      </w:r>
      <w:r w:rsidRPr="00083E3E">
        <w:t>he Department of Youth Services (DYS) tracks the sexual orientation, transgender status, and intersex status of young people in their care, including during pretrial detention. For 2023 pre-trial detention admissions, DYS found that 6.1% of youth identified as LGBTQ, lower than national averages.</w:t>
      </w:r>
      <w:r w:rsidRPr="00083E3E">
        <w:rPr>
          <w:rStyle w:val="FootnoteReference"/>
          <w:sz w:val="22"/>
          <w:szCs w:val="22"/>
        </w:rPr>
        <w:footnoteReference w:id="76"/>
      </w:r>
      <w:r w:rsidRPr="00083E3E">
        <w:t xml:space="preserve"> </w:t>
      </w:r>
      <w:r w:rsidR="00592E89" w:rsidRPr="00083E3E">
        <w:t>In 2018, the legislature created the Juvenile Justice Policy and Data Board (JJPAD) which was tasked with collecting data to identify disparities and make recommendations on how to improve the experience of youth in the juvenile legal system</w:t>
      </w:r>
      <w:r>
        <w:t>, however no such Board or oversight exists for the adult legal system.</w:t>
      </w:r>
    </w:p>
    <w:p w14:paraId="052C1E46" w14:textId="07712C62" w:rsidR="00592E89" w:rsidRPr="00083E3E" w:rsidRDefault="007043A9" w:rsidP="0005607E">
      <w:pPr>
        <w:jc w:val="both"/>
      </w:pPr>
      <w:r>
        <w:t>One path to improve data collection for the Commonwealth</w:t>
      </w:r>
      <w:r w:rsidR="00592E89" w:rsidRPr="00083E3E">
        <w:t xml:space="preserve"> would be for the legislature to pass </w:t>
      </w:r>
      <w:r w:rsidR="00592E89" w:rsidRPr="00083E3E">
        <w:rPr>
          <w:i/>
          <w:iCs/>
        </w:rPr>
        <w:t>An Act to Promote Rehabilitation Including Guaranteed Health, Treatment, and Safety for Incarcerated LGBTQI+ People</w:t>
      </w:r>
      <w:r w:rsidR="00592E89" w:rsidRPr="00083E3E">
        <w:t>, also known as the RIGHTS Act (S.1660/ H.2656), which would collect data on LGBTQI</w:t>
      </w:r>
      <w:r>
        <w:t>+</w:t>
      </w:r>
      <w:r w:rsidR="00592E89" w:rsidRPr="00083E3E">
        <w:t xml:space="preserve"> prisoners held in restrictive housing.</w:t>
      </w:r>
    </w:p>
    <w:p w14:paraId="0084E2BF" w14:textId="564F3AB5" w:rsidR="00592E89" w:rsidRPr="00083E3E" w:rsidRDefault="00592E89" w:rsidP="0005607E">
      <w:pPr>
        <w:jc w:val="both"/>
      </w:pPr>
      <w:r w:rsidRPr="00083E3E">
        <w:t xml:space="preserve">Additionally, the Commission advises that the legislature should pass </w:t>
      </w:r>
      <w:r w:rsidRPr="00083E3E">
        <w:rPr>
          <w:i/>
          <w:iCs/>
        </w:rPr>
        <w:t>An Act Improving Juvenile Justice Data Collection</w:t>
      </w:r>
      <w:r w:rsidRPr="00083E3E">
        <w:t xml:space="preserve"> (S.1054/H.2028), which would </w:t>
      </w:r>
      <w:r w:rsidR="007043A9">
        <w:t xml:space="preserve">codify a mandate for more comprehensive </w:t>
      </w:r>
      <w:r w:rsidRPr="00083E3E">
        <w:t>inclusion of sexual orientation and gender identity in the collection and reporting of juvenile data to identify and evaluate policies to reduce racial disparities in the juvenile justice system. By addressing these gaps in data and fostering an environment of inclusivity and support, the Commission aims to significantly reduce disparities and improve the lives of LGBTQ youth involved in Massachusetts' juvenile and adult criminal legal systems. Beyond data collection, conditions within detention and correctional settings present immediate and urgent risks.</w:t>
      </w:r>
    </w:p>
    <w:p w14:paraId="419BFBE5" w14:textId="60322174" w:rsidR="00592E89" w:rsidRPr="00083E3E" w:rsidRDefault="00592E89" w:rsidP="00E97E73">
      <w:pPr>
        <w:pStyle w:val="Heading3"/>
      </w:pPr>
      <w:bookmarkStart w:id="111" w:name="_Toc230277314"/>
      <w:r w:rsidRPr="00083E3E">
        <w:lastRenderedPageBreak/>
        <w:t>Improve conditions of confinement for incarcerated LGBTQ and intersex individuals, including access to affirming healthcare and protections from discrimination.</w:t>
      </w:r>
      <w:bookmarkEnd w:id="111"/>
    </w:p>
    <w:p w14:paraId="314AC64C" w14:textId="388C1E7A" w:rsidR="00592E89" w:rsidRDefault="00592E89" w:rsidP="0005607E">
      <w:pPr>
        <w:jc w:val="both"/>
      </w:pPr>
      <w:r w:rsidRPr="00083E3E">
        <w:t xml:space="preserve">Nationally, LGBTQ and intersex individuals are overrepresented among prison inmates in the adult legal </w:t>
      </w:r>
      <w:r w:rsidR="0054417F" w:rsidRPr="00083E3E">
        <w:t>system and</w:t>
      </w:r>
      <w:r w:rsidRPr="00083E3E">
        <w:t xml:space="preserve"> face higher rates of abuse and physical and sexual assault than their non-LGBTQ peers. While little research exists on current prison conditions for incarcerated intersex individuals, studies have shown this group to be particularly vulnerable to sexual abuse. As noted above, the Commission strongly urges the state to pass and enact the RIGHTS Act (S.1660/H.2656) to ensure stronger protections of LGBTQI</w:t>
      </w:r>
      <w:r w:rsidR="007043A9">
        <w:t>+</w:t>
      </w:r>
      <w:r w:rsidRPr="00083E3E">
        <w:t xml:space="preserve"> incarcerated youth in the adult criminal legal system, as well as conduct research studies to better understand the experiences of LGBTQ individuals being detained across the state.</w:t>
      </w:r>
    </w:p>
    <w:p w14:paraId="599C6E0F" w14:textId="3732EBA4" w:rsidR="00592E89" w:rsidRPr="00083E3E" w:rsidRDefault="00EF1335" w:rsidP="0005607E">
      <w:pPr>
        <w:jc w:val="both"/>
      </w:pPr>
      <w:r>
        <w:rPr>
          <w:noProof/>
        </w:rPr>
        <mc:AlternateContent>
          <mc:Choice Requires="wps">
            <w:drawing>
              <wp:anchor distT="91440" distB="91440" distL="114300" distR="114300" simplePos="0" relativeHeight="251695104" behindDoc="0" locked="0" layoutInCell="1" allowOverlap="1" wp14:anchorId="0A153E70" wp14:editId="555855C4">
                <wp:simplePos x="0" y="0"/>
                <wp:positionH relativeFrom="page">
                  <wp:posOffset>880745</wp:posOffset>
                </wp:positionH>
                <wp:positionV relativeFrom="paragraph">
                  <wp:posOffset>74295</wp:posOffset>
                </wp:positionV>
                <wp:extent cx="3474720" cy="1403985"/>
                <wp:effectExtent l="0" t="0" r="0" b="0"/>
                <wp:wrapSquare wrapText="bothSides"/>
                <wp:docPr id="1703303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2CA0A082" w14:textId="55F8F3AC" w:rsidR="00EF1335" w:rsidRPr="00EF1335" w:rsidRDefault="00EF1335" w:rsidP="00EF1335">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“We hear from people inside that withholding affirming medical treatment and deadnaming are common experiences for trans people in the adult system.”</w:t>
                            </w:r>
                            <w:r>
                              <w:rPr>
                                <w:color w:val="AD84C6" w:themeColor="accent1"/>
                              </w:rPr>
                              <w:t xml:space="preserve"> – Community organization supporting trans community members</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0A153E70" id="_x0000_s1042" type="#_x0000_t202" style="position:absolute;left:0;text-align:left;margin-left:69.35pt;margin-top:5.85pt;width:273.6pt;height:110.55pt;z-index:251695104;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a9g/gEAANYDAAAOAAAAZHJzL2Uyb0RvYy54bWysU11v2yAUfZ+0/4B4X+ykTptYcaquXaZJ&#10;3YfU7QdgjGM04DIgsbNf3wt202h7m+YHBFzfc+8597C5HbQiR+G8BFPR+SynRBgOjTT7iv74vnu3&#10;osQHZhqmwIiKnoSnt9u3bza9LcUCOlCNcARBjC97W9EuBFtmmeed0MzPwAqDwRacZgGPbp81jvWI&#10;rlW2yPPrrAfXWAdceI+3D2OQbhN+2woevratF4GoimJvIa0urXVcs+2GlXvHbCf51Ab7hy40kwaL&#10;nqEeWGDk4ORfUFpyBx7aMOOgM2hbyUXigGzm+R9snjpmReKC4nh7lsn/P1j+5fhkvzkShvcw4AAT&#10;CW8fgf/0xMB9x8xe3DkHfSdYg4XnUbKst76cUqPUvvQRpO4/Q4NDZocACWhonY6qIE+C6DiA01l0&#10;MQTC8fKquCluFhjiGJsX+dV6tUw1WPmSbp0PHwVoEjcVdTjVBM+Ojz7Edlj58kusZmAnlUqTVYb0&#10;FV0vF8uUcBHRMqDxlNQVXeXxG60QWX4wTUoOTKpxjwWUmWhHpiPnMNQDkQ12fR2Toww1NCcUwsFo&#10;NHwYuOnA/aakR5NV1P86MCcoUZ8MirmeF0V0ZToUyySDu4zUlxFmOEJVNFAybu9DcnLk7O0dir6T&#10;SY7XTqae0TxJpcno0Z2X5/TX63PcPgMAAP//AwBQSwMEFAAGAAgAAAAhALlm3l7fAAAACgEAAA8A&#10;AABkcnMvZG93bnJldi54bWxMj81OwzAQhO9IvIO1SNyo00QUN8Spyk85ISEKl96ceEmixusodtrw&#10;9iwnOO2OZjT7bbGZXS9OOIbOk4blIgGBVHvbUaPh82N3o0CEaMia3hNq+MYAm/LyojC59Wd6x9M+&#10;NoJLKORGQxvjkEsZ6hadCQs/ILH35UdnIsuxkXY0Zy53vUyTZCWd6YgvtGbAxxbr435yGl5xPKj1&#10;pB66w9Pu+e2Y2epla7W+vpq39yAizvEvDL/4jA4lM1V+IhtEzzpTdxzlZcmTAyt1uwZRaUizVIEs&#10;C/n/hfIHAAD//wMAUEsBAi0AFAAGAAgAAAAhALaDOJL+AAAA4QEAABMAAAAAAAAAAAAAAAAAAAAA&#10;AFtDb250ZW50X1R5cGVzXS54bWxQSwECLQAUAAYACAAAACEAOP0h/9YAAACUAQAACwAAAAAAAAAA&#10;AAAAAAAvAQAAX3JlbHMvLnJlbHNQSwECLQAUAAYACAAAACEABHWvYP4BAADWAwAADgAAAAAAAAAA&#10;AAAAAAAuAgAAZHJzL2Uyb0RvYy54bWxQSwECLQAUAAYACAAAACEAuWbeXt8AAAAKAQAADwAAAAAA&#10;AAAAAAAAAABYBAAAZHJzL2Rvd25yZXYueG1sUEsFBgAAAAAEAAQA8wAAAGQFAAAAAA==&#10;" filled="f" stroked="f">
                <v:textbox style="mso-fit-shape-to-text:t">
                  <w:txbxContent>
                    <w:p w14:paraId="2CA0A082" w14:textId="55F8F3AC" w:rsidR="00EF1335" w:rsidRPr="00EF1335" w:rsidRDefault="00EF1335" w:rsidP="00EF1335">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“We hear from people inside that withholding affirming medical treatment and deadnaming are common experiences for trans people in the adult system.”</w:t>
                      </w:r>
                      <w:r>
                        <w:rPr>
                          <w:color w:val="AD84C6" w:themeColor="accent1"/>
                        </w:rPr>
                        <w:t xml:space="preserve"> – Community organization supporting trans community members</w:t>
                      </w:r>
                    </w:p>
                  </w:txbxContent>
                </v:textbox>
                <w10:wrap type="square" anchorx="page"/>
              </v:shape>
            </w:pict>
          </mc:Fallback>
        </mc:AlternateContent>
      </w:r>
      <w:r w:rsidR="00592E89" w:rsidRPr="00083E3E">
        <w:t xml:space="preserve">LGBTQ youth face systemic challenges and discrimination throughout the pre-trial, trial, and incarceration phases within both juvenile and criminal legal systems. National research, including findings from the Williams Institute, </w:t>
      </w:r>
      <w:r w:rsidR="007043A9">
        <w:t>highlights</w:t>
      </w:r>
      <w:r w:rsidR="00592E89" w:rsidRPr="00083E3E">
        <w:t xml:space="preserve"> that LGBTQ youth, particularly </w:t>
      </w:r>
      <w:r w:rsidR="007043A9">
        <w:t xml:space="preserve">youth </w:t>
      </w:r>
      <w:r w:rsidR="00592E89" w:rsidRPr="00083E3E">
        <w:t>of color, endure longer periods within the juvenile legal system and are at a higher risk of facing discrimination and violence while detained or incarcerated. Extended time in detention can disrupt a young person's access to ongoing mental and behavioral health services within the community, undermine the effectiveness of rehabilitation programs, postpone the process of taking accountability, and may even lead to premature death.</w:t>
      </w:r>
      <w:r w:rsidR="00592E89" w:rsidRPr="00083E3E">
        <w:rPr>
          <w:rStyle w:val="FootnoteReference"/>
          <w:sz w:val="22"/>
          <w:szCs w:val="22"/>
        </w:rPr>
        <w:footnoteReference w:id="77"/>
      </w:r>
      <w:r w:rsidR="00A91154">
        <w:t xml:space="preserve"> </w:t>
      </w:r>
    </w:p>
    <w:p w14:paraId="17F3D480" w14:textId="69E3B435" w:rsidR="00592E89" w:rsidRPr="00083E3E" w:rsidRDefault="00592E89" w:rsidP="0005607E">
      <w:pPr>
        <w:jc w:val="both"/>
      </w:pPr>
      <w:r w:rsidRPr="00083E3E">
        <w:t>Despite legislative efforts to protect LGBTQ youth in incarceration settings, the implementation of these protective standards has been inconsistent</w:t>
      </w:r>
      <w:r w:rsidR="00A91154">
        <w:t xml:space="preserve"> or absent</w:t>
      </w:r>
      <w:r w:rsidRPr="00083E3E">
        <w:t>; this inconsistency sometimes exacerbates the challenges LGBTQ youth face, including higher rates of abuse and harassment</w:t>
      </w:r>
      <w:r w:rsidR="00A91154">
        <w:t>, particularly in adult systems</w:t>
      </w:r>
      <w:r w:rsidRPr="00083E3E">
        <w:t>.</w:t>
      </w:r>
      <w:r w:rsidRPr="00083E3E">
        <w:rPr>
          <w:rStyle w:val="FootnoteReference"/>
          <w:sz w:val="22"/>
          <w:szCs w:val="22"/>
        </w:rPr>
        <w:footnoteReference w:id="78"/>
      </w:r>
      <w:r w:rsidRPr="00083E3E">
        <w:t xml:space="preserve"> Specifically, the Bureau of Justice Statistics reports that, nationally, incarcerated gay, bisexual men, and transgender women in the adult legal system are </w:t>
      </w:r>
      <w:r w:rsidRPr="00083E3E">
        <w:lastRenderedPageBreak/>
        <w:t xml:space="preserve">approximately ten times more likely to </w:t>
      </w:r>
      <w:r w:rsidR="007D5540">
        <w:t>experience</w:t>
      </w:r>
      <w:r w:rsidRPr="00083E3E">
        <w:t xml:space="preserve"> sexual victimization than their heterosexual counterparts.</w:t>
      </w:r>
      <w:r w:rsidRPr="00083E3E">
        <w:rPr>
          <w:rStyle w:val="FootnoteReference"/>
          <w:sz w:val="22"/>
          <w:szCs w:val="22"/>
        </w:rPr>
        <w:footnoteReference w:id="79"/>
      </w:r>
      <w:r w:rsidRPr="00083E3E">
        <w:t xml:space="preserve"> Solitary confinement or “administrative segregation” remains a critical issue for detained and incarcerated LGBTQ youth across the nation, though there is no recent research </w:t>
      </w:r>
      <w:r w:rsidR="00A91154">
        <w:t xml:space="preserve">or publicized data </w:t>
      </w:r>
      <w:r w:rsidRPr="00083E3E">
        <w:t>capturing the experiences of LGBTQ individuals who are incarcerated in Massachusetts. While improving conditions is essential, preventing system involvement in the first place is equally critical.</w:t>
      </w:r>
    </w:p>
    <w:p w14:paraId="42890321" w14:textId="27252E2E" w:rsidR="00592E89" w:rsidRPr="00083E3E" w:rsidRDefault="00592E89" w:rsidP="00E97E73">
      <w:pPr>
        <w:pStyle w:val="Heading3"/>
      </w:pPr>
      <w:bookmarkStart w:id="112" w:name="_Toc230277315"/>
      <w:r w:rsidRPr="00083E3E">
        <w:t>Expand diversion initiatives for youth involved in the legal system.</w:t>
      </w:r>
      <w:bookmarkEnd w:id="112"/>
    </w:p>
    <w:p w14:paraId="32E771F7" w14:textId="683A211F" w:rsidR="00592E89" w:rsidRPr="00083E3E" w:rsidRDefault="00592E89" w:rsidP="0005607E">
      <w:pPr>
        <w:jc w:val="both"/>
      </w:pPr>
      <w:r w:rsidRPr="00083E3E">
        <w:t xml:space="preserve">The Commission supports the expansion of access to judicial diversion for youth who commit low-level offenses </w:t>
      </w:r>
      <w:r w:rsidR="00B443A2" w:rsidRPr="00083E3E">
        <w:t>to</w:t>
      </w:r>
      <w:r w:rsidRPr="00083E3E">
        <w:t xml:space="preserve"> better support diverting youth away from the juvenile system, as proposed in </w:t>
      </w:r>
      <w:r w:rsidRPr="00083E3E">
        <w:rPr>
          <w:i/>
          <w:iCs/>
        </w:rPr>
        <w:t>An Act Promoting Diversion of Juveniles to Community Supervision and Services</w:t>
      </w:r>
      <w:r w:rsidRPr="00083E3E">
        <w:t xml:space="preserve"> (S.1051/H.1695). Diversion programs offer a way to stop young people from getting a criminal record by guiding them to service-oriented alternatives that keep them out of the court process.</w:t>
      </w:r>
      <w:r w:rsidRPr="00083E3E">
        <w:rPr>
          <w:rStyle w:val="FootnoteReference"/>
          <w:sz w:val="22"/>
          <w:szCs w:val="22"/>
        </w:rPr>
        <w:footnoteReference w:id="80"/>
      </w:r>
      <w:r w:rsidR="007D5540">
        <w:t xml:space="preserve"> The Commission’s </w:t>
      </w:r>
      <w:r w:rsidR="00A91154">
        <w:t xml:space="preserve">FY 2026 </w:t>
      </w:r>
      <w:r w:rsidR="007D5540">
        <w:t>listening session</w:t>
      </w:r>
      <w:r w:rsidR="007D5540" w:rsidRPr="007D5540">
        <w:t xml:space="preserve"> participants consistently emphasized that youth need practical, accessible supports before crises escalate, including mental health care, housing assistance, transportation, family support, and trusted community-based programs. These themes reinforce the importance of diversion models that connect youth to voluntary, non-punitive services rather than deepening formal system involvement.</w:t>
      </w:r>
    </w:p>
    <w:p w14:paraId="10964469" w14:textId="2F745616" w:rsidR="00592E89" w:rsidRPr="00083E3E" w:rsidRDefault="00A91154" w:rsidP="0005607E">
      <w:pPr>
        <w:jc w:val="both"/>
      </w:pPr>
      <w:r>
        <w:t xml:space="preserve">Diversion </w:t>
      </w:r>
      <w:r w:rsidR="00592E89" w:rsidRPr="00083E3E">
        <w:t xml:space="preserve">programs provide several benefits, such as being more cost-effective, lessening trauma with healing approaches, and providing ongoing support for the youth even after their involvement with the juvenile and criminal legal systems ends. While the specifics of diversion programs can </w:t>
      </w:r>
      <w:r w:rsidR="00B443A2" w:rsidRPr="00083E3E">
        <w:t>differ, they</w:t>
      </w:r>
      <w:r w:rsidR="00592E89" w:rsidRPr="00083E3E">
        <w:t xml:space="preserve"> work best when the help and opportunities they provide are optional, non-punitive, and easy to access. While diversion </w:t>
      </w:r>
      <w:r w:rsidR="007D658D" w:rsidRPr="00083E3E">
        <w:t>does not</w:t>
      </w:r>
      <w:r w:rsidR="00592E89" w:rsidRPr="00083E3E">
        <w:t xml:space="preserve"> completely negate the harmful impact of a young person's initial encounter with the criminal legal system, it can significantly reduce the lasting damage of being formally charged with a crime.</w:t>
      </w:r>
    </w:p>
    <w:p w14:paraId="56BBADF0" w14:textId="406442AA" w:rsidR="00592E89" w:rsidRPr="00083E3E" w:rsidRDefault="00592E89" w:rsidP="0005607E">
      <w:pPr>
        <w:jc w:val="both"/>
      </w:pPr>
      <w:r w:rsidRPr="00083E3E">
        <w:t xml:space="preserve">In October 2021, the Massachusetts Department of Youth Services (DYS), in collaboration with the Office of the Child Advocate (OCA), initiated the Youth Diversion Learning Lab. </w:t>
      </w:r>
      <w:r w:rsidR="00A91154" w:rsidRPr="00083E3E">
        <w:t>In August 2024, the Massachusetts Office of the Child Advocate (OCA) released an updated progress report of the Youth Diversion Learning Lab over seven sites (3 launched in 2021, 2 in 2022, and 2 in 2023).</w:t>
      </w:r>
      <w:r w:rsidR="00A91154" w:rsidRPr="00083E3E">
        <w:rPr>
          <w:rStyle w:val="FootnoteReference"/>
          <w:sz w:val="22"/>
          <w:szCs w:val="22"/>
        </w:rPr>
        <w:footnoteReference w:id="81"/>
      </w:r>
      <w:r w:rsidR="00A91154" w:rsidRPr="00083E3E">
        <w:t xml:space="preserve"> </w:t>
      </w:r>
      <w:r w:rsidRPr="00083E3E">
        <w:lastRenderedPageBreak/>
        <w:t>This initiative seeks to divert youth from the formal juvenile legal system, an approach increasingly recognized across the Commonwealth for its negative impact on youth well-being. The Diversion Learning Lab program was crafted with several key aims at its core.</w:t>
      </w:r>
    </w:p>
    <w:p w14:paraId="398B9863" w14:textId="751AB53D" w:rsidR="00592E89" w:rsidRPr="00083E3E" w:rsidRDefault="00592E89" w:rsidP="0005607E">
      <w:pPr>
        <w:jc w:val="both"/>
      </w:pPr>
      <w:r w:rsidRPr="00083E3E">
        <w:t>First, it seeks to decrease the probability that young individuals will commit offenses again, thereby contributing to greater public safety. Second, the program encourages youth to take accountability for their actions. It aims to nurture positive youth development, focusing on cultivating beneficial qualities and skills in young people. Lastly, a fundamental goal of the Diversion Learning Lab is to guarantee fairness and equity throughout the program's processes, ensuring all participants are treated justly and equitably. While there is a variety of diversion practices across the state, the overarching goal is to adopt evidence-based methods to improve outcomes for youth involved in the juvenile legal system.</w:t>
      </w:r>
    </w:p>
    <w:p w14:paraId="2DFB515F" w14:textId="0A016594" w:rsidR="00592E89" w:rsidRPr="00083E3E" w:rsidRDefault="00592E89" w:rsidP="0005607E">
      <w:pPr>
        <w:jc w:val="both"/>
      </w:pPr>
      <w:r w:rsidRPr="00083E3E">
        <w:t xml:space="preserve">The Diversion Learning Lab aims to reduce future offending, enhance public safety, hold youth accountable, support their development, and promote equity in the diversion process. The program model, crafted by the JJPAD Board’s Community-Based Interventions Subcommittee and outlined in the Model Program Guide, emphasizes collaboration among various stakeholders, including law enforcement, judges, and community organizations. The program offers voluntary participation, comprehensive service provision including risk and needs assessments, individualized case plans, and active case management. It also maintains communication with referrers to monitor progress and addresses any challenges, thereby supporting the youth and their families in accessing necessary services and overcoming barriers to success. </w:t>
      </w:r>
    </w:p>
    <w:p w14:paraId="459F6118" w14:textId="3B3FC9F9" w:rsidR="00592E89" w:rsidRPr="00083E3E" w:rsidRDefault="00592E89" w:rsidP="00E97E73">
      <w:pPr>
        <w:pStyle w:val="Heading3"/>
      </w:pPr>
      <w:bookmarkStart w:id="113" w:name="_Toc230277316"/>
      <w:r w:rsidRPr="00083E3E">
        <w:t>Raise the age of the juvenile legal system to include youth ages 18 to 20.</w:t>
      </w:r>
      <w:bookmarkEnd w:id="113"/>
    </w:p>
    <w:p w14:paraId="2912C8AC" w14:textId="769514A1" w:rsidR="00592E89" w:rsidRPr="00083E3E" w:rsidRDefault="00592E89" w:rsidP="0005607E">
      <w:pPr>
        <w:jc w:val="both"/>
      </w:pPr>
      <w:r w:rsidRPr="00083E3E">
        <w:t xml:space="preserve">The Commission recommends that the legislature raise the age of the juvenile justice system to gradually include 18- to 20-year-olds, as proposed in </w:t>
      </w:r>
      <w:r w:rsidRPr="00083E3E">
        <w:rPr>
          <w:i/>
          <w:iCs/>
        </w:rPr>
        <w:t>An Act to Promote Public Safety and Better Outcomes for Young Adults</w:t>
      </w:r>
      <w:r w:rsidRPr="00083E3E">
        <w:t xml:space="preserve"> (S.1061/H.1923), also known as “Raise the Age.” This legislation would phase in expanded juvenile jurisdiction over a five-year period, allowing state agencies time to adapt programming and services to meet the needs of this population. </w:t>
      </w:r>
    </w:p>
    <w:p w14:paraId="228836AE" w14:textId="7F5B4FDB" w:rsidR="00592E89" w:rsidRPr="00083E3E" w:rsidRDefault="00592E89" w:rsidP="0005607E">
      <w:pPr>
        <w:jc w:val="both"/>
      </w:pPr>
      <w:r w:rsidRPr="00083E3E">
        <w:t xml:space="preserve">Massachusetts is well-known for achieving stronger outcomes for youth served in the juvenile justice system through the Department of Youth Services (DYS), which emphasizes rehabilitation, education, and developmentally appropriate supports. Research shows that placing young people in the juvenile system rather than the adult system leads to lower rates of recidivism and improved public safety outcomes. For example, similar youth placed in juvenile systems have </w:t>
      </w:r>
      <w:r w:rsidRPr="00083E3E">
        <w:lastRenderedPageBreak/>
        <w:t>significantly lower reoffending rates than those placed in adult systems, and exposure to adult correctional environments can increase the likelihood of continued system involvement.</w:t>
      </w:r>
      <w:r w:rsidRPr="00083E3E">
        <w:rPr>
          <w:rStyle w:val="FootnoteReference"/>
          <w:sz w:val="22"/>
          <w:szCs w:val="22"/>
        </w:rPr>
        <w:footnoteReference w:id="82"/>
      </w:r>
      <w:r w:rsidRPr="00083E3E">
        <w:t xml:space="preserve"> </w:t>
      </w:r>
    </w:p>
    <w:p w14:paraId="3B9EA67A" w14:textId="0838F7F1" w:rsidR="00592E89" w:rsidRPr="00083E3E" w:rsidRDefault="00592E89" w:rsidP="0005607E">
      <w:pPr>
        <w:jc w:val="both"/>
      </w:pPr>
      <w:r w:rsidRPr="00083E3E">
        <w:t xml:space="preserve">Emerging adults ages 18 to 20 represent a distinct developmental group. Neuroscience and behavioral research demonstrate that this age range is still marked by ongoing brain development, including areas related to impulse control, decision-making, and susceptibility to peer influence. As a result, developmentally appropriate interventions - such as those provided in the juvenile system - are more effective in supporting long-term positive outcomes. </w:t>
      </w:r>
    </w:p>
    <w:p w14:paraId="29FD309E" w14:textId="6C0CB341" w:rsidR="00592E89" w:rsidRPr="00083E3E" w:rsidRDefault="00592E89" w:rsidP="0005607E">
      <w:pPr>
        <w:jc w:val="both"/>
      </w:pPr>
      <w:r w:rsidRPr="00083E3E">
        <w:t xml:space="preserve">Importantly, involvement in the adult criminal legal system can disrupt access to critical supports that many young people rely on during this transitional period. Massachusetts already recognizes “transition-age youth” as a distinct population across multiple systems, including child welfare, education, and behavioral health. However, when young people enter the adult legal system, they may lose access to these services and the continuity of care they provide, increasing the risk of instability and long-term harm. </w:t>
      </w:r>
    </w:p>
    <w:p w14:paraId="1D839291" w14:textId="1F7C2222" w:rsidR="00592E89" w:rsidRPr="00083E3E" w:rsidRDefault="00592E89" w:rsidP="0005607E">
      <w:pPr>
        <w:jc w:val="both"/>
      </w:pPr>
      <w:r w:rsidRPr="00083E3E">
        <w:t>For LGBTQ youth, these developmental years are particularly significant. As noted throughout this report, LGBTQ young people are more likely to experience mental health challenges, family rejection, and housing instability, all of which can increase vulnerability to system involvement. Ensuring that these youth are served in a system designed to provide age-appropriate, affirming, and rehabilitative supports is critical to improving both individual outcomes and broader public safety.</w:t>
      </w:r>
    </w:p>
    <w:p w14:paraId="33A5F05F" w14:textId="6D138C07" w:rsidR="00592E89" w:rsidRPr="00083E3E" w:rsidRDefault="00592E89" w:rsidP="0005607E">
      <w:pPr>
        <w:jc w:val="both"/>
      </w:pPr>
      <w:r w:rsidRPr="00083E3E">
        <w:t xml:space="preserve">By raising the age, Massachusetts can align its juvenile justice system with established research on adolescent development, reduce recidivism, and ensure that young people - particularly those most marginalized - have access to the supports they need to transition successfully into adulthood. </w:t>
      </w:r>
    </w:p>
    <w:p w14:paraId="5A0A6515" w14:textId="51D927D3" w:rsidR="00592E89" w:rsidRPr="00083E3E" w:rsidRDefault="00592E89" w:rsidP="00E97E73">
      <w:pPr>
        <w:pStyle w:val="Heading3"/>
      </w:pPr>
      <w:bookmarkStart w:id="114" w:name="_Toc230277317"/>
      <w:r w:rsidRPr="00083E3E">
        <w:t>Limit the use of force by law enforcement and correctional officers and expand community-based response systems that reduce police intervention.</w:t>
      </w:r>
      <w:bookmarkEnd w:id="114"/>
    </w:p>
    <w:p w14:paraId="197B767C" w14:textId="64873B83" w:rsidR="00592E89" w:rsidRPr="00083E3E" w:rsidRDefault="00592E89" w:rsidP="0005607E">
      <w:pPr>
        <w:jc w:val="both"/>
      </w:pPr>
      <w:r w:rsidRPr="00083E3E">
        <w:t xml:space="preserve">In 2020, Massachusetts enacted several police reform laws in response to the murders of George Floyd and Breonna Taylor, as well as broader national demands to address police violence and systemic inequities. While these reforms marked an important step, they did not go far enough </w:t>
      </w:r>
      <w:r w:rsidRPr="00083E3E">
        <w:lastRenderedPageBreak/>
        <w:t>to address key structural issues, and there have been no significant legislative advancements since their passage. Critical gaps remain, including the failure to:</w:t>
      </w:r>
    </w:p>
    <w:p w14:paraId="69C04705" w14:textId="1187B449" w:rsidR="00592E89" w:rsidRPr="00083E3E" w:rsidRDefault="00592E89">
      <w:pPr>
        <w:pStyle w:val="ListParagraph"/>
        <w:numPr>
          <w:ilvl w:val="0"/>
          <w:numId w:val="2"/>
        </w:numPr>
        <w:spacing w:line="240" w:lineRule="auto"/>
        <w:jc w:val="both"/>
      </w:pPr>
      <w:r w:rsidRPr="00083E3E">
        <w:t xml:space="preserve">Restrict the use of facial surveillance technology that has been shown to produce racially biased and discriminatory outcomes; </w:t>
      </w:r>
    </w:p>
    <w:p w14:paraId="04E1354E" w14:textId="3323E20E" w:rsidR="00592E89" w:rsidRPr="00083E3E" w:rsidRDefault="00592E89">
      <w:pPr>
        <w:pStyle w:val="ListParagraph"/>
        <w:numPr>
          <w:ilvl w:val="0"/>
          <w:numId w:val="2"/>
        </w:numPr>
        <w:spacing w:line="240" w:lineRule="auto"/>
        <w:jc w:val="both"/>
      </w:pPr>
      <w:r w:rsidRPr="00083E3E">
        <w:t xml:space="preserve">Eliminate or meaningfully limit qualified immunity, which shields officers from accountability for civil rights violations; </w:t>
      </w:r>
    </w:p>
    <w:p w14:paraId="18954BC3" w14:textId="6629E477" w:rsidR="00592E89" w:rsidRPr="00083E3E" w:rsidRDefault="00592E89">
      <w:pPr>
        <w:pStyle w:val="ListParagraph"/>
        <w:numPr>
          <w:ilvl w:val="0"/>
          <w:numId w:val="2"/>
        </w:numPr>
        <w:spacing w:line="240" w:lineRule="auto"/>
        <w:jc w:val="both"/>
      </w:pPr>
      <w:r w:rsidRPr="00083E3E">
        <w:t xml:space="preserve">Establish clear, objective standards governing police use of force, leaving room for inconsistent and subjective interpretation; and </w:t>
      </w:r>
    </w:p>
    <w:p w14:paraId="6698A022" w14:textId="43F6EBBF" w:rsidR="00592E89" w:rsidRPr="00083E3E" w:rsidRDefault="00592E89">
      <w:pPr>
        <w:pStyle w:val="ListParagraph"/>
        <w:numPr>
          <w:ilvl w:val="0"/>
          <w:numId w:val="2"/>
        </w:numPr>
        <w:spacing w:line="240" w:lineRule="auto"/>
        <w:jc w:val="both"/>
      </w:pPr>
      <w:r w:rsidRPr="00083E3E">
        <w:t>Require local elected bodies, such as city councils, to approve the transfer of military-grade equipment to municipal police departments.</w:t>
      </w:r>
    </w:p>
    <w:p w14:paraId="0B212376" w14:textId="35C1C0F8" w:rsidR="007D5540" w:rsidRDefault="00592E89" w:rsidP="0005607E">
      <w:pPr>
        <w:jc w:val="both"/>
      </w:pPr>
      <w:r w:rsidRPr="00083E3E">
        <w:t xml:space="preserve">The Commission strongly recommends that the Commonwealth conduct a comprehensive review of state and local policies governing police responses to emergency calls, with particular attention to ensuring that youth in crisis are not subjected to unnecessary harm, criminalization, or discrimination. Additionally, the Commission recommends that Massachusetts prohibit the use of facial surveillance technology, as proposed in </w:t>
      </w:r>
      <w:r w:rsidRPr="00083E3E">
        <w:rPr>
          <w:i/>
          <w:iCs/>
        </w:rPr>
        <w:t>An Act to Implement the Recommendations of the Special Commission on Facial Recognition Technology</w:t>
      </w:r>
      <w:r w:rsidRPr="00083E3E">
        <w:t xml:space="preserve"> (S.1053/H.1946). As discussed below, such technologies have been shown to increase the likelihood of false identification, wrongful arrest, and disproportionate harm to </w:t>
      </w:r>
      <w:r w:rsidR="00A91154">
        <w:t>QTBIPOC individuals.</w:t>
      </w:r>
      <w:r w:rsidR="007D5540">
        <w:t xml:space="preserve"> </w:t>
      </w:r>
    </w:p>
    <w:p w14:paraId="71F1F268" w14:textId="2DAB779F" w:rsidR="00592E89" w:rsidRPr="00083E3E" w:rsidRDefault="00592E89" w:rsidP="0005607E">
      <w:pPr>
        <w:jc w:val="both"/>
      </w:pPr>
      <w:r w:rsidRPr="00083E3E">
        <w:t>National research further underscores the need for reform. Studies consistently demonstrate that bias and discrimination influence law enforcement interactions, resulting in the disproportionate targeting of LGBTQ youth</w:t>
      </w:r>
      <w:r w:rsidR="002F20F0">
        <w:t xml:space="preserve"> </w:t>
      </w:r>
      <w:r w:rsidRPr="00083E3E">
        <w:t>-</w:t>
      </w:r>
      <w:r w:rsidR="002F20F0">
        <w:t xml:space="preserve"> </w:t>
      </w:r>
      <w:r w:rsidRPr="00083E3E">
        <w:t>particularly girls and youth of color.</w:t>
      </w:r>
      <w:r w:rsidRPr="00083E3E">
        <w:rPr>
          <w:rStyle w:val="FootnoteReference"/>
          <w:sz w:val="22"/>
          <w:szCs w:val="22"/>
        </w:rPr>
        <w:footnoteReference w:id="83"/>
      </w:r>
      <w:r w:rsidRPr="00083E3E">
        <w:t xml:space="preserve"> LGBTQ individuals frequently report negative experiences with law enforcement; one national survey found that 31% of LGBTQ survivors of hate-based violence encountered hostile responses from police, while 35% reported indifference to their victimization. Transgender individuals, especially Black transgender people, report even higher rates of police mistreatment, including the use of force at disproportionately elevated levels.</w:t>
      </w:r>
      <w:r w:rsidRPr="00083E3E">
        <w:rPr>
          <w:rStyle w:val="FootnoteReference"/>
          <w:sz w:val="22"/>
          <w:szCs w:val="22"/>
        </w:rPr>
        <w:footnoteReference w:id="84"/>
      </w:r>
    </w:p>
    <w:p w14:paraId="56C167A8" w14:textId="2618E561" w:rsidR="00592E89" w:rsidRPr="00083E3E" w:rsidRDefault="00592E89" w:rsidP="0005607E">
      <w:pPr>
        <w:jc w:val="both"/>
      </w:pPr>
      <w:r w:rsidRPr="00083E3E">
        <w:t xml:space="preserve">At the same time, hate crimes against LGBTQ individuals remain significantly underreported. Many individuals choose not to </w:t>
      </w:r>
      <w:proofErr w:type="gramStart"/>
      <w:r w:rsidRPr="00083E3E">
        <w:t>engage</w:t>
      </w:r>
      <w:proofErr w:type="gramEnd"/>
      <w:r w:rsidRPr="00083E3E">
        <w:t xml:space="preserve"> law enforcement due to concerns about safety, mistrust, or anticipated discrimination. Law enforcement responses may also be hindered by insufficient training, lack of clear protocols for handling hate crimes, and discomfort or bias in interactions </w:t>
      </w:r>
      <w:r w:rsidRPr="00083E3E">
        <w:lastRenderedPageBreak/>
        <w:t>with LGBTQ individuals. Although Massachusetts-specific data on LGBTQ youth interactions with law enforcement remains limited, this gap further underscores the need for intentional, intersectional policymaking. Policymakers and law enforcement agencies must ensure that reforms explicitly address the experiences of LGBTQ youth across intersecting identities and prioritize approaches that build trust, accountability, and safety.</w:t>
      </w:r>
    </w:p>
    <w:p w14:paraId="5B50486A" w14:textId="2E2D1AAB" w:rsidR="00592E89" w:rsidRPr="00083E3E" w:rsidRDefault="00592E89" w:rsidP="00E97E73">
      <w:pPr>
        <w:pStyle w:val="Heading3"/>
      </w:pPr>
      <w:bookmarkStart w:id="115" w:name="_Toc230277318"/>
      <w:r w:rsidRPr="00083E3E">
        <w:t>Ensure justice-involved youth are meaningfully engaged in government decisions affecting them.</w:t>
      </w:r>
      <w:bookmarkEnd w:id="115"/>
    </w:p>
    <w:p w14:paraId="04D1BAF1" w14:textId="40181C4E" w:rsidR="00592E89" w:rsidRPr="00083E3E" w:rsidRDefault="00592E89" w:rsidP="0005607E">
      <w:pPr>
        <w:jc w:val="both"/>
      </w:pPr>
      <w:r w:rsidRPr="00083E3E">
        <w:t xml:space="preserve">The inclusion of young people with lived experience in state systems is critical to achieving meaningful and effective reform within the juvenile and criminal legal systems. The Commission strongly recommends that policymakers, agencies, and community stakeholders create and sustain paid, meaningful opportunities for justice-involved youth to participate in the development, implementation, and evaluation of policies, programs, and initiatives. Centering youth with lived experience as partners in system reform leads to more equitable, responsive, and effective outcomes. </w:t>
      </w:r>
      <w:r w:rsidR="007D5540">
        <w:t xml:space="preserve">The Commission’s FY </w:t>
      </w:r>
      <w:r w:rsidR="00412336">
        <w:t xml:space="preserve">2026 </w:t>
      </w:r>
      <w:r w:rsidR="007D5540">
        <w:t>y</w:t>
      </w:r>
      <w:r w:rsidR="007D5540" w:rsidRPr="007D5540">
        <w:t xml:space="preserve">outh listening session participants were clear that young people want to be treated as constituents and decision-makers, not as abstract policy subjects. </w:t>
      </w:r>
      <w:r w:rsidR="007D5540">
        <w:t>Additionally, n</w:t>
      </w:r>
      <w:r w:rsidRPr="00083E3E">
        <w:t>ational guidance, including from the National Council of Juvenile and Family Court Judges, reinforces the importance of engaging individuals with firsthand system involvement to ensure policies are person-centered and grounded in real-world impact.</w:t>
      </w:r>
      <w:r w:rsidRPr="00083E3E">
        <w:rPr>
          <w:rStyle w:val="FootnoteReference"/>
          <w:sz w:val="22"/>
          <w:szCs w:val="22"/>
        </w:rPr>
        <w:footnoteReference w:id="85"/>
      </w:r>
    </w:p>
    <w:p w14:paraId="222D9BB7" w14:textId="2F547A38" w:rsidR="00592E89" w:rsidRPr="00083E3E" w:rsidRDefault="00592E89" w:rsidP="0005607E">
      <w:pPr>
        <w:jc w:val="both"/>
      </w:pPr>
      <w:r w:rsidRPr="00083E3E">
        <w:t>Partnerships with youth with lived experience should be rooted in mutual respect and recognition of their expertise.</w:t>
      </w:r>
      <w:r w:rsidRPr="00083E3E">
        <w:rPr>
          <w:rStyle w:val="FootnoteReference"/>
          <w:sz w:val="22"/>
          <w:szCs w:val="22"/>
        </w:rPr>
        <w:footnoteReference w:id="86"/>
      </w:r>
      <w:r w:rsidRPr="00083E3E">
        <w:t xml:space="preserve"> This requires </w:t>
      </w:r>
      <w:r w:rsidR="002F20F0">
        <w:t>policymakers and leaders to have a</w:t>
      </w:r>
      <w:r w:rsidRPr="00083E3E">
        <w:t xml:space="preserve"> commitment to shared leadership and authentic decision-making power, ensuring that youth are not only consulted but are integral to shaping outcomes. </w:t>
      </w:r>
      <w:r w:rsidR="002F20F0">
        <w:t>To this end, m</w:t>
      </w:r>
      <w:r w:rsidRPr="00083E3E">
        <w:t>eaningful engagement includes preparing and supporting youth for participation through orientation to policy processes, skill-building opportunities such as public speaking, and safeguards to ensure that participation does not negatively affect their legal cases or future opportunities. Youth must also be fairly compensated for their time and contributions, reflecting the value of their expertise and advancing principles of equity.</w:t>
      </w:r>
    </w:p>
    <w:p w14:paraId="0F58CAE4" w14:textId="0F697BE4" w:rsidR="00592E89" w:rsidRPr="00083E3E" w:rsidRDefault="00592E89" w:rsidP="0005607E">
      <w:pPr>
        <w:jc w:val="both"/>
      </w:pPr>
      <w:r w:rsidRPr="00083E3E">
        <w:t xml:space="preserve">Effective engagement requires involvement at every stage of policymaking - from planning and design to implementation and evaluation - to ensure that policies and programs are responsive to the needs of those most impacted. Sustained engagement </w:t>
      </w:r>
      <w:r w:rsidR="002F20F0">
        <w:t xml:space="preserve">can help </w:t>
      </w:r>
      <w:r w:rsidRPr="00083E3E">
        <w:t xml:space="preserve">identify unintended </w:t>
      </w:r>
      <w:r w:rsidRPr="00083E3E">
        <w:lastRenderedPageBreak/>
        <w:t>consequences, strengthen program design, and promote accountability</w:t>
      </w:r>
      <w:r w:rsidR="002F20F0">
        <w:t xml:space="preserve"> for policies and programming</w:t>
      </w:r>
      <w:r w:rsidRPr="00083E3E">
        <w:t>.</w:t>
      </w:r>
      <w:r w:rsidRPr="00083E3E">
        <w:rPr>
          <w:rStyle w:val="FootnoteReference"/>
          <w:sz w:val="22"/>
          <w:szCs w:val="22"/>
        </w:rPr>
        <w:footnoteReference w:id="87"/>
      </w:r>
      <w:r w:rsidRPr="00083E3E">
        <w:t xml:space="preserve"> To be impactful, this work must be supported by adequate infrastructure, including dedicated staff, sufficient funding, and trauma-informed supports that mitigate risks such as secondary trauma. Engagement strategies must also be culturally responsive and inclusive of the diverse identities and experiences of </w:t>
      </w:r>
      <w:proofErr w:type="gramStart"/>
      <w:r w:rsidRPr="00083E3E">
        <w:t>participating</w:t>
      </w:r>
      <w:proofErr w:type="gramEnd"/>
      <w:r w:rsidRPr="00083E3E">
        <w:t xml:space="preserve"> youth.</w:t>
      </w:r>
    </w:p>
    <w:p w14:paraId="50A2FF32" w14:textId="54A78C2E" w:rsidR="00592E89" w:rsidRPr="00083E3E" w:rsidRDefault="00592E89" w:rsidP="0005607E">
      <w:pPr>
        <w:jc w:val="both"/>
      </w:pPr>
      <w:r w:rsidRPr="00083E3E">
        <w:t>Engaging youth in policymaking is especially important in the context of juvenile legal reform, as young people are directly affected by these systems. Youth bring critical perspectives, creativity, and insight that can challenge existing assumptions and drive more effective solutions. Their participation not only improves policy outcomes but also promotes positive youth development by fostering leadership, self-efficacy, and community connection. Providing opportunities for youth to contribute to advocacy and research efforts - and supporting them in documenting this experience for future educational and employment opportunities - further reinforces the long-term benefits of engagement.</w:t>
      </w:r>
      <w:r w:rsidRPr="00083E3E">
        <w:rPr>
          <w:rStyle w:val="FootnoteReference"/>
          <w:sz w:val="22"/>
          <w:szCs w:val="22"/>
        </w:rPr>
        <w:footnoteReference w:id="88"/>
      </w:r>
    </w:p>
    <w:p w14:paraId="17AD49FD" w14:textId="21B9A791" w:rsidR="00592E89" w:rsidRPr="00083E3E" w:rsidRDefault="00592E89" w:rsidP="0005607E">
      <w:pPr>
        <w:jc w:val="both"/>
      </w:pPr>
      <w:r w:rsidRPr="00083E3E">
        <w:t xml:space="preserve">Ultimately, integrating youth with lived experience into policymaking challenges deficit-based narratives and recognizes these individuals as essential contributors to systemic change. </w:t>
      </w:r>
      <w:r w:rsidR="002F20F0">
        <w:t>Research e</w:t>
      </w:r>
      <w:r w:rsidRPr="00083E3E">
        <w:t>vidence indicates that initiatives incorporating lived experience lead to stronger outcomes and increased community trust.</w:t>
      </w:r>
      <w:r w:rsidRPr="00083E3E">
        <w:rPr>
          <w:rStyle w:val="FootnoteReference"/>
          <w:sz w:val="22"/>
          <w:szCs w:val="22"/>
        </w:rPr>
        <w:footnoteReference w:id="89"/>
      </w:r>
      <w:r w:rsidRPr="00083E3E">
        <w:t xml:space="preserve"> Meaningful youth engagement is not optional; it is a necessary component of building a more just, effective, and accountable juvenile and criminal legal system.</w:t>
      </w:r>
    </w:p>
    <w:p w14:paraId="17055A9C" w14:textId="6711977E" w:rsidR="00592E89" w:rsidRPr="00083E3E" w:rsidRDefault="00592E89" w:rsidP="00E97E73">
      <w:pPr>
        <w:pStyle w:val="Heading3"/>
      </w:pPr>
      <w:bookmarkStart w:id="116" w:name="_Toc230277319"/>
      <w:r w:rsidRPr="00083E3E">
        <w:t>Eliminate common night-walking laws and increase funding for programs serving LGBTQ youth at risk of sexual exploitation.</w:t>
      </w:r>
      <w:bookmarkEnd w:id="116"/>
    </w:p>
    <w:p w14:paraId="10428F88" w14:textId="3B72AB3D" w:rsidR="00592E89" w:rsidRPr="00083E3E" w:rsidRDefault="00592E89" w:rsidP="0005607E">
      <w:pPr>
        <w:jc w:val="both"/>
      </w:pPr>
      <w:r w:rsidRPr="00083E3E">
        <w:t xml:space="preserve">As reiterated throughout other sections in this annual report, the Commission steadfastly advocates for the decriminalization of sex work for individuals over </w:t>
      </w:r>
      <w:r w:rsidR="007D658D" w:rsidRPr="00083E3E">
        <w:t>eighteen</w:t>
      </w:r>
      <w:r w:rsidRPr="00083E3E">
        <w:t xml:space="preserve">, as decriminalization would alleviate public health disparities, enhance housing accessibility, and diminish the entanglement of LGBTQ youth in the criminal legal system. Furthermore, decriminalization enables a more strategic allocation of resources towards effectively safeguarding vulnerable youth from commercial sexual exploitation and trafficking. This strategic redirection of resources is imperative, as the conflation of sex work with sex trafficking often leads to ineffective and </w:t>
      </w:r>
      <w:r w:rsidRPr="00083E3E">
        <w:lastRenderedPageBreak/>
        <w:t>inefficient programs, further stigmatizing and criminalizing both consensual sex workers and sexually</w:t>
      </w:r>
      <w:r w:rsidR="002F20F0">
        <w:t>-</w:t>
      </w:r>
      <w:r w:rsidRPr="00083E3E">
        <w:t>exploited victims alike.</w:t>
      </w:r>
    </w:p>
    <w:p w14:paraId="7DDE157C" w14:textId="73670D2B" w:rsidR="00592E89" w:rsidRPr="00083E3E" w:rsidRDefault="00592E89" w:rsidP="0005607E">
      <w:pPr>
        <w:jc w:val="both"/>
      </w:pPr>
      <w:r w:rsidRPr="00083E3E">
        <w:t xml:space="preserve">The Commission recommends that the Commonwealth explore a path to the decriminalization of sex work for youth over the age of </w:t>
      </w:r>
      <w:r w:rsidR="007D658D" w:rsidRPr="00083E3E">
        <w:t>eighteen</w:t>
      </w:r>
      <w:r w:rsidRPr="00083E3E">
        <w:t xml:space="preserve">, through bills such as </w:t>
      </w:r>
      <w:r w:rsidRPr="00083E3E">
        <w:rPr>
          <w:i/>
          <w:iCs/>
        </w:rPr>
        <w:t>An Act to Study the Decriminalization of Sex Work</w:t>
      </w:r>
      <w:r w:rsidRPr="00083E3E">
        <w:t xml:space="preserve"> (H.2467) and </w:t>
      </w:r>
      <w:r w:rsidRPr="00083E3E">
        <w:rPr>
          <w:i/>
          <w:iCs/>
        </w:rPr>
        <w:t xml:space="preserve">An Act to Promote the Health and Safety of People in the Sex Trade </w:t>
      </w:r>
      <w:r w:rsidRPr="00083E3E">
        <w:t xml:space="preserve">(H.1980). For years, research has shown that the criminalization of sex work has made sex workers more vulnerable to violence and discrimination from police and leads to poorer public health outcomes. Furthermore, due to increased likelihood of experiencing homelessness and financial insecurity, LGBTQ youth are more likely to exchange sex to meet their financial and material needs, than their heterosexual, cisgender peers, as well as more at-risk of sexual exploitation and trafficking. As discussed in the public health section of this annual report, too often, law enforcement officers and policymakers conflate ‘sex work’ </w:t>
      </w:r>
      <w:r w:rsidR="002F20F0">
        <w:t>and</w:t>
      </w:r>
      <w:r w:rsidRPr="00083E3E">
        <w:t xml:space="preserve"> ‘sex trafficking’ which leads to ineffective policy implementations, and </w:t>
      </w:r>
      <w:r w:rsidR="002F20F0">
        <w:t xml:space="preserve">an </w:t>
      </w:r>
      <w:r w:rsidRPr="00083E3E">
        <w:t>increased criminalization of LGBTQ youth.</w:t>
      </w:r>
    </w:p>
    <w:p w14:paraId="10B6CD98" w14:textId="0486652B" w:rsidR="00592E89" w:rsidRPr="00083E3E" w:rsidRDefault="00592E89" w:rsidP="0005607E">
      <w:pPr>
        <w:jc w:val="both"/>
      </w:pPr>
      <w:r w:rsidRPr="00083E3E">
        <w:t>Furthermore, the state should make a substantial investment in programs tailored to address the vulnerabilities of youth susceptible to commercial sexual exploitation, with a specific focus on LGBTQ youth and cisgender boys, who are frequently overlooked in discussions concerning sexual exploitation and trafficking. Additionally, the state is urged to broaden its approach to youth sex work away from the criminal legal system and instead towards assisting youth that engage in sex work to meet their financial or material needs. For instance, initiatives providing gender-affirming care products could significantly mitigate the risks associated with engaging in sex work by supporting transgender and gender expansive youth who may turn to sex work to afford essential items such as wigs, binders, packers, and makeup.</w:t>
      </w:r>
    </w:p>
    <w:p w14:paraId="12078AB0" w14:textId="4264746B" w:rsidR="00592E89" w:rsidRPr="00083E3E" w:rsidRDefault="00592E89" w:rsidP="00E97E73">
      <w:pPr>
        <w:pStyle w:val="Heading3"/>
      </w:pPr>
      <w:bookmarkStart w:id="117" w:name="_Toc230277320"/>
      <w:r w:rsidRPr="00083E3E">
        <w:t>Support legislative initiatives that improve equity and accountability within the Massachusetts legal system.</w:t>
      </w:r>
      <w:bookmarkEnd w:id="117"/>
    </w:p>
    <w:p w14:paraId="7050AD34" w14:textId="571E3AD7" w:rsidR="00592E89" w:rsidRPr="00083E3E" w:rsidRDefault="00592E89" w:rsidP="0005607E">
      <w:pPr>
        <w:jc w:val="both"/>
      </w:pPr>
      <w:r w:rsidRPr="00083E3E">
        <w:t xml:space="preserve">Despite considerable reforms within the juvenile and criminal legal systems, much remains to be accomplished in safeguarding LGBTQ individuals older than </w:t>
      </w:r>
      <w:r w:rsidR="007D658D" w:rsidRPr="00083E3E">
        <w:t>eighteen</w:t>
      </w:r>
      <w:r w:rsidRPr="00083E3E">
        <w:t xml:space="preserve">. Although it is possible to expunge non-serious offenses committed before the age of </w:t>
      </w:r>
      <w:r w:rsidR="007D658D" w:rsidRPr="00083E3E">
        <w:t>twenty-one</w:t>
      </w:r>
      <w:r w:rsidRPr="00083E3E">
        <w:t xml:space="preserve"> from a person's record, this procedure is not automatic and often involves a complex and protracted process. Those who are eligible for expungement or sealing of their criminal record must face lengthy processing times (sometimes over a year), and many struggle to afford an attorney to assist them in filing. LGBTQ youth frequently encounter discrimination in areas such as employment, housing, and accessing social services; the presence of a criminal record, even for minor offenses, can significantly worsen these challenges, and studies indicate that sealing records can significantly </w:t>
      </w:r>
      <w:r w:rsidRPr="00083E3E">
        <w:lastRenderedPageBreak/>
        <w:t>enhance job access and wages.</w:t>
      </w:r>
      <w:r w:rsidRPr="00083E3E">
        <w:rPr>
          <w:rStyle w:val="FootnoteReference"/>
          <w:sz w:val="22"/>
          <w:szCs w:val="22"/>
        </w:rPr>
        <w:footnoteReference w:id="90"/>
      </w:r>
      <w:r w:rsidRPr="00083E3E">
        <w:t xml:space="preserve"> To help mitigate these challenges, the Commission supports the expansion of access to record sealing and the automatic sealing of eligible juvenile and adult records within 90 days, as proposed in </w:t>
      </w:r>
      <w:r w:rsidRPr="00083E3E">
        <w:rPr>
          <w:i/>
          <w:iCs/>
        </w:rPr>
        <w:t>An Act Requiring Clean Slate Automated Record Sealing</w:t>
      </w:r>
      <w:r w:rsidRPr="00083E3E">
        <w:t xml:space="preserve"> (S.1114/H.1811).</w:t>
      </w:r>
      <w:r w:rsidRPr="00083E3E">
        <w:rPr>
          <w:rStyle w:val="FootnoteReference"/>
          <w:sz w:val="22"/>
          <w:szCs w:val="22"/>
        </w:rPr>
        <w:footnoteReference w:id="91"/>
      </w:r>
      <w:r w:rsidRPr="00083E3E">
        <w:t xml:space="preserve"> </w:t>
      </w:r>
    </w:p>
    <w:p w14:paraId="1E5E47B0" w14:textId="77777777" w:rsidR="007D5540" w:rsidRDefault="007D5540" w:rsidP="00E97E73">
      <w:pPr>
        <w:pStyle w:val="Heading3"/>
      </w:pPr>
      <w:r>
        <w:t>Conclusion</w:t>
      </w:r>
    </w:p>
    <w:p w14:paraId="17F4B7DA" w14:textId="569A0F56" w:rsidR="007D5540" w:rsidRPr="007D5540" w:rsidRDefault="007D5540" w:rsidP="007D5540">
      <w:pPr>
        <w:pStyle w:val="BodyText"/>
        <w:spacing w:line="276" w:lineRule="auto"/>
        <w:jc w:val="both"/>
        <w:rPr>
          <w:rFonts w:ascii="Calibri" w:hAnsi="Calibri" w:cs="Calibri"/>
        </w:rPr>
      </w:pPr>
      <w:r w:rsidRPr="007D5540">
        <w:rPr>
          <w:rFonts w:ascii="Calibri" w:hAnsi="Calibri" w:cs="Calibri"/>
        </w:rPr>
        <w:t xml:space="preserve">Advancing equity within the juvenile and </w:t>
      </w:r>
      <w:r w:rsidR="002F20F0">
        <w:rPr>
          <w:rFonts w:ascii="Calibri" w:hAnsi="Calibri" w:cs="Calibri"/>
        </w:rPr>
        <w:t xml:space="preserve">adult </w:t>
      </w:r>
      <w:r w:rsidRPr="007D5540">
        <w:rPr>
          <w:rFonts w:ascii="Calibri" w:hAnsi="Calibri" w:cs="Calibri"/>
        </w:rPr>
        <w:t xml:space="preserve">criminal legal systems requires more than reducing formal system involvement. It also requires </w:t>
      </w:r>
      <w:r w:rsidR="00A37010">
        <w:rPr>
          <w:rFonts w:ascii="Calibri" w:hAnsi="Calibri" w:cs="Calibri"/>
        </w:rPr>
        <w:t xml:space="preserve">policymakers to address </w:t>
      </w:r>
      <w:r w:rsidRPr="007D5540">
        <w:rPr>
          <w:rFonts w:ascii="Calibri" w:hAnsi="Calibri" w:cs="Calibri"/>
        </w:rPr>
        <w:t xml:space="preserve">the conditions that make LGBTQ youth, particularly QTBIPOC youth, more vulnerable to criminalization in the first place, including school exclusion, family rejection, unmet mental health needs, housing instability, poverty, and lack of access to affirming community supports. Across the Commission’s FY 2026 listening sessions, youth and providers repeatedly emphasized that young people need trusted adults, clear information about their rights, </w:t>
      </w:r>
      <w:r w:rsidR="00A37010">
        <w:rPr>
          <w:rFonts w:ascii="Calibri" w:hAnsi="Calibri" w:cs="Calibri"/>
        </w:rPr>
        <w:t xml:space="preserve">and </w:t>
      </w:r>
      <w:r w:rsidRPr="007D5540">
        <w:rPr>
          <w:rFonts w:ascii="Calibri" w:hAnsi="Calibri" w:cs="Calibri"/>
        </w:rPr>
        <w:t xml:space="preserve">meaningful opportunities to shape policy, </w:t>
      </w:r>
      <w:r w:rsidR="00A37010" w:rsidRPr="00A37010">
        <w:rPr>
          <w:rFonts w:ascii="Calibri" w:hAnsi="Calibri" w:cs="Calibri"/>
        </w:rPr>
        <w:t>in addition to being able to stay connected within their communities.</w:t>
      </w:r>
    </w:p>
    <w:p w14:paraId="223DD4CE" w14:textId="1A06AFC5" w:rsidR="007D5540" w:rsidRPr="007D5540" w:rsidRDefault="00A37010" w:rsidP="007D5540">
      <w:pPr>
        <w:pStyle w:val="BodyText"/>
        <w:spacing w:line="276" w:lineRule="auto"/>
        <w:jc w:val="both"/>
        <w:rPr>
          <w:rFonts w:ascii="Calibri" w:hAnsi="Calibri" w:cs="Calibri"/>
        </w:rPr>
      </w:pPr>
      <w:r w:rsidRPr="00A37010">
        <w:rPr>
          <w:rFonts w:ascii="Calibri" w:hAnsi="Calibri" w:cs="Calibri"/>
        </w:rPr>
        <w:t>Such recommendations require a legal system that is more transparent, age-appropriate, accountable, and positive, but also one that commits resources to diversion</w:t>
      </w:r>
      <w:r w:rsidR="002F20F0">
        <w:rPr>
          <w:rFonts w:ascii="Calibri" w:hAnsi="Calibri" w:cs="Calibri"/>
        </w:rPr>
        <w:t xml:space="preserve"> </w:t>
      </w:r>
      <w:r w:rsidRPr="00A37010">
        <w:rPr>
          <w:rFonts w:ascii="Calibri" w:hAnsi="Calibri" w:cs="Calibri"/>
        </w:rPr>
        <w:t xml:space="preserve">and youth engagement. Yet legal-system reform is not possible without consideration of the economic circumstances under which youths are living. Housing </w:t>
      </w:r>
      <w:proofErr w:type="gramStart"/>
      <w:r w:rsidRPr="00A37010">
        <w:rPr>
          <w:rFonts w:ascii="Calibri" w:hAnsi="Calibri" w:cs="Calibri"/>
        </w:rPr>
        <w:t>instability</w:t>
      </w:r>
      <w:proofErr w:type="gramEnd"/>
      <w:r w:rsidR="002F20F0">
        <w:rPr>
          <w:rFonts w:ascii="Calibri" w:hAnsi="Calibri" w:cs="Calibri"/>
        </w:rPr>
        <w:t xml:space="preserve"> </w:t>
      </w:r>
      <w:r w:rsidRPr="00A37010">
        <w:rPr>
          <w:rFonts w:ascii="Calibri" w:hAnsi="Calibri" w:cs="Calibri"/>
        </w:rPr>
        <w:t>economic instability</w:t>
      </w:r>
      <w:r w:rsidR="002F20F0">
        <w:rPr>
          <w:rFonts w:ascii="Calibri" w:hAnsi="Calibri" w:cs="Calibri"/>
        </w:rPr>
        <w:t xml:space="preserve"> </w:t>
      </w:r>
      <w:r w:rsidRPr="00A37010">
        <w:rPr>
          <w:rFonts w:ascii="Calibri" w:hAnsi="Calibri" w:cs="Calibri"/>
        </w:rPr>
        <w:t>will only increase youths</w:t>
      </w:r>
      <w:r>
        <w:rPr>
          <w:rFonts w:ascii="Calibri" w:hAnsi="Calibri" w:cs="Calibri"/>
        </w:rPr>
        <w:t>’</w:t>
      </w:r>
      <w:r w:rsidRPr="00A37010">
        <w:rPr>
          <w:rFonts w:ascii="Calibri" w:hAnsi="Calibri" w:cs="Calibri"/>
        </w:rPr>
        <w:t xml:space="preserve"> vulnerability to entering the system and hinder their ability to secure stability in the </w:t>
      </w:r>
      <w:r w:rsidR="00B443A2" w:rsidRPr="00A37010">
        <w:rPr>
          <w:rFonts w:ascii="Calibri" w:hAnsi="Calibri" w:cs="Calibri"/>
        </w:rPr>
        <w:t>long term</w:t>
      </w:r>
      <w:r w:rsidRPr="00A37010">
        <w:rPr>
          <w:rFonts w:ascii="Calibri" w:hAnsi="Calibri" w:cs="Calibri"/>
        </w:rPr>
        <w:t xml:space="preserve">. </w:t>
      </w:r>
      <w:r w:rsidR="007D5540" w:rsidRPr="007D5540">
        <w:rPr>
          <w:rFonts w:ascii="Calibri" w:hAnsi="Calibri" w:cs="Calibri"/>
        </w:rPr>
        <w:t>The following section focuses on housing stability and economic opportunity as essential components of safety</w:t>
      </w:r>
      <w:r w:rsidR="002F20F0">
        <w:rPr>
          <w:rFonts w:ascii="Calibri" w:hAnsi="Calibri" w:cs="Calibri"/>
        </w:rPr>
        <w:t xml:space="preserve"> </w:t>
      </w:r>
      <w:r w:rsidR="007D5540" w:rsidRPr="007D5540">
        <w:rPr>
          <w:rFonts w:ascii="Calibri" w:hAnsi="Calibri" w:cs="Calibri"/>
        </w:rPr>
        <w:t>and wellbeing for LGBTQ youth across the Commonwealth.</w:t>
      </w:r>
    </w:p>
    <w:p w14:paraId="13D995E4" w14:textId="628EE118" w:rsidR="00215027" w:rsidRDefault="00215027" w:rsidP="00E97E73">
      <w:pPr>
        <w:pStyle w:val="Heading3"/>
      </w:pPr>
      <w:r>
        <w:br w:type="page"/>
      </w:r>
    </w:p>
    <w:p w14:paraId="48E10E1A" w14:textId="4F792EAD" w:rsidR="0082613B" w:rsidRPr="00083E3E" w:rsidRDefault="00215027" w:rsidP="0005607E">
      <w:pPr>
        <w:jc w:val="both"/>
      </w:pPr>
      <w:r>
        <w:rPr>
          <w:noProof/>
        </w:rPr>
        <w:lastRenderedPageBreak/>
        <w:drawing>
          <wp:anchor distT="0" distB="0" distL="114300" distR="114300" simplePos="0" relativeHeight="251728896" behindDoc="1" locked="0" layoutInCell="1" allowOverlap="1" wp14:anchorId="2C9B0044" wp14:editId="3F508A47">
            <wp:simplePos x="0" y="0"/>
            <wp:positionH relativeFrom="column">
              <wp:posOffset>-981076</wp:posOffset>
            </wp:positionH>
            <wp:positionV relativeFrom="paragraph">
              <wp:posOffset>-1620520</wp:posOffset>
            </wp:positionV>
            <wp:extent cx="8010525" cy="2133600"/>
            <wp:effectExtent l="0" t="0" r="9525" b="0"/>
            <wp:wrapNone/>
            <wp:docPr id="757873205" name="Picture 37" descr="a rainbow flag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873205" name="Picture 37" descr="a rainbow flag header"/>
                    <pic:cNvPicPr/>
                  </pic:nvPicPr>
                  <pic:blipFill rotWithShape="1">
                    <a:blip r:embed="rId33" cstate="print">
                      <a:extLst>
                        <a:ext uri="{28A0092B-C50C-407E-A947-70E740481C1C}">
                          <a14:useLocalDpi xmlns:a14="http://schemas.microsoft.com/office/drawing/2010/main" val="0"/>
                        </a:ext>
                      </a:extLst>
                    </a:blip>
                    <a:srcRect t="23476" b="35829"/>
                    <a:stretch>
                      <a:fillRect/>
                    </a:stretch>
                  </pic:blipFill>
                  <pic:spPr bwMode="auto">
                    <a:xfrm>
                      <a:off x="0" y="0"/>
                      <a:ext cx="8010525" cy="2133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br/>
      </w:r>
      <w:r>
        <w:br/>
      </w:r>
    </w:p>
    <w:p w14:paraId="4058B536" w14:textId="610CEBB3" w:rsidR="00592E89" w:rsidRPr="00083E3E" w:rsidRDefault="00592E89" w:rsidP="00B7107C">
      <w:pPr>
        <w:pStyle w:val="Heading2"/>
        <w:rPr>
          <w:rFonts w:eastAsia="Calibri"/>
        </w:rPr>
      </w:pPr>
      <w:bookmarkStart w:id="118" w:name="_Toc230276115"/>
      <w:bookmarkStart w:id="119" w:name="_Toc230276222"/>
      <w:bookmarkStart w:id="120" w:name="_Toc230276305"/>
      <w:bookmarkStart w:id="121" w:name="_Toc230276357"/>
      <w:bookmarkStart w:id="122" w:name="_Toc230277098"/>
      <w:bookmarkStart w:id="123" w:name="_Toc230277321"/>
      <w:bookmarkStart w:id="124" w:name="_Toc230355480"/>
      <w:r w:rsidRPr="00083E3E">
        <w:t>Housing Stability and Economic Opportunity</w:t>
      </w:r>
      <w:bookmarkEnd w:id="118"/>
      <w:bookmarkEnd w:id="119"/>
      <w:bookmarkEnd w:id="120"/>
      <w:bookmarkEnd w:id="121"/>
      <w:bookmarkEnd w:id="122"/>
      <w:bookmarkEnd w:id="123"/>
      <w:bookmarkEnd w:id="124"/>
    </w:p>
    <w:p w14:paraId="1DB49ECA" w14:textId="7E4F5DC0" w:rsidR="00592E89" w:rsidRPr="00083E3E" w:rsidRDefault="00592E89" w:rsidP="0005607E">
      <w:pPr>
        <w:jc w:val="both"/>
      </w:pPr>
      <w:r w:rsidRPr="00083E3E">
        <w:t xml:space="preserve">Housing stability and economic opportunity are foundational to the health, safety, and </w:t>
      </w:r>
      <w:r w:rsidR="002F20F0">
        <w:t xml:space="preserve">wellbeing </w:t>
      </w:r>
      <w:r w:rsidRPr="00083E3E">
        <w:t>of LGBTQ youth. Across the Commonwealth, LGBTQ youth - particularly QTBIPOC youth, immigrant youth, and those involved in state systems - face disproportionate barriers to securing stable housing, accessing employment, and achieving financial independence. These challenges are often driven by family rejection, discrimination, high costs of living, and gaps in access to affirming services.</w:t>
      </w:r>
    </w:p>
    <w:p w14:paraId="5C1B3BC3" w14:textId="1D9A227C" w:rsidR="00592E89" w:rsidRPr="00083E3E" w:rsidRDefault="00592E89" w:rsidP="0005607E">
      <w:pPr>
        <w:jc w:val="both"/>
      </w:pPr>
      <w:r w:rsidRPr="00083E3E">
        <w:t xml:space="preserve">Despite Massachusetts’ leadership in LGBTQ protections, persistent structural barriers </w:t>
      </w:r>
      <w:r w:rsidR="002F20F0">
        <w:t xml:space="preserve">such as </w:t>
      </w:r>
      <w:r w:rsidRPr="00083E3E">
        <w:t>limited youth-specific housing</w:t>
      </w:r>
      <w:r w:rsidR="002F20F0">
        <w:t xml:space="preserve"> and</w:t>
      </w:r>
      <w:r w:rsidRPr="00083E3E">
        <w:t xml:space="preserve"> under-resourced support systems</w:t>
      </w:r>
      <w:r w:rsidR="002F20F0">
        <w:t xml:space="preserve"> </w:t>
      </w:r>
      <w:r w:rsidRPr="00083E3E">
        <w:t xml:space="preserve">continue to </w:t>
      </w:r>
      <w:r w:rsidR="00A37010">
        <w:t xml:space="preserve">leave </w:t>
      </w:r>
      <w:r w:rsidRPr="00083E3E">
        <w:t xml:space="preserve">LGBTQ youth </w:t>
      </w:r>
      <w:r w:rsidR="00A37010">
        <w:t xml:space="preserve">vulnerable to </w:t>
      </w:r>
      <w:r w:rsidRPr="00083E3E">
        <w:t>homelessness</w:t>
      </w:r>
      <w:r w:rsidR="002F20F0">
        <w:t xml:space="preserve"> and housing instability</w:t>
      </w:r>
      <w:r w:rsidRPr="00083E3E">
        <w:t>. At the same time, shifting federal policies and funding uncertainties have created additional instability for providers serving this population.</w:t>
      </w:r>
    </w:p>
    <w:p w14:paraId="28760214" w14:textId="00896DD2" w:rsidR="00592E89" w:rsidRPr="00083E3E" w:rsidRDefault="00592E89" w:rsidP="0005607E">
      <w:pPr>
        <w:jc w:val="both"/>
      </w:pPr>
      <w:r w:rsidRPr="00083E3E">
        <w:t>The following recommendations outline a comprehensive approach to strengthening housing stability and expanding economic opportunity for LGBTQ youth. These strategies focus on increasing access to safe</w:t>
      </w:r>
      <w:r w:rsidR="00A37010">
        <w:t xml:space="preserve"> and affordable </w:t>
      </w:r>
      <w:r w:rsidRPr="00083E3E">
        <w:t xml:space="preserve">housing, </w:t>
      </w:r>
      <w:r w:rsidR="00A37010">
        <w:t xml:space="preserve">improving </w:t>
      </w:r>
      <w:r w:rsidRPr="00083E3E">
        <w:t>service coordination, reducing financial barriers, expanding workforce pathways, and ensuring that all youth - regardless of identity, geography, or immigration status - have the resources needed to achieve long-term stability and wellbeing.</w:t>
      </w:r>
    </w:p>
    <w:p w14:paraId="3117A021" w14:textId="46B69A63" w:rsidR="00592E89" w:rsidRPr="00083E3E" w:rsidRDefault="00592E89" w:rsidP="00E97E73">
      <w:pPr>
        <w:pStyle w:val="Heading3"/>
      </w:pPr>
      <w:bookmarkStart w:id="125" w:name="_Toc230277322"/>
      <w:r w:rsidRPr="00083E3E">
        <w:t>Increase funding for drop-in centers, shelter spaces, and housing programs for youth, with particular attention to services for transition-aged foster youth.</w:t>
      </w:r>
      <w:bookmarkEnd w:id="125"/>
    </w:p>
    <w:p w14:paraId="0FACC296" w14:textId="2AB21CA6" w:rsidR="0082613B" w:rsidRDefault="00592E89" w:rsidP="0005607E">
      <w:pPr>
        <w:jc w:val="both"/>
      </w:pPr>
      <w:r w:rsidRPr="00083E3E">
        <w:t>LGBTQ youth experiencing homelessness face persistent barriers to accessing safe and affirming services, including fear of discrimination, limited availability of LGBTQ-competent providers, and a lack of appropriate facilities</w:t>
      </w:r>
      <w:r w:rsidR="005F70DF">
        <w:t>,</w:t>
      </w:r>
      <w:r w:rsidRPr="00083E3E">
        <w:t xml:space="preserve"> such as gender-inclusive shelter spaces. </w:t>
      </w:r>
      <w:r w:rsidR="00A37010">
        <w:t>Throughout</w:t>
      </w:r>
      <w:r w:rsidR="00E634B5" w:rsidRPr="007D5540">
        <w:t xml:space="preserve"> the Commission’s FY 2026 listening sessions, </w:t>
      </w:r>
      <w:r w:rsidR="00A37010">
        <w:t xml:space="preserve">both </w:t>
      </w:r>
      <w:r w:rsidR="00E634B5" w:rsidRPr="007D5540">
        <w:t xml:space="preserve">youth and providers repeatedly </w:t>
      </w:r>
      <w:r w:rsidR="00A37010">
        <w:t xml:space="preserve">identified </w:t>
      </w:r>
      <w:r w:rsidR="00E634B5" w:rsidRPr="007D5540">
        <w:t>that affirming drop-in spaces</w:t>
      </w:r>
      <w:r w:rsidR="005F70DF">
        <w:t xml:space="preserve"> and</w:t>
      </w:r>
      <w:r w:rsidR="00E634B5" w:rsidRPr="007D5540">
        <w:t xml:space="preserve"> </w:t>
      </w:r>
      <w:r w:rsidR="00A37010">
        <w:t xml:space="preserve">youth-led </w:t>
      </w:r>
      <w:r w:rsidR="00E634B5" w:rsidRPr="007D5540">
        <w:t xml:space="preserve">peer </w:t>
      </w:r>
      <w:r w:rsidR="00A37010">
        <w:t>services</w:t>
      </w:r>
      <w:r w:rsidR="005F70DF">
        <w:t xml:space="preserve"> </w:t>
      </w:r>
      <w:r w:rsidR="00E634B5" w:rsidRPr="007D5540">
        <w:t xml:space="preserve">are essential not only </w:t>
      </w:r>
      <w:r w:rsidR="00A37010">
        <w:t xml:space="preserve">to support </w:t>
      </w:r>
      <w:r w:rsidR="00E634B5" w:rsidRPr="007D5540">
        <w:t>crisis response</w:t>
      </w:r>
      <w:r w:rsidR="00A37010">
        <w:t>s</w:t>
      </w:r>
      <w:r w:rsidR="00E634B5" w:rsidRPr="007D5540">
        <w:t xml:space="preserve">, but also </w:t>
      </w:r>
      <w:r w:rsidR="00A37010">
        <w:t xml:space="preserve">to reduce </w:t>
      </w:r>
      <w:r w:rsidR="00E634B5" w:rsidRPr="007D5540">
        <w:t xml:space="preserve">isolation, </w:t>
      </w:r>
      <w:r w:rsidR="00A37010">
        <w:t xml:space="preserve">build </w:t>
      </w:r>
      <w:r w:rsidR="00E634B5" w:rsidRPr="007D5540">
        <w:t xml:space="preserve">connection, and </w:t>
      </w:r>
      <w:r w:rsidR="00A37010">
        <w:t xml:space="preserve">help </w:t>
      </w:r>
      <w:r w:rsidR="00E634B5" w:rsidRPr="007D5540">
        <w:t xml:space="preserve">youth access </w:t>
      </w:r>
      <w:proofErr w:type="gramStart"/>
      <w:r w:rsidR="00A37010">
        <w:t>basic necessities</w:t>
      </w:r>
      <w:proofErr w:type="gramEnd"/>
      <w:r w:rsidR="00A37010">
        <w:t xml:space="preserve"> such as </w:t>
      </w:r>
      <w:r w:rsidR="00E634B5" w:rsidRPr="007D5540">
        <w:t xml:space="preserve">food, hygiene </w:t>
      </w:r>
      <w:r w:rsidR="00A37010">
        <w:t>products</w:t>
      </w:r>
      <w:r w:rsidR="00E634B5" w:rsidRPr="007D5540">
        <w:t>, transportation, gender-affirming items, housing navigation, and mental health supports.</w:t>
      </w:r>
      <w:r w:rsidR="00E634B5">
        <w:t xml:space="preserve"> Unfortunately, i</w:t>
      </w:r>
      <w:r w:rsidRPr="00083E3E">
        <w:t>n Massachusetts, there remains a shortage of youth</w:t>
      </w:r>
      <w:r w:rsidR="005F70DF">
        <w:t xml:space="preserve"> and </w:t>
      </w:r>
      <w:r w:rsidR="005F70DF">
        <w:lastRenderedPageBreak/>
        <w:t>young adult</w:t>
      </w:r>
      <w:r w:rsidRPr="00083E3E">
        <w:t xml:space="preserve">-specific shelter options, particularly for minors, underscoring the need for expanded </w:t>
      </w:r>
      <w:r w:rsidR="005F70DF">
        <w:rPr>
          <w:noProof/>
        </w:rPr>
        <mc:AlternateContent>
          <mc:Choice Requires="wps">
            <w:drawing>
              <wp:anchor distT="91440" distB="91440" distL="114300" distR="114300" simplePos="0" relativeHeight="251697152" behindDoc="0" locked="0" layoutInCell="1" allowOverlap="1" wp14:anchorId="51D9B5D6" wp14:editId="3451907E">
                <wp:simplePos x="0" y="0"/>
                <wp:positionH relativeFrom="page">
                  <wp:posOffset>985520</wp:posOffset>
                </wp:positionH>
                <wp:positionV relativeFrom="paragraph">
                  <wp:posOffset>557530</wp:posOffset>
                </wp:positionV>
                <wp:extent cx="5687695" cy="1403985"/>
                <wp:effectExtent l="0" t="0" r="0" b="0"/>
                <wp:wrapSquare wrapText="bothSides"/>
                <wp:docPr id="19559378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7695" cy="1403985"/>
                        </a:xfrm>
                        <a:prstGeom prst="rect">
                          <a:avLst/>
                        </a:prstGeom>
                        <a:noFill/>
                        <a:ln w="9525">
                          <a:noFill/>
                          <a:miter lim="800000"/>
                          <a:headEnd/>
                          <a:tailEnd/>
                        </a:ln>
                      </wps:spPr>
                      <wps:txbx>
                        <w:txbxContent>
                          <w:p w14:paraId="6983D0CE" w14:textId="24E99B37" w:rsidR="00EF1335" w:rsidRPr="00EF1335" w:rsidRDefault="00EF1335" w:rsidP="00215027">
                            <w:pPr>
                              <w:pBdr>
                                <w:top w:val="single" w:sz="24" w:space="8" w:color="AD84C6" w:themeColor="accent1"/>
                                <w:bottom w:val="single" w:sz="24" w:space="8" w:color="AD84C6" w:themeColor="accent1"/>
                              </w:pBdr>
                              <w:spacing w:before="0" w:after="0" w:line="240" w:lineRule="auto"/>
                              <w:rPr>
                                <w:color w:val="AD84C6" w:themeColor="accent1"/>
                              </w:rPr>
                            </w:pPr>
                            <w:r>
                              <w:rPr>
                                <w:i/>
                                <w:iCs/>
                                <w:color w:val="AD84C6" w:themeColor="accent1"/>
                              </w:rPr>
                              <w:t xml:space="preserve">“We need more housing and mutual aid support. </w:t>
                            </w:r>
                            <w:proofErr w:type="gramStart"/>
                            <w:r>
                              <w:rPr>
                                <w:i/>
                                <w:iCs/>
                                <w:color w:val="AD84C6" w:themeColor="accent1"/>
                              </w:rPr>
                              <w:t>More and more</w:t>
                            </w:r>
                            <w:proofErr w:type="gramEnd"/>
                            <w:r>
                              <w:rPr>
                                <w:i/>
                                <w:iCs/>
                                <w:color w:val="AD84C6" w:themeColor="accent1"/>
                              </w:rPr>
                              <w:t xml:space="preserve"> we are seeing a need with prices rising and increase housing instability. We have more people reaching out for mutual aid to cover funding for their rent or </w:t>
                            </w:r>
                            <w:proofErr w:type="gramStart"/>
                            <w:r>
                              <w:rPr>
                                <w:i/>
                                <w:iCs/>
                                <w:color w:val="AD84C6" w:themeColor="accent1"/>
                              </w:rPr>
                              <w:t>food, or</w:t>
                            </w:r>
                            <w:proofErr w:type="gramEnd"/>
                            <w:r>
                              <w:rPr>
                                <w:i/>
                                <w:iCs/>
                                <w:color w:val="AD84C6" w:themeColor="accent1"/>
                              </w:rPr>
                              <w:t xml:space="preserve"> need helping applying to jobs or getting clothing for their first day of work.”</w:t>
                            </w:r>
                            <w:r>
                              <w:rPr>
                                <w:color w:val="AD84C6" w:themeColor="accent1"/>
                              </w:rPr>
                              <w:t xml:space="preserve"> – Community organization supporting youth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D9B5D6" id="_x0000_s1043" type="#_x0000_t202" style="position:absolute;left:0;text-align:left;margin-left:77.6pt;margin-top:43.9pt;width:447.85pt;height:110.55pt;z-index:251697152;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LzlAAIAANYDAAAOAAAAZHJzL2Uyb0RvYy54bWysU9uO2yAQfa/Uf0C8N3bSOBcrzmq721SV&#10;thdptx9AMI5RgaFAYqdf3wF7s1H7tqofEDCeM3POHDY3vVbkJJyXYCo6neSUCMOhluZQ0R9Pu3cr&#10;SnxgpmYKjKjoWXh6s337ZtPZUsygBVULRxDE+LKzFW1DsGWWed4KzfwErDAYbMBpFvDoDlntWIfo&#10;WmWzPF9kHbjaOuDCe7y9H4J0m/CbRvDwrWm8CERVFHsLaXVp3cc1225YeXDMtpKPbbBXdKGZNFj0&#10;AnXPAiNHJ/+B0pI78NCECQedQdNILhIHZDPN/2Lz2DIrEhcUx9uLTP7/wfKvp0f73ZHQf4AeB5hI&#10;ePsA/KcnBu5aZg7i1jnoWsFqLDyNkmWd9eWYGqX2pY8g++4L1DhkdgyQgPrG6agK8iSIjgM4X0QX&#10;fSAcL4vFarlYF5RwjE3n+fv1qkg1WPmcbp0PnwRoEjcVdTjVBM9ODz7Edlj5/EusZmAnlUqTVYZ0&#10;FV0XsyIlXEW0DGg8JXVFV3n8BitElh9NnZIDk2rYYwFlRtqR6cA59PueyBq7XsbkKMMe6jMK4WAw&#10;Gj4M3LTgflPSockq6n8dmROUqM8GxVxP5/PoynSYF8sZHtx1ZH8dYYYjVEUDJcP2LiQnR87e3qLo&#10;O5nkeOlk7BnNk1QajR7deX1Of708x+0fAAAA//8DAFBLAwQUAAYACAAAACEARwj7JN4AAAALAQAA&#10;DwAAAGRycy9kb3ducmV2LnhtbEyPwU7DMBBE70j8g7VI3KhNUGga4lQVassRKBFnN16SiHht2W4a&#10;/h73BMfRPs2+qdazGdmEPgyWJNwvBDCk1uqBOgnNx+6uABaiIq1GSyjhBwOs6+urSpXanukdp0Ps&#10;WCqhUCoJfYyu5Dy0PRoVFtYhpduX9UbFFH3HtVfnVG5GngnxyI0aKH3olcPnHtvvw8lIcNHtly/+&#10;9W2z3U2i+dw32dBtpby9mTdPwCLO8Q+Gi35Shzo5He2JdGBjynmeJVRCsUwTLoDIxQrYUcKDKFbA&#10;64r/31D/AgAA//8DAFBLAQItABQABgAIAAAAIQC2gziS/gAAAOEBAAATAAAAAAAAAAAAAAAAAAAA&#10;AABbQ29udGVudF9UeXBlc10ueG1sUEsBAi0AFAAGAAgAAAAhADj9If/WAAAAlAEAAAsAAAAAAAAA&#10;AAAAAAAALwEAAF9yZWxzLy5yZWxzUEsBAi0AFAAGAAgAAAAhAHjgvOUAAgAA1gMAAA4AAAAAAAAA&#10;AAAAAAAALgIAAGRycy9lMm9Eb2MueG1sUEsBAi0AFAAGAAgAAAAhAEcI+yTeAAAACwEAAA8AAAAA&#10;AAAAAAAAAAAAWgQAAGRycy9kb3ducmV2LnhtbFBLBQYAAAAABAAEAPMAAABlBQAAAAA=&#10;" filled="f" stroked="f">
                <v:textbox style="mso-fit-shape-to-text:t">
                  <w:txbxContent>
                    <w:p w14:paraId="6983D0CE" w14:textId="24E99B37" w:rsidR="00EF1335" w:rsidRPr="00EF1335" w:rsidRDefault="00EF1335" w:rsidP="00215027">
                      <w:pPr>
                        <w:pBdr>
                          <w:top w:val="single" w:sz="24" w:space="8" w:color="AD84C6" w:themeColor="accent1"/>
                          <w:bottom w:val="single" w:sz="24" w:space="8" w:color="AD84C6" w:themeColor="accent1"/>
                        </w:pBdr>
                        <w:spacing w:before="0" w:after="0" w:line="240" w:lineRule="auto"/>
                        <w:rPr>
                          <w:color w:val="AD84C6" w:themeColor="accent1"/>
                        </w:rPr>
                      </w:pPr>
                      <w:r>
                        <w:rPr>
                          <w:i/>
                          <w:iCs/>
                          <w:color w:val="AD84C6" w:themeColor="accent1"/>
                        </w:rPr>
                        <w:t xml:space="preserve">“We need more housing and mutual aid support. </w:t>
                      </w:r>
                      <w:proofErr w:type="gramStart"/>
                      <w:r>
                        <w:rPr>
                          <w:i/>
                          <w:iCs/>
                          <w:color w:val="AD84C6" w:themeColor="accent1"/>
                        </w:rPr>
                        <w:t>More and more</w:t>
                      </w:r>
                      <w:proofErr w:type="gramEnd"/>
                      <w:r>
                        <w:rPr>
                          <w:i/>
                          <w:iCs/>
                          <w:color w:val="AD84C6" w:themeColor="accent1"/>
                        </w:rPr>
                        <w:t xml:space="preserve"> we are seeing a need with prices rising and increase housing instability. We have more people reaching out for mutual aid to cover funding for their rent or </w:t>
                      </w:r>
                      <w:proofErr w:type="gramStart"/>
                      <w:r>
                        <w:rPr>
                          <w:i/>
                          <w:iCs/>
                          <w:color w:val="AD84C6" w:themeColor="accent1"/>
                        </w:rPr>
                        <w:t>food, or</w:t>
                      </w:r>
                      <w:proofErr w:type="gramEnd"/>
                      <w:r>
                        <w:rPr>
                          <w:i/>
                          <w:iCs/>
                          <w:color w:val="AD84C6" w:themeColor="accent1"/>
                        </w:rPr>
                        <w:t xml:space="preserve"> need helping applying to jobs or getting clothing for their first day of work.”</w:t>
                      </w:r>
                      <w:r>
                        <w:rPr>
                          <w:color w:val="AD84C6" w:themeColor="accent1"/>
                        </w:rPr>
                        <w:t xml:space="preserve"> – Community organization supporting youth</w:t>
                      </w:r>
                    </w:p>
                  </w:txbxContent>
                </v:textbox>
                <w10:wrap type="square" anchorx="page"/>
              </v:shape>
            </w:pict>
          </mc:Fallback>
        </mc:AlternateContent>
      </w:r>
      <w:r w:rsidRPr="00083E3E">
        <w:t>investment in age-appropriate and affirming housing supports.</w:t>
      </w:r>
      <w:r w:rsidR="007D5540">
        <w:t xml:space="preserve"> </w:t>
      </w:r>
    </w:p>
    <w:p w14:paraId="7A2B5869" w14:textId="0B1E766E" w:rsidR="00592E89" w:rsidRPr="00083E3E" w:rsidRDefault="00592E89" w:rsidP="0005607E">
      <w:pPr>
        <w:jc w:val="both"/>
      </w:pPr>
      <w:r w:rsidRPr="00083E3E">
        <w:t>Recent developments further heighten concern. The Commission has received reports that some community programs and shelters - particularly those reliant on federal funding - are scaling back openly LGBTQ-affirming language and services. Nationally, shifts in federal policy and funding priorities, including the review of major funding streams through the U.S. Department of Justice’s Office on Violence Against Women and the U.S. Department of Health and Human Services’ Family Violence Prevention programs, create additional uncertainty for providers.</w:t>
      </w:r>
      <w:r w:rsidRPr="00083E3E">
        <w:rPr>
          <w:rStyle w:val="FootnoteReference"/>
          <w:sz w:val="22"/>
          <w:szCs w:val="22"/>
        </w:rPr>
        <w:footnoteReference w:id="92"/>
      </w:r>
      <w:r w:rsidRPr="00083E3E">
        <w:t xml:space="preserve"> These trends reinforce the need for Massachusetts to strengthen state-level investments to ensure continuity and accessibility of affirming services.</w:t>
      </w:r>
    </w:p>
    <w:p w14:paraId="4ED96A0A" w14:textId="6496D7CE" w:rsidR="00592E89" w:rsidRPr="00083E3E" w:rsidRDefault="00592E89" w:rsidP="0005607E">
      <w:pPr>
        <w:jc w:val="both"/>
      </w:pPr>
      <w:r w:rsidRPr="00083E3E">
        <w:t xml:space="preserve">The Commission therefore recommends increased and sustained funding for drop-in centers, youth shelters, and housing programs, including transitional and independent living options. Continued investment in the Executive Office of Health and Human Services (EOHHS) Homeless Youth Services line item (4000-0007) is critical, as it directly supports many programs serving youth experiencing homelessness. Similarly, ongoing support for Department of Mental Health (DMH) Access Centers - which provide low-barrier, youth-centered services - is essential. </w:t>
      </w:r>
      <w:r w:rsidR="005F70DF">
        <w:t>Additionally, p</w:t>
      </w:r>
      <w:r w:rsidRPr="00083E3E">
        <w:t xml:space="preserve">rograms </w:t>
      </w:r>
      <w:r w:rsidR="005F70DF">
        <w:t xml:space="preserve">like </w:t>
      </w:r>
      <w:r w:rsidRPr="00083E3E">
        <w:t>the Chelsea Access Center’s “Youth Elemento” demonstrate effective, affirming models that should be expanded statewide.</w:t>
      </w:r>
    </w:p>
    <w:p w14:paraId="4C4F9456" w14:textId="210351D7" w:rsidR="00592E89" w:rsidRPr="00083E3E" w:rsidRDefault="00592E89" w:rsidP="0005607E">
      <w:pPr>
        <w:jc w:val="both"/>
      </w:pPr>
      <w:r w:rsidRPr="00083E3E">
        <w:t>Data consistently highlight</w:t>
      </w:r>
      <w:r w:rsidR="005F70DF">
        <w:t>s</w:t>
      </w:r>
      <w:r w:rsidRPr="00083E3E">
        <w:t xml:space="preserve"> the need for </w:t>
      </w:r>
      <w:r w:rsidR="005F70DF">
        <w:t xml:space="preserve">increased </w:t>
      </w:r>
      <w:r w:rsidRPr="00083E3E">
        <w:t>investments</w:t>
      </w:r>
      <w:r w:rsidR="005F70DF">
        <w:t xml:space="preserve"> into youth homelessness supports</w:t>
      </w:r>
      <w:r w:rsidRPr="00083E3E">
        <w:t>. The 2024 Massachusetts Youth Count identifies long-term and transitional housing as among the most pressing needs for youth experiencing homelessness.</w:t>
      </w:r>
      <w:r w:rsidRPr="00083E3E">
        <w:rPr>
          <w:rStyle w:val="FootnoteReference"/>
          <w:sz w:val="22"/>
          <w:szCs w:val="22"/>
        </w:rPr>
        <w:footnoteReference w:id="93"/>
      </w:r>
      <w:r w:rsidRPr="00083E3E">
        <w:t xml:space="preserve"> National research from The Trevor Project (2022) further shows that LGBTQ youth are disproportionately affected, with 28% reporting experiences of homelessness or housing instability and significantly elevated risks of adverse mental health outcomes, including suicide attempts at rates more than three times </w:t>
      </w:r>
      <w:r w:rsidRPr="00083E3E">
        <w:lastRenderedPageBreak/>
        <w:t>higher than their housed peers.</w:t>
      </w:r>
      <w:r w:rsidRPr="00083E3E">
        <w:rPr>
          <w:rStyle w:val="FootnoteReference"/>
          <w:sz w:val="22"/>
          <w:szCs w:val="22"/>
        </w:rPr>
        <w:footnoteReference w:id="94"/>
      </w:r>
      <w:r w:rsidRPr="00083E3E">
        <w:t xml:space="preserve"> In Massachusetts, the 2024 Massachusetts Youth Count also found that 62% of LGBTQ youth reported needing mental health services, with many receiving </w:t>
      </w:r>
      <w:r w:rsidR="005F70DF">
        <w:rPr>
          <w:noProof/>
        </w:rPr>
        <w:drawing>
          <wp:anchor distT="0" distB="0" distL="114300" distR="114300" simplePos="0" relativeHeight="251747328" behindDoc="0" locked="0" layoutInCell="1" allowOverlap="1" wp14:anchorId="2CC26164" wp14:editId="7089C336">
            <wp:simplePos x="0" y="0"/>
            <wp:positionH relativeFrom="column">
              <wp:posOffset>57150</wp:posOffset>
            </wp:positionH>
            <wp:positionV relativeFrom="paragraph">
              <wp:posOffset>697906</wp:posOffset>
            </wp:positionV>
            <wp:extent cx="3152775" cy="1910715"/>
            <wp:effectExtent l="0" t="0" r="9525" b="0"/>
            <wp:wrapSquare wrapText="bothSides"/>
            <wp:docPr id="537624253" name="Picture 57" descr="a graphic saying that 62% of LGBTQ youth that needed mental health services only received partial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624253" name="Picture 57" descr="a graphic saying that 62% of LGBTQ youth that needed mental health services only received partial support"/>
                    <pic:cNvPicPr/>
                  </pic:nvPicPr>
                  <pic:blipFill rotWithShape="1">
                    <a:blip r:embed="rId34" cstate="print">
                      <a:extLst>
                        <a:ext uri="{28A0092B-C50C-407E-A947-70E740481C1C}">
                          <a14:useLocalDpi xmlns:a14="http://schemas.microsoft.com/office/drawing/2010/main" val="0"/>
                        </a:ext>
                      </a:extLst>
                    </a:blip>
                    <a:srcRect l="6410" t="13599" r="6891" b="12058"/>
                    <a:stretch>
                      <a:fillRect/>
                    </a:stretch>
                  </pic:blipFill>
                  <pic:spPr bwMode="auto">
                    <a:xfrm>
                      <a:off x="0" y="0"/>
                      <a:ext cx="3152775" cy="1910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83E3E">
        <w:t>only partial support.</w:t>
      </w:r>
      <w:r w:rsidRPr="00083E3E">
        <w:rPr>
          <w:rStyle w:val="FootnoteReference"/>
          <w:sz w:val="22"/>
          <w:szCs w:val="22"/>
        </w:rPr>
        <w:footnoteReference w:id="95"/>
      </w:r>
    </w:p>
    <w:p w14:paraId="7DD7D8A8" w14:textId="19CB22D0" w:rsidR="00592E89" w:rsidRPr="00083E3E" w:rsidRDefault="005F70DF" w:rsidP="0005607E">
      <w:pPr>
        <w:jc w:val="both"/>
      </w:pPr>
      <w:r>
        <w:rPr>
          <w:noProof/>
        </w:rPr>
        <w:t>Overall, sustained,</w:t>
      </w:r>
      <w:r w:rsidR="00592E89" w:rsidRPr="00083E3E">
        <w:t xml:space="preserve"> state-level investment </w:t>
      </w:r>
      <w:r>
        <w:t xml:space="preserve">is critical to support </w:t>
      </w:r>
      <w:r w:rsidR="00592E89" w:rsidRPr="00083E3E">
        <w:t>comprehensive, LGBTQ-affirming housing and support services. Expanding access to stable housing</w:t>
      </w:r>
      <w:r>
        <w:t xml:space="preserve"> and youth-focused </w:t>
      </w:r>
      <w:r w:rsidR="00592E89" w:rsidRPr="00083E3E">
        <w:t>drop-in resources</w:t>
      </w:r>
      <w:r>
        <w:t xml:space="preserve"> are also </w:t>
      </w:r>
      <w:r w:rsidR="00592E89" w:rsidRPr="00083E3E">
        <w:t>essential to</w:t>
      </w:r>
      <w:r>
        <w:t xml:space="preserve"> </w:t>
      </w:r>
      <w:r w:rsidR="00592E89" w:rsidRPr="00083E3E">
        <w:t xml:space="preserve">ensuring that all youth - particularly transition-aged foster youth and LGBTQ youth - have the stability and support necessary to thrive. </w:t>
      </w:r>
    </w:p>
    <w:p w14:paraId="3B7D004C" w14:textId="71D4DB11" w:rsidR="00592E89" w:rsidRPr="00083E3E" w:rsidRDefault="00592E89" w:rsidP="00E97E73">
      <w:pPr>
        <w:pStyle w:val="Heading3"/>
      </w:pPr>
      <w:bookmarkStart w:id="126" w:name="_Toc230277323"/>
      <w:r w:rsidRPr="00083E3E">
        <w:t>Implement the recommendations highlighted in the 2025 report of the Unaccompanied Homeless Youth Commission’s regarding young adults exchanging sex to meet their needs.</w:t>
      </w:r>
      <w:bookmarkEnd w:id="126"/>
    </w:p>
    <w:p w14:paraId="57136F7B" w14:textId="5114C2D3" w:rsidR="00E634B5" w:rsidRDefault="00E634B5" w:rsidP="0005607E">
      <w:pPr>
        <w:jc w:val="both"/>
      </w:pPr>
      <w:r>
        <w:t xml:space="preserve">During the Commission’s FY 2026 listening sessions, community </w:t>
      </w:r>
      <w:r w:rsidRPr="00E634B5">
        <w:t xml:space="preserve">providers </w:t>
      </w:r>
      <w:r w:rsidR="00A37010">
        <w:t xml:space="preserve">identified </w:t>
      </w:r>
      <w:r w:rsidRPr="00E634B5">
        <w:t xml:space="preserve">housing instability, </w:t>
      </w:r>
      <w:r w:rsidR="00A37010">
        <w:t xml:space="preserve">economic </w:t>
      </w:r>
      <w:r w:rsidRPr="00E634B5">
        <w:t xml:space="preserve">insecurity, lack of </w:t>
      </w:r>
      <w:r w:rsidR="00A37010">
        <w:t xml:space="preserve">access to </w:t>
      </w:r>
      <w:r w:rsidRPr="00E634B5">
        <w:t xml:space="preserve">gender-affirming supplies, and limited </w:t>
      </w:r>
      <w:r w:rsidR="00A37010">
        <w:t xml:space="preserve">contact with </w:t>
      </w:r>
      <w:r w:rsidRPr="00E634B5">
        <w:t xml:space="preserve">trusted adults as </w:t>
      </w:r>
      <w:r w:rsidR="005F70DF">
        <w:t>barriers</w:t>
      </w:r>
      <w:r w:rsidR="00A37010">
        <w:t xml:space="preserve"> </w:t>
      </w:r>
      <w:r w:rsidRPr="00E634B5">
        <w:t xml:space="preserve">that can increase youth vulnerability to exploitation </w:t>
      </w:r>
      <w:r w:rsidR="00A37010">
        <w:t>and/</w:t>
      </w:r>
      <w:r w:rsidRPr="00E634B5">
        <w:t xml:space="preserve">or survival economies. </w:t>
      </w:r>
    </w:p>
    <w:p w14:paraId="6E9AF072" w14:textId="5D04238F" w:rsidR="00592E89" w:rsidRPr="00083E3E" w:rsidRDefault="00592E89" w:rsidP="0005607E">
      <w:pPr>
        <w:jc w:val="both"/>
      </w:pPr>
      <w:r w:rsidRPr="00083E3E">
        <w:t>The 2024 Youth Count highlight</w:t>
      </w:r>
      <w:r w:rsidR="005F70DF">
        <w:t>ed</w:t>
      </w:r>
      <w:r w:rsidRPr="00083E3E">
        <w:t xml:space="preserve"> that</w:t>
      </w:r>
      <w:r w:rsidR="005F70DF">
        <w:t xml:space="preserve"> </w:t>
      </w:r>
      <w:r w:rsidRPr="00083E3E">
        <w:t xml:space="preserve">44.3% of its LGBTQ+ respondents had ever exchanged sex or sexual content for basic needs. </w:t>
      </w:r>
      <w:r w:rsidR="005F70DF">
        <w:t>Y</w:t>
      </w:r>
      <w:r w:rsidRPr="00083E3E">
        <w:t>outh engaging in this practice are often at a higher risk of exploitation and trafficking, highlighting the critical need for programs and services who are trained to identify and support at-risk youth</w:t>
      </w:r>
      <w:r w:rsidR="005F70DF">
        <w:t>. Additionally,</w:t>
      </w:r>
      <w:r w:rsidRPr="00083E3E">
        <w:t xml:space="preserve"> 26.7% of Youth Count respondents who reported exchanging sex or sexual content for basic needs also shared that someone else was keeping or holding the profits for the youth - 43% of these respondents identified as LGBTQ+</w:t>
      </w:r>
      <w:r w:rsidR="00971130">
        <w:t>.</w:t>
      </w:r>
      <w:r w:rsidRPr="00083E3E">
        <w:rPr>
          <w:rStyle w:val="FootnoteReference"/>
          <w:sz w:val="22"/>
          <w:szCs w:val="22"/>
        </w:rPr>
        <w:footnoteReference w:id="96"/>
      </w:r>
    </w:p>
    <w:p w14:paraId="246C4BB8" w14:textId="4B51E11D" w:rsidR="00592E89" w:rsidRPr="00083E3E" w:rsidRDefault="00592E89" w:rsidP="0005607E">
      <w:pPr>
        <w:jc w:val="both"/>
      </w:pPr>
      <w:r w:rsidRPr="00083E3E">
        <w:lastRenderedPageBreak/>
        <w:t>The Unaccompanied Homeless Youth Commission’s reissued 2025 report on young adults who experience homelessness or housing instability and exchange sex to meet their basic needs highlighted five findings:</w:t>
      </w:r>
      <w:r w:rsidRPr="00083E3E">
        <w:rPr>
          <w:rStyle w:val="FootnoteReference"/>
          <w:sz w:val="22"/>
          <w:szCs w:val="22"/>
        </w:rPr>
        <w:footnoteReference w:id="97"/>
      </w:r>
    </w:p>
    <w:p w14:paraId="68DC3418" w14:textId="799849B5" w:rsidR="00592E89" w:rsidRPr="00083E3E" w:rsidRDefault="00592E89">
      <w:pPr>
        <w:pStyle w:val="ListParagraph"/>
        <w:numPr>
          <w:ilvl w:val="0"/>
          <w:numId w:val="1"/>
        </w:numPr>
        <w:jc w:val="both"/>
      </w:pPr>
      <w:r w:rsidRPr="00083E3E">
        <w:t xml:space="preserve">Youth Homelessness Service Providers are not consistently meeting the sexual health needs of young adults who are experiencing homelessness or housing instability. </w:t>
      </w:r>
    </w:p>
    <w:p w14:paraId="27772EE1" w14:textId="3729BAB7" w:rsidR="00592E89" w:rsidRPr="00083E3E" w:rsidRDefault="00592E89">
      <w:pPr>
        <w:pStyle w:val="ListParagraph"/>
        <w:numPr>
          <w:ilvl w:val="0"/>
          <w:numId w:val="1"/>
        </w:numPr>
        <w:jc w:val="both"/>
      </w:pPr>
      <w:r w:rsidRPr="00083E3E">
        <w:t>Young Adults experiencing homelessness have limited financial resources, and exchanging sex allows them to attain funds to meet basic and other needs. Marginalized populations, including young adults of color, trans-identified young adults, or those without legal status, face compounded challenges of obtaining income.</w:t>
      </w:r>
    </w:p>
    <w:p w14:paraId="18FDF71E" w14:textId="07791E88" w:rsidR="00592E89" w:rsidRPr="00083E3E" w:rsidRDefault="00592E89">
      <w:pPr>
        <w:pStyle w:val="ListParagraph"/>
        <w:numPr>
          <w:ilvl w:val="0"/>
          <w:numId w:val="1"/>
        </w:numPr>
        <w:jc w:val="both"/>
      </w:pPr>
      <w:r w:rsidRPr="00083E3E">
        <w:t xml:space="preserve">Providers serving youth experiencing homelessness are not consistently identifying YA- ESN, and young adults should not need to disclose ESN to receive appropriate support. </w:t>
      </w:r>
    </w:p>
    <w:p w14:paraId="21601CB3" w14:textId="17E7AE56" w:rsidR="00592E89" w:rsidRPr="00083E3E" w:rsidRDefault="00592E89">
      <w:pPr>
        <w:pStyle w:val="ListParagraph"/>
        <w:numPr>
          <w:ilvl w:val="0"/>
          <w:numId w:val="1"/>
        </w:numPr>
        <w:jc w:val="both"/>
      </w:pPr>
      <w:r w:rsidRPr="00083E3E">
        <w:t>Young Adults, especially YA-ESN, struggle to obtain and sustain housing for reasons that include the existence of a criminal record and the need to document their income. Landlord prejudice and racism may exacerbate these issues.</w:t>
      </w:r>
    </w:p>
    <w:p w14:paraId="2D32E508" w14:textId="2A8152D7" w:rsidR="00592E89" w:rsidRPr="00083E3E" w:rsidRDefault="00592E89">
      <w:pPr>
        <w:pStyle w:val="ListParagraph"/>
        <w:numPr>
          <w:ilvl w:val="0"/>
          <w:numId w:val="1"/>
        </w:numPr>
        <w:jc w:val="both"/>
      </w:pPr>
      <w:r w:rsidRPr="00083E3E">
        <w:t>Young Adults, especially YA-ESN, struggle to obtain appropriate and accessible behavioral health (mental health and substance use) support.</w:t>
      </w:r>
    </w:p>
    <w:p w14:paraId="5AD94DAE" w14:textId="27ED86C3" w:rsidR="00592E89" w:rsidRPr="00083E3E" w:rsidRDefault="00592E89" w:rsidP="0005607E">
      <w:pPr>
        <w:jc w:val="both"/>
      </w:pPr>
      <w:r w:rsidRPr="00083E3E">
        <w:t xml:space="preserve">Each of these findings then highlighted </w:t>
      </w:r>
      <w:r w:rsidR="00B443A2" w:rsidRPr="00083E3E">
        <w:t>several</w:t>
      </w:r>
      <w:r w:rsidRPr="00083E3E">
        <w:t xml:space="preserve"> recommendations for the Commonwealth to implement. Many of these recommendations match other recommendations </w:t>
      </w:r>
      <w:r w:rsidR="00971130">
        <w:t>included in</w:t>
      </w:r>
      <w:r w:rsidRPr="00083E3E">
        <w:t xml:space="preserve"> this annual report, including </w:t>
      </w:r>
      <w:r w:rsidR="00971130">
        <w:t xml:space="preserve">increased </w:t>
      </w:r>
      <w:r w:rsidRPr="00083E3E">
        <w:t xml:space="preserve">trainings for providers; increased access to safer sex supplies; stronger interagency connections to support youth transitioning out of state systems with warm hand-offs and increased access to benefits; addressing barriers to homelessness; and increased mental health services support. The Commission overwhelmingly supports the recommendations issued by the UHYC and strongly encourages urgent implementation. </w:t>
      </w:r>
    </w:p>
    <w:p w14:paraId="59DEB3F5" w14:textId="39A340C7" w:rsidR="00592E89" w:rsidRPr="00083E3E" w:rsidRDefault="00592E89" w:rsidP="00E97E73">
      <w:pPr>
        <w:pStyle w:val="Heading3"/>
      </w:pPr>
      <w:bookmarkStart w:id="127" w:name="_Toc230277324"/>
      <w:r w:rsidRPr="00083E3E">
        <w:t>Invest in homelessness prevention and transitional housing resources.</w:t>
      </w:r>
      <w:bookmarkEnd w:id="127"/>
    </w:p>
    <w:p w14:paraId="6DFBF29D" w14:textId="713BD7D2" w:rsidR="00215027" w:rsidRDefault="00971130" w:rsidP="0005607E">
      <w:pPr>
        <w:jc w:val="both"/>
      </w:pPr>
      <w:r>
        <w:t xml:space="preserve">Over the past few years, the Massachusetts Youth Count has consistently </w:t>
      </w:r>
      <w:r w:rsidR="00592E89" w:rsidRPr="00083E3E">
        <w:t>show</w:t>
      </w:r>
      <w:r w:rsidR="007D4C0C">
        <w:t>n</w:t>
      </w:r>
      <w:r w:rsidR="00592E89" w:rsidRPr="00083E3E">
        <w:t xml:space="preserve"> that</w:t>
      </w:r>
      <w:r>
        <w:t xml:space="preserve"> </w:t>
      </w:r>
      <w:r w:rsidR="00592E89" w:rsidRPr="00083E3E">
        <w:t xml:space="preserve">approximately one out of every three or four youth experiencing homelessness </w:t>
      </w:r>
      <w:r>
        <w:t xml:space="preserve">in Massachusetts </w:t>
      </w:r>
      <w:r w:rsidR="00592E89" w:rsidRPr="00083E3E">
        <w:t>identifies as LGBTQ.</w:t>
      </w:r>
      <w:r w:rsidR="00592E89" w:rsidRPr="00083E3E">
        <w:rPr>
          <w:rStyle w:val="FootnoteReference"/>
          <w:sz w:val="22"/>
          <w:szCs w:val="22"/>
        </w:rPr>
        <w:footnoteReference w:id="98"/>
      </w:r>
      <w:r w:rsidR="00592E89" w:rsidRPr="00083E3E">
        <w:t xml:space="preserve"> A</w:t>
      </w:r>
      <w:r>
        <w:t>dditionally, because of</w:t>
      </w:r>
      <w:r w:rsidR="00592E89" w:rsidRPr="00083E3E">
        <w:t xml:space="preserve"> these experiences, LGBTQ youth may turn to sex work or selling drugs to survive, which can often lead to some type of involvement with the </w:t>
      </w:r>
      <w:r w:rsidR="00592E89" w:rsidRPr="00083E3E">
        <w:lastRenderedPageBreak/>
        <w:t>criminal legal system, including incarceration. The state's shelter system, especially for LGBTQ youth, is under-resourced and can be unsafe, forcing youth out into public spaces and increasing their interactions with law enforcement. Traditional emergency homeless shelters can be dangerous environments for LGBTQ youth due to several intertwined factors</w:t>
      </w:r>
      <w:r>
        <w:t>, including that t</w:t>
      </w:r>
      <w:r w:rsidR="00592E89" w:rsidRPr="00083E3E">
        <w:t xml:space="preserve">hese facilities may lack staff trained in LGBTQ care, leading to an environment where discrimination, harassment, and even violence against LGBTQ </w:t>
      </w:r>
      <w:r>
        <w:t xml:space="preserve">individuals </w:t>
      </w:r>
      <w:r w:rsidR="00592E89" w:rsidRPr="00083E3E">
        <w:t xml:space="preserve">can occur unchecked. </w:t>
      </w:r>
    </w:p>
    <w:p w14:paraId="39E41A3D" w14:textId="3F5FFAD1" w:rsidR="00592E89" w:rsidRPr="00083E3E" w:rsidRDefault="00215027" w:rsidP="0005607E">
      <w:pPr>
        <w:jc w:val="both"/>
      </w:pPr>
      <w:r>
        <w:rPr>
          <w:noProof/>
        </w:rPr>
        <w:drawing>
          <wp:anchor distT="0" distB="0" distL="114300" distR="114300" simplePos="0" relativeHeight="251748352" behindDoc="0" locked="0" layoutInCell="1" allowOverlap="1" wp14:anchorId="710C28A1" wp14:editId="27D9CAB8">
            <wp:simplePos x="0" y="0"/>
            <wp:positionH relativeFrom="column">
              <wp:posOffset>2874010</wp:posOffset>
            </wp:positionH>
            <wp:positionV relativeFrom="paragraph">
              <wp:posOffset>85725</wp:posOffset>
            </wp:positionV>
            <wp:extent cx="3070225" cy="1543685"/>
            <wp:effectExtent l="0" t="0" r="0" b="0"/>
            <wp:wrapSquare wrapText="bothSides"/>
            <wp:docPr id="1746646180" name="Picture 58" descr="a graphic saying that one out of every three or four youth experiencing homelessness identifies as LGBT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646180" name="Picture 58" descr="a graphic saying that one out of every three or four youth experiencing homelessness identifies as LGBTQ"/>
                    <pic:cNvPicPr/>
                  </pic:nvPicPr>
                  <pic:blipFill rotWithShape="1">
                    <a:blip r:embed="rId35" cstate="print">
                      <a:extLst>
                        <a:ext uri="{28A0092B-C50C-407E-A947-70E740481C1C}">
                          <a14:useLocalDpi xmlns:a14="http://schemas.microsoft.com/office/drawing/2010/main" val="0"/>
                        </a:ext>
                      </a:extLst>
                    </a:blip>
                    <a:srcRect l="5931" t="18360" r="5448" b="18630"/>
                    <a:stretch>
                      <a:fillRect/>
                    </a:stretch>
                  </pic:blipFill>
                  <pic:spPr bwMode="auto">
                    <a:xfrm>
                      <a:off x="0" y="0"/>
                      <a:ext cx="3070225" cy="15436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2E89" w:rsidRPr="00083E3E">
        <w:t>Furthermore, shelter policies and practices may not respect the gender identities of transgender and nonbinary youth, forcing them into accommodations that do not align with their gender identity and exposing them to heightened risks of abuse and trauma.</w:t>
      </w:r>
      <w:r w:rsidR="00592E89" w:rsidRPr="00083E3E">
        <w:rPr>
          <w:rStyle w:val="FootnoteReference"/>
          <w:sz w:val="22"/>
          <w:szCs w:val="22"/>
        </w:rPr>
        <w:footnoteReference w:id="99"/>
      </w:r>
      <w:r w:rsidR="00592E89" w:rsidRPr="00083E3E">
        <w:t xml:space="preserve"> This situation </w:t>
      </w:r>
      <w:r w:rsidR="007D4C0C">
        <w:t xml:space="preserve">can create </w:t>
      </w:r>
      <w:r w:rsidR="00592E89" w:rsidRPr="00083E3E">
        <w:t xml:space="preserve">a vicious cycle where homelessness contributes to criminalization, which in turn exacerbates the challenges faced by these youths. Improving LGBTQ-friendly shelter availability and the safety of emergency shelters, particularly for those under </w:t>
      </w:r>
      <w:r w:rsidR="007D658D" w:rsidRPr="00083E3E">
        <w:t>eighteen</w:t>
      </w:r>
      <w:r w:rsidR="00592E89" w:rsidRPr="00083E3E">
        <w:t xml:space="preserve">, are crucial steps toward addressing the systemic failures that funnel LGBTQ youth into the criminal legal system. </w:t>
      </w:r>
    </w:p>
    <w:p w14:paraId="20C442C3" w14:textId="602607E1" w:rsidR="00592E89" w:rsidRPr="00083E3E" w:rsidRDefault="00592E89" w:rsidP="0005607E">
      <w:pPr>
        <w:jc w:val="both"/>
      </w:pPr>
      <w:r w:rsidRPr="00083E3E">
        <w:t xml:space="preserve">Additionally, after release from incarceration, many returning youth struggle to find stability and often face homelessness. The Commission strongly recommends that the Commonwealth allocate funding to the development and expansion of transitional housing resources for formerly incarcerated LGBTQ youth, particularly for those aged 22 to 24 who may not be eligible for other state services. An example of this transitional housing program is offered by the Transgender Emergency Fund Transitional Housing Program, which houses up to eight transgender and gender expansive individuals currently experiencing homelessness. </w:t>
      </w:r>
    </w:p>
    <w:p w14:paraId="57E197D1" w14:textId="091A32D2" w:rsidR="00592E89" w:rsidRPr="00083E3E" w:rsidRDefault="00592E89" w:rsidP="00E97E73">
      <w:pPr>
        <w:pStyle w:val="Heading3"/>
      </w:pPr>
      <w:bookmarkStart w:id="128" w:name="_Toc230277325"/>
      <w:r w:rsidRPr="00083E3E">
        <w:t>Improve access to rental assistance and housing stabilization programs, including increasing funding levels for RAFT.</w:t>
      </w:r>
      <w:bookmarkEnd w:id="128"/>
    </w:p>
    <w:p w14:paraId="18A4647F" w14:textId="79BD016D" w:rsidR="00592E89" w:rsidRPr="00083E3E" w:rsidRDefault="00592E89" w:rsidP="0005607E">
      <w:pPr>
        <w:jc w:val="both"/>
      </w:pPr>
      <w:r w:rsidRPr="00083E3E">
        <w:t xml:space="preserve">In October 2023, the Healey Administration announced </w:t>
      </w:r>
      <w:r w:rsidRPr="00083E3E">
        <w:rPr>
          <w:i/>
          <w:iCs/>
        </w:rPr>
        <w:t>The Affordable Homes Act</w:t>
      </w:r>
      <w:r w:rsidRPr="00083E3E">
        <w:t xml:space="preserve">, the largest housing investment in state history, which was signed into law in August 2024. </w:t>
      </w:r>
      <w:r w:rsidR="007D4C0C">
        <w:t>Additionally,</w:t>
      </w:r>
      <w:r w:rsidRPr="00083E3E">
        <w:t xml:space="preserve"> the Commonwealth has recently taken additional steps to reduce upfront housing barriers. As of 2026, tenant-paid broker’s fees have been eliminated, ensuring that renters are no longer </w:t>
      </w:r>
      <w:r w:rsidRPr="00083E3E">
        <w:lastRenderedPageBreak/>
        <w:t>required to pay broker fees as a condition of securing housing. This policy change represents a significant shift in reducing initial housing costs, particularly for young people and those with limited financial resources. Payment of broker’s fees has consistently been identified as a major barrier to accessing housing for LGBTQ youth, as highlighted in previous Commission reports, and this reform is an important step toward improving housing access.</w:t>
      </w:r>
    </w:p>
    <w:p w14:paraId="638BC471" w14:textId="282CBE31" w:rsidR="00592E89" w:rsidRPr="00083E3E" w:rsidRDefault="00215027" w:rsidP="0005607E">
      <w:pPr>
        <w:jc w:val="both"/>
      </w:pPr>
      <w:r>
        <w:rPr>
          <w:noProof/>
        </w:rPr>
        <mc:AlternateContent>
          <mc:Choice Requires="wps">
            <w:drawing>
              <wp:anchor distT="91440" distB="91440" distL="114300" distR="114300" simplePos="0" relativeHeight="251699200" behindDoc="0" locked="0" layoutInCell="1" allowOverlap="1" wp14:anchorId="427501F6" wp14:editId="256C14A4">
                <wp:simplePos x="0" y="0"/>
                <wp:positionH relativeFrom="page">
                  <wp:posOffset>3924300</wp:posOffset>
                </wp:positionH>
                <wp:positionV relativeFrom="paragraph">
                  <wp:posOffset>76200</wp:posOffset>
                </wp:positionV>
                <wp:extent cx="2924810" cy="1403985"/>
                <wp:effectExtent l="0" t="0" r="0" b="0"/>
                <wp:wrapSquare wrapText="bothSides"/>
                <wp:docPr id="454467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1403985"/>
                        </a:xfrm>
                        <a:prstGeom prst="rect">
                          <a:avLst/>
                        </a:prstGeom>
                        <a:noFill/>
                        <a:ln w="9525">
                          <a:noFill/>
                          <a:miter lim="800000"/>
                          <a:headEnd/>
                          <a:tailEnd/>
                        </a:ln>
                      </wps:spPr>
                      <wps:txbx>
                        <w:txbxContent>
                          <w:p w14:paraId="3C0F9FDB" w14:textId="0860A9A5" w:rsidR="00787384" w:rsidRPr="00787384" w:rsidRDefault="00787384" w:rsidP="00215027">
                            <w:pPr>
                              <w:pBdr>
                                <w:top w:val="single" w:sz="24" w:space="8" w:color="AD84C6" w:themeColor="accent1"/>
                                <w:bottom w:val="single" w:sz="24" w:space="8" w:color="AD84C6" w:themeColor="accent1"/>
                              </w:pBdr>
                              <w:spacing w:before="0" w:after="0" w:line="240" w:lineRule="auto"/>
                              <w:rPr>
                                <w:color w:val="AD84C6" w:themeColor="accent1"/>
                              </w:rPr>
                            </w:pPr>
                            <w:r>
                              <w:rPr>
                                <w:i/>
                                <w:iCs/>
                                <w:color w:val="AD84C6" w:themeColor="accent1"/>
                              </w:rPr>
                              <w:t>“We’ve seen a real increased need for financial support for young people experiencing housing instability.”</w:t>
                            </w:r>
                            <w:r>
                              <w:rPr>
                                <w:color w:val="AD84C6" w:themeColor="accent1"/>
                              </w:rPr>
                              <w:t xml:space="preserve"> – Community organization supporting youth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7501F6" id="_x0000_s1044" type="#_x0000_t202" style="position:absolute;left:0;text-align:left;margin-left:309pt;margin-top:6pt;width:230.3pt;height:110.55pt;z-index:251699200;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NS7/gEAANYDAAAOAAAAZHJzL2Uyb0RvYy54bWysU9uO0zAQfUfiHyy/01xoIY2arpZdipCW&#10;i7TwAa7jNBa2x9huk/L1jJ1st4I3RB4s25M5M+fM8eZm1IqchPMSTEOLRU6JMBxaaQ4N/f5t96qi&#10;xAdmWqbAiIaehac325cvNoOtRQk9qFY4giDG14NtaB+CrbPM815o5hdghcFgB06zgEd3yFrHBkTX&#10;Kivz/E02gGutAy68x9v7KUi3Cb/rBA9fus6LQFRDsbeQVpfWfVyz7YbVB8dsL/ncBvuHLjSTBote&#10;oO5ZYOTo5F9QWnIHHrqw4KAz6DrJReKAbIr8DzaPPbMicUFxvL3I5P8fLP98erRfHQnjOxhxgImE&#10;tw/Af3hi4K5n5iBunYOhF6zFwkWULBusr+fUKLWvfQTZD5+gxSGzY4AENHZOR1WQJ0F0HMD5IroY&#10;A+F4Wa7LZVVgiGOsWOav19Uq1WD1U7p1PnwQoEncNNThVBM8Oz34ENth9dMvsZqBnVQqTVYZMjR0&#10;vSpXKeEqomVA4ympG1rl8ZusEFm+N21KDkyqaY8FlJlpR6YT5zDuRyJb7LqKyVGGPbRnFMLBZDR8&#10;GLjpwf2iZECTNdT/PDInKFEfDYq5LpbL6Mp0WK7elnhw15H9dYQZjlANDZRM27uQnBw5e3uLou9k&#10;kuO5k7lnNE9SaTZ6dOf1Of31/By3vwEAAP//AwBQSwMEFAAGAAgAAAAhAEWI15jfAAAACwEAAA8A&#10;AABkcnMvZG93bnJldi54bWxMj8FqwzAQRO+F/oPYQm+NZAcc41oOoSTpsW1ielasjW1irYykOO7f&#10;Vzm1p2WYYfZNuZ7NwCZ0vrckIVkIYEiN1T21Eurj7iUH5oMirQZLKOEHPayrx4dSFdre6AunQ2hZ&#10;LCFfKAldCGPBuW86NMov7IgUvbN1RoUoXcu1U7dYbgaeCpFxo3qKHzo14luHzeVwNRLGMO5X7+7j&#10;c7PdTaL+3tdp326lfH6aN6/AAs7hLwx3/IgOVWQ62StpzwYJWZLHLSEaabz3gFjlGbCThHS5TIBX&#10;Jf+/ofoFAAD//wMAUEsBAi0AFAAGAAgAAAAhALaDOJL+AAAA4QEAABMAAAAAAAAAAAAAAAAAAAAA&#10;AFtDb250ZW50X1R5cGVzXS54bWxQSwECLQAUAAYACAAAACEAOP0h/9YAAACUAQAACwAAAAAAAAAA&#10;AAAAAAAvAQAAX3JlbHMvLnJlbHNQSwECLQAUAAYACAAAACEALyjUu/4BAADWAwAADgAAAAAAAAAA&#10;AAAAAAAuAgAAZHJzL2Uyb0RvYy54bWxQSwECLQAUAAYACAAAACEARYjXmN8AAAALAQAADwAAAAAA&#10;AAAAAAAAAABYBAAAZHJzL2Rvd25yZXYueG1sUEsFBgAAAAAEAAQA8wAAAGQFAAAAAA==&#10;" filled="f" stroked="f">
                <v:textbox style="mso-fit-shape-to-text:t">
                  <w:txbxContent>
                    <w:p w14:paraId="3C0F9FDB" w14:textId="0860A9A5" w:rsidR="00787384" w:rsidRPr="00787384" w:rsidRDefault="00787384" w:rsidP="00215027">
                      <w:pPr>
                        <w:pBdr>
                          <w:top w:val="single" w:sz="24" w:space="8" w:color="AD84C6" w:themeColor="accent1"/>
                          <w:bottom w:val="single" w:sz="24" w:space="8" w:color="AD84C6" w:themeColor="accent1"/>
                        </w:pBdr>
                        <w:spacing w:before="0" w:after="0" w:line="240" w:lineRule="auto"/>
                        <w:rPr>
                          <w:color w:val="AD84C6" w:themeColor="accent1"/>
                        </w:rPr>
                      </w:pPr>
                      <w:r>
                        <w:rPr>
                          <w:i/>
                          <w:iCs/>
                          <w:color w:val="AD84C6" w:themeColor="accent1"/>
                        </w:rPr>
                        <w:t>“We’ve seen a real increased need for financial support for young people experiencing housing instability.”</w:t>
                      </w:r>
                      <w:r>
                        <w:rPr>
                          <w:color w:val="AD84C6" w:themeColor="accent1"/>
                        </w:rPr>
                        <w:t xml:space="preserve"> – Community organization supporting youth</w:t>
                      </w:r>
                    </w:p>
                  </w:txbxContent>
                </v:textbox>
                <w10:wrap type="square" anchorx="page"/>
              </v:shape>
            </w:pict>
          </mc:Fallback>
        </mc:AlternateContent>
      </w:r>
      <w:r w:rsidR="00592E89" w:rsidRPr="00083E3E">
        <w:t xml:space="preserve">The issue of affordable housing, however, remains complex and requires sustained, multi-pronged interventions. The Commission continues to recommend the passage of two bills aimed at supporting rent stabilization and upstream homelessness prevention: </w:t>
      </w:r>
      <w:r w:rsidR="00592E89" w:rsidRPr="00083E3E">
        <w:rPr>
          <w:i/>
          <w:iCs/>
        </w:rPr>
        <w:t>An Act enabling cities and towns to stabilize rents and protect tenants</w:t>
      </w:r>
      <w:r w:rsidR="00592E89" w:rsidRPr="00083E3E">
        <w:t xml:space="preserve"> (S.1447/H.2328) and </w:t>
      </w:r>
      <w:r w:rsidR="00592E89" w:rsidRPr="00083E3E">
        <w:rPr>
          <w:i/>
          <w:iCs/>
        </w:rPr>
        <w:t>An Act providing upstream homelessness prevention assistance to families, youth, and adults</w:t>
      </w:r>
      <w:r w:rsidR="00592E89" w:rsidRPr="00083E3E">
        <w:t xml:space="preserve"> (S.1961/H.1488).</w:t>
      </w:r>
    </w:p>
    <w:p w14:paraId="28C101CC" w14:textId="02A7321A" w:rsidR="00592E89" w:rsidRPr="00083E3E" w:rsidRDefault="00215027" w:rsidP="0005607E">
      <w:pPr>
        <w:jc w:val="both"/>
      </w:pPr>
      <w:r>
        <w:rPr>
          <w:noProof/>
        </w:rPr>
        <mc:AlternateContent>
          <mc:Choice Requires="wps">
            <w:drawing>
              <wp:anchor distT="91440" distB="91440" distL="114300" distR="114300" simplePos="0" relativeHeight="251703296" behindDoc="0" locked="0" layoutInCell="1" allowOverlap="1" wp14:anchorId="2064793B" wp14:editId="7443BEBA">
                <wp:simplePos x="0" y="0"/>
                <wp:positionH relativeFrom="page">
                  <wp:posOffset>928370</wp:posOffset>
                </wp:positionH>
                <wp:positionV relativeFrom="paragraph">
                  <wp:posOffset>75565</wp:posOffset>
                </wp:positionV>
                <wp:extent cx="3474720" cy="1403985"/>
                <wp:effectExtent l="0" t="0" r="0" b="2540"/>
                <wp:wrapSquare wrapText="bothSides"/>
                <wp:docPr id="4347254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6DC659D3" w14:textId="090ED106" w:rsidR="00787384" w:rsidRPr="00787384" w:rsidRDefault="00787384" w:rsidP="00215027">
                            <w:pPr>
                              <w:pBdr>
                                <w:top w:val="single" w:sz="24" w:space="8" w:color="AD84C6" w:themeColor="accent1"/>
                                <w:bottom w:val="single" w:sz="24" w:space="8" w:color="AD84C6" w:themeColor="accent1"/>
                              </w:pBdr>
                              <w:spacing w:before="0" w:after="0" w:line="240" w:lineRule="auto"/>
                              <w:rPr>
                                <w:color w:val="AD84C6" w:themeColor="accent1"/>
                              </w:rPr>
                            </w:pPr>
                            <w:r>
                              <w:rPr>
                                <w:i/>
                                <w:iCs/>
                                <w:color w:val="AD84C6" w:themeColor="accent1"/>
                              </w:rPr>
                              <w:t>“We had a young person who was on disability benefits but was caught with wanting to work more but at risk of losing their benefits.”</w:t>
                            </w:r>
                            <w:r>
                              <w:rPr>
                                <w:color w:val="AD84C6" w:themeColor="accent1"/>
                              </w:rPr>
                              <w:t xml:space="preserve"> – Community organization supporting LGBTQ+ youth</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2064793B" id="_x0000_s1045" type="#_x0000_t202" style="position:absolute;left:0;text-align:left;margin-left:73.1pt;margin-top:5.95pt;width:273.6pt;height:110.55pt;z-index:251703296;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4QQ/gEAANYDAAAOAAAAZHJzL2Uyb0RvYy54bWysU11v2yAUfZ+0/4B4X+ykzppYcaquXaZJ&#10;3YfU7gdgjGM04DIgsbNfvwt202h7q+YHBFzfc+8597C5GbQiR+G8BFPR+SynRBgOjTT7iv542r1b&#10;UeIDMw1TYERFT8LTm+3bN5velmIBHahGOIIgxpe9rWgXgi2zzPNOaOZnYIXBYAtOs4BHt88ax3pE&#10;1ypb5Pn7rAfXWAdceI+392OQbhN+2woevrWtF4GoimJvIa0urXVcs+2GlXvHbCf51AZ7RReaSYNF&#10;z1D3LDBycPIfKC25Aw9tmHHQGbSt5CJxQDbz/C82jx2zInFBcbw9y+T/Hyz/eny03x0JwwcYcICJ&#10;hLcPwH96YuCuY2Yvbp2DvhOswcLzKFnWW19OqVFqX/oIUvdfoMEhs0OABDS0TkdVkCdBdBzA6Sy6&#10;GALheHlVXBfXCwxxjM2L/Gq9WqYarHxOt86HTwI0iZuKOpxqgmfHBx9iO6x8/iVWM7CTSqXJKkP6&#10;iq6Xi2VKuIhoGdB4SuqKrvL4jVaILD+aJiUHJtW4xwLKTLQj05FzGOqByAa7XsfkKEMNzQmFcDAa&#10;DR8Gbjpwvynp0WQV9b8OzAlK1GeDYq7nRRFdmQ7FMsngLiP1ZYQZjlAVDZSM27uQnBw5e3uLou9k&#10;kuOlk6lnNE9SaTJ6dOflOf318hy3fwAAAP//AwBQSwMEFAAGAAgAAAAhACB7mevfAAAACgEAAA8A&#10;AABkcnMvZG93bnJldi54bWxMj01Pg0AQhu8m/ofNmHizS6EhgCxN/agnE2P10tvCjkDKzhJ2afHf&#10;O570Nm/myTvPlNvFDuKMk+8dKVivIhBIjTM9tQo+P/Z3GQgfNBk9OEIF3+hhW11flbow7kLveD6E&#10;VnAJ+UIr6EIYCyl906HVfuVGJN59ucnqwHFqpZn0hcvtIOMoSqXVPfGFTo/42GFzOsxWwStOxyyf&#10;s4f++LR/fjslpn7ZGaVub5bdPYiAS/iD4Vef1aFip9rNZLwYOG/SmFEe1jkIBtI82YCoFcRJEoGs&#10;Svn/heoHAAD//wMAUEsBAi0AFAAGAAgAAAAhALaDOJL+AAAA4QEAABMAAAAAAAAAAAAAAAAAAAAA&#10;AFtDb250ZW50X1R5cGVzXS54bWxQSwECLQAUAAYACAAAACEAOP0h/9YAAACUAQAACwAAAAAAAAAA&#10;AAAAAAAvAQAAX3JlbHMvLnJlbHNQSwECLQAUAAYACAAAACEAbd+EEP4BAADWAwAADgAAAAAAAAAA&#10;AAAAAAAuAgAAZHJzL2Uyb0RvYy54bWxQSwECLQAUAAYACAAAACEAIHuZ698AAAAKAQAADwAAAAAA&#10;AAAAAAAAAABYBAAAZHJzL2Rvd25yZXYueG1sUEsFBgAAAAAEAAQA8wAAAGQFAAAAAA==&#10;" filled="f" stroked="f">
                <v:textbox style="mso-fit-shape-to-text:t">
                  <w:txbxContent>
                    <w:p w14:paraId="6DC659D3" w14:textId="090ED106" w:rsidR="00787384" w:rsidRPr="00787384" w:rsidRDefault="00787384" w:rsidP="00215027">
                      <w:pPr>
                        <w:pBdr>
                          <w:top w:val="single" w:sz="24" w:space="8" w:color="AD84C6" w:themeColor="accent1"/>
                          <w:bottom w:val="single" w:sz="24" w:space="8" w:color="AD84C6" w:themeColor="accent1"/>
                        </w:pBdr>
                        <w:spacing w:before="0" w:after="0" w:line="240" w:lineRule="auto"/>
                        <w:rPr>
                          <w:color w:val="AD84C6" w:themeColor="accent1"/>
                        </w:rPr>
                      </w:pPr>
                      <w:r>
                        <w:rPr>
                          <w:i/>
                          <w:iCs/>
                          <w:color w:val="AD84C6" w:themeColor="accent1"/>
                        </w:rPr>
                        <w:t>“We had a young person who was on disability benefits but was caught with wanting to work more but at risk of losing their benefits.”</w:t>
                      </w:r>
                      <w:r>
                        <w:rPr>
                          <w:color w:val="AD84C6" w:themeColor="accent1"/>
                        </w:rPr>
                        <w:t xml:space="preserve"> – Community organization supporting LGBTQ+ youth</w:t>
                      </w:r>
                    </w:p>
                  </w:txbxContent>
                </v:textbox>
                <w10:wrap type="square" anchorx="page"/>
              </v:shape>
            </w:pict>
          </mc:Fallback>
        </mc:AlternateContent>
      </w:r>
      <w:r w:rsidR="00592E89" w:rsidRPr="00083E3E">
        <w:t xml:space="preserve">At the same time, these efforts must be paired with expanded investment in rental assistance and stabilization programs, including the Residential Assistance for Families in Transition (RAFT) program. While recent policy changes address upfront costs, ongoing affordability challenges - such as rising rents and income instability - continue to place youth at risk of housing insecurity. </w:t>
      </w:r>
      <w:r w:rsidR="007D4C0C">
        <w:t xml:space="preserve">Discussed more in the next recommendation, </w:t>
      </w:r>
      <w:r w:rsidR="007D4C0C" w:rsidRPr="00083E3E">
        <w:t>increasing</w:t>
      </w:r>
      <w:r w:rsidR="00592E89" w:rsidRPr="00083E3E">
        <w:t xml:space="preserve"> RAFT funding levels and easing eligibility requirements would help ensure that youth and families can access support before reaching crisis points.</w:t>
      </w:r>
    </w:p>
    <w:p w14:paraId="1ADD8382" w14:textId="3BFA2FB5" w:rsidR="00592E89" w:rsidRPr="00083E3E" w:rsidRDefault="00592E89" w:rsidP="0005607E">
      <w:pPr>
        <w:jc w:val="both"/>
      </w:pPr>
      <w:r w:rsidRPr="00083E3E">
        <w:t>Additionally, existing policy proposals do not fully address other barriers to housing stability, including the need for increased resources for parenting youth, employment services, and direct financial assistance. Holistically addressing the needs of LGBTQ youth experiencing homelessness requires interventions that tackle both systemic factors and the unique challenges faced by LGBTQ youth. As highlighted in the 2024 Youth Count and in previous Commission reports, state systems and services are often difficult to navigate, contain gaps for youth transitioning between systems, and fail to meet intersectional needs - particularly for QTBIPOC youth.</w:t>
      </w:r>
      <w:r w:rsidRPr="00083E3E">
        <w:rPr>
          <w:vertAlign w:val="superscript"/>
        </w:rPr>
        <w:footnoteReference w:id="100"/>
      </w:r>
    </w:p>
    <w:p w14:paraId="55C3A375" w14:textId="17D239F7" w:rsidR="00592E89" w:rsidRPr="00083E3E" w:rsidRDefault="00787384" w:rsidP="0005607E">
      <w:pPr>
        <w:jc w:val="both"/>
      </w:pPr>
      <w:r>
        <w:rPr>
          <w:noProof/>
        </w:rPr>
        <w:lastRenderedPageBreak/>
        <mc:AlternateContent>
          <mc:Choice Requires="wps">
            <w:drawing>
              <wp:anchor distT="91440" distB="91440" distL="114300" distR="114300" simplePos="0" relativeHeight="251701248" behindDoc="0" locked="0" layoutInCell="1" allowOverlap="1" wp14:anchorId="77066456" wp14:editId="7D4CBA5D">
                <wp:simplePos x="0" y="0"/>
                <wp:positionH relativeFrom="page">
                  <wp:posOffset>928370</wp:posOffset>
                </wp:positionH>
                <wp:positionV relativeFrom="paragraph">
                  <wp:posOffset>64770</wp:posOffset>
                </wp:positionV>
                <wp:extent cx="3474720" cy="1403985"/>
                <wp:effectExtent l="0" t="0" r="0" b="0"/>
                <wp:wrapSquare wrapText="bothSides"/>
                <wp:docPr id="3997037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7E24B87D" w14:textId="7B697BD7" w:rsidR="00787384" w:rsidRPr="00787384" w:rsidRDefault="00787384" w:rsidP="00215027">
                            <w:pPr>
                              <w:pBdr>
                                <w:top w:val="single" w:sz="24" w:space="8" w:color="AD84C6" w:themeColor="accent1"/>
                                <w:bottom w:val="single" w:sz="24" w:space="8" w:color="AD84C6" w:themeColor="accent1"/>
                              </w:pBdr>
                              <w:spacing w:before="0" w:after="0" w:line="240" w:lineRule="auto"/>
                              <w:rPr>
                                <w:color w:val="AD84C6" w:themeColor="accent1"/>
                              </w:rPr>
                            </w:pPr>
                            <w:r>
                              <w:rPr>
                                <w:i/>
                                <w:iCs/>
                                <w:color w:val="AD84C6" w:themeColor="accent1"/>
                              </w:rPr>
                              <w:t>“We need to destigmatize SNAP and food assistance programs. Queer people are not engaging in these services at the rate that they need to be.”</w:t>
                            </w:r>
                            <w:r>
                              <w:rPr>
                                <w:color w:val="AD84C6" w:themeColor="accent1"/>
                              </w:rPr>
                              <w:t xml:space="preserve"> – Community organization supporting trans community members</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77066456" id="_x0000_s1046" type="#_x0000_t202" style="position:absolute;left:0;text-align:left;margin-left:73.1pt;margin-top:5.1pt;width:273.6pt;height:110.55pt;z-index:251701248;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CeA/gEAANYDAAAOAAAAZHJzL2Uyb0RvYy54bWysU11v2yAUfZ+0/4B4X+ykzppYIVXXLtOk&#10;7kNq9wMIxjEacBmQ2Nmv3wWnabS9VfMDAq7vufece1jdDEaTg/RBgWV0OikpkVZAo+yO0R9Pm3cL&#10;SkLktuEarGT0KAO9Wb99s+pdLWfQgW6kJwhiQ907RrsYXV0UQXTS8DABJy0GW/CGRzz6XdF43iO6&#10;0cWsLN8XPfjGeRAyBLy9H4N0nfHbVor4rW2DjEQzir3FvPq8btNarFe83nnuOiVObfBXdGG4slj0&#10;DHXPIyd7r/6BMkp4CNDGiQBTQNsqITMHZDMt/2Lz2HEnMxcUJ7izTOH/wYqvh0f33ZM4fIABB5hJ&#10;BPcA4mcgFu46bnfy1nvoO8kbLDxNkhW9C/UpNUkd6pBAtv0XaHDIfB8hAw2tN0kV5EkQHQdwPIsu&#10;h0gEXl5V19X1DEMCY9OqvFou5rkGr5/TnQ/xkwRD0oZRj1PN8PzwEGJqh9fPv6RqFjZK6zxZbUnP&#10;6HI+m+eEi4hREY2nlWF0UaZvtEJi+dE2OTlypcc9FtD2RDsxHTnHYTsQ1TCK3WNCkmELzRGF8DAa&#10;DR8Gbjrwvynp0WSMhl977iUl+rNFMZfTqkquzIdqnmXwl5HtZYRbgVCMRkrG7V3MTk6cg7tF0Tcq&#10;y/HSyalnNE9W6WT05M7Lc/7r5Tmu/wAAAP//AwBQSwMEFAAGAAgAAAAhAPnkTongAAAACgEAAA8A&#10;AABkcnMvZG93bnJldi54bWxMj81ugzAQhO+V+g7WVuqtMYEIEYKJ0p/0VKlq2ktuBm8ABa8RNgl9&#10;+25P7Wl3NKPZb4vtbHtxwdF3jhQsFxEIpNqZjhoFX5/7hwyED5qM7h2hgm/0sC1vbwqdG3elD7wc&#10;QiO4hHyuFbQhDLmUvm7Rar9wAxJ7JzdaHViOjTSjvnK57WUcRam0uiO+0OoBn1qsz4fJKnjD8Zit&#10;p+yxOz7vX97Pialed0ap+7t5twERcA5/YfjFZ3QomalyExkvetarNOYoLxFPDqTrZAWiUhAnywRk&#10;Wcj/L5Q/AAAA//8DAFBLAQItABQABgAIAAAAIQC2gziS/gAAAOEBAAATAAAAAAAAAAAAAAAAAAAA&#10;AABbQ29udGVudF9UeXBlc10ueG1sUEsBAi0AFAAGAAgAAAAhADj9If/WAAAAlAEAAAsAAAAAAAAA&#10;AAAAAAAALwEAAF9yZWxzLy5yZWxzUEsBAi0AFAAGAAgAAAAhAPqoJ4D+AQAA1gMAAA4AAAAAAAAA&#10;AAAAAAAALgIAAGRycy9lMm9Eb2MueG1sUEsBAi0AFAAGAAgAAAAhAPnkTongAAAACgEAAA8AAAAA&#10;AAAAAAAAAAAAWAQAAGRycy9kb3ducmV2LnhtbFBLBQYAAAAABAAEAPMAAABlBQAAAAA=&#10;" filled="f" stroked="f">
                <v:textbox style="mso-fit-shape-to-text:t">
                  <w:txbxContent>
                    <w:p w14:paraId="7E24B87D" w14:textId="7B697BD7" w:rsidR="00787384" w:rsidRPr="00787384" w:rsidRDefault="00787384" w:rsidP="00215027">
                      <w:pPr>
                        <w:pBdr>
                          <w:top w:val="single" w:sz="24" w:space="8" w:color="AD84C6" w:themeColor="accent1"/>
                          <w:bottom w:val="single" w:sz="24" w:space="8" w:color="AD84C6" w:themeColor="accent1"/>
                        </w:pBdr>
                        <w:spacing w:before="0" w:after="0" w:line="240" w:lineRule="auto"/>
                        <w:rPr>
                          <w:color w:val="AD84C6" w:themeColor="accent1"/>
                        </w:rPr>
                      </w:pPr>
                      <w:r>
                        <w:rPr>
                          <w:i/>
                          <w:iCs/>
                          <w:color w:val="AD84C6" w:themeColor="accent1"/>
                        </w:rPr>
                        <w:t>“We need to destigmatize SNAP and food assistance programs. Queer people are not engaging in these services at the rate that they need to be.”</w:t>
                      </w:r>
                      <w:r>
                        <w:rPr>
                          <w:color w:val="AD84C6" w:themeColor="accent1"/>
                        </w:rPr>
                        <w:t xml:space="preserve"> – Community organization supporting trans community members</w:t>
                      </w:r>
                    </w:p>
                  </w:txbxContent>
                </v:textbox>
                <w10:wrap type="square" anchorx="page"/>
              </v:shape>
            </w:pict>
          </mc:Fallback>
        </mc:AlternateContent>
      </w:r>
      <w:r w:rsidR="00592E89" w:rsidRPr="00083E3E">
        <w:t>It is essential that agencies and programs - including health care services, public health programs, and shelters - collaborate more effectively to support youth experiencing homelessness. Municipalities should not only expand access to rent stabilization programs but also provide comprehensive supports, including employment services, childcare, and health care. Strengthening coordination across systems, alongside increased investment in rental assistance, is critical to ensuring long-term housing stability for LGBTQ youth and young adults in the Commonwealth.</w:t>
      </w:r>
    </w:p>
    <w:p w14:paraId="2F637EB2" w14:textId="68B12CE5" w:rsidR="00592E89" w:rsidRPr="00083E3E" w:rsidRDefault="00592E89" w:rsidP="00E97E73">
      <w:pPr>
        <w:pStyle w:val="Heading3"/>
      </w:pPr>
      <w:bookmarkStart w:id="129" w:name="_Toc230277326"/>
      <w:r w:rsidRPr="00083E3E">
        <w:t>Codify and expand rental assistance programs - RAFT and the Massachusetts Rental Voucher Program - to ensure long-term housing stability.</w:t>
      </w:r>
      <w:bookmarkEnd w:id="129"/>
    </w:p>
    <w:p w14:paraId="6F2B7A90" w14:textId="3936FF87" w:rsidR="00592E89" w:rsidRPr="00083E3E" w:rsidRDefault="00592E89" w:rsidP="0005607E">
      <w:pPr>
        <w:jc w:val="both"/>
      </w:pPr>
      <w:r w:rsidRPr="00083E3E">
        <w:t>Building on recent efforts to reduce upfront housing barriers, including the elimination of tenant-paid broker’s fees, the Commission recommends that Massachusetts codify and expand rental assistance programs, including the Residential Assistance for Families in Transition (RAFT) program and the Massachusetts Rental Voucher Program (MRVP), to address the ongoing affordable housing crisis and ensure long-term housing stability. In Massachusetts, four in ten low-income individuals are either experiencing homelessness or are severely rent-burdened, paying more than half of their income toward housing. At the same time, many eligible households are unable to access federal rental assistance due to limited funding, underscoring the need for strengthened state-level programs.</w:t>
      </w:r>
      <w:r w:rsidRPr="00083E3E">
        <w:rPr>
          <w:vertAlign w:val="superscript"/>
        </w:rPr>
        <w:footnoteReference w:id="101"/>
      </w:r>
      <w:r w:rsidRPr="00083E3E">
        <w:t xml:space="preserve"> Rental assistance programming impacts and supports 8.6 million people in cities and suburbs and helps 1.5 million people in rural areas and small towns.</w:t>
      </w:r>
      <w:r w:rsidRPr="00083E3E">
        <w:rPr>
          <w:vertAlign w:val="superscript"/>
        </w:rPr>
        <w:footnoteReference w:id="102"/>
      </w:r>
    </w:p>
    <w:p w14:paraId="4EEF6A86" w14:textId="2CBACEBE" w:rsidR="00592E89" w:rsidRPr="00083E3E" w:rsidRDefault="00592E89" w:rsidP="0005607E">
      <w:pPr>
        <w:jc w:val="both"/>
      </w:pPr>
      <w:r w:rsidRPr="00083E3E">
        <w:t>Housing instability continues to affect a significant number of youth and families across the Commonwealth. Between 2021 and 2022, an estimated 21,390 Massachusetts public school students experienced homelessness, including living on the street, in shelters, or in hotels and motels.</w:t>
      </w:r>
      <w:r w:rsidRPr="00083E3E">
        <w:rPr>
          <w:rStyle w:val="FootnoteReference"/>
          <w:sz w:val="22"/>
          <w:szCs w:val="22"/>
        </w:rPr>
        <w:footnoteReference w:id="103"/>
      </w:r>
      <w:r w:rsidRPr="00083E3E">
        <w:t xml:space="preserve"> These conditions highlight the urgent need for expanded accessible rental assistance </w:t>
      </w:r>
      <w:r w:rsidRPr="00083E3E">
        <w:lastRenderedPageBreak/>
        <w:t>programs that can prevent displacement and support long-term stability</w:t>
      </w:r>
      <w:r w:rsidR="007D4C0C">
        <w:t xml:space="preserve"> for young people and their families.</w:t>
      </w:r>
    </w:p>
    <w:p w14:paraId="165BA33C" w14:textId="7C26E152" w:rsidR="00592E89" w:rsidRPr="00083E3E" w:rsidRDefault="00215027" w:rsidP="0005607E">
      <w:pPr>
        <w:jc w:val="both"/>
      </w:pPr>
      <w:r>
        <w:rPr>
          <w:noProof/>
        </w:rPr>
        <w:drawing>
          <wp:anchor distT="0" distB="0" distL="114300" distR="114300" simplePos="0" relativeHeight="251749376" behindDoc="0" locked="0" layoutInCell="1" allowOverlap="1" wp14:anchorId="7B72FE96" wp14:editId="7684EFAE">
            <wp:simplePos x="0" y="0"/>
            <wp:positionH relativeFrom="column">
              <wp:posOffset>2410460</wp:posOffset>
            </wp:positionH>
            <wp:positionV relativeFrom="paragraph">
              <wp:posOffset>964565</wp:posOffset>
            </wp:positionV>
            <wp:extent cx="3526790" cy="2200910"/>
            <wp:effectExtent l="0" t="0" r="0" b="8890"/>
            <wp:wrapSquare wrapText="bothSides"/>
            <wp:docPr id="1923281461" name="Picture 59" descr="a graphic saying that four in ten low-income individuals are either experiencing homelessness or are severely rent-burde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281461" name="Picture 59" descr="a graphic saying that four in ten low-income individuals are either experiencing homelessness or are severely rent-burdened"/>
                    <pic:cNvPicPr/>
                  </pic:nvPicPr>
                  <pic:blipFill rotWithShape="1">
                    <a:blip r:embed="rId36" cstate="print">
                      <a:extLst>
                        <a:ext uri="{28A0092B-C50C-407E-A947-70E740481C1C}">
                          <a14:useLocalDpi xmlns:a14="http://schemas.microsoft.com/office/drawing/2010/main" val="0"/>
                        </a:ext>
                      </a:extLst>
                    </a:blip>
                    <a:srcRect l="4005" t="6573" r="5128" b="12285"/>
                    <a:stretch>
                      <a:fillRect/>
                    </a:stretch>
                  </pic:blipFill>
                  <pic:spPr bwMode="auto">
                    <a:xfrm>
                      <a:off x="0" y="0"/>
                      <a:ext cx="3526790" cy="2200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2E89" w:rsidRPr="00083E3E">
        <w:t>However, current program structures limit the effectiveness of these supports. RAFT assistance is capped at $7,000 within a 12-month period, which is insufficient given current housing costs.</w:t>
      </w:r>
      <w:r w:rsidR="00592E89" w:rsidRPr="00083E3E">
        <w:rPr>
          <w:vertAlign w:val="superscript"/>
        </w:rPr>
        <w:footnoteReference w:id="104"/>
      </w:r>
      <w:r w:rsidR="00592E89" w:rsidRPr="00083E3E">
        <w:t xml:space="preserve"> With the average rent for a one-bedroom apartment</w:t>
      </w:r>
      <w:r w:rsidR="007D4C0C">
        <w:t xml:space="preserve"> in Boston</w:t>
      </w:r>
      <w:r w:rsidR="00592E89" w:rsidRPr="00083E3E">
        <w:t xml:space="preserve"> estimated at approximately $1,966 per month, RAFT support may cover only a few months of housing for a typical renter. Additionally, eligibility requirements can create barriers for individuals and families most in need, limiting timely access to assistance.</w:t>
      </w:r>
    </w:p>
    <w:p w14:paraId="7E661EEB" w14:textId="1303DCB7" w:rsidR="00592E89" w:rsidRPr="00083E3E" w:rsidRDefault="00592E89" w:rsidP="0005607E">
      <w:pPr>
        <w:jc w:val="both"/>
      </w:pPr>
      <w:r w:rsidRPr="00083E3E">
        <w:t xml:space="preserve">Similarly, the Massachusetts Rental Voucher Program </w:t>
      </w:r>
      <w:r w:rsidR="007D4C0C">
        <w:t xml:space="preserve">(MRVP) </w:t>
      </w:r>
      <w:r w:rsidRPr="00083E3E">
        <w:t>provides critical long-term support but remains significantly under-resourced. Demand for vouchers far exceeds supply, resulting in extensive waitlists that delay access to stable housing.</w:t>
      </w:r>
      <w:r w:rsidRPr="00083E3E">
        <w:rPr>
          <w:vertAlign w:val="superscript"/>
        </w:rPr>
        <w:footnoteReference w:id="105"/>
      </w:r>
      <w:r w:rsidRPr="00083E3E">
        <w:t xml:space="preserve"> These constraints contribute to ongoing housing instability, as reflected in rising eviction trends across the Commonwealth, including approximately 9,000 evictions filed in 2023.</w:t>
      </w:r>
    </w:p>
    <w:p w14:paraId="58FE2E6E" w14:textId="070EBED9" w:rsidR="00592E89" w:rsidRPr="00083E3E" w:rsidRDefault="00592E89" w:rsidP="0005607E">
      <w:pPr>
        <w:jc w:val="both"/>
      </w:pPr>
      <w:r w:rsidRPr="00083E3E">
        <w:t>To address these gaps, Massachusetts should codify and expand both RAFT and MRVP by increasing funding levels, reassessing benefit caps to reflect current market conditions, and streamlining eligibility requirements to improve access. Strengthening these programs would provide more consistent and reliable support to individuals and families at risk of homelessness, reduce eviction rates, and promote long-term housing stability - particularly for LGBTQ youth and young adults who face disproportionate barriers to securing and maintaining housing.</w:t>
      </w:r>
    </w:p>
    <w:p w14:paraId="56AA3760" w14:textId="231A3C87" w:rsidR="00592E89" w:rsidRPr="00083E3E" w:rsidRDefault="00592E89" w:rsidP="00E97E73">
      <w:pPr>
        <w:pStyle w:val="Heading3"/>
      </w:pPr>
      <w:bookmarkStart w:id="130" w:name="_Toc230277327"/>
      <w:r w:rsidRPr="00083E3E">
        <w:t>Mandate LGBTQ cultural awareness training and LGBTQ-inclusive nondiscrimination policies and procedures in shelters and housing programs.</w:t>
      </w:r>
      <w:bookmarkEnd w:id="130"/>
    </w:p>
    <w:p w14:paraId="4B3A0C7E" w14:textId="39B8E04C" w:rsidR="00592E89" w:rsidRPr="00083E3E" w:rsidRDefault="00592E89" w:rsidP="0005607E">
      <w:pPr>
        <w:jc w:val="both"/>
      </w:pPr>
      <w:r w:rsidRPr="00083E3E">
        <w:t xml:space="preserve">The Commission recommends that Massachusetts mandate LGBTQ cultural awareness training and require the adoption of LGBTQ-inclusive nondiscrimination policies and procedures across </w:t>
      </w:r>
      <w:r w:rsidRPr="00083E3E">
        <w:lastRenderedPageBreak/>
        <w:t>all shelters and housing programs. Safe, affirming environments are critical for youth experiencing homelessness, particularly LGBTQ youth, for whom relationship breakdowns, family rejection, and loss of a sense of belonging are among the most common drivers of housing instability.</w:t>
      </w:r>
      <w:r w:rsidRPr="00083E3E">
        <w:rPr>
          <w:rStyle w:val="FootnoteReference"/>
          <w:sz w:val="22"/>
          <w:szCs w:val="22"/>
        </w:rPr>
        <w:footnoteReference w:id="106"/>
      </w:r>
      <w:r w:rsidRPr="00083E3E">
        <w:t xml:space="preserve"> </w:t>
      </w:r>
      <w:r w:rsidR="00E634B5" w:rsidRPr="00E634B5">
        <w:t>In</w:t>
      </w:r>
      <w:r w:rsidR="00E634B5">
        <w:t xml:space="preserve"> the Commission’s FY 2026</w:t>
      </w:r>
      <w:r w:rsidR="00E634B5" w:rsidRPr="00E634B5">
        <w:t xml:space="preserve"> listening sessions, youth and </w:t>
      </w:r>
      <w:r w:rsidR="00970972">
        <w:t xml:space="preserve">community </w:t>
      </w:r>
      <w:r w:rsidR="00E634B5" w:rsidRPr="00E634B5">
        <w:t xml:space="preserve">providers emphasized that visible affirmation matters in housing and shelter settings because young people need to know they will be respected before they disclose their identity, ask for help, or enter a program. </w:t>
      </w:r>
      <w:r w:rsidRPr="00083E3E">
        <w:t xml:space="preserve">Strengthening affirming support systems within shelters is </w:t>
      </w:r>
      <w:r w:rsidR="00A37010">
        <w:t>imperative</w:t>
      </w:r>
      <w:r w:rsidRPr="00083E3E">
        <w:t xml:space="preserve"> to improving both safety and long-term housing outcomes.</w:t>
      </w:r>
    </w:p>
    <w:p w14:paraId="1D66AC70" w14:textId="491958C8" w:rsidR="00592E89" w:rsidRPr="00083E3E" w:rsidRDefault="00592E89" w:rsidP="0005607E">
      <w:pPr>
        <w:jc w:val="both"/>
      </w:pPr>
      <w:r w:rsidRPr="00083E3E">
        <w:t>While the Executive Office of Housing and Livable Communities (EOHLC) has taken important initial steps - beginning in FY 2025 to review policies and procedures for LGBTQ inclusivity among shelters it funds - significant gaps remain. EOHLC does not oversee all shelters in Massachusetts and does not currently fund or regulate youth-specific shelters, which can result in inconsistent protections and practices across the Commonwealth. This fragmented system leaves many LGBTQ youth without guaranteed access to safe and affirming shelter environments.</w:t>
      </w:r>
    </w:p>
    <w:p w14:paraId="01A6AAE3" w14:textId="49730839" w:rsidR="00592E89" w:rsidRPr="00083E3E" w:rsidRDefault="00592E89" w:rsidP="0005607E">
      <w:pPr>
        <w:jc w:val="both"/>
      </w:pPr>
      <w:r w:rsidRPr="00083E3E">
        <w:t xml:space="preserve">These gaps are particularly concerning </w:t>
      </w:r>
      <w:r w:rsidR="004F6E0A" w:rsidRPr="00083E3E">
        <w:t>considering</w:t>
      </w:r>
      <w:r w:rsidRPr="00083E3E">
        <w:t xml:space="preserve"> recent federal policy changes. In February 2025, the U.S. Department of Housing and Urban Development (HUD) halted enforcement of the 2016 Equal Access Rule, and in July 2025 proposed revisions that would allow shelters to deny admission based on biological sex and physical characteristics.</w:t>
      </w:r>
      <w:r w:rsidRPr="00083E3E">
        <w:rPr>
          <w:rStyle w:val="FootnoteReference"/>
          <w:sz w:val="22"/>
          <w:szCs w:val="22"/>
        </w:rPr>
        <w:footnoteReference w:id="107"/>
      </w:r>
      <w:r w:rsidRPr="00083E3E">
        <w:t xml:space="preserve"> These changes weaken longstanding protections and increase the risk of discrimination against transgender and nonbinary individuals seeking shelter even in Massachusetts, despite its strong anti-discrimination laws.</w:t>
      </w:r>
    </w:p>
    <w:p w14:paraId="702D29E1" w14:textId="70E1E645" w:rsidR="00592E89" w:rsidRPr="00083E3E" w:rsidRDefault="00592E89" w:rsidP="0005607E">
      <w:pPr>
        <w:jc w:val="both"/>
      </w:pPr>
      <w:r w:rsidRPr="00083E3E">
        <w:t>National research consistently shows that transgender and nonbinary youth experience higher rates of discrimination within shelter systems, in part due to binary intake procedures and gendered facility assignments that fail to account for gender diversity.</w:t>
      </w:r>
      <w:r w:rsidRPr="00083E3E">
        <w:rPr>
          <w:rStyle w:val="FootnoteReference"/>
          <w:sz w:val="22"/>
          <w:szCs w:val="22"/>
        </w:rPr>
        <w:footnoteReference w:id="108"/>
      </w:r>
      <w:r w:rsidRPr="00083E3E">
        <w:t xml:space="preserve"> These practices can increase the risk of harassment, exclusion, and victimization. At the same time, racial disparities further compound these risks: Black and brown youth experience higher rates of homelessness than their white peers, and systemic racism often exacerbates both the likelihood and duration </w:t>
      </w:r>
      <w:r w:rsidRPr="00083E3E">
        <w:lastRenderedPageBreak/>
        <w:t>of housing instability.</w:t>
      </w:r>
      <w:r w:rsidRPr="00083E3E">
        <w:rPr>
          <w:rStyle w:val="FootnoteReference"/>
          <w:sz w:val="22"/>
          <w:szCs w:val="22"/>
        </w:rPr>
        <w:footnoteReference w:id="109"/>
      </w:r>
      <w:r w:rsidRPr="00083E3E">
        <w:t xml:space="preserve"> Data from the 2024 </w:t>
      </w:r>
      <w:r w:rsidR="00970972">
        <w:t xml:space="preserve">Massachusetts </w:t>
      </w:r>
      <w:r w:rsidRPr="00083E3E">
        <w:t xml:space="preserve">Youth Count </w:t>
      </w:r>
      <w:r w:rsidR="00970972">
        <w:t>uplifts</w:t>
      </w:r>
      <w:r w:rsidRPr="00083E3E">
        <w:t xml:space="preserve"> this reality, with 65% of respondents identifying as Black, Latino, Asian, or multiracial.</w:t>
      </w:r>
      <w:r w:rsidRPr="00083E3E">
        <w:rPr>
          <w:rStyle w:val="FootnoteReference"/>
          <w:sz w:val="22"/>
          <w:szCs w:val="22"/>
        </w:rPr>
        <w:footnoteReference w:id="110"/>
      </w:r>
    </w:p>
    <w:p w14:paraId="737DAB5C" w14:textId="7891978A" w:rsidR="00592E89" w:rsidRPr="00083E3E" w:rsidRDefault="00592E89" w:rsidP="0005607E">
      <w:pPr>
        <w:jc w:val="both"/>
      </w:pPr>
      <w:r w:rsidRPr="00083E3E">
        <w:t>To address these intersecting challenges, the Commission recommends that policymakers, housing agencies, and community-based organizations collaborate to develop and implement a statewide strategy to support LGBTQ-inclusive shelter practices. This should include mandatory cultural competency training for shelter staff; the development and dissemination of LGBTQ-affirming resources and programming; and clear guidance for providers navigating evolving federal funding requirements, including potential restrictions tied to so-called “DEI-related” initiatives.</w:t>
      </w:r>
    </w:p>
    <w:p w14:paraId="0BBF88F8" w14:textId="6500F5C0" w:rsidR="00592E89" w:rsidRPr="00083E3E" w:rsidRDefault="00592E89" w:rsidP="0005607E">
      <w:pPr>
        <w:jc w:val="both"/>
      </w:pPr>
      <w:r w:rsidRPr="00083E3E">
        <w:t xml:space="preserve">Massachusetts can build on existing models and guidance. The Massachusetts Transgender Political Coalition’s 2023 report outlining best practices for shelters serving transgender, nonbinary, and gender non-conforming individuals provides a strong foundation for staff training and policy development. Additionally, the Massachusetts Unaccompanied Homeless Youth Commission’s </w:t>
      </w:r>
      <w:r w:rsidRPr="00083E3E">
        <w:rPr>
          <w:i/>
          <w:iCs/>
        </w:rPr>
        <w:t>Improving Adult Shelters for Young Adults: Collaborative Strategies for Safe Transitions</w:t>
      </w:r>
      <w:r w:rsidRPr="00083E3E">
        <w:t xml:space="preserve"> offers actionable recommendations for making adult shelters safer, more inclusive, and more responsive to the needs of young people.</w:t>
      </w:r>
      <w:r w:rsidRPr="00083E3E">
        <w:rPr>
          <w:rStyle w:val="FootnoteReference"/>
          <w:sz w:val="22"/>
          <w:szCs w:val="22"/>
        </w:rPr>
        <w:footnoteReference w:id="111"/>
      </w:r>
    </w:p>
    <w:p w14:paraId="7D12CA6A" w14:textId="123105C2" w:rsidR="00592E89" w:rsidRPr="00083E3E" w:rsidRDefault="00592E89" w:rsidP="0005607E">
      <w:pPr>
        <w:jc w:val="both"/>
      </w:pPr>
      <w:r w:rsidRPr="00083E3E">
        <w:t>By codifying inclusive policies, mandating training, and strengthening coordination across systems, Massachusetts can ensure that all shelters and housing programs provide safe, affirming, and equitable environments for LGBTQ youth and young adults experiencing homelessness.</w:t>
      </w:r>
    </w:p>
    <w:p w14:paraId="79E157D7" w14:textId="5A337685" w:rsidR="00592E89" w:rsidRPr="00083E3E" w:rsidRDefault="00592E89" w:rsidP="00E97E73">
      <w:pPr>
        <w:pStyle w:val="Heading3"/>
      </w:pPr>
      <w:bookmarkStart w:id="131" w:name="_Toc230277328"/>
      <w:r w:rsidRPr="00083E3E">
        <w:t>Improve multicultural, LGBTQ-affirming housing services for immigrants and refugees.</w:t>
      </w:r>
      <w:bookmarkEnd w:id="131"/>
    </w:p>
    <w:p w14:paraId="3E57D0E4" w14:textId="4FEB50EE" w:rsidR="00592E89" w:rsidRPr="00083E3E" w:rsidRDefault="00592E89" w:rsidP="0005607E">
      <w:pPr>
        <w:jc w:val="both"/>
      </w:pPr>
      <w:r w:rsidRPr="00083E3E">
        <w:t xml:space="preserve">Massachusetts has experienced a significant increase in migrant families and youth, refugees, and asylum seekers in recent years, including LGBTQ youth. Since the initial surges in 2023, state data indicate a decline in the number of families seeking shelter each day, from approximately </w:t>
      </w:r>
      <w:r w:rsidR="007D658D" w:rsidRPr="00083E3E">
        <w:t>forty</w:t>
      </w:r>
      <w:r w:rsidRPr="00083E3E">
        <w:t xml:space="preserve"> families at the peak to an average of </w:t>
      </w:r>
      <w:r w:rsidR="007D658D" w:rsidRPr="00083E3E">
        <w:t>fifteen</w:t>
      </w:r>
      <w:r w:rsidRPr="00083E3E">
        <w:t xml:space="preserve"> families per day in 2024–2025.</w:t>
      </w:r>
      <w:r w:rsidRPr="00083E3E">
        <w:rPr>
          <w:vertAlign w:val="superscript"/>
        </w:rPr>
        <w:footnoteReference w:id="112"/>
      </w:r>
      <w:r w:rsidRPr="00083E3E">
        <w:t xml:space="preserve"> In August </w:t>
      </w:r>
      <w:r w:rsidRPr="00083E3E">
        <w:lastRenderedPageBreak/>
        <w:t xml:space="preserve">2025, Governor Healey announced the closure of all hotel-based shelters. Following the state of emergency declared in August 2023, shelter caseloads and associated costs decreased significantly, with approximately 4,500 families </w:t>
      </w:r>
      <w:proofErr w:type="gramStart"/>
      <w:r w:rsidRPr="00083E3E">
        <w:t>exiting</w:t>
      </w:r>
      <w:proofErr w:type="gramEnd"/>
      <w:r w:rsidRPr="00083E3E">
        <w:t xml:space="preserve"> the shelter system while about 1,500 families entered. As a result, the state of emergency was formally terminated on August 1, 2025, and the use of hotel shelters was discontinued due to reduced demand.</w:t>
      </w:r>
      <w:r w:rsidRPr="00083E3E">
        <w:rPr>
          <w:vertAlign w:val="superscript"/>
        </w:rPr>
        <w:footnoteReference w:id="113"/>
      </w:r>
    </w:p>
    <w:p w14:paraId="44776336" w14:textId="360E4E1F" w:rsidR="00592E89" w:rsidRPr="00083E3E" w:rsidRDefault="00592E89" w:rsidP="0005607E">
      <w:pPr>
        <w:jc w:val="both"/>
      </w:pPr>
      <w:r w:rsidRPr="00083E3E">
        <w:t>At the same time, recent policy changes at the state level continue to reshape the emergency shelter system. A 2026 supplemental budget proposal from the Governor introduced additional reforms, including stricter eligibility requirements, prioritization of Massachusetts residents, and limits on the length of shelter stays, alongside modest expansions in eligibility thresholds to reflect cost-of-living pressures. These shifts reflect an ongoing effort to manage costs and reduce caseloads, but they also raise concerns about access to shelter for newly arriving families, including immigrants, refugees, and asylum seekers.</w:t>
      </w:r>
    </w:p>
    <w:p w14:paraId="5BB846B1" w14:textId="2DDC6897" w:rsidR="00592E89" w:rsidRPr="00083E3E" w:rsidRDefault="00592E89" w:rsidP="0005607E">
      <w:pPr>
        <w:jc w:val="both"/>
      </w:pPr>
      <w:r w:rsidRPr="00083E3E">
        <w:t>Despite declining shelter usage, significant gaps remain in culturally responsive and LGBTQ-affirming housing services. As the Commission highlights in its agency recommendations for the Office for Refugees and Immigrants (ORI), there are still too few providers in Massachusetts that explicitly offer affirming services for LGBTQ individuals. In Central Massachusetts, for example, only one organization - the LGBT Asylum Task Force - specifically serves LGBTQ asylum seekers. This lack of affirming, multilingual, and culturally competent services creates persistent barriers for LGBTQ immigrants, refugees, and asylum seekers seeking safe and stable housing.</w:t>
      </w:r>
    </w:p>
    <w:p w14:paraId="04EDE7AE" w14:textId="13E99EC7" w:rsidR="00592E89" w:rsidRPr="00083E3E" w:rsidRDefault="00592E89" w:rsidP="0005607E">
      <w:pPr>
        <w:jc w:val="both"/>
      </w:pPr>
      <w:r w:rsidRPr="00083E3E">
        <w:t>In this evolving policy landscape, it is critical that Massachusetts not only maintain access to shelter, but also ensure that services are culturally responsive, linguistically accessible, and explicitly affirming of LGBTQ identities. Strengthening coordination across agencies, expanding provider capacity, and investing in targeted supports for LGBTQ immigrants and refugees will be essential to ensuring that all individuals - regardless of immigration status, language, or identity - can access safe and stable housing.</w:t>
      </w:r>
    </w:p>
    <w:p w14:paraId="4C8418C5" w14:textId="477196EE" w:rsidR="00592E89" w:rsidRPr="00083E3E" w:rsidRDefault="00592E89" w:rsidP="00E97E73">
      <w:pPr>
        <w:pStyle w:val="Heading3"/>
      </w:pPr>
      <w:bookmarkStart w:id="132" w:name="_Toc230277329"/>
      <w:r w:rsidRPr="00083E3E">
        <w:lastRenderedPageBreak/>
        <w:t>Pass legislation improving access to services for LGBTQ youth experiencing homelessness.</w:t>
      </w:r>
      <w:bookmarkEnd w:id="132"/>
    </w:p>
    <w:p w14:paraId="20BF793B" w14:textId="2B69BC6A" w:rsidR="00E634B5" w:rsidRDefault="00970972" w:rsidP="0005607E">
      <w:pPr>
        <w:jc w:val="both"/>
      </w:pPr>
      <w:r>
        <w:t>As noted throughout this section, t</w:t>
      </w:r>
      <w:r w:rsidR="00592E89" w:rsidRPr="00083E3E">
        <w:t xml:space="preserve">he Commission recommends that Massachusetts pass legislation to remove systemic barriers and improve access to essential services for LGBTQ youth experiencing homelessness. </w:t>
      </w:r>
      <w:r>
        <w:t xml:space="preserve">For </w:t>
      </w:r>
      <w:proofErr w:type="gramStart"/>
      <w:r>
        <w:t>example</w:t>
      </w:r>
      <w:proofErr w:type="gramEnd"/>
      <w:r>
        <w:t xml:space="preserve"> a</w:t>
      </w:r>
      <w:r w:rsidR="00592E89" w:rsidRPr="00083E3E">
        <w:t>ccess to basic documentation</w:t>
      </w:r>
      <w:r>
        <w:t xml:space="preserve">, </w:t>
      </w:r>
      <w:r w:rsidR="00592E89" w:rsidRPr="00083E3E">
        <w:t>particularly state-issued identification</w:t>
      </w:r>
      <w:r>
        <w:t xml:space="preserve">, </w:t>
      </w:r>
      <w:r w:rsidR="00592E89" w:rsidRPr="00083E3E">
        <w:t xml:space="preserve">remains a persistent barrier for youth without stable housing. </w:t>
      </w:r>
      <w:r w:rsidR="00E634B5">
        <w:t xml:space="preserve">During the Commission’s FY 2026 listening sessions, multiple </w:t>
      </w:r>
      <w:r w:rsidR="00E634B5" w:rsidRPr="00E634B5">
        <w:t>participants identified documentation, legal name</w:t>
      </w:r>
      <w:r w:rsidR="00CC6C01">
        <w:t xml:space="preserve"> </w:t>
      </w:r>
      <w:r w:rsidR="00E634B5" w:rsidRPr="00E634B5">
        <w:t xml:space="preserve">change support, employment </w:t>
      </w:r>
      <w:r w:rsidR="00CC6C01">
        <w:t>preparation</w:t>
      </w:r>
      <w:r w:rsidR="00E634B5" w:rsidRPr="00E634B5">
        <w:t xml:space="preserve">, transportation, and direct financial assistance as practical needs that shape whether LGBTQ youth can access housing, health care, education, employment, and other stabilizing </w:t>
      </w:r>
      <w:r w:rsidR="00CC6C01">
        <w:t>resources</w:t>
      </w:r>
      <w:r w:rsidR="00E634B5" w:rsidRPr="00E634B5">
        <w:t>.</w:t>
      </w:r>
    </w:p>
    <w:p w14:paraId="3BE6C517" w14:textId="126DEFD9" w:rsidR="00592E89" w:rsidRPr="00083E3E" w:rsidRDefault="00215027" w:rsidP="0005607E">
      <w:pPr>
        <w:jc w:val="both"/>
      </w:pPr>
      <w:r>
        <w:rPr>
          <w:noProof/>
        </w:rPr>
        <w:drawing>
          <wp:anchor distT="0" distB="0" distL="114300" distR="114300" simplePos="0" relativeHeight="251750400" behindDoc="0" locked="0" layoutInCell="1" allowOverlap="1" wp14:anchorId="31B3CF16" wp14:editId="5E20D2A7">
            <wp:simplePos x="0" y="0"/>
            <wp:positionH relativeFrom="column">
              <wp:posOffset>-635</wp:posOffset>
            </wp:positionH>
            <wp:positionV relativeFrom="paragraph">
              <wp:posOffset>109162</wp:posOffset>
            </wp:positionV>
            <wp:extent cx="3038475" cy="2101215"/>
            <wp:effectExtent l="0" t="0" r="9525" b="0"/>
            <wp:wrapSquare wrapText="bothSides"/>
            <wp:docPr id="465334208" name="Picture 60" descr="a graphic saying that 35% of unaccompanied youth experiencing homelessness reported difficulties accessing housing services due to a lack of identification or required docu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334208" name="Picture 60" descr="a graphic saying that 35% of unaccompanied youth experiencing homelessness reported difficulties accessing housing services due to a lack of identification or required documentation"/>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038475" cy="2101215"/>
                    </a:xfrm>
                    <a:prstGeom prst="rect">
                      <a:avLst/>
                    </a:prstGeom>
                  </pic:spPr>
                </pic:pic>
              </a:graphicData>
            </a:graphic>
            <wp14:sizeRelH relativeFrom="margin">
              <wp14:pctWidth>0</wp14:pctWidth>
            </wp14:sizeRelH>
            <wp14:sizeRelV relativeFrom="margin">
              <wp14:pctHeight>0</wp14:pctHeight>
            </wp14:sizeRelV>
          </wp:anchor>
        </w:drawing>
      </w:r>
      <w:r w:rsidR="00592E89" w:rsidRPr="00083E3E">
        <w:t>Data from the 2021 Massachusetts Youth Count highlight</w:t>
      </w:r>
      <w:r w:rsidR="00970972">
        <w:t>s</w:t>
      </w:r>
      <w:r w:rsidR="00592E89" w:rsidRPr="00083E3E">
        <w:t xml:space="preserve"> the scope of this issue: 35% of unaccompanied youth experiencing homelessness reported difficulties accessing housing services due to a lack of identification or required documentation.</w:t>
      </w:r>
      <w:r w:rsidR="00592E89" w:rsidRPr="00083E3E">
        <w:rPr>
          <w:rStyle w:val="FootnoteReference"/>
          <w:sz w:val="22"/>
          <w:szCs w:val="22"/>
        </w:rPr>
        <w:footnoteReference w:id="114"/>
      </w:r>
      <w:r w:rsidR="00592E89" w:rsidRPr="00083E3E">
        <w:t xml:space="preserve"> These barriers disproportionately impact LGBTQ youth, who are more likely to experience housing instability due to family rejection, discrimination, and other systemic factors.</w:t>
      </w:r>
    </w:p>
    <w:p w14:paraId="00FDE1B1" w14:textId="55E3816E" w:rsidR="00970972" w:rsidRPr="00083E3E" w:rsidRDefault="00970972" w:rsidP="00970972">
      <w:pPr>
        <w:jc w:val="both"/>
      </w:pPr>
      <w:r w:rsidRPr="00083E3E">
        <w:t xml:space="preserve">Access to state-issued identification remains a significant barrier for individuals experiencing homelessness or housing instability in Massachusetts. </w:t>
      </w:r>
      <w:r w:rsidR="00592E89" w:rsidRPr="00083E3E">
        <w:t xml:space="preserve">To address this gap, the Commission supports </w:t>
      </w:r>
      <w:r w:rsidR="00592E89" w:rsidRPr="00083E3E">
        <w:rPr>
          <w:i/>
          <w:iCs/>
        </w:rPr>
        <w:t>An Act to provide identification to youth and adults experiencing homelessness</w:t>
      </w:r>
      <w:r>
        <w:rPr>
          <w:i/>
          <w:iCs/>
        </w:rPr>
        <w:t xml:space="preserve"> </w:t>
      </w:r>
      <w:r w:rsidRPr="00083E3E">
        <w:t>(H.3750)</w:t>
      </w:r>
      <w:r w:rsidR="00592E89" w:rsidRPr="00083E3E">
        <w:t xml:space="preserve">, which would remove financial barriers associated with obtaining a Massachusetts state ID. Ensuring access to identification is a foundational step toward improving service access and stability. Notably, at least </w:t>
      </w:r>
      <w:r w:rsidR="007D658D" w:rsidRPr="00083E3E">
        <w:t>sixteen</w:t>
      </w:r>
      <w:r w:rsidR="00592E89" w:rsidRPr="00083E3E">
        <w:t xml:space="preserve"> states have already implemented policies that provide free or reduced-fee identification cards for individuals experiencing homelessness, demonstrating both the feasibility and effectiveness of this approach.</w:t>
      </w:r>
      <w:r w:rsidRPr="00970972">
        <w:rPr>
          <w:noProof/>
        </w:rPr>
        <w:t xml:space="preserve"> </w:t>
      </w:r>
      <w:r w:rsidRPr="00083E3E">
        <w:t>Current challenges include the $25 application fee, difficulties meeting address verification requirements, and burdensome documentation standards, all of which can prevent individuals from obtaining identification and accessing essential services.</w:t>
      </w:r>
      <w:r w:rsidRPr="00083E3E">
        <w:rPr>
          <w:vertAlign w:val="superscript"/>
        </w:rPr>
        <w:footnoteReference w:id="115"/>
      </w:r>
      <w:r>
        <w:t xml:space="preserve"> The bill </w:t>
      </w:r>
      <w:r w:rsidRPr="00083E3E">
        <w:t xml:space="preserve">would establish a process for individuals experiencing homelessness </w:t>
      </w:r>
      <w:r w:rsidRPr="00083E3E">
        <w:lastRenderedPageBreak/>
        <w:t>- including unaccompanied youth - to apply for a Massachusetts identification card without cost. Specifically, the bill requires that any fees associated with obtaining an identification card be waived for eligible individuals.</w:t>
      </w:r>
    </w:p>
    <w:p w14:paraId="1E1673DF" w14:textId="0907D856" w:rsidR="008C6B13" w:rsidRPr="00083E3E" w:rsidRDefault="00970972" w:rsidP="0005607E">
      <w:pPr>
        <w:jc w:val="both"/>
      </w:pPr>
      <w:r>
        <w:rPr>
          <w:noProof/>
        </w:rPr>
        <mc:AlternateContent>
          <mc:Choice Requires="wps">
            <w:drawing>
              <wp:anchor distT="91440" distB="91440" distL="114300" distR="114300" simplePos="0" relativeHeight="251809792" behindDoc="0" locked="0" layoutInCell="1" allowOverlap="1" wp14:anchorId="36CEF7B9" wp14:editId="700BA00C">
                <wp:simplePos x="0" y="0"/>
                <wp:positionH relativeFrom="page">
                  <wp:posOffset>3361822</wp:posOffset>
                </wp:positionH>
                <wp:positionV relativeFrom="paragraph">
                  <wp:posOffset>-388</wp:posOffset>
                </wp:positionV>
                <wp:extent cx="3474720" cy="1403985"/>
                <wp:effectExtent l="0" t="0" r="0" b="2540"/>
                <wp:wrapSquare wrapText="bothSides"/>
                <wp:docPr id="279518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73048844" w14:textId="77777777" w:rsidR="00970972" w:rsidRPr="00787384" w:rsidRDefault="00970972" w:rsidP="00970972">
                            <w:pPr>
                              <w:pBdr>
                                <w:top w:val="single" w:sz="24" w:space="8" w:color="AD84C6" w:themeColor="accent1"/>
                                <w:bottom w:val="single" w:sz="24" w:space="8" w:color="AD84C6" w:themeColor="accent1"/>
                              </w:pBdr>
                              <w:spacing w:before="0" w:after="0" w:line="240" w:lineRule="auto"/>
                              <w:rPr>
                                <w:color w:val="AD84C6" w:themeColor="accent1"/>
                              </w:rPr>
                            </w:pPr>
                            <w:r>
                              <w:rPr>
                                <w:i/>
                                <w:iCs/>
                                <w:color w:val="AD84C6" w:themeColor="accent1"/>
                              </w:rPr>
                              <w:t>“We need to remove the barrier to getting a MassID. You need it to be able to apply for housing or RAFT or to get other government services… nonprofits and shelters will try to pay for the IDs, but there’s not enough money.”</w:t>
                            </w:r>
                            <w:r>
                              <w:rPr>
                                <w:color w:val="AD84C6" w:themeColor="accent1"/>
                              </w:rPr>
                              <w:t xml:space="preserve"> – Community organization supporting people experiencing homelessness</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36CEF7B9" id="_x0000_s1047" type="#_x0000_t202" style="position:absolute;left:0;text-align:left;margin-left:264.7pt;margin-top:-.05pt;width:273.6pt;height:110.55pt;z-index:251809792;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0l2/gEAANYDAAAOAAAAZHJzL2Uyb0RvYy54bWysU11v2yAUfZ+0/4B4X+ykzppYIVXXLtOk&#10;7kNq9wMIxjEacBmQ2Nmv3wWnabS9VfMDunDNufece1jdDEaTg/RBgWV0OikpkVZAo+yO0R9Pm3cL&#10;SkLktuEarGT0KAO9Wb99s+pdLWfQgW6kJwhiQ907RrsYXV0UQXTS8DABJy0mW/CGR9z6XdF43iO6&#10;0cWsLN8XPfjGeRAyBDy9H5N0nfHbVor4rW2DjEQzir3FvPq8btNarFe83nnuOiVObfBXdGG4slj0&#10;DHXPIyd7r/6BMkp4CNDGiQBTQNsqITMHZDMt/2Lz2HEnMxcUJ7izTOH/wYqvh0f33ZM4fIABB5hJ&#10;BPcA4mcgFu46bnfy1nvoO8kbLDxNkhW9C/XpapI61CGBbPsv0OCQ+T5CBhpab5IqyJMgOg7geBZd&#10;DpEIPLyqrqvrGaYE5qZVebVczHMNXj9fdz7ETxIMSQGjHqea4fnhIcTUDq+ff0nVLGyU1nmy2pKe&#10;0eV8Ns8XLjJGRTSeVobRRZm+0QqJ5Ufb5MuRKz3GWEDbE+3EdOQch+1AVMPoLIuSZNhCc0QhPIxG&#10;w4eBQQf+NyU9mozR8GvPvaREf7Yo5nJaVcmVeVPNswz+MrO9zHArEIrRSMkY3sXs5MQ5uFsUfaOy&#10;HC+dnHpG82SVTkZP7rzc579enuP6DwAAAP//AwBQSwMEFAAGAAgAAAAhAJENg5HgAAAACgEAAA8A&#10;AABkcnMvZG93bnJldi54bWxMj81OwzAQhO9IvIO1SNxaOwFCGrKpyk85ISEKl96ceEmixnZkO214&#10;e9wTHEczmvmmXM96YEdyvrcGIVkKYGQaq3rTInx9bhc5MB+kUXKwhhB+yMO6urwoZaHsyXzQcRda&#10;FkuMLyRCF8JYcO6bjrT0SzuSid63dVqGKF3LlZOnWK4HngqRcS17Exc6OdJTR81hN2mEN3L7fDXl&#10;j/3+efvyfrhR9etGIV5fzZsHYIHm8BeGM35Ehyoy1XYyyrMB4S5d3cYowiIBdvbFfZYBqxHSNBHA&#10;q5L/v1D9AgAA//8DAFBLAQItABQABgAIAAAAIQC2gziS/gAAAOEBAAATAAAAAAAAAAAAAAAAAAAA&#10;AABbQ29udGVudF9UeXBlc10ueG1sUEsBAi0AFAAGAAgAAAAhADj9If/WAAAAlAEAAAsAAAAAAAAA&#10;AAAAAAAALwEAAF9yZWxzLy5yZWxzUEsBAi0AFAAGAAgAAAAhACgfSXb+AQAA1gMAAA4AAAAAAAAA&#10;AAAAAAAALgIAAGRycy9lMm9Eb2MueG1sUEsBAi0AFAAGAAgAAAAhAJENg5HgAAAACgEAAA8AAAAA&#10;AAAAAAAAAAAAWAQAAGRycy9kb3ducmV2LnhtbFBLBQYAAAAABAAEAPMAAABlBQAAAAA=&#10;" filled="f" stroked="f">
                <v:textbox style="mso-fit-shape-to-text:t">
                  <w:txbxContent>
                    <w:p w14:paraId="73048844" w14:textId="77777777" w:rsidR="00970972" w:rsidRPr="00787384" w:rsidRDefault="00970972" w:rsidP="00970972">
                      <w:pPr>
                        <w:pBdr>
                          <w:top w:val="single" w:sz="24" w:space="8" w:color="AD84C6" w:themeColor="accent1"/>
                          <w:bottom w:val="single" w:sz="24" w:space="8" w:color="AD84C6" w:themeColor="accent1"/>
                        </w:pBdr>
                        <w:spacing w:before="0" w:after="0" w:line="240" w:lineRule="auto"/>
                        <w:rPr>
                          <w:color w:val="AD84C6" w:themeColor="accent1"/>
                        </w:rPr>
                      </w:pPr>
                      <w:r>
                        <w:rPr>
                          <w:i/>
                          <w:iCs/>
                          <w:color w:val="AD84C6" w:themeColor="accent1"/>
                        </w:rPr>
                        <w:t>“We need to remove the barrier to getting a MassID. You need it to be able to apply for housing or RAFT or to get other government services… nonprofits and shelters will try to pay for the IDs, but there’s not enough money.”</w:t>
                      </w:r>
                      <w:r>
                        <w:rPr>
                          <w:color w:val="AD84C6" w:themeColor="accent1"/>
                        </w:rPr>
                        <w:t xml:space="preserve"> – Community organization supporting people experiencing homelessness</w:t>
                      </w:r>
                    </w:p>
                  </w:txbxContent>
                </v:textbox>
                <w10:wrap type="square" anchorx="page"/>
              </v:shape>
            </w:pict>
          </mc:Fallback>
        </mc:AlternateContent>
      </w:r>
      <w:r w:rsidRPr="00083E3E">
        <w:t>While this legislation has not yet been enacted, it has made recent progress, having been reported favorably and referred to the House Committee on Ways and Means on January 27, 2026. Passage of this bill would represent a critical step toward removing systemic barriers and ensuring that individuals experiencing homelessness can access identification necessary for housing, employment, health care, and other essential services.</w:t>
      </w:r>
    </w:p>
    <w:p w14:paraId="086618D0" w14:textId="1011FCF3" w:rsidR="00592E89" w:rsidRPr="00083E3E" w:rsidRDefault="00592E89" w:rsidP="0005607E">
      <w:pPr>
        <w:jc w:val="both"/>
      </w:pPr>
      <w:r w:rsidRPr="00083E3E">
        <w:t xml:space="preserve">More broadly, the Commonwealth should </w:t>
      </w:r>
      <w:r w:rsidR="00970972">
        <w:t xml:space="preserve">also </w:t>
      </w:r>
      <w:r w:rsidRPr="00083E3E">
        <w:t xml:space="preserve">strengthen legal protections for individuals experiencing homelessness. The Commission supports </w:t>
      </w:r>
      <w:r w:rsidRPr="00083E3E">
        <w:rPr>
          <w:i/>
          <w:iCs/>
        </w:rPr>
        <w:t>An Act establishing a bill of rights for individuals experiencing homelessness</w:t>
      </w:r>
      <w:r w:rsidRPr="00083E3E">
        <w:t xml:space="preserve"> (S.1120/H.274), which would affirm fundamental rights, including the ability to move freely in public spaces, protections against discrimination, and the right to vote without a permanent address. These protections are critical to ensuring that individuals experiencing homelessness are treated with dignity and </w:t>
      </w:r>
      <w:r w:rsidR="004F6E0A" w:rsidRPr="00083E3E">
        <w:t>can</w:t>
      </w:r>
      <w:r w:rsidRPr="00083E3E">
        <w:t xml:space="preserve"> fully participate in civic life.</w:t>
      </w:r>
    </w:p>
    <w:p w14:paraId="5D84628C" w14:textId="6AB3DC03" w:rsidR="00592E89" w:rsidRPr="00083E3E" w:rsidRDefault="00592E89" w:rsidP="0005607E">
      <w:pPr>
        <w:jc w:val="both"/>
      </w:pPr>
      <w:r w:rsidRPr="00083E3E">
        <w:t xml:space="preserve">The Commission is also increasingly concerned about the long-term stability of programs serving LGBTQ youth amid growing national attacks on transgender-inclusive policies and diversity, equity, and inclusion (DEI) initiatives. Many shelters, housing providers, and community-based organizations serving LGBTQ youth rely heavily on federal funding streams that are becoming vulnerable to political targeting and/or funding reductions. The Commission therefore recommends that the Commonwealth explore establishing contingency funding mechanisms to support agencies, shelters, and service providers facing federal funding losses related to trans-inclusive policies or DEI-focused programming, </w:t>
      </w:r>
      <w:r w:rsidR="004F6E0A" w:rsidRPr="00083E3E">
        <w:t>to</w:t>
      </w:r>
      <w:r w:rsidRPr="00083E3E">
        <w:t xml:space="preserve"> maintain continuity of care for vulnerable youth.</w:t>
      </w:r>
    </w:p>
    <w:p w14:paraId="0D42EC5C" w14:textId="78715241" w:rsidR="00592E89" w:rsidRPr="00083E3E" w:rsidRDefault="00592E89" w:rsidP="0005607E">
      <w:pPr>
        <w:jc w:val="both"/>
      </w:pPr>
      <w:r w:rsidRPr="00083E3E">
        <w:t xml:space="preserve">Additionally, the Commission recommends expanding workforce development, employment readiness, and paid job training opportunities for youth experiencing homelessness, particularly LGBTQ youth and transition-aged youth. Economic instability remains one of the primary drivers of prolonged homelessness, and many LGBTQ youth face additional barriers to employment due to discrimination, interrupted education, family rejection, and lack of supportive adult networks. </w:t>
      </w:r>
      <w:r w:rsidRPr="00083E3E">
        <w:lastRenderedPageBreak/>
        <w:t>Expanding pathways to employment and financial stability is therefore critical to preventing long-term homelessness and improving overall well-being.</w:t>
      </w:r>
    </w:p>
    <w:p w14:paraId="076E18D2" w14:textId="2647F437" w:rsidR="00592E89" w:rsidRPr="00083E3E" w:rsidRDefault="00592E89" w:rsidP="0005607E">
      <w:pPr>
        <w:jc w:val="both"/>
      </w:pPr>
      <w:r w:rsidRPr="00083E3E">
        <w:t xml:space="preserve">Despite these opportunities, Massachusetts continues to </w:t>
      </w:r>
      <w:proofErr w:type="gramStart"/>
      <w:r w:rsidRPr="00083E3E">
        <w:t>lag behind</w:t>
      </w:r>
      <w:proofErr w:type="gramEnd"/>
      <w:r w:rsidRPr="00083E3E">
        <w:t xml:space="preserve"> other states in implementing comprehensive protections and service access improvements for youth experiencing homelessness. Passing these legislative measures would represent a critical step toward reducing barriers, promoting equity, and ensuring that LGBTQ youth and other vulnerable populations can access the services and supports necessary to achieve stability and long-term well-being.</w:t>
      </w:r>
    </w:p>
    <w:p w14:paraId="1095E100" w14:textId="0175E5C2" w:rsidR="00592E89" w:rsidRPr="00083E3E" w:rsidRDefault="00592E89" w:rsidP="00E97E73">
      <w:pPr>
        <w:pStyle w:val="Heading3"/>
      </w:pPr>
      <w:bookmarkStart w:id="133" w:name="_Toc230277330"/>
      <w:r w:rsidRPr="00083E3E">
        <w:t>Improve youth access to affordable housing by addressing the high cost of living across the Commonwealth.</w:t>
      </w:r>
      <w:bookmarkEnd w:id="133"/>
    </w:p>
    <w:p w14:paraId="576BA48D" w14:textId="239B0AB2" w:rsidR="00592E89" w:rsidRPr="00083E3E" w:rsidRDefault="00970972" w:rsidP="0005607E">
      <w:pPr>
        <w:jc w:val="both"/>
      </w:pPr>
      <w:r>
        <w:rPr>
          <w:noProof/>
        </w:rPr>
        <w:drawing>
          <wp:anchor distT="0" distB="0" distL="114300" distR="114300" simplePos="0" relativeHeight="251751424" behindDoc="0" locked="0" layoutInCell="1" allowOverlap="1" wp14:anchorId="3923C1BF" wp14:editId="5B0153A9">
            <wp:simplePos x="0" y="0"/>
            <wp:positionH relativeFrom="column">
              <wp:posOffset>-36195</wp:posOffset>
            </wp:positionH>
            <wp:positionV relativeFrom="paragraph">
              <wp:posOffset>151608</wp:posOffset>
            </wp:positionV>
            <wp:extent cx="4013835" cy="3724275"/>
            <wp:effectExtent l="0" t="0" r="5715" b="9525"/>
            <wp:wrapSquare wrapText="bothSides"/>
            <wp:docPr id="551880675" name="Picture 61" descr="a graphic detailing the statistics on youth living with their parents in this sub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880675" name="Picture 61" descr="a graphic detailing the statistics on youth living with their parents in this subsection"/>
                    <pic:cNvPicPr/>
                  </pic:nvPicPr>
                  <pic:blipFill rotWithShape="1">
                    <a:blip r:embed="rId38" cstate="print">
                      <a:extLst>
                        <a:ext uri="{28A0092B-C50C-407E-A947-70E740481C1C}">
                          <a14:useLocalDpi xmlns:a14="http://schemas.microsoft.com/office/drawing/2010/main" val="0"/>
                        </a:ext>
                      </a:extLst>
                    </a:blip>
                    <a:srcRect l="19391" t="8160" r="16186" b="7298"/>
                    <a:stretch>
                      <a:fillRect/>
                    </a:stretch>
                  </pic:blipFill>
                  <pic:spPr bwMode="auto">
                    <a:xfrm>
                      <a:off x="0" y="0"/>
                      <a:ext cx="4013835" cy="3724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15027">
        <w:rPr>
          <w:noProof/>
        </w:rPr>
        <mc:AlternateContent>
          <mc:Choice Requires="wps">
            <w:drawing>
              <wp:anchor distT="91440" distB="91440" distL="114300" distR="114300" simplePos="0" relativeHeight="251705344" behindDoc="0" locked="0" layoutInCell="1" allowOverlap="1" wp14:anchorId="7B4A7929" wp14:editId="0286C2DE">
                <wp:simplePos x="0" y="0"/>
                <wp:positionH relativeFrom="page">
                  <wp:posOffset>842645</wp:posOffset>
                </wp:positionH>
                <wp:positionV relativeFrom="paragraph">
                  <wp:posOffset>219710</wp:posOffset>
                </wp:positionV>
                <wp:extent cx="3474720" cy="1403985"/>
                <wp:effectExtent l="0" t="0" r="0" b="0"/>
                <wp:wrapSquare wrapText="bothSides"/>
                <wp:docPr id="15418750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1F1B175D" w14:textId="4EDB5C2E" w:rsidR="00787384" w:rsidRPr="00787384" w:rsidRDefault="00787384" w:rsidP="00215027">
                            <w:pPr>
                              <w:pBdr>
                                <w:top w:val="single" w:sz="24" w:space="8" w:color="AD84C6" w:themeColor="accent1"/>
                                <w:bottom w:val="single" w:sz="24" w:space="8" w:color="AD84C6" w:themeColor="accent1"/>
                              </w:pBdr>
                              <w:spacing w:before="0" w:after="0" w:line="240" w:lineRule="auto"/>
                              <w:rPr>
                                <w:color w:val="AD84C6" w:themeColor="accent1"/>
                              </w:rPr>
                            </w:pPr>
                            <w:r>
                              <w:rPr>
                                <w:i/>
                                <w:iCs/>
                                <w:color w:val="AD84C6" w:themeColor="accent1"/>
                              </w:rPr>
                              <w:t>“We see so much need in all corners of the state. The density is in Greater Boston, but there’s rising homelessness in older adults on the Cape and in Western Mass.”</w:t>
                            </w:r>
                            <w:r>
                              <w:rPr>
                                <w:color w:val="AD84C6" w:themeColor="accent1"/>
                              </w:rPr>
                              <w:t xml:space="preserve"> – Community organization supporting people experiencing homelessness</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7B4A7929" id="_x0000_s1048" type="#_x0000_t202" style="position:absolute;left:0;text-align:left;margin-left:66.35pt;margin-top:17.3pt;width:273.6pt;height:110.55pt;z-index:251705344;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Yu3/gEAANYDAAAOAAAAZHJzL2Uyb0RvYy54bWysU9uO2yAQfa/Uf0C8N3a8TjexQlbb3aaq&#10;tL1I234AwThGBYYCib39+g44m43at6p+QMB4zsw5c1jfjEaTo/RBgWV0PispkVZAq+ye0e/ftm+W&#10;lITIbcs1WMnokwz0ZvP61XpwjaygB91KTxDEhmZwjPYxuqYoguil4WEGTloMduANj3j0+6L1fEB0&#10;o4uqLN8WA/jWeRAyBLy9n4J0k/G7Tor4peuCjEQzir3FvPq87tJabNa82XvueiVObfB/6MJwZbHo&#10;GeqeR04OXv0FZZTwEKCLMwGmgK5TQmYOyGZe/sHmsedOZi4oTnBnmcL/gxWfj4/uqydxfAcjDjCT&#10;CO4BxI9ALNz13O7lrfcw9JK3WHieJCsGF5pTapI6NCGB7IZP0OKQ+SFCBho7b5IqyJMgOg7g6Sy6&#10;HCMReHlVX9fXFYYExuZ1ebVaLnIN3jynOx/iBwmGpA2jHqea4fnxIcTUDm+ef0nVLGyV1nmy2pKB&#10;0dWiWuSEi4hREY2nlWF0WaZvskJi+d62OTlypac9FtD2RDsxnTjHcTcS1TJaVSk5ybCD9gmF8DAZ&#10;DR8GbnrwvygZ0GSMhp8H7iUl+qNFMVfzuk6uzId6kWXwl5HdZYRbgVCMRkqm7V3MTk6cg7tF0bcq&#10;y/HSyalnNE9W6WT05M7Lc/7r5TlufgMAAP//AwBQSwMEFAAGAAgAAAAhALCkOQLgAAAACgEAAA8A&#10;AABkcnMvZG93bnJldi54bWxMj8tOwzAQRfdI/IM1SOyoQ0LzIk5VHmWFhChsunPiIYkajyPbacPf&#10;Y1awvJqje89Um0WP7ITWDYYE3K4iYEitUQN1Aj4/djc5MOclKTkaQgHf6GBTX15UslTmTO942vuO&#10;hRJypRTQez+VnLu2Ry3dykxI4fZlrJY+RNtxZeU5lOuRx1GUci0HCgu9nPCxx/a4n7WAV7SHvJjz&#10;h+HwtHt+OyaqedkqIa6vlu09MI+L/4PhVz+oQx2cGjOTcmwMOYmzgApI7lJgAUizogDWCIjX6wx4&#10;XfH/L9Q/AAAA//8DAFBLAQItABQABgAIAAAAIQC2gziS/gAAAOEBAAATAAAAAAAAAAAAAAAAAAAA&#10;AABbQ29udGVudF9UeXBlc10ueG1sUEsBAi0AFAAGAAgAAAAhADj9If/WAAAAlAEAAAsAAAAAAAAA&#10;AAAAAAAALwEAAF9yZWxzLy5yZWxzUEsBAi0AFAAGAAgAAAAhAB/Bi7f+AQAA1gMAAA4AAAAAAAAA&#10;AAAAAAAALgIAAGRycy9lMm9Eb2MueG1sUEsBAi0AFAAGAAgAAAAhALCkOQLgAAAACgEAAA8AAAAA&#10;AAAAAAAAAAAAWAQAAGRycy9kb3ducmV2LnhtbFBLBQYAAAAABAAEAPMAAABlBQAAAAA=&#10;" filled="f" stroked="f">
                <v:textbox style="mso-fit-shape-to-text:t">
                  <w:txbxContent>
                    <w:p w14:paraId="1F1B175D" w14:textId="4EDB5C2E" w:rsidR="00787384" w:rsidRPr="00787384" w:rsidRDefault="00787384" w:rsidP="00215027">
                      <w:pPr>
                        <w:pBdr>
                          <w:top w:val="single" w:sz="24" w:space="8" w:color="AD84C6" w:themeColor="accent1"/>
                          <w:bottom w:val="single" w:sz="24" w:space="8" w:color="AD84C6" w:themeColor="accent1"/>
                        </w:pBdr>
                        <w:spacing w:before="0" w:after="0" w:line="240" w:lineRule="auto"/>
                        <w:rPr>
                          <w:color w:val="AD84C6" w:themeColor="accent1"/>
                        </w:rPr>
                      </w:pPr>
                      <w:r>
                        <w:rPr>
                          <w:i/>
                          <w:iCs/>
                          <w:color w:val="AD84C6" w:themeColor="accent1"/>
                        </w:rPr>
                        <w:t>“We see so much need in all corners of the state. The density is in Greater Boston, but there’s rising homelessness in older adults on the Cape and in Western Mass.”</w:t>
                      </w:r>
                      <w:r>
                        <w:rPr>
                          <w:color w:val="AD84C6" w:themeColor="accent1"/>
                        </w:rPr>
                        <w:t xml:space="preserve"> – Community organization supporting people experiencing homelessness</w:t>
                      </w:r>
                    </w:p>
                  </w:txbxContent>
                </v:textbox>
                <w10:wrap type="square" anchorx="page"/>
              </v:shape>
            </w:pict>
          </mc:Fallback>
        </mc:AlternateContent>
      </w:r>
      <w:r w:rsidR="00592E89" w:rsidRPr="00083E3E">
        <w:t>Across several listening sessions that the Commission held in FY 2024</w:t>
      </w:r>
      <w:r w:rsidR="00CC6C01">
        <w:t xml:space="preserve"> and again in FY 2026</w:t>
      </w:r>
      <w:r w:rsidR="00592E89" w:rsidRPr="00083E3E">
        <w:t xml:space="preserve"> with LGBTQ young people experiencing homelessness, one of the top issues of concern was finding stable and LGBTQ-affirming employment. However, one of the biggest barriers to finding stable employment was their experiences of homelessness. Many of the participants in the sessions noted that it is often difficult to concentrate on a </w:t>
      </w:r>
      <w:r w:rsidR="0054417F" w:rsidRPr="00083E3E">
        <w:t>workday</w:t>
      </w:r>
      <w:r w:rsidR="00592E89" w:rsidRPr="00083E3E">
        <w:t xml:space="preserve"> if they are also concerned about where they will be sleeping that night (whether that be on a friend’s couch, in a shelter, or on the street). Furthermore, lack of access to appropriate clothing, hygiene, and gender-affirming products, lack of appropriate documentation, and poor mental health were also listed as significant barriers.</w:t>
      </w:r>
    </w:p>
    <w:p w14:paraId="7938B8B7" w14:textId="2D40EA9E" w:rsidR="00592E89" w:rsidRPr="00083E3E" w:rsidRDefault="00592E89" w:rsidP="0005607E">
      <w:pPr>
        <w:jc w:val="both"/>
      </w:pPr>
      <w:r w:rsidRPr="00083E3E">
        <w:t>While organizations like Breaktime provide employment support for LGBTQ young people experiencing homelessness, it is critical that the state broadens its understanding of what homelessness prevention resources and programming are and increases funding to help build capacity through new and existing support programs.</w:t>
      </w:r>
    </w:p>
    <w:p w14:paraId="2493E5E8" w14:textId="6BF4A641" w:rsidR="00592E89" w:rsidRPr="00083E3E" w:rsidRDefault="00592E89" w:rsidP="0005607E">
      <w:pPr>
        <w:jc w:val="both"/>
      </w:pPr>
      <w:r w:rsidRPr="00083E3E">
        <w:lastRenderedPageBreak/>
        <w:t>Despite the difficulties of commuting into the city, as noted above, many residents choose the commute over the increasingly expensive costs of buying a home or renting an apartment in the Greater Boston area. The MA housing market has seen a 6.6% increase in the median price of homes in February 2025 since February 2024, marking a nearly 15% since 2023. A recent Redfin study reveals that homebuyers in the metro Boston area need a salary of $194k to afford a median priced home, while that number is $119k in the area around Worcester.</w:t>
      </w:r>
      <w:r w:rsidRPr="00E44F63">
        <w:rPr>
          <w:vertAlign w:val="superscript"/>
        </w:rPr>
        <w:footnoteReference w:id="116"/>
      </w:r>
      <w:r w:rsidRPr="00083E3E">
        <w:t xml:space="preserve"> These salaries are difficult for youth to obtain: the median salary for youth under the age of 25 is $40k, making it difficult for youth to put down a deposit on a house and pay a mortgage on their own.</w:t>
      </w:r>
      <w:r w:rsidRPr="00E44F63">
        <w:rPr>
          <w:vertAlign w:val="superscript"/>
        </w:rPr>
        <w:footnoteReference w:id="117"/>
      </w:r>
      <w:r w:rsidRPr="00083E3E">
        <w:t xml:space="preserve"> Massachusetts is the state with the fourth-lowest homeownership rate for youth 25-34 in the country at 34%.</w:t>
      </w:r>
      <w:r w:rsidRPr="00E44F63">
        <w:rPr>
          <w:vertAlign w:val="superscript"/>
        </w:rPr>
        <w:footnoteReference w:id="118"/>
      </w:r>
      <w:r w:rsidRPr="00083E3E">
        <w:t xml:space="preserve"> Additionally, Boston’s rental market is often rated within the top three of most expensive rental markets in the U.S.</w:t>
      </w:r>
    </w:p>
    <w:p w14:paraId="0A634E06" w14:textId="18FB3A4E" w:rsidR="00592E89" w:rsidRPr="00083E3E" w:rsidRDefault="00592E89" w:rsidP="0005607E">
      <w:pPr>
        <w:jc w:val="both"/>
      </w:pPr>
      <w:r w:rsidRPr="00083E3E">
        <w:t>Finally, the high prices that provide a barrier to purchasing a home or affording rent in metro areas has driven many youths to live with their parents. The percentage of youth aged 18-24 in the US who live with their parents has increased from 63% to 71%.</w:t>
      </w:r>
      <w:r w:rsidRPr="00E44F63">
        <w:rPr>
          <w:vertAlign w:val="superscript"/>
        </w:rPr>
        <w:footnoteReference w:id="119"/>
      </w:r>
      <w:r w:rsidRPr="00083E3E">
        <w:t xml:space="preserve"> LGBTQ youth who are kicked out or cut off from financial support by their parents due to their gender identity or sexual orientation likely will not have that option; lack of financial support from family and living close to the poverty line is also a risk factor for remaining in domestic violence situations, and higher rates of exploitation.</w:t>
      </w:r>
    </w:p>
    <w:p w14:paraId="581DF8AA" w14:textId="23034A79" w:rsidR="00592E89" w:rsidRPr="00083E3E" w:rsidRDefault="00592E89" w:rsidP="00E97E73">
      <w:pPr>
        <w:pStyle w:val="Heading3"/>
      </w:pPr>
      <w:bookmarkStart w:id="134" w:name="_Toc230277331"/>
      <w:r w:rsidRPr="00083E3E">
        <w:t>Increase research on LGBTQ youth and families relocating to Massachusetts due to anti-LGBTQ policies in other states.</w:t>
      </w:r>
      <w:bookmarkEnd w:id="134"/>
    </w:p>
    <w:p w14:paraId="52F979B3" w14:textId="4E8F1869" w:rsidR="00592E89" w:rsidRPr="00083E3E" w:rsidRDefault="00592E89" w:rsidP="0005607E">
      <w:pPr>
        <w:jc w:val="both"/>
        <w:rPr>
          <w:b/>
          <w:bCs/>
        </w:rPr>
      </w:pPr>
      <w:r w:rsidRPr="00083E3E">
        <w:t>According to the 2022 U.S. Transgender Survey preliminary findings, 10% of respondents moved to another area because of discrimination, and 5% moved to another state after their own state considered or passed anti-LGBTQ legislation.</w:t>
      </w:r>
      <w:r w:rsidRPr="00E44F63">
        <w:rPr>
          <w:vertAlign w:val="superscript"/>
        </w:rPr>
        <w:footnoteReference w:id="120"/>
      </w:r>
      <w:r w:rsidRPr="00083E3E">
        <w:t xml:space="preserve"> Across the nation, 47% of transgender and non-</w:t>
      </w:r>
      <w:r w:rsidRPr="00083E3E">
        <w:lastRenderedPageBreak/>
        <w:t>binary individuals recorded wanting to leave their states due to anti-LGBTQ legislation.</w:t>
      </w:r>
      <w:r w:rsidRPr="00E44F63">
        <w:rPr>
          <w:vertAlign w:val="superscript"/>
        </w:rPr>
        <w:footnoteReference w:id="121"/>
      </w:r>
      <w:r w:rsidRPr="00083E3E">
        <w:t xml:space="preserve"> As anti-trans rhetoric, policy, and legislation increases across the country, more and more LGBTQ youth and families are moving into Massachusetts for its strong legal protections and LGBTQ-affirming culture and supports.</w:t>
      </w:r>
    </w:p>
    <w:p w14:paraId="4D29C570" w14:textId="60F6B786" w:rsidR="00592E89" w:rsidRPr="00083E3E" w:rsidRDefault="00592E89" w:rsidP="0005607E">
      <w:pPr>
        <w:jc w:val="both"/>
      </w:pPr>
      <w:r w:rsidRPr="00083E3E">
        <w:t xml:space="preserve"> The Commission strongly recommends that the state invests in research on the experiences of LGBTQ individuals and families with LGBTQ youth moving into the state</w:t>
      </w:r>
      <w:r w:rsidR="00970972">
        <w:t xml:space="preserve"> from more conservative, anti-LGBTQ states</w:t>
      </w:r>
      <w:r w:rsidRPr="00083E3E">
        <w:t>, including examining the impact of moving on their personal finances, access to healthcare, and overall well-being. Socio-economic status may be a barrier to LGBTQ individuals and families with LGBTQ youth who seek to escape anti-LGBTQ legislation.</w:t>
      </w:r>
    </w:p>
    <w:p w14:paraId="06C739FF" w14:textId="4B087C3F" w:rsidR="00592E89" w:rsidRPr="00083E3E" w:rsidRDefault="00592E89" w:rsidP="0005607E">
      <w:pPr>
        <w:jc w:val="both"/>
      </w:pPr>
      <w:r w:rsidRPr="00083E3E">
        <w:t xml:space="preserve">For decades, Massachusetts has been a leader in LGBTQ </w:t>
      </w:r>
      <w:r w:rsidR="0054417F" w:rsidRPr="00083E3E">
        <w:t>rights and</w:t>
      </w:r>
      <w:r w:rsidRPr="00083E3E">
        <w:t xml:space="preserve"> was ranked the 11th safest state for LGBTQ individuals in </w:t>
      </w:r>
      <w:r w:rsidR="00B443A2" w:rsidRPr="00083E3E">
        <w:t>2023 and</w:t>
      </w:r>
      <w:r w:rsidRPr="00083E3E">
        <w:t xml:space="preserve"> consistently receives a strong score on the State Equality Index, which frequently makes it a destination for LGBTQ individuals selecting a new state as their home. In 2023, Massachusetts posted pride-themed advertisements in states with anti-LGBTQ legislation, such as Florida and Texas, to recruit more residents to the state.</w:t>
      </w:r>
      <w:r w:rsidRPr="00E44F63">
        <w:rPr>
          <w:vertAlign w:val="superscript"/>
        </w:rPr>
        <w:footnoteReference w:id="122"/>
      </w:r>
      <w:r w:rsidRPr="00083E3E">
        <w:t xml:space="preserve"> However, the costs of living, particularly housing and rent, may deter LGBTQ individuals and families with LGBTQ youth from choosing Massachusetts as their new home. Efforts to create more affordable housing and accessible transportation will not only provide opportunities for those in the state but also tap into LGBTQ talent from outside the state.</w:t>
      </w:r>
    </w:p>
    <w:p w14:paraId="29BEA76B" w14:textId="520BBB7B" w:rsidR="00592E89" w:rsidRPr="00083E3E" w:rsidRDefault="00592E89" w:rsidP="00E97E73">
      <w:pPr>
        <w:pStyle w:val="Heading3"/>
      </w:pPr>
      <w:bookmarkStart w:id="135" w:name="_Toc230277332"/>
      <w:r w:rsidRPr="00083E3E">
        <w:t>Improve access to LGBTQ-affirming job training and professional development opportunities in rural areas.</w:t>
      </w:r>
      <w:bookmarkEnd w:id="135"/>
    </w:p>
    <w:p w14:paraId="6C6C4417" w14:textId="31C98F97" w:rsidR="00592E89" w:rsidRPr="00083E3E" w:rsidRDefault="00592E89" w:rsidP="0005607E">
      <w:pPr>
        <w:jc w:val="both"/>
      </w:pPr>
      <w:r w:rsidRPr="00083E3E">
        <w:t>Consistently, LGBTQ youth in rural areas report a lack of access to quality job opportunities, let alone LGBTQ-affirming employment. Economic outcomes for youth may vary widely based on geographical location, though the lack of recent data aggregated by LGBTQ identity or race through regions of the state makes it difficult to fully understand unemployment data; in August 2025, the unemployment rate for the metro Boston area was 4.5%, while it was 5.7% for the metro Springfield area.</w:t>
      </w:r>
      <w:r w:rsidRPr="00083E3E">
        <w:rPr>
          <w:rStyle w:val="FootnoteReference"/>
          <w:sz w:val="22"/>
          <w:szCs w:val="22"/>
        </w:rPr>
        <w:footnoteReference w:id="123"/>
      </w:r>
    </w:p>
    <w:p w14:paraId="542012BC" w14:textId="0E5D9914" w:rsidR="00592E89" w:rsidRPr="00083E3E" w:rsidRDefault="00592E89" w:rsidP="0005607E">
      <w:pPr>
        <w:jc w:val="both"/>
      </w:pPr>
      <w:r w:rsidRPr="00083E3E">
        <w:lastRenderedPageBreak/>
        <w:t xml:space="preserve">Overall, there is a trend of greater economic performance in the metro Boston area, which has a large share of the professional, scientific, and technical services sector of the state, with its growth in life sciences research and technology work. However, in contrast with the economic growth in metro Boston, Western MA, and the Cape and Islands region have </w:t>
      </w:r>
      <w:proofErr w:type="gramStart"/>
      <w:r w:rsidRPr="00083E3E">
        <w:t>lagged behind</w:t>
      </w:r>
      <w:proofErr w:type="gramEnd"/>
      <w:r w:rsidRPr="00083E3E">
        <w:t xml:space="preserve"> other regions in overall performance and employment opportunities.</w:t>
      </w:r>
      <w:r w:rsidRPr="00083E3E">
        <w:rPr>
          <w:rStyle w:val="FootnoteReference"/>
          <w:sz w:val="22"/>
          <w:szCs w:val="22"/>
        </w:rPr>
        <w:footnoteReference w:id="124"/>
      </w:r>
      <w:r w:rsidRPr="00083E3E">
        <w:t xml:space="preserve"> Even in 2026, workforce development and economic investment remain uneven across the Commonwealth, with communities outside Greater Boston continuing to face structural barriers to job access, training opportunities, and long-term career pathways.</w:t>
      </w:r>
    </w:p>
    <w:p w14:paraId="0942DDDB" w14:textId="37276E20" w:rsidR="00592E89" w:rsidRPr="00083E3E" w:rsidRDefault="00592E89" w:rsidP="0005607E">
      <w:pPr>
        <w:jc w:val="both"/>
      </w:pPr>
      <w:r w:rsidRPr="00083E3E">
        <w:t>For many workers, these disparities result in long-distance commutes to Greater Boston. However, limited access to affordable and reliable public transportation creates significant barriers for early-career LGBTQ youth. For youth from low-income backgrounds or those without familial support - such as LGBTQ youth who have experienced family rejection - owning a car is often not feasible. As a result, access to employment is closely tied to the availability and reliability of public transit. While improvements to the MBTA are underway, the system has reported needing $24.5 billion in repairs, indicating that service challenges will persist in the near term.</w:t>
      </w:r>
      <w:r w:rsidRPr="00083E3E">
        <w:rPr>
          <w:vertAlign w:val="superscript"/>
        </w:rPr>
        <w:footnoteReference w:id="125"/>
      </w:r>
    </w:p>
    <w:p w14:paraId="348D5241" w14:textId="43DBD2BF" w:rsidR="00592E89" w:rsidRPr="00083E3E" w:rsidRDefault="00592E89" w:rsidP="0005607E">
      <w:pPr>
        <w:jc w:val="both"/>
      </w:pPr>
      <w:r w:rsidRPr="00083E3E">
        <w:t xml:space="preserve">Transportation barriers are even more pronounced in Western Massachusetts and rural regions, where public transit options are limited or nonexistent. Individuals commuting to Boston for work may face hundreds of miles of travel and significant weekly costs for gas and parking, effectively excluding many marginalized </w:t>
      </w:r>
      <w:r w:rsidR="0054417F" w:rsidRPr="00083E3E">
        <w:t>youths</w:t>
      </w:r>
      <w:r w:rsidRPr="00083E3E">
        <w:t xml:space="preserve"> from accessing higher-paying employment opportunities.</w:t>
      </w:r>
    </w:p>
    <w:p w14:paraId="09271B71" w14:textId="2228B85A" w:rsidR="00592E89" w:rsidRPr="00083E3E" w:rsidRDefault="00592E89" w:rsidP="0005607E">
      <w:pPr>
        <w:jc w:val="both"/>
      </w:pPr>
      <w:r w:rsidRPr="00083E3E">
        <w:t>To address these disparities, the Commonwealth should invest in LGBTQ-affirming job training, workforce development, and professional pipeline programs targeted to rural regions. Expanding access to regionally based career pathways, remote and hybrid work opportunities, and low-cost transportation options will be critical to ensuring that LGBTQ youth - particularly those in rural and under-resourced areas - can access stable employment and build sustainable careers.</w:t>
      </w:r>
    </w:p>
    <w:p w14:paraId="40098183" w14:textId="2C4C8C94" w:rsidR="00592E89" w:rsidRPr="00083E3E" w:rsidRDefault="00592E89" w:rsidP="00E97E73">
      <w:pPr>
        <w:pStyle w:val="Heading3"/>
      </w:pPr>
      <w:bookmarkStart w:id="136" w:name="_Toc230277334"/>
      <w:r w:rsidRPr="00083E3E">
        <w:t>Conclusion</w:t>
      </w:r>
      <w:bookmarkEnd w:id="136"/>
    </w:p>
    <w:p w14:paraId="19A7A5A7" w14:textId="216F479E" w:rsidR="00592E89" w:rsidRPr="00083E3E" w:rsidRDefault="00592E89" w:rsidP="0005607E">
      <w:pPr>
        <w:jc w:val="both"/>
      </w:pPr>
      <w:r w:rsidRPr="00083E3E">
        <w:t xml:space="preserve">Ensuring housing stability and expanding economic opportunity are essential to improving outcomes for LGBTQ youth across the Commonwealth. As this section demonstrates, barriers to </w:t>
      </w:r>
      <w:r w:rsidRPr="00083E3E">
        <w:lastRenderedPageBreak/>
        <w:t xml:space="preserve">safe housing, stable employment, and financial security are deeply interconnected and often compounded by discrimination, high costs of living, and gaps in access to affirming services. These challenges are particularly acute for QTBIPOC youth, immigrant youth, and those navigating multiple </w:t>
      </w:r>
      <w:r w:rsidR="00BE057D">
        <w:t xml:space="preserve">state </w:t>
      </w:r>
      <w:r w:rsidRPr="00083E3E">
        <w:t>systems.</w:t>
      </w:r>
    </w:p>
    <w:p w14:paraId="3B899C9C" w14:textId="1B74D54F" w:rsidR="00592E89" w:rsidRPr="00083E3E" w:rsidRDefault="00592E89" w:rsidP="0005607E">
      <w:pPr>
        <w:jc w:val="both"/>
      </w:pPr>
      <w:r w:rsidRPr="00083E3E">
        <w:t>Addressing these inequities requires sustained, coordinated investment in housing infrastructure, rental assistance, workforce development, and culturally responsive services. Strengthening shelter systems, expanding prevention and stabilization programs, removing administrative barriers, and investing in regionally equitable economic opportunities are critical steps toward ensuring that all youth can access safe, stable, and affirming environments.</w:t>
      </w:r>
    </w:p>
    <w:p w14:paraId="481660F0" w14:textId="451B4054" w:rsidR="00A41910" w:rsidRPr="00083E3E" w:rsidRDefault="00CC6C01" w:rsidP="0005607E">
      <w:pPr>
        <w:jc w:val="both"/>
      </w:pPr>
      <w:r>
        <w:t>However</w:t>
      </w:r>
      <w:r w:rsidR="00592E89" w:rsidRPr="00083E3E">
        <w:t>, housing and economic stability are closely tied to broader health and well</w:t>
      </w:r>
      <w:r>
        <w:t>ness issues</w:t>
      </w:r>
      <w:r w:rsidR="00592E89" w:rsidRPr="00083E3E">
        <w:t xml:space="preserve">. Without stable housing, access to health care, mental health services, and community supports becomes significantly more difficult. </w:t>
      </w:r>
      <w:r w:rsidRPr="00CC6C01">
        <w:t xml:space="preserve">Therefore, initiatives focused on improving </w:t>
      </w:r>
      <w:r>
        <w:t xml:space="preserve">housing instability and economic decline must work alongside </w:t>
      </w:r>
      <w:r w:rsidRPr="00CC6C01">
        <w:t>investment into health infrastructure capable of serving the needs of the LGBTQ community.</w:t>
      </w:r>
      <w:r>
        <w:t xml:space="preserve"> </w:t>
      </w:r>
    </w:p>
    <w:p w14:paraId="49AFBEB4" w14:textId="77777777" w:rsidR="00215027" w:rsidRDefault="00215027" w:rsidP="0005607E">
      <w:pPr>
        <w:jc w:val="both"/>
        <w:rPr>
          <w:b/>
          <w:bCs/>
          <w:caps/>
          <w:spacing w:val="15"/>
          <w:sz w:val="28"/>
          <w:szCs w:val="28"/>
        </w:rPr>
      </w:pPr>
      <w:r>
        <w:br w:type="page"/>
      </w:r>
    </w:p>
    <w:p w14:paraId="45D41ED7" w14:textId="5821FDA6" w:rsidR="00592E89" w:rsidRPr="00083E3E" w:rsidRDefault="00215027" w:rsidP="00B7107C">
      <w:pPr>
        <w:pStyle w:val="Heading2"/>
        <w:rPr>
          <w:rFonts w:eastAsia="Calibri"/>
        </w:rPr>
      </w:pPr>
      <w:bookmarkStart w:id="137" w:name="_Toc230276116"/>
      <w:bookmarkStart w:id="138" w:name="_Toc230276223"/>
      <w:bookmarkStart w:id="139" w:name="_Toc230276306"/>
      <w:bookmarkStart w:id="140" w:name="_Toc230276358"/>
      <w:bookmarkStart w:id="141" w:name="_Toc230277099"/>
      <w:bookmarkStart w:id="142" w:name="_Toc230277335"/>
      <w:bookmarkStart w:id="143" w:name="_Toc230355481"/>
      <w:r>
        <w:rPr>
          <w:noProof/>
        </w:rPr>
        <w:lastRenderedPageBreak/>
        <w:drawing>
          <wp:anchor distT="0" distB="0" distL="114300" distR="114300" simplePos="0" relativeHeight="251729920" behindDoc="1" locked="0" layoutInCell="1" allowOverlap="1" wp14:anchorId="772AB6D5" wp14:editId="624A7661">
            <wp:simplePos x="0" y="0"/>
            <wp:positionH relativeFrom="column">
              <wp:posOffset>-1009650</wp:posOffset>
            </wp:positionH>
            <wp:positionV relativeFrom="paragraph">
              <wp:posOffset>-1337310</wp:posOffset>
            </wp:positionV>
            <wp:extent cx="7858125" cy="1238250"/>
            <wp:effectExtent l="0" t="0" r="9525" b="0"/>
            <wp:wrapNone/>
            <wp:docPr id="588409747" name="Picture 38" descr="a rainbow sidewalk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409747" name="Picture 38" descr="a rainbow sidewalk header"/>
                    <pic:cNvPicPr/>
                  </pic:nvPicPr>
                  <pic:blipFill>
                    <a:blip r:embed="rId39" cstate="print">
                      <a:extLst>
                        <a:ext uri="{28A0092B-C50C-407E-A947-70E740481C1C}">
                          <a14:useLocalDpi xmlns:a14="http://schemas.microsoft.com/office/drawing/2010/main" val="0"/>
                        </a:ext>
                      </a:extLst>
                    </a:blip>
                    <a:stretch>
                      <a:fillRect/>
                    </a:stretch>
                  </pic:blipFill>
                  <pic:spPr>
                    <a:xfrm>
                      <a:off x="0" y="0"/>
                      <a:ext cx="7858125" cy="1238250"/>
                    </a:xfrm>
                    <a:prstGeom prst="rect">
                      <a:avLst/>
                    </a:prstGeom>
                  </pic:spPr>
                </pic:pic>
              </a:graphicData>
            </a:graphic>
            <wp14:sizeRelH relativeFrom="margin">
              <wp14:pctWidth>0</wp14:pctWidth>
            </wp14:sizeRelH>
            <wp14:sizeRelV relativeFrom="margin">
              <wp14:pctHeight>0</wp14:pctHeight>
            </wp14:sizeRelV>
          </wp:anchor>
        </w:drawing>
      </w:r>
      <w:r w:rsidR="00592E89" w:rsidRPr="00083E3E">
        <w:t>Access to State Services and Inclusive Governance</w:t>
      </w:r>
      <w:bookmarkEnd w:id="137"/>
      <w:bookmarkEnd w:id="138"/>
      <w:bookmarkEnd w:id="139"/>
      <w:bookmarkEnd w:id="140"/>
      <w:bookmarkEnd w:id="141"/>
      <w:bookmarkEnd w:id="142"/>
      <w:bookmarkEnd w:id="143"/>
    </w:p>
    <w:p w14:paraId="7EA31470" w14:textId="0BA13B5E" w:rsidR="00592E89" w:rsidRPr="00083E3E" w:rsidRDefault="00592E89" w:rsidP="0005607E">
      <w:pPr>
        <w:jc w:val="both"/>
      </w:pPr>
      <w:r w:rsidRPr="00083E3E">
        <w:t>Ensuring equitable access to state services and inclusive governance structures is essential to advancing the wellbeing of LGBTQ youth across the Commonwealth. While Massachusetts has made significant progress in expanding legal protections, persistent gaps in service accessibility, data collection, language inclusion, and policy implementation continue to limit the effectiveness of these effort</w:t>
      </w:r>
      <w:r w:rsidR="00BE057D">
        <w:t>s.</w:t>
      </w:r>
    </w:p>
    <w:p w14:paraId="3AFA5ECE" w14:textId="7F877D3E" w:rsidR="00592E89" w:rsidRPr="00083E3E" w:rsidRDefault="00592E89" w:rsidP="0005607E">
      <w:pPr>
        <w:jc w:val="both"/>
      </w:pPr>
      <w:r w:rsidRPr="00083E3E">
        <w:t xml:space="preserve">Barriers such as limited language access, fear of immigration enforcement, </w:t>
      </w:r>
      <w:r w:rsidR="00BE057D">
        <w:t xml:space="preserve">and </w:t>
      </w:r>
      <w:r w:rsidRPr="00083E3E">
        <w:t>inconsistent nondiscrimination protections can prevent LGBTQ individuals from fully accessing the services and supports available to them. At the same time, the absence of coordinated governance structures</w:t>
      </w:r>
      <w:r w:rsidR="00BE057D">
        <w:t>, limited data collection,</w:t>
      </w:r>
      <w:r w:rsidRPr="00083E3E">
        <w:t xml:space="preserve"> and inclusive policymaking processes can result in critical voices being excluded from decision-making.</w:t>
      </w:r>
    </w:p>
    <w:p w14:paraId="711E25FB" w14:textId="4130F8C2" w:rsidR="00592E89" w:rsidRPr="00083E3E" w:rsidRDefault="00592E89" w:rsidP="0005607E">
      <w:pPr>
        <w:jc w:val="both"/>
      </w:pPr>
      <w:r w:rsidRPr="00083E3E">
        <w:t>The following recommendations outline a comprehensive approach to strengthening access</w:t>
      </w:r>
      <w:r w:rsidR="00BE057D">
        <w:t xml:space="preserve"> and accountability </w:t>
      </w:r>
      <w:r w:rsidRPr="00083E3E">
        <w:t>across Massachusetts state systems. These strategies focus on expanding multilingual and culturally responsive services, improving data collection and transparency, strengthening nondiscrimination protections, investing in workforce training, and ensuring that LGBTQ youth and their families are meaningfully included in the policies that affect their lives.</w:t>
      </w:r>
    </w:p>
    <w:p w14:paraId="0C86B868" w14:textId="5F490954" w:rsidR="00592E89" w:rsidRPr="00083E3E" w:rsidRDefault="00592E89" w:rsidP="00E97E73">
      <w:pPr>
        <w:pStyle w:val="Heading3"/>
      </w:pPr>
      <w:bookmarkStart w:id="144" w:name="_Toc230277336"/>
      <w:r w:rsidRPr="00083E3E">
        <w:t>Establish an Immigrant and Refugee Task Force or Commission which includes a focus on the needs of LGBTQ immigrants.</w:t>
      </w:r>
      <w:bookmarkEnd w:id="144"/>
    </w:p>
    <w:p w14:paraId="1D18F1DD" w14:textId="249B0E80" w:rsidR="00592E89" w:rsidRPr="00083E3E" w:rsidRDefault="00592E89" w:rsidP="0005607E">
      <w:pPr>
        <w:jc w:val="both"/>
      </w:pPr>
      <w:r w:rsidRPr="00083E3E">
        <w:t>Individuals choose to immigrate or seek asylum in the United States for a variety of reasons, such as work opportunities, access to education and medical services, and other conditions that influence an individual’s quality of life.</w:t>
      </w:r>
      <w:r w:rsidRPr="00083E3E">
        <w:rPr>
          <w:rStyle w:val="FootnoteReference"/>
          <w:sz w:val="22"/>
          <w:szCs w:val="22"/>
        </w:rPr>
        <w:footnoteReference w:id="126"/>
      </w:r>
      <w:r w:rsidRPr="00083E3E">
        <w:t xml:space="preserve"> LGBTQ individuals often migrate to the U.S. to escape persecution and oppression due to their sexual orientation or gender identity. Currently, </w:t>
      </w:r>
      <w:r w:rsidR="007D658D" w:rsidRPr="00083E3E">
        <w:t>sixty-four</w:t>
      </w:r>
      <w:r w:rsidRPr="00083E3E">
        <w:t xml:space="preserve"> countries around the globe criminalize homosexuality, and roughly 13 actively criminalize transgender people.</w:t>
      </w:r>
    </w:p>
    <w:p w14:paraId="4D227312" w14:textId="1DC2AAB2" w:rsidR="00592E89" w:rsidRPr="00083E3E" w:rsidRDefault="00592E89" w:rsidP="0005607E">
      <w:pPr>
        <w:jc w:val="both"/>
      </w:pPr>
      <w:r w:rsidRPr="00083E3E">
        <w:t xml:space="preserve">The Commission recommends that Massachusetts explore the creation of an LGBTQ Immigrant &amp; Refugee Task Force composed of LGBTQ refugees, families, first-generation youth, and advocates to inform services at the state and local levels. As demonstrated for three decades by the Commission, having a dedicated voice at the state level to oversee policy development and </w:t>
      </w:r>
      <w:r w:rsidRPr="00083E3E">
        <w:lastRenderedPageBreak/>
        <w:t xml:space="preserve">service improvement is essential. By establishing a specific task force, those who are often left without a voice in Massachusetts decision-making </w:t>
      </w:r>
      <w:r w:rsidR="004F6E0A" w:rsidRPr="00083E3E">
        <w:t>can</w:t>
      </w:r>
      <w:r w:rsidRPr="00083E3E">
        <w:t xml:space="preserve"> influence effective change.</w:t>
      </w:r>
    </w:p>
    <w:p w14:paraId="17B44C2A" w14:textId="20629D7B" w:rsidR="00592E89" w:rsidRPr="00083E3E" w:rsidRDefault="00592E89" w:rsidP="0005607E">
      <w:pPr>
        <w:jc w:val="both"/>
      </w:pPr>
      <w:r w:rsidRPr="00083E3E">
        <w:t>Furthermore, as the Commission works to better understand the experiences of foreign- born LGBTQ youth in Massachusetts, the staggering lack of available data and research at the local, state, and national levels presents a significant barrier. The Commission strongly recommends that all state agencies, including a potential Task Force, explore ways to safely increase their data collection and outreach efforts to better capture the experiences of all LGBTQ youth across the state. The Commission acknowledges that open data collection and sharing is a sensitive and potentially harmful topic under the current federal administration and encourages stakeholders to explore potential solutions to safely increasing research on immigrant experiences</w:t>
      </w:r>
      <w:r w:rsidR="009F0C6B">
        <w:t>.</w:t>
      </w:r>
    </w:p>
    <w:p w14:paraId="21347197" w14:textId="65B3552E" w:rsidR="00592E89" w:rsidRPr="00083E3E" w:rsidRDefault="00592E89" w:rsidP="00E97E73">
      <w:pPr>
        <w:pStyle w:val="Heading3"/>
      </w:pPr>
      <w:bookmarkStart w:id="145" w:name="_Toc230277337"/>
      <w:r w:rsidRPr="00083E3E">
        <w:t>Improve the availability of multilingual, LGBTQ-affirming services for foreign-born residents and increase funding for existing programs.</w:t>
      </w:r>
      <w:bookmarkEnd w:id="145"/>
    </w:p>
    <w:p w14:paraId="38BF9591" w14:textId="493D0D4C" w:rsidR="00592E89" w:rsidRPr="00083E3E" w:rsidRDefault="00592E89" w:rsidP="0005607E">
      <w:pPr>
        <w:jc w:val="both"/>
      </w:pPr>
      <w:proofErr w:type="gramStart"/>
      <w:r w:rsidRPr="00083E3E">
        <w:t>It is clear that organizations</w:t>
      </w:r>
      <w:proofErr w:type="gramEnd"/>
      <w:r w:rsidRPr="00083E3E">
        <w:t xml:space="preserve"> currently working to serve LGBTQ immigrant, refugee, and asylee populations have limited capacity and funding to meet the demand for their services. For example, the LGBT Asylum Task Force, based in Worcester, is one of very few LGBTQ-specific asylum seeker support programs in the whole of the United States, and provides long-term rental assistance to asylum seekers who by law cannot work for at least 180 days after entering the U.S.</w:t>
      </w:r>
    </w:p>
    <w:p w14:paraId="7C3BC331" w14:textId="774B57AD" w:rsidR="00592E89" w:rsidRPr="00083E3E" w:rsidRDefault="00592E89" w:rsidP="0005607E">
      <w:pPr>
        <w:jc w:val="both"/>
      </w:pPr>
      <w:r w:rsidRPr="00083E3E">
        <w:t>The first, and sometimes most prevalent, barrier to many LGBTQ foreign-born youth participating in services is often language access. In fact, roughly 1.2 million foreign-born Massachusetts residents have limited English proficiency (LEP). Alarmingly, research has shown that people with LEP are more likely to live in poverty, making access to basic services critical.</w:t>
      </w:r>
      <w:r w:rsidRPr="00083E3E">
        <w:rPr>
          <w:rStyle w:val="FootnoteReference"/>
          <w:sz w:val="22"/>
          <w:szCs w:val="22"/>
        </w:rPr>
        <w:footnoteReference w:id="127"/>
      </w:r>
    </w:p>
    <w:p w14:paraId="3A57E8D3" w14:textId="68EE5949" w:rsidR="00592E89" w:rsidRPr="00083E3E" w:rsidRDefault="00592E89" w:rsidP="0005607E">
      <w:pPr>
        <w:jc w:val="both"/>
      </w:pPr>
      <w:r w:rsidRPr="00083E3E">
        <w:t>Yet without language access resources, it is difficult for these individuals to locate and use services. Similarly, LEP has been linked to poor health outcomes; on a practical level, not speaking English proficiently and needing interpretation services are two major barriers to accessing and remaining in health care services, including mental health care.</w:t>
      </w:r>
      <w:r w:rsidRPr="00083E3E">
        <w:rPr>
          <w:rStyle w:val="FootnoteReference"/>
          <w:sz w:val="22"/>
          <w:szCs w:val="22"/>
        </w:rPr>
        <w:footnoteReference w:id="128"/>
      </w:r>
      <w:r w:rsidRPr="00083E3E">
        <w:t xml:space="preserve"> The inability to communicate in the dominant language of care space influences health outcomes by producing social isolation, insecurity, lack of access to relevant information, and difficulty establishing social relationships, which in turn impacts self-esteem and position within the family and other social systems.</w:t>
      </w:r>
    </w:p>
    <w:p w14:paraId="2E53CD06" w14:textId="6FF8E675" w:rsidR="00592E89" w:rsidRPr="00083E3E" w:rsidRDefault="00592E89" w:rsidP="0005607E">
      <w:pPr>
        <w:jc w:val="both"/>
      </w:pPr>
      <w:r w:rsidRPr="00083E3E">
        <w:lastRenderedPageBreak/>
        <w:t xml:space="preserve">The Commission supports </w:t>
      </w:r>
      <w:r w:rsidRPr="00083E3E">
        <w:rPr>
          <w:i/>
          <w:iCs/>
        </w:rPr>
        <w:t>An Act Relative to Language Access and Inclusion</w:t>
      </w:r>
      <w:r w:rsidRPr="00083E3E">
        <w:t>, (S.2125/H.3384), which would require state agencies to provide public materials and information in the primary languages spoken by Massachusetts residents aside from English. Additionally, to avoid unnecessary obstacles, service providers should ensure that forms are clear to non-native English speakers, and that ID or citizenship information is not required to access services not dependent on immigration status. Organizations can also improve accessibility by hiring and appropriately compensating bilingual staff, providing materials and signs in multiple languages, and fostering relationships with interpreting services to improve service provision for non-English-speaking clients.</w:t>
      </w:r>
    </w:p>
    <w:p w14:paraId="44246AC5" w14:textId="220CFB97" w:rsidR="00592E89" w:rsidRPr="00083E3E" w:rsidRDefault="009F0C6B" w:rsidP="0005607E">
      <w:pPr>
        <w:jc w:val="both"/>
      </w:pPr>
      <w:r>
        <w:t xml:space="preserve">As noted throughout this report, </w:t>
      </w:r>
      <w:r w:rsidR="00592E89" w:rsidRPr="00083E3E">
        <w:t>LGBTQ people are disproportionately impacted by homelessness, and LGBTQ foreign-born youth are more likely to face challenges in gaining access to housing services. Unfortunately, very little research attempting to understand experiences of LGBTQ undocumented individuals experiencing homelessness currently exist</w:t>
      </w:r>
      <w:r>
        <w:t>s</w:t>
      </w:r>
      <w:r w:rsidR="00592E89" w:rsidRPr="00083E3E">
        <w:t>.</w:t>
      </w:r>
      <w:r>
        <w:t xml:space="preserve"> </w:t>
      </w:r>
      <w:r w:rsidR="00592E89" w:rsidRPr="00083E3E">
        <w:t xml:space="preserve">To mitigate experiences of homelessness and housing instability for immigrant youth, the Commission recommends that the Massachusetts legislature pass </w:t>
      </w:r>
      <w:r w:rsidR="00592E89" w:rsidRPr="00083E3E">
        <w:rPr>
          <w:i/>
          <w:iCs/>
        </w:rPr>
        <w:t>An Act Providing Upstream Homelessness Prevention Assistance to Families, Youth, and Adults</w:t>
      </w:r>
      <w:r w:rsidR="00592E89" w:rsidRPr="00083E3E">
        <w:t xml:space="preserve"> (S.961/H.1488), to protect all low-income state residents, which includes LGBTQ foreign-born youth, from eviction or foreclosure by codifying and streamlining access to DHCD’s homelessness prevention program, Residential Assistance for Families in Transition (RAFT), and restoring critical COVID-era protections. </w:t>
      </w:r>
    </w:p>
    <w:p w14:paraId="3C2C4D92" w14:textId="578ECCBC" w:rsidR="00592E89" w:rsidRPr="00083E3E" w:rsidRDefault="00592E89" w:rsidP="00E97E73">
      <w:pPr>
        <w:pStyle w:val="Heading3"/>
      </w:pPr>
      <w:bookmarkStart w:id="146" w:name="_Toc230277338"/>
      <w:r w:rsidRPr="00083E3E">
        <w:t>Protect and support undocumented youth through inclusive policies and access to state services.</w:t>
      </w:r>
      <w:bookmarkEnd w:id="146"/>
    </w:p>
    <w:p w14:paraId="6E41B038" w14:textId="48421D90" w:rsidR="00592E89" w:rsidRPr="00083E3E" w:rsidRDefault="00592E89" w:rsidP="0005607E">
      <w:pPr>
        <w:jc w:val="both"/>
      </w:pPr>
      <w:r w:rsidRPr="00083E3E">
        <w:t>Increasingly, immigrant communities across the United States are facing heightened targeting and enforcement actions at the federal, state, and local levels. In this context, the Commission recommends that Massachusetts continue to strengthen protections and expand access to services for undocumented youth in the Commonwealth. While the state has taken important steps in recent years to improve conditions for undocumented residents - including the adoption of municipal policies that limit cooperation between local law enforcement and federal immigration authorities - ongoing federal actions targeting immigrants, refugees, asylum seekers, and foreign-born students underscore the need for continued vigilance. Massachusetts must remain proactive in ensuring that it is a safe and supportive environment for all youth, regardless of immigration status.</w:t>
      </w:r>
    </w:p>
    <w:p w14:paraId="46E1D973" w14:textId="2B74EDA3" w:rsidR="00592E89" w:rsidRPr="00083E3E" w:rsidRDefault="009F0C6B" w:rsidP="0005607E">
      <w:pPr>
        <w:jc w:val="both"/>
      </w:pPr>
      <w:r>
        <w:rPr>
          <w:noProof/>
        </w:rPr>
        <w:lastRenderedPageBreak/>
        <mc:AlternateContent>
          <mc:Choice Requires="wps">
            <w:drawing>
              <wp:anchor distT="91440" distB="91440" distL="114300" distR="114300" simplePos="0" relativeHeight="251709440" behindDoc="0" locked="0" layoutInCell="1" allowOverlap="1" wp14:anchorId="638C0741" wp14:editId="54030072">
                <wp:simplePos x="0" y="0"/>
                <wp:positionH relativeFrom="page">
                  <wp:posOffset>880745</wp:posOffset>
                </wp:positionH>
                <wp:positionV relativeFrom="paragraph">
                  <wp:posOffset>94714</wp:posOffset>
                </wp:positionV>
                <wp:extent cx="3474720" cy="1403985"/>
                <wp:effectExtent l="0" t="0" r="0" b="0"/>
                <wp:wrapSquare wrapText="bothSides"/>
                <wp:docPr id="9618421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0F14DCB3" w14:textId="6AABB146" w:rsidR="00787384" w:rsidRPr="00787384" w:rsidRDefault="00787384" w:rsidP="00787384">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“ICE and other law enforcement agencies are making students and immigrants feel unsafe. We’ve seen some of our students sent to DCF after their parents were detained.”</w:t>
                            </w:r>
                            <w:r>
                              <w:rPr>
                                <w:color w:val="AD84C6" w:themeColor="accent1"/>
                              </w:rPr>
                              <w:t xml:space="preserve"> – Community organization supporting LGBTQ+ community members</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638C0741" id="_x0000_s1049" type="#_x0000_t202" style="position:absolute;left:0;text-align:left;margin-left:69.35pt;margin-top:7.45pt;width:273.6pt;height:110.55pt;z-index:251709440;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uVB/gEAANYDAAAOAAAAZHJzL2Uyb0RvYy54bWysU9uO2yAQfa/Uf0C8N3YSp5tYIavtblNV&#10;2l6kbT+AYByjAkOBxE6/vgPOZqP2raofEDCeM3POHNa3g9HkKH1QYBmdTkpKpBXQKLtn9Pu37Zsl&#10;JSFy23ANVjJ6koHebl6/WveuljPoQDfSEwSxoe4do12Mri6KIDppeJiAkxaDLXjDIx79vmg87xHd&#10;6GJWlm+LHnzjPAgZAt4+jEG6yfhtK0X80rZBRqIZxd5iXn1ed2ktNmte7z13nRLnNvg/dGG4slj0&#10;AvXAIycHr/6CMkp4CNDGiQBTQNsqITMHZDMt/2Dz1HEnMxcUJ7iLTOH/wYrPxyf31ZM4vIMBB5hJ&#10;BPcI4kcgFu47bvfyznvoO8kbLDxNkhW9C/U5NUkd6pBAdv0naHDI/BAhAw2tN0kV5EkQHQdwuogu&#10;h0gEXs6rm+pmhiGBsWlVzlfLRa7B6+d050P8IMGQtGHU41QzPD8+hpja4fXzL6maha3SOk9WW9Iz&#10;ulrMFjnhKmJURONpZRhdlukbrZBYvrdNTo5c6XGPBbQ9005MR85x2A1ENYzO5ik5ybCD5oRCeBiN&#10;hg8DNx34X5T0aDJGw88D95IS/dGimKtpVSVX5kO1yDL468juOsKtQChGIyXj9j5mJyfOwd2h6FuV&#10;5Xjp5NwzmierdDZ6cuf1Of/18hw3vwEAAP//AwBQSwMEFAAGAAgAAAAhAHJDzqffAAAACgEAAA8A&#10;AABkcnMvZG93bnJldi54bWxMj81OwzAQhO9IvIO1SNyoQwMhDXGq8lNOSIjCpTcnXpKo8TqynTa8&#10;PcsJbjPaT7Mz5Xq2gziiD70jBdeLBARS40xPrYLPj+1VDiJETUYPjlDBNwZYV+dnpS6MO9E7Hnex&#10;FRxCodAKuhjHQsrQdGh1WLgRiW9fzlsd2fpWGq9PHG4HuUySTFrdE3/o9IiPHTaH3WQVvKLf56sp&#10;f+j3T9vnt0Nq6peNUeryYt7cg4g4xz8Yfutzdai4U+0mMkEM7NP8jlEWNysQDGT5LYtawTLNEpBV&#10;Kf9PqH4AAAD//wMAUEsBAi0AFAAGAAgAAAAhALaDOJL+AAAA4QEAABMAAAAAAAAAAAAAAAAAAAAA&#10;AFtDb250ZW50X1R5cGVzXS54bWxQSwECLQAUAAYACAAAACEAOP0h/9YAAACUAQAACwAAAAAAAAAA&#10;AAAAAAAvAQAAX3JlbHMvLnJlbHNQSwECLQAUAAYACAAAACEAzXblQf4BAADWAwAADgAAAAAAAAAA&#10;AAAAAAAuAgAAZHJzL2Uyb0RvYy54bWxQSwECLQAUAAYACAAAACEAckPOp98AAAAKAQAADwAAAAAA&#10;AAAAAAAAAABYBAAAZHJzL2Rvd25yZXYueG1sUEsFBgAAAAAEAAQA8wAAAGQFAAAAAA==&#10;" filled="f" stroked="f">
                <v:textbox style="mso-fit-shape-to-text:t">
                  <w:txbxContent>
                    <w:p w14:paraId="0F14DCB3" w14:textId="6AABB146" w:rsidR="00787384" w:rsidRPr="00787384" w:rsidRDefault="00787384" w:rsidP="00787384">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“ICE and other law enforcement agencies are making students and immigrants feel unsafe. We’ve seen some of our students sent to DCF after their parents were detained.”</w:t>
                      </w:r>
                      <w:r>
                        <w:rPr>
                          <w:color w:val="AD84C6" w:themeColor="accent1"/>
                        </w:rPr>
                        <w:t xml:space="preserve"> – Community organization supporting LGBTQ+ community members</w:t>
                      </w:r>
                    </w:p>
                  </w:txbxContent>
                </v:textbox>
                <w10:wrap type="square" anchorx="page"/>
              </v:shape>
            </w:pict>
          </mc:Fallback>
        </mc:AlternateContent>
      </w:r>
      <w:r w:rsidR="00592E89" w:rsidRPr="00083E3E">
        <w:t>Recent reporting also highlights the direct impact of immigration enforcement fears on students and families in Massachusetts. Schools across the Commonwealth have reported increased absenteeism among immigrant students, as fear of immigration enforcement discourages attendance and engagement in school communities.</w:t>
      </w:r>
      <w:r w:rsidR="00592E89" w:rsidRPr="00083E3E">
        <w:rPr>
          <w:rStyle w:val="FootnoteReference"/>
          <w:sz w:val="22"/>
          <w:szCs w:val="22"/>
        </w:rPr>
        <w:footnoteReference w:id="129"/>
      </w:r>
      <w:r w:rsidR="00592E89" w:rsidRPr="00083E3E">
        <w:t xml:space="preserve"> These trends not only disrupt educational continuity but also limit access to critical supports that schools provide, including meals, mental health services, and connections to community resources. This climate of fear underscores the urgent need for policies that affirm safety and access to public institutions for undocumented youth and their families.</w:t>
      </w:r>
    </w:p>
    <w:p w14:paraId="1D373908" w14:textId="70C28885" w:rsidR="00592E89" w:rsidRPr="00083E3E" w:rsidRDefault="00592E89" w:rsidP="0005607E">
      <w:pPr>
        <w:jc w:val="both"/>
      </w:pPr>
      <w:r w:rsidRPr="00083E3E">
        <w:t xml:space="preserve">To further advance these protections, the Commission recommends passage of </w:t>
      </w:r>
      <w:r w:rsidRPr="00083E3E">
        <w:rPr>
          <w:i/>
          <w:iCs/>
        </w:rPr>
        <w:t>An Act to Protect the Civil Rights and Safety of All Massachusetts Residents</w:t>
      </w:r>
      <w:r w:rsidRPr="00083E3E">
        <w:t xml:space="preserve"> (S.1681/H.2580), also known as the Safe Communities Act. This legislation would strengthen access to courts and public safety protections by limiting state and local involvement in federal civil immigration enforcement. The Commission also supports </w:t>
      </w:r>
      <w:r w:rsidRPr="00083E3E">
        <w:rPr>
          <w:i/>
          <w:iCs/>
        </w:rPr>
        <w:t>An Act to Ensure Equitable Health Coverage for Children</w:t>
      </w:r>
      <w:r w:rsidRPr="00083E3E">
        <w:t xml:space="preserve"> (H.1403), which would expand eligibility for MassHealth and increase access to essential health care services for undocumented youth.</w:t>
      </w:r>
    </w:p>
    <w:p w14:paraId="52390DA8" w14:textId="520D3AB6" w:rsidR="00592E89" w:rsidRPr="00083E3E" w:rsidRDefault="00592E89" w:rsidP="0005607E">
      <w:pPr>
        <w:jc w:val="both"/>
      </w:pPr>
      <w:r w:rsidRPr="00083E3E">
        <w:t xml:space="preserve">In addition, the Commission emphasizes the importance of addressing housing instability among undocumented and immigrant youth. To mitigate risks of homelessness, the Commission recommends passage of </w:t>
      </w:r>
      <w:r w:rsidRPr="00083E3E">
        <w:rPr>
          <w:i/>
          <w:iCs/>
        </w:rPr>
        <w:t>An Act Providing Upstream Homelessness Prevention Assistance to Families, Youth, and Adults</w:t>
      </w:r>
      <w:r w:rsidRPr="00083E3E">
        <w:t xml:space="preserve"> (S.961/H.1488). This legislation would codify and streamline access to the Department of Housing and Community Development’s Residential Assistance for Families in Transition (RAFT) program, restore critical pandemic-era protections, and expand support for low-income residents, including LGBTQ foreign-born youth at heightened risk of housing insecurity.</w:t>
      </w:r>
      <w:r w:rsidR="009F0C6B">
        <w:t xml:space="preserve"> </w:t>
      </w:r>
      <w:r w:rsidRPr="00083E3E">
        <w:t xml:space="preserve">Taken together, these policy actions would strengthen Massachusetts’ commitment to equity, safety, and inclusion by ensuring that undocumented youth have access to the protections, services, and stability necessary to thrive. </w:t>
      </w:r>
    </w:p>
    <w:p w14:paraId="4C855D48" w14:textId="19591CD9" w:rsidR="00592E89" w:rsidRPr="00083E3E" w:rsidRDefault="00592E89" w:rsidP="00E97E73">
      <w:pPr>
        <w:pStyle w:val="Heading3"/>
      </w:pPr>
      <w:bookmarkStart w:id="147" w:name="_Toc230277339"/>
      <w:r w:rsidRPr="00083E3E">
        <w:lastRenderedPageBreak/>
        <w:t>Standardize sexual orientation and gender identity data collection across state agencies and update state forms to reflect inclusive demographic questions.</w:t>
      </w:r>
      <w:bookmarkEnd w:id="147"/>
    </w:p>
    <w:p w14:paraId="0EC9B4EE" w14:textId="1F1F840A" w:rsidR="00592E89" w:rsidRPr="00083E3E" w:rsidRDefault="00592E89" w:rsidP="0005607E">
      <w:pPr>
        <w:jc w:val="both"/>
      </w:pPr>
      <w:r w:rsidRPr="00083E3E">
        <w:t>One of the core aspects of the Commission’s work with state agencies is to advise on best practices for SOGI data collection through state forms and survey development. As language naturally develops among LGBTQ communities, data collection standards must also continuously evolve to remain appropriately inclusive of LGBTQ identities. The Commission appreciates the dedication that several state agencies and lawmakers have shown in updating internal systems and state laws to allow for the expansion of SOGI data collection where relevant. The Commission understands that there are numerous scenarios where it is inappropriate for the state to ask about sexual orientation in its service provision, but further notes that many, many state forms and systems look for demographic information on biological sex, rather than gender identity. In FY 2026, it is essential that stakeholders consider the potential risks and harms of collecting SOGI data under the current federal administration</w:t>
      </w:r>
      <w:r w:rsidR="009F0C6B">
        <w:t>, weighed by the benefits to improving policies and practices.</w:t>
      </w:r>
    </w:p>
    <w:p w14:paraId="4013E263" w14:textId="3958A08F" w:rsidR="00592E89" w:rsidRPr="00083E3E" w:rsidRDefault="00592E89" w:rsidP="0005607E">
      <w:pPr>
        <w:jc w:val="both"/>
      </w:pPr>
      <w:r w:rsidRPr="00083E3E">
        <w:t>The Commission’s overarching recommendation is that the state must improve its SOGI data collection in all relevant areas to better understand the number of LGBTQ individuals receiving services and disparities in access or care. One possibility is for the Governor or legislature to create a statewide task force or committee to examine SOGI data collection standards across agencies, investigate areas of improvement, and create work plans for state agencies to work on internally</w:t>
      </w:r>
      <w:r w:rsidR="009F0C6B">
        <w:t xml:space="preserve"> and cross-agency</w:t>
      </w:r>
      <w:r w:rsidRPr="00083E3E">
        <w:t>. The Commission advises that a priority of the task force - or state agencies - should be to collaborate on the development or review of data standards to better standardize, offer feedback, and overall improve data collection to allow for cross-agency analysis, and identify gaps in data collection. As the Commission has noted throughout this annual report, there are several critical areas of missing data, including on LGBTQ foreign-born youth and LGBTQ pregnancy care.</w:t>
      </w:r>
    </w:p>
    <w:p w14:paraId="081EFA8D" w14:textId="1814647F" w:rsidR="00592E89" w:rsidRPr="00083E3E" w:rsidRDefault="00592E89" w:rsidP="0005607E">
      <w:pPr>
        <w:jc w:val="both"/>
      </w:pPr>
      <w:r w:rsidRPr="00083E3E">
        <w:t>The Commission attends a quarterly EOHHS Interagency Working Group which works to provide updates on progress towards the Commission’s recommendations and identifies problems and solutions collaboratively. The Commission advises that a much larger cross-secretariat semi-annual meeting could occur with more state agencies to better identify systemic barriers and administrative (or legislative) solutions, including data collection. Alongside data improvements, clear and enforceable protections are essential.</w:t>
      </w:r>
    </w:p>
    <w:p w14:paraId="341B59DC" w14:textId="319B3107" w:rsidR="00592E89" w:rsidRPr="00083E3E" w:rsidRDefault="00592E89" w:rsidP="00E97E73">
      <w:pPr>
        <w:pStyle w:val="Heading3"/>
      </w:pPr>
      <w:bookmarkStart w:id="148" w:name="_Toc230277340"/>
      <w:r w:rsidRPr="00083E3E">
        <w:lastRenderedPageBreak/>
        <w:t>Require all state agencies to adopt LGBTQ-inclusive nondiscrimination policies and review internal policies for compliance.</w:t>
      </w:r>
      <w:bookmarkEnd w:id="148"/>
    </w:p>
    <w:p w14:paraId="5485AB32" w14:textId="27A84045" w:rsidR="00592E89" w:rsidRPr="00083E3E" w:rsidRDefault="00592E89" w:rsidP="0005607E">
      <w:pPr>
        <w:jc w:val="both"/>
      </w:pPr>
      <w:r w:rsidRPr="00083E3E">
        <w:t xml:space="preserve">As historically discussed, as well as through several of this year’s FY 2027 agency recommendations, the Commission advises that all agencies have an explicit nondiscrimination policy that is publicly available to indicate the agency’s commitment to supporting its LGBTQ clients, employees, and contractors. The Commission supports </w:t>
      </w:r>
      <w:r w:rsidRPr="009F0C6B">
        <w:rPr>
          <w:i/>
          <w:iCs/>
        </w:rPr>
        <w:t>An Act Relative to Nondiscrimination</w:t>
      </w:r>
      <w:r w:rsidRPr="00083E3E">
        <w:t xml:space="preserve"> (S.906), which would require all state agencies to develop and implement a plan to create a nondiscrimination policy, as well as a plan detailing recourse in the case of discrimination and timelines for personnel training on nondiscrimination and equal access.</w:t>
      </w:r>
    </w:p>
    <w:p w14:paraId="0B949FF9" w14:textId="5D68033E" w:rsidR="00592E89" w:rsidRPr="00083E3E" w:rsidRDefault="00592E89" w:rsidP="00E97E73">
      <w:pPr>
        <w:pStyle w:val="Heading3"/>
      </w:pPr>
      <w:bookmarkStart w:id="149" w:name="_Toc230277341"/>
      <w:r w:rsidRPr="00083E3E">
        <w:t>Ensure that all agencies provide mandatory LGBTQ cultural awareness trainings to staff and contracted providers.</w:t>
      </w:r>
      <w:bookmarkEnd w:id="149"/>
    </w:p>
    <w:p w14:paraId="1E16A7BE" w14:textId="2C80CA43" w:rsidR="00592E89" w:rsidRPr="00083E3E" w:rsidRDefault="00592E89" w:rsidP="0005607E">
      <w:pPr>
        <w:jc w:val="both"/>
      </w:pPr>
      <w:r w:rsidRPr="00083E3E">
        <w:t>The Commission recommends that all agencies engage their employees and contracted providers in mandatory, recurring, and in-person LGBTQ cultural awareness trainings. The Commission appreciates the additions of LGBTQ-inclusive practices in various statewide online training portals for onboarding and annual reviews and is excited to continue working with state agencies on further development of online curriculum units for state employees.</w:t>
      </w:r>
    </w:p>
    <w:p w14:paraId="3C141FF3" w14:textId="61EE36D6" w:rsidR="00592E89" w:rsidRPr="00083E3E" w:rsidRDefault="00592E89" w:rsidP="0005607E">
      <w:pPr>
        <w:jc w:val="both"/>
      </w:pPr>
      <w:r w:rsidRPr="00083E3E">
        <w:t xml:space="preserve">However, </w:t>
      </w:r>
      <w:r w:rsidR="009F0C6B">
        <w:t xml:space="preserve">as noted previously, </w:t>
      </w:r>
      <w:r w:rsidRPr="00083E3E">
        <w:t>extensive research has shown the benefits of recurring, scenario-based and in-person professional development opportunities particularly for direct service and client-facing providers. It is essential that state employees and contractors can deliver competent, equitable, and affirming services to LGBTQ clients and residents, and learn how to work professionally and respectfully with LGBTQ colleagues. Additionally, as is true with the Commission’s training curriculum, training opportunities should center concepts of intersectionality and issues particular to QTBIPOC communities. The Commission believes that by uplifting the most marginalized youth among us, we can uplift all youth.</w:t>
      </w:r>
    </w:p>
    <w:p w14:paraId="7BB99988" w14:textId="5A0D6446" w:rsidR="00592E89" w:rsidRPr="00083E3E" w:rsidRDefault="00592E89" w:rsidP="0005607E">
      <w:pPr>
        <w:jc w:val="both"/>
      </w:pPr>
      <w:r w:rsidRPr="00083E3E">
        <w:t xml:space="preserve">This year’s FY 2027 annual report features direct recommendations to </w:t>
      </w:r>
      <w:r w:rsidR="007D658D" w:rsidRPr="00083E3E">
        <w:t>twenty-two</w:t>
      </w:r>
      <w:r w:rsidRPr="00083E3E">
        <w:t xml:space="preserve"> secretariats and state </w:t>
      </w:r>
      <w:r w:rsidR="0054417F" w:rsidRPr="00083E3E">
        <w:t>agencies;</w:t>
      </w:r>
      <w:r w:rsidRPr="00083E3E">
        <w:t xml:space="preserve"> there are additional agencies that the Commission works with and has yet to issue recommendations to - or has </w:t>
      </w:r>
      <w:r w:rsidR="00B443A2" w:rsidRPr="00083E3E">
        <w:t>issued recommendations in the past</w:t>
      </w:r>
      <w:r w:rsidRPr="00083E3E">
        <w:t xml:space="preserve"> - but partners with on trainings. For example, for several years until FY 2025, the Commission issued specific recommendations to the Registry of Motor Vehicles (RMV); the Commission has been pleased with RMV’s progress on its past recommendations, detailed out in previous iterations of this report. However, despite removing its agency section from future reports, the Commission continues to recommend that the RMV - and other state agencies working or serving Massachusetts youth - provide LGBTQ cultural trainings to their employees. </w:t>
      </w:r>
    </w:p>
    <w:p w14:paraId="3670F5A9" w14:textId="3BA77318" w:rsidR="00592E89" w:rsidRPr="00083E3E" w:rsidRDefault="00592E89" w:rsidP="0005607E">
      <w:pPr>
        <w:jc w:val="both"/>
      </w:pPr>
      <w:r w:rsidRPr="00083E3E">
        <w:lastRenderedPageBreak/>
        <w:t xml:space="preserve">For the last few years, the Commission has been grateful for the support and collaboration with the Executive Office of Health and Human Services (EOHHS) on the development and implementation of a statewide LGBTQ training curriculum. In November 2022, the Commission and EOHHS officially launched a statewide agency training request system and have launched a series of train-the- trainer sessions to build internal training capacity within seven state agencies. The Commission has further begun conversations with the Department of Early Education and Care (EEC) and the Executive Office of Public Safety and Services (EOPSS) for trainings. </w:t>
      </w:r>
    </w:p>
    <w:p w14:paraId="33CB8A6B" w14:textId="3BF5335D" w:rsidR="00592E89" w:rsidRPr="00083E3E" w:rsidRDefault="00592E89" w:rsidP="00E97E73">
      <w:pPr>
        <w:pStyle w:val="Heading3"/>
      </w:pPr>
      <w:bookmarkStart w:id="150" w:name="_Toc230277342"/>
      <w:r w:rsidRPr="00083E3E">
        <w:t>Develop a middle-school Youth Risk Behavior Survey and assess the needs of parents and elementary school educators.</w:t>
      </w:r>
      <w:bookmarkEnd w:id="150"/>
    </w:p>
    <w:p w14:paraId="20EE7FDE" w14:textId="52CDACC1" w:rsidR="00592E89" w:rsidRPr="00083E3E" w:rsidRDefault="00592E89" w:rsidP="0005607E">
      <w:pPr>
        <w:jc w:val="both"/>
      </w:pPr>
      <w:r w:rsidRPr="00083E3E">
        <w:t>As discussed throughout this annual report, the Massachusetts Youth Risk Behavior Survey (MYRBS) is one of the largest statewide data sources on LGBTQ youth experiences at the high school level. The MYRBS is conducted by the Department of Elementary and Secondary Education (DESE) in collaboration with the Department of Public Health (DPH) and the Centers for Disease Control and Prevention (CDC) on odd numbered years in randomly-selected high schools. The survey provides a wide array of questions on health and sexual behaviors which help determine strategies and plans to improving the health and education of youth across the state. However, for several years, the Commission has discussed the benefits of developing a statewide middle school survey to better understand and address risk behaviors occurring during early adolescence.</w:t>
      </w:r>
    </w:p>
    <w:p w14:paraId="1AE8F963" w14:textId="227EE76B" w:rsidR="00592E89" w:rsidRPr="00083E3E" w:rsidRDefault="00592E89" w:rsidP="00E97E73">
      <w:pPr>
        <w:pStyle w:val="Heading3"/>
      </w:pPr>
      <w:bookmarkStart w:id="151" w:name="_Toc230277343"/>
      <w:r w:rsidRPr="00083E3E">
        <w:t>Eliminate archaic homophobic and transphobic language from the Massachusetts General Laws.</w:t>
      </w:r>
      <w:bookmarkEnd w:id="151"/>
    </w:p>
    <w:p w14:paraId="2C078E63" w14:textId="6E60617D" w:rsidR="00592E89" w:rsidRPr="00083E3E" w:rsidRDefault="00592E89" w:rsidP="0005607E">
      <w:pPr>
        <w:jc w:val="both"/>
      </w:pPr>
      <w:r w:rsidRPr="00083E3E">
        <w:t xml:space="preserve">The Commission recommends that Massachusetts establish a permanent commission or task force directed to review the laws and statutes of the Commonwealth to eliminate archaic and inequitable homophobic and transphobic language. As anti-LGBTQ rhetoric and legislation continues to sweep across the nation and in Massachusetts, it is essential for lawmakers to eliminate laws that - while likely not enforceable in the modern day - </w:t>
      </w:r>
      <w:proofErr w:type="gramStart"/>
      <w:r w:rsidRPr="00083E3E">
        <w:t>still remain</w:t>
      </w:r>
      <w:proofErr w:type="gramEnd"/>
      <w:r w:rsidRPr="00083E3E">
        <w:t xml:space="preserve"> on the books as a living reminder of the legal attacks against LGBTQ communities.</w:t>
      </w:r>
    </w:p>
    <w:p w14:paraId="10DF5EA4" w14:textId="0762C32A" w:rsidR="00592E89" w:rsidRPr="00083E3E" w:rsidRDefault="00592E89" w:rsidP="00E97E73">
      <w:pPr>
        <w:pStyle w:val="Heading3"/>
      </w:pPr>
      <w:bookmarkStart w:id="152" w:name="_Toc230277344"/>
      <w:r w:rsidRPr="00083E3E">
        <w:t>Conclusion</w:t>
      </w:r>
      <w:bookmarkEnd w:id="152"/>
    </w:p>
    <w:p w14:paraId="19B1DA66" w14:textId="58153EF0" w:rsidR="00592E89" w:rsidRPr="00083E3E" w:rsidRDefault="00CC6C01" w:rsidP="0005607E">
      <w:pPr>
        <w:jc w:val="both"/>
      </w:pPr>
      <w:r>
        <w:t>Collectively</w:t>
      </w:r>
      <w:r w:rsidR="00592E89" w:rsidRPr="00083E3E">
        <w:t xml:space="preserve">, these recommendations </w:t>
      </w:r>
      <w:r>
        <w:t xml:space="preserve">demonstrate </w:t>
      </w:r>
      <w:r w:rsidR="00592E89" w:rsidRPr="00083E3E">
        <w:t>the importance of ensuring that all LGBTQ youth in Massachusetts can access state services that are equitable, affirming, and responsive to their needs. As this section demonstrates, barriers to access</w:t>
      </w:r>
      <w:r w:rsidR="009F0C6B">
        <w:t xml:space="preserve"> </w:t>
      </w:r>
      <w:r w:rsidR="00592E89" w:rsidRPr="00083E3E">
        <w:t xml:space="preserve">through language limitations, lack of documentation, gaps in data collection, </w:t>
      </w:r>
      <w:r w:rsidR="009F0C6B">
        <w:t xml:space="preserve">and </w:t>
      </w:r>
      <w:r w:rsidR="00592E89" w:rsidRPr="00083E3E">
        <w:t>inconsistent nondiscrimination protections</w:t>
      </w:r>
      <w:r w:rsidR="009F0C6B">
        <w:t xml:space="preserve"> </w:t>
      </w:r>
      <w:r w:rsidR="00592E89" w:rsidRPr="00083E3E">
        <w:t xml:space="preserve">can significantly impact a young person’s ability to </w:t>
      </w:r>
      <w:r w:rsidR="009F0C6B">
        <w:t>thrive in the Commonwealth</w:t>
      </w:r>
      <w:r w:rsidR="00592E89" w:rsidRPr="00083E3E">
        <w:t xml:space="preserve">. </w:t>
      </w:r>
    </w:p>
    <w:p w14:paraId="31CF1624" w14:textId="65275D37" w:rsidR="00592E89" w:rsidRPr="00083E3E" w:rsidRDefault="00592E89" w:rsidP="0005607E">
      <w:pPr>
        <w:jc w:val="both"/>
      </w:pPr>
      <w:r w:rsidRPr="00083E3E">
        <w:lastRenderedPageBreak/>
        <w:t>Addressing these inequities requires a sustained commitment to inclusive governance, cross-agency coordination, and accountability</w:t>
      </w:r>
      <w:r w:rsidR="009F0C6B">
        <w:t xml:space="preserve"> for all state leaders</w:t>
      </w:r>
      <w:r w:rsidRPr="00083E3E">
        <w:t>. Strengthening multilingual services, standardizing data collection practices, expanding training for state employees, and ensuring that policies reflect the lived experiences of LGBTQ communities are critical steps toward building a more equitable and effective system.</w:t>
      </w:r>
    </w:p>
    <w:p w14:paraId="28CFEEBB" w14:textId="00620640" w:rsidR="00592E89" w:rsidRPr="00083E3E" w:rsidRDefault="00CC6C01" w:rsidP="0005607E">
      <w:pPr>
        <w:jc w:val="both"/>
      </w:pPr>
      <w:r w:rsidRPr="00CC6C01">
        <w:t xml:space="preserve">Moving beyond that, however, this </w:t>
      </w:r>
      <w:r>
        <w:t>report</w:t>
      </w:r>
      <w:r w:rsidRPr="00CC6C01">
        <w:t xml:space="preserve"> </w:t>
      </w:r>
      <w:r>
        <w:t xml:space="preserve">highlights </w:t>
      </w:r>
      <w:r w:rsidRPr="00CC6C01">
        <w:t xml:space="preserve">that </w:t>
      </w:r>
      <w:r>
        <w:t xml:space="preserve">successful initiatives </w:t>
      </w:r>
      <w:r w:rsidRPr="00CC6C01">
        <w:t xml:space="preserve">aimed at addressing the needs of LGBTQ youth must adopt a comprehensive approach </w:t>
      </w:r>
      <w:r>
        <w:t xml:space="preserve">that </w:t>
      </w:r>
      <w:r w:rsidRPr="00CC6C01">
        <w:t xml:space="preserve">takes into consideration housing security, education, health, economic opportunity, and the transformation of justice systems. </w:t>
      </w:r>
      <w:r w:rsidR="00592E89" w:rsidRPr="00083E3E">
        <w:t xml:space="preserve">By advancing these recommendations, Massachusetts </w:t>
      </w:r>
      <w:r w:rsidR="004F6E0A" w:rsidRPr="00083E3E">
        <w:t>can</w:t>
      </w:r>
      <w:r w:rsidR="00592E89" w:rsidRPr="00083E3E">
        <w:t xml:space="preserve"> build on its leadership and ensure that all LGBTQ youth</w:t>
      </w:r>
      <w:r w:rsidR="00CA4086">
        <w:t xml:space="preserve">, </w:t>
      </w:r>
      <w:r w:rsidR="00592E89" w:rsidRPr="00083E3E">
        <w:t>regardless of identity, background, or circumstance</w:t>
      </w:r>
      <w:r w:rsidR="00CA4086">
        <w:t>,</w:t>
      </w:r>
      <w:r w:rsidR="00592E89" w:rsidRPr="00083E3E">
        <w:t xml:space="preserve"> </w:t>
      </w:r>
      <w:r w:rsidR="00CA4086">
        <w:t>c</w:t>
      </w:r>
      <w:r w:rsidR="00592E89" w:rsidRPr="00083E3E">
        <w:t xml:space="preserve">an live safely </w:t>
      </w:r>
      <w:r w:rsidR="00CA4086">
        <w:t xml:space="preserve">and </w:t>
      </w:r>
      <w:r w:rsidR="00592E89" w:rsidRPr="00083E3E">
        <w:t>thrive across every stage of their lives.</w:t>
      </w:r>
    </w:p>
    <w:p w14:paraId="2D8DD36B" w14:textId="77777777" w:rsidR="00EF5E52" w:rsidRDefault="00EF5E52" w:rsidP="0005607E">
      <w:pPr>
        <w:jc w:val="both"/>
      </w:pPr>
    </w:p>
    <w:p w14:paraId="223C037B" w14:textId="341E5EA9" w:rsidR="00EF5E52" w:rsidRDefault="00EF5E52" w:rsidP="0005607E">
      <w:pPr>
        <w:jc w:val="both"/>
      </w:pPr>
    </w:p>
    <w:p w14:paraId="039DCAB9" w14:textId="77777777" w:rsidR="00EF5E52" w:rsidRDefault="00EF5E52" w:rsidP="0005607E">
      <w:pPr>
        <w:jc w:val="both"/>
      </w:pPr>
    </w:p>
    <w:p w14:paraId="022EF4E8" w14:textId="77777777" w:rsidR="00EF5E52" w:rsidRDefault="00EF5E52" w:rsidP="0005607E">
      <w:pPr>
        <w:jc w:val="both"/>
      </w:pPr>
    </w:p>
    <w:p w14:paraId="233FE935" w14:textId="5E54253D" w:rsidR="00EF5E52" w:rsidRDefault="00EF5E52" w:rsidP="0005607E">
      <w:pPr>
        <w:jc w:val="both"/>
      </w:pPr>
    </w:p>
    <w:p w14:paraId="36EE08B1" w14:textId="77777777" w:rsidR="00EF5E52" w:rsidRDefault="00EF5E52" w:rsidP="0005607E">
      <w:pPr>
        <w:jc w:val="both"/>
      </w:pPr>
    </w:p>
    <w:p w14:paraId="1055F18F" w14:textId="1BDE75BE" w:rsidR="00A41910" w:rsidRDefault="00260186" w:rsidP="0005607E">
      <w:pPr>
        <w:jc w:val="both"/>
      </w:pPr>
      <w:r w:rsidRPr="00083E3E">
        <w:br w:type="page"/>
      </w:r>
    </w:p>
    <w:p w14:paraId="2F56B6FC" w14:textId="4B967A73" w:rsidR="00592E89" w:rsidRPr="00083E3E" w:rsidRDefault="00CA4086" w:rsidP="00B7107C">
      <w:pPr>
        <w:pStyle w:val="Heading2"/>
      </w:pPr>
      <w:bookmarkStart w:id="153" w:name="_Toc230276117"/>
      <w:bookmarkStart w:id="154" w:name="_Toc230276224"/>
      <w:bookmarkStart w:id="155" w:name="_Toc230276307"/>
      <w:bookmarkStart w:id="156" w:name="_Toc230276359"/>
      <w:bookmarkStart w:id="157" w:name="_Toc230277100"/>
      <w:bookmarkStart w:id="158" w:name="_Toc230277345"/>
      <w:bookmarkStart w:id="159" w:name="_Toc230355482"/>
      <w:r>
        <w:rPr>
          <w:noProof/>
        </w:rPr>
        <w:lastRenderedPageBreak/>
        <w:drawing>
          <wp:anchor distT="0" distB="0" distL="114300" distR="114300" simplePos="0" relativeHeight="251810816" behindDoc="1" locked="0" layoutInCell="1" allowOverlap="1" wp14:anchorId="3BA9AADA" wp14:editId="63166374">
            <wp:simplePos x="0" y="0"/>
            <wp:positionH relativeFrom="column">
              <wp:posOffset>-1175657</wp:posOffset>
            </wp:positionH>
            <wp:positionV relativeFrom="paragraph">
              <wp:posOffset>-2612571</wp:posOffset>
            </wp:positionV>
            <wp:extent cx="8585388" cy="2410690"/>
            <wp:effectExtent l="0" t="0" r="6350" b="8890"/>
            <wp:wrapNone/>
            <wp:docPr id="1001688831" name="Picture 36" descr="Rainbow flag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88831" name="Picture 36" descr="Rainbow flag header"/>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622466" cy="2421101"/>
                    </a:xfrm>
                    <a:prstGeom prst="rect">
                      <a:avLst/>
                    </a:prstGeom>
                  </pic:spPr>
                </pic:pic>
              </a:graphicData>
            </a:graphic>
            <wp14:sizeRelH relativeFrom="page">
              <wp14:pctWidth>0</wp14:pctWidth>
            </wp14:sizeRelH>
            <wp14:sizeRelV relativeFrom="page">
              <wp14:pctHeight>0</wp14:pctHeight>
            </wp14:sizeRelV>
          </wp:anchor>
        </w:drawing>
      </w:r>
      <w:r w:rsidR="00592E89" w:rsidRPr="00083E3E">
        <w:t>Access to LGBTQ-Affirming Healthcare: Recommendations</w:t>
      </w:r>
      <w:bookmarkEnd w:id="153"/>
      <w:bookmarkEnd w:id="154"/>
      <w:bookmarkEnd w:id="155"/>
      <w:bookmarkEnd w:id="156"/>
      <w:bookmarkEnd w:id="157"/>
      <w:bookmarkEnd w:id="158"/>
      <w:bookmarkEnd w:id="159"/>
    </w:p>
    <w:p w14:paraId="51A0CF52" w14:textId="5FBA981F" w:rsidR="006420E4" w:rsidRPr="00083E3E" w:rsidRDefault="00592E89" w:rsidP="0005607E">
      <w:pPr>
        <w:jc w:val="both"/>
      </w:pPr>
      <w:r w:rsidRPr="00083E3E">
        <w:t>With the proliferation of anti-trans legislation and stigma that has swept across the nation, it is undeniable that the access of LGBTQ</w:t>
      </w:r>
      <w:r w:rsidR="00CA4086">
        <w:t>, especially transgender and gender expansive,</w:t>
      </w:r>
      <w:r w:rsidRPr="00083E3E">
        <w:t xml:space="preserve"> children to appropriate and affirming health care has significantly decreased, even in Massachusetts. </w:t>
      </w:r>
    </w:p>
    <w:p w14:paraId="77F225A3" w14:textId="6AA40FB1" w:rsidR="00592E89" w:rsidRPr="00083E3E" w:rsidRDefault="006420E4" w:rsidP="0005607E">
      <w:pPr>
        <w:jc w:val="both"/>
      </w:pPr>
      <w:r>
        <w:rPr>
          <w:noProof/>
        </w:rPr>
        <mc:AlternateContent>
          <mc:Choice Requires="wps">
            <w:drawing>
              <wp:anchor distT="91440" distB="91440" distL="114300" distR="114300" simplePos="0" relativeHeight="251711488" behindDoc="0" locked="0" layoutInCell="1" allowOverlap="1" wp14:anchorId="0E5B9BA0" wp14:editId="11E8F667">
                <wp:simplePos x="0" y="0"/>
                <wp:positionH relativeFrom="page">
                  <wp:posOffset>3457575</wp:posOffset>
                </wp:positionH>
                <wp:positionV relativeFrom="paragraph">
                  <wp:posOffset>59690</wp:posOffset>
                </wp:positionV>
                <wp:extent cx="3474720" cy="1403985"/>
                <wp:effectExtent l="0" t="0" r="0" b="4445"/>
                <wp:wrapSquare wrapText="bothSides"/>
                <wp:docPr id="14055745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213E5342" w14:textId="480F2013" w:rsidR="006420E4" w:rsidRPr="006420E4" w:rsidRDefault="006420E4" w:rsidP="006420E4">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“One issue is access to appropriate medical services, like dental, behavioral health supports, and optometry… We have a lot of youth who need optometry services but have not found something they can afford or do not have the time or bandwidth to find and access the services. A lot of our youth don’t have a PCP….”</w:t>
                            </w:r>
                            <w:r>
                              <w:rPr>
                                <w:color w:val="AD84C6" w:themeColor="accent1"/>
                              </w:rPr>
                              <w:t xml:space="preserve"> – Community organization supporting youth in Central Massachusetts</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0E5B9BA0" id="_x0000_s1050" type="#_x0000_t202" style="position:absolute;left:0;text-align:left;margin-left:272.25pt;margin-top:4.7pt;width:273.6pt;height:110.55pt;z-index:251711488;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3/v/gEAANYDAAAOAAAAZHJzL2Uyb0RvYy54bWysU11v2yAUfZ+0/4B4X+ykzppYIVXXLtOk&#10;7kNq9wMIxjEacBmQ2Nmv3wWnabS9VfMDAq7vufece1jdDEaTg/RBgWV0OikpkVZAo+yO0R9Pm3cL&#10;SkLktuEarGT0KAO9Wb99s+pdLWfQgW6kJwhiQ907RrsYXV0UQXTS8DABJy0GW/CGRzz6XdF43iO6&#10;0cWsLN8XPfjGeRAyBLy9H4N0nfHbVor4rW2DjEQzir3FvPq8btNarFe83nnuOiVObfBXdGG4slj0&#10;DHXPIyd7r/6BMkp4CNDGiQBTQNsqITMHZDMt/2Lz2HEnMxcUJ7izTOH/wYqvh0f33ZM4fIABB5hJ&#10;BPcA4mcgFu46bnfy1nvoO8kbLDxNkhW9C/UpNUkd6pBAtv0XaHDIfB8hAw2tN0kV5EkQHQdwPIsu&#10;h0gEXl5V19X1DEMCY9OqvFou5rkGr5/TnQ/xkwRD0oZRj1PN8PzwEGJqh9fPv6RqFjZK6zxZbUnP&#10;6HI+m+eEi4hREY2nlWF0UaZvtEJi+dE2OTlypcc9FtD2RDsxHTnHYTsQ1TA6q1JykmELzRGF8DAa&#10;DR8Gbjrwvynp0WSMhl977iUl+rNFMZfTqkquzIdqnmXwl5HtZYRbgVCMRkrG7V3MTk6cg7tF0Tcq&#10;y/HSyalnNE9W6WT05M7Lc/7r5Tmu/wAAAP//AwBQSwMEFAAGAAgAAAAhAO8pSQ/hAAAACgEAAA8A&#10;AABkcnMvZG93bnJldi54bWxMj81OwzAQhO9IvIO1SNyo3TahScimKj/tCQnRcunNiZckamxHsdOG&#10;t8c9wXE0o5lv8vWkO3amwbXWIMxnAhiZyqrW1Ahfh+1DAsx5aZTsrCGEH3KwLm5vcpkpezGfdN77&#10;moUS4zKJ0HjfZ5y7qiEt3cz2ZIL3bQctfZBDzdUgL6Fcd3whxCPXsjVhoZE9vTRUnfajRnin4Zik&#10;Y/LcHl+3bx+npSp3G4V4fzdtnoB5mvxfGK74AR2KwFTa0SjHOoQ4iuIQRUgjYFdfpPMVsBJhsRQx&#10;8CLn/y8UvwAAAP//AwBQSwECLQAUAAYACAAAACEAtoM4kv4AAADhAQAAEwAAAAAAAAAAAAAAAAAA&#10;AAAAW0NvbnRlbnRfVHlwZXNdLnhtbFBLAQItABQABgAIAAAAIQA4/SH/1gAAAJQBAAALAAAAAAAA&#10;AAAAAAAAAC8BAABfcmVscy8ucmVsc1BLAQItABQABgAIAAAAIQAwe3/v/gEAANYDAAAOAAAAAAAA&#10;AAAAAAAAAC4CAABkcnMvZTJvRG9jLnhtbFBLAQItABQABgAIAAAAIQDvKUkP4QAAAAoBAAAPAAAA&#10;AAAAAAAAAAAAAFgEAABkcnMvZG93bnJldi54bWxQSwUGAAAAAAQABADzAAAAZgUAAAAA&#10;" filled="f" stroked="f">
                <v:textbox style="mso-fit-shape-to-text:t">
                  <w:txbxContent>
                    <w:p w14:paraId="213E5342" w14:textId="480F2013" w:rsidR="006420E4" w:rsidRPr="006420E4" w:rsidRDefault="006420E4" w:rsidP="006420E4">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“One issue is access to appropriate medical services, like dental, behavioral health supports, and optometry… We have a lot of youth who need optometry services but have not found something they can afford or do not have the time or bandwidth to find and access the services. A lot of our youth don’t have a PCP….”</w:t>
                      </w:r>
                      <w:r>
                        <w:rPr>
                          <w:color w:val="AD84C6" w:themeColor="accent1"/>
                        </w:rPr>
                        <w:t xml:space="preserve"> – Community organization supporting youth in Central Massachusetts</w:t>
                      </w:r>
                    </w:p>
                  </w:txbxContent>
                </v:textbox>
                <w10:wrap type="square" anchorx="page"/>
              </v:shape>
            </w:pict>
          </mc:Fallback>
        </mc:AlternateContent>
      </w:r>
      <w:r w:rsidR="00592E89" w:rsidRPr="00083E3E">
        <w:t xml:space="preserve">Gender-affirming care has been shown to be lifesaving for </w:t>
      </w:r>
      <w:r w:rsidR="00CA4086">
        <w:t xml:space="preserve">youth through </w:t>
      </w:r>
      <w:r w:rsidR="00592E89" w:rsidRPr="00083E3E">
        <w:t xml:space="preserve"> reducing suicidality and increasing access to healthcare services. </w:t>
      </w:r>
      <w:r w:rsidR="00CA4086">
        <w:t>However, j</w:t>
      </w:r>
      <w:r w:rsidR="00592E89" w:rsidRPr="00083E3E">
        <w:t>ust as diabetes clinics were once separate and specialized clinics, so too does gender-affirming care remain largely isolated to specific clinics.</w:t>
      </w:r>
      <w:r w:rsidR="00592E89" w:rsidRPr="00083E3E">
        <w:rPr>
          <w:rStyle w:val="FootnoteReference"/>
        </w:rPr>
        <w:footnoteReference w:id="130"/>
      </w:r>
      <w:r w:rsidR="00592E89" w:rsidRPr="00083E3E">
        <w:rPr>
          <w:vertAlign w:val="superscript"/>
        </w:rPr>
        <w:t xml:space="preserve"> </w:t>
      </w:r>
      <w:r w:rsidR="00CA4086">
        <w:t>T</w:t>
      </w:r>
      <w:r w:rsidR="00592E89" w:rsidRPr="00083E3E">
        <w:t xml:space="preserve">he history of gender-affirming care is one that is increasingly moving from urban academic institutions to mainstream primary care and medical home settings. </w:t>
      </w:r>
      <w:r w:rsidR="00CA4086">
        <w:t xml:space="preserve">Fortunately, the numbers of </w:t>
      </w:r>
      <w:r w:rsidR="00592E89" w:rsidRPr="00083E3E">
        <w:t xml:space="preserve">trans-competent </w:t>
      </w:r>
      <w:r w:rsidR="00CA4086">
        <w:t xml:space="preserve">and </w:t>
      </w:r>
      <w:r w:rsidR="00592E89" w:rsidRPr="00083E3E">
        <w:t>gender-affirming providers have been slowly but steadily increasing over time, particularly in states like Massachusetts.</w:t>
      </w:r>
      <w:r w:rsidR="00592E89" w:rsidRPr="00083E3E">
        <w:rPr>
          <w:rStyle w:val="FootnoteReference"/>
        </w:rPr>
        <w:footnoteReference w:id="131"/>
      </w:r>
      <w:r w:rsidR="00592E89" w:rsidRPr="00083E3E">
        <w:rPr>
          <w:vertAlign w:val="superscript"/>
        </w:rPr>
        <w:t xml:space="preserve">  </w:t>
      </w:r>
      <w:r w:rsidR="00592E89" w:rsidRPr="00083E3E">
        <w:t>Moreover, the vast majority of trans and gender expansive youth who socially transition do continue to identify in their affirmed gender.</w:t>
      </w:r>
      <w:r w:rsidR="00592E89" w:rsidRPr="00083E3E">
        <w:rPr>
          <w:rStyle w:val="FootnoteReference"/>
        </w:rPr>
        <w:footnoteReference w:id="132"/>
      </w:r>
      <w:r w:rsidR="00592E89" w:rsidRPr="00083E3E">
        <w:rPr>
          <w:vertAlign w:val="superscript"/>
        </w:rPr>
        <w:t xml:space="preserve"> </w:t>
      </w:r>
      <w:r w:rsidR="00592E89" w:rsidRPr="00083E3E">
        <w:t>Unfortunately, despite this increase in access, many barriers to care remain including financial access, insurance coverage, lack of</w:t>
      </w:r>
      <w:r w:rsidR="00CA4086">
        <w:t xml:space="preserve"> regional access, and political pressure to shutter programming</w:t>
      </w:r>
      <w:r w:rsidR="00592E89" w:rsidRPr="00083E3E">
        <w:t>. Many youth and caregivers also report systemic barriers including bias, discrimination, and lack of provider education</w:t>
      </w:r>
      <w:r w:rsidR="00CA4086">
        <w:t xml:space="preserve"> that prevent them from accessing appropriate services</w:t>
      </w:r>
      <w:r w:rsidR="00592E89" w:rsidRPr="00083E3E">
        <w:t>.</w:t>
      </w:r>
      <w:r w:rsidR="00592E89" w:rsidRPr="00083E3E">
        <w:rPr>
          <w:rStyle w:val="FootnoteReference"/>
        </w:rPr>
        <w:footnoteReference w:id="133"/>
      </w:r>
      <w:r w:rsidR="00592E89" w:rsidRPr="00083E3E">
        <w:tab/>
      </w:r>
      <w:r w:rsidR="00592E89" w:rsidRPr="00083E3E">
        <w:tab/>
      </w:r>
      <w:r w:rsidR="00592E89" w:rsidRPr="00083E3E">
        <w:tab/>
      </w:r>
    </w:p>
    <w:p w14:paraId="1F9AC94A" w14:textId="77777777" w:rsidR="00592E89" w:rsidRPr="00083E3E" w:rsidRDefault="00592E89" w:rsidP="00E97E73">
      <w:pPr>
        <w:pStyle w:val="Heading3"/>
      </w:pPr>
      <w:bookmarkStart w:id="160" w:name="_Toc230277346"/>
      <w:r w:rsidRPr="00083E3E">
        <w:lastRenderedPageBreak/>
        <w:t>Expand access to LGBTQ-affirming, multilingual, culturally competent healthcare, particularly in rural communities.</w:t>
      </w:r>
      <w:bookmarkEnd w:id="160"/>
      <w:r w:rsidRPr="00083E3E">
        <w:t xml:space="preserve"> </w:t>
      </w:r>
    </w:p>
    <w:p w14:paraId="7994042A" w14:textId="194C903A" w:rsidR="00631402" w:rsidRPr="00083E3E" w:rsidRDefault="00592E89" w:rsidP="0005607E">
      <w:pPr>
        <w:jc w:val="both"/>
      </w:pPr>
      <w:r w:rsidRPr="00083E3E">
        <w:t>The Commission recommends that the state invests in and broadens access to gender- affirming healthcare for transgender and nonbinary youth with a focus on rural and underserved communities, particularly as anti-LGBTQ attacks on trans-affirming care &amp; providers continue to sweep the nation. Given the national attacks against gender-affirming care, it is likely that Massachusetts will</w:t>
      </w:r>
      <w:r w:rsidR="006420E4">
        <w:t xml:space="preserve"> continue to</w:t>
      </w:r>
      <w:r w:rsidRPr="00083E3E">
        <w:t xml:space="preserve"> see a significant increase in out-of-state patients needing gender-affirming care services - with LGBTQ youth </w:t>
      </w:r>
      <w:r w:rsidR="00CA4086">
        <w:t xml:space="preserve">living </w:t>
      </w:r>
      <w:r w:rsidRPr="00083E3E">
        <w:t xml:space="preserve">in Massachusetts already struggling to access facilities with long wait times or high costs, it is essential that Massachusetts invests in building capacity for LGBTQ-affirming healthcare across the state. </w:t>
      </w:r>
      <w:r w:rsidR="00631402" w:rsidRPr="00631402">
        <w:t xml:space="preserve">Across the Commission’s FY 2026 listening sessions, youth and providers repeatedly emphasized that </w:t>
      </w:r>
      <w:r w:rsidR="00CC6C01">
        <w:t xml:space="preserve">regional </w:t>
      </w:r>
      <w:r w:rsidR="00631402" w:rsidRPr="00631402">
        <w:t xml:space="preserve">geography, transportation, language access, and fear of discrimination shape whether LGBTQ youth </w:t>
      </w:r>
      <w:r w:rsidR="00631402">
        <w:t>can access affirming</w:t>
      </w:r>
      <w:r w:rsidR="00631402" w:rsidRPr="00631402">
        <w:t xml:space="preserve"> health care.</w:t>
      </w:r>
    </w:p>
    <w:p w14:paraId="0BE96898" w14:textId="1E226E52" w:rsidR="00592E89" w:rsidRPr="00083E3E" w:rsidRDefault="00CA4086" w:rsidP="0005607E">
      <w:pPr>
        <w:jc w:val="both"/>
        <w:rPr>
          <w:vertAlign w:val="superscript"/>
        </w:rPr>
      </w:pPr>
      <w:r>
        <w:t xml:space="preserve">As previously discussed in this report, </w:t>
      </w:r>
      <w:r w:rsidR="00592E89" w:rsidRPr="00083E3E">
        <w:t xml:space="preserve">LGBTQ youth face several factors influencing potentially negative health outcomes, such as discrimination and bullying at schools. </w:t>
      </w:r>
      <w:r>
        <w:t xml:space="preserve">In previous research, </w:t>
      </w:r>
      <w:r w:rsidR="00592E89" w:rsidRPr="00083E3E">
        <w:t>students identified access to safe bathrooms, information on gender transition, and access to safe spaces as priorities</w:t>
      </w:r>
      <w:r>
        <w:t xml:space="preserve"> to a feeling of safety and belonging</w:t>
      </w:r>
      <w:r w:rsidR="00592E89" w:rsidRPr="00083E3E">
        <w:t>. One example given of an existing safe space was the school nurse’s office, suggesting that school nurses play a key role in addressing LGBTQ student health needs.</w:t>
      </w:r>
      <w:r w:rsidR="00592E89" w:rsidRPr="00083E3E">
        <w:rPr>
          <w:rStyle w:val="FootnoteReference"/>
        </w:rPr>
        <w:footnoteReference w:id="134"/>
      </w:r>
      <w:r w:rsidR="00592E89" w:rsidRPr="00083E3E">
        <w:rPr>
          <w:vertAlign w:val="superscript"/>
        </w:rPr>
        <w:t xml:space="preserve"> </w:t>
      </w:r>
    </w:p>
    <w:p w14:paraId="58520D39" w14:textId="636DAC94" w:rsidR="008C6B13" w:rsidRPr="00083E3E" w:rsidRDefault="00592E89" w:rsidP="0005607E">
      <w:pPr>
        <w:jc w:val="both"/>
      </w:pPr>
      <w:r w:rsidRPr="00083E3E">
        <w:t xml:space="preserve">Other socioeconomic factors can influence a </w:t>
      </w:r>
      <w:r w:rsidR="00CA4086">
        <w:t>youth</w:t>
      </w:r>
      <w:r w:rsidRPr="00083E3E">
        <w:t>’s access to safe spaces and resources. Research has established an association between community size and resources for sexual and gender minority youth, with larger metropolitan areas having more resources. Conversely, LGBTQ youth in suburban and rural areas expressed a need and desire for more spaces to socialize and meet other LGBTQ youth.</w:t>
      </w:r>
      <w:r w:rsidRPr="00083E3E">
        <w:rPr>
          <w:rStyle w:val="FootnoteReference"/>
        </w:rPr>
        <w:footnoteReference w:id="135"/>
      </w:r>
      <w:r w:rsidRPr="00083E3E">
        <w:rPr>
          <w:vertAlign w:val="superscript"/>
        </w:rPr>
        <w:t xml:space="preserve"> </w:t>
      </w:r>
      <w:r w:rsidRPr="00083E3E">
        <w:t>In particular, rural LGBTQ youth experience higher rates of depressive symptoms and PTSD compared to their urban peers due to heightened levels of minority stress.</w:t>
      </w:r>
      <w:r w:rsidRPr="00083E3E">
        <w:rPr>
          <w:rStyle w:val="FootnoteReference"/>
        </w:rPr>
        <w:footnoteReference w:id="136"/>
      </w:r>
      <w:r w:rsidRPr="00083E3E">
        <w:rPr>
          <w:vertAlign w:val="superscript"/>
        </w:rPr>
        <w:t xml:space="preserve"> </w:t>
      </w:r>
      <w:r w:rsidRPr="00083E3E">
        <w:t xml:space="preserve">Despite the clear need for competent health services, </w:t>
      </w:r>
      <w:r w:rsidR="00CA4086">
        <w:t>youth living in more rural areas</w:t>
      </w:r>
      <w:r w:rsidRPr="00083E3E">
        <w:t xml:space="preserve"> typically lack access to competent and affirming health care because of the general </w:t>
      </w:r>
      <w:r w:rsidRPr="00083E3E">
        <w:lastRenderedPageBreak/>
        <w:t xml:space="preserve">shortage of healthcare professionals in rural areas. </w:t>
      </w:r>
      <w:r w:rsidR="006420E4">
        <w:rPr>
          <w:noProof/>
        </w:rPr>
        <mc:AlternateContent>
          <mc:Choice Requires="wps">
            <w:drawing>
              <wp:anchor distT="91440" distB="91440" distL="114300" distR="114300" simplePos="0" relativeHeight="251713536" behindDoc="0" locked="0" layoutInCell="1" allowOverlap="1" wp14:anchorId="2C86B0ED" wp14:editId="5B1AE483">
                <wp:simplePos x="0" y="0"/>
                <wp:positionH relativeFrom="page">
                  <wp:posOffset>2733675</wp:posOffset>
                </wp:positionH>
                <wp:positionV relativeFrom="paragraph">
                  <wp:posOffset>713105</wp:posOffset>
                </wp:positionV>
                <wp:extent cx="4133850" cy="1403985"/>
                <wp:effectExtent l="0" t="0" r="0" b="2540"/>
                <wp:wrapSquare wrapText="bothSides"/>
                <wp:docPr id="896825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1403985"/>
                        </a:xfrm>
                        <a:prstGeom prst="rect">
                          <a:avLst/>
                        </a:prstGeom>
                        <a:noFill/>
                        <a:ln w="9525">
                          <a:noFill/>
                          <a:miter lim="800000"/>
                          <a:headEnd/>
                          <a:tailEnd/>
                        </a:ln>
                      </wps:spPr>
                      <wps:txbx>
                        <w:txbxContent>
                          <w:p w14:paraId="2CD6C84F" w14:textId="7832393B" w:rsidR="006420E4" w:rsidRPr="006420E4" w:rsidRDefault="006420E4" w:rsidP="006420E4">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“Transportation is a barrier to get to their appointments, especially if they don’t have a license or vehicle and there are no buses.”</w:t>
                            </w:r>
                            <w:r>
                              <w:rPr>
                                <w:color w:val="AD84C6" w:themeColor="accent1"/>
                              </w:rPr>
                              <w:t xml:space="preserve"> – Community organization supporting youth in Central Massachusetts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86B0ED" id="_x0000_s1051" type="#_x0000_t202" style="position:absolute;left:0;text-align:left;margin-left:215.25pt;margin-top:56.15pt;width:325.5pt;height:110.55pt;z-index:251713536;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Og/gEAANYDAAAOAAAAZHJzL2Uyb0RvYy54bWysU9uO2yAQfa/Uf0C8N7ZzaRMrZLXdbapK&#10;24u07QcQjGNUYCiQ2OnX74Cz2ah9q+oHBIznzJwzh/XNYDQ5Sh8UWEarSUmJtAIaZfeM/vi+fbOk&#10;JERuG67BSkZPMtCbzetX697Vcgod6EZ6giA21L1jtIvR1UURRCcNDxNw0mKwBW94xKPfF43nPaIb&#10;XUzL8m3Rg2+cByFDwNv7MUg3Gb9tpYhf2zbISDSj2FvMq8/rLq3FZs3rveeuU+LcBv+HLgxXFote&#10;oO555OTg1V9QRgkPAdo4EWAKaFslZOaAbKryDzaPHXcyc0FxgrvIFP4frPhyfHTfPInDexhwgJlE&#10;cA8gfgZi4a7jdi9vvYe+k7zBwlWSrOhdqM+pSepQhwSy6z9Dg0PmhwgZaGi9SaogT4LoOIDTRXQ5&#10;RCLwcl7NZssFhgTGqnk5Wy0XuQavn9OdD/GjBEPShlGPU83w/PgQYmqH18+/pGoWtkrrPFltSc/o&#10;ajFd5ISriFERjaeVYXRZpm+0QmL5wTY5OXKlxz0W0PZMOzEdOcdhNxDVMIromJBk2EFzQiE8jEbD&#10;h4GbDvxvSno0GaPh14F7SYn+ZFHMVTWfJ1fmw3zxbooHfx3ZXUe4FQjFaKRk3N7F7OTEObhbFH2r&#10;shwvnZx7RvNklc5GT+68Pue/Xp7j5gkAAP//AwBQSwMEFAAGAAgAAAAhALjIjlLfAAAADAEAAA8A&#10;AABkcnMvZG93bnJldi54bWxMj8FOwzAMhu9IvENkJG4saTNgKk2nCW3jCIyKc9aEtqJxoibrytvj&#10;neBo/59+fy7XsxvYZMfYe1SQLQQwi403PbYK6o/d3QpYTBqNHjxaBT82wrq6vip1YfwZ3+10SC2j&#10;EoyFVtClFArOY9NZp+PCB4uUffnR6UTj2HIz6jOVu4HnQjxwp3ukC50O9rmzzffh5BSEFPaPL+Pr&#10;22a7m0T9ua/zvt0qdXszb56AJTunPxgu+qQOFTkd/QlNZIOCpRT3hFKQ5RLYhRCrjFZHBVLKJfCq&#10;5P+fqH4BAAD//wMAUEsBAi0AFAAGAAgAAAAhALaDOJL+AAAA4QEAABMAAAAAAAAAAAAAAAAAAAAA&#10;AFtDb250ZW50X1R5cGVzXS54bWxQSwECLQAUAAYACAAAACEAOP0h/9YAAACUAQAACwAAAAAAAAAA&#10;AAAAAAAvAQAAX3JlbHMvLnJlbHNQSwECLQAUAAYACAAAACEA4lnzoP4BAADWAwAADgAAAAAAAAAA&#10;AAAAAAAuAgAAZHJzL2Uyb0RvYy54bWxQSwECLQAUAAYACAAAACEAuMiOUt8AAAAMAQAADwAAAAAA&#10;AAAAAAAAAABYBAAAZHJzL2Rvd25yZXYueG1sUEsFBgAAAAAEAAQA8wAAAGQFAAAAAA==&#10;" filled="f" stroked="f">
                <v:textbox style="mso-fit-shape-to-text:t">
                  <w:txbxContent>
                    <w:p w14:paraId="2CD6C84F" w14:textId="7832393B" w:rsidR="006420E4" w:rsidRPr="006420E4" w:rsidRDefault="006420E4" w:rsidP="006420E4">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“Transportation is a barrier to get to their appointments, especially if they don’t have a license or vehicle and there are no buses.”</w:t>
                      </w:r>
                      <w:r>
                        <w:rPr>
                          <w:color w:val="AD84C6" w:themeColor="accent1"/>
                        </w:rPr>
                        <w:t xml:space="preserve"> – Community organization supporting youth in Central Massachusetts</w:t>
                      </w:r>
                    </w:p>
                  </w:txbxContent>
                </v:textbox>
                <w10:wrap type="square" anchorx="page"/>
              </v:shape>
            </w:pict>
          </mc:Fallback>
        </mc:AlternateContent>
      </w:r>
      <w:r w:rsidRPr="00083E3E">
        <w:t>This shortage is particularly acute for LGBTQ specialty services, which are often located in larger cities, an example clearly seen by the locations of LGBTQ organizations, programs, and services in Massachusetts</w:t>
      </w:r>
      <w:r w:rsidR="00CA4086">
        <w:t xml:space="preserve"> – the majority of which </w:t>
      </w:r>
      <w:proofErr w:type="gramStart"/>
      <w:r w:rsidR="00CA4086">
        <w:t>are located in</w:t>
      </w:r>
      <w:proofErr w:type="gramEnd"/>
      <w:r w:rsidR="00CA4086">
        <w:t xml:space="preserve"> the Greater Boston area</w:t>
      </w:r>
      <w:r w:rsidRPr="00083E3E">
        <w:t>.</w:t>
      </w:r>
    </w:p>
    <w:p w14:paraId="7E400332" w14:textId="77777777" w:rsidR="00592E89" w:rsidRPr="00083E3E" w:rsidRDefault="00592E89" w:rsidP="0005607E">
      <w:pPr>
        <w:jc w:val="both"/>
      </w:pPr>
      <w:r w:rsidRPr="00083E3E">
        <w:t>One method for bridging this gap is telehealth, which has been shown to expand access to LGBTQ health in rural areas.</w:t>
      </w:r>
      <w:r w:rsidRPr="00083E3E">
        <w:rPr>
          <w:rStyle w:val="FootnoteReference"/>
        </w:rPr>
        <w:footnoteReference w:id="137"/>
      </w:r>
      <w:r w:rsidRPr="00083E3E">
        <w:rPr>
          <w:vertAlign w:val="superscript"/>
        </w:rPr>
        <w:t xml:space="preserve"> </w:t>
      </w:r>
      <w:r w:rsidRPr="00083E3E">
        <w:t>Telehealth has also proven to be a high-quality strategy for pediatric health access and can be delivered in nontraditional settings such as schools and community centers.</w:t>
      </w:r>
      <w:r w:rsidRPr="00083E3E">
        <w:rPr>
          <w:rStyle w:val="FootnoteReference"/>
        </w:rPr>
        <w:footnoteReference w:id="138"/>
      </w:r>
      <w:r w:rsidRPr="00083E3E">
        <w:rPr>
          <w:vertAlign w:val="superscript"/>
        </w:rPr>
        <w:t xml:space="preserve"> </w:t>
      </w:r>
      <w:r w:rsidRPr="00083E3E">
        <w:t>A study of rural parents of children with special health needs found that parents using telehealth were less likely to experience common barriers to health access, such as traveling over an hour for appointments or missing work.</w:t>
      </w:r>
      <w:r w:rsidRPr="00083E3E">
        <w:rPr>
          <w:rStyle w:val="FootnoteReference"/>
        </w:rPr>
        <w:footnoteReference w:id="139"/>
      </w:r>
      <w:r w:rsidRPr="00083E3E">
        <w:rPr>
          <w:vertAlign w:val="superscript"/>
        </w:rPr>
        <w:t xml:space="preserve"> </w:t>
      </w:r>
      <w:r w:rsidRPr="00083E3E">
        <w:t>A pediatric gender-affirming clinic reported that telehealth increased access to care during the COVID-19 pandemic, and that many patients continued to request telehealth appointments even after social distancing guidelines were relaxed.</w:t>
      </w:r>
      <w:r w:rsidRPr="00083E3E">
        <w:rPr>
          <w:rStyle w:val="FootnoteReference"/>
        </w:rPr>
        <w:footnoteReference w:id="140"/>
      </w:r>
      <w:r w:rsidRPr="00083E3E">
        <w:rPr>
          <w:vertAlign w:val="superscript"/>
        </w:rPr>
        <w:t xml:space="preserve"> </w:t>
      </w:r>
      <w:r w:rsidRPr="00083E3E">
        <w:t>Despite concerns that telehealth could raise healthcare costs and claims by insurance companies that telehealth lowers costs, preliminary research shows that telehealth is cost-neutral in that it does not reduce operating costs.</w:t>
      </w:r>
      <w:r w:rsidRPr="00083E3E">
        <w:rPr>
          <w:rStyle w:val="FootnoteReference"/>
        </w:rPr>
        <w:footnoteReference w:id="141"/>
      </w:r>
      <w:r w:rsidRPr="00083E3E">
        <w:rPr>
          <w:vertAlign w:val="superscript"/>
        </w:rPr>
        <w:t xml:space="preserve"> </w:t>
      </w:r>
      <w:r w:rsidRPr="00083E3E">
        <w:t xml:space="preserve">Overall, the Commission recommends that the Commonwealth make a systemic investment in telehealth services and create parity in primary care telehealth insurance reimbursement. </w:t>
      </w:r>
    </w:p>
    <w:p w14:paraId="78C795D0" w14:textId="54EC653C" w:rsidR="00592E89" w:rsidRPr="00083E3E" w:rsidRDefault="00592E89" w:rsidP="0005607E">
      <w:pPr>
        <w:jc w:val="both"/>
      </w:pPr>
      <w:r w:rsidRPr="00083E3E">
        <w:t xml:space="preserve">LGBTQ youth often receive a lower quality of care than their cisgender, heterosexual peers, particularly as many medical providers display a lack of sensitivity to the unique health care needs of LGBTQ communities. However, the problem is often even more severe for undocumented youth, as undocumented individuals are barred from accessing federally funded insurance plans </w:t>
      </w:r>
      <w:r w:rsidRPr="00083E3E">
        <w:lastRenderedPageBreak/>
        <w:t>and even purchasing insurance in state exchanges.</w:t>
      </w:r>
      <w:r w:rsidRPr="00083E3E">
        <w:rPr>
          <w:rStyle w:val="FootnoteReference"/>
        </w:rPr>
        <w:footnoteReference w:id="142"/>
      </w:r>
      <w:r w:rsidRPr="00083E3E">
        <w:t xml:space="preserve"> In Massachusetts, MassHealth does offer some healthcare coverage options for undocumented communities, but access is mostly limited to emergency services rather than preventative care.</w:t>
      </w:r>
      <w:r w:rsidRPr="00083E3E">
        <w:rPr>
          <w:rStyle w:val="FootnoteReference"/>
        </w:rPr>
        <w:footnoteReference w:id="143"/>
      </w:r>
      <w:r w:rsidRPr="00083E3E">
        <w:t xml:space="preserve"> Nationally, as of 2023, roughly 1 in 5 lawfully present immigrants and 50% of undocumented immigrants were uninsured, compared to 8% U.S-born adults.</w:t>
      </w:r>
      <w:r w:rsidRPr="00083E3E">
        <w:rPr>
          <w:rStyle w:val="FootnoteReference"/>
        </w:rPr>
        <w:footnoteReference w:id="144"/>
      </w:r>
    </w:p>
    <w:p w14:paraId="1BCB481F" w14:textId="0BF4A483" w:rsidR="00592E89" w:rsidRPr="00083E3E" w:rsidRDefault="00091812" w:rsidP="0005607E">
      <w:pPr>
        <w:jc w:val="both"/>
        <w:rPr>
          <w:vertAlign w:val="superscript"/>
        </w:rPr>
      </w:pPr>
      <w:r>
        <w:rPr>
          <w:noProof/>
        </w:rPr>
        <w:drawing>
          <wp:anchor distT="0" distB="0" distL="114300" distR="114300" simplePos="0" relativeHeight="251753472" behindDoc="0" locked="0" layoutInCell="1" allowOverlap="1" wp14:anchorId="5BE7A758" wp14:editId="29D9AD4D">
            <wp:simplePos x="0" y="0"/>
            <wp:positionH relativeFrom="column">
              <wp:posOffset>-635</wp:posOffset>
            </wp:positionH>
            <wp:positionV relativeFrom="paragraph">
              <wp:posOffset>64770</wp:posOffset>
            </wp:positionV>
            <wp:extent cx="4105275" cy="1781175"/>
            <wp:effectExtent l="0" t="0" r="9525" b="9525"/>
            <wp:wrapSquare wrapText="bothSides"/>
            <wp:docPr id="317960435" name="Picture 63" descr="a graphic saying that roughly 1 in 5 lawfully present immigrants and 50% of undocumented immigrants were uninsured, compared to 8% U.S-born ad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960435" name="Picture 63" descr="a graphic saying that roughly 1 in 5 lawfully present immigrants and 50% of undocumented immigrants were uninsured, compared to 8% U.S-born adults"/>
                    <pic:cNvPicPr/>
                  </pic:nvPicPr>
                  <pic:blipFill rotWithShape="1">
                    <a:blip r:embed="rId41" cstate="print">
                      <a:extLst>
                        <a:ext uri="{28A0092B-C50C-407E-A947-70E740481C1C}">
                          <a14:useLocalDpi xmlns:a14="http://schemas.microsoft.com/office/drawing/2010/main" val="0"/>
                        </a:ext>
                      </a:extLst>
                    </a:blip>
                    <a:srcRect l="6571" t="21073" r="7853" b="21601"/>
                    <a:stretch>
                      <a:fillRect/>
                    </a:stretch>
                  </pic:blipFill>
                  <pic:spPr bwMode="auto">
                    <a:xfrm>
                      <a:off x="0" y="0"/>
                      <a:ext cx="4105275" cy="1781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2E89" w:rsidRPr="00083E3E">
        <w:t>Between a lack of insurance, fear of discrimination and violence, and fear of being reported to immigration authorities, many LGBTQ undocumented youth go without adequate health and gender-affirming care. Furthermore, foreign-born communities also struggle to access care due to factors such as cultural misunderstanding and insensitivity, and a lack of translated health-related information held by and supplied to these diverse communities. Many immigrants either do not seek healthcare or find themselves subject to cultural insensitivity because services are not linguistically appropriate or fail to align with the immigrant group’s cultural values.</w:t>
      </w:r>
      <w:r w:rsidR="00592E89" w:rsidRPr="00083E3E">
        <w:rPr>
          <w:rStyle w:val="FootnoteReference"/>
        </w:rPr>
        <w:footnoteReference w:id="145"/>
      </w:r>
      <w:r w:rsidR="00592E89" w:rsidRPr="00083E3E">
        <w:rPr>
          <w:vertAlign w:val="superscript"/>
        </w:rPr>
        <w:t xml:space="preserve"> </w:t>
      </w:r>
    </w:p>
    <w:p w14:paraId="609A94F7" w14:textId="00257DBA" w:rsidR="00592E89" w:rsidRPr="00083E3E" w:rsidRDefault="00592E89" w:rsidP="0005607E">
      <w:pPr>
        <w:jc w:val="both"/>
      </w:pPr>
      <w:r w:rsidRPr="00083E3E">
        <w:t xml:space="preserve">In early 2026, Governor Healey signed </w:t>
      </w:r>
      <w:r w:rsidR="00B443A2" w:rsidRPr="00083E3E">
        <w:t>an</w:t>
      </w:r>
      <w:r w:rsidRPr="00083E3E">
        <w:t xml:space="preserve"> Executive Order to prohibit ICE from entering non-public areas of state facilities without a warrant, and filed legislation to prevent ICE from entering courthouses, schools, </w:t>
      </w:r>
      <w:proofErr w:type="gramStart"/>
      <w:r w:rsidRPr="00083E3E">
        <w:t>child care</w:t>
      </w:r>
      <w:proofErr w:type="gramEnd"/>
      <w:r w:rsidRPr="00083E3E">
        <w:t xml:space="preserve"> programs, hospitals, and churches.</w:t>
      </w:r>
      <w:r w:rsidRPr="00083E3E">
        <w:rPr>
          <w:vertAlign w:val="superscript"/>
        </w:rPr>
        <w:footnoteReference w:id="146"/>
      </w:r>
      <w:r w:rsidRPr="00083E3E">
        <w:t xml:space="preserve"> Recommendations from </w:t>
      </w:r>
      <w:r w:rsidRPr="00083E3E">
        <w:lastRenderedPageBreak/>
        <w:t>the Massachusetts Attorney General’s Office suggest that hospitals should enact comprehensive policies and procedures to protect individuals at-risk of deportation.</w:t>
      </w:r>
      <w:r w:rsidRPr="00083E3E">
        <w:rPr>
          <w:rStyle w:val="FootnoteReference"/>
        </w:rPr>
        <w:footnoteReference w:id="147"/>
      </w:r>
      <w:r w:rsidRPr="00083E3E">
        <w:t xml:space="preserve"> </w:t>
      </w:r>
    </w:p>
    <w:p w14:paraId="2551C16A" w14:textId="77777777" w:rsidR="00592E89" w:rsidRPr="00083E3E" w:rsidRDefault="00592E89" w:rsidP="0005607E">
      <w:pPr>
        <w:jc w:val="both"/>
      </w:pPr>
      <w:r w:rsidRPr="00083E3E">
        <w:t>LGBTQ youth living in the U.S. represent a diversity of experiences, including first-generation and undocumented youth. Studies have shown, however, that foreign-born individuals often experience considerable stressors such as discrimination, acculturation stress, and immigration concerns that lead to poor health outcomes.</w:t>
      </w:r>
      <w:r w:rsidRPr="00083E3E">
        <w:rPr>
          <w:rStyle w:val="FootnoteReference"/>
        </w:rPr>
        <w:footnoteReference w:id="148"/>
      </w:r>
      <w:r w:rsidRPr="00083E3E">
        <w:t xml:space="preserve"> Acculturative stress is the psychosocial strain experienced by immigrants in response to challenges encountered while adapting to cultural differences in a new country. These stressors result from circumstances such as immigration status, language barriers, economic deficiencies, disruption in family cohesion, and discrimination.</w:t>
      </w:r>
      <w:r w:rsidRPr="00083E3E">
        <w:rPr>
          <w:rStyle w:val="FootnoteReference"/>
        </w:rPr>
        <w:footnoteReference w:id="149"/>
      </w:r>
    </w:p>
    <w:p w14:paraId="4C75D8BF" w14:textId="3DAE344F" w:rsidR="00592E89" w:rsidRPr="00083E3E" w:rsidRDefault="00592E89" w:rsidP="0005607E">
      <w:pPr>
        <w:jc w:val="both"/>
      </w:pPr>
      <w:r w:rsidRPr="00083E3E">
        <w:t>Although the process of immigrating to a new country and acculturating to an unfamiliar set of cultural beliefs and societal practices presents challenges for immigrants regardless of gender identity or sexual orientation, research has shown that LGBTQ youth face unique challenges in this process. At the intra-individual level, some difficulties LGBTQ immigrants may face include racism-related stress and anxiety, chronic expectations of being negatively stereotyped by others, and being hyper-vigilant to potential threats related to their sexual identity.</w:t>
      </w:r>
      <w:r w:rsidRPr="00083E3E">
        <w:rPr>
          <w:rStyle w:val="FootnoteReference"/>
        </w:rPr>
        <w:footnoteReference w:id="150"/>
      </w:r>
      <w:r w:rsidRPr="00083E3E">
        <w:t xml:space="preserve"> At the interpersonal or intergroup level, conflicts between cultural values or pressures and personal beliefs may also present challenges for LGBTQ immigrants. For example, traditional gender role expectations and norms of masculinity and femininity are particularly stringent within Latino communities. For gender non-conforming gay Latinos, the cultural value of “machismo</w:t>
      </w:r>
      <w:r w:rsidR="007D658D" w:rsidRPr="00083E3E">
        <w:t>,”</w:t>
      </w:r>
      <w:r w:rsidRPr="00083E3E">
        <w:t xml:space="preserve"> a strict and idealized form of masculinity for men, may be a source of conflict and challenge.</w:t>
      </w:r>
      <w:r w:rsidRPr="00083E3E">
        <w:rPr>
          <w:rStyle w:val="FootnoteReference"/>
        </w:rPr>
        <w:footnoteReference w:id="151"/>
      </w:r>
    </w:p>
    <w:p w14:paraId="6008FE09" w14:textId="3F9A4E63" w:rsidR="00592E89" w:rsidRPr="00083E3E" w:rsidRDefault="00592E89" w:rsidP="0005607E">
      <w:pPr>
        <w:jc w:val="both"/>
      </w:pPr>
      <w:r w:rsidRPr="00083E3E">
        <w:t xml:space="preserve">Additionally, because of the varying values, norms, and expectations of their various communities, LGBTQ immigrants may encounter difficulties with different social groups and communities. For example, LGBTQ foreign-born individuals are often not welcomed or accepted </w:t>
      </w:r>
      <w:r w:rsidRPr="00083E3E">
        <w:lastRenderedPageBreak/>
        <w:t xml:space="preserve">in many ethnic </w:t>
      </w:r>
      <w:proofErr w:type="gramStart"/>
      <w:r w:rsidRPr="00083E3E">
        <w:t>communities, and</w:t>
      </w:r>
      <w:proofErr w:type="gramEnd"/>
      <w:r w:rsidRPr="00083E3E">
        <w:t xml:space="preserve"> may then be discouraged from accessing sources of support that might typically be utilized either in their ethnic community (e.g., family members) or in the LGBTQ community (e.g., support services and organizations) due to overt hostility or the perception of being unwelcome.</w:t>
      </w:r>
      <w:r w:rsidRPr="00083E3E">
        <w:rPr>
          <w:rStyle w:val="FootnoteReference"/>
        </w:rPr>
        <w:footnoteReference w:id="152"/>
      </w:r>
    </w:p>
    <w:p w14:paraId="540699A0" w14:textId="1D4DA693" w:rsidR="00592E89" w:rsidRPr="00083E3E" w:rsidRDefault="00592E89" w:rsidP="0005607E">
      <w:pPr>
        <w:jc w:val="both"/>
      </w:pPr>
      <w:r w:rsidRPr="00083E3E">
        <w:t xml:space="preserve">In the Trevor Project’s recent 2021 research brief “LGBTQ Youth from Immigrant Families,” researchers attempted to examine mental health at the intersection of these two identities; it was found that first-generation LGBTQ youth </w:t>
      </w:r>
      <w:proofErr w:type="gramStart"/>
      <w:r w:rsidRPr="00083E3E">
        <w:t>actually reported</w:t>
      </w:r>
      <w:proofErr w:type="gramEnd"/>
      <w:r w:rsidRPr="00083E3E">
        <w:t xml:space="preserve"> slightly lower rates of anxiety, depression, and suicidal ideation compared to LGBTQ youth whose parents were born in the U.S. However, researchers discovered that suicide risk among first-generation LGBTQ youth was more associated with worrying about themselves or a family member being deported due to immigration policies. Roughly 30% of first-generation LGBTQ youth worried “sometimes” or “a lot” about immigration-related detainment or detention compared to 5% of LGBTQ youth whose parents were born in the U.S. Immigration fears were reported most often by first-generation Latinx LGBTQ youth, followed by first-generation LGBTQ youth who are more than one race/ethnicity.</w:t>
      </w:r>
      <w:r w:rsidRPr="00083E3E">
        <w:rPr>
          <w:rStyle w:val="FootnoteReference"/>
        </w:rPr>
        <w:footnoteReference w:id="153"/>
      </w:r>
    </w:p>
    <w:p w14:paraId="1C4080B8" w14:textId="46FC15B1" w:rsidR="00592E89" w:rsidRPr="00083E3E" w:rsidRDefault="00091812" w:rsidP="0005607E">
      <w:pPr>
        <w:jc w:val="both"/>
      </w:pPr>
      <w:r>
        <w:rPr>
          <w:noProof/>
        </w:rPr>
        <w:drawing>
          <wp:anchor distT="0" distB="0" distL="114300" distR="114300" simplePos="0" relativeHeight="251754496" behindDoc="0" locked="0" layoutInCell="1" allowOverlap="1" wp14:anchorId="22098AE5" wp14:editId="2597B5FC">
            <wp:simplePos x="0" y="0"/>
            <wp:positionH relativeFrom="column">
              <wp:posOffset>-76200</wp:posOffset>
            </wp:positionH>
            <wp:positionV relativeFrom="paragraph">
              <wp:posOffset>62865</wp:posOffset>
            </wp:positionV>
            <wp:extent cx="3324225" cy="2350135"/>
            <wp:effectExtent l="0" t="0" r="9525" b="0"/>
            <wp:wrapSquare wrapText="bothSides"/>
            <wp:docPr id="1787558959" name="Picture 64" descr="a graphic saying that first-generation LGBTQ youth who reported being worried about themselves or a family member being deported had 63% greater odds of reporting a suicide attempt in the past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558959" name="Picture 64" descr="a graphic saying that first-generation LGBTQ youth who reported being worried about themselves or a family member being deported had 63% greater odds of reporting a suicide attempt in the past year"/>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324225" cy="2350135"/>
                    </a:xfrm>
                    <a:prstGeom prst="rect">
                      <a:avLst/>
                    </a:prstGeom>
                  </pic:spPr>
                </pic:pic>
              </a:graphicData>
            </a:graphic>
            <wp14:sizeRelH relativeFrom="margin">
              <wp14:pctWidth>0</wp14:pctWidth>
            </wp14:sizeRelH>
            <wp14:sizeRelV relativeFrom="margin">
              <wp14:pctHeight>0</wp14:pctHeight>
            </wp14:sizeRelV>
          </wp:anchor>
        </w:drawing>
      </w:r>
      <w:r w:rsidR="00592E89" w:rsidRPr="00083E3E">
        <w:t xml:space="preserve">Overall, first-generation LGBTQ youth who reported being worried about themselves or a family member being deported had 63% greater odds of reporting a suicide attempt in the past year. Additionally, discrimination based on actual or perceived immigration status was reported by nearly 1 in 10 of first-generation LGBTQ youth compared to 2% of LGBTQ youth whose parents were born in the U.S. First-generation LGBTQ youth who faced discrimination based on their actual or perceived immigration status had more than 2.5 times greater odds of attempting suicide compared to first-generation LGBTQ youth who did not. The Trevor Project study demonstrates the impact that a young person’s immigration status can have on their mental health, or the immigration status of close family members. Additionally, LGBTQ immigrant youth are likely to avoid interaction with police and potentially with immigration officials like I.C.E. by </w:t>
      </w:r>
      <w:r w:rsidR="00592E89" w:rsidRPr="00083E3E">
        <w:lastRenderedPageBreak/>
        <w:t xml:space="preserve">avoiding activities such as seeking mental health, or even reporting discrimination or violence, as they may potentially have to reveal their immigration status. This constant self-monitoring and reluctance to seek mental health care </w:t>
      </w:r>
      <w:proofErr w:type="gramStart"/>
      <w:r w:rsidR="00592E89" w:rsidRPr="00083E3E">
        <w:t>as a way to</w:t>
      </w:r>
      <w:proofErr w:type="gramEnd"/>
      <w:r w:rsidR="00592E89" w:rsidRPr="00083E3E">
        <w:t xml:space="preserve"> stay under the radar from police and immigration officials, can increase stress and anxiety, and act as a barrier to mental health care.</w:t>
      </w:r>
      <w:r w:rsidR="00592E89" w:rsidRPr="00083E3E">
        <w:rPr>
          <w:rStyle w:val="FootnoteReference"/>
        </w:rPr>
        <w:footnoteReference w:id="154"/>
      </w:r>
    </w:p>
    <w:p w14:paraId="7196D467" w14:textId="77777777" w:rsidR="00592E89" w:rsidRPr="00083E3E" w:rsidRDefault="00592E89" w:rsidP="0005607E">
      <w:pPr>
        <w:jc w:val="both"/>
      </w:pPr>
      <w:r w:rsidRPr="00083E3E">
        <w:t>As discussed in the New England-based MIRA Coalition’s 2021 Annual Report, some foreign-born individuals hesitate to reach out even to local nonprofit organizations for resources, for fear of being turned over to ICE, highlighting the critical need of local and state agencies to be intentional about building outreach and trust with foreign-born individuals or families with mixed-resident status. Additionally, researchers have found that immigrants with higher levels of residential segregation, such as Salvadorian, Dominican, and Indian immigrants, have greater access to non-profit resources. However, less spatially segregated immigrants such as Italian, Portuguese, and Vietnamese do not have as much access that specifically focuses on the needs of their ethnic identity.</w:t>
      </w:r>
      <w:r w:rsidRPr="00083E3E">
        <w:rPr>
          <w:rStyle w:val="FootnoteReference"/>
        </w:rPr>
        <w:footnoteReference w:id="155"/>
      </w:r>
    </w:p>
    <w:p w14:paraId="425F7126" w14:textId="77777777" w:rsidR="00592E89" w:rsidRPr="00083E3E" w:rsidRDefault="00592E89" w:rsidP="0005607E">
      <w:pPr>
        <w:jc w:val="both"/>
      </w:pPr>
      <w:r w:rsidRPr="00083E3E">
        <w:t>Some cities in Massachusetts, such as Boston, have passed ordinances to clarify that it is not the responsibility of Massachusetts law enforcement agencies to enforce federal immigration law, and directs state law enforcement officers to not detain, arrest, or transport individuals for federal immigration purposes; some cities have also ended agreements through county sheriff’s offices with ICE. These measures allow Massachusetts to make progress at creating a space where undocumented residents can live without fear of being deported by state law enforcement.</w:t>
      </w:r>
      <w:r w:rsidRPr="00083E3E">
        <w:rPr>
          <w:rStyle w:val="FootnoteReference"/>
        </w:rPr>
        <w:footnoteReference w:id="156"/>
      </w:r>
      <w:r w:rsidRPr="00083E3E">
        <w:rPr>
          <w:vertAlign w:val="superscript"/>
        </w:rPr>
        <w:t xml:space="preserve"> </w:t>
      </w:r>
      <w:r w:rsidRPr="00083E3E">
        <w:t>However, as hostility increases from the federal government towards immigrants and ICE investigations heighten, LGBTQ undocumented youth have expressed increased fear towards accessing state services, attending school, finding shelter while homeless, and accessing health care services.</w:t>
      </w:r>
    </w:p>
    <w:p w14:paraId="628490D9" w14:textId="77777777" w:rsidR="00592E89" w:rsidRPr="00083E3E" w:rsidRDefault="00592E89" w:rsidP="00E97E73">
      <w:pPr>
        <w:pStyle w:val="Heading3"/>
      </w:pPr>
      <w:bookmarkStart w:id="161" w:name="_Toc230277347"/>
      <w:r w:rsidRPr="00083E3E">
        <w:t>Expand LGBTQ cultural awareness, anti-bias, and racial equity training for hospital providers and staff.</w:t>
      </w:r>
      <w:bookmarkEnd w:id="161"/>
    </w:p>
    <w:p w14:paraId="12B5D111" w14:textId="77777777" w:rsidR="00592E89" w:rsidRPr="00083E3E" w:rsidRDefault="00592E89" w:rsidP="0005607E">
      <w:pPr>
        <w:jc w:val="both"/>
      </w:pPr>
      <w:r w:rsidRPr="00083E3E">
        <w:t xml:space="preserve">Given the alarming disparities and structural racism faced by Black birthing people in Massachusetts, Commission strongly recommends the Commonwealth explore the expansion of mandated trainings to reduce incidents of discrimination, bias, and racism faced by LGBTQ and </w:t>
      </w:r>
      <w:r w:rsidRPr="00083E3E">
        <w:lastRenderedPageBreak/>
        <w:t>BIPOC individuals across the state. Agencies should examine professional development practices where relevant in public hospitals and facilities to ensure that medical providers and staff are receiving frequent and mandatory opportunities for LGBTQ cultural awareness, anti-bias, and racial equity trainings.</w:t>
      </w:r>
    </w:p>
    <w:p w14:paraId="642232CB" w14:textId="77777777" w:rsidR="00592E89" w:rsidRPr="00083E3E" w:rsidRDefault="00592E89" w:rsidP="0005607E">
      <w:pPr>
        <w:jc w:val="both"/>
      </w:pPr>
      <w:r w:rsidRPr="00083E3E">
        <w:t xml:space="preserve">The Commission supports the passage of </w:t>
      </w:r>
      <w:r w:rsidRPr="00083E3E">
        <w:rPr>
          <w:i/>
          <w:iCs/>
        </w:rPr>
        <w:t>An Act providing for safe and consensual sensitive examinations</w:t>
      </w:r>
      <w:r w:rsidRPr="00083E3E">
        <w:t xml:space="preserve"> (S.1485), which would ban the common practice employed by teaching hospitals, of which Massachusetts has several, by allowing medical students to perform pelvic examinations on unconscious patients without their consent.</w:t>
      </w:r>
    </w:p>
    <w:p w14:paraId="0F0389BD" w14:textId="77777777" w:rsidR="00592E89" w:rsidRPr="00083E3E" w:rsidRDefault="00592E89" w:rsidP="0005607E">
      <w:pPr>
        <w:jc w:val="both"/>
      </w:pPr>
      <w:r w:rsidRPr="00083E3E">
        <w:t>While most research and advocacy is directed towards cisgender women without distinction to intersex status,</w:t>
      </w:r>
      <w:r w:rsidRPr="00083E3E">
        <w:rPr>
          <w:vertAlign w:val="superscript"/>
        </w:rPr>
        <w:t xml:space="preserve">  </w:t>
      </w:r>
      <w:r w:rsidRPr="00083E3E">
        <w:t>the Commission is seriously concerned about the implications of such practices for women of color, transgender men, and intersex individuals, particularly given the medical profession’s history of medical racism, transphobia, and disregard for ethical care for intersex patients.</w:t>
      </w:r>
      <w:r w:rsidRPr="00083E3E">
        <w:rPr>
          <w:rStyle w:val="FootnoteReference"/>
        </w:rPr>
        <w:footnoteReference w:id="157"/>
      </w:r>
      <w:r w:rsidRPr="00083E3E">
        <w:t xml:space="preserve"> The Commission advises Massachusetts pass a gender-neutral ban on these invasive practices and set up accountability systems and educational campaigns to ensure that patients who suspect that such a practice might have occurred have a reporting method easily available to them.</w:t>
      </w:r>
    </w:p>
    <w:p w14:paraId="40F250F7" w14:textId="113F4E00" w:rsidR="008C6B13" w:rsidRPr="00083E3E" w:rsidRDefault="00592E89" w:rsidP="00E97E73">
      <w:pPr>
        <w:pStyle w:val="Heading3"/>
      </w:pPr>
      <w:bookmarkStart w:id="162" w:name="_Toc230277348"/>
      <w:r w:rsidRPr="00083E3E">
        <w:t>Increase access to gender-affirming healthcare services, including removing barriers to care for youth under age 19.</w:t>
      </w:r>
      <w:bookmarkEnd w:id="162"/>
    </w:p>
    <w:p w14:paraId="2DD1437D" w14:textId="5DF519B1" w:rsidR="00592E89" w:rsidRPr="00083E3E" w:rsidRDefault="005D02DE" w:rsidP="0005607E">
      <w:pPr>
        <w:jc w:val="both"/>
      </w:pPr>
      <w:r>
        <w:rPr>
          <w:noProof/>
        </w:rPr>
        <mc:AlternateContent>
          <mc:Choice Requires="wps">
            <w:drawing>
              <wp:anchor distT="91440" distB="91440" distL="114300" distR="114300" simplePos="0" relativeHeight="251715584" behindDoc="0" locked="0" layoutInCell="1" allowOverlap="1" wp14:anchorId="620834B0" wp14:editId="599011E6">
                <wp:simplePos x="0" y="0"/>
                <wp:positionH relativeFrom="page">
                  <wp:posOffset>878205</wp:posOffset>
                </wp:positionH>
                <wp:positionV relativeFrom="paragraph">
                  <wp:posOffset>308610</wp:posOffset>
                </wp:positionV>
                <wp:extent cx="4251325" cy="1403985"/>
                <wp:effectExtent l="0" t="0" r="0" b="0"/>
                <wp:wrapSquare wrapText="bothSides"/>
                <wp:docPr id="15801129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1325" cy="1403985"/>
                        </a:xfrm>
                        <a:prstGeom prst="rect">
                          <a:avLst/>
                        </a:prstGeom>
                        <a:noFill/>
                        <a:ln w="9525">
                          <a:noFill/>
                          <a:miter lim="800000"/>
                          <a:headEnd/>
                          <a:tailEnd/>
                        </a:ln>
                      </wps:spPr>
                      <wps:txbx>
                        <w:txbxContent>
                          <w:p w14:paraId="46306BB6" w14:textId="58789C69" w:rsidR="006420E4" w:rsidRPr="006420E4" w:rsidRDefault="006420E4" w:rsidP="005D02DE">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“This is an issue for a lot of people, but gender-affirming care for kids under 18 is not widely available. We have nothing for them in Berkshire County and the closest clinics in Springfield and Northampton are overwhelmed.”</w:t>
                            </w:r>
                            <w:r>
                              <w:rPr>
                                <w:color w:val="AD84C6" w:themeColor="accent1"/>
                              </w:rPr>
                              <w:t xml:space="preserve"> – Community organization supporting LGBTQ community members</w:t>
                            </w:r>
                            <w:r w:rsidR="005D02DE">
                              <w:rPr>
                                <w:color w:val="AD84C6" w:themeColor="accent1"/>
                              </w:rPr>
                              <w:t xml:space="preserve"> in Western Massachusetts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0834B0" id="_x0000_s1052" type="#_x0000_t202" style="position:absolute;left:0;text-align:left;margin-left:69.15pt;margin-top:24.3pt;width:334.75pt;height:110.55pt;z-index:251715584;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BG/gEAANYDAAAOAAAAZHJzL2Uyb0RvYy54bWysU8tu2zAQvBfoPxC813rETm3BdJAmdVEg&#10;fQBpP4CmKIsoxWVJ2pL79VlSimOkt6I6EFyuOLszO1zfDJ0mR+m8AsNoMcspkUZArcye0Z8/tu+W&#10;lPjATc01GMnoSXp6s3n7Zt3bSpbQgq6lIwhifNVbRtsQbJVlXrSy434GVhpMNuA6HjB0+6x2vEf0&#10;Tmdlnl9nPbjaOhDSezy9H5N0k/CbRorwrWm8DEQzir2FtLq07uKabda82jtuWyWmNvg/dNFxZbDo&#10;GeqeB04OTv0F1SnhwEMTZgK6DJpGCZk4IJsif8XmseVWJi4ojrdnmfz/gxVfj4/2uyNh+AADDjCR&#10;8PYBxC9PDNy13OzlrXPQt5LXWLiIkmW99dV0NUrtKx9Bdv0XqHHI/BAgAQ2N66IqyJMgOg7gdBZd&#10;DoEIPJyXi+KqXFAiMFfM86vVcpFq8Or5unU+fJLQkbhh1OFUEzw/PvgQ2+HV8y+xmoGt0jpNVhvS&#10;M7paIP6rTKcCGk+rjtFlHr/RCpHlR1Ony4ErPe6xgDYT7ch05ByG3UBUzWh5HS9HGXZQn1AIB6PR&#10;8GHgpgX3h5IeTcao/33gTlKiPxsUc1XM59GVKZgv3pcYuMvM7jLDjUAoRgMl4/YuJCdHZt7eouhb&#10;leR46WTqGc2TVJqMHt15Gae/Xp7j5gkAAP//AwBQSwMEFAAGAAgAAAAhAIGmM4PeAAAACgEAAA8A&#10;AABkcnMvZG93bnJldi54bWxMj8FOwzAQRO9I/IO1SNyoTYqSkMapKtSWI6VEnN14m0TEdmS7afh7&#10;lhMcR/s0+6Zcz2ZgE/rQOyvhcSGAoW2c7m0rof7YPeTAQlRWq8FZlPCNAdbV7U2pCu2u9h2nY2wZ&#10;ldhQKAldjGPBeWg6NCos3IiWbmfnjYoUfcu1V1cqNwNPhEi5Ub2lD50a8aXD5ut4MRLGOO6zV/92&#10;2Gx3k6g/93XSt1sp7+/mzQpYxDn+wfCrT+pQkdPJXawObKC8zJeESnjKU2AE5CKjLScJSfqcAa9K&#10;/n9C9QMAAP//AwBQSwECLQAUAAYACAAAACEAtoM4kv4AAADhAQAAEwAAAAAAAAAAAAAAAAAAAAAA&#10;W0NvbnRlbnRfVHlwZXNdLnhtbFBLAQItABQABgAIAAAAIQA4/SH/1gAAAJQBAAALAAAAAAAAAAAA&#10;AAAAAC8BAABfcmVscy8ucmVsc1BLAQItABQABgAIAAAAIQCtx/BG/gEAANYDAAAOAAAAAAAAAAAA&#10;AAAAAC4CAABkcnMvZTJvRG9jLnhtbFBLAQItABQABgAIAAAAIQCBpjOD3gAAAAoBAAAPAAAAAAAA&#10;AAAAAAAAAFgEAABkcnMvZG93bnJldi54bWxQSwUGAAAAAAQABADzAAAAYwUAAAAA&#10;" filled="f" stroked="f">
                <v:textbox style="mso-fit-shape-to-text:t">
                  <w:txbxContent>
                    <w:p w14:paraId="46306BB6" w14:textId="58789C69" w:rsidR="006420E4" w:rsidRPr="006420E4" w:rsidRDefault="006420E4" w:rsidP="005D02DE">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“This is an issue for a lot of people, but gender-affirming care for kids under 18 is not widely available. We have nothing for them in Berkshire County and the closest clinics in Springfield and Northampton are overwhelmed.”</w:t>
                      </w:r>
                      <w:r>
                        <w:rPr>
                          <w:color w:val="AD84C6" w:themeColor="accent1"/>
                        </w:rPr>
                        <w:t xml:space="preserve"> – Community organization supporting LGBTQ community members</w:t>
                      </w:r>
                      <w:r w:rsidR="005D02DE">
                        <w:rPr>
                          <w:color w:val="AD84C6" w:themeColor="accent1"/>
                        </w:rPr>
                        <w:t xml:space="preserve"> in Western Massachusetts</w:t>
                      </w:r>
                    </w:p>
                  </w:txbxContent>
                </v:textbox>
                <w10:wrap type="square" anchorx="page"/>
              </v:shape>
            </w:pict>
          </mc:Fallback>
        </mc:AlternateContent>
      </w:r>
      <w:r w:rsidR="00592E89" w:rsidRPr="00083E3E">
        <w:t>In 2022, Massachusetts Governor Charlie Baker signed law defining the legality of and protections for gender-affirming care in Massachusetts; the law also protected providers and patients from legal action from other states.</w:t>
      </w:r>
      <w:r w:rsidR="00592E89" w:rsidRPr="00083E3E">
        <w:rPr>
          <w:rStyle w:val="FootnoteReference"/>
        </w:rPr>
        <w:footnoteReference w:id="158"/>
      </w:r>
      <w:r w:rsidR="00592E89" w:rsidRPr="00083E3E">
        <w:rPr>
          <w:vertAlign w:val="superscript"/>
        </w:rPr>
        <w:t xml:space="preserve">  </w:t>
      </w:r>
      <w:r w:rsidR="00592E89" w:rsidRPr="00083E3E">
        <w:t xml:space="preserve">This is one of the most robust LGBTQ laws Massachusetts has passed to date, as it declares that gender-affirming care is legally protected healthcare, regardless of the patient's location. In 2025, Massachusetts passed the Shield Act 2.0 to strengthen the 2022 law to provide </w:t>
      </w:r>
      <w:r w:rsidR="00592E89" w:rsidRPr="00083E3E">
        <w:lastRenderedPageBreak/>
        <w:t>stronger protections for gender-affirming care and abortion providers, though did not protect providers from federal funding restrictions. Certain states, like California, have gone further, introducing legislation to support transgender youth and families fleeing states with anti-transgender policies, laws, and pending legislation.</w:t>
      </w:r>
      <w:r w:rsidR="00592E89" w:rsidRPr="00083E3E">
        <w:rPr>
          <w:rStyle w:val="FootnoteReference"/>
        </w:rPr>
        <w:footnoteReference w:id="159"/>
      </w:r>
      <w:r w:rsidR="00592E89" w:rsidRPr="00083E3E">
        <w:rPr>
          <w:vertAlign w:val="superscript"/>
        </w:rPr>
        <w:t xml:space="preserve"> </w:t>
      </w:r>
      <w:r w:rsidR="00592E89" w:rsidRPr="00083E3E">
        <w:t>The Commission strongly recommends that the Massachusetts legislature explore further legislation to protect LGBTQ youth and their families fleeing to Massachusetts, which has already begun to occur.</w:t>
      </w:r>
    </w:p>
    <w:p w14:paraId="5016F04B" w14:textId="24DCA85C" w:rsidR="00592E89" w:rsidRPr="00083E3E" w:rsidRDefault="00592E89" w:rsidP="0005607E">
      <w:pPr>
        <w:jc w:val="both"/>
      </w:pPr>
      <w:r w:rsidRPr="00083E3E">
        <w:t>There are multiple tenets of gender-affirming care; as defined by the World Health Organization, gender-affirming care includes social, psychological, behavioral, and medical interventions that affirm a patient’s gender identity and expression. Therefore, gender-affirming care coverage should include, though not limited to, hair removal, voice therapy, and increased access to family-building services. It is essential that Massachusetts works to better integrate gender-affirming health care into the modern health care environment, and combine with primary care, mental health, and community services.</w:t>
      </w:r>
    </w:p>
    <w:p w14:paraId="1B0D5DF1" w14:textId="1865D5E1" w:rsidR="00592E89" w:rsidRPr="00083E3E" w:rsidRDefault="005D02DE" w:rsidP="0005607E">
      <w:pPr>
        <w:jc w:val="both"/>
      </w:pPr>
      <w:r>
        <w:rPr>
          <w:noProof/>
        </w:rPr>
        <mc:AlternateContent>
          <mc:Choice Requires="wps">
            <w:drawing>
              <wp:anchor distT="91440" distB="91440" distL="114300" distR="114300" simplePos="0" relativeHeight="251717632" behindDoc="0" locked="0" layoutInCell="1" allowOverlap="1" wp14:anchorId="7BF71C8D" wp14:editId="498B3EE1">
                <wp:simplePos x="0" y="0"/>
                <wp:positionH relativeFrom="page">
                  <wp:posOffset>3376295</wp:posOffset>
                </wp:positionH>
                <wp:positionV relativeFrom="paragraph">
                  <wp:posOffset>64770</wp:posOffset>
                </wp:positionV>
                <wp:extent cx="3474720" cy="1403985"/>
                <wp:effectExtent l="0" t="0" r="0" b="0"/>
                <wp:wrapSquare wrapText="bothSides"/>
                <wp:docPr id="17714990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4DB90D98" w14:textId="79FA5E42" w:rsidR="005D02DE" w:rsidRPr="005D02DE" w:rsidRDefault="005D02DE" w:rsidP="005D02DE">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“We need to support smaller local clinics for affirmative healthcare.”</w:t>
                            </w:r>
                            <w:r>
                              <w:rPr>
                                <w:color w:val="AD84C6" w:themeColor="accent1"/>
                              </w:rPr>
                              <w:t xml:space="preserve"> – Community organization supporting LGBTQ+ youth</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7BF71C8D" id="_x0000_s1053" type="#_x0000_t202" style="position:absolute;left:0;text-align:left;margin-left:265.85pt;margin-top:5.1pt;width:273.6pt;height:110.55pt;z-index:251717632;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b0u/gEAANYDAAAOAAAAZHJzL2Uyb0RvYy54bWysU9uO2yAQfa/Uf0C8N3ayTpNYIavtblNV&#10;2l6kbT+AYByjAkOBxE6/vgPOZqP2raofEDCeM3POHNa3g9HkKH1QYBmdTkpKpBXQKLtn9Pu37Zsl&#10;JSFy23ANVjJ6koHebl6/WveuljPoQDfSEwSxoe4do12Mri6KIDppeJiAkxaDLXjDIx79vmg87xHd&#10;6GJWlm+LHnzjPAgZAt4+jEG6yfhtK0X80rZBRqIZxd5iXn1ed2ktNmte7z13nRLnNvg/dGG4slj0&#10;AvXAIycHr/6CMkp4CNDGiQBTQNsqITMHZDMt/2Dz1HEnMxcUJ7iLTOH/wYrPxyf31ZM4vIMBB5hJ&#10;BPcI4kcgFu47bvfyznvoO8kbLDxNkhW9C/U5NUkd6pBAdv0naHDI/BAhAw2tN0kV5EkQHQdwuogu&#10;h0gEXt5Ui2oxw5DA2LQqb1bLea7B6+d050P8IMGQtGHU41QzPD8+hpja4fXzL6maha3SOk9WW9Iz&#10;uprP5jnhKmJURONpZRhdlukbrZBYvrdNTo5c6XGPBbQ9005MR85x2A1ENYzOFik5ybCD5oRCeBiN&#10;hg8DNx34X5T0aDJGw88D95IS/dGimKtpVSVX5kM1zzL468juOsKtQChGIyXj9j5mJyfOwd2h6FuV&#10;5Xjp5NwzmierdDZ6cuf1Of/18hw3vwEAAP//AwBQSwMEFAAGAAgAAAAhAEcEEnXgAAAACwEAAA8A&#10;AABkcnMvZG93bnJldi54bWxMj8tOwzAQRfdI/IM1SOyonUTQNMSpyqOsKiEKm+6ceEiixuPIdtrw&#10;97grWI7u0b1nyvVsBnZC53tLEpKFAIbUWN1TK+Hrc3uXA/NBkVaDJZTwgx7W1fVVqQptz/SBp31o&#10;WSwhXygJXQhjwblvOjTKL+yIFLNv64wK8XQt106dY7kZeCrEAzeqp7jQqRGfO2yO+8lI2KE75Ksp&#10;f+oPL9vX92Om67eNlvL2Zt48Ags4hz8YLvpRHaroVNuJtGeDhPssWUY0BiIFdgHEMl8BqyWkWZIB&#10;r0r+/4fqFwAA//8DAFBLAQItABQABgAIAAAAIQC2gziS/gAAAOEBAAATAAAAAAAAAAAAAAAAAAAA&#10;AABbQ29udGVudF9UeXBlc10ueG1sUEsBAi0AFAAGAAgAAAAhADj9If/WAAAAlAEAAAsAAAAAAAAA&#10;AAAAAAAALwEAAF9yZWxzLy5yZWxzUEsBAi0AFAAGAAgAAAAhAAelvS7+AQAA1gMAAA4AAAAAAAAA&#10;AAAAAAAALgIAAGRycy9lMm9Eb2MueG1sUEsBAi0AFAAGAAgAAAAhAEcEEnXgAAAACwEAAA8AAAAA&#10;AAAAAAAAAAAAWAQAAGRycy9kb3ducmV2LnhtbFBLBQYAAAAABAAEAPMAAABlBQAAAAA=&#10;" filled="f" stroked="f">
                <v:textbox style="mso-fit-shape-to-text:t">
                  <w:txbxContent>
                    <w:p w14:paraId="4DB90D98" w14:textId="79FA5E42" w:rsidR="005D02DE" w:rsidRPr="005D02DE" w:rsidRDefault="005D02DE" w:rsidP="005D02DE">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“We need to support smaller local clinics for affirmative healthcare.”</w:t>
                      </w:r>
                      <w:r>
                        <w:rPr>
                          <w:color w:val="AD84C6" w:themeColor="accent1"/>
                        </w:rPr>
                        <w:t xml:space="preserve"> – Community organization supporting LGBTQ+ youth</w:t>
                      </w:r>
                    </w:p>
                  </w:txbxContent>
                </v:textbox>
                <w10:wrap type="square" anchorx="page"/>
              </v:shape>
            </w:pict>
          </mc:Fallback>
        </mc:AlternateContent>
      </w:r>
      <w:r w:rsidR="00592E89" w:rsidRPr="00083E3E">
        <w:t>Access to gender-affirming care and capacity for existing facilities is limited; the Commission recommends that, instead of being relegated to specialty clinics, pediatric providers and clinicians in all facilities should be trained to provide gender-affirming care. In tandem with this, there must be more resources and education devoted to the pursuit of better care for neurodiverse individuals who are more likely to identify as LGBTQ. Furthermore, the Commission recommends that primary care, mental health, and community services be integrated under one roof, in line with the medical home model that many integrated LGBTQ health centers have begun to adopt. While much of the funding for LGBTQ health has been focused on STI screening, prevention, and treatment, more can be done to focus on the holistic needs of the LGBTQ community. This includes hiring more diverse clinicians and investing in a trauma-informed work environment.</w:t>
      </w:r>
    </w:p>
    <w:p w14:paraId="6AD9A138" w14:textId="3DA3F612" w:rsidR="00592E89" w:rsidRPr="00083E3E" w:rsidRDefault="00592E89" w:rsidP="0005607E">
      <w:pPr>
        <w:jc w:val="both"/>
        <w:rPr>
          <w:vertAlign w:val="superscript"/>
        </w:rPr>
      </w:pPr>
      <w:r w:rsidRPr="00083E3E">
        <w:t xml:space="preserve">On October 21st, 2025, provider Fenway Health announced that due to changes in federal requirements, those </w:t>
      </w:r>
      <w:r w:rsidR="007D658D" w:rsidRPr="00083E3E">
        <w:t>nineteen</w:t>
      </w:r>
      <w:r w:rsidRPr="00083E3E">
        <w:t xml:space="preserve"> and under could no longer receive gender-affirming care at their institution.</w:t>
      </w:r>
      <w:r w:rsidRPr="00083E3E">
        <w:rPr>
          <w:vertAlign w:val="superscript"/>
        </w:rPr>
        <w:footnoteReference w:id="160"/>
      </w:r>
      <w:r w:rsidRPr="00083E3E">
        <w:t xml:space="preserve"> As of February of 2026, Baystate Health, located in Springfield, Massachusetts, has </w:t>
      </w:r>
      <w:r w:rsidRPr="00083E3E">
        <w:lastRenderedPageBreak/>
        <w:t xml:space="preserve">also stopped the prescription of gender-affirming hormone medications for people under </w:t>
      </w:r>
      <w:r w:rsidR="007D658D" w:rsidRPr="00083E3E">
        <w:t>eighteen</w:t>
      </w:r>
      <w:r w:rsidRPr="00083E3E">
        <w:t>.</w:t>
      </w:r>
      <w:r w:rsidRPr="00083E3E">
        <w:rPr>
          <w:rStyle w:val="FootnoteReference"/>
        </w:rPr>
        <w:footnoteReference w:id="161"/>
      </w:r>
    </w:p>
    <w:p w14:paraId="3A0AC3CD" w14:textId="7A42A98A" w:rsidR="00592E89" w:rsidRPr="00083E3E" w:rsidRDefault="00091812" w:rsidP="0005607E">
      <w:pPr>
        <w:jc w:val="both"/>
      </w:pPr>
      <w:r>
        <w:rPr>
          <w:noProof/>
        </w:rPr>
        <w:drawing>
          <wp:anchor distT="0" distB="0" distL="114300" distR="114300" simplePos="0" relativeHeight="251755520" behindDoc="0" locked="0" layoutInCell="1" allowOverlap="1" wp14:anchorId="5FD328A4" wp14:editId="4003D60F">
            <wp:simplePos x="0" y="0"/>
            <wp:positionH relativeFrom="column">
              <wp:posOffset>3057525</wp:posOffset>
            </wp:positionH>
            <wp:positionV relativeFrom="paragraph">
              <wp:posOffset>64770</wp:posOffset>
            </wp:positionV>
            <wp:extent cx="2914650" cy="1330960"/>
            <wp:effectExtent l="0" t="0" r="0" b="2540"/>
            <wp:wrapSquare wrapText="bothSides"/>
            <wp:docPr id="2080581772" name="Picture 65" descr="a graphic saying that one-third of transgender respondents reported often having to teach their doctor about transgender people to receive adequate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581772" name="Picture 65" descr="a graphic saying that one-third of transgender respondents reported often having to teach their doctor about transgender people to receive adequate care"/>
                    <pic:cNvPicPr/>
                  </pic:nvPicPr>
                  <pic:blipFill rotWithShape="1">
                    <a:blip r:embed="rId43" cstate="print">
                      <a:extLst>
                        <a:ext uri="{28A0092B-C50C-407E-A947-70E740481C1C}">
                          <a14:useLocalDpi xmlns:a14="http://schemas.microsoft.com/office/drawing/2010/main" val="0"/>
                        </a:ext>
                      </a:extLst>
                    </a:blip>
                    <a:srcRect b="63462"/>
                    <a:stretch>
                      <a:fillRect/>
                    </a:stretch>
                  </pic:blipFill>
                  <pic:spPr bwMode="auto">
                    <a:xfrm>
                      <a:off x="0" y="0"/>
                      <a:ext cx="2914650" cy="1330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2E89" w:rsidRPr="00083E3E">
        <w:t>Access to competent, culturally sensitive healthcare remains a pressing issue for LGBTQ youth.</w:t>
      </w:r>
      <w:r w:rsidR="00592E89" w:rsidRPr="00083E3E">
        <w:rPr>
          <w:rStyle w:val="FootnoteReference"/>
        </w:rPr>
        <w:footnoteReference w:id="162"/>
      </w:r>
      <w:r w:rsidR="00592E89" w:rsidRPr="00083E3E">
        <w:rPr>
          <w:vertAlign w:val="superscript"/>
        </w:rPr>
        <w:t xml:space="preserve"> </w:t>
      </w:r>
      <w:r w:rsidR="00592E89" w:rsidRPr="00083E3E">
        <w:t>Many healthcare providers do not feel informed about the specific health needs of the LGBTQ community, and report receiving little to no training on the topic of LGBTQ youth.</w:t>
      </w:r>
      <w:r w:rsidR="00592E89" w:rsidRPr="00083E3E">
        <w:rPr>
          <w:vertAlign w:val="superscript"/>
        </w:rPr>
        <w:t xml:space="preserve"> </w:t>
      </w:r>
      <w:r w:rsidR="00592E89" w:rsidRPr="00083E3E">
        <w:t>A 2021 study from the Center for American Progress noted that one-third of transgender respondents reported often having to teach their doctor about transgender people to receive adequate care.</w:t>
      </w:r>
      <w:r w:rsidR="00592E89" w:rsidRPr="00083E3E">
        <w:rPr>
          <w:rStyle w:val="FootnoteReference"/>
        </w:rPr>
        <w:footnoteReference w:id="163"/>
      </w:r>
      <w:r w:rsidR="00592E89" w:rsidRPr="00083E3E">
        <w:t xml:space="preserve"> In the 2023 Community Health Equity Survey, 70% of transgender youth stated that they were unable to access any type of care when they needed.</w:t>
      </w:r>
      <w:r w:rsidR="00592E89" w:rsidRPr="00083E3E">
        <w:rPr>
          <w:rStyle w:val="FootnoteReference"/>
        </w:rPr>
        <w:footnoteReference w:id="164"/>
      </w:r>
    </w:p>
    <w:p w14:paraId="4A065D06" w14:textId="7F47540B" w:rsidR="00592E89" w:rsidRPr="00083E3E" w:rsidRDefault="000C290C" w:rsidP="0005607E">
      <w:pPr>
        <w:jc w:val="both"/>
        <w:rPr>
          <w:b/>
          <w:bCs/>
        </w:rPr>
      </w:pPr>
      <w:r>
        <w:rPr>
          <w:noProof/>
        </w:rPr>
        <w:drawing>
          <wp:anchor distT="0" distB="0" distL="114300" distR="114300" simplePos="0" relativeHeight="251756544" behindDoc="0" locked="0" layoutInCell="1" allowOverlap="1" wp14:anchorId="1BF23F80" wp14:editId="3602E361">
            <wp:simplePos x="0" y="0"/>
            <wp:positionH relativeFrom="column">
              <wp:posOffset>47625</wp:posOffset>
            </wp:positionH>
            <wp:positionV relativeFrom="paragraph">
              <wp:posOffset>60094</wp:posOffset>
            </wp:positionV>
            <wp:extent cx="3295650" cy="1699895"/>
            <wp:effectExtent l="0" t="0" r="0" b="0"/>
            <wp:wrapSquare wrapText="bothSides"/>
            <wp:docPr id="425531961" name="Picture 66" descr="a graphic saying that 70% of transgender youth stated that they were unable to access any type of care when they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531961" name="Picture 66" descr="a graphic saying that 70% of transgender youth stated that they were unable to access any type of care when they needed"/>
                    <pic:cNvPicPr/>
                  </pic:nvPicPr>
                  <pic:blipFill rotWithShape="1">
                    <a:blip r:embed="rId44" cstate="print">
                      <a:extLst>
                        <a:ext uri="{28A0092B-C50C-407E-A947-70E740481C1C}">
                          <a14:useLocalDpi xmlns:a14="http://schemas.microsoft.com/office/drawing/2010/main" val="0"/>
                        </a:ext>
                      </a:extLst>
                    </a:blip>
                    <a:srcRect b="61282"/>
                    <a:stretch>
                      <a:fillRect/>
                    </a:stretch>
                  </pic:blipFill>
                  <pic:spPr bwMode="auto">
                    <a:xfrm>
                      <a:off x="0" y="0"/>
                      <a:ext cx="3295650" cy="16998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2E89" w:rsidRPr="00083E3E">
        <w:t xml:space="preserve">Despite gender-affirming care being a right in Massachusetts and expansive MassHealth policies being enacted over the last few years to increase access to gender-affirming care, patients continue to face barriers that include insurance exclusions, inconsistent coverage, wrongful denials of care, burdensome prior authorization processes, and low reimbursement rates leading to less economic incentive to provide this care. More research </w:t>
      </w:r>
      <w:r w:rsidR="00592E89" w:rsidRPr="00083E3E">
        <w:lastRenderedPageBreak/>
        <w:t>needs to be done to examine how LGBTQ youth in Massachusetts are being impacted, and what additional insurance barriers exist beyond exclusions, such as prior authorizations and denials.</w:t>
      </w:r>
    </w:p>
    <w:p w14:paraId="712B88F1" w14:textId="6B282CB0" w:rsidR="00592E89" w:rsidRPr="00083E3E" w:rsidRDefault="00592E89" w:rsidP="0005607E">
      <w:pPr>
        <w:jc w:val="both"/>
      </w:pPr>
      <w:r w:rsidRPr="00083E3E">
        <w:t xml:space="preserve">The Commission recommends that transportation assistance programs are provided for individuals traveling long distances within the Commonwealth to access gender-affirming care. Also, a strengthening of funding protections for healthcare providers delivering gender-affirming healthcare services to youth and adults is vital. </w:t>
      </w:r>
    </w:p>
    <w:p w14:paraId="2E31769E" w14:textId="77777777" w:rsidR="00592E89" w:rsidRPr="00083E3E" w:rsidRDefault="00592E89" w:rsidP="00E97E73">
      <w:pPr>
        <w:pStyle w:val="Heading3"/>
      </w:pPr>
      <w:bookmarkStart w:id="163" w:name="_Toc230277349"/>
      <w:r w:rsidRPr="00083E3E">
        <w:t>Invest in community-based participatory research and strengthen sexual orientation and gender identity data collection standards.</w:t>
      </w:r>
      <w:bookmarkEnd w:id="163"/>
    </w:p>
    <w:p w14:paraId="3AA068FC" w14:textId="77777777" w:rsidR="00592E89" w:rsidRPr="00083E3E" w:rsidRDefault="00592E89" w:rsidP="0005607E">
      <w:pPr>
        <w:jc w:val="both"/>
      </w:pPr>
      <w:r w:rsidRPr="00083E3E">
        <w:t>Comprehensive research is critical to understanding the needs of underserved youth and identifying gaps in service provision. The Commission urges decision-makers to invest in community-based research and needs assessments that center the experiences of QTBIPOC youth, families, and service providers across Massachusetts. Engaging communities directly ensures sustainable participation and facilitates the development of long-lasting, community-driven interventions.</w:t>
      </w:r>
      <w:r w:rsidRPr="00083E3E">
        <w:rPr>
          <w:rStyle w:val="FootnoteReference"/>
        </w:rPr>
        <w:footnoteReference w:id="165"/>
      </w:r>
    </w:p>
    <w:p w14:paraId="36E8605E" w14:textId="37CB3837" w:rsidR="00592E89" w:rsidRPr="00083E3E" w:rsidRDefault="00592E89" w:rsidP="0005607E">
      <w:pPr>
        <w:jc w:val="both"/>
      </w:pPr>
      <w:r w:rsidRPr="00083E3E">
        <w:t>A major barrier to understanding disparities is the lack of consistent guidelines for collecting sexual orientation and gender identity (SOGI) data in pediatric populations. Recent recommendations in New England emphasize age-appropriate collection, caregiver involvement, and privacy protections. Expanding SOGIE data collection practices, including the use of inclusive electronic health records (EHRs), is essential to identifying disparities in healthcare access, outcomes, and service provision.</w:t>
      </w:r>
      <w:r w:rsidRPr="00083E3E">
        <w:rPr>
          <w:rStyle w:val="FootnoteReference"/>
        </w:rPr>
        <w:footnoteReference w:id="166"/>
      </w:r>
    </w:p>
    <w:p w14:paraId="0BC5C14E" w14:textId="02A1C1E1" w:rsidR="00592E89" w:rsidRPr="00083E3E" w:rsidRDefault="00592E89" w:rsidP="0005607E">
      <w:pPr>
        <w:jc w:val="both"/>
      </w:pPr>
      <w:r w:rsidRPr="00083E3E">
        <w:t>Intersex youth represent an especially underserved population. Many intersex youth face difficulties communicating their needs to healthcare providers and are sometimes not informed about their intersex status by caregivers or medical professionals. This contributes to high rates of healthcare avoidance and poorer physical and mental health outcomes.</w:t>
      </w:r>
      <w:r w:rsidRPr="00083E3E">
        <w:rPr>
          <w:rStyle w:val="FootnoteReference"/>
        </w:rPr>
        <w:footnoteReference w:id="167"/>
      </w:r>
      <w:r w:rsidRPr="00083E3E">
        <w:t xml:space="preserve"> Intersex youth are </w:t>
      </w:r>
      <w:r w:rsidRPr="00083E3E">
        <w:lastRenderedPageBreak/>
        <w:t>also disproportionately subjected to non-consensual medical interventions in infancy, a practice condemned by the United Nations</w:t>
      </w:r>
      <w:r w:rsidRPr="00083E3E">
        <w:rPr>
          <w:rStyle w:val="FootnoteReference"/>
        </w:rPr>
        <w:footnoteReference w:id="168"/>
      </w:r>
      <w:r w:rsidRPr="00083E3E">
        <w:t xml:space="preserve"> and the Massachusetts Medical Society,</w:t>
      </w:r>
      <w:r w:rsidRPr="00083E3E">
        <w:rPr>
          <w:rStyle w:val="FootnoteReference"/>
        </w:rPr>
        <w:footnoteReference w:id="169"/>
      </w:r>
      <w:r w:rsidRPr="00083E3E">
        <w:t xml:space="preserve"> and experience elevated rates of suicidal ideation and conversion therapy.</w:t>
      </w:r>
      <w:r w:rsidRPr="00083E3E">
        <w:rPr>
          <w:rStyle w:val="FootnoteReference"/>
        </w:rPr>
        <w:footnoteReference w:id="170"/>
      </w:r>
      <w:r w:rsidRPr="00083E3E">
        <w:t xml:space="preserve"> Further research is urgently needed to understand their unique experiences and to ensure that interventions are safe, affirming, and evidence-based.</w:t>
      </w:r>
    </w:p>
    <w:p w14:paraId="30147C63" w14:textId="23E97FFD" w:rsidR="00091812" w:rsidRDefault="00592E89" w:rsidP="0005607E">
      <w:pPr>
        <w:jc w:val="both"/>
      </w:pPr>
      <w:r w:rsidRPr="00083E3E">
        <w:t>By prioritizing participatory, action-oriented research and advancing SOGIE data collection standards, the Commonwealth can more accurately capture the needs of LGBTQ and intersex youth, inform effective programming, and ensure that historically overlooked populations are represented in policy and care decisions.</w:t>
      </w:r>
    </w:p>
    <w:p w14:paraId="53518520" w14:textId="77777777" w:rsidR="00631402" w:rsidRDefault="00631402" w:rsidP="00E97E73">
      <w:pPr>
        <w:pStyle w:val="Heading3"/>
      </w:pPr>
      <w:r>
        <w:t>Conclusion</w:t>
      </w:r>
    </w:p>
    <w:p w14:paraId="5F141C62" w14:textId="77777777" w:rsidR="00631402" w:rsidRPr="00631402" w:rsidRDefault="00631402" w:rsidP="00631402">
      <w:pPr>
        <w:jc w:val="both"/>
      </w:pPr>
      <w:r w:rsidRPr="00631402">
        <w:t>Expanding access to LGBTQ-affirming health care is essential to improving safety, stability, and long-term well-being for LGBTQ youth across Massachusetts. As this section demonstrates, barriers to care are not limited to insurance coverage or provider availability; they also include transportation, geography, language access, immigration-related fear, misinformation, provider bias, and the uneven availability of gender-affirming services. These barriers are especially acute for transgender and nonbinary youth, intersex youth, immigrant youth, rural youth, and QTBIPOC youth, who may face multiple overlapping obstacles when seeking care.</w:t>
      </w:r>
    </w:p>
    <w:p w14:paraId="7E6186E6" w14:textId="7F999A12" w:rsidR="00091812" w:rsidRDefault="00631402" w:rsidP="0005607E">
      <w:pPr>
        <w:jc w:val="both"/>
      </w:pPr>
      <w:r w:rsidRPr="00631402">
        <w:t>Addressing these challenges requires a comprehensive approach that expands provider capacity, strengthens telehealth and transportation supports, improves training for health care staff, protects access to gender-affirming care, and invests in research and data systems that reflect the full diversity of LGBTQ youth experiences. Across the Commission’s listening sessions, youth and providers made clear that affirming care must be accessible</w:t>
      </w:r>
      <w:r w:rsidR="0017024A">
        <w:t xml:space="preserve"> </w:t>
      </w:r>
      <w:r w:rsidRPr="00631402">
        <w:t>and grounded in trust. These health care recommendations connect directly to the broader need for community public health and violence prevention strategies that reduce harm</w:t>
      </w:r>
      <w:r w:rsidR="0017024A">
        <w:t xml:space="preserve"> </w:t>
      </w:r>
      <w:r w:rsidRPr="00631402">
        <w:t>and ensure LGBTQ youth can access support before crisis occurs.</w:t>
      </w:r>
      <w:r w:rsidR="00091812">
        <w:br w:type="page"/>
      </w:r>
    </w:p>
    <w:p w14:paraId="210FAF72" w14:textId="4FDFCD20" w:rsidR="007F21B6" w:rsidRDefault="00091812" w:rsidP="0005607E">
      <w:pPr>
        <w:jc w:val="both"/>
      </w:pPr>
      <w:r>
        <w:rPr>
          <w:noProof/>
        </w:rPr>
        <w:lastRenderedPageBreak/>
        <w:drawing>
          <wp:anchor distT="0" distB="0" distL="114300" distR="114300" simplePos="0" relativeHeight="251732992" behindDoc="1" locked="0" layoutInCell="1" allowOverlap="1" wp14:anchorId="215FF3F5" wp14:editId="44F15CCE">
            <wp:simplePos x="0" y="0"/>
            <wp:positionH relativeFrom="column">
              <wp:posOffset>-914400</wp:posOffset>
            </wp:positionH>
            <wp:positionV relativeFrom="paragraph">
              <wp:posOffset>-1315720</wp:posOffset>
            </wp:positionV>
            <wp:extent cx="7810500" cy="1485900"/>
            <wp:effectExtent l="0" t="0" r="0" b="0"/>
            <wp:wrapNone/>
            <wp:docPr id="1299516992" name="Picture 41" descr="a trans flag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516992" name="Picture 41" descr="a trans flag header"/>
                    <pic:cNvPicPr/>
                  </pic:nvPicPr>
                  <pic:blipFill>
                    <a:blip r:embed="rId45" cstate="print">
                      <a:extLst>
                        <a:ext uri="{BEBA8EAE-BF5A-486C-A8C5-ECC9F3942E4B}">
                          <a14:imgProps xmlns:a14="http://schemas.microsoft.com/office/drawing/2010/main">
                            <a14:imgLayer r:embed="rId46">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7810500" cy="1485900"/>
                    </a:xfrm>
                    <a:prstGeom prst="rect">
                      <a:avLst/>
                    </a:prstGeom>
                  </pic:spPr>
                </pic:pic>
              </a:graphicData>
            </a:graphic>
            <wp14:sizeRelH relativeFrom="margin">
              <wp14:pctWidth>0</wp14:pctWidth>
            </wp14:sizeRelH>
            <wp14:sizeRelV relativeFrom="margin">
              <wp14:pctHeight>0</wp14:pctHeight>
            </wp14:sizeRelV>
          </wp:anchor>
        </w:drawing>
      </w:r>
    </w:p>
    <w:p w14:paraId="4F8C90F3" w14:textId="295C2283" w:rsidR="00592E89" w:rsidRDefault="007F21B6" w:rsidP="00B7107C">
      <w:pPr>
        <w:pStyle w:val="Heading2"/>
      </w:pPr>
      <w:bookmarkStart w:id="164" w:name="_Toc230276118"/>
      <w:bookmarkStart w:id="165" w:name="_Toc230276225"/>
      <w:bookmarkStart w:id="166" w:name="_Toc230276308"/>
      <w:bookmarkStart w:id="167" w:name="_Toc230276360"/>
      <w:bookmarkStart w:id="168" w:name="_Toc230277101"/>
      <w:bookmarkStart w:id="169" w:name="_Toc230277350"/>
      <w:bookmarkStart w:id="170" w:name="_Toc230355483"/>
      <w:r>
        <w:t>C</w:t>
      </w:r>
      <w:r w:rsidR="00592E89" w:rsidRPr="00A41910">
        <w:t>ommunity Public Health &amp; Violence Prevention: Recommendations</w:t>
      </w:r>
      <w:bookmarkEnd w:id="164"/>
      <w:bookmarkEnd w:id="165"/>
      <w:bookmarkEnd w:id="166"/>
      <w:bookmarkEnd w:id="167"/>
      <w:bookmarkEnd w:id="168"/>
      <w:bookmarkEnd w:id="169"/>
      <w:bookmarkEnd w:id="170"/>
    </w:p>
    <w:p w14:paraId="3FACF570" w14:textId="6DFB8A99" w:rsidR="000C290C" w:rsidRPr="000C290C" w:rsidRDefault="000C290C" w:rsidP="000C290C">
      <w:pPr>
        <w:jc w:val="both"/>
      </w:pPr>
      <w:r>
        <w:t>Gender-affirming care goes beyond individual healthcare; it must also be central to public health initiatives designed to address health disparities among communities across the Commonwealth. Community support is an integral part of LGBTQ health and wellbeing. These recommendations highlight the need for expanding community-informed public health programming, strengthening digital privacy protections, improving access to healthcare services, and addressing misinformation.</w:t>
      </w:r>
    </w:p>
    <w:p w14:paraId="5EA18BCC" w14:textId="304920CA" w:rsidR="00592E89" w:rsidRPr="00083E3E" w:rsidRDefault="00592E89" w:rsidP="00E97E73">
      <w:pPr>
        <w:pStyle w:val="Heading3"/>
      </w:pPr>
      <w:bookmarkStart w:id="171" w:name="_Toc230277351"/>
      <w:r w:rsidRPr="00083E3E">
        <w:t>Create and expand community-informed public health programming that supports underserved youth and communities.</w:t>
      </w:r>
      <w:bookmarkEnd w:id="171"/>
    </w:p>
    <w:p w14:paraId="767D02EC" w14:textId="77777777" w:rsidR="00592E89" w:rsidRDefault="00592E89" w:rsidP="0005607E">
      <w:pPr>
        <w:jc w:val="both"/>
      </w:pPr>
      <w:r w:rsidRPr="00083E3E">
        <w:t xml:space="preserve">The Commission recommends that Massachusetts continue to explore and expand community-informed, accessible public health programming for youth to eliminate persistent health disparities. </w:t>
      </w:r>
      <w:proofErr w:type="gramStart"/>
      <w:r w:rsidRPr="00083E3E">
        <w:t>Particular attention</w:t>
      </w:r>
      <w:proofErr w:type="gramEnd"/>
      <w:r w:rsidRPr="00083E3E">
        <w:t xml:space="preserve"> should be paid to youth in rural areas, Deaf and hard of hearing youth, multilingual youth, and QTBIPOC youth, who often face systemic barriers to accessing appropriate care and services. Massachusetts currently employs a wide array of programming to support public health, including harm reduction, prevention, and recovery services, as well as supports for survivors of intimate partner violence and sexual exploitation. However, there remains a critical need to ensure that these programs are consistently trauma-informed and culturally responsive, particularly for QTBIPOC youth who too often lack access to services that are simultaneously LGBTQ-affirming, multilingual, and anti-racist.</w:t>
      </w:r>
    </w:p>
    <w:p w14:paraId="57E68190" w14:textId="747CEA4E" w:rsidR="00631402" w:rsidRPr="00083E3E" w:rsidRDefault="00631402" w:rsidP="0005607E">
      <w:pPr>
        <w:jc w:val="both"/>
      </w:pPr>
      <w:r w:rsidRPr="00631402">
        <w:t xml:space="preserve">Across the Commission’s FY 2026 listening sessions, </w:t>
      </w:r>
      <w:r w:rsidR="00CC6C01" w:rsidRPr="00CC6C01">
        <w:t xml:space="preserve">both youth and providers stressed that peer environments and youth-driven activities, as well as trusted community connections, are protective factors that combat isolation </w:t>
      </w:r>
      <w:r w:rsidRPr="00631402">
        <w:t xml:space="preserve">and help young people access resources before crisis occurs. As one youth explained, “I know the queer community is flourishing when I see people growing as individuals,” </w:t>
      </w:r>
      <w:r w:rsidR="0017024A">
        <w:t>highlighting</w:t>
      </w:r>
      <w:r w:rsidRPr="00631402">
        <w:t xml:space="preserve"> the importance of programming that supports not only safety, but connection, leadership, and growth.</w:t>
      </w:r>
    </w:p>
    <w:p w14:paraId="34E61491" w14:textId="77777777" w:rsidR="00592E89" w:rsidRPr="00083E3E" w:rsidRDefault="00592E89" w:rsidP="0005607E">
      <w:pPr>
        <w:jc w:val="both"/>
      </w:pPr>
      <w:r w:rsidRPr="00083E3E">
        <w:t xml:space="preserve">Expanding peer-led and youth-centered programming is a key strategy for increasing engagement and effectiveness. LGBTQ youth have a right to be meaningfully involved in the creation, development, and implementation of the programs intended to support their well-being. Across public health issue areas, incorporating the voices and lived experiences of LGBTQ youth leads to more responsive and impactful programming. Youth themselves are often best positioned to identify gaps in resources and to articulate what forms of support are most </w:t>
      </w:r>
      <w:r w:rsidRPr="00083E3E">
        <w:lastRenderedPageBreak/>
        <w:t>effective, particularly in cases where adults may lack awareness or understanding of the challenges LGBTQ youth face.</w:t>
      </w:r>
      <w:r w:rsidRPr="00083E3E">
        <w:rPr>
          <w:rStyle w:val="FootnoteReference"/>
        </w:rPr>
        <w:footnoteReference w:id="171"/>
      </w:r>
    </w:p>
    <w:p w14:paraId="79AFC9D3" w14:textId="1ED41DD2" w:rsidR="00592E89" w:rsidRPr="00083E3E" w:rsidRDefault="003C6061" w:rsidP="0005607E">
      <w:pPr>
        <w:jc w:val="both"/>
      </w:pPr>
      <w:r>
        <w:t>Research shows that p</w:t>
      </w:r>
      <w:r w:rsidR="00592E89" w:rsidRPr="00083E3E">
        <w:t xml:space="preserve">eer health education programs </w:t>
      </w:r>
      <w:r w:rsidR="0017024A">
        <w:t xml:space="preserve">that address </w:t>
      </w:r>
      <w:r w:rsidR="00592E89" w:rsidRPr="00083E3E">
        <w:t xml:space="preserve">topics such as dating violence, substance use, and bullying have </w:t>
      </w:r>
      <w:r>
        <w:t xml:space="preserve">strong outcomes in supporting youth and their </w:t>
      </w:r>
      <w:r w:rsidR="00592E89" w:rsidRPr="00083E3E">
        <w:t xml:space="preserve">success is </w:t>
      </w:r>
      <w:r w:rsidR="0017024A">
        <w:t xml:space="preserve">often </w:t>
      </w:r>
      <w:r w:rsidR="00592E89" w:rsidRPr="00083E3E">
        <w:t xml:space="preserve">rooted in the relatability and trust inherent in peer-to-peer engagement, as well as in peer educators’ ability to navigate and reflect the current social, cultural, and political realities experienced by young people. Beyond providing support, these programs also build leadership and subject-matter expertise among youth, </w:t>
      </w:r>
      <w:r>
        <w:t xml:space="preserve">as well as </w:t>
      </w:r>
      <w:r w:rsidR="00592E89" w:rsidRPr="00083E3E">
        <w:t>strengthen communication between youth and adults, and foster long-term community engagement and wellness.</w:t>
      </w:r>
      <w:r w:rsidR="00592E89" w:rsidRPr="00083E3E">
        <w:rPr>
          <w:rStyle w:val="FootnoteReference"/>
        </w:rPr>
        <w:footnoteReference w:id="172"/>
      </w:r>
    </w:p>
    <w:p w14:paraId="67DEAAF9" w14:textId="63C5614B" w:rsidR="00592E89" w:rsidRPr="00083E3E" w:rsidRDefault="003C6061" w:rsidP="0005607E">
      <w:pPr>
        <w:jc w:val="both"/>
      </w:pPr>
      <w:r>
        <w:t>W</w:t>
      </w:r>
      <w:r w:rsidR="00592E89" w:rsidRPr="00083E3E">
        <w:t>ell-established models for incorporating youth into advocacy and decision-making structures</w:t>
      </w:r>
      <w:r w:rsidR="0017024A">
        <w:t xml:space="preserve"> </w:t>
      </w:r>
      <w:r>
        <w:t xml:space="preserve">exist, </w:t>
      </w:r>
      <w:r w:rsidR="0017024A">
        <w:t xml:space="preserve">which include </w:t>
      </w:r>
      <w:r w:rsidR="00592E89" w:rsidRPr="00083E3E">
        <w:t>peer education initiatives</w:t>
      </w:r>
      <w:r w:rsidR="0017024A">
        <w:t xml:space="preserve"> </w:t>
      </w:r>
      <w:r w:rsidR="00592E89" w:rsidRPr="00083E3E">
        <w:t>and formal leadership roles</w:t>
      </w:r>
      <w:r w:rsidR="0017024A">
        <w:t>, including through youth advisory councils</w:t>
      </w:r>
      <w:r w:rsidR="00592E89" w:rsidRPr="00083E3E">
        <w:t>. For example, the International Planned Parenthood Federation has long encouraged meaningful youth participation in organizational leadership.</w:t>
      </w:r>
      <w:r w:rsidR="00592E89" w:rsidRPr="00083E3E">
        <w:rPr>
          <w:rStyle w:val="FootnoteReference"/>
        </w:rPr>
        <w:footnoteReference w:id="173"/>
      </w:r>
      <w:r w:rsidR="00592E89" w:rsidRPr="00083E3E">
        <w:t xml:space="preserve"> Within Massachusetts, numerous programs, such as the Start Strong initiative through the Boston Public Health Commission</w:t>
      </w:r>
      <w:r w:rsidR="00592E89" w:rsidRPr="00083E3E">
        <w:rPr>
          <w:rStyle w:val="FootnoteReference"/>
        </w:rPr>
        <w:footnoteReference w:id="174"/>
      </w:r>
      <w:r w:rsidR="00592E89" w:rsidRPr="00083E3E">
        <w:t xml:space="preserve"> and the Advocates for Youth,</w:t>
      </w:r>
      <w:r w:rsidR="00592E89" w:rsidRPr="00083E3E">
        <w:rPr>
          <w:rStyle w:val="FootnoteReference"/>
        </w:rPr>
        <w:footnoteReference w:id="175"/>
      </w:r>
      <w:r w:rsidR="00592E89" w:rsidRPr="00083E3E">
        <w:t xml:space="preserve"> demonstrate the effectiveness of youth-led and youth-informed approaches to public health programming. Continued investment in and </w:t>
      </w:r>
      <w:r w:rsidR="0017024A">
        <w:t xml:space="preserve">an </w:t>
      </w:r>
      <w:r w:rsidR="00592E89" w:rsidRPr="00083E3E">
        <w:t>expansion of these models is essential</w:t>
      </w:r>
      <w:r w:rsidR="0017024A">
        <w:t xml:space="preserve"> to build more youth engagement across the Commonwealth</w:t>
      </w:r>
      <w:r w:rsidR="00592E89" w:rsidRPr="00083E3E">
        <w:t>.</w:t>
      </w:r>
    </w:p>
    <w:p w14:paraId="6451EE18" w14:textId="6BE1A1AC" w:rsidR="00592E89" w:rsidRPr="00083E3E" w:rsidRDefault="00592E89" w:rsidP="0005607E">
      <w:pPr>
        <w:jc w:val="both"/>
      </w:pPr>
      <w:r w:rsidRPr="00083E3E">
        <w:t xml:space="preserve">At the same time, the Commission </w:t>
      </w:r>
      <w:r w:rsidR="0017024A">
        <w:t xml:space="preserve">emphasizes the state’s </w:t>
      </w:r>
      <w:r w:rsidRPr="00083E3E">
        <w:t xml:space="preserve">need to increase funding and support for LGBTQ-specific youth groups and advocacy organizations, particularly in rural and underserved regions of the state where such resources remain limited. </w:t>
      </w:r>
      <w:r w:rsidR="0017024A">
        <w:t>L</w:t>
      </w:r>
      <w:r w:rsidRPr="00083E3E">
        <w:t>essons learned during the COVID-19 pandemic highlight the importance of maintaining and expanding virtual programming and service delivery</w:t>
      </w:r>
      <w:r w:rsidR="0017024A">
        <w:t>, as</w:t>
      </w:r>
      <w:r w:rsidRPr="00083E3E">
        <w:t xml:space="preserve"> </w:t>
      </w:r>
      <w:r w:rsidR="0017024A">
        <w:t>v</w:t>
      </w:r>
      <w:r w:rsidRPr="00083E3E">
        <w:t xml:space="preserve">irtual platforms can significantly increase access for rural LGBTQ youth and LGBTQ youth with disabilities, among others who may otherwise face barriers </w:t>
      </w:r>
      <w:r w:rsidRPr="00083E3E">
        <w:lastRenderedPageBreak/>
        <w:t>to participation.</w:t>
      </w:r>
      <w:r w:rsidRPr="00083E3E">
        <w:rPr>
          <w:rStyle w:val="FootnoteReference"/>
        </w:rPr>
        <w:footnoteReference w:id="176"/>
      </w:r>
      <w:r w:rsidRPr="00083E3E">
        <w:t xml:space="preserve"> Moving forward, public health systems should continue to leverage and refine these technologies to ensure more equitable access to services for all LGBTQ youth.</w:t>
      </w:r>
    </w:p>
    <w:p w14:paraId="3627EE2E" w14:textId="77777777" w:rsidR="00592E89" w:rsidRPr="00083E3E" w:rsidRDefault="00592E89" w:rsidP="00E97E73">
      <w:pPr>
        <w:pStyle w:val="Heading3"/>
      </w:pPr>
      <w:bookmarkStart w:id="172" w:name="_Toc230277352"/>
      <w:r w:rsidRPr="00083E3E">
        <w:t>Strengthen digital privacy protections, including limitations on the sale of personal location data and protections against doxxing.</w:t>
      </w:r>
      <w:bookmarkEnd w:id="172"/>
    </w:p>
    <w:p w14:paraId="5F8EA059" w14:textId="0A3EAD17" w:rsidR="00D92A75" w:rsidRDefault="00592E89" w:rsidP="0005607E">
      <w:pPr>
        <w:jc w:val="both"/>
      </w:pPr>
      <w:r w:rsidRPr="00083E3E">
        <w:t>The Commission recommends that Massachusetts strengthen digital privacy protections to better safeguard LGBTQ youth, families, educators, and community members from harassment, stalking, and targeted violence. As anti-LGBTQ rhetoric and organizing have intensified nationally and locally, many LGBTQ young people and their families have expressed growing fears about their personal safety</w:t>
      </w:r>
      <w:r w:rsidR="0017024A">
        <w:t xml:space="preserve">, especially </w:t>
      </w:r>
      <w:r w:rsidRPr="00083E3E">
        <w:t xml:space="preserve">regarding how easily personal information and location data can be obtained, sold, and weaponized online. </w:t>
      </w:r>
      <w:r w:rsidR="00D92A75">
        <w:t>Specifically, the Commission’s FY 2026</w:t>
      </w:r>
      <w:r w:rsidR="00D92A75" w:rsidRPr="00D92A75">
        <w:t xml:space="preserve"> </w:t>
      </w:r>
      <w:r w:rsidR="00D92A75">
        <w:t xml:space="preserve">listening </w:t>
      </w:r>
      <w:r w:rsidR="00D92A75" w:rsidRPr="00D92A75">
        <w:t>session participants described the current political climate as a source of fear and uncertainty, with some youth noting that broader politics directly affects their sense of safety and hope. These concerns reinforce the need for digital privacy protections that allow LGBTQ youth, families, educators, and providers to access schools, health care, public events, and community spaces without fear of surveillance, harassment, or targeted harm.</w:t>
      </w:r>
    </w:p>
    <w:p w14:paraId="34E91DEC" w14:textId="6B60255E" w:rsidR="00592E89" w:rsidRPr="00083E3E" w:rsidRDefault="00D92A75" w:rsidP="0005607E">
      <w:pPr>
        <w:jc w:val="both"/>
      </w:pPr>
      <w:r>
        <w:t>Additionally, f</w:t>
      </w:r>
      <w:r w:rsidR="00592E89" w:rsidRPr="00083E3E">
        <w:t>amilies of transgender and nonbinary youth, including those who have relocated to Massachusetts seeking affirming care and safer environments, have increasingly reported concerns about attending public events, support groups, schools, libraries, and health care appointments due to fears of surveillance, harassment, and retaliation.</w:t>
      </w:r>
    </w:p>
    <w:p w14:paraId="6E2DBDF3" w14:textId="602FFD0D" w:rsidR="00592E89" w:rsidRPr="00083E3E" w:rsidRDefault="00592E89" w:rsidP="0005607E">
      <w:pPr>
        <w:jc w:val="both"/>
      </w:pPr>
      <w:r w:rsidRPr="00083E3E">
        <w:t>The Commission has also heard from educators, librarians, and community organizations who have experienced escalating threats tied to their support for LGBTQ inclusion, including harassment related to LGBTQ-inclusive curricula, book displays, and affirming programming. The widespread commercial sale and accessibility of location data creates additional risks by enabling bad actors to identify, track, target</w:t>
      </w:r>
      <w:r w:rsidR="0017024A">
        <w:t>, and harass</w:t>
      </w:r>
      <w:r w:rsidRPr="00083E3E">
        <w:t xml:space="preserve"> individuals and community spaces. The Commission therefore supports policies that limit the sale and disclosure of sensitive personal location data, strengthen protections against doxxing and online harassment, and establish stronger safeguards for individuals targeted because of their gender identity, sexual orientation, </w:t>
      </w:r>
      <w:r w:rsidR="00B443A2" w:rsidRPr="00083E3E">
        <w:t>race</w:t>
      </w:r>
      <w:r w:rsidRPr="00083E3E">
        <w:t xml:space="preserve">, or advocacy work. Strengthening these protections is increasingly critical to ensuring that LGBTQ youth, their families, and those who support them can safely access schools, libraries, </w:t>
      </w:r>
      <w:r w:rsidRPr="00083E3E">
        <w:lastRenderedPageBreak/>
        <w:t>health care, community programs, and other public spaces without fear of intimidation or targeted harm.</w:t>
      </w:r>
    </w:p>
    <w:p w14:paraId="6BDCFD99" w14:textId="77777777" w:rsidR="00592E89" w:rsidRPr="00083E3E" w:rsidRDefault="00592E89" w:rsidP="00E97E73">
      <w:pPr>
        <w:pStyle w:val="Heading3"/>
      </w:pPr>
      <w:bookmarkStart w:id="173" w:name="_Toc230277353"/>
      <w:r w:rsidRPr="00083E3E">
        <w:t>Increase access to sexually-transmitted infection screenings, prevention, and treatment.</w:t>
      </w:r>
      <w:bookmarkEnd w:id="173"/>
    </w:p>
    <w:p w14:paraId="17F9CD32" w14:textId="16514BAF" w:rsidR="00592E89" w:rsidRPr="00083E3E" w:rsidRDefault="00592E89" w:rsidP="0005607E">
      <w:pPr>
        <w:jc w:val="both"/>
        <w:rPr>
          <w:rStyle w:val="FootnoteReference"/>
        </w:rPr>
      </w:pPr>
      <w:r w:rsidRPr="00083E3E">
        <w:t xml:space="preserve">The Commission recommends that Massachusetts continue to </w:t>
      </w:r>
      <w:r w:rsidR="00E97E73">
        <w:t xml:space="preserve">increase </w:t>
      </w:r>
      <w:r w:rsidRPr="00083E3E">
        <w:t>access to comprehensive sexually transmitted infection (STI) screening, prevention, and treatment services for youth, with a particular focus on LGBTQ youth and those facing systemic barriers to care. While the Commonwealth has made meaningful progress in increasing access to HIV prevention tools such as PrEP and PEP - contributing to declining HIV rates among youth - other STI rates continue to rise, and significant gaps in access to prevention, screening, and treatment persist.</w:t>
      </w:r>
    </w:p>
    <w:p w14:paraId="6541BF51" w14:textId="77777777" w:rsidR="00592E89" w:rsidRPr="00083E3E" w:rsidRDefault="00592E89" w:rsidP="0005607E">
      <w:pPr>
        <w:jc w:val="both"/>
      </w:pPr>
      <w:r w:rsidRPr="00083E3E">
        <w:t xml:space="preserve">STIs remain a significant public health concern, particularly for youth ages 15 to 24, who account for a disproportionate share of new infections each year. In Massachusetts, chlamydia and gonorrhea are among the </w:t>
      </w:r>
      <w:proofErr w:type="gramStart"/>
      <w:r w:rsidRPr="00083E3E">
        <w:t>most commonly reported</w:t>
      </w:r>
      <w:proofErr w:type="gramEnd"/>
      <w:r w:rsidRPr="00083E3E">
        <w:t xml:space="preserve"> STIs in this age group, while public health officials continue to monitor HIV, syphilis, and hepatitis.</w:t>
      </w:r>
      <w:r w:rsidRPr="00083E3E">
        <w:rPr>
          <w:rStyle w:val="FootnoteReference"/>
        </w:rPr>
        <w:footnoteReference w:id="177"/>
      </w:r>
      <w:r w:rsidRPr="00083E3E">
        <w:t xml:space="preserve"> Left untreated, STIs can result in serious long-term health consequences, underscoring the importance of early detection and timely treatment. Despite the availability of effective prevention and treatment methods, many LGBTQ youth - particularly LGBTQ youth of color, transgender youth, low-income youth, and those experiencing housing instability - face barriers to accessing care.</w:t>
      </w:r>
    </w:p>
    <w:p w14:paraId="2655838F" w14:textId="632010D1" w:rsidR="00592E89" w:rsidRPr="00083E3E" w:rsidRDefault="00091812" w:rsidP="0005607E">
      <w:pPr>
        <w:jc w:val="both"/>
      </w:pPr>
      <w:r>
        <w:rPr>
          <w:noProof/>
        </w:rPr>
        <w:drawing>
          <wp:anchor distT="0" distB="0" distL="114300" distR="114300" simplePos="0" relativeHeight="251757568" behindDoc="0" locked="0" layoutInCell="1" allowOverlap="1" wp14:anchorId="1B1AC798" wp14:editId="75AC6714">
            <wp:simplePos x="0" y="0"/>
            <wp:positionH relativeFrom="column">
              <wp:posOffset>3171825</wp:posOffset>
            </wp:positionH>
            <wp:positionV relativeFrom="paragraph">
              <wp:posOffset>53340</wp:posOffset>
            </wp:positionV>
            <wp:extent cx="2705100" cy="1486535"/>
            <wp:effectExtent l="0" t="0" r="0" b="0"/>
            <wp:wrapSquare wrapText="bothSides"/>
            <wp:docPr id="22792863" name="Picture 67" descr="a graphic saying that fewer than half (45.6%) of LGBTQ youth report having learned how to correctly use a condom in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92863" name="Picture 67" descr="a graphic saying that fewer than half (45.6%) of LGBTQ youth report having learned how to correctly use a condom in school"/>
                    <pic:cNvPicPr/>
                  </pic:nvPicPr>
                  <pic:blipFill rotWithShape="1">
                    <a:blip r:embed="rId47" cstate="print">
                      <a:extLst>
                        <a:ext uri="{28A0092B-C50C-407E-A947-70E740481C1C}">
                          <a14:useLocalDpi xmlns:a14="http://schemas.microsoft.com/office/drawing/2010/main" val="0"/>
                        </a:ext>
                      </a:extLst>
                    </a:blip>
                    <a:srcRect b="56026"/>
                    <a:stretch>
                      <a:fillRect/>
                    </a:stretch>
                  </pic:blipFill>
                  <pic:spPr bwMode="auto">
                    <a:xfrm>
                      <a:off x="0" y="0"/>
                      <a:ext cx="2705100" cy="1486535"/>
                    </a:xfrm>
                    <a:prstGeom prst="rect">
                      <a:avLst/>
                    </a:prstGeom>
                    <a:ln>
                      <a:noFill/>
                    </a:ln>
                    <a:extLst>
                      <a:ext uri="{53640926-AAD7-44D8-BBD7-CCE9431645EC}">
                        <a14:shadowObscured xmlns:a14="http://schemas.microsoft.com/office/drawing/2010/main"/>
                      </a:ext>
                    </a:extLst>
                  </pic:spPr>
                </pic:pic>
              </a:graphicData>
            </a:graphic>
          </wp:anchor>
        </w:drawing>
      </w:r>
      <w:r w:rsidR="00592E89" w:rsidRPr="00083E3E">
        <w:t>A key driver of these disparities is a lack of access to comprehensive and inclusive sexual health education. LGBTQ youth are less likely to receive relevant, affirming information about STI prevention and safer sex practices. According to the 2023 Massachusetts Youth Risk Behavior Survey (MYRBS), fewer than half (45.6%) of LGBTQ youth report having learned how to correctly use a condom in school.</w:t>
      </w:r>
      <w:r w:rsidR="00592E89" w:rsidRPr="00083E3E">
        <w:rPr>
          <w:rStyle w:val="FootnoteReference"/>
        </w:rPr>
        <w:footnoteReference w:id="178"/>
      </w:r>
      <w:r w:rsidR="00592E89" w:rsidRPr="00083E3E">
        <w:t xml:space="preserve"> This gap in education contributes to lower rates of protective behaviors; for example, among LGBTQ youth of color in Massachusetts, only 38.9% reported using a condom at last sexual intercourse, with even lower rates among certain subgroups.</w:t>
      </w:r>
      <w:r w:rsidR="00592E89" w:rsidRPr="00083E3E">
        <w:rPr>
          <w:rStyle w:val="FootnoteReference"/>
        </w:rPr>
        <w:footnoteReference w:id="179"/>
      </w:r>
      <w:r w:rsidR="00592E89" w:rsidRPr="00083E3E">
        <w:t xml:space="preserve"> </w:t>
      </w:r>
      <w:r w:rsidR="00592E89" w:rsidRPr="00083E3E">
        <w:lastRenderedPageBreak/>
        <w:t>Expanding access to comprehensive sexuality education that includes LGBTQ-inclusive content, negotiation skills, and information about prevention methods such as condoms and PrEP is essential.</w:t>
      </w:r>
    </w:p>
    <w:p w14:paraId="39A4C577" w14:textId="6F684311" w:rsidR="00592E89" w:rsidRPr="00083E3E" w:rsidRDefault="00592E89" w:rsidP="0005607E">
      <w:pPr>
        <w:jc w:val="both"/>
      </w:pPr>
      <w:r w:rsidRPr="00083E3E">
        <w:t xml:space="preserve">At the same time, structural barriers continue to limit access to prevention tools and care. The cost of safer sex supplies, such as condoms and dental dams, can be prohibitive for many </w:t>
      </w:r>
      <w:proofErr w:type="gramStart"/>
      <w:r w:rsidRPr="00083E3E">
        <w:t>youth</w:t>
      </w:r>
      <w:proofErr w:type="gramEnd"/>
      <w:r w:rsidRPr="00083E3E">
        <w:t>. Access to STI testing and treatment is also uneven. LGBTQ youth</w:t>
      </w:r>
      <w:r w:rsidR="00E97E73">
        <w:t xml:space="preserve">, especially </w:t>
      </w:r>
      <w:r w:rsidRPr="00083E3E">
        <w:t xml:space="preserve">those who are uninsured, undocumented, </w:t>
      </w:r>
      <w:r w:rsidR="00E97E73">
        <w:t>and/</w:t>
      </w:r>
      <w:r w:rsidRPr="00083E3E">
        <w:t>or living in rural areas</w:t>
      </w:r>
      <w:r w:rsidR="00E97E73">
        <w:t>,</w:t>
      </w:r>
      <w:r w:rsidRPr="00083E3E">
        <w:t xml:space="preserve"> may lack consistent access to healthcare. </w:t>
      </w:r>
      <w:r w:rsidR="00E97E73">
        <w:t>Additionally, y</w:t>
      </w:r>
      <w:r w:rsidRPr="00083E3E">
        <w:t xml:space="preserve">outh covered under a parent or guardian’s insurance may avoid seeking testing due to concerns about confidentiality or stigma, despite state laws allowing minors over the age of </w:t>
      </w:r>
      <w:r w:rsidR="0054417F" w:rsidRPr="00083E3E">
        <w:t>thirteen</w:t>
      </w:r>
      <w:r w:rsidRPr="00083E3E">
        <w:t xml:space="preserve"> to access STI services without parental consent.</w:t>
      </w:r>
    </w:p>
    <w:p w14:paraId="013828C5" w14:textId="77777777" w:rsidR="00592E89" w:rsidRPr="00083E3E" w:rsidRDefault="00592E89" w:rsidP="0005607E">
      <w:pPr>
        <w:jc w:val="both"/>
      </w:pPr>
      <w:r w:rsidRPr="00083E3E">
        <w:t>To address these barriers, the Commission recommends expanding partnerships with community-based organizations to increase the availability of low-barrier, youth-friendly STI services. This includes supporting mobile testing units, community-based testing sites, and telehealth options that allow youth to access care outside of traditional clinical settings. Ensuring that providers are trained in LGBTQ-competent, culturally responsive care is also critical to improving trust and utilization of services.</w:t>
      </w:r>
    </w:p>
    <w:p w14:paraId="6280CC6E" w14:textId="69FE5666" w:rsidR="00592E89" w:rsidRPr="00083E3E" w:rsidRDefault="00592E89" w:rsidP="0005607E">
      <w:pPr>
        <w:jc w:val="both"/>
      </w:pPr>
      <w:r w:rsidRPr="00083E3E">
        <w:t>Pre-exposure prophylaxis (PrEP) remains a highly effective but underutilized HIV prevention strategy for youth. Although Massachusetts has taken important steps to expand access</w:t>
      </w:r>
      <w:r w:rsidR="00E97E73">
        <w:t xml:space="preserve">, </w:t>
      </w:r>
      <w:r w:rsidRPr="00083E3E">
        <w:t xml:space="preserve">barriers to uptake and adherence </w:t>
      </w:r>
      <w:r w:rsidR="00E97E73">
        <w:t xml:space="preserve">remain, </w:t>
      </w:r>
      <w:r w:rsidRPr="00083E3E">
        <w:t>includ</w:t>
      </w:r>
      <w:r w:rsidR="00E97E73">
        <w:t>ing</w:t>
      </w:r>
      <w:r w:rsidRPr="00083E3E">
        <w:t xml:space="preserve"> limited provider capacity, lack of culturally relevant information, and stigma associated with PrEP use. </w:t>
      </w:r>
      <w:r w:rsidR="00E97E73">
        <w:t>By e</w:t>
      </w:r>
      <w:r w:rsidRPr="00083E3E">
        <w:t>xpanding provider training, increasing community-based prescribing partnerships, and investing in culturally tailored, peer-led outreach</w:t>
      </w:r>
      <w:r w:rsidR="00E97E73">
        <w:t xml:space="preserve">, Massachusetts </w:t>
      </w:r>
      <w:r w:rsidRPr="00083E3E">
        <w:t xml:space="preserve">can </w:t>
      </w:r>
      <w:r w:rsidR="00E97E73">
        <w:t xml:space="preserve">help </w:t>
      </w:r>
      <w:r w:rsidRPr="00083E3E">
        <w:t>improve awareness</w:t>
      </w:r>
      <w:r w:rsidR="00E97E73">
        <w:t xml:space="preserve"> of the need for STI testing </w:t>
      </w:r>
      <w:r w:rsidRPr="00083E3E">
        <w:t>among LGBTQ youth.</w:t>
      </w:r>
    </w:p>
    <w:p w14:paraId="022F8104" w14:textId="77777777" w:rsidR="00592E89" w:rsidRPr="00083E3E" w:rsidRDefault="00592E89" w:rsidP="0005607E">
      <w:pPr>
        <w:jc w:val="both"/>
      </w:pPr>
      <w:r w:rsidRPr="00083E3E">
        <w:t>Finally, increasing access to STI prevention and care requires a holistic approach that addresses both individual knowledge and systemic inequities. By investing in education, expanding access to free or low-cost prevention tools, strengthening community-based service delivery, and ensuring culturally competent care, Massachusetts can better support LGBTQ youth in making informed decisions about their sexual health and reduce disparities in STI outcomes across the Commonwealth.</w:t>
      </w:r>
    </w:p>
    <w:p w14:paraId="7375285A" w14:textId="77777777" w:rsidR="00592E89" w:rsidRPr="00E97E73" w:rsidRDefault="00592E89" w:rsidP="00E97E73">
      <w:pPr>
        <w:pStyle w:val="Heading3"/>
      </w:pPr>
      <w:bookmarkStart w:id="174" w:name="_Toc230277354"/>
      <w:r w:rsidRPr="00E97E73">
        <w:t>Expand community-based substance use treatment supports, particularly in rural areas.</w:t>
      </w:r>
      <w:bookmarkEnd w:id="174"/>
    </w:p>
    <w:p w14:paraId="709A03D9" w14:textId="77777777" w:rsidR="00592E89" w:rsidRPr="00083E3E" w:rsidRDefault="00592E89" w:rsidP="0005607E">
      <w:pPr>
        <w:jc w:val="both"/>
      </w:pPr>
      <w:r w:rsidRPr="00083E3E">
        <w:t xml:space="preserve">The Commission recommends that Massachusetts expand access to holistic, community-based substance use prevention, harm reduction, and recovery programs, with particular attention to rural communities and LGBTQ youth. Substance use remains a significant public health challenge across the Commonwealth. While opioid-related overdose deaths declined in 2023 from a record </w:t>
      </w:r>
      <w:r w:rsidRPr="00083E3E">
        <w:lastRenderedPageBreak/>
        <w:t>high in 2022, the ongoing impact of the overdose crisis underscores the need for sustained and expanded investment in accessible, evidence-based interventions.</w:t>
      </w:r>
    </w:p>
    <w:p w14:paraId="5F92960A" w14:textId="77777777" w:rsidR="00592E89" w:rsidRPr="00083E3E" w:rsidRDefault="00592E89" w:rsidP="0005607E">
      <w:pPr>
        <w:jc w:val="both"/>
      </w:pPr>
      <w:r w:rsidRPr="00083E3E">
        <w:t>Substance use among youth is shaped by a range of interconnected factors, including experiences of victimization, discrimination, lack of affirming support, housing instability, and broader psychological stressors. LGBTQ youth - particularly transgender and gender expansive youth - are disproportionately affected by these risk factors.</w:t>
      </w:r>
      <w:r w:rsidRPr="00083E3E">
        <w:rPr>
          <w:rStyle w:val="FootnoteReference"/>
        </w:rPr>
        <w:footnoteReference w:id="180"/>
      </w:r>
      <w:r w:rsidRPr="00083E3E">
        <w:t xml:space="preserve"> Data from Massachusetts indicate that LGBTQ youth report higher rates of substance use across multiple categories, including tobacco, vaping products, alcohol, and marijuana, compared to their cisgender, heterosexual peers.</w:t>
      </w:r>
      <w:r w:rsidRPr="00083E3E">
        <w:rPr>
          <w:rStyle w:val="FootnoteReference"/>
        </w:rPr>
        <w:footnoteReference w:id="181"/>
      </w:r>
      <w:r w:rsidRPr="00083E3E">
        <w:t xml:space="preserve"> These disparities highlight the need for targeted, culturally responsive prevention and treatment strategies.</w:t>
      </w:r>
    </w:p>
    <w:p w14:paraId="1592E15E" w14:textId="43102D36" w:rsidR="00592E89" w:rsidRPr="00083E3E" w:rsidRDefault="00592E89" w:rsidP="0005607E">
      <w:pPr>
        <w:jc w:val="both"/>
      </w:pPr>
      <w:r w:rsidRPr="00083E3E">
        <w:t xml:space="preserve">At the same time, research demonstrates that strong protective factors can significantly reduce substance use among LGBTQ youth. </w:t>
      </w:r>
      <w:r w:rsidR="00EC5CA6">
        <w:t>For example, s</w:t>
      </w:r>
      <w:r w:rsidRPr="00083E3E">
        <w:t xml:space="preserve">upportive and inclusive school environments, positive relationships with trusted adults, and access to LGBTQ-specific resources are all associated with lower rates of substance use. Youth-focused organizations, including school-based groups and community programs, </w:t>
      </w:r>
      <w:r w:rsidR="00EC5CA6">
        <w:t xml:space="preserve">can </w:t>
      </w:r>
      <w:r w:rsidRPr="00083E3E">
        <w:t>provide critical opportunities for peer connection, mentorship, and engagement in substance-free environments. Notably, even the presence of accessible and affirming resources</w:t>
      </w:r>
      <w:r w:rsidR="00EC5CA6">
        <w:t xml:space="preserve">, </w:t>
      </w:r>
      <w:r w:rsidRPr="00083E3E">
        <w:t>regardless of whether youth directly utilize them</w:t>
      </w:r>
      <w:r w:rsidR="00EC5CA6">
        <w:t>,</w:t>
      </w:r>
      <w:r w:rsidRPr="00083E3E">
        <w:t xml:space="preserve"> can serve as a powerful protective factor.</w:t>
      </w:r>
    </w:p>
    <w:p w14:paraId="3EDC7D8F" w14:textId="1A542B88" w:rsidR="00592E89" w:rsidRPr="00083E3E" w:rsidRDefault="00592E89" w:rsidP="0005607E">
      <w:pPr>
        <w:jc w:val="both"/>
      </w:pPr>
      <w:r w:rsidRPr="00083E3E">
        <w:t>Expanding community-based approaches to substance use prevention and treatment is essential to meeting the needs of diverse youth populations. Many LGBTQ youth, particularly those who are low-income, undocumented, or living in rural areas, face barriers to accessing traditional, clinic-based care. Community-based models</w:t>
      </w:r>
      <w:r w:rsidR="00EC5CA6">
        <w:t>,</w:t>
      </w:r>
      <w:r w:rsidRPr="00083E3E">
        <w:t xml:space="preserve"> including peer-led programming, harm reduction services, and culturally specific healing spaces</w:t>
      </w:r>
      <w:r w:rsidR="00EC5CA6">
        <w:t>,</w:t>
      </w:r>
      <w:r w:rsidRPr="00083E3E">
        <w:t xml:space="preserve"> have proven effective in increasing engagement and improving outcomes. Youth consistently report higher levels of comfort and participation in peer-led programs, which can reduce stigma and support sustained recovery</w:t>
      </w:r>
      <w:r w:rsidR="00EC5CA6">
        <w:t>, as well as increase trust in providers</w:t>
      </w:r>
      <w:r w:rsidRPr="00083E3E">
        <w:t>.</w:t>
      </w:r>
    </w:p>
    <w:p w14:paraId="2BC9A972" w14:textId="77777777" w:rsidR="00592E89" w:rsidRPr="00083E3E" w:rsidRDefault="00592E89" w:rsidP="0005607E">
      <w:pPr>
        <w:jc w:val="both"/>
      </w:pPr>
      <w:r w:rsidRPr="00083E3E">
        <w:t xml:space="preserve">The Commission also supports efforts to expand harm reduction strategies across the Commonwealth, including the establishment of overdose prevention centers. Legislation such as </w:t>
      </w:r>
      <w:r w:rsidRPr="00083E3E">
        <w:rPr>
          <w:i/>
          <w:iCs/>
        </w:rPr>
        <w:t>An Act Relative to Preventing Overdose Deaths and Increasing Access to Treatment</w:t>
      </w:r>
      <w:r w:rsidRPr="00083E3E">
        <w:t xml:space="preserve"> would authorize pilot programs for supervised consumption sites, which have been shown to reduce </w:t>
      </w:r>
      <w:r w:rsidRPr="00083E3E">
        <w:lastRenderedPageBreak/>
        <w:t>overdose deaths and increase access to health and social services. Ensuring that youth - particularly those in underserved and rural areas - can safely access these services is a critical component of a comprehensive public health response.</w:t>
      </w:r>
    </w:p>
    <w:p w14:paraId="727653BA" w14:textId="77777777" w:rsidR="00592E89" w:rsidRPr="00083E3E" w:rsidRDefault="00592E89" w:rsidP="0005607E">
      <w:pPr>
        <w:jc w:val="both"/>
      </w:pPr>
      <w:r w:rsidRPr="00083E3E">
        <w:t>Finally, existing harm reduction services, such as syringe exchange programs, have demonstrated effectiveness in reducing overdose risk and preventing the spread of infectious diseases, including HIV and Hepatitis C. However, these services are often concentrated in urban areas and may be difficult for youth to access due to geographic, logistical, or age-related barriers. Expanding the availability of community-based substance use supports in rural regions, investing in transportation and mobile service delivery, and ensuring that programs are inclusive and affirming of LGBTQ youth are essential steps toward addressing disparities and improving health outcomes across Massachusetts.</w:t>
      </w:r>
    </w:p>
    <w:p w14:paraId="4076F431" w14:textId="77777777" w:rsidR="00592E89" w:rsidRPr="00083E3E" w:rsidRDefault="00592E89" w:rsidP="00E97E73">
      <w:pPr>
        <w:pStyle w:val="Heading3"/>
      </w:pPr>
      <w:bookmarkStart w:id="175" w:name="_Toc230277355"/>
      <w:r w:rsidRPr="00083E3E">
        <w:t>Increase funding for organizations supporting LGBTQ survivors of intimate partner violence.</w:t>
      </w:r>
      <w:bookmarkEnd w:id="175"/>
    </w:p>
    <w:p w14:paraId="2E82CBC0" w14:textId="7D658864" w:rsidR="00592E89" w:rsidRPr="00083E3E" w:rsidRDefault="00091812" w:rsidP="0005607E">
      <w:pPr>
        <w:jc w:val="both"/>
      </w:pPr>
      <w:r>
        <w:rPr>
          <w:noProof/>
        </w:rPr>
        <w:drawing>
          <wp:anchor distT="0" distB="0" distL="114300" distR="114300" simplePos="0" relativeHeight="251758592" behindDoc="0" locked="0" layoutInCell="1" allowOverlap="1" wp14:anchorId="3B2E60DC" wp14:editId="51A7856E">
            <wp:simplePos x="0" y="0"/>
            <wp:positionH relativeFrom="column">
              <wp:posOffset>0</wp:posOffset>
            </wp:positionH>
            <wp:positionV relativeFrom="paragraph">
              <wp:posOffset>153670</wp:posOffset>
            </wp:positionV>
            <wp:extent cx="1981200" cy="2057400"/>
            <wp:effectExtent l="0" t="0" r="0" b="0"/>
            <wp:wrapSquare wrapText="bothSides"/>
            <wp:docPr id="607329675" name="Picture 68" descr="a graphic saying that LGBTQ youth were more than four times as likely as their cisgender, heterosexual peers to report having experienced sex against their wi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329675" name="Picture 68" descr="a graphic saying that LGBTQ youth were more than four times as likely as their cisgender, heterosexual peers to report having experienced sex against their will "/>
                    <pic:cNvPicPr/>
                  </pic:nvPicPr>
                  <pic:blipFill rotWithShape="1">
                    <a:blip r:embed="rId48">
                      <a:extLst>
                        <a:ext uri="{28A0092B-C50C-407E-A947-70E740481C1C}">
                          <a14:useLocalDpi xmlns:a14="http://schemas.microsoft.com/office/drawing/2010/main" val="0"/>
                        </a:ext>
                      </a:extLst>
                    </a:blip>
                    <a:srcRect r="66667" b="72308"/>
                    <a:stretch>
                      <a:fillRect/>
                    </a:stretch>
                  </pic:blipFill>
                  <pic:spPr bwMode="auto">
                    <a:xfrm>
                      <a:off x="0" y="0"/>
                      <a:ext cx="1981200" cy="2057400"/>
                    </a:xfrm>
                    <a:prstGeom prst="rect">
                      <a:avLst/>
                    </a:prstGeom>
                    <a:ln>
                      <a:noFill/>
                    </a:ln>
                    <a:extLst>
                      <a:ext uri="{53640926-AAD7-44D8-BBD7-CCE9431645EC}">
                        <a14:shadowObscured xmlns:a14="http://schemas.microsoft.com/office/drawing/2010/main"/>
                      </a:ext>
                    </a:extLst>
                  </pic:spPr>
                </pic:pic>
              </a:graphicData>
            </a:graphic>
          </wp:anchor>
        </w:drawing>
      </w:r>
      <w:r w:rsidR="00592E89" w:rsidRPr="00083E3E">
        <w:t>The Commission recommends that Massachusetts continue to increase funding to organizations that support LGBTQ youth who are survivors of intimate partner violence and ensure that laws and services currently in place are working as intended to protect and support survivors, rather than placing an undue burden on them. Intimate partner violence, also known as relationship violence, dating violence, or domestic violence, affects an alarming percentage of LGBTQ youth. Intimate partner violence is a serious public health issue that can have long-term negative effects on survivors’ physical, emotional, mental, and social well-being.</w:t>
      </w:r>
      <w:r w:rsidR="00592E89" w:rsidRPr="00083E3E">
        <w:rPr>
          <w:rStyle w:val="FootnoteReference"/>
        </w:rPr>
        <w:footnoteReference w:id="182"/>
      </w:r>
      <w:r w:rsidR="00592E89" w:rsidRPr="00083E3E">
        <w:t xml:space="preserve"> For youth, experiencing intimate partner violence at a young age can affect lifelong health, opportunity, and well-being and increase vulnerability to victimization in adulthood.</w:t>
      </w:r>
    </w:p>
    <w:p w14:paraId="6ACF5752" w14:textId="36B6AEC7" w:rsidR="00592E89" w:rsidRPr="00083E3E" w:rsidRDefault="00091812" w:rsidP="0005607E">
      <w:pPr>
        <w:jc w:val="both"/>
      </w:pPr>
      <w:r>
        <w:rPr>
          <w:noProof/>
        </w:rPr>
        <w:lastRenderedPageBreak/>
        <w:drawing>
          <wp:anchor distT="0" distB="0" distL="114300" distR="114300" simplePos="0" relativeHeight="251759616" behindDoc="0" locked="0" layoutInCell="1" allowOverlap="1" wp14:anchorId="195BDB2B" wp14:editId="625F4967">
            <wp:simplePos x="0" y="0"/>
            <wp:positionH relativeFrom="column">
              <wp:posOffset>66675</wp:posOffset>
            </wp:positionH>
            <wp:positionV relativeFrom="paragraph">
              <wp:posOffset>83820</wp:posOffset>
            </wp:positionV>
            <wp:extent cx="1971675" cy="2105025"/>
            <wp:effectExtent l="0" t="0" r="9525" b="9525"/>
            <wp:wrapSquare wrapText="bothSides"/>
            <wp:docPr id="945547712" name="Picture 69" descr="a graphic saying that LGBTQ youth were 3x more likely to have self-harmed than cisgender y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547712" name="Picture 69" descr="a graphic saying that LGBTQ youth were 3x more likely to have self-harmed than cisgender youth"/>
                    <pic:cNvPicPr/>
                  </pic:nvPicPr>
                  <pic:blipFill rotWithShape="1">
                    <a:blip r:embed="rId48">
                      <a:extLst>
                        <a:ext uri="{28A0092B-C50C-407E-A947-70E740481C1C}">
                          <a14:useLocalDpi xmlns:a14="http://schemas.microsoft.com/office/drawing/2010/main" val="0"/>
                        </a:ext>
                      </a:extLst>
                    </a:blip>
                    <a:srcRect l="33654" r="33173" b="71667"/>
                    <a:stretch>
                      <a:fillRect/>
                    </a:stretch>
                  </pic:blipFill>
                  <pic:spPr bwMode="auto">
                    <a:xfrm>
                      <a:off x="0" y="0"/>
                      <a:ext cx="1971675" cy="2105025"/>
                    </a:xfrm>
                    <a:prstGeom prst="rect">
                      <a:avLst/>
                    </a:prstGeom>
                    <a:ln>
                      <a:noFill/>
                    </a:ln>
                    <a:extLst>
                      <a:ext uri="{53640926-AAD7-44D8-BBD7-CCE9431645EC}">
                        <a14:shadowObscured xmlns:a14="http://schemas.microsoft.com/office/drawing/2010/main"/>
                      </a:ext>
                    </a:extLst>
                  </pic:spPr>
                </pic:pic>
              </a:graphicData>
            </a:graphic>
          </wp:anchor>
        </w:drawing>
      </w:r>
      <w:r w:rsidR="00592E89" w:rsidRPr="00083E3E">
        <w:t>In the 2023 MYRBS, LGBTQ youth were more than four times as likely as their cisgender, heterosexual peers to report having experienced sex against their will (17% compared to 4%). LGBTQ youth also reported significantly higher rates of related risk factors and outcomes, including self-harm (41% compared to 14%), suicide attempts (15% compared to 4%), and suicidal ideation (approximately one-third of LGBTQ youth compared to 11% of cisgender, heterosexual youth). Additionally, 26% of LGBTQ youth reported experiencing electronic bullying, compared to 11% of their cisgender, heterosexual peers.</w:t>
      </w:r>
      <w:r w:rsidR="00592E89" w:rsidRPr="00083E3E">
        <w:rPr>
          <w:rStyle w:val="FootnoteReference"/>
        </w:rPr>
        <w:footnoteReference w:id="183"/>
      </w:r>
      <w:r w:rsidR="00592E89" w:rsidRPr="00083E3E">
        <w:t xml:space="preserve"> Together, these data points highlight the broader context of vulnerability in which intimate partner violence occurs and reinforce the urgent need for targeted prevention and intervention efforts.</w:t>
      </w:r>
    </w:p>
    <w:p w14:paraId="2F55C513" w14:textId="019CCA59" w:rsidR="00592E89" w:rsidRPr="00083E3E" w:rsidRDefault="00592E89" w:rsidP="0005607E">
      <w:pPr>
        <w:jc w:val="both"/>
      </w:pPr>
      <w:r w:rsidRPr="00083E3E">
        <w:t xml:space="preserve">For trans and gender expansive individuals, the rates of intimate partner violence and sexual assault are even higher. According to the 2015 U.S. Transgender Survey (with more recent </w:t>
      </w:r>
      <w:r w:rsidR="00A00B1F">
        <w:rPr>
          <w:noProof/>
        </w:rPr>
        <w:drawing>
          <wp:anchor distT="0" distB="0" distL="114300" distR="114300" simplePos="0" relativeHeight="251760640" behindDoc="0" locked="0" layoutInCell="1" allowOverlap="1" wp14:anchorId="3176E090" wp14:editId="1EFF49FF">
            <wp:simplePos x="0" y="0"/>
            <wp:positionH relativeFrom="column">
              <wp:posOffset>4076700</wp:posOffset>
            </wp:positionH>
            <wp:positionV relativeFrom="paragraph">
              <wp:posOffset>0</wp:posOffset>
            </wp:positionV>
            <wp:extent cx="1885950" cy="2076450"/>
            <wp:effectExtent l="0" t="0" r="0" b="0"/>
            <wp:wrapSquare wrapText="bothSides"/>
            <wp:docPr id="1774357125" name="Picture 70" descr="a graphic saying that LGBTQ youth were 4x more likely to have attempted suicide than cisgender y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357125" name="Picture 70" descr="a graphic saying that LGBTQ youth were 4x more likely to have attempted suicide than cisgender youth"/>
                    <pic:cNvPicPr/>
                  </pic:nvPicPr>
                  <pic:blipFill rotWithShape="1">
                    <a:blip r:embed="rId48">
                      <a:extLst>
                        <a:ext uri="{28A0092B-C50C-407E-A947-70E740481C1C}">
                          <a14:useLocalDpi xmlns:a14="http://schemas.microsoft.com/office/drawing/2010/main" val="0"/>
                        </a:ext>
                      </a:extLst>
                    </a:blip>
                    <a:srcRect l="67147" t="-257" r="1122" b="72308"/>
                    <a:stretch>
                      <a:fillRect/>
                    </a:stretch>
                  </pic:blipFill>
                  <pic:spPr bwMode="auto">
                    <a:xfrm>
                      <a:off x="0" y="0"/>
                      <a:ext cx="1885950" cy="20764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083E3E">
        <w:t xml:space="preserve">national data still forthcoming), 47% of transgender and gender-nonconforming individuals have experienced sexual assault at some point in their lifetime. Rates are even higher among certain groups, including nonbinary individuals assigned female at birth, trans men, and individuals who are American Indian, Middle Eastern, or multiracial. Additionally, 54% of respondents reported experiencing some form of intimate partner violence in their lifetimes, with especially high rates among those who have participated in sex work, experienced homelessness, are undocumented, or </w:t>
      </w:r>
      <w:r w:rsidR="00121BF5">
        <w:t>have a disability</w:t>
      </w:r>
      <w:r w:rsidRPr="00083E3E">
        <w:t>.</w:t>
      </w:r>
      <w:r w:rsidRPr="00083E3E">
        <w:rPr>
          <w:rStyle w:val="FootnoteReference"/>
        </w:rPr>
        <w:footnoteReference w:id="184"/>
      </w:r>
    </w:p>
    <w:p w14:paraId="08762D1E" w14:textId="575B09DA" w:rsidR="00592E89" w:rsidRPr="00083E3E" w:rsidRDefault="00A00B1F" w:rsidP="0005607E">
      <w:pPr>
        <w:jc w:val="both"/>
      </w:pPr>
      <w:r>
        <w:rPr>
          <w:noProof/>
        </w:rPr>
        <w:lastRenderedPageBreak/>
        <w:drawing>
          <wp:anchor distT="0" distB="0" distL="114300" distR="114300" simplePos="0" relativeHeight="251761664" behindDoc="0" locked="0" layoutInCell="1" allowOverlap="1" wp14:anchorId="19CF9312" wp14:editId="54712AC2">
            <wp:simplePos x="0" y="0"/>
            <wp:positionH relativeFrom="column">
              <wp:posOffset>0</wp:posOffset>
            </wp:positionH>
            <wp:positionV relativeFrom="paragraph">
              <wp:posOffset>27940</wp:posOffset>
            </wp:positionV>
            <wp:extent cx="2009775" cy="2066925"/>
            <wp:effectExtent l="0" t="0" r="9525" b="9525"/>
            <wp:wrapSquare wrapText="bothSides"/>
            <wp:docPr id="547851275" name="Picture 71" descr="a graphic saying that LGBTQ youth were 3x more likely to have experienced suicidal ideation than cisgender y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851275" name="Picture 71" descr="a graphic saying that LGBTQ youth were 3x more likely to have experienced suicidal ideation than cisgender youth"/>
                    <pic:cNvPicPr/>
                  </pic:nvPicPr>
                  <pic:blipFill rotWithShape="1">
                    <a:blip r:embed="rId48">
                      <a:extLst>
                        <a:ext uri="{28A0092B-C50C-407E-A947-70E740481C1C}">
                          <a14:useLocalDpi xmlns:a14="http://schemas.microsoft.com/office/drawing/2010/main" val="0"/>
                        </a:ext>
                      </a:extLst>
                    </a:blip>
                    <a:srcRect t="28077" r="66186" b="44103"/>
                    <a:stretch>
                      <a:fillRect/>
                    </a:stretch>
                  </pic:blipFill>
                  <pic:spPr bwMode="auto">
                    <a:xfrm>
                      <a:off x="0" y="0"/>
                      <a:ext cx="2009775" cy="2066925"/>
                    </a:xfrm>
                    <a:prstGeom prst="rect">
                      <a:avLst/>
                    </a:prstGeom>
                    <a:ln>
                      <a:noFill/>
                    </a:ln>
                    <a:extLst>
                      <a:ext uri="{53640926-AAD7-44D8-BBD7-CCE9431645EC}">
                        <a14:shadowObscured xmlns:a14="http://schemas.microsoft.com/office/drawing/2010/main"/>
                      </a:ext>
                    </a:extLst>
                  </pic:spPr>
                </pic:pic>
              </a:graphicData>
            </a:graphic>
          </wp:anchor>
        </w:drawing>
      </w:r>
      <w:r w:rsidR="00592E89" w:rsidRPr="00083E3E">
        <w:t>In the 2023 Massachusetts Community Health Equity Survey, 28.8% of Massachusetts transgender youth respondents shared that they had experienced intimate partner violence at some point in the past compared to 12.2% of cisgender youth, with 11.9% of transgender youth experiencing intimate partner violence in the past year. Similarly, 20.7% of nonbinary youth report ever experiencing intimate partner violence in Massachusetts, though only 7% report these experiences occurring in the past year. Furthermore, 34.7% of queer youth, 14.3% of gay or lesbian youth, 22.2% of bisexual or pansexual youth, and 17.8% of asexual youth report ever experiencing intimate partner violence.</w:t>
      </w:r>
      <w:r w:rsidR="00592E89" w:rsidRPr="00083E3E">
        <w:rPr>
          <w:vertAlign w:val="superscript"/>
        </w:rPr>
        <w:footnoteReference w:id="185"/>
      </w:r>
    </w:p>
    <w:p w14:paraId="38AD88C1" w14:textId="613BAA65" w:rsidR="00592E89" w:rsidRPr="00083E3E" w:rsidRDefault="00592E89" w:rsidP="0005607E">
      <w:pPr>
        <w:jc w:val="both"/>
      </w:pPr>
      <w:r w:rsidRPr="00083E3E">
        <w:t>Intimate partner violence is often narrowly understood as physical violence, but it can manifest in a range of forms, including emotional, verbal, psychological, and increasingly, digital abuse.</w:t>
      </w:r>
      <w:r w:rsidRPr="00083E3E">
        <w:rPr>
          <w:rStyle w:val="FootnoteReference"/>
        </w:rPr>
        <w:footnoteReference w:id="186"/>
      </w:r>
      <w:r w:rsidRPr="00083E3E">
        <w:t xml:space="preserve"> For young people in particular, these non-physical forms of abuse are common and can have profound and lasting impacts. Addressing intimate partner violence therefore requires a multi-faceted approach. Evidence suggests that effective interventions typically fall into three categories: school-based dating violence prevention programs, community-based gender equity initiatives, and parent-focused relationship-building interventions.</w:t>
      </w:r>
      <w:r w:rsidRPr="00083E3E">
        <w:rPr>
          <w:rStyle w:val="FootnoteReference"/>
        </w:rPr>
        <w:footnoteReference w:id="187"/>
      </w:r>
      <w:r w:rsidRPr="00083E3E">
        <w:t xml:space="preserve"> Long-term, multi-session programs that incorporate multiple methods of engagement have been shown to be more effective than one-time interventions.</w:t>
      </w:r>
    </w:p>
    <w:p w14:paraId="74641812" w14:textId="1E9FF366" w:rsidR="00592E89" w:rsidRPr="00083E3E" w:rsidRDefault="00592E89" w:rsidP="0005607E">
      <w:pPr>
        <w:jc w:val="both"/>
      </w:pPr>
      <w:r w:rsidRPr="00083E3E">
        <w:t>In addition to prevention efforts, access to LGBTQ-inclusive support services is critical for survivors. Research with queer and transgender survivors in Massachusetts indicates that individuals</w:t>
      </w:r>
      <w:r w:rsidR="00E8450A">
        <w:t xml:space="preserve"> more often</w:t>
      </w:r>
      <w:r w:rsidRPr="00083E3E">
        <w:t xml:space="preserve"> seek out services where they feel respected, safe, and affirmed, without needing to explain or defend their identities. Black and transgender survivors</w:t>
      </w:r>
      <w:proofErr w:type="gramStart"/>
      <w:r w:rsidRPr="00083E3E">
        <w:t>, in particular, emphasize</w:t>
      </w:r>
      <w:proofErr w:type="gramEnd"/>
      <w:r w:rsidRPr="00083E3E">
        <w:t xml:space="preserve"> the importance of culturally competent, identity-affirming care.</w:t>
      </w:r>
      <w:r w:rsidRPr="00083E3E">
        <w:rPr>
          <w:rStyle w:val="FootnoteReference"/>
        </w:rPr>
        <w:footnoteReference w:id="188"/>
      </w:r>
      <w:r w:rsidRPr="00083E3E">
        <w:t xml:space="preserve"> Despite this need, there remain relatively few organizations dedicated to serving LGBTQ survivors, and even fewer </w:t>
      </w:r>
      <w:r w:rsidRPr="00083E3E">
        <w:lastRenderedPageBreak/>
        <w:t>that are equipped to provide culturally responsive services for LGBTQ youth of color. Many existing organizations are concentrated in urban areas</w:t>
      </w:r>
      <w:r w:rsidR="00E8450A">
        <w:t xml:space="preserve"> which creates </w:t>
      </w:r>
      <w:r w:rsidRPr="00083E3E">
        <w:t>additional barriers for youth in rural regions who may lack transportation or access to virtual alternatives.</w:t>
      </w:r>
    </w:p>
    <w:p w14:paraId="3EFC6113" w14:textId="79495519" w:rsidR="00592E89" w:rsidRPr="00083E3E" w:rsidRDefault="000C290C" w:rsidP="0005607E">
      <w:pPr>
        <w:jc w:val="both"/>
      </w:pPr>
      <w:r>
        <w:rPr>
          <w:noProof/>
        </w:rPr>
        <w:drawing>
          <wp:anchor distT="0" distB="0" distL="114300" distR="114300" simplePos="0" relativeHeight="251762688" behindDoc="0" locked="0" layoutInCell="1" allowOverlap="1" wp14:anchorId="239A2BDB" wp14:editId="0201BE3A">
            <wp:simplePos x="0" y="0"/>
            <wp:positionH relativeFrom="column">
              <wp:posOffset>0</wp:posOffset>
            </wp:positionH>
            <wp:positionV relativeFrom="paragraph">
              <wp:posOffset>1205065</wp:posOffset>
            </wp:positionV>
            <wp:extent cx="5943600" cy="2133600"/>
            <wp:effectExtent l="0" t="0" r="0" b="0"/>
            <wp:wrapTopAndBottom/>
            <wp:docPr id="1315521233" name="Picture 73" descr="a graphic saying that trans and queer youth were 3x more likely to have experienced intimate partner violance than cisgender y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521233" name="Picture 73" descr="a graphic saying that trans and queer youth were 3x more likely to have experienced intimate partner violance than cisgender youth"/>
                    <pic:cNvPicPr/>
                  </pic:nvPicPr>
                  <pic:blipFill rotWithShape="1">
                    <a:blip r:embed="rId49">
                      <a:extLst>
                        <a:ext uri="{28A0092B-C50C-407E-A947-70E740481C1C}">
                          <a14:useLocalDpi xmlns:a14="http://schemas.microsoft.com/office/drawing/2010/main" val="0"/>
                        </a:ext>
                      </a:extLst>
                    </a:blip>
                    <a:srcRect b="71282"/>
                    <a:stretch>
                      <a:fillRect/>
                    </a:stretch>
                  </pic:blipFill>
                  <pic:spPr bwMode="auto">
                    <a:xfrm>
                      <a:off x="0" y="0"/>
                      <a:ext cx="5943600" cy="2133600"/>
                    </a:xfrm>
                    <a:prstGeom prst="rect">
                      <a:avLst/>
                    </a:prstGeom>
                    <a:ln>
                      <a:noFill/>
                    </a:ln>
                    <a:extLst>
                      <a:ext uri="{53640926-AAD7-44D8-BBD7-CCE9431645EC}">
                        <a14:shadowObscured xmlns:a14="http://schemas.microsoft.com/office/drawing/2010/main"/>
                      </a:ext>
                    </a:extLst>
                  </pic:spPr>
                </pic:pic>
              </a:graphicData>
            </a:graphic>
          </wp:anchor>
        </w:drawing>
      </w:r>
      <w:r w:rsidR="00592E89" w:rsidRPr="00083E3E">
        <w:t>These organizations are often chronically underfunded</w:t>
      </w:r>
      <w:r w:rsidR="00E8450A">
        <w:t xml:space="preserve"> which can limit </w:t>
      </w:r>
      <w:r w:rsidR="00592E89" w:rsidRPr="00083E3E">
        <w:t>their ability to conduct outreach, expand programming, and meet the needs of underserved populations. Increased and sustained state investment is essential to ensure that LGBTQ survivors of intimate partner violence have access to comprehensive, affirming, and accessible support services across Massachusetts.</w:t>
      </w:r>
    </w:p>
    <w:p w14:paraId="7324FD86" w14:textId="77777777" w:rsidR="00592E89" w:rsidRPr="00083E3E" w:rsidRDefault="00592E89" w:rsidP="00E97E73">
      <w:pPr>
        <w:pStyle w:val="Heading3"/>
      </w:pPr>
      <w:bookmarkStart w:id="176" w:name="_Toc230277356"/>
      <w:r w:rsidRPr="00083E3E">
        <w:t>Invest in initiatives addressing high rates of sexual victimization among LGBTQ youth.</w:t>
      </w:r>
      <w:bookmarkEnd w:id="176"/>
    </w:p>
    <w:p w14:paraId="6D1F05E6" w14:textId="77777777" w:rsidR="00592E89" w:rsidRPr="00083E3E" w:rsidRDefault="00592E89" w:rsidP="0005607E">
      <w:pPr>
        <w:jc w:val="both"/>
      </w:pPr>
      <w:r w:rsidRPr="00083E3E">
        <w:t>The Commission recommends that Massachusetts increase investment in targeted initiatives addressing the disproportionately high rates of sexual victimization experienced by LGBTQ and QTBIPOC youth. This group are at a much higher risk of sexual violence compared to their white, cisgender, and heterosexual youth counterparts. The stigmatization and hypersexualization of LGBTQ people - specifically racism, sexism, transphobia, homophobia, and other forms of marginalization - are key factors that lead to concerning disparities in sexual violence and decrease the likelihood that LGBTQ youth will report sexual violence incidents or assaults to law enforcement.</w:t>
      </w:r>
      <w:r w:rsidRPr="00083E3E">
        <w:rPr>
          <w:rStyle w:val="FootnoteReference"/>
        </w:rPr>
        <w:footnoteReference w:id="189"/>
      </w:r>
    </w:p>
    <w:p w14:paraId="5A322B16" w14:textId="77777777" w:rsidR="00592E89" w:rsidRPr="00083E3E" w:rsidRDefault="00592E89" w:rsidP="0005607E">
      <w:pPr>
        <w:jc w:val="both"/>
      </w:pPr>
      <w:r w:rsidRPr="00083E3E">
        <w:t>The 2023 MYRBS highlights these alarming disparities, finding that approximately 16% of LGBTQ youth reported being forced to have sex when they did not want to, compared to just 4.1% of their cisgender, heterosexual peers.</w:t>
      </w:r>
      <w:r w:rsidRPr="00083E3E">
        <w:rPr>
          <w:rStyle w:val="FootnoteReference"/>
        </w:rPr>
        <w:footnoteReference w:id="190"/>
      </w:r>
      <w:r w:rsidRPr="00083E3E">
        <w:t xml:space="preserve"> This is further reflected in the 2023 Massachusetts </w:t>
      </w:r>
      <w:r w:rsidRPr="00083E3E">
        <w:lastRenderedPageBreak/>
        <w:t>Community Health Equity Survey where 33.7% of queer youth, 26.8% of gay or lesbian youth, 23.2% of bisexual or pansexual youth, and 17.3% of asexual youth report ever experiencing sexual violence. Additionally, more than one-third of transgender youth respondents (34.7%) reported ever experiencing sexual violence and almost one-third (28.8%) of nonbinary youth respondents.</w:t>
      </w:r>
      <w:r w:rsidRPr="00083E3E">
        <w:rPr>
          <w:vertAlign w:val="superscript"/>
        </w:rPr>
        <w:footnoteReference w:id="191"/>
      </w:r>
    </w:p>
    <w:p w14:paraId="51ABBF70" w14:textId="77777777" w:rsidR="00592E89" w:rsidRPr="00083E3E" w:rsidRDefault="00592E89" w:rsidP="0005607E">
      <w:pPr>
        <w:jc w:val="both"/>
        <w:rPr>
          <w:vertAlign w:val="superscript"/>
        </w:rPr>
      </w:pPr>
      <w:r w:rsidRPr="00083E3E">
        <w:t>National data from The Trevor Project show that nearly two in five LGBTQ youth (39%) experienced forced sexual activity in their lifetime, with 13% reporting an incident within the last year). Rates are even higher among transgender boys and men (49%) and nonbinary youth (45%) compared to cisgender youth.</w:t>
      </w:r>
      <w:r w:rsidRPr="00083E3E">
        <w:rPr>
          <w:vertAlign w:val="superscript"/>
        </w:rPr>
        <w:footnoteReference w:id="192"/>
      </w:r>
      <w:r w:rsidRPr="00083E3E">
        <w:rPr>
          <w:vertAlign w:val="superscript"/>
        </w:rPr>
        <w:t xml:space="preserve"> </w:t>
      </w:r>
      <w:r w:rsidRPr="00083E3E">
        <w:t>Black women and girls are also significantly more likely to face sexual violence or coercion, with an estimated 40–60% of Black women reporting coercive sexual contact by age 18 and one in four Black girls experiencing sexual abuse before the age of 18.</w:t>
      </w:r>
      <w:r w:rsidRPr="00083E3E">
        <w:rPr>
          <w:rStyle w:val="FootnoteReference"/>
        </w:rPr>
        <w:footnoteReference w:id="193"/>
      </w:r>
      <w:r w:rsidRPr="00083E3E">
        <w:t xml:space="preserve"> Additionally, 53% of Black trans women report experiencing sexual violence and face fatal violence at higher rates than any other population.</w:t>
      </w:r>
      <w:r w:rsidRPr="00083E3E">
        <w:rPr>
          <w:rStyle w:val="FootnoteReference"/>
        </w:rPr>
        <w:footnoteReference w:id="194"/>
      </w:r>
    </w:p>
    <w:p w14:paraId="44DBFA5D" w14:textId="30EDC88C" w:rsidR="00592E89" w:rsidRPr="00083E3E" w:rsidRDefault="00592E89" w:rsidP="0005607E">
      <w:pPr>
        <w:jc w:val="both"/>
      </w:pPr>
      <w:r w:rsidRPr="00083E3E">
        <w:t>Across college campuses, research has consistently demonstrated that sexual violence is a pervasive issue and that LGBTQ students experience sexual violence at disproportionate rates compared to their peers.</w:t>
      </w:r>
      <w:r w:rsidRPr="00083E3E">
        <w:rPr>
          <w:rStyle w:val="FootnoteReference"/>
        </w:rPr>
        <w:footnoteReference w:id="195"/>
      </w:r>
      <w:r w:rsidRPr="00083E3E">
        <w:t xml:space="preserve"> The Commission commends recent actions by Massachusetts advocates, legislators, and campus officials to prioritize campus safety for youth across the state, but urges campuses to continue to expand prevention</w:t>
      </w:r>
      <w:r w:rsidR="004F6F84">
        <w:t xml:space="preserve"> and reporting </w:t>
      </w:r>
      <w:r w:rsidRPr="00083E3E">
        <w:t xml:space="preserve">that </w:t>
      </w:r>
      <w:r w:rsidR="004F6F84">
        <w:t xml:space="preserve">is </w:t>
      </w:r>
      <w:r w:rsidRPr="00083E3E">
        <w:t xml:space="preserve">explicitly inclusive of LGBTQ and QTBIPOC youth. </w:t>
      </w:r>
    </w:p>
    <w:p w14:paraId="462090FC" w14:textId="2D335EF4" w:rsidR="00592E89" w:rsidRPr="00083E3E" w:rsidRDefault="000C290C" w:rsidP="0005607E">
      <w:pPr>
        <w:jc w:val="both"/>
      </w:pPr>
      <w:r>
        <w:rPr>
          <w:noProof/>
        </w:rPr>
        <w:lastRenderedPageBreak/>
        <w:drawing>
          <wp:anchor distT="0" distB="0" distL="114300" distR="114300" simplePos="0" relativeHeight="251763712" behindDoc="0" locked="0" layoutInCell="1" allowOverlap="1" wp14:anchorId="7953D8C0" wp14:editId="2442E975">
            <wp:simplePos x="0" y="0"/>
            <wp:positionH relativeFrom="column">
              <wp:posOffset>47757</wp:posOffset>
            </wp:positionH>
            <wp:positionV relativeFrom="paragraph">
              <wp:posOffset>346735</wp:posOffset>
            </wp:positionV>
            <wp:extent cx="3347085" cy="3467100"/>
            <wp:effectExtent l="0" t="0" r="5715" b="0"/>
            <wp:wrapSquare wrapText="bothSides"/>
            <wp:docPr id="1887183044" name="Picture 74" descr="a graphic highlighting the rates of sexual violence detailed in this sub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183044" name="Picture 74" descr="a graphic highlighting the rates of sexual violence detailed in this subsection"/>
                    <pic:cNvPicPr/>
                  </pic:nvPicPr>
                  <pic:blipFill rotWithShape="1">
                    <a:blip r:embed="rId50" cstate="print">
                      <a:extLst>
                        <a:ext uri="{28A0092B-C50C-407E-A947-70E740481C1C}">
                          <a14:useLocalDpi xmlns:a14="http://schemas.microsoft.com/office/drawing/2010/main" val="0"/>
                        </a:ext>
                      </a:extLst>
                    </a:blip>
                    <a:srcRect l="15705" r="16026"/>
                    <a:stretch>
                      <a:fillRect/>
                    </a:stretch>
                  </pic:blipFill>
                  <pic:spPr bwMode="auto">
                    <a:xfrm>
                      <a:off x="0" y="0"/>
                      <a:ext cx="3347085" cy="3467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2E89" w:rsidRPr="00083E3E">
        <w:t>LGBTQ youth also experience disproportionately higher rates of sexual violence in carceral and educational institutions, as well as in shelters and transitional housing.</w:t>
      </w:r>
      <w:r w:rsidR="00592E89" w:rsidRPr="00083E3E">
        <w:rPr>
          <w:rStyle w:val="FootnoteReference"/>
        </w:rPr>
        <w:footnoteReference w:id="196"/>
      </w:r>
      <w:r w:rsidR="00592E89" w:rsidRPr="00083E3E">
        <w:rPr>
          <w:vertAlign w:val="superscript"/>
        </w:rPr>
        <w:t xml:space="preserve"> </w:t>
      </w:r>
      <w:r w:rsidR="00592E89" w:rsidRPr="00083E3E">
        <w:t>While there is limited recent research capturing sexual violence in carceral institutions, a 2014 federal survey found that nearly 40% of transgender people incarcerated in prisons or jails reported sexual assault or abuse within a single year, a rate which is nearly ten times higher than that of cisgender incarcerated people.</w:t>
      </w:r>
      <w:r w:rsidR="00592E89" w:rsidRPr="00083E3E">
        <w:rPr>
          <w:rStyle w:val="FootnoteReference"/>
        </w:rPr>
        <w:footnoteReference w:id="197"/>
      </w:r>
    </w:p>
    <w:p w14:paraId="6A66ED29" w14:textId="5D20C913" w:rsidR="00592E89" w:rsidRPr="00083E3E" w:rsidRDefault="00592E89" w:rsidP="0005607E">
      <w:pPr>
        <w:jc w:val="both"/>
        <w:rPr>
          <w:vertAlign w:val="superscript"/>
        </w:rPr>
      </w:pPr>
      <w:r w:rsidRPr="00083E3E">
        <w:t>Transgender youth who are housed in single-sex environments that do not match their gender identity are also at higher risk of sexual assault from both other residents and facility staff.</w:t>
      </w:r>
      <w:r w:rsidRPr="00083E3E">
        <w:rPr>
          <w:rStyle w:val="FootnoteReference"/>
        </w:rPr>
        <w:footnoteReference w:id="198"/>
      </w:r>
      <w:r w:rsidRPr="00083E3E">
        <w:rPr>
          <w:vertAlign w:val="superscript"/>
        </w:rPr>
        <w:t xml:space="preserve"> </w:t>
      </w:r>
      <w:r w:rsidRPr="00083E3E">
        <w:t>When developing and implementing sexual victimization prevention strategies, including bystander intervention training, it is critical to account for the distinct societal and cultural contexts that shape LGBTQ and QTBIPOC youths’ experiences. For example, a well-meaning bystander may attempt to intervene by calling the police to mediate an incident; however, police involvement can be particularly dangerous for QTBIPOC youth, given the disproportionate rates of police hostility</w:t>
      </w:r>
      <w:r w:rsidR="004F6F84">
        <w:t xml:space="preserve"> </w:t>
      </w:r>
      <w:r w:rsidRPr="00083E3E">
        <w:t>and violence this population faces.</w:t>
      </w:r>
      <w:r w:rsidRPr="00083E3E">
        <w:rPr>
          <w:rStyle w:val="FootnoteReference"/>
        </w:rPr>
        <w:footnoteReference w:id="199"/>
      </w:r>
    </w:p>
    <w:p w14:paraId="09A52107" w14:textId="77777777" w:rsidR="00592E89" w:rsidRPr="00083E3E" w:rsidRDefault="00592E89" w:rsidP="00E97E73">
      <w:pPr>
        <w:pStyle w:val="Heading3"/>
      </w:pPr>
      <w:bookmarkStart w:id="177" w:name="_Toc230277357"/>
      <w:r w:rsidRPr="00083E3E">
        <w:lastRenderedPageBreak/>
        <w:t>Decriminalize sex work and increase resources for programs serving youth at risk of commercial sexual exploitation.</w:t>
      </w:r>
      <w:bookmarkEnd w:id="177"/>
    </w:p>
    <w:p w14:paraId="1EF0C8EF" w14:textId="601D4671" w:rsidR="00592E89" w:rsidRPr="00083E3E" w:rsidRDefault="004F6F84" w:rsidP="0005607E">
      <w:pPr>
        <w:jc w:val="both"/>
      </w:pPr>
      <w:r>
        <w:t>As previously noted, t</w:t>
      </w:r>
      <w:r w:rsidR="00592E89" w:rsidRPr="00083E3E">
        <w:t xml:space="preserve">he Commission recommends that Massachusetts decriminalize sex work for individuals over the age of </w:t>
      </w:r>
      <w:r w:rsidR="0054417F" w:rsidRPr="00083E3E">
        <w:t>eighteen</w:t>
      </w:r>
      <w:r w:rsidR="00592E89" w:rsidRPr="00083E3E">
        <w:t xml:space="preserve"> while simultaneously increasing investment in programs that support youth at risk of commercial sexual exploitation. In advancing this recommendation, it is critical to distinguish between sex work and trafficking, as these terms are often incorrectly used interchangeably despite representing fundamentally different experiences. Sex work, by definition, is consensual, whereas trafficking </w:t>
      </w:r>
      <w:r>
        <w:t xml:space="preserve">and exploitation </w:t>
      </w:r>
      <w:r w:rsidR="00592E89" w:rsidRPr="00083E3E">
        <w:t xml:space="preserve">involves force, fraud, </w:t>
      </w:r>
      <w:r>
        <w:t>and/</w:t>
      </w:r>
      <w:r w:rsidR="00592E89" w:rsidRPr="00083E3E">
        <w:t>or coercion.</w:t>
      </w:r>
      <w:r w:rsidR="00592E89" w:rsidRPr="00083E3E">
        <w:rPr>
          <w:rStyle w:val="FootnoteReference"/>
        </w:rPr>
        <w:footnoteReference w:id="200"/>
      </w:r>
      <w:r w:rsidR="00592E89" w:rsidRPr="00083E3E">
        <w:t xml:space="preserve"> For individuals under the age of </w:t>
      </w:r>
      <w:r w:rsidR="0054417F" w:rsidRPr="00083E3E">
        <w:t>eighteen</w:t>
      </w:r>
      <w:r w:rsidR="00592E89" w:rsidRPr="00083E3E">
        <w:t>, any exchange of sexual contact for money or goods is legally defined as trafficking, and interventions must center minors as victims in need of support and services rather than criminalization.</w:t>
      </w:r>
    </w:p>
    <w:p w14:paraId="165945EE" w14:textId="63395EB9" w:rsidR="00592E89" w:rsidRPr="00083E3E" w:rsidRDefault="00592E89" w:rsidP="0005607E">
      <w:pPr>
        <w:jc w:val="both"/>
      </w:pPr>
      <w:r w:rsidRPr="00083E3E">
        <w:t>Decriminalization is an essential public health strategy that can reduce harm, decrease involvement with the criminal legal system, and</w:t>
      </w:r>
      <w:r w:rsidR="004F6F84">
        <w:t xml:space="preserve"> help</w:t>
      </w:r>
      <w:r w:rsidRPr="00083E3E">
        <w:t xml:space="preserve"> improve access to housing and supportive services for LGBTQ youth over the age of </w:t>
      </w:r>
      <w:r w:rsidR="0054417F" w:rsidRPr="00083E3E">
        <w:t>eighteen</w:t>
      </w:r>
      <w:r w:rsidRPr="00083E3E">
        <w:t xml:space="preserve">. Many LGBTQ young people engage in sex work due to financial necessity, particularly when they experience housing instability </w:t>
      </w:r>
      <w:r w:rsidR="004F6F84">
        <w:t>and economic insecurity and have little to no other supports accessible to them</w:t>
      </w:r>
      <w:r w:rsidRPr="00083E3E">
        <w:t>.</w:t>
      </w:r>
      <w:r w:rsidRPr="00083E3E">
        <w:rPr>
          <w:rStyle w:val="FootnoteReference"/>
        </w:rPr>
        <w:footnoteReference w:id="201"/>
      </w:r>
      <w:r w:rsidRPr="00083E3E">
        <w:t xml:space="preserve"> Criminalization further marginalizes these youth</w:t>
      </w:r>
      <w:r w:rsidR="004F6F84">
        <w:t xml:space="preserve"> and</w:t>
      </w:r>
      <w:r w:rsidRPr="00083E3E">
        <w:t xml:space="preserve"> limits their ability to report violence or exploitation</w:t>
      </w:r>
      <w:r w:rsidR="004F6F84">
        <w:t xml:space="preserve">, while also </w:t>
      </w:r>
      <w:r w:rsidRPr="00083E3E">
        <w:t>creat</w:t>
      </w:r>
      <w:r w:rsidR="004F6F84">
        <w:t xml:space="preserve">ing </w:t>
      </w:r>
      <w:r w:rsidRPr="00083E3E">
        <w:t xml:space="preserve">significant barriers to accessing </w:t>
      </w:r>
      <w:r w:rsidR="004F6F84">
        <w:t>health</w:t>
      </w:r>
      <w:r w:rsidRPr="00083E3E">
        <w:t>care</w:t>
      </w:r>
      <w:r w:rsidR="004F6F84">
        <w:t xml:space="preserve"> or other community services</w:t>
      </w:r>
      <w:r w:rsidRPr="00083E3E">
        <w:t>. By contrast, decriminalization allows individuals to seek support</w:t>
      </w:r>
      <w:r w:rsidR="004F6F84">
        <w:t xml:space="preserve"> </w:t>
      </w:r>
      <w:r w:rsidRPr="00083E3E">
        <w:t>and access services without fear of prosecution, while also reducing stigma and improving long-term outcomes.</w:t>
      </w:r>
    </w:p>
    <w:p w14:paraId="79DC6B69" w14:textId="0FFA7686" w:rsidR="00592E89" w:rsidRPr="00083E3E" w:rsidRDefault="00592E89" w:rsidP="0005607E">
      <w:pPr>
        <w:jc w:val="both"/>
        <w:rPr>
          <w:rStyle w:val="FootnoteReference"/>
        </w:rPr>
      </w:pPr>
      <w:r w:rsidRPr="00083E3E">
        <w:t>At the same time, the Commission emphasizes the urgent need to expand and adequately fund programs that specifically serve youth at risk of commercial sexual exploitation. LGBTQ youth</w:t>
      </w:r>
      <w:r w:rsidR="004F6F84">
        <w:t>, particularly youth experiencing homelessness</w:t>
      </w:r>
      <w:r w:rsidRPr="00083E3E">
        <w:t>, youth involved in the child welfare system, and those with histories of violence, discrimination, or substance use</w:t>
      </w:r>
      <w:r w:rsidR="004F6F84">
        <w:t>,</w:t>
      </w:r>
      <w:r w:rsidRPr="00083E3E">
        <w:t xml:space="preserve"> are at heightened risk</w:t>
      </w:r>
      <w:r w:rsidR="004F6F84">
        <w:t xml:space="preserve"> of exploitation</w:t>
      </w:r>
      <w:r w:rsidRPr="00083E3E">
        <w:t>. Research suggests that a significant proportion of unhoused LGBTQ youth have experienced commercial sexual exploitation, though these experiences are widely underreported.</w:t>
      </w:r>
      <w:r w:rsidRPr="00083E3E">
        <w:rPr>
          <w:rStyle w:val="FootnoteReference"/>
        </w:rPr>
        <w:footnoteReference w:id="202"/>
      </w:r>
      <w:r w:rsidRPr="00083E3E">
        <w:t xml:space="preserve"> Despite this, there remain limited services tailored to the unique needs of </w:t>
      </w:r>
      <w:r w:rsidRPr="00083E3E">
        <w:lastRenderedPageBreak/>
        <w:t>LGBTQ youth, and cisgender boys and young men are often excluded from prevention and intervention efforts altogether.</w:t>
      </w:r>
    </w:p>
    <w:p w14:paraId="1811A4F1" w14:textId="496D83F6" w:rsidR="00592E89" w:rsidRPr="00083E3E" w:rsidRDefault="00592E89" w:rsidP="0005607E">
      <w:pPr>
        <w:jc w:val="both"/>
      </w:pPr>
      <w:r w:rsidRPr="00083E3E">
        <w:t xml:space="preserve">Preventing commercial sexual exploitation requires a comprehensive and upstream approach that addresses the underlying conditions driving </w:t>
      </w:r>
      <w:r w:rsidR="004F6F84">
        <w:t>vulnerability; t</w:t>
      </w:r>
      <w:r w:rsidRPr="00083E3E">
        <w:t xml:space="preserve">his </w:t>
      </w:r>
      <w:r w:rsidR="004F6F84">
        <w:t xml:space="preserve">must include </w:t>
      </w:r>
      <w:r w:rsidRPr="00083E3E">
        <w:t xml:space="preserve">expanding access to stable housing, affirming healthcare, mental health services, and economic supports. </w:t>
      </w:r>
      <w:r w:rsidR="004F6F84">
        <w:t>Additionally, p</w:t>
      </w:r>
      <w:r w:rsidRPr="00083E3E">
        <w:t>rograms that provide gender-affirming resources</w:t>
      </w:r>
      <w:r w:rsidR="004F6F84">
        <w:t xml:space="preserve">, </w:t>
      </w:r>
      <w:r w:rsidRPr="00083E3E">
        <w:t>such as clothing, binders, or other essential items</w:t>
      </w:r>
      <w:r w:rsidR="004F6F84">
        <w:t>,</w:t>
      </w:r>
      <w:r w:rsidRPr="00083E3E">
        <w:t xml:space="preserve"> can reduce reliance on survival strategies, including exchanging sex to meet basic needs. </w:t>
      </w:r>
      <w:r w:rsidR="004F6F84">
        <w:t>Furthermore, e</w:t>
      </w:r>
      <w:r w:rsidRPr="00083E3E">
        <w:t>xisting programs that address human trafficking or support at-risk youth should be resourced to incorporate these supports as part of a broader prevention strategy</w:t>
      </w:r>
      <w:r w:rsidR="009F0C09">
        <w:t>, while also ensuring these programs are trained to provide specific supports to LGBTQ youth</w:t>
      </w:r>
      <w:r w:rsidRPr="00083E3E">
        <w:t>.</w:t>
      </w:r>
    </w:p>
    <w:p w14:paraId="77F16686" w14:textId="7D15B1C5" w:rsidR="00592E89" w:rsidRPr="00083E3E" w:rsidRDefault="009F0C09" w:rsidP="0005607E">
      <w:pPr>
        <w:jc w:val="both"/>
      </w:pPr>
      <w:r>
        <w:t xml:space="preserve">However, </w:t>
      </w:r>
      <w:r w:rsidR="00592E89" w:rsidRPr="00083E3E">
        <w:t>there are critical gaps in legal protections and service systems that must be addressed. Current laws related to digital exploitation, including non-consensual image sharing, sextortion, and manipulated sexual imagery, often fail to adequately protect youth and may instead criminalize victims.</w:t>
      </w:r>
      <w:r w:rsidR="00592E89" w:rsidRPr="00083E3E">
        <w:rPr>
          <w:rStyle w:val="FootnoteReference"/>
        </w:rPr>
        <w:footnoteReference w:id="203"/>
      </w:r>
      <w:r w:rsidR="00592E89" w:rsidRPr="00083E3E">
        <w:t xml:space="preserve"> These legal gaps contribute to a broader culture of stigma and fear</w:t>
      </w:r>
      <w:r>
        <w:t xml:space="preserve"> and may discourage </w:t>
      </w:r>
      <w:r w:rsidR="00592E89" w:rsidRPr="00083E3E">
        <w:t xml:space="preserve">young people from reporting exploitation or seeking help. Addressing commercial sexual exploitation must include </w:t>
      </w:r>
      <w:r>
        <w:t xml:space="preserve">efforts to strengthen </w:t>
      </w:r>
      <w:r w:rsidR="00592E89" w:rsidRPr="00083E3E">
        <w:t xml:space="preserve">protections for victims and </w:t>
      </w:r>
      <w:r>
        <w:t xml:space="preserve">ensure </w:t>
      </w:r>
      <w:r w:rsidR="00592E89" w:rsidRPr="00083E3E">
        <w:t xml:space="preserve">that legal frameworks do not inadvertently </w:t>
      </w:r>
      <w:r>
        <w:t xml:space="preserve">continue to </w:t>
      </w:r>
      <w:r w:rsidR="00592E89" w:rsidRPr="00083E3E">
        <w:t>perpetuate harm</w:t>
      </w:r>
      <w:r>
        <w:t xml:space="preserve"> against youth.</w:t>
      </w:r>
    </w:p>
    <w:p w14:paraId="6C600590" w14:textId="42761612" w:rsidR="00C45725" w:rsidRDefault="00592E89" w:rsidP="0005607E">
      <w:pPr>
        <w:jc w:val="both"/>
      </w:pPr>
      <w:r w:rsidRPr="00083E3E">
        <w:t>Finally, service providers must be equipped with the training, resources, and institutional support necessary to respond effectively to youth experiencing commercial sexual exploitation.</w:t>
      </w:r>
      <w:r w:rsidRPr="00083E3E">
        <w:rPr>
          <w:rStyle w:val="FootnoteReference"/>
        </w:rPr>
        <w:footnoteReference w:id="204"/>
      </w:r>
      <w:r w:rsidRPr="00083E3E">
        <w:t xml:space="preserve"> This includes adopting trauma-informed, culturally responsive approaches and shifting away from punitive or carceral models toward survivor-centered care.</w:t>
      </w:r>
      <w:r w:rsidRPr="00083E3E">
        <w:rPr>
          <w:rStyle w:val="FootnoteReference"/>
        </w:rPr>
        <w:footnoteReference w:id="205"/>
      </w:r>
      <w:r w:rsidRPr="00083E3E">
        <w:t xml:space="preserve"> Importantly, youth and survivors must be meaningfully included in the design, implementation, and evaluation of programs and policies.</w:t>
      </w:r>
      <w:r w:rsidRPr="00083E3E">
        <w:rPr>
          <w:rStyle w:val="FootnoteReference"/>
        </w:rPr>
        <w:footnoteReference w:id="206"/>
      </w:r>
      <w:r w:rsidRPr="00083E3E">
        <w:t xml:space="preserve"> Without incorporating their lived experiences and expertise, efforts to prevent exploitation and support survivors will</w:t>
      </w:r>
      <w:r w:rsidR="009F0C09">
        <w:t xml:space="preserve"> continue to</w:t>
      </w:r>
      <w:r w:rsidRPr="00083E3E">
        <w:t xml:space="preserve"> remain incomplete.</w:t>
      </w:r>
    </w:p>
    <w:p w14:paraId="5CD2A726" w14:textId="333B2B67" w:rsidR="00D92A75" w:rsidRDefault="00D92A75" w:rsidP="00E97E73">
      <w:pPr>
        <w:pStyle w:val="Heading3"/>
      </w:pPr>
      <w:r>
        <w:lastRenderedPageBreak/>
        <w:t>Conclusion</w:t>
      </w:r>
    </w:p>
    <w:p w14:paraId="4025B589" w14:textId="2C4CECD5" w:rsidR="00D92A75" w:rsidRPr="00D92A75" w:rsidRDefault="00D92A75" w:rsidP="00D92A75">
      <w:pPr>
        <w:jc w:val="both"/>
      </w:pPr>
      <w:r w:rsidRPr="00D92A75">
        <w:t>Community public health and violence prevention efforts are central to ensuring that LGBTQ youth can live safely</w:t>
      </w:r>
      <w:r w:rsidR="009F0C09">
        <w:t xml:space="preserve"> and </w:t>
      </w:r>
      <w:r w:rsidRPr="00D92A75">
        <w:t>access support</w:t>
      </w:r>
      <w:r w:rsidR="009F0C09">
        <w:t xml:space="preserve">ive services </w:t>
      </w:r>
      <w:r w:rsidRPr="00D92A75">
        <w:t>in their communities. As this section demonstrates, public health challenges facing LGBTQ youth are deeply interconnected, including sexual health access, substance use, intimate partner violence, sexual victimization, digital harassment, commercial sexual exploitation, and the broader effects of stigma, racism, poverty, housing instability, and political hostility. These challenges are especially acute for</w:t>
      </w:r>
      <w:r>
        <w:t xml:space="preserve"> youth with intersecting marginalized identities.</w:t>
      </w:r>
    </w:p>
    <w:p w14:paraId="01B20F22" w14:textId="2EFBA4CA" w:rsidR="00D92A75" w:rsidRPr="00D92A75" w:rsidRDefault="00D92A75" w:rsidP="00D92A75">
      <w:pPr>
        <w:jc w:val="both"/>
      </w:pPr>
      <w:r w:rsidRPr="00D92A75">
        <w:t xml:space="preserve">Addressing these issues requires more than crisis response. It requires sustained investment in community-informed, youth-centered, trauma-informed, and culturally responsive prevention strategies that build trust before harm occurs. Across the Commission’s FY 2026 listening sessions, youth and providers emphasized the importance of peer leadership, trusted adults, affirming community spaces, practical supports, and programs that recognize young people as experts in their own lives. These same protective factors are also essential to </w:t>
      </w:r>
      <w:r w:rsidR="009F0C09">
        <w:t xml:space="preserve">supporting </w:t>
      </w:r>
      <w:r w:rsidRPr="00D92A75">
        <w:t>mental health and wellbeing</w:t>
      </w:r>
      <w:r w:rsidR="009F0C09">
        <w:t xml:space="preserve"> for LGBTQ youth</w:t>
      </w:r>
      <w:r w:rsidRPr="00D92A75">
        <w:t>. The following section focuses on strengthening mental health supports so that LGBTQ youth across the Commonwealth can access care that is affirming</w:t>
      </w:r>
      <w:r w:rsidR="009F0C09">
        <w:t xml:space="preserve"> and accessible, as well as responsive </w:t>
      </w:r>
      <w:r w:rsidRPr="00D92A75">
        <w:t>to the realities they face.</w:t>
      </w:r>
    </w:p>
    <w:p w14:paraId="23D7441E" w14:textId="145CF42A" w:rsidR="00D92A75" w:rsidRDefault="00D92A75">
      <w:r>
        <w:br w:type="page"/>
      </w:r>
    </w:p>
    <w:p w14:paraId="60B175AE" w14:textId="39CBA1A8" w:rsidR="007F21B6" w:rsidRDefault="00D92A75" w:rsidP="0005607E">
      <w:pPr>
        <w:jc w:val="both"/>
      </w:pPr>
      <w:r>
        <w:rPr>
          <w:noProof/>
        </w:rPr>
        <w:lastRenderedPageBreak/>
        <w:drawing>
          <wp:anchor distT="0" distB="0" distL="114300" distR="114300" simplePos="0" relativeHeight="251764736" behindDoc="1" locked="0" layoutInCell="1" allowOverlap="1" wp14:anchorId="6F6BB573" wp14:editId="2CE8A197">
            <wp:simplePos x="0" y="0"/>
            <wp:positionH relativeFrom="column">
              <wp:posOffset>-952500</wp:posOffset>
            </wp:positionH>
            <wp:positionV relativeFrom="paragraph">
              <wp:posOffset>-938530</wp:posOffset>
            </wp:positionV>
            <wp:extent cx="8153400" cy="1247775"/>
            <wp:effectExtent l="0" t="0" r="0" b="9525"/>
            <wp:wrapNone/>
            <wp:docPr id="1777399537" name="Picture 77" descr="a rainbow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99537" name="Picture 77" descr="a rainbow heade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8153400" cy="1247775"/>
                    </a:xfrm>
                    <a:prstGeom prst="rect">
                      <a:avLst/>
                    </a:prstGeom>
                  </pic:spPr>
                </pic:pic>
              </a:graphicData>
            </a:graphic>
            <wp14:sizeRelH relativeFrom="page">
              <wp14:pctWidth>0</wp14:pctWidth>
            </wp14:sizeRelH>
            <wp14:sizeRelV relativeFrom="page">
              <wp14:pctHeight>0</wp14:pctHeight>
            </wp14:sizeRelV>
          </wp:anchor>
        </w:drawing>
      </w:r>
      <w:r>
        <w:br/>
      </w:r>
    </w:p>
    <w:p w14:paraId="1F92B08A" w14:textId="39F25295" w:rsidR="00592E89" w:rsidRDefault="00592E89" w:rsidP="00B7107C">
      <w:pPr>
        <w:pStyle w:val="Heading2"/>
      </w:pPr>
      <w:bookmarkStart w:id="178" w:name="_Toc230276119"/>
      <w:bookmarkStart w:id="179" w:name="_Toc230276226"/>
      <w:bookmarkStart w:id="180" w:name="_Toc230276309"/>
      <w:bookmarkStart w:id="181" w:name="_Toc230276361"/>
      <w:bookmarkStart w:id="182" w:name="_Toc230277102"/>
      <w:bookmarkStart w:id="183" w:name="_Toc230277358"/>
      <w:bookmarkStart w:id="184" w:name="_Toc230355484"/>
      <w:r w:rsidRPr="00083E3E">
        <w:t>Mental Health: Recommendations</w:t>
      </w:r>
      <w:bookmarkEnd w:id="178"/>
      <w:bookmarkEnd w:id="179"/>
      <w:bookmarkEnd w:id="180"/>
      <w:bookmarkEnd w:id="181"/>
      <w:bookmarkEnd w:id="182"/>
      <w:bookmarkEnd w:id="183"/>
      <w:bookmarkEnd w:id="184"/>
    </w:p>
    <w:p w14:paraId="4F2A48FF" w14:textId="24FC9899" w:rsidR="000C290C" w:rsidRPr="000C290C" w:rsidRDefault="000C290C" w:rsidP="000C290C">
      <w:r>
        <w:t xml:space="preserve">As discussed throughout this annual report, mental health supports take shape in a variety of different forms and policies, programming, and community supports must holistically address barriers </w:t>
      </w:r>
      <w:r w:rsidR="00A240B1">
        <w:t>stemming from an LGBTQ youth’s whole identity, as well as move upstream to comprehensively address the significant turnover rates for mental health professionals.</w:t>
      </w:r>
    </w:p>
    <w:p w14:paraId="598B5893" w14:textId="21E4F5D2" w:rsidR="00592E89" w:rsidRPr="00083E3E" w:rsidRDefault="00592E89" w:rsidP="00E97E73">
      <w:pPr>
        <w:pStyle w:val="Heading3"/>
      </w:pPr>
      <w:bookmarkStart w:id="185" w:name="_Toc230277359"/>
      <w:r w:rsidRPr="00083E3E">
        <w:t xml:space="preserve">Expand culturally competent mental health services for QTBIPOC, immigrant, and </w:t>
      </w:r>
      <w:r w:rsidR="00121BF5">
        <w:t>youth with disabilities</w:t>
      </w:r>
      <w:r w:rsidRPr="00083E3E">
        <w:t>.</w:t>
      </w:r>
      <w:bookmarkEnd w:id="185"/>
    </w:p>
    <w:p w14:paraId="51D1F351" w14:textId="73CBC7BF" w:rsidR="00592E89" w:rsidRDefault="00592E89" w:rsidP="0005607E">
      <w:pPr>
        <w:jc w:val="both"/>
      </w:pPr>
      <w:r w:rsidRPr="00083E3E">
        <w:t xml:space="preserve">The Commission recommends that Massachusetts expand access to culturally competent, trauma-informed mental health services for queer and transgender Black, Indigenous, and people of color (QTBIPOC), immigrant, and </w:t>
      </w:r>
      <w:r w:rsidR="00121BF5">
        <w:t>youth with disabilities</w:t>
      </w:r>
      <w:r w:rsidRPr="00083E3E">
        <w:t xml:space="preserve">. These populations </w:t>
      </w:r>
      <w:r w:rsidR="00D92A75">
        <w:t xml:space="preserve">often </w:t>
      </w:r>
      <w:r w:rsidRPr="00083E3E">
        <w:t>experience overlapping and compounding forms of minority stress, including racism, xenophobia, ableism, and anti-LGBTQ discrimination, all of which contribute to significant disparities in mental health outcomes.</w:t>
      </w:r>
      <w:r w:rsidRPr="00083E3E">
        <w:rPr>
          <w:rStyle w:val="FootnoteReference"/>
        </w:rPr>
        <w:footnoteReference w:id="207"/>
      </w:r>
    </w:p>
    <w:p w14:paraId="19ACC417" w14:textId="527C4360" w:rsidR="00D92A75" w:rsidRPr="00083E3E" w:rsidRDefault="00D92A75" w:rsidP="0005607E">
      <w:pPr>
        <w:jc w:val="both"/>
      </w:pPr>
      <w:r w:rsidRPr="00D92A75">
        <w:t>Across the Commission’s FY 2026 listening sessions, youth and providers described isolation, fear, family instability, racism, immigration-related stress, disability access barriers, and distrust of institutions as factors that can compound mental health challenges for LGBTQ youth. Participants also emphasized the importance of culturally responsive supports where youth do not have to explain or defend their identities before receiving care.</w:t>
      </w:r>
    </w:p>
    <w:p w14:paraId="7E704430" w14:textId="41F0AF41" w:rsidR="00592E89" w:rsidRPr="00083E3E" w:rsidRDefault="005D02DE" w:rsidP="0005607E">
      <w:pPr>
        <w:jc w:val="both"/>
      </w:pPr>
      <w:r>
        <w:rPr>
          <w:noProof/>
        </w:rPr>
        <mc:AlternateContent>
          <mc:Choice Requires="wps">
            <w:drawing>
              <wp:anchor distT="91440" distB="91440" distL="114300" distR="114300" simplePos="0" relativeHeight="251719680" behindDoc="0" locked="0" layoutInCell="1" allowOverlap="1" wp14:anchorId="2B088460" wp14:editId="153C5603">
                <wp:simplePos x="0" y="0"/>
                <wp:positionH relativeFrom="page">
                  <wp:posOffset>895350</wp:posOffset>
                </wp:positionH>
                <wp:positionV relativeFrom="paragraph">
                  <wp:posOffset>19685</wp:posOffset>
                </wp:positionV>
                <wp:extent cx="3790950" cy="1403985"/>
                <wp:effectExtent l="0" t="0" r="0" b="0"/>
                <wp:wrapSquare wrapText="bothSides"/>
                <wp:docPr id="1416509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403985"/>
                        </a:xfrm>
                        <a:prstGeom prst="rect">
                          <a:avLst/>
                        </a:prstGeom>
                        <a:noFill/>
                        <a:ln w="9525">
                          <a:noFill/>
                          <a:miter lim="800000"/>
                          <a:headEnd/>
                          <a:tailEnd/>
                        </a:ln>
                      </wps:spPr>
                      <wps:txbx>
                        <w:txbxContent>
                          <w:p w14:paraId="34DB6A78" w14:textId="7E746DB9" w:rsidR="005D02DE" w:rsidRPr="005D02DE" w:rsidRDefault="005D02DE" w:rsidP="005D02DE">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“We have a great need for mental health services, especially LGBTQ and BIPOC affirming providers. Our BIPOC youth are in greater need because we have a limited number of providers who have similar life experiences.”</w:t>
                            </w:r>
                            <w:r>
                              <w:rPr>
                                <w:color w:val="AD84C6" w:themeColor="accent1"/>
                              </w:rPr>
                              <w:t xml:space="preserve"> – Community organization supporting LGBTQ+ community members in Western Massachusetts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088460" id="_x0000_s1054" type="#_x0000_t202" style="position:absolute;left:0;text-align:left;margin-left:70.5pt;margin-top:1.55pt;width:298.5pt;height:110.55pt;z-index:251719680;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UQh/wEAANYDAAAOAAAAZHJzL2Uyb0RvYy54bWysU11v2yAUfZ+0/4B4X+ykyZpYIVXXLtOk&#10;7kNq9wMIxjEacBmQ2Nmv3wW7abS9VfMDAq7vufece1jf9EaTo/RBgWV0OikpkVZAreye0R9P23dL&#10;SkLktuYarGT0JAO92bx9s+5cJWfQgq6lJwhiQ9U5RtsYXVUUQbTS8DABJy0GG/CGRzz6fVF73iG6&#10;0cWsLN8XHfjaeRAyBLy9H4J0k/GbRor4rWmCjEQzir3FvPq87tJabNa82nvuWiXGNvgrujBcWSx6&#10;hrrnkZODV/9AGSU8BGjiRIApoGmUkJkDspmWf7F5bLmTmQuKE9xZpvD/YMXX46P77knsP0CPA8wk&#10;gnsA8TMQC3ctt3t56z10reQ1Fp4myYrOhWpMTVKHKiSQXfcFahwyP0TIQH3jTVIFeRJExwGczqLL&#10;PhKBl1fXq3K1wJDA2HReXq2Wi1yDV8/pzof4SYIhacOox6lmeH58CDG1w6vnX1I1C1uldZ6stqRj&#10;dLWYLXLCRcSoiMbTyjC6LNM3WCGx/GjrnBy50sMeC2g70k5MB86x3/VE1YzOlik5ybCD+oRCeBiM&#10;hg8DNy3435R0aDJGw68D95IS/dmimKvpfJ5cmQ/zxfUMD/4ysruMcCsQitFIybC9i9nJiXNwtyj6&#10;VmU5XjoZe0bzZJVGoyd3Xp7zXy/PcfMHAAD//wMAUEsDBBQABgAIAAAAIQC4/l6s3QAAAAkBAAAP&#10;AAAAZHJzL2Rvd25yZXYueG1sTI/LTsMwEEX3SPyDNUjsqBO3olWIU1WoLUugRKzdeJpEjR+y3TT8&#10;PcOKLo/u6M655XoyAxsxxN5ZCfksA4a2cbq3rYT6a/e0AhaTsloNzqKEH4ywru7vSlVod7WfOB5S&#10;y6jExkJJ6FLyBeex6dCoOHMeLWUnF4xKhKHlOqgrlZuBiyx75kb1lj50yuNrh835cDESfPL75Vt4&#10;/9hsd2NWf+9r0bdbKR8fps0LsIRT+j+GP31Sh4qcju5idWQD8SKnLUnCPAdG+XK+Ij5KEGIhgFcl&#10;v11Q/QIAAP//AwBQSwECLQAUAAYACAAAACEAtoM4kv4AAADhAQAAEwAAAAAAAAAAAAAAAAAAAAAA&#10;W0NvbnRlbnRfVHlwZXNdLnhtbFBLAQItABQABgAIAAAAIQA4/SH/1gAAAJQBAAALAAAAAAAAAAAA&#10;AAAAAC8BAABfcmVscy8ucmVsc1BLAQItABQABgAIAAAAIQBA1UQh/wEAANYDAAAOAAAAAAAAAAAA&#10;AAAAAC4CAABkcnMvZTJvRG9jLnhtbFBLAQItABQABgAIAAAAIQC4/l6s3QAAAAkBAAAPAAAAAAAA&#10;AAAAAAAAAFkEAABkcnMvZG93bnJldi54bWxQSwUGAAAAAAQABADzAAAAYwUAAAAA&#10;" filled="f" stroked="f">
                <v:textbox style="mso-fit-shape-to-text:t">
                  <w:txbxContent>
                    <w:p w14:paraId="34DB6A78" w14:textId="7E746DB9" w:rsidR="005D02DE" w:rsidRPr="005D02DE" w:rsidRDefault="005D02DE" w:rsidP="005D02DE">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“We have a great need for mental health services, especially LGBTQ and BIPOC affirming providers. Our BIPOC youth are in greater need because we have a limited number of providers who have similar life experiences.”</w:t>
                      </w:r>
                      <w:r>
                        <w:rPr>
                          <w:color w:val="AD84C6" w:themeColor="accent1"/>
                        </w:rPr>
                        <w:t xml:space="preserve"> – Community organization supporting LGBTQ+ community members in Western Massachusetts</w:t>
                      </w:r>
                    </w:p>
                  </w:txbxContent>
                </v:textbox>
                <w10:wrap type="square" anchorx="page"/>
              </v:shape>
            </w:pict>
          </mc:Fallback>
        </mc:AlternateContent>
      </w:r>
      <w:r w:rsidR="00592E89" w:rsidRPr="00083E3E">
        <w:t xml:space="preserve">LGBTQ youth are more likely to face mental health disparities in comparison to their cisgender, heterosexual counterparts. In the 2023 Massachusetts Community Health Equity Survey, 68.5% of queer youth, 51.1% of gay or lesbian youth, 52% of bisexual or pansexual youth, and 38.2% of asexual youth report very high levels of psychological distress – defined by feeling nervous, </w:t>
      </w:r>
      <w:r w:rsidR="00592E89" w:rsidRPr="00083E3E">
        <w:lastRenderedPageBreak/>
        <w:t xml:space="preserve">hopeless, restless, and/or depressed in the past 30 days - compared to only 20% of heterosexual youth. Transgender (73.2%) and nonbinary </w:t>
      </w:r>
      <w:r w:rsidR="00B815BA">
        <w:t xml:space="preserve">youth </w:t>
      </w:r>
      <w:r w:rsidR="00592E89" w:rsidRPr="00083E3E">
        <w:t>(60.2%) also report very high levels of psychological distress in the past 30 days.</w:t>
      </w:r>
      <w:r w:rsidR="00592E89" w:rsidRPr="00083E3E">
        <w:rPr>
          <w:rStyle w:val="FootnoteReference"/>
        </w:rPr>
        <w:footnoteReference w:id="208"/>
      </w:r>
    </w:p>
    <w:p w14:paraId="33F4D681" w14:textId="68C98E9A" w:rsidR="00592E89" w:rsidRPr="00083E3E" w:rsidRDefault="009F0C09" w:rsidP="0005607E">
      <w:pPr>
        <w:jc w:val="both"/>
      </w:pPr>
      <w:r>
        <w:t xml:space="preserve">As previously noted, </w:t>
      </w:r>
      <w:r w:rsidR="00592E89" w:rsidRPr="00083E3E">
        <w:t xml:space="preserve">QTBIPOC youth experience not only LGBTQ-based stigma, but also the daily and systemic impacts of racism, which is not an abnormal occurrence, but an everyday reality. Glisten’s 2025 National School Climate Survey found that 48% of BIPOC LGBTQ+ youth </w:t>
      </w:r>
      <w:r w:rsidR="00D92A75">
        <w:t xml:space="preserve">experienced </w:t>
      </w:r>
      <w:r w:rsidR="00592E89" w:rsidRPr="00083E3E">
        <w:t>racial discrimination in schools across the nation and the same percentage experienced verbal or physical harassment and/or assault due to their race and ethnicity.</w:t>
      </w:r>
      <w:r w:rsidR="00592E89" w:rsidRPr="00083E3E">
        <w:rPr>
          <w:rStyle w:val="FootnoteReference"/>
        </w:rPr>
        <w:footnoteReference w:id="209"/>
      </w:r>
      <w:r w:rsidR="00592E89" w:rsidRPr="00083E3E">
        <w:t xml:space="preserve"> </w:t>
      </w:r>
      <w:r>
        <w:t xml:space="preserve">Additionally, these </w:t>
      </w:r>
      <w:r w:rsidR="00592E89" w:rsidRPr="00083E3E">
        <w:t xml:space="preserve">experiences are </w:t>
      </w:r>
      <w:r>
        <w:t xml:space="preserve">often </w:t>
      </w:r>
      <w:r w:rsidR="00592E89" w:rsidRPr="00083E3E">
        <w:t xml:space="preserve">compounded by structural inequities in housing, employment, and healthcare, which </w:t>
      </w:r>
      <w:r>
        <w:t xml:space="preserve">can </w:t>
      </w:r>
      <w:r w:rsidR="00592E89" w:rsidRPr="00083E3E">
        <w:t>contribute to long-term disparities in</w:t>
      </w:r>
      <w:r>
        <w:t xml:space="preserve"> </w:t>
      </w:r>
      <w:r w:rsidR="00592E89" w:rsidRPr="00083E3E">
        <w:t>health</w:t>
      </w:r>
      <w:r>
        <w:t xml:space="preserve"> </w:t>
      </w:r>
      <w:r w:rsidR="00592E89" w:rsidRPr="00083E3E">
        <w:t xml:space="preserve">and wellbeing. As a result, QTBIPOC youth </w:t>
      </w:r>
      <w:r>
        <w:t xml:space="preserve">often </w:t>
      </w:r>
      <w:r w:rsidR="00592E89" w:rsidRPr="00083E3E">
        <w:t>experience elevated rates of anxiety, depression, suicidality, school discipline, and substance use - outcomes that reflect prolonged exposure to intersecting forms of discrimination and trauma.</w:t>
      </w:r>
    </w:p>
    <w:p w14:paraId="52D5F073" w14:textId="4E6B832E" w:rsidR="00592E89" w:rsidRPr="00083E3E" w:rsidRDefault="00A00B1F" w:rsidP="0005607E">
      <w:pPr>
        <w:jc w:val="both"/>
      </w:pPr>
      <w:r>
        <w:rPr>
          <w:noProof/>
        </w:rPr>
        <w:drawing>
          <wp:anchor distT="0" distB="0" distL="114300" distR="114300" simplePos="0" relativeHeight="251765760" behindDoc="0" locked="0" layoutInCell="1" allowOverlap="1" wp14:anchorId="220127B1" wp14:editId="7A4E2DE0">
            <wp:simplePos x="0" y="0"/>
            <wp:positionH relativeFrom="column">
              <wp:posOffset>0</wp:posOffset>
            </wp:positionH>
            <wp:positionV relativeFrom="paragraph">
              <wp:posOffset>128905</wp:posOffset>
            </wp:positionV>
            <wp:extent cx="3524250" cy="2192020"/>
            <wp:effectExtent l="0" t="0" r="0" b="0"/>
            <wp:wrapSquare wrapText="bothSides"/>
            <wp:docPr id="1462362495" name="Picture 78" descr="a graphic saying that 68.5% of queer youth, 51.1% of gay or lesbian youth, 52% of bisexual or pansexual youth, and 38.2% of asexual youth report very high levels of psychological distress – defined by feeling nervous, hopeless, restless, and/or depressed in the past 30 days - compared to only 20% of heterosexual youth. Transgender (73.2%) and nonbinary youth (60.2%) also report very high levels of psychological distress in the past 30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362495" name="Picture 78" descr="a graphic saying that 68.5% of queer youth, 51.1% of gay or lesbian youth, 52% of bisexual or pansexual youth, and 38.2% of asexual youth report very high levels of psychological distress – defined by feeling nervous, hopeless, restless, and/or depressed in the past 30 days - compared to only 20% of heterosexual youth. Transgender (73.2%) and nonbinary youth (60.2%) also report very high levels of psychological distress in the past 30 days"/>
                    <pic:cNvPicPr/>
                  </pic:nvPicPr>
                  <pic:blipFill rotWithShape="1">
                    <a:blip r:embed="rId52" cstate="print">
                      <a:extLst>
                        <a:ext uri="{28A0092B-C50C-407E-A947-70E740481C1C}">
                          <a14:useLocalDpi xmlns:a14="http://schemas.microsoft.com/office/drawing/2010/main" val="0"/>
                        </a:ext>
                      </a:extLst>
                    </a:blip>
                    <a:srcRect b="51282"/>
                    <a:stretch>
                      <a:fillRect/>
                    </a:stretch>
                  </pic:blipFill>
                  <pic:spPr bwMode="auto">
                    <a:xfrm>
                      <a:off x="0" y="0"/>
                      <a:ext cx="3524250" cy="219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2E89" w:rsidRPr="00083E3E">
        <w:t>Despite elevated need, significant barriers prevent many QTBIPOC youth from accessing appropriate mental health care. Research shows that BIPOC youth are less likely than their white peers to receive needed mental health services due to barriers such as cost, insurance coverage, transportation, and competing work or family responsibilities.</w:t>
      </w:r>
      <w:r w:rsidR="00592E89" w:rsidRPr="00083E3E">
        <w:rPr>
          <w:rStyle w:val="FootnoteReference"/>
        </w:rPr>
        <w:footnoteReference w:id="210"/>
      </w:r>
      <w:r w:rsidR="00592E89" w:rsidRPr="00083E3E">
        <w:t xml:space="preserve"> Equally important are issues of distrust and disengagement from systems that rely on Eurocentric models of care, which may fail to account for the impacts of racism</w:t>
      </w:r>
      <w:r w:rsidR="009F0C09">
        <w:t xml:space="preserve"> </w:t>
      </w:r>
      <w:r w:rsidR="00592E89" w:rsidRPr="00083E3E">
        <w:t xml:space="preserve">and structural </w:t>
      </w:r>
      <w:r w:rsidR="009F0C09">
        <w:t>inequities that BIPOC youth often face</w:t>
      </w:r>
      <w:r w:rsidR="00592E89" w:rsidRPr="00083E3E">
        <w:t xml:space="preserve">. </w:t>
      </w:r>
      <w:r w:rsidR="009F0C09">
        <w:t>Additionally, p</w:t>
      </w:r>
      <w:r w:rsidR="00592E89" w:rsidRPr="00083E3E">
        <w:t xml:space="preserve">rovider bias can also result in misdiagnosis or inadequate care; for example, Black and Latine youth are significantly more likely than their white peers to be diagnosed with disruptive </w:t>
      </w:r>
      <w:r w:rsidR="00592E89" w:rsidRPr="00083E3E">
        <w:lastRenderedPageBreak/>
        <w:t>behavioral disorders rather than trauma-related conditions, ADHD, or autism.</w:t>
      </w:r>
      <w:r w:rsidR="00592E89" w:rsidRPr="00083E3E">
        <w:rPr>
          <w:rStyle w:val="FootnoteReference"/>
        </w:rPr>
        <w:footnoteReference w:id="211"/>
      </w:r>
      <w:r w:rsidR="00592E89" w:rsidRPr="00083E3E">
        <w:t xml:space="preserve"> </w:t>
      </w:r>
      <w:r w:rsidR="009F0C09">
        <w:t xml:space="preserve">Many </w:t>
      </w:r>
      <w:r w:rsidR="00592E89" w:rsidRPr="00083E3E">
        <w:t>QTBIPOC youth report feeling “doubly isolated,” experiencing exclusion within both LGBTQ spaces and racial or ethnic community spaces - an experience that can be particularly acute for youth in rural areas or those involved in systems such as child welfare or juvenile justice.</w:t>
      </w:r>
      <w:r w:rsidR="00592E89" w:rsidRPr="00083E3E">
        <w:rPr>
          <w:rStyle w:val="FootnoteReference"/>
        </w:rPr>
        <w:footnoteReference w:id="212"/>
      </w:r>
    </w:p>
    <w:p w14:paraId="74764098" w14:textId="40F40B5E" w:rsidR="00592E89" w:rsidRPr="00083E3E" w:rsidRDefault="00592E89" w:rsidP="0005607E">
      <w:pPr>
        <w:jc w:val="both"/>
      </w:pPr>
      <w:r w:rsidRPr="00083E3E">
        <w:t>Immigrant, refugee, asylee, and undocumented LGBTQ youth face additional and distinct stressors that must be addressed through culturally responsive care. Structural inequalities, xenophobia, and discriminatory policies - as well as fear of detention or deportation - can have profound impacts on mental health. 2021 Glisten data indicates that 18% of students report hearing biased remarks about immigration status “often” or “frequently,” while an additional 16% hear such remarks “sometimes.”</w:t>
      </w:r>
      <w:r w:rsidRPr="00083E3E">
        <w:rPr>
          <w:rStyle w:val="FootnoteReference"/>
        </w:rPr>
        <w:footnoteReference w:id="213"/>
      </w:r>
      <w:r w:rsidRPr="00083E3E">
        <w:t xml:space="preserve"> </w:t>
      </w:r>
      <w:r w:rsidR="009F0C09">
        <w:t>While t</w:t>
      </w:r>
      <w:r w:rsidRPr="00083E3E">
        <w:t xml:space="preserve">he 2025 Glisten survey did not highlight experiences of LGBTQ+ immigrant youth yet, given the current sociopolitical climate, the Commission expects that these rates are now </w:t>
      </w:r>
      <w:r w:rsidRPr="00083E3E">
        <w:rPr>
          <w:i/>
          <w:iCs/>
        </w:rPr>
        <w:t>much</w:t>
      </w:r>
      <w:r w:rsidRPr="00083E3E">
        <w:t xml:space="preserve"> higher. Additionally, the Trevor Project has found that LGBTQ youth with at least one immigrant parent are 63% more likely to attempt suicide when they worry about deportation and 2.5 times more likely to attempt suicide when they experience immigration-based discrimination.</w:t>
      </w:r>
      <w:r w:rsidRPr="00083E3E">
        <w:rPr>
          <w:rStyle w:val="FootnoteReference"/>
        </w:rPr>
        <w:footnoteReference w:id="214"/>
      </w:r>
      <w:r w:rsidRPr="00083E3E">
        <w:t xml:space="preserve"> At the same time, research on foreign-born youth reflects both risk and resilience, often referred to as the “immigrant health paradox,” in which some youth demonstrate relatively strong health outcomes that may diminish over time due to cumulative minority stress.</w:t>
      </w:r>
      <w:r w:rsidRPr="00083E3E">
        <w:rPr>
          <w:rStyle w:val="FootnoteReference"/>
        </w:rPr>
        <w:footnoteReference w:id="215"/>
      </w:r>
    </w:p>
    <w:p w14:paraId="7798F8BB" w14:textId="60D7E7F0" w:rsidR="00592E89" w:rsidRPr="00083E3E" w:rsidRDefault="00592E89" w:rsidP="0005607E">
      <w:pPr>
        <w:jc w:val="both"/>
      </w:pPr>
      <w:r w:rsidRPr="00083E3E">
        <w:t>Despite these challenges, immigrant LGBTQ youth demonstrate resilience through strong peer and community connections. Same-generation immigrant peer networks</w:t>
      </w:r>
      <w:proofErr w:type="gramStart"/>
      <w:r w:rsidRPr="00083E3E">
        <w:t>, in particular, are</w:t>
      </w:r>
      <w:proofErr w:type="gramEnd"/>
      <w:r w:rsidRPr="00083E3E">
        <w:t xml:space="preserve"> associated with improved mental health outcomes. As such, mental health services should </w:t>
      </w:r>
      <w:r w:rsidR="009F0C09">
        <w:t xml:space="preserve">work to </w:t>
      </w:r>
      <w:r w:rsidRPr="00083E3E">
        <w:t xml:space="preserve">create intentional spaces for immigrant, refugee, asylee, and undocumented LGBTQ youth to build community, access culturally relevant supports, and connect with broader immigrant networks. </w:t>
      </w:r>
      <w:r w:rsidR="009F0C09">
        <w:t xml:space="preserve">It is critical that the state expand </w:t>
      </w:r>
      <w:r w:rsidRPr="00083E3E">
        <w:t xml:space="preserve">multilingual services and </w:t>
      </w:r>
      <w:r w:rsidR="009F0C09">
        <w:t xml:space="preserve">invest </w:t>
      </w:r>
      <w:r w:rsidRPr="00083E3E">
        <w:t xml:space="preserve">in providers who </w:t>
      </w:r>
      <w:r w:rsidRPr="00083E3E">
        <w:lastRenderedPageBreak/>
        <w:t>reflect the cultural and linguistic backgrounds of the communities they serve. Notably, 2022 data from The Trevor Project show that youth from all non-white racial and ethnic groups were 4 to 10 times more likely than their white peers to report avoiding mental health care due to concerns that providers would not understand their culture</w:t>
      </w:r>
      <w:r w:rsidR="009F0C09">
        <w:t xml:space="preserve">; </w:t>
      </w:r>
      <w:r w:rsidRPr="00083E3E">
        <w:t xml:space="preserve">Middle Eastern/North African (21%), AAPI (18%), and Black youth (13%) reported this concern most frequently, followed by Latine and Indigenous youth (9% each), </w:t>
      </w:r>
      <w:r w:rsidR="009F0C09">
        <w:t xml:space="preserve">and </w:t>
      </w:r>
      <w:r w:rsidRPr="00083E3E">
        <w:t>multiracial youth (8%).</w:t>
      </w:r>
      <w:r w:rsidR="009F0C09">
        <w:rPr>
          <w:rStyle w:val="FootnoteReference"/>
        </w:rPr>
        <w:footnoteReference w:id="216"/>
      </w:r>
    </w:p>
    <w:p w14:paraId="428B2554" w14:textId="7C77E97B" w:rsidR="00592E89" w:rsidRPr="00083E3E" w:rsidRDefault="009F0C09" w:rsidP="0005607E">
      <w:pPr>
        <w:jc w:val="both"/>
      </w:pPr>
      <w:r>
        <w:t>Additionally, y</w:t>
      </w:r>
      <w:r w:rsidR="00121BF5">
        <w:t>outh with disabilities, Deaf</w:t>
      </w:r>
      <w:r>
        <w:t>,</w:t>
      </w:r>
      <w:r w:rsidR="00121BF5">
        <w:t xml:space="preserve"> and neurodivergent youth can </w:t>
      </w:r>
      <w:r w:rsidR="00592E89" w:rsidRPr="00083E3E">
        <w:t>also face significant and often overlooked disparities. In 2020, one in three LGBTQ adults and more than half of transgender adults reported having a disability, and these identities are similarly prevalent among youth. Research indicates that autistic youth are 400% more likely than their peers to have a gender dysphoria-related diagnosis. At the same time, GLSEN found in 2021 that 73% of students reported hearing biased, ability-based remarks in school “often” or “frequently,” while 34% reported being harassed or assaulted at school within the past year based on their actual or perceived disability, and 17% reported experiencing such harassment online.</w:t>
      </w:r>
      <w:r>
        <w:rPr>
          <w:rStyle w:val="FootnoteReference"/>
        </w:rPr>
        <w:footnoteReference w:id="217"/>
      </w:r>
      <w:r w:rsidR="00592E89" w:rsidRPr="00083E3E">
        <w:t xml:space="preserve"> </w:t>
      </w:r>
      <w:r w:rsidR="00121BF5">
        <w:t>LGBTQ youth with disabilities often</w:t>
      </w:r>
      <w:r w:rsidR="00592E89" w:rsidRPr="00083E3E">
        <w:t xml:space="preserve"> face heightened discrimination in employment, housing, and social services, including mental health care settings, and experience higher rates of depression and suicidality. Structural barriers - including inaccessible services, a shortage of providers who accept public insurance, and restrictive policies related to SSI and SSDI eligibility - further limit access to care.</w:t>
      </w:r>
    </w:p>
    <w:p w14:paraId="6F23EA0B" w14:textId="0447351A" w:rsidR="00592E89" w:rsidRPr="00083E3E" w:rsidRDefault="00592E89" w:rsidP="0005607E">
      <w:pPr>
        <w:jc w:val="both"/>
      </w:pPr>
      <w:r w:rsidRPr="00083E3E">
        <w:t xml:space="preserve">Expanding culturally competent mental health services requires a comprehensive approach that includes investing in a diverse and representative workforce, increasing provider training on intersectionality and anti-oppressive care, and ensuring that services are accessible, affordable, and affirming. Community-based and peer-led models should be prioritized, particularly those that center the experiences of QTBIPOC, immigrant, and </w:t>
      </w:r>
      <w:r w:rsidR="00121BF5">
        <w:t>youth with disabilities</w:t>
      </w:r>
      <w:r w:rsidRPr="00083E3E">
        <w:t>.</w:t>
      </w:r>
    </w:p>
    <w:p w14:paraId="4FD6A2BA" w14:textId="2F0A127A" w:rsidR="00592E89" w:rsidRPr="00083E3E" w:rsidRDefault="00592E89" w:rsidP="0005607E">
      <w:pPr>
        <w:jc w:val="both"/>
      </w:pPr>
      <w:r w:rsidRPr="00083E3E">
        <w:t xml:space="preserve">Finally, the Commission emphasizes the importance of centering youth voices in the development and implementation of mental health services. </w:t>
      </w:r>
      <w:r w:rsidR="00D94862">
        <w:t>As previously noted throughout other sections of this report, y</w:t>
      </w:r>
      <w:r w:rsidRPr="00083E3E">
        <w:t>outh are best positioned to identify gaps and inform solutions that are responsive to their lived experiences. Without meaningful inclusion of these perspectives, efforts to improve access and outcomes will remain incomplete. By investing in culturally competent, community-informed systems of care, Massachusetts can take meaningful steps toward reducing disparities and supporting the mental health and well-being of all LGBTQ youth.</w:t>
      </w:r>
    </w:p>
    <w:p w14:paraId="782DA7C9" w14:textId="77777777" w:rsidR="00592E89" w:rsidRPr="00083E3E" w:rsidRDefault="00592E89" w:rsidP="00E97E73">
      <w:pPr>
        <w:pStyle w:val="Heading3"/>
      </w:pPr>
      <w:bookmarkStart w:id="186" w:name="_Toc230277360"/>
      <w:r w:rsidRPr="00083E3E">
        <w:lastRenderedPageBreak/>
        <w:t>Invest in recruitment, retention, and professional development for mental health professionals.</w:t>
      </w:r>
      <w:bookmarkEnd w:id="186"/>
    </w:p>
    <w:p w14:paraId="0A8AD1A5" w14:textId="64688582" w:rsidR="00592E89" w:rsidRPr="00083E3E" w:rsidRDefault="00592E89" w:rsidP="0005607E">
      <w:pPr>
        <w:jc w:val="both"/>
      </w:pPr>
      <w:r w:rsidRPr="00083E3E">
        <w:t xml:space="preserve">The Commission recommends that the Commonwealth continue to prioritize and invest in mental health professionals, and ensure that K-12 schools, higher education, juvenile justice programs, and the child welfare system </w:t>
      </w:r>
      <w:r w:rsidR="004F6E0A" w:rsidRPr="00083E3E">
        <w:t>can</w:t>
      </w:r>
      <w:r w:rsidRPr="00083E3E">
        <w:t xml:space="preserve"> provide effective and affirming mental health services for youth in their care. The Commission urges the legislature to explore innovative ways to invest in mental healthcare professionals, including at the student level, by providing funding opportunities and easing barriers to access for BIPOC and LGBTQ social work students to licensure.</w:t>
      </w:r>
    </w:p>
    <w:p w14:paraId="0A9951BB" w14:textId="0FB336D5" w:rsidR="00592E89" w:rsidRPr="00083E3E" w:rsidRDefault="00592E89" w:rsidP="0005607E">
      <w:pPr>
        <w:jc w:val="both"/>
      </w:pPr>
      <w:r w:rsidRPr="00083E3E">
        <w:t xml:space="preserve">The severe shortage of mental health professionals – especially those who are LGBTQ and culturally competent – is another significant barrier to care; trainees such as social work students often provide life-affirming mental health support in internships across Massachusetts. However, many are required to provide this unpaid labor for roughly half of the work week over two years </w:t>
      </w:r>
      <w:proofErr w:type="gramStart"/>
      <w:r w:rsidRPr="00083E3E">
        <w:t>in order to</w:t>
      </w:r>
      <w:proofErr w:type="gramEnd"/>
      <w:r w:rsidRPr="00083E3E">
        <w:t xml:space="preserve"> graduate – and pay increased tuition for these placements. Combined with already-high tuition, living costs, and loan interest rates, this financial burden mirrors the low wages and overwhelming caseloads that mental health professionals face after graduation. These conditions fuel high rates of burning out, </w:t>
      </w:r>
      <w:r w:rsidR="00B815BA">
        <w:t>turnover</w:t>
      </w:r>
      <w:r w:rsidRPr="00083E3E">
        <w:t>, and leaving the field entirely, as it is already difficult for mental health professionals to graduate, let alone find meaningfully-paid work.</w:t>
      </w:r>
    </w:p>
    <w:p w14:paraId="36E11B8C" w14:textId="30739143" w:rsidR="00592E89" w:rsidRPr="00083E3E" w:rsidRDefault="00592E89" w:rsidP="0005607E">
      <w:pPr>
        <w:jc w:val="both"/>
      </w:pPr>
      <w:r w:rsidRPr="00083E3E">
        <w:t xml:space="preserve">Community mental health centers and clinicians who do accept insurance have increasingly long waitlists, as some mental health professionals do not </w:t>
      </w:r>
      <w:r w:rsidR="00B815BA">
        <w:t xml:space="preserve">accept </w:t>
      </w:r>
      <w:r w:rsidRPr="00083E3E">
        <w:t>insurance due to clawbacks, audits, lack of control over session length and content, and lengthy wait times for low reimbursement. Additionally, while remote mental health care opportunities are increasing, some professionals still require youth to commute to receive in-person, individual support from professionals with years of expensive training. This makes care inconvenient, slow, and harder to find – especially for youth with rural areas, childcare or work responsibilities, or non-affirming guardians.</w:t>
      </w:r>
    </w:p>
    <w:p w14:paraId="74EA8E91" w14:textId="1FECCC33" w:rsidR="00592E89" w:rsidRPr="00083E3E" w:rsidRDefault="00592E89" w:rsidP="00E97E73">
      <w:pPr>
        <w:pStyle w:val="Heading3"/>
      </w:pPr>
      <w:bookmarkStart w:id="187" w:name="_Toc230277361"/>
      <w:r w:rsidRPr="00083E3E">
        <w:t>Expand access to peer support programs, community gathering spaces, and youth-led support networks.</w:t>
      </w:r>
      <w:bookmarkEnd w:id="187"/>
    </w:p>
    <w:p w14:paraId="656C402B" w14:textId="5A62853C" w:rsidR="00592E89" w:rsidRPr="00083E3E" w:rsidRDefault="005D02DE" w:rsidP="0005607E">
      <w:pPr>
        <w:jc w:val="both"/>
      </w:pPr>
      <w:r>
        <w:rPr>
          <w:noProof/>
        </w:rPr>
        <mc:AlternateContent>
          <mc:Choice Requires="wps">
            <w:drawing>
              <wp:anchor distT="91440" distB="91440" distL="114300" distR="114300" simplePos="0" relativeHeight="251721728" behindDoc="0" locked="0" layoutInCell="1" allowOverlap="1" wp14:anchorId="1725178E" wp14:editId="31657DAC">
                <wp:simplePos x="0" y="0"/>
                <wp:positionH relativeFrom="page">
                  <wp:posOffset>885825</wp:posOffset>
                </wp:positionH>
                <wp:positionV relativeFrom="paragraph">
                  <wp:posOffset>192405</wp:posOffset>
                </wp:positionV>
                <wp:extent cx="3867150" cy="1403985"/>
                <wp:effectExtent l="0" t="0" r="0" b="2540"/>
                <wp:wrapSquare wrapText="bothSides"/>
                <wp:docPr id="1941232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1403985"/>
                        </a:xfrm>
                        <a:prstGeom prst="rect">
                          <a:avLst/>
                        </a:prstGeom>
                        <a:noFill/>
                        <a:ln w="9525">
                          <a:noFill/>
                          <a:miter lim="800000"/>
                          <a:headEnd/>
                          <a:tailEnd/>
                        </a:ln>
                      </wps:spPr>
                      <wps:txbx>
                        <w:txbxContent>
                          <w:p w14:paraId="453F307A" w14:textId="238FB389" w:rsidR="005D02DE" w:rsidRPr="005D02DE" w:rsidRDefault="005D02DE" w:rsidP="005D02DE">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 xml:space="preserve">“We see that the younger generation is much more open to talking about mental health </w:t>
                            </w:r>
                            <w:r w:rsidR="0054417F">
                              <w:rPr>
                                <w:i/>
                                <w:iCs/>
                                <w:color w:val="AD84C6" w:themeColor="accent1"/>
                              </w:rPr>
                              <w:t>struggles,</w:t>
                            </w:r>
                            <w:r>
                              <w:rPr>
                                <w:i/>
                                <w:iCs/>
                                <w:color w:val="AD84C6" w:themeColor="accent1"/>
                              </w:rPr>
                              <w:t xml:space="preserve"> but we need more peer resources and youth-focused shared spaces.”</w:t>
                            </w:r>
                            <w:r>
                              <w:rPr>
                                <w:color w:val="AD84C6" w:themeColor="accent1"/>
                              </w:rPr>
                              <w:t xml:space="preserve"> – Community organization supporting LGBTQ+ youth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25178E" id="_x0000_s1055" type="#_x0000_t202" style="position:absolute;left:0;text-align:left;margin-left:69.75pt;margin-top:15.15pt;width:304.5pt;height:110.55pt;z-index:251721728;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fEsAAIAANYDAAAOAAAAZHJzL2Uyb0RvYy54bWysU11v2yAUfZ+0/4B4X2ynSZtYIVXXLtOk&#10;7kPq9gMIxjEacBmQ2Nmv7wWnabS9TfMDAq7vufece1jdDkaTg/RBgWW0mpSUSCugUXbH6I/vm3cL&#10;SkLktuEarGT0KAO9Xb99s+pdLafQgW6kJwhiQ907RrsYXV0UQXTS8DABJy0GW/CGRzz6XdF43iO6&#10;0cW0LK+LHnzjPAgZAt4+jEG6zvhtK0X82rZBRqIZxd5iXn1et2kt1ite7zx3nRKnNvg/dGG4slj0&#10;DPXAIyd7r/6CMkp4CNDGiQBTQNsqITMHZFOVf7B56riTmQuKE9xZpvD/YMWXw5P75kkc3sOAA8wk&#10;gnsE8TMQC/cdtzt55z30neQNFq6SZEXvQn1KTVKHOiSQbf8ZGhwy30fIQEPrTVIFeRJExwEcz6LL&#10;IRKBl1eL65tqjiGBsWpWXi0X81yD1y/pzof4UYIhacOox6lmeH54DDG1w+uXX1I1CxuldZ6stqRn&#10;dDmfznPCRcSoiMbTyjC6KNM3WiGx/GCbnBy50uMeC2h7op2YjpzjsB2IahidLlNykmELzRGF8DAa&#10;DR8Gbjrwvynp0WSMhl977iUl+pNFMZfVbJZcmQ+z+c0UD/4ysr2McCsQitFIybi9j9nJiXNwdyj6&#10;RmU5Xjs59YzmySqdjJ7ceXnOf70+x/UzAAAA//8DAFBLAwQUAAYACAAAACEA6eCPVd4AAAAKAQAA&#10;DwAAAGRycy9kb3ducmV2LnhtbEyPwU7DMAyG70i8Q2QkbixZu7FRmk4T2sYRGBXnrAltReNESdaV&#10;t8ec4Pjbn35/LjeTHdhoQuwdSpjPBDCDjdM9thLq9/3dGlhMCrUaHBoJ3ybCprq+KlWh3QXfzHhM&#10;LaMSjIWS0KXkC85j0xmr4sx5g7T7dMGqRDG0XAd1oXI78EyIe25Vj3ShU948dab5Op6tBJ/8YfUc&#10;Xl63u/0o6o9DnfXtTsrbm2n7CCyZKf3B8KtP6lCR08mdUUc2UM4floRKyEUOjIDVYk2Dk4RsOV8A&#10;r0r+/4XqBwAA//8DAFBLAQItABQABgAIAAAAIQC2gziS/gAAAOEBAAATAAAAAAAAAAAAAAAAAAAA&#10;AABbQ29udGVudF9UeXBlc10ueG1sUEsBAi0AFAAGAAgAAAAhADj9If/WAAAAlAEAAAsAAAAAAAAA&#10;AAAAAAAALwEAAF9yZWxzLy5yZWxzUEsBAi0AFAAGAAgAAAAhAJEh8SwAAgAA1gMAAA4AAAAAAAAA&#10;AAAAAAAALgIAAGRycy9lMm9Eb2MueG1sUEsBAi0AFAAGAAgAAAAhAOngj1XeAAAACgEAAA8AAAAA&#10;AAAAAAAAAAAAWgQAAGRycy9kb3ducmV2LnhtbFBLBQYAAAAABAAEAPMAAABlBQAAAAA=&#10;" filled="f" stroked="f">
                <v:textbox style="mso-fit-shape-to-text:t">
                  <w:txbxContent>
                    <w:p w14:paraId="453F307A" w14:textId="238FB389" w:rsidR="005D02DE" w:rsidRPr="005D02DE" w:rsidRDefault="005D02DE" w:rsidP="005D02DE">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 xml:space="preserve">“We see that the younger generation is much more open to talking about mental health </w:t>
                      </w:r>
                      <w:r w:rsidR="0054417F">
                        <w:rPr>
                          <w:i/>
                          <w:iCs/>
                          <w:color w:val="AD84C6" w:themeColor="accent1"/>
                        </w:rPr>
                        <w:t>struggles,</w:t>
                      </w:r>
                      <w:r>
                        <w:rPr>
                          <w:i/>
                          <w:iCs/>
                          <w:color w:val="AD84C6" w:themeColor="accent1"/>
                        </w:rPr>
                        <w:t xml:space="preserve"> but we need more peer resources and youth-focused shared spaces.”</w:t>
                      </w:r>
                      <w:r>
                        <w:rPr>
                          <w:color w:val="AD84C6" w:themeColor="accent1"/>
                        </w:rPr>
                        <w:t xml:space="preserve"> – Community organization supporting LGBTQ+ youth</w:t>
                      </w:r>
                    </w:p>
                  </w:txbxContent>
                </v:textbox>
                <w10:wrap type="square" anchorx="page"/>
              </v:shape>
            </w:pict>
          </mc:Fallback>
        </mc:AlternateContent>
      </w:r>
      <w:r w:rsidR="00592E89" w:rsidRPr="00083E3E">
        <w:t xml:space="preserve">Expanding access to peer support programs, community gathering spaces, and youth-led support networks is a critical step toward meeting the mental health needs of LGBTQ youth across Massachusetts. These </w:t>
      </w:r>
      <w:r w:rsidR="00592E89" w:rsidRPr="00083E3E">
        <w:lastRenderedPageBreak/>
        <w:t>approaches meet young people where they are, drawing on creativity, embodied experience, and collective action to foster resilience and well-being outside of traditional settings.</w:t>
      </w:r>
    </w:p>
    <w:p w14:paraId="04E69641" w14:textId="77777777" w:rsidR="00592E89" w:rsidRPr="00083E3E" w:rsidRDefault="00592E89" w:rsidP="0005607E">
      <w:pPr>
        <w:jc w:val="both"/>
      </w:pPr>
      <w:r w:rsidRPr="00083E3E">
        <w:t>According to the 2023 Massachusetts Community Health Equity Survey, 43.1% of nonbinary youth and 40.7% of transgender youth report usually or always feeling isolated from others. Similarly, 43.5% of queer youth, 23% of gay or lesbian youth, 29.6% of bisexual or pansexual youth, and 28.8% of asexual youth also report feeling isolated from others compared to 11.8% of heterosexual youth.</w:t>
      </w:r>
      <w:r w:rsidRPr="00083E3E">
        <w:rPr>
          <w:rStyle w:val="FootnoteReference"/>
        </w:rPr>
        <w:footnoteReference w:id="218"/>
      </w:r>
    </w:p>
    <w:p w14:paraId="1D1EECEB" w14:textId="5D01C963" w:rsidR="00592E89" w:rsidRPr="00083E3E" w:rsidRDefault="00592E89" w:rsidP="0005607E">
      <w:pPr>
        <w:jc w:val="both"/>
      </w:pPr>
      <w:r w:rsidRPr="00083E3E">
        <w:t xml:space="preserve">Investing in peer support workers, mental health first aid trainings, and mental health literacy campaigns are proven strategies for reducing mental health stigma, as well as work to ease the strain on limited resources. </w:t>
      </w:r>
      <w:proofErr w:type="gramStart"/>
      <w:r w:rsidR="00D94862">
        <w:t>In particular, a</w:t>
      </w:r>
      <w:r w:rsidRPr="00083E3E">
        <w:t>rts programs</w:t>
      </w:r>
      <w:proofErr w:type="gramEnd"/>
      <w:r w:rsidRPr="00083E3E">
        <w:t xml:space="preserve"> </w:t>
      </w:r>
      <w:r w:rsidR="00D94862">
        <w:t xml:space="preserve">are often </w:t>
      </w:r>
      <w:r w:rsidRPr="00083E3E">
        <w:t xml:space="preserve">engaging for many LGBTQ youth because self-expression is a celebrated value in US LGBTQ culture and a key developmental goal for young people. These programs </w:t>
      </w:r>
      <w:r w:rsidR="00D94862">
        <w:t xml:space="preserve">can </w:t>
      </w:r>
      <w:r w:rsidRPr="00083E3E">
        <w:t xml:space="preserve">build self-esteem and identity by helping youth connect, perform, redefine, and be who they are despite discrimination. Importantly, arts programming can be implemented in virtually any environment, making it an accessible option across school, </w:t>
      </w:r>
      <w:r w:rsidR="00A00B1F">
        <w:rPr>
          <w:noProof/>
        </w:rPr>
        <w:drawing>
          <wp:anchor distT="0" distB="0" distL="114300" distR="114300" simplePos="0" relativeHeight="251766784" behindDoc="0" locked="0" layoutInCell="1" allowOverlap="1" wp14:anchorId="1BFBF000" wp14:editId="3A1C7474">
            <wp:simplePos x="0" y="0"/>
            <wp:positionH relativeFrom="column">
              <wp:posOffset>3190875</wp:posOffset>
            </wp:positionH>
            <wp:positionV relativeFrom="paragraph">
              <wp:posOffset>1122680</wp:posOffset>
            </wp:positionV>
            <wp:extent cx="2714625" cy="3362325"/>
            <wp:effectExtent l="0" t="0" r="9525" b="9525"/>
            <wp:wrapSquare wrapText="bothSides"/>
            <wp:docPr id="294730586" name="Picture 79" descr="a graphic detailing the isolation rates in this sub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730586" name="Picture 79" descr="a graphic detailing the isolation rates in this subsection"/>
                    <pic:cNvPicPr/>
                  </pic:nvPicPr>
                  <pic:blipFill rotWithShape="1">
                    <a:blip r:embed="rId53" cstate="print">
                      <a:extLst>
                        <a:ext uri="{28A0092B-C50C-407E-A947-70E740481C1C}">
                          <a14:useLocalDpi xmlns:a14="http://schemas.microsoft.com/office/drawing/2010/main" val="0"/>
                        </a:ext>
                      </a:extLst>
                    </a:blip>
                    <a:srcRect l="27083" t="9970" r="27243" b="10045"/>
                    <a:stretch>
                      <a:fillRect/>
                    </a:stretch>
                  </pic:blipFill>
                  <pic:spPr bwMode="auto">
                    <a:xfrm>
                      <a:off x="0" y="0"/>
                      <a:ext cx="2714625" cy="3362325"/>
                    </a:xfrm>
                    <a:prstGeom prst="rect">
                      <a:avLst/>
                    </a:prstGeom>
                    <a:ln>
                      <a:noFill/>
                    </a:ln>
                    <a:extLst>
                      <a:ext uri="{53640926-AAD7-44D8-BBD7-CCE9431645EC}">
                        <a14:shadowObscured xmlns:a14="http://schemas.microsoft.com/office/drawing/2010/main"/>
                      </a:ext>
                    </a:extLst>
                  </pic:spPr>
                </pic:pic>
              </a:graphicData>
            </a:graphic>
          </wp:anchor>
        </w:drawing>
      </w:r>
      <w:r w:rsidRPr="00083E3E">
        <w:t>community, and residential settings.</w:t>
      </w:r>
    </w:p>
    <w:p w14:paraId="4673BAC7" w14:textId="718DEC60" w:rsidR="00592E89" w:rsidRPr="00083E3E" w:rsidRDefault="00592E89" w:rsidP="0005607E">
      <w:pPr>
        <w:jc w:val="both"/>
      </w:pPr>
      <w:r w:rsidRPr="00083E3E">
        <w:t>Somatic interventions are also increasingly popular among professionals due to mounting evidence that they are uniquely effective in treating trauma. This approach would be uniquely effective with LGBTQ youth due to their high rates of victimization, as well as those with multiple marginalized identities. Research further shows that activism-based programming connects LGBTQ youth to a sense of community and purpose, reinforcing both resilience and collective belonging.</w:t>
      </w:r>
      <w:r w:rsidRPr="00083E3E">
        <w:rPr>
          <w:rStyle w:val="FootnoteReference"/>
        </w:rPr>
        <w:footnoteReference w:id="219"/>
      </w:r>
    </w:p>
    <w:p w14:paraId="60D1421A" w14:textId="00103586" w:rsidR="00592E89" w:rsidRPr="00083E3E" w:rsidRDefault="00592E89" w:rsidP="0005607E">
      <w:pPr>
        <w:jc w:val="both"/>
      </w:pPr>
      <w:r w:rsidRPr="00083E3E">
        <w:lastRenderedPageBreak/>
        <w:t>Research on community-based organizations further supports this approach. In a 2021 study which surveyed a national sample of over 1,000 LGBTQ youth ages 15 to 21, they found that those who participated in LGBTQ-focused community-based organizations reported higher self-esteem, fewer depressive symptoms, and lower rates of substance use compared to peers who did not participate. Notably, the study also found that youth of color, transgender youth, and lower-income youth were more likely to engage with these organizations</w:t>
      </w:r>
      <w:r w:rsidR="00D94862">
        <w:t xml:space="preserve"> which suggests </w:t>
      </w:r>
      <w:r w:rsidRPr="00083E3E">
        <w:t>that community-based programs may be especially effective at reaching the LGBTQ young people who face the greatest barriers to accessing traditional mental health services.</w:t>
      </w:r>
      <w:r w:rsidRPr="00083E3E">
        <w:rPr>
          <w:rStyle w:val="FootnoteReference"/>
        </w:rPr>
        <w:footnoteReference w:id="220"/>
      </w:r>
    </w:p>
    <w:p w14:paraId="56E1C92B" w14:textId="77777777" w:rsidR="00592E89" w:rsidRPr="00083E3E" w:rsidRDefault="00592E89" w:rsidP="0005607E">
      <w:pPr>
        <w:jc w:val="both"/>
      </w:pPr>
      <w:r w:rsidRPr="00083E3E">
        <w:t>Taken together, the evidence is clear that peer-led programs, arts and somatic interventions, activism-based programming, and LGBTQ-focused community organizations offer meaningful benefits for youth mental health. Massachusetts should expand investment in these approaches, ensuring they are available, adequately funded, and accessible to LGBTQ youth across the Commonwealth, particularly those in underserved communities who stand to benefit most.</w:t>
      </w:r>
    </w:p>
    <w:p w14:paraId="2EEF5BC7" w14:textId="77777777" w:rsidR="00592E89" w:rsidRPr="00083E3E" w:rsidRDefault="00592E89" w:rsidP="00E97E73">
      <w:pPr>
        <w:pStyle w:val="Heading3"/>
      </w:pPr>
      <w:bookmarkStart w:id="188" w:name="_Toc230277362"/>
      <w:r w:rsidRPr="00083E3E">
        <w:t>Support innovative and community-based mental health resources for LGBTQ youth.</w:t>
      </w:r>
      <w:bookmarkEnd w:id="188"/>
    </w:p>
    <w:p w14:paraId="2FA09D03" w14:textId="08E1FFCB" w:rsidR="00592E89" w:rsidRPr="00083E3E" w:rsidRDefault="00592E89" w:rsidP="0005607E">
      <w:pPr>
        <w:jc w:val="both"/>
      </w:pPr>
      <w:r w:rsidRPr="00083E3E">
        <w:t>The Commission emphasizes that suicide prevention must extend beyond clinical mental health services to include a broad, interdisciplinary approach that addresses the full range of factors influencing LGBTQ youth well-being. Protective legislation, supportive school climates, mental health literacy initiatives, adequately funded school and community-based mental health professionals, and trauma-informed, intersectional services all play a critical role in preventing suicide and promoting long-term wellness.</w:t>
      </w:r>
      <w:r w:rsidR="00B815BA">
        <w:t xml:space="preserve"> During the Commission’s FY 2026 listening sessions, </w:t>
      </w:r>
      <w:r w:rsidR="000329CD">
        <w:t>youth emphasized that they often</w:t>
      </w:r>
      <w:r w:rsidR="00B815BA" w:rsidRPr="00B815BA">
        <w:t xml:space="preserve"> need more than crisis intervention; they need spaces that support joy, creativity, identity development, and community connection. As one youth shared, “I know I’m flourishing when my confidence boosts</w:t>
      </w:r>
      <w:r w:rsidR="000329CD">
        <w:t>.”</w:t>
      </w:r>
    </w:p>
    <w:p w14:paraId="3FB44D03" w14:textId="39F10DCE" w:rsidR="00592E89" w:rsidRPr="00083E3E" w:rsidRDefault="007F21B6" w:rsidP="0005607E">
      <w:pPr>
        <w:jc w:val="both"/>
      </w:pPr>
      <w:r>
        <w:rPr>
          <w:noProof/>
        </w:rPr>
        <w:lastRenderedPageBreak/>
        <mc:AlternateContent>
          <mc:Choice Requires="wps">
            <w:drawing>
              <wp:anchor distT="91440" distB="91440" distL="114300" distR="114300" simplePos="0" relativeHeight="251723776" behindDoc="0" locked="0" layoutInCell="1" allowOverlap="1" wp14:anchorId="1482E963" wp14:editId="76A30C20">
                <wp:simplePos x="0" y="0"/>
                <wp:positionH relativeFrom="page">
                  <wp:posOffset>3366770</wp:posOffset>
                </wp:positionH>
                <wp:positionV relativeFrom="paragraph">
                  <wp:posOffset>1041326</wp:posOffset>
                </wp:positionV>
                <wp:extent cx="3474720" cy="1403985"/>
                <wp:effectExtent l="0" t="0" r="0" b="0"/>
                <wp:wrapSquare wrapText="bothSides"/>
                <wp:docPr id="4379777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109E3E4B" w14:textId="0F7147B4" w:rsidR="005D02DE" w:rsidRPr="005D02DE" w:rsidRDefault="005D02DE" w:rsidP="005D02DE">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 xml:space="preserve">“Isolation is a big issue – we’ve seen youth isolation drastically rise over the last few years. </w:t>
                            </w:r>
                            <w:r w:rsidR="0054417F">
                              <w:rPr>
                                <w:i/>
                                <w:iCs/>
                                <w:color w:val="AD84C6" w:themeColor="accent1"/>
                              </w:rPr>
                              <w:t>Yes,</w:t>
                            </w:r>
                            <w:r>
                              <w:rPr>
                                <w:i/>
                                <w:iCs/>
                                <w:color w:val="AD84C6" w:themeColor="accent1"/>
                              </w:rPr>
                              <w:t xml:space="preserve"> there is the virtual space, but it’s important to be in-person.”</w:t>
                            </w:r>
                            <w:r>
                              <w:rPr>
                                <w:color w:val="AD84C6" w:themeColor="accent1"/>
                              </w:rPr>
                              <w:t xml:space="preserve"> – Community organization supporting youth in Central Massachusetts</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1482E963" id="_x0000_s1056" type="#_x0000_t202" style="position:absolute;left:0;text-align:left;margin-left:265.1pt;margin-top:82pt;width:273.6pt;height:110.55pt;z-index:251723776;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Qzo/QEAANYDAAAOAAAAZHJzL2Uyb0RvYy54bWysU11v2yAUfZ+0/4B4X+ykzppYcaquXaZJ&#10;3YfU7gdgjGM04DIgsbNfvwt202h7q+YHBFzfc+8597C5GbQiR+G8BFPR+SynRBgOjTT7iv542r1b&#10;UeIDMw1TYERFT8LTm+3bN5velmIBHahGOIIgxpe9rWgXgi2zzPNOaOZnYIXBYAtOs4BHt88ax3pE&#10;1ypb5Pn7rAfXWAdceI+392OQbhN+2woevrWtF4GoimJvIa0urXVcs+2GlXvHbCf51AZ7RReaSYNF&#10;z1D3LDBycPIfKC25Aw9tmHHQGbSt5CJxQDbz/C82jx2zInFBcbw9y+T/Hyz/eny03x0JwwcYcICJ&#10;hLcPwH96YuCuY2Yvbp2DvhOswcLzKFnWW19OqVFqX/oIUvdfoMEhs0OABDS0TkdVkCdBdBzA6Sy6&#10;GALheHlVXBfXCwxxjM2L/Gq9WqYarHxOt86HTwI0iZuKOpxqgmfHBx9iO6x8/iVWM7CTSqXJKkP6&#10;iq6Xi2VKuIhoGdB4SuqKrvL4jVaILD+aJiUHJtW4xwLKTLQj05FzGOqByAYppOQoQw3NCYVwMBoN&#10;HwZuOnC/KenRZBX1vw7MCUrUZ4NirudFEV2ZDsUyyeAuI/VlhBmOUBUNlIzbu5CcHDl7e4ui72SS&#10;46WTqWc0T1JpMnp05+U5/fXyHLd/AAAA//8DAFBLAwQUAAYACAAAACEAEs79+eIAAAAMAQAADwAA&#10;AGRycy9kb3ducmV2LnhtbEyPy07DMBBF90j8gzVI7Kjdpo8Q4lTlUVZIqC2b7px4SKLGdmQ7bfh7&#10;pitYju7RnXPz9Wg6dkYfWmclTCcCGNrK6dbWEr4O24cUWIjKatU5ixJ+MMC6uL3JVabdxe7wvI81&#10;oxIbMiWhibHPOA9Vg0aFievRUvbtvFGRTl9z7dWFyk3HZ0IsuVGtpQ+N6vGlweq0H4yED/TH9HFI&#10;n9vj6/bt85To8n2jpby/GzdPwCKO8Q+Gqz6pQ0FOpRusDqyTsEjEjFAKlnMadSXEajUHVkpI0sUU&#10;eJHz/yOKXwAAAP//AwBQSwECLQAUAAYACAAAACEAtoM4kv4AAADhAQAAEwAAAAAAAAAAAAAAAAAA&#10;AAAAW0NvbnRlbnRfVHlwZXNdLnhtbFBLAQItABQABgAIAAAAIQA4/SH/1gAAAJQBAAALAAAAAAAA&#10;AAAAAAAAAC8BAABfcmVscy8ucmVsc1BLAQItABQABgAIAAAAIQC1dQzo/QEAANYDAAAOAAAAAAAA&#10;AAAAAAAAAC4CAABkcnMvZTJvRG9jLnhtbFBLAQItABQABgAIAAAAIQASzv354gAAAAwBAAAPAAAA&#10;AAAAAAAAAAAAAFcEAABkcnMvZG93bnJldi54bWxQSwUGAAAAAAQABADzAAAAZgUAAAAA&#10;" filled="f" stroked="f">
                <v:textbox style="mso-fit-shape-to-text:t">
                  <w:txbxContent>
                    <w:p w14:paraId="109E3E4B" w14:textId="0F7147B4" w:rsidR="005D02DE" w:rsidRPr="005D02DE" w:rsidRDefault="005D02DE" w:rsidP="005D02DE">
                      <w:pPr>
                        <w:pBdr>
                          <w:top w:val="single" w:sz="24" w:space="8" w:color="AD84C6" w:themeColor="accent1"/>
                          <w:bottom w:val="single" w:sz="24" w:space="8" w:color="AD84C6" w:themeColor="accent1"/>
                        </w:pBdr>
                        <w:spacing w:before="0" w:after="0"/>
                        <w:rPr>
                          <w:color w:val="AD84C6" w:themeColor="accent1"/>
                        </w:rPr>
                      </w:pPr>
                      <w:r>
                        <w:rPr>
                          <w:i/>
                          <w:iCs/>
                          <w:color w:val="AD84C6" w:themeColor="accent1"/>
                        </w:rPr>
                        <w:t xml:space="preserve">“Isolation is a big issue – we’ve seen youth isolation drastically rise over the last few years. </w:t>
                      </w:r>
                      <w:r w:rsidR="0054417F">
                        <w:rPr>
                          <w:i/>
                          <w:iCs/>
                          <w:color w:val="AD84C6" w:themeColor="accent1"/>
                        </w:rPr>
                        <w:t>Yes,</w:t>
                      </w:r>
                      <w:r>
                        <w:rPr>
                          <w:i/>
                          <w:iCs/>
                          <w:color w:val="AD84C6" w:themeColor="accent1"/>
                        </w:rPr>
                        <w:t xml:space="preserve"> there is the virtual space, but it’s important to be in-person.”</w:t>
                      </w:r>
                      <w:r>
                        <w:rPr>
                          <w:color w:val="AD84C6" w:themeColor="accent1"/>
                        </w:rPr>
                        <w:t xml:space="preserve"> – Community organization supporting youth in Central Massachusetts</w:t>
                      </w:r>
                    </w:p>
                  </w:txbxContent>
                </v:textbox>
                <w10:wrap type="square" anchorx="page"/>
              </v:shape>
            </w:pict>
          </mc:Fallback>
        </mc:AlternateContent>
      </w:r>
      <w:r w:rsidR="00592E89" w:rsidRPr="00083E3E">
        <w:t>A growing body of research demonstrates that supportive environments and relationships are among the most effective protective factors for LGBTQ youth. Programs such as Gender and Sexuality Alliances (GSAs), summer programs, and youth leadership or advocacy initiatives have been shown to increase hope, reduce symptoms of depression and anxiety, and improve overall well-being. For example, recent research indicates that GSAs support youth in identifying and working toward personal goals, contributing to improved mental health outcomes over time. LGBTQ youth benefit significantly from access to affirming relationships, including chosen family, peer support networks, and supportive adults in schools and communities.</w:t>
      </w:r>
    </w:p>
    <w:p w14:paraId="02FB4C87" w14:textId="7EA49221" w:rsidR="00592E89" w:rsidRPr="00083E3E" w:rsidRDefault="00D94862" w:rsidP="0005607E">
      <w:pPr>
        <w:jc w:val="both"/>
      </w:pPr>
      <w:r>
        <w:t>As previously noted in this report, s</w:t>
      </w:r>
      <w:r w:rsidR="00592E89" w:rsidRPr="00083E3E">
        <w:t>chool climate plays a particularly important role in shaping youth outcomes. Research shows that in schools with inclusive curricula, protective anti-discrimination policies, and student-led organizations such as GSAs, LGBTQ youth report higher self-esteem, fewer depressive symptoms, and greater aspirations to pursue higher education. Conversely, experiences of discrimination and victimization are associated with negative educational and mental health outcomes, including reduced likelihood of planning for postsecondary education.</w:t>
      </w:r>
      <w:r>
        <w:rPr>
          <w:rStyle w:val="FootnoteReference"/>
        </w:rPr>
        <w:footnoteReference w:id="221"/>
      </w:r>
      <w:r w:rsidR="00592E89" w:rsidRPr="00083E3E">
        <w:t xml:space="preserve"> </w:t>
      </w:r>
    </w:p>
    <w:p w14:paraId="7DB381C0" w14:textId="545A949D" w:rsidR="00592E89" w:rsidRPr="00083E3E" w:rsidRDefault="00592E89" w:rsidP="0005607E">
      <w:pPr>
        <w:jc w:val="both"/>
      </w:pPr>
      <w:r w:rsidRPr="00083E3E">
        <w:t xml:space="preserve">In addition to clinical services, community-based interventions are essential to improving LGBTQ youth mental health. Investments in peer support programs, mental health first aid training, and public mental health literacy campaigns have been shown to reduce stigma, increase early intervention, and alleviate pressure on overburdened clinical systems. </w:t>
      </w:r>
      <w:proofErr w:type="gramStart"/>
      <w:r w:rsidR="00D94862">
        <w:t>In particular, y</w:t>
      </w:r>
      <w:r w:rsidRPr="00083E3E">
        <w:t>outh-centered</w:t>
      </w:r>
      <w:proofErr w:type="gramEnd"/>
      <w:r w:rsidRPr="00083E3E">
        <w:t xml:space="preserve"> spaces that foster connection and belonging are </w:t>
      </w:r>
      <w:r w:rsidR="00D94862">
        <w:t xml:space="preserve">especially </w:t>
      </w:r>
      <w:r w:rsidRPr="00083E3E">
        <w:t>impactful</w:t>
      </w:r>
      <w:r w:rsidR="00D94862">
        <w:t xml:space="preserve"> for LGBTQ youth</w:t>
      </w:r>
      <w:r w:rsidRPr="00083E3E">
        <w:t>.</w:t>
      </w:r>
    </w:p>
    <w:p w14:paraId="6A85911F" w14:textId="2A7D6547" w:rsidR="00592E89" w:rsidRPr="00083E3E" w:rsidRDefault="00592E89" w:rsidP="0005607E">
      <w:pPr>
        <w:jc w:val="both"/>
      </w:pPr>
      <w:r w:rsidRPr="00083E3E">
        <w:t xml:space="preserve">Creative, somatic, and community-engaged programming also represent important and effective approaches to supporting LGBTQ youth mental health. </w:t>
      </w:r>
      <w:r w:rsidR="00D94862">
        <w:t>As noted above, a</w:t>
      </w:r>
      <w:r w:rsidRPr="00083E3E">
        <w:t xml:space="preserve">rts-based programs provide opportunities for self-expression, identity development, and community connection, all of which are associated with improved self-esteem and </w:t>
      </w:r>
      <w:r w:rsidR="00D94862">
        <w:t>resilience; t</w:t>
      </w:r>
      <w:r w:rsidRPr="00083E3E">
        <w:t xml:space="preserve">hese programs can be implemented across a range of settings, including schools, community centers, and juvenile justice facilities. Similarly, somatic or body-based interventions have gained recognition as </w:t>
      </w:r>
      <w:r w:rsidRPr="00083E3E">
        <w:lastRenderedPageBreak/>
        <w:t>effective tools for addressing trauma, particularly among youth with histories of violence or chronic stress.</w:t>
      </w:r>
    </w:p>
    <w:p w14:paraId="211D3219" w14:textId="77777777" w:rsidR="00592E89" w:rsidRPr="00083E3E" w:rsidRDefault="00592E89" w:rsidP="0005607E">
      <w:pPr>
        <w:jc w:val="both"/>
      </w:pPr>
      <w:r w:rsidRPr="00083E3E">
        <w:t>Civic engagement and youth-led advocacy can also promote mental health by fostering a sense of purpose, empowerment, and community belonging. Research indicates that such engagement can help youth build resilience and cope with experiences of discrimination, particularly among multiply marginalized populations. However, it is important that these opportunities are structured in a way that supports youth without placing undue responsibility on them to drive systemic change. Adult stakeholders must remain accountable for advancing policy and systems-level reform, while ensuring that youth voices are meaningfully included and supported.</w:t>
      </w:r>
    </w:p>
    <w:p w14:paraId="7817A8C5" w14:textId="3718A5BC" w:rsidR="00592E89" w:rsidRPr="00083E3E" w:rsidRDefault="00592E89" w:rsidP="0005607E">
      <w:pPr>
        <w:jc w:val="both"/>
      </w:pPr>
      <w:r w:rsidRPr="00083E3E">
        <w:t>Virtual programming has emerged as an important tool for expanding access to mental health supports. Online spaces can provide both clinical interventions</w:t>
      </w:r>
      <w:r w:rsidR="00D94862">
        <w:t xml:space="preserve">, </w:t>
      </w:r>
      <w:r w:rsidRPr="00083E3E">
        <w:t>such as cognitive behavioral therapy (CBT) or dialectical behavior therapy (DBT)</w:t>
      </w:r>
      <w:r w:rsidR="00D94862">
        <w:t xml:space="preserve">, </w:t>
      </w:r>
      <w:r w:rsidRPr="00083E3E">
        <w:t>and non-clinical supports, including peer groups</w:t>
      </w:r>
      <w:r w:rsidR="00D94862">
        <w:t xml:space="preserve"> </w:t>
      </w:r>
      <w:r w:rsidRPr="00083E3E">
        <w:t xml:space="preserve">and identity-affirming communities. </w:t>
      </w:r>
      <w:r w:rsidR="00D94862">
        <w:t>Additionally, r</w:t>
      </w:r>
      <w:r w:rsidRPr="00083E3E">
        <w:t>esearch suggests that youth may feel more comfortable sharing personal experiences in virtual settings, particularly when concerns about stigma or disclosure are present.</w:t>
      </w:r>
      <w:r w:rsidR="00D94862">
        <w:rPr>
          <w:rStyle w:val="FootnoteReference"/>
        </w:rPr>
        <w:footnoteReference w:id="222"/>
      </w:r>
      <w:r w:rsidRPr="00083E3E">
        <w:t xml:space="preserve"> Virtual programs also improve access for youth in rural areas</w:t>
      </w:r>
      <w:r w:rsidR="00D94862">
        <w:t xml:space="preserve"> and those without reliable transportation.</w:t>
      </w:r>
    </w:p>
    <w:p w14:paraId="3EB2768B" w14:textId="618513BD" w:rsidR="00592E89" w:rsidRPr="00083E3E" w:rsidRDefault="00D94862" w:rsidP="0005607E">
      <w:pPr>
        <w:jc w:val="both"/>
      </w:pPr>
      <w:r>
        <w:t xml:space="preserve">The </w:t>
      </w:r>
      <w:r w:rsidR="00592E89" w:rsidRPr="00083E3E">
        <w:t xml:space="preserve">Commission recognizes that LGBTQ and QTBIPOC youth possess significant strengths and resilience. Community connection, identity pride, and self-advocacy are key coping strategies that support mental health and well-being. For QTBIPOC </w:t>
      </w:r>
      <w:proofErr w:type="gramStart"/>
      <w:r w:rsidR="00592E89" w:rsidRPr="00083E3E">
        <w:t>youth in particular, racial</w:t>
      </w:r>
      <w:proofErr w:type="gramEnd"/>
      <w:r w:rsidR="00592E89" w:rsidRPr="00083E3E">
        <w:t xml:space="preserve"> and cultural identity, as well as affinity-based spaces, can serve as important protective factors. The Commission therefore recommends continued investment in LGBTQ-affirming racial and cultural affinity spaces within schools and community-based programs. These spaces provide critical opportunities for youth to build community</w:t>
      </w:r>
      <w:r>
        <w:t xml:space="preserve"> </w:t>
      </w:r>
      <w:r w:rsidR="00592E89" w:rsidRPr="00083E3E">
        <w:t>and develop a strong sense of identity and belonging.</w:t>
      </w:r>
    </w:p>
    <w:p w14:paraId="5F7A7867" w14:textId="77777777" w:rsidR="00592E89" w:rsidRPr="00083E3E" w:rsidRDefault="00592E89" w:rsidP="0005607E">
      <w:pPr>
        <w:jc w:val="both"/>
      </w:pPr>
      <w:r w:rsidRPr="00083E3E">
        <w:t>By investing in comprehensive, community-informed, and culturally responsive approaches to suicide prevention, Massachusetts can more effectively address disparities and support the mental health and well-being of LGBTQ youth across the Commonwealth.</w:t>
      </w:r>
    </w:p>
    <w:p w14:paraId="7869F350" w14:textId="54C87F9A" w:rsidR="00592E89" w:rsidRPr="00083E3E" w:rsidRDefault="00592E89" w:rsidP="00E97E73">
      <w:pPr>
        <w:pStyle w:val="Heading3"/>
      </w:pPr>
      <w:bookmarkStart w:id="189" w:name="_Toc230277363"/>
      <w:r w:rsidRPr="00083E3E">
        <w:lastRenderedPageBreak/>
        <w:t>Expand access to mental health services for youth involved in state systems, including child welfare and juvenile justice.</w:t>
      </w:r>
      <w:bookmarkEnd w:id="189"/>
    </w:p>
    <w:p w14:paraId="36CBD36B" w14:textId="7EF6EB29" w:rsidR="00592E89" w:rsidRPr="00083E3E" w:rsidRDefault="00C21C2D" w:rsidP="0005607E">
      <w:pPr>
        <w:jc w:val="both"/>
      </w:pPr>
      <w:r>
        <w:t xml:space="preserve">As previously discussed, </w:t>
      </w:r>
      <w:r w:rsidR="00592E89" w:rsidRPr="00083E3E">
        <w:t xml:space="preserve">LGBTQ youth in state systems face distinct mental health challenges and require affirming, trauma-informed, and culturally responsive services to support their well-being. LGBTQ youth in the child welfare system face additional, compounding stressors. Nationally, </w:t>
      </w:r>
      <w:r>
        <w:t xml:space="preserve">youth involved in the child welfare system </w:t>
      </w:r>
      <w:r w:rsidR="00592E89" w:rsidRPr="00083E3E">
        <w:t xml:space="preserve">are twice as likely to report unfair treatment, contributing to higher rates of placement instability, </w:t>
      </w:r>
      <w:r w:rsidR="00702A0E">
        <w:t xml:space="preserve">as well as </w:t>
      </w:r>
      <w:r w:rsidR="00592E89" w:rsidRPr="00083E3E">
        <w:t>school absenteeism, discipline, and</w:t>
      </w:r>
      <w:r w:rsidR="00702A0E">
        <w:t>/or school</w:t>
      </w:r>
      <w:r w:rsidR="00592E89" w:rsidRPr="00083E3E">
        <w:t xml:space="preserve"> dropout.</w:t>
      </w:r>
      <w:r>
        <w:rPr>
          <w:rStyle w:val="FootnoteReference"/>
        </w:rPr>
        <w:footnoteReference w:id="223"/>
      </w:r>
      <w:r w:rsidR="00592E89" w:rsidRPr="00083E3E">
        <w:t xml:space="preserve"> Effective care requires professionals and caregivers who are both LGBTQ-affirming and trauma-informed, while also being culturally responsive to racial and ethnic differences. Extending access to services beyond the point of system exit and offering safe, LGBTQ-specific social spaces are critical to promoting long-term mental health.</w:t>
      </w:r>
    </w:p>
    <w:p w14:paraId="447A92A0" w14:textId="4933F015" w:rsidR="00592E89" w:rsidRPr="00083E3E" w:rsidRDefault="00592E89" w:rsidP="0005607E">
      <w:pPr>
        <w:jc w:val="both"/>
      </w:pPr>
      <w:r w:rsidRPr="00083E3E">
        <w:t xml:space="preserve">Youth involved in the juvenile and </w:t>
      </w:r>
      <w:r w:rsidR="00C21C2D">
        <w:t xml:space="preserve">adult </w:t>
      </w:r>
      <w:r w:rsidRPr="00083E3E">
        <w:t xml:space="preserve">criminal </w:t>
      </w:r>
      <w:r w:rsidR="00C21C2D">
        <w:t xml:space="preserve">legal </w:t>
      </w:r>
      <w:r w:rsidRPr="00083E3E">
        <w:t xml:space="preserve">systems similarly experience multiple marginalizations. </w:t>
      </w:r>
      <w:r w:rsidR="00C21C2D">
        <w:t xml:space="preserve">As previously noted, many </w:t>
      </w:r>
      <w:r w:rsidRPr="00083E3E">
        <w:t>of these youth are survivors of childhood abuse or trauma, have histories of homelessness or unemployment, and experience violence, sexual assault, and human rights violations within gender-segregated</w:t>
      </w:r>
      <w:r w:rsidR="00C21C2D">
        <w:t xml:space="preserve"> adult</w:t>
      </w:r>
      <w:r w:rsidRPr="00083E3E">
        <w:t xml:space="preserve"> facilities. National data further show that arrest rates are disproportionately higher for BIPOC and transgender youth, driven in part by systemic prejudice, poverty, and inequitable laws such as the criminalization of sex work.</w:t>
      </w:r>
      <w:r w:rsidR="00C21C2D">
        <w:rPr>
          <w:rStyle w:val="FootnoteReference"/>
        </w:rPr>
        <w:footnoteReference w:id="224"/>
      </w:r>
    </w:p>
    <w:p w14:paraId="213B43C3" w14:textId="54E61407" w:rsidR="00A00B1F" w:rsidRDefault="00592E89" w:rsidP="0005607E">
      <w:pPr>
        <w:jc w:val="both"/>
      </w:pPr>
      <w:r w:rsidRPr="00083E3E">
        <w:t>To improve mental health outcomes across state systems, policies and programs should prioritize prevention, early intervention, and support rather than punitive responses. Key strategies include supporting families to prevent removal or detention, recognizing trauma responses rather than labeling youth as aggressive, offering LGBTQ competency training for staff and caregivers, ensuring access to trauma-informed and LGBTQ-specific social and mental health services, and creating clear pathways for reporting and addressing anti-LGBTQ discrimination. By implementing these approaches, Massachusetts can ensure that LGBTQ youth in education, child welfare, and juvenile justice systems receive the affirming and comprehensive mental health supports they need to thrive.</w:t>
      </w:r>
    </w:p>
    <w:p w14:paraId="22FB9636" w14:textId="77777777" w:rsidR="00B815BA" w:rsidRDefault="00B815BA" w:rsidP="00E97E73">
      <w:pPr>
        <w:pStyle w:val="Heading3"/>
      </w:pPr>
      <w:r>
        <w:lastRenderedPageBreak/>
        <w:t>Conclusion</w:t>
      </w:r>
    </w:p>
    <w:p w14:paraId="1D43CC53" w14:textId="5551F331" w:rsidR="00B815BA" w:rsidRPr="00B815BA" w:rsidRDefault="00B815BA" w:rsidP="00B815BA">
      <w:pPr>
        <w:jc w:val="both"/>
      </w:pPr>
      <w:r w:rsidRPr="00B815BA">
        <w:t xml:space="preserve">Improving mental health outcomes for LGBTQ youth requires a continuum of supports that extends beyond traditional clinical care. While access to culturally competent providers remains essential, the Commission’s recommendations also recognize the mental health value of peer connection, youth-led programming, arts and somatic interventions, affirming school climates, community gathering spaces, and trusted adults. These supports are especially important for </w:t>
      </w:r>
      <w:r>
        <w:t>youth with marginalized intersecting identities and youth living outside of urban areas</w:t>
      </w:r>
      <w:r w:rsidRPr="00B815BA">
        <w:t>, who often face overlapping barriers to care and heightened isolation.</w:t>
      </w:r>
    </w:p>
    <w:p w14:paraId="4D025B0D" w14:textId="43EB87DA" w:rsidR="00B815BA" w:rsidRPr="00B815BA" w:rsidRDefault="00B815BA" w:rsidP="00B815BA">
      <w:pPr>
        <w:jc w:val="both"/>
      </w:pPr>
      <w:r w:rsidRPr="00B815BA">
        <w:t>Across the Commission’s FY 2026 listening sessions, youth and providers emphasized that mental health is shaped by the conditions of young people’s daily lives, including family acceptance, housing stability, school climate, discrimination, transportation, community connection, and access to affirming care. Massachusetts should continue investing in both clinical and community-based mental health supports that are accessible, culturally responsive, trauma-informed, and grounded in youth voice. These investments are critical to ensuring that LGBTQ youth are not only protected from crisis, but supported in building confidence, belonging, resilience, and hope.</w:t>
      </w:r>
    </w:p>
    <w:p w14:paraId="35FC3593" w14:textId="4F08E30F" w:rsidR="00A00B1F" w:rsidRDefault="00A00B1F" w:rsidP="0005607E">
      <w:pPr>
        <w:jc w:val="both"/>
      </w:pPr>
      <w:r>
        <w:br w:type="page"/>
      </w:r>
    </w:p>
    <w:p w14:paraId="0256D423" w14:textId="199B2E35" w:rsidR="00592E89" w:rsidRPr="00083E3E" w:rsidRDefault="00A00B1F" w:rsidP="0005607E">
      <w:pPr>
        <w:jc w:val="both"/>
      </w:pPr>
      <w:r>
        <w:rPr>
          <w:noProof/>
        </w:rPr>
        <w:lastRenderedPageBreak/>
        <w:drawing>
          <wp:anchor distT="0" distB="0" distL="114300" distR="114300" simplePos="0" relativeHeight="251735040" behindDoc="1" locked="0" layoutInCell="1" allowOverlap="1" wp14:anchorId="590AFFDB" wp14:editId="41DF981B">
            <wp:simplePos x="0" y="0"/>
            <wp:positionH relativeFrom="column">
              <wp:posOffset>-914400</wp:posOffset>
            </wp:positionH>
            <wp:positionV relativeFrom="paragraph">
              <wp:posOffset>-906145</wp:posOffset>
            </wp:positionV>
            <wp:extent cx="7810500" cy="971550"/>
            <wp:effectExtent l="0" t="0" r="0" b="0"/>
            <wp:wrapNone/>
            <wp:docPr id="1154055079" name="Picture 45" descr="a rainbow flag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055079" name="Picture 45" descr="a rainbow flag header"/>
                    <pic:cNvPicPr/>
                  </pic:nvPicPr>
                  <pic:blipFill>
                    <a:blip r:embed="rId54" cstate="print">
                      <a:extLst>
                        <a:ext uri="{28A0092B-C50C-407E-A947-70E740481C1C}">
                          <a14:useLocalDpi xmlns:a14="http://schemas.microsoft.com/office/drawing/2010/main" val="0"/>
                        </a:ext>
                      </a:extLst>
                    </a:blip>
                    <a:stretch>
                      <a:fillRect/>
                    </a:stretch>
                  </pic:blipFill>
                  <pic:spPr>
                    <a:xfrm>
                      <a:off x="0" y="0"/>
                      <a:ext cx="7810500" cy="971550"/>
                    </a:xfrm>
                    <a:prstGeom prst="rect">
                      <a:avLst/>
                    </a:prstGeom>
                  </pic:spPr>
                </pic:pic>
              </a:graphicData>
            </a:graphic>
            <wp14:sizeRelH relativeFrom="margin">
              <wp14:pctWidth>0</wp14:pctWidth>
            </wp14:sizeRelH>
            <wp14:sizeRelV relativeFrom="margin">
              <wp14:pctHeight>0</wp14:pctHeight>
            </wp14:sizeRelV>
          </wp:anchor>
        </w:drawing>
      </w:r>
    </w:p>
    <w:p w14:paraId="79A36448" w14:textId="6E8F8FAA" w:rsidR="00592E89" w:rsidRPr="00083E3E" w:rsidRDefault="00592E89" w:rsidP="00B7107C">
      <w:pPr>
        <w:pStyle w:val="Heading2"/>
      </w:pPr>
      <w:bookmarkStart w:id="190" w:name="_Toc230276120"/>
      <w:bookmarkStart w:id="191" w:name="_Toc230276227"/>
      <w:bookmarkStart w:id="192" w:name="_Toc230276310"/>
      <w:bookmarkStart w:id="193" w:name="_Toc230276362"/>
      <w:bookmarkStart w:id="194" w:name="_Toc230277103"/>
      <w:bookmarkStart w:id="195" w:name="_Toc230277364"/>
      <w:bookmarkStart w:id="196" w:name="_Toc230355485"/>
      <w:r w:rsidRPr="00083E3E">
        <w:t>Sexual and Reproductive Health: Recommendations</w:t>
      </w:r>
      <w:bookmarkEnd w:id="190"/>
      <w:bookmarkEnd w:id="191"/>
      <w:bookmarkEnd w:id="192"/>
      <w:bookmarkEnd w:id="193"/>
      <w:bookmarkEnd w:id="194"/>
      <w:bookmarkEnd w:id="195"/>
      <w:bookmarkEnd w:id="196"/>
    </w:p>
    <w:p w14:paraId="0C4B1333" w14:textId="01FA9A52" w:rsidR="00592E89" w:rsidRPr="00083E3E" w:rsidRDefault="00592E89" w:rsidP="0005607E">
      <w:pPr>
        <w:jc w:val="both"/>
      </w:pPr>
      <w:r w:rsidRPr="00083E3E">
        <w:t xml:space="preserve">The Commission was founded in the early 1990s to address the significant disparities in LGBTQ youth mental health occurring during the AIDS epidemic. Since then, the Commission has dedicated much of its work and resources to supporting LGBTQ youth sexual health through supporting policies increasing access to PrEP and PEP; advocating for comprehensive sexual health education; addressing factors leading to disparities around sexual victimization; and more. While Massachusetts remains a leader in many areas of LGBTQ legal protections, there </w:t>
      </w:r>
      <w:r w:rsidR="004F6E0A" w:rsidRPr="00083E3E">
        <w:t>remain</w:t>
      </w:r>
      <w:r w:rsidRPr="00083E3E">
        <w:t xml:space="preserve"> a concerning number of areas where the state has failed to stay ahead and ensure that the unique gaps in resources, education, and services for LGBTQ youth are addressed. </w:t>
      </w:r>
    </w:p>
    <w:p w14:paraId="372C3484" w14:textId="5A0E620B" w:rsidR="00592E89" w:rsidRPr="00083E3E" w:rsidRDefault="00592E89" w:rsidP="0005607E">
      <w:pPr>
        <w:jc w:val="both"/>
        <w:rPr>
          <w:vertAlign w:val="superscript"/>
        </w:rPr>
      </w:pPr>
      <w:r w:rsidRPr="00083E3E">
        <w:t xml:space="preserve">To this day, across the state and the nation, LGBTQ youth remain at a higher risk for STIs, HIV, and sexual violence. Furthermore, LGBTQ youth are often left out of conversations around national and statewide conversations involving pregnancy, abortion access, and gynecological health, but often face significant disparities in access and care. Compounding these issues, LGBTQ youth frequently encounter barriers to accessing contraceptives, affirming medical care, and inclusive sexual health education. Across the nation, </w:t>
      </w:r>
      <w:r w:rsidR="0054417F" w:rsidRPr="00083E3E">
        <w:t>twenty-nine</w:t>
      </w:r>
      <w:r w:rsidRPr="00083E3E">
        <w:t xml:space="preserve"> states and D.C. mandate sexual health education in schools, though only </w:t>
      </w:r>
      <w:r w:rsidR="0054417F" w:rsidRPr="00083E3E">
        <w:t>seven</w:t>
      </w:r>
      <w:r w:rsidRPr="00083E3E">
        <w:t xml:space="preserve"> states require curricula to include information on sexual orientation and gender identity - Massachusetts mandates neither.</w:t>
      </w:r>
      <w:r w:rsidRPr="00083E3E">
        <w:rPr>
          <w:rStyle w:val="FootnoteReference"/>
        </w:rPr>
        <w:footnoteReference w:id="225"/>
      </w:r>
    </w:p>
    <w:p w14:paraId="35E76D24" w14:textId="77777777" w:rsidR="00592E89" w:rsidRPr="00083E3E" w:rsidRDefault="00592E89" w:rsidP="00E97E73">
      <w:pPr>
        <w:pStyle w:val="Heading3"/>
      </w:pPr>
      <w:bookmarkStart w:id="197" w:name="_Toc230277365"/>
      <w:r w:rsidRPr="00083E3E">
        <w:t>Ensure all youth have access to age-appropriate, LGBTQ-inclusive, consent-based sexual health education and provide educators with implementation support.</w:t>
      </w:r>
      <w:bookmarkEnd w:id="197"/>
    </w:p>
    <w:p w14:paraId="0A52D8F8" w14:textId="77777777" w:rsidR="00592E89" w:rsidRPr="00083E3E" w:rsidRDefault="00592E89" w:rsidP="0005607E">
      <w:pPr>
        <w:jc w:val="both"/>
      </w:pPr>
      <w:r w:rsidRPr="00083E3E">
        <w:t>Comprehensive sexual health education equips youth with the knowledge and skills to avoid situations of unprotected sex, reducing the risk of STIs, HIV/AIDS transmission, and unintended pregnancy. Core components of such education include medically accurate information about their bodies, guidance on building healthy relationships, and instruction on giving and asking for consent. Despite this, LGBTQ youth frequently receive inadequate or inaccurate sexual health education compared to cisgender and heterosexual peers, leaving them at increased risk for sexual victimization. QTBIPOC youth are particularly underserved, often reporting curricula that fail to address culturally relevant experiences and perspectives.</w:t>
      </w:r>
    </w:p>
    <w:p w14:paraId="275A623C" w14:textId="77777777" w:rsidR="00592E89" w:rsidRPr="00083E3E" w:rsidRDefault="00592E89" w:rsidP="0005607E">
      <w:pPr>
        <w:jc w:val="both"/>
      </w:pPr>
      <w:r w:rsidRPr="00083E3E">
        <w:lastRenderedPageBreak/>
        <w:t>As a result, youth often turn to peers or the Internet for information - sources that may provide misleading or harmful guidance. Consent education is especially lacking, with many elementary school students not taught proper terminology for body parts or foundational consent practices. In August 2023, the Department of Elementary and Secondary Education (DESE) released updated Comprehensive Health and Physical Education Frameworks, developed in consultation with the Commission through the Safe Schools Program. These frameworks represent an important step forward, yet they remain voluntary guidelines rather than legally mandated requirements.</w:t>
      </w:r>
    </w:p>
    <w:p w14:paraId="51775DDB" w14:textId="4158C1CF" w:rsidR="00592E89" w:rsidRPr="00083E3E" w:rsidRDefault="00592E89" w:rsidP="0005607E">
      <w:pPr>
        <w:jc w:val="both"/>
      </w:pPr>
      <w:r w:rsidRPr="00083E3E">
        <w:t>Mandatory sexual health education is crucial because schools often lack the financial, staffing, or community support necessary to provide or prioritize comprehensive curricula. Ongoing political and legal challenges to school curriculum have further discouraged educators from offering sexual health instruction or spaces for youth to process this information. Legal mandates would give educators the backing they need to ensure consistent, inclusive, and age-appropriate education statewide.</w:t>
      </w:r>
      <w:r w:rsidR="00B815BA">
        <w:t xml:space="preserve"> During the Commission’s FY 2026 listening sessions, youth </w:t>
      </w:r>
      <w:r w:rsidR="00B815BA" w:rsidRPr="00B815BA">
        <w:t xml:space="preserve">participants </w:t>
      </w:r>
      <w:r w:rsidR="00B815BA">
        <w:t xml:space="preserve">especially </w:t>
      </w:r>
      <w:r w:rsidR="00B815BA" w:rsidRPr="00B815BA">
        <w:t>emphasized the need for sexual health education that is accurate, inclusive, and age-appropriate. One youth explained that schools should teach about queer sexual health in the same age-appropriate way they teach other sexual health topics, while also using “more inclusive language</w:t>
      </w:r>
      <w:r w:rsidR="00B815BA">
        <w:t xml:space="preserve">.” </w:t>
      </w:r>
    </w:p>
    <w:p w14:paraId="6B586E07" w14:textId="69914295" w:rsidR="00592E89" w:rsidRPr="00083E3E" w:rsidRDefault="00592E89" w:rsidP="0005607E">
      <w:pPr>
        <w:jc w:val="both"/>
      </w:pPr>
      <w:r w:rsidRPr="00083E3E">
        <w:t xml:space="preserve">Research demonstrates strong parental support for sexual health education in schools. A </w:t>
      </w:r>
      <w:r w:rsidR="00702A0E">
        <w:t xml:space="preserve">national </w:t>
      </w:r>
      <w:r w:rsidRPr="00083E3E">
        <w:t>2017 survey found that 93</w:t>
      </w:r>
      <w:proofErr w:type="gramStart"/>
      <w:r w:rsidRPr="00083E3E">
        <w:t>% of parents</w:t>
      </w:r>
      <w:proofErr w:type="gramEnd"/>
      <w:r w:rsidRPr="00083E3E">
        <w:t xml:space="preserve"> of high school students considered sexual health instruction important, and 85% supported including sexual orientation as a topic.</w:t>
      </w:r>
      <w:r w:rsidR="00C21C2D">
        <w:rPr>
          <w:rStyle w:val="FootnoteReference"/>
        </w:rPr>
        <w:footnoteReference w:id="226"/>
      </w:r>
      <w:r w:rsidRPr="00083E3E">
        <w:t xml:space="preserve"> Similarly, a 202</w:t>
      </w:r>
      <w:r w:rsidR="00F832F8">
        <w:t>2</w:t>
      </w:r>
      <w:r w:rsidRPr="00083E3E">
        <w:t xml:space="preserve"> survey of Minnesota parents indicated that approximately 90% supported comprehensive sexual education in schools, with 68.7% endorsing instruction on gender identity and 77.7% on abortion, and most parents supporting introduction of topics in elementary or middle school.</w:t>
      </w:r>
      <w:r w:rsidR="00C21C2D">
        <w:rPr>
          <w:rStyle w:val="FootnoteReference"/>
        </w:rPr>
        <w:footnoteReference w:id="227"/>
      </w:r>
    </w:p>
    <w:p w14:paraId="3A81E9B8" w14:textId="4ECEE121" w:rsidR="00592E89" w:rsidRPr="00083E3E" w:rsidRDefault="00592E89" w:rsidP="0005607E">
      <w:pPr>
        <w:jc w:val="both"/>
      </w:pPr>
      <w:r w:rsidRPr="00083E3E">
        <w:t xml:space="preserve">Without state mandates or dedicated funding, lower-income schools and under-resourced districts may not teach sexual health topics, disproportionately affecting QTBIPOC youth, who are both more likely to face sexual violence and more likely to attend underfunded schools. The Healthy Youth Act (S.340/H.656) ensures that schools electing to teach sexual health education include age-appropriate, consent-based, and LGBTQ-inclusive content. The Commission emphasizes that similar attention must be extended to youth in state systems, including those </w:t>
      </w:r>
      <w:r w:rsidRPr="00083E3E">
        <w:lastRenderedPageBreak/>
        <w:t>served by the Department of Children &amp; Families (DCF), Department of Developmental Services (DDS), and Department of Youth Services (DYS), all of whom have made efforts to update and expand LGBTQ-inclusive sexual health materials</w:t>
      </w:r>
      <w:r w:rsidR="00C21C2D">
        <w:t xml:space="preserve"> in recent years</w:t>
      </w:r>
      <w:r w:rsidRPr="00083E3E">
        <w:t>.</w:t>
      </w:r>
    </w:p>
    <w:p w14:paraId="24F01655" w14:textId="77777777" w:rsidR="00592E89" w:rsidRPr="00083E3E" w:rsidRDefault="00592E89" w:rsidP="0005607E">
      <w:pPr>
        <w:jc w:val="both"/>
      </w:pPr>
      <w:r w:rsidRPr="00083E3E">
        <w:t>Ensuring statewide, legally mandated sexual health education that is inclusive, consent-focused, and adequately resourced is critical to protecting youth, promoting equity, and supporting healthy development across communities.</w:t>
      </w:r>
    </w:p>
    <w:p w14:paraId="2995703B" w14:textId="77777777" w:rsidR="00592E89" w:rsidRPr="00083E3E" w:rsidRDefault="00592E89" w:rsidP="00E97E73">
      <w:pPr>
        <w:pStyle w:val="Heading3"/>
      </w:pPr>
      <w:bookmarkStart w:id="198" w:name="_Toc230277366"/>
      <w:r w:rsidRPr="00083E3E">
        <w:t>Improve research on the experiences of LGBTQ birthing people and access to gender-affirming reproductive healthcare.</w:t>
      </w:r>
      <w:bookmarkEnd w:id="198"/>
    </w:p>
    <w:p w14:paraId="64FF477F" w14:textId="4D8FB02E" w:rsidR="00592E89" w:rsidRPr="00083E3E" w:rsidRDefault="00592E89" w:rsidP="0005607E">
      <w:pPr>
        <w:jc w:val="both"/>
      </w:pPr>
      <w:r w:rsidRPr="00083E3E">
        <w:t xml:space="preserve">Significant gaps remain in </w:t>
      </w:r>
      <w:r w:rsidR="00C21C2D">
        <w:t xml:space="preserve">SOGI </w:t>
      </w:r>
      <w:r w:rsidRPr="00083E3E">
        <w:t>data collection related to pregnancy, abortion services, and maternal health outcomes. Without this data, it is challenging to accurately capture the experiences of LGBTQ birthing people in Massachusetts or to identify disparities in access to gender-affirming reproductive healthcare. The Commission recommends that state agencies explore ways to incorporate SOGI information, where appropriate, to better understand and address the needs of LGBTQ individuals seeking reproductive care.</w:t>
      </w:r>
    </w:p>
    <w:p w14:paraId="3066B897" w14:textId="77777777" w:rsidR="00592E89" w:rsidRPr="00083E3E" w:rsidRDefault="00592E89" w:rsidP="0005607E">
      <w:pPr>
        <w:jc w:val="both"/>
      </w:pPr>
      <w:r w:rsidRPr="00083E3E">
        <w:t>Massachusetts’ maternal mortality rate is 15.3 per 100,000 births, ranking 45th in the nation, with stark racial disparities. Black non-Hispanic birthing people experience severe maternal morbidity at 2.5 times the rate of white non-Hispanic birthing people.</w:t>
      </w:r>
      <w:r w:rsidRPr="00083E3E">
        <w:rPr>
          <w:rStyle w:val="FootnoteReference"/>
        </w:rPr>
        <w:footnoteReference w:id="228"/>
      </w:r>
      <w:r w:rsidRPr="00083E3E">
        <w:t xml:space="preserve"> A first-of-its-kind Department of Public Health report highlighted that a substantial percentage of maternal deaths were deemed preventable, underscoring persistent inequities in maternal health outcomes.</w:t>
      </w:r>
      <w:r w:rsidRPr="00083E3E">
        <w:rPr>
          <w:rStyle w:val="FootnoteReference"/>
        </w:rPr>
        <w:footnoteReference w:id="229"/>
      </w:r>
      <w:r w:rsidRPr="00083E3E">
        <w:t xml:space="preserve"> The state’s Maternal Mortality Review Committee plays a critical role in reviewing maternal deaths, analyzing pregnancy complications, and making recommendations to improve maternal outcomes.</w:t>
      </w:r>
      <w:r w:rsidRPr="00083E3E">
        <w:rPr>
          <w:rStyle w:val="FootnoteReference"/>
        </w:rPr>
        <w:footnoteReference w:id="230"/>
      </w:r>
      <w:r w:rsidRPr="00083E3E">
        <w:t xml:space="preserve"> Research shows that states with such review committees are better equipped to identify preventable causes of maternal mortality and to apply a health equity lens to structural drivers of racial, ethnic, and geographic disparities.</w:t>
      </w:r>
      <w:r w:rsidRPr="00083E3E">
        <w:rPr>
          <w:rStyle w:val="FootnoteReference"/>
        </w:rPr>
        <w:footnoteReference w:id="231"/>
      </w:r>
    </w:p>
    <w:p w14:paraId="6FC45072" w14:textId="2AE9E165" w:rsidR="00592E89" w:rsidRPr="00083E3E" w:rsidRDefault="00592E89" w:rsidP="0005607E">
      <w:pPr>
        <w:jc w:val="both"/>
      </w:pPr>
      <w:r w:rsidRPr="00083E3E">
        <w:lastRenderedPageBreak/>
        <w:t>Despite these advancements, virtually no data exists on how LGBTQ birthing people experience pregnancy, childbirth, and postpartum care, leaving potential inequities unexamined. Without inclusive research and reporting, critical gaps in gender-affirming reproductive healthcare remain invisible, limiting the ability of providers and policymakers to develop interventions that address the unique needs of LGBTQ birthing people. Strengthening research and data collection in this area is essential to ensure equitable access to care</w:t>
      </w:r>
      <w:r w:rsidR="00C21C2D">
        <w:t xml:space="preserve"> </w:t>
      </w:r>
      <w:r w:rsidRPr="00083E3E">
        <w:t>and promote health justice for all birthing people in Massachusetts.</w:t>
      </w:r>
    </w:p>
    <w:p w14:paraId="594F0C37" w14:textId="77777777" w:rsidR="00592E89" w:rsidRPr="00083E3E" w:rsidRDefault="00592E89" w:rsidP="00E97E73">
      <w:pPr>
        <w:pStyle w:val="Heading3"/>
      </w:pPr>
      <w:bookmarkStart w:id="199" w:name="_Toc230277367"/>
      <w:r w:rsidRPr="00083E3E">
        <w:t>Create and fund community birthing centers across the Commonwealth and expand access to culturally competent doula services.</w:t>
      </w:r>
      <w:bookmarkEnd w:id="199"/>
    </w:p>
    <w:p w14:paraId="48947BE9" w14:textId="34DFD953" w:rsidR="00592E89" w:rsidRDefault="00C21C2D" w:rsidP="0005607E">
      <w:pPr>
        <w:jc w:val="both"/>
      </w:pPr>
      <w:r>
        <w:rPr>
          <w:noProof/>
        </w:rPr>
        <w:drawing>
          <wp:anchor distT="0" distB="0" distL="114300" distR="114300" simplePos="0" relativeHeight="251767808" behindDoc="0" locked="0" layoutInCell="1" allowOverlap="1" wp14:anchorId="75D88085" wp14:editId="609DE455">
            <wp:simplePos x="0" y="0"/>
            <wp:positionH relativeFrom="column">
              <wp:posOffset>0</wp:posOffset>
            </wp:positionH>
            <wp:positionV relativeFrom="paragraph">
              <wp:posOffset>1537822</wp:posOffset>
            </wp:positionV>
            <wp:extent cx="5943600" cy="1600200"/>
            <wp:effectExtent l="0" t="0" r="0" b="0"/>
            <wp:wrapTopAndBottom/>
            <wp:docPr id="2045734365" name="Picture 80" descr="a graphic saying that 51% of LGBTQ birthing people reported that bias or discrimination affected their birthing exper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734365" name="Picture 80" descr="a graphic saying that 51% of LGBTQ birthing people reported that bias or discrimination affected their birthing experiences"/>
                    <pic:cNvPicPr/>
                  </pic:nvPicPr>
                  <pic:blipFill rotWithShape="1">
                    <a:blip r:embed="rId55" cstate="print">
                      <a:extLst>
                        <a:ext uri="{28A0092B-C50C-407E-A947-70E740481C1C}">
                          <a14:useLocalDpi xmlns:a14="http://schemas.microsoft.com/office/drawing/2010/main" val="0"/>
                        </a:ext>
                      </a:extLst>
                    </a:blip>
                    <a:srcRect t="36480" b="25453"/>
                    <a:stretch>
                      <a:fillRect/>
                    </a:stretch>
                  </pic:blipFill>
                  <pic:spPr bwMode="auto">
                    <a:xfrm>
                      <a:off x="0" y="0"/>
                      <a:ext cx="5943600" cy="1600200"/>
                    </a:xfrm>
                    <a:prstGeom prst="rect">
                      <a:avLst/>
                    </a:prstGeom>
                    <a:ln>
                      <a:noFill/>
                    </a:ln>
                    <a:extLst>
                      <a:ext uri="{53640926-AAD7-44D8-BBD7-CCE9431645EC}">
                        <a14:shadowObscured xmlns:a14="http://schemas.microsoft.com/office/drawing/2010/main"/>
                      </a:ext>
                    </a:extLst>
                  </pic:spPr>
                </pic:pic>
              </a:graphicData>
            </a:graphic>
          </wp:anchor>
        </w:drawing>
      </w:r>
      <w:r w:rsidR="00592E89" w:rsidRPr="00083E3E">
        <w:t>LGBTQ birthing people frequently face bias and discrimination that negatively impacts the quality of their care. A 2022 national poll from the American Association of Medical Colleges found that 51% of LGBTQ birthing people reported that bias or discrimination affected their birthing experiences.</w:t>
      </w:r>
      <w:r w:rsidR="00592E89" w:rsidRPr="00083E3E">
        <w:rPr>
          <w:rStyle w:val="FootnoteReference"/>
        </w:rPr>
        <w:footnoteReference w:id="232"/>
      </w:r>
      <w:r w:rsidR="00592E89" w:rsidRPr="00083E3E">
        <w:t xml:space="preserve"> Additionally, where LGBTQ-inclusive is limited, the few existing surveys that do exist, in some cases, have been found to be flawed and predominantly focused on white birthing people.</w:t>
      </w:r>
      <w:r w:rsidR="00592E89" w:rsidRPr="00083E3E">
        <w:rPr>
          <w:rStyle w:val="FootnoteReference"/>
        </w:rPr>
        <w:footnoteReference w:id="233"/>
      </w:r>
    </w:p>
    <w:p w14:paraId="37814E25" w14:textId="00BD2B94" w:rsidR="00A00B1F" w:rsidRPr="00083E3E" w:rsidRDefault="00A00B1F" w:rsidP="0005607E">
      <w:pPr>
        <w:jc w:val="both"/>
      </w:pPr>
    </w:p>
    <w:p w14:paraId="036282FF" w14:textId="77777777" w:rsidR="00592E89" w:rsidRPr="00083E3E" w:rsidRDefault="00592E89" w:rsidP="0005607E">
      <w:pPr>
        <w:jc w:val="both"/>
      </w:pPr>
      <w:r w:rsidRPr="00083E3E">
        <w:t>Community birthing centers provide a more comfortable environment for people with low-risk pregnancies, particularly for transgender and gender expansive individuals who are more likely to encounter discrimination in hospital settings.</w:t>
      </w:r>
      <w:r w:rsidRPr="00083E3E">
        <w:rPr>
          <w:rStyle w:val="FootnoteReference"/>
        </w:rPr>
        <w:footnoteReference w:id="234"/>
      </w:r>
      <w:r w:rsidRPr="00083E3E">
        <w:t xml:space="preserve"> Doulas - whether birth doulas, abortion doulas, </w:t>
      </w:r>
      <w:r w:rsidRPr="00083E3E">
        <w:lastRenderedPageBreak/>
        <w:t>or gender-specific doulas - can help reduce health inequities by offering physical, emotional, and informational support, especially for Black LGBTQ birthing people who face compounded health risks and systemic bias. LGBTQ-specialized doulas also play a critical role in helping youth and other patients navigate a healthcare system where discrimination may be common.</w:t>
      </w:r>
      <w:r w:rsidRPr="00083E3E">
        <w:rPr>
          <w:rStyle w:val="FootnoteReference"/>
        </w:rPr>
        <w:footnoteReference w:id="235"/>
      </w:r>
    </w:p>
    <w:p w14:paraId="754832F2" w14:textId="77777777" w:rsidR="00592E89" w:rsidRPr="00083E3E" w:rsidRDefault="00592E89" w:rsidP="0005607E">
      <w:pPr>
        <w:jc w:val="both"/>
      </w:pPr>
      <w:r w:rsidRPr="00083E3E">
        <w:t>Currently, Massachusetts has only one fully operational community birthing center, Seven Sisters Midwifery &amp; Community Birth Center, which integrates gender-affirming care through its services.</w:t>
      </w:r>
      <w:r w:rsidRPr="00083E3E">
        <w:rPr>
          <w:rStyle w:val="FootnoteReference"/>
        </w:rPr>
        <w:footnoteReference w:id="236"/>
      </w:r>
      <w:r w:rsidRPr="00083E3E">
        <w:t xml:space="preserve"> A second center, the Neighborhood Birth Center in Boston, aims to create a home-like, community-centered midwifery space and is poised to break ground in summer 2026, with plans to open in 2027.</w:t>
      </w:r>
      <w:r w:rsidRPr="00083E3E">
        <w:rPr>
          <w:rStyle w:val="FootnoteReference"/>
        </w:rPr>
        <w:footnoteReference w:id="237"/>
      </w:r>
    </w:p>
    <w:p w14:paraId="6DD76499" w14:textId="77777777" w:rsidR="00592E89" w:rsidRPr="00083E3E" w:rsidRDefault="00592E89" w:rsidP="0005607E">
      <w:pPr>
        <w:jc w:val="both"/>
      </w:pPr>
      <w:r w:rsidRPr="00083E3E">
        <w:t>In August 2024, Governor Healey signed an expansive maternal health bill that expands midwifery coverage, community birth centers, doula access, and screening and treatment measures for postpartum depression. The Commission applauds this legislation and emphasizes the need to ensure that these services are inclusive and accessible to LGBTQ birthing people across Massachusetts. Expanding community birthing centers and culturally competent doula services not only improves physical health outcomes but also provides safe, affirming support that is essential for the well-being of LGBTQ birthing people.</w:t>
      </w:r>
    </w:p>
    <w:p w14:paraId="7B3B36FE" w14:textId="77777777" w:rsidR="00592E89" w:rsidRPr="00083E3E" w:rsidRDefault="00592E89" w:rsidP="00E97E73">
      <w:pPr>
        <w:pStyle w:val="Heading3"/>
      </w:pPr>
      <w:bookmarkStart w:id="200" w:name="_Toc230277368"/>
      <w:r w:rsidRPr="00083E3E">
        <w:t>Increase access to contraceptives, menstrual products, and other essential reproductive health supplies.</w:t>
      </w:r>
      <w:bookmarkEnd w:id="200"/>
    </w:p>
    <w:p w14:paraId="29B9A064" w14:textId="6EE8C511" w:rsidR="00592E89" w:rsidRPr="00083E3E" w:rsidRDefault="00592E89" w:rsidP="0005607E">
      <w:pPr>
        <w:jc w:val="both"/>
      </w:pPr>
      <w:r w:rsidRPr="00083E3E">
        <w:t>Research shows that healthcare providers are less likely to discuss birth control options with LGBTQ youth patients.</w:t>
      </w:r>
      <w:r w:rsidRPr="00083E3E">
        <w:rPr>
          <w:rStyle w:val="FootnoteReference"/>
        </w:rPr>
        <w:footnoteReference w:id="238"/>
      </w:r>
      <w:r w:rsidRPr="00083E3E">
        <w:rPr>
          <w:vertAlign w:val="superscript"/>
        </w:rPr>
        <w:t xml:space="preserve"> </w:t>
      </w:r>
      <w:r w:rsidRPr="00083E3E">
        <w:t>LGBTQ youth patients deserve equal access to contraceptives and health care providers need to inform them of their options whether it be for pregnancy prevention, menstrual suppression or both; oral contraceptives, IUDs, contraceptive patches, vaginal rings, Depo injections, implants, and emergency contraceptive pills are viable options for LGBTQ youth, especially for transgender and gender diverse patients who were assigned female at birth.</w:t>
      </w:r>
      <w:r w:rsidRPr="00083E3E">
        <w:rPr>
          <w:rStyle w:val="FootnoteReference"/>
        </w:rPr>
        <w:footnoteReference w:id="239"/>
      </w:r>
      <w:r w:rsidRPr="00083E3E">
        <w:rPr>
          <w:vertAlign w:val="superscript"/>
        </w:rPr>
        <w:t xml:space="preserve"> </w:t>
      </w:r>
      <w:r w:rsidRPr="00083E3E">
        <w:t xml:space="preserve">Access to contraceptives helps LGBTQ youth prevent pregnancy and manage </w:t>
      </w:r>
      <w:r w:rsidRPr="00083E3E">
        <w:lastRenderedPageBreak/>
        <w:t xml:space="preserve">menstruation, two biological functions that might cause distress and gender </w:t>
      </w:r>
      <w:r w:rsidR="0009166F">
        <w:t>dysphoria</w:t>
      </w:r>
      <w:r w:rsidRPr="00083E3E">
        <w:t>. Having access to contraceptives guarantees that the Commonwealth will see lower rates of sexually-transmitted infections, diseases, and unwanted pregnancy rates.</w:t>
      </w:r>
    </w:p>
    <w:p w14:paraId="514AE861" w14:textId="5653D64A" w:rsidR="00592E89" w:rsidRPr="00083E3E" w:rsidRDefault="00592E89" w:rsidP="0005607E">
      <w:pPr>
        <w:jc w:val="both"/>
        <w:rPr>
          <w:vertAlign w:val="superscript"/>
        </w:rPr>
      </w:pPr>
      <w:r w:rsidRPr="00083E3E">
        <w:t xml:space="preserve">Some transgender men and genderqueer youths assigned female at birth may lack knowledge around contraceptives and their reproductive capacity when undergoing testosterone therapy, which is why it is essential for LGBTQ youth to have access to LGBTQ-competent healthcare providers and facilities. Although testosterone reduces fertility, it is still possible </w:t>
      </w:r>
      <w:r w:rsidR="00B815BA">
        <w:t xml:space="preserve">for </w:t>
      </w:r>
      <w:r w:rsidRPr="00083E3E">
        <w:t xml:space="preserve">transgender individuals </w:t>
      </w:r>
      <w:r w:rsidR="00B815BA">
        <w:t xml:space="preserve">on testosterone </w:t>
      </w:r>
      <w:r w:rsidRPr="00083E3E">
        <w:t>to become pregnant. A 2019 study found that one-third of pregnancies for trans men were unplanned, and usage of contraceptives prior to pregnancy was lower for transgender individuals who use testosterone therapy compared to those who had not had testosterone.</w:t>
      </w:r>
      <w:r w:rsidRPr="00083E3E">
        <w:rPr>
          <w:rStyle w:val="FootnoteReference"/>
        </w:rPr>
        <w:footnoteReference w:id="240"/>
      </w:r>
    </w:p>
    <w:p w14:paraId="41C1B917" w14:textId="77777777" w:rsidR="00592E89" w:rsidRPr="00083E3E" w:rsidRDefault="00592E89" w:rsidP="0005607E">
      <w:pPr>
        <w:jc w:val="both"/>
      </w:pPr>
      <w:r w:rsidRPr="00083E3E">
        <w:t>Additionally, despite misconceptions, LGBTQ youth, particularly bisexual girls, are more likely to have unintended pregnancies due to significant barriers such as lack of education, cost, stigma, and discrimination.</w:t>
      </w:r>
      <w:r w:rsidRPr="00083E3E">
        <w:rPr>
          <w:rStyle w:val="FootnoteReference"/>
        </w:rPr>
        <w:footnoteReference w:id="241"/>
      </w:r>
      <w:r w:rsidRPr="00083E3E">
        <w:t xml:space="preserve"> Far too often, conversations around contraceptives for youth are limited to external condoms as the primary option for contraceptive devices, an approach that often ignores alternative, and sometimes more relevant, LGBTQ-inclusive contraceptive devices.</w:t>
      </w:r>
    </w:p>
    <w:p w14:paraId="3FE677C1" w14:textId="77777777" w:rsidR="00592E89" w:rsidRPr="00083E3E" w:rsidRDefault="00592E89" w:rsidP="0005607E">
      <w:pPr>
        <w:jc w:val="both"/>
      </w:pPr>
      <w:r w:rsidRPr="00083E3E">
        <w:t xml:space="preserve">Condoms, both external and internal, are highly effective at reducing infections, HIV transmission, and unintended pregnancies, and are the most accessible as they can often be purchased at convenience stores. However, cost, safety, transportation, mobility, and fear of stigmatization can be challenging barriers to overcome, particularly for youth still living with their parents, who may opt out of purchasing condoms altogether and instead participate in unprotected sexual behaviors. </w:t>
      </w:r>
    </w:p>
    <w:p w14:paraId="078CFD22" w14:textId="668553C0" w:rsidR="00592E89" w:rsidRPr="00083E3E" w:rsidRDefault="00592E89" w:rsidP="0005607E">
      <w:pPr>
        <w:jc w:val="both"/>
        <w:rPr>
          <w:vertAlign w:val="superscript"/>
        </w:rPr>
      </w:pPr>
      <w:r w:rsidRPr="00083E3E">
        <w:t xml:space="preserve">Besides distribution, education to reduce misinformation about condom usage, such as loss of pleasurable sensation and misconceptions that someone has an STI if they ask to use one, should be provided in sexual health education, as should lessons on how to negotiate condom use and risk factors involved. Internal condoms are 95% effective at preventing STIs and pregnancy if used </w:t>
      </w:r>
      <w:r w:rsidR="00B443A2" w:rsidRPr="00083E3E">
        <w:t>correctly but</w:t>
      </w:r>
      <w:r w:rsidRPr="00083E3E">
        <w:t xml:space="preserve"> end up being 75-95% used correctly due to tears, spillage, placement, or other </w:t>
      </w:r>
      <w:r w:rsidRPr="00083E3E">
        <w:lastRenderedPageBreak/>
        <w:t>issues,</w:t>
      </w:r>
      <w:r w:rsidRPr="00083E3E">
        <w:rPr>
          <w:vertAlign w:val="superscript"/>
        </w:rPr>
        <w:t xml:space="preserve"> </w:t>
      </w:r>
      <w:r w:rsidRPr="00083E3E">
        <w:t xml:space="preserve">whereas external condoms are often noted as 98% effective at preventing pregnancy but, </w:t>
      </w:r>
      <w:proofErr w:type="gramStart"/>
      <w:r w:rsidRPr="00083E3E">
        <w:t>in reality, are</w:t>
      </w:r>
      <w:proofErr w:type="gramEnd"/>
      <w:r w:rsidRPr="00083E3E">
        <w:t xml:space="preserve"> only about 87% effective due to improper use.</w:t>
      </w:r>
      <w:r w:rsidRPr="00083E3E">
        <w:rPr>
          <w:rStyle w:val="FootnoteReference"/>
        </w:rPr>
        <w:footnoteReference w:id="242"/>
      </w:r>
    </w:p>
    <w:p w14:paraId="46D7C8E8" w14:textId="77777777" w:rsidR="00592E89" w:rsidRPr="00083E3E" w:rsidRDefault="00592E89" w:rsidP="0005607E">
      <w:pPr>
        <w:jc w:val="both"/>
        <w:rPr>
          <w:vertAlign w:val="superscript"/>
        </w:rPr>
      </w:pPr>
      <w:r w:rsidRPr="00083E3E">
        <w:t>Overall, transgender and gender expansive youth may also avoid using contraceptive devices that may cause gender dysphoria, though contraception can also be used as a key facet of gender-affirming care.</w:t>
      </w:r>
      <w:r w:rsidRPr="00083E3E">
        <w:rPr>
          <w:rStyle w:val="FootnoteReference"/>
        </w:rPr>
        <w:footnoteReference w:id="243"/>
      </w:r>
      <w:r w:rsidRPr="00083E3E">
        <w:rPr>
          <w:vertAlign w:val="superscript"/>
        </w:rPr>
        <w:t xml:space="preserve"> </w:t>
      </w:r>
      <w:r w:rsidRPr="00083E3E">
        <w:t>Similarly, contacting a medical provider for an IUD insertion or a birth control injection, or picking up birth control or Plan B at a pharmacy, can often be complicated and inaccessible choices for individuals who are transgender or gender expansive due to fear of stigmatization or medical discrimination.</w:t>
      </w:r>
      <w:r w:rsidRPr="00083E3E">
        <w:rPr>
          <w:rStyle w:val="FootnoteReference"/>
        </w:rPr>
        <w:footnoteReference w:id="244"/>
      </w:r>
    </w:p>
    <w:p w14:paraId="5F435807" w14:textId="77777777" w:rsidR="00592E89" w:rsidRPr="00083E3E" w:rsidRDefault="00592E89" w:rsidP="0005607E">
      <w:pPr>
        <w:jc w:val="both"/>
      </w:pPr>
      <w:r w:rsidRPr="00083E3E">
        <w:t xml:space="preserve">The state should explore funding programs and services to provide free contraceptives to youth in public buildings and hospitals, as well as conduct awareness campaigns to educate the public on types of contraceptives and proper use. Recent decisions by some universities - including Boston University - to establish contraceptive vending machines for students should be replicated, expanded, and funded by the state. </w:t>
      </w:r>
      <w:r w:rsidRPr="00083E3E">
        <w:tab/>
      </w:r>
      <w:r w:rsidRPr="00083E3E">
        <w:tab/>
      </w:r>
      <w:r w:rsidRPr="00083E3E">
        <w:tab/>
      </w:r>
      <w:r w:rsidRPr="00083E3E">
        <w:tab/>
      </w:r>
      <w:r w:rsidRPr="00083E3E">
        <w:tab/>
      </w:r>
      <w:r w:rsidRPr="00083E3E">
        <w:tab/>
      </w:r>
    </w:p>
    <w:p w14:paraId="3594E607" w14:textId="77777777" w:rsidR="00592E89" w:rsidRPr="00083E3E" w:rsidRDefault="00592E89" w:rsidP="0005607E">
      <w:pPr>
        <w:jc w:val="both"/>
      </w:pPr>
      <w:r w:rsidRPr="00083E3E">
        <w:t xml:space="preserve">Finally, the Commission continues to recommend the implementation of </w:t>
      </w:r>
      <w:r w:rsidRPr="00083E3E">
        <w:rPr>
          <w:i/>
          <w:iCs/>
        </w:rPr>
        <w:t>An Act to Increase Access to Disposable Menstrual Products</w:t>
      </w:r>
      <w:r w:rsidRPr="00083E3E">
        <w:t xml:space="preserve"> </w:t>
      </w:r>
      <w:r w:rsidRPr="00083E3E">
        <w:rPr>
          <w:b/>
          <w:bCs/>
        </w:rPr>
        <w:t>(S.1549/H.2483)</w:t>
      </w:r>
      <w:r w:rsidRPr="00083E3E">
        <w:t>, also known as the ‘I AM’ bill, which would require that disposable menstrual products be provided to all youth in schools, prisons, and homeless shelters. The Commission further advises that the state explore increasing funding to libraries and community centers to provide similar access. Another way to expand access to menstrual products is through the SNAP, the federal nutrition program that aims to reduce food insecurity for low-income communities. Surveys have shown that more than 25% of lesbian, gay, and bisexual individuals aged 18-44 participated in SNAP, compared to 20% of heterosexual participants. Most federal surveys do not sufficiently measure participants’ gender identity, but studies have shown that transgender individuals have struggled with food insecurity more so than their cisgender counterparts.</w:t>
      </w:r>
      <w:r w:rsidRPr="00083E3E">
        <w:rPr>
          <w:rStyle w:val="FootnoteReference"/>
        </w:rPr>
        <w:footnoteReference w:id="245"/>
      </w:r>
    </w:p>
    <w:p w14:paraId="2C495A15" w14:textId="680C611F" w:rsidR="00592E89" w:rsidRPr="00083E3E" w:rsidRDefault="00592E89" w:rsidP="0005607E">
      <w:pPr>
        <w:jc w:val="both"/>
        <w:rPr>
          <w:vertAlign w:val="superscript"/>
        </w:rPr>
      </w:pPr>
      <w:r w:rsidRPr="00083E3E">
        <w:lastRenderedPageBreak/>
        <w:t xml:space="preserve">At the federal level, menstrual products are not covered by SNAP benefits. However, the Commonwealth could introduce legislation to allow SNAP recipients to purchase period products with their benefits, </w:t>
      </w:r>
      <w:proofErr w:type="gramStart"/>
      <w:r w:rsidRPr="00083E3E">
        <w:t>similar to</w:t>
      </w:r>
      <w:proofErr w:type="gramEnd"/>
      <w:r w:rsidRPr="00083E3E">
        <w:t xml:space="preserve"> what Illinois implemented in January 2022.</w:t>
      </w:r>
      <w:r w:rsidRPr="00083E3E">
        <w:rPr>
          <w:rStyle w:val="FootnoteReference"/>
        </w:rPr>
        <w:footnoteReference w:id="246"/>
      </w:r>
    </w:p>
    <w:p w14:paraId="1511B2AB" w14:textId="77777777" w:rsidR="00592E89" w:rsidRPr="00083E3E" w:rsidRDefault="00592E89" w:rsidP="00E97E73">
      <w:pPr>
        <w:pStyle w:val="Heading3"/>
      </w:pPr>
      <w:bookmarkStart w:id="201" w:name="_Toc230277369"/>
      <w:r w:rsidRPr="00083E3E">
        <w:t>Continue exploring pathways to expand access to abortion services, particularly in rural areas.</w:t>
      </w:r>
      <w:bookmarkEnd w:id="201"/>
      <w:r w:rsidRPr="00083E3E">
        <w:tab/>
      </w:r>
    </w:p>
    <w:p w14:paraId="63001832" w14:textId="77777777" w:rsidR="00592E89" w:rsidRPr="00083E3E" w:rsidRDefault="00592E89" w:rsidP="0005607E">
      <w:pPr>
        <w:jc w:val="both"/>
      </w:pPr>
      <w:r w:rsidRPr="00083E3E">
        <w:t xml:space="preserve">With the fall of the Supreme Court decision </w:t>
      </w:r>
      <w:r w:rsidRPr="00083E3E">
        <w:rPr>
          <w:i/>
          <w:iCs/>
        </w:rPr>
        <w:t xml:space="preserve">Roe v. Wade </w:t>
      </w:r>
      <w:r w:rsidRPr="00083E3E">
        <w:t xml:space="preserve">in the summer of 2022 and continued subsequent attacks against abortion access across the nation, Massachusetts has done well to rapidly implement stronger protections to ensure that residents - and non- residents traveling into the state - continue to receive appropriate medical care and control over their own bodies. The Commission appreciates the April 2023 actions from Governor Healey to protect access to mifepristone and encourages the state to continue to explore further actions that ensure that underserved communities - particularly youth of color - do not lose access to this critical medication. </w:t>
      </w:r>
      <w:r w:rsidRPr="00083E3E">
        <w:tab/>
      </w:r>
      <w:r w:rsidRPr="00083E3E">
        <w:tab/>
      </w:r>
      <w:r w:rsidRPr="00083E3E">
        <w:tab/>
      </w:r>
    </w:p>
    <w:p w14:paraId="15AD1A59" w14:textId="77777777" w:rsidR="00592E89" w:rsidRPr="00083E3E" w:rsidRDefault="00592E89" w:rsidP="0005607E">
      <w:pPr>
        <w:jc w:val="both"/>
      </w:pPr>
      <w:r w:rsidRPr="00083E3E">
        <w:t>LGBTQ women, girls and nonbinary youth (as high as 46.6%) are more likely to become pregnant than straight, cisgender youth.</w:t>
      </w:r>
      <w:r w:rsidRPr="00083E3E">
        <w:rPr>
          <w:rStyle w:val="FootnoteReference"/>
        </w:rPr>
        <w:footnoteReference w:id="247"/>
      </w:r>
      <w:r w:rsidRPr="00083E3E">
        <w:rPr>
          <w:vertAlign w:val="superscript"/>
        </w:rPr>
        <w:t xml:space="preserve"> </w:t>
      </w:r>
      <w:r w:rsidRPr="00083E3E">
        <w:t>Research indicates that unintended teen pregnancy rates have been shown to be higher for youth who are Black, Latinx, Native, Pacific Islander, living in foster care, homeless, or have an intellectual disability.</w:t>
      </w:r>
      <w:r w:rsidRPr="00083E3E">
        <w:rPr>
          <w:rStyle w:val="FootnoteReference"/>
        </w:rPr>
        <w:footnoteReference w:id="248"/>
      </w:r>
      <w:r w:rsidRPr="00083E3E">
        <w:rPr>
          <w:vertAlign w:val="superscript"/>
        </w:rPr>
        <w:t xml:space="preserve"> </w:t>
      </w:r>
      <w:r w:rsidRPr="00083E3E">
        <w:t>Further potential disparate factors for unintended pregnancies include childhood abuse, increased rates of sexual assault, bullying, family’s low income, and lack of access to appropriate sexual health education.</w:t>
      </w:r>
      <w:r w:rsidRPr="00083E3E">
        <w:rPr>
          <w:rStyle w:val="FootnoteReference"/>
        </w:rPr>
        <w:footnoteReference w:id="249"/>
      </w:r>
      <w:r w:rsidRPr="00083E3E">
        <w:rPr>
          <w:vertAlign w:val="superscript"/>
        </w:rPr>
        <w:t xml:space="preserve"> </w:t>
      </w:r>
      <w:r w:rsidRPr="00083E3E">
        <w:t xml:space="preserve">Consequently, LGBTQ youth are more likely than cisgender, heterosexual youth to seek access for abortion services; one national study indicated that bisexual teens were three times more likely than </w:t>
      </w:r>
      <w:r w:rsidRPr="00083E3E">
        <w:lastRenderedPageBreak/>
        <w:t>heterosexual teens to have an abortion.</w:t>
      </w:r>
      <w:r w:rsidRPr="00083E3E">
        <w:rPr>
          <w:rStyle w:val="FootnoteReference"/>
        </w:rPr>
        <w:footnoteReference w:id="250"/>
      </w:r>
      <w:r w:rsidRPr="00083E3E">
        <w:rPr>
          <w:vertAlign w:val="superscript"/>
        </w:rPr>
        <w:t xml:space="preserve"> </w:t>
      </w:r>
      <w:r w:rsidRPr="00083E3E">
        <w:t>In a 2021 national study of transgender, nonbinary, and gender expansive people assigned-female-at-birth or intersex who were mostly under 30 years old, 21% who had been pregnant had gotten an abortion.</w:t>
      </w:r>
      <w:r w:rsidRPr="00083E3E">
        <w:rPr>
          <w:rStyle w:val="FootnoteReference"/>
        </w:rPr>
        <w:footnoteReference w:id="251"/>
      </w:r>
      <w:r w:rsidRPr="00083E3E">
        <w:rPr>
          <w:vertAlign w:val="superscript"/>
        </w:rPr>
        <w:t xml:space="preserve"> </w:t>
      </w:r>
      <w:r w:rsidRPr="00083E3E">
        <w:t>Similar barriers to contraception access also exist for abortion access, including cost, health insurance coverage, transportation, medical discrimination and racism, unsupportive caregivers, and immigration status.</w:t>
      </w:r>
    </w:p>
    <w:p w14:paraId="073AEF93" w14:textId="7FF81694" w:rsidR="004B54A9" w:rsidRDefault="00592E89" w:rsidP="0005607E">
      <w:pPr>
        <w:jc w:val="both"/>
      </w:pPr>
      <w:r w:rsidRPr="00083E3E">
        <w:t xml:space="preserve">The ROE Act was codified into law by the Massachusetts legislature in 2022, expanding abortion access in the Commonwealth, preventing criminal action against out-of-state individuals seeking abortion care in Massachusetts. After the ROE Act became law, it repealed the parental consent provision for older teens aged 16 and 17 years old. It also made it official for judicial bypass hearings to take place virtually rather than in person. In the summer of 2025, the Commonwealth passed the Shield Act 2.0 to provide stronger protections for abortion providers and expand access and safety for those seeking gender-affirming care in Massachusetts. </w:t>
      </w:r>
    </w:p>
    <w:p w14:paraId="2CE4B705" w14:textId="77777777" w:rsidR="0009166F" w:rsidRDefault="0009166F" w:rsidP="00E97E73">
      <w:pPr>
        <w:pStyle w:val="Heading3"/>
      </w:pPr>
      <w:r>
        <w:t>Conclusion</w:t>
      </w:r>
    </w:p>
    <w:p w14:paraId="67C00143" w14:textId="391D255B" w:rsidR="0009166F" w:rsidRPr="0009166F" w:rsidRDefault="0009166F" w:rsidP="0009166F">
      <w:pPr>
        <w:jc w:val="both"/>
      </w:pPr>
      <w:r w:rsidRPr="0009166F">
        <w:t xml:space="preserve">Sexual and reproductive health access remains central to LGBTQ youth safety, autonomy, and well-being. As this section demonstrates, LGBTQ youth need more than general access to care; they need sexual health education, reproductive health services, contraceptives, menstrual products, abortion access, and pregnancy-related care that are accurate, inclusive, confidential, affordable, and affirming. These needs are especially urgent for </w:t>
      </w:r>
      <w:r w:rsidR="00C21C2D">
        <w:t>youth with marginalized identities and those living outside of urban areas</w:t>
      </w:r>
      <w:r w:rsidRPr="0009166F">
        <w:t xml:space="preserve"> who may face overlapping barriers related to cost, transportation, stigma, discrimination, family rejection, and lack of culturally competent providers.</w:t>
      </w:r>
    </w:p>
    <w:p w14:paraId="6B872034" w14:textId="6EA0FDD6" w:rsidR="004B54A9" w:rsidRDefault="0009166F" w:rsidP="0005607E">
      <w:pPr>
        <w:jc w:val="both"/>
      </w:pPr>
      <w:r w:rsidRPr="0009166F">
        <w:t>Across the Commission’s FY 2026 listening sessions, youth and providers emphasized that practical access matters: young people need clear information, trusted adults, affirming providers, and low-barrier services before health needs become crises. Strengthening sexual and reproductive health supports is therefore not only a matter of health care access, but also of equity, prevention, and bodily autonomy. The following section turns to environmental health, where similar questions of safety, access, public infrastructure, and disproportionate exposure to harm shape the well-being of LGBTQ youth and communities across the Commonwealth.</w:t>
      </w:r>
      <w:r w:rsidR="004B54A9">
        <w:br w:type="page"/>
      </w:r>
    </w:p>
    <w:p w14:paraId="17280EBE" w14:textId="39EB4F38" w:rsidR="007F21B6" w:rsidRPr="00083E3E" w:rsidRDefault="007F21B6" w:rsidP="0005607E">
      <w:pPr>
        <w:jc w:val="both"/>
      </w:pPr>
      <w:r>
        <w:rPr>
          <w:noProof/>
        </w:rPr>
        <w:lastRenderedPageBreak/>
        <w:drawing>
          <wp:anchor distT="0" distB="0" distL="114300" distR="114300" simplePos="0" relativeHeight="251736064" behindDoc="1" locked="0" layoutInCell="1" allowOverlap="1" wp14:anchorId="0312BFCD" wp14:editId="5B9710FA">
            <wp:simplePos x="0" y="0"/>
            <wp:positionH relativeFrom="column">
              <wp:posOffset>-914400</wp:posOffset>
            </wp:positionH>
            <wp:positionV relativeFrom="paragraph">
              <wp:posOffset>-4163695</wp:posOffset>
            </wp:positionV>
            <wp:extent cx="7829550" cy="4419600"/>
            <wp:effectExtent l="0" t="0" r="0" b="0"/>
            <wp:wrapNone/>
            <wp:docPr id="1946966116" name="Picture 48" descr="a rainbow flag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966116" name="Picture 48" descr="a rainbow flag header"/>
                    <pic:cNvPicPr/>
                  </pic:nvPicPr>
                  <pic:blipFill rotWithShape="1">
                    <a:blip r:embed="rId56" cstate="print">
                      <a:extLst>
                        <a:ext uri="{28A0092B-C50C-407E-A947-70E740481C1C}">
                          <a14:useLocalDpi xmlns:a14="http://schemas.microsoft.com/office/drawing/2010/main" val="0"/>
                        </a:ext>
                      </a:extLst>
                    </a:blip>
                    <a:srcRect t="-45439" b="60767"/>
                    <a:stretch>
                      <a:fillRect/>
                    </a:stretch>
                  </pic:blipFill>
                  <pic:spPr>
                    <a:xfrm>
                      <a:off x="0" y="0"/>
                      <a:ext cx="7829550" cy="4419600"/>
                    </a:xfrm>
                    <a:prstGeom prst="rect">
                      <a:avLst/>
                    </a:prstGeom>
                  </pic:spPr>
                </pic:pic>
              </a:graphicData>
            </a:graphic>
            <wp14:sizeRelH relativeFrom="margin">
              <wp14:pctWidth>0</wp14:pctWidth>
            </wp14:sizeRelH>
            <wp14:sizeRelV relativeFrom="margin">
              <wp14:pctHeight>0</wp14:pctHeight>
            </wp14:sizeRelV>
          </wp:anchor>
        </w:drawing>
      </w:r>
    </w:p>
    <w:p w14:paraId="7B058F99" w14:textId="2E227547" w:rsidR="00592E89" w:rsidRPr="00083E3E" w:rsidRDefault="00592E89" w:rsidP="00B7107C">
      <w:pPr>
        <w:pStyle w:val="Heading2"/>
      </w:pPr>
      <w:bookmarkStart w:id="202" w:name="_Toc230276121"/>
      <w:bookmarkStart w:id="203" w:name="_Toc230276228"/>
      <w:bookmarkStart w:id="204" w:name="_Toc230276311"/>
      <w:bookmarkStart w:id="205" w:name="_Toc230276363"/>
      <w:bookmarkStart w:id="206" w:name="_Toc230277104"/>
      <w:bookmarkStart w:id="207" w:name="_Toc230277370"/>
      <w:bookmarkStart w:id="208" w:name="_Toc230355486"/>
      <w:r w:rsidRPr="00083E3E">
        <w:t>Environmental Health: Recommendations</w:t>
      </w:r>
      <w:bookmarkEnd w:id="202"/>
      <w:bookmarkEnd w:id="203"/>
      <w:bookmarkEnd w:id="204"/>
      <w:bookmarkEnd w:id="205"/>
      <w:bookmarkEnd w:id="206"/>
      <w:bookmarkEnd w:id="207"/>
      <w:bookmarkEnd w:id="208"/>
    </w:p>
    <w:p w14:paraId="1F62DF70" w14:textId="66B12461" w:rsidR="00592E89" w:rsidRPr="00083E3E" w:rsidRDefault="00592E89" w:rsidP="0005607E">
      <w:pPr>
        <w:jc w:val="both"/>
      </w:pPr>
      <w:r w:rsidRPr="00083E3E">
        <w:t xml:space="preserve">The necessity of examining the undue environmental burdens placed on LGBTQ youth is undeniable; exposure to environmental stressors such as air pollution and toxic chemicals exacerbates the health and economic inequalities LGBTQ communities already face. Those who hold multiple marginalized identities, such as QTBIPOC youth, experience compounding effects from multiple overlapping systems of oppression. Environmental justice describes the right of all people to be protected from environmental hazards and to enjoy the benefits of a clean, healthy environment. Historically, environmental justice organizing emerged out of grassroots activism that sought to address the unfair exposure of poor, </w:t>
      </w:r>
      <w:r w:rsidR="007D658D" w:rsidRPr="00083E3E">
        <w:t>Black,</w:t>
      </w:r>
      <w:r w:rsidRPr="00083E3E">
        <w:t xml:space="preserve"> and Indigenous communities to industrial pollution and hazardous land uses through the lens of civil rights.</w:t>
      </w:r>
      <w:r w:rsidRPr="00083E3E">
        <w:rPr>
          <w:rStyle w:val="FootnoteReference"/>
        </w:rPr>
        <w:footnoteReference w:id="252"/>
      </w:r>
    </w:p>
    <w:p w14:paraId="2F229318" w14:textId="77777777" w:rsidR="00592E89" w:rsidRPr="00083E3E" w:rsidRDefault="00592E89" w:rsidP="0005607E">
      <w:pPr>
        <w:jc w:val="both"/>
        <w:rPr>
          <w:vertAlign w:val="superscript"/>
        </w:rPr>
      </w:pPr>
      <w:r w:rsidRPr="00083E3E">
        <w:t>One of the tenets of environmental justice as defined by the Massachusetts Executive Office of Energy and Environmental Affairs (EEA) is the “equal protection and meaningful involvement of all people and communities” in the environmental policymaking process.</w:t>
      </w:r>
      <w:r w:rsidRPr="00083E3E">
        <w:rPr>
          <w:rStyle w:val="FootnoteReference"/>
        </w:rPr>
        <w:footnoteReference w:id="253"/>
      </w:r>
      <w:r w:rsidRPr="00083E3E">
        <w:rPr>
          <w:vertAlign w:val="superscript"/>
        </w:rPr>
        <w:t xml:space="preserve"> </w:t>
      </w:r>
      <w:r w:rsidRPr="00083E3E">
        <w:t>Environmental justice principles have been incorporated into policies and programs at the federal, state, and local level to help address the disproportionate share of environmental burdens experienced by low-income communities and communities of color and ensure a more equitable distribution of environmental assets, such as green space.</w:t>
      </w:r>
      <w:r w:rsidRPr="00083E3E">
        <w:rPr>
          <w:rStyle w:val="FootnoteReference"/>
        </w:rPr>
        <w:footnoteReference w:id="254"/>
      </w:r>
    </w:p>
    <w:p w14:paraId="5C71DD87" w14:textId="3975E280" w:rsidR="00592E89" w:rsidRPr="00083E3E" w:rsidRDefault="00592E89" w:rsidP="0005607E">
      <w:pPr>
        <w:jc w:val="both"/>
      </w:pPr>
      <w:r w:rsidRPr="00083E3E">
        <w:t>While environmental justice has traditionally focused on the disproportionate burdens faced by low-income communities of color, researchers and activists are increasingly recognizing disparities in the environment based on many axes of oppression, such as gender, age, religion, immigration status, ability, and sexual orientation.</w:t>
      </w:r>
      <w:r w:rsidRPr="00083E3E">
        <w:rPr>
          <w:rStyle w:val="FootnoteReference"/>
        </w:rPr>
        <w:footnoteReference w:id="255"/>
      </w:r>
      <w:r w:rsidRPr="00083E3E">
        <w:t xml:space="preserve"> The 2024 Trevor Project survey showed that a majority of LGBTQ+ youth across the nation worry ”a lot” about the environment. Furthermore, worries about climate change were shown to have a correlation to higher </w:t>
      </w:r>
      <w:r w:rsidRPr="00083E3E">
        <w:lastRenderedPageBreak/>
        <w:t>depression and anxiety symptoms.</w:t>
      </w:r>
      <w:r w:rsidRPr="00083E3E">
        <w:rPr>
          <w:rStyle w:val="FootnoteReference"/>
        </w:rPr>
        <w:footnoteReference w:id="256"/>
      </w:r>
      <w:r w:rsidRPr="00083E3E">
        <w:t xml:space="preserve"> Examining environmental injustice through the lenses of race and class alone is not enough </w:t>
      </w:r>
      <w:r w:rsidR="00121BF5">
        <w:t>-</w:t>
      </w:r>
      <w:r w:rsidRPr="00083E3E">
        <w:t xml:space="preserve"> we must consider the unique environmental injustices that LGBTQ, Indigenous, immigrant, and disabled communities experience, and, most crucially of all, the compounding injustices experienced by people who hold multiple oppressed identities, such </w:t>
      </w:r>
      <w:r w:rsidR="00B7107C">
        <w:rPr>
          <w:noProof/>
        </w:rPr>
        <w:drawing>
          <wp:anchor distT="0" distB="0" distL="114300" distR="114300" simplePos="0" relativeHeight="251768832" behindDoc="0" locked="0" layoutInCell="1" allowOverlap="1" wp14:anchorId="5C33025A" wp14:editId="1C8FAB5A">
            <wp:simplePos x="0" y="0"/>
            <wp:positionH relativeFrom="column">
              <wp:posOffset>0</wp:posOffset>
            </wp:positionH>
            <wp:positionV relativeFrom="paragraph">
              <wp:posOffset>979805</wp:posOffset>
            </wp:positionV>
            <wp:extent cx="5943600" cy="2505075"/>
            <wp:effectExtent l="0" t="0" r="0" b="9525"/>
            <wp:wrapTopAndBottom/>
            <wp:docPr id="1142525576" name="Picture 81" descr="a graphic saying that a majority of LGBTQ+ youth across the nation worry ”a lot” about the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525576" name="Picture 81" descr="a graphic saying that a majority of LGBTQ+ youth across the nation worry ”a lot” about the environment"/>
                    <pic:cNvPicPr/>
                  </pic:nvPicPr>
                  <pic:blipFill rotWithShape="1">
                    <a:blip r:embed="rId57">
                      <a:extLst>
                        <a:ext uri="{28A0092B-C50C-407E-A947-70E740481C1C}">
                          <a14:useLocalDpi xmlns:a14="http://schemas.microsoft.com/office/drawing/2010/main" val="0"/>
                        </a:ext>
                      </a:extLst>
                    </a:blip>
                    <a:srcRect b="66282"/>
                    <a:stretch>
                      <a:fillRect/>
                    </a:stretch>
                  </pic:blipFill>
                  <pic:spPr bwMode="auto">
                    <a:xfrm>
                      <a:off x="0" y="0"/>
                      <a:ext cx="5943600" cy="2505075"/>
                    </a:xfrm>
                    <a:prstGeom prst="rect">
                      <a:avLst/>
                    </a:prstGeom>
                    <a:ln>
                      <a:noFill/>
                    </a:ln>
                    <a:extLst>
                      <a:ext uri="{53640926-AAD7-44D8-BBD7-CCE9431645EC}">
                        <a14:shadowObscured xmlns:a14="http://schemas.microsoft.com/office/drawing/2010/main"/>
                      </a:ext>
                    </a:extLst>
                  </pic:spPr>
                </pic:pic>
              </a:graphicData>
            </a:graphic>
          </wp:anchor>
        </w:drawing>
      </w:r>
      <w:r w:rsidRPr="00083E3E">
        <w:t xml:space="preserve">as QTBIPOC youth. </w:t>
      </w:r>
    </w:p>
    <w:p w14:paraId="174C6DC5" w14:textId="3AC9D9DC" w:rsidR="00592E89" w:rsidRPr="00083E3E" w:rsidRDefault="00592E89" w:rsidP="00E97E73">
      <w:pPr>
        <w:pStyle w:val="Heading3"/>
      </w:pPr>
      <w:bookmarkStart w:id="209" w:name="_Toc230277371"/>
      <w:r w:rsidRPr="00083E3E">
        <w:t>Increase research on the impacts of environmental hazards on marginalized communities.</w:t>
      </w:r>
      <w:bookmarkEnd w:id="209"/>
    </w:p>
    <w:p w14:paraId="31354215" w14:textId="77777777" w:rsidR="000329CD" w:rsidRDefault="00592E89" w:rsidP="0005607E">
      <w:pPr>
        <w:jc w:val="both"/>
      </w:pPr>
      <w:r w:rsidRPr="00083E3E">
        <w:t xml:space="preserve">Unfortunately, there are significant data gaps when it comes to examining the environmental justice needs of LGBTQ youth. Gender and sexuality are still not commonly considered as important factors in environmental justice research, and there are limited studies and data sources that explore the intersections of gender and sexuality with access to environmental benefits and exposure to hazards. Overall, there is limited data on where LGBTQ people live, which poses a challenge to understanding the environmental injustices faced by LGBTQ communities since much of environmental justice research depends on residence data. </w:t>
      </w:r>
    </w:p>
    <w:p w14:paraId="6A1BDD5B" w14:textId="795E4977" w:rsidR="00592E89" w:rsidRPr="00083E3E" w:rsidRDefault="00592E89" w:rsidP="0005607E">
      <w:pPr>
        <w:jc w:val="both"/>
      </w:pPr>
      <w:r w:rsidRPr="00083E3E">
        <w:t xml:space="preserve">For instance, U.S. Census Bureau data is widely used to examine disparities in exposure to environmental hazards and access to environmental benefits and does not typically include expansive SOGIE (sexual orientation and gender identity/expression) data. The 2020 Census did give people the option to identify a relationship as same-sex for the first time, but this comes nowhere close to encompassing the diversity of LGBTQ communities. Data on same- sex </w:t>
      </w:r>
      <w:r w:rsidRPr="00083E3E">
        <w:lastRenderedPageBreak/>
        <w:t xml:space="preserve">households omits partners that </w:t>
      </w:r>
      <w:r w:rsidR="0054417F" w:rsidRPr="00083E3E">
        <w:t>do not</w:t>
      </w:r>
      <w:r w:rsidRPr="00083E3E">
        <w:t xml:space="preserve"> live together, single LGBTQ people, most LGBTQ youth, many bisexual and trans people, and still operates within the gender binary, excluding nonbinary and intersex people.</w:t>
      </w:r>
      <w:r w:rsidRPr="00083E3E">
        <w:rPr>
          <w:rStyle w:val="FootnoteReference"/>
        </w:rPr>
        <w:footnoteReference w:id="257"/>
      </w:r>
      <w:r w:rsidRPr="00083E3E">
        <w:rPr>
          <w:vertAlign w:val="superscript"/>
        </w:rPr>
        <w:t xml:space="preserve"> </w:t>
      </w:r>
      <w:r w:rsidRPr="00083E3E">
        <w:t>Collecting more complete LGBTQ residence data will be crucial for a deeper analysis of environmental disparities facing LGBTQ youth.</w:t>
      </w:r>
      <w:r w:rsidRPr="00083E3E">
        <w:tab/>
      </w:r>
      <w:r w:rsidRPr="00083E3E">
        <w:tab/>
      </w:r>
      <w:r w:rsidRPr="00083E3E">
        <w:tab/>
      </w:r>
      <w:r w:rsidRPr="00083E3E">
        <w:tab/>
      </w:r>
      <w:r w:rsidRPr="00083E3E">
        <w:tab/>
      </w:r>
    </w:p>
    <w:p w14:paraId="4A07CE24" w14:textId="787BF86B" w:rsidR="00592E89" w:rsidRPr="00083E3E" w:rsidRDefault="00592E89" w:rsidP="0005607E">
      <w:pPr>
        <w:jc w:val="both"/>
      </w:pPr>
      <w:r w:rsidRPr="00083E3E">
        <w:t>There are also numerous barriers to response when collecting data on sexuality and gender identity, particularly when surveying LGBTQ youth. LGBTQ people responding to a survey may not reveal their identity due to institutional discrimination, social stigma, or to maintain their safety. In addition, gender and sexuality are fluid and people may change how they identify over time. The process of exploring how you relate to gender and sexuality, prefer to identify, and express yourself is a continuous, lifelong journey. To capture the complexity of LGBTQ identities and experiences, surveys should include not only identity but also attraction and behavior. Very few surveys currently do so. The Centers for Disease Control Youth Risk Behavior Survey provides a good example in its questions about both gender identity and sexual contacts but could also include questions about attraction to capture an even more comprehensive picture.</w:t>
      </w:r>
      <w:r w:rsidRPr="00083E3E">
        <w:rPr>
          <w:vertAlign w:val="superscript"/>
        </w:rPr>
        <w:footnoteReference w:id="258"/>
      </w:r>
    </w:p>
    <w:p w14:paraId="287C0C01" w14:textId="0455180D" w:rsidR="00592E89" w:rsidRPr="00083E3E" w:rsidRDefault="00592E89" w:rsidP="0005607E">
      <w:pPr>
        <w:jc w:val="both"/>
      </w:pPr>
      <w:r w:rsidRPr="00083E3E">
        <w:t xml:space="preserve">Although more data explicitly exploring the intersections of gender and sexuality with environmental justice is urgently needed, we can begin to examine the environmental justice needs of LGBTQ youth using data about socioeconomic factors that cause LGBTQ youth to be disproportionately exposed to pollution and social determinants of health that worsen the impacts of exposure. In addition, it is important to consider the value of multiple types of knowledge. Although data is a powerful tool, it also has many limitations and uncertainties. In the sections that follow, we will not only consider surveys and studies that use numerical data to draw </w:t>
      </w:r>
      <w:r w:rsidR="00B443A2" w:rsidRPr="00083E3E">
        <w:t>conclusions but</w:t>
      </w:r>
      <w:r w:rsidRPr="00083E3E">
        <w:t xml:space="preserve"> also draw on experiential knowledge shared directly by community members. </w:t>
      </w:r>
    </w:p>
    <w:p w14:paraId="39E53C6F" w14:textId="77777777" w:rsidR="00592E89" w:rsidRPr="00083E3E" w:rsidRDefault="00592E89" w:rsidP="0005607E">
      <w:pPr>
        <w:jc w:val="both"/>
      </w:pPr>
      <w:r w:rsidRPr="00083E3E">
        <w:t>Research on LGBTQ health disparities is vast but has historically left out the role of the physical environment.</w:t>
      </w:r>
      <w:r w:rsidRPr="00083E3E">
        <w:rPr>
          <w:rStyle w:val="FootnoteReference"/>
        </w:rPr>
        <w:footnoteReference w:id="259"/>
      </w:r>
      <w:r w:rsidRPr="00083E3E">
        <w:t xml:space="preserve"> However, there is mounting evidence that LGBTQ communities are disproportionately exposed to pollution and environmental hazards; it is especially important to consider the disproportionate environmental exposures faced by LGBTQ populations affected by multiple intersecting systems of oppression. Research and organizing around disparities in exposures based on race, class, and Indigeneity are extensive and clearly demonstrate that low-</w:t>
      </w:r>
      <w:r w:rsidRPr="00083E3E">
        <w:lastRenderedPageBreak/>
        <w:t xml:space="preserve">income communities of color experience the greatest exposure to pollution in the places they live, work, and play, as well as the consumer products they use. Black and Indigenous communities bear particularly high burdens of pollution and environmental health risk. When considering the impacts of environmental exposures on LGBTQ populations, it is crucial to highlight that QTBIPOC youth and low-income LGBTQ youth may experience multiple compounding burdens of environmental exposure. </w:t>
      </w:r>
    </w:p>
    <w:p w14:paraId="2A4C3F66" w14:textId="77777777" w:rsidR="00592E89" w:rsidRPr="00083E3E" w:rsidRDefault="00592E89" w:rsidP="00E97E73">
      <w:pPr>
        <w:pStyle w:val="Heading3"/>
      </w:pPr>
      <w:bookmarkStart w:id="210" w:name="_Toc230277372"/>
      <w:r w:rsidRPr="00083E3E">
        <w:t>Expand environmental justice policies and programs to address the unique impacts of environmental inequities on LGBTQ and QTBIPOC youth.</w:t>
      </w:r>
      <w:bookmarkEnd w:id="210"/>
      <w:r w:rsidRPr="00083E3E">
        <w:tab/>
      </w:r>
    </w:p>
    <w:p w14:paraId="4A28F40F" w14:textId="77777777" w:rsidR="00592E89" w:rsidRPr="00083E3E" w:rsidRDefault="00592E89" w:rsidP="0005607E">
      <w:pPr>
        <w:jc w:val="both"/>
      </w:pPr>
      <w:r w:rsidRPr="00083E3E">
        <w:t>The Commission recommends that the Commonwealth examine and expand existing policies and programs working to address environmental inequities to ensure that this critical work is addressing unique impacts on LGBTQ youth, particularly BIPOC youth, youth with disabilities, and low-income youth. In January 2023, Governor Maura Healey signed an Executive Order to establish the Office of Climate Innovation and Resilience to coordinate climate policy across state agencies and communities; the Commission urges this new office to center QTBIPOC communities in its work, and to take a broad understanding of how to tackle climate justice. Furthermore, the Commission encourages that any legislation introduced to address environmental concerns should include a lens of LGBTQ inclusivity.</w:t>
      </w:r>
    </w:p>
    <w:p w14:paraId="2027D2A5" w14:textId="77777777" w:rsidR="00592E89" w:rsidRPr="00083E3E" w:rsidRDefault="00592E89" w:rsidP="0005607E">
      <w:pPr>
        <w:jc w:val="both"/>
      </w:pPr>
      <w:r w:rsidRPr="00083E3E">
        <w:t>For example, legislation to ban PFAS (per- and polyfluoroalkyl substances, also called ‘forever chemicals’), recently introduced in Massachusetts, also affects LGBTQ youth in numerous ways, particularly through consumer products like beauty and personal care. Many beauty products that are used and sold widely in the United States contain toxic chemicals that can harm health, such as phthalates, parabens, formaldehyde, lead, mercury, and other compounds that are linked to endocrine disruption, cancer, reproductive harm, and neurodevelopmental harm in children.</w:t>
      </w:r>
      <w:r w:rsidRPr="00083E3E">
        <w:rPr>
          <w:rStyle w:val="FootnoteReference"/>
        </w:rPr>
        <w:footnoteReference w:id="260"/>
      </w:r>
      <w:r w:rsidRPr="00083E3E">
        <w:rPr>
          <w:vertAlign w:val="superscript"/>
        </w:rPr>
        <w:t xml:space="preserve"> </w:t>
      </w:r>
      <w:r w:rsidRPr="00083E3E">
        <w:t>A new study in 2021 found that over half of cosmetic products sold in the US contain PFAS, a “forever chemical” associated with serious health conditions such as cancer and pregnancy complications.</w:t>
      </w:r>
      <w:r w:rsidRPr="00083E3E">
        <w:rPr>
          <w:rStyle w:val="FootnoteReference"/>
        </w:rPr>
        <w:footnoteReference w:id="261"/>
      </w:r>
      <w:r w:rsidRPr="00083E3E">
        <w:t xml:space="preserve"> An additional study analyzed data from December 2023 to August 2024 on 430,134 products in relation to PFAS. It was shown that “1,744, or 0.41%, of products </w:t>
      </w:r>
      <w:r w:rsidRPr="00083E3E">
        <w:lastRenderedPageBreak/>
        <w:t xml:space="preserve">contained intentionally added PFAS, 51 individual PFAS were used as cosmetic ingredients” with the </w:t>
      </w:r>
      <w:proofErr w:type="gramStart"/>
      <w:r w:rsidRPr="00083E3E">
        <w:t>most commonly used</w:t>
      </w:r>
      <w:proofErr w:type="gramEnd"/>
      <w:r w:rsidRPr="00083E3E">
        <w:t xml:space="preserve"> PFAS being </w:t>
      </w:r>
      <w:hyperlink r:id="rId58">
        <w:r w:rsidRPr="00083E3E">
          <w:rPr>
            <w:rStyle w:val="Hyperlink"/>
            <w:color w:val="auto"/>
            <w:u w:val="none"/>
          </w:rPr>
          <w:t>polytetrafluoroethylene.</w:t>
        </w:r>
      </w:hyperlink>
      <w:r w:rsidRPr="00083E3E">
        <w:rPr>
          <w:rStyle w:val="FootnoteReference"/>
        </w:rPr>
        <w:footnoteReference w:id="262"/>
      </w:r>
    </w:p>
    <w:p w14:paraId="32C8CCB3" w14:textId="77777777" w:rsidR="00592E89" w:rsidRPr="00083E3E" w:rsidRDefault="00592E89" w:rsidP="0005607E">
      <w:pPr>
        <w:jc w:val="both"/>
        <w:rPr>
          <w:vertAlign w:val="superscript"/>
        </w:rPr>
      </w:pPr>
      <w:r w:rsidRPr="00083E3E">
        <w:t>However, the burdens of toxic chemical exposures from beauty and personal care products are not distributed equally. Socioeconomic factors, systemic racism, and societal norms impact the type and quality of products that people use, affecting their exposure to toxic chemicals and posing risks to their health.</w:t>
      </w:r>
      <w:r w:rsidRPr="00083E3E">
        <w:rPr>
          <w:rStyle w:val="FootnoteReference"/>
        </w:rPr>
        <w:footnoteReference w:id="263"/>
      </w:r>
      <w:r w:rsidRPr="00083E3E">
        <w:rPr>
          <w:vertAlign w:val="superscript"/>
        </w:rPr>
        <w:t xml:space="preserve"> </w:t>
      </w:r>
      <w:r w:rsidRPr="00083E3E">
        <w:t>Although much more research is needed in this area, LGBTQ people, particularly drag communities and LGBTQ youth, may face unequal chemical burdens from beauty and personal care products. In a 2021 discussion hosted by West Harlem Environmental Action, also known as WE ACT for Environmental Justice, a panel of researchers, advocates, and queer drag performers discussed the impact of toxic chemicals found in beauty and personal care products on the queer community. For example, a panelist mentioned that young people who are first starting out in drag or are exploring gender expression may use cheaper products that contain more toxic chemicals due to budget and availability constraints.</w:t>
      </w:r>
      <w:r w:rsidRPr="00083E3E">
        <w:rPr>
          <w:rStyle w:val="FootnoteReference"/>
        </w:rPr>
        <w:footnoteReference w:id="264"/>
      </w:r>
    </w:p>
    <w:p w14:paraId="5C61B0D0" w14:textId="77777777" w:rsidR="00592E89" w:rsidRPr="00083E3E" w:rsidRDefault="00592E89" w:rsidP="0005607E">
      <w:pPr>
        <w:jc w:val="both"/>
        <w:rPr>
          <w:vertAlign w:val="superscript"/>
        </w:rPr>
      </w:pPr>
      <w:r w:rsidRPr="00083E3E">
        <w:t>As an increasing number of studies reveal the widespread use of toxic substances in beauty and personal care products sold in the U.S., many states are taking legislative action to ban toxic ingredients in cosmetics. Action at the state level is crucial to fill gaps posed by the federal government’s limited authority to regulate the cosmetics industry. Some states have already taken significant actions to regulate the safety of personal care products. California has passed several laws that regulate cosmetic ingredients and labeling, including the California Safe Cosmetics Act in 2005, the California Toxic-Free Cosmetic Act in 2020, and a ban on PFAS in personal care products.</w:t>
      </w:r>
      <w:r w:rsidRPr="00083E3E">
        <w:rPr>
          <w:rStyle w:val="FootnoteReference"/>
        </w:rPr>
        <w:footnoteReference w:id="265"/>
      </w:r>
    </w:p>
    <w:p w14:paraId="2AC907D6" w14:textId="77777777" w:rsidR="00592E89" w:rsidRPr="00083E3E" w:rsidRDefault="00592E89" w:rsidP="0005607E">
      <w:pPr>
        <w:jc w:val="both"/>
        <w:rPr>
          <w:vertAlign w:val="superscript"/>
        </w:rPr>
      </w:pPr>
      <w:r w:rsidRPr="00083E3E">
        <w:t>Discriminatory disaster response policies and services also cause LGBTQ communities to bear a greater burden of climate impacts. A growing body of research into the unique marginalization and vulnerability LGBTQ populations face during environmental disasters demonstrates that LGBTQ populations bear greater impacts from environmental disasters due to hindered access to disaster response resources and discrimination from disaster response services.</w:t>
      </w:r>
      <w:r w:rsidRPr="00083E3E">
        <w:rPr>
          <w:rStyle w:val="FootnoteReference"/>
        </w:rPr>
        <w:footnoteReference w:id="266"/>
      </w:r>
      <w:r w:rsidRPr="00083E3E">
        <w:rPr>
          <w:vertAlign w:val="superscript"/>
        </w:rPr>
        <w:t xml:space="preserve"> </w:t>
      </w:r>
      <w:r w:rsidRPr="00083E3E">
        <w:t xml:space="preserve">For </w:t>
      </w:r>
      <w:r w:rsidRPr="00083E3E">
        <w:lastRenderedPageBreak/>
        <w:t>example, the prevalence of religious organizations in disaster relief services can be a barrier to access, particularly for trans individuals.</w:t>
      </w:r>
      <w:r w:rsidRPr="00083E3E">
        <w:rPr>
          <w:vertAlign w:val="superscript"/>
        </w:rPr>
        <w:t xml:space="preserve"> </w:t>
      </w:r>
      <w:r w:rsidRPr="00083E3E">
        <w:t>For trans and undocumented people, identification requirements can pose another barrier to accessing federal emergency relief services.</w:t>
      </w:r>
      <w:r w:rsidRPr="00083E3E">
        <w:rPr>
          <w:rStyle w:val="FootnoteReference"/>
        </w:rPr>
        <w:footnoteReference w:id="267"/>
      </w:r>
    </w:p>
    <w:p w14:paraId="7D3E6246" w14:textId="77777777" w:rsidR="00592E89" w:rsidRPr="00083E3E" w:rsidRDefault="00592E89" w:rsidP="0005607E">
      <w:pPr>
        <w:jc w:val="both"/>
      </w:pPr>
      <w:r w:rsidRPr="00083E3E">
        <w:t>The Eaton Fire of 2025, located in Eaton Canyon in the San Gabriel Mountains, California, had an impact on LGBTQ communities. One of the greatest disparities was demonstrated through housing vulnerability as members of the LGBTQ community were more likely to be renters than homeowners. Also, LGBTQ community members affected by this wildfire were “described [as] being misgendered, having their partnerships dismissed, and encountering skepticism or discomfort from service providers unfamiliar with LGBTQ+ family structures.”</w:t>
      </w:r>
      <w:r w:rsidRPr="00083E3E">
        <w:rPr>
          <w:rStyle w:val="FootnoteReference"/>
        </w:rPr>
        <w:footnoteReference w:id="268"/>
      </w:r>
    </w:p>
    <w:p w14:paraId="5D4D06D9" w14:textId="5B334A73" w:rsidR="005B04B7" w:rsidRDefault="00592E89" w:rsidP="0005607E">
      <w:pPr>
        <w:jc w:val="both"/>
      </w:pPr>
      <w:r w:rsidRPr="00083E3E">
        <w:t>Lack of strong legal protections for LGBTQ communities in disaster response programs and policies allows discrimination in disaster response services to continue. However, laws protecting LGBTQ people from discrimination and requiring local governments to work collaboratively with LGBTQ communities to plan for disasters can be passed at the state level. In 2012, the Human Rights Campaign (HRC) released a report on how best to eliminate discrimination in disaster preparation and response including recommendations about including members of the LGBTQ community in the disaster response planning process, respecting family structure and relationship status, and ensuring safety in emergency shelters.</w:t>
      </w:r>
      <w:r w:rsidRPr="00083E3E">
        <w:rPr>
          <w:rStyle w:val="FootnoteReference"/>
        </w:rPr>
        <w:footnoteReference w:id="269"/>
      </w:r>
      <w:r w:rsidRPr="00083E3E">
        <w:rPr>
          <w:vertAlign w:val="superscript"/>
        </w:rPr>
        <w:t xml:space="preserve"> </w:t>
      </w:r>
      <w:r w:rsidR="00011744" w:rsidRPr="00083E3E">
        <w:t>Massachusetts has an opportunity to lead this space by putting HRC’s guidance into action, since very few states or local governments have incorporated the recommendations into disaster response efforts so far.</w:t>
      </w:r>
    </w:p>
    <w:p w14:paraId="59BBF884" w14:textId="77777777" w:rsidR="005B04B7" w:rsidRDefault="005B04B7" w:rsidP="0005607E">
      <w:pPr>
        <w:jc w:val="both"/>
      </w:pPr>
      <w:r>
        <w:br w:type="page"/>
      </w:r>
    </w:p>
    <w:p w14:paraId="799B7062" w14:textId="3DFD9CA5" w:rsidR="005B04B7" w:rsidRDefault="005B04B7" w:rsidP="0005607E">
      <w:pPr>
        <w:jc w:val="both"/>
      </w:pPr>
      <w:r>
        <w:rPr>
          <w:noProof/>
        </w:rPr>
        <w:lastRenderedPageBreak/>
        <w:drawing>
          <wp:anchor distT="0" distB="0" distL="114300" distR="114300" simplePos="0" relativeHeight="251799552" behindDoc="1" locked="0" layoutInCell="1" allowOverlap="1" wp14:anchorId="40C35461" wp14:editId="57E1ADD8">
            <wp:simplePos x="0" y="0"/>
            <wp:positionH relativeFrom="column">
              <wp:posOffset>-1019175</wp:posOffset>
            </wp:positionH>
            <wp:positionV relativeFrom="paragraph">
              <wp:posOffset>-913130</wp:posOffset>
            </wp:positionV>
            <wp:extent cx="7905750" cy="10172769"/>
            <wp:effectExtent l="0" t="0" r="0" b="0"/>
            <wp:wrapNone/>
            <wp:docPr id="720368284" name="Picture 44" descr="a cover page marking the transition to the state agency recommend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368284" name="Picture 44" descr="a cover page marking the transition to the state agency recommendations"/>
                    <pic:cNvPicPr/>
                  </pic:nvPicPr>
                  <pic:blipFill>
                    <a:blip r:embed="rId59">
                      <a:extLst>
                        <a:ext uri="{28A0092B-C50C-407E-A947-70E740481C1C}">
                          <a14:useLocalDpi xmlns:a14="http://schemas.microsoft.com/office/drawing/2010/main" val="0"/>
                        </a:ext>
                      </a:extLst>
                    </a:blip>
                    <a:stretch>
                      <a:fillRect/>
                    </a:stretch>
                  </pic:blipFill>
                  <pic:spPr>
                    <a:xfrm>
                      <a:off x="0" y="0"/>
                      <a:ext cx="7905750" cy="10172769"/>
                    </a:xfrm>
                    <a:prstGeom prst="rect">
                      <a:avLst/>
                    </a:prstGeom>
                  </pic:spPr>
                </pic:pic>
              </a:graphicData>
            </a:graphic>
            <wp14:sizeRelH relativeFrom="page">
              <wp14:pctWidth>0</wp14:pctWidth>
            </wp14:sizeRelH>
            <wp14:sizeRelV relativeFrom="page">
              <wp14:pctHeight>0</wp14:pctHeight>
            </wp14:sizeRelV>
          </wp:anchor>
        </w:drawing>
      </w:r>
    </w:p>
    <w:p w14:paraId="0D686060" w14:textId="77777777" w:rsidR="005B04B7" w:rsidRDefault="005B04B7" w:rsidP="0005607E">
      <w:pPr>
        <w:jc w:val="both"/>
      </w:pPr>
      <w:r>
        <w:br w:type="page"/>
      </w:r>
    </w:p>
    <w:p w14:paraId="58CC0349" w14:textId="62E8F9AA" w:rsidR="00011744" w:rsidRPr="005B04B7" w:rsidRDefault="005B04B7" w:rsidP="0005607E">
      <w:pPr>
        <w:pStyle w:val="Heading1"/>
        <w:jc w:val="both"/>
      </w:pPr>
      <w:bookmarkStart w:id="211" w:name="_Toc230277105"/>
      <w:bookmarkStart w:id="212" w:name="_Toc230277373"/>
      <w:bookmarkStart w:id="213" w:name="_Toc230355487"/>
      <w:r w:rsidRPr="005B04B7">
        <w:lastRenderedPageBreak/>
        <w:t>STATE AGENCY RECOMMENDATIONS</w:t>
      </w:r>
      <w:r w:rsidR="00982595">
        <w:t xml:space="preserve"> </w:t>
      </w:r>
      <w:r w:rsidR="00BC6653">
        <w:t>–</w:t>
      </w:r>
      <w:r w:rsidR="00982595">
        <w:t xml:space="preserve"> T</w:t>
      </w:r>
      <w:bookmarkEnd w:id="211"/>
      <w:bookmarkEnd w:id="212"/>
      <w:bookmarkEnd w:id="213"/>
      <w:r w:rsidR="00BC6653">
        <w:t>able of contents</w:t>
      </w:r>
    </w:p>
    <w:p w14:paraId="32EDD6DE" w14:textId="361FF0AC" w:rsidR="00AD058D" w:rsidRPr="00AD058D" w:rsidRDefault="00AD058D" w:rsidP="000329CD">
      <w:pPr>
        <w:pStyle w:val="TOC1"/>
        <w:rPr>
          <w:smallCaps/>
          <w:noProof/>
          <w:kern w:val="2"/>
          <w:sz w:val="24"/>
          <w:szCs w:val="24"/>
          <w:lang w:eastAsia="en-US"/>
          <w14:ligatures w14:val="standardContextual"/>
        </w:rPr>
      </w:pPr>
      <w:r w:rsidRPr="00AD058D">
        <w:fldChar w:fldCharType="begin"/>
      </w:r>
      <w:r w:rsidRPr="00AD058D">
        <w:instrText xml:space="preserve"> TOC \o "1-2" \h \z \u </w:instrText>
      </w:r>
      <w:r w:rsidRPr="00AD058D">
        <w:fldChar w:fldCharType="separate"/>
      </w:r>
      <w:hyperlink w:anchor="_Toc230277105" w:history="1">
        <w:r w:rsidRPr="00AD058D">
          <w:rPr>
            <w:rStyle w:val="Hyperlink"/>
            <w:rFonts w:ascii="Calibri" w:hAnsi="Calibri"/>
            <w:noProof/>
            <w:color w:val="593470" w:themeColor="accent1" w:themeShade="80"/>
          </w:rPr>
          <w:t>STATE AGENCY RECOMMENDATIONS - TOC</w:t>
        </w:r>
        <w:r w:rsidRPr="00AD058D">
          <w:rPr>
            <w:noProof/>
            <w:webHidden/>
          </w:rPr>
          <w:tab/>
        </w:r>
        <w:r w:rsidRPr="00AD058D">
          <w:rPr>
            <w:noProof/>
            <w:webHidden/>
          </w:rPr>
          <w:fldChar w:fldCharType="begin"/>
        </w:r>
        <w:r w:rsidRPr="00AD058D">
          <w:rPr>
            <w:noProof/>
            <w:webHidden/>
          </w:rPr>
          <w:instrText xml:space="preserve"> PAGEREF _Toc230277105 \h </w:instrText>
        </w:r>
        <w:r w:rsidRPr="00AD058D">
          <w:rPr>
            <w:noProof/>
            <w:webHidden/>
          </w:rPr>
        </w:r>
        <w:r w:rsidRPr="00AD058D">
          <w:rPr>
            <w:noProof/>
            <w:webHidden/>
          </w:rPr>
          <w:fldChar w:fldCharType="separate"/>
        </w:r>
        <w:r w:rsidR="00BF5B9D">
          <w:rPr>
            <w:noProof/>
            <w:webHidden/>
          </w:rPr>
          <w:t>171</w:t>
        </w:r>
        <w:r w:rsidRPr="00AD058D">
          <w:rPr>
            <w:noProof/>
            <w:webHidden/>
          </w:rPr>
          <w:fldChar w:fldCharType="end"/>
        </w:r>
      </w:hyperlink>
    </w:p>
    <w:p w14:paraId="6958DDD3" w14:textId="58A040C1" w:rsidR="00AD058D" w:rsidRPr="00AD058D" w:rsidRDefault="00AD058D" w:rsidP="000329CD">
      <w:pPr>
        <w:pStyle w:val="TOC1"/>
        <w:rPr>
          <w:noProof/>
          <w:kern w:val="2"/>
          <w:sz w:val="24"/>
          <w:szCs w:val="24"/>
          <w:u w:val="none"/>
          <w:lang w:eastAsia="en-US"/>
          <w14:ligatures w14:val="standardContextual"/>
        </w:rPr>
      </w:pPr>
      <w:hyperlink w:anchor="_Toc230277106" w:history="1">
        <w:r w:rsidRPr="00AD058D">
          <w:rPr>
            <w:rStyle w:val="Hyperlink"/>
            <w:rFonts w:ascii="Calibri" w:hAnsi="Calibri"/>
            <w:noProof/>
            <w:color w:val="593470" w:themeColor="accent1" w:themeShade="80"/>
          </w:rPr>
          <w:t>Executive Office of Health and Human Services</w:t>
        </w:r>
        <w:r w:rsidRPr="00AD058D">
          <w:rPr>
            <w:noProof/>
            <w:webHidden/>
          </w:rPr>
          <w:tab/>
        </w:r>
        <w:r w:rsidRPr="00AD058D">
          <w:rPr>
            <w:noProof/>
            <w:webHidden/>
          </w:rPr>
          <w:fldChar w:fldCharType="begin"/>
        </w:r>
        <w:r w:rsidRPr="00AD058D">
          <w:rPr>
            <w:noProof/>
            <w:webHidden/>
          </w:rPr>
          <w:instrText xml:space="preserve"> PAGEREF _Toc230277106 \h </w:instrText>
        </w:r>
        <w:r w:rsidRPr="00AD058D">
          <w:rPr>
            <w:noProof/>
            <w:webHidden/>
          </w:rPr>
        </w:r>
        <w:r w:rsidRPr="00AD058D">
          <w:rPr>
            <w:noProof/>
            <w:webHidden/>
          </w:rPr>
          <w:fldChar w:fldCharType="separate"/>
        </w:r>
        <w:r w:rsidR="00BF5B9D">
          <w:rPr>
            <w:noProof/>
            <w:webHidden/>
          </w:rPr>
          <w:t>172</w:t>
        </w:r>
        <w:r w:rsidRPr="00AD058D">
          <w:rPr>
            <w:noProof/>
            <w:webHidden/>
          </w:rPr>
          <w:fldChar w:fldCharType="end"/>
        </w:r>
      </w:hyperlink>
    </w:p>
    <w:p w14:paraId="1142DAC8" w14:textId="509496FD" w:rsidR="00AD058D" w:rsidRPr="00AD058D" w:rsidRDefault="00AD058D" w:rsidP="00AD058D">
      <w:pPr>
        <w:pStyle w:val="TOC2"/>
        <w:rPr>
          <w:noProof/>
          <w:kern w:val="2"/>
          <w:sz w:val="24"/>
          <w:szCs w:val="24"/>
          <w:lang w:eastAsia="en-US"/>
          <w14:ligatures w14:val="standardContextual"/>
        </w:rPr>
      </w:pPr>
      <w:hyperlink w:anchor="_Toc230277107" w:history="1">
        <w:r w:rsidRPr="00AD058D">
          <w:rPr>
            <w:rStyle w:val="Hyperlink"/>
            <w:rFonts w:ascii="Calibri" w:hAnsi="Calibri"/>
            <w:noProof/>
            <w:color w:val="593470" w:themeColor="accent1" w:themeShade="80"/>
          </w:rPr>
          <w:t>Commission for the Blind</w:t>
        </w:r>
        <w:r w:rsidRPr="00AD058D">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t xml:space="preserve">          </w:t>
        </w:r>
        <w:r w:rsidRPr="00AD058D">
          <w:rPr>
            <w:noProof/>
            <w:webHidden/>
          </w:rPr>
          <w:fldChar w:fldCharType="begin"/>
        </w:r>
        <w:r w:rsidRPr="00AD058D">
          <w:rPr>
            <w:noProof/>
            <w:webHidden/>
          </w:rPr>
          <w:instrText xml:space="preserve"> PAGEREF _Toc230277107 \h </w:instrText>
        </w:r>
        <w:r w:rsidRPr="00AD058D">
          <w:rPr>
            <w:noProof/>
            <w:webHidden/>
          </w:rPr>
        </w:r>
        <w:r w:rsidRPr="00AD058D">
          <w:rPr>
            <w:noProof/>
            <w:webHidden/>
          </w:rPr>
          <w:fldChar w:fldCharType="separate"/>
        </w:r>
        <w:r w:rsidR="00BF5B9D">
          <w:rPr>
            <w:noProof/>
            <w:webHidden/>
          </w:rPr>
          <w:t>172</w:t>
        </w:r>
        <w:r w:rsidRPr="00AD058D">
          <w:rPr>
            <w:noProof/>
            <w:webHidden/>
          </w:rPr>
          <w:fldChar w:fldCharType="end"/>
        </w:r>
      </w:hyperlink>
    </w:p>
    <w:p w14:paraId="4CCFF4D6" w14:textId="688F41ED" w:rsidR="00AD058D" w:rsidRPr="00AD058D" w:rsidRDefault="00AD058D" w:rsidP="00AD058D">
      <w:pPr>
        <w:pStyle w:val="TOC2"/>
        <w:rPr>
          <w:noProof/>
          <w:kern w:val="2"/>
          <w:sz w:val="24"/>
          <w:szCs w:val="24"/>
          <w:lang w:eastAsia="en-US"/>
          <w14:ligatures w14:val="standardContextual"/>
        </w:rPr>
      </w:pPr>
      <w:hyperlink w:anchor="_Toc230277108" w:history="1">
        <w:r w:rsidRPr="00AD058D">
          <w:rPr>
            <w:rStyle w:val="Hyperlink"/>
            <w:rFonts w:ascii="Calibri" w:hAnsi="Calibri"/>
            <w:noProof/>
            <w:color w:val="593470" w:themeColor="accent1" w:themeShade="80"/>
          </w:rPr>
          <w:t>Commission for the Deaf and Hard of Hearing</w:t>
        </w:r>
        <w:r w:rsidRPr="00AD058D">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t xml:space="preserve">          </w:t>
        </w:r>
        <w:r w:rsidRPr="00AD058D">
          <w:rPr>
            <w:noProof/>
            <w:webHidden/>
          </w:rPr>
          <w:fldChar w:fldCharType="begin"/>
        </w:r>
        <w:r w:rsidRPr="00AD058D">
          <w:rPr>
            <w:noProof/>
            <w:webHidden/>
          </w:rPr>
          <w:instrText xml:space="preserve"> PAGEREF _Toc230277108 \h </w:instrText>
        </w:r>
        <w:r w:rsidRPr="00AD058D">
          <w:rPr>
            <w:noProof/>
            <w:webHidden/>
          </w:rPr>
        </w:r>
        <w:r w:rsidRPr="00AD058D">
          <w:rPr>
            <w:noProof/>
            <w:webHidden/>
          </w:rPr>
          <w:fldChar w:fldCharType="separate"/>
        </w:r>
        <w:r w:rsidR="00BF5B9D">
          <w:rPr>
            <w:noProof/>
            <w:webHidden/>
          </w:rPr>
          <w:t>174</w:t>
        </w:r>
        <w:r w:rsidRPr="00AD058D">
          <w:rPr>
            <w:noProof/>
            <w:webHidden/>
          </w:rPr>
          <w:fldChar w:fldCharType="end"/>
        </w:r>
      </w:hyperlink>
    </w:p>
    <w:p w14:paraId="60F088D6" w14:textId="07A53138" w:rsidR="00AD058D" w:rsidRPr="00AD058D" w:rsidRDefault="00AD058D" w:rsidP="00AD058D">
      <w:pPr>
        <w:pStyle w:val="TOC2"/>
        <w:rPr>
          <w:noProof/>
          <w:kern w:val="2"/>
          <w:sz w:val="24"/>
          <w:szCs w:val="24"/>
          <w:lang w:eastAsia="en-US"/>
          <w14:ligatures w14:val="standardContextual"/>
        </w:rPr>
      </w:pPr>
      <w:hyperlink w:anchor="_Toc230277109" w:history="1">
        <w:r w:rsidRPr="00AD058D">
          <w:rPr>
            <w:rStyle w:val="Hyperlink"/>
            <w:rFonts w:ascii="Calibri" w:hAnsi="Calibri"/>
            <w:noProof/>
            <w:color w:val="593470" w:themeColor="accent1" w:themeShade="80"/>
          </w:rPr>
          <w:t>Department of Children and Families</w:t>
        </w:r>
        <w:r w:rsidRPr="00AD058D">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t xml:space="preserve">          </w:t>
        </w:r>
        <w:r w:rsidRPr="00AD058D">
          <w:rPr>
            <w:noProof/>
            <w:webHidden/>
          </w:rPr>
          <w:fldChar w:fldCharType="begin"/>
        </w:r>
        <w:r w:rsidRPr="00AD058D">
          <w:rPr>
            <w:noProof/>
            <w:webHidden/>
          </w:rPr>
          <w:instrText xml:space="preserve"> PAGEREF _Toc230277109 \h </w:instrText>
        </w:r>
        <w:r w:rsidRPr="00AD058D">
          <w:rPr>
            <w:noProof/>
            <w:webHidden/>
          </w:rPr>
        </w:r>
        <w:r w:rsidRPr="00AD058D">
          <w:rPr>
            <w:noProof/>
            <w:webHidden/>
          </w:rPr>
          <w:fldChar w:fldCharType="separate"/>
        </w:r>
        <w:r w:rsidR="00BF5B9D">
          <w:rPr>
            <w:noProof/>
            <w:webHidden/>
          </w:rPr>
          <w:t>177</w:t>
        </w:r>
        <w:r w:rsidRPr="00AD058D">
          <w:rPr>
            <w:noProof/>
            <w:webHidden/>
          </w:rPr>
          <w:fldChar w:fldCharType="end"/>
        </w:r>
      </w:hyperlink>
    </w:p>
    <w:p w14:paraId="06BE6472" w14:textId="1A6A8395" w:rsidR="00AD058D" w:rsidRPr="00AD058D" w:rsidRDefault="00AD058D" w:rsidP="00AD058D">
      <w:pPr>
        <w:pStyle w:val="TOC2"/>
        <w:rPr>
          <w:noProof/>
          <w:kern w:val="2"/>
          <w:sz w:val="24"/>
          <w:szCs w:val="24"/>
          <w:lang w:eastAsia="en-US"/>
          <w14:ligatures w14:val="standardContextual"/>
        </w:rPr>
      </w:pPr>
      <w:hyperlink w:anchor="_Toc230277110" w:history="1">
        <w:r w:rsidRPr="00AD058D">
          <w:rPr>
            <w:rStyle w:val="Hyperlink"/>
            <w:rFonts w:ascii="Calibri" w:hAnsi="Calibri"/>
            <w:noProof/>
            <w:color w:val="593470" w:themeColor="accent1" w:themeShade="80"/>
          </w:rPr>
          <w:t>Department of Developmental Services</w:t>
        </w:r>
        <w:r w:rsidRPr="00AD058D">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t xml:space="preserve">          </w:t>
        </w:r>
        <w:r w:rsidRPr="00AD058D">
          <w:rPr>
            <w:noProof/>
            <w:webHidden/>
          </w:rPr>
          <w:fldChar w:fldCharType="begin"/>
        </w:r>
        <w:r w:rsidRPr="00AD058D">
          <w:rPr>
            <w:noProof/>
            <w:webHidden/>
          </w:rPr>
          <w:instrText xml:space="preserve"> PAGEREF _Toc230277110 \h </w:instrText>
        </w:r>
        <w:r w:rsidRPr="00AD058D">
          <w:rPr>
            <w:noProof/>
            <w:webHidden/>
          </w:rPr>
        </w:r>
        <w:r w:rsidRPr="00AD058D">
          <w:rPr>
            <w:noProof/>
            <w:webHidden/>
          </w:rPr>
          <w:fldChar w:fldCharType="separate"/>
        </w:r>
        <w:r w:rsidR="00BF5B9D">
          <w:rPr>
            <w:noProof/>
            <w:webHidden/>
          </w:rPr>
          <w:t>189</w:t>
        </w:r>
        <w:r w:rsidRPr="00AD058D">
          <w:rPr>
            <w:noProof/>
            <w:webHidden/>
          </w:rPr>
          <w:fldChar w:fldCharType="end"/>
        </w:r>
      </w:hyperlink>
    </w:p>
    <w:p w14:paraId="51200FB4" w14:textId="47ACAD11" w:rsidR="00AD058D" w:rsidRPr="00AD058D" w:rsidRDefault="00AD058D" w:rsidP="00AD058D">
      <w:pPr>
        <w:pStyle w:val="TOC2"/>
        <w:rPr>
          <w:noProof/>
          <w:kern w:val="2"/>
          <w:sz w:val="24"/>
          <w:szCs w:val="24"/>
          <w:lang w:eastAsia="en-US"/>
          <w14:ligatures w14:val="standardContextual"/>
        </w:rPr>
      </w:pPr>
      <w:hyperlink w:anchor="_Toc230277111" w:history="1">
        <w:r w:rsidRPr="00AD058D">
          <w:rPr>
            <w:rStyle w:val="Hyperlink"/>
            <w:rFonts w:ascii="Calibri" w:hAnsi="Calibri"/>
            <w:noProof/>
            <w:color w:val="593470" w:themeColor="accent1" w:themeShade="80"/>
          </w:rPr>
          <w:t>MassAbility</w:t>
        </w:r>
        <w:r w:rsidRPr="00AD058D">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t xml:space="preserve">          </w:t>
        </w:r>
        <w:r w:rsidRPr="00AD058D">
          <w:rPr>
            <w:noProof/>
            <w:webHidden/>
          </w:rPr>
          <w:fldChar w:fldCharType="begin"/>
        </w:r>
        <w:r w:rsidRPr="00AD058D">
          <w:rPr>
            <w:noProof/>
            <w:webHidden/>
          </w:rPr>
          <w:instrText xml:space="preserve"> PAGEREF _Toc230277111 \h </w:instrText>
        </w:r>
        <w:r w:rsidRPr="00AD058D">
          <w:rPr>
            <w:noProof/>
            <w:webHidden/>
          </w:rPr>
        </w:r>
        <w:r w:rsidRPr="00AD058D">
          <w:rPr>
            <w:noProof/>
            <w:webHidden/>
          </w:rPr>
          <w:fldChar w:fldCharType="separate"/>
        </w:r>
        <w:r w:rsidR="00BF5B9D">
          <w:rPr>
            <w:noProof/>
            <w:webHidden/>
          </w:rPr>
          <w:t>191</w:t>
        </w:r>
        <w:r w:rsidRPr="00AD058D">
          <w:rPr>
            <w:noProof/>
            <w:webHidden/>
          </w:rPr>
          <w:fldChar w:fldCharType="end"/>
        </w:r>
      </w:hyperlink>
    </w:p>
    <w:p w14:paraId="56073F43" w14:textId="0D8C6B57" w:rsidR="00AD058D" w:rsidRPr="00AD058D" w:rsidRDefault="00AD058D" w:rsidP="00AD058D">
      <w:pPr>
        <w:pStyle w:val="TOC2"/>
        <w:rPr>
          <w:noProof/>
          <w:kern w:val="2"/>
          <w:sz w:val="24"/>
          <w:szCs w:val="24"/>
          <w:lang w:eastAsia="en-US"/>
          <w14:ligatures w14:val="standardContextual"/>
        </w:rPr>
      </w:pPr>
      <w:hyperlink w:anchor="_Toc230277112" w:history="1">
        <w:r w:rsidRPr="00AD058D">
          <w:rPr>
            <w:rStyle w:val="Hyperlink"/>
            <w:rFonts w:ascii="Calibri" w:hAnsi="Calibri"/>
            <w:noProof/>
            <w:color w:val="593470" w:themeColor="accent1" w:themeShade="80"/>
          </w:rPr>
          <w:t>MassHealth</w:t>
        </w:r>
        <w:r w:rsidRPr="00AD058D">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t xml:space="preserve">          </w:t>
        </w:r>
        <w:r w:rsidRPr="00AD058D">
          <w:rPr>
            <w:noProof/>
            <w:webHidden/>
          </w:rPr>
          <w:fldChar w:fldCharType="begin"/>
        </w:r>
        <w:r w:rsidRPr="00AD058D">
          <w:rPr>
            <w:noProof/>
            <w:webHidden/>
          </w:rPr>
          <w:instrText xml:space="preserve"> PAGEREF _Toc230277112 \h </w:instrText>
        </w:r>
        <w:r w:rsidRPr="00AD058D">
          <w:rPr>
            <w:noProof/>
            <w:webHidden/>
          </w:rPr>
        </w:r>
        <w:r w:rsidRPr="00AD058D">
          <w:rPr>
            <w:noProof/>
            <w:webHidden/>
          </w:rPr>
          <w:fldChar w:fldCharType="separate"/>
        </w:r>
        <w:r w:rsidR="00BF5B9D">
          <w:rPr>
            <w:noProof/>
            <w:webHidden/>
          </w:rPr>
          <w:t>193</w:t>
        </w:r>
        <w:r w:rsidRPr="00AD058D">
          <w:rPr>
            <w:noProof/>
            <w:webHidden/>
          </w:rPr>
          <w:fldChar w:fldCharType="end"/>
        </w:r>
      </w:hyperlink>
    </w:p>
    <w:p w14:paraId="6F12C321" w14:textId="682F8960" w:rsidR="00AD058D" w:rsidRPr="00AD058D" w:rsidRDefault="00AD058D" w:rsidP="00AD058D">
      <w:pPr>
        <w:pStyle w:val="TOC2"/>
        <w:rPr>
          <w:noProof/>
          <w:kern w:val="2"/>
          <w:sz w:val="24"/>
          <w:szCs w:val="24"/>
          <w:lang w:eastAsia="en-US"/>
          <w14:ligatures w14:val="standardContextual"/>
        </w:rPr>
      </w:pPr>
      <w:hyperlink w:anchor="_Toc230277113" w:history="1">
        <w:r w:rsidRPr="00AD058D">
          <w:rPr>
            <w:rStyle w:val="Hyperlink"/>
            <w:rFonts w:ascii="Calibri" w:hAnsi="Calibri"/>
            <w:noProof/>
            <w:color w:val="593470" w:themeColor="accent1" w:themeShade="80"/>
          </w:rPr>
          <w:t>Department of Mental Health</w:t>
        </w:r>
        <w:r w:rsidRPr="00AD058D">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t xml:space="preserve">          </w:t>
        </w:r>
        <w:r w:rsidRPr="00AD058D">
          <w:rPr>
            <w:noProof/>
            <w:webHidden/>
          </w:rPr>
          <w:fldChar w:fldCharType="begin"/>
        </w:r>
        <w:r w:rsidRPr="00AD058D">
          <w:rPr>
            <w:noProof/>
            <w:webHidden/>
          </w:rPr>
          <w:instrText xml:space="preserve"> PAGEREF _Toc230277113 \h </w:instrText>
        </w:r>
        <w:r w:rsidRPr="00AD058D">
          <w:rPr>
            <w:noProof/>
            <w:webHidden/>
          </w:rPr>
        </w:r>
        <w:r w:rsidRPr="00AD058D">
          <w:rPr>
            <w:noProof/>
            <w:webHidden/>
          </w:rPr>
          <w:fldChar w:fldCharType="separate"/>
        </w:r>
        <w:r w:rsidR="00BF5B9D">
          <w:rPr>
            <w:noProof/>
            <w:webHidden/>
          </w:rPr>
          <w:t>196</w:t>
        </w:r>
        <w:r w:rsidRPr="00AD058D">
          <w:rPr>
            <w:noProof/>
            <w:webHidden/>
          </w:rPr>
          <w:fldChar w:fldCharType="end"/>
        </w:r>
      </w:hyperlink>
    </w:p>
    <w:p w14:paraId="3DD4C85E" w14:textId="2162F67C" w:rsidR="00AD058D" w:rsidRPr="00AD058D" w:rsidRDefault="00AD058D" w:rsidP="00AD058D">
      <w:pPr>
        <w:pStyle w:val="TOC2"/>
        <w:rPr>
          <w:noProof/>
          <w:kern w:val="2"/>
          <w:sz w:val="24"/>
          <w:szCs w:val="24"/>
          <w:lang w:eastAsia="en-US"/>
          <w14:ligatures w14:val="standardContextual"/>
        </w:rPr>
      </w:pPr>
      <w:hyperlink w:anchor="_Toc230277114" w:history="1">
        <w:r w:rsidRPr="00AD058D">
          <w:rPr>
            <w:rStyle w:val="Hyperlink"/>
            <w:rFonts w:ascii="Calibri" w:hAnsi="Calibri"/>
            <w:noProof/>
            <w:color w:val="593470" w:themeColor="accent1" w:themeShade="80"/>
          </w:rPr>
          <w:t>Department of Public Health</w:t>
        </w:r>
        <w:r w:rsidRPr="00AD058D">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t xml:space="preserve">          </w:t>
        </w:r>
        <w:r w:rsidRPr="00AD058D">
          <w:rPr>
            <w:noProof/>
            <w:webHidden/>
          </w:rPr>
          <w:fldChar w:fldCharType="begin"/>
        </w:r>
        <w:r w:rsidRPr="00AD058D">
          <w:rPr>
            <w:noProof/>
            <w:webHidden/>
          </w:rPr>
          <w:instrText xml:space="preserve"> PAGEREF _Toc230277114 \h </w:instrText>
        </w:r>
        <w:r w:rsidRPr="00AD058D">
          <w:rPr>
            <w:noProof/>
            <w:webHidden/>
          </w:rPr>
        </w:r>
        <w:r w:rsidRPr="00AD058D">
          <w:rPr>
            <w:noProof/>
            <w:webHidden/>
          </w:rPr>
          <w:fldChar w:fldCharType="separate"/>
        </w:r>
        <w:r w:rsidR="00BF5B9D">
          <w:rPr>
            <w:noProof/>
            <w:webHidden/>
          </w:rPr>
          <w:t>202</w:t>
        </w:r>
        <w:r w:rsidRPr="00AD058D">
          <w:rPr>
            <w:noProof/>
            <w:webHidden/>
          </w:rPr>
          <w:fldChar w:fldCharType="end"/>
        </w:r>
      </w:hyperlink>
    </w:p>
    <w:p w14:paraId="27178FE6" w14:textId="6A31AED8" w:rsidR="00AD058D" w:rsidRPr="00AD058D" w:rsidRDefault="00AD058D" w:rsidP="00AD058D">
      <w:pPr>
        <w:pStyle w:val="TOC2"/>
        <w:rPr>
          <w:noProof/>
          <w:kern w:val="2"/>
          <w:sz w:val="24"/>
          <w:szCs w:val="24"/>
          <w:lang w:eastAsia="en-US"/>
          <w14:ligatures w14:val="standardContextual"/>
        </w:rPr>
      </w:pPr>
      <w:hyperlink w:anchor="_Toc230277115" w:history="1">
        <w:r w:rsidRPr="00AD058D">
          <w:rPr>
            <w:rStyle w:val="Hyperlink"/>
            <w:rFonts w:ascii="Calibri" w:hAnsi="Calibri"/>
            <w:noProof/>
            <w:color w:val="593470" w:themeColor="accent1" w:themeShade="80"/>
          </w:rPr>
          <w:t>Department of Transitional Assistance</w:t>
        </w:r>
        <w:r w:rsidRPr="00AD058D">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t xml:space="preserve">          </w:t>
        </w:r>
        <w:r w:rsidRPr="00AD058D">
          <w:rPr>
            <w:noProof/>
            <w:webHidden/>
          </w:rPr>
          <w:fldChar w:fldCharType="begin"/>
        </w:r>
        <w:r w:rsidRPr="00AD058D">
          <w:rPr>
            <w:noProof/>
            <w:webHidden/>
          </w:rPr>
          <w:instrText xml:space="preserve"> PAGEREF _Toc230277115 \h </w:instrText>
        </w:r>
        <w:r w:rsidRPr="00AD058D">
          <w:rPr>
            <w:noProof/>
            <w:webHidden/>
          </w:rPr>
        </w:r>
        <w:r w:rsidRPr="00AD058D">
          <w:rPr>
            <w:noProof/>
            <w:webHidden/>
          </w:rPr>
          <w:fldChar w:fldCharType="separate"/>
        </w:r>
        <w:r w:rsidR="00BF5B9D">
          <w:rPr>
            <w:noProof/>
            <w:webHidden/>
          </w:rPr>
          <w:t>207</w:t>
        </w:r>
        <w:r w:rsidRPr="00AD058D">
          <w:rPr>
            <w:noProof/>
            <w:webHidden/>
          </w:rPr>
          <w:fldChar w:fldCharType="end"/>
        </w:r>
      </w:hyperlink>
    </w:p>
    <w:p w14:paraId="4DF8248C" w14:textId="151372EC" w:rsidR="00AD058D" w:rsidRPr="00AD058D" w:rsidRDefault="00AD058D" w:rsidP="00AD058D">
      <w:pPr>
        <w:pStyle w:val="TOC2"/>
        <w:rPr>
          <w:noProof/>
          <w:kern w:val="2"/>
          <w:sz w:val="24"/>
          <w:szCs w:val="24"/>
          <w:lang w:eastAsia="en-US"/>
          <w14:ligatures w14:val="standardContextual"/>
        </w:rPr>
      </w:pPr>
      <w:hyperlink w:anchor="_Toc230277116" w:history="1">
        <w:r w:rsidRPr="00AD058D">
          <w:rPr>
            <w:rStyle w:val="Hyperlink"/>
            <w:rFonts w:ascii="Calibri" w:hAnsi="Calibri"/>
            <w:noProof/>
            <w:color w:val="593470" w:themeColor="accent1" w:themeShade="80"/>
          </w:rPr>
          <w:t>Department of Youth Services</w:t>
        </w:r>
        <w:r w:rsidRPr="00AD058D">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t xml:space="preserve">          </w:t>
        </w:r>
        <w:r w:rsidRPr="00AD058D">
          <w:rPr>
            <w:noProof/>
            <w:webHidden/>
          </w:rPr>
          <w:fldChar w:fldCharType="begin"/>
        </w:r>
        <w:r w:rsidRPr="00AD058D">
          <w:rPr>
            <w:noProof/>
            <w:webHidden/>
          </w:rPr>
          <w:instrText xml:space="preserve"> PAGEREF _Toc230277116 \h </w:instrText>
        </w:r>
        <w:r w:rsidRPr="00AD058D">
          <w:rPr>
            <w:noProof/>
            <w:webHidden/>
          </w:rPr>
        </w:r>
        <w:r w:rsidRPr="00AD058D">
          <w:rPr>
            <w:noProof/>
            <w:webHidden/>
          </w:rPr>
          <w:fldChar w:fldCharType="separate"/>
        </w:r>
        <w:r w:rsidR="00BF5B9D">
          <w:rPr>
            <w:noProof/>
            <w:webHidden/>
          </w:rPr>
          <w:t>210</w:t>
        </w:r>
        <w:r w:rsidRPr="00AD058D">
          <w:rPr>
            <w:noProof/>
            <w:webHidden/>
          </w:rPr>
          <w:fldChar w:fldCharType="end"/>
        </w:r>
      </w:hyperlink>
    </w:p>
    <w:p w14:paraId="439EFF54" w14:textId="12E45F47" w:rsidR="00AD058D" w:rsidRPr="00AD058D" w:rsidRDefault="00AD058D" w:rsidP="00AD058D">
      <w:pPr>
        <w:pStyle w:val="TOC2"/>
        <w:rPr>
          <w:noProof/>
          <w:kern w:val="2"/>
          <w:sz w:val="24"/>
          <w:szCs w:val="24"/>
          <w:lang w:eastAsia="en-US"/>
          <w14:ligatures w14:val="standardContextual"/>
        </w:rPr>
      </w:pPr>
      <w:hyperlink w:anchor="_Toc230277117" w:history="1">
        <w:r w:rsidRPr="00AD058D">
          <w:rPr>
            <w:rStyle w:val="Hyperlink"/>
            <w:rFonts w:ascii="Calibri" w:hAnsi="Calibri"/>
            <w:noProof/>
            <w:color w:val="593470" w:themeColor="accent1" w:themeShade="80"/>
          </w:rPr>
          <w:t>Oﬃce for Refugees and ​Immigrants</w:t>
        </w:r>
        <w:r w:rsidRPr="00AD058D">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t xml:space="preserve">  </w:t>
        </w:r>
        <w:r w:rsidR="00BC6653">
          <w:rPr>
            <w:noProof/>
            <w:webHidden/>
          </w:rPr>
          <w:tab/>
          <w:t xml:space="preserve">          </w:t>
        </w:r>
        <w:r w:rsidRPr="00AD058D">
          <w:rPr>
            <w:noProof/>
            <w:webHidden/>
          </w:rPr>
          <w:fldChar w:fldCharType="begin"/>
        </w:r>
        <w:r w:rsidRPr="00AD058D">
          <w:rPr>
            <w:noProof/>
            <w:webHidden/>
          </w:rPr>
          <w:instrText xml:space="preserve"> PAGEREF _Toc230277117 \h </w:instrText>
        </w:r>
        <w:r w:rsidRPr="00AD058D">
          <w:rPr>
            <w:noProof/>
            <w:webHidden/>
          </w:rPr>
        </w:r>
        <w:r w:rsidRPr="00AD058D">
          <w:rPr>
            <w:noProof/>
            <w:webHidden/>
          </w:rPr>
          <w:fldChar w:fldCharType="separate"/>
        </w:r>
        <w:r w:rsidR="00BF5B9D">
          <w:rPr>
            <w:noProof/>
            <w:webHidden/>
          </w:rPr>
          <w:t>215</w:t>
        </w:r>
        <w:r w:rsidRPr="00AD058D">
          <w:rPr>
            <w:noProof/>
            <w:webHidden/>
          </w:rPr>
          <w:fldChar w:fldCharType="end"/>
        </w:r>
      </w:hyperlink>
    </w:p>
    <w:p w14:paraId="45B605A5" w14:textId="38B6E8B5" w:rsidR="00AD058D" w:rsidRPr="00AD058D" w:rsidRDefault="00AD058D" w:rsidP="000329CD">
      <w:pPr>
        <w:pStyle w:val="TOC1"/>
        <w:rPr>
          <w:noProof/>
          <w:kern w:val="2"/>
          <w:sz w:val="24"/>
          <w:szCs w:val="24"/>
          <w:u w:val="none"/>
          <w:lang w:eastAsia="en-US"/>
          <w14:ligatures w14:val="standardContextual"/>
        </w:rPr>
      </w:pPr>
      <w:hyperlink w:anchor="_Toc230277118" w:history="1">
        <w:r w:rsidRPr="00AD058D">
          <w:rPr>
            <w:rStyle w:val="Hyperlink"/>
            <w:rFonts w:ascii="Calibri" w:hAnsi="Calibri"/>
            <w:noProof/>
            <w:color w:val="593470" w:themeColor="accent1" w:themeShade="80"/>
          </w:rPr>
          <w:t>Executive Office of Education</w:t>
        </w:r>
        <w:r w:rsidRPr="00AD058D">
          <w:rPr>
            <w:noProof/>
            <w:webHidden/>
          </w:rPr>
          <w:tab/>
        </w:r>
        <w:r w:rsidRPr="00AD058D">
          <w:rPr>
            <w:noProof/>
            <w:webHidden/>
          </w:rPr>
          <w:fldChar w:fldCharType="begin"/>
        </w:r>
        <w:r w:rsidRPr="00AD058D">
          <w:rPr>
            <w:noProof/>
            <w:webHidden/>
          </w:rPr>
          <w:instrText xml:space="preserve"> PAGEREF _Toc230277118 \h </w:instrText>
        </w:r>
        <w:r w:rsidRPr="00AD058D">
          <w:rPr>
            <w:noProof/>
            <w:webHidden/>
          </w:rPr>
        </w:r>
        <w:r w:rsidRPr="00AD058D">
          <w:rPr>
            <w:noProof/>
            <w:webHidden/>
          </w:rPr>
          <w:fldChar w:fldCharType="separate"/>
        </w:r>
        <w:r w:rsidR="00BF5B9D">
          <w:rPr>
            <w:noProof/>
            <w:webHidden/>
          </w:rPr>
          <w:t>220</w:t>
        </w:r>
        <w:r w:rsidRPr="00AD058D">
          <w:rPr>
            <w:noProof/>
            <w:webHidden/>
          </w:rPr>
          <w:fldChar w:fldCharType="end"/>
        </w:r>
      </w:hyperlink>
    </w:p>
    <w:p w14:paraId="73035365" w14:textId="0E27910D" w:rsidR="00AD058D" w:rsidRPr="00AD058D" w:rsidRDefault="00AD058D" w:rsidP="00AD058D">
      <w:pPr>
        <w:pStyle w:val="TOC2"/>
        <w:rPr>
          <w:noProof/>
          <w:kern w:val="2"/>
          <w:sz w:val="24"/>
          <w:szCs w:val="24"/>
          <w:lang w:eastAsia="en-US"/>
          <w14:ligatures w14:val="standardContextual"/>
        </w:rPr>
      </w:pPr>
      <w:hyperlink w:anchor="_Toc230277119" w:history="1">
        <w:r w:rsidRPr="00AD058D">
          <w:rPr>
            <w:rStyle w:val="Hyperlink"/>
            <w:rFonts w:ascii="Calibri" w:hAnsi="Calibri"/>
            <w:noProof/>
            <w:color w:val="593470" w:themeColor="accent1" w:themeShade="80"/>
          </w:rPr>
          <w:t>Department of Early Education and Care</w:t>
        </w:r>
        <w:r w:rsidRPr="00AD058D">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t xml:space="preserve">          </w:t>
        </w:r>
        <w:r w:rsidRPr="00AD058D">
          <w:rPr>
            <w:noProof/>
            <w:webHidden/>
          </w:rPr>
          <w:fldChar w:fldCharType="begin"/>
        </w:r>
        <w:r w:rsidRPr="00AD058D">
          <w:rPr>
            <w:noProof/>
            <w:webHidden/>
          </w:rPr>
          <w:instrText xml:space="preserve"> PAGEREF _Toc230277119 \h </w:instrText>
        </w:r>
        <w:r w:rsidRPr="00AD058D">
          <w:rPr>
            <w:noProof/>
            <w:webHidden/>
          </w:rPr>
        </w:r>
        <w:r w:rsidRPr="00AD058D">
          <w:rPr>
            <w:noProof/>
            <w:webHidden/>
          </w:rPr>
          <w:fldChar w:fldCharType="separate"/>
        </w:r>
        <w:r w:rsidR="00BF5B9D">
          <w:rPr>
            <w:noProof/>
            <w:webHidden/>
          </w:rPr>
          <w:t>220</w:t>
        </w:r>
        <w:r w:rsidRPr="00AD058D">
          <w:rPr>
            <w:noProof/>
            <w:webHidden/>
          </w:rPr>
          <w:fldChar w:fldCharType="end"/>
        </w:r>
      </w:hyperlink>
    </w:p>
    <w:p w14:paraId="61A33C54" w14:textId="214D78FD" w:rsidR="00AD058D" w:rsidRPr="00AD058D" w:rsidRDefault="00AD058D" w:rsidP="00AD058D">
      <w:pPr>
        <w:pStyle w:val="TOC2"/>
        <w:rPr>
          <w:noProof/>
          <w:kern w:val="2"/>
          <w:sz w:val="24"/>
          <w:szCs w:val="24"/>
          <w:lang w:eastAsia="en-US"/>
          <w14:ligatures w14:val="standardContextual"/>
        </w:rPr>
      </w:pPr>
      <w:hyperlink w:anchor="_Toc230277120" w:history="1">
        <w:r w:rsidRPr="00AD058D">
          <w:rPr>
            <w:rStyle w:val="Hyperlink"/>
            <w:rFonts w:ascii="Calibri" w:hAnsi="Calibri"/>
            <w:noProof/>
            <w:color w:val="593470" w:themeColor="accent1" w:themeShade="80"/>
          </w:rPr>
          <w:t>Department of Elementary and Secondary Education</w:t>
        </w:r>
        <w:r w:rsidRPr="00AD058D">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t xml:space="preserve">          </w:t>
        </w:r>
        <w:r w:rsidRPr="00AD058D">
          <w:rPr>
            <w:noProof/>
            <w:webHidden/>
          </w:rPr>
          <w:fldChar w:fldCharType="begin"/>
        </w:r>
        <w:r w:rsidRPr="00AD058D">
          <w:rPr>
            <w:noProof/>
            <w:webHidden/>
          </w:rPr>
          <w:instrText xml:space="preserve"> PAGEREF _Toc230277120 \h </w:instrText>
        </w:r>
        <w:r w:rsidRPr="00AD058D">
          <w:rPr>
            <w:noProof/>
            <w:webHidden/>
          </w:rPr>
        </w:r>
        <w:r w:rsidRPr="00AD058D">
          <w:rPr>
            <w:noProof/>
            <w:webHidden/>
          </w:rPr>
          <w:fldChar w:fldCharType="separate"/>
        </w:r>
        <w:r w:rsidR="00BF5B9D">
          <w:rPr>
            <w:noProof/>
            <w:webHidden/>
          </w:rPr>
          <w:t>224</w:t>
        </w:r>
        <w:r w:rsidRPr="00AD058D">
          <w:rPr>
            <w:noProof/>
            <w:webHidden/>
          </w:rPr>
          <w:fldChar w:fldCharType="end"/>
        </w:r>
      </w:hyperlink>
    </w:p>
    <w:p w14:paraId="4E4E5F6C" w14:textId="64736C5E" w:rsidR="00AD058D" w:rsidRPr="00AD058D" w:rsidRDefault="00AD058D" w:rsidP="00AD058D">
      <w:pPr>
        <w:pStyle w:val="TOC2"/>
        <w:rPr>
          <w:noProof/>
          <w:kern w:val="2"/>
          <w:sz w:val="24"/>
          <w:szCs w:val="24"/>
          <w:lang w:eastAsia="en-US"/>
          <w14:ligatures w14:val="standardContextual"/>
        </w:rPr>
      </w:pPr>
      <w:hyperlink w:anchor="_Toc230277121" w:history="1">
        <w:r w:rsidRPr="00AD058D">
          <w:rPr>
            <w:rStyle w:val="Hyperlink"/>
            <w:rFonts w:ascii="Calibri" w:hAnsi="Calibri"/>
            <w:noProof/>
            <w:color w:val="593470" w:themeColor="accent1" w:themeShade="80"/>
          </w:rPr>
          <w:t>Department of Higher Education</w:t>
        </w:r>
        <w:r w:rsidRPr="00AD058D">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t xml:space="preserve">          </w:t>
        </w:r>
        <w:r w:rsidRPr="00AD058D">
          <w:rPr>
            <w:noProof/>
            <w:webHidden/>
          </w:rPr>
          <w:fldChar w:fldCharType="begin"/>
        </w:r>
        <w:r w:rsidRPr="00AD058D">
          <w:rPr>
            <w:noProof/>
            <w:webHidden/>
          </w:rPr>
          <w:instrText xml:space="preserve"> PAGEREF _Toc230277121 \h </w:instrText>
        </w:r>
        <w:r w:rsidRPr="00AD058D">
          <w:rPr>
            <w:noProof/>
            <w:webHidden/>
          </w:rPr>
        </w:r>
        <w:r w:rsidRPr="00AD058D">
          <w:rPr>
            <w:noProof/>
            <w:webHidden/>
          </w:rPr>
          <w:fldChar w:fldCharType="separate"/>
        </w:r>
        <w:r w:rsidR="00BF5B9D">
          <w:rPr>
            <w:noProof/>
            <w:webHidden/>
          </w:rPr>
          <w:t>233</w:t>
        </w:r>
        <w:r w:rsidRPr="00AD058D">
          <w:rPr>
            <w:noProof/>
            <w:webHidden/>
          </w:rPr>
          <w:fldChar w:fldCharType="end"/>
        </w:r>
      </w:hyperlink>
    </w:p>
    <w:p w14:paraId="2FAF8435" w14:textId="22299D06" w:rsidR="00AD058D" w:rsidRPr="00AD058D" w:rsidRDefault="00AD058D" w:rsidP="000329CD">
      <w:pPr>
        <w:pStyle w:val="TOC1"/>
        <w:rPr>
          <w:noProof/>
          <w:kern w:val="2"/>
          <w:sz w:val="24"/>
          <w:szCs w:val="24"/>
          <w:u w:val="none"/>
          <w:lang w:eastAsia="en-US"/>
          <w14:ligatures w14:val="standardContextual"/>
        </w:rPr>
      </w:pPr>
      <w:hyperlink w:anchor="_Toc230277122" w:history="1">
        <w:r w:rsidRPr="00AD058D">
          <w:rPr>
            <w:rStyle w:val="Hyperlink"/>
            <w:rFonts w:ascii="Calibri" w:hAnsi="Calibri"/>
            <w:noProof/>
            <w:color w:val="593470" w:themeColor="accent1" w:themeShade="80"/>
          </w:rPr>
          <w:t>Executive Office of Public Safety and Security</w:t>
        </w:r>
        <w:r w:rsidRPr="00AD058D">
          <w:rPr>
            <w:noProof/>
            <w:webHidden/>
          </w:rPr>
          <w:tab/>
        </w:r>
        <w:r w:rsidRPr="00AD058D">
          <w:rPr>
            <w:noProof/>
            <w:webHidden/>
          </w:rPr>
          <w:fldChar w:fldCharType="begin"/>
        </w:r>
        <w:r w:rsidRPr="00AD058D">
          <w:rPr>
            <w:noProof/>
            <w:webHidden/>
          </w:rPr>
          <w:instrText xml:space="preserve"> PAGEREF _Toc230277122 \h </w:instrText>
        </w:r>
        <w:r w:rsidRPr="00AD058D">
          <w:rPr>
            <w:noProof/>
            <w:webHidden/>
          </w:rPr>
        </w:r>
        <w:r w:rsidRPr="00AD058D">
          <w:rPr>
            <w:noProof/>
            <w:webHidden/>
          </w:rPr>
          <w:fldChar w:fldCharType="separate"/>
        </w:r>
        <w:r w:rsidR="00BF5B9D">
          <w:rPr>
            <w:noProof/>
            <w:webHidden/>
          </w:rPr>
          <w:t>236</w:t>
        </w:r>
        <w:r w:rsidRPr="00AD058D">
          <w:rPr>
            <w:noProof/>
            <w:webHidden/>
          </w:rPr>
          <w:fldChar w:fldCharType="end"/>
        </w:r>
      </w:hyperlink>
    </w:p>
    <w:p w14:paraId="7B6FB426" w14:textId="274CE00F" w:rsidR="00AD058D" w:rsidRPr="00AD058D" w:rsidRDefault="00AD058D" w:rsidP="00AD058D">
      <w:pPr>
        <w:pStyle w:val="TOC2"/>
        <w:rPr>
          <w:noProof/>
          <w:kern w:val="2"/>
          <w:sz w:val="24"/>
          <w:szCs w:val="24"/>
          <w:lang w:eastAsia="en-US"/>
          <w14:ligatures w14:val="standardContextual"/>
        </w:rPr>
      </w:pPr>
      <w:hyperlink w:anchor="_Toc230277123" w:history="1">
        <w:r w:rsidRPr="00AD058D">
          <w:rPr>
            <w:rStyle w:val="Hyperlink"/>
            <w:rFonts w:ascii="Calibri" w:hAnsi="Calibri"/>
            <w:noProof/>
            <w:color w:val="593470" w:themeColor="accent1" w:themeShade="80"/>
          </w:rPr>
          <w:t>Department of Correction</w:t>
        </w:r>
        <w:r w:rsidRPr="00AD058D">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t xml:space="preserve">          </w:t>
        </w:r>
        <w:r w:rsidRPr="00AD058D">
          <w:rPr>
            <w:noProof/>
            <w:webHidden/>
          </w:rPr>
          <w:fldChar w:fldCharType="begin"/>
        </w:r>
        <w:r w:rsidRPr="00AD058D">
          <w:rPr>
            <w:noProof/>
            <w:webHidden/>
          </w:rPr>
          <w:instrText xml:space="preserve"> PAGEREF _Toc230277123 \h </w:instrText>
        </w:r>
        <w:r w:rsidRPr="00AD058D">
          <w:rPr>
            <w:noProof/>
            <w:webHidden/>
          </w:rPr>
        </w:r>
        <w:r w:rsidRPr="00AD058D">
          <w:rPr>
            <w:noProof/>
            <w:webHidden/>
          </w:rPr>
          <w:fldChar w:fldCharType="separate"/>
        </w:r>
        <w:r w:rsidR="00BF5B9D">
          <w:rPr>
            <w:noProof/>
            <w:webHidden/>
          </w:rPr>
          <w:t>238</w:t>
        </w:r>
        <w:r w:rsidRPr="00AD058D">
          <w:rPr>
            <w:noProof/>
            <w:webHidden/>
          </w:rPr>
          <w:fldChar w:fldCharType="end"/>
        </w:r>
      </w:hyperlink>
    </w:p>
    <w:p w14:paraId="075F2047" w14:textId="69A9E1B1" w:rsidR="00AD058D" w:rsidRPr="00AD058D" w:rsidRDefault="00AD058D" w:rsidP="000329CD">
      <w:pPr>
        <w:pStyle w:val="TOC1"/>
        <w:rPr>
          <w:noProof/>
          <w:kern w:val="2"/>
          <w:sz w:val="24"/>
          <w:szCs w:val="24"/>
          <w:u w:val="none"/>
          <w:lang w:eastAsia="en-US"/>
          <w14:ligatures w14:val="standardContextual"/>
        </w:rPr>
      </w:pPr>
      <w:hyperlink w:anchor="_Toc230277124" w:history="1">
        <w:r w:rsidRPr="00AD058D">
          <w:rPr>
            <w:rStyle w:val="Hyperlink"/>
            <w:rFonts w:ascii="Calibri" w:hAnsi="Calibri"/>
            <w:noProof/>
            <w:color w:val="593470" w:themeColor="accent1" w:themeShade="80"/>
          </w:rPr>
          <w:t>Additional Secretariats &amp; State Agencies</w:t>
        </w:r>
        <w:r w:rsidRPr="00AD058D">
          <w:rPr>
            <w:noProof/>
            <w:webHidden/>
          </w:rPr>
          <w:tab/>
        </w:r>
        <w:r w:rsidRPr="00AD058D">
          <w:rPr>
            <w:noProof/>
            <w:webHidden/>
          </w:rPr>
          <w:fldChar w:fldCharType="begin"/>
        </w:r>
        <w:r w:rsidRPr="00AD058D">
          <w:rPr>
            <w:noProof/>
            <w:webHidden/>
          </w:rPr>
          <w:instrText xml:space="preserve"> PAGEREF _Toc230277124 \h </w:instrText>
        </w:r>
        <w:r w:rsidRPr="00AD058D">
          <w:rPr>
            <w:noProof/>
            <w:webHidden/>
          </w:rPr>
        </w:r>
        <w:r w:rsidRPr="00AD058D">
          <w:rPr>
            <w:noProof/>
            <w:webHidden/>
          </w:rPr>
          <w:fldChar w:fldCharType="separate"/>
        </w:r>
        <w:r w:rsidR="00BF5B9D">
          <w:rPr>
            <w:noProof/>
            <w:webHidden/>
          </w:rPr>
          <w:t>240</w:t>
        </w:r>
        <w:r w:rsidRPr="00AD058D">
          <w:rPr>
            <w:noProof/>
            <w:webHidden/>
          </w:rPr>
          <w:fldChar w:fldCharType="end"/>
        </w:r>
      </w:hyperlink>
    </w:p>
    <w:p w14:paraId="6765EAAE" w14:textId="1391638F" w:rsidR="00AD058D" w:rsidRPr="00AD058D" w:rsidRDefault="00AD058D" w:rsidP="00AD058D">
      <w:pPr>
        <w:pStyle w:val="TOC2"/>
        <w:rPr>
          <w:noProof/>
          <w:kern w:val="2"/>
          <w:sz w:val="24"/>
          <w:szCs w:val="24"/>
          <w:lang w:eastAsia="en-US"/>
          <w14:ligatures w14:val="standardContextual"/>
        </w:rPr>
      </w:pPr>
      <w:hyperlink w:anchor="_Toc230277125" w:history="1">
        <w:r w:rsidRPr="00AD058D">
          <w:rPr>
            <w:rStyle w:val="Hyperlink"/>
            <w:rFonts w:ascii="Calibri" w:hAnsi="Calibri"/>
            <w:noProof/>
            <w:color w:val="593470" w:themeColor="accent1" w:themeShade="80"/>
          </w:rPr>
          <w:t>Board of Library Commissioners</w:t>
        </w:r>
        <w:r w:rsidR="00BC6653">
          <w:rPr>
            <w:rStyle w:val="Hyperlink"/>
            <w:rFonts w:ascii="Calibri" w:hAnsi="Calibri"/>
            <w:noProof/>
            <w:color w:val="593470" w:themeColor="accent1" w:themeShade="80"/>
          </w:rPr>
          <w:tab/>
        </w:r>
        <w:r w:rsidR="00BC6653">
          <w:rPr>
            <w:rStyle w:val="Hyperlink"/>
            <w:rFonts w:ascii="Calibri" w:hAnsi="Calibri"/>
            <w:noProof/>
            <w:color w:val="593470" w:themeColor="accent1" w:themeShade="80"/>
          </w:rPr>
          <w:tab/>
        </w:r>
        <w:r w:rsidR="00BC6653">
          <w:rPr>
            <w:rStyle w:val="Hyperlink"/>
            <w:rFonts w:ascii="Calibri" w:hAnsi="Calibri"/>
            <w:noProof/>
            <w:color w:val="593470" w:themeColor="accent1" w:themeShade="80"/>
          </w:rPr>
          <w:tab/>
        </w:r>
        <w:r w:rsidR="00BC6653">
          <w:rPr>
            <w:rStyle w:val="Hyperlink"/>
            <w:rFonts w:ascii="Calibri" w:hAnsi="Calibri"/>
            <w:noProof/>
            <w:color w:val="593470" w:themeColor="accent1" w:themeShade="80"/>
          </w:rPr>
          <w:tab/>
        </w:r>
        <w:r w:rsidR="00BC6653">
          <w:rPr>
            <w:rStyle w:val="Hyperlink"/>
            <w:rFonts w:ascii="Calibri" w:hAnsi="Calibri"/>
            <w:noProof/>
            <w:color w:val="593470" w:themeColor="accent1" w:themeShade="80"/>
          </w:rPr>
          <w:tab/>
        </w:r>
        <w:r w:rsidR="00BC6653">
          <w:rPr>
            <w:rStyle w:val="Hyperlink"/>
            <w:rFonts w:ascii="Calibri" w:hAnsi="Calibri"/>
            <w:noProof/>
            <w:color w:val="593470" w:themeColor="accent1" w:themeShade="80"/>
          </w:rPr>
          <w:tab/>
        </w:r>
        <w:r w:rsidR="00BC6653">
          <w:rPr>
            <w:rStyle w:val="Hyperlink"/>
            <w:rFonts w:ascii="Calibri" w:hAnsi="Calibri"/>
            <w:noProof/>
            <w:color w:val="593470" w:themeColor="accent1" w:themeShade="80"/>
          </w:rPr>
          <w:tab/>
        </w:r>
        <w:r w:rsidR="00BC6653">
          <w:rPr>
            <w:rStyle w:val="Hyperlink"/>
            <w:rFonts w:ascii="Calibri" w:hAnsi="Calibri"/>
            <w:noProof/>
            <w:color w:val="593470" w:themeColor="accent1" w:themeShade="80"/>
          </w:rPr>
          <w:tab/>
          <w:t xml:space="preserve">                   </w:t>
        </w:r>
        <w:r w:rsidR="00BC6653">
          <w:rPr>
            <w:noProof/>
            <w:webHidden/>
          </w:rPr>
          <w:t xml:space="preserve">        </w:t>
        </w:r>
        <w:r w:rsidRPr="00AD058D">
          <w:rPr>
            <w:noProof/>
            <w:webHidden/>
          </w:rPr>
          <w:fldChar w:fldCharType="begin"/>
        </w:r>
        <w:r w:rsidRPr="00AD058D">
          <w:rPr>
            <w:noProof/>
            <w:webHidden/>
          </w:rPr>
          <w:instrText xml:space="preserve"> PAGEREF _Toc230277125 \h </w:instrText>
        </w:r>
        <w:r w:rsidRPr="00AD058D">
          <w:rPr>
            <w:noProof/>
            <w:webHidden/>
          </w:rPr>
        </w:r>
        <w:r w:rsidRPr="00AD058D">
          <w:rPr>
            <w:noProof/>
            <w:webHidden/>
          </w:rPr>
          <w:fldChar w:fldCharType="separate"/>
        </w:r>
        <w:r w:rsidR="00BF5B9D">
          <w:rPr>
            <w:noProof/>
            <w:webHidden/>
          </w:rPr>
          <w:t>240</w:t>
        </w:r>
        <w:r w:rsidRPr="00AD058D">
          <w:rPr>
            <w:noProof/>
            <w:webHidden/>
          </w:rPr>
          <w:fldChar w:fldCharType="end"/>
        </w:r>
      </w:hyperlink>
    </w:p>
    <w:p w14:paraId="4BE8F977" w14:textId="1AEE3982" w:rsidR="00AD058D" w:rsidRPr="00AD058D" w:rsidRDefault="00AD058D" w:rsidP="00AD058D">
      <w:pPr>
        <w:pStyle w:val="TOC2"/>
        <w:rPr>
          <w:noProof/>
          <w:kern w:val="2"/>
          <w:sz w:val="24"/>
          <w:szCs w:val="24"/>
          <w:lang w:eastAsia="en-US"/>
          <w14:ligatures w14:val="standardContextual"/>
        </w:rPr>
      </w:pPr>
      <w:hyperlink w:anchor="_Toc230277126" w:history="1">
        <w:r w:rsidRPr="00AD058D">
          <w:rPr>
            <w:rStyle w:val="Hyperlink"/>
            <w:rFonts w:ascii="Calibri" w:hAnsi="Calibri"/>
            <w:noProof/>
            <w:color w:val="593470" w:themeColor="accent1" w:themeShade="80"/>
          </w:rPr>
          <w:t>Committee for Public Counsel Services</w:t>
        </w:r>
        <w:r w:rsidRPr="00AD058D">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t xml:space="preserve">         </w:t>
        </w:r>
        <w:r w:rsidRPr="00AD058D">
          <w:rPr>
            <w:noProof/>
            <w:webHidden/>
          </w:rPr>
          <w:fldChar w:fldCharType="begin"/>
        </w:r>
        <w:r w:rsidRPr="00AD058D">
          <w:rPr>
            <w:noProof/>
            <w:webHidden/>
          </w:rPr>
          <w:instrText xml:space="preserve"> PAGEREF _Toc230277126 \h </w:instrText>
        </w:r>
        <w:r w:rsidRPr="00AD058D">
          <w:rPr>
            <w:noProof/>
            <w:webHidden/>
          </w:rPr>
        </w:r>
        <w:r w:rsidRPr="00AD058D">
          <w:rPr>
            <w:noProof/>
            <w:webHidden/>
          </w:rPr>
          <w:fldChar w:fldCharType="separate"/>
        </w:r>
        <w:r w:rsidR="00BF5B9D">
          <w:rPr>
            <w:noProof/>
            <w:webHidden/>
          </w:rPr>
          <w:t>244</w:t>
        </w:r>
        <w:r w:rsidRPr="00AD058D">
          <w:rPr>
            <w:noProof/>
            <w:webHidden/>
          </w:rPr>
          <w:fldChar w:fldCharType="end"/>
        </w:r>
      </w:hyperlink>
    </w:p>
    <w:p w14:paraId="43B7256B" w14:textId="4C5E58F0" w:rsidR="00AD058D" w:rsidRPr="00AD058D" w:rsidRDefault="00AD058D" w:rsidP="00AD058D">
      <w:pPr>
        <w:pStyle w:val="TOC2"/>
        <w:rPr>
          <w:noProof/>
          <w:kern w:val="2"/>
          <w:sz w:val="24"/>
          <w:szCs w:val="24"/>
          <w:lang w:eastAsia="en-US"/>
          <w14:ligatures w14:val="standardContextual"/>
        </w:rPr>
      </w:pPr>
      <w:hyperlink w:anchor="_Toc230277127" w:history="1">
        <w:r w:rsidRPr="00AD058D">
          <w:rPr>
            <w:rStyle w:val="Hyperlink"/>
            <w:rFonts w:ascii="Calibri" w:hAnsi="Calibri"/>
            <w:noProof/>
            <w:color w:val="593470" w:themeColor="accent1" w:themeShade="80"/>
          </w:rPr>
          <w:t>Executive Office of Housing and Livable Communities</w:t>
        </w:r>
        <w:r w:rsidRPr="00AD058D">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t xml:space="preserve">         </w:t>
        </w:r>
        <w:r w:rsidRPr="00AD058D">
          <w:rPr>
            <w:noProof/>
            <w:webHidden/>
          </w:rPr>
          <w:fldChar w:fldCharType="begin"/>
        </w:r>
        <w:r w:rsidRPr="00AD058D">
          <w:rPr>
            <w:noProof/>
            <w:webHidden/>
          </w:rPr>
          <w:instrText xml:space="preserve"> PAGEREF _Toc230277127 \h </w:instrText>
        </w:r>
        <w:r w:rsidRPr="00AD058D">
          <w:rPr>
            <w:noProof/>
            <w:webHidden/>
          </w:rPr>
        </w:r>
        <w:r w:rsidRPr="00AD058D">
          <w:rPr>
            <w:noProof/>
            <w:webHidden/>
          </w:rPr>
          <w:fldChar w:fldCharType="separate"/>
        </w:r>
        <w:r w:rsidR="00BF5B9D">
          <w:rPr>
            <w:noProof/>
            <w:webHidden/>
          </w:rPr>
          <w:t>247</w:t>
        </w:r>
        <w:r w:rsidRPr="00AD058D">
          <w:rPr>
            <w:noProof/>
            <w:webHidden/>
          </w:rPr>
          <w:fldChar w:fldCharType="end"/>
        </w:r>
      </w:hyperlink>
    </w:p>
    <w:p w14:paraId="642355E2" w14:textId="7EDDEE98" w:rsidR="00AD058D" w:rsidRPr="00AD058D" w:rsidRDefault="00AD058D" w:rsidP="00AD058D">
      <w:pPr>
        <w:pStyle w:val="TOC2"/>
        <w:rPr>
          <w:noProof/>
          <w:kern w:val="2"/>
          <w:sz w:val="24"/>
          <w:szCs w:val="24"/>
          <w:lang w:eastAsia="en-US"/>
          <w14:ligatures w14:val="standardContextual"/>
        </w:rPr>
      </w:pPr>
      <w:hyperlink w:anchor="_Toc230277128" w:history="1">
        <w:r w:rsidRPr="00AD058D">
          <w:rPr>
            <w:rStyle w:val="Hyperlink"/>
            <w:rFonts w:ascii="Calibri" w:hAnsi="Calibri"/>
            <w:noProof/>
            <w:color w:val="593470" w:themeColor="accent1" w:themeShade="80"/>
          </w:rPr>
          <w:t>MassHire</w:t>
        </w:r>
        <w:r w:rsidRPr="00AD058D">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t xml:space="preserve">         </w:t>
        </w:r>
        <w:r w:rsidRPr="00AD058D">
          <w:rPr>
            <w:noProof/>
            <w:webHidden/>
          </w:rPr>
          <w:fldChar w:fldCharType="begin"/>
        </w:r>
        <w:r w:rsidRPr="00AD058D">
          <w:rPr>
            <w:noProof/>
            <w:webHidden/>
          </w:rPr>
          <w:instrText xml:space="preserve"> PAGEREF _Toc230277128 \h </w:instrText>
        </w:r>
        <w:r w:rsidRPr="00AD058D">
          <w:rPr>
            <w:noProof/>
            <w:webHidden/>
          </w:rPr>
        </w:r>
        <w:r w:rsidRPr="00AD058D">
          <w:rPr>
            <w:noProof/>
            <w:webHidden/>
          </w:rPr>
          <w:fldChar w:fldCharType="separate"/>
        </w:r>
        <w:r w:rsidR="00BF5B9D">
          <w:rPr>
            <w:noProof/>
            <w:webHidden/>
          </w:rPr>
          <w:t>251</w:t>
        </w:r>
        <w:r w:rsidRPr="00AD058D">
          <w:rPr>
            <w:noProof/>
            <w:webHidden/>
          </w:rPr>
          <w:fldChar w:fldCharType="end"/>
        </w:r>
      </w:hyperlink>
    </w:p>
    <w:p w14:paraId="3AA29B0A" w14:textId="4A660EF8" w:rsidR="00AD058D" w:rsidRPr="00AD058D" w:rsidRDefault="00AD058D" w:rsidP="00AD058D">
      <w:pPr>
        <w:pStyle w:val="TOC2"/>
        <w:rPr>
          <w:noProof/>
          <w:kern w:val="2"/>
          <w:sz w:val="24"/>
          <w:szCs w:val="24"/>
          <w:lang w:eastAsia="en-US"/>
          <w14:ligatures w14:val="standardContextual"/>
        </w:rPr>
      </w:pPr>
      <w:hyperlink w:anchor="_Toc230277129" w:history="1">
        <w:r w:rsidRPr="00AD058D">
          <w:rPr>
            <w:rStyle w:val="Hyperlink"/>
            <w:rFonts w:ascii="Calibri" w:hAnsi="Calibri"/>
            <w:noProof/>
            <w:color w:val="593470" w:themeColor="accent1" w:themeShade="80"/>
          </w:rPr>
          <w:t>Oﬃce of the Child Advocate</w:t>
        </w:r>
        <w:r w:rsidRPr="00AD058D">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r>
        <w:r w:rsidR="00BC6653">
          <w:rPr>
            <w:noProof/>
            <w:webHidden/>
          </w:rPr>
          <w:tab/>
          <w:t xml:space="preserve">         </w:t>
        </w:r>
        <w:r w:rsidRPr="00AD058D">
          <w:rPr>
            <w:noProof/>
            <w:webHidden/>
          </w:rPr>
          <w:fldChar w:fldCharType="begin"/>
        </w:r>
        <w:r w:rsidRPr="00AD058D">
          <w:rPr>
            <w:noProof/>
            <w:webHidden/>
          </w:rPr>
          <w:instrText xml:space="preserve"> PAGEREF _Toc230277129 \h </w:instrText>
        </w:r>
        <w:r w:rsidRPr="00AD058D">
          <w:rPr>
            <w:noProof/>
            <w:webHidden/>
          </w:rPr>
        </w:r>
        <w:r w:rsidRPr="00AD058D">
          <w:rPr>
            <w:noProof/>
            <w:webHidden/>
          </w:rPr>
          <w:fldChar w:fldCharType="separate"/>
        </w:r>
        <w:r w:rsidR="00BF5B9D">
          <w:rPr>
            <w:noProof/>
            <w:webHidden/>
          </w:rPr>
          <w:t>254</w:t>
        </w:r>
        <w:r w:rsidRPr="00AD058D">
          <w:rPr>
            <w:noProof/>
            <w:webHidden/>
          </w:rPr>
          <w:fldChar w:fldCharType="end"/>
        </w:r>
      </w:hyperlink>
    </w:p>
    <w:p w14:paraId="4D15FFA6" w14:textId="0B22A39B" w:rsidR="00B7107C" w:rsidRPr="00AD058D" w:rsidRDefault="00AD058D" w:rsidP="00982595">
      <w:pPr>
        <w:jc w:val="both"/>
        <w:rPr>
          <w:color w:val="593470" w:themeColor="accent1" w:themeShade="80"/>
        </w:rPr>
      </w:pPr>
      <w:r w:rsidRPr="00AD058D">
        <w:rPr>
          <w:b/>
          <w:bCs/>
          <w:caps/>
          <w:color w:val="593470" w:themeColor="accent1" w:themeShade="80"/>
          <w:sz w:val="22"/>
          <w:szCs w:val="22"/>
          <w:u w:val="single"/>
        </w:rPr>
        <w:fldChar w:fldCharType="end"/>
      </w:r>
      <w:r w:rsidR="00B7107C" w:rsidRPr="00AD058D">
        <w:rPr>
          <w:color w:val="593470" w:themeColor="accent1" w:themeShade="80"/>
        </w:rPr>
        <w:br w:type="page"/>
      </w:r>
    </w:p>
    <w:p w14:paraId="69982ADE" w14:textId="48B499DE" w:rsidR="00011744" w:rsidRDefault="005B04B7" w:rsidP="0005607E">
      <w:pPr>
        <w:pStyle w:val="Heading1"/>
        <w:jc w:val="both"/>
      </w:pPr>
      <w:bookmarkStart w:id="214" w:name="_Toc230277106"/>
      <w:bookmarkStart w:id="215" w:name="_Toc230277374"/>
      <w:bookmarkStart w:id="216" w:name="_Toc230355488"/>
      <w:r>
        <w:lastRenderedPageBreak/>
        <w:t xml:space="preserve">Executive </w:t>
      </w:r>
      <w:r w:rsidR="00B7107C">
        <w:t>Office of Health and Human Services</w:t>
      </w:r>
      <w:bookmarkEnd w:id="214"/>
      <w:bookmarkEnd w:id="215"/>
      <w:bookmarkEnd w:id="216"/>
    </w:p>
    <w:p w14:paraId="3EEAD99E" w14:textId="77777777" w:rsidR="00685963" w:rsidRPr="00685963" w:rsidRDefault="00685963" w:rsidP="00B7107C">
      <w:pPr>
        <w:pStyle w:val="Heading2"/>
      </w:pPr>
      <w:bookmarkStart w:id="217" w:name="_Toc230277107"/>
      <w:bookmarkStart w:id="218" w:name="_Toc230277375"/>
      <w:bookmarkStart w:id="219" w:name="_Toc230355489"/>
      <w:r w:rsidRPr="00685963">
        <w:t>Commission for the Blind</w:t>
      </w:r>
      <w:bookmarkEnd w:id="217"/>
      <w:bookmarkEnd w:id="218"/>
      <w:bookmarkEnd w:id="219"/>
    </w:p>
    <w:p w14:paraId="52AB4CF4" w14:textId="77777777" w:rsidR="00685963" w:rsidRPr="00685963" w:rsidRDefault="00685963">
      <w:pPr>
        <w:pStyle w:val="ListParagraph"/>
        <w:numPr>
          <w:ilvl w:val="0"/>
          <w:numId w:val="16"/>
        </w:numPr>
        <w:spacing w:line="240" w:lineRule="auto"/>
        <w:ind w:right="360"/>
        <w:jc w:val="both"/>
      </w:pPr>
      <w:r w:rsidRPr="00685963">
        <w:t>Collaborate with the Commission, youth-serving agencies, and other community partners on resource development and community support.</w:t>
      </w:r>
    </w:p>
    <w:p w14:paraId="10B3FC38" w14:textId="77777777" w:rsidR="00685963" w:rsidRPr="00685963" w:rsidRDefault="00685963">
      <w:pPr>
        <w:pStyle w:val="ListParagraph"/>
        <w:numPr>
          <w:ilvl w:val="0"/>
          <w:numId w:val="16"/>
        </w:numPr>
        <w:spacing w:line="240" w:lineRule="auto"/>
        <w:ind w:right="360"/>
        <w:jc w:val="both"/>
      </w:pPr>
      <w:r w:rsidRPr="00685963">
        <w:t>Provide professional development opportunities that prioritize intersectionality and center LGBTQ cultural engagement, racial equity, and adultism training sessions.</w:t>
      </w:r>
    </w:p>
    <w:p w14:paraId="63DFA012" w14:textId="77777777" w:rsidR="00685963" w:rsidRPr="00685963" w:rsidRDefault="00685963" w:rsidP="00E97E73">
      <w:pPr>
        <w:pStyle w:val="Heading3"/>
      </w:pPr>
      <w:bookmarkStart w:id="220" w:name="_Toc230277376"/>
      <w:r w:rsidRPr="00685963">
        <w:t>Introduction</w:t>
      </w:r>
      <w:bookmarkEnd w:id="220"/>
    </w:p>
    <w:p w14:paraId="150CC76E" w14:textId="77777777" w:rsidR="00685963" w:rsidRPr="00685963" w:rsidRDefault="00685963" w:rsidP="00685963">
      <w:pPr>
        <w:jc w:val="both"/>
      </w:pPr>
      <w:r w:rsidRPr="00685963">
        <w:t>The Massachusetts Commission for the Blind (MCB) is the principal agency in the Commonwealth that works on behalf of people of all ages who are legally blind. MCB provides access to vocational rehabilitation and employment opportunities, as well as social rehabilitation to increase independence and self-empowerment. Regrettably, there exists very little research that examines the experiences of LGBTQ youth who are blind, or the accessibility of needed services. The Commission hopes that future studies and state surveys can provide information on these critical intersections to ensure that the experiences of blind LGBTQ youth in Massachusetts are not being ignored.</w:t>
      </w:r>
    </w:p>
    <w:p w14:paraId="264B883A" w14:textId="77777777" w:rsidR="00685963" w:rsidRPr="00685963" w:rsidRDefault="00685963" w:rsidP="00E97E73">
      <w:pPr>
        <w:pStyle w:val="Heading3"/>
      </w:pPr>
      <w:bookmarkStart w:id="221" w:name="_Toc230277377"/>
      <w:r w:rsidRPr="00685963">
        <w:t>Past &amp; Ongoing Work</w:t>
      </w:r>
      <w:bookmarkEnd w:id="221"/>
    </w:p>
    <w:p w14:paraId="3AB5D490" w14:textId="77777777" w:rsidR="00685963" w:rsidRPr="00685963" w:rsidRDefault="00685963" w:rsidP="00685963">
      <w:pPr>
        <w:jc w:val="both"/>
      </w:pPr>
      <w:r w:rsidRPr="00685963">
        <w:t>The Commission has issued recommendations to MCB since FY 2018. Since 2017, MCB has hosted nearly annual optional staﬀ trainings on LGBTQ inclusivity. MCB has also worked to incorporate the collection of pronouns into case notes through its providers. In early FY 2026, MCB finalized new data fields in its agency consumer database (AWARE) to capture SOGI information, completing a recommendation the Commission had previously issued. MCB has noted that it plans to continuously check in with staff and educate them on adherence to the data standards policy.</w:t>
      </w:r>
    </w:p>
    <w:p w14:paraId="6CA87AB1" w14:textId="77777777" w:rsidR="00685963" w:rsidRPr="00685963" w:rsidRDefault="00685963" w:rsidP="00E97E73">
      <w:pPr>
        <w:pStyle w:val="Heading3"/>
      </w:pPr>
      <w:bookmarkStart w:id="222" w:name="_Toc230277378"/>
      <w:r w:rsidRPr="00685963">
        <w:t>FY 2027 Recommendations to the Commission for the Blind</w:t>
      </w:r>
      <w:bookmarkEnd w:id="222"/>
    </w:p>
    <w:p w14:paraId="1677C519" w14:textId="747EADBD" w:rsidR="00685963" w:rsidRPr="00685963" w:rsidRDefault="00BC6653" w:rsidP="00B7107C">
      <w:pPr>
        <w:pStyle w:val="Heading5"/>
      </w:pPr>
      <w:r>
        <w:t xml:space="preserve">1| </w:t>
      </w:r>
      <w:r w:rsidR="00685963" w:rsidRPr="00685963">
        <w:t>Collaborate with youth-serving agencies and other community partners on resource development and community support.</w:t>
      </w:r>
    </w:p>
    <w:p w14:paraId="0BD12009" w14:textId="77777777" w:rsidR="00685963" w:rsidRPr="00685963" w:rsidRDefault="00685963" w:rsidP="00685963">
      <w:pPr>
        <w:jc w:val="both"/>
      </w:pPr>
      <w:r w:rsidRPr="00685963">
        <w:t xml:space="preserve">The Commission has heard from youth frequently that ﬁnding accessible spaces for blind LGBTQ youth, similarly to Deaf and hard of hearing youth, can be difficult. The Commission recommends that MCB explore existing and new relationships to better understand existing LGBTQ spaces for blind community members, and to help ﬁll gaps where appropriate. In FY 2026, the Commission </w:t>
      </w:r>
      <w:r w:rsidRPr="00685963">
        <w:lastRenderedPageBreak/>
        <w:t>and MCB discussed potential collaboration on an event to share resources and uplift community support for LGBTQ youth.</w:t>
      </w:r>
    </w:p>
    <w:p w14:paraId="70C6A579" w14:textId="18A3B01E" w:rsidR="00685963" w:rsidRPr="00685963" w:rsidRDefault="00BC6653" w:rsidP="00B7107C">
      <w:pPr>
        <w:pStyle w:val="Heading5"/>
      </w:pPr>
      <w:r>
        <w:t xml:space="preserve">2| </w:t>
      </w:r>
      <w:r w:rsidR="00685963" w:rsidRPr="00685963">
        <w:t>Continue to provide professional development opportunities that prioritize intersectionality and center LGBTQ cultural engagement, racial equity, and adultism training sessions.</w:t>
      </w:r>
    </w:p>
    <w:p w14:paraId="0FC7199B" w14:textId="77777777" w:rsidR="00685963" w:rsidRPr="00685963" w:rsidRDefault="00685963" w:rsidP="00685963">
      <w:pPr>
        <w:jc w:val="both"/>
      </w:pPr>
      <w:r w:rsidRPr="00685963">
        <w:t xml:space="preserve">MCB has a history of consistently providing trainings for its staﬀ on LGBTQ inclusivity and SOGI data collection. In April 2025, MCB staﬀ shared with the Commission several trainings for MCB </w:t>
      </w:r>
      <w:proofErr w:type="gramStart"/>
      <w:r w:rsidRPr="00685963">
        <w:t>staff</w:t>
      </w:r>
      <w:proofErr w:type="gramEnd"/>
      <w:r w:rsidRPr="00685963">
        <w:t xml:space="preserve"> had taken place. The Commission recommends that MCB continue to expand its oﬀerings of professional development opportunities, particularly around gender identity, adultism, and racial equity.</w:t>
      </w:r>
    </w:p>
    <w:p w14:paraId="642E1284" w14:textId="1F4ABF99" w:rsidR="00685963" w:rsidRPr="00E44F63" w:rsidRDefault="00685963" w:rsidP="00685963">
      <w:pPr>
        <w:rPr>
          <w:rStyle w:val="SubtleReference"/>
          <w:color w:val="864EA8" w:themeColor="accent1" w:themeShade="BF"/>
        </w:rPr>
      </w:pPr>
      <w:r w:rsidRPr="00E44F63">
        <w:rPr>
          <w:rStyle w:val="SubtleReference"/>
          <w:color w:val="864EA8" w:themeColor="accent1" w:themeShade="BF"/>
        </w:rPr>
        <w:t xml:space="preserve">Acknowledgments: The Commission </w:t>
      </w:r>
      <w:r w:rsidR="004F6E0A" w:rsidRPr="00E44F63">
        <w:rPr>
          <w:rStyle w:val="SubtleReference"/>
          <w:color w:val="864EA8" w:themeColor="accent1" w:themeShade="BF"/>
        </w:rPr>
        <w:t>thanks</w:t>
      </w:r>
      <w:r w:rsidRPr="00E44F63">
        <w:rPr>
          <w:rStyle w:val="SubtleReference"/>
          <w:color w:val="864EA8" w:themeColor="accent1" w:themeShade="BF"/>
        </w:rPr>
        <w:t xml:space="preserve"> the contributions of its MCB liaisons.</w:t>
      </w:r>
    </w:p>
    <w:p w14:paraId="59AD2E95" w14:textId="63E0E89D" w:rsidR="00685963" w:rsidRPr="00E44F63" w:rsidRDefault="00685963">
      <w:pPr>
        <w:rPr>
          <w:rStyle w:val="SubtleReference"/>
          <w:color w:val="864EA8" w:themeColor="accent1" w:themeShade="BF"/>
        </w:rPr>
      </w:pPr>
      <w:r w:rsidRPr="00E44F63">
        <w:rPr>
          <w:rStyle w:val="SubtleReference"/>
          <w:color w:val="864EA8" w:themeColor="accent1" w:themeShade="BF"/>
        </w:rPr>
        <w:br w:type="page"/>
      </w:r>
    </w:p>
    <w:p w14:paraId="7B04220F" w14:textId="77777777" w:rsidR="00685963" w:rsidRPr="00685963" w:rsidRDefault="00685963" w:rsidP="00B7107C">
      <w:pPr>
        <w:pStyle w:val="Heading2"/>
      </w:pPr>
      <w:bookmarkStart w:id="223" w:name="_Toc230277108"/>
      <w:bookmarkStart w:id="224" w:name="_Toc230277379"/>
      <w:bookmarkStart w:id="225" w:name="_Toc230355490"/>
      <w:r w:rsidRPr="00685963">
        <w:lastRenderedPageBreak/>
        <w:t>Commission for the Deaf and Hard of Hearing</w:t>
      </w:r>
      <w:bookmarkEnd w:id="223"/>
      <w:bookmarkEnd w:id="224"/>
      <w:bookmarkEnd w:id="225"/>
    </w:p>
    <w:p w14:paraId="689B8EC9" w14:textId="77777777" w:rsidR="00685963" w:rsidRPr="00685963" w:rsidRDefault="00685963">
      <w:pPr>
        <w:pStyle w:val="ListParagraph"/>
        <w:numPr>
          <w:ilvl w:val="0"/>
          <w:numId w:val="17"/>
        </w:numPr>
        <w:spacing w:line="240" w:lineRule="auto"/>
        <w:ind w:right="360"/>
        <w:jc w:val="both"/>
      </w:pPr>
      <w:r w:rsidRPr="00685963">
        <w:t>Continue to provide professional development opportunities that prioritize intersectionality and center LGBTQ cultural engagement, adultism, and racial equity.</w:t>
      </w:r>
    </w:p>
    <w:p w14:paraId="32C1A03E" w14:textId="77777777" w:rsidR="00685963" w:rsidRPr="00685963" w:rsidRDefault="00685963">
      <w:pPr>
        <w:pStyle w:val="ListParagraph"/>
        <w:numPr>
          <w:ilvl w:val="0"/>
          <w:numId w:val="17"/>
        </w:numPr>
        <w:spacing w:line="240" w:lineRule="auto"/>
        <w:ind w:right="360"/>
        <w:jc w:val="both"/>
      </w:pPr>
      <w:r w:rsidRPr="00685963">
        <w:t>Expand resource development in partnership with youth and LGBTQ community organizations across the Commonwealth.</w:t>
      </w:r>
    </w:p>
    <w:p w14:paraId="492D4197" w14:textId="77777777" w:rsidR="00685963" w:rsidRPr="00685963" w:rsidRDefault="00685963">
      <w:pPr>
        <w:pStyle w:val="ListParagraph"/>
        <w:numPr>
          <w:ilvl w:val="0"/>
          <w:numId w:val="17"/>
        </w:numPr>
        <w:spacing w:line="240" w:lineRule="auto"/>
        <w:ind w:right="360"/>
        <w:jc w:val="both"/>
      </w:pPr>
      <w:r w:rsidRPr="00685963">
        <w:t>Continue to evaluate how to improve data collection standards to capture SOGI demographic data of clients.</w:t>
      </w:r>
    </w:p>
    <w:p w14:paraId="683A1A3D" w14:textId="77777777" w:rsidR="00685963" w:rsidRPr="00685963" w:rsidRDefault="00685963" w:rsidP="00E97E73">
      <w:pPr>
        <w:pStyle w:val="Heading3"/>
      </w:pPr>
      <w:bookmarkStart w:id="226" w:name="_Toc230277380"/>
      <w:r w:rsidRPr="00685963">
        <w:t>Introduction</w:t>
      </w:r>
      <w:bookmarkEnd w:id="226"/>
    </w:p>
    <w:p w14:paraId="180D94F1" w14:textId="77777777" w:rsidR="00685963" w:rsidRPr="00685963" w:rsidRDefault="00685963" w:rsidP="00685963">
      <w:pPr>
        <w:jc w:val="both"/>
      </w:pPr>
      <w:r w:rsidRPr="00685963">
        <w:t>The Massachusetts Commission for the Deaf and Hard of Hearing (MCDHH) is the principal agency in the Commonwealth that works on behalf of people of all ages who are Deaf and hard of hearing. MCDHH works to provide accessible communication, education, and advocacy to consumers and private and public entities so that programs, services, and opportunities throughout Massachusetts are fully accessible to persons who are Deaf and hard of hearing.</w:t>
      </w:r>
    </w:p>
    <w:p w14:paraId="5C17A1EA" w14:textId="3FAC2404" w:rsidR="00685963" w:rsidRPr="00685963" w:rsidRDefault="00685963" w:rsidP="00685963">
      <w:pPr>
        <w:jc w:val="both"/>
      </w:pPr>
      <w:r w:rsidRPr="00685963">
        <w:t xml:space="preserve">Although there is limited data and research available on the intersections of LGBTQ youth and Deaf and hard of hearing identities, LGBTQ Deaf and hard of hearing youth do experience unique challenges in schools, the </w:t>
      </w:r>
      <w:r w:rsidR="00B443A2" w:rsidRPr="00685963">
        <w:t>workplace</w:t>
      </w:r>
      <w:r w:rsidRPr="00685963">
        <w:t xml:space="preserve">, and in the </w:t>
      </w:r>
      <w:proofErr w:type="gramStart"/>
      <w:r w:rsidRPr="00685963">
        <w:t>general public</w:t>
      </w:r>
      <w:proofErr w:type="gramEnd"/>
      <w:r w:rsidRPr="00685963">
        <w:t>. These challenges include a lack of accessible communication (such as sign language interpretation or closed caption devices) in LGBTQ spaces, as well as discrimination based on gender identity and sexual orientation, as well as their identity as Deaf or hard of hearing. Additionally, ﬁnding LGBTQ-inclusive or -centered spaces within the Deaf community can be a challenge, though many Deaf LGBTQ people note that Deaf communities often feel more supportive and welcoming of LGBTQ identities than hearing communities.</w:t>
      </w:r>
    </w:p>
    <w:p w14:paraId="11AB68F9" w14:textId="5ACE578B" w:rsidR="00685963" w:rsidRPr="00685963" w:rsidRDefault="00685963" w:rsidP="00685963">
      <w:pPr>
        <w:jc w:val="both"/>
      </w:pPr>
      <w:r w:rsidRPr="00685963">
        <w:t>Massachusetts census data notes that approximately 1.2 million residents are Deaf and hard of hearing, but there is no current data indicating the number of Deaf and hard of hearing Massachusetts LGBTQ residents. Nationally, 5% of LGBTQ youth identiﬁed as experiencing deafness or as hard of hearing; 1 in 4 of these youth reported that they struggled accessing, or were unable to access, basic services to meet their needs. Furthermore, 59% of Deaf and hard of hearing LGBTQ youth reported incidents of discrimination based on their gender identity or sexual orientation, and 55% of youth reported that they had seriously considered suicide in the past year, while 26% reported that they had attempted suicide.</w:t>
      </w:r>
      <w:r>
        <w:rPr>
          <w:rStyle w:val="FootnoteReference"/>
        </w:rPr>
        <w:footnoteReference w:id="270"/>
      </w:r>
    </w:p>
    <w:p w14:paraId="77E6DF90" w14:textId="77777777" w:rsidR="00685963" w:rsidRPr="00685963" w:rsidRDefault="00685963" w:rsidP="00685963">
      <w:pPr>
        <w:jc w:val="both"/>
      </w:pPr>
      <w:r w:rsidRPr="00685963">
        <w:lastRenderedPageBreak/>
        <w:t>It is essential that Massachusetts agencies and programs work to ensure that all youth have equitable access to the spaces and services needed to thrive.</w:t>
      </w:r>
    </w:p>
    <w:p w14:paraId="6F1B7F9C" w14:textId="77777777" w:rsidR="00685963" w:rsidRPr="00685963" w:rsidRDefault="00685963" w:rsidP="00E97E73">
      <w:pPr>
        <w:pStyle w:val="Heading3"/>
      </w:pPr>
      <w:bookmarkStart w:id="227" w:name="_Toc230277381"/>
      <w:r w:rsidRPr="00685963">
        <w:t>Past &amp; Ongoing Work</w:t>
      </w:r>
      <w:bookmarkEnd w:id="227"/>
    </w:p>
    <w:p w14:paraId="0CFB7DE2" w14:textId="77777777" w:rsidR="00685963" w:rsidRPr="00685963" w:rsidRDefault="00685963" w:rsidP="00685963">
      <w:pPr>
        <w:jc w:val="both"/>
      </w:pPr>
      <w:r w:rsidRPr="00685963">
        <w:t>The Commission has been grateful to work with MCDHH on recommendations to support LGBTQ youth over the last decade. In FY 2025, MCDHH and the Commission met on a bimonthly basis beginning in the late summer to discuss progress on each of the recommendations made in the previous annual report. Over the years, Commission staﬀ have had the opportunity to meet with MCDHH staﬀ - including its youth specialists - to learn more about the agency’s ongoing work and the needs for youth using its services. In October 2022, MCDHH youth specialists overwhelmingly shared the need for more resources and support for youth workers, families, and the youth themselves across the Commonwealth; LGBTQ-speciﬁc resources for Deafblind youth, children of deaf adults (CODAs), and support for parents were noted as some of the key needs.</w:t>
      </w:r>
    </w:p>
    <w:p w14:paraId="05CD405F" w14:textId="1FF6EFD7" w:rsidR="00685963" w:rsidRPr="00685963" w:rsidRDefault="00685963" w:rsidP="00685963">
      <w:pPr>
        <w:jc w:val="both"/>
      </w:pPr>
      <w:r w:rsidRPr="00685963">
        <w:t>Since 2023, MCDHH and the Commission have partnered on several training collaborations to support staﬀ and consultants around LGBTQ-inclusive language, support, and resources. In December 2023, MCDHH staﬀ participated in a training hosted by EOHHS on LGBTQ cultural engagement. In March 2024, a school-based training was provided to MCDHH providers to oﬀer resources on working with LGBTQ youth in school settings. Finally, in March and April 2025, the Commission and MCDHH jointly hosted two full-day training sessions for ASL/CART interpreters with hopes of continuing to provide these trainings in future years.</w:t>
      </w:r>
    </w:p>
    <w:p w14:paraId="2E2B28A5" w14:textId="77777777" w:rsidR="00685963" w:rsidRPr="00685963" w:rsidRDefault="00685963" w:rsidP="00E97E73">
      <w:pPr>
        <w:pStyle w:val="Heading3"/>
      </w:pPr>
      <w:bookmarkStart w:id="228" w:name="_Toc230277382"/>
      <w:r w:rsidRPr="00685963">
        <w:t>FY 2027 Recommendations to the Commission for the Deaf and Hard of Hearing</w:t>
      </w:r>
      <w:bookmarkEnd w:id="228"/>
    </w:p>
    <w:p w14:paraId="48C31B41" w14:textId="1C2D5A57" w:rsidR="00685963" w:rsidRPr="00685963" w:rsidRDefault="00BF5B9D" w:rsidP="00B7107C">
      <w:pPr>
        <w:pStyle w:val="Heading5"/>
      </w:pPr>
      <w:r>
        <w:t xml:space="preserve">1| </w:t>
      </w:r>
      <w:r w:rsidR="00685963" w:rsidRPr="00685963">
        <w:t>Continue to provide professional development opportunities that prioritize intersectionality and center LGBTQ cultural engagement, adultism, and racial equity.</w:t>
      </w:r>
    </w:p>
    <w:p w14:paraId="7FF97A3B" w14:textId="5E368083" w:rsidR="00685963" w:rsidRPr="00685963" w:rsidRDefault="00685963" w:rsidP="00685963">
      <w:pPr>
        <w:jc w:val="both"/>
      </w:pPr>
      <w:r w:rsidRPr="00685963">
        <w:t xml:space="preserve">MCDHH hosts trainings through the year for its staﬀ on numerous topics, including on racial equity and LGBTQ+ inclusion. MCDHH staﬀ have also frequently had the opportunity to attend additional trainings through the Center for Staﬀ Development (CSD) and with MassAbility, including the Commission’s own train-the-trainer sessions it hosts through CSD. The Commission recommends that MCDHH continues to oﬀer these trainings to its </w:t>
      </w:r>
      <w:r w:rsidR="00B443A2" w:rsidRPr="00685963">
        <w:t>staﬀ and</w:t>
      </w:r>
      <w:r w:rsidRPr="00685963">
        <w:t xml:space="preserve"> expand its focus to include more trainings on recognizing adultism and on working with caregivers who may not be accepting of their child’s LGBTQ identities.</w:t>
      </w:r>
    </w:p>
    <w:p w14:paraId="20D31FAC" w14:textId="73A10559" w:rsidR="00685963" w:rsidRPr="00685963" w:rsidRDefault="00BF5B9D" w:rsidP="00B7107C">
      <w:pPr>
        <w:pStyle w:val="Heading5"/>
      </w:pPr>
      <w:r>
        <w:lastRenderedPageBreak/>
        <w:t xml:space="preserve">2| </w:t>
      </w:r>
      <w:r w:rsidR="00685963" w:rsidRPr="00685963">
        <w:t>Expand resource development in partnership with youth and LGBTQ community organizations across the Commonwealth.</w:t>
      </w:r>
    </w:p>
    <w:p w14:paraId="5E72D53C" w14:textId="77777777" w:rsidR="00685963" w:rsidRPr="00685963" w:rsidRDefault="00685963" w:rsidP="00685963">
      <w:pPr>
        <w:jc w:val="both"/>
      </w:pPr>
      <w:r w:rsidRPr="00685963">
        <w:t>MCDHH provides a wide range of services and resources for Deaf and hard of hearing youth and families across the Commonwealth. Much of the resource development that MCDHH has been prioritizing has been focused on providing educational videos that are posted on its website and intentionally feature LGBTQ community members.</w:t>
      </w:r>
    </w:p>
    <w:p w14:paraId="766B5122" w14:textId="77777777" w:rsidR="00685963" w:rsidRPr="00685963" w:rsidRDefault="00685963" w:rsidP="00685963">
      <w:pPr>
        <w:jc w:val="both"/>
      </w:pPr>
      <w:r w:rsidRPr="00685963">
        <w:t>For many years, the Commonwealth has seen a severe shortage of ASL interpreters across the state; MCDHH has been leading recruitment eﬀorts and increasing outreach to diversify its pool of interpreters, speciﬁcally for BIPOC ASL interpreters. The Commission recommends that MCDHH increase its intentional outreach to include recruitment at Pride events and through LGBTQ community organizations across the state. To assist with this work, the Commission further recommends that MCDHH conducts community conversations to learn more from LGBTQ Deaf and hard of hearing youth about their speciﬁc needs across the Commonwealth. Furthermore, potential public campaigns highlighting LGBTQ-aﬃrming Deaf spaces, or potentially creating LGBTQ-inclusive ASL-learning programs could be of value to building more community resources available to youth.</w:t>
      </w:r>
    </w:p>
    <w:p w14:paraId="0E148C9A" w14:textId="1DDA772C" w:rsidR="00685963" w:rsidRPr="00685963" w:rsidRDefault="00BF5B9D" w:rsidP="00B7107C">
      <w:pPr>
        <w:pStyle w:val="Heading5"/>
      </w:pPr>
      <w:r>
        <w:t xml:space="preserve">3| </w:t>
      </w:r>
      <w:r w:rsidR="00685963" w:rsidRPr="00685963">
        <w:t>Continue to evaluate how to improve data collection standards to capture SOGI demographic data of clients.</w:t>
      </w:r>
    </w:p>
    <w:p w14:paraId="735B00F5" w14:textId="6DB5F1E9" w:rsidR="00685963" w:rsidRPr="00685963" w:rsidRDefault="00685963" w:rsidP="00685963">
      <w:pPr>
        <w:jc w:val="both"/>
      </w:pPr>
      <w:r w:rsidRPr="00685963">
        <w:t>Like many other state entities, MCDHH notes that it experiences challenges in updating its data collection standards to capture more demographic data among its clients. As noted throughout this annual report, the collection of SOGI data can provide critical information to policymakers and community organizers to better shape eﬀective policy and resources. However, outdated technology often limits the amount of updates that agencies can perform to their client information systems. In 2019, MCDHH was able to include a nonbinary gender ‘X’ marker in their client management database; the Commission recommends that the agency continue to explore ways to expand data ﬁelds or practices to better capture data on LGBTQ Deaf and hard of hearing youth across Massachusetts. In spring 2025, MCDHH issued an annual survey through its Communication Access Services Division which included areas to capture SOGI data. MCDHH has shared with the Commission that it continues to explore potential solutions to working within its existing data to capture SOGI information on its clients.</w:t>
      </w:r>
    </w:p>
    <w:p w14:paraId="1BECDE98" w14:textId="71734429" w:rsidR="00685963" w:rsidRPr="00E44F63" w:rsidRDefault="00685963" w:rsidP="00685963">
      <w:pPr>
        <w:jc w:val="both"/>
        <w:rPr>
          <w:rStyle w:val="SubtleReference"/>
          <w:color w:val="864EA8" w:themeColor="accent1" w:themeShade="BF"/>
        </w:rPr>
      </w:pPr>
      <w:r w:rsidRPr="00E44F63">
        <w:rPr>
          <w:rStyle w:val="SubtleReference"/>
          <w:color w:val="864EA8" w:themeColor="accent1" w:themeShade="BF"/>
        </w:rPr>
        <w:t>Acknowledgments: The Commission thanks the contributions of its MCDHH staﬀ liaisons.</w:t>
      </w:r>
    </w:p>
    <w:p w14:paraId="2A18F3FA" w14:textId="0E65AA70" w:rsidR="00BC6653" w:rsidRDefault="00BC6653">
      <w:r>
        <w:br w:type="page"/>
      </w:r>
    </w:p>
    <w:p w14:paraId="1857A2A2" w14:textId="35610921" w:rsidR="005B04B7" w:rsidRDefault="00B7107C" w:rsidP="00B7107C">
      <w:pPr>
        <w:pStyle w:val="Heading2"/>
      </w:pPr>
      <w:bookmarkStart w:id="229" w:name="_Toc230277109"/>
      <w:bookmarkStart w:id="230" w:name="_Toc230277383"/>
      <w:bookmarkStart w:id="231" w:name="_Toc230355491"/>
      <w:r>
        <w:lastRenderedPageBreak/>
        <w:t>Department of Children and Families</w:t>
      </w:r>
      <w:bookmarkEnd w:id="229"/>
      <w:bookmarkEnd w:id="230"/>
      <w:bookmarkEnd w:id="231"/>
    </w:p>
    <w:p w14:paraId="68C3DB9F" w14:textId="246A2D46" w:rsidR="005B04B7" w:rsidRPr="005B04B7" w:rsidRDefault="005B04B7" w:rsidP="00E97E73">
      <w:pPr>
        <w:pStyle w:val="Heading3"/>
      </w:pPr>
      <w:bookmarkStart w:id="232" w:name="_Toc230277384"/>
      <w:r>
        <w:t>fy 2027 recommendations</w:t>
      </w:r>
      <w:bookmarkEnd w:id="232"/>
    </w:p>
    <w:p w14:paraId="3CCD5B2C" w14:textId="77777777" w:rsidR="005B04B7" w:rsidRPr="005B04B7" w:rsidRDefault="005B04B7">
      <w:pPr>
        <w:pStyle w:val="ListParagraph"/>
        <w:numPr>
          <w:ilvl w:val="0"/>
          <w:numId w:val="7"/>
        </w:numPr>
        <w:spacing w:line="240" w:lineRule="auto"/>
        <w:ind w:left="720" w:right="360"/>
        <w:jc w:val="both"/>
      </w:pPr>
      <w:r w:rsidRPr="005B04B7">
        <w:t>Ensure thorough and accurate SOGI data collection through implementation of the new mandatory data elements and staff training.</w:t>
      </w:r>
    </w:p>
    <w:p w14:paraId="2D2F7CDB" w14:textId="77777777" w:rsidR="005B04B7" w:rsidRPr="005B04B7" w:rsidRDefault="005B04B7">
      <w:pPr>
        <w:pStyle w:val="ListParagraph"/>
        <w:numPr>
          <w:ilvl w:val="0"/>
          <w:numId w:val="7"/>
        </w:numPr>
        <w:spacing w:line="240" w:lineRule="auto"/>
        <w:ind w:left="720" w:right="360"/>
        <w:jc w:val="both"/>
      </w:pPr>
      <w:r w:rsidRPr="005B04B7">
        <w:t>Clarify, standardize, and enforce explicit protections for LGBTQ youth through clear guidance, measurable implementation, and accountability mechanisms.</w:t>
      </w:r>
    </w:p>
    <w:p w14:paraId="11D5972E" w14:textId="77777777" w:rsidR="005B04B7" w:rsidRPr="005B04B7" w:rsidRDefault="005B04B7">
      <w:pPr>
        <w:pStyle w:val="ListParagraph"/>
        <w:numPr>
          <w:ilvl w:val="0"/>
          <w:numId w:val="7"/>
        </w:numPr>
        <w:spacing w:line="240" w:lineRule="auto"/>
        <w:ind w:left="720" w:right="360"/>
        <w:jc w:val="both"/>
      </w:pPr>
      <w:r w:rsidRPr="005B04B7">
        <w:t>Explore the creation of an internal maltreatment coding system that includes specific coding options for LGBTQ youth.</w:t>
      </w:r>
    </w:p>
    <w:p w14:paraId="4A158D56" w14:textId="77777777" w:rsidR="005B04B7" w:rsidRPr="005B04B7" w:rsidRDefault="005B04B7">
      <w:pPr>
        <w:pStyle w:val="ListParagraph"/>
        <w:numPr>
          <w:ilvl w:val="0"/>
          <w:numId w:val="7"/>
        </w:numPr>
        <w:spacing w:line="240" w:lineRule="auto"/>
        <w:ind w:left="720" w:right="360"/>
        <w:jc w:val="both"/>
      </w:pPr>
      <w:r w:rsidRPr="005B04B7">
        <w:t>Update the LGBTQ Guide and ensure that all staff, providers, youth, and families are aware of its existence and able to access a copy.</w:t>
      </w:r>
    </w:p>
    <w:p w14:paraId="37DBFCFA" w14:textId="77777777" w:rsidR="005B04B7" w:rsidRPr="005B04B7" w:rsidRDefault="005B04B7">
      <w:pPr>
        <w:pStyle w:val="ListParagraph"/>
        <w:numPr>
          <w:ilvl w:val="0"/>
          <w:numId w:val="7"/>
        </w:numPr>
        <w:spacing w:line="240" w:lineRule="auto"/>
        <w:ind w:left="720" w:right="360"/>
        <w:jc w:val="both"/>
      </w:pPr>
      <w:r w:rsidRPr="005B04B7">
        <w:t xml:space="preserve">Ensure implementation of the updated MAPP training curriculum and establish a system of frequent reviews and updates to </w:t>
      </w:r>
      <w:proofErr w:type="gramStart"/>
      <w:r w:rsidRPr="005B04B7">
        <w:t>assure</w:t>
      </w:r>
      <w:proofErr w:type="gramEnd"/>
      <w:r w:rsidRPr="005B04B7">
        <w:t xml:space="preserve"> continued relevance.</w:t>
      </w:r>
    </w:p>
    <w:p w14:paraId="0D84C968" w14:textId="77777777" w:rsidR="005B04B7" w:rsidRPr="005B04B7" w:rsidRDefault="005B04B7">
      <w:pPr>
        <w:pStyle w:val="ListParagraph"/>
        <w:numPr>
          <w:ilvl w:val="0"/>
          <w:numId w:val="7"/>
        </w:numPr>
        <w:spacing w:line="240" w:lineRule="auto"/>
        <w:ind w:left="720" w:right="360"/>
        <w:jc w:val="both"/>
      </w:pPr>
      <w:r w:rsidRPr="005B04B7">
        <w:t>Continue to improve recruitment of LGBTQ-affirming foster parents and create a statewide database of LGBTQ-affirming homes.</w:t>
      </w:r>
    </w:p>
    <w:p w14:paraId="3A2F524E" w14:textId="77777777" w:rsidR="005B04B7" w:rsidRPr="005B04B7" w:rsidRDefault="005B04B7">
      <w:pPr>
        <w:pStyle w:val="ListParagraph"/>
        <w:numPr>
          <w:ilvl w:val="0"/>
          <w:numId w:val="7"/>
        </w:numPr>
        <w:spacing w:line="240" w:lineRule="auto"/>
        <w:ind w:left="720" w:right="360"/>
        <w:jc w:val="both"/>
      </w:pPr>
      <w:r w:rsidRPr="005B04B7">
        <w:t>Partner with LGBTQ youth and organizations to create and disseminate tangible resources for youth, families, and social workers.</w:t>
      </w:r>
    </w:p>
    <w:p w14:paraId="447544AA" w14:textId="77777777" w:rsidR="005B04B7" w:rsidRPr="005B04B7" w:rsidRDefault="005B04B7">
      <w:pPr>
        <w:pStyle w:val="ListParagraph"/>
        <w:numPr>
          <w:ilvl w:val="0"/>
          <w:numId w:val="7"/>
        </w:numPr>
        <w:spacing w:line="240" w:lineRule="auto"/>
        <w:ind w:left="720" w:right="360"/>
        <w:jc w:val="both"/>
      </w:pPr>
      <w:r w:rsidRPr="005B04B7">
        <w:t>Continue to investigate and address gaps and barriers to service provision for immigrant youth transitioning out of DCF care.</w:t>
      </w:r>
    </w:p>
    <w:p w14:paraId="61D80ECA" w14:textId="77777777" w:rsidR="005B04B7" w:rsidRPr="005B04B7" w:rsidRDefault="005B04B7">
      <w:pPr>
        <w:pStyle w:val="ListParagraph"/>
        <w:numPr>
          <w:ilvl w:val="0"/>
          <w:numId w:val="7"/>
        </w:numPr>
        <w:spacing w:line="240" w:lineRule="auto"/>
        <w:ind w:left="720" w:right="360"/>
        <w:jc w:val="both"/>
      </w:pPr>
      <w:r w:rsidRPr="005B04B7">
        <w:t>Expand and mandate LGBTQ cultural engagement trainings, as well as trainings on racial equity, ableism, and adultism.</w:t>
      </w:r>
    </w:p>
    <w:p w14:paraId="38BC3DD7" w14:textId="77777777" w:rsidR="005B04B7" w:rsidRPr="005B04B7" w:rsidRDefault="005B04B7">
      <w:pPr>
        <w:pStyle w:val="ListParagraph"/>
        <w:numPr>
          <w:ilvl w:val="0"/>
          <w:numId w:val="7"/>
        </w:numPr>
        <w:spacing w:line="240" w:lineRule="auto"/>
        <w:ind w:left="720" w:right="360"/>
        <w:jc w:val="both"/>
      </w:pPr>
      <w:r w:rsidRPr="005B04B7">
        <w:t>Improve interagency work to support “warm hand-offs” for transition-aged youth attempting to access services, in partnership with the Department of Mental Health, MassHealth, and the Department of Youth Services.</w:t>
      </w:r>
    </w:p>
    <w:p w14:paraId="289D2E82" w14:textId="77777777" w:rsidR="005B04B7" w:rsidRPr="005B04B7" w:rsidRDefault="005B04B7">
      <w:pPr>
        <w:pStyle w:val="ListParagraph"/>
        <w:numPr>
          <w:ilvl w:val="0"/>
          <w:numId w:val="7"/>
        </w:numPr>
        <w:spacing w:line="240" w:lineRule="auto"/>
        <w:ind w:left="720" w:right="360"/>
        <w:jc w:val="both"/>
      </w:pPr>
      <w:r w:rsidRPr="005B04B7">
        <w:t xml:space="preserve">Improve family preservation services to safely monitor and mitigate concerns that may lead to the removal of a child, with </w:t>
      </w:r>
      <w:proofErr w:type="gramStart"/>
      <w:r w:rsidRPr="005B04B7">
        <w:t>particular consideration</w:t>
      </w:r>
      <w:proofErr w:type="gramEnd"/>
      <w:r w:rsidRPr="005B04B7">
        <w:t xml:space="preserve"> to ensuring de facto parent preservation.</w:t>
      </w:r>
    </w:p>
    <w:p w14:paraId="310DFD0E" w14:textId="77777777" w:rsidR="005B04B7" w:rsidRPr="005B04B7" w:rsidRDefault="005B04B7">
      <w:pPr>
        <w:pStyle w:val="ListParagraph"/>
        <w:numPr>
          <w:ilvl w:val="0"/>
          <w:numId w:val="7"/>
        </w:numPr>
        <w:spacing w:line="240" w:lineRule="auto"/>
        <w:ind w:left="720" w:right="360"/>
        <w:jc w:val="both"/>
      </w:pPr>
      <w:r w:rsidRPr="005B04B7">
        <w:t>Collaborate with the Commission and providers to create an LGBTQ parent education curriculum to better support family preservation services.</w:t>
      </w:r>
    </w:p>
    <w:p w14:paraId="414670AB" w14:textId="42AD3ECF" w:rsidR="005B04B7" w:rsidRPr="005B04B7" w:rsidRDefault="005B04B7">
      <w:pPr>
        <w:pStyle w:val="ListParagraph"/>
        <w:numPr>
          <w:ilvl w:val="0"/>
          <w:numId w:val="7"/>
        </w:numPr>
        <w:spacing w:line="240" w:lineRule="auto"/>
        <w:ind w:left="720" w:right="360"/>
        <w:jc w:val="both"/>
      </w:pPr>
      <w:r w:rsidRPr="005B04B7">
        <w:t>Improve curriculum offerings, programs, and resources provided to youth, and provide training opportunities for staff and youth on system navigation.</w:t>
      </w:r>
    </w:p>
    <w:p w14:paraId="465D2504" w14:textId="77777777" w:rsidR="005B04B7" w:rsidRPr="005B04B7" w:rsidRDefault="005B04B7" w:rsidP="00E97E73">
      <w:pPr>
        <w:pStyle w:val="Heading3"/>
      </w:pPr>
      <w:bookmarkStart w:id="233" w:name="_Toc230277385"/>
      <w:r w:rsidRPr="005B04B7">
        <w:t>Introduction</w:t>
      </w:r>
      <w:bookmarkEnd w:id="233"/>
    </w:p>
    <w:p w14:paraId="7E61E809" w14:textId="03D3118D" w:rsidR="005B04B7" w:rsidRPr="005B04B7" w:rsidRDefault="005B04B7" w:rsidP="0005607E">
      <w:pPr>
        <w:spacing w:before="240"/>
        <w:jc w:val="both"/>
      </w:pPr>
      <w:r w:rsidRPr="005B04B7">
        <w:t xml:space="preserve">The Massachusetts Department of Children and Families (DCF) is the state agency directed to support the permanency and well-being of children in the Commonwealth. DCF strives to protect children from abuse and </w:t>
      </w:r>
      <w:r w:rsidR="00B443A2" w:rsidRPr="005B04B7">
        <w:t>neglect and</w:t>
      </w:r>
      <w:r w:rsidRPr="005B04B7">
        <w:t xml:space="preserve"> provides supportive services to youth aged 18 to 22 transitioning out of DCF care into independent living. DCF provides foster care services with the </w:t>
      </w:r>
      <w:proofErr w:type="gramStart"/>
      <w:r w:rsidRPr="005B04B7">
        <w:t>ultimate goal</w:t>
      </w:r>
      <w:proofErr w:type="gramEnd"/>
      <w:r w:rsidRPr="005B04B7">
        <w:t xml:space="preserve"> of family preservation and reuniﬁcation where possible. Where parental </w:t>
      </w:r>
      <w:r w:rsidRPr="005B04B7">
        <w:lastRenderedPageBreak/>
        <w:t>reuniﬁcation is not possible, DCF works to ﬁnd permanent families through kinship, guardianship, or adoption.</w:t>
      </w:r>
    </w:p>
    <w:p w14:paraId="0D0F9C74" w14:textId="77777777" w:rsidR="005B04B7" w:rsidRPr="005B04B7" w:rsidRDefault="005B04B7" w:rsidP="0005607E">
      <w:pPr>
        <w:spacing w:before="240"/>
        <w:jc w:val="both"/>
      </w:pPr>
      <w:r w:rsidRPr="005B04B7">
        <w:t>Since 2011, the Commission has issued recommendations to DCF around data collection, policy development, trainings, resources, and structural change to provide more aﬃrming support for LGBTQ youth in the child welfare system. In July 2021, the Commission published a ﬁrst-of-its-kind report on the experiences of LGBTQ youth in the child welfare system after the Commission identiﬁed pervasive threats to the safety, well-being, and permanency of DCF-involved LGBTQ youth. DCF has since committed to improving its policies, practices, and care for LGBTQ youth in the child welfare system.</w:t>
      </w:r>
    </w:p>
    <w:p w14:paraId="2AF1D94C" w14:textId="77777777" w:rsidR="005B04B7" w:rsidRPr="005B04B7" w:rsidRDefault="005B04B7" w:rsidP="0005607E">
      <w:pPr>
        <w:jc w:val="both"/>
      </w:pPr>
      <w:r w:rsidRPr="005B04B7">
        <w:t>The Commission reiterates that the Commonwealth’s obligation to ensure safety, permanency, and well-being necessarily includes affirming and protecting LGBTQ youth. Youth in state custody do not forfeit their right to identity affirmation due to political or funding pressures. The Commission stands firm: the commitment to safety, permanency, and well-being of youth in DCF care must include LGBTQ youth. </w:t>
      </w:r>
    </w:p>
    <w:p w14:paraId="1B29F335" w14:textId="77777777" w:rsidR="005B04B7" w:rsidRPr="005B04B7" w:rsidRDefault="005B04B7" w:rsidP="00E97E73">
      <w:pPr>
        <w:pStyle w:val="Heading3"/>
      </w:pPr>
      <w:bookmarkStart w:id="234" w:name="_Toc230277386"/>
      <w:r w:rsidRPr="005B04B7">
        <w:t>Past &amp; Ongoing Work</w:t>
      </w:r>
      <w:bookmarkEnd w:id="234"/>
    </w:p>
    <w:p w14:paraId="3363ED61" w14:textId="77777777" w:rsidR="005B04B7" w:rsidRPr="005B04B7" w:rsidRDefault="005B04B7" w:rsidP="0005607E">
      <w:pPr>
        <w:spacing w:before="240"/>
        <w:jc w:val="both"/>
      </w:pPr>
      <w:r w:rsidRPr="005B04B7">
        <w:t>The Department of Children and Families (DCF) has made notable progress in implementing recommendations from the Commission over the past several years, including the development of an internal LGBTQIA+ Office. Since September 2021, DCF has issued four key policies to support LGBTQ youth in DCF custody:</w:t>
      </w:r>
    </w:p>
    <w:p w14:paraId="1B9673C3" w14:textId="77777777" w:rsidR="005B04B7" w:rsidRPr="005B04B7" w:rsidRDefault="005B04B7">
      <w:pPr>
        <w:pStyle w:val="ListParagraph"/>
        <w:numPr>
          <w:ilvl w:val="0"/>
          <w:numId w:val="8"/>
        </w:numPr>
        <w:jc w:val="both"/>
      </w:pPr>
      <w:r w:rsidRPr="005B04B7">
        <w:t>Gender-Affirming Medication Consent Policy</w:t>
      </w:r>
    </w:p>
    <w:p w14:paraId="75E3CB4A" w14:textId="77777777" w:rsidR="005B04B7" w:rsidRPr="005B04B7" w:rsidRDefault="005B04B7">
      <w:pPr>
        <w:pStyle w:val="ListParagraph"/>
        <w:numPr>
          <w:ilvl w:val="0"/>
          <w:numId w:val="8"/>
        </w:numPr>
        <w:jc w:val="both"/>
      </w:pPr>
      <w:r w:rsidRPr="005B04B7">
        <w:t>Updated Nondiscrimination Policy</w:t>
      </w:r>
    </w:p>
    <w:p w14:paraId="3EFAD2B7" w14:textId="77777777" w:rsidR="005B04B7" w:rsidRPr="005B04B7" w:rsidRDefault="005B04B7">
      <w:pPr>
        <w:pStyle w:val="ListParagraph"/>
        <w:numPr>
          <w:ilvl w:val="0"/>
          <w:numId w:val="8"/>
        </w:numPr>
        <w:jc w:val="both"/>
      </w:pPr>
      <w:r w:rsidRPr="005B04B7">
        <w:t>Updated Safe and Supportive Placements Policy</w:t>
      </w:r>
    </w:p>
    <w:p w14:paraId="377281A2" w14:textId="77777777" w:rsidR="005B04B7" w:rsidRPr="005B04B7" w:rsidRDefault="005B04B7">
      <w:pPr>
        <w:pStyle w:val="ListParagraph"/>
        <w:numPr>
          <w:ilvl w:val="0"/>
          <w:numId w:val="8"/>
        </w:numPr>
        <w:jc w:val="both"/>
      </w:pPr>
      <w:r w:rsidRPr="005B04B7">
        <w:t>Updated Licensing of Foster, Pre-Adoptive, and Kinship Families Policy</w:t>
      </w:r>
    </w:p>
    <w:p w14:paraId="3EE404CF" w14:textId="77777777" w:rsidR="005B04B7" w:rsidRPr="005B04B7" w:rsidRDefault="005B04B7" w:rsidP="0005607E">
      <w:pPr>
        <w:jc w:val="both"/>
      </w:pPr>
      <w:r w:rsidRPr="005B04B7">
        <w:t>However, as discussed further below, some concerning policy changes occurred in FY 2026.</w:t>
      </w:r>
    </w:p>
    <w:p w14:paraId="4C9954B0" w14:textId="77777777" w:rsidR="005B04B7" w:rsidRPr="005B04B7" w:rsidRDefault="005B04B7" w:rsidP="0005607E">
      <w:pPr>
        <w:spacing w:before="240"/>
        <w:jc w:val="both"/>
      </w:pPr>
      <w:r w:rsidRPr="005B04B7">
        <w:t>DCF has also expanded training opportunities for staﬀ on LGBTQ cultural awareness, though there remains an urgent need for more in-depth training opportunities that reaches all staﬀ, contractors, and foster parents. Since the spring of 2022, DCF has oﬀered multiple training opportunities to DCF staﬀ in partnership with the Commission and EOHHS on LGBTQ+ Inclusive Workplaces. DCF also continues to participate in EOHHS train-the-trainer sessions to build internal capacity for agency-wide LGBTQ cultural awareness training.</w:t>
      </w:r>
    </w:p>
    <w:p w14:paraId="3152B576" w14:textId="77777777" w:rsidR="005B04B7" w:rsidRPr="005B04B7" w:rsidRDefault="005B04B7" w:rsidP="0005607E">
      <w:pPr>
        <w:jc w:val="both"/>
      </w:pPr>
      <w:r w:rsidRPr="005B04B7">
        <w:t xml:space="preserve">In April 2022, DCF made SOGI data collection mandatory in i-FamilyNet and added fields for pronouns and chosen names in September 2022. Initial results were reported in the FY23 Q1 </w:t>
      </w:r>
      <w:r w:rsidRPr="005B04B7">
        <w:lastRenderedPageBreak/>
        <w:t>Quarterly Report, and DCF now maintains an interactive public data dashboard. While some implementation gaps remain, as discussed below, the Commission appreciates DCF’s continued commitment to inclusive data collection.</w:t>
      </w:r>
    </w:p>
    <w:p w14:paraId="4D083B52" w14:textId="77777777" w:rsidR="005B04B7" w:rsidRPr="005B04B7" w:rsidRDefault="005B04B7" w:rsidP="00E97E73">
      <w:pPr>
        <w:pStyle w:val="Heading3"/>
      </w:pPr>
      <w:bookmarkStart w:id="235" w:name="_Toc230277387"/>
      <w:r w:rsidRPr="005B04B7">
        <w:t>FY 2027 Recommendations to the Department of Children &amp; Families</w:t>
      </w:r>
      <w:bookmarkEnd w:id="235"/>
    </w:p>
    <w:p w14:paraId="7B63E6DA" w14:textId="1993FB25" w:rsidR="005B04B7" w:rsidRPr="005B04B7" w:rsidRDefault="005B04B7" w:rsidP="00B7107C">
      <w:pPr>
        <w:pStyle w:val="Heading5"/>
      </w:pPr>
      <w:r>
        <w:t xml:space="preserve">1| </w:t>
      </w:r>
      <w:r w:rsidRPr="005B04B7">
        <w:t>Ensure thorough and accurate SOGI data collection through implementation of the new mandatory data elements and staff training.</w:t>
      </w:r>
    </w:p>
    <w:p w14:paraId="41FCA1FB" w14:textId="77777777" w:rsidR="005B04B7" w:rsidRPr="005B04B7" w:rsidRDefault="005B04B7" w:rsidP="0005607E">
      <w:pPr>
        <w:spacing w:before="240"/>
        <w:jc w:val="both"/>
      </w:pPr>
      <w:r w:rsidRPr="005B04B7">
        <w:t>Over the last few years, DCF has made signiﬁcant progress on its SOGI data collection practices; much of the existing data has been published in its subsequent quarterly reports since FY 2022. However, progress in policy adoption must now be matched by consistent implementation and transparency. </w:t>
      </w:r>
    </w:p>
    <w:p w14:paraId="13DEED35" w14:textId="77777777" w:rsidR="005B04B7" w:rsidRPr="005B04B7" w:rsidRDefault="005B04B7" w:rsidP="0005607E">
      <w:pPr>
        <w:jc w:val="both"/>
      </w:pPr>
      <w:r w:rsidRPr="005B04B7">
        <w:t>In February 2024, DCF shared that a video training was being developed to ensure compliance with the agency’s SOGI data standards. In May 2026, DCF shared that it will be working with the CWI to refresh the video training and hopes to add it to the docket for approval in the coming months. Given the centrality of accurate data collection to service delivery and accountability, the Commission urges DCF to release this training without further delay and to publish clear expectations for completion and compliance across all regions. </w:t>
      </w:r>
    </w:p>
    <w:p w14:paraId="6A3EC79E" w14:textId="7FFB1883" w:rsidR="005B04B7" w:rsidRPr="005B04B7" w:rsidRDefault="005B04B7" w:rsidP="0005607E">
      <w:pPr>
        <w:jc w:val="both"/>
      </w:pPr>
      <w:r w:rsidRPr="005B04B7">
        <w:t xml:space="preserve">The Commission is also concerned by reports that some social workers may be defaulting to entering “not disclosed” rather than consistently and sensitively asking youth and families about SOGI information. While youth have the right to decline to answer, failure to ask undermines the purpose of the mandatory data fields. DCF should issue a clear written communication to staff reaffirming expectations around SOGI data collection, privacy protections, and youth rights, and should provide region-by-region compliance data in future reports. DCF should further share clearer guidance to staff around appropriate age ranges, as well as review its own data collection practices - </w:t>
      </w:r>
      <w:r w:rsidR="007D658D" w:rsidRPr="005B04B7">
        <w:t>e.g.,</w:t>
      </w:r>
      <w:r w:rsidRPr="005B04B7">
        <w:t xml:space="preserve"> a child of </w:t>
      </w:r>
      <w:r w:rsidR="0054417F" w:rsidRPr="005B04B7">
        <w:t>four</w:t>
      </w:r>
      <w:r w:rsidRPr="005B04B7">
        <w:t xml:space="preserve"> will likely have no answer to their sexual </w:t>
      </w:r>
      <w:r w:rsidR="00B443A2" w:rsidRPr="005B04B7">
        <w:t>orientation but</w:t>
      </w:r>
      <w:r w:rsidRPr="005B04B7">
        <w:t xml:space="preserve"> may have information to share about their gender identity.</w:t>
      </w:r>
    </w:p>
    <w:p w14:paraId="057CEF8A" w14:textId="0A70FC37" w:rsidR="005B04B7" w:rsidRPr="005B04B7" w:rsidRDefault="005B04B7" w:rsidP="00B7107C">
      <w:pPr>
        <w:pStyle w:val="Heading5"/>
      </w:pPr>
      <w:r>
        <w:t xml:space="preserve">2| </w:t>
      </w:r>
      <w:r w:rsidRPr="005B04B7">
        <w:t>Clarify, standardize, and enforce explicit protections for LGBTQ youth through clear guidance, measurable implementation, and accountability mechanisms.</w:t>
      </w:r>
    </w:p>
    <w:p w14:paraId="24FE2D44" w14:textId="77777777" w:rsidR="005B04B7" w:rsidRPr="005B04B7" w:rsidRDefault="005B04B7" w:rsidP="0005607E">
      <w:pPr>
        <w:spacing w:before="240"/>
        <w:jc w:val="both"/>
      </w:pPr>
      <w:r w:rsidRPr="005B04B7">
        <w:t xml:space="preserve">Over the past four years, the Department of Children and Families (DCF) has made notable strides in advancing LGBTQ-inclusive policies and has committed to ongoing evaluation to ensure their effectiveness. Currently, the agency is reviewing its Gender-Affirming Medication Consent (G-AMC) Policy, originally issued in 2021, to clarify language and address concerns that have caused delays for youth and families. Over the last two years, youth and families have raised concerns to the Commission regarding significant delays in access to care. DCF has noted that some of </w:t>
      </w:r>
      <w:r w:rsidRPr="005B04B7">
        <w:lastRenderedPageBreak/>
        <w:t>these delays are attributable to hospital-level practices and internal policy conflicts, which sometimes result in youth being referred to alternate providers, further extending timelines. This review is being led by DCF’s LGBTQIA+ Office in collaboration with other offices and agencies to improve documentation and support implementation.</w:t>
      </w:r>
    </w:p>
    <w:p w14:paraId="461B6305" w14:textId="77777777" w:rsidR="005B04B7" w:rsidRPr="005B04B7" w:rsidRDefault="005B04B7" w:rsidP="0005607E">
      <w:pPr>
        <w:jc w:val="both"/>
      </w:pPr>
      <w:r w:rsidRPr="005B04B7">
        <w:t>Despite these advances, the Commission remains concerned that implementation has been inconsistent across area offices. Since 2024, DCF has shared that delays in accessing gender-affirming care continue due to hospital practices, paperwork review processes, and medical provider bottlenecks. Youth in DCF custody should not face prolonged delays caused by system-level ambiguity or lack of coordination. The Commission recommends that DCF publicly clarify the procedural steps required under the G-AMC policy, establish clear internal timelines and escalation protocols for delayed appointments or medical reviews, monitor region-specific implementation trends, and report on corrective actions when delays exceed policy expectations. </w:t>
      </w:r>
    </w:p>
    <w:p w14:paraId="23B27E13" w14:textId="3FFF9EFB" w:rsidR="005B04B7" w:rsidRPr="005B04B7" w:rsidRDefault="005B04B7" w:rsidP="0005607E">
      <w:pPr>
        <w:jc w:val="both"/>
      </w:pPr>
      <w:r w:rsidRPr="005B04B7">
        <w:t>Additionally, in December 2025, DCF amended its Regulations (110 CMR 7.104), LGBTQIA+ Nondiscrimination Policy, Safe and Supportive Placements Policy, and Licensing of Foster, Pre-Adoptive, and Kinship Families Policy to remove explicit language requiring foster and pre-adoptive parents to support and respect a child’s sexual orientation or gender identity. For example, in the Licensing Policy, DCF updated language to include broader language referencing a child’s “individual identity and needs</w:t>
      </w:r>
      <w:r w:rsidR="007D658D" w:rsidRPr="005B04B7">
        <w:t>,”</w:t>
      </w:r>
      <w:r w:rsidRPr="005B04B7">
        <w:t xml:space="preserve"> rather than specifically citing sexual orientation and gender identity. </w:t>
      </w:r>
    </w:p>
    <w:p w14:paraId="119B6EC7" w14:textId="77777777" w:rsidR="005B04B7" w:rsidRPr="005B04B7" w:rsidRDefault="005B04B7" w:rsidP="0005607E">
      <w:pPr>
        <w:jc w:val="both"/>
      </w:pPr>
      <w:r w:rsidRPr="005B04B7">
        <w:t>While DCF has emphasized to the Commission that providing safe and supportive homes remains its top priority, the Commission is concerned that the absence of clear regulatory language may result in inconsistent interpretation across offices, supervisors, and foster families. Policy shifts driven by litigation or funding pressures must not diminish practical protections for vulnerable youth. Where explicit regulatory language is removed, DCF must demonstrate through written guidance, training, monitoring, and public reporting that protections remain fully operational in practice. Affirming LGBTQ youth is integral to the Commonwealth’s obligation to ensure safety, permanency, and well-being, including compliance with federal Child and Family Services Review (CFSR) well-being standards.</w:t>
      </w:r>
    </w:p>
    <w:p w14:paraId="12F593E6" w14:textId="77777777" w:rsidR="005B04B7" w:rsidRPr="005B04B7" w:rsidRDefault="005B04B7" w:rsidP="0005607E">
      <w:pPr>
        <w:jc w:val="both"/>
      </w:pPr>
      <w:r w:rsidRPr="005B04B7">
        <w:t xml:space="preserve">Should the amended regulation remain in effect, the Commission strongly recommends that DCF issue explicit written guidance to all workers, supervisors, foster parents, and pre-adoptive parents, affirming that supporting LGBTQ youth is an expected standard of care. DCF should clarify how staff should ensure that LGBTQ youth are placed in affirming homes; establish measurable criteria for evaluating affirming capacity during home studies and re-licensing </w:t>
      </w:r>
      <w:r w:rsidRPr="005B04B7">
        <w:lastRenderedPageBreak/>
        <w:t>processes; monitor complaints and placement disruptions involving conflicts based on sexual orientation and gender identity.</w:t>
      </w:r>
    </w:p>
    <w:p w14:paraId="72379C98" w14:textId="7803AA70" w:rsidR="005B04B7" w:rsidRPr="005B04B7" w:rsidRDefault="0005607E" w:rsidP="00B7107C">
      <w:pPr>
        <w:pStyle w:val="Heading5"/>
      </w:pPr>
      <w:r>
        <w:t xml:space="preserve">3| </w:t>
      </w:r>
      <w:r w:rsidR="005B04B7" w:rsidRPr="005B04B7">
        <w:t>Explore the creation of an internal maltreatment coding system that includes speciﬁc coding options for LGBTQ youth.</w:t>
      </w:r>
    </w:p>
    <w:p w14:paraId="5A7F5C58" w14:textId="77777777" w:rsidR="005B04B7" w:rsidRPr="005B04B7" w:rsidRDefault="005B04B7" w:rsidP="0005607E">
      <w:pPr>
        <w:spacing w:before="240"/>
        <w:jc w:val="both"/>
      </w:pPr>
      <w:r w:rsidRPr="005B04B7">
        <w:t>The Commission recommends that the state explore the creation of a maltreatment code system for use in the child welfare system to better support social workers in tracking and addressing critical cases and incidents, with a speciﬁc maltreatment code being assigned to LGBTQ youth. The Commission understands that there are other states, such as Georgia, that have implemented a maltreatment code system that provides multiple beneﬁts, including indicating and categorizing levels of imminent risk – used by social workers to better prepare and support youth in their caseload – as well as better categorizing a case’s eligibility for family preservation services; and providing the state and researchers with helpful data to better understand critical trends and gaps in casework. Furthermore, proper coding of cases minimizes child abuse and neglect (CAN) registries for parents and families by supporting service intervention rather than a removal, as a CAN registry can negatively impact caregivers’ economic status and ability to retain employment. However, despite the unique experiences faced by LGBTQ youth who may be in the child welfare system, or may potentially become involved in the system, no state has any LGBTQ-speciﬁc codes to support youth, providers, and families. Without these codes, collecting more comprehensive qualitative and quantitative data on LGBTQ youth maltreatment experiences is incredibly difficult.</w:t>
      </w:r>
    </w:p>
    <w:p w14:paraId="63066FD0" w14:textId="0A1DD280" w:rsidR="005B04B7" w:rsidRPr="005B04B7" w:rsidRDefault="0005607E" w:rsidP="00B7107C">
      <w:pPr>
        <w:pStyle w:val="Heading5"/>
      </w:pPr>
      <w:r>
        <w:t xml:space="preserve">4| </w:t>
      </w:r>
      <w:r w:rsidR="005B04B7" w:rsidRPr="005B04B7">
        <w:t>Update the LGBTQ Guide and ensure that all staff, providers, youth, and families are aware of its existence and able to access a copy.</w:t>
      </w:r>
    </w:p>
    <w:p w14:paraId="08FC6239" w14:textId="77777777" w:rsidR="005B04B7" w:rsidRPr="005B04B7" w:rsidRDefault="005B04B7" w:rsidP="0005607E">
      <w:pPr>
        <w:spacing w:before="240"/>
        <w:jc w:val="both"/>
      </w:pPr>
      <w:r w:rsidRPr="005B04B7">
        <w:t>In 2015, DCF released an LGBTQ Guide on working with LGBTQ youth and families that was written by its internal LGBTQIA+ Liaisons. Many workers, youth, families, and providers utilized the Guide, leading to the incorporation of the Guide into DCF onboarding materials and staff trainings. Given the significant sociopolitical and cultural shifts that have taken place since its previous update in 2018, the Guide requires yet another update. However, DCF’s LGBTQ Guide has been in revision since FY 2022. Although progress reportedly resumed after an early FY 2025 stall, completion is now tentatively projected for the end of FY 2026. Given the rapid policy and cultural shifts affecting LGBTQ youth, this extended timeline is concerning.</w:t>
      </w:r>
    </w:p>
    <w:p w14:paraId="5550C826" w14:textId="14DD5A7F" w:rsidR="005B04B7" w:rsidRPr="005B04B7" w:rsidRDefault="005B04B7" w:rsidP="0005607E">
      <w:pPr>
        <w:spacing w:before="240"/>
        <w:jc w:val="both"/>
      </w:pPr>
      <w:r w:rsidRPr="005B04B7">
        <w:t xml:space="preserve">In February 2024, DCF shared that it has established potential categories for what could be included in the </w:t>
      </w:r>
      <w:r w:rsidR="00B443A2" w:rsidRPr="005B04B7">
        <w:t>Guide and</w:t>
      </w:r>
      <w:r w:rsidRPr="005B04B7">
        <w:t xml:space="preserve"> was beginning the research process and working to attach concrete dates to the project milestones. Once the Guide is complete, DCF should implement a system to encourage annual review and updates of the Guide, particularly as it will be uploaded to a platform that will allow for real-time updates. </w:t>
      </w:r>
    </w:p>
    <w:p w14:paraId="171B306D" w14:textId="77777777" w:rsidR="005B04B7" w:rsidRPr="005B04B7" w:rsidRDefault="005B04B7" w:rsidP="0005607E">
      <w:pPr>
        <w:spacing w:before="240"/>
        <w:jc w:val="both"/>
      </w:pPr>
      <w:r w:rsidRPr="005B04B7">
        <w:lastRenderedPageBreak/>
        <w:t>The Commission strongly recommends that DCF prioritize completion of the Guide in FY 2027, and ensure that all staff, providers, families, and youth are aware of the updates to the Guide and able to access a copy. </w:t>
      </w:r>
    </w:p>
    <w:p w14:paraId="091D782E" w14:textId="4B5300E3" w:rsidR="005B04B7" w:rsidRPr="005B04B7" w:rsidRDefault="0005607E" w:rsidP="00B7107C">
      <w:pPr>
        <w:pStyle w:val="Heading5"/>
      </w:pPr>
      <w:r>
        <w:t xml:space="preserve">5| </w:t>
      </w:r>
      <w:r w:rsidR="005B04B7" w:rsidRPr="005B04B7">
        <w:t>Ensure implementation of the updated MAPP training curriculum and establish a system of frequent reviews and updates to assure continued relevance.</w:t>
      </w:r>
    </w:p>
    <w:p w14:paraId="4A982120" w14:textId="1F548A14" w:rsidR="005B04B7" w:rsidRPr="005B04B7" w:rsidRDefault="005B04B7" w:rsidP="0005607E">
      <w:pPr>
        <w:spacing w:before="240"/>
        <w:jc w:val="both"/>
      </w:pPr>
      <w:r w:rsidRPr="005B04B7">
        <w:t xml:space="preserve">DCF has spent several years updating its foster parent training curriculum, the Massachusetts Approach to Partnerships in Parenting (MAPP). Although the initial release was anticipated in early FY 2024, the train-the-trainer model did not launch until January 2025, and additional edits and internal reviews have continued since that time. The Commission has consistently expressed its interest in reviewing and commenting on the updated curriculum before statewide </w:t>
      </w:r>
      <w:r w:rsidR="00B443A2" w:rsidRPr="005B04B7">
        <w:t>implementation but</w:t>
      </w:r>
      <w:r w:rsidRPr="005B04B7">
        <w:t xml:space="preserve"> has not yet had an opportunity to see the training in full. </w:t>
      </w:r>
    </w:p>
    <w:p w14:paraId="493BAD1B" w14:textId="77777777" w:rsidR="005B04B7" w:rsidRPr="005B04B7" w:rsidRDefault="005B04B7" w:rsidP="0005607E">
      <w:pPr>
        <w:spacing w:before="240"/>
        <w:jc w:val="both"/>
      </w:pPr>
      <w:r w:rsidRPr="005B04B7">
        <w:t>Furthermore, the Commission strongly recommends that DCF commit to and establish a system of frequent reviews and updates to ensure that the training continues to hold relevance, while also soliciting early feedback from internal and external stakeholders - including foster youth and parents.</w:t>
      </w:r>
    </w:p>
    <w:p w14:paraId="116CAE8B" w14:textId="77777777" w:rsidR="005B04B7" w:rsidRPr="005B04B7" w:rsidRDefault="005B04B7" w:rsidP="0005607E">
      <w:pPr>
        <w:jc w:val="both"/>
      </w:pPr>
      <w:r w:rsidRPr="005B04B7">
        <w:t>In addition, while DCF requires foster parents to complete 20 hours of annual training, it remains unclear how LGBTQ-affirming competencies are reinforced beyond initial licensure. Without clear expectations and accountability measures, affirming competencies risk being treated as optional rather than foundational. Additionally, the recent regulatory amendments to remove some explicit references to gender identity and sexual orientation in DCF policies heightens the importance of the updated MAPP curriculum. If regulatory language no longer explicitly references sexual orientation and gender identity, then training must function as a clear, enforceable mechanism to ensure affirming care. DCF should establish mechanisms to assess foster parent understanding and application of LGBTQ-affirming practices.</w:t>
      </w:r>
    </w:p>
    <w:p w14:paraId="1170B3C9" w14:textId="76668EAA" w:rsidR="005B04B7" w:rsidRPr="005B04B7" w:rsidRDefault="0005607E" w:rsidP="00B7107C">
      <w:pPr>
        <w:pStyle w:val="Heading5"/>
      </w:pPr>
      <w:r>
        <w:t xml:space="preserve">6| </w:t>
      </w:r>
      <w:r w:rsidR="005B04B7" w:rsidRPr="005B04B7">
        <w:t>Continue to improve recruitment of LGBTQ-affirming foster parents and create a statewide database of LGBTQ-affirming homes.</w:t>
      </w:r>
    </w:p>
    <w:p w14:paraId="2BADDCB8" w14:textId="77777777" w:rsidR="005B04B7" w:rsidRPr="005B04B7" w:rsidRDefault="005B04B7" w:rsidP="0005607E">
      <w:pPr>
        <w:spacing w:before="240"/>
        <w:jc w:val="both"/>
      </w:pPr>
      <w:r w:rsidRPr="005B04B7">
        <w:t xml:space="preserve">The Commission recommends that DCF continues to improve its methods of conducting outreach and recruitment for LGBTQ-affirming foster parents. Since FY 2023, DCF’s LGBTQIA+ Office has shared with the Commission that there has been a great deal occurring in this area, particularly due to the formation of a recruitment team focusing specifically on LGBTQIA+ recruitment. The LGBTQIA+ Regional Specialists have further shared that they are working within their regions to better understand specific barriers and gaps in practice to ensure that the agency is consistent in its outreach methods, though still ensuring that the agency is keeping regional needs in mind. The Office is additionally thinking through solutions and structures for providing specialty </w:t>
      </w:r>
      <w:r w:rsidRPr="005B04B7">
        <w:lastRenderedPageBreak/>
        <w:t>licenses or certifications to foster parents to signal that they are an LGBTQ-affirming home. In its FY 2024 meetings, LGBTQIA+ Regional Specialists shared their priorities for working within their regions to better understand specific barriers and gaps in practice to ensure that the agency is consistent in its outreach methods, though still ensuring that the agency is keeping regional needs in mind. </w:t>
      </w:r>
    </w:p>
    <w:p w14:paraId="47F9493F" w14:textId="77777777" w:rsidR="005B04B7" w:rsidRPr="005B04B7" w:rsidRDefault="005B04B7" w:rsidP="0005607E">
      <w:pPr>
        <w:spacing w:before="240"/>
        <w:jc w:val="both"/>
      </w:pPr>
      <w:r w:rsidRPr="005B04B7">
        <w:t xml:space="preserve">DCF has continued to work with the National Center for Diligent Recruitment and plans to centralize foster home recruitment reporting in FY 2026. However, the Commission remains concerned about the lack of a standardized mechanism to identify, verify, and monitor affirming homes. While DCF has repeatedly stated to the Commission that </w:t>
      </w:r>
      <w:proofErr w:type="gramStart"/>
      <w:r w:rsidRPr="005B04B7">
        <w:t>all of</w:t>
      </w:r>
      <w:proofErr w:type="gramEnd"/>
      <w:r w:rsidRPr="005B04B7">
        <w:t xml:space="preserve"> its homes are affirming, the recent policy changes and the absence of LGBTQ-specific skill designation in iFamilynet does not provide sufficient assurance - nor do the consistent stories from DCF LGBTQ youth, families, and advocates about non-affirming foster families. Due to the recent policy changes enacted by DCF, DCF shared that some IT changes were made in March 2026 to add more detail to the Best Fit section of foster home licensing to specifically designate homes as LGBTQIA+ affirming.</w:t>
      </w:r>
    </w:p>
    <w:p w14:paraId="417BDDE3" w14:textId="77777777" w:rsidR="005B04B7" w:rsidRPr="005B04B7" w:rsidRDefault="005B04B7" w:rsidP="0005607E">
      <w:pPr>
        <w:spacing w:before="240"/>
        <w:jc w:val="both"/>
      </w:pPr>
      <w:r w:rsidRPr="005B04B7">
        <w:t>The Commission strongly recommends that DCF develops a standardized assessment tool to evaluate affirming capacity of foster families with clear criteria, ongoing requirement for LGBTQ-affirming care training; and the development of internal tracking and review mechanisms to ensure that youth are consistently place in homes with demonstrated competency.</w:t>
      </w:r>
    </w:p>
    <w:p w14:paraId="47FC2BCD" w14:textId="6E451093" w:rsidR="005B04B7" w:rsidRPr="005B04B7" w:rsidRDefault="0005607E" w:rsidP="00B7107C">
      <w:pPr>
        <w:pStyle w:val="Heading5"/>
      </w:pPr>
      <w:r>
        <w:t xml:space="preserve">7| </w:t>
      </w:r>
      <w:r w:rsidR="005B04B7" w:rsidRPr="005B04B7">
        <w:t>Partner with LGBTQ youth and organizations to create and disseminate tangible resources for youth, families, and social workers.</w:t>
      </w:r>
    </w:p>
    <w:p w14:paraId="30292540" w14:textId="5FEB04B1" w:rsidR="005B04B7" w:rsidRPr="005B04B7" w:rsidRDefault="005B04B7" w:rsidP="0005607E">
      <w:pPr>
        <w:spacing w:before="240"/>
        <w:jc w:val="both"/>
      </w:pPr>
      <w:r w:rsidRPr="005B04B7">
        <w:t xml:space="preserve">For several years, the Commission has received feedback from youth, families, social workers, and providers that there is a desperate need for education and resources on supporting LGBTQ youth under the age of </w:t>
      </w:r>
      <w:r w:rsidR="0054417F" w:rsidRPr="005B04B7">
        <w:t>ten</w:t>
      </w:r>
      <w:r w:rsidRPr="005B04B7">
        <w:t>, as well as the need for further guidance and resources around finding affirming pediatric health care for youth in the child welfare system.</w:t>
      </w:r>
    </w:p>
    <w:p w14:paraId="3586D08F" w14:textId="77777777" w:rsidR="005B04B7" w:rsidRPr="005B04B7" w:rsidRDefault="005B04B7" w:rsidP="0005607E">
      <w:pPr>
        <w:spacing w:before="240"/>
        <w:jc w:val="both"/>
      </w:pPr>
      <w:r w:rsidRPr="005B04B7">
        <w:t>DCF’s LGBTQIA+ Office has begun working on addressing this feedback and gap in resources through community outreach and has plans to develop regional resource guides that will be available to staff, families, and youth; the agency has further stated its interest in planning resource fairs at their regional offices to better build relationships with families and LGBTQ organizations.</w:t>
      </w:r>
    </w:p>
    <w:p w14:paraId="0FFBBC4B" w14:textId="155BCFDB" w:rsidR="005B04B7" w:rsidRPr="005B04B7" w:rsidRDefault="0005607E" w:rsidP="00B7107C">
      <w:pPr>
        <w:pStyle w:val="Heading5"/>
      </w:pPr>
      <w:r>
        <w:t xml:space="preserve">8| </w:t>
      </w:r>
      <w:r w:rsidR="005B04B7" w:rsidRPr="005B04B7">
        <w:t>Continue to investigate and address gaps and barriers to service provision for immigrant youth transitioning out of DCF care.</w:t>
      </w:r>
    </w:p>
    <w:p w14:paraId="47734184" w14:textId="77777777" w:rsidR="005B04B7" w:rsidRPr="005B04B7" w:rsidRDefault="005B04B7" w:rsidP="0005607E">
      <w:pPr>
        <w:spacing w:before="240"/>
        <w:jc w:val="both"/>
      </w:pPr>
      <w:r w:rsidRPr="005B04B7">
        <w:t xml:space="preserve"> The Commission recommends that DCF improve its service provision for LGBTQ immigrant youth in DCF care to ensure that they receive timely services - including all needed documentation, </w:t>
      </w:r>
      <w:r w:rsidRPr="005B04B7">
        <w:lastRenderedPageBreak/>
        <w:t xml:space="preserve">resources, and support - particularly before transitioning out of care. </w:t>
      </w:r>
      <w:proofErr w:type="gramStart"/>
      <w:r w:rsidRPr="005B04B7">
        <w:t>In particular, immigrant</w:t>
      </w:r>
      <w:proofErr w:type="gramEnd"/>
      <w:r w:rsidRPr="005B04B7">
        <w:t xml:space="preserve"> youth in DCF without permanent residence status are often eligible for the Special Immigrant Juvenile Status (SIJ) through a court process. Though DCF’s answer book includes a section about immigration status and explains SIJ, there is a lack of data on how many youths are eligible and receiving support for their immigration process.</w:t>
      </w:r>
    </w:p>
    <w:p w14:paraId="2BA54E9B" w14:textId="77777777" w:rsidR="005B04B7" w:rsidRPr="005B04B7" w:rsidRDefault="005B04B7" w:rsidP="0005607E">
      <w:pPr>
        <w:spacing w:before="240"/>
        <w:jc w:val="both"/>
      </w:pPr>
      <w:r w:rsidRPr="005B04B7">
        <w:t>In May 2024, DCF shared that it hired an in-house immigration specialist in June 2023 who assists youth in DCF custody obtain appropriate documentation and establish citizenship. In February 2025, the agency shared that there have been internal trainings and shared spaces to work towards worker’s awareness of immigration supports for youth and that the immigration lawyers have been active since their hiring. In its FY 2026 meetings, DCF shared that its immigration specialists now provide monthly updates and resource cards for families to prepare for the potential need for alternative care for children in the event of detention or deportation.</w:t>
      </w:r>
    </w:p>
    <w:p w14:paraId="7FC54820" w14:textId="414883A1" w:rsidR="005B04B7" w:rsidRPr="005B04B7" w:rsidRDefault="005B04B7" w:rsidP="0005607E">
      <w:pPr>
        <w:spacing w:before="240"/>
        <w:jc w:val="both"/>
      </w:pPr>
      <w:r w:rsidRPr="005B04B7">
        <w:t xml:space="preserve">The Commission appreciates this attention to the unique needs of immigrant youth who may encounter the child welfare </w:t>
      </w:r>
      <w:r w:rsidR="00B443A2" w:rsidRPr="005B04B7">
        <w:t>system but</w:t>
      </w:r>
      <w:r w:rsidRPr="005B04B7">
        <w:t xml:space="preserve"> emphasizes the need for clearer accountability frameworks to ensure that all youth are transitioning out of care with appropriate documentation, access to gender-affirming, culturally competent health care, and affordable housing.</w:t>
      </w:r>
    </w:p>
    <w:p w14:paraId="4E6D0031" w14:textId="0BE26568" w:rsidR="005B04B7" w:rsidRPr="005B04B7" w:rsidRDefault="0005607E" w:rsidP="00B7107C">
      <w:pPr>
        <w:pStyle w:val="Heading5"/>
      </w:pPr>
      <w:r>
        <w:t xml:space="preserve">9| </w:t>
      </w:r>
      <w:r w:rsidR="005B04B7" w:rsidRPr="005B04B7">
        <w:t>Expand and mandate LGBTQ cultural engagement trainings, as well as trainings on racial equity, ableism, and adultism.</w:t>
      </w:r>
    </w:p>
    <w:p w14:paraId="46AD2859" w14:textId="7D8926D4" w:rsidR="005B04B7" w:rsidRPr="005B04B7" w:rsidRDefault="005B04B7" w:rsidP="0005607E">
      <w:pPr>
        <w:spacing w:before="240"/>
        <w:jc w:val="both"/>
      </w:pPr>
      <w:r w:rsidRPr="005B04B7">
        <w:t xml:space="preserve">The Commission recommends that DCF continues to expand upon its LGBTQ cultural engagement trainings for all </w:t>
      </w:r>
      <w:r w:rsidR="00B443A2" w:rsidRPr="005B04B7">
        <w:t>staﬀ and</w:t>
      </w:r>
      <w:r w:rsidRPr="005B04B7">
        <w:t xml:space="preserve"> ensuring that the trainings are intersectional to include conversations on racial equity, ableism, and adultism, particularly for staﬀ working directly with young people. In FY 2023, DCF reported that it was gathering information on available training opportunities covering additional topics, including ableism. The agency also noted that Specialty Unit Directors for Disabilities, Mental Health, LGBTQIA+, Substance Use, and Domestic Violence recently conducted a statewide training for managers focused on inclusive practices and addressing biases.</w:t>
      </w:r>
    </w:p>
    <w:p w14:paraId="7BF1C248" w14:textId="77777777" w:rsidR="005B04B7" w:rsidRPr="005B04B7" w:rsidRDefault="005B04B7" w:rsidP="0005607E">
      <w:pPr>
        <w:spacing w:before="240"/>
        <w:jc w:val="both"/>
      </w:pPr>
      <w:r w:rsidRPr="005B04B7">
        <w:t xml:space="preserve">In FY 2025, DCF shared that the Child Welfare Institute has been providing continuous, series-based trainings. In April 2025, DCF leadership organized the participation of its approximately 90 Statewide Managers in the LGBTQIA+ Inclusive Workplace training provided by EOHHS and facilitate by DCF trainers. In May 2025, the LGBTQIA+ Unit began facilitating a bi-monthly LGBTQIA+ Foundations Training, required for new social workers during their probationary period and available to seasoned staff as part of ongoing professional development. The Commission appreciates this effort to diversify knowledge and skills; however, it recommends </w:t>
      </w:r>
      <w:r w:rsidRPr="005B04B7">
        <w:lastRenderedPageBreak/>
        <w:t>that DCF publicly share information about the trainings provided to staff, including compliance rates by area office. </w:t>
      </w:r>
    </w:p>
    <w:p w14:paraId="04B75034" w14:textId="77777777" w:rsidR="005B04B7" w:rsidRPr="005B04B7" w:rsidRDefault="005B04B7" w:rsidP="0005607E">
      <w:pPr>
        <w:spacing w:before="240"/>
        <w:jc w:val="both"/>
      </w:pPr>
      <w:r w:rsidRPr="005B04B7">
        <w:t>Finally, the Commission strongly recommends that DCF partner closely with the OCA and other state agencies to better track and oversee LGBTQ cultural engagement trainings in congregate care settings, with particular attention to developing a clear training plan for supporting staﬀ working in congregate care homes. In its response to the Commission’s FY 2026 recommendations, DCF shared that the DCF Congregate Care Network RFR, one of the requirements is for organizations to provide training to staﬀ on their responsibilities for and skills needed to “Identify and work eﬀectively with gay, lesbian, bisexual, transgender and gender diverse, questioning, and non-binary youth.” For FY 2026, DCF shares that its Services Network team will include this training requirement in the program elements that are reviewed, tracked, and discussed with congregate care programs during site visits. The Commission also strongly encourages DCF to partner with the Office of the Child Advocate (OCA) and other state agencies to better track and oversee LGBTQ cultural engagement training in congregate care settings, with particular attention to developing a clear plan for staff supporting youth in these homes. </w:t>
      </w:r>
    </w:p>
    <w:p w14:paraId="078C7ABD" w14:textId="77777777" w:rsidR="005B04B7" w:rsidRPr="005B04B7" w:rsidRDefault="005B04B7" w:rsidP="0005607E">
      <w:pPr>
        <w:jc w:val="both"/>
      </w:pPr>
      <w:r w:rsidRPr="005B04B7">
        <w:t>The removal of explicit language on sexual orientation and gender identity from DCF policies increases the responsibility of agency leadership to ensure that internal safeguards are robust, consistent, and enforceable. While DCF has expanded staff training on LGBTQ cultural awareness, gaps remain in providing comprehensive, agency-wide training that reaches all staff, contractors, and foster parents. Social workers are required to complete 30 hours of annual training, in which LGBTQ topics may count, but these topics are not mandated. Given these gaps, the Commission emphasizes that LGBTQ cultural engagement must be systematically embedded in training, supervision, and evaluation to ensure affirming care and equitable practices across all aspects of DCF operations.</w:t>
      </w:r>
    </w:p>
    <w:p w14:paraId="334D5FB4" w14:textId="085FD9D3" w:rsidR="005B04B7" w:rsidRPr="005B04B7" w:rsidRDefault="0005607E" w:rsidP="00B7107C">
      <w:pPr>
        <w:pStyle w:val="Heading5"/>
      </w:pPr>
      <w:r>
        <w:t xml:space="preserve">10| </w:t>
      </w:r>
      <w:r w:rsidR="005B04B7" w:rsidRPr="005B04B7">
        <w:t>Improve interagency collaboration and establish clear transition protocols to support “warm hand-oﬀs” for transition-aged youth accessing services, in partnership with the Department of Mental Health, MassHealth, and the Department of Youth Services.</w:t>
      </w:r>
    </w:p>
    <w:p w14:paraId="3A5D5B53" w14:textId="77777777" w:rsidR="005B04B7" w:rsidRPr="005B04B7" w:rsidRDefault="005B04B7" w:rsidP="0005607E">
      <w:pPr>
        <w:spacing w:before="240"/>
        <w:jc w:val="both"/>
      </w:pPr>
      <w:r w:rsidRPr="005B04B7">
        <w:t>Multisystem-involved transition-aged youth are often the most marginalized and underserved youth across the Commonwealth. Often, when youth transition between agency systems, such as going from DYS to DCF or vice versa, some youth experience little to no direct handoﬀ to new services. Unfortunately, this means that youth often fall between systemic cracks as agencies fail to collaborate, leaving youth and their families without any clear guidance or direction for assistance. The Commission has even received notice from some DCF social workers that agencies have failed to notify them when their youth have been transferred into DYS custody. </w:t>
      </w:r>
    </w:p>
    <w:p w14:paraId="2A855E50" w14:textId="77777777" w:rsidR="005B04B7" w:rsidRPr="005B04B7" w:rsidRDefault="005B04B7" w:rsidP="0005607E">
      <w:pPr>
        <w:spacing w:before="240"/>
        <w:jc w:val="both"/>
      </w:pPr>
      <w:r w:rsidRPr="005B04B7">
        <w:lastRenderedPageBreak/>
        <w:t>These gaps in coordination are particularly concerning for youth with histories of abuse, neglect, family instability, or other complex needs requiring ongoing interagency collaboration. DCF noted that when a Care and Protection (C&amp;P) or Child Requiring Assistance (CRA) petition is dismissed and a minor is released from DYS custody, a new 51A must be filed for DCF involvement to resume. Once youth leave DYS custody, some may return to family environments without coordinated follow-up services or clear transition planning to assess safety, permanency, or long-term well-being. Of particular concern to the Commission are situations in which youth transition out of DCF involvement due to DYS commitment and are later returned to family environments without coordinated follow-up services or clear re-entry pathways. While DYS and DCF maintain distinct legal roles and responsibilities, the Commission remains concerned that DYS may lack sufficient structures, protocols, or resources to support family reunification, continuity of care, and stabilization for youth.</w:t>
      </w:r>
    </w:p>
    <w:p w14:paraId="597FF0C3" w14:textId="7A96EC6A" w:rsidR="005B04B7" w:rsidRPr="005B04B7" w:rsidRDefault="005B04B7" w:rsidP="0005607E">
      <w:pPr>
        <w:jc w:val="both"/>
      </w:pPr>
      <w:r w:rsidRPr="005B04B7">
        <w:t xml:space="preserve">In FY 2023, DCF reported several points of interagency collaboration, including the development of a complex case resolution process by EOHHS; legally mandated transition planning under the 688 </w:t>
      </w:r>
      <w:proofErr w:type="gramStart"/>
      <w:r w:rsidRPr="005B04B7">
        <w:t>process</w:t>
      </w:r>
      <w:proofErr w:type="gramEnd"/>
      <w:r w:rsidRPr="005B04B7">
        <w:t xml:space="preserve"> to support youth with disabilities; internal collaboration with the Mental Health Specialist Unit and DMH; interagency meetings with youth-serving organizations; and an MOU with DYS for dual-involved youth detained pretrial. For youth over </w:t>
      </w:r>
      <w:r w:rsidR="0054417F" w:rsidRPr="005B04B7">
        <w:t>eighteen</w:t>
      </w:r>
      <w:r w:rsidRPr="005B04B7">
        <w:t xml:space="preserve"> released from DYS without a dismissed C&amp;P or CRA petition, re-engagement with DCF may occur depending on federal eligibility requirements.</w:t>
      </w:r>
    </w:p>
    <w:p w14:paraId="1C44508B" w14:textId="77777777" w:rsidR="005B04B7" w:rsidRPr="005B04B7" w:rsidRDefault="005B04B7" w:rsidP="0005607E">
      <w:pPr>
        <w:jc w:val="both"/>
      </w:pPr>
      <w:r w:rsidRPr="005B04B7">
        <w:t>In FY 2025, DCF indicated that it is exploring additional avenues for collaboration through its internal interagency youth group and strengthening relationships with other state agencies, including DYS, DMH, DDS, and MassHealth. The Commission emphasizes the critical need for agencies, including DCF, to create clear, accessible implementation resources that staff can use to understand the responsibilities, programs, and resources of all child-serving agencies. To address potential system gaps, the Commission recommends that DCF develop a written, publicly accessible transition protocol outlining notification requirements between agencies, procedures for warm handoffs, post-release monitoring expectations, youth re-entry options, and system prompts within the iFamilyNet to prevent case progression until required transition steps are completed. </w:t>
      </w:r>
    </w:p>
    <w:p w14:paraId="03D2A6F6" w14:textId="3D06BF05" w:rsidR="005B04B7" w:rsidRPr="005B04B7" w:rsidRDefault="0005607E" w:rsidP="00B7107C">
      <w:pPr>
        <w:pStyle w:val="Heading5"/>
      </w:pPr>
      <w:r>
        <w:t xml:space="preserve">11| </w:t>
      </w:r>
      <w:r w:rsidR="005B04B7" w:rsidRPr="005B04B7">
        <w:t xml:space="preserve">Improve family preservation services to safely monitor and mitigate concerns that may lead to the removal of a child, with </w:t>
      </w:r>
      <w:proofErr w:type="gramStart"/>
      <w:r w:rsidR="005B04B7" w:rsidRPr="005B04B7">
        <w:t>particular consideration</w:t>
      </w:r>
      <w:proofErr w:type="gramEnd"/>
      <w:r w:rsidR="005B04B7" w:rsidRPr="005B04B7">
        <w:t xml:space="preserve"> to ensuring de facto parent preservation.</w:t>
      </w:r>
    </w:p>
    <w:p w14:paraId="435BE344" w14:textId="77777777" w:rsidR="005B04B7" w:rsidRPr="005B04B7" w:rsidRDefault="005B04B7" w:rsidP="0005607E">
      <w:pPr>
        <w:spacing w:before="240"/>
        <w:jc w:val="both"/>
      </w:pPr>
      <w:r w:rsidRPr="005B04B7">
        <w:t xml:space="preserve">As it continues to work with DCF to improve services for LGBTQ youth in the child welfare system, the Commission recommends that DCF strengthen its family preservation services to better monitor and address concerns that may lead to the removal of a child. The Commission makes </w:t>
      </w:r>
      <w:r w:rsidRPr="005B04B7">
        <w:lastRenderedPageBreak/>
        <w:t>this recommendation with particular attention to mitigating the disparate experiences that many BIPOC families have that might lead to DCF investigations. The Commission understands that much of the existing family preservation work is conducted through agency contracts for Support and Stabilization services, with Family Resource Centers, Area Resource Coordinators, and DCF’s own single-family preservation working group. In February 2025, DCF shared that its agency improvement leadership team is focusing on prevention work, prioritizing a better understanding of the efforts of community providers and the primary and secondary supports that prevent removals.</w:t>
      </w:r>
    </w:p>
    <w:p w14:paraId="372A6E83" w14:textId="77777777" w:rsidR="005B04B7" w:rsidRPr="005B04B7" w:rsidRDefault="005B04B7" w:rsidP="0005607E">
      <w:pPr>
        <w:spacing w:before="240"/>
        <w:jc w:val="both"/>
      </w:pPr>
      <w:r w:rsidRPr="005B04B7">
        <w:t>In May 2025, DCF further shared that its working group on prevention is also looking to strengthen relationships with community providers so that they may serve as an intervention or resource for families prior to or coinciding with DCF involvement. The Commission recommends that DCF more transparently report on the goals and services of this group and examine accountability systems within its contracts to ensure partnerships meaningfully contribute to family preservation. DCF should also publicly report on its commitment to supporting family preservation for LGBTQ families and recognizing de facto parentage. Additionally, DCF should enhance services to address situations in which LGBTQ youth are reunified with families where there is a risk of repeated maltreatment or removals.</w:t>
      </w:r>
    </w:p>
    <w:p w14:paraId="71DE6404" w14:textId="77777777" w:rsidR="005B04B7" w:rsidRPr="005B04B7" w:rsidRDefault="005B04B7" w:rsidP="0005607E">
      <w:pPr>
        <w:jc w:val="both"/>
      </w:pPr>
      <w:r w:rsidRPr="005B04B7">
        <w:t>In FY 2026, DCF shared that it has initiated a new RFR process and IT enhancements to improve tracking of prevention services, which are promising steps. However, the Commission recommends that DCF define measurable goals for reducing removals, increasing the use of short-term prevention services, ensuring regional service equity, and providing affirming support for LGBTQ and BIPOC families. </w:t>
      </w:r>
    </w:p>
    <w:p w14:paraId="7BAFD1C7" w14:textId="50377A33" w:rsidR="005B04B7" w:rsidRPr="005B04B7" w:rsidRDefault="0005607E" w:rsidP="00B7107C">
      <w:pPr>
        <w:pStyle w:val="Heading5"/>
      </w:pPr>
      <w:r>
        <w:t xml:space="preserve">12| </w:t>
      </w:r>
      <w:r w:rsidR="005B04B7" w:rsidRPr="005B04B7">
        <w:t>Collaborate with the Commission and providers to create an LGBTQ parent education curriculum to better support family preservation services.</w:t>
      </w:r>
    </w:p>
    <w:p w14:paraId="230FC7E4" w14:textId="77777777" w:rsidR="005B04B7" w:rsidRPr="005B04B7" w:rsidRDefault="005B04B7" w:rsidP="0005607E">
      <w:pPr>
        <w:spacing w:before="240"/>
        <w:jc w:val="both"/>
      </w:pPr>
      <w:r w:rsidRPr="005B04B7">
        <w:t>The Commission strongly recommends that DCF partner with the Commission and other community partners to create an education curriculum for parents of LGBTQ youth to uplift and support youth in need of DCF oversight and services; such a curriculum could work in tandem with existing or new family preservation programs. As of February 2025, the Commission is currently piloting such a program through education agencies with an intended goal of expanding it to other state systems in late 2026.</w:t>
      </w:r>
    </w:p>
    <w:p w14:paraId="2F742E66" w14:textId="715924A9" w:rsidR="005B04B7" w:rsidRPr="005B04B7" w:rsidRDefault="0005607E" w:rsidP="00B7107C">
      <w:pPr>
        <w:pStyle w:val="Heading5"/>
      </w:pPr>
      <w:r>
        <w:t xml:space="preserve">13| </w:t>
      </w:r>
      <w:r w:rsidR="005B04B7" w:rsidRPr="005B04B7">
        <w:t>Improve curriculum oﬀerings, programs, and resources provided to youth, and provide training opportunities for staﬀ and youth on system navigation.</w:t>
      </w:r>
    </w:p>
    <w:p w14:paraId="1724DE37" w14:textId="77777777" w:rsidR="005B04B7" w:rsidRPr="005B04B7" w:rsidRDefault="005B04B7" w:rsidP="0005607E">
      <w:pPr>
        <w:spacing w:before="240"/>
        <w:jc w:val="both"/>
      </w:pPr>
      <w:r w:rsidRPr="005B04B7">
        <w:t xml:space="preserve">The Commission continues to recommend that DCF improve its approach to providing comprehensive LGBTQ-inclusive sexual health education and expand its curriculum and </w:t>
      </w:r>
      <w:r w:rsidRPr="005B04B7">
        <w:lastRenderedPageBreak/>
        <w:t>programmatic offerings for youth preparing to age out of care. Far too often, the Commission has heard from youth and community providers that youth are not appropriately prepared to age out of care with the resources and skills needed to thrive. In February 2025, DCF shared that youth now have access to the newly uploaded Life Skills ReImagined curriculum, which is replacing PAYA, on a mobile platform. Disappointingly, despite repeated requests since FY 2024, the Commission has yet to review any of the content provided through this new curriculum to better understand the integration of and oﬀer feedback on the LGBTQ-speciﬁc content available. </w:t>
      </w:r>
    </w:p>
    <w:p w14:paraId="7C6DB1AE" w14:textId="77777777" w:rsidR="005B04B7" w:rsidRPr="005B04B7" w:rsidRDefault="005B04B7" w:rsidP="0005607E">
      <w:pPr>
        <w:spacing w:before="240"/>
        <w:jc w:val="both"/>
      </w:pPr>
      <w:r w:rsidRPr="005B04B7">
        <w:t>Although the transition to the digital Life Skills Reimagined platform is a positive modernization effort, the Commission remains concerned that not all youth, especially those in congregate care, have equitable access to the curriculum. DCF should provide a clear plan for ensuring access for youth with limited or no internet connectivity, report on youth usage rates, and implement a mechanism for youth to provide feedback on content relevance, including LGBTQ-specific materials. In May 2025, DCF shared that the new content is all digital, but there are workbooks and printed materials that can be printed out for youth who may have no or limited internet access. Furthermore, DCF shares that if youth need a printed version of the full PAYA curriculum due to learning needs then they would need to use the old PAYA version, which is workbook style.</w:t>
      </w:r>
    </w:p>
    <w:p w14:paraId="5E88C980" w14:textId="51F0F815" w:rsidR="005B04B7" w:rsidRDefault="005B04B7" w:rsidP="0005607E">
      <w:pPr>
        <w:jc w:val="both"/>
      </w:pPr>
      <w:r w:rsidRPr="005B04B7">
        <w:t>Finally, the Commission continues to recommend that DCF explore ways to provide youth with avenues to hold DCF accountable for ensuring that the needs of youth - particularly around identiﬁcation documentation - are being met. In previous discussions, the Commission has recommended the development of an app that would allow youth and families to submit and track requests, complete skills-building programs, and more easily locate available resources and information.</w:t>
      </w:r>
    </w:p>
    <w:p w14:paraId="01E3E279" w14:textId="0306643C" w:rsidR="005B04B7" w:rsidRPr="00E44F63" w:rsidRDefault="005B04B7" w:rsidP="0005607E">
      <w:pPr>
        <w:spacing w:before="240"/>
        <w:jc w:val="both"/>
        <w:rPr>
          <w:rStyle w:val="SubtleReference"/>
          <w:color w:val="864EA8" w:themeColor="accent1" w:themeShade="BF"/>
        </w:rPr>
      </w:pPr>
      <w:r w:rsidRPr="00E44F63">
        <w:rPr>
          <w:rStyle w:val="SubtleReference"/>
          <w:color w:val="864EA8" w:themeColor="accent1" w:themeShade="BF"/>
        </w:rPr>
        <w:t xml:space="preserve">Acknowledgments: The Commission </w:t>
      </w:r>
      <w:r w:rsidR="004F6E0A" w:rsidRPr="00E44F63">
        <w:rPr>
          <w:rStyle w:val="SubtleReference"/>
          <w:color w:val="864EA8" w:themeColor="accent1" w:themeShade="BF"/>
        </w:rPr>
        <w:t>thanks</w:t>
      </w:r>
      <w:r w:rsidRPr="00E44F63">
        <w:rPr>
          <w:rStyle w:val="SubtleReference"/>
          <w:color w:val="864EA8" w:themeColor="accent1" w:themeShade="BF"/>
        </w:rPr>
        <w:t xml:space="preserve"> the contributions of its DCF staﬀ liaisons and partners through the DCF LGBTQIA+ Employee Resource Group.</w:t>
      </w:r>
    </w:p>
    <w:p w14:paraId="1CFBC5E7" w14:textId="03E05A57" w:rsidR="0005607E" w:rsidRDefault="0005607E" w:rsidP="0005607E">
      <w:pPr>
        <w:jc w:val="both"/>
      </w:pPr>
      <w:r>
        <w:br w:type="page"/>
      </w:r>
    </w:p>
    <w:p w14:paraId="1EAE459B" w14:textId="77777777" w:rsidR="0005607E" w:rsidRPr="0005607E" w:rsidRDefault="0005607E" w:rsidP="00B7107C">
      <w:pPr>
        <w:pStyle w:val="Heading2"/>
      </w:pPr>
      <w:bookmarkStart w:id="236" w:name="_Toc230277110"/>
      <w:bookmarkStart w:id="237" w:name="_Toc230277388"/>
      <w:bookmarkStart w:id="238" w:name="_Toc230355492"/>
      <w:r w:rsidRPr="0005607E">
        <w:lastRenderedPageBreak/>
        <w:t>Department of Developmental Services</w:t>
      </w:r>
      <w:bookmarkEnd w:id="236"/>
      <w:bookmarkEnd w:id="237"/>
      <w:bookmarkEnd w:id="238"/>
    </w:p>
    <w:p w14:paraId="1EB116B0" w14:textId="77777777" w:rsidR="0005607E" w:rsidRPr="0005607E" w:rsidRDefault="0005607E">
      <w:pPr>
        <w:pStyle w:val="ListParagraph"/>
        <w:numPr>
          <w:ilvl w:val="0"/>
          <w:numId w:val="9"/>
        </w:numPr>
        <w:ind w:right="360"/>
        <w:jc w:val="both"/>
      </w:pPr>
      <w:r w:rsidRPr="0005607E">
        <w:t>Develop and implement an LGBTQ-inclusive nondiscrimination policy.</w:t>
      </w:r>
    </w:p>
    <w:p w14:paraId="0AC02D71" w14:textId="77777777" w:rsidR="0005607E" w:rsidRPr="0005607E" w:rsidRDefault="0005607E">
      <w:pPr>
        <w:pStyle w:val="ListParagraph"/>
        <w:numPr>
          <w:ilvl w:val="0"/>
          <w:numId w:val="9"/>
        </w:numPr>
        <w:ind w:right="360"/>
        <w:jc w:val="both"/>
      </w:pPr>
      <w:r w:rsidRPr="0005607E">
        <w:t>Provide consistent professional development opportunities that prioritize LGBTQ cultural engagement, racial equity, and adultism for staff and contracted providers.</w:t>
      </w:r>
    </w:p>
    <w:p w14:paraId="099BF0D1" w14:textId="77777777" w:rsidR="0005607E" w:rsidRPr="0005607E" w:rsidRDefault="0005607E">
      <w:pPr>
        <w:pStyle w:val="ListParagraph"/>
        <w:numPr>
          <w:ilvl w:val="0"/>
          <w:numId w:val="9"/>
        </w:numPr>
        <w:ind w:right="360"/>
        <w:jc w:val="both"/>
      </w:pPr>
      <w:r w:rsidRPr="0005607E">
        <w:t>Improve cross-regional collaboration within DDS services and programs.</w:t>
      </w:r>
    </w:p>
    <w:p w14:paraId="3E722E35" w14:textId="77777777" w:rsidR="0005607E" w:rsidRPr="0005607E" w:rsidRDefault="0005607E">
      <w:pPr>
        <w:pStyle w:val="ListParagraph"/>
        <w:numPr>
          <w:ilvl w:val="0"/>
          <w:numId w:val="9"/>
        </w:numPr>
        <w:ind w:right="360"/>
        <w:jc w:val="both"/>
      </w:pPr>
      <w:r w:rsidRPr="0005607E">
        <w:t>Develop and execute a strategic plan outlining goals to improve services for clients, centering LGBTQ inclusivity and racial equity.</w:t>
      </w:r>
    </w:p>
    <w:p w14:paraId="3D638E81" w14:textId="77777777" w:rsidR="0005607E" w:rsidRPr="0005607E" w:rsidRDefault="0005607E">
      <w:pPr>
        <w:pStyle w:val="ListParagraph"/>
        <w:numPr>
          <w:ilvl w:val="0"/>
          <w:numId w:val="9"/>
        </w:numPr>
        <w:ind w:right="360"/>
        <w:jc w:val="both"/>
      </w:pPr>
      <w:r w:rsidRPr="0005607E">
        <w:t>Explore opportunities to increase internal SOGI data collection.</w:t>
      </w:r>
    </w:p>
    <w:p w14:paraId="2F5ED03E" w14:textId="77777777" w:rsidR="0005607E" w:rsidRPr="0005607E" w:rsidRDefault="0005607E" w:rsidP="00E97E73">
      <w:pPr>
        <w:pStyle w:val="Heading3"/>
      </w:pPr>
      <w:bookmarkStart w:id="239" w:name="_Toc230277389"/>
      <w:r w:rsidRPr="0005607E">
        <w:t>Introduction</w:t>
      </w:r>
      <w:bookmarkEnd w:id="239"/>
    </w:p>
    <w:p w14:paraId="6367AB25" w14:textId="77777777" w:rsidR="0005607E" w:rsidRPr="0005607E" w:rsidRDefault="0005607E" w:rsidP="0005607E">
      <w:pPr>
        <w:spacing w:before="240"/>
        <w:jc w:val="both"/>
      </w:pPr>
      <w:r w:rsidRPr="0005607E">
        <w:t>The Department of Developmental Services provides supports for individuals with intellectual and developmental disabilities, including Autism Spectrum Disorder, to enhance opportunities to become fully engaged members of their community. The Commission began issuing recommendations to the Department of Developmental Services in FY 2026 and looks forward to continuing its work with the agency in FY 2027.</w:t>
      </w:r>
    </w:p>
    <w:p w14:paraId="1B1D955E" w14:textId="77777777" w:rsidR="0005607E" w:rsidRPr="0005607E" w:rsidRDefault="0005607E" w:rsidP="00E97E73">
      <w:pPr>
        <w:pStyle w:val="Heading3"/>
      </w:pPr>
      <w:bookmarkStart w:id="240" w:name="_Toc230277390"/>
      <w:r w:rsidRPr="0005607E">
        <w:t>FY 2027 Recommendations to the Department of Developmental Services</w:t>
      </w:r>
      <w:bookmarkEnd w:id="240"/>
    </w:p>
    <w:p w14:paraId="58F7F257" w14:textId="70C68CFF" w:rsidR="0005607E" w:rsidRPr="0005607E" w:rsidRDefault="007E1DD2" w:rsidP="00B7107C">
      <w:pPr>
        <w:pStyle w:val="Heading5"/>
      </w:pPr>
      <w:r>
        <w:t xml:space="preserve">1| </w:t>
      </w:r>
      <w:r w:rsidR="0005607E" w:rsidRPr="0005607E">
        <w:t>Develop and implement an LGBTQ-inclusive nondiscrimination policy.</w:t>
      </w:r>
    </w:p>
    <w:p w14:paraId="3B18E07A" w14:textId="4BB278BF" w:rsidR="0005607E" w:rsidRPr="0005607E" w:rsidRDefault="0005607E" w:rsidP="0005607E">
      <w:pPr>
        <w:spacing w:before="240"/>
        <w:jc w:val="both"/>
      </w:pPr>
      <w:r w:rsidRPr="0005607E">
        <w:t xml:space="preserve">It is critical that every agency has clear and comprehensive policies utilizing gender-neutral </w:t>
      </w:r>
      <w:r w:rsidR="00B443A2" w:rsidRPr="0005607E">
        <w:t>language and</w:t>
      </w:r>
      <w:r w:rsidRPr="0005607E">
        <w:t xml:space="preserve"> are attentive to the unique needs and experiences of LGBTQ youth. The Commission recommends that DDS develop and implements its own LGBTQ-inclusive nondiscrimination policy; such a policy should be made widely available to families and clients involved in services, as well as to staﬀ and contracted providers. In FY 2026, DDS shared that it has begun working on this policy. The Commission further recommends that DDS should begin a review process of all internal policies, contracts, and assessment processes to evaluate areas for improvement for LGBTQ inclusivity.</w:t>
      </w:r>
    </w:p>
    <w:p w14:paraId="44687F3D" w14:textId="716EE701" w:rsidR="0005607E" w:rsidRPr="0005607E" w:rsidRDefault="007E1DD2" w:rsidP="00B7107C">
      <w:pPr>
        <w:pStyle w:val="Heading5"/>
      </w:pPr>
      <w:r>
        <w:t xml:space="preserve">2| </w:t>
      </w:r>
      <w:r w:rsidR="0005607E" w:rsidRPr="0005607E">
        <w:t>Provide consistent professional development opportunities that prioritize intersectionality and center LGBTQ cultural engagement, racial equity, and adultism for staﬀ and contracted providers.</w:t>
      </w:r>
    </w:p>
    <w:p w14:paraId="77E6159B" w14:textId="77777777" w:rsidR="0005607E" w:rsidRPr="0005607E" w:rsidRDefault="0005607E" w:rsidP="0005607E">
      <w:pPr>
        <w:spacing w:before="240"/>
        <w:jc w:val="both"/>
      </w:pPr>
      <w:r w:rsidRPr="0005607E">
        <w:t xml:space="preserve">The Commission recommends that DDS provides all staﬀ and contracted providers with training opportunities around working with LGBTQ youth and families; such trainings should include a lens of racial equity and address adultism. These opportunities should be provided on a recurring basis, with resources or additional trainings provided for staﬀ routinely engaging with youth and </w:t>
      </w:r>
      <w:r w:rsidRPr="0005607E">
        <w:lastRenderedPageBreak/>
        <w:t>families. In FY 2026, the Commission and DDS began engaging in conversations about potential training opportunities through the Commission’s own training system, as well as exploring training opportunities through CSD.</w:t>
      </w:r>
    </w:p>
    <w:p w14:paraId="50D7E254" w14:textId="79284DE7" w:rsidR="0005607E" w:rsidRPr="0005607E" w:rsidRDefault="007E1DD2" w:rsidP="00B7107C">
      <w:pPr>
        <w:pStyle w:val="Heading5"/>
      </w:pPr>
      <w:r>
        <w:t xml:space="preserve">3| </w:t>
      </w:r>
      <w:r w:rsidR="0005607E" w:rsidRPr="0005607E">
        <w:t>Improve cross-regional collaboration within DDS services and programs.</w:t>
      </w:r>
    </w:p>
    <w:p w14:paraId="051296A6" w14:textId="77777777" w:rsidR="0005607E" w:rsidRPr="0005607E" w:rsidRDefault="0005607E" w:rsidP="0005607E">
      <w:pPr>
        <w:spacing w:before="240"/>
        <w:jc w:val="both"/>
      </w:pPr>
      <w:r w:rsidRPr="0005607E">
        <w:t xml:space="preserve">Over the last few years that the Commission has engaged with DDS staﬀ, it has been shared that aspects of the agency’s work are often siloed to </w:t>
      </w:r>
      <w:proofErr w:type="gramStart"/>
      <w:r w:rsidRPr="0005607E">
        <w:t>particular regions</w:t>
      </w:r>
      <w:proofErr w:type="gramEnd"/>
      <w:r w:rsidRPr="0005607E">
        <w:t>, with staﬀ frequently sharing that their work would be much easier if there was increased collaboration across regions. Therefore, the Commission recommends that DDS establish cross-regional working groups to increase collaboration amongst staﬀ and programs, with particular attention to sharing information about existing programming within each region.</w:t>
      </w:r>
    </w:p>
    <w:p w14:paraId="352A0186" w14:textId="6CC6489A" w:rsidR="0005607E" w:rsidRPr="0005607E" w:rsidRDefault="007E1DD2" w:rsidP="00B7107C">
      <w:pPr>
        <w:pStyle w:val="Heading5"/>
      </w:pPr>
      <w:r>
        <w:t xml:space="preserve">4| </w:t>
      </w:r>
      <w:r w:rsidR="0005607E" w:rsidRPr="0005607E">
        <w:t>Develop and execute a strategic plan outlining goals to improve services for clients, centering LGBTQ inclusivity and racial equity.</w:t>
      </w:r>
    </w:p>
    <w:p w14:paraId="27893365" w14:textId="5D613262" w:rsidR="0005607E" w:rsidRPr="0005607E" w:rsidRDefault="0005607E" w:rsidP="0005607E">
      <w:pPr>
        <w:spacing w:before="240"/>
        <w:jc w:val="both"/>
      </w:pPr>
      <w:r w:rsidRPr="0005607E">
        <w:t xml:space="preserve">Ensuring that state services are comprehensively inclusive to LGBTQ youth requires intention and strategy from all state agencies. As it has with many others of its state agency partners, the Commission recommends that DDS develop and execute a strategic plan focusing on improving LGBTQ inclusivity and racial equity policies, programs, and resources. Such a strategic plan should outline clear ways for staﬀ and providers at every level within DDS can engage in advancing equity work within their respective </w:t>
      </w:r>
      <w:r w:rsidR="00B443A2" w:rsidRPr="0005607E">
        <w:t>areas and</w:t>
      </w:r>
      <w:r w:rsidRPr="0005607E">
        <w:t xml:space="preserve"> encourage cross-agency collaboration. In its January 2026 meeting with DDS, the Commission learned that DDS has begun this work.</w:t>
      </w:r>
    </w:p>
    <w:p w14:paraId="558568A1" w14:textId="17EAC735" w:rsidR="0005607E" w:rsidRPr="0005607E" w:rsidRDefault="007E1DD2" w:rsidP="00B7107C">
      <w:pPr>
        <w:pStyle w:val="Heading5"/>
      </w:pPr>
      <w:r>
        <w:t xml:space="preserve">5| </w:t>
      </w:r>
      <w:r w:rsidR="0005607E" w:rsidRPr="0005607E">
        <w:t>Explore opportunities to increase internal SOGI data collection.</w:t>
      </w:r>
    </w:p>
    <w:p w14:paraId="337DBBE8" w14:textId="2BD79816" w:rsidR="0005607E" w:rsidRPr="0005607E" w:rsidRDefault="0005607E" w:rsidP="0005607E">
      <w:pPr>
        <w:spacing w:before="240"/>
        <w:jc w:val="both"/>
      </w:pPr>
      <w:r w:rsidRPr="0005607E">
        <w:t>The collection of data on the experiences of youth and families within DDS services informs not only areas of improvement, but also areas of success. The Commission strongly recommends that DDS explores opportunities to increase its collection of sexual orientation and gender identity data on youth in care, with particular attention to experiences within care.</w:t>
      </w:r>
    </w:p>
    <w:p w14:paraId="50F6614B" w14:textId="71CF4020" w:rsidR="0005607E" w:rsidRPr="00E44F63" w:rsidRDefault="0005607E" w:rsidP="0005607E">
      <w:pPr>
        <w:spacing w:before="240"/>
        <w:jc w:val="both"/>
        <w:rPr>
          <w:rStyle w:val="SubtleReference"/>
          <w:color w:val="864EA8" w:themeColor="accent1" w:themeShade="BF"/>
        </w:rPr>
      </w:pPr>
      <w:r w:rsidRPr="00E44F63">
        <w:rPr>
          <w:rStyle w:val="SubtleReference"/>
          <w:color w:val="864EA8" w:themeColor="accent1" w:themeShade="BF"/>
        </w:rPr>
        <w:t>Acknowledgments: The Commission thanks the contributions of its DDS staﬀ liaisons.</w:t>
      </w:r>
    </w:p>
    <w:p w14:paraId="36DC0BD4" w14:textId="7E28238F" w:rsidR="00685963" w:rsidRPr="00E44F63" w:rsidRDefault="00685963" w:rsidP="00685963">
      <w:pPr>
        <w:rPr>
          <w:rStyle w:val="SubtleReference"/>
          <w:color w:val="864EA8" w:themeColor="accent1" w:themeShade="BF"/>
        </w:rPr>
      </w:pPr>
      <w:r w:rsidRPr="00E44F63">
        <w:rPr>
          <w:rStyle w:val="SubtleReference"/>
          <w:color w:val="864EA8" w:themeColor="accent1" w:themeShade="BF"/>
        </w:rPr>
        <w:br w:type="page"/>
      </w:r>
    </w:p>
    <w:p w14:paraId="7EDCA268" w14:textId="77777777" w:rsidR="00685963" w:rsidRPr="00685963" w:rsidRDefault="00685963" w:rsidP="00B7107C">
      <w:pPr>
        <w:pStyle w:val="Heading2"/>
      </w:pPr>
      <w:bookmarkStart w:id="241" w:name="_Toc230277111"/>
      <w:bookmarkStart w:id="242" w:name="_Toc230277391"/>
      <w:bookmarkStart w:id="243" w:name="_Toc230355493"/>
      <w:r w:rsidRPr="00685963">
        <w:lastRenderedPageBreak/>
        <w:t>MassAbility</w:t>
      </w:r>
      <w:bookmarkEnd w:id="241"/>
      <w:bookmarkEnd w:id="242"/>
      <w:bookmarkEnd w:id="243"/>
    </w:p>
    <w:p w14:paraId="714F706E" w14:textId="77777777" w:rsidR="00685963" w:rsidRPr="00685963" w:rsidRDefault="00685963">
      <w:pPr>
        <w:pStyle w:val="ListParagraph"/>
        <w:numPr>
          <w:ilvl w:val="0"/>
          <w:numId w:val="14"/>
        </w:numPr>
        <w:ind w:right="360"/>
        <w:jc w:val="both"/>
      </w:pPr>
      <w:r w:rsidRPr="00685963">
        <w:t>Create a comprehensive nondiscrimination and inclusion policy for LGBTQ clients.</w:t>
      </w:r>
    </w:p>
    <w:p w14:paraId="0F992785" w14:textId="6F26FFC2" w:rsidR="00685963" w:rsidRPr="00685963" w:rsidRDefault="00685963">
      <w:pPr>
        <w:pStyle w:val="ListParagraph"/>
        <w:numPr>
          <w:ilvl w:val="0"/>
          <w:numId w:val="14"/>
        </w:numPr>
        <w:ind w:right="360"/>
        <w:jc w:val="both"/>
      </w:pPr>
      <w:r w:rsidRPr="00685963">
        <w:t xml:space="preserve">Facilitate mandatory LGBTQ cultural awareness </w:t>
      </w:r>
      <w:r w:rsidR="00B443A2" w:rsidRPr="00685963">
        <w:t>trainings and</w:t>
      </w:r>
      <w:r w:rsidRPr="00685963">
        <w:t xml:space="preserve"> offer recurring skills building opportunities for staff.</w:t>
      </w:r>
    </w:p>
    <w:p w14:paraId="018DE107" w14:textId="77777777" w:rsidR="00685963" w:rsidRPr="00685963" w:rsidRDefault="00685963">
      <w:pPr>
        <w:pStyle w:val="ListParagraph"/>
        <w:numPr>
          <w:ilvl w:val="0"/>
          <w:numId w:val="14"/>
        </w:numPr>
        <w:ind w:right="360"/>
        <w:jc w:val="both"/>
      </w:pPr>
      <w:r w:rsidRPr="00685963">
        <w:t>Develop and execute an outreach plan to engage LGBTQ youth and community partners.</w:t>
      </w:r>
    </w:p>
    <w:p w14:paraId="3AFE7680" w14:textId="77777777" w:rsidR="00685963" w:rsidRPr="00685963" w:rsidRDefault="00685963" w:rsidP="00E97E73">
      <w:pPr>
        <w:pStyle w:val="Heading3"/>
      </w:pPr>
      <w:bookmarkStart w:id="244" w:name="_Toc230277392"/>
      <w:r w:rsidRPr="00685963">
        <w:t>Introduction</w:t>
      </w:r>
      <w:bookmarkEnd w:id="244"/>
    </w:p>
    <w:p w14:paraId="4F14E5BD" w14:textId="45581AEA" w:rsidR="00685963" w:rsidRPr="00685963" w:rsidRDefault="00685963" w:rsidP="00685963">
      <w:pPr>
        <w:jc w:val="both"/>
      </w:pPr>
      <w:r w:rsidRPr="00685963">
        <w:t xml:space="preserve">MassAbility promotes equality, empowerment, and independence for individuals with disabilities. MassAbility provides programs that assist individuals with employment opportunities and training, community living support, and assistance with determining federal beneﬁts eligibility. For youth </w:t>
      </w:r>
      <w:r w:rsidR="0054417F" w:rsidRPr="00685963">
        <w:t>fourteen</w:t>
      </w:r>
      <w:r w:rsidRPr="00685963">
        <w:t xml:space="preserve"> and older, MassAbility oﬀers transition services to support high school students with pre-employment support or support for further education after high school.</w:t>
      </w:r>
    </w:p>
    <w:p w14:paraId="6FBE75C6" w14:textId="24BF3983" w:rsidR="00685963" w:rsidRPr="00685963" w:rsidRDefault="00685963" w:rsidP="00685963">
      <w:pPr>
        <w:jc w:val="both"/>
      </w:pPr>
      <w:r w:rsidRPr="00685963">
        <w:t>Research suggests that LGBTQ youth are more likely than their heterosexual and cisgender peers to identify as having a disability.</w:t>
      </w:r>
      <w:r>
        <w:rPr>
          <w:rStyle w:val="FootnoteReference"/>
        </w:rPr>
        <w:footnoteReference w:id="271"/>
      </w:r>
      <w:r w:rsidRPr="00685963">
        <w:t xml:space="preserve"> LGBTQ youth are already disproportionately more likely to face discrimination and exclusion from services and employment; for youth with disabilities, these experiences can be compounded further by ableism, discrimination, and stigma. Furthermore, LGBTQ community spaces are often inaccessible for youth with disabilities, lacking accessible bathrooms, translation and/or captioning services, and can be overly stimulating with little access to quiet spaces.</w:t>
      </w:r>
    </w:p>
    <w:p w14:paraId="78B91F44" w14:textId="77777777" w:rsidR="00685963" w:rsidRPr="00685963" w:rsidRDefault="00685963" w:rsidP="00685963">
      <w:pPr>
        <w:jc w:val="both"/>
      </w:pPr>
      <w:r w:rsidRPr="00685963">
        <w:t xml:space="preserve">Ensuring that MassAbility services are appropriately inclusive and accessible is critical to making sure that all LGBTQ youth in the Commonwealth </w:t>
      </w:r>
      <w:proofErr w:type="gramStart"/>
      <w:r w:rsidRPr="00685963">
        <w:t>have the opportunity to</w:t>
      </w:r>
      <w:proofErr w:type="gramEnd"/>
      <w:r w:rsidRPr="00685963">
        <w:t xml:space="preserve"> thrive.</w:t>
      </w:r>
    </w:p>
    <w:p w14:paraId="70F17B19" w14:textId="77777777" w:rsidR="00685963" w:rsidRPr="00685963" w:rsidRDefault="00685963" w:rsidP="00E97E73">
      <w:pPr>
        <w:pStyle w:val="Heading3"/>
      </w:pPr>
      <w:bookmarkStart w:id="245" w:name="_Toc230277393"/>
      <w:r w:rsidRPr="00685963">
        <w:t>Past &amp; Ongoing Work</w:t>
      </w:r>
      <w:bookmarkEnd w:id="245"/>
    </w:p>
    <w:p w14:paraId="7B0C509C" w14:textId="77777777" w:rsidR="00685963" w:rsidRPr="00685963" w:rsidRDefault="00685963" w:rsidP="00685963">
      <w:pPr>
        <w:jc w:val="both"/>
      </w:pPr>
      <w:r w:rsidRPr="00685963">
        <w:t>In recent years, MassAbility has shared with the Commission that it has continued to make progress on some of the recommendations, particularly in through its training opportunities for staff and the creation of its LGBTQ+ &amp; Allies Employee Resource Group (ERG). In 2020, MassAbility incorporated a nonbinary gender marker option into their MassAbility Connect online application, and in 2024, updated its intake forms to include spaces for pronouns and chosen name.</w:t>
      </w:r>
    </w:p>
    <w:p w14:paraId="227D6B7B" w14:textId="6667F0F0" w:rsidR="00685963" w:rsidRPr="00685963" w:rsidRDefault="00685963" w:rsidP="00E97E73">
      <w:pPr>
        <w:pStyle w:val="Heading3"/>
      </w:pPr>
      <w:bookmarkStart w:id="246" w:name="_Toc230277394"/>
      <w:r w:rsidRPr="00685963">
        <w:lastRenderedPageBreak/>
        <w:t>FY 2027 Recommendations to MassAbility</w:t>
      </w:r>
      <w:bookmarkEnd w:id="246"/>
    </w:p>
    <w:p w14:paraId="40911C6F" w14:textId="483C8EE1" w:rsidR="00685963" w:rsidRPr="00685963" w:rsidRDefault="00BF5B9D" w:rsidP="00B7107C">
      <w:pPr>
        <w:pStyle w:val="Heading5"/>
      </w:pPr>
      <w:r>
        <w:t xml:space="preserve">1| </w:t>
      </w:r>
      <w:r w:rsidR="00685963" w:rsidRPr="00685963">
        <w:t>Create a comprehensive nondiscrimination and inclusion policy for LGBTQ clients.</w:t>
      </w:r>
    </w:p>
    <w:p w14:paraId="19FCA47F" w14:textId="77777777" w:rsidR="00685963" w:rsidRPr="00685963" w:rsidRDefault="00685963" w:rsidP="00685963">
      <w:pPr>
        <w:jc w:val="both"/>
      </w:pPr>
      <w:r w:rsidRPr="00685963">
        <w:t>The Commission continues to recommend that MassAbility revises its informal nondiscrimination statement, created by its LGBTQ+ &amp; Allies ERG now several years ago, into a formal nondiscrimination policy for the agency. As of its January 2026 meeting with the Commission, MassAbility had no updates on progress towards fulﬁlling this recommendation. MassAbility should further undertake an agency-wide policy and practice review in collaboration with its LGBTQ+ &amp; Allies ERG. Such a review should analyze the integration of LGBTQ-aﬃrming language in existing policies, as well as incorporate best practices for supporting LGBTQ youth who have disabilities with safe and aﬃrming employment opportunities.</w:t>
      </w:r>
    </w:p>
    <w:p w14:paraId="0C3F4B45" w14:textId="63A705C2" w:rsidR="00685963" w:rsidRPr="00685963" w:rsidRDefault="00BF5B9D" w:rsidP="00B7107C">
      <w:pPr>
        <w:pStyle w:val="Heading5"/>
      </w:pPr>
      <w:r>
        <w:t xml:space="preserve">2| </w:t>
      </w:r>
      <w:r w:rsidR="00685963" w:rsidRPr="00685963">
        <w:t>Facilitate mandatory LGBTQ cultural awareness trainings, and oﬀer recurring skills building opportunities for staﬀ.</w:t>
      </w:r>
    </w:p>
    <w:p w14:paraId="73375335" w14:textId="07D1B369" w:rsidR="00685963" w:rsidRPr="00685963" w:rsidRDefault="00685963" w:rsidP="00685963">
      <w:pPr>
        <w:jc w:val="both"/>
      </w:pPr>
      <w:r w:rsidRPr="00685963">
        <w:t xml:space="preserve">MassAbility currently offers training opportunities to support staff in developing cultural competency and improving service delivery for diverse populations. The Commission recommends that MassAbility continue to facilitate mandatory LGBTQ cultural awareness trainings for all staff, and establish ongoing, recurring opportunities for skills-building that move beyond introductory concepts. These trainings should prioritize an intersectional approach that includes racial equity and </w:t>
      </w:r>
      <w:r w:rsidR="00B443A2" w:rsidRPr="00685963">
        <w:t>adultism and</w:t>
      </w:r>
      <w:r w:rsidRPr="00685963">
        <w:t xml:space="preserve"> should equip staff with practical tools to effectively support LGBTQ youth and young adults, including those navigating multiple systems of care. In addition, the Commission encourages MassAbility to ensure that trainings are consistently implemented across all regions and roles, with clear expectations, evaluation mechanisms, and opportunities for staff to deepen their knowledge over time. </w:t>
      </w:r>
    </w:p>
    <w:p w14:paraId="2C7FFA7D" w14:textId="07B8F9CB" w:rsidR="00685963" w:rsidRPr="00685963" w:rsidRDefault="00BF5B9D" w:rsidP="00B7107C">
      <w:pPr>
        <w:pStyle w:val="Heading5"/>
      </w:pPr>
      <w:r>
        <w:t xml:space="preserve">3| </w:t>
      </w:r>
      <w:r w:rsidR="00685963" w:rsidRPr="00685963">
        <w:t>Develop and execute an outreach plan to engage LGBTQ youth and community partners.</w:t>
      </w:r>
    </w:p>
    <w:p w14:paraId="12BE8D58" w14:textId="5546E56E" w:rsidR="00685963" w:rsidRPr="00685963" w:rsidRDefault="00685963" w:rsidP="00685963">
      <w:pPr>
        <w:jc w:val="both"/>
      </w:pPr>
      <w:r w:rsidRPr="00685963">
        <w:t>The Commission continues to recommend that MassAbility prioritize developing a community outreach plan to build stronger connections with LGBTQ youth-focused organizations across the Commonwealth. Given MassAbility’s services, the Commission strongly recommends that it prioritizes developing an outreach plan to engage LGBTQ youth in need of MassAbility services, while simultaneously soliciting feedback about whether youth feel that MassAbility’s services are aﬃrming and helpful. By establishing stronger relationships with LGBTQ youth-serving organizations, MassAbility can build its own network, as well as help support the capacity of community organizations working with youth in need of services.</w:t>
      </w:r>
    </w:p>
    <w:p w14:paraId="2C6B443E" w14:textId="60A232CF" w:rsidR="00685963" w:rsidRPr="00E44F63" w:rsidRDefault="00685963" w:rsidP="00685963">
      <w:pPr>
        <w:jc w:val="both"/>
        <w:rPr>
          <w:b/>
          <w:bCs/>
          <w:i/>
          <w:iCs/>
          <w:color w:val="864EA8" w:themeColor="accent1" w:themeShade="BF"/>
        </w:rPr>
      </w:pPr>
      <w:r w:rsidRPr="00E44F63">
        <w:rPr>
          <w:b/>
          <w:bCs/>
          <w:i/>
          <w:iCs/>
          <w:color w:val="864EA8" w:themeColor="accent1" w:themeShade="BF"/>
        </w:rPr>
        <w:t xml:space="preserve">Acknowledgments: The Commission </w:t>
      </w:r>
      <w:r w:rsidR="004F6E0A" w:rsidRPr="00E44F63">
        <w:rPr>
          <w:b/>
          <w:bCs/>
          <w:i/>
          <w:iCs/>
          <w:color w:val="864EA8" w:themeColor="accent1" w:themeShade="BF"/>
        </w:rPr>
        <w:t>thanks</w:t>
      </w:r>
      <w:r w:rsidRPr="00E44F63">
        <w:rPr>
          <w:b/>
          <w:bCs/>
          <w:i/>
          <w:iCs/>
          <w:color w:val="864EA8" w:themeColor="accent1" w:themeShade="BF"/>
        </w:rPr>
        <w:t xml:space="preserve"> the contributions of its MassAbility liaisons.</w:t>
      </w:r>
    </w:p>
    <w:p w14:paraId="2B5B20D6" w14:textId="2A25D990" w:rsidR="00685963" w:rsidRPr="00685963" w:rsidRDefault="00685963" w:rsidP="00B7107C">
      <w:pPr>
        <w:pStyle w:val="Heading2"/>
        <w:rPr>
          <w:i/>
          <w:iCs/>
          <w:color w:val="AD84C6" w:themeColor="accent1"/>
        </w:rPr>
      </w:pPr>
      <w:bookmarkStart w:id="247" w:name="_Toc230277112"/>
      <w:bookmarkStart w:id="248" w:name="_Toc230277395"/>
      <w:bookmarkStart w:id="249" w:name="_Toc230355494"/>
      <w:r w:rsidRPr="00685963">
        <w:lastRenderedPageBreak/>
        <w:t>MassHealth</w:t>
      </w:r>
      <w:bookmarkEnd w:id="247"/>
      <w:bookmarkEnd w:id="248"/>
      <w:bookmarkEnd w:id="249"/>
    </w:p>
    <w:p w14:paraId="62077E04" w14:textId="77777777" w:rsidR="00685963" w:rsidRPr="00685963" w:rsidRDefault="00685963">
      <w:pPr>
        <w:pStyle w:val="ListParagraph"/>
        <w:numPr>
          <w:ilvl w:val="0"/>
          <w:numId w:val="15"/>
        </w:numPr>
        <w:spacing w:line="240" w:lineRule="auto"/>
        <w:ind w:right="360"/>
        <w:jc w:val="both"/>
      </w:pPr>
      <w:r w:rsidRPr="00685963">
        <w:t>Review MassHealth policies and guidelines to increase access to gender-affirming care and reduce health disparities among LGBTQ communities and communities of color.</w:t>
      </w:r>
    </w:p>
    <w:p w14:paraId="547A5C35" w14:textId="77777777" w:rsidR="00685963" w:rsidRPr="00685963" w:rsidRDefault="00685963">
      <w:pPr>
        <w:pStyle w:val="ListParagraph"/>
        <w:numPr>
          <w:ilvl w:val="0"/>
          <w:numId w:val="15"/>
        </w:numPr>
        <w:spacing w:line="240" w:lineRule="auto"/>
        <w:ind w:right="360"/>
        <w:jc w:val="both"/>
      </w:pPr>
      <w:r w:rsidRPr="00685963">
        <w:t>Collaborate with the Commission to expand training programs to all workers and supervisors on issues that affect LGBTQ youth and young adults.</w:t>
      </w:r>
    </w:p>
    <w:p w14:paraId="753047A6" w14:textId="77777777" w:rsidR="00685963" w:rsidRPr="00685963" w:rsidRDefault="00685963">
      <w:pPr>
        <w:pStyle w:val="ListParagraph"/>
        <w:numPr>
          <w:ilvl w:val="0"/>
          <w:numId w:val="15"/>
        </w:numPr>
        <w:spacing w:line="240" w:lineRule="auto"/>
        <w:ind w:right="360"/>
        <w:jc w:val="both"/>
      </w:pPr>
      <w:r w:rsidRPr="00685963">
        <w:t>Improve interagency work to support “warm hand-offs” for transition-aged youth attempting to access services in partnership with other youth-serving state agencies to ensure that the health needs of LGBTQ youth are being met.</w:t>
      </w:r>
    </w:p>
    <w:p w14:paraId="5839A8CF" w14:textId="77777777" w:rsidR="00685963" w:rsidRPr="00685963" w:rsidRDefault="00685963" w:rsidP="00E97E73">
      <w:pPr>
        <w:pStyle w:val="Heading3"/>
      </w:pPr>
      <w:bookmarkStart w:id="250" w:name="_Toc230277396"/>
      <w:r w:rsidRPr="00685963">
        <w:t>Introduction</w:t>
      </w:r>
      <w:bookmarkEnd w:id="250"/>
    </w:p>
    <w:p w14:paraId="370DF0A1" w14:textId="30B68CCE" w:rsidR="00685963" w:rsidRPr="00685963" w:rsidRDefault="00685963" w:rsidP="00685963">
      <w:pPr>
        <w:jc w:val="both"/>
      </w:pPr>
      <w:r w:rsidRPr="00685963">
        <w:t xml:space="preserve">MassHealth is the Medicaid and Children's Health Insurance Program (CHIP) for the Commonwealth of Massachusetts. It provides comprehensive health and dental coverage to eligible low- and moderate-income individuals and families, including children, pregnant people, parents, seniors, and people with disabilities. As MassHealth seeks to elevate LGBTQ health as a priority within the agency, agency leadership must take steps to expand these services and understand the current landscape of LGBTQ health. The Commission recommends several initiatives that involve not just a systematic analysis and revamping of what MassHealth </w:t>
      </w:r>
      <w:r w:rsidR="00B443A2" w:rsidRPr="00685963">
        <w:t>covers but</w:t>
      </w:r>
      <w:r w:rsidRPr="00685963">
        <w:t xml:space="preserve"> also discerning how to make this coverage more accessible to all LGBTQ populations. </w:t>
      </w:r>
    </w:p>
    <w:p w14:paraId="2CD52BC1" w14:textId="77777777" w:rsidR="00685963" w:rsidRPr="00685963" w:rsidRDefault="00685963" w:rsidP="00E97E73">
      <w:pPr>
        <w:pStyle w:val="Heading3"/>
      </w:pPr>
      <w:bookmarkStart w:id="251" w:name="_Toc230277397"/>
      <w:r w:rsidRPr="00685963">
        <w:t>Past &amp; Ongoing Work</w:t>
      </w:r>
      <w:bookmarkEnd w:id="251"/>
    </w:p>
    <w:p w14:paraId="08FC47BC" w14:textId="77777777" w:rsidR="00685963" w:rsidRPr="00685963" w:rsidRDefault="00685963" w:rsidP="00685963">
      <w:pPr>
        <w:jc w:val="both"/>
      </w:pPr>
      <w:r w:rsidRPr="00685963">
        <w:t>The Commission commends MassHealth for the steps it has taken in recent years to fulﬁll the Commission’s recommendations, including expanding access to its gender-affirming services, and establishing a commitment to increasing internal trainings on LGBTQ-aﬃrming care for its staﬀ.</w:t>
      </w:r>
    </w:p>
    <w:p w14:paraId="5158A8C0" w14:textId="77777777" w:rsidR="00685963" w:rsidRPr="00685963" w:rsidRDefault="00685963" w:rsidP="00E97E73">
      <w:pPr>
        <w:pStyle w:val="Heading3"/>
      </w:pPr>
      <w:bookmarkStart w:id="252" w:name="_Toc230277398"/>
      <w:r w:rsidRPr="00685963">
        <w:t>FY 2027 Recommendations to MassHealth</w:t>
      </w:r>
      <w:bookmarkEnd w:id="252"/>
    </w:p>
    <w:p w14:paraId="514EA318" w14:textId="34F3B747" w:rsidR="00685963" w:rsidRPr="00685963" w:rsidRDefault="00BF5B9D" w:rsidP="00B7107C">
      <w:pPr>
        <w:pStyle w:val="Heading5"/>
      </w:pPr>
      <w:r>
        <w:t xml:space="preserve">1| </w:t>
      </w:r>
      <w:r w:rsidR="00685963" w:rsidRPr="00685963">
        <w:t>Continue to review MassHealth policies and guidelines to increase access to gender-affirming care and reduce health disparities among LGBTQ communities and communities of color.</w:t>
      </w:r>
    </w:p>
    <w:p w14:paraId="50D3A549" w14:textId="77777777" w:rsidR="00685963" w:rsidRPr="00685963" w:rsidRDefault="00685963" w:rsidP="00685963">
      <w:pPr>
        <w:jc w:val="both"/>
      </w:pPr>
      <w:r w:rsidRPr="00685963">
        <w:t xml:space="preserve">The Commission recommends that MassHealth continues to review its internal policies and guidelines to increase access to gender-affirming care, and to reduce health disparities among LGBTQ and BIPOC communities. Furthermore, the Commission continues to recommend that MassHealth adopt a comprehensive policy on expanding healthcare access and trauma-informed care to transgender communities. It should address eliminating anti-LGBTQ discrimination from healthcare and beneﬁts practices, as well as mandate trainings for LGBTQ competency, and the creation of an employee handbook on LGBTQ resources and topics. In FY 2026, MassHealth </w:t>
      </w:r>
      <w:r w:rsidRPr="00685963">
        <w:lastRenderedPageBreak/>
        <w:t>shared that it is working on clarifying its hair removal policy - which includes electrolysis and laser hair removal - after receiving updates from providers that the policy was in some parts confusing. MassHealth has shared in the past that it is difficult to find providers for electrolysis; these providers are also not enrolled provider types, which can inhibit access for MassHealth clients.</w:t>
      </w:r>
    </w:p>
    <w:p w14:paraId="6278CBFE" w14:textId="5F0F4487" w:rsidR="00685963" w:rsidRPr="00685963" w:rsidRDefault="00BF5B9D" w:rsidP="00B7107C">
      <w:pPr>
        <w:pStyle w:val="Heading5"/>
      </w:pPr>
      <w:r>
        <w:t xml:space="preserve">2| </w:t>
      </w:r>
      <w:r w:rsidR="00685963" w:rsidRPr="00685963">
        <w:t>Collaborate with the Commission to expand training programs to all workers and supervisors on issues that aﬀect LGBTQ youth and young adults.</w:t>
      </w:r>
    </w:p>
    <w:p w14:paraId="4F36AD62" w14:textId="77777777" w:rsidR="00685963" w:rsidRPr="00685963" w:rsidRDefault="00685963" w:rsidP="00685963">
      <w:pPr>
        <w:jc w:val="both"/>
      </w:pPr>
      <w:r w:rsidRPr="00685963">
        <w:t xml:space="preserve">The Commission recommends that MassHealth continue to strengthen and expand its training offerings to staff and providers around LGBTQ cultural engagement, with particular focus on LGBTQ-affirming health care and working with gender expansive youth. The Commission recognizes that MassHealth operates primarily as a </w:t>
      </w:r>
      <w:proofErr w:type="spellStart"/>
      <w:r w:rsidRPr="00685963">
        <w:t>payer</w:t>
      </w:r>
      <w:proofErr w:type="spellEnd"/>
      <w:r w:rsidRPr="00685963">
        <w:t xml:space="preserve"> and has limited authority to mandate training across its provider network. However, MassHealth can play a critical role in promoting access to high-quality training resources, encouraging participation through existing provider communications and networks, and collaborating with the Executive Office of Health and Human Services (EOHHS) to support broader staff training efforts where applicable. As part of this process, MassHealth should conduct a training audit to better understand past training offerings, identify gaps, and explore opportunities to strengthen services based on patient feedback. In FY 2026, MassHealth shared that an LGBTQ-focused training was added to the Behavioral Health Workforce Training Clearinghouse. </w:t>
      </w:r>
    </w:p>
    <w:p w14:paraId="7FA667D5" w14:textId="79924583" w:rsidR="00685963" w:rsidRPr="00685963" w:rsidRDefault="00BF5B9D" w:rsidP="00B7107C">
      <w:pPr>
        <w:pStyle w:val="Heading5"/>
      </w:pPr>
      <w:r>
        <w:t xml:space="preserve">3| </w:t>
      </w:r>
      <w:r w:rsidR="00685963" w:rsidRPr="00685963">
        <w:t>Improve interagency work to support “warm hand-oﬀs” for transition-aged youth attempting to access services in partnership with other youth-serving state agencies to ensure that the health needs of LGBTQ youth are being met.</w:t>
      </w:r>
    </w:p>
    <w:p w14:paraId="2DEA516A" w14:textId="77777777" w:rsidR="00685963" w:rsidRPr="00685963" w:rsidRDefault="00685963" w:rsidP="00685963">
      <w:pPr>
        <w:jc w:val="both"/>
      </w:pPr>
      <w:r w:rsidRPr="00685963">
        <w:t>Over the course of this annual report, the Commission has detailed the necessity of youth-serving state entities collaborating on a macro-level to ensure that the needs of youth are not following through systemic cracks. MassHealth notes that it has previously collaborated with numerous youth-serving state agencies, including DCF, DMH, DTA, and DYS, to develop a Housing Stabilization and Support Program (HSSP) for DCF-Involved Youth and Young Adults, which works to provide youth-centered strategies to support transition-aged youth gain access to services. Within this program, approximately 13-15% of the youth being served by the program so far have identiﬁed as LGBTQ. In FY 2026, MassHealth shared that it has published a “Moving to Adult Healthcare” resource on its website.</w:t>
      </w:r>
    </w:p>
    <w:p w14:paraId="11420CE1" w14:textId="76810926" w:rsidR="00685963" w:rsidRPr="00685963" w:rsidRDefault="00685963" w:rsidP="00685963">
      <w:pPr>
        <w:jc w:val="both"/>
      </w:pPr>
      <w:r w:rsidRPr="00685963">
        <w:t xml:space="preserve">MassHealth actively engages in cross-agency partnerships to strengthen care coordination and improve health outcomes across the Commonwealth - these collaborations include joint eﬀorts with other state agencies to enhance behavioral health services. MassHealth also works closely with partners to support the implementation of new federal policies aimed at improving care and transitions for justice-involved populations. Additionally, the agency collaborates on initiatives to </w:t>
      </w:r>
      <w:r w:rsidRPr="00685963">
        <w:lastRenderedPageBreak/>
        <w:t>better coordinate care for children with special health needs, ensuring more comprehensive and integrated support across systems. Overall, the Commission recommends that MassHealth explore increasing its collaboration with other youth-serving state agencies to better understand the needs and gaps in service provision for transition-aged youth in a way that solicits feedback and engages with youth and providers, with particular attention to Western Massachusetts and Cape regions. MassHealth should additionally seek opportunities to disseminate its resources to community members across the state, such as its resources for children and families, as well as gender-affirming care information.</w:t>
      </w:r>
    </w:p>
    <w:p w14:paraId="2DF4BE26" w14:textId="6DB5743A" w:rsidR="00685963" w:rsidRPr="00E44F63" w:rsidRDefault="00685963" w:rsidP="00685963">
      <w:pPr>
        <w:jc w:val="both"/>
        <w:rPr>
          <w:b/>
          <w:bCs/>
          <w:i/>
          <w:iCs/>
          <w:color w:val="864EA8" w:themeColor="accent1" w:themeShade="BF"/>
        </w:rPr>
      </w:pPr>
      <w:r w:rsidRPr="00E44F63">
        <w:rPr>
          <w:b/>
          <w:bCs/>
          <w:i/>
          <w:iCs/>
          <w:color w:val="864EA8" w:themeColor="accent1" w:themeShade="BF"/>
        </w:rPr>
        <w:t xml:space="preserve">Acknowledgments: The Commission </w:t>
      </w:r>
      <w:r w:rsidR="004F6E0A" w:rsidRPr="00E44F63">
        <w:rPr>
          <w:b/>
          <w:bCs/>
          <w:i/>
          <w:iCs/>
          <w:color w:val="864EA8" w:themeColor="accent1" w:themeShade="BF"/>
        </w:rPr>
        <w:t>appreciates</w:t>
      </w:r>
      <w:r w:rsidRPr="00E44F63">
        <w:rPr>
          <w:b/>
          <w:bCs/>
          <w:i/>
          <w:iCs/>
          <w:color w:val="864EA8" w:themeColor="accent1" w:themeShade="BF"/>
        </w:rPr>
        <w:t xml:space="preserve"> the contributions of its MassHealth liaisons.</w:t>
      </w:r>
    </w:p>
    <w:p w14:paraId="721F8BBA" w14:textId="77777777" w:rsidR="00685963" w:rsidRPr="00E44F63" w:rsidRDefault="00685963">
      <w:pPr>
        <w:rPr>
          <w:b/>
          <w:bCs/>
          <w:i/>
          <w:iCs/>
          <w:color w:val="864EA8" w:themeColor="accent1" w:themeShade="BF"/>
        </w:rPr>
      </w:pPr>
      <w:r w:rsidRPr="00E44F63">
        <w:rPr>
          <w:b/>
          <w:bCs/>
          <w:i/>
          <w:iCs/>
          <w:color w:val="864EA8" w:themeColor="accent1" w:themeShade="BF"/>
        </w:rPr>
        <w:br w:type="page"/>
      </w:r>
    </w:p>
    <w:p w14:paraId="38F7B9CB" w14:textId="77777777" w:rsidR="0005607E" w:rsidRPr="0005607E" w:rsidRDefault="0005607E" w:rsidP="00B7107C">
      <w:pPr>
        <w:pStyle w:val="Heading2"/>
      </w:pPr>
      <w:bookmarkStart w:id="253" w:name="_Toc230277113"/>
      <w:bookmarkStart w:id="254" w:name="_Toc230277399"/>
      <w:bookmarkStart w:id="255" w:name="_Toc230355495"/>
      <w:r w:rsidRPr="0005607E">
        <w:lastRenderedPageBreak/>
        <w:t>Department of Mental Health</w:t>
      </w:r>
      <w:bookmarkEnd w:id="253"/>
      <w:bookmarkEnd w:id="254"/>
      <w:bookmarkEnd w:id="255"/>
    </w:p>
    <w:p w14:paraId="129F7711" w14:textId="77777777" w:rsidR="0005607E" w:rsidRPr="0005607E" w:rsidRDefault="0005607E">
      <w:pPr>
        <w:pStyle w:val="ListParagraph"/>
        <w:numPr>
          <w:ilvl w:val="0"/>
          <w:numId w:val="10"/>
        </w:numPr>
        <w:spacing w:line="240" w:lineRule="auto"/>
        <w:ind w:right="360"/>
        <w:jc w:val="both"/>
      </w:pPr>
      <w:r w:rsidRPr="0005607E">
        <w:t>Improve collaboration with LGBTQ youth groups to uplift youth voice in DMH initiatives.</w:t>
      </w:r>
    </w:p>
    <w:p w14:paraId="0AA7843F" w14:textId="77777777" w:rsidR="0005607E" w:rsidRPr="0005607E" w:rsidRDefault="0005607E">
      <w:pPr>
        <w:pStyle w:val="ListParagraph"/>
        <w:numPr>
          <w:ilvl w:val="0"/>
          <w:numId w:val="10"/>
        </w:numPr>
        <w:spacing w:line="240" w:lineRule="auto"/>
        <w:ind w:right="360"/>
        <w:jc w:val="both"/>
      </w:pPr>
      <w:r w:rsidRPr="0005607E">
        <w:t>Develop accessible, trauma-informed mental health resources and programs for QTBIPOC youth and LGBTQ immigrant youth.</w:t>
      </w:r>
    </w:p>
    <w:p w14:paraId="578919C9" w14:textId="77777777" w:rsidR="0005607E" w:rsidRPr="0005607E" w:rsidRDefault="0005607E">
      <w:pPr>
        <w:pStyle w:val="ListParagraph"/>
        <w:numPr>
          <w:ilvl w:val="0"/>
          <w:numId w:val="10"/>
        </w:numPr>
        <w:spacing w:line="240" w:lineRule="auto"/>
        <w:ind w:right="360"/>
        <w:jc w:val="both"/>
      </w:pPr>
      <w:r w:rsidRPr="0005607E">
        <w:t>Continue to explore ways to collect comprehensive SOGI data.</w:t>
      </w:r>
    </w:p>
    <w:p w14:paraId="41AF1700" w14:textId="77777777" w:rsidR="0005607E" w:rsidRPr="0005607E" w:rsidRDefault="0005607E">
      <w:pPr>
        <w:pStyle w:val="ListParagraph"/>
        <w:numPr>
          <w:ilvl w:val="0"/>
          <w:numId w:val="10"/>
        </w:numPr>
        <w:spacing w:line="240" w:lineRule="auto"/>
        <w:ind w:right="360"/>
        <w:jc w:val="both"/>
      </w:pPr>
      <w:r w:rsidRPr="0005607E">
        <w:t>Facilitate trainings on LGBTQ cultural awareness and racial equity, with particular attention to youth and access to affirming care.</w:t>
      </w:r>
    </w:p>
    <w:p w14:paraId="751232D0" w14:textId="77777777" w:rsidR="0005607E" w:rsidRPr="0005607E" w:rsidRDefault="0005607E">
      <w:pPr>
        <w:pStyle w:val="ListParagraph"/>
        <w:numPr>
          <w:ilvl w:val="0"/>
          <w:numId w:val="10"/>
        </w:numPr>
        <w:spacing w:line="240" w:lineRule="auto"/>
        <w:ind w:right="360"/>
        <w:jc w:val="both"/>
      </w:pPr>
      <w:r w:rsidRPr="0005607E">
        <w:t>Explore opportunities to implement a caregiver education training to support LGBTQ youth and families involved in DMH services.</w:t>
      </w:r>
    </w:p>
    <w:p w14:paraId="56345145" w14:textId="77777777" w:rsidR="0005607E" w:rsidRPr="0005607E" w:rsidRDefault="0005607E">
      <w:pPr>
        <w:pStyle w:val="ListParagraph"/>
        <w:numPr>
          <w:ilvl w:val="0"/>
          <w:numId w:val="10"/>
        </w:numPr>
        <w:spacing w:line="240" w:lineRule="auto"/>
        <w:ind w:right="360"/>
        <w:jc w:val="both"/>
      </w:pPr>
      <w:r w:rsidRPr="0005607E">
        <w:t>Continue to collaborate with youth-serving agencies to develop clear guidance and instructions on how to ensure that youth transitioning between state systems are receiving needed services and resources.</w:t>
      </w:r>
    </w:p>
    <w:p w14:paraId="301E99B6" w14:textId="77777777" w:rsidR="0005607E" w:rsidRPr="0005607E" w:rsidRDefault="0005607E" w:rsidP="00E97E73">
      <w:pPr>
        <w:pStyle w:val="Heading3"/>
      </w:pPr>
      <w:bookmarkStart w:id="256" w:name="_Toc230277400"/>
      <w:r w:rsidRPr="0005607E">
        <w:t>Introduction</w:t>
      </w:r>
      <w:bookmarkEnd w:id="256"/>
    </w:p>
    <w:p w14:paraId="20FBA633" w14:textId="4D35D463" w:rsidR="0005607E" w:rsidRPr="0005607E" w:rsidRDefault="0005607E" w:rsidP="00685963">
      <w:pPr>
        <w:jc w:val="both"/>
      </w:pPr>
      <w:r w:rsidRPr="0005607E">
        <w:t xml:space="preserve">The Department of Mental Health (DMH) is tasked with providing access to services and support for the mental health needs of individuals of all ages in Massachusetts. DMH oversees </w:t>
      </w:r>
      <w:r w:rsidR="004F6E0A" w:rsidRPr="0005607E">
        <w:t>several</w:t>
      </w:r>
      <w:r w:rsidRPr="0005607E">
        <w:t xml:space="preserve"> programs and initiatives that directly and indirectly aﬀect LGBTQ youth, including residential placements and the Transitional Age Youth (TAY) Initiative.</w:t>
      </w:r>
    </w:p>
    <w:p w14:paraId="7123A626" w14:textId="14C785EB" w:rsidR="0005607E" w:rsidRPr="0005607E" w:rsidRDefault="0005607E" w:rsidP="00685963">
      <w:pPr>
        <w:jc w:val="both"/>
      </w:pPr>
      <w:r w:rsidRPr="0005607E">
        <w:t>In the 2023 Massachusetts Community Health Equity Survey, 68.5% of queer youth, 51.1% of gay or lesbian youth, 52% of bisexual or pansexual youth, and 38.2% of asexual youth report very high levels of psychological distress – defined by feeling nervous, hopeless, restless, and/or depressed in the past 30 days - compared to only 20% of heterosexual youth. Transgender (73.2%) and nonbinary (60.2%) also report very high levels of psychological distress in the past 30 days.</w:t>
      </w:r>
      <w:r w:rsidR="007E1DD2">
        <w:rPr>
          <w:rStyle w:val="FootnoteReference"/>
        </w:rPr>
        <w:footnoteReference w:id="272"/>
      </w:r>
    </w:p>
    <w:p w14:paraId="7FAA05C6" w14:textId="5F2CE79D" w:rsidR="0005607E" w:rsidRPr="0005607E" w:rsidRDefault="0005607E" w:rsidP="00685963">
      <w:pPr>
        <w:jc w:val="both"/>
      </w:pPr>
      <w:r w:rsidRPr="0005607E">
        <w:t xml:space="preserve">Additionally, the 2024 Trevor Project report showed that 42% - a slight decrease from the 2022 report - of Massachusetts LGBTQ youth who wanted mental health care in the past year did not receive care. Concerningly, 68% of youth respondents reported experiencing symptoms of anxiety, and 50% reported symptoms of depression; 39% of LGBTQ youth have seriously considered suicide in the past year, with 11% of youth attempting suicide in the past year. Statistics are even more concerning of transgender and nonbinary youth, who face higher rates of mistreatment and stigmatization across the nation; 73% of transgender and nonbinary youth </w:t>
      </w:r>
      <w:r w:rsidRPr="0005607E">
        <w:lastRenderedPageBreak/>
        <w:t>report symptoms of anxiety, 50% of depression, 47% of suicidal ideation, and 14% having attempted suicide in the past year. Respondents to the Trevor Project survey noted several reasons for not being able to access mental health care, including being afraid to discuss their mental health concerns, and not being able to get their caregiver’s permission.</w:t>
      </w:r>
      <w:r w:rsidR="007E1DD2">
        <w:rPr>
          <w:rStyle w:val="FootnoteReference"/>
        </w:rPr>
        <w:footnoteReference w:id="273"/>
      </w:r>
      <w:r w:rsidRPr="0005607E">
        <w:t xml:space="preserve"> The Commission is incredibly concerned about the state of well-being for youth in the Commonwealth, particularly for often underserved QTBIPOC communities and youth in state systems.</w:t>
      </w:r>
    </w:p>
    <w:p w14:paraId="38AC7471" w14:textId="6B5F9830" w:rsidR="0005607E" w:rsidRPr="0005607E" w:rsidRDefault="0005607E" w:rsidP="00685963">
      <w:pPr>
        <w:jc w:val="both"/>
      </w:pPr>
      <w:r w:rsidRPr="0005607E">
        <w:t xml:space="preserve">The Commission sincerely appreciates DMH’s ongoing commitment to oﬀering greater support and services for LGBTQ youth across the </w:t>
      </w:r>
      <w:r w:rsidR="00B443A2" w:rsidRPr="0005607E">
        <w:t>state and</w:t>
      </w:r>
      <w:r w:rsidRPr="0005607E">
        <w:t xml:space="preserve"> looks forward to continuing its collaboration with DMH in FY 2027.</w:t>
      </w:r>
    </w:p>
    <w:p w14:paraId="4AFBE21A" w14:textId="77777777" w:rsidR="0005607E" w:rsidRPr="0005607E" w:rsidRDefault="0005607E" w:rsidP="00E97E73">
      <w:pPr>
        <w:pStyle w:val="Heading3"/>
      </w:pPr>
      <w:bookmarkStart w:id="257" w:name="_Toc230277401"/>
      <w:r w:rsidRPr="0005607E">
        <w:t>Past &amp; Ongoing Work</w:t>
      </w:r>
      <w:bookmarkEnd w:id="257"/>
    </w:p>
    <w:p w14:paraId="3C1DCB20" w14:textId="77777777" w:rsidR="0005607E" w:rsidRPr="0005607E" w:rsidRDefault="0005607E" w:rsidP="00685963">
      <w:pPr>
        <w:jc w:val="both"/>
      </w:pPr>
      <w:r w:rsidRPr="0005607E">
        <w:t>In 2021, DMH released a comprehensive nondiscrimination policy and accompanying guidance, and has made signiﬁcant progress in training their providers on LGBTQ cultural awareness, fulﬁlling previous Commission recommendations. In early 2023, DMH’s new</w:t>
      </w:r>
      <w:hyperlink r:id="rId60" w:history="1">
        <w:r w:rsidRPr="0005607E">
          <w:rPr>
            <w:rStyle w:val="Hyperlink"/>
            <w:b/>
            <w:bCs/>
          </w:rPr>
          <w:t xml:space="preserve"> 24/7 behavioral health help line</w:t>
        </w:r>
      </w:hyperlink>
      <w:r w:rsidRPr="0005607E">
        <w:t xml:space="preserve"> which works to provide free, conﬁdential, and accessible support for individuals seeking clinical help. The Commission appreciates DMH’s explicit commitment to ensuring that the helpline provides aﬃrming services for individuals who identify as LGBTQ, BIPOC, and/or Deaf and hard of hearing, as well as individuals with disabilities or who have limited English proﬁciency. Additionally, DMH supports a wide array of community behavioral health centers that provide core clinic services, crisis services, and adult and youth community crisis stabilization services across the state. In 2023, DMH further released guidance on pronouns which provided resources, and encouraged DMH staﬀ to uphold cultures of inclusion for LGBTQ employees and clients by openly sharing their pronouns wherever possible.</w:t>
      </w:r>
    </w:p>
    <w:p w14:paraId="5E064FA2" w14:textId="77777777" w:rsidR="0005607E" w:rsidRPr="0005607E" w:rsidRDefault="0005607E" w:rsidP="007E1DD2">
      <w:pPr>
        <w:jc w:val="both"/>
      </w:pPr>
      <w:r w:rsidRPr="0005607E">
        <w:t xml:space="preserve">Finally, the Commission was pleased to learn about the ten new Young Adult Access Centers that were opened in FY 2022 and FY 2023; DMH notes that several of the access centers have begun their own LGBTQ support </w:t>
      </w:r>
      <w:proofErr w:type="gramStart"/>
      <w:r w:rsidRPr="0005607E">
        <w:t>groups, and</w:t>
      </w:r>
      <w:proofErr w:type="gramEnd"/>
      <w:r w:rsidRPr="0005607E">
        <w:t xml:space="preserve"> are designed to be peer-focused and trauma-informed, as well as have majority BIPOC, LGBTQ, and bilingual staﬀ. The spaces work to connect youth with needed services, promote leadership opportunities, and provide skills building and community support. </w:t>
      </w:r>
    </w:p>
    <w:p w14:paraId="3329DEDB" w14:textId="77777777" w:rsidR="0005607E" w:rsidRPr="0005607E" w:rsidRDefault="0005607E" w:rsidP="00E97E73">
      <w:pPr>
        <w:pStyle w:val="Heading3"/>
      </w:pPr>
      <w:bookmarkStart w:id="258" w:name="_Toc230277402"/>
      <w:r w:rsidRPr="0005607E">
        <w:lastRenderedPageBreak/>
        <w:t>FY 2027 Recommendations to the Department of Mental Health</w:t>
      </w:r>
      <w:bookmarkEnd w:id="258"/>
    </w:p>
    <w:p w14:paraId="68574BB3" w14:textId="334A1DCD" w:rsidR="0005607E" w:rsidRPr="0005607E" w:rsidRDefault="007E1DD2" w:rsidP="00B7107C">
      <w:pPr>
        <w:pStyle w:val="Heading5"/>
      </w:pPr>
      <w:r>
        <w:t xml:space="preserve">1| </w:t>
      </w:r>
      <w:r w:rsidR="0005607E" w:rsidRPr="0005607E">
        <w:t>Improve collaboration with LGBTQ youth groups to uplift youth voice in DMH initiatives.</w:t>
      </w:r>
    </w:p>
    <w:p w14:paraId="7800118D" w14:textId="77777777" w:rsidR="0005607E" w:rsidRPr="0005607E" w:rsidRDefault="0005607E" w:rsidP="007E1DD2">
      <w:pPr>
        <w:jc w:val="both"/>
      </w:pPr>
      <w:r w:rsidRPr="0005607E">
        <w:t>The Commission recommends that DMH improve its collaboration with internal and external youth groups, advisory councils, and organization to better integrate and uplift youth voice within DMH initiatives. Youth voice and participation is critical to any state initiative and program, but especially to youth-serving agencies. Far too often, the Commission hears from youth that they do not feel that their voices are being appropriately considered by agencies. Youth participating in Commission listening sessions and in the Statewide Young Adult Council (SYAC) have consistently identified a need for greater awareness of available services across the state, and an increased focus on mental health stigma, peer access, and transportation as priority concerns.</w:t>
      </w:r>
    </w:p>
    <w:p w14:paraId="35AE5445" w14:textId="77777777" w:rsidR="0005607E" w:rsidRPr="0005607E" w:rsidRDefault="0005607E" w:rsidP="007E1DD2">
      <w:pPr>
        <w:jc w:val="both"/>
      </w:pPr>
      <w:r w:rsidRPr="0005607E">
        <w:t>DMH supports the Statewide Young Adult Council (SYAC), a subcommittee of the Massachusetts State Mental Health Planning Council (SMHPC). SYAC advises DMH through SMHPC and the DMH Transitional Age Youth Initiative on mental health needs of youth and young adults aged 16-30 and is a critical network of young people informing agency policy. The Commission appreciates DMH’s continued engagement with SYAC and other youth advisory groups and recommends that the agency more clearly elevate youth-identified priorities into concrete programmatic and budgetary responses.</w:t>
      </w:r>
    </w:p>
    <w:p w14:paraId="7BE3B341" w14:textId="77777777" w:rsidR="0005607E" w:rsidRPr="0005607E" w:rsidRDefault="0005607E" w:rsidP="007E1DD2">
      <w:pPr>
        <w:jc w:val="both"/>
      </w:pPr>
      <w:r w:rsidRPr="0005607E">
        <w:t>Areas for growth include increased funding and stipends for youth advisors; expanded recruitment and retention of regionally, culturally, and racially diverse youth; subsidized transportation to ensure participation; and clearer feedback loops so that youth can better understand how their input influences policy decisions. The Commission also recommends that DMH support increased funding to the Young Adult Access Centers (YAACs), wage increases for peer support workers, and transportation supports for youth engaged in advisory or peer roles. While the Commission understands that DMH is limited in its ability to influence wages for the YAACs, DMH can encourage and support the YAACs in finding ways to improve wage and transportation reimbursement.</w:t>
      </w:r>
    </w:p>
    <w:p w14:paraId="6960BCCC" w14:textId="77777777" w:rsidR="0005607E" w:rsidRPr="0005607E" w:rsidRDefault="0005607E" w:rsidP="007E1DD2">
      <w:pPr>
        <w:jc w:val="both"/>
      </w:pPr>
      <w:r w:rsidRPr="0005607E">
        <w:t>Youth have further emphasized the need for stronger networking between service providers to ensure appropriate referrals and reduce fragmentation. The Commission recommends that DMH formalize cross-provider networking opportunities and develop clearer referral pathways, particularly for LGBTQ youth, youth experiencing homelessness, and youth navigating multiple systems.</w:t>
      </w:r>
    </w:p>
    <w:p w14:paraId="3F37C570" w14:textId="7DDCCA18" w:rsidR="0005607E" w:rsidRPr="0005607E" w:rsidRDefault="007E1DD2" w:rsidP="00B7107C">
      <w:pPr>
        <w:pStyle w:val="Heading5"/>
      </w:pPr>
      <w:r>
        <w:lastRenderedPageBreak/>
        <w:t xml:space="preserve">2| </w:t>
      </w:r>
      <w:r w:rsidR="0005607E" w:rsidRPr="0005607E">
        <w:t>Develop accessible, trauma-informed mental health resources and programs for QTBIPOC youth and LGBTQ immigrant youth.</w:t>
      </w:r>
    </w:p>
    <w:p w14:paraId="599E1FAB" w14:textId="77777777" w:rsidR="0005607E" w:rsidRPr="0005607E" w:rsidRDefault="0005607E" w:rsidP="007E1DD2">
      <w:pPr>
        <w:jc w:val="both"/>
      </w:pPr>
      <w:r w:rsidRPr="0005607E">
        <w:t>Since FY 2024, the Commission has strongly recommended that DMH partner with other state agencies and community-based organizations serving LGBTQ youth to address significant service gaps, particularly for youth who do not have English as a first language or who face barriers to affirming care. </w:t>
      </w:r>
    </w:p>
    <w:p w14:paraId="2231D5FD" w14:textId="77777777" w:rsidR="0005607E" w:rsidRPr="0005607E" w:rsidRDefault="0005607E" w:rsidP="007E1DD2">
      <w:pPr>
        <w:jc w:val="both"/>
      </w:pPr>
      <w:r w:rsidRPr="0005607E">
        <w:t>Youth have consistently identified a lack of culturally competent and affirming services as a primary barrier to accessing care. The Commission recommends that DMH more clearly define and operationalize what LGBTQ-affirming mental health care looks like in practice, including: use of correct names and pronouns; trauma-informed approaches; recognition of intersectional identities; culturally responsive treatment models; and explicit efforts to address stigma, including stigma shaped by cultural differences. Youth also identified the need for broader community education campaigns to address mental health stigma, particularly for BIPOC youth, and to combat misinformation and narratives that delegitimize genuine diagnoses.</w:t>
      </w:r>
    </w:p>
    <w:p w14:paraId="6CEB0FD7" w14:textId="378C46FB" w:rsidR="0005607E" w:rsidRPr="0005607E" w:rsidRDefault="0005607E" w:rsidP="007E1DD2">
      <w:pPr>
        <w:jc w:val="both"/>
      </w:pPr>
      <w:r w:rsidRPr="0005607E">
        <w:t xml:space="preserve">Over the last few years, DMH has made strides in meeting this recommendation. DMH’s ten YAACs provide low-barrier spaces for youth to receive community-based health services, skills-building opportunities, and peer support. DMH has shared that many staff at the centers reflect the diversity of the communities they serve. The Commission encourages DMH to further strengthen connections between the access centers and LGBTQ-serving organizations, including identity-based organizations, peer-run services, and library systems that often serve as trusted community hubs for youth seeking information and informal support. Over the last few years, the Commission understands that DMH has worked to build stronger relationships with LGBTQ-serving organizations, such as the AGLY network, and is strategizing ways to ensure that access centers have strong connections to LGBTQ mental health supports. The Commission appreciates DMH’s commitment to this </w:t>
      </w:r>
      <w:r w:rsidR="00B443A2" w:rsidRPr="0005607E">
        <w:t>work and</w:t>
      </w:r>
      <w:r w:rsidRPr="0005607E">
        <w:t xml:space="preserve"> notes the continued need for exploring relationships to other youth-serving organizations, with particular attention to organizations serving youth experiencing homelessness and rural LGBTQ organizations.</w:t>
      </w:r>
    </w:p>
    <w:p w14:paraId="10CBAF82" w14:textId="77777777" w:rsidR="0005607E" w:rsidRPr="0005607E" w:rsidRDefault="0005607E" w:rsidP="007E1DD2">
      <w:pPr>
        <w:jc w:val="both"/>
      </w:pPr>
      <w:r w:rsidRPr="0005607E">
        <w:t>The Commission also recommends that DMH continue to elevate and promote its Behavioral Health Help Line and associated mental health services directory to increase awareness of affirming referral options. Youth consistently report that lack of awareness of available services - and lack of trust in systems - are major barriers to care. The Commission recommends that DMH expand its digital outreach, including social media campaigns tailored to youth, with particular emphasis on peer supports and culturally affirming services.</w:t>
      </w:r>
    </w:p>
    <w:p w14:paraId="7118C033" w14:textId="77777777" w:rsidR="0005607E" w:rsidRPr="0005607E" w:rsidRDefault="0005607E" w:rsidP="007E1DD2">
      <w:pPr>
        <w:jc w:val="both"/>
      </w:pPr>
      <w:r w:rsidRPr="0005607E">
        <w:t xml:space="preserve">Finally, the Commission recommends that DMH explore strategies to improve professional education and workforce development. In FY 2025, DMH shared that its Learning &amp; Development </w:t>
      </w:r>
      <w:r w:rsidRPr="0005607E">
        <w:lastRenderedPageBreak/>
        <w:t>department is restructuring to better support worker education. The Commission encourages DMH to incorporate explicit modules on supporting LGBTQ youth, racial equity, cultural humility, and trauma-informed care into both initial training and continuing education requirements.</w:t>
      </w:r>
    </w:p>
    <w:p w14:paraId="5D926AA6" w14:textId="7DE0901A" w:rsidR="0005607E" w:rsidRPr="0005607E" w:rsidRDefault="007E1DD2" w:rsidP="00B7107C">
      <w:pPr>
        <w:pStyle w:val="Heading5"/>
      </w:pPr>
      <w:r>
        <w:t xml:space="preserve">3| </w:t>
      </w:r>
      <w:r w:rsidR="0005607E" w:rsidRPr="0005607E">
        <w:t>Continue to explore ways to collect comprehensive SOGI data.</w:t>
      </w:r>
    </w:p>
    <w:p w14:paraId="5512418A" w14:textId="77777777" w:rsidR="0005607E" w:rsidRPr="0005607E" w:rsidRDefault="0005607E" w:rsidP="007E1DD2">
      <w:pPr>
        <w:jc w:val="both"/>
      </w:pPr>
      <w:r w:rsidRPr="0005607E">
        <w:t>As detail in previous annual reports, DMH has been exploring its SOGI data collection practices for several years to better understand how it can capture critical information that will help improve its services for young people. After an audit of its data collection practices in 2021, DMH shared with the Commission that while there are existing issues with certain data collection fields - including the fields being difficult to locate and not mandatory - a comprehensive and costly technology update would be required to fully address these limitations. DMH, like other agencies, also noted ongoing barriers to collecting SOGI data at the state level, including conflicting federal requirements and medical coding constraints. More recently, DMH and community stakeholders have reported that many individuals are increasingly reluctant to disclose SOGI information due to heightened concerns stemming from the current federal sociopolitical climate about privacy and the potential misuse of personal data, underscoring the need for strong privacy protections and trust-building measures.</w:t>
      </w:r>
    </w:p>
    <w:p w14:paraId="38691FCD" w14:textId="77777777" w:rsidR="0005607E" w:rsidRPr="0005607E" w:rsidRDefault="0005607E" w:rsidP="007E1DD2">
      <w:pPr>
        <w:jc w:val="both"/>
      </w:pPr>
      <w:r w:rsidRPr="0005607E">
        <w:t>DMH continues to receive federal Community Mental Health Services Block Grant funding, which is allocated based on community input gathered through the State Mental Health Planning Council and related subcommittees to support statewide mental health priorities, including a required set-aside for early psychosis services. However, the Commission understands that evolving federal conditions and expectations tied to these funds may further complicate the collection and reporting of demographic information, including SOGI data, and that current reporting often focuses on broad funding overviews rather than detailed demographic data.</w:t>
      </w:r>
    </w:p>
    <w:p w14:paraId="33F5DF0E" w14:textId="77777777" w:rsidR="0005607E" w:rsidRPr="0005607E" w:rsidRDefault="0005607E" w:rsidP="007E1DD2">
      <w:pPr>
        <w:jc w:val="both"/>
      </w:pPr>
      <w:r w:rsidRPr="0005607E">
        <w:t>In response to these ongoing challenges, DMH has continued efforts to strengthen its internal practices, including implementing training and curriculum for staff on appropriately collecting SOGI data within existing IT systems. To help aid in this process, the Commission plans to work on developing a general framework and guidance related to SOGI data collection and will pursue joint advisories with relevant agencies to promote consistent, safe, and appropriate practices statewide. The Commission recommends that DMH continue these efforts, including examining its existing data privacy protections and ensuring that staff and providers receive clear guidance and training on how to appropriately collect, safeguard, and use SOGI information. These steps will help ensure that DMH can better understand and respond to the mental health needs of LGBTQ youth in the Commonwealth while maintaining the trust and safety of the communities it serves.</w:t>
      </w:r>
    </w:p>
    <w:p w14:paraId="7A7ADEEB" w14:textId="2AB08525" w:rsidR="0005607E" w:rsidRPr="0005607E" w:rsidRDefault="007E1DD2" w:rsidP="00B7107C">
      <w:pPr>
        <w:pStyle w:val="Heading5"/>
      </w:pPr>
      <w:r>
        <w:lastRenderedPageBreak/>
        <w:t xml:space="preserve">4| </w:t>
      </w:r>
      <w:r w:rsidR="0005607E" w:rsidRPr="0005607E">
        <w:t>Facilitate trainings on LGBTQ cultural awareness and racial equity, with particular attention to youth and access to aﬃrming care.</w:t>
      </w:r>
    </w:p>
    <w:p w14:paraId="56C6DE79" w14:textId="51CA1E3F" w:rsidR="0005607E" w:rsidRPr="0005607E" w:rsidRDefault="0005607E" w:rsidP="007E1DD2">
      <w:pPr>
        <w:jc w:val="both"/>
      </w:pPr>
      <w:r w:rsidRPr="0005607E">
        <w:t xml:space="preserve">DMH has made signiﬁcant progress in recent years in ensuring that its staﬀ are trained on creating LGBTQ-aﬃrming spaces when interacting with clients. In FY 2024, DMH shared with the Commission that its current ongoing strategic plan uses a lens of equity and </w:t>
      </w:r>
      <w:r w:rsidR="00B443A2" w:rsidRPr="0005607E">
        <w:t>inclusion and</w:t>
      </w:r>
      <w:r w:rsidRPr="0005607E">
        <w:t xml:space="preserve"> thus is working on ensuring that staﬀ are oﬀered trainings that not only cover LGBTQ topics, but also racial equity. In FY 2026, DMH shared that LGBTQ-inclusive training has been embedded into its new hire orientation for staff. Furthermore, it is reviewing language for its procurement process to ensure that contracted providers are also committed to LGBTQ-aﬃrming trainings. The Commission appreciates DMH’s continued work in this </w:t>
      </w:r>
      <w:r w:rsidR="00B443A2" w:rsidRPr="0005607E">
        <w:t>area and</w:t>
      </w:r>
      <w:r w:rsidRPr="0005607E">
        <w:t xml:space="preserve"> recommends that DMH ensure its training opportunities include a focus on practical guidance to address mental health stigma and addressing misinformation.</w:t>
      </w:r>
    </w:p>
    <w:p w14:paraId="2651A099" w14:textId="3E9349C9" w:rsidR="0005607E" w:rsidRPr="0005607E" w:rsidRDefault="007E1DD2" w:rsidP="00B7107C">
      <w:pPr>
        <w:pStyle w:val="Heading5"/>
      </w:pPr>
      <w:r>
        <w:t xml:space="preserve">5| </w:t>
      </w:r>
      <w:r w:rsidR="0005607E" w:rsidRPr="0005607E">
        <w:t>Explore opportunities to implement a caregiver education training to support LGBTQ youth and families involved in DMH services.</w:t>
      </w:r>
    </w:p>
    <w:p w14:paraId="248AE2DA" w14:textId="77777777" w:rsidR="0005607E" w:rsidRPr="0005607E" w:rsidRDefault="0005607E" w:rsidP="007E1DD2">
      <w:pPr>
        <w:jc w:val="both"/>
      </w:pPr>
      <w:r w:rsidRPr="0005607E">
        <w:t>The Commission recommends that DMH should explore opportunities to implement a caregiver acceptance program to support LGBTQ youth involved in DMH services whose family members may be unaccepting of their LGBTQ identity. Given the ongoing national rhetoric targeting trans and nonbinary youth especially, aﬃrming mental health services and family support are needed more than ever.</w:t>
      </w:r>
    </w:p>
    <w:p w14:paraId="7F2D93CB" w14:textId="7AFD1771" w:rsidR="0005607E" w:rsidRPr="0005607E" w:rsidRDefault="007E1DD2" w:rsidP="00B7107C">
      <w:pPr>
        <w:pStyle w:val="Heading5"/>
      </w:pPr>
      <w:r>
        <w:t xml:space="preserve">6| </w:t>
      </w:r>
      <w:r w:rsidR="0005607E" w:rsidRPr="0005607E">
        <w:t xml:space="preserve">Continue to collaborate with youth-serving agencies to develop clear guidance and instructions on how to ensure that youth transitioning between state systems are receiving </w:t>
      </w:r>
      <w:proofErr w:type="gramStart"/>
      <w:r w:rsidR="0005607E" w:rsidRPr="0005607E">
        <w:t>needed services and resources</w:t>
      </w:r>
      <w:proofErr w:type="gramEnd"/>
      <w:r w:rsidR="0005607E" w:rsidRPr="0005607E">
        <w:t>.</w:t>
      </w:r>
    </w:p>
    <w:p w14:paraId="16850458" w14:textId="78ECFBE3" w:rsidR="0005607E" w:rsidRPr="0005607E" w:rsidRDefault="0005607E" w:rsidP="007E1DD2">
      <w:pPr>
        <w:jc w:val="both"/>
      </w:pPr>
      <w:r w:rsidRPr="0005607E">
        <w:t xml:space="preserve">DMH participates in interagency working groups, cross-agency forums, and individual transition planning processes, and created the Director of Young Adult Transitional Services role in 2022 to identify systemic gaps. However, youth and providers report that information does not always translate clearly to frontline staff which can lead to significant gaps in services between agencies and disparate experiences, particularly among marginalized multisystem-involved youth. The Commission recommends that DMH reviews its communication practices and engages with employees, agency partners, youth, and families in DMH services to identify areas of improvement. </w:t>
      </w:r>
      <w:proofErr w:type="gramStart"/>
      <w:r w:rsidRPr="0005607E">
        <w:t>In particular, there</w:t>
      </w:r>
      <w:proofErr w:type="gramEnd"/>
      <w:r w:rsidRPr="0005607E">
        <w:t xml:space="preserve"> is a greater need to better collaborate with housing agencies to address persistent concerns around housing instability. Given ongoing housing challenges, the Commission encourages greater transparency and coordination to ensure that youth are not losing access to critical supports.</w:t>
      </w:r>
    </w:p>
    <w:p w14:paraId="27FA0275" w14:textId="21844892" w:rsidR="007E1DD2" w:rsidRPr="00A3710E" w:rsidRDefault="0005607E" w:rsidP="00A3710E">
      <w:pPr>
        <w:spacing w:line="240" w:lineRule="auto"/>
        <w:jc w:val="both"/>
        <w:rPr>
          <w:b/>
          <w:bCs/>
          <w:color w:val="AD84C6" w:themeColor="accent1"/>
          <w:spacing w:val="-20"/>
        </w:rPr>
      </w:pPr>
      <w:r w:rsidRPr="00E44F63">
        <w:rPr>
          <w:rStyle w:val="SubtleReference"/>
          <w:color w:val="864EA8" w:themeColor="accent1" w:themeShade="BF"/>
          <w:spacing w:val="-20"/>
        </w:rPr>
        <w:t>Acknowledgments: The Commission thanks the contributions of its internal DMH agency liaisons. </w:t>
      </w:r>
    </w:p>
    <w:p w14:paraId="2164574C" w14:textId="21844892" w:rsidR="007E1DD2" w:rsidRPr="007E1DD2" w:rsidRDefault="007E1DD2" w:rsidP="00B7107C">
      <w:pPr>
        <w:pStyle w:val="Heading2"/>
      </w:pPr>
      <w:bookmarkStart w:id="259" w:name="_Toc230277114"/>
      <w:bookmarkStart w:id="260" w:name="_Toc230277403"/>
      <w:bookmarkStart w:id="261" w:name="_Toc230355496"/>
      <w:r w:rsidRPr="007E1DD2">
        <w:lastRenderedPageBreak/>
        <w:t>Department of Public Health</w:t>
      </w:r>
      <w:bookmarkEnd w:id="259"/>
      <w:bookmarkEnd w:id="260"/>
      <w:bookmarkEnd w:id="261"/>
    </w:p>
    <w:p w14:paraId="2175CAF7" w14:textId="77777777" w:rsidR="007E1DD2" w:rsidRPr="007E1DD2" w:rsidRDefault="007E1DD2">
      <w:pPr>
        <w:pStyle w:val="ListParagraph"/>
        <w:numPr>
          <w:ilvl w:val="0"/>
          <w:numId w:val="11"/>
        </w:numPr>
        <w:spacing w:line="240" w:lineRule="auto"/>
        <w:ind w:right="360"/>
        <w:jc w:val="both"/>
      </w:pPr>
      <w:r w:rsidRPr="007E1DD2">
        <w:t>Expand training opportunities for staff and contracting organizations on LGBTQ cultural engagement, racial equity, and adultism.</w:t>
      </w:r>
    </w:p>
    <w:p w14:paraId="3EF81CBA" w14:textId="77777777" w:rsidR="007E1DD2" w:rsidRPr="007E1DD2" w:rsidRDefault="007E1DD2">
      <w:pPr>
        <w:pStyle w:val="ListParagraph"/>
        <w:numPr>
          <w:ilvl w:val="0"/>
          <w:numId w:val="11"/>
        </w:numPr>
        <w:spacing w:line="240" w:lineRule="auto"/>
        <w:ind w:right="360"/>
        <w:jc w:val="both"/>
      </w:pPr>
      <w:r w:rsidRPr="007E1DD2">
        <w:t>Develop new strategic partnerships to diversify connections and investment into LGBTQ communities.</w:t>
      </w:r>
    </w:p>
    <w:p w14:paraId="4F72F1D9" w14:textId="77777777" w:rsidR="007E1DD2" w:rsidRPr="007E1DD2" w:rsidRDefault="007E1DD2">
      <w:pPr>
        <w:pStyle w:val="ListParagraph"/>
        <w:numPr>
          <w:ilvl w:val="0"/>
          <w:numId w:val="11"/>
        </w:numPr>
        <w:spacing w:line="240" w:lineRule="auto"/>
        <w:ind w:right="360"/>
        <w:jc w:val="both"/>
      </w:pPr>
      <w:r w:rsidRPr="007E1DD2">
        <w:t>Explore ways to expand SOGIE data collection through DPH programs, with particular attention to pregnancy, parental mortality, and gender-affirming care services, and make data publicly available.</w:t>
      </w:r>
    </w:p>
    <w:p w14:paraId="07B4E95A" w14:textId="77777777" w:rsidR="007E1DD2" w:rsidRPr="007E1DD2" w:rsidRDefault="007E1DD2">
      <w:pPr>
        <w:pStyle w:val="ListParagraph"/>
        <w:numPr>
          <w:ilvl w:val="0"/>
          <w:numId w:val="11"/>
        </w:numPr>
        <w:spacing w:line="240" w:lineRule="auto"/>
        <w:ind w:right="360"/>
        <w:jc w:val="both"/>
      </w:pPr>
      <w:r w:rsidRPr="007E1DD2">
        <w:t>Partner with the Commission to research the needs of LGBTQ transition-aged youth with multisystem-involvement.</w:t>
      </w:r>
    </w:p>
    <w:p w14:paraId="4268DB2A" w14:textId="77777777" w:rsidR="007E1DD2" w:rsidRPr="007E1DD2" w:rsidRDefault="007E1DD2">
      <w:pPr>
        <w:pStyle w:val="ListParagraph"/>
        <w:numPr>
          <w:ilvl w:val="0"/>
          <w:numId w:val="11"/>
        </w:numPr>
        <w:spacing w:line="240" w:lineRule="auto"/>
        <w:ind w:right="360"/>
        <w:jc w:val="both"/>
      </w:pPr>
      <w:r w:rsidRPr="007E1DD2">
        <w:t>Increase community research initiatives to better address health inequities.</w:t>
      </w:r>
    </w:p>
    <w:p w14:paraId="4BACC04F" w14:textId="77777777" w:rsidR="007E1DD2" w:rsidRPr="007E1DD2" w:rsidRDefault="007E1DD2">
      <w:pPr>
        <w:pStyle w:val="ListParagraph"/>
        <w:numPr>
          <w:ilvl w:val="0"/>
          <w:numId w:val="11"/>
        </w:numPr>
        <w:spacing w:line="240" w:lineRule="auto"/>
        <w:ind w:right="360"/>
        <w:jc w:val="both"/>
      </w:pPr>
      <w:r w:rsidRPr="007E1DD2">
        <w:t>Explore ways to address gaps in access to gender-affirming care with a particular focus in rural areas and underserved communities.</w:t>
      </w:r>
    </w:p>
    <w:p w14:paraId="3D5A7FAD" w14:textId="77777777" w:rsidR="007E1DD2" w:rsidRPr="007E1DD2" w:rsidRDefault="007E1DD2" w:rsidP="00E97E73">
      <w:pPr>
        <w:pStyle w:val="Heading3"/>
      </w:pPr>
      <w:bookmarkStart w:id="262" w:name="_Toc230277404"/>
      <w:r w:rsidRPr="007E1DD2">
        <w:t>Introduction</w:t>
      </w:r>
      <w:bookmarkEnd w:id="262"/>
    </w:p>
    <w:p w14:paraId="53E0D5AE" w14:textId="5D94F90A" w:rsidR="007E1DD2" w:rsidRPr="007E1DD2" w:rsidRDefault="007E1DD2" w:rsidP="007E1DD2">
      <w:pPr>
        <w:jc w:val="both"/>
      </w:pPr>
      <w:r w:rsidRPr="007E1DD2">
        <w:t>The Massachusetts Department of Public Health (DPH) is a state agency dedicated to promoting and ensuring access to health services, with a speciﬁc focus on prevention, overall wellness, and health equity for all communities. The Commission and DPH have had a longstanding supportive relationship for decades. The Commission is conﬁdent that DPH recognizes the long-term health and economic beneﬁts of public health interventions with youth. Additionally, the Commission appreciates the signiﬁcant strides DPH has continued to take to impact the intersecting systems of oppression that create and compound systemic barriers to health and wellness for QTBIPOC communities.</w:t>
      </w:r>
    </w:p>
    <w:p w14:paraId="73725923" w14:textId="77777777" w:rsidR="007E1DD2" w:rsidRPr="007E1DD2" w:rsidRDefault="007E1DD2" w:rsidP="00E97E73">
      <w:pPr>
        <w:pStyle w:val="Heading3"/>
      </w:pPr>
      <w:bookmarkStart w:id="263" w:name="_Toc230277405"/>
      <w:r w:rsidRPr="007E1DD2">
        <w:t>Past &amp; Ongoing Work</w:t>
      </w:r>
      <w:bookmarkEnd w:id="263"/>
      <w:r w:rsidRPr="007E1DD2">
        <w:t> </w:t>
      </w:r>
    </w:p>
    <w:p w14:paraId="04D28742" w14:textId="77777777" w:rsidR="007E1DD2" w:rsidRPr="007E1DD2" w:rsidRDefault="007E1DD2" w:rsidP="007E1DD2">
      <w:pPr>
        <w:jc w:val="both"/>
      </w:pPr>
      <w:r w:rsidRPr="007E1DD2">
        <w:t>DPH has long been committed to developing consistent policies and practices for working with LGBTQ populations, as well as expanding its services and support for eﬀective programs across the Commonwealth. Notably, through its Division of Violence and Injury Prevention, DPH administers the</w:t>
      </w:r>
      <w:r w:rsidRPr="007E1DD2">
        <w:rPr>
          <w:u w:val="single"/>
        </w:rPr>
        <w:t xml:space="preserve"> </w:t>
      </w:r>
      <w:hyperlink r:id="rId61" w:history="1">
        <w:r w:rsidRPr="007E1DD2">
          <w:rPr>
            <w:rStyle w:val="Hyperlink"/>
          </w:rPr>
          <w:t>Safe Spaces for LGBTQIA+ Youth Programs,</w:t>
        </w:r>
      </w:hyperlink>
      <w:r w:rsidRPr="007E1DD2">
        <w:t xml:space="preserve"> which provide a variety of services, including an accessible community drop-in space, peer-led, adult-supported support groups, and services for transition-aged LGBTQ youth.</w:t>
      </w:r>
    </w:p>
    <w:p w14:paraId="1B9BA60D" w14:textId="77777777" w:rsidR="007E1DD2" w:rsidRPr="007E1DD2" w:rsidRDefault="007E1DD2" w:rsidP="007E1DD2">
      <w:pPr>
        <w:jc w:val="both"/>
      </w:pPr>
      <w:r w:rsidRPr="007E1DD2">
        <w:t xml:space="preserve">The Commission has been pleased to work with DPH’s Bureau of Substance Abuse Services (BSAS), which has extended eﬀorts through its Oﬃce of Youth and Young Adult Services (OYYAS) to review documents and data collection standards to ensure that LGBTQ youth are aﬃrmed through DPH outreach and services. The Commission has further partnered with DPH’s SOGI Data </w:t>
      </w:r>
      <w:r w:rsidRPr="007E1DD2">
        <w:lastRenderedPageBreak/>
        <w:t>Standards Working Group, and in April 2023 provided input on the agency’s upcoming COVID Community Impact Survey (CCIS) 2.0.</w:t>
      </w:r>
    </w:p>
    <w:p w14:paraId="3D3E079B" w14:textId="77777777" w:rsidR="007E1DD2" w:rsidRPr="007E1DD2" w:rsidRDefault="007E1DD2" w:rsidP="007E1DD2">
      <w:pPr>
        <w:jc w:val="both"/>
      </w:pPr>
      <w:r w:rsidRPr="007E1DD2">
        <w:t>The Commission additionally commends DPH for its work on racial justice initiatives, including its release of a Racial Equity Data Road Map in October 2020, which provides “a suggested methodology for programs to assess their progress in addressing racial inequities in service delivery and health outcomes.” In May 2022, DPH noted that the agency had secured The Racial Equity Institute to provide a two-day training session to DPH leaders and staﬀ, focused on anti-racism and capacity-building, which it intends to continue to oﬀer to staﬀ as requested. In May 2024, DPH released its landmark Strategic Plan to Advance Racial Equity for 2024-2028 as part of its commitment to dismantling racial and health inequities in the Commonwealth.</w:t>
      </w:r>
    </w:p>
    <w:p w14:paraId="0FB698B5" w14:textId="00440C02" w:rsidR="007E1DD2" w:rsidRPr="007E1DD2" w:rsidRDefault="007E1DD2" w:rsidP="007E1DD2">
      <w:pPr>
        <w:jc w:val="both"/>
      </w:pPr>
      <w:r w:rsidRPr="007E1DD2">
        <w:t>Ongoing work from DPH further includes the prioritization of LGBTQ youth in its strategic plan for smoking prevention, and continued resource provision to programs focused on suicide prevention and HIV prevention. In FY 2023, the Commission and DPH discussed further areas of collaboration and investment into community-based public health and advocacy programs to build capacity and education eﬀorts in local communities. Additionally, in 2021, DPH’s Bureau of Infectious Disease and Laboratory Sciences (BIDLS) provided its partner organizations with LGBTQ-inclusive guidance on using social media to promote health and disease prevention, as well as continued to support innovative ways to engage LGBTQ communities in sexual health services.</w:t>
      </w:r>
    </w:p>
    <w:p w14:paraId="6B0D1199" w14:textId="77777777" w:rsidR="007E1DD2" w:rsidRPr="007E1DD2" w:rsidRDefault="007E1DD2" w:rsidP="00E97E73">
      <w:pPr>
        <w:pStyle w:val="Heading3"/>
      </w:pPr>
      <w:bookmarkStart w:id="264" w:name="_Toc230277406"/>
      <w:r w:rsidRPr="007E1DD2">
        <w:t>FY 2027 Recommendations to the Department of Public Health</w:t>
      </w:r>
      <w:bookmarkEnd w:id="264"/>
    </w:p>
    <w:p w14:paraId="6F68FD1C" w14:textId="3BA189D4" w:rsidR="007E1DD2" w:rsidRPr="007E1DD2" w:rsidRDefault="007E1DD2" w:rsidP="00B7107C">
      <w:pPr>
        <w:pStyle w:val="Heading5"/>
      </w:pPr>
      <w:r>
        <w:t xml:space="preserve">1| </w:t>
      </w:r>
      <w:r w:rsidRPr="007E1DD2">
        <w:t>Expand training opportunities for staﬀ and contracting organizations on LGBTQ cultural engagement, racial equity, and adultism.</w:t>
      </w:r>
    </w:p>
    <w:p w14:paraId="29C315FB" w14:textId="77777777" w:rsidR="007E1DD2" w:rsidRPr="007E1DD2" w:rsidRDefault="007E1DD2" w:rsidP="007E1DD2">
      <w:pPr>
        <w:jc w:val="both"/>
      </w:pPr>
      <w:r w:rsidRPr="007E1DD2">
        <w:t>The Commission is pleased that DPH remains in consensus with this recommendation and continues to make progress in its training efforts. DPH has instituted a Racial Equity Training series that is available on a quarterly basis, which serves as an important resource to support staff in building their understanding of equity-centered public health practice. The Commission encourages DPH to continue reviewing and expanding these training efforts to ensure that the intersections of LGBTQ youth experiences, including race, gender identity, and age, are meaningfully captured.</w:t>
      </w:r>
    </w:p>
    <w:p w14:paraId="3C2F0CEF" w14:textId="77777777" w:rsidR="007E1DD2" w:rsidRPr="007E1DD2" w:rsidRDefault="007E1DD2" w:rsidP="007E1DD2">
      <w:pPr>
        <w:jc w:val="both"/>
      </w:pPr>
      <w:r w:rsidRPr="007E1DD2">
        <w:t xml:space="preserve">Furthermore, DPH is exploring opportunities to expand training offerings to include LGBTQ cultural engagement more broadly. DPH will be meeting internally to discuss ongoing and future training opportunities for DPH program staff, as well as for the broader service system, related to LGBTQ cultural engagement, racial equity, and adultism. The Commission is encouraged by </w:t>
      </w:r>
      <w:r w:rsidRPr="007E1DD2">
        <w:lastRenderedPageBreak/>
        <w:t>these continued conversations and looks forward to future opportunities to collaborate with DPH in the development of this work.</w:t>
      </w:r>
    </w:p>
    <w:p w14:paraId="741002FD" w14:textId="77777777" w:rsidR="007E1DD2" w:rsidRPr="007E1DD2" w:rsidRDefault="007E1DD2" w:rsidP="007E1DD2">
      <w:pPr>
        <w:jc w:val="both"/>
      </w:pPr>
      <w:r w:rsidRPr="007E1DD2">
        <w:t>In addition, DPH is exploring opportunities to include this work within the Department’s racial equity plan and is working with its training and onboarding teams to promote existing training opportunities to staff. The Commission recommends that DPH continue to examine its training and onboarding efforts to ensure that all employees, particularly those directly interfacing with youth, are given the tools needed to build upon their base understanding of LGBTQ communities and the intersections of their identities.</w:t>
      </w:r>
    </w:p>
    <w:p w14:paraId="254F9FC5" w14:textId="77777777" w:rsidR="007E1DD2" w:rsidRPr="007E1DD2" w:rsidRDefault="007E1DD2" w:rsidP="007E1DD2">
      <w:pPr>
        <w:jc w:val="both"/>
      </w:pPr>
      <w:r w:rsidRPr="007E1DD2">
        <w:t>The Commission remains pleased to continue its longstanding partnership with DPH on training initiatives and looks forward to future opportunities to support the expansion of LGBTQ cultural engagement training across the Commonwealth’s public health systems.</w:t>
      </w:r>
    </w:p>
    <w:p w14:paraId="7AB105C8" w14:textId="14B5D171" w:rsidR="007E1DD2" w:rsidRPr="007E1DD2" w:rsidRDefault="007E1DD2" w:rsidP="00B7107C">
      <w:pPr>
        <w:pStyle w:val="Heading5"/>
      </w:pPr>
      <w:r>
        <w:t xml:space="preserve">2| </w:t>
      </w:r>
      <w:r w:rsidRPr="007E1DD2">
        <w:t>Develop new strategic partnerships to diversify connections and investment into LGBTQ communities.</w:t>
      </w:r>
    </w:p>
    <w:p w14:paraId="7437B2DA" w14:textId="0C43E07D" w:rsidR="007E1DD2" w:rsidRPr="007E1DD2" w:rsidRDefault="007E1DD2" w:rsidP="007E1DD2">
      <w:pPr>
        <w:jc w:val="both"/>
      </w:pPr>
      <w:r w:rsidRPr="007E1DD2">
        <w:t xml:space="preserve">The Commission and DPH have continued to engage in conversations on how to better support LGBTQ communities in public health education and health services. For FY 2027, the Commission recommends that DPH work to develop new strategic outreach plans to diversify its connections within LGBTQ communities, with particular attention to QTBIPOC communities and organizations in underserved regions. In FY 2025, DPH shared that it has developed partnerships regarding sexual and reproductive health and sexual and domestic </w:t>
      </w:r>
      <w:r w:rsidR="00B443A2" w:rsidRPr="007E1DD2">
        <w:t>violence and</w:t>
      </w:r>
      <w:r w:rsidRPr="007E1DD2">
        <w:t xml:space="preserve"> is continuing to search for new opportunities to partner with communities. While reviewing its current partnerships, DPH should connect with LGBTQ community members to identify gaps in its </w:t>
      </w:r>
      <w:r w:rsidR="00B443A2" w:rsidRPr="007E1DD2">
        <w:t xml:space="preserve">outreach </w:t>
      </w:r>
      <w:proofErr w:type="gramStart"/>
      <w:r w:rsidR="00B443A2" w:rsidRPr="007E1DD2">
        <w:t>and</w:t>
      </w:r>
      <w:r w:rsidRPr="007E1DD2">
        <w:t xml:space="preserve"> also</w:t>
      </w:r>
      <w:proofErr w:type="gramEnd"/>
      <w:r w:rsidRPr="007E1DD2">
        <w:t xml:space="preserve"> work to improve its internal collaboration to minimize duplicated eﬀorts across departments.</w:t>
      </w:r>
    </w:p>
    <w:p w14:paraId="17D5564D" w14:textId="6D6B0CF2" w:rsidR="007E1DD2" w:rsidRPr="007E1DD2" w:rsidRDefault="007E1DD2" w:rsidP="00B7107C">
      <w:pPr>
        <w:pStyle w:val="Heading5"/>
      </w:pPr>
      <w:r>
        <w:t xml:space="preserve">3| </w:t>
      </w:r>
      <w:r w:rsidRPr="007E1DD2">
        <w:t>Explore ways to expand SOGIE data collection through DPH programs, with particular attention to pregnancy, parental mortality, and gender-aﬃrming care services, and make data publicly available.</w:t>
      </w:r>
    </w:p>
    <w:p w14:paraId="6E5C7A3F" w14:textId="77777777" w:rsidR="007E1DD2" w:rsidRPr="007E1DD2" w:rsidRDefault="007E1DD2" w:rsidP="007E1DD2">
      <w:pPr>
        <w:jc w:val="both"/>
      </w:pPr>
      <w:r w:rsidRPr="007E1DD2">
        <w:t>For several years, DPH has been involved in robust efforts to ensure that its SOGIE data collection standards appropriately capture the experiences of LGBTQ communities. The Commission continues to appreciate DPH’s ongoing work in this area and its commitment to developing data collection practices that are reflective of LGBTQ communities across the Commonwealth.</w:t>
      </w:r>
    </w:p>
    <w:p w14:paraId="6CCABE84" w14:textId="77777777" w:rsidR="007E1DD2" w:rsidRPr="007E1DD2" w:rsidRDefault="007E1DD2" w:rsidP="007E1DD2">
      <w:pPr>
        <w:jc w:val="both"/>
      </w:pPr>
      <w:r w:rsidRPr="007E1DD2">
        <w:t xml:space="preserve">The Commission understands that DPH’s Health Equity and Data Standards group continues to oversee many of the Department’s reporting standards, including those related to sexual orientation and gender identity and expression (SOGIE) data. This group plays an important role in developing standards for how DPH should collect, analyze, and report out data while upholding SOGIE principles. The Commission is encouraged by this continued infrastructure and </w:t>
      </w:r>
      <w:r w:rsidRPr="007E1DD2">
        <w:lastRenderedPageBreak/>
        <w:t>recommends that DPH continue to apply these standards consistently across all programs and data systems. Additionally, the Commission was pleased to meet several times in FY 2026 with the Bureau of Community Health and Prevention to discuss the Community Health Equity Survey (CHES) - past and future iterations.</w:t>
      </w:r>
    </w:p>
    <w:p w14:paraId="38FBC311" w14:textId="00EB85DC" w:rsidR="007E1DD2" w:rsidRPr="007E1DD2" w:rsidRDefault="007E1DD2" w:rsidP="007E1DD2">
      <w:pPr>
        <w:jc w:val="both"/>
      </w:pPr>
      <w:r w:rsidRPr="007E1DD2">
        <w:t xml:space="preserve">As noted in previous years, one possible area of improvement remains the examination of data collection related to pregnancy, maternal and parental mortality, and gender-affirming care services to ensure that it is LGBTQ-inclusive. The Commission understands that DPH has limited capacity to work with the massive amounts of data solicited through the </w:t>
      </w:r>
      <w:r w:rsidR="00B443A2" w:rsidRPr="007E1DD2">
        <w:t>CHES but</w:t>
      </w:r>
      <w:r w:rsidRPr="007E1DD2">
        <w:t xml:space="preserve"> looks forward to future conversations about how it can support this work to fill significant knowledge gaps at the state level.</w:t>
      </w:r>
    </w:p>
    <w:p w14:paraId="2D77396B" w14:textId="77777777" w:rsidR="007E1DD2" w:rsidRPr="007E1DD2" w:rsidRDefault="007E1DD2" w:rsidP="007E1DD2">
      <w:pPr>
        <w:jc w:val="both"/>
      </w:pPr>
      <w:r w:rsidRPr="007E1DD2">
        <w:t>The Commission continues to recommend that DPH explore ways to expand SOGIE data collection in these and other key public health areas, and that such data be made publicly available whenever appropriate to support transparency, accountability, and evidence-based policymaking.</w:t>
      </w:r>
    </w:p>
    <w:p w14:paraId="51E29A55" w14:textId="6EE5E1A2" w:rsidR="007E1DD2" w:rsidRPr="007E1DD2" w:rsidRDefault="007E1DD2" w:rsidP="00B7107C">
      <w:pPr>
        <w:pStyle w:val="Heading5"/>
      </w:pPr>
      <w:r>
        <w:t xml:space="preserve">4| </w:t>
      </w:r>
      <w:r w:rsidRPr="007E1DD2">
        <w:t>Partner with the Commission to research the needs of LGBTQ transition-aged youth with multisystem-involvement.</w:t>
      </w:r>
    </w:p>
    <w:p w14:paraId="7D478E42" w14:textId="77777777" w:rsidR="007E1DD2" w:rsidRPr="007E1DD2" w:rsidRDefault="007E1DD2" w:rsidP="007E1DD2">
      <w:pPr>
        <w:jc w:val="both"/>
      </w:pPr>
      <w:r w:rsidRPr="007E1DD2">
        <w:t>Over the course of this annual report, the Commission has continued to detail the necessity of youth-serving state entities collaborating on a macro-level to ensure that the needs of youth are not falling through systemic cracks.</w:t>
      </w:r>
    </w:p>
    <w:p w14:paraId="3D2982F2" w14:textId="77777777" w:rsidR="007E1DD2" w:rsidRPr="007E1DD2" w:rsidRDefault="007E1DD2" w:rsidP="007E1DD2">
      <w:pPr>
        <w:jc w:val="both"/>
      </w:pPr>
      <w:r w:rsidRPr="007E1DD2">
        <w:t>As noted in previous years, little research currently exists that examines the widespread experiences of transition-aged youth with multisystem-involvement in Massachusetts. The Commission therefore appreciates DPH’s continued engagement in identifying opportunities for collaboration and research to better understand service gaps and pathways for support. In FY 2026, the Commission appreciated the opportunity to meet with DPH’s Public Health Data Team and the Office of Health Equity to discuss existing gaps within the Public Health Data Warehouse, particularly when reviewing datasets that include LGBTQ transition-aged youth with multisystem-involvement. The Commission is encouraged that DPH has indicated it will reconnect in the next quarter on this area of focus.</w:t>
      </w:r>
    </w:p>
    <w:p w14:paraId="7C915940" w14:textId="77777777" w:rsidR="007E1DD2" w:rsidRPr="007E1DD2" w:rsidRDefault="007E1DD2" w:rsidP="007E1DD2">
      <w:pPr>
        <w:jc w:val="both"/>
      </w:pPr>
      <w:r w:rsidRPr="007E1DD2">
        <w:t xml:space="preserve">Furthermore, the Commission appreciates DPH’s efforts to build connections across relevant program areas. The Commission encourages DPH to continue examining how contracted services, quality assurance mechanisms, and cross-program data systems may serve as avenues to better understand where youth are interacting with state systems and where gaps in service provision may be occurring. The Commission is also encouraged by DPH’s efforts to engage LGBTQ youth voice in broader public health planning work. In FY 2026, the Commission and DPH partnered to </w:t>
      </w:r>
      <w:r w:rsidRPr="007E1DD2">
        <w:lastRenderedPageBreak/>
        <w:t>contribute to the development of the new Integrated HIV Prevention and Care Plan for 2027–2031.</w:t>
      </w:r>
    </w:p>
    <w:p w14:paraId="6F19D632" w14:textId="77777777" w:rsidR="007E1DD2" w:rsidRPr="007E1DD2" w:rsidRDefault="007E1DD2" w:rsidP="007E1DD2">
      <w:pPr>
        <w:jc w:val="both"/>
      </w:pPr>
      <w:r w:rsidRPr="007E1DD2">
        <w:t>The Commission looks forward to continuing its partnership with DPH to better understand the needs of LGBTQ transition-aged youth with multisystem-involvement, identify gaps in state agency service provision, and develop potential policy and programmatic solutions.</w:t>
      </w:r>
    </w:p>
    <w:p w14:paraId="4D3B365F" w14:textId="5A5C9968" w:rsidR="007E1DD2" w:rsidRPr="007E1DD2" w:rsidRDefault="007E1DD2" w:rsidP="00B7107C">
      <w:pPr>
        <w:pStyle w:val="Heading5"/>
      </w:pPr>
      <w:r>
        <w:t xml:space="preserve">5| </w:t>
      </w:r>
      <w:r w:rsidRPr="007E1DD2">
        <w:t>Increase community research initiatives to better address health inequities.</w:t>
      </w:r>
    </w:p>
    <w:p w14:paraId="73A1BE3D" w14:textId="184B5A0E" w:rsidR="007E1DD2" w:rsidRPr="007E1DD2" w:rsidRDefault="007E1DD2" w:rsidP="007E1DD2">
      <w:pPr>
        <w:jc w:val="both"/>
      </w:pPr>
      <w:r w:rsidRPr="007E1DD2">
        <w:t xml:space="preserve">Of the many strengths of the Department of Public Health, its research initiatives, particularly its Community Health Equity Survey, are some of the most critical tools in addressing LGBTQ health inequities in Massachusetts. The Commission sincerely appreciates the attention that DPH has paid to ﬁlling signiﬁcant gaps in Black maternal health research, and its continuing review of its SOGIE data standards. As data trends become apparent in DPH’s recent CHES, the Commission strongly recommends that DPH utilize this information to better identify health inequity priorities, particularly relating to LGBTQ health concerns. The Commission has appreciated the numerous opportunities to engage with DPH on this recommendation this fiscal </w:t>
      </w:r>
      <w:r w:rsidR="00B443A2" w:rsidRPr="007E1DD2">
        <w:t>year and</w:t>
      </w:r>
      <w:r w:rsidRPr="007E1DD2">
        <w:t xml:space="preserve"> looks forward to continuing this partnership.</w:t>
      </w:r>
    </w:p>
    <w:p w14:paraId="1F0C214C" w14:textId="714AE220" w:rsidR="007E1DD2" w:rsidRPr="007E1DD2" w:rsidRDefault="007E1DD2" w:rsidP="00B7107C">
      <w:pPr>
        <w:pStyle w:val="Heading5"/>
      </w:pPr>
      <w:r>
        <w:t xml:space="preserve">6| </w:t>
      </w:r>
      <w:r w:rsidRPr="007E1DD2">
        <w:t>Explore ways to address gaps in access to gender-affirming care with a particular focus in rural areas and underserved communities.</w:t>
      </w:r>
    </w:p>
    <w:p w14:paraId="7EC92BDC" w14:textId="49A97E2E" w:rsidR="007E1DD2" w:rsidRPr="007E1DD2" w:rsidRDefault="007E1DD2" w:rsidP="007E1DD2">
      <w:pPr>
        <w:jc w:val="both"/>
      </w:pPr>
      <w:r w:rsidRPr="007E1DD2">
        <w:t>In a new recommendation this year, the Commission encourages DPH to continue exploring ways to address gaps in access to gender-affirming care across Massachusetts, with a particular focus on advancing health equity in rural areas and underserved communities. As noted throughout this report, access to gender-affirming care providers remains a significant challenge for many LGBTQ youth and families. These disparities are especially pronounced in regions with limited provider availability, transportation barriers, and fewer affirming health care resources. For example, youth in the Berkshires often face more than hour-long drives to access providers in the Northampton and Springfield areas, creating additional burdens for low-income families. Similarly, youth on the Cape and Islands continue to experience limited access to affirming providers, programming, and support services. The Commission encourages DPH to continue examining regional disparities in care access and to explore strategies that improve availability, affordability, transportation access, and provider capacity in underserved communities across the Commonwealth. With DPH’s strong and ongoing commitment to reducing barriers to health care access, the Commission believes the agency is well-positioned to help advance these conversations and support long-term equity-focused solutions. </w:t>
      </w:r>
    </w:p>
    <w:p w14:paraId="06A4A2AB" w14:textId="1D9501E5" w:rsidR="007E1DD2" w:rsidRPr="00E44F63" w:rsidRDefault="007E1DD2" w:rsidP="007E1DD2">
      <w:pPr>
        <w:jc w:val="both"/>
        <w:rPr>
          <w:rStyle w:val="SubtleReference"/>
          <w:color w:val="864EA8" w:themeColor="accent1" w:themeShade="BF"/>
        </w:rPr>
      </w:pPr>
      <w:r w:rsidRPr="00E44F63">
        <w:rPr>
          <w:rStyle w:val="SubtleReference"/>
          <w:color w:val="864EA8" w:themeColor="accent1" w:themeShade="BF"/>
        </w:rPr>
        <w:t>Acknowledgments: The Commission sincerely thanks the contributions of its DPH agency liaisons.</w:t>
      </w:r>
    </w:p>
    <w:p w14:paraId="5D001375" w14:textId="77777777" w:rsidR="007E1DD2" w:rsidRPr="007E1DD2" w:rsidRDefault="007E1DD2" w:rsidP="00B7107C">
      <w:pPr>
        <w:pStyle w:val="Heading2"/>
      </w:pPr>
      <w:bookmarkStart w:id="265" w:name="_Toc230277115"/>
      <w:bookmarkStart w:id="266" w:name="_Toc230277407"/>
      <w:bookmarkStart w:id="267" w:name="_Toc230355497"/>
      <w:r w:rsidRPr="007E1DD2">
        <w:lastRenderedPageBreak/>
        <w:t>Department of Transitional Assistance</w:t>
      </w:r>
      <w:bookmarkEnd w:id="265"/>
      <w:bookmarkEnd w:id="266"/>
      <w:bookmarkEnd w:id="267"/>
    </w:p>
    <w:p w14:paraId="66F7510F" w14:textId="77777777" w:rsidR="007E1DD2" w:rsidRPr="007E1DD2" w:rsidRDefault="007E1DD2">
      <w:pPr>
        <w:pStyle w:val="ListParagraph"/>
        <w:numPr>
          <w:ilvl w:val="0"/>
          <w:numId w:val="12"/>
        </w:numPr>
        <w:spacing w:line="240" w:lineRule="auto"/>
        <w:ind w:right="360"/>
        <w:jc w:val="both"/>
      </w:pPr>
      <w:r w:rsidRPr="007E1DD2">
        <w:t xml:space="preserve">Partner with Massachusetts youth-serving agencies to disseminate accessible </w:t>
      </w:r>
      <w:proofErr w:type="gramStart"/>
      <w:r w:rsidRPr="007E1DD2">
        <w:t>informational</w:t>
      </w:r>
      <w:proofErr w:type="gramEnd"/>
      <w:r w:rsidRPr="007E1DD2">
        <w:t xml:space="preserve"> guides on resources and state services available to underserved communities.</w:t>
      </w:r>
    </w:p>
    <w:p w14:paraId="38ED9952" w14:textId="77777777" w:rsidR="007E1DD2" w:rsidRPr="007E1DD2" w:rsidRDefault="007E1DD2">
      <w:pPr>
        <w:pStyle w:val="ListParagraph"/>
        <w:numPr>
          <w:ilvl w:val="0"/>
          <w:numId w:val="12"/>
        </w:numPr>
        <w:spacing w:line="240" w:lineRule="auto"/>
        <w:ind w:right="360"/>
        <w:jc w:val="both"/>
      </w:pPr>
      <w:r w:rsidRPr="007E1DD2">
        <w:t>Continue to support internal working groups to uplift conversations &amp; events on intersectionality in the workplace.</w:t>
      </w:r>
    </w:p>
    <w:p w14:paraId="0E1FB5B6" w14:textId="77777777" w:rsidR="007E1DD2" w:rsidRPr="007E1DD2" w:rsidRDefault="007E1DD2">
      <w:pPr>
        <w:pStyle w:val="ListParagraph"/>
        <w:numPr>
          <w:ilvl w:val="0"/>
          <w:numId w:val="12"/>
        </w:numPr>
        <w:spacing w:line="240" w:lineRule="auto"/>
        <w:ind w:right="360"/>
        <w:jc w:val="both"/>
      </w:pPr>
      <w:r w:rsidRPr="007E1DD2">
        <w:t>Continue to review opportunities to collect inclusive SOGIE data information, and update IT systems to include new data ﬁelds where appropriate.</w:t>
      </w:r>
    </w:p>
    <w:p w14:paraId="718AAF33" w14:textId="77777777" w:rsidR="007E1DD2" w:rsidRPr="007E1DD2" w:rsidRDefault="007E1DD2">
      <w:pPr>
        <w:pStyle w:val="ListParagraph"/>
        <w:numPr>
          <w:ilvl w:val="0"/>
          <w:numId w:val="12"/>
        </w:numPr>
        <w:spacing w:line="240" w:lineRule="auto"/>
        <w:ind w:right="360"/>
        <w:jc w:val="both"/>
      </w:pPr>
      <w:r w:rsidRPr="007E1DD2">
        <w:t>Continue to expand intersectional LGBTQ training eﬀorts and mandate racial equity trainings for all DTA employees.</w:t>
      </w:r>
    </w:p>
    <w:p w14:paraId="70703E8C" w14:textId="77777777" w:rsidR="007E1DD2" w:rsidRPr="007E1DD2" w:rsidRDefault="007E1DD2">
      <w:pPr>
        <w:pStyle w:val="ListParagraph"/>
        <w:numPr>
          <w:ilvl w:val="0"/>
          <w:numId w:val="12"/>
        </w:numPr>
        <w:spacing w:line="240" w:lineRule="auto"/>
        <w:ind w:right="360"/>
        <w:jc w:val="both"/>
      </w:pPr>
      <w:r w:rsidRPr="007E1DD2">
        <w:t>Explore the creation and hiring of a full-time DTA-speciﬁc LGBTQ outreach specialist position.</w:t>
      </w:r>
    </w:p>
    <w:p w14:paraId="1D1C66FD" w14:textId="77777777" w:rsidR="007E1DD2" w:rsidRPr="007E1DD2" w:rsidRDefault="007E1DD2" w:rsidP="00E97E73">
      <w:pPr>
        <w:pStyle w:val="Heading3"/>
      </w:pPr>
      <w:bookmarkStart w:id="268" w:name="_Toc230277408"/>
      <w:r w:rsidRPr="007E1DD2">
        <w:t>Introduction</w:t>
      </w:r>
      <w:bookmarkEnd w:id="268"/>
    </w:p>
    <w:p w14:paraId="65A7C190" w14:textId="77777777" w:rsidR="007E1DD2" w:rsidRPr="007E1DD2" w:rsidRDefault="007E1DD2" w:rsidP="007E1DD2">
      <w:pPr>
        <w:jc w:val="both"/>
      </w:pPr>
      <w:r w:rsidRPr="007E1DD2">
        <w:t>The Department of Transitional Assistance (DTA) assists low-income individuals and their families to meet their basic needs, increase their incomes, and improve overall quality of life. Per DTA’s website, the agency services 1 in 7 Massachusetts families every year with direct assistance through cash beneﬁts, food assistance, and workplace training opportunities.</w:t>
      </w:r>
    </w:p>
    <w:p w14:paraId="6FB9A05B" w14:textId="343DB9AB" w:rsidR="007E1DD2" w:rsidRPr="007E1DD2" w:rsidRDefault="007E1DD2" w:rsidP="007E1DD2">
      <w:pPr>
        <w:jc w:val="both"/>
      </w:pPr>
      <w:r w:rsidRPr="007E1DD2">
        <w:t>National research indicates that LGBTQ youth are disproportionately food insecure as compared to their heterosexual and cisgender peers. In a 2025 Trevor Project report, 40% of LGBTQ+ youth across the nation reportedly have a history of food insecurity, houselessness, or unmet basic needs, with transgender and nonbinary youth being 77% more likely to experience food insecurity.</w:t>
      </w:r>
      <w:r>
        <w:rPr>
          <w:rStyle w:val="FootnoteReference"/>
        </w:rPr>
        <w:footnoteReference w:id="274"/>
      </w:r>
    </w:p>
    <w:p w14:paraId="3F49A43E" w14:textId="77777777" w:rsidR="007E1DD2" w:rsidRPr="007E1DD2" w:rsidRDefault="007E1DD2" w:rsidP="00E97E73">
      <w:pPr>
        <w:pStyle w:val="Heading3"/>
      </w:pPr>
      <w:bookmarkStart w:id="269" w:name="_Toc230277409"/>
      <w:r w:rsidRPr="007E1DD2">
        <w:t>Past &amp; Ongoing Work</w:t>
      </w:r>
      <w:bookmarkEnd w:id="269"/>
    </w:p>
    <w:p w14:paraId="072EA8A2" w14:textId="77777777" w:rsidR="007E1DD2" w:rsidRPr="007E1DD2" w:rsidRDefault="007E1DD2" w:rsidP="007E1DD2">
      <w:pPr>
        <w:jc w:val="both"/>
      </w:pPr>
      <w:r w:rsidRPr="007E1DD2">
        <w:t xml:space="preserve">Since its partnership with the Commission began, DTA released an LGBTQ-inclusive nondiscrimination policy and guidance that fulﬁlled a previous Commission recommendation. To build on this policy, DTA has consistently been engaging its employees in training opportunities to center both LGBTQ-inclusivity and racial equity. In late 2022, DTA managers were mandated to attend a two-day intensive racial equity training. In FY 2023, DTA partnered with the Commission and EHS DEI staﬀ to participate in the internal train-the-trainer model to develop cross-agency capacity, which has continued each fiscal year since. Additionally, in FY 2023, DTA hosted a panel discussion titled “Who We Are: Elevating the Voices &amp; Experiences of LGBTQI+ </w:t>
      </w:r>
      <w:r w:rsidRPr="007E1DD2">
        <w:lastRenderedPageBreak/>
        <w:t>Staﬀ”, in support of Transgender Day of Visibility, and Gender Equality Month, attended by 80 DTA staﬀ members.</w:t>
      </w:r>
    </w:p>
    <w:p w14:paraId="2407F49E" w14:textId="77777777" w:rsidR="007E1DD2" w:rsidRPr="007E1DD2" w:rsidRDefault="007E1DD2" w:rsidP="007E1DD2">
      <w:pPr>
        <w:jc w:val="both"/>
      </w:pPr>
      <w:r w:rsidRPr="007E1DD2">
        <w:t xml:space="preserve">The Commission and DTA have been engaged in conversations for several years around how to best capture SOGIE information; such an opportunity would likely be provided through the SNAP program and be added on to demographic information already collected (like biological sex, race, and ethnicity). Unfortunately, like many other agencies, DTA is </w:t>
      </w:r>
      <w:proofErr w:type="gramStart"/>
      <w:r w:rsidRPr="007E1DD2">
        <w:t>unsure</w:t>
      </w:r>
      <w:proofErr w:type="gramEnd"/>
      <w:r w:rsidRPr="007E1DD2">
        <w:t xml:space="preserve"> the extent to which it </w:t>
      </w:r>
      <w:proofErr w:type="gramStart"/>
      <w:r w:rsidRPr="007E1DD2">
        <w:t>is able to</w:t>
      </w:r>
      <w:proofErr w:type="gramEnd"/>
      <w:r w:rsidRPr="007E1DD2">
        <w:t xml:space="preserve"> improve its data collection as SNAP is heavily regulated by the federal government.</w:t>
      </w:r>
    </w:p>
    <w:p w14:paraId="604019DA" w14:textId="77777777" w:rsidR="007E1DD2" w:rsidRPr="007E1DD2" w:rsidRDefault="007E1DD2" w:rsidP="00E97E73">
      <w:pPr>
        <w:pStyle w:val="Heading3"/>
      </w:pPr>
      <w:bookmarkStart w:id="270" w:name="_Toc230277410"/>
      <w:r w:rsidRPr="007E1DD2">
        <w:t>FY 2027 Recommendations to the Department of Transitional Assistance</w:t>
      </w:r>
      <w:bookmarkEnd w:id="270"/>
    </w:p>
    <w:p w14:paraId="162CB2D7" w14:textId="36032E0B" w:rsidR="007E1DD2" w:rsidRPr="007E1DD2" w:rsidRDefault="007E1DD2" w:rsidP="00B7107C">
      <w:pPr>
        <w:pStyle w:val="Heading5"/>
      </w:pPr>
      <w:r>
        <w:t xml:space="preserve">1| </w:t>
      </w:r>
      <w:r w:rsidRPr="007E1DD2">
        <w:t>Partner with Massachusetts youth-serving agencies to disseminate accessible informational guides on resources and state services available to underserved communities.</w:t>
      </w:r>
    </w:p>
    <w:p w14:paraId="4BD59222" w14:textId="77777777" w:rsidR="007E1DD2" w:rsidRPr="007E1DD2" w:rsidRDefault="007E1DD2" w:rsidP="007E1DD2">
      <w:pPr>
        <w:jc w:val="both"/>
      </w:pPr>
      <w:r w:rsidRPr="007E1DD2">
        <w:t>The Commission recommends that DTA expand its partnerships with youth-serving agencies and organizations across the state to create and disseminate information guides about available state resources. Frequently, the Commission hears from youth, parents, and providers that they are unaware of existing programs provided by the state that would help ease financial difficulties. Additionally, many agencies struggle with ensuring that their services are reaching those who need them most, particularly youth. In FY 2026, DTA began engaging in internal conversations to discuss how best to disseminate guidance outlining support services for LGBTQIA+ communities across the state.</w:t>
      </w:r>
    </w:p>
    <w:p w14:paraId="5B540CC0" w14:textId="0CEFF093" w:rsidR="007E1DD2" w:rsidRPr="007E1DD2" w:rsidRDefault="007E1DD2" w:rsidP="00B7107C">
      <w:pPr>
        <w:pStyle w:val="Heading5"/>
      </w:pPr>
      <w:r>
        <w:t xml:space="preserve">2| </w:t>
      </w:r>
      <w:r w:rsidRPr="007E1DD2">
        <w:t>Continue to support internal working groups to uplift conversations &amp; events on intersectionality in the workplace.</w:t>
      </w:r>
    </w:p>
    <w:p w14:paraId="4279F8E4" w14:textId="77777777" w:rsidR="007E1DD2" w:rsidRPr="007E1DD2" w:rsidRDefault="007E1DD2" w:rsidP="007E1DD2">
      <w:pPr>
        <w:jc w:val="both"/>
      </w:pPr>
      <w:r w:rsidRPr="007E1DD2">
        <w:t>The Commission recommends that DTA continue to expand eﬀorts to uplift conversations on intersecting identities within the workplace, particularly around LGBTQ &amp; BIPOC-inclusive workplace environments. The Commission further recommends that DTA examine its own internal demographics to ensure that LGBTQ and BIPOC employees feel supported in the workplace. In FY 2026, DTA shared that its LGBTQIA+ ERG has begun working on developing articles and planning programming for DTA staff on LGBTQ-inclusivity in the workplace.</w:t>
      </w:r>
    </w:p>
    <w:p w14:paraId="5C4E262E" w14:textId="014444FE" w:rsidR="007E1DD2" w:rsidRPr="007E1DD2" w:rsidRDefault="007E1DD2" w:rsidP="00B7107C">
      <w:pPr>
        <w:pStyle w:val="Heading5"/>
      </w:pPr>
      <w:r>
        <w:t xml:space="preserve">3| </w:t>
      </w:r>
      <w:r w:rsidRPr="007E1DD2">
        <w:t>Continue to review opportunities to collect inclusive SOGI data information, and update IT systems to include new data ﬁelds where appropriate.</w:t>
      </w:r>
    </w:p>
    <w:p w14:paraId="3D1BAD5E" w14:textId="77777777" w:rsidR="007E1DD2" w:rsidRPr="007E1DD2" w:rsidRDefault="007E1DD2" w:rsidP="007E1DD2">
      <w:pPr>
        <w:jc w:val="both"/>
      </w:pPr>
      <w:r w:rsidRPr="007E1DD2">
        <w:t xml:space="preserve">In FY 2026, DTA began taking steps towards this recommendation as the agency completed the initial development phase of its SOGI data collection process and internal procedures. However, </w:t>
      </w:r>
      <w:r w:rsidRPr="007E1DD2">
        <w:lastRenderedPageBreak/>
        <w:t>DTA shared with the Commission that other program changes required a reallocation of staff resources, and its work on this recommendation has now paused.</w:t>
      </w:r>
    </w:p>
    <w:p w14:paraId="69D6D63F" w14:textId="0057892D" w:rsidR="007E1DD2" w:rsidRPr="007E1DD2" w:rsidRDefault="007E1DD2" w:rsidP="00B7107C">
      <w:pPr>
        <w:pStyle w:val="Heading5"/>
      </w:pPr>
      <w:r>
        <w:t xml:space="preserve">4| </w:t>
      </w:r>
      <w:r w:rsidRPr="007E1DD2">
        <w:t>Continue to expand intersectional LGBTQ training eﬀorts and mandate racial equity trainings for all DTA employees.</w:t>
      </w:r>
    </w:p>
    <w:p w14:paraId="71E62CB0" w14:textId="00C459AE" w:rsidR="007E1DD2" w:rsidRPr="007E1DD2" w:rsidRDefault="007E1DD2" w:rsidP="007E1DD2">
      <w:pPr>
        <w:jc w:val="both"/>
      </w:pPr>
      <w:r w:rsidRPr="007E1DD2">
        <w:t xml:space="preserve">In FY 2025, DTA shared that its mandatory all-staﬀ training series on working with diverse populations, which will include working with LGBTQ and BIPOC clients, will take place in 2026. The Commission appreciates DTA’s commitment to ensuring that its staﬀ are appropriately </w:t>
      </w:r>
      <w:r w:rsidR="00B443A2" w:rsidRPr="007E1DD2">
        <w:t>trained and</w:t>
      </w:r>
      <w:r w:rsidRPr="007E1DD2">
        <w:t xml:space="preserve"> recommends that DTA establish an equity-focused strategic plan on how it will continue to build upon these trainings over the next few ﬁscal years. Additionally, DTA shared that it is in the process of working on a new online resource to better share guidance for supporting LGBTQIA+ individuals and families.</w:t>
      </w:r>
    </w:p>
    <w:p w14:paraId="264D5B2B" w14:textId="679205B3" w:rsidR="007E1DD2" w:rsidRPr="007E1DD2" w:rsidRDefault="007E1DD2" w:rsidP="00B7107C">
      <w:pPr>
        <w:pStyle w:val="Heading5"/>
      </w:pPr>
      <w:r>
        <w:t xml:space="preserve">5| </w:t>
      </w:r>
      <w:r w:rsidRPr="007E1DD2">
        <w:t>Explore the creation and hiring of a full-time DTA-speciﬁc LGBTQ outreach specialist position.</w:t>
      </w:r>
    </w:p>
    <w:p w14:paraId="5EE6D84D" w14:textId="17F8E04E" w:rsidR="007E1DD2" w:rsidRPr="007E1DD2" w:rsidRDefault="007E1DD2" w:rsidP="007E1DD2">
      <w:pPr>
        <w:jc w:val="both"/>
      </w:pPr>
      <w:r w:rsidRPr="007E1DD2">
        <w:t xml:space="preserve">The Commission recommends that DTA continue to explore the creation of a new staﬀ position responsible for expanding its outreach work to LGBTQ communities, assisting with overseeing DEI, and internal training support. In FY 2025, DTA shared that it drafted a proposed position, though has amended the scope to focus more broadly on all </w:t>
      </w:r>
      <w:r w:rsidR="00B443A2" w:rsidRPr="007E1DD2">
        <w:t>underserved</w:t>
      </w:r>
      <w:r w:rsidRPr="007E1DD2">
        <w:t xml:space="preserve"> populations in Massachusetts. However, in FY 2026, DTA was required to pause on this position due to the employee cap.</w:t>
      </w:r>
    </w:p>
    <w:p w14:paraId="2C7CC02A" w14:textId="02EA8FE5" w:rsidR="007E1DD2" w:rsidRPr="00E44F63" w:rsidRDefault="007E1DD2" w:rsidP="007E1DD2">
      <w:pPr>
        <w:jc w:val="both"/>
        <w:rPr>
          <w:rStyle w:val="SubtleReference"/>
          <w:color w:val="864EA8" w:themeColor="accent1" w:themeShade="BF"/>
        </w:rPr>
      </w:pPr>
      <w:r w:rsidRPr="00E44F63">
        <w:rPr>
          <w:rStyle w:val="SubtleReference"/>
          <w:color w:val="864EA8" w:themeColor="accent1" w:themeShade="BF"/>
        </w:rPr>
        <w:t>Acknowledgments: The Commission sincerely thanks the contributions of its DTA agency liaisons.</w:t>
      </w:r>
    </w:p>
    <w:p w14:paraId="1B375350" w14:textId="77777777" w:rsidR="007E1DD2" w:rsidRPr="007E1DD2" w:rsidRDefault="007E1DD2" w:rsidP="007E1DD2"/>
    <w:p w14:paraId="2F5506A7" w14:textId="1B1DF7E5" w:rsidR="007E1DD2" w:rsidRDefault="007E1DD2" w:rsidP="007E1DD2">
      <w:pPr>
        <w:jc w:val="both"/>
        <w:rPr>
          <w:rStyle w:val="SubtleReference"/>
        </w:rPr>
      </w:pPr>
    </w:p>
    <w:p w14:paraId="5316A50C" w14:textId="3A75D148" w:rsidR="007E1DD2" w:rsidRDefault="007E1DD2">
      <w:pPr>
        <w:rPr>
          <w:rStyle w:val="SubtleReference"/>
        </w:rPr>
      </w:pPr>
      <w:r>
        <w:rPr>
          <w:rStyle w:val="SubtleReference"/>
        </w:rPr>
        <w:br w:type="page"/>
      </w:r>
    </w:p>
    <w:p w14:paraId="248D9AD2" w14:textId="77777777" w:rsidR="007E1DD2" w:rsidRPr="007E1DD2" w:rsidRDefault="007E1DD2" w:rsidP="00B7107C">
      <w:pPr>
        <w:pStyle w:val="Heading2"/>
      </w:pPr>
      <w:bookmarkStart w:id="271" w:name="_Toc230277116"/>
      <w:bookmarkStart w:id="272" w:name="_Toc230277411"/>
      <w:bookmarkStart w:id="273" w:name="_Toc230355498"/>
      <w:r w:rsidRPr="007E1DD2">
        <w:lastRenderedPageBreak/>
        <w:t>Department of Youth Services</w:t>
      </w:r>
      <w:bookmarkEnd w:id="271"/>
      <w:bookmarkEnd w:id="272"/>
      <w:bookmarkEnd w:id="273"/>
    </w:p>
    <w:p w14:paraId="67794241" w14:textId="77777777" w:rsidR="007E1DD2" w:rsidRPr="007E1DD2" w:rsidRDefault="007E1DD2">
      <w:pPr>
        <w:pStyle w:val="ListParagraph"/>
        <w:numPr>
          <w:ilvl w:val="0"/>
          <w:numId w:val="13"/>
        </w:numPr>
        <w:spacing w:after="0"/>
        <w:ind w:right="360"/>
        <w:jc w:val="both"/>
      </w:pPr>
      <w:r w:rsidRPr="007E1DD2">
        <w:t>Continue to expand data collection and reporting efforts on LGBTQ youth in DYS custody.</w:t>
      </w:r>
    </w:p>
    <w:p w14:paraId="31EF9AE5" w14:textId="77777777" w:rsidR="007E1DD2" w:rsidRPr="007E1DD2" w:rsidRDefault="007E1DD2">
      <w:pPr>
        <w:pStyle w:val="ListParagraph"/>
        <w:numPr>
          <w:ilvl w:val="0"/>
          <w:numId w:val="13"/>
        </w:numPr>
        <w:spacing w:after="0"/>
        <w:ind w:right="360"/>
        <w:jc w:val="both"/>
      </w:pPr>
      <w:r w:rsidRPr="007E1DD2">
        <w:t>Continue to review existing curricula, programming, and supplemental materials to ensure availability of LGBTQ-aﬃrming materials for youth and families.</w:t>
      </w:r>
    </w:p>
    <w:p w14:paraId="50161084" w14:textId="77777777" w:rsidR="007E1DD2" w:rsidRPr="007E1DD2" w:rsidRDefault="007E1DD2">
      <w:pPr>
        <w:pStyle w:val="ListParagraph"/>
        <w:numPr>
          <w:ilvl w:val="0"/>
          <w:numId w:val="13"/>
        </w:numPr>
        <w:spacing w:after="0"/>
        <w:ind w:right="360"/>
        <w:jc w:val="both"/>
      </w:pPr>
      <w:r w:rsidRPr="007E1DD2">
        <w:t>Continue to provide mandatory annual professional development opportunities that prioritize intersectionality and center LGBTQ youth and family engagement.</w:t>
      </w:r>
    </w:p>
    <w:p w14:paraId="7984832C" w14:textId="77777777" w:rsidR="007E1DD2" w:rsidRPr="007E1DD2" w:rsidRDefault="007E1DD2">
      <w:pPr>
        <w:pStyle w:val="ListParagraph"/>
        <w:numPr>
          <w:ilvl w:val="0"/>
          <w:numId w:val="13"/>
        </w:numPr>
        <w:spacing w:after="0"/>
        <w:ind w:right="360"/>
        <w:jc w:val="both"/>
      </w:pPr>
      <w:r w:rsidRPr="007E1DD2">
        <w:t>Collaborate with the Commission to establish an LGBTQ caregiver education curriculum within juvenile diversion programs.</w:t>
      </w:r>
    </w:p>
    <w:p w14:paraId="6BA92C69" w14:textId="77777777" w:rsidR="007E1DD2" w:rsidRPr="007E1DD2" w:rsidRDefault="007E1DD2">
      <w:pPr>
        <w:pStyle w:val="ListParagraph"/>
        <w:numPr>
          <w:ilvl w:val="0"/>
          <w:numId w:val="13"/>
        </w:numPr>
        <w:spacing w:after="0"/>
        <w:ind w:right="360"/>
        <w:jc w:val="both"/>
      </w:pPr>
      <w:r w:rsidRPr="007E1DD2">
        <w:t>Improve interagency work to support “warm hand-oﬀs” for transition-aged youth attempting to access services, in partnership with the Department of Children &amp; Families, the Department of Mental Health, and MassHealth.</w:t>
      </w:r>
    </w:p>
    <w:p w14:paraId="5419BB0B" w14:textId="77777777" w:rsidR="007E1DD2" w:rsidRPr="007E1DD2" w:rsidRDefault="007E1DD2" w:rsidP="00E97E73">
      <w:pPr>
        <w:pStyle w:val="Heading3"/>
      </w:pPr>
      <w:bookmarkStart w:id="274" w:name="_Toc230277412"/>
      <w:r w:rsidRPr="007E1DD2">
        <w:t>Introduction</w:t>
      </w:r>
      <w:bookmarkEnd w:id="274"/>
    </w:p>
    <w:p w14:paraId="7A297B6B" w14:textId="77777777" w:rsidR="007E1DD2" w:rsidRPr="007E1DD2" w:rsidRDefault="007E1DD2" w:rsidP="007E1DD2">
      <w:pPr>
        <w:spacing w:after="0"/>
        <w:jc w:val="both"/>
      </w:pPr>
      <w:r w:rsidRPr="007E1DD2">
        <w:t>The Massachusetts Department of Youth Services (DYS) is the state agency that serves ﬁve primary populations of young people (diversion young people, overnight arrest young people, detained young people, committed young people, and youth engaged in services) ranging in age from 12 to 22 dependent on the services provided. For a decade, DYS has led the nation in developing and implementing policies and guidelines to prohibit discrimination and harassment against LGBTQ youth. The DYS policy and guidelines, which became eﬀective in July 2014, were developed through collaboration with community advocates, including members of the Commission. DYS has received state and national recognition for its work on behalf of youth in the juvenile justice system.</w:t>
      </w:r>
    </w:p>
    <w:p w14:paraId="2470C3B0" w14:textId="77777777" w:rsidR="007E1DD2" w:rsidRPr="007E1DD2" w:rsidRDefault="007E1DD2" w:rsidP="00E97E73">
      <w:pPr>
        <w:pStyle w:val="Heading3"/>
      </w:pPr>
      <w:bookmarkStart w:id="275" w:name="_Toc230277413"/>
      <w:r w:rsidRPr="007E1DD2">
        <w:t>Past &amp; Ongoing Work</w:t>
      </w:r>
      <w:bookmarkEnd w:id="275"/>
    </w:p>
    <w:p w14:paraId="15100EAE" w14:textId="41FEDE9C" w:rsidR="007E1DD2" w:rsidRPr="007E1DD2" w:rsidRDefault="007E1DD2" w:rsidP="007E1DD2">
      <w:pPr>
        <w:spacing w:after="0"/>
        <w:jc w:val="both"/>
      </w:pPr>
      <w:r w:rsidRPr="007E1DD2">
        <w:t xml:space="preserve">The Commission appreciates the expansive work that DYS has done in recent years to address the Commission’s </w:t>
      </w:r>
      <w:r w:rsidR="00B443A2" w:rsidRPr="007E1DD2">
        <w:t>recommendations and</w:t>
      </w:r>
      <w:r w:rsidRPr="007E1DD2">
        <w:t xml:space="preserve"> looks forward to continuing to work with the agency in FY 2027. Over the years, DYS has met several of the Commission’s recommendations including improving its data collection and research relating to LGBTQ youth; expanding visible signage within its facilities; and increasing programming and resources available to DYS youth. In 2024, DYS finalized a review of its internal curriculum to ensure alignment with the new DESE Health and Physical Education Frameworks, supported by training opportunities for DYS educators. DYS has previously shared that its staﬀ routinely participate in mandatory trainings on working with LGBTQ youth during onboarding and on an annual basis thereafter. To support much of this work, </w:t>
      </w:r>
      <w:r w:rsidRPr="007E1DD2">
        <w:lastRenderedPageBreak/>
        <w:t>DYS formed an internal LGBTQ+ Subcommittee that frequently meets to review DYS’ ongoing work to create a more inclusive environment for its youth and staﬀ.</w:t>
      </w:r>
    </w:p>
    <w:p w14:paraId="240FF797" w14:textId="77777777" w:rsidR="007E1DD2" w:rsidRPr="007E1DD2" w:rsidRDefault="007E1DD2" w:rsidP="00E97E73">
      <w:pPr>
        <w:pStyle w:val="Heading3"/>
      </w:pPr>
      <w:bookmarkStart w:id="276" w:name="_Toc230277414"/>
      <w:r w:rsidRPr="007E1DD2">
        <w:t>FY 2027 Recommendations to the Department of Youth Services</w:t>
      </w:r>
      <w:bookmarkEnd w:id="276"/>
    </w:p>
    <w:p w14:paraId="139A0F2F" w14:textId="064B531E" w:rsidR="007E1DD2" w:rsidRPr="007E1DD2" w:rsidRDefault="007E1DD2" w:rsidP="00B7107C">
      <w:pPr>
        <w:pStyle w:val="Heading5"/>
      </w:pPr>
      <w:r>
        <w:t xml:space="preserve">1| </w:t>
      </w:r>
      <w:r w:rsidRPr="007E1DD2">
        <w:t>Continue to expand data collection and reporting efforts on LGBTQ youth in DYS custody.</w:t>
      </w:r>
    </w:p>
    <w:p w14:paraId="184541D0" w14:textId="77777777" w:rsidR="007E1DD2" w:rsidRPr="007E1DD2" w:rsidRDefault="007E1DD2" w:rsidP="007E1DD2">
      <w:pPr>
        <w:spacing w:after="0"/>
        <w:jc w:val="both"/>
      </w:pPr>
      <w:r w:rsidRPr="007E1DD2">
        <w:t>The Commission appreciates DYS’ continued attention to this recommendation. Past work that DYS has done to improve its expansion of research and reporting include the development of regional quality assurance reports to address missing data; developing a data brief to understand why its current data shows that more LGBTQ+ DYS youth than cisgender, heterosexual DYS youth report they had or currently have a fear of being in DYS custody; and consistently reporting out its findings and data within its newsletter. Overall, the Commission recommends that DYS continue to expand and explore opportunities to increase its data collection and reporting, with particular attention to the intersections of race, gender, sexual orientation, and region. Finally, the Commission recommends that DYS reports on its work to address compounded trauma for DYS youth, and the intersections of trauma and recidivism.</w:t>
      </w:r>
    </w:p>
    <w:p w14:paraId="33FA83D5" w14:textId="3B0FFB00" w:rsidR="007E1DD2" w:rsidRPr="007E1DD2" w:rsidRDefault="007E1DD2" w:rsidP="00B7107C">
      <w:pPr>
        <w:pStyle w:val="Heading5"/>
      </w:pPr>
      <w:r>
        <w:t xml:space="preserve">2| </w:t>
      </w:r>
      <w:r w:rsidRPr="007E1DD2">
        <w:t>Continue to review existing curricula, programming, and supplemental materials to ensure availability of LGBTQ-aﬃrming materials for youth and families.</w:t>
      </w:r>
    </w:p>
    <w:p w14:paraId="2CA04FDB" w14:textId="77777777" w:rsidR="007E1DD2" w:rsidRPr="007E1DD2" w:rsidRDefault="007E1DD2" w:rsidP="007E1DD2">
      <w:pPr>
        <w:spacing w:after="0"/>
        <w:jc w:val="both"/>
      </w:pPr>
      <w:r w:rsidRPr="007E1DD2">
        <w:t xml:space="preserve">DYS prioritizes  its educational programming and ensuring that the content is inclusive, while still meeting state requirements necessary for DYS youth to receive credit for  classwork done at DYS and  achieve their high school degree. Consistent with past recommendations, the Commission encourages DYS to continue to review </w:t>
      </w:r>
      <w:proofErr w:type="gramStart"/>
      <w:r w:rsidRPr="007E1DD2">
        <w:t>all of</w:t>
      </w:r>
      <w:proofErr w:type="gramEnd"/>
      <w:r w:rsidRPr="007E1DD2">
        <w:t xml:space="preserve"> its curriculum being presented both to youth and their families to ensure that LGBTQ-aﬃrming material is appropriately embedded into all areas. Since FY 2023, DYS has shared that it has identiﬁed several areas to oﬀer professional development opportunities on LGBTQ-inclusive curriculum guidance and has been conducting reviews and updates for outdated instructional materials.</w:t>
      </w:r>
    </w:p>
    <w:p w14:paraId="1D24575B" w14:textId="77777777" w:rsidR="007E1DD2" w:rsidRPr="007E1DD2" w:rsidRDefault="007E1DD2" w:rsidP="007E1DD2">
      <w:pPr>
        <w:spacing w:after="0"/>
        <w:jc w:val="both"/>
      </w:pPr>
      <w:r w:rsidRPr="007E1DD2">
        <w:t xml:space="preserve">Over the past few years, DYS has continued to address several areas within this recommendation, including implementation of curriculum materials supporting the DESE Comprehensive Health and Physical Education Frameworks and training for health and wellness educators. Additionally, DYS partnered with the Commission’s Safe Schools Program on a training session for Literacy and Multilingual Learner specialists and instructional coaches in the fall. DYS has further aligned its ELA scope and sequence with LGBTQ+ curriculum selections and has continued development of a student survey to better understand youth experiences and inform potential opportunities for new programming, such as a Gender and Sexuality Alliance (GSA). The Commission’s Education Subcommittee has demonstrated significant engagement in supporting these efforts, building on </w:t>
      </w:r>
      <w:r w:rsidRPr="007E1DD2">
        <w:lastRenderedPageBreak/>
        <w:t>prior work to develop educational frameworks, guidance, and resources, and is continuing to review and refine the student survey as part of these broader implementation efforts.</w:t>
      </w:r>
    </w:p>
    <w:p w14:paraId="16380CE3" w14:textId="38AC6034" w:rsidR="007E1DD2" w:rsidRPr="007E1DD2" w:rsidRDefault="007E1DD2" w:rsidP="007E1DD2">
      <w:pPr>
        <w:spacing w:after="0"/>
        <w:jc w:val="both"/>
      </w:pPr>
      <w:r w:rsidRPr="007E1DD2">
        <w:t>In FY 2025, DYS’ LGBTQ+ Task Force created a draft handbook for use by staff in its residential programs that details best practices for ensuring LGBTQI young people receive the products and services necessary to best support them in these settings. In finalizing the handbook, DYS expanded it into a Resource Guide for both residential and community youth and staff</w:t>
      </w:r>
      <w:r w:rsidR="007D658D" w:rsidRPr="007E1DD2">
        <w:t xml:space="preserve">. </w:t>
      </w:r>
      <w:r w:rsidRPr="007E1DD2">
        <w:t>The Resource Guide should be accessible to staff Spring 2026</w:t>
      </w:r>
      <w:r w:rsidR="007D658D" w:rsidRPr="007E1DD2">
        <w:t xml:space="preserve">. </w:t>
      </w:r>
      <w:r w:rsidRPr="007E1DD2">
        <w:t>It will include all work from each of the subcommittees including how to best communicate with the youth about their preferred names, pronouns, and placement requests, listing educational resources, samples of LGBTQ educational signage, implementing residential operational practices for LGBTQ youth, lists of state and community services for LGBTQ youth and families, available training materials, and links to the DYS Parent booklet.  This resource guide will be available electronically allowing it to be updated as needed. It is notable that through a DYS youth voice initiative connected to its Skill Up career readiness, vocational and employability initiative, DYS youth are compensated for their work to inform this subcommittee and other DYS initiatives</w:t>
      </w:r>
      <w:r w:rsidR="007D658D" w:rsidRPr="007E1DD2">
        <w:t xml:space="preserve">. </w:t>
      </w:r>
    </w:p>
    <w:p w14:paraId="7F53173C" w14:textId="02336E45" w:rsidR="007E1DD2" w:rsidRPr="007E1DD2" w:rsidRDefault="007E1DD2" w:rsidP="00B7107C">
      <w:pPr>
        <w:pStyle w:val="Heading5"/>
      </w:pPr>
      <w:r>
        <w:t xml:space="preserve">3| </w:t>
      </w:r>
      <w:r w:rsidRPr="007E1DD2">
        <w:t>Continue to provide mandatory annual professional development opportunities that prioritize intersectionality and center LGBTQ youth and family engagement.</w:t>
      </w:r>
    </w:p>
    <w:p w14:paraId="31AF5089" w14:textId="77777777" w:rsidR="007E1DD2" w:rsidRPr="007E1DD2" w:rsidRDefault="007E1DD2" w:rsidP="007E1DD2">
      <w:pPr>
        <w:spacing w:after="0"/>
        <w:jc w:val="both"/>
      </w:pPr>
      <w:r w:rsidRPr="007E1DD2">
        <w:t>The Commission recommends that DYS continue to offer professional development opportunities to its employees across all sectors and ensure that contracted provider employees are similarly held accountable to providing affirming programming and support. In FY 2025, DYS partnered with MaeBright Group, LLC to draft a new professional development training on LGBTQ+ inclusion to be mandatory training for all state and contracted provider employees in management and supervisory positions, including residential, community, clinical, administrative, and education services. DYS previously shared that these trainings began towards the end of FY 2025 and continued into FY 2026.</w:t>
      </w:r>
    </w:p>
    <w:p w14:paraId="2DB15570" w14:textId="7963F6EE" w:rsidR="007E1DD2" w:rsidRPr="007E1DD2" w:rsidRDefault="007E1DD2" w:rsidP="00B7107C">
      <w:pPr>
        <w:pStyle w:val="Heading5"/>
      </w:pPr>
      <w:r>
        <w:t xml:space="preserve">4| </w:t>
      </w:r>
      <w:r w:rsidRPr="007E1DD2">
        <w:t>Collaborate with the Commission to establish an LGBTQ caregiver education curriculum within juvenile diversion programs.</w:t>
      </w:r>
    </w:p>
    <w:p w14:paraId="07276FF9" w14:textId="77777777" w:rsidR="007E1DD2" w:rsidRPr="007E1DD2" w:rsidRDefault="007E1DD2" w:rsidP="007E1DD2">
      <w:pPr>
        <w:spacing w:after="0"/>
        <w:jc w:val="both"/>
      </w:pPr>
      <w:r w:rsidRPr="007E1DD2">
        <w:t xml:space="preserve">Part of the work of DYS is to support juvenile diversion, and in 2021, DYS and the OCA launched the Youth Diversion Initiative which works to support positive and equitable youth development. Within these diversion programs, DYS partners with referred youth and their families to reduce the likelihood of future contact with the juvenile justice system. However, in cases where families fail to support the youth’s sexual orientation and/or gender identity, this may lead to further strife and increase the likelihood of some youths continued interaction with the juvenile justice system. Since the Commission ﬁrst issued this recommendation, DYS has provided several updates on ongoing work to support and engage LGBTQ youth and their caregivers. One </w:t>
      </w:r>
      <w:proofErr w:type="gramStart"/>
      <w:r w:rsidRPr="007E1DD2">
        <w:lastRenderedPageBreak/>
        <w:t>particular project</w:t>
      </w:r>
      <w:proofErr w:type="gramEnd"/>
      <w:r w:rsidRPr="007E1DD2">
        <w:t xml:space="preserve"> that DYS has been working on is a booklet linking caregivers to resources on how to support LGBTQ youth; DYS shares that a ﬁnal draft of this booklet is being circulated internally for approval before distribution. Furthermore, DYS shared that it intends to train its new diversion coordinators with materials from PPAL on navigating the court system and supporting families and is working on materials to develop for its Family Partners. In FY 2026, DYS shared that this work has continued to move forward.</w:t>
      </w:r>
    </w:p>
    <w:p w14:paraId="0EFF6579" w14:textId="77777777" w:rsidR="007E1DD2" w:rsidRPr="007E1DD2" w:rsidRDefault="007E1DD2" w:rsidP="007E1DD2">
      <w:pPr>
        <w:spacing w:after="0"/>
        <w:jc w:val="both"/>
      </w:pPr>
      <w:r w:rsidRPr="007E1DD2">
        <w:t>The Commission recommends that DYS continue this work and explore additional ways it might facilitate LGBTQ caregiver engagement in partnership with other state agencies.</w:t>
      </w:r>
    </w:p>
    <w:p w14:paraId="76E48767" w14:textId="577F7036" w:rsidR="007E1DD2" w:rsidRPr="007E1DD2" w:rsidRDefault="007E1DD2" w:rsidP="00B7107C">
      <w:pPr>
        <w:pStyle w:val="Heading5"/>
      </w:pPr>
      <w:r>
        <w:t xml:space="preserve">5| </w:t>
      </w:r>
      <w:r w:rsidRPr="007E1DD2">
        <w:t>Improve interagency work to support “warm hand-oﬀs” for transition-aged youth attempting to access services, in partnership with the Department of Children &amp; Families, the Department of Mental Health, and MassHealth.</w:t>
      </w:r>
    </w:p>
    <w:p w14:paraId="382B8051" w14:textId="77777777" w:rsidR="007E1DD2" w:rsidRPr="007E1DD2" w:rsidRDefault="007E1DD2" w:rsidP="007E1DD2">
      <w:pPr>
        <w:spacing w:after="0"/>
        <w:jc w:val="both"/>
      </w:pPr>
      <w:r w:rsidRPr="007E1DD2">
        <w:t>In recent years, the Commission has appreciated the opportunity to support child-serving agencies in efforts to engage more collaboratively to better identify and support the complex needs of multisystem-involved youth. Groups such as the EOHHS Complex Case Interagency meeting, for example, continue to convene regularly and have gained increased recognition as a valuable forum to identify youth with multi-agency involvement and ensure they do not fall between systemic gaps. Agencies have shared that the involvement of EOHHS leadership in these discussions has been particularly helpful in providing broader system-level context and mitigating potential fragmentation in service coordination. However, the Commission has shared previously that given the complexity of these cases, it may remain difficult to immediately assess the full impact of these efforts, and continued coordination with youth and families will be necessary to ensure sustained progress.</w:t>
      </w:r>
    </w:p>
    <w:p w14:paraId="77E66DAD" w14:textId="77777777" w:rsidR="007E1DD2" w:rsidRPr="007E1DD2" w:rsidRDefault="007E1DD2" w:rsidP="007E1DD2">
      <w:pPr>
        <w:spacing w:after="0"/>
        <w:jc w:val="both"/>
      </w:pPr>
      <w:proofErr w:type="gramStart"/>
      <w:r w:rsidRPr="007E1DD2">
        <w:t>With regard to</w:t>
      </w:r>
      <w:proofErr w:type="gramEnd"/>
      <w:r w:rsidRPr="007E1DD2">
        <w:t xml:space="preserve"> youth who are involved with DYS and DCF, DYS has previously reported that it works with the Massachusetts Data Matching System (MDM) </w:t>
      </w:r>
      <w:proofErr w:type="gramStart"/>
      <w:r w:rsidRPr="007E1DD2">
        <w:t>on a daily basis</w:t>
      </w:r>
      <w:proofErr w:type="gramEnd"/>
      <w:r w:rsidRPr="007E1DD2">
        <w:t xml:space="preserve"> to identify all new DYS intakes that also have an open DCF case. The Client Locator Portal is utilized to identify if a new DYS intake is also an active DCF youth. DYS and DCF regional teams then review specific youth to ensure services are aligned and coordinated, including discharge planning. In addition, the Commission understands that agencies have recently engaged in discussions to realign service continuums, strengthen coordination, and ensure youth are connected to appropriate supports while avoiding duplication of services. The Commission also recognizes emerging efforts from DYS to strengthen collaboration with MassAbility to support youth in applying for and accessing services that may extend beyond traditional youth-serving systems.</w:t>
      </w:r>
    </w:p>
    <w:p w14:paraId="5E0A8646" w14:textId="77777777" w:rsidR="007E1DD2" w:rsidRPr="007E1DD2" w:rsidRDefault="007E1DD2" w:rsidP="007E1DD2">
      <w:pPr>
        <w:spacing w:after="0"/>
        <w:jc w:val="both"/>
      </w:pPr>
      <w:r w:rsidRPr="007E1DD2">
        <w:t xml:space="preserve">Despite these improvements, the Commission and its agency partners continue to observe structural challenges that may limit the effectiveness of interagency coordination. </w:t>
      </w:r>
      <w:proofErr w:type="gramStart"/>
      <w:r w:rsidRPr="007E1DD2">
        <w:t>In particular, there</w:t>
      </w:r>
      <w:proofErr w:type="gramEnd"/>
      <w:r w:rsidRPr="007E1DD2">
        <w:t xml:space="preserve"> remains no single, comprehensive cross-agency framework or consolidated resource outlining available services, eligibility pathways, and points of contact across systems. The </w:t>
      </w:r>
      <w:r w:rsidRPr="007E1DD2">
        <w:lastRenderedPageBreak/>
        <w:t>absence of such tools may create barriers for staff, youth, and families attempting to navigate multiple agencies simultaneously and may contribute to gaps or delays in service access. One such example shared over the last few years is that when there is high staff turnover, efforts to streamline collaboration may weaken as new staff are hired and institutional knowledge is lost.</w:t>
      </w:r>
    </w:p>
    <w:p w14:paraId="009B6380" w14:textId="22714B46" w:rsidR="007E1DD2" w:rsidRPr="007E1DD2" w:rsidRDefault="007E1DD2" w:rsidP="007E1DD2">
      <w:pPr>
        <w:spacing w:after="0"/>
        <w:jc w:val="both"/>
      </w:pPr>
      <w:r w:rsidRPr="007E1DD2">
        <w:t>The Commission therefore continues to recommend that DYS, and other youth-serving state agencies, explore sustainable solutions to mitigate communication and coordination challenges, including the development of clearer interagency guidance, shared resource materials, and more transparent processes for staff, youth, and families. Establishing more standardized and accessible cross-agency service navigation tools would further support continuity of care and help ensure that multisystem-involved youth receive consistent and comprehensive support. A possible area to explore is the formation of regional interagency collaborative groups with clear instructions and materials on internal processes, resources, and expectations.</w:t>
      </w:r>
    </w:p>
    <w:p w14:paraId="6444C63E" w14:textId="77777777" w:rsidR="007E1DD2" w:rsidRPr="00E44F63" w:rsidRDefault="007E1DD2" w:rsidP="007E1DD2">
      <w:pPr>
        <w:spacing w:after="0"/>
        <w:jc w:val="both"/>
        <w:rPr>
          <w:rStyle w:val="SubtleReference"/>
          <w:color w:val="864EA8" w:themeColor="accent1" w:themeShade="BF"/>
        </w:rPr>
      </w:pPr>
      <w:r w:rsidRPr="00E44F63">
        <w:rPr>
          <w:rStyle w:val="SubtleReference"/>
          <w:color w:val="864EA8" w:themeColor="accent1" w:themeShade="BF"/>
        </w:rPr>
        <w:t>Acknowledgments: The Commission appreciates the contributions of its DYS staﬀ liaisons.</w:t>
      </w:r>
    </w:p>
    <w:p w14:paraId="54EA8741" w14:textId="77777777" w:rsidR="007E1DD2" w:rsidRPr="00E44F63" w:rsidRDefault="007E1DD2" w:rsidP="007E1DD2">
      <w:pPr>
        <w:spacing w:after="0"/>
        <w:jc w:val="both"/>
        <w:rPr>
          <w:rStyle w:val="SubtleReference"/>
          <w:color w:val="864EA8" w:themeColor="accent1" w:themeShade="BF"/>
        </w:rPr>
      </w:pPr>
    </w:p>
    <w:p w14:paraId="4A16C0AA" w14:textId="4F00BAA2" w:rsidR="007E1DD2" w:rsidRDefault="007E1DD2">
      <w:r>
        <w:br w:type="page"/>
      </w:r>
    </w:p>
    <w:p w14:paraId="1D4262BA" w14:textId="1B933431" w:rsidR="00685963" w:rsidRPr="00685963" w:rsidRDefault="00685963" w:rsidP="00B7107C">
      <w:pPr>
        <w:pStyle w:val="Heading2"/>
      </w:pPr>
      <w:bookmarkStart w:id="277" w:name="_Toc230277117"/>
      <w:bookmarkStart w:id="278" w:name="_Toc230277415"/>
      <w:bookmarkStart w:id="279" w:name="_Toc230355499"/>
      <w:proofErr w:type="spellStart"/>
      <w:r>
        <w:lastRenderedPageBreak/>
        <w:t>O</w:t>
      </w:r>
      <w:r w:rsidRPr="00685963">
        <w:t>ﬃce</w:t>
      </w:r>
      <w:proofErr w:type="spellEnd"/>
      <w:r w:rsidRPr="00685963">
        <w:t xml:space="preserve"> for Refugees and ​Immigrants</w:t>
      </w:r>
      <w:bookmarkEnd w:id="277"/>
      <w:bookmarkEnd w:id="278"/>
      <w:bookmarkEnd w:id="279"/>
      <w:r w:rsidRPr="00685963">
        <w:t> </w:t>
      </w:r>
    </w:p>
    <w:p w14:paraId="16D22961" w14:textId="77777777" w:rsidR="00685963" w:rsidRPr="00685963" w:rsidRDefault="00685963">
      <w:pPr>
        <w:pStyle w:val="ListParagraph"/>
        <w:numPr>
          <w:ilvl w:val="0"/>
          <w:numId w:val="18"/>
        </w:numPr>
        <w:spacing w:after="0" w:line="240" w:lineRule="auto"/>
        <w:ind w:right="360"/>
        <w:jc w:val="both"/>
      </w:pPr>
      <w:r w:rsidRPr="00685963">
        <w:t>Develop and execute a strategic plan to conduct direct outreach to LGBTQ immigrant youth and families. </w:t>
      </w:r>
    </w:p>
    <w:p w14:paraId="178A1D5F" w14:textId="77777777" w:rsidR="00685963" w:rsidRPr="00685963" w:rsidRDefault="00685963">
      <w:pPr>
        <w:pStyle w:val="ListParagraph"/>
        <w:numPr>
          <w:ilvl w:val="0"/>
          <w:numId w:val="18"/>
        </w:numPr>
        <w:spacing w:after="0" w:line="240" w:lineRule="auto"/>
        <w:ind w:right="360"/>
        <w:jc w:val="both"/>
      </w:pPr>
      <w:r w:rsidRPr="00685963">
        <w:t>Establish relationships with LGBTQ community partners and organizations to ensure that all ORI providers have multicultural, multilingual resources available on site that are regionally appropriate. </w:t>
      </w:r>
    </w:p>
    <w:p w14:paraId="289582A8" w14:textId="77777777" w:rsidR="00685963" w:rsidRPr="00685963" w:rsidRDefault="00685963">
      <w:pPr>
        <w:pStyle w:val="ListParagraph"/>
        <w:numPr>
          <w:ilvl w:val="0"/>
          <w:numId w:val="18"/>
        </w:numPr>
        <w:spacing w:after="0" w:line="240" w:lineRule="auto"/>
        <w:ind w:right="360"/>
        <w:jc w:val="both"/>
      </w:pPr>
      <w:r w:rsidRPr="00685963">
        <w:t>Provide consistent professional development opportunities that prioritize intersectionality and center LGBTQ cultural engagement, racial equity, and adultism for staff and contracted providers. </w:t>
      </w:r>
    </w:p>
    <w:p w14:paraId="0AC222E7" w14:textId="77777777" w:rsidR="00685963" w:rsidRPr="00685963" w:rsidRDefault="00685963">
      <w:pPr>
        <w:pStyle w:val="ListParagraph"/>
        <w:numPr>
          <w:ilvl w:val="0"/>
          <w:numId w:val="18"/>
        </w:numPr>
        <w:spacing w:after="0" w:line="240" w:lineRule="auto"/>
        <w:ind w:right="360"/>
        <w:jc w:val="both"/>
      </w:pPr>
      <w:r w:rsidRPr="00685963">
        <w:t>Establish an interagency collaboration to investigate and improve the availability of resources for LGBTQ youth in need of ORI services. </w:t>
      </w:r>
    </w:p>
    <w:p w14:paraId="54C1B06A" w14:textId="77777777" w:rsidR="00685963" w:rsidRPr="00685963" w:rsidRDefault="00685963">
      <w:pPr>
        <w:pStyle w:val="ListParagraph"/>
        <w:numPr>
          <w:ilvl w:val="0"/>
          <w:numId w:val="18"/>
        </w:numPr>
        <w:spacing w:after="0" w:line="240" w:lineRule="auto"/>
        <w:ind w:right="360"/>
        <w:jc w:val="both"/>
      </w:pPr>
      <w:r w:rsidRPr="00685963">
        <w:t>Review and improve data collection efforts to capture sexual orientation and gender identity demographic information. </w:t>
      </w:r>
    </w:p>
    <w:p w14:paraId="2599AAB3" w14:textId="77777777" w:rsidR="00685963" w:rsidRPr="00685963" w:rsidRDefault="00685963">
      <w:pPr>
        <w:pStyle w:val="ListParagraph"/>
        <w:numPr>
          <w:ilvl w:val="0"/>
          <w:numId w:val="18"/>
        </w:numPr>
        <w:spacing w:after="0" w:line="240" w:lineRule="auto"/>
        <w:ind w:right="360"/>
        <w:jc w:val="both"/>
      </w:pPr>
      <w:r w:rsidRPr="00685963">
        <w:t>Implement a nondiscrimination policy and disseminate to employees and clients. </w:t>
      </w:r>
    </w:p>
    <w:p w14:paraId="133666DA" w14:textId="77777777" w:rsidR="00685963" w:rsidRPr="00685963" w:rsidRDefault="00685963" w:rsidP="00E97E73">
      <w:pPr>
        <w:pStyle w:val="Heading3"/>
      </w:pPr>
      <w:bookmarkStart w:id="280" w:name="_Toc230277416"/>
      <w:r w:rsidRPr="00685963">
        <w:t>Introduction</w:t>
      </w:r>
      <w:bookmarkEnd w:id="280"/>
      <w:r w:rsidRPr="00685963">
        <w:t> </w:t>
      </w:r>
    </w:p>
    <w:p w14:paraId="29147A29" w14:textId="68F0BCA9" w:rsidR="00685963" w:rsidRPr="00685963" w:rsidRDefault="00685963" w:rsidP="00685963">
      <w:pPr>
        <w:spacing w:after="0"/>
        <w:jc w:val="both"/>
      </w:pPr>
      <w:r w:rsidRPr="00685963">
        <w:t>The Massachusetts Oﬃce for Refugees and Immigrants (ORI) operates to support “services that meet the cultural and linguistic needs of refugees and immigrants through a network of service providers in Massachusetts.” Largely funded through the federal Oﬃce of Refugee Resettlement (ORR), ORI provides funding and administers direct service programs through community service providers to support groups that include refugees, asylees, Afghan and Iraqi Special Immigrant Visa Holders, Amerasians, Cuban/Haitian Entrants, human traﬃcking victims, legal permanent residents</w:t>
      </w:r>
      <w:r w:rsidR="007D658D" w:rsidRPr="00685963">
        <w:t xml:space="preserve">. </w:t>
      </w:r>
    </w:p>
    <w:p w14:paraId="119F3CE1" w14:textId="542AA39F" w:rsidR="00685963" w:rsidRPr="00685963" w:rsidRDefault="00685963" w:rsidP="00685963">
      <w:pPr>
        <w:spacing w:after="0"/>
        <w:jc w:val="both"/>
      </w:pPr>
      <w:r w:rsidRPr="00685963">
        <w:t xml:space="preserve">Little to no accessible data currently exists on the number of LGBTQ immigrant, asylee, and refugee residents in Massachusetts, let alone youth populations. Research suggests that the number of undocumented </w:t>
      </w:r>
      <w:proofErr w:type="gramStart"/>
      <w:r w:rsidRPr="00685963">
        <w:t>youth</w:t>
      </w:r>
      <w:proofErr w:type="gramEnd"/>
      <w:r w:rsidRPr="00685963">
        <w:t xml:space="preserve"> who identify as LGBTQ across the nation may be as high as 1 in 4</w:t>
      </w:r>
      <w:r>
        <w:t>.</w:t>
      </w:r>
      <w:r>
        <w:rPr>
          <w:rStyle w:val="FootnoteReference"/>
        </w:rPr>
        <w:footnoteReference w:id="275"/>
      </w:r>
      <w:r w:rsidRPr="00685963">
        <w:t xml:space="preserve"> Across the world, </w:t>
      </w:r>
      <w:r w:rsidR="0054417F" w:rsidRPr="00685963">
        <w:t>sixty-four</w:t>
      </w:r>
      <w:r w:rsidRPr="00685963">
        <w:t xml:space="preserve"> countries currently criminalize homosexuality, with at least 12 of these countries having a legal death penalty for homosexuality. A 2021 study on asylum claims in the U.S. between 2007 and 2017 showed that 4,385 claims leading to a fear-based interview were based on fears of persecution or torture due to the asylee’s sexual orientation and/or gender identity.</w:t>
      </w:r>
      <w:r>
        <w:rPr>
          <w:rStyle w:val="FootnoteReference"/>
        </w:rPr>
        <w:footnoteReference w:id="276"/>
      </w:r>
      <w:r w:rsidRPr="00685963">
        <w:t> </w:t>
      </w:r>
    </w:p>
    <w:p w14:paraId="24EF503E" w14:textId="77777777" w:rsidR="00685963" w:rsidRPr="00685963" w:rsidRDefault="00685963" w:rsidP="00E97E73">
      <w:pPr>
        <w:pStyle w:val="Heading3"/>
      </w:pPr>
      <w:bookmarkStart w:id="281" w:name="_Toc230277417"/>
      <w:r w:rsidRPr="00685963">
        <w:lastRenderedPageBreak/>
        <w:t>Past &amp; Ongoing Work</w:t>
      </w:r>
      <w:bookmarkEnd w:id="281"/>
      <w:r w:rsidRPr="00685963">
        <w:t> </w:t>
      </w:r>
    </w:p>
    <w:p w14:paraId="0BE61F76" w14:textId="77777777" w:rsidR="00685963" w:rsidRPr="00685963" w:rsidRDefault="00685963" w:rsidP="00685963">
      <w:pPr>
        <w:spacing w:after="0"/>
        <w:jc w:val="both"/>
      </w:pPr>
      <w:r w:rsidRPr="00685963">
        <w:t>The Commission has issued recommendations to the Oﬃce of Refugees and Immigrants for at least a decade. Since FY 2024, ORI has begun actively working on improving its commitment to addressing the Commission’s recommendations to support LGBTQ immigrant and refugee youth in Massachusetts. In May 2025, the Commission was pleased to partner with ORI to provide a one-hour session to its community partners around LGBTQ resources and support. </w:t>
      </w:r>
    </w:p>
    <w:p w14:paraId="1651A98B" w14:textId="085E1B6A" w:rsidR="00685963" w:rsidRPr="00685963" w:rsidRDefault="00685963" w:rsidP="00E97E73">
      <w:pPr>
        <w:pStyle w:val="Heading3"/>
      </w:pPr>
      <w:bookmarkStart w:id="282" w:name="_Toc230277418"/>
      <w:r w:rsidRPr="00685963">
        <w:t>FY 2027 Recommendations to the O</w:t>
      </w:r>
      <w:r w:rsidR="00BF5B9D">
        <w:t>ffi</w:t>
      </w:r>
      <w:r w:rsidRPr="00685963">
        <w:t>ce of Refugees and Immigrants</w:t>
      </w:r>
      <w:bookmarkEnd w:id="282"/>
      <w:r w:rsidRPr="00685963">
        <w:t> </w:t>
      </w:r>
    </w:p>
    <w:p w14:paraId="55E1EB66" w14:textId="55175CDA" w:rsidR="00685963" w:rsidRPr="00685963" w:rsidRDefault="00BF5B9D" w:rsidP="00B7107C">
      <w:pPr>
        <w:pStyle w:val="Heading5"/>
      </w:pPr>
      <w:r>
        <w:t xml:space="preserve">1| </w:t>
      </w:r>
      <w:r w:rsidR="00685963" w:rsidRPr="00685963">
        <w:t>Develop and execute a strategic plan to conduct direct outreach to LGBTQ immigrant youth and families across the Commonwealth. </w:t>
      </w:r>
    </w:p>
    <w:p w14:paraId="571080D8" w14:textId="77777777" w:rsidR="00685963" w:rsidRPr="00685963" w:rsidRDefault="00685963" w:rsidP="00685963">
      <w:pPr>
        <w:spacing w:after="0"/>
        <w:jc w:val="both"/>
      </w:pPr>
      <w:r w:rsidRPr="00685963">
        <w:t>The Commission recommends that ORI develops and executes an equity-focused strategic plan to evaluate and improve its services, with particular attention to LGBTQ immigrant and refugee populations across Massachusetts. In January 2025, ORI shared that, while it is open to addressing this recommendation, it needs additional staff capacity and expertise to pursue this plan. In the meantime, ORI notes that it has increased its attention to sharing resources and information to its providers and stakeholders. Throughout FY 2026, the Commission and ORI have engaged in several conversations about resource-sharing to ensure that service providers and youth are aware of available resources across the Commonwealth. </w:t>
      </w:r>
    </w:p>
    <w:p w14:paraId="2F2BC1AD" w14:textId="4E3D2798" w:rsidR="00685963" w:rsidRPr="00685963" w:rsidRDefault="00BF5B9D" w:rsidP="00B7107C">
      <w:pPr>
        <w:pStyle w:val="Heading5"/>
      </w:pPr>
      <w:r>
        <w:t xml:space="preserve">2| </w:t>
      </w:r>
      <w:r w:rsidR="00685963" w:rsidRPr="00685963">
        <w:t>Establish relationships with LGBTQ community partners and organizations across the Commonwealth to ensure that all ORI service providers have multicultural, multilingual resources available on site that are regionally appropriate. </w:t>
      </w:r>
    </w:p>
    <w:p w14:paraId="3CB1D035" w14:textId="0C11F211" w:rsidR="00685963" w:rsidRPr="00685963" w:rsidRDefault="00685963" w:rsidP="00685963">
      <w:pPr>
        <w:spacing w:after="0"/>
        <w:jc w:val="both"/>
      </w:pPr>
      <w:r w:rsidRPr="00685963">
        <w:t>Building oﬀ of the above recommendation, the Commission recommends that ORI continue to improve its work to build lasting partnerships with LGBTQ community organizations and programs serving LGBTQ immigrants, refugees, and asylum seekers. ORI has noted to the Commission in the past that some staﬀ members are unaware of where to refer the occasional LGBTQ client who does approach their agency for LGBTQ-speciﬁc resource assistance, while community partners have often lamented the lack of multicultural, multilingual resources and programs available in Massachusetts. By recommending that ORI establish collaborative relationships with LGBTQ partners across the state, the Commission hopes to see a desperately needed funding increase to existing programs, as well as the funding of new programs to better serve communities. Given the ongoing and upcoming challenges around state/federal funding to agencies in Massachusetts, the Commission understands that funding new programs is not necessarily an attainable goal soon. Additionally, federal funding losses have made it challenging for ORI’s community partners to maintain their programs due to staffing reduction. This reduction in resources impacts their ability to properly serve vulnerable communities</w:t>
      </w:r>
      <w:r w:rsidR="007D658D" w:rsidRPr="00685963">
        <w:t xml:space="preserve">. </w:t>
      </w:r>
    </w:p>
    <w:p w14:paraId="0C8D4A3D" w14:textId="77777777" w:rsidR="00685963" w:rsidRPr="00685963" w:rsidRDefault="00685963" w:rsidP="00685963">
      <w:pPr>
        <w:spacing w:after="0"/>
        <w:jc w:val="both"/>
      </w:pPr>
      <w:r w:rsidRPr="00685963">
        <w:lastRenderedPageBreak/>
        <w:t>​​In January 2025, ORI shared that it is actively working on strengthening its relationships with community partners and is hoping to hold a “Know Your Rights” presentation with LGBTQ youth-serving providers in Massachusetts soon. In FY 2026, ORI continued to host its weekly Community Conversations group to provide a space for information and resource-sharing to community partners. Additionally, ORI shared with the Commission that it conducted a series of regional listening sessions to hear from communities about the increased immigration enforcement across the Commonwealth; ORI made intentional attempts to include outreach to agencies specifically serving LGBTQ+ immigrants and refugees. In December 2025, ORI further shared with the Commission that it is exploring a potential training opportunity to MACI attorneys on LGBTQ-inclusive resources. </w:t>
      </w:r>
    </w:p>
    <w:p w14:paraId="2365B67E" w14:textId="5A90D7A6" w:rsidR="00685963" w:rsidRPr="00685963" w:rsidRDefault="00BF5B9D" w:rsidP="00B7107C">
      <w:pPr>
        <w:pStyle w:val="Heading5"/>
      </w:pPr>
      <w:r>
        <w:t xml:space="preserve">3| </w:t>
      </w:r>
      <w:r w:rsidR="00685963" w:rsidRPr="00685963">
        <w:t>Provide consistent professional development opportunities that prioritize intersectionality and center LGBTQ cultural engagement, racial equity, and adultism for staﬀ and contracted providers. </w:t>
      </w:r>
    </w:p>
    <w:p w14:paraId="1016B952" w14:textId="77777777" w:rsidR="00685963" w:rsidRPr="00685963" w:rsidRDefault="00685963" w:rsidP="00685963">
      <w:pPr>
        <w:spacing w:after="0"/>
        <w:jc w:val="both"/>
      </w:pPr>
      <w:r w:rsidRPr="00685963">
        <w:t>The Commission strongly recommends that ORI staﬀ and providers engage in mandatory training opportunities that highlight the multicultural needs and experiences of LGBTQ immigrant community members. In June 2024, ORI staﬀ attended a training on creating inclusive spaces for LGBTQ+ newcomers; ORI has informed the Commission that it is keeping an eye out for additional relevant trainings to ensure its staﬀ have appropriate supports to serve all clients. In May 2025, the Commission and ORI partnered on an informational session for ORI’s community providers to provide resources on working with LGBTQ youth in Massachusetts. In April  2026, the Commission and ORI co-hosted a panel for community providers to share legal resources and take in feedback on gaps in services for the state to address. </w:t>
      </w:r>
    </w:p>
    <w:p w14:paraId="52D04572" w14:textId="73C04CC8" w:rsidR="00685963" w:rsidRPr="00685963" w:rsidRDefault="00BF5B9D" w:rsidP="00B7107C">
      <w:pPr>
        <w:pStyle w:val="Heading5"/>
      </w:pPr>
      <w:r>
        <w:t xml:space="preserve">4| </w:t>
      </w:r>
      <w:r w:rsidR="00685963" w:rsidRPr="00685963">
        <w:t>Establish an interagency collaboration to investigate and improve the availability of resources for LGBTQ refugee and immigrant youth. </w:t>
      </w:r>
    </w:p>
    <w:p w14:paraId="1B050B45" w14:textId="77777777" w:rsidR="00685963" w:rsidRPr="00685963" w:rsidRDefault="00685963" w:rsidP="00685963">
      <w:pPr>
        <w:spacing w:after="0"/>
        <w:jc w:val="both"/>
      </w:pPr>
      <w:r w:rsidRPr="00685963">
        <w:t>To better understand the speciﬁc needs of LGBTQ refugees and immigrants in Massachusetts, the Commission recommends that ORI establish an interagency collaboration with youth-serving organizations and agencies. </w:t>
      </w:r>
    </w:p>
    <w:p w14:paraId="2B8E1C47" w14:textId="77777777" w:rsidR="00685963" w:rsidRPr="00685963" w:rsidRDefault="00685963" w:rsidP="00685963">
      <w:pPr>
        <w:spacing w:after="0"/>
        <w:jc w:val="both"/>
      </w:pPr>
      <w:r w:rsidRPr="00685963">
        <w:t xml:space="preserve">In a memo distributed to the Commission in 2023, ORI notes that it does engage in several interagency collaborations with DCF, DESE, and DPH that LGBTQ youth receive the services of through the Unaccompanied Refugee Minors Program (URM); Refugee School Impact: Support to Schools Initiative; the Refugee Medical Screening (RMS)/Refugee Health Assessment Program (RHAP); the MA Refugee Health Promotion Program (MRHPP); the Refugee Mental Health Initiative (ReMHI), and Refugee Youth Mentoring (RYM) and Youth Adjustment Services (YAS). In 2025, ORI noted for the Commission that its URM provider in Massachusetts, Ascentria Care Alliance, is a member of the Human Rights Campaign Foundation “All Children, All Families” </w:t>
      </w:r>
      <w:r w:rsidRPr="00685963">
        <w:lastRenderedPageBreak/>
        <w:t>(AFAC) to promote LGBTQ+ inclusive policies. To maintain their AFAC membership at the “Solid Tier” level, Ascentria ensures inclusivity practices are upheld, and that benchmarks set by ACAF, including Non-Discrimination, Staﬀ Training, Rolling Out the Welcome Mat, Parent Best Practices, Youth Best Practices, Sustainability and Capacity Building are met. In addition, Ascentria provides URM staﬀ with yearly LGBTQ+ inclusivity trainings and remains committed to recruiting LGBTQ+ identifying foster families. </w:t>
      </w:r>
    </w:p>
    <w:p w14:paraId="05DF8AD7" w14:textId="77777777" w:rsidR="00685963" w:rsidRPr="00685963" w:rsidRDefault="00685963" w:rsidP="00685963">
      <w:pPr>
        <w:spacing w:after="0"/>
        <w:jc w:val="both"/>
      </w:pPr>
      <w:r w:rsidRPr="00685963">
        <w:t>The Commission appreciates the attention that ORI has given to this recommendation in recent years; the agency has committed to examining its existing partnerships and potential new areas to increase conversations about supporting LGBTQ clients. </w:t>
      </w:r>
    </w:p>
    <w:p w14:paraId="6BDE12AD" w14:textId="47A2FFE1" w:rsidR="00685963" w:rsidRPr="00685963" w:rsidRDefault="00BF5B9D" w:rsidP="00B7107C">
      <w:pPr>
        <w:pStyle w:val="Heading5"/>
      </w:pPr>
      <w:r>
        <w:t xml:space="preserve">5| </w:t>
      </w:r>
      <w:r w:rsidR="00685963" w:rsidRPr="00685963">
        <w:t>Review and improve data collection eﬀorts to capture sexual orientation and gender identity demographic information. </w:t>
      </w:r>
    </w:p>
    <w:p w14:paraId="417F5602" w14:textId="77777777" w:rsidR="00685963" w:rsidRPr="00685963" w:rsidRDefault="00685963" w:rsidP="00685963">
      <w:pPr>
        <w:spacing w:after="0"/>
        <w:jc w:val="both"/>
      </w:pPr>
      <w:r w:rsidRPr="00685963">
        <w:t>In FY 2025, ORI began working on a database overhaul during which it intends to add categories to its system to better capture SOGI information, specifically gender identity. The Commission recommends that ORI continue this project and begin to develop plans for an implementation phase. Plans for an implementation phase should include information on identifying appropriate safety practices to protect client data; mandatory trainings on how to collect SOGI information for all staﬀ and resources for providers; and clear data standards that are available to all staﬀ.</w:t>
      </w:r>
    </w:p>
    <w:p w14:paraId="4D135894" w14:textId="7B0FBA3C" w:rsidR="00685963" w:rsidRPr="00685963" w:rsidRDefault="00685963" w:rsidP="00685963">
      <w:pPr>
        <w:spacing w:after="0"/>
        <w:jc w:val="both"/>
      </w:pPr>
      <w:r w:rsidRPr="00685963">
        <w:t>​In FY 2026, ORI shared that it is still working on this database transition</w:t>
      </w:r>
      <w:r w:rsidR="007D658D" w:rsidRPr="00685963">
        <w:t xml:space="preserve">. </w:t>
      </w:r>
      <w:r w:rsidRPr="00685963">
        <w:t>Additionally, ORI notes that providing SOGI data is never required for eligibility for ORI programs and services. ORI also noted that it does not currently collect SOGI information through certain legal aid programs, citing concerns that such collection may deter individuals from seeking services due to privacy and safety fears, particularly given the current political climate surrounding LGBTQ communities and data collection. </w:t>
      </w:r>
    </w:p>
    <w:p w14:paraId="7A39F509" w14:textId="5CB55ED6" w:rsidR="00685963" w:rsidRPr="00685963" w:rsidRDefault="00BF5B9D" w:rsidP="00B7107C">
      <w:pPr>
        <w:pStyle w:val="Heading5"/>
      </w:pPr>
      <w:r>
        <w:t xml:space="preserve">6| </w:t>
      </w:r>
      <w:r w:rsidR="00685963" w:rsidRPr="00685963">
        <w:t>Implement a nondiscrimination policy and disseminate to employees and clients. </w:t>
      </w:r>
    </w:p>
    <w:p w14:paraId="1DF05A11" w14:textId="3177FF5E" w:rsidR="00685963" w:rsidRPr="00685963" w:rsidRDefault="00685963" w:rsidP="00685963">
      <w:pPr>
        <w:spacing w:after="0"/>
        <w:jc w:val="both"/>
      </w:pPr>
      <w:r w:rsidRPr="00685963">
        <w:t xml:space="preserve">Since FY 2021, the Commission has recommended that ORI implement a nondiscrimination policy that is available to its employees and clients, with a focus on language access. In FY 2022, the Commission was made aware of a delay within EOHHS’ approval system and received notiﬁcation from EOHHS that the already existing EOHHS nondiscrimination policy should suﬃce for ORI. The Commission disagrees with this opinion from EOHHS and continues to recommend that ORI pursue a publicly available nondiscrimination statement at minimum, particularly given that many LGBTQ immigrants and refugees come to the United States due to anti-LGBTQ violence from their home country. Such a policy or statement should incorporate an intersectional, multilingual approach that provides clients with clear avenues for accountability. Further, as noted above, the Commission recommends that ORI and EOHHS review the already drafted policy to better understand why ORI - unlike other state agencies that fall under EOHHS - cannot </w:t>
      </w:r>
      <w:r w:rsidRPr="00685963">
        <w:lastRenderedPageBreak/>
        <w:t>have its own speciﬁc nondiscrimination policy. Should the policy be updated and revised, the Commission recommends that ORI prioritizes these revisions in partnership with EOHHS. </w:t>
      </w:r>
    </w:p>
    <w:p w14:paraId="46E4EFF9" w14:textId="223DA1E1" w:rsidR="00505022" w:rsidRPr="00E44F63" w:rsidRDefault="00685963" w:rsidP="00685963">
      <w:pPr>
        <w:spacing w:after="0"/>
        <w:jc w:val="both"/>
        <w:rPr>
          <w:rStyle w:val="SubtleReference"/>
          <w:color w:val="864EA8" w:themeColor="accent1" w:themeShade="BF"/>
        </w:rPr>
      </w:pPr>
      <w:r w:rsidRPr="00E44F63">
        <w:rPr>
          <w:rStyle w:val="SubtleReference"/>
          <w:color w:val="864EA8" w:themeColor="accent1" w:themeShade="BF"/>
        </w:rPr>
        <w:t xml:space="preserve">Acknowledgments: The Commission thanks the contributions of </w:t>
      </w:r>
      <w:r w:rsidR="00505022" w:rsidRPr="00E44F63">
        <w:rPr>
          <w:rStyle w:val="SubtleReference"/>
          <w:color w:val="864EA8" w:themeColor="accent1" w:themeShade="BF"/>
        </w:rPr>
        <w:t>i</w:t>
      </w:r>
      <w:r w:rsidRPr="00E44F63">
        <w:rPr>
          <w:rStyle w:val="SubtleReference"/>
          <w:color w:val="864EA8" w:themeColor="accent1" w:themeShade="BF"/>
        </w:rPr>
        <w:t>ts ORI staﬀ liaisons. </w:t>
      </w:r>
    </w:p>
    <w:p w14:paraId="5822587E" w14:textId="77777777" w:rsidR="00505022" w:rsidRDefault="00505022">
      <w:r>
        <w:br w:type="page"/>
      </w:r>
    </w:p>
    <w:p w14:paraId="2658C528" w14:textId="0780C81A" w:rsidR="00685963" w:rsidRDefault="00505022" w:rsidP="00505022">
      <w:pPr>
        <w:pStyle w:val="Heading1"/>
        <w:jc w:val="both"/>
      </w:pPr>
      <w:bookmarkStart w:id="283" w:name="_Toc230277118"/>
      <w:bookmarkStart w:id="284" w:name="_Toc230277419"/>
      <w:bookmarkStart w:id="285" w:name="_Toc230355500"/>
      <w:r>
        <w:lastRenderedPageBreak/>
        <w:t xml:space="preserve">Executive </w:t>
      </w:r>
      <w:r w:rsidR="00022266">
        <w:t>Office of Education</w:t>
      </w:r>
      <w:bookmarkEnd w:id="283"/>
      <w:bookmarkEnd w:id="284"/>
      <w:bookmarkEnd w:id="285"/>
    </w:p>
    <w:p w14:paraId="32D39D18" w14:textId="5DE3070C" w:rsidR="00505022" w:rsidRPr="00505022" w:rsidRDefault="00B7107C" w:rsidP="00B7107C">
      <w:pPr>
        <w:pStyle w:val="Heading2"/>
      </w:pPr>
      <w:bookmarkStart w:id="286" w:name="_Toc230277119"/>
      <w:bookmarkStart w:id="287" w:name="_Toc230277420"/>
      <w:bookmarkStart w:id="288" w:name="_Toc230355501"/>
      <w:r>
        <w:t>Department of Early Education and Care</w:t>
      </w:r>
      <w:bookmarkEnd w:id="286"/>
      <w:bookmarkEnd w:id="287"/>
      <w:bookmarkEnd w:id="288"/>
    </w:p>
    <w:p w14:paraId="7B3E7B08" w14:textId="77777777" w:rsidR="00505022" w:rsidRPr="00505022" w:rsidRDefault="00505022">
      <w:pPr>
        <w:pStyle w:val="ListParagraph"/>
        <w:numPr>
          <w:ilvl w:val="0"/>
          <w:numId w:val="20"/>
        </w:numPr>
        <w:spacing w:line="240" w:lineRule="auto"/>
        <w:ind w:right="360"/>
        <w:jc w:val="both"/>
      </w:pPr>
      <w:r w:rsidRPr="00505022">
        <w:t>Develop and implement a comprehensive online training module focused on affirming practices for LGBTQ children, youth, and families.</w:t>
      </w:r>
    </w:p>
    <w:p w14:paraId="2702CF87" w14:textId="77777777" w:rsidR="00505022" w:rsidRPr="00505022" w:rsidRDefault="00505022">
      <w:pPr>
        <w:pStyle w:val="ListParagraph"/>
        <w:numPr>
          <w:ilvl w:val="0"/>
          <w:numId w:val="20"/>
        </w:numPr>
        <w:spacing w:line="240" w:lineRule="auto"/>
        <w:ind w:right="360"/>
        <w:jc w:val="both"/>
      </w:pPr>
      <w:r w:rsidRPr="00505022">
        <w:t>Strengthen and expand collaboration on the Statewide Family Engagement Framework by explicitly incorporating LGBTQ-inclusive principles, tools, and practices.</w:t>
      </w:r>
    </w:p>
    <w:p w14:paraId="31E03DFE" w14:textId="77777777" w:rsidR="00505022" w:rsidRPr="00505022" w:rsidRDefault="00505022">
      <w:pPr>
        <w:pStyle w:val="ListParagraph"/>
        <w:numPr>
          <w:ilvl w:val="0"/>
          <w:numId w:val="20"/>
        </w:numPr>
        <w:spacing w:line="240" w:lineRule="auto"/>
        <w:ind w:right="360"/>
        <w:jc w:val="both"/>
      </w:pPr>
      <w:r w:rsidRPr="00505022">
        <w:t>Ensure that all EEC-managed data systems and digital applications include nonbinary gender markers, options for affirmed names, and inclusive language.</w:t>
      </w:r>
    </w:p>
    <w:p w14:paraId="02B70BD9" w14:textId="77777777" w:rsidR="00505022" w:rsidRPr="00505022" w:rsidRDefault="00505022">
      <w:pPr>
        <w:pStyle w:val="ListParagraph"/>
        <w:numPr>
          <w:ilvl w:val="0"/>
          <w:numId w:val="20"/>
        </w:numPr>
        <w:spacing w:line="240" w:lineRule="auto"/>
        <w:ind w:right="360"/>
        <w:jc w:val="both"/>
      </w:pPr>
      <w:r w:rsidRPr="00505022">
        <w:t>Establish a regular cadence for sharing updated guidance, research findings, model policies, and best practices related to affirming care for LGBTQ children and families.</w:t>
      </w:r>
    </w:p>
    <w:p w14:paraId="2BA3D841" w14:textId="402F91C4" w:rsidR="00505022" w:rsidRPr="00505022" w:rsidRDefault="00505022">
      <w:pPr>
        <w:pStyle w:val="ListParagraph"/>
        <w:numPr>
          <w:ilvl w:val="0"/>
          <w:numId w:val="20"/>
        </w:numPr>
        <w:spacing w:line="240" w:lineRule="auto"/>
        <w:ind w:right="360"/>
        <w:jc w:val="both"/>
      </w:pPr>
      <w:r w:rsidRPr="00505022">
        <w:t xml:space="preserve">Establish a practice of proactive public support for LGBTQ children, </w:t>
      </w:r>
      <w:r w:rsidR="007D658D" w:rsidRPr="00505022">
        <w:t>families,</w:t>
      </w:r>
      <w:r w:rsidRPr="00505022">
        <w:t xml:space="preserve"> and professionals.</w:t>
      </w:r>
    </w:p>
    <w:p w14:paraId="47ABF680" w14:textId="77777777" w:rsidR="00505022" w:rsidRPr="00505022" w:rsidRDefault="00505022" w:rsidP="00E97E73">
      <w:pPr>
        <w:pStyle w:val="Heading3"/>
      </w:pPr>
      <w:bookmarkStart w:id="289" w:name="_Toc230277421"/>
      <w:r w:rsidRPr="00505022">
        <w:t>Introduction</w:t>
      </w:r>
      <w:bookmarkEnd w:id="289"/>
      <w:r w:rsidRPr="00505022">
        <w:t> </w:t>
      </w:r>
    </w:p>
    <w:p w14:paraId="2B1C71E1" w14:textId="77777777" w:rsidR="00505022" w:rsidRPr="00505022" w:rsidRDefault="00505022" w:rsidP="00505022">
      <w:pPr>
        <w:jc w:val="both"/>
      </w:pPr>
      <w:r w:rsidRPr="00505022">
        <w:t>The Department of Early Education and Care (EEC) plays a critical role in shaping the early learning and care landscape for the Commonwealth’s youngest residents.</w:t>
      </w:r>
    </w:p>
    <w:p w14:paraId="7D49955C" w14:textId="73D6BF8B" w:rsidR="00505022" w:rsidRPr="00505022" w:rsidRDefault="00505022" w:rsidP="00505022">
      <w:pPr>
        <w:jc w:val="both"/>
      </w:pPr>
      <w:r w:rsidRPr="00505022">
        <w:t xml:space="preserve">Through its leadership in early childhood education, support for parents under </w:t>
      </w:r>
      <w:r w:rsidR="0054417F" w:rsidRPr="00505022">
        <w:t>twenty-four</w:t>
      </w:r>
      <w:r w:rsidRPr="00505022">
        <w:t xml:space="preserve">, and oversight of licensed child-serving organizations—including </w:t>
      </w:r>
      <w:r w:rsidR="00B443A2" w:rsidRPr="00505022">
        <w:t>childcare</w:t>
      </w:r>
      <w:r w:rsidRPr="00505022">
        <w:t xml:space="preserve"> programs, temporary shelters, residential care adoption </w:t>
      </w:r>
      <w:r w:rsidR="007D658D" w:rsidRPr="00505022">
        <w:t>agencies,</w:t>
      </w:r>
      <w:r w:rsidRPr="00505022">
        <w:t xml:space="preserve"> and foster homes—EEC ensures access to safe, developmentally appropriate, and culturally responsive environments across Massachusetts. The Massachusetts Commission on LGBTQ Youth commends EEC’s sustained commitment to equity and inclusion and deeply values its leadership in building aﬃrming systems of care for children and families.</w:t>
      </w:r>
    </w:p>
    <w:p w14:paraId="0AF3D559" w14:textId="77777777" w:rsidR="00505022" w:rsidRPr="00505022" w:rsidRDefault="00505022" w:rsidP="00505022">
      <w:pPr>
        <w:jc w:val="both"/>
      </w:pPr>
      <w:r w:rsidRPr="00505022">
        <w:t>With its broad scope and regulatory authority, EEC is uniquely positioned to advance the safety, belonging, and success of LGBTQ children and families—particularly those impacted by intersecting forms of marginalization, including racism, classism, ableism, adultism, and anti-LGBTQ bias. The Commission continues to hear from early educators, family support providers, and placement agencies who are eager to deliver aﬃrming care but face persistent barriers due to policy gaps, limited training, and unclear best practices. Concerns have also been raised about the inconsistent application of aﬃrming standards in licensing reviews and the lack of clarity surrounding inclusive placement protocols for transgender youth.</w:t>
      </w:r>
    </w:p>
    <w:p w14:paraId="474C729A" w14:textId="77777777" w:rsidR="00505022" w:rsidRPr="00505022" w:rsidRDefault="00505022" w:rsidP="00505022">
      <w:pPr>
        <w:jc w:val="both"/>
      </w:pPr>
      <w:r w:rsidRPr="00505022">
        <w:t xml:space="preserve">In response to these ongoing challenges, the Commission presented these expanded recommendations at the start of FY 2026 and looks forward to continuing to work with EEC on these in FY 2027. These proposals build on previous guidance and reﬂect the Commission’s priorities for ensuring aﬃrming, equitable, and inclusive practices throughout Massachusetts’ </w:t>
      </w:r>
      <w:r w:rsidRPr="00505022">
        <w:lastRenderedPageBreak/>
        <w:t>early education and care ecosystem. They are designed to strengthen provider capacity, remove structural barriers, and ensure that every child—regardless of their gender identity, sexual orientation, or family structure—can thrive in safe, welcoming, and developmentally supportive environments.</w:t>
      </w:r>
    </w:p>
    <w:p w14:paraId="5AD54B6B" w14:textId="77777777" w:rsidR="00505022" w:rsidRPr="00505022" w:rsidRDefault="00505022" w:rsidP="00505022">
      <w:pPr>
        <w:jc w:val="both"/>
      </w:pPr>
      <w:r w:rsidRPr="00505022">
        <w:t>The Commission is also eager to collaborate with EEC to explore how LGBTQ competencies can be meaningfully integrated into workforce development initiatives, including the Professional Qualifications Registry database and other credentialing, training, and technical assistance tools that support the professional growth of the early education and care workforce.</w:t>
      </w:r>
    </w:p>
    <w:p w14:paraId="43BB4108" w14:textId="77777777" w:rsidR="00505022" w:rsidRPr="00505022" w:rsidRDefault="00505022" w:rsidP="00E97E73">
      <w:pPr>
        <w:pStyle w:val="Heading3"/>
      </w:pPr>
      <w:bookmarkStart w:id="290" w:name="_Toc230277422"/>
      <w:r w:rsidRPr="00505022">
        <w:t>Past &amp; Ongoing Work</w:t>
      </w:r>
      <w:bookmarkEnd w:id="290"/>
    </w:p>
    <w:p w14:paraId="01BA9EBC" w14:textId="77777777" w:rsidR="00505022" w:rsidRPr="00505022" w:rsidRDefault="00505022" w:rsidP="00505022">
      <w:pPr>
        <w:jc w:val="both"/>
      </w:pPr>
      <w:r w:rsidRPr="00505022">
        <w:t>The Commission was pleased to see that EEC’s longest-standing recommendation in the annual reports was resolved in FY 2026. For several years, the Commission highlighted the need for clear guidance to EEC-licensed residential settings on ensuring appropriate placements for transgender and nonbinary youth. In May 2026, EEC informed the Commission that the regulations have been updated with the Commission’s recommended language and will be effective in November 2026.</w:t>
      </w:r>
    </w:p>
    <w:p w14:paraId="6F684911" w14:textId="101A3A30" w:rsidR="00505022" w:rsidRPr="00505022" w:rsidRDefault="00505022" w:rsidP="00E97E73">
      <w:pPr>
        <w:pStyle w:val="Heading3"/>
      </w:pPr>
      <w:bookmarkStart w:id="291" w:name="_Toc230277423"/>
      <w:r w:rsidRPr="00505022">
        <w:t>FY 2027 Recommendations to the Department of Early Education and Care</w:t>
      </w:r>
      <w:bookmarkEnd w:id="291"/>
    </w:p>
    <w:p w14:paraId="0EC808EB" w14:textId="09F30B92" w:rsidR="00505022" w:rsidRPr="00505022" w:rsidRDefault="00BF5B9D" w:rsidP="00B7107C">
      <w:pPr>
        <w:pStyle w:val="Heading5"/>
      </w:pPr>
      <w:r>
        <w:t xml:space="preserve">1| </w:t>
      </w:r>
      <w:r w:rsidR="00505022" w:rsidRPr="00505022">
        <w:t>Develop and implement a comprehensive online training module focused on aﬃrming practices for LGBTQ+ children, youth, and families.</w:t>
      </w:r>
    </w:p>
    <w:p w14:paraId="2B0ACD9A" w14:textId="77777777" w:rsidR="00505022" w:rsidRPr="00505022" w:rsidRDefault="00505022" w:rsidP="00505022">
      <w:pPr>
        <w:jc w:val="both"/>
      </w:pPr>
      <w:r w:rsidRPr="00505022">
        <w:t>The Commission recommends that EEC work to expand its training and professional development oﬀerings for staﬀ and providers. The suggested module should be accessible to all licensed providers and integrated into EEC’s ongoing professional development system. In addition, EEC should oﬀer in-person training opportunities and communities of practice that center cultural humility, racial equity, family diversity, and anti-bias education; these sessions should explicitly address the impacts of adultism and structural oppression, equipping providers to recognize and interrupt harmful dynamics. All training content should reﬂect an intersectional approach that accounts for the complex and overlapping identities of children and families served by EEC-licensed programs.</w:t>
      </w:r>
    </w:p>
    <w:p w14:paraId="587E698E" w14:textId="043FF8C4" w:rsidR="00505022" w:rsidRPr="00505022" w:rsidRDefault="00BF5B9D" w:rsidP="00B7107C">
      <w:pPr>
        <w:pStyle w:val="Heading5"/>
      </w:pPr>
      <w:r>
        <w:lastRenderedPageBreak/>
        <w:t xml:space="preserve">2| </w:t>
      </w:r>
      <w:r w:rsidR="00505022" w:rsidRPr="00505022">
        <w:t>Strengthen and expand collaboration on the Statewide Family Engagement Framework by explicitly incorporating LGBTQ-inclusive principles, tools, and practices.</w:t>
      </w:r>
    </w:p>
    <w:p w14:paraId="04A459E9" w14:textId="77777777" w:rsidR="00505022" w:rsidRPr="00505022" w:rsidRDefault="00505022" w:rsidP="00505022">
      <w:pPr>
        <w:jc w:val="both"/>
      </w:pPr>
      <w:r w:rsidRPr="00505022">
        <w:t>The Commission recommends that EEC work to support districts and providers with sample policies, communication strategies, and engagement tools designed to build authentic, aﬃrming, and culturally responsive relationships with LGBTQ families.</w:t>
      </w:r>
    </w:p>
    <w:p w14:paraId="3019F3A5" w14:textId="7CA5330B" w:rsidR="00505022" w:rsidRPr="00505022" w:rsidRDefault="00505022" w:rsidP="00505022">
      <w:pPr>
        <w:jc w:val="both"/>
      </w:pPr>
      <w:r w:rsidRPr="00505022">
        <w:t xml:space="preserve">These strategies and tools should include addressing the diverse conﬁgurations of family structures, using inclusive language, and confronting implicit biases that may inhibit trust or access. Additionally, EEC should promote family engagement practices that foster belonging, honor lived </w:t>
      </w:r>
      <w:r w:rsidR="00B443A2" w:rsidRPr="00505022">
        <w:t>experience and</w:t>
      </w:r>
      <w:r w:rsidRPr="00505022">
        <w:t xml:space="preserve"> uphold the dignity of all families in early education and care settings.</w:t>
      </w:r>
    </w:p>
    <w:p w14:paraId="6EA4DD07" w14:textId="240BDAAA" w:rsidR="00505022" w:rsidRPr="00505022" w:rsidRDefault="00BF5B9D" w:rsidP="00B7107C">
      <w:pPr>
        <w:pStyle w:val="Heading5"/>
      </w:pPr>
      <w:r>
        <w:t xml:space="preserve">3| </w:t>
      </w:r>
      <w:r w:rsidR="00505022" w:rsidRPr="00505022">
        <w:t>Ensure that all EEC-managed data systems and digital applications include nonbinary gender markers, options for aﬃrmed names, and inclusive language.</w:t>
      </w:r>
    </w:p>
    <w:p w14:paraId="45C03873" w14:textId="77777777" w:rsidR="00505022" w:rsidRPr="00505022" w:rsidRDefault="00505022" w:rsidP="00505022">
      <w:pPr>
        <w:jc w:val="both"/>
      </w:pPr>
      <w:r w:rsidRPr="00505022">
        <w:t>The Commission recommends that EEC work to improve the gender inclusivity of its digital systems - including those used for licensing, enrollment, family engagement, and reporting - and include language that reﬂects the full diversity of children and families. As a part of this process, EEC should update all forms and platforms to remove unnecessary gendered ﬁelds and language that may exclude or misrepresent children’s identities. At the same time, EEC should also implement strong privacy and data protection safeguards to ensure that sensitive information is handled securely, with particular attention to the needs of LGBTQ youth who may not be out in all contexts.</w:t>
      </w:r>
    </w:p>
    <w:p w14:paraId="7A42649F" w14:textId="55D62157" w:rsidR="00505022" w:rsidRPr="00505022" w:rsidRDefault="00BF5B9D" w:rsidP="00B7107C">
      <w:pPr>
        <w:pStyle w:val="Heading5"/>
      </w:pPr>
      <w:r>
        <w:t xml:space="preserve">4| </w:t>
      </w:r>
      <w:r w:rsidR="00505022" w:rsidRPr="00505022">
        <w:t>Establish a regular cadence for sharing updated guidance, research ﬁndings, model policies, and best practices related to aﬃrming care for LGBTQ children and families.</w:t>
      </w:r>
    </w:p>
    <w:p w14:paraId="601B2796" w14:textId="77777777" w:rsidR="00505022" w:rsidRPr="00505022" w:rsidRDefault="00505022" w:rsidP="00505022">
      <w:pPr>
        <w:jc w:val="both"/>
      </w:pPr>
      <w:r w:rsidRPr="00505022">
        <w:t>Frequently throughout the year, the Commission hears from providers, educators, youth, and families that they are unaware of existing resources, guidance, and policies to support LGBTQ youth. EEC should establish a practice for sharing relevant guidance, research, model policies, and best practices related to LGBTQ-aﬃrming care for youth and families. These resources should be developmentally appropriate, trauma-informed, and grounded in current evidence and lived experience. EEC should further equip providers with tools to create inclusive classroom environments, support healthy identity development, and respond eﬀectively to bias-based behaviors. Finally, the Commission recommends that EEC should elevate examples of success from across the Commonwealth to foster peer learning and community-driven innovation.</w:t>
      </w:r>
    </w:p>
    <w:p w14:paraId="0CCAA134" w14:textId="171D65EE" w:rsidR="00505022" w:rsidRPr="00505022" w:rsidRDefault="00BF5B9D" w:rsidP="00B7107C">
      <w:pPr>
        <w:pStyle w:val="Heading5"/>
      </w:pPr>
      <w:r>
        <w:lastRenderedPageBreak/>
        <w:t xml:space="preserve">5| </w:t>
      </w:r>
      <w:r w:rsidR="00505022" w:rsidRPr="00505022">
        <w:t xml:space="preserve">Establish a practice of proactive public support for LGBTQ+ children, </w:t>
      </w:r>
      <w:r w:rsidR="007D658D" w:rsidRPr="00505022">
        <w:t>families,</w:t>
      </w:r>
      <w:r w:rsidR="00505022" w:rsidRPr="00505022">
        <w:t xml:space="preserve"> and professionals.</w:t>
      </w:r>
    </w:p>
    <w:p w14:paraId="3E923E31" w14:textId="4F9315C8" w:rsidR="00505022" w:rsidRPr="00505022" w:rsidRDefault="00505022" w:rsidP="00505022">
      <w:pPr>
        <w:jc w:val="both"/>
      </w:pPr>
      <w:r w:rsidRPr="00505022">
        <w:t>The Commission strongly recommends that education agencies, including EEC, model a consistent and values-driven approach to public communication that aﬃrms the rights and dignity of LGBTQ+ children, families, and professionals—particularly during periods of heightened scrutiny, misinformation, or political targeting. When appropriate, EEC leadership should issue public statements that are proactive, timely, and aligned with state and federal legal protections. These statements reinforce EEC’s commitment to safe, supportive, and inclusive learning environments for all children, families, and professionals. This modeling can also occur through actions at all levels of the Department—such as public-facing engagements, visibility at key events, and participation in community conversations.</w:t>
      </w:r>
    </w:p>
    <w:p w14:paraId="0B68BBEA" w14:textId="6D3FCC0A" w:rsidR="00505022" w:rsidRPr="00E44F63" w:rsidRDefault="00505022" w:rsidP="00505022">
      <w:pPr>
        <w:spacing w:line="240" w:lineRule="auto"/>
        <w:jc w:val="both"/>
        <w:rPr>
          <w:rStyle w:val="SubtleReference"/>
          <w:color w:val="864EA8" w:themeColor="accent1" w:themeShade="BF"/>
        </w:rPr>
      </w:pPr>
      <w:r w:rsidRPr="00E44F63">
        <w:rPr>
          <w:rStyle w:val="SubtleReference"/>
          <w:color w:val="864EA8" w:themeColor="accent1" w:themeShade="BF"/>
        </w:rPr>
        <w:t>Acknowledgments: The Commission sincerely appreciates the partnership of its agency liaisons at EEC and acknowledges the Department’s ongoing leadership in promoting equity, safety, and inclusion across all early education and care settings that serve children, youth, and families throughout the Commonwealth.</w:t>
      </w:r>
    </w:p>
    <w:p w14:paraId="43838608" w14:textId="77777777" w:rsidR="00505022" w:rsidRDefault="00505022" w:rsidP="00505022">
      <w:pPr>
        <w:jc w:val="both"/>
        <w:rPr>
          <w:i/>
          <w:iCs/>
        </w:rPr>
      </w:pPr>
      <w:r>
        <w:rPr>
          <w:i/>
          <w:iCs/>
        </w:rPr>
        <w:br w:type="page"/>
      </w:r>
    </w:p>
    <w:p w14:paraId="01B0681C" w14:textId="227EFC03" w:rsidR="00505022" w:rsidRPr="00505022" w:rsidRDefault="00505022" w:rsidP="00B7107C">
      <w:pPr>
        <w:pStyle w:val="Heading2"/>
      </w:pPr>
      <w:bookmarkStart w:id="292" w:name="_Toc230277120"/>
      <w:bookmarkStart w:id="293" w:name="_Toc230277424"/>
      <w:bookmarkStart w:id="294" w:name="_Toc230355502"/>
      <w:r w:rsidRPr="00505022">
        <w:lastRenderedPageBreak/>
        <w:t>Department of Elementary and Secondary Education</w:t>
      </w:r>
      <w:bookmarkEnd w:id="292"/>
      <w:bookmarkEnd w:id="293"/>
      <w:bookmarkEnd w:id="294"/>
    </w:p>
    <w:p w14:paraId="6796A09C" w14:textId="77777777" w:rsidR="00505022" w:rsidRPr="00505022" w:rsidRDefault="00505022">
      <w:pPr>
        <w:pStyle w:val="ListParagraph"/>
        <w:numPr>
          <w:ilvl w:val="0"/>
          <w:numId w:val="19"/>
        </w:numPr>
        <w:spacing w:line="240" w:lineRule="auto"/>
        <w:ind w:right="360"/>
        <w:jc w:val="both"/>
      </w:pPr>
      <w:r w:rsidRPr="00505022">
        <w:t>Sustain and strengthen the Safe Schools Program for LGBTQ Students.</w:t>
      </w:r>
    </w:p>
    <w:p w14:paraId="189C617C" w14:textId="77777777" w:rsidR="00505022" w:rsidRPr="00505022" w:rsidRDefault="00505022">
      <w:pPr>
        <w:pStyle w:val="ListParagraph"/>
        <w:numPr>
          <w:ilvl w:val="0"/>
          <w:numId w:val="19"/>
        </w:numPr>
        <w:spacing w:line="240" w:lineRule="auto"/>
        <w:ind w:right="360"/>
        <w:jc w:val="both"/>
      </w:pPr>
      <w:r w:rsidRPr="00505022">
        <w:t>Expand inclusive and intersectional data collection.</w:t>
      </w:r>
    </w:p>
    <w:p w14:paraId="4254903D" w14:textId="77777777" w:rsidR="00505022" w:rsidRPr="00505022" w:rsidRDefault="00505022">
      <w:pPr>
        <w:pStyle w:val="ListParagraph"/>
        <w:numPr>
          <w:ilvl w:val="0"/>
          <w:numId w:val="19"/>
        </w:numPr>
        <w:spacing w:line="240" w:lineRule="auto"/>
        <w:ind w:right="360"/>
        <w:jc w:val="both"/>
      </w:pPr>
      <w:r w:rsidRPr="00505022">
        <w:t>Ensure LGBTQ representation in curriculum, instruction, and educator effectiveness.</w:t>
      </w:r>
    </w:p>
    <w:p w14:paraId="412E44DC" w14:textId="77777777" w:rsidR="00505022" w:rsidRPr="00505022" w:rsidRDefault="00505022">
      <w:pPr>
        <w:pStyle w:val="ListParagraph"/>
        <w:numPr>
          <w:ilvl w:val="0"/>
          <w:numId w:val="19"/>
        </w:numPr>
        <w:spacing w:line="240" w:lineRule="auto"/>
        <w:ind w:right="360"/>
        <w:jc w:val="both"/>
      </w:pPr>
      <w:r w:rsidRPr="00505022">
        <w:t>Advance equity in educator recruitment and retention practices.</w:t>
      </w:r>
    </w:p>
    <w:p w14:paraId="27147774" w14:textId="77777777" w:rsidR="00505022" w:rsidRPr="00505022" w:rsidRDefault="00505022">
      <w:pPr>
        <w:pStyle w:val="ListParagraph"/>
        <w:numPr>
          <w:ilvl w:val="0"/>
          <w:numId w:val="19"/>
        </w:numPr>
        <w:spacing w:line="240" w:lineRule="auto"/>
        <w:ind w:right="360"/>
        <w:jc w:val="both"/>
      </w:pPr>
      <w:r w:rsidRPr="00505022">
        <w:t>Address the needs of BIPOC LGBTQ students through targeted outreach and support strategies.</w:t>
      </w:r>
    </w:p>
    <w:p w14:paraId="57375436" w14:textId="77777777" w:rsidR="00505022" w:rsidRPr="00505022" w:rsidRDefault="00505022">
      <w:pPr>
        <w:pStyle w:val="ListParagraph"/>
        <w:numPr>
          <w:ilvl w:val="0"/>
          <w:numId w:val="19"/>
        </w:numPr>
        <w:spacing w:line="240" w:lineRule="auto"/>
        <w:ind w:right="360"/>
        <w:jc w:val="both"/>
      </w:pPr>
      <w:r w:rsidRPr="00505022">
        <w:t>Increase support of nonbinary and gender expansive students, families, educators, librarians, school staff, and administrators.</w:t>
      </w:r>
    </w:p>
    <w:p w14:paraId="00A688DE" w14:textId="77777777" w:rsidR="00505022" w:rsidRPr="00505022" w:rsidRDefault="00505022">
      <w:pPr>
        <w:pStyle w:val="ListParagraph"/>
        <w:numPr>
          <w:ilvl w:val="0"/>
          <w:numId w:val="19"/>
        </w:numPr>
        <w:spacing w:line="240" w:lineRule="auto"/>
        <w:ind w:right="360"/>
        <w:jc w:val="both"/>
      </w:pPr>
      <w:r w:rsidRPr="00505022">
        <w:t>Expand in family engagement infrastructure and inclusive practices.</w:t>
      </w:r>
    </w:p>
    <w:p w14:paraId="0FDD59AF" w14:textId="77777777" w:rsidR="00505022" w:rsidRPr="00505022" w:rsidRDefault="00505022">
      <w:pPr>
        <w:pStyle w:val="ListParagraph"/>
        <w:numPr>
          <w:ilvl w:val="0"/>
          <w:numId w:val="19"/>
        </w:numPr>
        <w:spacing w:line="240" w:lineRule="auto"/>
        <w:ind w:right="360"/>
        <w:jc w:val="both"/>
      </w:pPr>
      <w:r w:rsidRPr="00505022">
        <w:t>Establish and implement clear expectations for consistent, timely, and values-driven public communication that affirms LGBTQ+ students, families, and educators and reflects DESE’s responsibilities under Massachusetts anti-discrimination law.</w:t>
      </w:r>
    </w:p>
    <w:p w14:paraId="06D51EE8" w14:textId="6CEC10D8" w:rsidR="00505022" w:rsidRPr="00505022" w:rsidRDefault="00505022">
      <w:pPr>
        <w:pStyle w:val="ListParagraph"/>
        <w:numPr>
          <w:ilvl w:val="0"/>
          <w:numId w:val="19"/>
        </w:numPr>
        <w:spacing w:line="240" w:lineRule="auto"/>
        <w:ind w:right="360"/>
        <w:jc w:val="both"/>
      </w:pPr>
      <w:r w:rsidRPr="00505022">
        <w:t>Collaborate with education-focused agencies to align on strategies to support schools, librarians, families, and youth.</w:t>
      </w:r>
    </w:p>
    <w:p w14:paraId="390F66F9" w14:textId="77777777" w:rsidR="00505022" w:rsidRPr="00505022" w:rsidRDefault="00505022" w:rsidP="00E97E73">
      <w:pPr>
        <w:pStyle w:val="Heading3"/>
      </w:pPr>
      <w:bookmarkStart w:id="295" w:name="_Toc230277425"/>
      <w:r w:rsidRPr="00505022">
        <w:t>Introduction</w:t>
      </w:r>
      <w:bookmarkEnd w:id="295"/>
    </w:p>
    <w:p w14:paraId="1EEE3D3E" w14:textId="77777777" w:rsidR="00505022" w:rsidRPr="00505022" w:rsidRDefault="00505022" w:rsidP="00505022">
      <w:pPr>
        <w:jc w:val="both"/>
      </w:pPr>
      <w:r w:rsidRPr="00505022">
        <w:t>The Massachusetts Commission on LGBTQ Youth maintains a strong and enduring partnership with the Department of Elementary and Secondary Education (DESE), grounded in a shared commitment to advancing equity, safety, and belonging for all students. At the heart of this collaboration is the Safe Schools Program for LGBTQ Students, a nationally recognized initiative established in 1993 by the Commission and DESE. For over three decades, the Program has led eﬀorts to develop and implement policies, practices, and trainings that foster inclusive, aﬃrming, and identity-safe school environments for LGBTQ youth.</w:t>
      </w:r>
    </w:p>
    <w:p w14:paraId="34B044BF" w14:textId="77777777" w:rsidR="00505022" w:rsidRPr="00505022" w:rsidRDefault="00505022" w:rsidP="00505022">
      <w:pPr>
        <w:jc w:val="both"/>
      </w:pPr>
      <w:r w:rsidRPr="00505022">
        <w:t>Jointly administered by the Commission with supplemental funding, logistical coordination, and strategic guidance from DESE - particularly the Student and Family Support Unit - the Program delivers approximately 150 professional development trainings each year and responds to nearly 175 technical assistance requests. These services oﬀer school staﬀ real-time support, best practices, and implementation tools to address anti-LGBTQ bullying and meet the diverse needs of students and families across the Commonwealth.</w:t>
      </w:r>
    </w:p>
    <w:p w14:paraId="5D206277" w14:textId="22F954BB" w:rsidR="00505022" w:rsidRPr="00505022" w:rsidRDefault="00505022" w:rsidP="00505022">
      <w:pPr>
        <w:jc w:val="both"/>
      </w:pPr>
      <w:r w:rsidRPr="00505022">
        <w:t xml:space="preserve">The Program also coordinates the LGBTQ+ Student Leadership Council, which includes both statewide and regional groups of LGBTQ and allied middle and high school students who meet bi-monthly. This council brings together youth from across Massachusetts to build leadership skills, engage in policy discussions, and collaborate with educators and state partners to promote LGBTQ equity and inclusion in schools. It serves as a model for integrating student voice into </w:t>
      </w:r>
      <w:r w:rsidRPr="00505022">
        <w:lastRenderedPageBreak/>
        <w:t>professional learning and policy design and plays a meaningful role in shaping more inclusive educational environments.</w:t>
      </w:r>
    </w:p>
    <w:p w14:paraId="3E6E5F19" w14:textId="77777777" w:rsidR="00505022" w:rsidRPr="00505022" w:rsidRDefault="00505022" w:rsidP="00E97E73">
      <w:pPr>
        <w:pStyle w:val="Heading3"/>
      </w:pPr>
      <w:bookmarkStart w:id="296" w:name="_Toc230277426"/>
      <w:r w:rsidRPr="00505022">
        <w:t>Past &amp; Ongoing Work</w:t>
      </w:r>
      <w:bookmarkEnd w:id="296"/>
    </w:p>
    <w:p w14:paraId="2B432331" w14:textId="77777777" w:rsidR="00505022" w:rsidRPr="00505022" w:rsidRDefault="00505022" w:rsidP="00505022">
      <w:pPr>
        <w:jc w:val="both"/>
      </w:pPr>
      <w:r w:rsidRPr="00505022">
        <w:t>The Commission commends DESE and the Board of Elementary and Secondary Education for their leadership in updating and approving the Comprehensive Health and Physical Education Framework. The revised framework and implementation support reﬂect a thoughtful, inclusive, and developmentally appropriate approach to student health and wellness. It aﬃrms the importance of addressing mental and emotional health, personal safety, healthy relationships, and LGBTQ inclusion as foundational components of equitable education.</w:t>
      </w:r>
    </w:p>
    <w:p w14:paraId="49A9D1DD" w14:textId="77777777" w:rsidR="00505022" w:rsidRPr="00505022" w:rsidRDefault="00505022" w:rsidP="00505022">
      <w:pPr>
        <w:jc w:val="both"/>
      </w:pPr>
      <w:r w:rsidRPr="00505022">
        <w:t>Since formalizing their partnership through a Memorandum of Understanding (MOU), the Commission and DESE have worked together on a wide range of initiatives—from bias-based bullying prevention to inclusive curriculum guidance. This collaboration is strengthened by regular engagement, including approximately annual meetings with the DESE Commissioner and biennial presentations to the Board of Elementary and Secondary Education. During the April 2024 Board presentation, representatives from the Commission, Safe Schools Program, and public school communities addressed the rise in anti-LGBTQ rhetoric and actions in schools. They shared promising practices and emphasized the critical role DESE can play in sustaining safe and supportive environments for all students. The presentation also underscored the Safe Schools Program’s alignment with DESE’s Educational Vision, which centers antiracism, inclusivity, and the holistic development of each student. This partnership reﬂects an intersectional approach to educational equity—one that recognizes the ways race, gender identity, sexual orientation, language status, and disability interact to shape students’ experiences in schools.</w:t>
      </w:r>
    </w:p>
    <w:p w14:paraId="12E4D491" w14:textId="77777777" w:rsidR="00505022" w:rsidRPr="00505022" w:rsidRDefault="00505022" w:rsidP="00505022">
      <w:pPr>
        <w:jc w:val="both"/>
      </w:pPr>
      <w:r w:rsidRPr="00505022">
        <w:t>The Program supports DESE’s strategic objectives by uplifting historically underserved communities and advancing practices that aﬃrm and include every learner.</w:t>
      </w:r>
    </w:p>
    <w:p w14:paraId="6FBB8AE0" w14:textId="77777777" w:rsidR="00505022" w:rsidRPr="00505022" w:rsidRDefault="00505022" w:rsidP="00505022">
      <w:pPr>
        <w:jc w:val="both"/>
      </w:pPr>
      <w:r w:rsidRPr="00505022">
        <w:t>The Commission deeply appreciates the steadfast commitment of DESE leadership—especially the public and aﬃrming statements made by Acting Commissioner Russell D. Johnston in the Special Advisory on Supporting All Students, Including LGBTQ Students. His clear and values-driven leadership has sent a strong message during a time of increased scrutiny and misinformation. The Commission also acknowledges the contributions of multiple DESE units working to seamlessly embed LGBTQ inclusion into agency priorities, as well as the active leadership of the DESE Pride Employee Resource Group (ERG), whose work continues to foster a welcoming and aﬃrming culture within the agency.</w:t>
      </w:r>
    </w:p>
    <w:p w14:paraId="08CBA92A" w14:textId="77777777" w:rsidR="00505022" w:rsidRPr="00505022" w:rsidRDefault="00505022" w:rsidP="00505022">
      <w:pPr>
        <w:jc w:val="both"/>
      </w:pPr>
      <w:r w:rsidRPr="00505022">
        <w:t xml:space="preserve">Additionally, the Commission recognizes and commends the strong support of schools and districts that have launched Rainbow Clubs in elementary grades, helping young students explore </w:t>
      </w:r>
      <w:r w:rsidRPr="00505022">
        <w:lastRenderedPageBreak/>
        <w:t>themes of kindness, respect, and family diversity. These early initiatives lay the groundwork for inclusive learning environments that beneﬁt all students and reﬂect the values of the broader Safe Schools eﬀort.</w:t>
      </w:r>
    </w:p>
    <w:p w14:paraId="0825786B" w14:textId="77777777" w:rsidR="00505022" w:rsidRPr="00505022" w:rsidRDefault="00505022" w:rsidP="00505022">
      <w:pPr>
        <w:jc w:val="both"/>
      </w:pPr>
      <w:r w:rsidRPr="00505022">
        <w:t>Finally, the Commission welcomes Pedro Martinez in his role as Commissioner of the Department of Elementary and Secondary Education and looks forward to partnering in advancing DESE’s educational vision—working with districts, schools, and educators to promote teaching and learning that is antiracist, inclusive, multilingual, and multicultural; that values and aﬃrms each and every student and their families; and that creates equitable opportunities and experiences for all students, especially those who have been historically underserved. </w:t>
      </w:r>
    </w:p>
    <w:p w14:paraId="20895147" w14:textId="77777777" w:rsidR="00505022" w:rsidRPr="00505022" w:rsidRDefault="00505022" w:rsidP="00505022">
      <w:pPr>
        <w:jc w:val="both"/>
      </w:pPr>
      <w:r w:rsidRPr="00505022">
        <w:t xml:space="preserve">Together, the Commission and DESE remain committed to this critical work - guided by shared values, strengthened by public accountability, and sustained through meaningful collaboration. We look forward to continued partnership, implementation of these recommendations, and ongoing engagement with DESE leadership. The Commission’s recommendations are intentionally aligned with the Department of Elementary and Secondary Education’s (DESE) Strategic Plan. </w:t>
      </w:r>
      <w:proofErr w:type="gramStart"/>
      <w:r w:rsidRPr="00505022">
        <w:t>In particular, they</w:t>
      </w:r>
      <w:proofErr w:type="gramEnd"/>
      <w:r w:rsidRPr="00505022">
        <w:t xml:space="preserve"> advance DESE’s priorities to promote safe and supportive learning environments; increase educator diversity and professional development; support students at risk of dropping out by fostering belonging and engagement; expand access to high-quality, inclusive instruction; promote student health, wellness, and culturally responsive social-emotional learning; and strengthen equity-focused use of data.</w:t>
      </w:r>
    </w:p>
    <w:p w14:paraId="4EFFD14E" w14:textId="77777777" w:rsidR="00505022" w:rsidRPr="00505022" w:rsidRDefault="00505022" w:rsidP="00505022">
      <w:pPr>
        <w:jc w:val="both"/>
      </w:pPr>
      <w:r w:rsidRPr="00505022">
        <w:t>By embedding LGBTQ inclusion across these areas, the Commission’s recommendations further DESE’s commitment to ensuring that every student - especially those historically underserved - has access to a safe, supportive, and high-quality education in Massachusetts. </w:t>
      </w:r>
    </w:p>
    <w:p w14:paraId="470D863C" w14:textId="77777777" w:rsidR="00505022" w:rsidRPr="00505022" w:rsidRDefault="00505022" w:rsidP="00E97E73">
      <w:pPr>
        <w:pStyle w:val="Heading3"/>
      </w:pPr>
      <w:bookmarkStart w:id="297" w:name="_Toc230277427"/>
      <w:r w:rsidRPr="00505022">
        <w:t>FY 2027 Recommendations to the Department of Elementary and Secondary Education</w:t>
      </w:r>
      <w:bookmarkEnd w:id="297"/>
    </w:p>
    <w:p w14:paraId="6CE39106" w14:textId="7F006DFF" w:rsidR="00505022" w:rsidRPr="00505022" w:rsidRDefault="00BF5B9D" w:rsidP="00B7107C">
      <w:pPr>
        <w:pStyle w:val="Heading5"/>
      </w:pPr>
      <w:r>
        <w:t xml:space="preserve">1| </w:t>
      </w:r>
      <w:r w:rsidR="00505022" w:rsidRPr="00505022">
        <w:t>Sustain and strengthen the Safe Schools Program for LGBTQ Students.</w:t>
      </w:r>
    </w:p>
    <w:p w14:paraId="713F7C3A" w14:textId="77777777" w:rsidR="00505022" w:rsidRPr="00505022" w:rsidRDefault="00505022" w:rsidP="00505022">
      <w:pPr>
        <w:jc w:val="both"/>
      </w:pPr>
      <w:r w:rsidRPr="00505022">
        <w:t xml:space="preserve">The Commission recommends and appreciates DESE’s commitment to continuing to build a close collaboration with the Commission on LGBTQ Youth to maintain and strengthen the Safe Schools Program for LGBTQ Students, ensuring consistent staﬃng, supplemental funding, and alignment with statewide goals to support LGBTQ students, families, and school personnel across all public schools in Massachusetts. The Program plays a key role in advancing DESE’s Strategic Objective 1 by supporting the implementation of Multi-Tiered Systems of Support (MTSS) and Safe and Supportive Schools frameworks.; it provides high-quality professional development, responsive technical assistance, and leadership development opportunities that help districts cultivate inclusive school climates, address systemic barriers to learning, and foster the holistic </w:t>
      </w:r>
      <w:r w:rsidRPr="00505022">
        <w:lastRenderedPageBreak/>
        <w:t>development of all students. The Program also serves as an important bridge between the agency, school communities, and statewide partners working to promote equity and student well-being. In FY 2026, SSP has been working closely with other departments, including DESE’s curriculum and health teams, to advance professional learning, technical assistance, and leadership development opportunities, particularly for health and physical education educators. </w:t>
      </w:r>
    </w:p>
    <w:p w14:paraId="2B8DB063" w14:textId="77777777" w:rsidR="00505022" w:rsidRPr="00505022" w:rsidRDefault="00505022" w:rsidP="00505022">
      <w:pPr>
        <w:jc w:val="both"/>
      </w:pPr>
      <w:r w:rsidRPr="00505022">
        <w:t>At a time when LGBTQ students, families, and educators are facing increasing levels of scrutiny, public pushback, and harmful narratives, it is especially critical that DESE sustain visible, coordinated, and proactive eﬀorts to protect and aﬃrm these communities. The Commissioner’s recent communications, including guidance around opt-out requests and emphasis on marginalized populations, illustrate leadership that models inclusive values and provides support to schools navigating complex issues. Supporting the Safe Schools Program also strengthens DESE’s broader infrastructure to respond to bias-based harm and advance inclusive practices across the agency’s work. The continued success of this collaboration reﬂects Massachusetts’ leadership in ensuring that every student - regardless of identity - has access to a safe, supportive, and inclusive education. By maintaining this investment, DESE aﬃrms its commitment to equity as both a value and a practice embedded throughout the Commonwealth’s public education system.</w:t>
      </w:r>
    </w:p>
    <w:p w14:paraId="75B48E6B" w14:textId="625B51E9" w:rsidR="00505022" w:rsidRPr="00505022" w:rsidRDefault="00BF5B9D" w:rsidP="00B7107C">
      <w:pPr>
        <w:pStyle w:val="Heading5"/>
      </w:pPr>
      <w:r>
        <w:t xml:space="preserve">2| </w:t>
      </w:r>
      <w:r w:rsidR="00505022" w:rsidRPr="00505022">
        <w:t>Expand inclusive and intersectional data collection.</w:t>
      </w:r>
    </w:p>
    <w:p w14:paraId="2AC89183" w14:textId="77777777" w:rsidR="00505022" w:rsidRPr="00505022" w:rsidRDefault="00505022" w:rsidP="00505022">
      <w:pPr>
        <w:jc w:val="both"/>
      </w:pPr>
      <w:r w:rsidRPr="00505022">
        <w:t>The Commission recommends that DESE expand opportunities to collect, analyze, and responsibly use sexual orientation, gender identity, and gender expression (SOGIE) data, with attention to intersections with race, disability, language status, socioeconomic background, and other factors. Data collection eﬀorts should be guided by principles of student privacy, consent, transparency, and community trust, and should be used to inform equity-focused decision-making at the classroom, school, district, and state levels.</w:t>
      </w:r>
    </w:p>
    <w:p w14:paraId="6B832521" w14:textId="77777777" w:rsidR="00505022" w:rsidRPr="00505022" w:rsidRDefault="00505022" w:rsidP="00505022">
      <w:pPr>
        <w:jc w:val="both"/>
      </w:pPr>
      <w:r w:rsidRPr="00505022">
        <w:t>Through its collaboration with DESE through the Safe Schools Program, both agencies continue to collaborate with internal working groups to improve survey methods and representation in statewide data streams, including the Massachusetts Youth Risk Behavior Survey (MYRBS), Views of Climate and Learning (VOCAL) Survey, and Massachusetts Youth Health Survey (MYHS). DESE is actively discussing strategies for publicly reporting and visualizing this data in ways that are both informative and protective of student privacy. Broader state-level groups focused on data visualization have also been engaged to ensure findings are accessible to districts, community partners, and students, and to translate insights into equity-focused interventions and supports.</w:t>
      </w:r>
    </w:p>
    <w:p w14:paraId="21345B53" w14:textId="103D1617" w:rsidR="00505022" w:rsidRPr="00505022" w:rsidRDefault="00BF5B9D" w:rsidP="00B7107C">
      <w:pPr>
        <w:pStyle w:val="Heading5"/>
      </w:pPr>
      <w:r>
        <w:lastRenderedPageBreak/>
        <w:t xml:space="preserve">3| </w:t>
      </w:r>
      <w:r w:rsidR="00505022" w:rsidRPr="00505022">
        <w:t>Ensure LGBTQ representation in curriculum, instruction, and educator eﬀectiveness.</w:t>
      </w:r>
    </w:p>
    <w:p w14:paraId="70A04E33" w14:textId="77777777" w:rsidR="00505022" w:rsidRPr="00505022" w:rsidRDefault="00505022" w:rsidP="00505022">
      <w:pPr>
        <w:jc w:val="both"/>
      </w:pPr>
      <w:r w:rsidRPr="00505022">
        <w:t>The Commission strongly recommends that DESE ensures that LGBTQ identities, histories, and experiences are meaningfully represented across academic content areas, instructional approaches, and educator development eﬀorts. Districts should receive clear guidance and support in selecting and using instructional materials that reﬂect the diversity of students and families in Massachusetts, and in fostering classroom environments that are identity-aﬃrming and academically rigorous.</w:t>
      </w:r>
    </w:p>
    <w:p w14:paraId="50E4EC91" w14:textId="71EF6482" w:rsidR="00505022" w:rsidRPr="00505022" w:rsidRDefault="00505022" w:rsidP="00505022">
      <w:pPr>
        <w:jc w:val="both"/>
      </w:pPr>
      <w:r w:rsidRPr="00505022">
        <w:t>DESE, through the Teaching and Learning Unit and other relevant oﬃces, continues to collaborate with SSP to provide inclusive guidance for curriculum design, instructional practices, and educator preparation, while actively exploring ways to deepen LGBTQ integration across all content frameworks</w:t>
      </w:r>
      <w:r w:rsidR="007D658D" w:rsidRPr="00505022">
        <w:t xml:space="preserve">. </w:t>
      </w:r>
      <w:r w:rsidRPr="00505022">
        <w:t>Stakeholder engagement, including input from parents, students, and school communities, informs these efforts to ensure that classroom materials and teaching strategies are identity-affirming, academically rigorous, and culturally responsive. This helps ensure that educators are prepared to engage students with high-quality texts, real-world challenges, and opportunities to explore and express their ideas across content areas, while also nurturing students’ sense of self, cultural identity, and connection to their communities. This work advances the shared goal of ensuring that every student in Massachusetts has access to excellent instruction, strong relationships, and a learning environment that cultivates curiosity, conﬁdence, and belonging.</w:t>
      </w:r>
    </w:p>
    <w:p w14:paraId="79546232" w14:textId="12C2F149" w:rsidR="00505022" w:rsidRPr="00505022" w:rsidRDefault="00BF5B9D" w:rsidP="00B7107C">
      <w:pPr>
        <w:pStyle w:val="Heading5"/>
      </w:pPr>
      <w:r>
        <w:t xml:space="preserve">4| </w:t>
      </w:r>
      <w:r w:rsidR="00505022" w:rsidRPr="00505022">
        <w:t>Advance equity in educator recruitment and retention practices.</w:t>
      </w:r>
    </w:p>
    <w:p w14:paraId="35480B1B" w14:textId="77777777" w:rsidR="00505022" w:rsidRPr="00505022" w:rsidRDefault="00505022" w:rsidP="00505022">
      <w:pPr>
        <w:jc w:val="both"/>
      </w:pPr>
      <w:r w:rsidRPr="00505022">
        <w:t>The Commission recommends that DESE collaborate with educator preparation programs, school districts, and aﬃnity networks to develop, model, and scale statewide strategies for recruiting, supporting, and retaining a diverse and representative educator workforce, including LGBTQ and BIPOC educators and school staﬀ. These eﬀorts should address multiple points along the educator pipeline - from pathways into teaching and licensure support to mentoring, leadership development, and long-term career sustainability. DESE’s focus in this recommendation has been on efforts to align professional learning, mentorship, leadership development, and inclusive hiring practices with broader workforce goals. </w:t>
      </w:r>
    </w:p>
    <w:p w14:paraId="2AE59DC6" w14:textId="3E2090B7" w:rsidR="00505022" w:rsidRPr="00505022" w:rsidRDefault="00505022" w:rsidP="00505022">
      <w:pPr>
        <w:jc w:val="both"/>
      </w:pPr>
      <w:r w:rsidRPr="00505022">
        <w:t xml:space="preserve">DESE should further prioritize inclusive and equitable hiring practices, transparent advancement opportunities, and school cultures that aﬃrm the identities, lived experiences, and professional contributions of LGBTQ and BIPOC educators. Additionally, DESE should promote workplace conditions where all staﬀ feel a sense of belonging and safety, and where they are empowered to fully engage with students, families, and their communities. Furthermore, ensuring that this work is embedded across DESE’s educator eﬀectiveness initiatives, including licensure guidance, </w:t>
      </w:r>
      <w:r w:rsidRPr="00505022">
        <w:lastRenderedPageBreak/>
        <w:t>educator evaluation, professional learning, and leadership development is critical. Representation matters - not only as a reﬂection of student diversity, but also as a critical driver of student achievement, school climate, and culturally responsive teaching; this investment directly beneﬁts students and strengthens school communities.</w:t>
      </w:r>
    </w:p>
    <w:p w14:paraId="45E28554" w14:textId="7BA721FA" w:rsidR="00505022" w:rsidRPr="00505022" w:rsidRDefault="00BF5B9D" w:rsidP="00B7107C">
      <w:pPr>
        <w:pStyle w:val="Heading5"/>
      </w:pPr>
      <w:r>
        <w:t xml:space="preserve">5| </w:t>
      </w:r>
      <w:r w:rsidR="00505022" w:rsidRPr="00505022">
        <w:t>Address the needs of BIPOC LGBTQ students through targeted strategies.</w:t>
      </w:r>
    </w:p>
    <w:p w14:paraId="1E21BD89" w14:textId="77777777" w:rsidR="00505022" w:rsidRPr="00505022" w:rsidRDefault="00505022" w:rsidP="00505022">
      <w:pPr>
        <w:jc w:val="both"/>
      </w:pPr>
      <w:r w:rsidRPr="00505022">
        <w:t>Partnering with the Commission on LGBTQ Youth and youth-serving organizations - particularly those led by and for BIPOC and LGBTQ communities - to better understand, elevate, and respond to the lived experiences of BIPOC LGBTQ students across Massachusetts is essential. Students at the intersections of BIPOC and LGBTQ identities often face layered forms of marginalization in school settings, including racism, homophobia, transphobia, xenophobia, and ableism, which can impact their sense of safety, well-being, and academic engagement.</w:t>
      </w:r>
    </w:p>
    <w:p w14:paraId="0F70F854" w14:textId="77777777" w:rsidR="00505022" w:rsidRPr="00505022" w:rsidRDefault="00505022" w:rsidP="00505022">
      <w:pPr>
        <w:jc w:val="both"/>
      </w:pPr>
      <w:r w:rsidRPr="00505022">
        <w:t>DESE should prioritize culturally responsive, trauma-informed, and identity-aﬃrming approaches in all programmatic eﬀorts, technical assistance, resource development, and district-level support. These eﬀorts should include developing guidance and training for educators and school staﬀ on how to recognize and disrupt intersecting forms of bias; implement inclusive and restorative discipline practices; and build school climates where BIPOC LGBTQ students are seen, supported, and celebrated in their full identities. </w:t>
      </w:r>
    </w:p>
    <w:p w14:paraId="7BF373E5" w14:textId="54411F7A" w:rsidR="00505022" w:rsidRPr="00505022" w:rsidRDefault="00505022" w:rsidP="00505022">
      <w:pPr>
        <w:jc w:val="both"/>
      </w:pPr>
      <w:r w:rsidRPr="00505022">
        <w:t>DESE should further ensure that these strategies are embedded in statewide equity initiatives - including those related to school climate, mental health, student voice, and academic recovery - and that they are co-created with youth, families, and community partners who hold lived expertise. Centering the experiences of BIPOC LGBTQ students is essential to creating truly inclusive schools and meeting the Commonwealth’s commitment to equity and excellence for all. In FY 2026, DESE shared that it is working on identifying opportunities for regional convenings for school-based staff and families.</w:t>
      </w:r>
    </w:p>
    <w:p w14:paraId="45B22009" w14:textId="758CCE42" w:rsidR="00505022" w:rsidRPr="00505022" w:rsidRDefault="00BF5B9D" w:rsidP="00B7107C">
      <w:pPr>
        <w:pStyle w:val="Heading5"/>
      </w:pPr>
      <w:r>
        <w:t xml:space="preserve">6| </w:t>
      </w:r>
      <w:r w:rsidR="00505022" w:rsidRPr="00505022">
        <w:t>Increase support of nonbinary and gender expansive students, families, educators, librarians, school staﬀ, and administrators.</w:t>
      </w:r>
    </w:p>
    <w:p w14:paraId="5D83DF3F" w14:textId="77777777" w:rsidR="00505022" w:rsidRPr="00505022" w:rsidRDefault="00505022" w:rsidP="00505022">
      <w:pPr>
        <w:jc w:val="both"/>
      </w:pPr>
      <w:r w:rsidRPr="00505022">
        <w:t>DESE should engage in meaningful collaboration with the Commission on LGBTQ Youth and school governance associations to inform LGBTQ-inclusive policy development and ensure that guidance reﬂects the realities faced by schools and districts across the Commonwealth. Additionally, the Commission recommends the DESE work to disseminate inclusive policies, resources, and practices that aﬃrm and support nonbinary, gender-expansive, and transgender students and school personnel. This work must be grounded in a commitment to educational equity and legal compliance, ensuring that every student and educator can learn and work in a safe, respectful, and aﬃrming environment.</w:t>
      </w:r>
    </w:p>
    <w:p w14:paraId="271855E5" w14:textId="77777777" w:rsidR="00505022" w:rsidRPr="00505022" w:rsidRDefault="00505022" w:rsidP="00505022">
      <w:pPr>
        <w:jc w:val="both"/>
      </w:pPr>
      <w:r w:rsidRPr="00505022">
        <w:lastRenderedPageBreak/>
        <w:t>The Commission further recommends that DESE develop and distribute implementation tools and training to support schools in navigating essential areas such as aﬃrmed name and pronoun use, access to gender-inclusive restrooms and locker rooms, student transitions, and staﬀ workplace protections. These tools should include concrete examples to support school and district leaders, classroom educators, support staﬀ, and caregivers in fostering environments that are proactive, consistent, and rooted in care.</w:t>
      </w:r>
    </w:p>
    <w:p w14:paraId="6BA3FC25" w14:textId="77777777" w:rsidR="00505022" w:rsidRPr="00505022" w:rsidRDefault="00505022" w:rsidP="00505022">
      <w:pPr>
        <w:jc w:val="both"/>
      </w:pPr>
      <w:r w:rsidRPr="00505022">
        <w:t>In this time of heightened visibility and vulnerability for gender-diverse communities, DESE’s continued leadership is critical in normalizing inclusion, disrupting stigma, and upholding the dignity and safety of all students and educators—regardless of gender identity or expression.</w:t>
      </w:r>
    </w:p>
    <w:p w14:paraId="462C367C" w14:textId="55949899" w:rsidR="00505022" w:rsidRPr="00505022" w:rsidRDefault="00BF5B9D" w:rsidP="00B7107C">
      <w:pPr>
        <w:pStyle w:val="Heading5"/>
      </w:pPr>
      <w:r>
        <w:t xml:space="preserve">7| </w:t>
      </w:r>
      <w:r w:rsidR="00505022" w:rsidRPr="00505022">
        <w:t>Expand family engagement infrastructure and inclusive practices.</w:t>
      </w:r>
    </w:p>
    <w:p w14:paraId="29330C83" w14:textId="77777777" w:rsidR="00505022" w:rsidRPr="00505022" w:rsidRDefault="00505022" w:rsidP="00505022">
      <w:pPr>
        <w:jc w:val="both"/>
      </w:pPr>
      <w:r w:rsidRPr="00505022">
        <w:t>The Commission recommends that DESE expand targeted resources, training, and technical assistance for family liaisons, parent engagement staﬀ, school-based support teams, and district leaders to build culturally responsive and LGBTQ-aﬃrming partnerships with families and caregivers. Recognizing that family engagement is a cornerstone of student success - and that inclusive engagement strategies must reﬂect and honor the full range of family identities, structures, and experiences across the Commonwealth. As a part of this practice, DESE should support schools and districts in developing communication protocols, outreach materials, and engagement practices that are inclusive of LGBTQ families and aﬃrming of students with LGBTQ identities.</w:t>
      </w:r>
    </w:p>
    <w:p w14:paraId="11115ADB" w14:textId="77777777" w:rsidR="00505022" w:rsidRDefault="00505022" w:rsidP="00505022">
      <w:pPr>
        <w:jc w:val="both"/>
      </w:pPr>
      <w:r w:rsidRPr="00505022">
        <w:t>This includes ensuring families see themselves reﬂected in school materials, are welcomed into school spaces, and are meaningfully involved in decision-making that impacts their children. Provide professional learning opportunities that address implicit bias, cultural humility, and the impact of intersecting forms of marginalization, with an emphasis on strengthening trust between schools and families - particularly those who have been historically excluded or marginalized. Ensure that all family engagement eﬀorts are grounded in equity, transparency, and accessibility, including the use of multilingual materials, interpretation services, and scheduling practices that accommodate caregivers’ diverse needs. By investing in this infrastructure, DESE can help districts create welcoming, inclusive communities where every family is recognized as a valued partner in education.</w:t>
      </w:r>
    </w:p>
    <w:p w14:paraId="446A30A7" w14:textId="3A62604C" w:rsidR="00505022" w:rsidRPr="00505022" w:rsidRDefault="00BF5B9D" w:rsidP="00B7107C">
      <w:pPr>
        <w:pStyle w:val="Heading5"/>
      </w:pPr>
      <w:r>
        <w:t xml:space="preserve">8| </w:t>
      </w:r>
      <w:r w:rsidR="00505022" w:rsidRPr="00505022">
        <w:t>Establish and implement clear expectations for consistent, timely, and values-driven public communication that affirms LGBTQ+ students, families, and educators and reflects DESE’s responsibilities under Massachusetts anti-discrimination law.</w:t>
      </w:r>
    </w:p>
    <w:p w14:paraId="38D94305" w14:textId="77777777" w:rsidR="00505022" w:rsidRPr="00505022" w:rsidRDefault="00505022" w:rsidP="00505022">
      <w:pPr>
        <w:jc w:val="both"/>
      </w:pPr>
      <w:r w:rsidRPr="00505022">
        <w:t xml:space="preserve">As recommended to other education agencies, the Commission urges DESE to model a consistent, timely, and values-driven approach to public communication that affirms the rights and dignity </w:t>
      </w:r>
      <w:r w:rsidRPr="00505022">
        <w:lastRenderedPageBreak/>
        <w:t>of LGBTQ students, families, and educators - and reinforces the Department’s obligations under state anti-discrimination laws - particularly during periods of heightened scrutiny, misinformation, or political targeting. This includes establishing clear expectations and protocols for coordinated and responsive communication across all offices within the Department, ensuring alignment in messaging and visible leadership.</w:t>
      </w:r>
    </w:p>
    <w:p w14:paraId="01ECF42E" w14:textId="77777777" w:rsidR="00505022" w:rsidRPr="00505022" w:rsidRDefault="00505022" w:rsidP="00505022">
      <w:pPr>
        <w:jc w:val="both"/>
      </w:pPr>
      <w:r w:rsidRPr="00505022">
        <w:t>The Commission appreciates that the Department has issued guidance, such as the Commissioner’s memo and back-to-school messaging, addressing opt-out requests and emphasizing support for marginalized communities. The Safe Schools Program also provides internal reporting and responsive support to complaints, helping schools navigate inclusive practices and build trust with students, families, and staff. Building on this foundation, DESE should ensure that such communication is sustained, coordinated, and consistently enacted across all levels of the agency. </w:t>
      </w:r>
    </w:p>
    <w:p w14:paraId="7A60489F" w14:textId="77777777" w:rsidR="00505022" w:rsidRPr="00505022" w:rsidRDefault="00505022" w:rsidP="00505022">
      <w:pPr>
        <w:jc w:val="both"/>
      </w:pPr>
      <w:r w:rsidRPr="00505022">
        <w:t>This commitment should also be demonstrated through visible leadership actions, including public-facing engagements, participation in community conversations, and presence at key events that signal support for LGBTQ students and school communities. Taken together, these efforts help school and district leaders build the capacity to respond confidently to community concerns, media inquiries, and challenges to LGBTQ inclusion, while ensuring educators and staff feel supported in upholding DESE’s values. Consistent and visible support from DESE ultimately reinforces its leadership role in fostering safe, affirming, and equitable learning environments for all students.</w:t>
      </w:r>
    </w:p>
    <w:p w14:paraId="5ACEF9A4" w14:textId="53D6E414" w:rsidR="00505022" w:rsidRPr="00505022" w:rsidRDefault="00BF5B9D" w:rsidP="00B7107C">
      <w:pPr>
        <w:pStyle w:val="Heading5"/>
      </w:pPr>
      <w:r>
        <w:t xml:space="preserve">9| </w:t>
      </w:r>
      <w:r w:rsidR="00505022" w:rsidRPr="00505022">
        <w:t>Collaborate with education-focused agencies to align on strategies to support schools, librarians, families, and youth.</w:t>
      </w:r>
    </w:p>
    <w:p w14:paraId="514BFF7D" w14:textId="77777777" w:rsidR="00505022" w:rsidRPr="00505022" w:rsidRDefault="00505022" w:rsidP="00505022">
      <w:pPr>
        <w:jc w:val="both"/>
      </w:pPr>
      <w:r w:rsidRPr="00505022">
        <w:t>Strengthen cross-agency collaboration and professional learning to ensure LGBTQ+ students, families, and educators are consistently and explicitly considered across all areas of DESE’s work, including policy development, program implementation, data systems, and communications. The Commission recommends that DESE strengthen cross-agency collaboration to ensure that LGBTQ+ students, families, educators, and school communities are consistently and explicitly considered across policy development, program implementation, professional learning, data systems, and communications. This includes continued collaboration with the Massachusetts Board of Library Commissioners (MBLC) to align guidance and professional learning, recognizing the important role that school and public libraries play in providing access to inclusive materials and supporting safe, welcoming environments for students.</w:t>
      </w:r>
    </w:p>
    <w:p w14:paraId="6B95425D" w14:textId="77777777" w:rsidR="00505022" w:rsidRPr="00505022" w:rsidRDefault="00505022" w:rsidP="00505022">
      <w:pPr>
        <w:jc w:val="both"/>
      </w:pPr>
      <w:r w:rsidRPr="00505022">
        <w:t xml:space="preserve">DESE should also partner with key state partners, including the Massachusetts Board of Library Commissioners (MBLC), statewide education associations, and youth-serving organizations, to provide clear, consistent, and practical support to schools and districts. Through this coordinated </w:t>
      </w:r>
      <w:r w:rsidRPr="00505022">
        <w:lastRenderedPageBreak/>
        <w:t>approach, DESE can reduce fragmentation, strengthen alignment across initiatives, and better support schools, librarians, families, and youth in creating inclusive and affirming learning environments. </w:t>
      </w:r>
    </w:p>
    <w:p w14:paraId="581FCF76" w14:textId="36606882" w:rsidR="00B7107C" w:rsidRPr="00E44F63" w:rsidRDefault="00505022" w:rsidP="00505022">
      <w:pPr>
        <w:jc w:val="both"/>
        <w:rPr>
          <w:rStyle w:val="SubtleReference"/>
          <w:color w:val="864EA8" w:themeColor="accent1" w:themeShade="BF"/>
        </w:rPr>
      </w:pPr>
      <w:r w:rsidRPr="00E44F63">
        <w:rPr>
          <w:rStyle w:val="SubtleReference"/>
          <w:color w:val="864EA8" w:themeColor="accent1" w:themeShade="BF"/>
        </w:rPr>
        <w:t>Acknowledgments: The Commission sincerely appreciates the ongoing partnership of DESE staﬀ and agency liaisons.</w:t>
      </w:r>
    </w:p>
    <w:p w14:paraId="2B9607DD" w14:textId="77777777" w:rsidR="00B7107C" w:rsidRDefault="00B7107C">
      <w:pPr>
        <w:rPr>
          <w:i/>
          <w:iCs/>
        </w:rPr>
      </w:pPr>
      <w:r>
        <w:rPr>
          <w:i/>
          <w:iCs/>
        </w:rPr>
        <w:br w:type="page"/>
      </w:r>
    </w:p>
    <w:p w14:paraId="612485D3" w14:textId="359BC165" w:rsidR="00505022" w:rsidRPr="00505022" w:rsidRDefault="00505022" w:rsidP="00B7107C">
      <w:pPr>
        <w:pStyle w:val="Heading2"/>
      </w:pPr>
      <w:bookmarkStart w:id="298" w:name="_Toc230277121"/>
      <w:bookmarkStart w:id="299" w:name="_Toc230277428"/>
      <w:bookmarkStart w:id="300" w:name="_Toc230355503"/>
      <w:r w:rsidRPr="00505022">
        <w:lastRenderedPageBreak/>
        <w:t>Department of Higher Education</w:t>
      </w:r>
      <w:bookmarkEnd w:id="298"/>
      <w:bookmarkEnd w:id="299"/>
      <w:bookmarkEnd w:id="300"/>
    </w:p>
    <w:p w14:paraId="512EE2D1" w14:textId="77777777" w:rsidR="00505022" w:rsidRPr="00505022" w:rsidRDefault="00505022">
      <w:pPr>
        <w:pStyle w:val="ListParagraph"/>
        <w:numPr>
          <w:ilvl w:val="0"/>
          <w:numId w:val="21"/>
        </w:numPr>
        <w:spacing w:after="0" w:line="240" w:lineRule="auto"/>
        <w:ind w:right="360"/>
        <w:jc w:val="both"/>
      </w:pPr>
      <w:r w:rsidRPr="00505022">
        <w:t>Promote comprehensive anti-discrimination policies and best practices at higher education institutions.</w:t>
      </w:r>
    </w:p>
    <w:p w14:paraId="0EC04CBD" w14:textId="77777777" w:rsidR="00505022" w:rsidRPr="00505022" w:rsidRDefault="00505022">
      <w:pPr>
        <w:pStyle w:val="ListParagraph"/>
        <w:numPr>
          <w:ilvl w:val="0"/>
          <w:numId w:val="21"/>
        </w:numPr>
        <w:spacing w:after="0" w:line="240" w:lineRule="auto"/>
        <w:ind w:right="360"/>
        <w:jc w:val="both"/>
      </w:pPr>
      <w:r w:rsidRPr="00505022">
        <w:t>Issue clear guidance on the collection and reporting of Campus Sexual Assault Law data.</w:t>
      </w:r>
    </w:p>
    <w:p w14:paraId="024C95DA" w14:textId="77777777" w:rsidR="00505022" w:rsidRPr="00505022" w:rsidRDefault="00505022">
      <w:pPr>
        <w:pStyle w:val="ListParagraph"/>
        <w:numPr>
          <w:ilvl w:val="0"/>
          <w:numId w:val="21"/>
        </w:numPr>
        <w:spacing w:after="0" w:line="240" w:lineRule="auto"/>
        <w:ind w:right="360"/>
        <w:jc w:val="both"/>
      </w:pPr>
      <w:r w:rsidRPr="00505022">
        <w:t xml:space="preserve">Host </w:t>
      </w:r>
      <w:proofErr w:type="gramStart"/>
      <w:r w:rsidRPr="00505022">
        <w:t>listening</w:t>
      </w:r>
      <w:proofErr w:type="gramEnd"/>
      <w:r w:rsidRPr="00505022">
        <w:t xml:space="preserve"> sessions to better understand the needs of LGBTQ+ students and faculty.</w:t>
      </w:r>
    </w:p>
    <w:p w14:paraId="4F1D7F98" w14:textId="77777777" w:rsidR="00505022" w:rsidRPr="00505022" w:rsidRDefault="00505022">
      <w:pPr>
        <w:pStyle w:val="ListParagraph"/>
        <w:numPr>
          <w:ilvl w:val="0"/>
          <w:numId w:val="21"/>
        </w:numPr>
        <w:spacing w:after="0" w:line="240" w:lineRule="auto"/>
        <w:ind w:right="360"/>
        <w:jc w:val="both"/>
      </w:pPr>
      <w:r w:rsidRPr="00505022">
        <w:t>Expand funding and LGBTQ-inclusive resources on public campuses.</w:t>
      </w:r>
    </w:p>
    <w:p w14:paraId="38EB295B" w14:textId="764B7682" w:rsidR="00505022" w:rsidRDefault="00505022">
      <w:pPr>
        <w:pStyle w:val="ListParagraph"/>
        <w:numPr>
          <w:ilvl w:val="0"/>
          <w:numId w:val="21"/>
        </w:numPr>
        <w:spacing w:after="0" w:line="240" w:lineRule="auto"/>
        <w:ind w:right="360"/>
        <w:jc w:val="both"/>
      </w:pPr>
      <w:r w:rsidRPr="00505022">
        <w:t xml:space="preserve">Establish a practice of proactive public support for LGBTQ+ students, staff, and </w:t>
      </w:r>
      <w:r w:rsidR="00B443A2" w:rsidRPr="00505022">
        <w:t>institutions.</w:t>
      </w:r>
    </w:p>
    <w:p w14:paraId="6A4D7408" w14:textId="7FB0B3B5" w:rsidR="00505022" w:rsidRPr="00505022" w:rsidRDefault="00505022" w:rsidP="00E97E73">
      <w:pPr>
        <w:pStyle w:val="Heading3"/>
      </w:pPr>
      <w:bookmarkStart w:id="301" w:name="_Toc230277429"/>
      <w:r w:rsidRPr="00505022">
        <w:t>Introduction</w:t>
      </w:r>
      <w:bookmarkEnd w:id="301"/>
    </w:p>
    <w:p w14:paraId="3869420E" w14:textId="77777777" w:rsidR="00505022" w:rsidRPr="00505022" w:rsidRDefault="00505022" w:rsidP="00505022">
      <w:pPr>
        <w:spacing w:after="0"/>
        <w:jc w:val="both"/>
      </w:pPr>
      <w:r w:rsidRPr="00505022">
        <w:t>The Department of Higher Education (DHE) provides vital educational opportunities to nearly 300,000 students across the Commonwealth’s fifteen community colleges, nine state universities, and ﬁve University of Massachusetts campuses. Guided by its mission to oﬀer accessible, high-quality, and responsive programs, DHE plays a critical role in meeting the evolving educational and workforce needs of Massachusetts residents.</w:t>
      </w:r>
    </w:p>
    <w:p w14:paraId="3917E32F" w14:textId="0307F4BE" w:rsidR="00505022" w:rsidRPr="00505022" w:rsidRDefault="00505022" w:rsidP="00505022">
      <w:pPr>
        <w:spacing w:after="0"/>
        <w:jc w:val="both"/>
      </w:pPr>
      <w:r w:rsidRPr="00505022">
        <w:t>LGBTQ+ students engage with every aspect of campus life</w:t>
      </w:r>
      <w:r w:rsidR="00E57461">
        <w:t xml:space="preserve"> - </w:t>
      </w:r>
      <w:r w:rsidRPr="00505022">
        <w:t xml:space="preserve">from housing and health services to identity documents and bias reporting systems. Across the country, institutions are increasingly updating internal policies to better meet the needs of LGBTQ+ students, and Massachusetts </w:t>
      </w:r>
      <w:proofErr w:type="gramStart"/>
      <w:r w:rsidRPr="00505022">
        <w:t>has the opportunity to</w:t>
      </w:r>
      <w:proofErr w:type="gramEnd"/>
      <w:r w:rsidRPr="00505022">
        <w:t xml:space="preserve"> lead in this work.</w:t>
      </w:r>
    </w:p>
    <w:p w14:paraId="64736294" w14:textId="77777777" w:rsidR="00505022" w:rsidRPr="00505022" w:rsidRDefault="00505022" w:rsidP="00505022">
      <w:pPr>
        <w:spacing w:after="0"/>
        <w:jc w:val="both"/>
      </w:pPr>
      <w:r w:rsidRPr="00505022">
        <w:t>Since 2013, the Massachusetts Commission on LGBTQ Youth has partnered with DHE to promote inclusive campus climates and improve educational outcomes for LGBTQ+ students at the collegiate level. This collaboration has led to meaningful progress: LGBTQ+ identities are now included in model guidance and best practices; campus safety and violence prevention regulations have been updated; and eﬀorts have been made to protect LGBTQ+ students and students of color through stronger anti-discrimination frameworks. DHE has also taken steps to examine how gender identity and sexual orientation are addressed in college and university non-discrimination statements across the public higher education system. The Commission looks forward to continuing to work with DHE to ensure that every public college and university in the Commonwealth has the resources, tools, and guidance necessary to implement inclusive practices and exceed national standards in support of LGBTQ+ student well-being and success.</w:t>
      </w:r>
    </w:p>
    <w:p w14:paraId="3999C62C" w14:textId="5D4285FF" w:rsidR="00505022" w:rsidRPr="00505022" w:rsidRDefault="00505022" w:rsidP="00E97E73">
      <w:pPr>
        <w:pStyle w:val="Heading3"/>
      </w:pPr>
      <w:bookmarkStart w:id="302" w:name="_Toc230277430"/>
      <w:r w:rsidRPr="00505022">
        <w:lastRenderedPageBreak/>
        <w:t>FY 2027 Recommendations to the Department of Higher Education</w:t>
      </w:r>
      <w:bookmarkEnd w:id="302"/>
      <w:r w:rsidRPr="00505022">
        <w:br/>
      </w:r>
    </w:p>
    <w:p w14:paraId="5B5449DE" w14:textId="4569BD5C" w:rsidR="00505022" w:rsidRPr="00505022" w:rsidRDefault="00BF5B9D" w:rsidP="00B7107C">
      <w:pPr>
        <w:pStyle w:val="Heading5"/>
      </w:pPr>
      <w:r>
        <w:t xml:space="preserve">1| </w:t>
      </w:r>
      <w:r w:rsidR="00505022" w:rsidRPr="00505022">
        <w:t>Promote comprehensive anti-discrimination policies and best practices at higher education institutions.</w:t>
      </w:r>
    </w:p>
    <w:p w14:paraId="4BA2B937" w14:textId="77777777" w:rsidR="00505022" w:rsidRPr="00505022" w:rsidRDefault="00505022" w:rsidP="00505022">
      <w:pPr>
        <w:spacing w:after="0"/>
        <w:jc w:val="both"/>
      </w:pPr>
      <w:r w:rsidRPr="00505022">
        <w:t>As with K–12 students, college and university students thrive when their campuses provide safe, inclusive environments free from violence, discrimination, and harassment. DHE is uniquely positioned to support institutions in adopting and implementing anti-discrimination policies that explicitly include sex, gender identity, gender expression, and sexual orientation.</w:t>
      </w:r>
    </w:p>
    <w:p w14:paraId="3CA85E94" w14:textId="77777777" w:rsidR="00505022" w:rsidRPr="00505022" w:rsidRDefault="00505022" w:rsidP="00505022">
      <w:pPr>
        <w:spacing w:after="0"/>
        <w:jc w:val="both"/>
      </w:pPr>
      <w:r w:rsidRPr="00505022">
        <w:t>Although DHE has limited direct oversight of institutional aﬀairs, the Commission strongly urges DHE to serve as a role model by promoting policies that go beyond minimum legal requirements. In a 2023 DHE review of anti-discrimination policies at all 115 public and private higher education institutions in the Commonwealth, sexual orientation was included by most institutions (103), followed by gender (97), gender identity (88), and sex (81). Protections for gender expression were least commonly included, highlighting an urgent opportunity for stronger policy guidance. The Commission recommends that DHE develop educational materials - including this data and model policy language - to support institutions in strengthening protections for LGBTQ+ students and employees.</w:t>
      </w:r>
    </w:p>
    <w:p w14:paraId="22412750" w14:textId="04386349" w:rsidR="00505022" w:rsidRPr="00505022" w:rsidRDefault="00BF5B9D" w:rsidP="00B7107C">
      <w:pPr>
        <w:pStyle w:val="Heading5"/>
      </w:pPr>
      <w:r>
        <w:t xml:space="preserve">2| </w:t>
      </w:r>
      <w:r w:rsidR="00505022" w:rsidRPr="00505022">
        <w:t>Issue clear guidance on the collection and reporting of Campus Sexual Assault Law data.</w:t>
      </w:r>
    </w:p>
    <w:p w14:paraId="388DEFD8" w14:textId="77777777" w:rsidR="00505022" w:rsidRPr="00505022" w:rsidRDefault="00505022" w:rsidP="00505022">
      <w:pPr>
        <w:spacing w:after="0"/>
        <w:jc w:val="both"/>
      </w:pPr>
      <w:r w:rsidRPr="00505022">
        <w:t>As part of the 2021 Campus Sexual Assault Law, Massachusetts institutions of higher education are required to publish the results of campus climate surveys by August 1, 2025. While DHE has been working on guidance for how institutions should post this data, there remains a lack of clarity around how schools should collect and report the data—leading to inconsistencies and concerns around student conﬁdentiality, particularly for transgender and nonbinary students.</w:t>
      </w:r>
    </w:p>
    <w:p w14:paraId="38370BC2" w14:textId="77777777" w:rsidR="00505022" w:rsidRPr="00505022" w:rsidRDefault="00505022" w:rsidP="00505022">
      <w:pPr>
        <w:spacing w:after="0"/>
        <w:jc w:val="both"/>
      </w:pPr>
      <w:r w:rsidRPr="00505022">
        <w:t>The Commission recommends that DHE develop and disseminate clear guidance on climate survey data collection and reporting, with a strong emphasis on safeguarding student privacy. Additionally, the Commission urges DHE to recommend that institutions include provisions in Memoranda of Understanding (MOUs) requiring LGBTQ-speciﬁc cultural competency training for all professionals providing sexual assault services to students and employees.</w:t>
      </w:r>
    </w:p>
    <w:p w14:paraId="32CAE699" w14:textId="00EE7884" w:rsidR="00505022" w:rsidRPr="00505022" w:rsidRDefault="00BF5B9D" w:rsidP="00B7107C">
      <w:pPr>
        <w:pStyle w:val="Heading5"/>
      </w:pPr>
      <w:r>
        <w:t xml:space="preserve">3| </w:t>
      </w:r>
      <w:r w:rsidR="00505022" w:rsidRPr="00505022">
        <w:t>Host listening sessions to better understand the needs of LGBTQ+ students and faculty.</w:t>
      </w:r>
    </w:p>
    <w:p w14:paraId="2CFD3C3F" w14:textId="77777777" w:rsidR="00505022" w:rsidRPr="00505022" w:rsidRDefault="00505022" w:rsidP="00505022">
      <w:pPr>
        <w:spacing w:after="0"/>
        <w:jc w:val="both"/>
      </w:pPr>
      <w:r w:rsidRPr="00505022">
        <w:t xml:space="preserve">To ensure that the voices of LGBTQ+ students and faculty are meaningfully included in policy development, the Commission recommends that DHE host listening sessions across the Commonwealth. These sessions should focus on barriers and opportunities related to community </w:t>
      </w:r>
      <w:r w:rsidRPr="00505022">
        <w:lastRenderedPageBreak/>
        <w:t>college access, housing, mental health, and other critical areas of concern. The Commission also encourages DHE to assess the current availability of LGBTQ cultural competency training for faculty and staﬀ and to support the development of strategic plans at institutions to strengthen campus inclusion and support services.</w:t>
      </w:r>
    </w:p>
    <w:p w14:paraId="09FD0D5D" w14:textId="0393D0EC" w:rsidR="00505022" w:rsidRPr="00505022" w:rsidRDefault="00BF5B9D" w:rsidP="00B7107C">
      <w:pPr>
        <w:pStyle w:val="Heading5"/>
      </w:pPr>
      <w:r>
        <w:t xml:space="preserve">4| </w:t>
      </w:r>
      <w:r w:rsidR="00505022" w:rsidRPr="00505022">
        <w:t>Expand funding and LGBTQ-inclusive resources on public campuses.</w:t>
      </w:r>
    </w:p>
    <w:p w14:paraId="4BF65F68" w14:textId="77777777" w:rsidR="00505022" w:rsidRPr="00505022" w:rsidRDefault="00505022" w:rsidP="00505022">
      <w:pPr>
        <w:spacing w:after="0"/>
        <w:jc w:val="both"/>
      </w:pPr>
      <w:r w:rsidRPr="00505022">
        <w:t>DHE should collaborate with public colleges and universities to assess the speciﬁc needs of LGBTQ students and develop responsive, student-informed resources. These eﬀorts may include inclusive programming, student support services, and capacity-building for campus personnel. Additionally, the Commission urges DHE to examine how ﬁnancial assistance is currently distributed to underrepresented groups and to use this data to identify gaps and expand funding for LGBTQ-inclusive initiatives across Massachusetts campuses. One key area that DHE should investigate is the resources available to students at community colleges across the state.</w:t>
      </w:r>
    </w:p>
    <w:p w14:paraId="45B70294" w14:textId="73BDF503" w:rsidR="00505022" w:rsidRPr="00505022" w:rsidRDefault="00BF5B9D" w:rsidP="00B7107C">
      <w:pPr>
        <w:pStyle w:val="Heading5"/>
      </w:pPr>
      <w:r>
        <w:t xml:space="preserve">5| </w:t>
      </w:r>
      <w:r w:rsidR="00505022" w:rsidRPr="00505022">
        <w:t>Establish a practice of proactive public support for LGBTQ+ students, staﬀ, and institutions.</w:t>
      </w:r>
    </w:p>
    <w:p w14:paraId="18EAD3E4" w14:textId="77777777" w:rsidR="00505022" w:rsidRPr="00505022" w:rsidRDefault="00505022" w:rsidP="00505022">
      <w:pPr>
        <w:spacing w:after="0"/>
        <w:jc w:val="both"/>
      </w:pPr>
      <w:r w:rsidRPr="00505022">
        <w:t>Demonstrate a consistent and values-driven commitment to aﬃrming the rights, dignity, and well-being of LGBTQ+ students, faculty, and staﬀ - particularly during periods of heightened scrutiny, misinformation, or political targeting. DHE leadership should, when appropriate, issue proactive, timely public statements aligned with state and federal legal protections, clearly reinforcing the Department’s expectation that all public campuses provide inclusive, safe, and supportive environments.</w:t>
      </w:r>
    </w:p>
    <w:p w14:paraId="03CF896E" w14:textId="77777777" w:rsidR="00505022" w:rsidRPr="00505022" w:rsidRDefault="00505022" w:rsidP="00505022">
      <w:pPr>
        <w:spacing w:after="0"/>
        <w:jc w:val="both"/>
      </w:pPr>
      <w:r w:rsidRPr="00505022">
        <w:t>This commitment must be visible not only through oﬃcial statements but also through actions at every level of the Department - such as active participation in LGBTQ+-aﬃrming events, engagement in campus and community forums, and public acknowledgment of institutional eﬀorts that promote equity and belonging. By modeling proactive leadership, DHE strengthens the capacity of colleges and universities to address challenges conﬁdently, uphold LGBTQ+ inclusion as a fundamental educational value, and ensure that every student, faculty member, and staﬀ person across Massachusetts' higher education system feels seen, supported, and empowered.</w:t>
      </w:r>
    </w:p>
    <w:p w14:paraId="4BD7EBE5" w14:textId="77777777" w:rsidR="00505022" w:rsidRPr="00505022" w:rsidRDefault="00505022" w:rsidP="00505022">
      <w:pPr>
        <w:spacing w:after="0"/>
        <w:jc w:val="both"/>
      </w:pPr>
      <w:r w:rsidRPr="00505022">
        <w:t> </w:t>
      </w:r>
    </w:p>
    <w:p w14:paraId="35818D1A" w14:textId="01D3A517" w:rsidR="00F775C9" w:rsidRPr="00E44F63" w:rsidRDefault="00505022" w:rsidP="00505022">
      <w:pPr>
        <w:spacing w:after="0"/>
        <w:jc w:val="both"/>
        <w:rPr>
          <w:rStyle w:val="SubtleReference"/>
          <w:color w:val="864EA8" w:themeColor="accent1" w:themeShade="BF"/>
        </w:rPr>
      </w:pPr>
      <w:r w:rsidRPr="00E44F63">
        <w:rPr>
          <w:rStyle w:val="SubtleReference"/>
          <w:color w:val="864EA8" w:themeColor="accent1" w:themeShade="BF"/>
        </w:rPr>
        <w:t>Acknowledgments: The Commission extends its appreciation to the Department of Higher Education for its continued partnership and leadership in promoting safe, welcoming, and inclusive learning environments.</w:t>
      </w:r>
    </w:p>
    <w:p w14:paraId="2F710A2B" w14:textId="77777777" w:rsidR="00F775C9" w:rsidRDefault="00F775C9">
      <w:pPr>
        <w:rPr>
          <w:i/>
          <w:iCs/>
        </w:rPr>
      </w:pPr>
      <w:r>
        <w:rPr>
          <w:i/>
          <w:iCs/>
        </w:rPr>
        <w:br w:type="page"/>
      </w:r>
    </w:p>
    <w:p w14:paraId="66CA8ACF" w14:textId="77777777" w:rsidR="00F775C9" w:rsidRPr="00F775C9" w:rsidRDefault="00F775C9" w:rsidP="00982595">
      <w:pPr>
        <w:pStyle w:val="Heading1"/>
      </w:pPr>
      <w:bookmarkStart w:id="303" w:name="_Toc230277122"/>
      <w:bookmarkStart w:id="304" w:name="_Toc230277431"/>
      <w:bookmarkStart w:id="305" w:name="_Toc230355504"/>
      <w:r w:rsidRPr="00F775C9">
        <w:lastRenderedPageBreak/>
        <w:t>Executive Office of Public Safety and Security</w:t>
      </w:r>
      <w:bookmarkEnd w:id="303"/>
      <w:bookmarkEnd w:id="304"/>
      <w:bookmarkEnd w:id="305"/>
    </w:p>
    <w:p w14:paraId="319BBBD0" w14:textId="77777777" w:rsidR="00F775C9" w:rsidRPr="00F775C9" w:rsidRDefault="00F775C9">
      <w:pPr>
        <w:pStyle w:val="ListParagraph"/>
        <w:numPr>
          <w:ilvl w:val="0"/>
          <w:numId w:val="23"/>
        </w:numPr>
        <w:spacing w:line="240" w:lineRule="auto"/>
        <w:ind w:right="360"/>
        <w:jc w:val="both"/>
      </w:pPr>
      <w:r w:rsidRPr="00F775C9">
        <w:t>Convene an interagency committee to discuss the needs of LGBTQ young people encountering EOPSS agencies, and explore options for improving data collection, training, and policies.</w:t>
      </w:r>
    </w:p>
    <w:p w14:paraId="3E80E618" w14:textId="77777777" w:rsidR="00F775C9" w:rsidRPr="00F775C9" w:rsidRDefault="00F775C9">
      <w:pPr>
        <w:pStyle w:val="ListParagraph"/>
        <w:numPr>
          <w:ilvl w:val="0"/>
          <w:numId w:val="23"/>
        </w:numPr>
        <w:spacing w:line="240" w:lineRule="auto"/>
        <w:ind w:right="360"/>
        <w:jc w:val="both"/>
      </w:pPr>
      <w:r w:rsidRPr="00F775C9">
        <w:t>Provide LGBTQ cultural awareness trainings to all EOPSS agency staff.</w:t>
      </w:r>
    </w:p>
    <w:p w14:paraId="7207F4CB" w14:textId="77777777" w:rsidR="00F775C9" w:rsidRPr="00F775C9" w:rsidRDefault="00F775C9" w:rsidP="00E97E73">
      <w:pPr>
        <w:pStyle w:val="Heading3"/>
      </w:pPr>
      <w:bookmarkStart w:id="306" w:name="_Toc230277432"/>
      <w:r w:rsidRPr="00F775C9">
        <w:t>Introduction</w:t>
      </w:r>
      <w:bookmarkEnd w:id="306"/>
    </w:p>
    <w:p w14:paraId="3646F3ED" w14:textId="77777777" w:rsidR="00F775C9" w:rsidRPr="00F775C9" w:rsidRDefault="00F775C9" w:rsidP="00F775C9">
      <w:pPr>
        <w:jc w:val="both"/>
      </w:pPr>
      <w:r w:rsidRPr="00F775C9">
        <w:t>The Executive Office of Public Safety and Security (EOPSS) provides oversight and coordination for agencies, boards, and commissions involved in criminal justice, law enforcement, homeland security, and emergency preparedness and response. These agencies include the Massachusetts State Police, Sex Offender Registry Board, Department of Correction, and Municipal Police Training Committee.</w:t>
      </w:r>
    </w:p>
    <w:p w14:paraId="5B089F64" w14:textId="77777777" w:rsidR="00F775C9" w:rsidRPr="00F775C9" w:rsidRDefault="00F775C9" w:rsidP="00F775C9">
      <w:pPr>
        <w:jc w:val="both"/>
      </w:pPr>
      <w:r w:rsidRPr="00F775C9">
        <w:t>The Commission appreciates EOPSS’s continued engagement with the Commission’s recommendations each fiscal year, including by establishing a liaison within EOPSS to discuss recommendations and by helping facilitate connections with MPTC, OGR, and DOC in response to previous recommendations. Additionally, in FY 2026, EOPSS made progress on the first recommendation by beginning to convene interagency meetings to better coordinate training and policy implementation.</w:t>
      </w:r>
    </w:p>
    <w:p w14:paraId="74D7A66D" w14:textId="77777777" w:rsidR="00F775C9" w:rsidRPr="00F775C9" w:rsidRDefault="00F775C9" w:rsidP="00E97E73">
      <w:pPr>
        <w:pStyle w:val="Heading3"/>
      </w:pPr>
      <w:bookmarkStart w:id="307" w:name="_Toc230277433"/>
      <w:r w:rsidRPr="00F775C9">
        <w:t>FY 2027 Recommendations to the Executive Office of Public Safety and Security</w:t>
      </w:r>
      <w:bookmarkEnd w:id="307"/>
    </w:p>
    <w:p w14:paraId="1018A168" w14:textId="6D8C7F74" w:rsidR="00F775C9" w:rsidRPr="00F775C9" w:rsidRDefault="00BF5B9D" w:rsidP="00B7107C">
      <w:pPr>
        <w:pStyle w:val="Heading5"/>
      </w:pPr>
      <w:r>
        <w:t xml:space="preserve">1| </w:t>
      </w:r>
      <w:r w:rsidR="00F775C9" w:rsidRPr="00F775C9">
        <w:t>Convene an interagency committee to discuss the needs of LGBTQ young people encountering EOPSS agencies, and explore options for improving data collection, training, and policies.</w:t>
      </w:r>
    </w:p>
    <w:p w14:paraId="1BF4C55C" w14:textId="77777777" w:rsidR="00F775C9" w:rsidRPr="00F775C9" w:rsidRDefault="00F775C9" w:rsidP="00F775C9">
      <w:pPr>
        <w:jc w:val="both"/>
      </w:pPr>
      <w:r w:rsidRPr="00F775C9">
        <w:t>The Commission continues to recommend that EOPSS explore the creation of an interagency committee model to better coordinate efforts to support LGBTQ communities, particularly given that issues such as data collection and nondiscrimination policies may not function effectively in isolation across the broader EOPSS system. The Commission further recommends that EOPSS continue exploring opportunities for agencies to expand the collection and reporting of data on sexual orientation and gender identity (SOGI) to better identify and address disparities affecting LGBTQ youth across the multiple systems overseen by EOPSS.</w:t>
      </w:r>
    </w:p>
    <w:p w14:paraId="18442534" w14:textId="77777777" w:rsidR="00F775C9" w:rsidRPr="00F775C9" w:rsidRDefault="00F775C9" w:rsidP="00F775C9">
      <w:pPr>
        <w:jc w:val="both"/>
      </w:pPr>
      <w:r w:rsidRPr="00F775C9">
        <w:t xml:space="preserve">In FY 2026, EOPSS shared that it had begun convening meetings with select agencies that frequently interact with LGBTQ youth and young adults, including the Department of Correction, </w:t>
      </w:r>
      <w:r w:rsidRPr="00F775C9">
        <w:lastRenderedPageBreak/>
        <w:t>Municipal Police Training Committee, Office of Grants and Research, and the EOPSS Credible Messenger Program, to discuss training and policy implementation.</w:t>
      </w:r>
    </w:p>
    <w:p w14:paraId="0953FA03" w14:textId="42C5E14F" w:rsidR="00F775C9" w:rsidRPr="00F775C9" w:rsidRDefault="00BF5B9D" w:rsidP="00B7107C">
      <w:pPr>
        <w:pStyle w:val="Heading5"/>
      </w:pPr>
      <w:r>
        <w:t xml:space="preserve">2| </w:t>
      </w:r>
      <w:r w:rsidR="00F775C9" w:rsidRPr="00F775C9">
        <w:t>Provide LGBTQ cultural awareness trainings to all EOPSS agency staff.</w:t>
      </w:r>
    </w:p>
    <w:p w14:paraId="75AAE874" w14:textId="77777777" w:rsidR="00F775C9" w:rsidRPr="00F775C9" w:rsidRDefault="00F775C9" w:rsidP="00F775C9">
      <w:pPr>
        <w:jc w:val="both"/>
      </w:pPr>
      <w:r w:rsidRPr="00F775C9">
        <w:t xml:space="preserve">For several years, the Commission has engaged in conversations with EOPSS regarding LGBTQ cultural awareness trainings and identified MPTC, DOC, the State Police, and the Massachusetts National Guard as key agencies to prioritize in these efforts. In FY 2024, the Commission </w:t>
      </w:r>
      <w:proofErr w:type="gramStart"/>
      <w:r w:rsidRPr="00F775C9">
        <w:t>was connected with</w:t>
      </w:r>
      <w:proofErr w:type="gramEnd"/>
      <w:r w:rsidRPr="00F775C9">
        <w:t xml:space="preserve"> many of these agencies and had the opportunity to work with DOC staff to present a train-the-trainer series in fall 2024.</w:t>
      </w:r>
    </w:p>
    <w:p w14:paraId="38A4A027" w14:textId="663C786E" w:rsidR="00F775C9" w:rsidRDefault="00F775C9" w:rsidP="00F775C9">
      <w:pPr>
        <w:jc w:val="both"/>
      </w:pPr>
      <w:r w:rsidRPr="00F775C9">
        <w:t xml:space="preserve">The Commission appreciates EOPSS’s continued engagement in LGBTQ cultural awareness trainings and technical assistance opportunities across its agencies. EOPSS also shared that the Department of Correction has continued mandatory LGBTQ cultural awareness trainings for new correctional officer recruits, with more than </w:t>
      </w:r>
      <w:r w:rsidR="007D658D" w:rsidRPr="00F775C9">
        <w:t>three hundred</w:t>
      </w:r>
      <w:r w:rsidRPr="00F775C9">
        <w:t xml:space="preserve"> recruits trained in recent years. Additionally, in FY 2026, the Commission partnered with MPTC to provide staff training, and MPTC expressed interest in continuing to strengthen and reform its existing training curricula for police recruits across the Commonwealth. EOPSS further noted that Credible Messengers have participated in the Commission’s train-the-trainer program and may serve as an important pathway for supporting LGBTQ youth and young adults involved in re-entry systems.</w:t>
      </w:r>
    </w:p>
    <w:p w14:paraId="756C3AEE" w14:textId="06C79A94" w:rsidR="00A3710E" w:rsidRDefault="00A3710E" w:rsidP="00F775C9">
      <w:pPr>
        <w:jc w:val="both"/>
      </w:pPr>
      <w:r w:rsidRPr="00E44F63">
        <w:rPr>
          <w:rStyle w:val="SubtleReference"/>
          <w:color w:val="864EA8" w:themeColor="accent1" w:themeShade="BF"/>
        </w:rPr>
        <w:t>Acknowledgments: The Commission thanks the contributions of its EOPSS staff liaisons. </w:t>
      </w:r>
    </w:p>
    <w:p w14:paraId="0B7E46B8" w14:textId="77777777" w:rsidR="00F775C9" w:rsidRDefault="00F775C9">
      <w:r>
        <w:br w:type="page"/>
      </w:r>
    </w:p>
    <w:p w14:paraId="63AE2A94" w14:textId="77777777" w:rsidR="00F775C9" w:rsidRPr="00F775C9" w:rsidRDefault="00F775C9" w:rsidP="00B7107C">
      <w:pPr>
        <w:pStyle w:val="Heading2"/>
      </w:pPr>
      <w:bookmarkStart w:id="308" w:name="_Toc230277123"/>
      <w:bookmarkStart w:id="309" w:name="_Toc230277434"/>
      <w:bookmarkStart w:id="310" w:name="_Toc230355505"/>
      <w:r w:rsidRPr="00F775C9">
        <w:lastRenderedPageBreak/>
        <w:t>Department of Correction</w:t>
      </w:r>
      <w:bookmarkEnd w:id="308"/>
      <w:bookmarkEnd w:id="309"/>
      <w:bookmarkEnd w:id="310"/>
    </w:p>
    <w:p w14:paraId="2BA45A9D" w14:textId="77777777" w:rsidR="00F775C9" w:rsidRPr="00F775C9" w:rsidRDefault="00F775C9">
      <w:pPr>
        <w:pStyle w:val="ListParagraph"/>
        <w:numPr>
          <w:ilvl w:val="0"/>
          <w:numId w:val="24"/>
        </w:numPr>
        <w:spacing w:line="240" w:lineRule="auto"/>
        <w:ind w:right="360"/>
        <w:jc w:val="both"/>
      </w:pPr>
      <w:r w:rsidRPr="00F775C9">
        <w:t>Continue to provide mandated LGBTQ cultural engagement and racial equity trainings to all DOC staff.</w:t>
      </w:r>
    </w:p>
    <w:p w14:paraId="5B35139F" w14:textId="77777777" w:rsidR="00F775C9" w:rsidRPr="00F775C9" w:rsidRDefault="00F775C9">
      <w:pPr>
        <w:pStyle w:val="ListParagraph"/>
        <w:numPr>
          <w:ilvl w:val="0"/>
          <w:numId w:val="24"/>
        </w:numPr>
        <w:spacing w:line="240" w:lineRule="auto"/>
        <w:ind w:right="360"/>
        <w:jc w:val="both"/>
      </w:pPr>
      <w:r w:rsidRPr="00F775C9">
        <w:t>Investigate facility compliance with ensuring that transgender and gender expansive inmates are given appropriate, timely access to gender-affirming care.</w:t>
      </w:r>
    </w:p>
    <w:p w14:paraId="1E3EABC2" w14:textId="77777777" w:rsidR="00F775C9" w:rsidRPr="00F775C9" w:rsidRDefault="00F775C9">
      <w:pPr>
        <w:pStyle w:val="ListParagraph"/>
        <w:numPr>
          <w:ilvl w:val="0"/>
          <w:numId w:val="24"/>
        </w:numPr>
        <w:spacing w:line="240" w:lineRule="auto"/>
        <w:ind w:right="360"/>
        <w:jc w:val="both"/>
      </w:pPr>
      <w:r w:rsidRPr="00F775C9">
        <w:t>Review current data collection practices to identify areas to improve SOGI data reporting.</w:t>
      </w:r>
    </w:p>
    <w:p w14:paraId="654FE1A7" w14:textId="77777777" w:rsidR="00F775C9" w:rsidRPr="00F775C9" w:rsidRDefault="00F775C9" w:rsidP="00E97E73">
      <w:pPr>
        <w:pStyle w:val="Heading3"/>
      </w:pPr>
      <w:bookmarkStart w:id="311" w:name="_Toc230277435"/>
      <w:r w:rsidRPr="00F775C9">
        <w:t>Introduction</w:t>
      </w:r>
      <w:bookmarkEnd w:id="311"/>
    </w:p>
    <w:p w14:paraId="4490BC01" w14:textId="51D5A634" w:rsidR="00F775C9" w:rsidRPr="00F775C9" w:rsidRDefault="00F775C9" w:rsidP="00F775C9">
      <w:pPr>
        <w:jc w:val="both"/>
      </w:pPr>
      <w:r w:rsidRPr="00F775C9">
        <w:t xml:space="preserve">The Department of Correction (DOC) oversees the state prison system, managing </w:t>
      </w:r>
      <w:r w:rsidR="007D658D" w:rsidRPr="00F775C9">
        <w:t>thirteen</w:t>
      </w:r>
      <w:r w:rsidRPr="00F775C9">
        <w:t xml:space="preserve"> institutions across the state. The Commission began issuing recommendations to the DOC in FY 2026. The Commission looks forward to continuing to build relationships with DOC to provide support and accountability for LGBTQ individuals who are incarcerated.</w:t>
      </w:r>
    </w:p>
    <w:p w14:paraId="7F894142" w14:textId="77777777" w:rsidR="00F775C9" w:rsidRPr="00F775C9" w:rsidRDefault="00F775C9" w:rsidP="00E97E73">
      <w:pPr>
        <w:pStyle w:val="Heading3"/>
      </w:pPr>
      <w:bookmarkStart w:id="312" w:name="_Toc230277436"/>
      <w:r w:rsidRPr="00F775C9">
        <w:t>FY 2027 Recommendations to the Department of Correction</w:t>
      </w:r>
      <w:bookmarkEnd w:id="312"/>
    </w:p>
    <w:p w14:paraId="4F998B72" w14:textId="4EFC154D" w:rsidR="00F775C9" w:rsidRPr="00F775C9" w:rsidRDefault="00BF5B9D" w:rsidP="00B7107C">
      <w:pPr>
        <w:pStyle w:val="Heading5"/>
      </w:pPr>
      <w:r>
        <w:t xml:space="preserve">1| </w:t>
      </w:r>
      <w:r w:rsidR="00F775C9" w:rsidRPr="00F775C9">
        <w:t>Continue to provide mandated LGBTQ cultural engagement and racial equity trainings to all DOC staﬀ.</w:t>
      </w:r>
    </w:p>
    <w:p w14:paraId="508761AA" w14:textId="77777777" w:rsidR="00F775C9" w:rsidRPr="00F775C9" w:rsidRDefault="00F775C9" w:rsidP="00F775C9">
      <w:pPr>
        <w:jc w:val="both"/>
      </w:pPr>
      <w:r w:rsidRPr="00F775C9">
        <w:t xml:space="preserve">The Commission strongly recommends that DOC increase its offerings of LGBTQ cultural engagement trainings to all DOC staff. The Commission appreciated the opportunity to work with DOC in FY 2024 and early FY 2025 to offer training opportunities both for inmates and DOC staff. The Department also shared that it has offered LGBTQ-focused trainings through its Learning Management System for multiple years, including </w:t>
      </w:r>
      <w:r w:rsidRPr="00F775C9">
        <w:rPr>
          <w:i/>
          <w:iCs/>
        </w:rPr>
        <w:t>Communicating Effectively and Professionally with LGBTI Offenders</w:t>
      </w:r>
      <w:r w:rsidRPr="00F775C9">
        <w:t xml:space="preserve"> and </w:t>
      </w:r>
      <w:r w:rsidRPr="00F775C9">
        <w:rPr>
          <w:i/>
          <w:iCs/>
        </w:rPr>
        <w:t>LGBTQIA+ Awareness</w:t>
      </w:r>
      <w:r w:rsidRPr="00F775C9">
        <w:t xml:space="preserve"> trainings between TY16 and TY26. However, these trainings are not mandatory and require a more strategic and comprehensive approach to effectively challenge the biases and discrimination that current and former LGBTQ inmates frequently report. </w:t>
      </w:r>
    </w:p>
    <w:p w14:paraId="74BA9B02" w14:textId="7809AEA7" w:rsidR="00F775C9" w:rsidRPr="00F775C9" w:rsidRDefault="00BF5B9D" w:rsidP="00B7107C">
      <w:pPr>
        <w:pStyle w:val="Heading5"/>
      </w:pPr>
      <w:r>
        <w:t xml:space="preserve">2| </w:t>
      </w:r>
      <w:r w:rsidR="00F775C9" w:rsidRPr="00F775C9">
        <w:t>Investigate facility compliance with ensuring that transgender and gender expansive inmates are given appropriate, timely access to gender-aﬃrming care.</w:t>
      </w:r>
    </w:p>
    <w:p w14:paraId="35D99D47" w14:textId="77777777" w:rsidR="00F775C9" w:rsidRPr="00F775C9" w:rsidRDefault="00F775C9" w:rsidP="00F775C9">
      <w:pPr>
        <w:jc w:val="both"/>
      </w:pPr>
      <w:r w:rsidRPr="00F775C9">
        <w:t xml:space="preserve">Current and former inmates report that attempting to secure gender-affirming medication and health care while incarcerated is often a lengthy, confusing, and arduous process. Despite the existing policies of the DOC, implementation challenges remain. In May 2026, EOPSS shared for the DOC that Health Services conducts routine oversight and auditing of its contracted healthcare vendor, that the Director of Behavioral Health participates in monthly Gender Dysphoria Treatment Committee meetings pursuant to 103 DOC 652, and that in FY 2027 EOPSS will begin </w:t>
      </w:r>
      <w:r w:rsidRPr="00F775C9">
        <w:lastRenderedPageBreak/>
        <w:t>conducting quarterly meetings with DOC to monitor compliance with gender-affirming care policies and related reporting. The Commission appreciates these oversight efforts and strongly recommends that DOC continue investigating internal processes - centering and uplifting the voices of transgender and gender expansive inmates - while holding facilities accountable for improving timely access to gender-affirming health care. </w:t>
      </w:r>
    </w:p>
    <w:p w14:paraId="787388E0" w14:textId="69E891FF" w:rsidR="00F775C9" w:rsidRPr="00F775C9" w:rsidRDefault="00BF5B9D" w:rsidP="00B7107C">
      <w:pPr>
        <w:pStyle w:val="Heading5"/>
      </w:pPr>
      <w:r>
        <w:t xml:space="preserve">3| </w:t>
      </w:r>
      <w:r w:rsidR="00F775C9" w:rsidRPr="00F775C9">
        <w:t>Review current data collection practices to identify areas to improve SOGI data reporting.</w:t>
      </w:r>
    </w:p>
    <w:p w14:paraId="035702A6" w14:textId="77777777" w:rsidR="00F775C9" w:rsidRPr="00F775C9" w:rsidRDefault="00F775C9" w:rsidP="00F775C9">
      <w:pPr>
        <w:jc w:val="both"/>
      </w:pPr>
      <w:r w:rsidRPr="00F775C9">
        <w:t>Research and data on the experiences of LGBTQ inmates in Massachusetts remains limited. The Commission recommends that DOC continue reviewing current data collection practices to identify areas for improving the collection and reporting of sexual orientation and gender identity (SOGI) data. In May 2026, EOPSS shared for the DOC that SOGI-related information is currently collected through its Inmate Management System when individuals self-identify or seek gender-affirming accommodations or care. EOPSS/DOC also noted the inherent limitations of SOGI data collection, as disclosure is voluntary, and identity information may not always fully reflect the incarcerated LGBTQ population. The Commission recognizes these complexities while continuing to encourage the development of clear, trauma-informed, and voluntary SOGI data collection standards alongside staff training on appropriate collection and reporting practices.</w:t>
      </w:r>
    </w:p>
    <w:p w14:paraId="5C19B21B" w14:textId="77777777" w:rsidR="00F775C9" w:rsidRPr="00F775C9" w:rsidRDefault="00F775C9" w:rsidP="00F775C9">
      <w:pPr>
        <w:jc w:val="both"/>
      </w:pPr>
    </w:p>
    <w:p w14:paraId="40A8DF13" w14:textId="77777777" w:rsidR="00F775C9" w:rsidRDefault="00F775C9">
      <w:pPr>
        <w:rPr>
          <w:b/>
          <w:bCs/>
          <w:caps/>
          <w:color w:val="FFFFFF" w:themeColor="background1"/>
          <w:spacing w:val="15"/>
          <w:sz w:val="32"/>
          <w:szCs w:val="32"/>
        </w:rPr>
      </w:pPr>
      <w:r>
        <w:br w:type="page"/>
      </w:r>
    </w:p>
    <w:p w14:paraId="4B406E48" w14:textId="1831716A" w:rsidR="00637866" w:rsidRDefault="00F775C9" w:rsidP="00637866">
      <w:pPr>
        <w:pStyle w:val="Heading1"/>
        <w:jc w:val="both"/>
      </w:pPr>
      <w:bookmarkStart w:id="313" w:name="_Toc230277124"/>
      <w:bookmarkStart w:id="314" w:name="_Toc230277437"/>
      <w:bookmarkStart w:id="315" w:name="_Toc230355506"/>
      <w:r>
        <w:lastRenderedPageBreak/>
        <w:t xml:space="preserve">Additional </w:t>
      </w:r>
      <w:r w:rsidR="00022266">
        <w:t xml:space="preserve">Secretariats &amp; </w:t>
      </w:r>
      <w:r>
        <w:t>State Agencies</w:t>
      </w:r>
      <w:bookmarkEnd w:id="313"/>
      <w:bookmarkEnd w:id="314"/>
      <w:bookmarkEnd w:id="315"/>
    </w:p>
    <w:p w14:paraId="1A4ACDCF" w14:textId="7D3B8E78" w:rsidR="00637866" w:rsidRPr="00637866" w:rsidRDefault="00637866" w:rsidP="00B7107C">
      <w:pPr>
        <w:pStyle w:val="Heading2"/>
      </w:pPr>
      <w:bookmarkStart w:id="316" w:name="_Toc230277125"/>
      <w:bookmarkStart w:id="317" w:name="_Toc230277438"/>
      <w:bookmarkStart w:id="318" w:name="_Toc230355507"/>
      <w:r w:rsidRPr="00637866">
        <w:t>Board of Library Commissioners</w:t>
      </w:r>
      <w:bookmarkEnd w:id="316"/>
      <w:bookmarkEnd w:id="317"/>
      <w:bookmarkEnd w:id="318"/>
    </w:p>
    <w:p w14:paraId="42C62FF4" w14:textId="77777777" w:rsidR="00637866" w:rsidRPr="00637866" w:rsidRDefault="00637866">
      <w:pPr>
        <w:pStyle w:val="ListParagraph"/>
        <w:numPr>
          <w:ilvl w:val="0"/>
          <w:numId w:val="27"/>
        </w:numPr>
        <w:spacing w:line="240" w:lineRule="auto"/>
        <w:ind w:right="360"/>
        <w:jc w:val="both"/>
      </w:pPr>
      <w:r w:rsidRPr="00637866">
        <w:t xml:space="preserve">Partner with the Commission and communities to equip Massachusetts librarians with conflict resolution skills, talking points, and protection to handle anti-LGBTQ </w:t>
      </w:r>
      <w:proofErr w:type="gramStart"/>
      <w:r w:rsidRPr="00637866">
        <w:t>protests against</w:t>
      </w:r>
      <w:proofErr w:type="gramEnd"/>
      <w:r w:rsidRPr="00637866">
        <w:t xml:space="preserve"> programs and book challenges.</w:t>
      </w:r>
    </w:p>
    <w:p w14:paraId="482A6E7E" w14:textId="77777777" w:rsidR="00637866" w:rsidRPr="00637866" w:rsidRDefault="00637866">
      <w:pPr>
        <w:pStyle w:val="ListParagraph"/>
        <w:numPr>
          <w:ilvl w:val="0"/>
          <w:numId w:val="27"/>
        </w:numPr>
        <w:spacing w:line="240" w:lineRule="auto"/>
        <w:ind w:right="360"/>
        <w:jc w:val="both"/>
      </w:pPr>
      <w:r w:rsidRPr="00637866">
        <w:t>Support libraries with LGBTQ-inclusive programming.</w:t>
      </w:r>
    </w:p>
    <w:p w14:paraId="3C972751" w14:textId="331CB3BA" w:rsidR="00637866" w:rsidRPr="00637866" w:rsidRDefault="00637866">
      <w:pPr>
        <w:pStyle w:val="ListParagraph"/>
        <w:numPr>
          <w:ilvl w:val="0"/>
          <w:numId w:val="27"/>
        </w:numPr>
        <w:spacing w:line="240" w:lineRule="auto"/>
        <w:ind w:right="360"/>
        <w:jc w:val="both"/>
      </w:pPr>
      <w:r w:rsidRPr="00637866">
        <w:t>Collaborate with the Department of Elementary and Secondary Education to align efforts on addressing book ban challenges, protests, and hate crimes against state and school libraries and staff.</w:t>
      </w:r>
    </w:p>
    <w:p w14:paraId="6AB8FB50" w14:textId="1ED14565" w:rsidR="00637866" w:rsidRPr="00637866" w:rsidRDefault="00637866" w:rsidP="00E97E73">
      <w:pPr>
        <w:pStyle w:val="Heading3"/>
      </w:pPr>
      <w:bookmarkStart w:id="319" w:name="_Toc230277439"/>
      <w:r w:rsidRPr="00637866">
        <w:t>Introduction</w:t>
      </w:r>
      <w:bookmarkEnd w:id="319"/>
    </w:p>
    <w:p w14:paraId="4A9E1A5E" w14:textId="69F11E0D" w:rsidR="00637866" w:rsidRPr="00637866" w:rsidRDefault="00637866" w:rsidP="00637866">
      <w:pPr>
        <w:jc w:val="both"/>
      </w:pPr>
      <w:r w:rsidRPr="00637866">
        <w:t xml:space="preserve">The Massachusetts Board of Library Commissioners (MBLC) is the state agency responsible for organizing, developing, coordinating, and improving library services throughout the Commonwealth. Its commissioners and staﬀ work to develop </w:t>
      </w:r>
      <w:r w:rsidR="00B443A2" w:rsidRPr="00637866">
        <w:t>policy and</w:t>
      </w:r>
      <w:r w:rsidRPr="00637866">
        <w:t xml:space="preserve"> provide local and statewide programming and services for libraries and residents. Libraries are a vital resource for LGBTQ youth, caregivers, and educators for culturally-inclusive books, community programming, and information technology. While the number of LGBTQ youth accessing library services is difficult to capture, libraries often cultivate a wide array of diverse books that center queer joy and belonging.</w:t>
      </w:r>
    </w:p>
    <w:p w14:paraId="26D2EF37" w14:textId="36FE9BF1" w:rsidR="00637866" w:rsidRPr="00637866" w:rsidRDefault="00637866" w:rsidP="00637866">
      <w:pPr>
        <w:jc w:val="both"/>
      </w:pPr>
      <w:r w:rsidRPr="00637866">
        <w:t xml:space="preserve">Libraries provide essential access to </w:t>
      </w:r>
      <w:r w:rsidR="00B443A2" w:rsidRPr="00637866">
        <w:t>knowledge and</w:t>
      </w:r>
      <w:r w:rsidRPr="00637866">
        <w:t xml:space="preserve"> often act as </w:t>
      </w:r>
      <w:proofErr w:type="gramStart"/>
      <w:r w:rsidRPr="00637866">
        <w:t>a safe haven</w:t>
      </w:r>
      <w:proofErr w:type="gramEnd"/>
      <w:r w:rsidRPr="00637866">
        <w:t xml:space="preserve"> for LGBTQ youth and a place of community. By providing a space where youth can ﬁnd LGBTQ-themed books or materials, librarians facilitate a critical learning environment where LGBTQ youth feel affirmed and welcome; and straight, cisgender youth can ﬁnd literature to better understand LGBTQ history and culture.</w:t>
      </w:r>
    </w:p>
    <w:p w14:paraId="1916FA0F" w14:textId="46EAD8B2" w:rsidR="00637866" w:rsidRPr="00637866" w:rsidRDefault="00637866" w:rsidP="00637866">
      <w:pPr>
        <w:jc w:val="both"/>
      </w:pPr>
      <w:r w:rsidRPr="00637866">
        <w:t>Public libraries are also a key resource for low-income youth and youth experiencing homelessness, given that they are open during the day when shelters are often closed and may provide free and accessible programming for underserved populations. The American Library Association (ALA) notes that library programming, such as computer courses, educational workshops, and arts and crafts, can be beneﬁcial to people experiencing homelessness. Libraries also connect community members to free internet services and local resources.</w:t>
      </w:r>
      <w:r>
        <w:rPr>
          <w:rStyle w:val="FootnoteReference"/>
        </w:rPr>
        <w:footnoteReference w:id="277"/>
      </w:r>
    </w:p>
    <w:p w14:paraId="5B28BB99" w14:textId="2DA6EF76" w:rsidR="00637866" w:rsidRPr="00637866" w:rsidRDefault="00637866" w:rsidP="00637866">
      <w:pPr>
        <w:jc w:val="both"/>
      </w:pPr>
      <w:r w:rsidRPr="00637866">
        <w:lastRenderedPageBreak/>
        <w:t xml:space="preserve">In recent years, school and public libraries have seen a signiﬁcant rise in censorship challenges against LGBTQ and BIPOC books and materials. In March 2026, the MBLC reported that Massachusetts libraries have seen a 50% increase in challenges to library materials, services, and programs since FY 2023. Across the state, </w:t>
      </w:r>
      <w:r w:rsidR="007D658D" w:rsidRPr="00637866">
        <w:t>thirty-three</w:t>
      </w:r>
      <w:r w:rsidRPr="00637866">
        <w:t xml:space="preserve"> formal challenges were reported from public libraries, though these numbers do not include school libraries. However, more alarmingly, informal challenges have significantly skyrocketed with 86 Massachusetts libraries reporting at least 309 informal challenges to materials, programs, and services. Additionally, one public library in Massachusetts reported more than 5,000 informal challenges to its public meeting room usage</w:t>
      </w:r>
      <w:r>
        <w:t>.</w:t>
      </w:r>
      <w:r>
        <w:rPr>
          <w:rStyle w:val="FootnoteReference"/>
        </w:rPr>
        <w:footnoteReference w:id="278"/>
      </w:r>
      <w:r w:rsidRPr="00637866">
        <w:t xml:space="preserve"> The Commission has also heard numerous stories from librarians, parents, and youth over the years that LGBTQ and BIPOC-inclusive books frequently go missing within libraries from community members hiding or vandalizing the books. It is critical that state government works to provide clear support to libraries and their communities.</w:t>
      </w:r>
    </w:p>
    <w:p w14:paraId="745C149D" w14:textId="1D056553" w:rsidR="00637866" w:rsidRPr="00637866" w:rsidRDefault="00637866" w:rsidP="00E97E73">
      <w:pPr>
        <w:pStyle w:val="Heading3"/>
      </w:pPr>
      <w:bookmarkStart w:id="320" w:name="_Toc230277440"/>
      <w:r w:rsidRPr="00637866">
        <w:t>Past &amp; Ongoing Work</w:t>
      </w:r>
      <w:bookmarkEnd w:id="320"/>
    </w:p>
    <w:p w14:paraId="25A89E04" w14:textId="730CEABB" w:rsidR="00637866" w:rsidRPr="00637866" w:rsidRDefault="00637866" w:rsidP="00637866">
      <w:pPr>
        <w:jc w:val="both"/>
      </w:pPr>
      <w:r w:rsidRPr="00637866">
        <w:t>The Commission has been pleased to work with MBLC for several years to collaborate on supporting librarians and LGBTQ youth receiving Massachusetts library services. Over the last ﬁscal year, the Commission has been involved in numerous conversations with MBLC staff and librarians on how best to support libraries seeing an inﬂux of book challenges and protests across the state. The Commission anticipates continuing these conversations in FY 2027 and implementing events and actionable items to help support library communities.</w:t>
      </w:r>
    </w:p>
    <w:p w14:paraId="5BE09D65" w14:textId="5195F002" w:rsidR="00637866" w:rsidRPr="00637866" w:rsidRDefault="00637866" w:rsidP="00637866">
      <w:pPr>
        <w:jc w:val="both"/>
      </w:pPr>
      <w:r w:rsidRPr="00637866">
        <w:t>In March 2025, the Commission was pleased to partner with the Board of Library Commissioners to host a community conversation with librarians to provide resources, and a space for information sharing. Additionally, the Safe Schools Program and MBLC engaged in conversations around creating a recommended book list to provide to librarians looking to curate more inclusive selections of library materials to support LGBTQ and BIPOC youth in Massachusetts public and school libraries.</w:t>
      </w:r>
    </w:p>
    <w:p w14:paraId="36D55A1F" w14:textId="266F7FD7" w:rsidR="00637866" w:rsidRPr="00B7107C" w:rsidRDefault="00637866" w:rsidP="00E97E73">
      <w:pPr>
        <w:pStyle w:val="Heading3"/>
      </w:pPr>
      <w:bookmarkStart w:id="321" w:name="_Toc230277441"/>
      <w:r w:rsidRPr="00B7107C">
        <w:lastRenderedPageBreak/>
        <w:t>FY 2027 Recommendations to the Board of Library Commissioners</w:t>
      </w:r>
      <w:bookmarkEnd w:id="321"/>
    </w:p>
    <w:p w14:paraId="3E9AB6DF" w14:textId="36CD8B25" w:rsidR="00637866" w:rsidRPr="00637866" w:rsidRDefault="00BF5B9D" w:rsidP="00B7107C">
      <w:pPr>
        <w:pStyle w:val="Heading5"/>
      </w:pPr>
      <w:r>
        <w:t xml:space="preserve">1| </w:t>
      </w:r>
      <w:r w:rsidR="00637866" w:rsidRPr="00637866">
        <w:t xml:space="preserve">Continue to partner with the Commission and communities to equip Massachusetts librarians with conﬂict resolution skills, talking points, and protection to handle anti-LGBTQ and racist </w:t>
      </w:r>
      <w:proofErr w:type="gramStart"/>
      <w:r w:rsidR="00637866" w:rsidRPr="00637866">
        <w:t>protests against</w:t>
      </w:r>
      <w:proofErr w:type="gramEnd"/>
      <w:r w:rsidR="00637866" w:rsidRPr="00637866">
        <w:t xml:space="preserve"> programs and book challenges.</w:t>
      </w:r>
    </w:p>
    <w:p w14:paraId="006A13B6" w14:textId="3F1ACA5F" w:rsidR="00637866" w:rsidRPr="00637866" w:rsidRDefault="00637866" w:rsidP="00637866">
      <w:pPr>
        <w:jc w:val="both"/>
      </w:pPr>
      <w:r w:rsidRPr="00637866">
        <w:t>As discussed throughout this annual report, the Commission continues to collaborate with community and agency partners to address the anti-LGBTQ and racist social and political climate affecting schools, libraries, and other public institutions across the Commonwealth. MBLC similarly has continued to engage with libraries across the state to identify resource and training gaps, advocate for funding increases, and streamline information sharing. Both agencies have continued to hear from Massachusetts communities experiencing hostile responses to LGBTQ &amp; BIPOC-centered events, particularly featuring drag programming, underscoring the serious need for greater support around funding and legislative protections from the state at-large.</w:t>
      </w:r>
    </w:p>
    <w:p w14:paraId="0082DE6D" w14:textId="77777777" w:rsidR="00637866" w:rsidRPr="00637866" w:rsidRDefault="00637866" w:rsidP="00637866">
      <w:pPr>
        <w:jc w:val="both"/>
      </w:pPr>
      <w:r w:rsidRPr="00637866">
        <w:t>In F7 2027, the Commission looks forward to continuing to partner with MBLC to identify ways to equip Massachusetts libraries with conflict resolution skills, talking points, and protections to support community programming. The Commission further looks forward to continuing to strengthen connections alongside MBLC with community partners and groups already working to make libraries safer.</w:t>
      </w:r>
    </w:p>
    <w:p w14:paraId="67D528E3" w14:textId="509941B3" w:rsidR="00637866" w:rsidRPr="00637866" w:rsidRDefault="00BF5B9D" w:rsidP="00B7107C">
      <w:pPr>
        <w:pStyle w:val="Heading5"/>
      </w:pPr>
      <w:r>
        <w:t xml:space="preserve">2| </w:t>
      </w:r>
      <w:r w:rsidR="00637866" w:rsidRPr="00637866">
        <w:t>Continue to support libraries with LGBTQ-inclusive programming.</w:t>
      </w:r>
    </w:p>
    <w:p w14:paraId="778E6DDE" w14:textId="77777777" w:rsidR="00637866" w:rsidRPr="00637866" w:rsidRDefault="00637866" w:rsidP="00637866">
      <w:pPr>
        <w:jc w:val="both"/>
      </w:pPr>
      <w:r w:rsidRPr="00637866">
        <w:t>Now more than ever, it is essential that youth have visible and safe opportunities to learn and build supportive peer connections. However, the Commission has heard from library staff across the Commonwealth that some libraries face significant barriers to providing LGBTQ-inclusive programming, including limitations imposed by local library leadership or governing boards. In some cases, library leadership has indicated that LGBTQ-related programming or resources will not be offered proactively and will only be considered in response to direct community requests. Even still, the Commission knows the power that even more limited or passive approaches, such as displays of LGBTQ-focused books and materials, can have in communities that often have very little visible support and resources for LGBTQ youth.</w:t>
      </w:r>
    </w:p>
    <w:p w14:paraId="32243D26" w14:textId="6337F71D" w:rsidR="00637866" w:rsidRPr="00637866" w:rsidRDefault="00637866" w:rsidP="00637866">
      <w:pPr>
        <w:jc w:val="both"/>
      </w:pPr>
      <w:r w:rsidRPr="00637866">
        <w:t xml:space="preserve">The Commission has also received reports that similar constraints affect libraries’ ability to provide informational resources supporting immigrant communities, including “Know Your Rights” materials. These limitations may reduce access to </w:t>
      </w:r>
      <w:r w:rsidR="007D658D" w:rsidRPr="00637866">
        <w:t>vital information</w:t>
      </w:r>
      <w:r w:rsidRPr="00637866">
        <w:t xml:space="preserve"> and supportive resources for vulnerable youth and families. The Commission recommends that MBLC continue to support libraries across the Commonwealth in providing safe, accessible, and inclusive programming and resources for LGBTQ youth and families, and in ensuring that libraries remain welcoming and informative spaces for all residents.</w:t>
      </w:r>
    </w:p>
    <w:p w14:paraId="533A9889" w14:textId="3053AEA0" w:rsidR="00637866" w:rsidRPr="00B7107C" w:rsidRDefault="00BF5B9D" w:rsidP="00B7107C">
      <w:pPr>
        <w:pStyle w:val="Heading5"/>
      </w:pPr>
      <w:r>
        <w:lastRenderedPageBreak/>
        <w:t xml:space="preserve">3| </w:t>
      </w:r>
      <w:r w:rsidR="00637866" w:rsidRPr="00B7107C">
        <w:t>Collaborate with the Department of Elementary and Secondary Education to align eﬀorts on addressing book challenges, protests, and hate crimes against state and school libraries and staﬀ.</w:t>
      </w:r>
    </w:p>
    <w:p w14:paraId="70310CD4" w14:textId="1389AE33" w:rsidR="00637866" w:rsidRPr="00637866" w:rsidRDefault="00637866" w:rsidP="00637866">
      <w:pPr>
        <w:jc w:val="both"/>
      </w:pPr>
      <w:r w:rsidRPr="00637866">
        <w:t xml:space="preserve">One of the major problems with addressing anti-LGBTQ attacks across the state of Massachusetts is the lack of collaboration between state agencies and community organizations to support ongoing work across institutions. </w:t>
      </w:r>
      <w:proofErr w:type="gramStart"/>
      <w:r w:rsidRPr="00637866">
        <w:t>In particular, as</w:t>
      </w:r>
      <w:proofErr w:type="gramEnd"/>
      <w:r w:rsidRPr="00637866">
        <w:t xml:space="preserve"> both schools and libraries are attacked, collaboration between the Department of Elementary and Secondary Education (DESE), the Massachusetts School Library Association, and MBLC is essential to align on eﬀorts to address book challenges, and support educators and librarians.</w:t>
      </w:r>
    </w:p>
    <w:p w14:paraId="56167A77" w14:textId="1E4E5B8C" w:rsidR="00637866" w:rsidRPr="00E44F63" w:rsidRDefault="00637866" w:rsidP="00637866">
      <w:pPr>
        <w:jc w:val="both"/>
        <w:rPr>
          <w:rStyle w:val="SubtleReference"/>
          <w:color w:val="864EA8" w:themeColor="accent1" w:themeShade="BF"/>
        </w:rPr>
      </w:pPr>
      <w:r w:rsidRPr="00E44F63">
        <w:rPr>
          <w:rStyle w:val="SubtleReference"/>
          <w:color w:val="864EA8" w:themeColor="accent1" w:themeShade="BF"/>
        </w:rPr>
        <w:t>Acknowledgments: The Commission appreciates the contributions of its librarian and MBLC staﬀ liaisons.</w:t>
      </w:r>
    </w:p>
    <w:p w14:paraId="52D744A2" w14:textId="77777777" w:rsidR="00637866" w:rsidRDefault="00637866">
      <w:pPr>
        <w:rPr>
          <w:b/>
          <w:bCs/>
          <w:caps/>
          <w:color w:val="FFFFFF" w:themeColor="background1"/>
          <w:spacing w:val="15"/>
          <w:sz w:val="32"/>
          <w:szCs w:val="32"/>
        </w:rPr>
      </w:pPr>
      <w:r>
        <w:br w:type="page"/>
      </w:r>
    </w:p>
    <w:p w14:paraId="3113A392" w14:textId="2F76D225" w:rsidR="00F775C9" w:rsidRPr="00F775C9" w:rsidRDefault="00637866" w:rsidP="00B7107C">
      <w:pPr>
        <w:pStyle w:val="Heading2"/>
      </w:pPr>
      <w:bookmarkStart w:id="322" w:name="_Toc230277126"/>
      <w:bookmarkStart w:id="323" w:name="_Toc230277442"/>
      <w:bookmarkStart w:id="324" w:name="_Toc230355508"/>
      <w:r>
        <w:lastRenderedPageBreak/>
        <w:t>C</w:t>
      </w:r>
      <w:r w:rsidR="00F775C9" w:rsidRPr="00F775C9">
        <w:t>ommittee for Public Counsel Services</w:t>
      </w:r>
      <w:bookmarkEnd w:id="322"/>
      <w:bookmarkEnd w:id="323"/>
      <w:bookmarkEnd w:id="324"/>
    </w:p>
    <w:p w14:paraId="5976ED15" w14:textId="77777777" w:rsidR="00F775C9" w:rsidRPr="00F775C9" w:rsidRDefault="00F775C9">
      <w:pPr>
        <w:pStyle w:val="ListParagraph"/>
        <w:numPr>
          <w:ilvl w:val="0"/>
          <w:numId w:val="22"/>
        </w:numPr>
        <w:spacing w:line="240" w:lineRule="auto"/>
        <w:ind w:right="360"/>
        <w:jc w:val="both"/>
      </w:pPr>
      <w:r w:rsidRPr="00F775C9">
        <w:t>Address expectations for representing LGBTQ clients within the CAFL Performance Standards.</w:t>
      </w:r>
    </w:p>
    <w:p w14:paraId="42721EB0" w14:textId="77777777" w:rsidR="00F775C9" w:rsidRPr="00F775C9" w:rsidRDefault="00F775C9">
      <w:pPr>
        <w:pStyle w:val="ListParagraph"/>
        <w:numPr>
          <w:ilvl w:val="0"/>
          <w:numId w:val="22"/>
        </w:numPr>
        <w:spacing w:line="240" w:lineRule="auto"/>
        <w:ind w:right="360"/>
        <w:jc w:val="both"/>
      </w:pPr>
      <w:r w:rsidRPr="00F775C9">
        <w:t>Provide consistent and high-quality training on working with LGBTQ clients.</w:t>
      </w:r>
    </w:p>
    <w:p w14:paraId="2F101A88" w14:textId="77777777" w:rsidR="00F775C9" w:rsidRPr="00F775C9" w:rsidRDefault="00F775C9">
      <w:pPr>
        <w:pStyle w:val="ListParagraph"/>
        <w:numPr>
          <w:ilvl w:val="0"/>
          <w:numId w:val="22"/>
        </w:numPr>
        <w:spacing w:line="240" w:lineRule="auto"/>
        <w:ind w:right="360"/>
        <w:jc w:val="both"/>
      </w:pPr>
      <w:r w:rsidRPr="00F775C9">
        <w:t>Investigate and address gaps in service provision for immigrant youth.</w:t>
      </w:r>
    </w:p>
    <w:p w14:paraId="17D6B005" w14:textId="77777777" w:rsidR="00F775C9" w:rsidRPr="00F775C9" w:rsidRDefault="00F775C9" w:rsidP="00E97E73">
      <w:pPr>
        <w:pStyle w:val="Heading3"/>
      </w:pPr>
      <w:bookmarkStart w:id="325" w:name="_Toc230277443"/>
      <w:r w:rsidRPr="00F775C9">
        <w:t>Introduction</w:t>
      </w:r>
      <w:bookmarkEnd w:id="325"/>
    </w:p>
    <w:p w14:paraId="222B76C7" w14:textId="77777777" w:rsidR="00F775C9" w:rsidRPr="00F775C9" w:rsidRDefault="00F775C9" w:rsidP="00F775C9">
      <w:pPr>
        <w:jc w:val="both"/>
      </w:pPr>
      <w:r w:rsidRPr="00F775C9">
        <w:t>The Committee for Public Counsel Services provides legal representation in Massachusetts for those unable to aﬀord an attorney in all matters in which the law requires the appointment of counsel. This includes representation in criminal, delinquency, youthful oﬀender, child welfare, mental health, sexually dangerous person and sex oﬀender registry cases, as well as related appeals and post-conviction matters. The Children and Family Law (CAFL) Division, to which the Commission primarily directs these recommendations, provides legal representation to children and indigent parents in child welfare matters, including care and protection proceedings, children requiring assistance cases (CRAs). The Commission also collaborates with the Youth Advocacy Division (YAD) which is tasked with ensuring that every child in Massachusetts has access to zealous legal representation that incorporates a Youth Development Approach resulting in both legal and life success. CPCS lawyers include both private attorneys and public CPCS staﬀ members.</w:t>
      </w:r>
    </w:p>
    <w:p w14:paraId="0FE330B1" w14:textId="6FDADDA1" w:rsidR="00B7107C" w:rsidRDefault="00F775C9" w:rsidP="00F775C9">
      <w:pPr>
        <w:jc w:val="both"/>
      </w:pPr>
      <w:r w:rsidRPr="00F775C9">
        <w:t>CPCS lawyers, especially through CAFL and the YAD, have critical roles in ensuring that LGBTQ youth in state services have their rights respected, and that there is appropriate support for them in reunifying with their families, integrating into new homes, or aging out of the child welfare syste</w:t>
      </w:r>
      <w:r w:rsidR="00B7107C">
        <w:t>m.</w:t>
      </w:r>
    </w:p>
    <w:p w14:paraId="4114AEB5" w14:textId="7DE46900" w:rsidR="00B7107C" w:rsidRPr="00F775C9" w:rsidRDefault="00B7107C" w:rsidP="00E97E73">
      <w:pPr>
        <w:pStyle w:val="Heading3"/>
      </w:pPr>
      <w:bookmarkStart w:id="326" w:name="_Toc230277444"/>
      <w:r>
        <w:t>Past &amp; Ongoing Work</w:t>
      </w:r>
      <w:bookmarkEnd w:id="326"/>
    </w:p>
    <w:p w14:paraId="1AEB38DD" w14:textId="0817C7D8" w:rsidR="00F775C9" w:rsidRPr="00F775C9" w:rsidRDefault="00F775C9" w:rsidP="00F775C9">
      <w:pPr>
        <w:jc w:val="both"/>
      </w:pPr>
      <w:r w:rsidRPr="00F775C9">
        <w:t xml:space="preserve">Over the last three years, the CPCS has made some strides towards addressing the Commission’s recommendations. </w:t>
      </w:r>
      <w:proofErr w:type="gramStart"/>
      <w:r w:rsidRPr="00F775C9">
        <w:t>In particular, CAFL</w:t>
      </w:r>
      <w:proofErr w:type="gramEnd"/>
      <w:r w:rsidRPr="00F775C9">
        <w:t xml:space="preserve"> has worked to update internal documentation to remove gendered </w:t>
      </w:r>
      <w:r w:rsidR="00B443A2" w:rsidRPr="00F775C9">
        <w:t>language and</w:t>
      </w:r>
      <w:r w:rsidRPr="00F775C9">
        <w:t xml:space="preserve"> has provided guidance to its attorneys around checking in around pronouns with clients. Since FY 2024, CAFL has shared updates about multiple LGBTQ-centered trainings provided to attorneys, particularly around gender-aﬃrming care and providing aﬃrming services. Specifically, in November 2024, CAFL hosted six-hour mandatory certification trainings on medical and mental health issues, which included foundational information on gender-affirming care and specific guidance regarding DCF’s medication consent policy. More than </w:t>
      </w:r>
      <w:r w:rsidR="007D658D" w:rsidRPr="00F775C9">
        <w:t>one hundred</w:t>
      </w:r>
      <w:r w:rsidRPr="00F775C9">
        <w:t xml:space="preserve"> attorneys - public and private - attended each session. Finally, the Commission appreciates the addition of a new trial counsel to CPCS who will focus on transition-aged youth matters and will contribute to developing practical guidance materials for attorneys in this space.</w:t>
      </w:r>
    </w:p>
    <w:p w14:paraId="4CF127BD" w14:textId="77777777" w:rsidR="00F775C9" w:rsidRPr="00F775C9" w:rsidRDefault="00F775C9" w:rsidP="00E97E73">
      <w:pPr>
        <w:pStyle w:val="Heading3"/>
      </w:pPr>
      <w:bookmarkStart w:id="327" w:name="_Toc230277445"/>
      <w:r w:rsidRPr="00F775C9">
        <w:lastRenderedPageBreak/>
        <w:t>FY 2027 Recommendations to the Committee for Public Counsel Services</w:t>
      </w:r>
      <w:bookmarkEnd w:id="327"/>
    </w:p>
    <w:p w14:paraId="5A8E5301" w14:textId="6E5F3BF3" w:rsidR="00F775C9" w:rsidRPr="00F775C9" w:rsidRDefault="00BF5B9D" w:rsidP="00B7107C">
      <w:pPr>
        <w:pStyle w:val="Heading5"/>
      </w:pPr>
      <w:r>
        <w:t xml:space="preserve">1| </w:t>
      </w:r>
      <w:r w:rsidR="00F775C9" w:rsidRPr="00F775C9">
        <w:t>Address expectations for representing LGBTQ clients within the CAFL Performance Standards.</w:t>
      </w:r>
    </w:p>
    <w:p w14:paraId="211322EF" w14:textId="77777777" w:rsidR="00F775C9" w:rsidRPr="00F775C9" w:rsidRDefault="00F775C9" w:rsidP="00F775C9">
      <w:pPr>
        <w:jc w:val="both"/>
      </w:pPr>
      <w:r w:rsidRPr="00F775C9">
        <w:t>The Commission continues to recommend that CAFL include nondiscrimination expectations specific to sexual orientation, gender identity, race, and ethnicity within its Performance Standards. The Standards should clearly articulate expectations such as consistently using clients’ chosen names and pronouns, ensuring timely processing of legal name and gender marker changes where appropriate, and requiring engagement in ongoing training and continuing legal education related to LGBTQ competency.</w:t>
      </w:r>
    </w:p>
    <w:p w14:paraId="762FEEEE" w14:textId="77777777" w:rsidR="00F775C9" w:rsidRPr="00F775C9" w:rsidRDefault="00F775C9" w:rsidP="00F775C9">
      <w:pPr>
        <w:jc w:val="both"/>
      </w:pPr>
      <w:r w:rsidRPr="00F775C9">
        <w:t>The Commission understands that a draft of updated Performance Standards was circulated in early 2025, though finalization remains pending. In May 2026, CPCS shared that its updates to the Standards are in the final stages of approval. The Commission reiterates the importance of timely adoption and public release of updated standards, as well as clarity regarding accountability mechanisms when attorneys fail to meet expectations. These mechanisms should include transparent performance evaluation strategies for both public and private attorneys and clear, accessible complaint pathways for youth clients and their adult allies.</w:t>
      </w:r>
    </w:p>
    <w:p w14:paraId="27EE24F0" w14:textId="337671BF" w:rsidR="00F775C9" w:rsidRPr="00F775C9" w:rsidRDefault="00BF5B9D" w:rsidP="00B7107C">
      <w:pPr>
        <w:pStyle w:val="Heading5"/>
      </w:pPr>
      <w:r>
        <w:t xml:space="preserve">2| </w:t>
      </w:r>
      <w:r w:rsidR="00F775C9" w:rsidRPr="00F775C9">
        <w:t>Provide consistent and high-quality training on working with LGBTQ clients.</w:t>
      </w:r>
    </w:p>
    <w:p w14:paraId="760BC40E" w14:textId="77777777" w:rsidR="00F775C9" w:rsidRPr="00F775C9" w:rsidRDefault="00F775C9" w:rsidP="00F775C9">
      <w:pPr>
        <w:jc w:val="both"/>
      </w:pPr>
      <w:r w:rsidRPr="00F775C9">
        <w:t xml:space="preserve">As noted above, the Commission appreciates CAFL’s expansion of training offerings for both public and private attorneys. Over FY 2025, the Commission and CPCS have engaged in additional conversations around oﬀering caregiver engagement trainings to prepare attorneys for working with clients who may have unsupportive caregivers. The Commission additionally recommends that CPCS integrate transition-specific guidance into its broader training curriculum and explore mechanisms for collecting feedback directly from TAY clients to evaluate </w:t>
      </w:r>
      <w:proofErr w:type="gramStart"/>
      <w:r w:rsidRPr="00F775C9">
        <w:t>attorney</w:t>
      </w:r>
      <w:proofErr w:type="gramEnd"/>
      <w:r w:rsidRPr="00F775C9">
        <w:t xml:space="preserve"> performance and identify systemic barriers.</w:t>
      </w:r>
    </w:p>
    <w:p w14:paraId="3C6D481E" w14:textId="064E29FA" w:rsidR="00F775C9" w:rsidRPr="00F775C9" w:rsidRDefault="00F775C9" w:rsidP="00F775C9">
      <w:pPr>
        <w:jc w:val="both"/>
      </w:pPr>
      <w:r w:rsidRPr="00F775C9">
        <w:t xml:space="preserve">Furthermore, the Commission recommends that CPCS works to examine its current SOGI data collection practices and provide trainings on how to collect and safely store this information for public and private attorneys. As a part of this process, CPCS should provide talking points for staﬀ on how to create safe and brave spaces when interacting with clients; the talking points should include information on ensuring that youth are aware of how their SOGI information will be </w:t>
      </w:r>
      <w:r w:rsidR="00B443A2" w:rsidRPr="00F775C9">
        <w:t>used and</w:t>
      </w:r>
      <w:r w:rsidRPr="00F775C9">
        <w:t xml:space="preserve"> identifying who should have access to this information. CAFL has </w:t>
      </w:r>
      <w:r w:rsidR="00B443A2" w:rsidRPr="00F775C9">
        <w:t>stated</w:t>
      </w:r>
      <w:r w:rsidRPr="00F775C9">
        <w:t xml:space="preserve"> that it is working on ensuring that staﬀ are appropriately trained on this ﬁeld in the case management system. However, while CAFL feels that this recommendation has been mostly resolved on the public attorney side, there remain challenges with addressing this recommendation through its work with private attorneys, though CPCS has shared that it has engaged private attorneys in </w:t>
      </w:r>
      <w:r w:rsidRPr="00F775C9">
        <w:lastRenderedPageBreak/>
        <w:t xml:space="preserve">conversations around this work. Finally, the Commission notes the importance of collecting demographic data as part of evaluating CAFL </w:t>
      </w:r>
      <w:r w:rsidR="00B443A2" w:rsidRPr="00F775C9">
        <w:t>services and</w:t>
      </w:r>
      <w:r w:rsidRPr="00F775C9">
        <w:t xml:space="preserve"> recommends exploring strategies for surveying youth clients to provide a baseline evaluation.</w:t>
      </w:r>
    </w:p>
    <w:p w14:paraId="47748AA1" w14:textId="3BE98392" w:rsidR="00F775C9" w:rsidRPr="00F775C9" w:rsidRDefault="00BF5B9D" w:rsidP="00B7107C">
      <w:pPr>
        <w:pStyle w:val="Heading5"/>
      </w:pPr>
      <w:r>
        <w:t xml:space="preserve">3| </w:t>
      </w:r>
      <w:r w:rsidR="00F775C9" w:rsidRPr="00F775C9">
        <w:t>Investigate and address gaps in service provision for immigrant youth.</w:t>
      </w:r>
    </w:p>
    <w:p w14:paraId="0DAAC3D7" w14:textId="04DCDC96" w:rsidR="00F775C9" w:rsidRPr="00F775C9" w:rsidRDefault="00F775C9" w:rsidP="00F775C9">
      <w:pPr>
        <w:jc w:val="both"/>
      </w:pPr>
      <w:r w:rsidRPr="00F775C9">
        <w:t>The Commission continues to recommend that CPCS strengthen its commitment to ensuring that immigrant youth receive timely services, including assistance with documentation, immigration relief screening, and access to culturally and linguistically appropriate supports. The Commission appreciates that a dedicated attorney within the CPCS Immigration Impact Unit is now working in part on issues affecting transition-aged youth and immigrant youth clients. The Commission encourages continued coordination between the Immigration Impact Unit and CAFL training staff to ensure that attorneys representing immigrant LGBTQ youth are equipped to navigate intersecting legal, child welfare, and immigration issues, with particular attention to intersecting identities - such as race, ethnicity, gender identity, sexual orientation - that might affect their experiences within state systems.</w:t>
      </w:r>
    </w:p>
    <w:p w14:paraId="6B27C20E" w14:textId="55A582CB" w:rsidR="00F775C9" w:rsidRPr="00E44F63" w:rsidRDefault="00F775C9" w:rsidP="00F775C9">
      <w:pPr>
        <w:jc w:val="both"/>
        <w:rPr>
          <w:rStyle w:val="SubtleReference"/>
          <w:color w:val="864EA8" w:themeColor="accent1" w:themeShade="BF"/>
        </w:rPr>
      </w:pPr>
      <w:r w:rsidRPr="00E44F63">
        <w:rPr>
          <w:rStyle w:val="SubtleReference"/>
          <w:color w:val="864EA8" w:themeColor="accent1" w:themeShade="BF"/>
        </w:rPr>
        <w:t>Acknowledgments: The Commission sincerely appreciates the contributions of its CPCS liaisons.</w:t>
      </w:r>
    </w:p>
    <w:p w14:paraId="499786DA" w14:textId="77777777" w:rsidR="00F775C9" w:rsidRDefault="00F775C9">
      <w:pPr>
        <w:rPr>
          <w:i/>
          <w:iCs/>
        </w:rPr>
      </w:pPr>
      <w:r>
        <w:rPr>
          <w:i/>
          <w:iCs/>
        </w:rPr>
        <w:br w:type="page"/>
      </w:r>
    </w:p>
    <w:p w14:paraId="7AB43186" w14:textId="2D1F2D88" w:rsidR="005B2F7E" w:rsidRPr="005B2F7E" w:rsidRDefault="005B2F7E" w:rsidP="00022266">
      <w:pPr>
        <w:pStyle w:val="Heading2"/>
      </w:pPr>
      <w:bookmarkStart w:id="328" w:name="_Toc230277127"/>
      <w:bookmarkStart w:id="329" w:name="_Toc230277446"/>
      <w:bookmarkStart w:id="330" w:name="_Toc230355509"/>
      <w:r w:rsidRPr="005B2F7E">
        <w:lastRenderedPageBreak/>
        <w:t xml:space="preserve">Executive </w:t>
      </w:r>
      <w:r w:rsidR="00B7107C">
        <w:t>O</w:t>
      </w:r>
      <w:r w:rsidR="00637866">
        <w:t>ffi</w:t>
      </w:r>
      <w:r w:rsidRPr="005B2F7E">
        <w:t>ce of Housing and Livable Communities</w:t>
      </w:r>
      <w:bookmarkEnd w:id="328"/>
      <w:bookmarkEnd w:id="329"/>
      <w:bookmarkEnd w:id="330"/>
    </w:p>
    <w:p w14:paraId="6DDCCFF9" w14:textId="77777777" w:rsidR="005B2F7E" w:rsidRPr="005B2F7E" w:rsidRDefault="005B2F7E">
      <w:pPr>
        <w:pStyle w:val="ListParagraph"/>
        <w:numPr>
          <w:ilvl w:val="0"/>
          <w:numId w:val="25"/>
        </w:numPr>
        <w:spacing w:line="240" w:lineRule="auto"/>
        <w:ind w:right="360"/>
        <w:jc w:val="both"/>
      </w:pPr>
      <w:r w:rsidRPr="005B2F7E">
        <w:t>Develop and implement an agency-wide nondiscrimination policy.</w:t>
      </w:r>
    </w:p>
    <w:p w14:paraId="4B236BAF" w14:textId="77777777" w:rsidR="005B2F7E" w:rsidRPr="005B2F7E" w:rsidRDefault="005B2F7E">
      <w:pPr>
        <w:pStyle w:val="ListParagraph"/>
        <w:numPr>
          <w:ilvl w:val="0"/>
          <w:numId w:val="25"/>
        </w:numPr>
        <w:spacing w:line="240" w:lineRule="auto"/>
        <w:ind w:right="360"/>
        <w:jc w:val="both"/>
      </w:pPr>
      <w:r w:rsidRPr="005B2F7E">
        <w:t>Continue to canvass shelters across the state to examine internal policies and procedures for sheltering trans and gender expansive clients.</w:t>
      </w:r>
    </w:p>
    <w:p w14:paraId="28E6E587" w14:textId="77777777" w:rsidR="005B2F7E" w:rsidRPr="005B2F7E" w:rsidRDefault="005B2F7E">
      <w:pPr>
        <w:pStyle w:val="ListParagraph"/>
        <w:numPr>
          <w:ilvl w:val="0"/>
          <w:numId w:val="25"/>
        </w:numPr>
        <w:spacing w:line="240" w:lineRule="auto"/>
        <w:ind w:right="360"/>
        <w:jc w:val="both"/>
      </w:pPr>
      <w:r w:rsidRPr="005B2F7E">
        <w:t>Provide LGBTQ cultural engagement and racial equity trainings for EOHLC employees and shelter providers.</w:t>
      </w:r>
    </w:p>
    <w:p w14:paraId="3D00346D" w14:textId="77777777" w:rsidR="005B2F7E" w:rsidRPr="005B2F7E" w:rsidRDefault="005B2F7E">
      <w:pPr>
        <w:pStyle w:val="ListParagraph"/>
        <w:numPr>
          <w:ilvl w:val="0"/>
          <w:numId w:val="25"/>
        </w:numPr>
        <w:spacing w:line="240" w:lineRule="auto"/>
        <w:ind w:right="360"/>
        <w:jc w:val="both"/>
      </w:pPr>
      <w:r w:rsidRPr="005B2F7E">
        <w:t>Improve interagency collaboration to support LGBTQ youth experiencing homelessness, with particular attention to supporting LGBTQ immigrant youth and youth transitioning out of the child welfare system.</w:t>
      </w:r>
    </w:p>
    <w:p w14:paraId="4BE7FEE8" w14:textId="77777777" w:rsidR="005B2F7E" w:rsidRPr="005B2F7E" w:rsidRDefault="005B2F7E">
      <w:pPr>
        <w:pStyle w:val="ListParagraph"/>
        <w:numPr>
          <w:ilvl w:val="0"/>
          <w:numId w:val="25"/>
        </w:numPr>
        <w:spacing w:line="240" w:lineRule="auto"/>
        <w:ind w:right="360"/>
        <w:jc w:val="both"/>
      </w:pPr>
      <w:r w:rsidRPr="005B2F7E">
        <w:t>Explore ways to encourage the development and funding of LGBTQ-friendly and safe shelters for youth, and alternative ways to address the housing crisis for youth.</w:t>
      </w:r>
    </w:p>
    <w:p w14:paraId="1E2AE4CC" w14:textId="77777777" w:rsidR="005B2F7E" w:rsidRPr="005B2F7E" w:rsidRDefault="005B2F7E">
      <w:pPr>
        <w:pStyle w:val="ListParagraph"/>
        <w:numPr>
          <w:ilvl w:val="0"/>
          <w:numId w:val="25"/>
        </w:numPr>
        <w:spacing w:line="240" w:lineRule="auto"/>
        <w:ind w:right="360"/>
        <w:jc w:val="both"/>
      </w:pPr>
      <w:r w:rsidRPr="005B2F7E">
        <w:t xml:space="preserve">Investigate with Continuums of Care and community providers to ensure that youth </w:t>
      </w:r>
      <w:proofErr w:type="gramStart"/>
      <w:r w:rsidRPr="005B2F7E">
        <w:t>are able to</w:t>
      </w:r>
      <w:proofErr w:type="gramEnd"/>
      <w:r w:rsidRPr="005B2F7E">
        <w:t xml:space="preserve"> travel between CoCs without facing systemic barriers to accessing appropriate housing services.</w:t>
      </w:r>
    </w:p>
    <w:p w14:paraId="6E9829C4" w14:textId="77777777" w:rsidR="005B2F7E" w:rsidRPr="005B2F7E" w:rsidRDefault="005B2F7E" w:rsidP="00E97E73">
      <w:pPr>
        <w:pStyle w:val="Heading3"/>
      </w:pPr>
      <w:bookmarkStart w:id="331" w:name="_Toc230277447"/>
      <w:r w:rsidRPr="005B2F7E">
        <w:t>Introduction</w:t>
      </w:r>
      <w:bookmarkEnd w:id="331"/>
    </w:p>
    <w:p w14:paraId="5E87453A" w14:textId="37312E24" w:rsidR="005B2F7E" w:rsidRPr="005B2F7E" w:rsidRDefault="005B2F7E" w:rsidP="005B2F7E">
      <w:pPr>
        <w:jc w:val="both"/>
      </w:pPr>
      <w:r w:rsidRPr="005B2F7E">
        <w:t>The Executive Oﬃce of Housing and Livable Communities was established in 2023 by elevating the Department of Housing and Community Development to a secretariat to create more homes and lower housing costs for Massachusetts residents. Through this work, EOHLC also distributes funding to municipalities, oversees the state-aided public housing portfolio, and operates the state’s Emergency Family Shelter (EA) program. For years, Massachusetts LGBTQ youth and young adults have often named aﬀordable housing access as their number one priority.</w:t>
      </w:r>
      <w:r w:rsidRPr="005B2F7E">
        <w:br/>
      </w:r>
      <w:r w:rsidRPr="005B2F7E">
        <w:br/>
        <w:t>The 2024 Massachusetts Youth Count reported that 26.3% of respondents identiﬁed as LGBTQ+, with 46.8% of LGBTQ youth respondents being sheltered the night before responding to the survey. Some of the responses highlighted in the Youth Count report indicate a serious need for more youth-oriented housing resources, and shelters speciﬁcally for young people.</w:t>
      </w:r>
      <w:r>
        <w:rPr>
          <w:rStyle w:val="FootnoteReference"/>
        </w:rPr>
        <w:footnoteReference w:id="279"/>
      </w:r>
      <w:r w:rsidRPr="005B2F7E">
        <w:t xml:space="preserve"> While EOHLC does not current fund any youth-speciﬁc shelters - nor can it create these shelters on its own - the Commission and EOHLC have engaged in numerous conversations over the years to identify ways to improve housing resources for LGBTQ youth and families.</w:t>
      </w:r>
    </w:p>
    <w:p w14:paraId="0677BA2F" w14:textId="77777777" w:rsidR="005B2F7E" w:rsidRPr="005B2F7E" w:rsidRDefault="005B2F7E" w:rsidP="00E97E73">
      <w:pPr>
        <w:pStyle w:val="Heading3"/>
      </w:pPr>
      <w:bookmarkStart w:id="332" w:name="_Toc230277448"/>
      <w:r w:rsidRPr="005B2F7E">
        <w:lastRenderedPageBreak/>
        <w:t>Past &amp; Ongoing Work</w:t>
      </w:r>
      <w:bookmarkEnd w:id="332"/>
    </w:p>
    <w:p w14:paraId="3A2E5712" w14:textId="77777777" w:rsidR="005B2F7E" w:rsidRPr="005B2F7E" w:rsidRDefault="005B2F7E" w:rsidP="005B2F7E">
      <w:pPr>
        <w:jc w:val="both"/>
      </w:pPr>
      <w:r w:rsidRPr="005B2F7E">
        <w:t>The Commission and EOHLC have worked together for many years to address and improve LGBTQ-aﬃrming housing and shelter services across the Commonwealth. The Commission understands that EOHLC, like many other state entities, can sometimes be limited in its ability to address all aspects of the Commission’s recommendations due to state and federal requirements, but appreciates its attention to the areas it can address on its own.</w:t>
      </w:r>
    </w:p>
    <w:p w14:paraId="1ECF17A5" w14:textId="77777777" w:rsidR="005B2F7E" w:rsidRPr="005B2F7E" w:rsidRDefault="005B2F7E" w:rsidP="005B2F7E">
      <w:pPr>
        <w:jc w:val="both"/>
      </w:pPr>
      <w:r w:rsidRPr="005B2F7E">
        <w:t>EOHLC has made progress in a few areas since the Commission began issuing recommendations to its agency. In FY 2022 and FY 2026, EOHLC partnered with the Commission, which provided cultural competency trainings for EOHLC’s Division of Housing Stabilization and shelter staff. EOHLC sponsored another Commission online training for all EOHLC staff in FY24. In FY 2022, the Commission noted that the Common Housing Application for Massachusetts state-aided public housing and state rental assistance (CHAMP) is inclusive of transgender and nonbinary youth gender markers. For other state programs, gender responses are not required and/or non-binary responses can be provided. EOHLC has previously noted to the Commission that its current data collection is driven by two external forces - the state legislature and the Department of Housing and Urban Development (HUD) requirements. In FY 2022, HUD’s Homeless Management Information System (HMIS) standards were revised to ensure that questions regarding gender were not binary and provided a drop-down list for individuals to choose from; shelters are required to use HMIS. Unfortunately, these inclusive standards were rolled back by the federal government in early 2025, and data will now only be collected on sex-assigned-at-birth.</w:t>
      </w:r>
    </w:p>
    <w:p w14:paraId="09CAE112" w14:textId="77777777" w:rsidR="005B2F7E" w:rsidRPr="005B2F7E" w:rsidRDefault="005B2F7E" w:rsidP="005B2F7E">
      <w:pPr>
        <w:jc w:val="both"/>
      </w:pPr>
      <w:r w:rsidRPr="005B2F7E">
        <w:t>In FY 2026, EOHLC fulfilled a previous recommendation from the Commission to canvass state-funded shelters across the state to examine internal policies and procedures for sheltering trans and gender expansive clients. For the last two years, EOHLC has worked to meet this recommendation by folding it into an already existing annual monitoring process for shelters. Throughout the process, EOHLC shared with the Commission that it received mixed feedback from shelters with some having policies and procedures for serving trans and gender expansive clients, while others did not. EOHLC shared model policies to shelters who need to improve their current practices and has ensured that all individual shelters have concrete policies and written processes to ensure trans and gender expansive clients are served consistent with best practices. EOHLC shared in early FY 2026 that its ongoing work going forward will be consistent monitoring of full implementation of these policies and practices, including chatting with shelter clients to better understand their experiences in shelters.</w:t>
      </w:r>
    </w:p>
    <w:p w14:paraId="472937FF" w14:textId="77777777" w:rsidR="005B2F7E" w:rsidRPr="005B2F7E" w:rsidRDefault="005B2F7E" w:rsidP="005B2F7E">
      <w:pPr>
        <w:jc w:val="both"/>
      </w:pPr>
      <w:r w:rsidRPr="005B2F7E">
        <w:t xml:space="preserve">Finally, over the last two ﬁscal years, EOHLC and UHYC collaborated on and received a grant that has been used, in part, to develop strategies to better serve youth in the Commonwealth by looking at variances in coordinated entry processes as noted in the final recommendation of this </w:t>
      </w:r>
      <w:r w:rsidRPr="005B2F7E">
        <w:lastRenderedPageBreak/>
        <w:t>section. As the federal government continues to impose significant burdens on states with shifting HUD guidelines and CoC funding, the Commission understands that EOHLC will continue to be attentive to solutions to mitigate the Commonwealth’s housing crisis. </w:t>
      </w:r>
    </w:p>
    <w:p w14:paraId="1355FDEB" w14:textId="77777777" w:rsidR="005B2F7E" w:rsidRPr="005B2F7E" w:rsidRDefault="005B2F7E" w:rsidP="00E97E73">
      <w:pPr>
        <w:pStyle w:val="Heading3"/>
      </w:pPr>
      <w:bookmarkStart w:id="333" w:name="_Toc230277449"/>
      <w:r w:rsidRPr="005B2F7E">
        <w:t xml:space="preserve">FY 2027 Recommendations to the Executive </w:t>
      </w:r>
      <w:proofErr w:type="spellStart"/>
      <w:r w:rsidRPr="005B2F7E">
        <w:t>Oﬃce</w:t>
      </w:r>
      <w:proofErr w:type="spellEnd"/>
      <w:r w:rsidRPr="005B2F7E">
        <w:t xml:space="preserve"> of Housing and Livable Communities</w:t>
      </w:r>
      <w:bookmarkEnd w:id="333"/>
    </w:p>
    <w:p w14:paraId="64FAD066" w14:textId="77777777" w:rsidR="005B2F7E" w:rsidRPr="005B2F7E" w:rsidRDefault="005B2F7E" w:rsidP="00B7107C">
      <w:pPr>
        <w:pStyle w:val="Heading5"/>
      </w:pPr>
      <w:r w:rsidRPr="005B2F7E">
        <w:t>1. Develop and implement an agency-wide nondiscrimination policy.</w:t>
      </w:r>
    </w:p>
    <w:p w14:paraId="0519C375" w14:textId="77777777" w:rsidR="005B2F7E" w:rsidRPr="005B2F7E" w:rsidRDefault="005B2F7E" w:rsidP="005B2F7E">
      <w:pPr>
        <w:jc w:val="both"/>
      </w:pPr>
      <w:r w:rsidRPr="005B2F7E">
        <w:t>The Commission continues to recommend that EOHLC ﬁnalize and implement an agency-wide nondiscrimination policy to incorporate gender identity and LGBTQ-aﬃrming language. In February 2025, EOHLC informed the Commission that it has temporarily paused the development of its nondiscrimination policy due to rescinded guidance from HUD around the 2016 Equal Access rule, as it must now revise its initial draft. As of February 2026, the policy development is still on pause. However, in FY 2027, the Commission looks forward to potential future collaborations with EOHLC and state leadership to collaborate on guidance to help state agencies navigate policy development and revisions.</w:t>
      </w:r>
    </w:p>
    <w:p w14:paraId="486C1048" w14:textId="77777777" w:rsidR="005B2F7E" w:rsidRPr="005B2F7E" w:rsidRDefault="005B2F7E" w:rsidP="00B7107C">
      <w:pPr>
        <w:pStyle w:val="Heading5"/>
      </w:pPr>
      <w:r w:rsidRPr="005B2F7E">
        <w:t>2. Provide LGBTQ cultural awareness and racial equity trainings for EOHLC employees and shelter providers.</w:t>
      </w:r>
    </w:p>
    <w:p w14:paraId="74B97D82" w14:textId="77777777" w:rsidR="005B2F7E" w:rsidRPr="005B2F7E" w:rsidRDefault="005B2F7E" w:rsidP="005B2F7E">
      <w:pPr>
        <w:jc w:val="both"/>
      </w:pPr>
      <w:r w:rsidRPr="005B2F7E">
        <w:t>In FY 2026, the Commission was grateful for the opportunity to collaborate with EOHLC on a series of trainings for shelter providers around LGBTQ cultural awareness. The trainings provided an opportunity for the Commission to connect directly with shelter staff and identify gaps in resources and knowledge on working with LGBTQ clients. The Commission recommends that EOHLC continues to engage its employees and contracted providers in LGBTQ cultural engagement trainings, and trainings around racial equity and supporting immigrant families in the shelter system. The Commission suggests that EOHLC explores the possibility of creating a clear strategic training plan to ensure consistent trainings for staff and providers so that its work continues to build upon past and existing programs.</w:t>
      </w:r>
    </w:p>
    <w:p w14:paraId="0B10DEE3" w14:textId="77777777" w:rsidR="005B2F7E" w:rsidRPr="005B2F7E" w:rsidRDefault="005B2F7E" w:rsidP="00B7107C">
      <w:pPr>
        <w:pStyle w:val="Heading5"/>
      </w:pPr>
      <w:r w:rsidRPr="005B2F7E">
        <w:t>3. Improve interagency collaboration to support LGBTQ youth experiencing homelessness, with particular attention to supporting LGBTQ immigrant youth and youth transitioning out of the child welfare system.</w:t>
      </w:r>
    </w:p>
    <w:p w14:paraId="21436B48" w14:textId="77777777" w:rsidR="005B2F7E" w:rsidRPr="005B2F7E" w:rsidRDefault="005B2F7E" w:rsidP="005B2F7E">
      <w:pPr>
        <w:jc w:val="both"/>
      </w:pPr>
      <w:r w:rsidRPr="005B2F7E">
        <w:t xml:space="preserve">Interagency collaboration is key to ensuring that the most vulnerable and often underserved youth in our state do not fall within the systemic gaps created when agencies working in similar areas fail to communicate appropriately with each other and their workers. The Commission understands that EOHLC has established relationships throughout the state with youth-serving agencies, particularly with the Unaccompanied Homeless Youth Commission, but recommends </w:t>
      </w:r>
      <w:r w:rsidRPr="005B2F7E">
        <w:lastRenderedPageBreak/>
        <w:t>that it continues to examine its connections with other agencies such as DCF, DYS, and ORI to ensure that the needs of underserved youth are being met. Furthermore, the Commission strongly recommends that the agency partners with the UHYC and community organizations to host listening sessions or community conversations to better understand the experiences of LGBTQ youth experiencing homelessness and housing instability in the state.</w:t>
      </w:r>
    </w:p>
    <w:p w14:paraId="32776134" w14:textId="77777777" w:rsidR="005B2F7E" w:rsidRPr="005B2F7E" w:rsidRDefault="005B2F7E" w:rsidP="00B7107C">
      <w:pPr>
        <w:pStyle w:val="Heading5"/>
      </w:pPr>
      <w:r w:rsidRPr="005B2F7E">
        <w:t>4. Explore ways to encourage the development and funding of LGBTQ-friendly and safe shelters for youth, and alternative ways to address the housing crisis for youth.</w:t>
      </w:r>
    </w:p>
    <w:p w14:paraId="28D8DCA3" w14:textId="77777777" w:rsidR="005B2F7E" w:rsidRPr="005B2F7E" w:rsidRDefault="005B2F7E" w:rsidP="005B2F7E">
      <w:pPr>
        <w:jc w:val="both"/>
      </w:pPr>
      <w:r w:rsidRPr="005B2F7E">
        <w:t>As the Commission has highlighted for many years, there is a critical need for better access to youth-serving shelters across the state, and a need for creative, alternative ways to address the housing crisis for youth and young adults in Massachusetts. EOHLC is limited in its ability to encourage the development of new shelters and housing projects, and is constrained by procurement rules, as well as federal and state law, from establishing or soliciting speciﬁc funders for LGBTQ shelters. The Commission recommends that EOHLC continue to expand its partnership with UHYC – pending the hiring of a new director – to explore alternative solutions to the housing crisis, with the understanding that youth shelter currently falls under EOHHS and not EOHLC.</w:t>
      </w:r>
    </w:p>
    <w:p w14:paraId="22951D67" w14:textId="77777777" w:rsidR="005B2F7E" w:rsidRPr="005B2F7E" w:rsidRDefault="005B2F7E" w:rsidP="00B7107C">
      <w:pPr>
        <w:pStyle w:val="Heading5"/>
      </w:pPr>
      <w:r w:rsidRPr="005B2F7E">
        <w:t xml:space="preserve">5. Continue to investigate with Continuums of Care and community providers to ensure that youth </w:t>
      </w:r>
      <w:proofErr w:type="gramStart"/>
      <w:r w:rsidRPr="005B2F7E">
        <w:t>are able to</w:t>
      </w:r>
      <w:proofErr w:type="gramEnd"/>
      <w:r w:rsidRPr="005B2F7E">
        <w:t xml:space="preserve"> travel between CoCs without facing systemic barriers to accessing appropriate housing services.</w:t>
      </w:r>
    </w:p>
    <w:p w14:paraId="4D95B722" w14:textId="7F27ED1B" w:rsidR="005B2F7E" w:rsidRPr="005B2F7E" w:rsidRDefault="005B2F7E" w:rsidP="005B2F7E">
      <w:pPr>
        <w:jc w:val="both"/>
      </w:pPr>
      <w:r w:rsidRPr="005B2F7E">
        <w:t>In FY 2024, EOHLC shared that a coordinated care data integration system had been released to CoCs that will ideally help resolve barriers to housing that some youth face when transitioning between CoCs in Massachusetts. In  2024, EOHLC received a federal grant to build an interface that allows providers outside of CoCs to access client data to better facilitate reducing barriers to housing. This work is now complete and all shelters receiving federal or state funding in the Commonwealth, including shelters serving exclusively unaccompanied homeless youth, are included in the data</w:t>
      </w:r>
      <w:r w:rsidR="007D658D" w:rsidRPr="005B2F7E">
        <w:t xml:space="preserve">. </w:t>
      </w:r>
      <w:r w:rsidRPr="005B2F7E">
        <w:t>This data can be used in understanding disparities in the data of those being served, statewide and regionally</w:t>
      </w:r>
      <w:r w:rsidR="007D658D" w:rsidRPr="005B2F7E">
        <w:t xml:space="preserve">. </w:t>
      </w:r>
      <w:r w:rsidRPr="005B2F7E">
        <w:t>Overall, the Commission recommends that EOHLC and the CoCs continue to engage with people experiencing homelessness to ensure that the presented solution is eﬀectively working to reduce barriers to housing vouchers for people shifting between CoCs in Massachusetts.</w:t>
      </w:r>
    </w:p>
    <w:p w14:paraId="6A04ABB8" w14:textId="7A833E0E" w:rsidR="005B2F7E" w:rsidRPr="00E44F63" w:rsidRDefault="005B2F7E" w:rsidP="005B2F7E">
      <w:pPr>
        <w:jc w:val="both"/>
        <w:rPr>
          <w:rStyle w:val="SubtleReference"/>
          <w:color w:val="864EA8" w:themeColor="accent1" w:themeShade="BF"/>
        </w:rPr>
      </w:pPr>
      <w:r w:rsidRPr="00E44F63">
        <w:rPr>
          <w:rStyle w:val="SubtleReference"/>
          <w:color w:val="864EA8" w:themeColor="accent1" w:themeShade="BF"/>
        </w:rPr>
        <w:t>Acknowledgments: The Commission sincerely thanks the contributions of its EOHLC liaisons.</w:t>
      </w:r>
    </w:p>
    <w:p w14:paraId="17F0A79C" w14:textId="77777777" w:rsidR="005B2F7E" w:rsidRDefault="005B2F7E">
      <w:r>
        <w:br w:type="page"/>
      </w:r>
    </w:p>
    <w:p w14:paraId="7E8D0453" w14:textId="77777777" w:rsidR="005B2F7E" w:rsidRPr="00B7107C" w:rsidRDefault="005B2F7E" w:rsidP="00B7107C">
      <w:pPr>
        <w:pStyle w:val="Heading2"/>
      </w:pPr>
      <w:bookmarkStart w:id="334" w:name="_Toc230277128"/>
      <w:bookmarkStart w:id="335" w:name="_Toc230277450"/>
      <w:bookmarkStart w:id="336" w:name="_Toc230355510"/>
      <w:r w:rsidRPr="00B7107C">
        <w:lastRenderedPageBreak/>
        <w:t>MassHire</w:t>
      </w:r>
      <w:bookmarkEnd w:id="334"/>
      <w:bookmarkEnd w:id="335"/>
      <w:bookmarkEnd w:id="336"/>
    </w:p>
    <w:p w14:paraId="02EBEBC7" w14:textId="77777777" w:rsidR="005B2F7E" w:rsidRPr="005B2F7E" w:rsidRDefault="005B2F7E">
      <w:pPr>
        <w:pStyle w:val="ListParagraph"/>
        <w:numPr>
          <w:ilvl w:val="0"/>
          <w:numId w:val="26"/>
        </w:numPr>
        <w:spacing w:line="240" w:lineRule="auto"/>
        <w:ind w:right="360"/>
        <w:jc w:val="both"/>
      </w:pPr>
      <w:r w:rsidRPr="005B2F7E">
        <w:t>Support youth clients with identifying trans-affirming employers and workplace resources.</w:t>
      </w:r>
    </w:p>
    <w:p w14:paraId="2FC0DC14" w14:textId="77777777" w:rsidR="005B2F7E" w:rsidRPr="005B2F7E" w:rsidRDefault="005B2F7E">
      <w:pPr>
        <w:pStyle w:val="ListParagraph"/>
        <w:numPr>
          <w:ilvl w:val="0"/>
          <w:numId w:val="26"/>
        </w:numPr>
        <w:spacing w:line="240" w:lineRule="auto"/>
        <w:ind w:right="360"/>
        <w:jc w:val="both"/>
      </w:pPr>
      <w:r w:rsidRPr="005B2F7E">
        <w:t>Review data collection methods to reflect best practices on LGBTQ-related data and evaluate that data to improve LGBTQ client experiences.</w:t>
      </w:r>
    </w:p>
    <w:p w14:paraId="14C7BA3F" w14:textId="77777777" w:rsidR="005B2F7E" w:rsidRPr="005B2F7E" w:rsidRDefault="005B2F7E">
      <w:pPr>
        <w:pStyle w:val="ListParagraph"/>
        <w:numPr>
          <w:ilvl w:val="0"/>
          <w:numId w:val="26"/>
        </w:numPr>
        <w:spacing w:line="240" w:lineRule="auto"/>
        <w:ind w:right="360"/>
        <w:jc w:val="both"/>
      </w:pPr>
      <w:r w:rsidRPr="005B2F7E">
        <w:t>Facilitate mandatory LGBTQ cultural awareness and racial equity trainings for all staff.</w:t>
      </w:r>
    </w:p>
    <w:p w14:paraId="4D40B83C" w14:textId="77777777" w:rsidR="005B2F7E" w:rsidRPr="005B2F7E" w:rsidRDefault="005B2F7E">
      <w:pPr>
        <w:pStyle w:val="ListParagraph"/>
        <w:numPr>
          <w:ilvl w:val="0"/>
          <w:numId w:val="26"/>
        </w:numPr>
        <w:spacing w:line="240" w:lineRule="auto"/>
        <w:ind w:right="360"/>
        <w:jc w:val="both"/>
      </w:pPr>
      <w:r w:rsidRPr="005B2F7E">
        <w:t>Create and hire a dedicated LGBTQ-specific staff person.</w:t>
      </w:r>
    </w:p>
    <w:p w14:paraId="46E8BC39" w14:textId="77777777" w:rsidR="005B2F7E" w:rsidRPr="00B7107C" w:rsidRDefault="005B2F7E" w:rsidP="00E97E73">
      <w:pPr>
        <w:pStyle w:val="Heading3"/>
      </w:pPr>
      <w:bookmarkStart w:id="337" w:name="_Toc230277451"/>
      <w:r w:rsidRPr="00B7107C">
        <w:t>Introduction</w:t>
      </w:r>
      <w:bookmarkEnd w:id="337"/>
      <w:r w:rsidRPr="00B7107C">
        <w:t> </w:t>
      </w:r>
    </w:p>
    <w:p w14:paraId="6989BC28" w14:textId="2E8666D9" w:rsidR="005B2F7E" w:rsidRPr="005B2F7E" w:rsidRDefault="005B2F7E" w:rsidP="005B2F7E">
      <w:pPr>
        <w:jc w:val="both"/>
      </w:pPr>
      <w:r w:rsidRPr="005B2F7E">
        <w:t xml:space="preserve">The MassHire Department of Career Services (MDCS) oversees workforce development activities, which includes providing access to quality education, skills training, and employment opportunities for jobseekers. Through its statewide network of </w:t>
      </w:r>
      <w:r w:rsidR="007D658D" w:rsidRPr="005B2F7E">
        <w:t>twenty-eight</w:t>
      </w:r>
      <w:hyperlink r:id="rId62" w:history="1">
        <w:r w:rsidRPr="005B2F7E">
          <w:rPr>
            <w:rStyle w:val="Hyperlink"/>
          </w:rPr>
          <w:t xml:space="preserve"> MassHire Career Centers</w:t>
        </w:r>
      </w:hyperlink>
      <w:r w:rsidRPr="005B2F7E">
        <w:t xml:space="preserve"> (4 speciﬁcally serving youth) and</w:t>
      </w:r>
      <w:hyperlink r:id="rId63" w:history="1">
        <w:r w:rsidRPr="005B2F7E">
          <w:rPr>
            <w:rStyle w:val="Hyperlink"/>
          </w:rPr>
          <w:t xml:space="preserve"> 16 MassHire Workforce Boards,</w:t>
        </w:r>
      </w:hyperlink>
      <w:r w:rsidRPr="005B2F7E">
        <w:t xml:space="preserve"> MassHire works to build connections between businesses and jobseekers by helping residents and employers with resources, job matching, tax credit programs, and labor market information.</w:t>
      </w:r>
    </w:p>
    <w:p w14:paraId="6404487C" w14:textId="0FD826F2" w:rsidR="005B2F7E" w:rsidRPr="005B2F7E" w:rsidRDefault="005B2F7E" w:rsidP="005B2F7E">
      <w:pPr>
        <w:jc w:val="both"/>
      </w:pPr>
      <w:r w:rsidRPr="005B2F7E">
        <w:t xml:space="preserve">Despite Massachusetts’ strong nondiscrimination protections, LGBTQ youth continue to experience barriers, such as discrimination, location, low wages, and lack of professional development opportunities, </w:t>
      </w:r>
      <w:r w:rsidR="00B443A2" w:rsidRPr="005B2F7E">
        <w:t>which</w:t>
      </w:r>
      <w:r w:rsidRPr="005B2F7E">
        <w:t xml:space="preserve"> make obtaining quality employment difficult.</w:t>
      </w:r>
    </w:p>
    <w:p w14:paraId="135DA3DA" w14:textId="77777777" w:rsidR="005B2F7E" w:rsidRPr="005B2F7E" w:rsidRDefault="005B2F7E" w:rsidP="00E97E73">
      <w:pPr>
        <w:pStyle w:val="Heading3"/>
      </w:pPr>
      <w:bookmarkStart w:id="338" w:name="_Toc230277452"/>
      <w:r w:rsidRPr="005B2F7E">
        <w:t>Past &amp; Ongoing Work</w:t>
      </w:r>
      <w:bookmarkEnd w:id="338"/>
    </w:p>
    <w:p w14:paraId="0A639DC4" w14:textId="22D156C8" w:rsidR="005B2F7E" w:rsidRPr="005B2F7E" w:rsidRDefault="005B2F7E" w:rsidP="005B2F7E">
      <w:pPr>
        <w:jc w:val="both"/>
      </w:pPr>
      <w:r w:rsidRPr="005B2F7E">
        <w:t xml:space="preserve">In 2021, MassHire updated its intake and data collection procedures through its Career Services registration to include a nonbinary gender </w:t>
      </w:r>
      <w:r w:rsidR="00B443A2" w:rsidRPr="005B2F7E">
        <w:t>marker and</w:t>
      </w:r>
      <w:r w:rsidRPr="005B2F7E">
        <w:t xml:space="preserve"> further allows clients to self-select whether they had registered with the selective service (more colloquially known as the military draft), which is a federal requirement only for those assigned-male-at-birth. Additionally, in 2021, MCDS oﬀered a two-part training series, “LGBTQ+ Customers in the Workplace”, to MassHire staﬀ. Finally, the Commission worked with MassHire in 2017 to update and revise its nondiscrimination policy to be LGBTQ-inclusive.</w:t>
      </w:r>
    </w:p>
    <w:p w14:paraId="2AA82B31" w14:textId="77777777" w:rsidR="005B2F7E" w:rsidRPr="005B2F7E" w:rsidRDefault="005B2F7E" w:rsidP="00E97E73">
      <w:pPr>
        <w:pStyle w:val="Heading3"/>
      </w:pPr>
      <w:bookmarkStart w:id="339" w:name="_Toc230277453"/>
      <w:r w:rsidRPr="005B2F7E">
        <w:t>FY 2027 Recommendations to MassHire</w:t>
      </w:r>
      <w:bookmarkEnd w:id="339"/>
    </w:p>
    <w:p w14:paraId="108DB91E" w14:textId="68F79C44" w:rsidR="005B2F7E" w:rsidRPr="005B2F7E" w:rsidRDefault="00BF5B9D" w:rsidP="00B7107C">
      <w:pPr>
        <w:pStyle w:val="Heading5"/>
      </w:pPr>
      <w:r>
        <w:t xml:space="preserve">1| </w:t>
      </w:r>
      <w:r w:rsidR="005B2F7E" w:rsidRPr="005B2F7E">
        <w:t>Support youth clients with identifying trans-affirming employers and workplace resources.</w:t>
      </w:r>
    </w:p>
    <w:p w14:paraId="28035DDC" w14:textId="77777777" w:rsidR="005B2F7E" w:rsidRPr="005B2F7E" w:rsidRDefault="005B2F7E" w:rsidP="005B2F7E">
      <w:pPr>
        <w:jc w:val="both"/>
      </w:pPr>
      <w:r w:rsidRPr="005B2F7E">
        <w:t xml:space="preserve">A common question the Commission and many of its community partners continue to receive throughout each fiscal year from LGBTQ youth is about LGBTQ-affirming employment opportunities. More specifically, many trans and gender expansive youth, especially BIPOC youth, </w:t>
      </w:r>
      <w:r w:rsidRPr="005B2F7E">
        <w:lastRenderedPageBreak/>
        <w:t>express significant concerns about discrimination in the hiring process and the workplace. Additionally, dedicated resources promoting inclusive job opportunities across Massachusetts are scarce, and few companies make clear their dedication to providing a safe and inclusive work environment for trans and gender expansive youth.</w:t>
      </w:r>
    </w:p>
    <w:p w14:paraId="24348FF9" w14:textId="77777777" w:rsidR="005B2F7E" w:rsidRPr="005B2F7E" w:rsidRDefault="005B2F7E" w:rsidP="005B2F7E">
      <w:pPr>
        <w:jc w:val="both"/>
      </w:pPr>
      <w:r w:rsidRPr="005B2F7E">
        <w:t>MassHire connects many Massachusetts young adults to jobs and career resources and must ensure that it is providing the unique support that LGBTQ youth need to find affirming employers. One way to improve career services for LGBTQ youth is by planning and creating career fairs speciﬁcally targeted toward LGBTQ youth, such as the career fairs oﬀered by the Massachusetts LGBT Chamber of Commerce. The Commission strongly recommends that MassHire work to establish a review system to connect LGBTQ youth with LGBTQ-inclusive workplaces through partnering with community organizations such as the Massachusetts LGBT Chamber of Commerce and regional community organizations specializing in working with LGBTQ youth.</w:t>
      </w:r>
    </w:p>
    <w:p w14:paraId="0F840F23" w14:textId="34EF75CC" w:rsidR="005B2F7E" w:rsidRPr="00B7107C" w:rsidRDefault="00BF5B9D" w:rsidP="00B7107C">
      <w:pPr>
        <w:pStyle w:val="Heading5"/>
      </w:pPr>
      <w:r>
        <w:t xml:space="preserve">2| </w:t>
      </w:r>
      <w:r w:rsidR="005B2F7E" w:rsidRPr="00B7107C">
        <w:t>Review data collection methods to reﬂect best practices on LGBTQ-related data and evaluate that data to improve LGBTQ client experiences.</w:t>
      </w:r>
    </w:p>
    <w:p w14:paraId="584576B9" w14:textId="77777777" w:rsidR="005B2F7E" w:rsidRPr="005B2F7E" w:rsidRDefault="005B2F7E" w:rsidP="005B2F7E">
      <w:pPr>
        <w:jc w:val="both"/>
      </w:pPr>
      <w:r w:rsidRPr="005B2F7E">
        <w:t>The Commission recommends that MassHire review their SOGI data collection methods to ensure that they reﬂect current best practices on LGBTQ-related data, and that they continue to evaluate the data already received to adjust services as needed. In May 2025, MassHire shared that it currently collects customer data on ‘male’, ‘female’, and ‘choose not to answer.’</w:t>
      </w:r>
    </w:p>
    <w:p w14:paraId="7BE87C35" w14:textId="77777777" w:rsidR="005B2F7E" w:rsidRPr="005B2F7E" w:rsidRDefault="005B2F7E" w:rsidP="005B2F7E">
      <w:pPr>
        <w:jc w:val="both"/>
      </w:pPr>
      <w:r w:rsidRPr="005B2F7E">
        <w:t>Additionally, MassHire should ensure that the complaint system provided by MassHire career centers is inclusive of SOGI data collection to ensure that clients are not disproportionately facing discrimination in MassHire services.</w:t>
      </w:r>
    </w:p>
    <w:p w14:paraId="20F1F7C4" w14:textId="5F62B447" w:rsidR="005B2F7E" w:rsidRPr="005B2F7E" w:rsidRDefault="00BF5B9D" w:rsidP="00B7107C">
      <w:pPr>
        <w:pStyle w:val="Heading5"/>
      </w:pPr>
      <w:r>
        <w:t xml:space="preserve">3| </w:t>
      </w:r>
      <w:r w:rsidR="005B2F7E" w:rsidRPr="005B2F7E">
        <w:t>Facilitate mandatory LGBTQ cultural awareness and racial equity trainings for all staﬀ.</w:t>
      </w:r>
    </w:p>
    <w:p w14:paraId="7DBACD13" w14:textId="77777777" w:rsidR="005B2F7E" w:rsidRPr="005B2F7E" w:rsidRDefault="005B2F7E" w:rsidP="005B2F7E">
      <w:pPr>
        <w:jc w:val="both"/>
      </w:pPr>
      <w:r w:rsidRPr="005B2F7E">
        <w:t>In FY 2022, MassHire staﬀ participated in a training oﬀered by PFLAG on how to be more inclusive in its service provision, but the Commission has no additional information on anything that may have occurred more recently. The Commission additionally recommends that MassHire ensure that racial equity trainings are provided to all staﬀ that highlights the intersectional identities LGBTQ youth often carry with them in the workplace. In May 2025, MassHire shared that while it is open to curate a course on LGBTQ cultural engagement for its staﬀ, it is unable to mandate that staﬀ attend these trainings. The Commission has no updates from FY 2026 on trainings that took place this fiscal year.</w:t>
      </w:r>
    </w:p>
    <w:p w14:paraId="025A5EEC" w14:textId="3407DE28" w:rsidR="005B2F7E" w:rsidRPr="005B2F7E" w:rsidRDefault="00BF5B9D" w:rsidP="00B7107C">
      <w:pPr>
        <w:pStyle w:val="Heading5"/>
      </w:pPr>
      <w:r>
        <w:t xml:space="preserve">4| </w:t>
      </w:r>
      <w:r w:rsidR="005B2F7E" w:rsidRPr="005B2F7E">
        <w:t>Create and hire a dedicated LGBTQ-speciﬁc staﬀ person.</w:t>
      </w:r>
    </w:p>
    <w:p w14:paraId="5FF83184" w14:textId="77777777" w:rsidR="005B2F7E" w:rsidRPr="005B2F7E" w:rsidRDefault="005B2F7E" w:rsidP="005B2F7E">
      <w:pPr>
        <w:jc w:val="both"/>
      </w:pPr>
      <w:r w:rsidRPr="005B2F7E">
        <w:t xml:space="preserve">Over the last couple of years, the Commission has been pleased to see </w:t>
      </w:r>
      <w:proofErr w:type="gramStart"/>
      <w:r w:rsidRPr="005B2F7E">
        <w:t>a number of</w:t>
      </w:r>
      <w:proofErr w:type="gramEnd"/>
      <w:r w:rsidRPr="005B2F7E">
        <w:t xml:space="preserve"> state agencies, such as the Department of Children &amp; Families and the Department of Public Health, create </w:t>
      </w:r>
      <w:r w:rsidRPr="005B2F7E">
        <w:lastRenderedPageBreak/>
        <w:t>LGBTQ-speciﬁc staﬀ positions dedicated to ensuring that the needs of LGBTQ youth are being met by the agency. The Commission strongly recommends that MassHire follow this model to create positions dedicated to overseeing the outreach &amp; resource development to LGBTQ youth.</w:t>
      </w:r>
    </w:p>
    <w:p w14:paraId="72DD6B95" w14:textId="44B2B0EE" w:rsidR="00637866" w:rsidRPr="00E44F63" w:rsidRDefault="005B2F7E" w:rsidP="005B2F7E">
      <w:pPr>
        <w:jc w:val="both"/>
        <w:rPr>
          <w:rStyle w:val="SubtleReference"/>
          <w:color w:val="864EA8" w:themeColor="accent1" w:themeShade="BF"/>
        </w:rPr>
      </w:pPr>
      <w:r w:rsidRPr="00E44F63">
        <w:rPr>
          <w:rStyle w:val="SubtleReference"/>
          <w:color w:val="864EA8" w:themeColor="accent1" w:themeShade="BF"/>
        </w:rPr>
        <w:t>Acknowledgments: The Commission sincerely thanks the contributions of its MassHire liaisons.</w:t>
      </w:r>
    </w:p>
    <w:p w14:paraId="163A6B29" w14:textId="77777777" w:rsidR="00637866" w:rsidRDefault="00637866">
      <w:pPr>
        <w:rPr>
          <w:i/>
          <w:iCs/>
        </w:rPr>
      </w:pPr>
      <w:r>
        <w:rPr>
          <w:i/>
          <w:iCs/>
        </w:rPr>
        <w:br w:type="page"/>
      </w:r>
    </w:p>
    <w:p w14:paraId="6386B0B7" w14:textId="77777777" w:rsidR="00637866" w:rsidRPr="00637866" w:rsidRDefault="00637866" w:rsidP="00B7107C">
      <w:pPr>
        <w:pStyle w:val="Heading2"/>
      </w:pPr>
      <w:bookmarkStart w:id="340" w:name="_Toc230277129"/>
      <w:bookmarkStart w:id="341" w:name="_Toc230277454"/>
      <w:bookmarkStart w:id="342" w:name="_Toc230355511"/>
      <w:proofErr w:type="spellStart"/>
      <w:r w:rsidRPr="00637866">
        <w:lastRenderedPageBreak/>
        <w:t>Oﬃce</w:t>
      </w:r>
      <w:proofErr w:type="spellEnd"/>
      <w:r w:rsidRPr="00637866">
        <w:t xml:space="preserve"> of the Child Advocate</w:t>
      </w:r>
      <w:bookmarkEnd w:id="340"/>
      <w:bookmarkEnd w:id="341"/>
      <w:bookmarkEnd w:id="342"/>
    </w:p>
    <w:p w14:paraId="413635DF" w14:textId="77777777" w:rsidR="00637866" w:rsidRPr="00637866" w:rsidRDefault="00637866">
      <w:pPr>
        <w:pStyle w:val="ListParagraph"/>
        <w:numPr>
          <w:ilvl w:val="0"/>
          <w:numId w:val="28"/>
        </w:numPr>
        <w:spacing w:line="240" w:lineRule="auto"/>
        <w:ind w:right="360"/>
        <w:jc w:val="both"/>
      </w:pPr>
      <w:r w:rsidRPr="00637866">
        <w:t>Visit, investigate, and report on congregate care facilities.</w:t>
      </w:r>
    </w:p>
    <w:p w14:paraId="57BD7A3C" w14:textId="77777777" w:rsidR="00637866" w:rsidRPr="00637866" w:rsidRDefault="00637866">
      <w:pPr>
        <w:pStyle w:val="ListParagraph"/>
        <w:numPr>
          <w:ilvl w:val="0"/>
          <w:numId w:val="28"/>
        </w:numPr>
        <w:spacing w:line="240" w:lineRule="auto"/>
        <w:ind w:right="360"/>
        <w:jc w:val="both"/>
      </w:pPr>
      <w:r w:rsidRPr="00637866">
        <w:t>Conduct a LGBTQ training audit of youth-serving facilities.</w:t>
      </w:r>
    </w:p>
    <w:p w14:paraId="1B0741EA" w14:textId="5F4D857C" w:rsidR="00637866" w:rsidRPr="00637866" w:rsidRDefault="00637866">
      <w:pPr>
        <w:pStyle w:val="ListParagraph"/>
        <w:numPr>
          <w:ilvl w:val="0"/>
          <w:numId w:val="28"/>
        </w:numPr>
        <w:spacing w:line="240" w:lineRule="auto"/>
        <w:ind w:right="360"/>
        <w:jc w:val="both"/>
      </w:pPr>
      <w:r w:rsidRPr="00637866">
        <w:t xml:space="preserve">Develop a strategic plan for LGBTQ youth </w:t>
      </w:r>
      <w:r w:rsidR="00B443A2" w:rsidRPr="00637866">
        <w:t>outreach and</w:t>
      </w:r>
      <w:r w:rsidRPr="00637866">
        <w:t xml:space="preserve"> ensure meaningful LGBTQ community participation in all projects and initiatives.</w:t>
      </w:r>
    </w:p>
    <w:p w14:paraId="007879FD" w14:textId="77777777" w:rsidR="00637866" w:rsidRPr="00637866" w:rsidRDefault="00637866">
      <w:pPr>
        <w:pStyle w:val="ListParagraph"/>
        <w:numPr>
          <w:ilvl w:val="0"/>
          <w:numId w:val="28"/>
        </w:numPr>
        <w:spacing w:line="240" w:lineRule="auto"/>
        <w:ind w:right="360"/>
        <w:jc w:val="both"/>
      </w:pPr>
      <w:r w:rsidRPr="00637866">
        <w:t>Address the needs of LGBTQ transition-aged youth.</w:t>
      </w:r>
    </w:p>
    <w:p w14:paraId="28EC996E" w14:textId="69D9BAB0" w:rsidR="00637866" w:rsidRPr="00637866" w:rsidRDefault="00637866">
      <w:pPr>
        <w:pStyle w:val="ListParagraph"/>
        <w:numPr>
          <w:ilvl w:val="0"/>
          <w:numId w:val="28"/>
        </w:numPr>
        <w:spacing w:line="240" w:lineRule="auto"/>
        <w:ind w:right="360"/>
        <w:jc w:val="both"/>
      </w:pPr>
      <w:r w:rsidRPr="00637866">
        <w:t xml:space="preserve">Continue to report on available SOGI </w:t>
      </w:r>
      <w:r w:rsidR="00B443A2" w:rsidRPr="00637866">
        <w:t>data and</w:t>
      </w:r>
      <w:r w:rsidRPr="00637866">
        <w:t xml:space="preserve"> collaborate with child-serving agencies on consistent reporting and intersectional data analysis.</w:t>
      </w:r>
    </w:p>
    <w:p w14:paraId="17C6E57C" w14:textId="77777777" w:rsidR="00637866" w:rsidRPr="00637866" w:rsidRDefault="00637866">
      <w:pPr>
        <w:pStyle w:val="ListParagraph"/>
        <w:numPr>
          <w:ilvl w:val="0"/>
          <w:numId w:val="28"/>
        </w:numPr>
        <w:spacing w:line="240" w:lineRule="auto"/>
        <w:ind w:right="360"/>
        <w:jc w:val="both"/>
      </w:pPr>
      <w:r w:rsidRPr="00637866">
        <w:t>Increase public reporting on the experiences, safety, and affirmation of youth in residential schools.</w:t>
      </w:r>
    </w:p>
    <w:p w14:paraId="445E80D4" w14:textId="77777777" w:rsidR="00637866" w:rsidRPr="00637866" w:rsidRDefault="00637866">
      <w:pPr>
        <w:pStyle w:val="ListParagraph"/>
        <w:numPr>
          <w:ilvl w:val="0"/>
          <w:numId w:val="28"/>
        </w:numPr>
        <w:spacing w:line="240" w:lineRule="auto"/>
        <w:ind w:right="360"/>
        <w:jc w:val="both"/>
      </w:pPr>
      <w:r w:rsidRPr="00637866">
        <w:t>Continue to identify opportunities to address suicidality among LGBTQ youth, including through collaboration with the Commission.</w:t>
      </w:r>
    </w:p>
    <w:p w14:paraId="78811EBD" w14:textId="77777777" w:rsidR="00637866" w:rsidRPr="00637866" w:rsidRDefault="00637866" w:rsidP="00E97E73">
      <w:pPr>
        <w:pStyle w:val="Heading3"/>
      </w:pPr>
      <w:bookmarkStart w:id="343" w:name="_Toc230277455"/>
      <w:r w:rsidRPr="00637866">
        <w:t>Introduction</w:t>
      </w:r>
      <w:bookmarkEnd w:id="343"/>
    </w:p>
    <w:p w14:paraId="0C853964" w14:textId="77777777" w:rsidR="00637866" w:rsidRPr="00637866" w:rsidRDefault="00637866" w:rsidP="00637866">
      <w:pPr>
        <w:jc w:val="both"/>
      </w:pPr>
      <w:r w:rsidRPr="00637866">
        <w:t xml:space="preserve">The Oﬃce of the Child Advocate (OCA) is an independent executive branch agency with oversight and ombudsperson responsibilities, established by the Massachusetts Legislature in 2008. The OCA’s mission is to ensure that children receive appropriate, timely and quality state services, with a particular focus on ensuring that the Commonwealth’s most vulnerable and at-risk children </w:t>
      </w:r>
      <w:proofErr w:type="gramStart"/>
      <w:r w:rsidRPr="00637866">
        <w:t>have the opportunity to</w:t>
      </w:r>
      <w:proofErr w:type="gramEnd"/>
      <w:r w:rsidRPr="00637866">
        <w:t xml:space="preserve"> thrive. Through collaboration with public and private stakeholders, the OCA identiﬁes gaps in state services and recommends improvements in policy, practice, regulation, and/or law. The OCA also serves as a resource for families who are receiving, or are eligible to receive, services from the Commonwealth.</w:t>
      </w:r>
    </w:p>
    <w:p w14:paraId="6DF76733" w14:textId="77777777" w:rsidR="00637866" w:rsidRPr="00637866" w:rsidRDefault="00637866" w:rsidP="00637866">
      <w:pPr>
        <w:jc w:val="both"/>
      </w:pPr>
      <w:r w:rsidRPr="00637866">
        <w:t xml:space="preserve">As has been shared by the Commission in past reports, sustained and meaningful change for youth in state systems requires multisystem collaboration that is overseen by an active and attentive watchdog agency. Far too often, eﬀorts to hold state systems, particularly the Department of Children &amp; Families, accountable for the experiences of LGBTQ youth who interact with them have largely fallen to the Commission and to nonproﬁt organizations, none of whom have the authority or capacity to exercise the powers given to the OCA under state law - leaving a signiﬁcant oversight gap. With these FY 2027 recommendations, the Commission emphasizes the necessity of the OCA to </w:t>
      </w:r>
      <w:proofErr w:type="gramStart"/>
      <w:r w:rsidRPr="00637866">
        <w:t>use its authority to the fullest extent</w:t>
      </w:r>
      <w:proofErr w:type="gramEnd"/>
      <w:r w:rsidRPr="00637866">
        <w:t xml:space="preserve"> to investigate mistreatment of youth by state systems, and to hold these entities and policymakers accountable for the numerous failures of the system to support the safety and well-being of all youth.</w:t>
      </w:r>
    </w:p>
    <w:p w14:paraId="473F005F" w14:textId="77777777" w:rsidR="00637866" w:rsidRPr="00637866" w:rsidRDefault="00637866" w:rsidP="00E97E73">
      <w:pPr>
        <w:pStyle w:val="Heading3"/>
      </w:pPr>
      <w:bookmarkStart w:id="344" w:name="_Toc230277456"/>
      <w:r w:rsidRPr="00637866">
        <w:t>Past &amp; Ongoing Work</w:t>
      </w:r>
      <w:bookmarkEnd w:id="344"/>
    </w:p>
    <w:p w14:paraId="56FE0544" w14:textId="77777777" w:rsidR="00637866" w:rsidRPr="00637866" w:rsidRDefault="00637866" w:rsidP="00637866">
      <w:pPr>
        <w:jc w:val="both"/>
      </w:pPr>
      <w:r w:rsidRPr="00637866">
        <w:t xml:space="preserve">Since the Commission began issuing recommendations to the OCA, progress in multiple areas has occurred. Notably, the OCA has oﬀered increased training opportunities for its staﬀ, worked with </w:t>
      </w:r>
      <w:r w:rsidRPr="00637866">
        <w:lastRenderedPageBreak/>
        <w:t>its Complaint Line team to encourage demographic information collection to improve data eﬀorts, and expanded its youth engagement and outreach initiatives within congregate care settings. As discussed below, beginning in 2024, the OCA launched a youth-focused outreach campaign centered on increasing awareness of the OCA Complaint Line and educating youth in congregate care about their rights and available supports. In 2025, the OCA also began conducting congregate care site visits and meeting directly with youth to discuss concerns related to placements, education, permanency planning, and treatment by program staﬀ and state agencies. </w:t>
      </w:r>
    </w:p>
    <w:p w14:paraId="6A1CE9DA" w14:textId="124A7812" w:rsidR="00637866" w:rsidRPr="00B7107C" w:rsidRDefault="00637866" w:rsidP="00E97E73">
      <w:pPr>
        <w:pStyle w:val="Heading3"/>
      </w:pPr>
      <w:bookmarkStart w:id="345" w:name="_Toc230277457"/>
      <w:r w:rsidRPr="00B7107C">
        <w:t>FY 2027 Recommendations to the O</w:t>
      </w:r>
      <w:r w:rsidR="00B7107C" w:rsidRPr="00B7107C">
        <w:t>ffi</w:t>
      </w:r>
      <w:r w:rsidRPr="00B7107C">
        <w:t>ce of the Child Advocate</w:t>
      </w:r>
      <w:bookmarkEnd w:id="345"/>
    </w:p>
    <w:p w14:paraId="72443C77" w14:textId="45E96A0B" w:rsidR="00637866" w:rsidRPr="00637866" w:rsidRDefault="00BF5B9D" w:rsidP="00B7107C">
      <w:pPr>
        <w:pStyle w:val="Heading5"/>
      </w:pPr>
      <w:r>
        <w:t xml:space="preserve">1| </w:t>
      </w:r>
      <w:r w:rsidR="00637866" w:rsidRPr="00637866">
        <w:t>Visit, investigate, and report on congregate care facilities.</w:t>
      </w:r>
    </w:p>
    <w:p w14:paraId="52AA3E4A" w14:textId="77777777" w:rsidR="00637866" w:rsidRDefault="00637866" w:rsidP="00637866">
      <w:pPr>
        <w:jc w:val="both"/>
      </w:pPr>
      <w:r w:rsidRPr="00637866">
        <w:t xml:space="preserve">Massachusetts law gives the Child Advocate or their designee access to all facilities operated, licensed, and funded by an executive agency. Massachusetts law also tasks the OCA to “investigate and ensure that the highest quality of services and supports are provided to safeguard the health, safety and well-being of all children receiving services.” In its FY 2023 annual recommendations report, the Commission recommended that OCA play a more active role in providing oversight of congregate care facilities, and in FY 2024 recommended that the OCA implement a plan for visits to congregate care facilities to investigate the policies and practices of each facility. In May and September 2023, the OCA expressed its disagreement with this recommendation and shared that it does not believe that it is statutorily mandated to visit facilities </w:t>
      </w:r>
      <w:proofErr w:type="gramStart"/>
      <w:r w:rsidRPr="00637866">
        <w:t>in order to</w:t>
      </w:r>
      <w:proofErr w:type="gramEnd"/>
      <w:r w:rsidRPr="00637866">
        <w:t xml:space="preserve"> fulﬁll its statutory obligations. In May 2023, the OCA noted that, while it does have such authority, it does not believe that - given there are over 300 programs - investigating every congregate care program would be an eﬀective use of the OCA’s staﬀ time and resources, and could potentially do more harm than good, particularly given the OCA’s commitment to collaboration with state agencies and external pro</w:t>
      </w:r>
      <w:r>
        <w:t>v</w:t>
      </w:r>
      <w:r w:rsidRPr="00637866">
        <w:t>ider organizations.</w:t>
      </w:r>
    </w:p>
    <w:p w14:paraId="3ED08D21" w14:textId="6CBD9099" w:rsidR="00637866" w:rsidRPr="00637866" w:rsidRDefault="00637866" w:rsidP="00637866">
      <w:pPr>
        <w:jc w:val="both"/>
      </w:pPr>
      <w:r w:rsidRPr="00637866">
        <w:t xml:space="preserve">The OCA further noted that, as EEC is responsible for the licensing of residential programs - and part of this process includes regular visits to congregate care facilities - the OCA operates as a secondary layer of oversight and investigate cases through its complaint line, reviews of Critical Incident Reports, and reviews of substantiated reports of abuse or neglect in out-of-home settings. Any concerns relating to youth in speciﬁc programs or facilities is shared with either DCF or </w:t>
      </w:r>
      <w:r w:rsidR="00B443A2" w:rsidRPr="00637866">
        <w:t xml:space="preserve">EEC </w:t>
      </w:r>
      <w:proofErr w:type="gramStart"/>
      <w:r w:rsidR="00B443A2" w:rsidRPr="00637866">
        <w:t>and</w:t>
      </w:r>
      <w:r w:rsidRPr="00637866">
        <w:t xml:space="preserve"> also</w:t>
      </w:r>
      <w:proofErr w:type="gramEnd"/>
      <w:r w:rsidRPr="00637866">
        <w:t xml:space="preserve"> discussed during an OCA-facilitated interagency group. The OCA also noted, in May 2026, that the OCA advocated to EEC to ensure that recently issued regulations for residential programs set clear, updated standards for non-discrimination including regarding sexual orientation and gender identity, required training for staff on serving relevant populations including the LGBTQ+ community, and required consideration of an individual’s LGBTQ status and related needs into intake, treatment, and discharge planning. The Commission continues to </w:t>
      </w:r>
      <w:r w:rsidRPr="00637866">
        <w:lastRenderedPageBreak/>
        <w:t>recommend that the OCA initiates - whether in partnership with DCF and EEC or on its own - investigations into the policies and practices of congregate care facilities. Such investigations should also include compliance with nondiscrimination requirements, LGBTQ cultural competency, and clear intentional engagement with youth to better understand their experiences.</w:t>
      </w:r>
    </w:p>
    <w:p w14:paraId="61C2F40B" w14:textId="77777777" w:rsidR="00637866" w:rsidRPr="00637866" w:rsidRDefault="00637866" w:rsidP="00637866">
      <w:pPr>
        <w:jc w:val="both"/>
      </w:pPr>
      <w:r w:rsidRPr="00637866">
        <w:t xml:space="preserve">Despite the lack of progress on part of this recommendation, the Commission does appreciate the OCA’s current work in meeting some of the </w:t>
      </w:r>
      <w:proofErr w:type="gramStart"/>
      <w:r w:rsidRPr="00637866">
        <w:t>recommendation</w:t>
      </w:r>
      <w:proofErr w:type="gramEnd"/>
      <w:r w:rsidRPr="00637866">
        <w:t xml:space="preserve"> through its youth engagement initiative and outreach campaign. The purpose of the campaign is to educate youth involved with DCF, DMH, DPH, and DYS of their rights, provide information about the OCA Complaint Line, and hear directly from youth about the challenges they are facing. Since 2024, the OCA has launched a poster and brochure distribution project to congregate care settings about its complaint line, communicating expectations that materials be placed in visible and accessible locations for youth. In April 2025, the OCA shared that it had recently begun visiting congregate care settings; during these visits, OCA staﬀ provide information to youth and staﬀ about the OCA’s role and available supports, while also notifying youth of their rights in congregate care settings, speciﬁcally noting that programs cannot discriminate against them </w:t>
      </w:r>
      <w:proofErr w:type="gramStart"/>
      <w:r w:rsidRPr="00637866">
        <w:t>on the basis of</w:t>
      </w:r>
      <w:proofErr w:type="gramEnd"/>
      <w:r w:rsidRPr="00637866">
        <w:t xml:space="preserve"> their gender identity and/or sexual orientation. </w:t>
      </w:r>
    </w:p>
    <w:p w14:paraId="0F1927A9" w14:textId="5742BA42" w:rsidR="00637866" w:rsidRPr="00637866" w:rsidRDefault="00637866" w:rsidP="00637866">
      <w:pPr>
        <w:jc w:val="both"/>
      </w:pPr>
      <w:r w:rsidRPr="00637866">
        <w:t xml:space="preserve">The Commission appreciates that the OCA has incorporated opportunities for youth to meet individually with staﬀ to discuss concerns or ask questions about their care and experiences. The OCA shared that each individual meeting results in case review and follow-up with the appropriate state agency when necessary. Since March 2025, the OCA’s Quality Assurance clinical team has conducted </w:t>
      </w:r>
      <w:r w:rsidR="007D658D" w:rsidRPr="00637866">
        <w:t>twenty-five</w:t>
      </w:r>
      <w:r w:rsidRPr="00637866">
        <w:t xml:space="preserve"> congregate care site visits, meeting with approximately 383 youth in group settings and 127 youth individually. According to the OCA, youth concerns most frequently relate to family visitation, communication with social workers and attorneys, placement quality, permanency planning, educational access, and treatment by program or agency staﬀ. The Commission further appreciates that the OCA has reported tangible outcomes from this work, including advocacy that resulted in adjustments to Foster Care Review scheduling and additional engagement between DCF and OCA leadership to address speciﬁc youth concerns.</w:t>
      </w:r>
    </w:p>
    <w:p w14:paraId="531333D1" w14:textId="77777777" w:rsidR="00637866" w:rsidRPr="00637866" w:rsidRDefault="00637866" w:rsidP="00637866">
      <w:pPr>
        <w:jc w:val="both"/>
      </w:pPr>
      <w:r w:rsidRPr="00637866">
        <w:t>The Commission also recognizes the signiﬁcant increase in youth engagement with the OCA Complaint Line following the launch of this initiative. The OCA reported that youth contacts increased from 2% of Complaint Line contacts in FY 2024 to nearly 9% in FY 2025, including growth in youth independently contacting the OCA outside of congregate care visits. The Commission appreciates the OCA’s continued investment in this work, including the hiring of a Youth Engagement Manager in May 2026 to help expand the initiative’s reach.</w:t>
      </w:r>
    </w:p>
    <w:p w14:paraId="22B7C653" w14:textId="1CBBBAB7" w:rsidR="00637866" w:rsidRPr="00637866" w:rsidRDefault="00BF5B9D" w:rsidP="00B7107C">
      <w:pPr>
        <w:pStyle w:val="Heading5"/>
      </w:pPr>
      <w:r>
        <w:lastRenderedPageBreak/>
        <w:t xml:space="preserve">2| </w:t>
      </w:r>
      <w:r w:rsidR="00637866" w:rsidRPr="00637866">
        <w:t>Conduct a LGBTQ training audit of youth-serving facilities.</w:t>
      </w:r>
    </w:p>
    <w:p w14:paraId="7F40191E" w14:textId="77777777" w:rsidR="00637866" w:rsidRPr="00637866" w:rsidRDefault="00637866" w:rsidP="00637866">
      <w:pPr>
        <w:jc w:val="both"/>
      </w:pPr>
      <w:r w:rsidRPr="00637866">
        <w:t>As referenced in the above recommendation, the Commission recommends that the OCA develop and implement a plan to review whether staﬀ at group homes, residential schools, and other youth-serving facilities are receiving training on LGBTQ cultural engagement and other LGBTQ-related topics. Such reviews should be reported out to the public and include the content covered in the trainings; the OCA should further work with each of these entities to measure the impact and effectiveness of the trainings. </w:t>
      </w:r>
    </w:p>
    <w:p w14:paraId="5910923A" w14:textId="77777777" w:rsidR="00637866" w:rsidRPr="00637866" w:rsidRDefault="00637866" w:rsidP="00637866">
      <w:pPr>
        <w:jc w:val="both"/>
      </w:pPr>
      <w:r w:rsidRPr="00637866">
        <w:t>The Commission appreciates the progress that the OCA has made on this recommendation. In 2024, the OCA launched a comprehensive training audit project evaluating the training requirements and offerings across multiple child-serving agencies, including DMH, DCF, DYS, DPH, and DDS. This nine-month review examined required trainings, frequency, content areas, accountability structures, and provider-level training expectations. The project has resulted in the development of an initial statewide training catalog and has identified opportunities for cross-agency collaboration and shared training efforts.</w:t>
      </w:r>
    </w:p>
    <w:p w14:paraId="6BC69E7F" w14:textId="77777777" w:rsidR="00637866" w:rsidRPr="00637866" w:rsidRDefault="00637866" w:rsidP="00637866">
      <w:pPr>
        <w:jc w:val="both"/>
      </w:pPr>
      <w:r w:rsidRPr="00637866">
        <w:t xml:space="preserve">Importantly, training related to LGBTQ cultural engagement, racial equity, and inclusive practices was included in this review. The OCA has also begun convening a state </w:t>
      </w:r>
      <w:proofErr w:type="gramStart"/>
      <w:r w:rsidRPr="00637866">
        <w:t>agency</w:t>
      </w:r>
      <w:proofErr w:type="gramEnd"/>
      <w:r w:rsidRPr="00637866">
        <w:t xml:space="preserve"> Training &amp; Learning </w:t>
      </w:r>
      <w:proofErr w:type="gramStart"/>
      <w:r w:rsidRPr="00637866">
        <w:t>Collaborative</w:t>
      </w:r>
      <w:proofErr w:type="gramEnd"/>
      <w:r w:rsidRPr="00637866">
        <w:t xml:space="preserve"> to explore coordinated training efforts and shared standards across agencies and providers. The Commission further appreciates that the OCA has shared information about the Commission’s LGBTQ-focused training resources as part of this work. The Commission encourages the OCA to continue to build upon this audit by clearly identifying gaps specific to LGBTQ youth-serving environments - particularly congregate care settings - and by establishing measurable benchmarks for improvement.</w:t>
      </w:r>
    </w:p>
    <w:p w14:paraId="3DBB6FC3" w14:textId="1696C444" w:rsidR="00637866" w:rsidRPr="00637866" w:rsidRDefault="00BF5B9D" w:rsidP="00B7107C">
      <w:pPr>
        <w:pStyle w:val="Heading5"/>
      </w:pPr>
      <w:r>
        <w:t xml:space="preserve">3| </w:t>
      </w:r>
      <w:r w:rsidR="00637866" w:rsidRPr="00637866">
        <w:t xml:space="preserve">Develop a strategic plan for LGBTQ youth </w:t>
      </w:r>
      <w:proofErr w:type="gramStart"/>
      <w:r w:rsidR="00637866" w:rsidRPr="00637866">
        <w:t>outreach, and</w:t>
      </w:r>
      <w:proofErr w:type="gramEnd"/>
      <w:r w:rsidR="00637866" w:rsidRPr="00637866">
        <w:t xml:space="preserve"> ensure meaningful LGBTQ community participation in all projects and initiatives.</w:t>
      </w:r>
    </w:p>
    <w:p w14:paraId="5ABB6EF8" w14:textId="77777777" w:rsidR="00637866" w:rsidRPr="00637866" w:rsidRDefault="00637866" w:rsidP="00637866">
      <w:pPr>
        <w:jc w:val="both"/>
      </w:pPr>
      <w:r w:rsidRPr="00637866">
        <w:t>The Commission recommends that the OCA develop an equity-focused strategic plan that highlights its commitment to building sustained connections with LGBTQ youth and community organizations. In the current hostile sociopolitical climate, LGBTQ youth require visible and consistent support from child-serving agencies more than ever before. The Commission further recommends that the OCA continue to improve its attention to the inclusion of LGBTQ youth in its public aﬀairs work, particularly via public statements, social media, and events or programming. While the Commission understands that the OCA has limited capacity, it is critical that an agency representing the well-being of young people is transparent and attentive to the intersectional identities that youth hold.</w:t>
      </w:r>
    </w:p>
    <w:p w14:paraId="639D05D8" w14:textId="77777777" w:rsidR="00637866" w:rsidRPr="00637866" w:rsidRDefault="00637866" w:rsidP="00637866">
      <w:pPr>
        <w:jc w:val="both"/>
      </w:pPr>
      <w:r w:rsidRPr="00637866">
        <w:lastRenderedPageBreak/>
        <w:t>The Commission recognizes that the OCA has taken steps toward strengthening youth engagement. In May 2026, OCA hired a Youth Engagement Manager to expand the reach of the OCA’s Youth Engagement Initiative (highlighted above). The creation of this role represents an important structural commitment to sustained and strategic youth engagement. Through its engagement with congregate care settings to share information about the OCA with youth, the OCA shared with the Commission that it has begun identifying recurring themes in youth experiences, including feelings of isolation; inconsistent communication from lawyers and social workers; and limited understanding among youth of their rights to participate meaningfully in foster care review and other case planning processes. The Commission understands that the OCA anticipates issuing a mini-report to summarize these themes with the hopes of releasing the report in FY 2027.</w:t>
      </w:r>
    </w:p>
    <w:p w14:paraId="19F622F0" w14:textId="77777777" w:rsidR="00637866" w:rsidRPr="00637866" w:rsidRDefault="00637866" w:rsidP="00637866">
      <w:pPr>
        <w:jc w:val="both"/>
      </w:pPr>
      <w:r w:rsidRPr="00637866">
        <w:t>Additionally, the OCA has recently launched a process to host compensated structured interviews with transition-aged youth in partnership with youth organizations across the state. The Commission believes that this initiative presents an important opportunity to deepen understanding of transition experiences and to identify systemic improvements. The Commission encourages the OCA to ensure that findings from these conversations are publicly shared and meaningfully integrated into policy recommendations.</w:t>
      </w:r>
    </w:p>
    <w:p w14:paraId="12A70125" w14:textId="77777777" w:rsidR="00637866" w:rsidRPr="00637866" w:rsidRDefault="00637866" w:rsidP="00637866">
      <w:pPr>
        <w:jc w:val="both"/>
      </w:pPr>
      <w:r w:rsidRPr="00637866">
        <w:t xml:space="preserve">Meaningful and transparent engagement for LGBTQ youth in state projects and initiatives is essential for eﬀective policy and program reform. Far too often, particularly </w:t>
      </w:r>
      <w:proofErr w:type="gramStart"/>
      <w:r w:rsidRPr="00637866">
        <w:t>in regard to</w:t>
      </w:r>
      <w:proofErr w:type="gramEnd"/>
      <w:r w:rsidRPr="00637866">
        <w:t xml:space="preserve"> state initiatives, marginalized youth are tokenized or left out entirely. For youth-serving agencies, it is essential to involve youth in paid opportunities to oﬀer expertise and skills development opportunities on programming, outreach campaigns, policy development, and research input/design. The Commission recommends that the OCA proactively improve its connections to LGBTQ community organizations and LGBTQ youth, particularly given the agency’s intent to solicit more usage of its Complaint Line and other projects. Without building relationships and trust with LGBTQ youth, it is unlikely that any agency will eﬀectively engage youth in a way that provides real feedback for their initiatives. While the OCA agrees with this recommendation, it has previously noted in past communications with the Commission that it has sought feedback in the past from GLAD Law, as well as collaborated with the Commission on various projects. However, more proactive relationship-building with LGBTQ youth-serving organizations across the Commonwealth can only help strengthen the OCA’s work.</w:t>
      </w:r>
    </w:p>
    <w:p w14:paraId="2BE3A582" w14:textId="4FCFE307" w:rsidR="00637866" w:rsidRPr="00637866" w:rsidRDefault="00BF5B9D" w:rsidP="00B7107C">
      <w:pPr>
        <w:pStyle w:val="Heading5"/>
      </w:pPr>
      <w:r>
        <w:t xml:space="preserve">4| </w:t>
      </w:r>
      <w:r w:rsidR="00637866" w:rsidRPr="00637866">
        <w:t>Address the needs of LGBTQ transition-aged youth.</w:t>
      </w:r>
    </w:p>
    <w:p w14:paraId="5751477D" w14:textId="77777777" w:rsidR="00637866" w:rsidRPr="00637866" w:rsidRDefault="00637866" w:rsidP="00637866">
      <w:pPr>
        <w:jc w:val="both"/>
      </w:pPr>
      <w:r w:rsidRPr="00637866">
        <w:t xml:space="preserve">The Commission appreciates the OCA’s acknowledgment that significant work remains to address the disparate experiences of LGBTQ transition-aged youth. For several years, the Commission has identified barriers for LGBTQ transition-aged youth including incorrect identity documentation, </w:t>
      </w:r>
      <w:r w:rsidRPr="00637866">
        <w:lastRenderedPageBreak/>
        <w:t>employment discrimination, lack of affirming housing, and service fragmentation. The recently launched structured TAY conversations, conducted in partnership with community-based organizations, represent a meaningful step toward elevating youth voice in this space. Additionally, in 2024 the OCA shared that it has begun working on a project to identify services and resources available to transition-aged youth, how these services are funded, and understanding how to communicate funding needs to state leadership to better allocate funds to struggling programs. This resulted in the release of what the OCA called a “TAY Budget” and will also inform the OCA’s future work in this area. The Commission encourages the OCA to clearly articulate to the public how insights from these interviews will inform future policy and budget advocacy.</w:t>
      </w:r>
    </w:p>
    <w:p w14:paraId="64306963" w14:textId="58AE4801" w:rsidR="00637866" w:rsidRPr="00637866" w:rsidRDefault="00BF5B9D" w:rsidP="00B7107C">
      <w:pPr>
        <w:pStyle w:val="Heading5"/>
      </w:pPr>
      <w:r>
        <w:t xml:space="preserve">5| </w:t>
      </w:r>
      <w:r w:rsidR="00637866" w:rsidRPr="00637866">
        <w:t xml:space="preserve">Continue to report on available SOGI </w:t>
      </w:r>
      <w:r w:rsidR="00B443A2" w:rsidRPr="00637866">
        <w:t>data and</w:t>
      </w:r>
      <w:r w:rsidR="00637866" w:rsidRPr="00637866">
        <w:t xml:space="preserve"> collaborate with child-serving agencies on consistent reporting and intersectional data analysis.</w:t>
      </w:r>
    </w:p>
    <w:p w14:paraId="3047F925" w14:textId="77777777" w:rsidR="00637866" w:rsidRPr="00637866" w:rsidRDefault="00637866" w:rsidP="00637866">
      <w:pPr>
        <w:jc w:val="both"/>
      </w:pPr>
      <w:r w:rsidRPr="00637866">
        <w:t>The Commission recognizes the OCA’s limitations regarding data access but appreciates its recent efforts to strengthen demographic and risk factor data collection. Following a complete database overhaul, the OCA has expanded its ability to collect and analyze SOGI data and other compounding factors and included such data in its FY24 Annual Report.</w:t>
      </w:r>
    </w:p>
    <w:p w14:paraId="542DD5C9" w14:textId="77777777" w:rsidR="00637866" w:rsidRPr="00637866" w:rsidRDefault="00637866" w:rsidP="00637866">
      <w:pPr>
        <w:jc w:val="both"/>
      </w:pPr>
      <w:r w:rsidRPr="00637866">
        <w:t>As more agencies improve SOGI data collection practices, the Commission recommends that the OCA adopt a more intentional approach to intersectional analysis, while balancing confidentiality concerns in small populations. Continued collaboration with agencies and advisory bodies - including the JJPAD and the Childhood Trauma Task Force - remains critical to addressing longstanding research gaps affecting dually involved youth.</w:t>
      </w:r>
    </w:p>
    <w:p w14:paraId="7D6F5596" w14:textId="11ACA057" w:rsidR="00637866" w:rsidRPr="00637866" w:rsidRDefault="00BF5B9D" w:rsidP="00B7107C">
      <w:pPr>
        <w:pStyle w:val="Heading5"/>
      </w:pPr>
      <w:r>
        <w:t xml:space="preserve">6| </w:t>
      </w:r>
      <w:r w:rsidR="00637866" w:rsidRPr="00637866">
        <w:t>Increase public reporting on the experiences, safety, and affirmation of youth in residential schools.</w:t>
      </w:r>
    </w:p>
    <w:p w14:paraId="333345F7" w14:textId="77777777" w:rsidR="00637866" w:rsidRPr="00637866" w:rsidRDefault="00637866" w:rsidP="00637866">
      <w:pPr>
        <w:jc w:val="both"/>
      </w:pPr>
      <w:r w:rsidRPr="00637866">
        <w:t>Very little publicly available information exists regarding the experiences of LGBTQ youth in residential schools in Massachusetts, particularly whether youth feel safe, supported, and affirmed within these educational and residential settings. In 2017, the Office of the Child Advocate released a report, “Residential Schools: Review and Recommendations to Improve Oversight and Monitoring,” following concerns regarding abuse, neglect, oversight, and coordination across residential programs. As part of this effort, the OCA convened an Interagency Working Group composed of agencies responsible for residential school oversight, including EEC, DESE, DCF, DMH, and the Disabled Persons Protection Commission (DPPC), with guidance from a Steering Committee that included leadership from the EOE, EOHHS, and the Governor’s Office. However, there has been no additional reporting since 2017.</w:t>
      </w:r>
    </w:p>
    <w:p w14:paraId="510FF2EA" w14:textId="11EDC41F" w:rsidR="00637866" w:rsidRPr="00637866" w:rsidRDefault="00637866" w:rsidP="00637866">
      <w:pPr>
        <w:jc w:val="both"/>
      </w:pPr>
      <w:r w:rsidRPr="00637866">
        <w:lastRenderedPageBreak/>
        <w:t xml:space="preserve">In FY 2024, the OCA shared that its interagency meetings with DMH, EOE, EEC, DESE, and DCF typically act as information-sharing sessions to identify concerns with specific residential schools or broader system-wide trends, ensure agencies understand those concerns, and coordinate </w:t>
      </w:r>
      <w:r w:rsidR="007D658D" w:rsidRPr="00637866">
        <w:t>responses,</w:t>
      </w:r>
      <w:r w:rsidRPr="00637866">
        <w:t xml:space="preserve"> as necessary. As these efforts continue, the Commission recommends that the OCA and partner agencies release a more up-to-date report on the experiences of youth in residential schools, including issues related to school climate, safety, affirming practices, and systemic gaps in oversight and service provision, such as the quality of educational services provided to youth in residential placements, outcomes for youth with Individualized Education Programs (IEPs), and graduation rates. The report should also integrate the experiences of LGBTQ youth. The Commission further recommends that the Working Group should provide more transparent and consistent public updates regarding interagency efforts and progress toward improving conditions and accountability within residential programs.</w:t>
      </w:r>
    </w:p>
    <w:p w14:paraId="6BE6E135" w14:textId="6FEE58D3" w:rsidR="00637866" w:rsidRPr="00637866" w:rsidRDefault="00BF5B9D" w:rsidP="00B7107C">
      <w:pPr>
        <w:pStyle w:val="Heading5"/>
      </w:pPr>
      <w:r>
        <w:t xml:space="preserve">7| </w:t>
      </w:r>
      <w:r w:rsidR="00637866" w:rsidRPr="00637866">
        <w:t>Continue to identify opportunities to address suicidality among LGBTQ youth.</w:t>
      </w:r>
    </w:p>
    <w:p w14:paraId="177F204A" w14:textId="160E9AE9" w:rsidR="00637866" w:rsidRPr="00637866" w:rsidRDefault="00637866" w:rsidP="00637866">
      <w:pPr>
        <w:jc w:val="both"/>
      </w:pPr>
      <w:r w:rsidRPr="00637866">
        <w:t>In its 2020 report on youth suicides in Massachusetts, the agency noted that there is little data available capturing suicidality rates among youth involved in Massachusetts state systems, though national data indicates that youth in state systems are more than three times as likely to commit suicide. The Commission encourages collaboration between the OCA and the DPH Youth Suicide Prevention Task Force to strengthen data collection, improve cross-system information sharing, and develop targeted prevention strategies for LGBTQ youth.</w:t>
      </w:r>
    </w:p>
    <w:p w14:paraId="03067D2B" w14:textId="77777777" w:rsidR="00637866" w:rsidRPr="00E44F63" w:rsidRDefault="00637866" w:rsidP="00637866">
      <w:pPr>
        <w:jc w:val="both"/>
        <w:rPr>
          <w:rStyle w:val="SubtleReference"/>
          <w:color w:val="864EA8" w:themeColor="accent1" w:themeShade="BF"/>
        </w:rPr>
      </w:pPr>
      <w:r w:rsidRPr="00E44F63">
        <w:rPr>
          <w:rStyle w:val="SubtleReference"/>
          <w:color w:val="864EA8" w:themeColor="accent1" w:themeShade="BF"/>
        </w:rPr>
        <w:t>Acknowledgments: The Commission sincerely appreciates the contributions of its OCA liaisons.</w:t>
      </w:r>
    </w:p>
    <w:p w14:paraId="3D7B77E0" w14:textId="77777777" w:rsidR="005B2F7E" w:rsidRPr="005B2F7E" w:rsidRDefault="005B2F7E" w:rsidP="005B2F7E">
      <w:pPr>
        <w:jc w:val="both"/>
      </w:pPr>
    </w:p>
    <w:p w14:paraId="5AC96061" w14:textId="6121C563" w:rsidR="009D70D2" w:rsidRDefault="009D70D2">
      <w:r>
        <w:br w:type="page"/>
      </w:r>
    </w:p>
    <w:p w14:paraId="3D00B68F" w14:textId="77777777" w:rsidR="004326F8" w:rsidRPr="00E32BC3" w:rsidRDefault="004326F8" w:rsidP="004326F8">
      <w:pPr>
        <w:pStyle w:val="Heading1"/>
        <w:spacing w:after="240"/>
      </w:pPr>
      <w:bookmarkStart w:id="346" w:name="_Toc230355512"/>
      <w:r w:rsidRPr="00E32BC3">
        <w:lastRenderedPageBreak/>
        <w:t>Glossary – Appendix A</w:t>
      </w:r>
      <w:bookmarkEnd w:id="346"/>
    </w:p>
    <w:p w14:paraId="23B4698B" w14:textId="77777777" w:rsidR="004326F8" w:rsidRDefault="004326F8" w:rsidP="004326F8">
      <w:pPr>
        <w:spacing w:after="120" w:line="240" w:lineRule="auto"/>
        <w:rPr>
          <w:b/>
          <w:bCs/>
          <w:sz w:val="22"/>
          <w:szCs w:val="22"/>
        </w:rPr>
        <w:sectPr w:rsidR="004326F8" w:rsidSect="008304B3">
          <w:headerReference w:type="default" r:id="rId64"/>
          <w:footerReference w:type="default" r:id="rId65"/>
          <w:endnotePr>
            <w:numFmt w:val="decimal"/>
          </w:endnotePr>
          <w:pgSz w:w="12240" w:h="15840" w:code="1"/>
          <w:pgMar w:top="1440" w:right="1440" w:bottom="1350" w:left="1440" w:header="288" w:footer="720" w:gutter="0"/>
          <w:cols w:space="720"/>
          <w:docGrid w:linePitch="360"/>
        </w:sectPr>
      </w:pPr>
    </w:p>
    <w:p w14:paraId="5F686902" w14:textId="5D61BAE6" w:rsidR="004326F8" w:rsidRPr="00E32BC3" w:rsidRDefault="004326F8" w:rsidP="006718B1">
      <w:pPr>
        <w:spacing w:after="0" w:line="240" w:lineRule="auto"/>
        <w:rPr>
          <w:sz w:val="22"/>
          <w:szCs w:val="22"/>
        </w:rPr>
      </w:pPr>
      <w:r w:rsidRPr="004326F8">
        <w:rPr>
          <w:rStyle w:val="IntenseEmphasis"/>
        </w:rPr>
        <w:t>Agender</w:t>
      </w:r>
      <w:r w:rsidRPr="00E32BC3">
        <w:rPr>
          <w:sz w:val="22"/>
          <w:szCs w:val="22"/>
        </w:rPr>
        <w:t>: literally “without gender</w:t>
      </w:r>
      <w:r w:rsidR="007D658D" w:rsidRPr="00E32BC3">
        <w:rPr>
          <w:sz w:val="22"/>
          <w:szCs w:val="22"/>
        </w:rPr>
        <w:t>;”</w:t>
      </w:r>
      <w:r w:rsidRPr="00E32BC3">
        <w:rPr>
          <w:sz w:val="22"/>
          <w:szCs w:val="22"/>
        </w:rPr>
        <w:t xml:space="preserve"> used by people who understand themselves as genderless, gender neutral, unaligned with a specific gender, and/or having a gender that defies terminology</w:t>
      </w:r>
    </w:p>
    <w:p w14:paraId="4391627E" w14:textId="77777777" w:rsidR="004326F8" w:rsidRPr="00E32BC3" w:rsidRDefault="004326F8" w:rsidP="006718B1">
      <w:pPr>
        <w:spacing w:after="0" w:line="240" w:lineRule="auto"/>
        <w:rPr>
          <w:sz w:val="22"/>
          <w:szCs w:val="22"/>
        </w:rPr>
      </w:pPr>
      <w:r w:rsidRPr="004326F8">
        <w:rPr>
          <w:rStyle w:val="IntenseEmphasis"/>
        </w:rPr>
        <w:t>Asexual/aromantic/Ace</w:t>
      </w:r>
      <w:r w:rsidRPr="00E32BC3">
        <w:rPr>
          <w:sz w:val="22"/>
          <w:szCs w:val="22"/>
        </w:rPr>
        <w:t>: an umbrella term used to describe a spectrum of identities characterized by having little or no interest in sex, and/or little or no interest in romantic relationships.</w:t>
      </w:r>
    </w:p>
    <w:p w14:paraId="3B7C63C6" w14:textId="65C3957F" w:rsidR="004326F8" w:rsidRPr="00E32BC3" w:rsidRDefault="004326F8" w:rsidP="006718B1">
      <w:pPr>
        <w:spacing w:after="0" w:line="240" w:lineRule="auto"/>
        <w:rPr>
          <w:sz w:val="22"/>
          <w:szCs w:val="22"/>
        </w:rPr>
      </w:pPr>
      <w:r w:rsidRPr="004326F8">
        <w:rPr>
          <w:rStyle w:val="IntenseEmphasis"/>
        </w:rPr>
        <w:t>Assigned sex/sex assigned at birth:</w:t>
      </w:r>
      <w:r w:rsidRPr="00E32BC3">
        <w:rPr>
          <w:sz w:val="22"/>
          <w:szCs w:val="22"/>
        </w:rPr>
        <w:t xml:space="preserve"> the sex designation (</w:t>
      </w:r>
      <w:r w:rsidR="007D658D" w:rsidRPr="00E32BC3">
        <w:rPr>
          <w:sz w:val="22"/>
          <w:szCs w:val="22"/>
        </w:rPr>
        <w:t>e.g.,</w:t>
      </w:r>
      <w:r w:rsidRPr="00E32BC3">
        <w:rPr>
          <w:sz w:val="22"/>
          <w:szCs w:val="22"/>
        </w:rPr>
        <w:t xml:space="preserve"> “male” or “female”) assigned to an individual at birth, usually based on anatomy and recorded on a birth certificate. This is also referred to as sex assigned at birth, birth sex, and/or sex recorded at birth. Some individuals may opt to change the sex assigned to them on their birth certificate to better reflect their gender identity.</w:t>
      </w:r>
    </w:p>
    <w:p w14:paraId="2E0C8144" w14:textId="77777777" w:rsidR="004326F8" w:rsidRPr="00E32BC3" w:rsidRDefault="004326F8" w:rsidP="006718B1">
      <w:pPr>
        <w:spacing w:after="0" w:line="240" w:lineRule="auto"/>
        <w:rPr>
          <w:sz w:val="22"/>
          <w:szCs w:val="22"/>
        </w:rPr>
      </w:pPr>
      <w:r w:rsidRPr="004326F8">
        <w:rPr>
          <w:rStyle w:val="IntenseEmphasis"/>
        </w:rPr>
        <w:t>Binary sex/gender system:</w:t>
      </w:r>
      <w:r w:rsidRPr="00E32BC3">
        <w:rPr>
          <w:sz w:val="22"/>
          <w:szCs w:val="22"/>
        </w:rPr>
        <w:t xml:space="preserve"> the idea that there are only two sexes/genders (male and female, or masculine and feminine) and that they are distinct, opposite forms of each other. This view is increasingly being challenged by the idea that both sex and gender are social constructions that operate along continuums, are fluid, and not necessarily congruent.</w:t>
      </w:r>
    </w:p>
    <w:p w14:paraId="30C7DB7B" w14:textId="77777777" w:rsidR="004326F8" w:rsidRPr="00E32BC3" w:rsidRDefault="004326F8" w:rsidP="006718B1">
      <w:pPr>
        <w:spacing w:after="0" w:line="240" w:lineRule="auto"/>
        <w:rPr>
          <w:sz w:val="22"/>
          <w:szCs w:val="22"/>
        </w:rPr>
      </w:pPr>
      <w:r w:rsidRPr="004326F8">
        <w:rPr>
          <w:rStyle w:val="IntenseEmphasis"/>
        </w:rPr>
        <w:t>Bisexual</w:t>
      </w:r>
      <w:r w:rsidRPr="00E32BC3">
        <w:rPr>
          <w:sz w:val="22"/>
          <w:szCs w:val="22"/>
        </w:rPr>
        <w:t>: a person who identifies as having an emotional, sexual, spiritual, and/or relational attraction to people of more than one gender.</w:t>
      </w:r>
    </w:p>
    <w:p w14:paraId="7E3BC5FC" w14:textId="68B96AAE" w:rsidR="004326F8" w:rsidRPr="00E32BC3" w:rsidRDefault="004326F8" w:rsidP="006718B1">
      <w:pPr>
        <w:spacing w:after="0" w:line="240" w:lineRule="auto"/>
        <w:rPr>
          <w:sz w:val="22"/>
          <w:szCs w:val="22"/>
        </w:rPr>
      </w:pPr>
      <w:r w:rsidRPr="004326F8">
        <w:rPr>
          <w:rStyle w:val="IntenseEmphasis"/>
        </w:rPr>
        <w:t>Cisgender</w:t>
      </w:r>
      <w:r w:rsidRPr="00E32BC3">
        <w:rPr>
          <w:sz w:val="22"/>
          <w:szCs w:val="22"/>
        </w:rPr>
        <w:t xml:space="preserve">: a term used for someone whose gender identity matches their sex assigned at birth, </w:t>
      </w:r>
      <w:r w:rsidR="007D658D" w:rsidRPr="00E32BC3">
        <w:rPr>
          <w:sz w:val="22"/>
          <w:szCs w:val="22"/>
        </w:rPr>
        <w:t>i.e.,</w:t>
      </w:r>
      <w:r w:rsidRPr="00E32BC3">
        <w:rPr>
          <w:sz w:val="22"/>
          <w:szCs w:val="22"/>
        </w:rPr>
        <w:t xml:space="preserve"> who is not transgender or gender expansive.</w:t>
      </w:r>
    </w:p>
    <w:p w14:paraId="56275F9D" w14:textId="77777777" w:rsidR="004326F8" w:rsidRPr="00E32BC3" w:rsidRDefault="004326F8" w:rsidP="006718B1">
      <w:pPr>
        <w:spacing w:after="0" w:line="240" w:lineRule="auto"/>
        <w:rPr>
          <w:sz w:val="22"/>
          <w:szCs w:val="22"/>
        </w:rPr>
      </w:pPr>
      <w:r w:rsidRPr="004326F8">
        <w:rPr>
          <w:rStyle w:val="IntenseEmphasis"/>
        </w:rPr>
        <w:t>Cisnormativity:</w:t>
      </w:r>
      <w:r w:rsidRPr="00E32BC3">
        <w:rPr>
          <w:sz w:val="22"/>
          <w:szCs w:val="22"/>
        </w:rPr>
        <w:t xml:space="preserve"> Cisnormativity refers to the societal assumption that gender identity and assigned sex at birth align for most people, and that cisgender identities are the norm or default. Cisnormativity reinforces the gender binary and traditional gender roles, with the </w:t>
      </w:r>
      <w:r w:rsidRPr="00E32BC3">
        <w:rPr>
          <w:sz w:val="22"/>
          <w:szCs w:val="22"/>
        </w:rPr>
        <w:t>assumption that individuals are either male or female based on their assigned sex at birth. Cisnormativity operates through various forms of discrimination, including but not limited to, exclusion from social and political power, lack of legal protections, and limited access to healthcare.</w:t>
      </w:r>
    </w:p>
    <w:p w14:paraId="3F8BE8AC" w14:textId="77777777" w:rsidR="004326F8" w:rsidRPr="00E32BC3" w:rsidRDefault="004326F8" w:rsidP="006718B1">
      <w:pPr>
        <w:spacing w:after="0" w:line="240" w:lineRule="auto"/>
        <w:rPr>
          <w:sz w:val="22"/>
          <w:szCs w:val="22"/>
        </w:rPr>
      </w:pPr>
      <w:r w:rsidRPr="004326F8">
        <w:rPr>
          <w:rStyle w:val="IntenseEmphasis"/>
        </w:rPr>
        <w:t>Cissexism:</w:t>
      </w:r>
      <w:r w:rsidRPr="00E32BC3">
        <w:rPr>
          <w:sz w:val="22"/>
          <w:szCs w:val="22"/>
        </w:rPr>
        <w:t xml:space="preserve"> Cissexism refers to the systemic and individual practices that privilege and center cisgender individuals and experiences, while marginalizing and devaluing transgender and gender non- conforming individuals. Cissexism operates through various forms of discrimination, including but not limited to, exclusion from social and political power, lack of legal protections, and limited access to healthcare. Cissexism reinforces gender binary norms, assumptions, and expectations, and contributes to the perpetuation of transphobia and discrimination against transgender and gender non- conforming individuals.</w:t>
      </w:r>
    </w:p>
    <w:p w14:paraId="7569D1C4" w14:textId="77777777" w:rsidR="004326F8" w:rsidRPr="00E32BC3" w:rsidRDefault="004326F8" w:rsidP="006718B1">
      <w:pPr>
        <w:spacing w:after="0" w:line="240" w:lineRule="auto"/>
        <w:rPr>
          <w:sz w:val="22"/>
          <w:szCs w:val="22"/>
        </w:rPr>
      </w:pPr>
      <w:r w:rsidRPr="004326F8">
        <w:rPr>
          <w:rStyle w:val="IntenseEmphasis"/>
        </w:rPr>
        <w:t>Consent:</w:t>
      </w:r>
      <w:r w:rsidRPr="00E32BC3">
        <w:rPr>
          <w:sz w:val="22"/>
          <w:szCs w:val="22"/>
        </w:rPr>
        <w:t xml:space="preserve"> In a sexual context, consent means an agreement to participate in sexual activity by lawful adults. Consent must be freely given, meaning it was not obtained by force or coercion, under the influence of drugs or alcohol, or while unconscious or incapacitated, and must be fully informed. Consent also must be specific and reversible, so it only applies to activities that are wanted at the time they occur. Some models of consent require that it also be both explicit and enthusiastic. All sexual activities, not just heterosexual sex or sex involving intercourse, can be characterized as consensual or not.</w:t>
      </w:r>
    </w:p>
    <w:p w14:paraId="77A150C0" w14:textId="77777777" w:rsidR="004326F8" w:rsidRPr="00E32BC3" w:rsidRDefault="004326F8" w:rsidP="006718B1">
      <w:pPr>
        <w:spacing w:after="0" w:line="240" w:lineRule="auto"/>
        <w:rPr>
          <w:sz w:val="22"/>
          <w:szCs w:val="22"/>
        </w:rPr>
      </w:pPr>
      <w:r w:rsidRPr="004326F8">
        <w:rPr>
          <w:rStyle w:val="IntenseEmphasis"/>
        </w:rPr>
        <w:t>Deadnaming:</w:t>
      </w:r>
      <w:r w:rsidRPr="00E32BC3">
        <w:rPr>
          <w:sz w:val="22"/>
          <w:szCs w:val="22"/>
        </w:rPr>
        <w:t xml:space="preserve"> Deadnaming refers to the act of referring to a transgender individual by their former or birth name, rather than their chosen name that reflects their gender identity. Deadnaming is a form of disrespect and invalidation of an individual's gender identity and can be emotionally harmful.</w:t>
      </w:r>
    </w:p>
    <w:p w14:paraId="02A3BC08" w14:textId="77777777" w:rsidR="004326F8" w:rsidRPr="00E32BC3" w:rsidRDefault="004326F8" w:rsidP="006718B1">
      <w:pPr>
        <w:spacing w:after="0" w:line="240" w:lineRule="auto"/>
        <w:rPr>
          <w:sz w:val="22"/>
          <w:szCs w:val="22"/>
        </w:rPr>
      </w:pPr>
      <w:r w:rsidRPr="004326F8">
        <w:rPr>
          <w:rStyle w:val="IntenseEmphasis"/>
        </w:rPr>
        <w:lastRenderedPageBreak/>
        <w:t>Demisexual:</w:t>
      </w:r>
      <w:r w:rsidRPr="00E32BC3">
        <w:rPr>
          <w:sz w:val="22"/>
          <w:szCs w:val="22"/>
        </w:rPr>
        <w:t xml:space="preserve"> an individual experiences sexual attraction only after forming a strong emotional connection with someone.</w:t>
      </w:r>
    </w:p>
    <w:p w14:paraId="5E713022" w14:textId="6160CE8C" w:rsidR="004326F8" w:rsidRPr="00E32BC3" w:rsidRDefault="004326F8" w:rsidP="006718B1">
      <w:pPr>
        <w:spacing w:after="0" w:line="240" w:lineRule="auto"/>
        <w:rPr>
          <w:sz w:val="22"/>
          <w:szCs w:val="22"/>
        </w:rPr>
      </w:pPr>
      <w:r w:rsidRPr="004326F8">
        <w:rPr>
          <w:rStyle w:val="IntenseEmphasis"/>
        </w:rPr>
        <w:t>First-generation</w:t>
      </w:r>
      <w:r>
        <w:rPr>
          <w:rStyle w:val="IntenseEmphasis"/>
        </w:rPr>
        <w:t xml:space="preserve"> </w:t>
      </w:r>
      <w:r w:rsidRPr="004326F8">
        <w:rPr>
          <w:rStyle w:val="IntenseEmphasis"/>
        </w:rPr>
        <w:t>immigrant</w:t>
      </w:r>
      <w:r>
        <w:rPr>
          <w:rStyle w:val="IntenseEmphasis"/>
        </w:rPr>
        <w:t xml:space="preserve"> </w:t>
      </w:r>
      <w:r w:rsidRPr="004326F8">
        <w:rPr>
          <w:rStyle w:val="IntenseEmphasis"/>
        </w:rPr>
        <w:t>youth</w:t>
      </w:r>
      <w:r w:rsidRPr="00E32BC3">
        <w:rPr>
          <w:sz w:val="22"/>
          <w:szCs w:val="22"/>
        </w:rPr>
        <w:t>: First-generation immigrants are the first foreign-born family members to gain citizenship or permanent residency in the country.</w:t>
      </w:r>
    </w:p>
    <w:p w14:paraId="37506F28" w14:textId="720D84D0" w:rsidR="004326F8" w:rsidRPr="00E32BC3" w:rsidRDefault="004326F8" w:rsidP="006718B1">
      <w:pPr>
        <w:spacing w:after="0" w:line="240" w:lineRule="auto"/>
        <w:rPr>
          <w:sz w:val="22"/>
          <w:szCs w:val="22"/>
        </w:rPr>
      </w:pPr>
      <w:r w:rsidRPr="004326F8">
        <w:rPr>
          <w:rStyle w:val="IntenseEmphasis"/>
        </w:rPr>
        <w:t>Foreign-born youth</w:t>
      </w:r>
      <w:r w:rsidRPr="00E32BC3">
        <w:rPr>
          <w:sz w:val="22"/>
          <w:szCs w:val="22"/>
        </w:rPr>
        <w:t xml:space="preserve">: a group of youth including naturalized U.S. citizens, lawful permanent residents, refugees, asylees, legal nonimmigrants (holders of temporary visas), and those who are </w:t>
      </w:r>
      <w:r w:rsidR="00B443A2" w:rsidRPr="00E32BC3">
        <w:rPr>
          <w:sz w:val="22"/>
          <w:szCs w:val="22"/>
        </w:rPr>
        <w:t>undocumented.</w:t>
      </w:r>
    </w:p>
    <w:p w14:paraId="23C5241B" w14:textId="77777777" w:rsidR="004326F8" w:rsidRPr="00E32BC3" w:rsidRDefault="004326F8" w:rsidP="006718B1">
      <w:pPr>
        <w:spacing w:after="0" w:line="240" w:lineRule="auto"/>
        <w:rPr>
          <w:sz w:val="22"/>
          <w:szCs w:val="22"/>
        </w:rPr>
      </w:pPr>
      <w:r w:rsidRPr="004326F8">
        <w:rPr>
          <w:rStyle w:val="IntenseEmphasis"/>
        </w:rPr>
        <w:t>Gay</w:t>
      </w:r>
      <w:r w:rsidRPr="00E32BC3">
        <w:rPr>
          <w:sz w:val="22"/>
          <w:szCs w:val="22"/>
        </w:rPr>
        <w:t>: an overarching term to refer to a broad array of sexual orientation identities other than heterosexual. Can also refer more specifically to the identity of attraction to others of the same gender.</w:t>
      </w:r>
    </w:p>
    <w:p w14:paraId="5D06D9BA" w14:textId="77777777" w:rsidR="004326F8" w:rsidRPr="00E32BC3" w:rsidRDefault="004326F8" w:rsidP="006718B1">
      <w:pPr>
        <w:spacing w:after="0" w:line="240" w:lineRule="auto"/>
        <w:rPr>
          <w:sz w:val="22"/>
          <w:szCs w:val="22"/>
        </w:rPr>
      </w:pPr>
      <w:r w:rsidRPr="004326F8">
        <w:rPr>
          <w:rStyle w:val="IntenseEmphasis"/>
        </w:rPr>
        <w:t>Gender diverse</w:t>
      </w:r>
      <w:r w:rsidRPr="00E32BC3">
        <w:rPr>
          <w:sz w:val="22"/>
          <w:szCs w:val="22"/>
        </w:rPr>
        <w:t>: a broad term describing gender identities, expressions, or experiences that differ from traditional cultural understandings of gender. It includes individuals who may identify as nonbinary, genderqueer, genderfluid, transgender, or otherwise outside of conventional gender norms. Gender diverse individuals may express their gender in a variety of ways, and their experiences may be shaped by intersecting identities, such as race, ethnicity, class, and disability.</w:t>
      </w:r>
    </w:p>
    <w:p w14:paraId="6ADB9E11" w14:textId="77777777" w:rsidR="004326F8" w:rsidRPr="00E32BC3" w:rsidRDefault="004326F8" w:rsidP="006718B1">
      <w:pPr>
        <w:spacing w:after="0" w:line="240" w:lineRule="auto"/>
        <w:rPr>
          <w:sz w:val="22"/>
          <w:szCs w:val="22"/>
        </w:rPr>
      </w:pPr>
      <w:r w:rsidRPr="004326F8">
        <w:rPr>
          <w:rStyle w:val="IntenseEmphasis"/>
        </w:rPr>
        <w:t>Gender dysphoria</w:t>
      </w:r>
      <w:r w:rsidRPr="00E32BC3">
        <w:rPr>
          <w:sz w:val="22"/>
          <w:szCs w:val="22"/>
        </w:rPr>
        <w:t>: a clinical term used in the Diagnostic and Statistical manual of Mental Disorders (DSM-5) to describe significant distress that may arise from an incongruence between a person’s gender identity and their sex assigned at birth. Not all transgender or gender expansive people experience gender dysphoria and being transgender or gender expansive is not itself considered a mental disorder.</w:t>
      </w:r>
    </w:p>
    <w:p w14:paraId="064BE8CB" w14:textId="77777777" w:rsidR="004326F8" w:rsidRPr="00E32BC3" w:rsidRDefault="004326F8" w:rsidP="006718B1">
      <w:pPr>
        <w:spacing w:after="0" w:line="240" w:lineRule="auto"/>
        <w:rPr>
          <w:sz w:val="22"/>
          <w:szCs w:val="22"/>
        </w:rPr>
      </w:pPr>
      <w:r w:rsidRPr="004326F8">
        <w:rPr>
          <w:rStyle w:val="IntenseEmphasis"/>
        </w:rPr>
        <w:t>Gender expansive</w:t>
      </w:r>
      <w:r w:rsidRPr="00E32BC3">
        <w:rPr>
          <w:sz w:val="22"/>
          <w:szCs w:val="22"/>
        </w:rPr>
        <w:t xml:space="preserve">: Gender expansive refers to a wide range of gender identities and expressions beyond the binary categories of male and female. Gender expansive individuals </w:t>
      </w:r>
      <w:r w:rsidRPr="00E32BC3">
        <w:rPr>
          <w:sz w:val="22"/>
          <w:szCs w:val="22"/>
        </w:rPr>
        <w:t>may identify as non- binary, genderqueer, genderfluid, or any other gender identity outside of the binary. It can also refer to individuals who express their gender in a non-conforming way, such as through clothing, hairstyles, or mannerisms that are not traditionally associated with their gender.</w:t>
      </w:r>
    </w:p>
    <w:p w14:paraId="292E558A" w14:textId="77777777" w:rsidR="004326F8" w:rsidRPr="00E32BC3" w:rsidRDefault="004326F8" w:rsidP="006718B1">
      <w:pPr>
        <w:spacing w:after="0" w:line="240" w:lineRule="auto"/>
        <w:rPr>
          <w:sz w:val="22"/>
          <w:szCs w:val="22"/>
        </w:rPr>
      </w:pPr>
      <w:r w:rsidRPr="004326F8">
        <w:rPr>
          <w:rStyle w:val="IntenseEmphasis"/>
        </w:rPr>
        <w:t>Gender expression</w:t>
      </w:r>
      <w:r w:rsidRPr="00E32BC3">
        <w:rPr>
          <w:sz w:val="22"/>
          <w:szCs w:val="22"/>
        </w:rPr>
        <w:t>: how a person publicly presents or expresses their gender identity to others. This includes how they speak or act, wear their hair, dress, and otherwise present themselves to the world. Gender expression is not necessarily indicative of sexual orientation or gender identity.</w:t>
      </w:r>
    </w:p>
    <w:p w14:paraId="719465E6" w14:textId="77777777" w:rsidR="004326F8" w:rsidRPr="00E32BC3" w:rsidRDefault="004326F8" w:rsidP="006718B1">
      <w:pPr>
        <w:spacing w:after="0" w:line="240" w:lineRule="auto"/>
        <w:rPr>
          <w:sz w:val="22"/>
          <w:szCs w:val="22"/>
        </w:rPr>
      </w:pPr>
      <w:r w:rsidRPr="004326F8">
        <w:rPr>
          <w:rStyle w:val="IntenseEmphasis"/>
        </w:rPr>
        <w:t>Gender identity</w:t>
      </w:r>
      <w:r w:rsidRPr="00E32BC3">
        <w:rPr>
          <w:sz w:val="22"/>
          <w:szCs w:val="22"/>
        </w:rPr>
        <w:t>: a person’s internal understanding and experience of their own gender. Gender identities may include man, woman, nonbinary, genderqueer, agender, and many others. Gender identity is separate from sexual orientation.</w:t>
      </w:r>
    </w:p>
    <w:p w14:paraId="65160F6E" w14:textId="77777777" w:rsidR="004326F8" w:rsidRPr="00E32BC3" w:rsidRDefault="004326F8" w:rsidP="006718B1">
      <w:pPr>
        <w:spacing w:after="0" w:line="240" w:lineRule="auto"/>
        <w:rPr>
          <w:sz w:val="22"/>
          <w:szCs w:val="22"/>
        </w:rPr>
      </w:pPr>
      <w:r w:rsidRPr="004326F8">
        <w:rPr>
          <w:rStyle w:val="IntenseEmphasis"/>
        </w:rPr>
        <w:t>Gender-neutral</w:t>
      </w:r>
      <w:r w:rsidRPr="00E32BC3">
        <w:rPr>
          <w:sz w:val="22"/>
          <w:szCs w:val="22"/>
        </w:rPr>
        <w:t>: a term that describes something, many times a space (like a bathroom) or a thing (such as clothing), that is not segregated by sex or gender.</w:t>
      </w:r>
    </w:p>
    <w:p w14:paraId="1A5AD7F0" w14:textId="77777777" w:rsidR="004326F8" w:rsidRPr="00E32BC3" w:rsidRDefault="004326F8" w:rsidP="006718B1">
      <w:pPr>
        <w:spacing w:after="0" w:line="240" w:lineRule="auto"/>
        <w:rPr>
          <w:sz w:val="22"/>
          <w:szCs w:val="22"/>
        </w:rPr>
      </w:pPr>
      <w:r w:rsidRPr="004326F8">
        <w:rPr>
          <w:rStyle w:val="IntenseEmphasis"/>
        </w:rPr>
        <w:t>Gender nonconforming (GNC):</w:t>
      </w:r>
      <w:r w:rsidRPr="00E32BC3">
        <w:rPr>
          <w:sz w:val="22"/>
          <w:szCs w:val="22"/>
        </w:rPr>
        <w:t xml:space="preserve"> a term used to describe people whose gender expression differs from stereotypical expectations of gender appropriate behavior or ways men and women are expected to act. Not all gender non-conforming people identify as LGBTQ. This may also be referred to as gender variance or gender expansive.</w:t>
      </w:r>
    </w:p>
    <w:p w14:paraId="2A1AD806" w14:textId="77777777" w:rsidR="004326F8" w:rsidRPr="00E32BC3" w:rsidRDefault="004326F8" w:rsidP="006718B1">
      <w:pPr>
        <w:spacing w:after="0" w:line="240" w:lineRule="auto"/>
        <w:rPr>
          <w:sz w:val="22"/>
          <w:szCs w:val="22"/>
        </w:rPr>
      </w:pPr>
      <w:r w:rsidRPr="004326F8">
        <w:rPr>
          <w:rStyle w:val="IntenseEmphasis"/>
        </w:rPr>
        <w:t>Gender role:</w:t>
      </w:r>
      <w:r w:rsidRPr="00E32BC3">
        <w:rPr>
          <w:sz w:val="22"/>
          <w:szCs w:val="22"/>
        </w:rPr>
        <w:t xml:space="preserve"> societal expectations, behaviors, or norms traditionally associated with a particular gender. Gender roles vary across cultures and time periods and may influence expectations around behavior, appearance, work, caregiving, and social responsibilities.</w:t>
      </w:r>
    </w:p>
    <w:p w14:paraId="62DE1CBE" w14:textId="77777777" w:rsidR="004326F8" w:rsidRPr="00E32BC3" w:rsidRDefault="004326F8" w:rsidP="006718B1">
      <w:pPr>
        <w:spacing w:after="0" w:line="240" w:lineRule="auto"/>
        <w:rPr>
          <w:sz w:val="22"/>
          <w:szCs w:val="22"/>
        </w:rPr>
      </w:pPr>
      <w:r w:rsidRPr="004326F8">
        <w:rPr>
          <w:rStyle w:val="IntenseEmphasis"/>
        </w:rPr>
        <w:t>Genderqueer:</w:t>
      </w:r>
      <w:r w:rsidRPr="00E32BC3">
        <w:rPr>
          <w:sz w:val="22"/>
          <w:szCs w:val="22"/>
        </w:rPr>
        <w:t xml:space="preserve"> a term for people who identify outside the confines of the binary definition of gender (male/female). Genderqueer people may consider themselves </w:t>
      </w:r>
      <w:r w:rsidRPr="00E32BC3">
        <w:rPr>
          <w:sz w:val="22"/>
          <w:szCs w:val="22"/>
        </w:rPr>
        <w:lastRenderedPageBreak/>
        <w:t>to be two or more genders, without a gender, a third gender, and/or fluid.</w:t>
      </w:r>
    </w:p>
    <w:p w14:paraId="7E01988F" w14:textId="77777777" w:rsidR="004326F8" w:rsidRPr="00E32BC3" w:rsidRDefault="004326F8" w:rsidP="006718B1">
      <w:pPr>
        <w:spacing w:after="0" w:line="240" w:lineRule="auto"/>
        <w:rPr>
          <w:sz w:val="22"/>
          <w:szCs w:val="22"/>
        </w:rPr>
      </w:pPr>
      <w:r w:rsidRPr="004326F8">
        <w:rPr>
          <w:rStyle w:val="IntenseEmphasis"/>
        </w:rPr>
        <w:t>Heteronormativity:</w:t>
      </w:r>
      <w:r w:rsidRPr="00E32BC3">
        <w:rPr>
          <w:sz w:val="22"/>
          <w:szCs w:val="22"/>
        </w:rPr>
        <w:t xml:space="preserve"> Heteronormativity refers to the societal assumption that heterosexuality is the norm or default sexual orientation, and that relationships and identities outside of heterosexuality are abnormal or deviant. Heteronormativity reinforces the gender binary and traditional gender roles, with the assumption that men are attracted to women and vice versa. It is a system of beliefs and practices that privileges and centers heterosexual individuals and experiences while marginalizing and excluding non-heterosexual identities and relationships.</w:t>
      </w:r>
    </w:p>
    <w:p w14:paraId="1E46A99A" w14:textId="77777777" w:rsidR="004326F8" w:rsidRPr="00E32BC3" w:rsidRDefault="004326F8" w:rsidP="006718B1">
      <w:pPr>
        <w:spacing w:after="0" w:line="240" w:lineRule="auto"/>
        <w:rPr>
          <w:sz w:val="22"/>
          <w:szCs w:val="22"/>
        </w:rPr>
      </w:pPr>
      <w:r w:rsidRPr="004326F8">
        <w:rPr>
          <w:rStyle w:val="IntenseEmphasis"/>
        </w:rPr>
        <w:t>Heterosexism</w:t>
      </w:r>
      <w:r w:rsidRPr="00E32BC3">
        <w:rPr>
          <w:sz w:val="22"/>
          <w:szCs w:val="22"/>
        </w:rPr>
        <w:t>: Heterosexism is a systemic and individual set of beliefs, attitudes, and practices that privilege and normalize heterosexual relationships, while marginalizing and stigmatizing non- heterosexual identities and relationships. Heterosexism reinforces the notion that heterosexuality is the norm and ideal, and that other sexual orientations are deviant, abnormal, or inferior. Heterosexism operates through various forms of discrimination, including but not limited to, exclusion from social and political power, lack of legal protections, and limited access to healthcare.</w:t>
      </w:r>
    </w:p>
    <w:p w14:paraId="17E531F8" w14:textId="77777777" w:rsidR="004326F8" w:rsidRPr="00E32BC3" w:rsidRDefault="004326F8" w:rsidP="006718B1">
      <w:pPr>
        <w:spacing w:after="0" w:line="240" w:lineRule="auto"/>
        <w:rPr>
          <w:sz w:val="22"/>
          <w:szCs w:val="22"/>
        </w:rPr>
      </w:pPr>
      <w:r w:rsidRPr="004326F8">
        <w:rPr>
          <w:rStyle w:val="IntenseEmphasis"/>
        </w:rPr>
        <w:t>Homophobia:</w:t>
      </w:r>
      <w:r w:rsidRPr="00E32BC3">
        <w:rPr>
          <w:sz w:val="22"/>
          <w:szCs w:val="22"/>
        </w:rPr>
        <w:t xml:space="preserve"> fear, hatred or discriminatory response to a person who is or is perceived to be lesbian, gay, bisexual, or queer.</w:t>
      </w:r>
    </w:p>
    <w:p w14:paraId="4EBAB356" w14:textId="77777777" w:rsidR="004326F8" w:rsidRPr="00E32BC3" w:rsidRDefault="004326F8" w:rsidP="006718B1">
      <w:pPr>
        <w:spacing w:after="0" w:line="240" w:lineRule="auto"/>
        <w:rPr>
          <w:sz w:val="22"/>
          <w:szCs w:val="22"/>
        </w:rPr>
      </w:pPr>
      <w:r w:rsidRPr="004326F8">
        <w:rPr>
          <w:rStyle w:val="IntenseEmphasis"/>
        </w:rPr>
        <w:t>Intersex:</w:t>
      </w:r>
      <w:r w:rsidRPr="00E32BC3">
        <w:rPr>
          <w:sz w:val="22"/>
          <w:szCs w:val="22"/>
        </w:rPr>
        <w:t xml:space="preserve"> a person born with a combination of chromosomes, hormones, and primary and secondary sex characteristics that do not place them into either one of the two accepted sex categories (male/ female) as defined by medical staff.</w:t>
      </w:r>
    </w:p>
    <w:p w14:paraId="6B7EC594" w14:textId="77777777" w:rsidR="004326F8" w:rsidRPr="00E32BC3" w:rsidRDefault="004326F8" w:rsidP="006718B1">
      <w:pPr>
        <w:spacing w:after="0" w:line="240" w:lineRule="auto"/>
        <w:rPr>
          <w:sz w:val="22"/>
          <w:szCs w:val="22"/>
        </w:rPr>
      </w:pPr>
      <w:r w:rsidRPr="004326F8">
        <w:rPr>
          <w:rStyle w:val="IntenseEmphasis"/>
        </w:rPr>
        <w:t>Lesbian:</w:t>
      </w:r>
      <w:r w:rsidRPr="00E32BC3">
        <w:rPr>
          <w:sz w:val="22"/>
          <w:szCs w:val="22"/>
        </w:rPr>
        <w:t xml:space="preserve"> a woman who self-identifies as having an emotional, sexual, and/or relational attraction to other women.</w:t>
      </w:r>
    </w:p>
    <w:p w14:paraId="796EA8B6" w14:textId="77777777" w:rsidR="004326F8" w:rsidRPr="00E32BC3" w:rsidRDefault="004326F8" w:rsidP="006718B1">
      <w:pPr>
        <w:spacing w:after="0" w:line="240" w:lineRule="auto"/>
        <w:rPr>
          <w:sz w:val="22"/>
          <w:szCs w:val="22"/>
        </w:rPr>
      </w:pPr>
      <w:r w:rsidRPr="004326F8">
        <w:rPr>
          <w:rStyle w:val="IntenseEmphasis"/>
        </w:rPr>
        <w:t>Misgendering</w:t>
      </w:r>
      <w:r w:rsidRPr="00E32BC3">
        <w:rPr>
          <w:sz w:val="22"/>
          <w:szCs w:val="22"/>
        </w:rPr>
        <w:t xml:space="preserve">: Misgendering is the act of using language that does not accurately reflect an individual's gender identity. This can include </w:t>
      </w:r>
      <w:r w:rsidRPr="00E32BC3">
        <w:rPr>
          <w:sz w:val="22"/>
          <w:szCs w:val="22"/>
        </w:rPr>
        <w:t>using incorrect pronouns, titles, or descriptors that do not align with an individual's gender identity.</w:t>
      </w:r>
    </w:p>
    <w:p w14:paraId="254B4854" w14:textId="77777777" w:rsidR="004326F8" w:rsidRPr="00E32BC3" w:rsidRDefault="004326F8" w:rsidP="006718B1">
      <w:pPr>
        <w:spacing w:after="0" w:line="240" w:lineRule="auto"/>
        <w:rPr>
          <w:sz w:val="22"/>
          <w:szCs w:val="22"/>
        </w:rPr>
      </w:pPr>
      <w:r w:rsidRPr="004326F8">
        <w:rPr>
          <w:rStyle w:val="IntenseEmphasis"/>
        </w:rPr>
        <w:t>Neopronouns</w:t>
      </w:r>
      <w:r w:rsidRPr="00E32BC3">
        <w:rPr>
          <w:sz w:val="22"/>
          <w:szCs w:val="22"/>
        </w:rPr>
        <w:t>: non-traditional pronouns that individuals may use to refer to themselves or others, particular those who do not feel comfortable using gendered pronouns like he/him or she/her. Neopronouns can include words like fae/faer, ze/hir, and xe/xem, as well as other custom-made pronouns.</w:t>
      </w:r>
    </w:p>
    <w:p w14:paraId="54227BE2" w14:textId="77777777" w:rsidR="004326F8" w:rsidRPr="00E32BC3" w:rsidRDefault="004326F8" w:rsidP="006718B1">
      <w:pPr>
        <w:spacing w:after="0" w:line="240" w:lineRule="auto"/>
        <w:rPr>
          <w:sz w:val="22"/>
          <w:szCs w:val="22"/>
        </w:rPr>
      </w:pPr>
      <w:r w:rsidRPr="004326F8">
        <w:rPr>
          <w:rStyle w:val="IntenseEmphasis"/>
        </w:rPr>
        <w:t>Nonbinary</w:t>
      </w:r>
      <w:r w:rsidRPr="00E32BC3">
        <w:rPr>
          <w:sz w:val="22"/>
          <w:szCs w:val="22"/>
        </w:rPr>
        <w:t>: describes any gender identity which does not fit the male and female binary spectrum. A person who identifies as gender nonbinary may identify as both male and female, somewhere in between, have multiple genders, have a third gender entirely, or no gender at all, and may reject this binary construct altogether. A nonbinary gender marker on an ID would be one that is neither male nor female, but instead might be represented by an X or an N.</w:t>
      </w:r>
    </w:p>
    <w:p w14:paraId="49F75DE0" w14:textId="77777777" w:rsidR="004326F8" w:rsidRPr="00E32BC3" w:rsidRDefault="004326F8" w:rsidP="006718B1">
      <w:pPr>
        <w:spacing w:after="0" w:line="240" w:lineRule="auto"/>
        <w:rPr>
          <w:sz w:val="22"/>
          <w:szCs w:val="22"/>
        </w:rPr>
      </w:pPr>
      <w:r w:rsidRPr="004326F8">
        <w:rPr>
          <w:rStyle w:val="IntenseEmphasis"/>
        </w:rPr>
        <w:t>Pansexual</w:t>
      </w:r>
      <w:r w:rsidRPr="00E32BC3">
        <w:rPr>
          <w:sz w:val="22"/>
          <w:szCs w:val="22"/>
        </w:rPr>
        <w:t>: a sexual orientation for someone attracted to others regardless of gender identity or expression.</w:t>
      </w:r>
    </w:p>
    <w:p w14:paraId="31D92CDF" w14:textId="77777777" w:rsidR="004326F8" w:rsidRPr="00E32BC3" w:rsidRDefault="004326F8" w:rsidP="006718B1">
      <w:pPr>
        <w:spacing w:after="0" w:line="240" w:lineRule="auto"/>
        <w:rPr>
          <w:sz w:val="22"/>
          <w:szCs w:val="22"/>
        </w:rPr>
      </w:pPr>
      <w:r w:rsidRPr="004326F8">
        <w:rPr>
          <w:rStyle w:val="IntenseEmphasis"/>
        </w:rPr>
        <w:t>PrEP:</w:t>
      </w:r>
      <w:r w:rsidRPr="00E32BC3">
        <w:rPr>
          <w:sz w:val="22"/>
          <w:szCs w:val="22"/>
        </w:rPr>
        <w:t xml:space="preserve"> pre-exposure prophylaxis, or medication taken daily to reduce one’s risk of being infected with HIV.</w:t>
      </w:r>
    </w:p>
    <w:p w14:paraId="739B4053" w14:textId="504A059D" w:rsidR="004326F8" w:rsidRPr="00E32BC3" w:rsidRDefault="004326F8" w:rsidP="006718B1">
      <w:pPr>
        <w:spacing w:after="0" w:line="240" w:lineRule="auto"/>
        <w:rPr>
          <w:sz w:val="22"/>
          <w:szCs w:val="22"/>
        </w:rPr>
      </w:pPr>
      <w:r w:rsidRPr="004326F8">
        <w:rPr>
          <w:rStyle w:val="IntenseEmphasis"/>
        </w:rPr>
        <w:t xml:space="preserve">Pubertal suppression: </w:t>
      </w:r>
      <w:r w:rsidRPr="00E32BC3">
        <w:rPr>
          <w:sz w:val="22"/>
          <w:szCs w:val="22"/>
        </w:rPr>
        <w:t>a medical process that pauses hormonal changes that initiate puberty in adolescents, resulting in a purposeful delay in the development of secondary sex characteristics (</w:t>
      </w:r>
      <w:r w:rsidR="007D658D" w:rsidRPr="00E32BC3">
        <w:rPr>
          <w:sz w:val="22"/>
          <w:szCs w:val="22"/>
        </w:rPr>
        <w:t>e.g.,</w:t>
      </w:r>
      <w:r w:rsidRPr="00E32BC3">
        <w:rPr>
          <w:sz w:val="22"/>
          <w:szCs w:val="22"/>
        </w:rPr>
        <w:t xml:space="preserve"> breast growth, facial hair, body fat redistribution, voice changes, etc.). Suppression can prevent gender dysphoria that often accompanies puberty for transgender or gender expansive youth and is not permanent.</w:t>
      </w:r>
    </w:p>
    <w:p w14:paraId="25FF9DC6" w14:textId="77777777" w:rsidR="004326F8" w:rsidRPr="00E32BC3" w:rsidRDefault="004326F8" w:rsidP="006718B1">
      <w:pPr>
        <w:spacing w:after="0" w:line="240" w:lineRule="auto"/>
        <w:rPr>
          <w:sz w:val="22"/>
          <w:szCs w:val="22"/>
        </w:rPr>
      </w:pPr>
      <w:r w:rsidRPr="004326F8">
        <w:rPr>
          <w:rStyle w:val="IntenseEmphasis"/>
        </w:rPr>
        <w:t xml:space="preserve">Queer: </w:t>
      </w:r>
      <w:r w:rsidRPr="00E32BC3">
        <w:rPr>
          <w:sz w:val="22"/>
          <w:szCs w:val="22"/>
        </w:rPr>
        <w:t xml:space="preserve">The term “queer” was reclaimed in the early 90’s as an umbrella term for those who do not conform to rigid (heteropatriarchal) notions of gender identity and expression or sexual orientation. Because this term has historically been used derogatorily, some older people find its reclamation to be controversial. </w:t>
      </w:r>
      <w:r w:rsidRPr="00E32BC3">
        <w:rPr>
          <w:sz w:val="22"/>
          <w:szCs w:val="22"/>
        </w:rPr>
        <w:lastRenderedPageBreak/>
        <w:t>It is a preferred identity term for many younger people.</w:t>
      </w:r>
    </w:p>
    <w:p w14:paraId="5A5484E0" w14:textId="77777777" w:rsidR="004326F8" w:rsidRPr="00E32BC3" w:rsidRDefault="004326F8" w:rsidP="006718B1">
      <w:pPr>
        <w:spacing w:after="0" w:line="240" w:lineRule="auto"/>
        <w:rPr>
          <w:sz w:val="22"/>
          <w:szCs w:val="22"/>
        </w:rPr>
      </w:pPr>
      <w:r w:rsidRPr="004326F8">
        <w:rPr>
          <w:rStyle w:val="IntenseEmphasis"/>
        </w:rPr>
        <w:t>Questioning:</w:t>
      </w:r>
      <w:r w:rsidRPr="00E32BC3">
        <w:rPr>
          <w:sz w:val="22"/>
          <w:szCs w:val="22"/>
        </w:rPr>
        <w:t xml:space="preserve"> a term used to describe a person who is exploring their sexual orientation and/or gender identity.</w:t>
      </w:r>
    </w:p>
    <w:p w14:paraId="777A7E4E" w14:textId="77777777" w:rsidR="004326F8" w:rsidRPr="00E32BC3" w:rsidRDefault="004326F8" w:rsidP="006718B1">
      <w:pPr>
        <w:spacing w:after="0" w:line="240" w:lineRule="auto"/>
        <w:rPr>
          <w:sz w:val="22"/>
          <w:szCs w:val="22"/>
        </w:rPr>
      </w:pPr>
      <w:r w:rsidRPr="004326F8">
        <w:rPr>
          <w:rStyle w:val="IntenseEmphasis"/>
        </w:rPr>
        <w:t>Reproductive health</w:t>
      </w:r>
      <w:r w:rsidRPr="00E32BC3">
        <w:rPr>
          <w:sz w:val="22"/>
          <w:szCs w:val="22"/>
        </w:rPr>
        <w:t>: an area of healthcare focused on reproductive systems, sexual health, family planning, pregnancy care, and access to related healthcare services and information.</w:t>
      </w:r>
    </w:p>
    <w:p w14:paraId="314C7CFC" w14:textId="77777777" w:rsidR="004326F8" w:rsidRPr="00E32BC3" w:rsidRDefault="004326F8" w:rsidP="006718B1">
      <w:pPr>
        <w:spacing w:after="0" w:line="240" w:lineRule="auto"/>
        <w:rPr>
          <w:sz w:val="22"/>
          <w:szCs w:val="22"/>
        </w:rPr>
      </w:pPr>
      <w:r w:rsidRPr="004326F8">
        <w:rPr>
          <w:rStyle w:val="IntenseEmphasis"/>
        </w:rPr>
        <w:t>Reproductive justice:</w:t>
      </w:r>
      <w:r w:rsidRPr="00E32BC3">
        <w:rPr>
          <w:sz w:val="22"/>
          <w:szCs w:val="22"/>
        </w:rPr>
        <w:t xml:space="preserve"> a human rights and social justice framework that emphasizes the right to bodily autonomy, to have or not have children, and to raise children in safe and healthy environments. The framework recognizes the ways race, gender, class, disability, immigration status, and other systems of oppression affect reproductive access and outcomes.</w:t>
      </w:r>
    </w:p>
    <w:p w14:paraId="5E6392C2" w14:textId="77777777" w:rsidR="004326F8" w:rsidRPr="00E32BC3" w:rsidRDefault="004326F8" w:rsidP="006718B1">
      <w:pPr>
        <w:spacing w:after="0" w:line="240" w:lineRule="auto"/>
        <w:rPr>
          <w:sz w:val="22"/>
          <w:szCs w:val="22"/>
        </w:rPr>
      </w:pPr>
      <w:r w:rsidRPr="004326F8">
        <w:rPr>
          <w:rStyle w:val="IntenseEmphasis"/>
        </w:rPr>
        <w:t>Reproductive rights:</w:t>
      </w:r>
      <w:r w:rsidRPr="00E32BC3">
        <w:rPr>
          <w:sz w:val="22"/>
          <w:szCs w:val="22"/>
        </w:rPr>
        <w:t xml:space="preserve"> the centering and protections of a person’s legal rights to reproductive health care, including the right to an abortion, birth control, affordable healthcare, prenatal and pregnancy care, and sexual health education.</w:t>
      </w:r>
    </w:p>
    <w:p w14:paraId="2D01F3B2" w14:textId="77777777" w:rsidR="004326F8" w:rsidRPr="00E32BC3" w:rsidRDefault="004326F8" w:rsidP="006718B1">
      <w:pPr>
        <w:spacing w:after="0" w:line="240" w:lineRule="auto"/>
        <w:rPr>
          <w:sz w:val="22"/>
          <w:szCs w:val="22"/>
        </w:rPr>
      </w:pPr>
      <w:r w:rsidRPr="004326F8">
        <w:rPr>
          <w:rStyle w:val="IntenseEmphasis"/>
        </w:rPr>
        <w:t>Romantic orientation:</w:t>
      </w:r>
      <w:r w:rsidRPr="00E32BC3">
        <w:rPr>
          <w:sz w:val="22"/>
          <w:szCs w:val="22"/>
        </w:rPr>
        <w:t xml:space="preserve"> describes a person’s romantic attraction to others, which may or may not align with their sexual orientation.</w:t>
      </w:r>
    </w:p>
    <w:p w14:paraId="3EEEB7A0" w14:textId="77777777" w:rsidR="004326F8" w:rsidRPr="00E32BC3" w:rsidRDefault="004326F8" w:rsidP="006718B1">
      <w:pPr>
        <w:spacing w:after="0" w:line="240" w:lineRule="auto"/>
        <w:rPr>
          <w:sz w:val="22"/>
          <w:szCs w:val="22"/>
        </w:rPr>
      </w:pPr>
      <w:r w:rsidRPr="004326F8">
        <w:rPr>
          <w:rStyle w:val="IntenseEmphasis"/>
        </w:rPr>
        <w:t>Second-generation youth:</w:t>
      </w:r>
      <w:r w:rsidRPr="00E32BC3">
        <w:rPr>
          <w:sz w:val="22"/>
          <w:szCs w:val="22"/>
        </w:rPr>
        <w:t xml:space="preserve"> youth born in the United States with at least one first-generation parent.</w:t>
      </w:r>
    </w:p>
    <w:p w14:paraId="6707454C" w14:textId="77777777" w:rsidR="004326F8" w:rsidRPr="00E32BC3" w:rsidRDefault="004326F8" w:rsidP="006718B1">
      <w:pPr>
        <w:spacing w:after="0" w:line="240" w:lineRule="auto"/>
        <w:rPr>
          <w:sz w:val="22"/>
          <w:szCs w:val="22"/>
        </w:rPr>
      </w:pPr>
      <w:r w:rsidRPr="004326F8">
        <w:rPr>
          <w:rStyle w:val="IntenseEmphasis"/>
        </w:rPr>
        <w:t>Sexual orientation</w:t>
      </w:r>
      <w:r w:rsidRPr="00E32BC3">
        <w:rPr>
          <w:sz w:val="22"/>
          <w:szCs w:val="22"/>
        </w:rPr>
        <w:t>: refers to a person's emotional, sexual, and/or relational attraction, or lack thereof, towards other people with respect to their gender. Some common sexual orientations include lesbian, gay, bisexual, heterosexual, queer, pansexual, and asexual. There are many other terms that people may use to identify their sexual orientation.</w:t>
      </w:r>
    </w:p>
    <w:p w14:paraId="1CFA5C16" w14:textId="77777777" w:rsidR="004326F8" w:rsidRPr="00E32BC3" w:rsidRDefault="004326F8" w:rsidP="006718B1">
      <w:pPr>
        <w:spacing w:after="0" w:line="240" w:lineRule="auto"/>
        <w:rPr>
          <w:sz w:val="22"/>
          <w:szCs w:val="22"/>
        </w:rPr>
      </w:pPr>
      <w:r w:rsidRPr="004326F8">
        <w:rPr>
          <w:rStyle w:val="IntenseEmphasis"/>
        </w:rPr>
        <w:t>Transgender:</w:t>
      </w:r>
      <w:r w:rsidRPr="00E32BC3">
        <w:rPr>
          <w:sz w:val="22"/>
          <w:szCs w:val="22"/>
        </w:rPr>
        <w:t xml:space="preserve"> an umbrella term used to describe a person whose gender identity is different from that traditionally associated with </w:t>
      </w:r>
      <w:r w:rsidRPr="00E32BC3">
        <w:rPr>
          <w:sz w:val="22"/>
          <w:szCs w:val="22"/>
        </w:rPr>
        <w:t>their assigned sex at birth. A transgender person may identify as heterosexual, lesbian, gay, bisexual, queer, questioning, pansexual, or something else.</w:t>
      </w:r>
    </w:p>
    <w:p w14:paraId="4BAB8BE9" w14:textId="77777777" w:rsidR="004326F8" w:rsidRPr="00E32BC3" w:rsidRDefault="004326F8" w:rsidP="006718B1">
      <w:pPr>
        <w:spacing w:after="0" w:line="240" w:lineRule="auto"/>
        <w:rPr>
          <w:sz w:val="22"/>
          <w:szCs w:val="22"/>
        </w:rPr>
      </w:pPr>
      <w:r w:rsidRPr="004326F8">
        <w:rPr>
          <w:rStyle w:val="IntenseEmphasis"/>
        </w:rPr>
        <w:t>Transitioning:</w:t>
      </w:r>
      <w:r w:rsidRPr="00E32BC3">
        <w:rPr>
          <w:sz w:val="22"/>
          <w:szCs w:val="22"/>
        </w:rPr>
        <w:t xml:space="preserve"> the process through which a person begins to live in alignment with their gender identity. Transitioning may include social, legal, and/or medical changes, such as changing one’s name or pronouns, updating identity documents, altering appearance, or pursuing gender-affirming healthcare. Not all transgender people choose or are able to pursue every aspect of transition. </w:t>
      </w:r>
    </w:p>
    <w:p w14:paraId="0F235445" w14:textId="77777777" w:rsidR="004326F8" w:rsidRPr="00E32BC3" w:rsidRDefault="004326F8" w:rsidP="006718B1">
      <w:pPr>
        <w:spacing w:after="0" w:line="240" w:lineRule="auto"/>
        <w:rPr>
          <w:sz w:val="22"/>
          <w:szCs w:val="22"/>
        </w:rPr>
      </w:pPr>
      <w:r w:rsidRPr="004326F8">
        <w:rPr>
          <w:rStyle w:val="IntenseEmphasis"/>
        </w:rPr>
        <w:t>Transgender man/FTM/Female-to-male</w:t>
      </w:r>
      <w:r w:rsidRPr="00E32BC3">
        <w:rPr>
          <w:sz w:val="22"/>
          <w:szCs w:val="22"/>
        </w:rPr>
        <w:t>: a person who identifies as male but was assigned female at birth. Note that the terms FTM and female-to-male are often used in literature and sometimes used as a self-identification but should be generally avoided as they can be interpreted as not respecting the validity of someone’s gender identity. A “transgender man,” or simply “man,” is the appropriate way to refer to such an individual.</w:t>
      </w:r>
    </w:p>
    <w:p w14:paraId="5964A0C0" w14:textId="77777777" w:rsidR="004326F8" w:rsidRPr="00E32BC3" w:rsidRDefault="004326F8" w:rsidP="006718B1">
      <w:pPr>
        <w:spacing w:after="0" w:line="240" w:lineRule="auto"/>
        <w:rPr>
          <w:sz w:val="22"/>
          <w:szCs w:val="22"/>
        </w:rPr>
      </w:pPr>
      <w:r w:rsidRPr="004326F8">
        <w:rPr>
          <w:rStyle w:val="IntenseEmphasis"/>
        </w:rPr>
        <w:t>Transgender woman/MTF/Male-to-female:</w:t>
      </w:r>
      <w:r w:rsidRPr="00E32BC3">
        <w:rPr>
          <w:sz w:val="22"/>
          <w:szCs w:val="22"/>
        </w:rPr>
        <w:t xml:space="preserve"> a person who identifies as female but was assigned male at birth. Note that the terms MTF and male-to-female are often used in literature and sometimes used as self-identification but should be generally avoided as they can be interpreted as not respecting the validity of someone’s gender identity. A “transgender woman,” or simply “woman,” is the appropriate way to refer to such an individual.</w:t>
      </w:r>
    </w:p>
    <w:p w14:paraId="0477BCBF" w14:textId="77777777" w:rsidR="004326F8" w:rsidRPr="00E32BC3" w:rsidRDefault="004326F8" w:rsidP="006718B1">
      <w:pPr>
        <w:spacing w:after="0" w:line="240" w:lineRule="auto"/>
        <w:rPr>
          <w:sz w:val="22"/>
          <w:szCs w:val="22"/>
        </w:rPr>
      </w:pPr>
      <w:r w:rsidRPr="004326F8">
        <w:rPr>
          <w:rStyle w:val="IntenseEmphasis"/>
        </w:rPr>
        <w:t>Transphobia:</w:t>
      </w:r>
      <w:r w:rsidRPr="00E32BC3">
        <w:rPr>
          <w:sz w:val="22"/>
          <w:szCs w:val="22"/>
        </w:rPr>
        <w:t xml:space="preserve"> fear, hatred, or discriminatory response to a person who is or is perceived to be transgender or gender expansive.</w:t>
      </w:r>
    </w:p>
    <w:p w14:paraId="7C64B1C6" w14:textId="498823A2" w:rsidR="006718B1" w:rsidRDefault="004326F8" w:rsidP="006718B1">
      <w:pPr>
        <w:spacing w:after="0" w:line="240" w:lineRule="auto"/>
        <w:rPr>
          <w:sz w:val="22"/>
          <w:szCs w:val="22"/>
        </w:rPr>
      </w:pPr>
      <w:r w:rsidRPr="004326F8">
        <w:rPr>
          <w:rStyle w:val="IntenseEmphasis"/>
        </w:rPr>
        <w:t>Transsexual:</w:t>
      </w:r>
      <w:r w:rsidRPr="00E32BC3">
        <w:rPr>
          <w:sz w:val="22"/>
          <w:szCs w:val="22"/>
        </w:rPr>
        <w:t xml:space="preserve"> a term historically used to describe some transgender people, particularly those who pursued medical transition. While some individuals still use the term for themselves, many may consider it outdated or stigmatizing and instead prefer the term ‘transgender</w:t>
      </w:r>
      <w:r w:rsidR="007D658D" w:rsidRPr="00E32BC3">
        <w:rPr>
          <w:sz w:val="22"/>
          <w:szCs w:val="22"/>
        </w:rPr>
        <w:t>.’</w:t>
      </w:r>
    </w:p>
    <w:p w14:paraId="6BB42075" w14:textId="77777777" w:rsidR="006718B1" w:rsidRDefault="006718B1" w:rsidP="006718B1">
      <w:pPr>
        <w:pStyle w:val="Heading1"/>
        <w:sectPr w:rsidR="006718B1" w:rsidSect="004326F8">
          <w:endnotePr>
            <w:numFmt w:val="decimal"/>
          </w:endnotePr>
          <w:type w:val="continuous"/>
          <w:pgSz w:w="12240" w:h="15840" w:code="1"/>
          <w:pgMar w:top="1440" w:right="1440" w:bottom="1350" w:left="1440" w:header="288" w:footer="720" w:gutter="0"/>
          <w:cols w:num="2" w:space="720"/>
          <w:docGrid w:linePitch="360"/>
        </w:sectPr>
      </w:pPr>
    </w:p>
    <w:p w14:paraId="784E0F74" w14:textId="49C46341" w:rsidR="006718B1" w:rsidRPr="000329CD" w:rsidRDefault="006718B1" w:rsidP="000329CD">
      <w:pPr>
        <w:pStyle w:val="Heading1"/>
        <w:spacing w:after="240"/>
        <w:sectPr w:rsidR="006718B1" w:rsidRPr="000329CD" w:rsidSect="006718B1">
          <w:endnotePr>
            <w:numFmt w:val="decimal"/>
          </w:endnotePr>
          <w:type w:val="continuous"/>
          <w:pgSz w:w="12240" w:h="15840" w:code="1"/>
          <w:pgMar w:top="1440" w:right="1440" w:bottom="1350" w:left="1440" w:header="288" w:footer="720" w:gutter="0"/>
          <w:cols w:space="720"/>
          <w:docGrid w:linePitch="360"/>
        </w:sectPr>
      </w:pPr>
      <w:bookmarkStart w:id="347" w:name="_Toc230355513"/>
      <w:r w:rsidRPr="00867BFE">
        <w:lastRenderedPageBreak/>
        <w:t>2026 – 27 | COMMISSION MEMBER</w:t>
      </w:r>
      <w:bookmarkEnd w:id="347"/>
      <w:r w:rsidR="000329CD">
        <w:t>S – Appendix B</w:t>
      </w:r>
    </w:p>
    <w:p w14:paraId="08C4B11F" w14:textId="56F1D125" w:rsidR="006718B1" w:rsidRPr="006718B1" w:rsidRDefault="006718B1" w:rsidP="00E97E73">
      <w:pPr>
        <w:pStyle w:val="Heading3"/>
      </w:pPr>
      <w:r w:rsidRPr="00867BFE">
        <w:t>ELECTED MEMBERS</w:t>
      </w:r>
    </w:p>
    <w:p w14:paraId="7CCBA309" w14:textId="77777777" w:rsidR="006718B1" w:rsidRPr="007F36B1" w:rsidRDefault="006718B1" w:rsidP="006718B1">
      <w:pPr>
        <w:spacing w:before="0" w:after="0" w:line="240" w:lineRule="auto"/>
      </w:pPr>
      <w:r w:rsidRPr="007F36B1">
        <w:t>Alyssa Rayman-Read</w:t>
      </w:r>
    </w:p>
    <w:p w14:paraId="2B3A99FD" w14:textId="77777777" w:rsidR="006718B1" w:rsidRPr="007F36B1" w:rsidRDefault="006718B1" w:rsidP="006718B1">
      <w:pPr>
        <w:spacing w:before="0" w:after="0" w:line="240" w:lineRule="auto"/>
      </w:pPr>
      <w:r w:rsidRPr="007F36B1">
        <w:t>Avery Barry</w:t>
      </w:r>
    </w:p>
    <w:p w14:paraId="0232535C" w14:textId="77777777" w:rsidR="006718B1" w:rsidRPr="007F36B1" w:rsidRDefault="006718B1" w:rsidP="006718B1">
      <w:pPr>
        <w:spacing w:before="0" w:after="0" w:line="240" w:lineRule="auto"/>
      </w:pPr>
      <w:r w:rsidRPr="007F36B1">
        <w:t>Bridget Curran</w:t>
      </w:r>
    </w:p>
    <w:p w14:paraId="5FB498BB" w14:textId="77777777" w:rsidR="006718B1" w:rsidRPr="007F36B1" w:rsidRDefault="006718B1" w:rsidP="006718B1">
      <w:pPr>
        <w:spacing w:before="0" w:after="0" w:line="240" w:lineRule="auto"/>
      </w:pPr>
      <w:r w:rsidRPr="007F36B1">
        <w:t>Craig C. Aarons-Martin (Co-Chair)</w:t>
      </w:r>
    </w:p>
    <w:p w14:paraId="2E543380" w14:textId="77777777" w:rsidR="006718B1" w:rsidRPr="007F36B1" w:rsidRDefault="006718B1" w:rsidP="006718B1">
      <w:pPr>
        <w:spacing w:before="0" w:after="0" w:line="240" w:lineRule="auto"/>
      </w:pPr>
      <w:r w:rsidRPr="007F36B1">
        <w:t>Fernando Salinas-Quiroz</w:t>
      </w:r>
    </w:p>
    <w:p w14:paraId="6F487FC0" w14:textId="77777777" w:rsidR="006718B1" w:rsidRPr="007F36B1" w:rsidRDefault="006718B1" w:rsidP="006718B1">
      <w:pPr>
        <w:spacing w:before="0" w:after="0" w:line="240" w:lineRule="auto"/>
      </w:pPr>
      <w:r w:rsidRPr="007F36B1">
        <w:t>Frankie Walsh</w:t>
      </w:r>
    </w:p>
    <w:p w14:paraId="4B59E92D" w14:textId="77777777" w:rsidR="006718B1" w:rsidRPr="007F36B1" w:rsidRDefault="006718B1" w:rsidP="006718B1">
      <w:pPr>
        <w:spacing w:before="0" w:after="0" w:line="240" w:lineRule="auto"/>
      </w:pPr>
      <w:r w:rsidRPr="007F36B1">
        <w:t>Ishaiah Alvarenga</w:t>
      </w:r>
    </w:p>
    <w:p w14:paraId="53534A13" w14:textId="77777777" w:rsidR="006718B1" w:rsidRPr="007F36B1" w:rsidRDefault="006718B1" w:rsidP="006718B1">
      <w:pPr>
        <w:spacing w:before="0" w:after="0" w:line="240" w:lineRule="auto"/>
      </w:pPr>
      <w:r w:rsidRPr="007F36B1">
        <w:t>Jaliyah Gonsalves</w:t>
      </w:r>
    </w:p>
    <w:p w14:paraId="3D4D95DE" w14:textId="77777777" w:rsidR="006718B1" w:rsidRPr="007F36B1" w:rsidRDefault="006718B1" w:rsidP="006718B1">
      <w:pPr>
        <w:spacing w:before="0" w:after="0" w:line="240" w:lineRule="auto"/>
      </w:pPr>
      <w:r w:rsidRPr="007F36B1">
        <w:t>Jayus DiCarlo</w:t>
      </w:r>
    </w:p>
    <w:p w14:paraId="647B2CC1" w14:textId="77777777" w:rsidR="006718B1" w:rsidRPr="007F36B1" w:rsidRDefault="006718B1" w:rsidP="006718B1">
      <w:pPr>
        <w:spacing w:before="0" w:after="0" w:line="240" w:lineRule="auto"/>
      </w:pPr>
      <w:r w:rsidRPr="007F36B1">
        <w:t>Kamyrn Chandler Fontaine</w:t>
      </w:r>
    </w:p>
    <w:p w14:paraId="6470D069" w14:textId="77777777" w:rsidR="006718B1" w:rsidRPr="007F36B1" w:rsidRDefault="006718B1" w:rsidP="006718B1">
      <w:pPr>
        <w:spacing w:before="0" w:after="0" w:line="240" w:lineRule="auto"/>
      </w:pPr>
      <w:r w:rsidRPr="007F36B1">
        <w:t>Kerith Jane Conron</w:t>
      </w:r>
    </w:p>
    <w:p w14:paraId="56F8465A" w14:textId="77777777" w:rsidR="006718B1" w:rsidRPr="007F36B1" w:rsidRDefault="006718B1" w:rsidP="006718B1">
      <w:pPr>
        <w:spacing w:before="0" w:after="0" w:line="240" w:lineRule="auto"/>
      </w:pPr>
      <w:r w:rsidRPr="007F36B1">
        <w:t>Lezlie Braxton Campbell (Co-Chair)</w:t>
      </w:r>
    </w:p>
    <w:p w14:paraId="0DAFCE5A" w14:textId="77777777" w:rsidR="006718B1" w:rsidRPr="007F36B1" w:rsidRDefault="006718B1" w:rsidP="006718B1">
      <w:pPr>
        <w:spacing w:before="0" w:after="0" w:line="240" w:lineRule="auto"/>
      </w:pPr>
      <w:r w:rsidRPr="007F36B1">
        <w:t>Libby Adler</w:t>
      </w:r>
    </w:p>
    <w:p w14:paraId="2C8C1C80" w14:textId="77777777" w:rsidR="006718B1" w:rsidRPr="007F36B1" w:rsidRDefault="006718B1" w:rsidP="006718B1">
      <w:pPr>
        <w:spacing w:before="0" w:after="0" w:line="240" w:lineRule="auto"/>
      </w:pPr>
      <w:r w:rsidRPr="007F36B1">
        <w:t>Marc Lewis</w:t>
      </w:r>
    </w:p>
    <w:p w14:paraId="162E311F" w14:textId="77777777" w:rsidR="006718B1" w:rsidRPr="007F36B1" w:rsidRDefault="006718B1" w:rsidP="006718B1">
      <w:pPr>
        <w:spacing w:before="0" w:after="0" w:line="240" w:lineRule="auto"/>
      </w:pPr>
      <w:r w:rsidRPr="007F36B1">
        <w:t>Marcus Peng</w:t>
      </w:r>
    </w:p>
    <w:p w14:paraId="051F24D8" w14:textId="77777777" w:rsidR="006718B1" w:rsidRPr="007F36B1" w:rsidRDefault="006718B1" w:rsidP="006718B1">
      <w:pPr>
        <w:spacing w:before="0" w:after="0" w:line="240" w:lineRule="auto"/>
      </w:pPr>
      <w:r w:rsidRPr="007F36B1">
        <w:t>Mason Dunn</w:t>
      </w:r>
    </w:p>
    <w:p w14:paraId="16D516E3" w14:textId="77777777" w:rsidR="006718B1" w:rsidRPr="007F36B1" w:rsidRDefault="006718B1" w:rsidP="006718B1">
      <w:pPr>
        <w:spacing w:before="0" w:after="0" w:line="240" w:lineRule="auto"/>
      </w:pPr>
      <w:r w:rsidRPr="007F36B1">
        <w:t>Monica Johnson</w:t>
      </w:r>
    </w:p>
    <w:p w14:paraId="07DBC096" w14:textId="77777777" w:rsidR="006718B1" w:rsidRPr="007F36B1" w:rsidRDefault="006718B1" w:rsidP="006718B1">
      <w:pPr>
        <w:spacing w:before="0" w:after="0" w:line="240" w:lineRule="auto"/>
      </w:pPr>
      <w:r w:rsidRPr="007F36B1">
        <w:t>Navin Kariyawasam</w:t>
      </w:r>
    </w:p>
    <w:p w14:paraId="1477DDDD" w14:textId="77777777" w:rsidR="006718B1" w:rsidRPr="007F36B1" w:rsidRDefault="006718B1" w:rsidP="006718B1">
      <w:pPr>
        <w:spacing w:before="0" w:after="0" w:line="240" w:lineRule="auto"/>
      </w:pPr>
      <w:r w:rsidRPr="007F36B1">
        <w:t>Noemi Uribe</w:t>
      </w:r>
    </w:p>
    <w:p w14:paraId="55871092" w14:textId="77777777" w:rsidR="006718B1" w:rsidRPr="007F36B1" w:rsidRDefault="006718B1" w:rsidP="006718B1">
      <w:pPr>
        <w:spacing w:before="0" w:after="0" w:line="240" w:lineRule="auto"/>
      </w:pPr>
      <w:r w:rsidRPr="007F36B1">
        <w:t>Olly Kelly</w:t>
      </w:r>
    </w:p>
    <w:p w14:paraId="39938E1A" w14:textId="77777777" w:rsidR="006718B1" w:rsidRPr="007F36B1" w:rsidRDefault="006718B1" w:rsidP="006718B1">
      <w:pPr>
        <w:spacing w:before="0" w:after="0" w:line="240" w:lineRule="auto"/>
      </w:pPr>
      <w:r w:rsidRPr="007F36B1">
        <w:t>Rigoria E. Tejada</w:t>
      </w:r>
    </w:p>
    <w:p w14:paraId="6CBF45D9" w14:textId="77777777" w:rsidR="006718B1" w:rsidRPr="007F36B1" w:rsidRDefault="006718B1" w:rsidP="006718B1">
      <w:pPr>
        <w:spacing w:before="0" w:after="0" w:line="240" w:lineRule="auto"/>
      </w:pPr>
      <w:r w:rsidRPr="007F36B1">
        <w:t>Stacey Lee</w:t>
      </w:r>
    </w:p>
    <w:p w14:paraId="4BD332B7" w14:textId="0A7C205A" w:rsidR="006718B1" w:rsidRPr="007F36B1" w:rsidRDefault="006718B1" w:rsidP="006718B1">
      <w:pPr>
        <w:spacing w:before="0" w:after="0" w:line="240" w:lineRule="auto"/>
      </w:pPr>
      <w:r w:rsidRPr="007F36B1">
        <w:t>Tawreak Gamble-Eddington</w:t>
      </w:r>
    </w:p>
    <w:p w14:paraId="340C0BBF" w14:textId="15F157FA" w:rsidR="006718B1" w:rsidRPr="006718B1" w:rsidRDefault="006718B1" w:rsidP="00E97E73">
      <w:pPr>
        <w:pStyle w:val="Heading3"/>
      </w:pPr>
      <w:r w:rsidRPr="00867BFE">
        <w:t>APPOINTED MEMBERS</w:t>
      </w:r>
    </w:p>
    <w:p w14:paraId="4D2B7B13" w14:textId="77777777" w:rsidR="006718B1" w:rsidRPr="00E44F63" w:rsidRDefault="006718B1" w:rsidP="006718B1">
      <w:pPr>
        <w:spacing w:before="0" w:after="0" w:line="240" w:lineRule="auto"/>
        <w:rPr>
          <w:rStyle w:val="SubtleReference"/>
          <w:color w:val="864EA8" w:themeColor="accent1" w:themeShade="BF"/>
        </w:rPr>
      </w:pPr>
      <w:r w:rsidRPr="00E44F63">
        <w:rPr>
          <w:rStyle w:val="SubtleReference"/>
          <w:color w:val="864EA8" w:themeColor="accent1" w:themeShade="BF"/>
        </w:rPr>
        <w:t>American Academy of Pediatrics, MA</w:t>
      </w:r>
    </w:p>
    <w:p w14:paraId="181D6437" w14:textId="77777777" w:rsidR="006718B1" w:rsidRPr="00867BFE" w:rsidRDefault="006718B1" w:rsidP="006718B1">
      <w:pPr>
        <w:spacing w:before="0" w:after="0" w:line="240" w:lineRule="auto"/>
        <w:rPr>
          <w:sz w:val="22"/>
          <w:szCs w:val="22"/>
        </w:rPr>
      </w:pPr>
      <w:r w:rsidRPr="00867BFE">
        <w:rPr>
          <w:sz w:val="22"/>
          <w:szCs w:val="22"/>
        </w:rPr>
        <w:t>Carole Allen, MD</w:t>
      </w:r>
    </w:p>
    <w:p w14:paraId="3A9A636E" w14:textId="77777777" w:rsidR="006718B1" w:rsidRPr="00867BFE" w:rsidRDefault="006718B1" w:rsidP="006718B1">
      <w:pPr>
        <w:spacing w:before="0" w:after="0" w:line="240" w:lineRule="auto"/>
        <w:rPr>
          <w:sz w:val="22"/>
          <w:szCs w:val="22"/>
        </w:rPr>
      </w:pPr>
      <w:r w:rsidRPr="00867BFE">
        <w:rPr>
          <w:sz w:val="22"/>
          <w:szCs w:val="22"/>
        </w:rPr>
        <w:t>David Norton, MD</w:t>
      </w:r>
    </w:p>
    <w:p w14:paraId="4FE53772" w14:textId="77777777" w:rsidR="006718B1" w:rsidRPr="00867BFE" w:rsidRDefault="006718B1" w:rsidP="006718B1">
      <w:pPr>
        <w:spacing w:before="0" w:after="0" w:line="240" w:lineRule="auto"/>
        <w:rPr>
          <w:sz w:val="22"/>
          <w:szCs w:val="22"/>
        </w:rPr>
      </w:pPr>
      <w:r w:rsidRPr="00867BFE">
        <w:rPr>
          <w:sz w:val="22"/>
          <w:szCs w:val="22"/>
        </w:rPr>
        <w:t>{New Appointment in Progress}</w:t>
      </w:r>
    </w:p>
    <w:p w14:paraId="278CEB01" w14:textId="77777777" w:rsidR="006718B1" w:rsidRPr="00867BFE" w:rsidRDefault="006718B1" w:rsidP="006718B1">
      <w:pPr>
        <w:spacing w:before="0" w:after="0" w:line="240" w:lineRule="auto"/>
        <w:rPr>
          <w:sz w:val="22"/>
          <w:szCs w:val="22"/>
          <w:u w:val="single"/>
        </w:rPr>
      </w:pPr>
    </w:p>
    <w:p w14:paraId="64204FFD" w14:textId="77777777" w:rsidR="006718B1" w:rsidRPr="00E44F63" w:rsidRDefault="006718B1" w:rsidP="006718B1">
      <w:pPr>
        <w:spacing w:before="0" w:after="0" w:line="240" w:lineRule="auto"/>
        <w:rPr>
          <w:rStyle w:val="SubtleReference"/>
          <w:color w:val="864EA8" w:themeColor="accent1" w:themeShade="BF"/>
        </w:rPr>
      </w:pPr>
      <w:r w:rsidRPr="00E44F63">
        <w:rPr>
          <w:rStyle w:val="SubtleReference"/>
          <w:color w:val="864EA8" w:themeColor="accent1" w:themeShade="BF"/>
        </w:rPr>
        <w:t>American Federal of Teachers, MA</w:t>
      </w:r>
    </w:p>
    <w:p w14:paraId="46A999D1" w14:textId="77777777" w:rsidR="006718B1" w:rsidRPr="00867BFE" w:rsidRDefault="006718B1" w:rsidP="006718B1">
      <w:pPr>
        <w:spacing w:before="0" w:after="0" w:line="240" w:lineRule="auto"/>
        <w:rPr>
          <w:sz w:val="22"/>
          <w:szCs w:val="22"/>
        </w:rPr>
      </w:pPr>
      <w:r w:rsidRPr="00867BFE">
        <w:rPr>
          <w:sz w:val="22"/>
          <w:szCs w:val="22"/>
        </w:rPr>
        <w:t>Jessica Tang</w:t>
      </w:r>
    </w:p>
    <w:p w14:paraId="737EB8E5" w14:textId="77777777" w:rsidR="006718B1" w:rsidRPr="00867BFE" w:rsidRDefault="006718B1" w:rsidP="006718B1">
      <w:pPr>
        <w:spacing w:before="0" w:after="0" w:line="240" w:lineRule="auto"/>
        <w:rPr>
          <w:sz w:val="22"/>
          <w:szCs w:val="22"/>
        </w:rPr>
      </w:pPr>
    </w:p>
    <w:p w14:paraId="5F881E74" w14:textId="77777777" w:rsidR="006718B1" w:rsidRPr="00E44F63" w:rsidRDefault="006718B1" w:rsidP="006718B1">
      <w:pPr>
        <w:spacing w:before="0" w:after="0" w:line="240" w:lineRule="auto"/>
        <w:rPr>
          <w:rStyle w:val="SubtleReference"/>
          <w:color w:val="864EA8" w:themeColor="accent1" w:themeShade="BF"/>
        </w:rPr>
      </w:pPr>
      <w:r w:rsidRPr="00E44F63">
        <w:rPr>
          <w:rStyle w:val="SubtleReference"/>
          <w:color w:val="864EA8" w:themeColor="accent1" w:themeShade="BF"/>
        </w:rPr>
        <w:t>Fenway Health</w:t>
      </w:r>
    </w:p>
    <w:p w14:paraId="04052C53" w14:textId="77777777" w:rsidR="006718B1" w:rsidRPr="00867BFE" w:rsidRDefault="006718B1" w:rsidP="006718B1">
      <w:pPr>
        <w:spacing w:before="0" w:after="0" w:line="240" w:lineRule="auto"/>
        <w:rPr>
          <w:sz w:val="22"/>
          <w:szCs w:val="22"/>
        </w:rPr>
      </w:pPr>
      <w:r w:rsidRPr="00867BFE">
        <w:rPr>
          <w:sz w:val="22"/>
          <w:szCs w:val="22"/>
        </w:rPr>
        <w:t>Noah Glick</w:t>
      </w:r>
    </w:p>
    <w:p w14:paraId="55821A02" w14:textId="77777777" w:rsidR="006718B1" w:rsidRPr="00867BFE" w:rsidRDefault="006718B1" w:rsidP="006718B1">
      <w:pPr>
        <w:spacing w:before="0" w:after="0" w:line="240" w:lineRule="auto"/>
        <w:rPr>
          <w:sz w:val="22"/>
          <w:szCs w:val="22"/>
        </w:rPr>
      </w:pPr>
      <w:r w:rsidRPr="00867BFE">
        <w:rPr>
          <w:sz w:val="22"/>
          <w:szCs w:val="22"/>
        </w:rPr>
        <w:t>{New Appointment in Progress}</w:t>
      </w:r>
    </w:p>
    <w:p w14:paraId="7B2C9EDB" w14:textId="77777777" w:rsidR="006718B1" w:rsidRPr="00867BFE" w:rsidRDefault="006718B1" w:rsidP="006718B1">
      <w:pPr>
        <w:spacing w:before="0" w:after="0" w:line="240" w:lineRule="auto"/>
        <w:rPr>
          <w:sz w:val="22"/>
          <w:szCs w:val="22"/>
        </w:rPr>
      </w:pPr>
    </w:p>
    <w:p w14:paraId="1B7C1B1A" w14:textId="77777777" w:rsidR="00BF5B9D" w:rsidRDefault="00BF5B9D" w:rsidP="006718B1">
      <w:pPr>
        <w:spacing w:before="0" w:after="0" w:line="240" w:lineRule="auto"/>
        <w:rPr>
          <w:rStyle w:val="SubtleReference"/>
          <w:color w:val="864EA8" w:themeColor="accent1" w:themeShade="BF"/>
        </w:rPr>
      </w:pPr>
    </w:p>
    <w:p w14:paraId="79D7397B" w14:textId="25D29A74" w:rsidR="006718B1" w:rsidRPr="00E44F63" w:rsidRDefault="006718B1" w:rsidP="006718B1">
      <w:pPr>
        <w:spacing w:before="0" w:after="0" w:line="240" w:lineRule="auto"/>
        <w:rPr>
          <w:rStyle w:val="SubtleReference"/>
          <w:color w:val="864EA8" w:themeColor="accent1" w:themeShade="BF"/>
        </w:rPr>
      </w:pPr>
      <w:r w:rsidRPr="00E44F63">
        <w:rPr>
          <w:rStyle w:val="SubtleReference"/>
          <w:color w:val="864EA8" w:themeColor="accent1" w:themeShade="BF"/>
        </w:rPr>
        <w:t>GLSEN Massachusetts</w:t>
      </w:r>
    </w:p>
    <w:p w14:paraId="50C522B0" w14:textId="77777777" w:rsidR="006718B1" w:rsidRPr="00867BFE" w:rsidRDefault="006718B1" w:rsidP="006718B1">
      <w:pPr>
        <w:spacing w:before="0" w:after="0" w:line="240" w:lineRule="auto"/>
        <w:rPr>
          <w:sz w:val="22"/>
          <w:szCs w:val="22"/>
        </w:rPr>
      </w:pPr>
      <w:r w:rsidRPr="00867BFE">
        <w:rPr>
          <w:sz w:val="22"/>
          <w:szCs w:val="22"/>
        </w:rPr>
        <w:t>Jovanny Rosado</w:t>
      </w:r>
    </w:p>
    <w:p w14:paraId="35D08F48" w14:textId="77777777" w:rsidR="006718B1" w:rsidRPr="00867BFE" w:rsidRDefault="006718B1" w:rsidP="006718B1">
      <w:pPr>
        <w:spacing w:before="0" w:after="0" w:line="240" w:lineRule="auto"/>
        <w:rPr>
          <w:sz w:val="22"/>
          <w:szCs w:val="22"/>
        </w:rPr>
      </w:pPr>
      <w:r w:rsidRPr="00867BFE">
        <w:rPr>
          <w:sz w:val="22"/>
          <w:szCs w:val="22"/>
        </w:rPr>
        <w:t>Kelly Simon</w:t>
      </w:r>
    </w:p>
    <w:p w14:paraId="1D1592BA" w14:textId="77777777" w:rsidR="006718B1" w:rsidRPr="00867BFE" w:rsidRDefault="006718B1" w:rsidP="006718B1">
      <w:pPr>
        <w:spacing w:before="0" w:after="0" w:line="240" w:lineRule="auto"/>
        <w:rPr>
          <w:sz w:val="22"/>
          <w:szCs w:val="22"/>
          <w:u w:val="single"/>
        </w:rPr>
      </w:pPr>
    </w:p>
    <w:p w14:paraId="5FAAADAE" w14:textId="77777777" w:rsidR="006718B1" w:rsidRPr="00E44F63" w:rsidRDefault="006718B1" w:rsidP="006718B1">
      <w:pPr>
        <w:spacing w:before="0" w:after="0" w:line="240" w:lineRule="auto"/>
        <w:rPr>
          <w:rStyle w:val="SubtleReference"/>
          <w:color w:val="864EA8" w:themeColor="accent1" w:themeShade="BF"/>
        </w:rPr>
      </w:pPr>
      <w:r w:rsidRPr="00E44F63">
        <w:rPr>
          <w:rStyle w:val="SubtleReference"/>
          <w:color w:val="864EA8" w:themeColor="accent1" w:themeShade="BF"/>
        </w:rPr>
        <w:t>Greater Boston PFLAG</w:t>
      </w:r>
    </w:p>
    <w:p w14:paraId="31D5CA52" w14:textId="77777777" w:rsidR="006718B1" w:rsidRPr="00867BFE" w:rsidRDefault="006718B1" w:rsidP="006718B1">
      <w:pPr>
        <w:spacing w:before="0" w:after="0" w:line="240" w:lineRule="auto"/>
        <w:rPr>
          <w:sz w:val="22"/>
          <w:szCs w:val="22"/>
        </w:rPr>
      </w:pPr>
      <w:r w:rsidRPr="00867BFE">
        <w:rPr>
          <w:sz w:val="22"/>
          <w:szCs w:val="22"/>
        </w:rPr>
        <w:t>Aude Henin</w:t>
      </w:r>
    </w:p>
    <w:p w14:paraId="71BF8B05" w14:textId="77777777" w:rsidR="006718B1" w:rsidRPr="00867BFE" w:rsidRDefault="006718B1" w:rsidP="006718B1">
      <w:pPr>
        <w:spacing w:before="0" w:after="0" w:line="240" w:lineRule="auto"/>
        <w:rPr>
          <w:sz w:val="22"/>
          <w:szCs w:val="22"/>
        </w:rPr>
      </w:pPr>
      <w:r w:rsidRPr="00867BFE">
        <w:rPr>
          <w:sz w:val="22"/>
          <w:szCs w:val="22"/>
        </w:rPr>
        <w:t>Diane Gorman</w:t>
      </w:r>
    </w:p>
    <w:p w14:paraId="5C4539D9" w14:textId="77777777" w:rsidR="006718B1" w:rsidRPr="00867BFE" w:rsidRDefault="006718B1" w:rsidP="006718B1">
      <w:pPr>
        <w:spacing w:before="0" w:after="0" w:line="240" w:lineRule="auto"/>
        <w:rPr>
          <w:sz w:val="22"/>
          <w:szCs w:val="22"/>
        </w:rPr>
      </w:pPr>
      <w:r w:rsidRPr="00867BFE">
        <w:rPr>
          <w:sz w:val="22"/>
          <w:szCs w:val="22"/>
        </w:rPr>
        <w:t>Greg Dunlop</w:t>
      </w:r>
    </w:p>
    <w:p w14:paraId="66C91D8F" w14:textId="77777777" w:rsidR="006718B1" w:rsidRPr="00867BFE" w:rsidRDefault="006718B1" w:rsidP="006718B1">
      <w:pPr>
        <w:spacing w:before="0" w:after="0" w:line="240" w:lineRule="auto"/>
        <w:rPr>
          <w:sz w:val="22"/>
          <w:szCs w:val="22"/>
        </w:rPr>
      </w:pPr>
      <w:r w:rsidRPr="00867BFE">
        <w:rPr>
          <w:sz w:val="22"/>
          <w:szCs w:val="22"/>
        </w:rPr>
        <w:t>Josh Sheldon</w:t>
      </w:r>
    </w:p>
    <w:p w14:paraId="4C7FEE16" w14:textId="77777777" w:rsidR="006718B1" w:rsidRPr="00867BFE" w:rsidRDefault="006718B1" w:rsidP="006718B1">
      <w:pPr>
        <w:spacing w:before="0" w:after="0" w:line="240" w:lineRule="auto"/>
        <w:rPr>
          <w:sz w:val="22"/>
          <w:szCs w:val="22"/>
        </w:rPr>
      </w:pPr>
    </w:p>
    <w:p w14:paraId="62DD947D" w14:textId="77777777" w:rsidR="006718B1" w:rsidRPr="00E44F63" w:rsidRDefault="006718B1" w:rsidP="006718B1">
      <w:pPr>
        <w:spacing w:before="0" w:after="0" w:line="240" w:lineRule="auto"/>
        <w:rPr>
          <w:rStyle w:val="SubtleReference"/>
          <w:color w:val="864EA8" w:themeColor="accent1" w:themeShade="BF"/>
        </w:rPr>
      </w:pPr>
      <w:r w:rsidRPr="00E44F63">
        <w:rPr>
          <w:rStyle w:val="SubtleReference"/>
          <w:color w:val="864EA8" w:themeColor="accent1" w:themeShade="BF"/>
        </w:rPr>
        <w:t>Massachusetts Association of School Superintendents</w:t>
      </w:r>
    </w:p>
    <w:p w14:paraId="699658B9" w14:textId="77777777" w:rsidR="006718B1" w:rsidRPr="00867BFE" w:rsidRDefault="006718B1" w:rsidP="006718B1">
      <w:pPr>
        <w:spacing w:before="0" w:after="0" w:line="240" w:lineRule="auto"/>
        <w:rPr>
          <w:sz w:val="22"/>
          <w:szCs w:val="22"/>
        </w:rPr>
      </w:pPr>
      <w:r w:rsidRPr="00867BFE">
        <w:rPr>
          <w:sz w:val="22"/>
          <w:szCs w:val="22"/>
        </w:rPr>
        <w:t>Christopher Chew</w:t>
      </w:r>
    </w:p>
    <w:p w14:paraId="47D69ED4" w14:textId="77777777" w:rsidR="006718B1" w:rsidRPr="00867BFE" w:rsidRDefault="006718B1" w:rsidP="006718B1">
      <w:pPr>
        <w:spacing w:before="0" w:after="0" w:line="240" w:lineRule="auto"/>
        <w:rPr>
          <w:sz w:val="22"/>
          <w:szCs w:val="22"/>
        </w:rPr>
      </w:pPr>
      <w:r w:rsidRPr="00867BFE">
        <w:rPr>
          <w:sz w:val="22"/>
          <w:szCs w:val="22"/>
        </w:rPr>
        <w:t>Gary Burboa-Reese</w:t>
      </w:r>
    </w:p>
    <w:p w14:paraId="0F97FAE4" w14:textId="77777777" w:rsidR="006718B1" w:rsidRPr="00867BFE" w:rsidRDefault="006718B1" w:rsidP="006718B1">
      <w:pPr>
        <w:spacing w:before="0" w:after="0" w:line="240" w:lineRule="auto"/>
        <w:rPr>
          <w:sz w:val="22"/>
          <w:szCs w:val="22"/>
        </w:rPr>
      </w:pPr>
      <w:r w:rsidRPr="00867BFE">
        <w:rPr>
          <w:sz w:val="22"/>
          <w:szCs w:val="22"/>
        </w:rPr>
        <w:t>Sara Ahern</w:t>
      </w:r>
    </w:p>
    <w:p w14:paraId="5480C86E" w14:textId="77777777" w:rsidR="006718B1" w:rsidRPr="00867BFE" w:rsidRDefault="006718B1" w:rsidP="006718B1">
      <w:pPr>
        <w:spacing w:before="0" w:after="0" w:line="240" w:lineRule="auto"/>
        <w:rPr>
          <w:sz w:val="22"/>
          <w:szCs w:val="22"/>
        </w:rPr>
      </w:pPr>
    </w:p>
    <w:p w14:paraId="6B96085D" w14:textId="77777777" w:rsidR="006718B1" w:rsidRPr="00E44F63" w:rsidRDefault="006718B1" w:rsidP="006718B1">
      <w:pPr>
        <w:spacing w:before="0" w:after="0" w:line="240" w:lineRule="auto"/>
        <w:rPr>
          <w:rStyle w:val="SubtleReference"/>
          <w:color w:val="864EA8" w:themeColor="accent1" w:themeShade="BF"/>
        </w:rPr>
      </w:pPr>
      <w:r w:rsidRPr="00E44F63">
        <w:rPr>
          <w:rStyle w:val="SubtleReference"/>
          <w:color w:val="864EA8" w:themeColor="accent1" w:themeShade="BF"/>
        </w:rPr>
        <w:t>Massachusetts Coalition for Suicide Prevention</w:t>
      </w:r>
    </w:p>
    <w:p w14:paraId="75CBC0E8" w14:textId="77777777" w:rsidR="006718B1" w:rsidRPr="00867BFE" w:rsidRDefault="006718B1" w:rsidP="006718B1">
      <w:pPr>
        <w:spacing w:before="0" w:after="0" w:line="240" w:lineRule="auto"/>
        <w:rPr>
          <w:sz w:val="22"/>
          <w:szCs w:val="22"/>
        </w:rPr>
      </w:pPr>
      <w:r w:rsidRPr="00867BFE">
        <w:rPr>
          <w:sz w:val="22"/>
          <w:szCs w:val="22"/>
        </w:rPr>
        <w:t>Geo Ferrari</w:t>
      </w:r>
    </w:p>
    <w:p w14:paraId="24B47E7E" w14:textId="77777777" w:rsidR="006718B1" w:rsidRPr="00867BFE" w:rsidRDefault="006718B1" w:rsidP="006718B1">
      <w:pPr>
        <w:spacing w:before="0" w:after="0" w:line="240" w:lineRule="auto"/>
        <w:rPr>
          <w:sz w:val="22"/>
          <w:szCs w:val="22"/>
        </w:rPr>
      </w:pPr>
      <w:r w:rsidRPr="00867BFE">
        <w:rPr>
          <w:sz w:val="22"/>
          <w:szCs w:val="22"/>
        </w:rPr>
        <w:t>Lila Abruzzi</w:t>
      </w:r>
    </w:p>
    <w:p w14:paraId="3B656524" w14:textId="77777777" w:rsidR="006718B1" w:rsidRPr="00867BFE" w:rsidRDefault="006718B1" w:rsidP="006718B1">
      <w:pPr>
        <w:spacing w:before="0" w:after="0" w:line="240" w:lineRule="auto"/>
        <w:rPr>
          <w:sz w:val="22"/>
          <w:szCs w:val="22"/>
        </w:rPr>
      </w:pPr>
      <w:r w:rsidRPr="00867BFE">
        <w:rPr>
          <w:sz w:val="22"/>
          <w:szCs w:val="22"/>
        </w:rPr>
        <w:t>{New Appointment in Progress}</w:t>
      </w:r>
    </w:p>
    <w:p w14:paraId="3BE5E6DA" w14:textId="77777777" w:rsidR="006718B1" w:rsidRPr="00867BFE" w:rsidRDefault="006718B1" w:rsidP="006718B1">
      <w:pPr>
        <w:spacing w:before="0" w:after="0" w:line="240" w:lineRule="auto"/>
        <w:rPr>
          <w:sz w:val="22"/>
          <w:szCs w:val="22"/>
          <w:u w:val="single"/>
        </w:rPr>
      </w:pPr>
    </w:p>
    <w:p w14:paraId="7DD60BB0" w14:textId="77777777" w:rsidR="006718B1" w:rsidRPr="00E44F63" w:rsidRDefault="006718B1" w:rsidP="006718B1">
      <w:pPr>
        <w:spacing w:before="0" w:after="0" w:line="240" w:lineRule="auto"/>
        <w:rPr>
          <w:rStyle w:val="SubtleReference"/>
          <w:color w:val="864EA8" w:themeColor="accent1" w:themeShade="BF"/>
        </w:rPr>
      </w:pPr>
      <w:r w:rsidRPr="00E44F63">
        <w:rPr>
          <w:rStyle w:val="SubtleReference"/>
          <w:color w:val="864EA8" w:themeColor="accent1" w:themeShade="BF"/>
        </w:rPr>
        <w:t>MassEquality</w:t>
      </w:r>
    </w:p>
    <w:p w14:paraId="178B5E9E" w14:textId="77777777" w:rsidR="006718B1" w:rsidRPr="00867BFE" w:rsidRDefault="006718B1" w:rsidP="006718B1">
      <w:pPr>
        <w:spacing w:before="0" w:after="0" w:line="240" w:lineRule="auto"/>
        <w:rPr>
          <w:sz w:val="22"/>
          <w:szCs w:val="22"/>
        </w:rPr>
      </w:pPr>
      <w:r w:rsidRPr="00867BFE">
        <w:rPr>
          <w:sz w:val="22"/>
          <w:szCs w:val="22"/>
        </w:rPr>
        <w:t>Tanya Neslusan</w:t>
      </w:r>
    </w:p>
    <w:p w14:paraId="58B99AA7" w14:textId="77777777" w:rsidR="006718B1" w:rsidRPr="00867BFE" w:rsidRDefault="006718B1" w:rsidP="006718B1">
      <w:pPr>
        <w:spacing w:before="0" w:after="0" w:line="240" w:lineRule="auto"/>
        <w:rPr>
          <w:sz w:val="22"/>
          <w:szCs w:val="22"/>
          <w:u w:val="single"/>
        </w:rPr>
      </w:pPr>
    </w:p>
    <w:p w14:paraId="636EEEE7" w14:textId="77777777" w:rsidR="006718B1" w:rsidRPr="00E44F63" w:rsidRDefault="006718B1" w:rsidP="006718B1">
      <w:pPr>
        <w:spacing w:before="0" w:after="0" w:line="240" w:lineRule="auto"/>
        <w:rPr>
          <w:rStyle w:val="SubtleReference"/>
          <w:color w:val="864EA8" w:themeColor="accent1" w:themeShade="BF"/>
        </w:rPr>
      </w:pPr>
      <w:r w:rsidRPr="00E44F63">
        <w:rPr>
          <w:rStyle w:val="SubtleReference"/>
          <w:color w:val="864EA8" w:themeColor="accent1" w:themeShade="BF"/>
        </w:rPr>
        <w:t>Massachusetts Gay &amp; Lesbian Political Caucus</w:t>
      </w:r>
    </w:p>
    <w:p w14:paraId="31D005E3" w14:textId="77777777" w:rsidR="006718B1" w:rsidRPr="00867BFE" w:rsidRDefault="006718B1" w:rsidP="006718B1">
      <w:pPr>
        <w:spacing w:before="0" w:after="0" w:line="240" w:lineRule="auto"/>
        <w:rPr>
          <w:sz w:val="22"/>
          <w:szCs w:val="22"/>
        </w:rPr>
      </w:pPr>
      <w:r w:rsidRPr="00867BFE">
        <w:rPr>
          <w:sz w:val="22"/>
          <w:szCs w:val="22"/>
        </w:rPr>
        <w:t>Grace Sterling Stowell</w:t>
      </w:r>
    </w:p>
    <w:p w14:paraId="147E9382" w14:textId="77777777" w:rsidR="006718B1" w:rsidRPr="00867BFE" w:rsidRDefault="006718B1" w:rsidP="006718B1">
      <w:pPr>
        <w:spacing w:before="0" w:after="0" w:line="240" w:lineRule="auto"/>
        <w:rPr>
          <w:sz w:val="22"/>
          <w:szCs w:val="22"/>
        </w:rPr>
      </w:pPr>
      <w:r w:rsidRPr="00867BFE">
        <w:rPr>
          <w:sz w:val="22"/>
          <w:szCs w:val="22"/>
        </w:rPr>
        <w:t>{New Appointment in Progress}</w:t>
      </w:r>
    </w:p>
    <w:p w14:paraId="56EDA4FD" w14:textId="77777777" w:rsidR="006718B1" w:rsidRPr="00867BFE" w:rsidRDefault="006718B1" w:rsidP="006718B1">
      <w:pPr>
        <w:spacing w:before="0" w:after="0" w:line="240" w:lineRule="auto"/>
        <w:rPr>
          <w:sz w:val="22"/>
          <w:szCs w:val="22"/>
        </w:rPr>
      </w:pPr>
    </w:p>
    <w:p w14:paraId="75DF51AD" w14:textId="77777777" w:rsidR="006718B1" w:rsidRPr="00E44F63" w:rsidRDefault="006718B1" w:rsidP="006718B1">
      <w:pPr>
        <w:spacing w:before="0" w:after="0" w:line="240" w:lineRule="auto"/>
        <w:rPr>
          <w:rStyle w:val="SubtleReference"/>
          <w:color w:val="864EA8" w:themeColor="accent1" w:themeShade="BF"/>
        </w:rPr>
      </w:pPr>
      <w:r w:rsidRPr="00E44F63">
        <w:rPr>
          <w:rStyle w:val="SubtleReference"/>
          <w:color w:val="864EA8" w:themeColor="accent1" w:themeShade="BF"/>
        </w:rPr>
        <w:t>Massachusetts Public Health Association</w:t>
      </w:r>
    </w:p>
    <w:p w14:paraId="134D5CE6" w14:textId="77777777" w:rsidR="006718B1" w:rsidRPr="00867BFE" w:rsidRDefault="006718B1" w:rsidP="006718B1">
      <w:pPr>
        <w:spacing w:before="0" w:after="0" w:line="240" w:lineRule="auto"/>
        <w:rPr>
          <w:sz w:val="22"/>
          <w:szCs w:val="22"/>
        </w:rPr>
      </w:pPr>
      <w:r w:rsidRPr="00867BFE">
        <w:rPr>
          <w:sz w:val="22"/>
          <w:szCs w:val="22"/>
        </w:rPr>
        <w:t>Chastity Bowick</w:t>
      </w:r>
    </w:p>
    <w:p w14:paraId="19F1B18F" w14:textId="77777777" w:rsidR="006718B1" w:rsidRPr="00867BFE" w:rsidRDefault="006718B1" w:rsidP="006718B1">
      <w:pPr>
        <w:spacing w:before="0" w:after="0" w:line="240" w:lineRule="auto"/>
        <w:rPr>
          <w:sz w:val="22"/>
          <w:szCs w:val="22"/>
        </w:rPr>
      </w:pPr>
      <w:r w:rsidRPr="00867BFE">
        <w:rPr>
          <w:sz w:val="22"/>
          <w:szCs w:val="22"/>
        </w:rPr>
        <w:t>{New Appointment in Progress}</w:t>
      </w:r>
    </w:p>
    <w:p w14:paraId="683571CB" w14:textId="77777777" w:rsidR="006718B1" w:rsidRPr="00867BFE" w:rsidRDefault="006718B1" w:rsidP="006718B1">
      <w:pPr>
        <w:spacing w:before="0" w:after="0" w:line="240" w:lineRule="auto"/>
        <w:rPr>
          <w:sz w:val="22"/>
          <w:szCs w:val="22"/>
        </w:rPr>
      </w:pPr>
    </w:p>
    <w:p w14:paraId="655B7773" w14:textId="77777777" w:rsidR="006718B1" w:rsidRPr="00E44F63" w:rsidRDefault="006718B1" w:rsidP="006718B1">
      <w:pPr>
        <w:spacing w:before="0" w:after="0" w:line="240" w:lineRule="auto"/>
        <w:rPr>
          <w:rStyle w:val="SubtleReference"/>
          <w:color w:val="864EA8" w:themeColor="accent1" w:themeShade="BF"/>
        </w:rPr>
      </w:pPr>
      <w:r w:rsidRPr="00E44F63">
        <w:rPr>
          <w:rStyle w:val="SubtleReference"/>
          <w:color w:val="864EA8" w:themeColor="accent1" w:themeShade="BF"/>
        </w:rPr>
        <w:t>Massachusetts Teachers Association</w:t>
      </w:r>
    </w:p>
    <w:p w14:paraId="0102568A" w14:textId="77777777" w:rsidR="006718B1" w:rsidRPr="00867BFE" w:rsidRDefault="006718B1" w:rsidP="006718B1">
      <w:pPr>
        <w:spacing w:before="0" w:after="0" w:line="240" w:lineRule="auto"/>
        <w:rPr>
          <w:sz w:val="22"/>
          <w:szCs w:val="22"/>
        </w:rPr>
      </w:pPr>
      <w:r w:rsidRPr="00867BFE">
        <w:rPr>
          <w:sz w:val="22"/>
          <w:szCs w:val="22"/>
        </w:rPr>
        <w:t>Kirsten Frazier</w:t>
      </w:r>
    </w:p>
    <w:p w14:paraId="51BEA4DA" w14:textId="77777777" w:rsidR="006718B1" w:rsidRPr="00867BFE" w:rsidRDefault="006718B1" w:rsidP="006718B1">
      <w:pPr>
        <w:spacing w:before="0" w:after="0" w:line="240" w:lineRule="auto"/>
        <w:rPr>
          <w:sz w:val="22"/>
          <w:szCs w:val="22"/>
        </w:rPr>
      </w:pPr>
    </w:p>
    <w:p w14:paraId="19C72C4B" w14:textId="77777777" w:rsidR="006718B1" w:rsidRPr="00E44F63" w:rsidRDefault="006718B1" w:rsidP="006718B1">
      <w:pPr>
        <w:spacing w:before="0" w:after="0" w:line="240" w:lineRule="auto"/>
        <w:rPr>
          <w:rStyle w:val="SubtleReference"/>
          <w:color w:val="864EA8" w:themeColor="accent1" w:themeShade="BF"/>
        </w:rPr>
      </w:pPr>
      <w:r w:rsidRPr="00E44F63">
        <w:rPr>
          <w:rStyle w:val="SubtleReference"/>
          <w:color w:val="864EA8" w:themeColor="accent1" w:themeShade="BF"/>
        </w:rPr>
        <w:t>National Association of Social Workers, MA</w:t>
      </w:r>
    </w:p>
    <w:p w14:paraId="08FB0A2C" w14:textId="77777777" w:rsidR="006718B1" w:rsidRPr="00867BFE" w:rsidRDefault="006718B1" w:rsidP="006718B1">
      <w:pPr>
        <w:spacing w:before="0" w:after="0" w:line="240" w:lineRule="auto"/>
        <w:rPr>
          <w:sz w:val="22"/>
          <w:szCs w:val="22"/>
        </w:rPr>
      </w:pPr>
      <w:r w:rsidRPr="00867BFE">
        <w:rPr>
          <w:sz w:val="22"/>
          <w:szCs w:val="22"/>
        </w:rPr>
        <w:t>Ashley Waterberg</w:t>
      </w:r>
    </w:p>
    <w:p w14:paraId="21C1F40E" w14:textId="77777777" w:rsidR="006718B1" w:rsidRPr="00867BFE" w:rsidRDefault="006718B1" w:rsidP="006718B1">
      <w:pPr>
        <w:spacing w:before="0" w:after="0" w:line="240" w:lineRule="auto"/>
        <w:rPr>
          <w:sz w:val="22"/>
          <w:szCs w:val="22"/>
        </w:rPr>
      </w:pPr>
      <w:r w:rsidRPr="00867BFE">
        <w:rPr>
          <w:sz w:val="22"/>
          <w:szCs w:val="22"/>
        </w:rPr>
        <w:t>Gary Bailey</w:t>
      </w:r>
    </w:p>
    <w:p w14:paraId="28BC8E29" w14:textId="77777777" w:rsidR="006718B1" w:rsidRPr="00867BFE" w:rsidRDefault="006718B1" w:rsidP="006718B1">
      <w:pPr>
        <w:spacing w:before="0" w:after="0" w:line="240" w:lineRule="auto"/>
        <w:rPr>
          <w:sz w:val="22"/>
          <w:szCs w:val="22"/>
        </w:rPr>
      </w:pPr>
      <w:r w:rsidRPr="00867BFE">
        <w:rPr>
          <w:sz w:val="22"/>
          <w:szCs w:val="22"/>
        </w:rPr>
        <w:t>{New Appointment in Progress}</w:t>
      </w:r>
    </w:p>
    <w:p w14:paraId="3250ABD7" w14:textId="64A682E6" w:rsidR="007E1DD2" w:rsidRPr="004326F8" w:rsidRDefault="007E1DD2" w:rsidP="006718B1">
      <w:pPr>
        <w:rPr>
          <w:sz w:val="22"/>
          <w:szCs w:val="22"/>
        </w:rPr>
      </w:pPr>
    </w:p>
    <w:sectPr w:rsidR="007E1DD2" w:rsidRPr="004326F8" w:rsidSect="004326F8">
      <w:endnotePr>
        <w:numFmt w:val="decimal"/>
      </w:endnotePr>
      <w:type w:val="continuous"/>
      <w:pgSz w:w="12240" w:h="15840" w:code="1"/>
      <w:pgMar w:top="1440" w:right="1440" w:bottom="1350" w:left="1440" w:header="288"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DADB4" w14:textId="77777777" w:rsidR="00C40501" w:rsidRDefault="00C40501" w:rsidP="00E64629">
      <w:r>
        <w:separator/>
      </w:r>
    </w:p>
  </w:endnote>
  <w:endnote w:type="continuationSeparator" w:id="0">
    <w:p w14:paraId="60FA72DE" w14:textId="77777777" w:rsidR="00C40501" w:rsidRDefault="00C40501" w:rsidP="00E64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F36FF5F" w14:paraId="7E854509" w14:textId="77777777" w:rsidTr="7F36FF5F">
      <w:trPr>
        <w:trHeight w:val="300"/>
      </w:trPr>
      <w:tc>
        <w:tcPr>
          <w:tcW w:w="3120" w:type="dxa"/>
        </w:tcPr>
        <w:p w14:paraId="5AF5C016" w14:textId="5A8ECBBB" w:rsidR="7F36FF5F" w:rsidRDefault="7F36FF5F" w:rsidP="005D02DE">
          <w:pPr>
            <w:pStyle w:val="Header"/>
            <w:jc w:val="center"/>
          </w:pPr>
        </w:p>
      </w:tc>
      <w:tc>
        <w:tcPr>
          <w:tcW w:w="3120" w:type="dxa"/>
        </w:tcPr>
        <w:p w14:paraId="2C4A3D06" w14:textId="0B9973F1" w:rsidR="7F36FF5F" w:rsidRDefault="7F36FF5F" w:rsidP="005D02DE">
          <w:pPr>
            <w:pStyle w:val="Header"/>
            <w:jc w:val="center"/>
          </w:pPr>
          <w:r w:rsidRPr="7F36FF5F">
            <w:fldChar w:fldCharType="begin"/>
          </w:r>
          <w:r>
            <w:instrText>PAGE</w:instrText>
          </w:r>
          <w:r w:rsidRPr="7F36FF5F">
            <w:fldChar w:fldCharType="separate"/>
          </w:r>
          <w:r w:rsidR="007A7418">
            <w:rPr>
              <w:noProof/>
            </w:rPr>
            <w:t>1</w:t>
          </w:r>
          <w:r w:rsidRPr="7F36FF5F">
            <w:fldChar w:fldCharType="end"/>
          </w:r>
        </w:p>
      </w:tc>
      <w:tc>
        <w:tcPr>
          <w:tcW w:w="3120" w:type="dxa"/>
        </w:tcPr>
        <w:p w14:paraId="442A9D23" w14:textId="51647126" w:rsidR="7F36FF5F" w:rsidRDefault="7F36FF5F" w:rsidP="00E64629">
          <w:pPr>
            <w:pStyle w:val="Header"/>
          </w:pPr>
        </w:p>
      </w:tc>
    </w:tr>
  </w:tbl>
  <w:p w14:paraId="3F2C60AB" w14:textId="3FA2C2CA" w:rsidR="7F36FF5F" w:rsidRDefault="7F36FF5F" w:rsidP="00E64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41DC7" w14:textId="77777777" w:rsidR="00C40501" w:rsidRDefault="00C40501" w:rsidP="00E64629"/>
  </w:footnote>
  <w:footnote w:type="continuationSeparator" w:id="0">
    <w:p w14:paraId="64C29CE2" w14:textId="77777777" w:rsidR="00C40501" w:rsidRDefault="00C40501" w:rsidP="00E64629"/>
  </w:footnote>
  <w:footnote w:type="continuationNotice" w:id="1">
    <w:p w14:paraId="1DF784EA" w14:textId="77777777" w:rsidR="00C40501" w:rsidRDefault="00C40501">
      <w:pPr>
        <w:spacing w:before="0" w:after="0" w:line="240" w:lineRule="auto"/>
      </w:pPr>
    </w:p>
  </w:footnote>
  <w:footnote w:id="2">
    <w:p w14:paraId="56629C0F" w14:textId="16B0BFEF"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Lansing, Jiffy, Hannah Sumiko Daly, and Michael Pergamit. 2021. “How Employment Programs Can Support Young People Transitioning Out of Foster Care.” Urban Institute, September 20, 2021. </w:t>
      </w:r>
      <w:hyperlink r:id="rId1" w:tgtFrame="_new" w:history="1">
        <w:r w:rsidRPr="00F832F8">
          <w:rPr>
            <w:rStyle w:val="Hyperlink"/>
            <w:sz w:val="20"/>
            <w:szCs w:val="20"/>
          </w:rPr>
          <w:t>https://www.urban.org/research/publication/how-employment-programs-can-support-young-people-transitioning-out-foster-care</w:t>
        </w:r>
      </w:hyperlink>
      <w:r w:rsidRPr="00F832F8">
        <w:rPr>
          <w:sz w:val="20"/>
          <w:szCs w:val="20"/>
        </w:rPr>
        <w:t>.</w:t>
      </w:r>
    </w:p>
  </w:footnote>
  <w:footnote w:id="3">
    <w:p w14:paraId="6BE7BE0C" w14:textId="12008473"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Ackman, Paige. 2023. “Bowling with Bumpers: Increasing Social Capital for Foster Care Youth.” Georgetown Journal on Poverty Law &amp; Policy, January 31, 2023. </w:t>
      </w:r>
      <w:hyperlink r:id="rId2" w:tgtFrame="_new" w:history="1">
        <w:r w:rsidRPr="00F832F8">
          <w:rPr>
            <w:rStyle w:val="Hyperlink"/>
            <w:sz w:val="20"/>
            <w:szCs w:val="20"/>
          </w:rPr>
          <w:t>https://www.law.georgetown.edu/poverty-journal/blog/bowling-with-bumpers-increasing-social-capital-for-foster-care-youth/</w:t>
        </w:r>
      </w:hyperlink>
      <w:r w:rsidRPr="00F832F8">
        <w:rPr>
          <w:sz w:val="20"/>
          <w:szCs w:val="20"/>
        </w:rPr>
        <w:t>.</w:t>
      </w:r>
    </w:p>
  </w:footnote>
  <w:footnote w:id="4">
    <w:p w14:paraId="21177908" w14:textId="6FA46D43"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Department of Children &amp; Families. 2024. </w:t>
      </w:r>
      <w:r w:rsidRPr="00F832F8">
        <w:rPr>
          <w:i/>
          <w:iCs/>
          <w:sz w:val="20"/>
          <w:szCs w:val="20"/>
        </w:rPr>
        <w:t>Foster Care Review Report FY2023.</w:t>
      </w:r>
      <w:r w:rsidRPr="00F832F8">
        <w:rPr>
          <w:sz w:val="20"/>
          <w:szCs w:val="20"/>
        </w:rPr>
        <w:t xml:space="preserve"> November 2024. </w:t>
      </w:r>
      <w:hyperlink r:id="rId3" w:tgtFrame="_new" w:history="1">
        <w:r w:rsidRPr="00F832F8">
          <w:rPr>
            <w:rStyle w:val="Hyperlink"/>
            <w:sz w:val="20"/>
            <w:szCs w:val="20"/>
          </w:rPr>
          <w:t>https://www.mass.gov/doc/foster-care-review-report-fy-2023/download</w:t>
        </w:r>
      </w:hyperlink>
      <w:r w:rsidRPr="00F832F8">
        <w:rPr>
          <w:sz w:val="20"/>
          <w:szCs w:val="20"/>
        </w:rPr>
        <w:t>.</w:t>
      </w:r>
    </w:p>
  </w:footnote>
  <w:footnote w:id="5">
    <w:p w14:paraId="2B991C94" w14:textId="1017F5E6"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Paul, June C. 2020. “Exploring Support for LGBTQ Youth Transitioning from Foster Care into Emerging Adulthood.” </w:t>
      </w:r>
      <w:r w:rsidRPr="00F832F8">
        <w:rPr>
          <w:i/>
          <w:iCs/>
          <w:sz w:val="20"/>
          <w:szCs w:val="20"/>
        </w:rPr>
        <w:t>Children and Youth Services Review</w:t>
      </w:r>
      <w:r w:rsidRPr="00F832F8">
        <w:rPr>
          <w:sz w:val="20"/>
          <w:szCs w:val="20"/>
        </w:rPr>
        <w:t xml:space="preserve"> 119: 105481. </w:t>
      </w:r>
      <w:hyperlink r:id="rId4" w:tgtFrame="_new" w:history="1">
        <w:r w:rsidRPr="00F832F8">
          <w:rPr>
            <w:rStyle w:val="Hyperlink"/>
            <w:sz w:val="20"/>
            <w:szCs w:val="20"/>
          </w:rPr>
          <w:t>https://doi.org/10.1016/j.childyouth.2020.105481</w:t>
        </w:r>
      </w:hyperlink>
      <w:r w:rsidRPr="00F832F8">
        <w:rPr>
          <w:sz w:val="20"/>
          <w:szCs w:val="20"/>
        </w:rPr>
        <w:t>.</w:t>
      </w:r>
    </w:p>
  </w:footnote>
  <w:footnote w:id="6">
    <w:p w14:paraId="56D3226D" w14:textId="5CC4609E"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U.S. Department of Health and Human Services. n.d. </w:t>
      </w:r>
      <w:r w:rsidRPr="00F832F8">
        <w:rPr>
          <w:i/>
          <w:iCs/>
          <w:sz w:val="20"/>
          <w:szCs w:val="20"/>
        </w:rPr>
        <w:t>National Youth in Transition Database Outcomes Data Snapshot: Massachusetts (FY 2017–2021).</w:t>
      </w:r>
      <w:r w:rsidRPr="00F832F8">
        <w:rPr>
          <w:sz w:val="20"/>
          <w:szCs w:val="20"/>
        </w:rPr>
        <w:t xml:space="preserve"> Accessed May 18, 2026. https://acf.gov/sites/default/files/documents/cb/nytd-services-ma-2021.pdf.</w:t>
      </w:r>
    </w:p>
  </w:footnote>
  <w:footnote w:id="7">
    <w:p w14:paraId="06143648" w14:textId="1F7201BB"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Unaccompanied Homeless Youth Commission. 2024. </w:t>
      </w:r>
      <w:r w:rsidRPr="00F832F8">
        <w:rPr>
          <w:i/>
          <w:iCs/>
          <w:sz w:val="20"/>
          <w:szCs w:val="20"/>
        </w:rPr>
        <w:t>Massachusetts 2024 Youth Count.</w:t>
      </w:r>
      <w:r w:rsidRPr="00F832F8">
        <w:rPr>
          <w:sz w:val="20"/>
          <w:szCs w:val="20"/>
        </w:rPr>
        <w:t xml:space="preserve"> Prepared by Laurie Ross. </w:t>
      </w:r>
      <w:hyperlink r:id="rId5" w:tgtFrame="_new" w:history="1">
        <w:r w:rsidRPr="00F832F8">
          <w:rPr>
            <w:rStyle w:val="Hyperlink"/>
            <w:sz w:val="20"/>
            <w:szCs w:val="20"/>
          </w:rPr>
          <w:t>https://www.mass.gov/doc/2024-youth-count-report-pdf/download</w:t>
        </w:r>
      </w:hyperlink>
      <w:r w:rsidRPr="00F832F8">
        <w:rPr>
          <w:sz w:val="20"/>
          <w:szCs w:val="20"/>
        </w:rPr>
        <w:t xml:space="preserve">. </w:t>
      </w:r>
    </w:p>
  </w:footnote>
  <w:footnote w:id="8">
    <w:p w14:paraId="78EF118B" w14:textId="1D9559DF"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Department of Children &amp; Families. </w:t>
      </w:r>
      <w:r w:rsidRPr="00F832F8">
        <w:rPr>
          <w:i/>
          <w:iCs/>
          <w:sz w:val="20"/>
          <w:szCs w:val="20"/>
        </w:rPr>
        <w:t>FY 2024 Annual Report.</w:t>
      </w:r>
      <w:r w:rsidRPr="00F832F8">
        <w:rPr>
          <w:sz w:val="20"/>
          <w:szCs w:val="20"/>
        </w:rPr>
        <w:t xml:space="preserve"> February 2026. </w:t>
      </w:r>
      <w:hyperlink r:id="rId6" w:tgtFrame="_new" w:history="1">
        <w:r w:rsidRPr="00F832F8">
          <w:rPr>
            <w:rStyle w:val="Hyperlink"/>
            <w:sz w:val="20"/>
            <w:szCs w:val="20"/>
          </w:rPr>
          <w:t>https://www.mass.gov/doc/fy2024-dcf-annual-report/download</w:t>
        </w:r>
      </w:hyperlink>
      <w:r w:rsidRPr="00F832F8">
        <w:rPr>
          <w:sz w:val="20"/>
          <w:szCs w:val="20"/>
        </w:rPr>
        <w:t>.</w:t>
      </w:r>
    </w:p>
  </w:footnote>
  <w:footnote w:id="9">
    <w:p w14:paraId="04E0D571" w14:textId="7B4D174B"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Paul, June C. “Exploring support for LGBTQ youth transitioning from foster care into emerging adulthood.” Children and Youth Services Review 119 (2020): 105481. </w:t>
      </w:r>
      <w:hyperlink r:id="rId7">
        <w:r w:rsidRPr="00F832F8">
          <w:rPr>
            <w:rStyle w:val="Hyperlink"/>
            <w:sz w:val="20"/>
            <w:szCs w:val="20"/>
          </w:rPr>
          <w:t>https://doi.org/10.1016/j.childyouth.2020.105481</w:t>
        </w:r>
      </w:hyperlink>
      <w:r w:rsidRPr="00F832F8">
        <w:rPr>
          <w:sz w:val="20"/>
          <w:szCs w:val="20"/>
        </w:rPr>
        <w:t>.</w:t>
      </w:r>
    </w:p>
  </w:footnote>
  <w:footnote w:id="10">
    <w:p w14:paraId="2BCD3A06" w14:textId="41DE41BE"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Department of Children &amp; Families. “FY 2024 Annual Report.” February 2026. https://www.mass.gov/doc/fy2024-dcf-annual-report/download </w:t>
      </w:r>
    </w:p>
  </w:footnote>
  <w:footnote w:id="11">
    <w:p w14:paraId="55E672BD" w14:textId="79D4C096"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Dvorkin, Eli, and Mo Russell Leed. 2026. “Basic Income for Transition-Age Foster Youth: Adopting California’s Approach.” </w:t>
      </w:r>
      <w:r w:rsidRPr="00F832F8">
        <w:rPr>
          <w:i/>
          <w:iCs/>
          <w:sz w:val="20"/>
          <w:szCs w:val="20"/>
        </w:rPr>
        <w:t>Center for an Urban Future.</w:t>
      </w:r>
      <w:r w:rsidRPr="00F832F8">
        <w:rPr>
          <w:sz w:val="20"/>
          <w:szCs w:val="20"/>
        </w:rPr>
        <w:t xml:space="preserve"> Accessed April 26, 2026. </w:t>
      </w:r>
      <w:hyperlink r:id="rId8" w:tgtFrame="_new" w:history="1">
        <w:r w:rsidRPr="00F832F8">
          <w:rPr>
            <w:rStyle w:val="Hyperlink"/>
            <w:sz w:val="20"/>
            <w:szCs w:val="20"/>
          </w:rPr>
          <w:t>https://nycfuture.org/research/basic-income-for-transition-age-foster-youth</w:t>
        </w:r>
      </w:hyperlink>
      <w:r w:rsidRPr="00F832F8">
        <w:rPr>
          <w:sz w:val="20"/>
          <w:szCs w:val="20"/>
        </w:rPr>
        <w:t xml:space="preserve">.; Maryland General Assembly. 2026. </w:t>
      </w:r>
      <w:r w:rsidRPr="00F832F8">
        <w:rPr>
          <w:i/>
          <w:iCs/>
          <w:sz w:val="20"/>
          <w:szCs w:val="20"/>
        </w:rPr>
        <w:t>Human Services—Foster Care Transition Grant Program—Establishment,</w:t>
      </w:r>
      <w:r w:rsidRPr="00F832F8">
        <w:rPr>
          <w:sz w:val="20"/>
          <w:szCs w:val="20"/>
        </w:rPr>
        <w:t xml:space="preserve"> H.B. 628, 2026 Regular Session. </w:t>
      </w:r>
      <w:hyperlink r:id="rId9" w:tgtFrame="_new" w:history="1">
        <w:r w:rsidR="0013484E" w:rsidRPr="00F832F8">
          <w:rPr>
            <w:rStyle w:val="Hyperlink"/>
            <w:sz w:val="20"/>
            <w:szCs w:val="20"/>
          </w:rPr>
          <w:t>MD legislature</w:t>
        </w:r>
      </w:hyperlink>
      <w:r w:rsidRPr="00F832F8">
        <w:rPr>
          <w:sz w:val="20"/>
          <w:szCs w:val="20"/>
        </w:rPr>
        <w:t>.</w:t>
      </w:r>
    </w:p>
  </w:footnote>
  <w:footnote w:id="12">
    <w:p w14:paraId="05B968B5" w14:textId="40C04D6F"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NPR. 2021. “States Take Social Security Benefits of Foster Care Children to Pay for Services.” Accessed April 17, 2026. https://www.npr.org/2021/04/22/988806806/state-foster-care-agencies-take-millions-of-dollars-owed-to-children-in-their-care.</w:t>
      </w:r>
    </w:p>
  </w:footnote>
  <w:footnote w:id="13">
    <w:p w14:paraId="69F020F0" w14:textId="7CBD4634"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U.S. Congress. 2025. </w:t>
      </w:r>
      <w:r w:rsidRPr="00F832F8">
        <w:rPr>
          <w:i/>
          <w:iCs/>
          <w:sz w:val="20"/>
          <w:szCs w:val="20"/>
        </w:rPr>
        <w:t>An Act to Provide for Reconciliation Pursuant to Title II of H. Con. Res. 14.</w:t>
      </w:r>
      <w:r w:rsidRPr="00F832F8">
        <w:rPr>
          <w:sz w:val="20"/>
          <w:szCs w:val="20"/>
        </w:rPr>
        <w:t xml:space="preserve"> H.R. 1, 119th Cong. </w:t>
      </w:r>
      <w:hyperlink r:id="rId10" w:tgtFrame="_new" w:history="1">
        <w:r w:rsidRPr="00F832F8">
          <w:rPr>
            <w:rStyle w:val="Hyperlink"/>
            <w:sz w:val="20"/>
            <w:szCs w:val="20"/>
          </w:rPr>
          <w:t>https://www.congress.gov/bill/119th-congress/house-bill/1</w:t>
        </w:r>
      </w:hyperlink>
      <w:r w:rsidRPr="00F832F8">
        <w:rPr>
          <w:sz w:val="20"/>
          <w:szCs w:val="20"/>
        </w:rPr>
        <w:t>.</w:t>
      </w:r>
    </w:p>
  </w:footnote>
  <w:footnote w:id="14">
    <w:p w14:paraId="3D7CB8E6" w14:textId="1ACC4E89"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Rubin, Jerry, and Ayanna Warrington. “Addressing the Labor Shortage in Massachusetts: Engaging Untapped Talent.” </w:t>
      </w:r>
      <w:r w:rsidRPr="00F832F8">
        <w:rPr>
          <w:i/>
          <w:iCs/>
          <w:sz w:val="20"/>
          <w:szCs w:val="20"/>
        </w:rPr>
        <w:t>The Project on Workforce at Harvard,</w:t>
      </w:r>
      <w:r w:rsidRPr="00F832F8">
        <w:rPr>
          <w:sz w:val="20"/>
          <w:szCs w:val="20"/>
        </w:rPr>
        <w:t xml:space="preserve"> September 5, 2023. </w:t>
      </w:r>
      <w:hyperlink r:id="rId11" w:tgtFrame="_new" w:history="1">
        <w:r w:rsidRPr="00F832F8">
          <w:rPr>
            <w:rStyle w:val="Hyperlink"/>
            <w:sz w:val="20"/>
            <w:szCs w:val="20"/>
          </w:rPr>
          <w:t>https://www.pw.hks.harvard.edu/post/addressing-the-labor-shortage-in-massachusetts</w:t>
        </w:r>
      </w:hyperlink>
      <w:r w:rsidRPr="00F832F8">
        <w:rPr>
          <w:sz w:val="20"/>
          <w:szCs w:val="20"/>
        </w:rPr>
        <w:t>.</w:t>
      </w:r>
    </w:p>
  </w:footnote>
  <w:footnote w:id="15">
    <w:p w14:paraId="1F738FC8" w14:textId="2BF3CC85"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Wang, Leah, and Wanda Bertram. “New Data on Formerly Incarcerated People’s Employment Reveal Labor Market Injustices.” </w:t>
      </w:r>
      <w:r w:rsidRPr="00F832F8">
        <w:rPr>
          <w:i/>
          <w:iCs/>
          <w:sz w:val="20"/>
          <w:szCs w:val="20"/>
        </w:rPr>
        <w:t>Prison Policy Initiative,</w:t>
      </w:r>
      <w:r w:rsidRPr="00F832F8">
        <w:rPr>
          <w:sz w:val="20"/>
          <w:szCs w:val="20"/>
        </w:rPr>
        <w:t xml:space="preserve"> February 8, 2022. </w:t>
      </w:r>
      <w:hyperlink r:id="rId12" w:tgtFrame="_new" w:history="1">
        <w:r w:rsidRPr="00F832F8">
          <w:rPr>
            <w:rStyle w:val="Hyperlink"/>
            <w:sz w:val="20"/>
            <w:szCs w:val="20"/>
          </w:rPr>
          <w:t>https://www.prisonpolicy.org/blog/2022/02/08/employment/</w:t>
        </w:r>
      </w:hyperlink>
      <w:r w:rsidRPr="00F832F8">
        <w:rPr>
          <w:sz w:val="20"/>
          <w:szCs w:val="20"/>
        </w:rPr>
        <w:t xml:space="preserve">; Commonwealth Corporation. n.d. “Residential Work Programs—Department of Youth Services.” Accessed April 16, 2026. </w:t>
      </w:r>
      <w:hyperlink r:id="rId13" w:tgtFrame="_new" w:history="1">
        <w:r w:rsidRPr="00F832F8">
          <w:rPr>
            <w:rStyle w:val="Hyperlink"/>
            <w:sz w:val="20"/>
            <w:szCs w:val="20"/>
          </w:rPr>
          <w:t>https://commcorp.org/program/residential-work-programs-department-of-youth-services/</w:t>
        </w:r>
      </w:hyperlink>
      <w:r w:rsidRPr="00F832F8">
        <w:rPr>
          <w:sz w:val="20"/>
          <w:szCs w:val="20"/>
        </w:rPr>
        <w:t>.</w:t>
      </w:r>
    </w:p>
  </w:footnote>
  <w:footnote w:id="16">
    <w:p w14:paraId="15316E1A" w14:textId="66C1CA9F"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Ordorica, Catalina, Emily Dauria, Kathleen Kemp, Brandon Marshall, Johanna Folk, Marina Tolou-Shams, and Evan Holloway. 2023. “Psychiatric and Substance-Related Problems Predict Recidivism for First-Time Justice-Involved Youth.” </w:t>
      </w:r>
      <w:r w:rsidRPr="00F832F8">
        <w:rPr>
          <w:i/>
          <w:iCs/>
          <w:sz w:val="20"/>
          <w:szCs w:val="20"/>
        </w:rPr>
        <w:t>Journal of the American Academy of Psychiatry and the Law</w:t>
      </w:r>
      <w:r w:rsidRPr="00F832F8">
        <w:rPr>
          <w:sz w:val="20"/>
          <w:szCs w:val="20"/>
        </w:rPr>
        <w:t xml:space="preserve"> 51 (1). </w:t>
      </w:r>
      <w:hyperlink r:id="rId14" w:tgtFrame="_new" w:history="1">
        <w:r w:rsidRPr="00F832F8">
          <w:rPr>
            <w:rStyle w:val="Hyperlink"/>
            <w:sz w:val="20"/>
            <w:szCs w:val="20"/>
          </w:rPr>
          <w:t>https://doi.org/10.29158/JAAPL.220028-21</w:t>
        </w:r>
      </w:hyperlink>
      <w:r w:rsidRPr="00F832F8">
        <w:rPr>
          <w:sz w:val="20"/>
          <w:szCs w:val="20"/>
        </w:rPr>
        <w:t>.</w:t>
      </w:r>
    </w:p>
  </w:footnote>
  <w:footnote w:id="17">
    <w:p w14:paraId="150D850A" w14:textId="2B687910"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Sears, Brad, Christy Mallory, Andy Lin, and Neko Michelle Castleberry. </w:t>
      </w:r>
      <w:r w:rsidRPr="00F832F8">
        <w:rPr>
          <w:i/>
          <w:iCs/>
          <w:sz w:val="20"/>
          <w:szCs w:val="20"/>
        </w:rPr>
        <w:t>Workplace Experiences of Transgender Employees.</w:t>
      </w:r>
      <w:r w:rsidRPr="00F832F8">
        <w:rPr>
          <w:sz w:val="20"/>
          <w:szCs w:val="20"/>
        </w:rPr>
        <w:t xml:space="preserve"> Williams Institute, November 2024. </w:t>
      </w:r>
      <w:hyperlink r:id="rId15" w:tgtFrame="_new" w:history="1">
        <w:r w:rsidRPr="00F832F8">
          <w:rPr>
            <w:rStyle w:val="Hyperlink"/>
            <w:sz w:val="20"/>
            <w:szCs w:val="20"/>
          </w:rPr>
          <w:t>https://williamsinstitute.law.ucla.edu/wp-content/uploads/Trans-Workplace-Discrimination-Nov-2024.pdf</w:t>
        </w:r>
      </w:hyperlink>
      <w:r w:rsidRPr="00F832F8">
        <w:rPr>
          <w:sz w:val="20"/>
          <w:szCs w:val="20"/>
        </w:rPr>
        <w:t>.</w:t>
      </w:r>
    </w:p>
  </w:footnote>
  <w:footnote w:id="18">
    <w:p w14:paraId="191407C2" w14:textId="73AA3B19"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Abel, Martin, and Rulof Burger. “Unpacking Name-Based Race Discrimination.” SSRN, IZA Institute of Labor Economics, June 24, 2023. </w:t>
      </w:r>
      <w:hyperlink r:id="rId16" w:tgtFrame="_new" w:history="1">
        <w:r w:rsidRPr="00F832F8">
          <w:rPr>
            <w:rStyle w:val="Hyperlink"/>
            <w:sz w:val="20"/>
            <w:szCs w:val="20"/>
          </w:rPr>
          <w:t>https://papers.ssrn.com/sol3/papers.cfm?abstract_id=4490163</w:t>
        </w:r>
      </w:hyperlink>
      <w:r w:rsidRPr="00F832F8">
        <w:rPr>
          <w:sz w:val="20"/>
          <w:szCs w:val="20"/>
        </w:rPr>
        <w:t>.</w:t>
      </w:r>
    </w:p>
  </w:footnote>
  <w:footnote w:id="19">
    <w:p w14:paraId="02688A40" w14:textId="0C49F6F3" w:rsidR="00434076" w:rsidRPr="00F832F8" w:rsidRDefault="00434076"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Vidal S, Connell CM, Prince DM, </w:t>
      </w:r>
      <w:proofErr w:type="spellStart"/>
      <w:r w:rsidRPr="00F832F8">
        <w:rPr>
          <w:sz w:val="20"/>
          <w:szCs w:val="20"/>
        </w:rPr>
        <w:t>Tebes</w:t>
      </w:r>
      <w:proofErr w:type="spellEnd"/>
      <w:r w:rsidRPr="00F832F8">
        <w:rPr>
          <w:sz w:val="20"/>
          <w:szCs w:val="20"/>
        </w:rPr>
        <w:t xml:space="preserve"> JK. Multisystem-Involved Youth: A Developmental Framework and Implications for Research, Policy, and Practice. Adolesc Res Rev. 2019 Mar;4(1):15-29. doi: 10.1007/s40894-018-0088-1. Epub 2018 Jun 27. PMID: 30854418; PMCID: PMC6404973.</w:t>
      </w:r>
    </w:p>
  </w:footnote>
  <w:footnote w:id="20">
    <w:p w14:paraId="1092897F" w14:textId="0C55DAB3"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General Court. 2026. </w:t>
      </w:r>
      <w:r w:rsidRPr="00F832F8">
        <w:rPr>
          <w:i/>
          <w:iCs/>
          <w:sz w:val="20"/>
          <w:szCs w:val="20"/>
        </w:rPr>
        <w:t>An Act Relative to a Maltreatment Coding System.</w:t>
      </w:r>
      <w:r w:rsidRPr="00F832F8">
        <w:rPr>
          <w:sz w:val="20"/>
          <w:szCs w:val="20"/>
        </w:rPr>
        <w:t xml:space="preserve"> H. 273, 194th Gen. Ct. </w:t>
      </w:r>
      <w:hyperlink r:id="rId17" w:tgtFrame="_new" w:history="1">
        <w:r w:rsidRPr="00F832F8">
          <w:rPr>
            <w:rStyle w:val="Hyperlink"/>
            <w:sz w:val="20"/>
            <w:szCs w:val="20"/>
          </w:rPr>
          <w:t>https://malegislature.gov/Bills/194/H273</w:t>
        </w:r>
      </w:hyperlink>
      <w:r w:rsidRPr="00F832F8">
        <w:rPr>
          <w:sz w:val="20"/>
          <w:szCs w:val="20"/>
        </w:rPr>
        <w:t>.</w:t>
      </w:r>
    </w:p>
  </w:footnote>
  <w:footnote w:id="21">
    <w:p w14:paraId="61474310" w14:textId="4614ECFB"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Glisten (2026). The 2025 National School Climate Survey: School experiences of LGBTQ+ Youth in the U.S. New York: Glisten.</w:t>
      </w:r>
    </w:p>
  </w:footnote>
  <w:footnote w:id="22">
    <w:p w14:paraId="53BFFDF3" w14:textId="7EC4B810"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Baams, Laura, Bianca D. M. Wilson, and Stephen T. Russell. 2019. “LGBTQ Youth in Unstable Housing and Foster Care.” </w:t>
      </w:r>
      <w:r w:rsidRPr="00F832F8">
        <w:rPr>
          <w:i/>
          <w:iCs/>
          <w:sz w:val="20"/>
          <w:szCs w:val="20"/>
        </w:rPr>
        <w:t>Pediatrics</w:t>
      </w:r>
      <w:r w:rsidRPr="00F832F8">
        <w:rPr>
          <w:sz w:val="20"/>
          <w:szCs w:val="20"/>
        </w:rPr>
        <w:t xml:space="preserve"> 143 (3): e20174211. </w:t>
      </w:r>
      <w:hyperlink r:id="rId18" w:tgtFrame="_new" w:history="1">
        <w:r w:rsidRPr="00F832F8">
          <w:rPr>
            <w:rStyle w:val="Hyperlink"/>
            <w:sz w:val="20"/>
            <w:szCs w:val="20"/>
          </w:rPr>
          <w:t>https://doi.org/10.1542/peds.2017-4211</w:t>
        </w:r>
      </w:hyperlink>
      <w:r w:rsidRPr="00F832F8">
        <w:rPr>
          <w:sz w:val="20"/>
          <w:szCs w:val="20"/>
        </w:rPr>
        <w:t>.</w:t>
      </w:r>
    </w:p>
  </w:footnote>
  <w:footnote w:id="23">
    <w:p w14:paraId="552E16DB" w14:textId="0966D42C"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McCormick, Adam, Kathryn Schmidt, and Samuel Terrazas. 2017. “LGBTQ Youth in the Child Welfare System: An Overview of Research, Practice, and Policy.” </w:t>
      </w:r>
      <w:r w:rsidRPr="00F832F8">
        <w:rPr>
          <w:i/>
          <w:iCs/>
          <w:sz w:val="20"/>
          <w:szCs w:val="20"/>
        </w:rPr>
        <w:t>Journal of Public Child Welfare</w:t>
      </w:r>
      <w:r w:rsidRPr="00F832F8">
        <w:rPr>
          <w:sz w:val="20"/>
          <w:szCs w:val="20"/>
        </w:rPr>
        <w:t xml:space="preserve"> 11 (1): 27–39. </w:t>
      </w:r>
      <w:hyperlink r:id="rId19" w:tgtFrame="_new" w:history="1">
        <w:r w:rsidRPr="00F832F8">
          <w:rPr>
            <w:rStyle w:val="Hyperlink"/>
            <w:sz w:val="20"/>
            <w:szCs w:val="20"/>
          </w:rPr>
          <w:t>https://doi.org/10.1080/15548732.2016.1221368</w:t>
        </w:r>
      </w:hyperlink>
      <w:r w:rsidRPr="00F832F8">
        <w:rPr>
          <w:sz w:val="20"/>
          <w:szCs w:val="20"/>
        </w:rPr>
        <w:t>.</w:t>
      </w:r>
    </w:p>
  </w:footnote>
  <w:footnote w:id="24">
    <w:p w14:paraId="4473FD63" w14:textId="6B845544"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Department of Youth Services. n.d. “DYS Reports and Resources.” Accessed May 2, 2026. https://www.mass.gov/service-details/dys-reports-and-resources.</w:t>
      </w:r>
    </w:p>
  </w:footnote>
  <w:footnote w:id="25">
    <w:p w14:paraId="50042F75" w14:textId="60389E90"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Wilson, Bianca D. M., Sean P. Jordan, Ilan H. Meyer, Andrew R. Flores, Lara Stemple, and Jody L. Herman. 2017. “Disproportionality and Disparities among Sexual Minority Youth in Custody.” </w:t>
      </w:r>
      <w:r w:rsidRPr="00F832F8">
        <w:rPr>
          <w:i/>
          <w:iCs/>
          <w:sz w:val="20"/>
          <w:szCs w:val="20"/>
        </w:rPr>
        <w:t>Journal of Youth and Adolescence</w:t>
      </w:r>
      <w:r w:rsidRPr="00F832F8">
        <w:rPr>
          <w:sz w:val="20"/>
          <w:szCs w:val="20"/>
        </w:rPr>
        <w:t xml:space="preserve"> 46 (7): 1547–61. https://doi.org/10.1007/s10964-017-0632-5.</w:t>
      </w:r>
    </w:p>
  </w:footnote>
  <w:footnote w:id="26">
    <w:p w14:paraId="61EE845F" w14:textId="421BCD22"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Children’s League of Massachusetts. 2023.</w:t>
      </w:r>
      <w:r w:rsidRPr="00F832F8">
        <w:rPr>
          <w:i/>
          <w:iCs/>
          <w:sz w:val="20"/>
          <w:szCs w:val="20"/>
        </w:rPr>
        <w:t xml:space="preserve"> Where Do We Belong? Profiles of “High Acuity” Adolescents in Congregate Care and the System’s Struggle to Meet Their Needs</w:t>
      </w:r>
      <w:r w:rsidRPr="00F832F8">
        <w:rPr>
          <w:sz w:val="20"/>
          <w:szCs w:val="20"/>
        </w:rPr>
        <w:t>. https://www.childrensleague.org/wp-content/uploads/2023/03/CLM-Report-on-High-Acuity-Youth-March-2023-1.pdf.</w:t>
      </w:r>
    </w:p>
  </w:footnote>
  <w:footnote w:id="27">
    <w:p w14:paraId="02145A8F" w14:textId="4E5B9465"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Caregiving Youth Research Collaborative. 2023. </w:t>
      </w:r>
      <w:r w:rsidRPr="00F832F8">
        <w:rPr>
          <w:i/>
          <w:iCs/>
          <w:sz w:val="20"/>
          <w:szCs w:val="20"/>
        </w:rPr>
        <w:t>Caregiving Youth in the United States: A White Paper.</w:t>
      </w:r>
      <w:r w:rsidRPr="00F832F8">
        <w:rPr>
          <w:sz w:val="20"/>
          <w:szCs w:val="20"/>
        </w:rPr>
        <w:t xml:space="preserve"> CYRC.</w:t>
      </w:r>
    </w:p>
  </w:footnote>
  <w:footnote w:id="28">
    <w:p w14:paraId="33F041E5" w14:textId="54F63BF1"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Miller, Emma G., et al. 2024. “Youth and Young Adult Caregivers in the United States: A Demographic Profile and Analysis of Time Use.” </w:t>
      </w:r>
      <w:r w:rsidRPr="00F832F8">
        <w:rPr>
          <w:i/>
          <w:iCs/>
          <w:sz w:val="20"/>
          <w:szCs w:val="20"/>
        </w:rPr>
        <w:t>Demography</w:t>
      </w:r>
      <w:r w:rsidRPr="00F832F8">
        <w:rPr>
          <w:sz w:val="20"/>
          <w:szCs w:val="20"/>
        </w:rPr>
        <w:t xml:space="preserve"> 61 (4): 1091–1113.</w:t>
      </w:r>
    </w:p>
  </w:footnote>
  <w:footnote w:id="29">
    <w:p w14:paraId="22FC8609" w14:textId="6C7ECD12"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Caregiving Youth Research Collaborative.</w:t>
      </w:r>
    </w:p>
  </w:footnote>
  <w:footnote w:id="30">
    <w:p w14:paraId="3E80B8E2" w14:textId="03ACAFB9"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Caregiving Youth Research Collaborative.</w:t>
      </w:r>
    </w:p>
  </w:footnote>
  <w:footnote w:id="31">
    <w:p w14:paraId="43D87D09" w14:textId="1C776CF0"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Ormiston, C. K., and F. Williams. 2021. “LGBTQ Youth Mental Health during COVID-19: Unmet Needs in Public Health and Policy.” </w:t>
      </w:r>
      <w:r w:rsidRPr="00F832F8">
        <w:rPr>
          <w:i/>
          <w:iCs/>
          <w:sz w:val="20"/>
          <w:szCs w:val="20"/>
        </w:rPr>
        <w:t>The Lancet</w:t>
      </w:r>
      <w:r w:rsidRPr="00F832F8">
        <w:rPr>
          <w:sz w:val="20"/>
          <w:szCs w:val="20"/>
        </w:rPr>
        <w:t xml:space="preserve"> 399: 501–3. https://doi.org/10.1016/S0140-6736(21)02872-5.</w:t>
      </w:r>
    </w:p>
  </w:footnote>
  <w:footnote w:id="32">
    <w:p w14:paraId="174F2984" w14:textId="6339C34B"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The Trevor Project. 2023. “School-Related Protective Factors for LGBTQ Middle and High School Students.” </w:t>
      </w:r>
      <w:hyperlink r:id="rId20" w:tgtFrame="_new" w:history="1">
        <w:r w:rsidRPr="00F832F8">
          <w:rPr>
            <w:rStyle w:val="Hyperlink"/>
            <w:sz w:val="20"/>
            <w:szCs w:val="20"/>
          </w:rPr>
          <w:t>https://www.thetrevorproject.org/research-briefs/school-related-protective-factors-for-lgbtq-middle-and-high-school-students-aug-2023/</w:t>
        </w:r>
      </w:hyperlink>
      <w:r w:rsidRPr="00F832F8">
        <w:rPr>
          <w:sz w:val="20"/>
          <w:szCs w:val="20"/>
        </w:rPr>
        <w:t xml:space="preserve">; Feldman, S., Ryan J. Watson, and C. Gallik. 2022. “College Aspirations, Gender Sexuality Alliances, and Teacher Support among Diverse LGBTQ Youth.” </w:t>
      </w:r>
      <w:r w:rsidRPr="00F832F8">
        <w:rPr>
          <w:i/>
          <w:iCs/>
          <w:sz w:val="20"/>
          <w:szCs w:val="20"/>
        </w:rPr>
        <w:t>Educational Review</w:t>
      </w:r>
      <w:r w:rsidRPr="00F832F8">
        <w:rPr>
          <w:sz w:val="20"/>
          <w:szCs w:val="20"/>
        </w:rPr>
        <w:t xml:space="preserve"> 74 (2): 281–97. https://doi.org/10.1080/00131911.2020.1816907.</w:t>
      </w:r>
    </w:p>
  </w:footnote>
  <w:footnote w:id="33">
    <w:p w14:paraId="576AFC93" w14:textId="09B82F7F"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American Civil Liberties Union. 2026. “Mapping Attacks on LGBTQ Rights in U.S. State Legislatures in 2026.” </w:t>
      </w:r>
      <w:hyperlink r:id="rId21" w:tgtFrame="_new" w:history="1">
        <w:r w:rsidRPr="00F832F8">
          <w:rPr>
            <w:rStyle w:val="Hyperlink"/>
            <w:sz w:val="20"/>
            <w:szCs w:val="20"/>
          </w:rPr>
          <w:t>https://www.aclu.org/legislative-attacks-on-lgbtq-rights-2026</w:t>
        </w:r>
      </w:hyperlink>
      <w:r w:rsidRPr="00F832F8">
        <w:rPr>
          <w:sz w:val="20"/>
          <w:szCs w:val="20"/>
        </w:rPr>
        <w:t>.</w:t>
      </w:r>
    </w:p>
  </w:footnote>
  <w:footnote w:id="34">
    <w:p w14:paraId="746AC9AE" w14:textId="473EBF23"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The Trevor Project. 2024. “Sexual Violence and Suicide Risk among LGBTQ+ Young People.” </w:t>
      </w:r>
      <w:hyperlink r:id="rId22" w:tgtFrame="_new" w:history="1">
        <w:r w:rsidRPr="00F832F8">
          <w:rPr>
            <w:rStyle w:val="Hyperlink"/>
            <w:sz w:val="20"/>
            <w:szCs w:val="20"/>
          </w:rPr>
          <w:t>https://www.thetrevorproject.org/research-briefs/sexual-violence-and-suicide-risk-among-lgbtq-young-people/</w:t>
        </w:r>
      </w:hyperlink>
    </w:p>
  </w:footnote>
  <w:footnote w:id="35">
    <w:p w14:paraId="49DA5C8D" w14:textId="4E75F2BD"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Price, M. N., A. E. Green, J. P. DeChants, and C. K. Davis. 2023. “Physical Dating Violence Victimization among LGBTQ Youth: Disclosure and Association with Mental Health.” </w:t>
      </w:r>
      <w:r w:rsidRPr="00F832F8">
        <w:rPr>
          <w:i/>
          <w:iCs/>
          <w:sz w:val="20"/>
          <w:szCs w:val="20"/>
        </w:rPr>
        <w:t>Journal of Interpersonal Violence</w:t>
      </w:r>
      <w:r w:rsidRPr="00F832F8">
        <w:rPr>
          <w:sz w:val="20"/>
          <w:szCs w:val="20"/>
        </w:rPr>
        <w:t xml:space="preserve"> 38 (15–16): 9059–85. </w:t>
      </w:r>
      <w:hyperlink r:id="rId23" w:tgtFrame="_new" w:history="1">
        <w:r w:rsidRPr="00F832F8">
          <w:rPr>
            <w:rStyle w:val="Hyperlink"/>
            <w:sz w:val="20"/>
            <w:szCs w:val="20"/>
          </w:rPr>
          <w:t>https://doi.org/10.1177/08862605231162655</w:t>
        </w:r>
      </w:hyperlink>
      <w:r w:rsidRPr="00F832F8">
        <w:rPr>
          <w:sz w:val="20"/>
          <w:szCs w:val="20"/>
        </w:rPr>
        <w:t>.</w:t>
      </w:r>
    </w:p>
  </w:footnote>
  <w:footnote w:id="36">
    <w:p w14:paraId="31B6C624" w14:textId="67DC188E"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Rider, G. N., B. J. McMorris, C. Brown, M. E. Eisenberg, A. L. Gower, K. Johnston-Goodstar, M. Filoteo, E. Singergouse, and L. Martin. 2022. “Mental Health and Protective Factors for Transgender and Gender-Diverse Youths Who Trade Sex: A Minnesota Statewide School-Based Study, 2019.” </w:t>
      </w:r>
      <w:r w:rsidRPr="00F832F8">
        <w:rPr>
          <w:i/>
          <w:iCs/>
          <w:sz w:val="20"/>
          <w:szCs w:val="20"/>
        </w:rPr>
        <w:t>American Journal of Public Health</w:t>
      </w:r>
      <w:r w:rsidRPr="00F832F8">
        <w:rPr>
          <w:sz w:val="20"/>
          <w:szCs w:val="20"/>
        </w:rPr>
        <w:t xml:space="preserve"> 112 (3): 499–508. </w:t>
      </w:r>
      <w:hyperlink r:id="rId24" w:tgtFrame="_new" w:history="1">
        <w:r w:rsidRPr="00F832F8">
          <w:rPr>
            <w:rStyle w:val="Hyperlink"/>
            <w:sz w:val="20"/>
            <w:szCs w:val="20"/>
          </w:rPr>
          <w:t>https://doi.org/10.2105/AJPH.2021.306623</w:t>
        </w:r>
      </w:hyperlink>
      <w:r w:rsidRPr="00F832F8">
        <w:rPr>
          <w:sz w:val="20"/>
          <w:szCs w:val="20"/>
        </w:rPr>
        <w:t>.</w:t>
      </w:r>
    </w:p>
  </w:footnote>
  <w:footnote w:id="37">
    <w:p w14:paraId="72CF98EE" w14:textId="7C3BD2BF"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Ancheta, A. J., J.-M. Bruzzese, and T. L. Hughes. 2021. “The Impact of Positive School Climate on Suicidality and Mental Health among LGBTQ Adolescents: A Systematic Review.” </w:t>
      </w:r>
      <w:r w:rsidRPr="00F832F8">
        <w:rPr>
          <w:i/>
          <w:iCs/>
          <w:sz w:val="20"/>
          <w:szCs w:val="20"/>
        </w:rPr>
        <w:t>The Journal of School Nursing</w:t>
      </w:r>
      <w:r w:rsidRPr="00F832F8">
        <w:rPr>
          <w:sz w:val="20"/>
          <w:szCs w:val="20"/>
        </w:rPr>
        <w:t xml:space="preserve"> 37 (2): 75–86. </w:t>
      </w:r>
      <w:hyperlink r:id="rId25" w:tgtFrame="_new" w:history="1">
        <w:r w:rsidRPr="00F832F8">
          <w:rPr>
            <w:rStyle w:val="Hyperlink"/>
            <w:sz w:val="20"/>
            <w:szCs w:val="20"/>
          </w:rPr>
          <w:t>https://doi.org/10.1177/1059840520970847</w:t>
        </w:r>
      </w:hyperlink>
      <w:r w:rsidRPr="00F832F8">
        <w:rPr>
          <w:sz w:val="20"/>
          <w:szCs w:val="20"/>
        </w:rPr>
        <w:t>.</w:t>
      </w:r>
    </w:p>
  </w:footnote>
  <w:footnote w:id="38">
    <w:p w14:paraId="5048F16C" w14:textId="29B90AB6"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Poteat, V. P., I. Rivers, and O. Vecho. 2020. “Membership Experiences in Gender-Sexuality Alliances (GSAs) Predict Increased Hope and Attenuate the Effects of Victimization.” </w:t>
      </w:r>
      <w:r w:rsidRPr="00F832F8">
        <w:rPr>
          <w:i/>
          <w:iCs/>
          <w:sz w:val="20"/>
          <w:szCs w:val="20"/>
        </w:rPr>
        <w:t>Journal of School Psychology</w:t>
      </w:r>
      <w:r w:rsidRPr="00F832F8">
        <w:rPr>
          <w:sz w:val="20"/>
          <w:szCs w:val="20"/>
        </w:rPr>
        <w:t xml:space="preserve"> 79: 16–30. https://doi.org/10.1016/j.jsp.2020.02.001.</w:t>
      </w:r>
    </w:p>
  </w:footnote>
  <w:footnote w:id="39">
    <w:p w14:paraId="31C4E4E7" w14:textId="0EC13FC9"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The Trevor Project. 2024.</w:t>
      </w:r>
      <w:r w:rsidRPr="00F832F8">
        <w:rPr>
          <w:i/>
          <w:iCs/>
          <w:sz w:val="20"/>
          <w:szCs w:val="20"/>
        </w:rPr>
        <w:t xml:space="preserve"> “Civic Engagement and Mental Health among LGBTQ Young People.” </w:t>
      </w:r>
      <w:hyperlink r:id="rId26" w:tgtFrame="_new" w:history="1">
        <w:r w:rsidRPr="00F832F8">
          <w:rPr>
            <w:rStyle w:val="Hyperlink"/>
            <w:sz w:val="20"/>
            <w:szCs w:val="20"/>
          </w:rPr>
          <w:t>https://www.thetrevorproject.org/research-briefs/civic-engagement-and-mental-health-among-lgbtq-young-people/</w:t>
        </w:r>
      </w:hyperlink>
      <w:r w:rsidRPr="00F832F8">
        <w:rPr>
          <w:sz w:val="20"/>
          <w:szCs w:val="20"/>
        </w:rPr>
        <w:t>.</w:t>
      </w:r>
    </w:p>
  </w:footnote>
  <w:footnote w:id="40">
    <w:p w14:paraId="657D107D" w14:textId="55521483"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Sutter, J., and A. Watson. 2025. </w:t>
      </w:r>
      <w:r w:rsidRPr="00F832F8">
        <w:rPr>
          <w:i/>
          <w:iCs/>
          <w:sz w:val="20"/>
          <w:szCs w:val="20"/>
        </w:rPr>
        <w:t>The State of Youth Civic Engagement.</w:t>
      </w:r>
      <w:r w:rsidRPr="00F832F8">
        <w:rPr>
          <w:sz w:val="20"/>
          <w:szCs w:val="20"/>
        </w:rPr>
        <w:t xml:space="preserve"> National Association of State Boards of Education. </w:t>
      </w:r>
      <w:hyperlink r:id="rId27" w:tgtFrame="_new" w:history="1">
        <w:r w:rsidRPr="00F832F8">
          <w:rPr>
            <w:rStyle w:val="Hyperlink"/>
            <w:sz w:val="20"/>
            <w:szCs w:val="20"/>
          </w:rPr>
          <w:t>https://www.nasbe.org/the-state-of-youth-civic-engagement/</w:t>
        </w:r>
      </w:hyperlink>
      <w:r w:rsidRPr="00F832F8">
        <w:rPr>
          <w:sz w:val="20"/>
          <w:szCs w:val="20"/>
        </w:rPr>
        <w:t>.</w:t>
      </w:r>
    </w:p>
  </w:footnote>
  <w:footnote w:id="41">
    <w:p w14:paraId="28CA89D8" w14:textId="163EE3E4"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Medina, A., K. Siegel-Stechler, and S. Suzuki. 2025. “Young People and the 2024 Election: Struggling, Disconnected, and Dissatisfied.” </w:t>
      </w:r>
      <w:r w:rsidRPr="00F832F8">
        <w:rPr>
          <w:i/>
          <w:iCs/>
          <w:sz w:val="20"/>
          <w:szCs w:val="20"/>
        </w:rPr>
        <w:t>Circle at Tufts.</w:t>
      </w:r>
      <w:r w:rsidRPr="00F832F8">
        <w:rPr>
          <w:sz w:val="20"/>
          <w:szCs w:val="20"/>
        </w:rPr>
        <w:t xml:space="preserve"> </w:t>
      </w:r>
      <w:hyperlink r:id="rId28" w:tgtFrame="_new" w:history="1">
        <w:r w:rsidRPr="00F832F8">
          <w:rPr>
            <w:rStyle w:val="Hyperlink"/>
            <w:sz w:val="20"/>
            <w:szCs w:val="20"/>
          </w:rPr>
          <w:t>https://circle.tufts.edu/latest-research/2024-poll-barriers-issues-economy</w:t>
        </w:r>
      </w:hyperlink>
      <w:r w:rsidRPr="00F832F8">
        <w:rPr>
          <w:sz w:val="20"/>
          <w:szCs w:val="20"/>
        </w:rPr>
        <w:t xml:space="preserve">. </w:t>
      </w:r>
    </w:p>
  </w:footnote>
  <w:footnote w:id="42">
    <w:p w14:paraId="3D129C49" w14:textId="462E7D6C"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Booth, R. B., and A. Medina. 2025. “Youth Are Taking Civic </w:t>
      </w:r>
      <w:proofErr w:type="gramStart"/>
      <w:r w:rsidRPr="00F832F8">
        <w:rPr>
          <w:sz w:val="20"/>
          <w:szCs w:val="20"/>
        </w:rPr>
        <w:t>Action, but</w:t>
      </w:r>
      <w:proofErr w:type="gramEnd"/>
      <w:r w:rsidRPr="00F832F8">
        <w:rPr>
          <w:sz w:val="20"/>
          <w:szCs w:val="20"/>
        </w:rPr>
        <w:t xml:space="preserve"> Need Opportunities and Support to Overcome Socioeconomic Barriers.” </w:t>
      </w:r>
      <w:r w:rsidRPr="00F832F8">
        <w:rPr>
          <w:i/>
          <w:iCs/>
          <w:sz w:val="20"/>
          <w:szCs w:val="20"/>
        </w:rPr>
        <w:t>Circle at Tufts.</w:t>
      </w:r>
      <w:r w:rsidRPr="00F832F8">
        <w:rPr>
          <w:sz w:val="20"/>
          <w:szCs w:val="20"/>
        </w:rPr>
        <w:t xml:space="preserve"> </w:t>
      </w:r>
      <w:hyperlink r:id="rId29" w:tgtFrame="_new" w:history="1">
        <w:r w:rsidRPr="00F832F8">
          <w:rPr>
            <w:rStyle w:val="Hyperlink"/>
            <w:sz w:val="20"/>
            <w:szCs w:val="20"/>
          </w:rPr>
          <w:t>https://circle.tufts.edu/latest-research/youth-are-taking-civic-action-need-opportunities-and-support-overcome-socioeconomic</w:t>
        </w:r>
      </w:hyperlink>
      <w:r w:rsidRPr="00F832F8">
        <w:rPr>
          <w:sz w:val="20"/>
          <w:szCs w:val="20"/>
        </w:rPr>
        <w:t>.</w:t>
      </w:r>
    </w:p>
  </w:footnote>
  <w:footnote w:id="43">
    <w:p w14:paraId="15E90B20" w14:textId="3E70C7C5"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Ballard, P. J., L. T. Hoyt, and M. C. Pachucki. 2019. “Impacts of Adolescent and Young Adult Civic Engagement on Health and Socioeconomic Status in Adulthood.” </w:t>
      </w:r>
      <w:r w:rsidRPr="00F832F8">
        <w:rPr>
          <w:i/>
          <w:iCs/>
          <w:sz w:val="20"/>
          <w:szCs w:val="20"/>
        </w:rPr>
        <w:t>Child Development</w:t>
      </w:r>
      <w:r w:rsidRPr="00F832F8">
        <w:rPr>
          <w:sz w:val="20"/>
          <w:szCs w:val="20"/>
        </w:rPr>
        <w:t xml:space="preserve"> 90 (4): 1138–54. </w:t>
      </w:r>
      <w:hyperlink r:id="rId30" w:tgtFrame="_new" w:history="1">
        <w:r w:rsidRPr="00F832F8">
          <w:rPr>
            <w:rStyle w:val="Hyperlink"/>
            <w:sz w:val="20"/>
            <w:szCs w:val="20"/>
          </w:rPr>
          <w:t>https://doi.org/10.1111/cdev.12998</w:t>
        </w:r>
      </w:hyperlink>
      <w:r w:rsidRPr="00F832F8">
        <w:rPr>
          <w:sz w:val="20"/>
          <w:szCs w:val="20"/>
        </w:rPr>
        <w:t>.</w:t>
      </w:r>
    </w:p>
  </w:footnote>
  <w:footnote w:id="44">
    <w:p w14:paraId="4AC70F40" w14:textId="671A830D"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Booth, R. B. 2025. “Youth Lack Community Connections That Are Critical to Civic Engagement.” </w:t>
      </w:r>
      <w:r w:rsidRPr="00F832F8">
        <w:rPr>
          <w:i/>
          <w:iCs/>
          <w:sz w:val="20"/>
          <w:szCs w:val="20"/>
        </w:rPr>
        <w:t>Circle at Tufts.</w:t>
      </w:r>
      <w:r w:rsidRPr="00F832F8">
        <w:rPr>
          <w:sz w:val="20"/>
          <w:szCs w:val="20"/>
        </w:rPr>
        <w:t xml:space="preserve"> </w:t>
      </w:r>
      <w:hyperlink r:id="rId31" w:tgtFrame="_new" w:history="1">
        <w:r w:rsidRPr="00F832F8">
          <w:rPr>
            <w:rStyle w:val="Hyperlink"/>
            <w:sz w:val="20"/>
            <w:szCs w:val="20"/>
          </w:rPr>
          <w:t>https://circle.tufts.edu/latest-research/youth-lack-community-connections-are-critical-civic-engagement</w:t>
        </w:r>
      </w:hyperlink>
      <w:r w:rsidRPr="00F832F8">
        <w:rPr>
          <w:sz w:val="20"/>
          <w:szCs w:val="20"/>
        </w:rPr>
        <w:t>.</w:t>
      </w:r>
    </w:p>
  </w:footnote>
  <w:footnote w:id="45">
    <w:p w14:paraId="4A9C30A9" w14:textId="4DD07932"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United States Executive Office of the President. 2025. “Keeping Men Out of Women’s Sports.” </w:t>
      </w:r>
      <w:r w:rsidRPr="00F832F8">
        <w:rPr>
          <w:i/>
          <w:iCs/>
          <w:sz w:val="20"/>
          <w:szCs w:val="20"/>
        </w:rPr>
        <w:t>Federal Register</w:t>
      </w:r>
      <w:r w:rsidRPr="00F832F8">
        <w:rPr>
          <w:sz w:val="20"/>
          <w:szCs w:val="20"/>
        </w:rPr>
        <w:t>.</w:t>
      </w:r>
    </w:p>
  </w:footnote>
  <w:footnote w:id="46">
    <w:p w14:paraId="0F198BB9" w14:textId="7ACC2CB4"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American Civil Liberties Union. 2026. “Supreme Court Concludes Oral Arguments in Historic Transgender Rights Hearing.” </w:t>
      </w:r>
      <w:hyperlink r:id="rId32" w:tgtFrame="_new" w:history="1">
        <w:r w:rsidRPr="00F832F8">
          <w:rPr>
            <w:rStyle w:val="Hyperlink"/>
            <w:sz w:val="20"/>
            <w:szCs w:val="20"/>
          </w:rPr>
          <w:t>https://www.aclu.org/press-releases/supreme-court-concludes-oral-arguments-in-historic-transgender-rights-hearing</w:t>
        </w:r>
      </w:hyperlink>
      <w:r w:rsidRPr="00F832F8">
        <w:rPr>
          <w:sz w:val="20"/>
          <w:szCs w:val="20"/>
        </w:rPr>
        <w:t>.</w:t>
      </w:r>
    </w:p>
  </w:footnote>
  <w:footnote w:id="47">
    <w:p w14:paraId="3C01E442" w14:textId="21660E4C"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Commission on LGBTQ Youth. 2026. Data Analysis of the 2023 MYRBS Data Provided by DESE.</w:t>
      </w:r>
    </w:p>
  </w:footnote>
  <w:footnote w:id="48">
    <w:p w14:paraId="5F17D214" w14:textId="3433FE59"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Nath, Ronita, et al. 2025. </w:t>
      </w:r>
      <w:r w:rsidRPr="00F832F8">
        <w:rPr>
          <w:i/>
          <w:iCs/>
          <w:sz w:val="20"/>
          <w:szCs w:val="20"/>
        </w:rPr>
        <w:t>Project SPARK Interim Report: A Longitudinal Study of Risk and Protective Factors in LGBTQ+ Youth Mental Health (2023–2025).</w:t>
      </w:r>
      <w:r w:rsidRPr="00F832F8">
        <w:rPr>
          <w:sz w:val="20"/>
          <w:szCs w:val="20"/>
        </w:rPr>
        <w:t xml:space="preserve"> The Trevor Project. </w:t>
      </w:r>
      <w:hyperlink r:id="rId33" w:tgtFrame="_new" w:history="1">
        <w:r w:rsidRPr="00F832F8">
          <w:rPr>
            <w:rStyle w:val="Hyperlink"/>
            <w:sz w:val="20"/>
            <w:szCs w:val="20"/>
          </w:rPr>
          <w:t>https://doi.org/10.70226/OSCY3344</w:t>
        </w:r>
      </w:hyperlink>
      <w:r w:rsidRPr="00F832F8">
        <w:rPr>
          <w:sz w:val="20"/>
          <w:szCs w:val="20"/>
        </w:rPr>
        <w:t>.</w:t>
      </w:r>
    </w:p>
  </w:footnote>
  <w:footnote w:id="49">
    <w:p w14:paraId="2F6B3CDC" w14:textId="5AF9A903"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Commission on LGBTQ Youth. 2022. </w:t>
      </w:r>
      <w:r w:rsidRPr="00F832F8">
        <w:rPr>
          <w:i/>
          <w:iCs/>
          <w:sz w:val="20"/>
          <w:szCs w:val="20"/>
        </w:rPr>
        <w:t>FY 2023 Annual Recommendations Report</w:t>
      </w:r>
      <w:r w:rsidRPr="00F832F8">
        <w:rPr>
          <w:sz w:val="20"/>
          <w:szCs w:val="20"/>
        </w:rPr>
        <w:t>.</w:t>
      </w:r>
    </w:p>
  </w:footnote>
  <w:footnote w:id="50">
    <w:p w14:paraId="12A73DC8" w14:textId="409DDD06"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Board of Elementary and Secondary Education. 2015. Principles for Ensuring Safe and Supportive Learning Environments for Lesbian, Gay, Bisexual, Transgender, Queer, and Questioning (LGBTQ) Students. Accessed May 2, 2026. </w:t>
      </w:r>
    </w:p>
  </w:footnote>
  <w:footnote w:id="51">
    <w:p w14:paraId="18E3ED33" w14:textId="77777777" w:rsidR="00401CAC" w:rsidRPr="00F832F8" w:rsidRDefault="00401CAC"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Glisten. 2026. </w:t>
      </w:r>
      <w:r w:rsidRPr="00F832F8">
        <w:rPr>
          <w:i/>
          <w:iCs/>
          <w:sz w:val="20"/>
          <w:szCs w:val="20"/>
        </w:rPr>
        <w:t>2025 National School Climate Survey</w:t>
      </w:r>
      <w:r w:rsidRPr="00F832F8">
        <w:rPr>
          <w:sz w:val="20"/>
          <w:szCs w:val="20"/>
        </w:rPr>
        <w:t>. https://glisten.org/nscs2025/.</w:t>
      </w:r>
    </w:p>
  </w:footnote>
  <w:footnote w:id="52">
    <w:p w14:paraId="411F0411" w14:textId="60C32218"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Glisten. 2023. </w:t>
      </w:r>
      <w:r w:rsidRPr="00F832F8">
        <w:rPr>
          <w:i/>
          <w:iCs/>
          <w:sz w:val="20"/>
          <w:szCs w:val="20"/>
        </w:rPr>
        <w:t>2021 National School Climate Survey State Snapshot: School Climate for LGBTQ+ Students in Massachusetts</w:t>
      </w:r>
      <w:r w:rsidRPr="00F832F8">
        <w:rPr>
          <w:sz w:val="20"/>
          <w:szCs w:val="20"/>
        </w:rPr>
        <w:t xml:space="preserve">. </w:t>
      </w:r>
      <w:hyperlink r:id="rId34" w:tgtFrame="_new" w:history="1">
        <w:r w:rsidRPr="00F832F8">
          <w:rPr>
            <w:rStyle w:val="Hyperlink"/>
            <w:sz w:val="20"/>
            <w:szCs w:val="20"/>
          </w:rPr>
          <w:t>https://maps.glsen.org/wp-content/uploads/2023/02/GLSEN_2021_NSCS_State_Snapshots_MA.pdf</w:t>
        </w:r>
      </w:hyperlink>
      <w:r w:rsidRPr="00F832F8">
        <w:rPr>
          <w:sz w:val="20"/>
          <w:szCs w:val="20"/>
        </w:rPr>
        <w:t>.</w:t>
      </w:r>
    </w:p>
  </w:footnote>
  <w:footnote w:id="53">
    <w:p w14:paraId="2E077E36" w14:textId="7BCD828E"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Huffaker, C. 2024. “Charts: See Which Mass. Districts Have Banned Books, What Books Are Most Common Targets of Challenges.” </w:t>
      </w:r>
      <w:r w:rsidRPr="00F832F8">
        <w:rPr>
          <w:i/>
          <w:iCs/>
          <w:sz w:val="20"/>
          <w:szCs w:val="20"/>
        </w:rPr>
        <w:t>The Boston Globe.</w:t>
      </w:r>
      <w:r w:rsidRPr="00F832F8">
        <w:rPr>
          <w:sz w:val="20"/>
          <w:szCs w:val="20"/>
        </w:rPr>
        <w:t xml:space="preserve"> Accessed April 22, 2026. </w:t>
      </w:r>
    </w:p>
  </w:footnote>
  <w:footnote w:id="54">
    <w:p w14:paraId="47FB0EB6" w14:textId="6F7AEDD9"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Bruno, C. 2023. “Beyond Book Bans: How Book Challenges Are Impacting Librarians and Libraries in Massachusetts.” </w:t>
      </w:r>
      <w:r w:rsidRPr="00F832F8">
        <w:rPr>
          <w:i/>
          <w:iCs/>
          <w:sz w:val="20"/>
          <w:szCs w:val="20"/>
        </w:rPr>
        <w:t>MBLC Blog.</w:t>
      </w:r>
      <w:r w:rsidRPr="00F832F8">
        <w:rPr>
          <w:sz w:val="20"/>
          <w:szCs w:val="20"/>
        </w:rPr>
        <w:t xml:space="preserve"> Accessed April 25, 2026. </w:t>
      </w:r>
      <w:hyperlink r:id="rId35" w:tgtFrame="_new" w:history="1">
        <w:r w:rsidRPr="00F832F8">
          <w:rPr>
            <w:rStyle w:val="Hyperlink"/>
            <w:sz w:val="20"/>
            <w:szCs w:val="20"/>
          </w:rPr>
          <w:t>https://mblc.state.ma.us/mblc_blog/2023/09/12/beyond-book-bans-how-book-challenges-are-impacting-librarians-and-libraries-in-massachusetts/</w:t>
        </w:r>
      </w:hyperlink>
      <w:r w:rsidRPr="00F832F8">
        <w:rPr>
          <w:sz w:val="20"/>
          <w:szCs w:val="20"/>
        </w:rPr>
        <w:t>.</w:t>
      </w:r>
    </w:p>
  </w:footnote>
  <w:footnote w:id="55">
    <w:p w14:paraId="5E830FC6" w14:textId="77777777" w:rsidR="00401CAC" w:rsidRPr="00F832F8" w:rsidRDefault="00401CAC"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General Court. 2026. </w:t>
      </w:r>
      <w:r w:rsidRPr="00F832F8">
        <w:rPr>
          <w:i/>
          <w:iCs/>
          <w:sz w:val="20"/>
          <w:szCs w:val="20"/>
        </w:rPr>
        <w:t>An Act Relative to LGBTQ+ Inclusive Curriculum.</w:t>
      </w:r>
      <w:r w:rsidRPr="00F832F8">
        <w:rPr>
          <w:sz w:val="20"/>
          <w:szCs w:val="20"/>
        </w:rPr>
        <w:t xml:space="preserve"> S. 336, 194th Gen. Ct. </w:t>
      </w:r>
      <w:hyperlink r:id="rId36" w:tgtFrame="_new" w:history="1">
        <w:r w:rsidRPr="00F832F8">
          <w:rPr>
            <w:rStyle w:val="Hyperlink"/>
            <w:sz w:val="20"/>
            <w:szCs w:val="20"/>
          </w:rPr>
          <w:t>https://legiscan.com/MA/bill/S336/2025</w:t>
        </w:r>
      </w:hyperlink>
      <w:r w:rsidRPr="00F832F8">
        <w:rPr>
          <w:sz w:val="20"/>
          <w:szCs w:val="20"/>
        </w:rPr>
        <w:t>.</w:t>
      </w:r>
    </w:p>
  </w:footnote>
  <w:footnote w:id="56">
    <w:p w14:paraId="51C8CC63" w14:textId="033880D7"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Healey, Maura, and Andrea Joy Campbell. 2025. “Governor Healey and Attorney General Campbell Issue Joint Guidance Affirming Commitment to Equal Access to Education.” </w:t>
      </w:r>
      <w:r w:rsidRPr="00F832F8">
        <w:rPr>
          <w:i/>
          <w:iCs/>
          <w:sz w:val="20"/>
          <w:szCs w:val="20"/>
        </w:rPr>
        <w:t>Commonwealth of Massachusetts.</w:t>
      </w:r>
      <w:r w:rsidRPr="00F832F8">
        <w:rPr>
          <w:sz w:val="20"/>
          <w:szCs w:val="20"/>
        </w:rPr>
        <w:t xml:space="preserve"> </w:t>
      </w:r>
      <w:hyperlink r:id="rId37" w:tgtFrame="_new" w:history="1">
        <w:r w:rsidRPr="00F832F8">
          <w:rPr>
            <w:rStyle w:val="Hyperlink"/>
            <w:sz w:val="20"/>
            <w:szCs w:val="20"/>
          </w:rPr>
          <w:t>https://www.mass.gov/news/governor-healey-and-attorney-general-campbell-issue-joint-guidance-affirming-commitment-to-equal-access-to-education</w:t>
        </w:r>
      </w:hyperlink>
      <w:r w:rsidRPr="00F832F8">
        <w:rPr>
          <w:sz w:val="20"/>
          <w:szCs w:val="20"/>
        </w:rPr>
        <w:t>.</w:t>
      </w:r>
    </w:p>
  </w:footnote>
  <w:footnote w:id="57">
    <w:p w14:paraId="088E3D76" w14:textId="4320243C"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Nath, R., D. Matthews, S. Hobaica, T. M. Eden, A. B. Taylor, J. P. DeChants, and K. Suffredini. 2025. </w:t>
      </w:r>
      <w:r w:rsidRPr="00F832F8">
        <w:rPr>
          <w:i/>
          <w:iCs/>
          <w:sz w:val="20"/>
          <w:szCs w:val="20"/>
        </w:rPr>
        <w:t>2024 U.S. National Survey on the Mental Health of LGBTQ+ Young People by State—Massachusetts.</w:t>
      </w:r>
      <w:r w:rsidRPr="00F832F8">
        <w:rPr>
          <w:sz w:val="20"/>
          <w:szCs w:val="20"/>
        </w:rPr>
        <w:t xml:space="preserve"> The Trevor Project. </w:t>
      </w:r>
      <w:hyperlink r:id="rId38" w:tgtFrame="_new" w:history="1">
        <w:r w:rsidRPr="00F832F8">
          <w:rPr>
            <w:rStyle w:val="Hyperlink"/>
            <w:sz w:val="20"/>
            <w:szCs w:val="20"/>
          </w:rPr>
          <w:t>https://www.thetrevorproject.org/state-reports-massachusetts-2024/</w:t>
        </w:r>
      </w:hyperlink>
      <w:r w:rsidRPr="00F832F8">
        <w:rPr>
          <w:sz w:val="20"/>
          <w:szCs w:val="20"/>
        </w:rPr>
        <w:t xml:space="preserve">. </w:t>
      </w:r>
    </w:p>
  </w:footnote>
  <w:footnote w:id="58">
    <w:p w14:paraId="4A5617D3" w14:textId="0F39C61D"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Leung, E., G. Kassel-Gomez, S. Sullivan, F. Murahara, and T. Flanagan. 2022. “Social Support in Schools and Related Outcomes for LGBTQ Youth: A Scoping Review.” </w:t>
      </w:r>
      <w:r w:rsidRPr="00F832F8">
        <w:rPr>
          <w:i/>
          <w:iCs/>
          <w:sz w:val="20"/>
          <w:szCs w:val="20"/>
        </w:rPr>
        <w:t>Discover Education</w:t>
      </w:r>
      <w:r w:rsidRPr="00F832F8">
        <w:rPr>
          <w:sz w:val="20"/>
          <w:szCs w:val="20"/>
        </w:rPr>
        <w:t xml:space="preserve"> 1 (18). </w:t>
      </w:r>
      <w:hyperlink r:id="rId39" w:tgtFrame="_new" w:history="1">
        <w:r w:rsidRPr="00F832F8">
          <w:rPr>
            <w:rStyle w:val="Hyperlink"/>
            <w:sz w:val="20"/>
            <w:szCs w:val="20"/>
          </w:rPr>
          <w:t>https://doi.org/10.1007/s44217-022-00016-9</w:t>
        </w:r>
      </w:hyperlink>
      <w:r w:rsidRPr="00F832F8">
        <w:rPr>
          <w:sz w:val="20"/>
          <w:szCs w:val="20"/>
        </w:rPr>
        <w:t>.</w:t>
      </w:r>
    </w:p>
  </w:footnote>
  <w:footnote w:id="59">
    <w:p w14:paraId="7F90545D" w14:textId="2EC38703"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Kosciw, Joseph G., Caitlin M. Clark, and Leesh Menard. 2022. </w:t>
      </w:r>
      <w:r w:rsidRPr="00F832F8">
        <w:rPr>
          <w:i/>
          <w:iCs/>
          <w:sz w:val="20"/>
          <w:szCs w:val="20"/>
        </w:rPr>
        <w:t>The 2021 National School Climate Survey: The Experiences of LGBTQ+ Youth in Our Nation’s Schools.</w:t>
      </w:r>
      <w:r w:rsidRPr="00F832F8">
        <w:rPr>
          <w:sz w:val="20"/>
          <w:szCs w:val="20"/>
        </w:rPr>
        <w:t xml:space="preserve"> New York: GLSEN. </w:t>
      </w:r>
      <w:hyperlink r:id="rId40" w:tgtFrame="_new" w:history="1">
        <w:r w:rsidRPr="00F832F8">
          <w:rPr>
            <w:rStyle w:val="Hyperlink"/>
            <w:sz w:val="20"/>
            <w:szCs w:val="20"/>
          </w:rPr>
          <w:t>https://www.glsen.org/sites/default/files/2022-10/NSCS-2021-Full-Report.pdf</w:t>
        </w:r>
      </w:hyperlink>
      <w:r w:rsidRPr="00F832F8">
        <w:rPr>
          <w:sz w:val="20"/>
          <w:szCs w:val="20"/>
        </w:rPr>
        <w:t>.</w:t>
      </w:r>
    </w:p>
  </w:footnote>
  <w:footnote w:id="60">
    <w:p w14:paraId="2A0661FD" w14:textId="245B342C"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Glisten. 2025. “2025 National School Climate Survey.” </w:t>
      </w:r>
      <w:hyperlink r:id="rId41" w:tgtFrame="_new" w:history="1">
        <w:r w:rsidRPr="00F832F8">
          <w:rPr>
            <w:rStyle w:val="Hyperlink"/>
            <w:sz w:val="20"/>
            <w:szCs w:val="20"/>
          </w:rPr>
          <w:t>https://glisten.org/nscs2025/</w:t>
        </w:r>
      </w:hyperlink>
      <w:r w:rsidRPr="00F832F8">
        <w:rPr>
          <w:sz w:val="20"/>
          <w:szCs w:val="20"/>
        </w:rPr>
        <w:t>.</w:t>
      </w:r>
    </w:p>
  </w:footnote>
  <w:footnote w:id="61">
    <w:p w14:paraId="48BE88B2" w14:textId="19BAA6C6"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rStyle w:val="FootnoteReference"/>
          <w:sz w:val="20"/>
          <w:szCs w:val="20"/>
        </w:rPr>
        <w:t xml:space="preserve"> </w:t>
      </w:r>
      <w:r w:rsidRPr="00F832F8">
        <w:rPr>
          <w:sz w:val="20"/>
          <w:szCs w:val="20"/>
        </w:rPr>
        <w:t xml:space="preserve">Reid, S. 2022. “Exploring the Agency of Black LGBTQ+ Youth in Schools and in NYC’s Ballroom Culture.” </w:t>
      </w:r>
      <w:r w:rsidRPr="00F832F8">
        <w:rPr>
          <w:i/>
          <w:iCs/>
          <w:sz w:val="20"/>
          <w:szCs w:val="20"/>
        </w:rPr>
        <w:t>Teachers College Record</w:t>
      </w:r>
      <w:r w:rsidRPr="00F832F8">
        <w:rPr>
          <w:sz w:val="20"/>
          <w:szCs w:val="20"/>
        </w:rPr>
        <w:t xml:space="preserve"> 124 (6): 113. </w:t>
      </w:r>
      <w:hyperlink r:id="rId42" w:tgtFrame="_new" w:history="1">
        <w:r w:rsidRPr="00F832F8">
          <w:rPr>
            <w:rStyle w:val="Hyperlink"/>
            <w:sz w:val="20"/>
            <w:szCs w:val="20"/>
          </w:rPr>
          <w:t>https://doi.org/10.1177/01614681221111072</w:t>
        </w:r>
      </w:hyperlink>
      <w:r w:rsidRPr="00F832F8">
        <w:rPr>
          <w:sz w:val="20"/>
          <w:szCs w:val="20"/>
        </w:rPr>
        <w:t>.</w:t>
      </w:r>
    </w:p>
  </w:footnote>
  <w:footnote w:id="62">
    <w:p w14:paraId="2935FD39" w14:textId="3D132448"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Mayo Clinic. n.d. “Children and Gender Identity: Supporting Your Child.” Accessed May 2, 2026. https://www.mayoclinic.org/health-lifestyle/childrens-health/in-depth/children-and-gender-identity/art-20266811. </w:t>
      </w:r>
    </w:p>
  </w:footnote>
  <w:footnote w:id="63">
    <w:p w14:paraId="15AED94F" w14:textId="0C4417EE"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Jeffries, Julián. 2014. “The Production of ‘Illegal’ Subjects in Massachusetts and High School Enrollment for Undocumented Youth.” </w:t>
      </w:r>
      <w:r w:rsidRPr="00F832F8">
        <w:rPr>
          <w:i/>
          <w:iCs/>
          <w:sz w:val="20"/>
          <w:szCs w:val="20"/>
        </w:rPr>
        <w:t>Latino Studies</w:t>
      </w:r>
      <w:r w:rsidRPr="00F832F8">
        <w:rPr>
          <w:sz w:val="20"/>
          <w:szCs w:val="20"/>
        </w:rPr>
        <w:t xml:space="preserve"> 12 (1): 65–87.</w:t>
      </w:r>
    </w:p>
  </w:footnote>
  <w:footnote w:id="64">
    <w:p w14:paraId="6246BD24" w14:textId="4294BD64"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Gruberg, Sharita. 2017. “What Ending DACA Means for LGBTQ Dreamers.” </w:t>
      </w:r>
      <w:r w:rsidRPr="00F832F8">
        <w:rPr>
          <w:i/>
          <w:iCs/>
          <w:sz w:val="20"/>
          <w:szCs w:val="20"/>
        </w:rPr>
        <w:t>Center for American Progress.</w:t>
      </w:r>
      <w:r w:rsidRPr="00F832F8">
        <w:rPr>
          <w:sz w:val="20"/>
          <w:szCs w:val="20"/>
        </w:rPr>
        <w:t xml:space="preserve"> </w:t>
      </w:r>
      <w:hyperlink r:id="rId43" w:tgtFrame="_new" w:history="1">
        <w:r w:rsidRPr="00F832F8">
          <w:rPr>
            <w:rStyle w:val="Hyperlink"/>
            <w:sz w:val="20"/>
            <w:szCs w:val="20"/>
          </w:rPr>
          <w:t>https://www.americanprogress.org/article/ending-daca-means-lgbtq-dreamers/</w:t>
        </w:r>
      </w:hyperlink>
      <w:r w:rsidRPr="00F832F8">
        <w:rPr>
          <w:sz w:val="20"/>
          <w:szCs w:val="20"/>
        </w:rPr>
        <w:t>.</w:t>
      </w:r>
    </w:p>
  </w:footnote>
  <w:footnote w:id="65">
    <w:p w14:paraId="1F6B2C63" w14:textId="7D495503"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Conron, Kerith, Winston Luhur, and Taylor N. T. Brown. 2020. “LGBT ‘Dreamers’ and Deferred Action for Childhood Arrivals (DACA).” Williams Institute. </w:t>
      </w:r>
      <w:hyperlink r:id="rId44" w:tgtFrame="_new" w:history="1">
        <w:r w:rsidRPr="00F832F8">
          <w:rPr>
            <w:rStyle w:val="Hyperlink"/>
            <w:sz w:val="20"/>
            <w:szCs w:val="20"/>
          </w:rPr>
          <w:t>https://williamsinstitute.law.ucla.edu/publications/lgbt-dreamers-daca/</w:t>
        </w:r>
      </w:hyperlink>
      <w:r w:rsidRPr="00F832F8">
        <w:rPr>
          <w:sz w:val="20"/>
          <w:szCs w:val="20"/>
        </w:rPr>
        <w:t>.</w:t>
      </w:r>
    </w:p>
  </w:footnote>
  <w:footnote w:id="66">
    <w:p w14:paraId="74112C7F" w14:textId="1BA3B73A"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Wong, Tom K., Greisa Martinez Rosas, and Adam Luna. 2017. “DACA Recipients’ Economic and Educational Gains Continue to Grow.” </w:t>
      </w:r>
      <w:r w:rsidRPr="00F832F8">
        <w:rPr>
          <w:i/>
          <w:iCs/>
          <w:sz w:val="20"/>
          <w:szCs w:val="20"/>
        </w:rPr>
        <w:t>Center for American Progress,</w:t>
      </w:r>
      <w:r w:rsidRPr="00F832F8">
        <w:rPr>
          <w:sz w:val="20"/>
          <w:szCs w:val="20"/>
        </w:rPr>
        <w:t xml:space="preserve"> August 28, 2017. </w:t>
      </w:r>
      <w:hyperlink r:id="rId45" w:tgtFrame="_new" w:history="1">
        <w:r w:rsidRPr="00F832F8">
          <w:rPr>
            <w:rStyle w:val="Hyperlink"/>
            <w:sz w:val="20"/>
            <w:szCs w:val="20"/>
          </w:rPr>
          <w:t>https://www.americanprogress.org/article/daca-recipients-economic-educational-gains-continue-grow/</w:t>
        </w:r>
      </w:hyperlink>
      <w:r w:rsidRPr="00F832F8">
        <w:rPr>
          <w:sz w:val="20"/>
          <w:szCs w:val="20"/>
        </w:rPr>
        <w:t>.</w:t>
      </w:r>
    </w:p>
  </w:footnote>
  <w:footnote w:id="67">
    <w:p w14:paraId="5244C116" w14:textId="606F5176"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Shuda, Asumi. 2022. “New Department of Homeland Security Rule Aims to Preserve Deferred Action for Childhood Arrivals Program amid Court Scrutiny.” </w:t>
      </w:r>
      <w:r w:rsidRPr="00F832F8">
        <w:rPr>
          <w:i/>
          <w:iCs/>
          <w:sz w:val="20"/>
          <w:szCs w:val="20"/>
        </w:rPr>
        <w:t>The Daily Nexus.</w:t>
      </w:r>
      <w:r w:rsidRPr="00F832F8">
        <w:rPr>
          <w:sz w:val="20"/>
          <w:szCs w:val="20"/>
        </w:rPr>
        <w:t xml:space="preserve"> </w:t>
      </w:r>
      <w:hyperlink r:id="rId46" w:tgtFrame="_new" w:history="1">
        <w:r w:rsidRPr="00F832F8">
          <w:rPr>
            <w:rStyle w:val="Hyperlink"/>
            <w:sz w:val="20"/>
            <w:szCs w:val="20"/>
          </w:rPr>
          <w:t>https://dailynexus.com/2022-11-12/new-department-of-homeland-security-rule-aims-to-preserve-deferred-action-for-childhood-arrivals-program-amid-court-scrutiny/</w:t>
        </w:r>
      </w:hyperlink>
      <w:r w:rsidRPr="00F832F8">
        <w:rPr>
          <w:sz w:val="20"/>
          <w:szCs w:val="20"/>
        </w:rPr>
        <w:t>.</w:t>
      </w:r>
    </w:p>
  </w:footnote>
  <w:footnote w:id="68">
    <w:p w14:paraId="78E94025" w14:textId="31098300"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Nath, R., D. Matthews, S. Hobaica, T. M. Eden, A. B. Taylor, J. P. DeChants, and K. Suffredini. 2025. </w:t>
      </w:r>
      <w:r w:rsidRPr="00F832F8">
        <w:rPr>
          <w:i/>
          <w:iCs/>
          <w:sz w:val="20"/>
          <w:szCs w:val="20"/>
        </w:rPr>
        <w:t>2024 U.S. National Survey on the Mental Health of LGBTQ+ Young People by State.</w:t>
      </w:r>
      <w:r w:rsidRPr="00F832F8">
        <w:rPr>
          <w:sz w:val="20"/>
          <w:szCs w:val="20"/>
        </w:rPr>
        <w:t xml:space="preserve"> The Trevor Project. </w:t>
      </w:r>
      <w:hyperlink r:id="rId47" w:tgtFrame="_new" w:history="1">
        <w:r w:rsidRPr="00F832F8">
          <w:rPr>
            <w:rStyle w:val="Hyperlink"/>
            <w:sz w:val="20"/>
            <w:szCs w:val="20"/>
          </w:rPr>
          <w:t>https://www.thetrevorproject.org/survey-2024-by-state</w:t>
        </w:r>
      </w:hyperlink>
      <w:r w:rsidRPr="00F832F8">
        <w:rPr>
          <w:sz w:val="20"/>
          <w:szCs w:val="20"/>
        </w:rPr>
        <w:t>.</w:t>
      </w:r>
    </w:p>
  </w:footnote>
  <w:footnote w:id="69">
    <w:p w14:paraId="52F44827" w14:textId="1FFDA275"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Nance, J. P. 2016. “Students, Police, and the School-to-Prison Pipeline.” </w:t>
      </w:r>
      <w:r w:rsidRPr="00F832F8">
        <w:rPr>
          <w:i/>
          <w:iCs/>
          <w:sz w:val="20"/>
          <w:szCs w:val="20"/>
        </w:rPr>
        <w:t>Washington University Law Review</w:t>
      </w:r>
      <w:r w:rsidRPr="00F832F8">
        <w:rPr>
          <w:sz w:val="20"/>
          <w:szCs w:val="20"/>
        </w:rPr>
        <w:t xml:space="preserve"> 93: 919–87. </w:t>
      </w:r>
      <w:hyperlink r:id="rId48" w:tgtFrame="_new" w:history="1">
        <w:r w:rsidRPr="00F832F8">
          <w:rPr>
            <w:rStyle w:val="Hyperlink"/>
            <w:sz w:val="20"/>
            <w:szCs w:val="20"/>
          </w:rPr>
          <w:t>https://papers.ssrn.com/sol3/papers.cfm?abstract_id=2577333</w:t>
        </w:r>
      </w:hyperlink>
      <w:r w:rsidRPr="00F832F8">
        <w:rPr>
          <w:sz w:val="20"/>
          <w:szCs w:val="20"/>
        </w:rPr>
        <w:t>.</w:t>
      </w:r>
    </w:p>
  </w:footnote>
  <w:footnote w:id="70">
    <w:p w14:paraId="77EA483C" w14:textId="1B1EEB0D"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American Civil Liberties Union. 2008. “What Is the School-to-Prison Pipeline?” </w:t>
      </w:r>
      <w:hyperlink r:id="rId49" w:tgtFrame="_new" w:history="1">
        <w:r w:rsidRPr="00F832F8">
          <w:rPr>
            <w:rStyle w:val="Hyperlink"/>
            <w:sz w:val="20"/>
            <w:szCs w:val="20"/>
          </w:rPr>
          <w:t>https://www.aclu.org/documents/what-school-prison-pipeline</w:t>
        </w:r>
      </w:hyperlink>
      <w:r w:rsidRPr="00F832F8">
        <w:rPr>
          <w:sz w:val="20"/>
          <w:szCs w:val="20"/>
        </w:rPr>
        <w:t>.</w:t>
      </w:r>
    </w:p>
  </w:footnote>
  <w:footnote w:id="71">
    <w:p w14:paraId="2DAD3A7E" w14:textId="59F92E42"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The Trevor Project. 2025. </w:t>
      </w:r>
      <w:r w:rsidRPr="00F832F8">
        <w:rPr>
          <w:i/>
          <w:iCs/>
          <w:sz w:val="20"/>
          <w:szCs w:val="20"/>
        </w:rPr>
        <w:t>Online Experiences and Mental Health of LGBTQ+ Young People.</w:t>
      </w:r>
      <w:r w:rsidRPr="00F832F8">
        <w:rPr>
          <w:sz w:val="20"/>
          <w:szCs w:val="20"/>
        </w:rPr>
        <w:t xml:space="preserve"> </w:t>
      </w:r>
      <w:hyperlink r:id="rId50" w:history="1">
        <w:r w:rsidRPr="00F832F8">
          <w:rPr>
            <w:rStyle w:val="Hyperlink"/>
            <w:sz w:val="20"/>
            <w:szCs w:val="20"/>
          </w:rPr>
          <w:t>https://doi.org/10.70226/DZPX7792</w:t>
        </w:r>
      </w:hyperlink>
      <w:r w:rsidRPr="00F832F8">
        <w:rPr>
          <w:sz w:val="20"/>
          <w:szCs w:val="20"/>
        </w:rPr>
        <w:t>.</w:t>
      </w:r>
    </w:p>
  </w:footnote>
  <w:footnote w:id="72">
    <w:p w14:paraId="28B6F6A1" w14:textId="6819A828"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Hobbs, R., C. Morris, Y. Friesem, E. McNeill, and K. Brissette. 2025. </w:t>
      </w:r>
      <w:r w:rsidRPr="00F832F8">
        <w:rPr>
          <w:i/>
          <w:iCs/>
          <w:sz w:val="20"/>
          <w:szCs w:val="20"/>
        </w:rPr>
        <w:t>Media Literacy in Massachusetts: A Landscape Scan and Policy Recommendations.</w:t>
      </w:r>
      <w:r w:rsidRPr="00F832F8">
        <w:rPr>
          <w:sz w:val="20"/>
          <w:szCs w:val="20"/>
        </w:rPr>
        <w:t xml:space="preserve"> Massachusetts Department of Elementary and Secondary Education, Media Literacy Now, and the Media Education Lab.</w:t>
      </w:r>
    </w:p>
  </w:footnote>
  <w:footnote w:id="73">
    <w:p w14:paraId="6596A852" w14:textId="6750187D"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Centers for Disease Control and Prevention. 2024. “Bullying.” </w:t>
      </w:r>
      <w:hyperlink r:id="rId51" w:tgtFrame="_new" w:history="1">
        <w:r w:rsidRPr="00F832F8">
          <w:rPr>
            <w:rStyle w:val="Hyperlink"/>
            <w:sz w:val="20"/>
            <w:szCs w:val="20"/>
          </w:rPr>
          <w:t>https://www.cdc.gov/youthviolence/about/about-bullying.html</w:t>
        </w:r>
      </w:hyperlink>
      <w:r w:rsidRPr="00F832F8">
        <w:rPr>
          <w:sz w:val="20"/>
          <w:szCs w:val="20"/>
        </w:rPr>
        <w:t>.</w:t>
      </w:r>
    </w:p>
  </w:footnote>
  <w:footnote w:id="74">
    <w:p w14:paraId="550DC417" w14:textId="7032572C"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Commission on LGBTQ Youth. 2026. </w:t>
      </w:r>
      <w:r w:rsidRPr="00F832F8">
        <w:rPr>
          <w:i/>
          <w:iCs/>
          <w:sz w:val="20"/>
          <w:szCs w:val="20"/>
        </w:rPr>
        <w:t>Analysis of 2023 MYRBS Data Provided by DESE.</w:t>
      </w:r>
    </w:p>
  </w:footnote>
  <w:footnote w:id="75">
    <w:p w14:paraId="4F1F51F8" w14:textId="39D1453D"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Domínguez-Martínez, Tecelli, and Rebeca Robles. 2019. “Preventing Transphobic Bullying and Promoting Inclusive Educational Environments: Literature Review and Implementing Recommendations.” </w:t>
      </w:r>
      <w:r w:rsidRPr="00F832F8">
        <w:rPr>
          <w:i/>
          <w:iCs/>
          <w:sz w:val="20"/>
          <w:szCs w:val="20"/>
        </w:rPr>
        <w:t>Archives of Medical Research</w:t>
      </w:r>
      <w:r w:rsidRPr="00F832F8">
        <w:rPr>
          <w:sz w:val="20"/>
          <w:szCs w:val="20"/>
        </w:rPr>
        <w:t xml:space="preserve"> 50 (8): 543–55. </w:t>
      </w:r>
      <w:hyperlink r:id="rId52" w:tgtFrame="_new" w:history="1">
        <w:r w:rsidRPr="00F832F8">
          <w:rPr>
            <w:rStyle w:val="Hyperlink"/>
            <w:sz w:val="20"/>
            <w:szCs w:val="20"/>
          </w:rPr>
          <w:t>https://doi.org/10.1016/j.arcmed.2019.10.009</w:t>
        </w:r>
      </w:hyperlink>
      <w:r w:rsidRPr="00F832F8">
        <w:rPr>
          <w:sz w:val="20"/>
          <w:szCs w:val="20"/>
        </w:rPr>
        <w:t xml:space="preserve">; Poteat, V. Paul, et al. 2020. “Greater Engagement in Gender-Sexuality Alliances (GSAs) and GSA Characteristics Predict Youth Empowerment and Reduced Mental Health Concerns.” </w:t>
      </w:r>
      <w:r w:rsidRPr="00F832F8">
        <w:rPr>
          <w:i/>
          <w:iCs/>
          <w:sz w:val="20"/>
          <w:szCs w:val="20"/>
        </w:rPr>
        <w:t>Child Development</w:t>
      </w:r>
      <w:r w:rsidRPr="00F832F8">
        <w:rPr>
          <w:sz w:val="20"/>
          <w:szCs w:val="20"/>
        </w:rPr>
        <w:t xml:space="preserve"> 91 (5): 1509–28. </w:t>
      </w:r>
      <w:hyperlink r:id="rId53" w:tgtFrame="_new" w:history="1">
        <w:r w:rsidRPr="00F832F8">
          <w:rPr>
            <w:rStyle w:val="Hyperlink"/>
            <w:sz w:val="20"/>
            <w:szCs w:val="20"/>
          </w:rPr>
          <w:t>https://doi.org/10.1111/cdev.13345</w:t>
        </w:r>
      </w:hyperlink>
      <w:r w:rsidRPr="00F832F8">
        <w:rPr>
          <w:sz w:val="20"/>
          <w:szCs w:val="20"/>
        </w:rPr>
        <w:t xml:space="preserve">. </w:t>
      </w:r>
    </w:p>
  </w:footnote>
  <w:footnote w:id="76">
    <w:p w14:paraId="70447E1B" w14:textId="77777777" w:rsidR="007043A9" w:rsidRPr="00F832F8" w:rsidRDefault="007043A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Department of Youth Services. 2023. </w:t>
      </w:r>
      <w:r w:rsidRPr="00F832F8">
        <w:rPr>
          <w:i/>
          <w:iCs/>
          <w:sz w:val="20"/>
          <w:szCs w:val="20"/>
        </w:rPr>
        <w:t>FY 2023 Annual Report.</w:t>
      </w:r>
      <w:r w:rsidRPr="00F832F8">
        <w:rPr>
          <w:sz w:val="20"/>
          <w:szCs w:val="20"/>
        </w:rPr>
        <w:t xml:space="preserve"> </w:t>
      </w:r>
      <w:hyperlink r:id="rId54" w:tgtFrame="_new" w:history="1">
        <w:r w:rsidRPr="00F832F8">
          <w:rPr>
            <w:rStyle w:val="Hyperlink"/>
            <w:sz w:val="20"/>
            <w:szCs w:val="20"/>
          </w:rPr>
          <w:t>https://www.mass.gov/doc/dys-annual-report-2023/download</w:t>
        </w:r>
      </w:hyperlink>
      <w:r w:rsidRPr="00F832F8">
        <w:rPr>
          <w:sz w:val="20"/>
          <w:szCs w:val="20"/>
        </w:rPr>
        <w:t>.</w:t>
      </w:r>
    </w:p>
  </w:footnote>
  <w:footnote w:id="77">
    <w:p w14:paraId="6E2DC519" w14:textId="1FB3BE06"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Conron, Keith J., and Bianca D. M. Wilson. 2019. </w:t>
      </w:r>
      <w:r w:rsidRPr="00F832F8">
        <w:rPr>
          <w:i/>
          <w:iCs/>
          <w:sz w:val="20"/>
          <w:szCs w:val="20"/>
        </w:rPr>
        <w:t>LGBTQ Youth of Color Impacted by the Child Welfare and Juvenile Justice Systems.</w:t>
      </w:r>
      <w:r w:rsidRPr="00F832F8">
        <w:rPr>
          <w:sz w:val="20"/>
          <w:szCs w:val="20"/>
        </w:rPr>
        <w:t xml:space="preserve"> Los Angeles: Williams Institute at the UCLA School of Law. </w:t>
      </w:r>
      <w:hyperlink r:id="rId55" w:tgtFrame="_new" w:history="1">
        <w:r w:rsidRPr="00F832F8">
          <w:rPr>
            <w:rStyle w:val="Hyperlink"/>
            <w:sz w:val="20"/>
            <w:szCs w:val="20"/>
          </w:rPr>
          <w:t>https://williamsinstitute.law.ucla.edu/wp-content/uploads/LGBTQYOC-SocialServices-Jul-2019.pdf</w:t>
        </w:r>
      </w:hyperlink>
      <w:r w:rsidRPr="00F832F8">
        <w:rPr>
          <w:sz w:val="20"/>
          <w:szCs w:val="20"/>
        </w:rPr>
        <w:t>.</w:t>
      </w:r>
    </w:p>
  </w:footnote>
  <w:footnote w:id="78">
    <w:p w14:paraId="0C935FD6" w14:textId="666EB609"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Brockmann, Brad, et al. 2019. “Emerging Best Practices for the Management and Treatment of Incarcerated Lesbian, Gay, Bisexual, Transgender, and Intersex (LGBTI) Individuals.” Boston: The Fenway Institute. </w:t>
      </w:r>
      <w:hyperlink r:id="rId56" w:tgtFrame="_new" w:history="1">
        <w:r w:rsidRPr="00F832F8">
          <w:rPr>
            <w:rStyle w:val="Hyperlink"/>
            <w:sz w:val="20"/>
            <w:szCs w:val="20"/>
          </w:rPr>
          <w:t>https://fenwayhealth.org/wp-content/uploads/TFIP-33_Best-Practices-for-LGBTI-Incarcerated-People-Brief_web.pdf</w:t>
        </w:r>
      </w:hyperlink>
      <w:r w:rsidRPr="00F832F8">
        <w:rPr>
          <w:sz w:val="20"/>
          <w:szCs w:val="20"/>
        </w:rPr>
        <w:t>.</w:t>
      </w:r>
    </w:p>
  </w:footnote>
  <w:footnote w:id="79">
    <w:p w14:paraId="7A1BB9C8" w14:textId="549ECCF8"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Bureau of Justice Statistics. 2022. “Violent Victimization by Sexual Orientation and Gender Identity, 2017–2020.” </w:t>
      </w:r>
      <w:hyperlink r:id="rId57" w:tgtFrame="_new" w:history="1">
        <w:r w:rsidRPr="00F832F8">
          <w:rPr>
            <w:rStyle w:val="Hyperlink"/>
            <w:sz w:val="20"/>
            <w:szCs w:val="20"/>
          </w:rPr>
          <w:t>https://bjs.ojp.gov/library/publications/violent-victimization-sexual-orientation-and-gender-identity-2017-2020</w:t>
        </w:r>
      </w:hyperlink>
      <w:r w:rsidRPr="00F832F8">
        <w:rPr>
          <w:sz w:val="20"/>
          <w:szCs w:val="20"/>
        </w:rPr>
        <w:t>.</w:t>
      </w:r>
    </w:p>
  </w:footnote>
  <w:footnote w:id="80">
    <w:p w14:paraId="075DE65A" w14:textId="326EE9B5"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Office of Juvenile Justice and Delinquency Prevention. 2024. “Diversion Programs Offer Treatment While Keeping Youth Out of the Justice System.” </w:t>
      </w:r>
      <w:hyperlink r:id="rId58" w:tgtFrame="_new" w:history="1">
        <w:r w:rsidRPr="00F832F8">
          <w:rPr>
            <w:rStyle w:val="Hyperlink"/>
            <w:sz w:val="20"/>
            <w:szCs w:val="20"/>
          </w:rPr>
          <w:t>https://ojjdp.ojp.gov/newsletter/ojjdp-news-glance-february-2024/diversion-programs-offer-treatment-while-keeping-youth-out-justice-system</w:t>
        </w:r>
      </w:hyperlink>
      <w:r w:rsidRPr="00F832F8">
        <w:rPr>
          <w:sz w:val="20"/>
          <w:szCs w:val="20"/>
        </w:rPr>
        <w:t>.</w:t>
      </w:r>
    </w:p>
  </w:footnote>
  <w:footnote w:id="81">
    <w:p w14:paraId="615E37F1" w14:textId="77777777" w:rsidR="00A91154" w:rsidRPr="00F832F8" w:rsidRDefault="00A91154"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JDAI Diversion. 2024. “Massachusetts Youth Diversion Learning Lab.” Accessed March 16, 2026. </w:t>
      </w:r>
      <w:hyperlink r:id="rId59" w:tgtFrame="_new" w:history="1">
        <w:r w:rsidRPr="00F832F8">
          <w:rPr>
            <w:rStyle w:val="Hyperlink"/>
            <w:sz w:val="20"/>
            <w:szCs w:val="20"/>
          </w:rPr>
          <w:t>https://www.mass.gov/info-details/jdai-diversion</w:t>
        </w:r>
      </w:hyperlink>
      <w:r w:rsidRPr="00F832F8">
        <w:rPr>
          <w:sz w:val="20"/>
          <w:szCs w:val="20"/>
        </w:rPr>
        <w:t>.</w:t>
      </w:r>
    </w:p>
  </w:footnote>
  <w:footnote w:id="82">
    <w:p w14:paraId="5F86C6F0" w14:textId="61B15A0F"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Loughran, Thomas A., Edward P. Mulvey, Carol A. Schubert, Laurence A. Chassin, Laurence Steinberg, Alex R. Piquero, Jeffrey Fagan, Sandra Cota-Robles, Elizabeth Cauffman, and Sandra Losoya. 2010. “Differential Effects of Adult Court Transfer on Juvenile Offender Recidivism.” </w:t>
      </w:r>
      <w:r w:rsidRPr="00F832F8">
        <w:rPr>
          <w:i/>
          <w:iCs/>
          <w:sz w:val="20"/>
          <w:szCs w:val="20"/>
        </w:rPr>
        <w:t>Law and Human Behavior</w:t>
      </w:r>
      <w:r w:rsidRPr="00F832F8">
        <w:rPr>
          <w:sz w:val="20"/>
          <w:szCs w:val="20"/>
        </w:rPr>
        <w:t xml:space="preserve"> 34 (6): 476–88. </w:t>
      </w:r>
      <w:hyperlink r:id="rId60" w:tgtFrame="_new" w:history="1">
        <w:r w:rsidRPr="00F832F8">
          <w:rPr>
            <w:rStyle w:val="Hyperlink"/>
            <w:sz w:val="20"/>
            <w:szCs w:val="20"/>
          </w:rPr>
          <w:t>https://doi.org/10.1007/s10979-009-9210-z</w:t>
        </w:r>
      </w:hyperlink>
      <w:r w:rsidRPr="00F832F8">
        <w:rPr>
          <w:sz w:val="20"/>
          <w:szCs w:val="20"/>
        </w:rPr>
        <w:t>.</w:t>
      </w:r>
    </w:p>
  </w:footnote>
  <w:footnote w:id="83">
    <w:p w14:paraId="732E4287" w14:textId="06C549C1"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Mallory, Christy, Amira Hasenbush, and Brad Sears. 2015. </w:t>
      </w:r>
      <w:r w:rsidRPr="00F832F8">
        <w:rPr>
          <w:i/>
          <w:iCs/>
          <w:sz w:val="20"/>
          <w:szCs w:val="20"/>
        </w:rPr>
        <w:t>Discrimination and Harassment by Law Enforcement Officers in the LGBT Community.</w:t>
      </w:r>
      <w:r w:rsidRPr="00F832F8">
        <w:rPr>
          <w:sz w:val="20"/>
          <w:szCs w:val="20"/>
        </w:rPr>
        <w:t xml:space="preserve"> Williams Institute. </w:t>
      </w:r>
      <w:hyperlink r:id="rId61" w:tgtFrame="_new" w:history="1">
        <w:r w:rsidRPr="00F832F8">
          <w:rPr>
            <w:rStyle w:val="Hyperlink"/>
            <w:sz w:val="20"/>
            <w:szCs w:val="20"/>
          </w:rPr>
          <w:t>https://williamsinstitute.law.ucla.edu/publications/lgbt-discrim-law-enforcement/</w:t>
        </w:r>
      </w:hyperlink>
      <w:r w:rsidRPr="00F832F8">
        <w:rPr>
          <w:sz w:val="20"/>
          <w:szCs w:val="20"/>
        </w:rPr>
        <w:t>.</w:t>
      </w:r>
    </w:p>
  </w:footnote>
  <w:footnote w:id="84">
    <w:p w14:paraId="11CF46D1" w14:textId="024D39B9"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Waters, Emily. 2017. </w:t>
      </w:r>
      <w:r w:rsidRPr="00F832F8">
        <w:rPr>
          <w:i/>
          <w:iCs/>
          <w:sz w:val="20"/>
          <w:szCs w:val="20"/>
        </w:rPr>
        <w:t>Lesbian, Gay, Bisexual, Transgender, Queer, and HIV-Affected Hate Violence in 2016.</w:t>
      </w:r>
      <w:r w:rsidRPr="00F832F8">
        <w:rPr>
          <w:sz w:val="20"/>
          <w:szCs w:val="20"/>
        </w:rPr>
        <w:t xml:space="preserve"> New York: National Coalition of Anti-Violence Programs. http://avp.org/wp-content/uploads/2017/06/NCAVP_2016HateViolence_REPORT.pdf.</w:t>
      </w:r>
    </w:p>
  </w:footnote>
  <w:footnote w:id="85">
    <w:p w14:paraId="77B76963" w14:textId="08B936E6"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National Council of Juvenile and Family Court Judges. 2020. </w:t>
      </w:r>
      <w:r w:rsidRPr="00F832F8">
        <w:rPr>
          <w:i/>
          <w:iCs/>
          <w:sz w:val="20"/>
          <w:szCs w:val="20"/>
        </w:rPr>
        <w:t>Strategies for Engaging Youth and Families with Lived Experiences.</w:t>
      </w:r>
      <w:r w:rsidRPr="00F832F8">
        <w:rPr>
          <w:sz w:val="20"/>
          <w:szCs w:val="20"/>
        </w:rPr>
        <w:t xml:space="preserve"> </w:t>
      </w:r>
      <w:hyperlink r:id="rId62" w:tgtFrame="_new" w:history="1">
        <w:r w:rsidRPr="00F832F8">
          <w:rPr>
            <w:rStyle w:val="Hyperlink"/>
            <w:sz w:val="20"/>
            <w:szCs w:val="20"/>
          </w:rPr>
          <w:t>https://www.ncjfcj.org/wp-content/uploads/2020/09/NCJFCJ_Strategies_for_Engaging_PWLE_Final.pdf</w:t>
        </w:r>
      </w:hyperlink>
      <w:r w:rsidRPr="00F832F8">
        <w:rPr>
          <w:sz w:val="20"/>
          <w:szCs w:val="20"/>
        </w:rPr>
        <w:t>.</w:t>
      </w:r>
    </w:p>
  </w:footnote>
  <w:footnote w:id="86">
    <w:p w14:paraId="6EA0DAD6" w14:textId="5DA23525"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National Council of Juvenile and Family Court Judges.</w:t>
      </w:r>
    </w:p>
  </w:footnote>
  <w:footnote w:id="87">
    <w:p w14:paraId="7B99BFC6" w14:textId="07CB0011"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National Center on Substance Abuse and Child Welfare. 2022. “Engaging Parents and Youths With Lived Experience.” </w:t>
      </w:r>
      <w:hyperlink r:id="rId63" w:tgtFrame="_new" w:history="1">
        <w:r w:rsidRPr="00F832F8">
          <w:rPr>
            <w:rStyle w:val="Hyperlink"/>
            <w:sz w:val="20"/>
            <w:szCs w:val="20"/>
          </w:rPr>
          <w:t>https://ncsacw.acf.hhs.gov/files/live-experience.pdf</w:t>
        </w:r>
      </w:hyperlink>
      <w:r w:rsidRPr="00F832F8">
        <w:rPr>
          <w:sz w:val="20"/>
          <w:szCs w:val="20"/>
        </w:rPr>
        <w:t>.</w:t>
      </w:r>
    </w:p>
  </w:footnote>
  <w:footnote w:id="88">
    <w:p w14:paraId="17597AA7" w14:textId="325AC165"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National Collaboration for Youth and National Juvenile Justice Network. 2007. “Engaging Young People in Juvenile Justice Reform.” Policy Brief. </w:t>
      </w:r>
      <w:hyperlink r:id="rId64" w:tgtFrame="_new" w:history="1">
        <w:r w:rsidRPr="00F832F8">
          <w:rPr>
            <w:rStyle w:val="Hyperlink"/>
            <w:sz w:val="20"/>
            <w:szCs w:val="20"/>
          </w:rPr>
          <w:t>https://www.njjn.org/uploads/digital-library/resource_497.pdf</w:t>
        </w:r>
      </w:hyperlink>
      <w:r w:rsidRPr="00F832F8">
        <w:rPr>
          <w:sz w:val="20"/>
          <w:szCs w:val="20"/>
        </w:rPr>
        <w:t>.</w:t>
      </w:r>
    </w:p>
  </w:footnote>
  <w:footnote w:id="89">
    <w:p w14:paraId="0F4B2681" w14:textId="18EE96B4"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Alliance for Children’s Rights. 2022. “Engaging Lived Experience in Public Policy Discussions.” </w:t>
      </w:r>
      <w:hyperlink r:id="rId65" w:tgtFrame="_new" w:history="1">
        <w:r w:rsidRPr="00F832F8">
          <w:rPr>
            <w:rStyle w:val="Hyperlink"/>
            <w:sz w:val="20"/>
            <w:szCs w:val="20"/>
          </w:rPr>
          <w:t>https://allianceforchildrensrights.org/wp-content/uploads/Engaging-Lived-Experience-Report.pdf</w:t>
        </w:r>
      </w:hyperlink>
      <w:r w:rsidRPr="00F832F8">
        <w:rPr>
          <w:sz w:val="20"/>
          <w:szCs w:val="20"/>
        </w:rPr>
        <w:t>.</w:t>
      </w:r>
    </w:p>
  </w:footnote>
  <w:footnote w:id="90">
    <w:p w14:paraId="07D33E12" w14:textId="6702E516"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National Institute of Justice. 2022. “Expungement: Criminal Records as Reentry Barriers.” </w:t>
      </w:r>
      <w:hyperlink r:id="rId66" w:tgtFrame="_new" w:history="1">
        <w:r w:rsidRPr="00F832F8">
          <w:rPr>
            <w:rStyle w:val="Hyperlink"/>
            <w:sz w:val="20"/>
            <w:szCs w:val="20"/>
          </w:rPr>
          <w:t>https://nij.ojp.gov/topics/articles/expungement-criminal-records-reentry-barriers</w:t>
        </w:r>
      </w:hyperlink>
      <w:r w:rsidRPr="00F832F8">
        <w:rPr>
          <w:sz w:val="20"/>
          <w:szCs w:val="20"/>
        </w:rPr>
        <w:t>.</w:t>
      </w:r>
    </w:p>
  </w:footnote>
  <w:footnote w:id="91">
    <w:p w14:paraId="2CC74B7F" w14:textId="38CBDFB7"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Clean Slate. 2023. “A Criminal Record Should Not Mean a Lifetime of Blocked Opportunities.” </w:t>
      </w:r>
      <w:hyperlink r:id="rId67" w:tgtFrame="_new" w:history="1">
        <w:r w:rsidRPr="00F832F8">
          <w:rPr>
            <w:rStyle w:val="Hyperlink"/>
            <w:sz w:val="20"/>
            <w:szCs w:val="20"/>
          </w:rPr>
          <w:t>https://www.publichealthwm.org/application/files/1617/0204/8768/Clean-Slate-Fact-Sheet_REVISED-12-7-23.pdf</w:t>
        </w:r>
      </w:hyperlink>
      <w:r w:rsidRPr="00F832F8">
        <w:rPr>
          <w:sz w:val="20"/>
          <w:szCs w:val="20"/>
        </w:rPr>
        <w:t>.</w:t>
      </w:r>
    </w:p>
  </w:footnote>
  <w:footnote w:id="92">
    <w:p w14:paraId="6ECBA8BF" w14:textId="2136DF87"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Mithani, Jasmine, and Mel Leonor Barclay. 2025. “Trump Federal Funding Freeze Worries Domestic Violence Nonprofits.” </w:t>
      </w:r>
      <w:r w:rsidRPr="00F832F8">
        <w:rPr>
          <w:i/>
          <w:iCs/>
          <w:sz w:val="20"/>
          <w:szCs w:val="20"/>
        </w:rPr>
        <w:t>The 19th.</w:t>
      </w:r>
      <w:r w:rsidRPr="00F832F8">
        <w:rPr>
          <w:sz w:val="20"/>
          <w:szCs w:val="20"/>
        </w:rPr>
        <w:t xml:space="preserve"> </w:t>
      </w:r>
      <w:hyperlink r:id="rId68" w:tgtFrame="_new" w:history="1">
        <w:r w:rsidRPr="00F832F8">
          <w:rPr>
            <w:rStyle w:val="Hyperlink"/>
            <w:sz w:val="20"/>
            <w:szCs w:val="20"/>
          </w:rPr>
          <w:t>https://19thnews.org/2025/02/trump-funding-freeze-domestic-violence-nonprofits/</w:t>
        </w:r>
      </w:hyperlink>
      <w:r w:rsidRPr="00F832F8">
        <w:rPr>
          <w:sz w:val="20"/>
          <w:szCs w:val="20"/>
        </w:rPr>
        <w:t>.</w:t>
      </w:r>
    </w:p>
  </w:footnote>
  <w:footnote w:id="93">
    <w:p w14:paraId="226F788D" w14:textId="678FFE6A"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Unaccompanied Homeless Youth Commission. 2024. </w:t>
      </w:r>
      <w:r w:rsidRPr="00F832F8">
        <w:rPr>
          <w:i/>
          <w:iCs/>
          <w:sz w:val="20"/>
          <w:szCs w:val="20"/>
        </w:rPr>
        <w:t>Massachusetts 2024 Youth Count.</w:t>
      </w:r>
      <w:r w:rsidRPr="00F832F8">
        <w:rPr>
          <w:sz w:val="20"/>
          <w:szCs w:val="20"/>
        </w:rPr>
        <w:t xml:space="preserve"> Prepared by Laurie Ross. </w:t>
      </w:r>
      <w:hyperlink r:id="rId69" w:tgtFrame="_new" w:history="1">
        <w:r w:rsidRPr="00F832F8">
          <w:rPr>
            <w:rStyle w:val="Hyperlink"/>
            <w:sz w:val="20"/>
            <w:szCs w:val="20"/>
          </w:rPr>
          <w:t>https://www.mass.gov/doc/2024-youth-count-report-pdf/download</w:t>
        </w:r>
      </w:hyperlink>
      <w:r w:rsidRPr="00F832F8">
        <w:rPr>
          <w:sz w:val="20"/>
          <w:szCs w:val="20"/>
        </w:rPr>
        <w:t>.</w:t>
      </w:r>
    </w:p>
  </w:footnote>
  <w:footnote w:id="94">
    <w:p w14:paraId="2759EC7F" w14:textId="41ACFB75"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The Trevor Project. 2022. “New Report Shows </w:t>
      </w:r>
      <w:proofErr w:type="gramStart"/>
      <w:r w:rsidRPr="00F832F8">
        <w:rPr>
          <w:sz w:val="20"/>
          <w:szCs w:val="20"/>
        </w:rPr>
        <w:t>Homelessness,</w:t>
      </w:r>
      <w:proofErr w:type="gramEnd"/>
      <w:r w:rsidRPr="00F832F8">
        <w:rPr>
          <w:sz w:val="20"/>
          <w:szCs w:val="20"/>
        </w:rPr>
        <w:t xml:space="preserve"> Housing Instability Linked to Increased Suicide Risk among LGBTQ Youth.” </w:t>
      </w:r>
      <w:hyperlink r:id="rId70" w:tgtFrame="_new" w:history="1">
        <w:r w:rsidRPr="00F832F8">
          <w:rPr>
            <w:rStyle w:val="Hyperlink"/>
            <w:sz w:val="20"/>
            <w:szCs w:val="20"/>
          </w:rPr>
          <w:t>https://www.thetrevorproject.org/blog/new-report-shows-homelessness-housing-instability-linked-to-increased-suicide-risk-among-lgbtq-youth/</w:t>
        </w:r>
      </w:hyperlink>
      <w:r w:rsidRPr="00F832F8">
        <w:rPr>
          <w:sz w:val="20"/>
          <w:szCs w:val="20"/>
        </w:rPr>
        <w:t>.</w:t>
      </w:r>
    </w:p>
  </w:footnote>
  <w:footnote w:id="95">
    <w:p w14:paraId="1E2B90D6" w14:textId="3AF36FD9"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Unaccompanied Homeless Youth Commission. 2024. </w:t>
      </w:r>
      <w:r w:rsidRPr="00F832F8">
        <w:rPr>
          <w:i/>
          <w:iCs/>
          <w:sz w:val="20"/>
          <w:szCs w:val="20"/>
        </w:rPr>
        <w:t>Massachusetts 2024 Youth Count.</w:t>
      </w:r>
      <w:r w:rsidRPr="00F832F8">
        <w:rPr>
          <w:sz w:val="20"/>
          <w:szCs w:val="20"/>
        </w:rPr>
        <w:t xml:space="preserve"> Prepared by Laurie Ross. </w:t>
      </w:r>
      <w:hyperlink r:id="rId71" w:tgtFrame="_new" w:history="1">
        <w:r w:rsidRPr="00F832F8">
          <w:rPr>
            <w:rStyle w:val="Hyperlink"/>
            <w:sz w:val="20"/>
            <w:szCs w:val="20"/>
          </w:rPr>
          <w:t>https://www.mass.gov/doc/2024-youth-count-report-pdf/download</w:t>
        </w:r>
      </w:hyperlink>
      <w:r w:rsidRPr="00F832F8">
        <w:rPr>
          <w:sz w:val="20"/>
          <w:szCs w:val="20"/>
        </w:rPr>
        <w:t>.</w:t>
      </w:r>
    </w:p>
  </w:footnote>
  <w:footnote w:id="96">
    <w:p w14:paraId="6BDD78C6" w14:textId="1537B50A"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Unaccompanied Homeless Youth Commission.</w:t>
      </w:r>
    </w:p>
  </w:footnote>
  <w:footnote w:id="97">
    <w:p w14:paraId="320A9A68" w14:textId="7FB53058"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Bates, Chrissi, Ayala Livny, Alice Colegrove, and Lauren Leonardis. 2025. Young Adults Who Experience Homelessness or Housing Instability and Exchange Sex To Meet Their Basic Needs: Findings &amp; Recommendations. </w:t>
      </w:r>
      <w:hyperlink r:id="rId72" w:tgtFrame="_new" w:history="1">
        <w:r w:rsidRPr="00F832F8">
          <w:rPr>
            <w:rStyle w:val="Hyperlink"/>
            <w:sz w:val="20"/>
            <w:szCs w:val="20"/>
          </w:rPr>
          <w:t>https://www.mass.gov/doc/young-adults-who-experience-homelessness-or-housing-instability-and-exchange-sex-to-meet-their-needs-findings-recommendations-2023/download</w:t>
        </w:r>
      </w:hyperlink>
      <w:r w:rsidRPr="00F832F8">
        <w:rPr>
          <w:sz w:val="20"/>
          <w:szCs w:val="20"/>
        </w:rPr>
        <w:t>.</w:t>
      </w:r>
    </w:p>
  </w:footnote>
  <w:footnote w:id="98">
    <w:p w14:paraId="5A5E662B" w14:textId="43A77B77"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Unaccompanied Homeless Youth Commission.</w:t>
      </w:r>
    </w:p>
  </w:footnote>
  <w:footnote w:id="99">
    <w:p w14:paraId="53D8DA69" w14:textId="4A0B1036"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The Trevor Project. 2021. </w:t>
      </w:r>
      <w:r w:rsidRPr="00F832F8">
        <w:rPr>
          <w:i/>
          <w:iCs/>
          <w:sz w:val="20"/>
          <w:szCs w:val="20"/>
        </w:rPr>
        <w:t>Homelessness Report.</w:t>
      </w:r>
      <w:r w:rsidRPr="00F832F8">
        <w:rPr>
          <w:sz w:val="20"/>
          <w:szCs w:val="20"/>
        </w:rPr>
        <w:t xml:space="preserve"> </w:t>
      </w:r>
      <w:hyperlink r:id="rId73" w:tgtFrame="_new" w:history="1">
        <w:r w:rsidRPr="00F832F8">
          <w:rPr>
            <w:rStyle w:val="Hyperlink"/>
            <w:sz w:val="20"/>
            <w:szCs w:val="20"/>
          </w:rPr>
          <w:t>https://www.thetrevorproject.org/wp-content/uploads/2022/02/Trevor-Project-Homelessness-Report.pdf</w:t>
        </w:r>
      </w:hyperlink>
      <w:r w:rsidRPr="00F832F8">
        <w:rPr>
          <w:sz w:val="20"/>
          <w:szCs w:val="20"/>
        </w:rPr>
        <w:t>.</w:t>
      </w:r>
    </w:p>
  </w:footnote>
  <w:footnote w:id="100">
    <w:p w14:paraId="3DF066CF" w14:textId="40DB6C47"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Unaccompanied Homeless Youth Commission.</w:t>
      </w:r>
    </w:p>
  </w:footnote>
  <w:footnote w:id="101">
    <w:p w14:paraId="76CCB34F" w14:textId="21E2F5B6"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Center on Budget and Policy Priorities. 2019. “Federal Rental Assistance Fact Sheets.” </w:t>
      </w:r>
      <w:hyperlink r:id="rId74" w:anchor="US" w:tgtFrame="_new" w:history="1">
        <w:r w:rsidRPr="00F832F8">
          <w:rPr>
            <w:rStyle w:val="Hyperlink"/>
            <w:sz w:val="20"/>
            <w:szCs w:val="20"/>
          </w:rPr>
          <w:t>https://www.cbpp.org/research/federal-rental-assistance-fact-sheets#US</w:t>
        </w:r>
      </w:hyperlink>
      <w:r w:rsidRPr="00F832F8">
        <w:rPr>
          <w:sz w:val="20"/>
          <w:szCs w:val="20"/>
        </w:rPr>
        <w:t>.</w:t>
      </w:r>
    </w:p>
  </w:footnote>
  <w:footnote w:id="102">
    <w:p w14:paraId="7225BBD9" w14:textId="3C86C998"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Center on Budget and Policy Priorities. </w:t>
      </w:r>
    </w:p>
  </w:footnote>
  <w:footnote w:id="103">
    <w:p w14:paraId="2CE88C91" w14:textId="36510689"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National Low Income Housing Coalition. 2025. </w:t>
      </w:r>
      <w:r w:rsidRPr="00F832F8">
        <w:rPr>
          <w:i/>
          <w:iCs/>
          <w:sz w:val="20"/>
          <w:szCs w:val="20"/>
        </w:rPr>
        <w:t>Out of Reach: Massachusetts</w:t>
      </w:r>
      <w:r w:rsidRPr="00F832F8">
        <w:rPr>
          <w:sz w:val="20"/>
          <w:szCs w:val="20"/>
        </w:rPr>
        <w:t xml:space="preserve">. </w:t>
      </w:r>
      <w:hyperlink r:id="rId75" w:tgtFrame="_new" w:history="1">
        <w:r w:rsidRPr="00F832F8">
          <w:rPr>
            <w:rStyle w:val="Hyperlink"/>
            <w:sz w:val="20"/>
            <w:szCs w:val="20"/>
          </w:rPr>
          <w:t>https://nlihc.org/oor/state/ma</w:t>
        </w:r>
      </w:hyperlink>
      <w:r w:rsidRPr="00F832F8">
        <w:rPr>
          <w:sz w:val="20"/>
          <w:szCs w:val="20"/>
        </w:rPr>
        <w:t>.</w:t>
      </w:r>
    </w:p>
  </w:footnote>
  <w:footnote w:id="104">
    <w:p w14:paraId="6C488BDB" w14:textId="2432C976"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Executive Office of Housing and Livable Communities. n.d. “Apply for RAFT (Emergency Help for Housing Costs).” </w:t>
      </w:r>
      <w:hyperlink r:id="rId76" w:tgtFrame="_new" w:history="1">
        <w:r w:rsidRPr="00F832F8">
          <w:rPr>
            <w:rStyle w:val="Hyperlink"/>
            <w:sz w:val="20"/>
            <w:szCs w:val="20"/>
          </w:rPr>
          <w:t>https://www.mass.gov/how-to/apply-for-raft-emergency-help-for-housing-costs</w:t>
        </w:r>
      </w:hyperlink>
    </w:p>
  </w:footnote>
  <w:footnote w:id="105">
    <w:p w14:paraId="214F12F2" w14:textId="0CB16C13"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Commonwealth of Massachusetts. 2019. </w:t>
      </w:r>
      <w:r w:rsidRPr="00F832F8">
        <w:rPr>
          <w:i/>
          <w:iCs/>
          <w:sz w:val="20"/>
          <w:szCs w:val="20"/>
        </w:rPr>
        <w:t>Cost and Its Consequences.</w:t>
      </w:r>
      <w:r w:rsidRPr="00F832F8">
        <w:rPr>
          <w:sz w:val="20"/>
          <w:szCs w:val="20"/>
        </w:rPr>
        <w:t xml:space="preserve"> </w:t>
      </w:r>
      <w:hyperlink r:id="rId77" w:tgtFrame="_new" w:history="1">
        <w:r w:rsidRPr="00F832F8">
          <w:rPr>
            <w:rStyle w:val="Hyperlink"/>
            <w:sz w:val="20"/>
            <w:szCs w:val="20"/>
          </w:rPr>
          <w:t>https://www.mass.gov/cost-and-its-consequences</w:t>
        </w:r>
      </w:hyperlink>
      <w:r w:rsidRPr="00F832F8">
        <w:rPr>
          <w:sz w:val="20"/>
          <w:szCs w:val="20"/>
        </w:rPr>
        <w:t>.</w:t>
      </w:r>
    </w:p>
  </w:footnote>
  <w:footnote w:id="106">
    <w:p w14:paraId="6DF01759" w14:textId="26536137"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Romero, Adam P., Shoshana K. Goldberg, and Luis A. Vasquez. 2020. </w:t>
      </w:r>
      <w:r w:rsidRPr="00F832F8">
        <w:rPr>
          <w:i/>
          <w:iCs/>
          <w:sz w:val="20"/>
          <w:szCs w:val="20"/>
        </w:rPr>
        <w:t>LGBT People and Housing Affordability, Discrimination, and Homelessness.</w:t>
      </w:r>
      <w:r w:rsidRPr="00F832F8">
        <w:rPr>
          <w:sz w:val="20"/>
          <w:szCs w:val="20"/>
        </w:rPr>
        <w:t xml:space="preserve"> Williams Institute. </w:t>
      </w:r>
      <w:hyperlink r:id="rId78" w:tgtFrame="_new" w:history="1">
        <w:r w:rsidRPr="00F832F8">
          <w:rPr>
            <w:rStyle w:val="Hyperlink"/>
            <w:sz w:val="20"/>
            <w:szCs w:val="20"/>
          </w:rPr>
          <w:t>https://williamsinstitute.law.ucla.edu/wp-content/uploads/LGBT-Housing-Apr-2020.pdf</w:t>
        </w:r>
      </w:hyperlink>
      <w:r w:rsidRPr="00F832F8">
        <w:rPr>
          <w:sz w:val="20"/>
          <w:szCs w:val="20"/>
        </w:rPr>
        <w:t>.</w:t>
      </w:r>
    </w:p>
  </w:footnote>
  <w:footnote w:id="107">
    <w:p w14:paraId="2E323DE9" w14:textId="66683D05"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National Low Income Housing Coalition. 2020. “HUD Publishes Proposed Anti-Transgender Rule in Federal Register.” </w:t>
      </w:r>
      <w:hyperlink r:id="rId79" w:tgtFrame="_new" w:history="1">
        <w:r w:rsidRPr="00F832F8">
          <w:rPr>
            <w:rStyle w:val="Hyperlink"/>
            <w:sz w:val="20"/>
            <w:szCs w:val="20"/>
          </w:rPr>
          <w:t>https://nlihc.org/resource/hud-publishes-proposed-anti-transgender-rule-federal-register</w:t>
        </w:r>
      </w:hyperlink>
      <w:r w:rsidRPr="00F832F8">
        <w:rPr>
          <w:sz w:val="20"/>
          <w:szCs w:val="20"/>
        </w:rPr>
        <w:t>.</w:t>
      </w:r>
    </w:p>
  </w:footnote>
  <w:footnote w:id="108">
    <w:p w14:paraId="707B5B36" w14:textId="08FBEDD9"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Deal, Cameron, Riya D. Doshi, and Gilbert Gonzales. 2023. “Gender Minority Youth Experiencing Homelessness and Corresponding Health Disparities.” </w:t>
      </w:r>
      <w:r w:rsidRPr="00F832F8">
        <w:rPr>
          <w:i/>
          <w:iCs/>
          <w:sz w:val="20"/>
          <w:szCs w:val="20"/>
        </w:rPr>
        <w:t>Journal of Adolescent Health</w:t>
      </w:r>
      <w:r w:rsidRPr="00F832F8">
        <w:rPr>
          <w:sz w:val="20"/>
          <w:szCs w:val="20"/>
        </w:rPr>
        <w:t xml:space="preserve"> 72 (5): 763–69. </w:t>
      </w:r>
      <w:hyperlink r:id="rId80" w:tgtFrame="_new" w:history="1">
        <w:r w:rsidRPr="00F832F8">
          <w:rPr>
            <w:rStyle w:val="Hyperlink"/>
            <w:sz w:val="20"/>
            <w:szCs w:val="20"/>
          </w:rPr>
          <w:t>https://doi.org/10.1016/j.jadohealth.2022.11.229</w:t>
        </w:r>
      </w:hyperlink>
      <w:r w:rsidRPr="00F832F8">
        <w:rPr>
          <w:sz w:val="20"/>
          <w:szCs w:val="20"/>
        </w:rPr>
        <w:t>.</w:t>
      </w:r>
    </w:p>
  </w:footnote>
  <w:footnote w:id="109">
    <w:p w14:paraId="756F68E0" w14:textId="2A18CBAC"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Braveman, Paula A., Elaine Arkin, Dwayne Proctor, Tina Kauh, and Nicole Holm. 2022. “Systemic and Structural Racism: Definitions, Examples, Health Damages, and Approaches to Dismantling.” </w:t>
      </w:r>
      <w:r w:rsidRPr="00F832F8">
        <w:rPr>
          <w:i/>
          <w:iCs/>
          <w:sz w:val="20"/>
          <w:szCs w:val="20"/>
        </w:rPr>
        <w:t>Health Affairs</w:t>
      </w:r>
      <w:r w:rsidRPr="00F832F8">
        <w:rPr>
          <w:sz w:val="20"/>
          <w:szCs w:val="20"/>
        </w:rPr>
        <w:t xml:space="preserve"> 41 (2): 171–78.</w:t>
      </w:r>
    </w:p>
  </w:footnote>
  <w:footnote w:id="110">
    <w:p w14:paraId="0971AE04" w14:textId="7D00BE7E"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Unaccompanied Homeless Youth Commission.</w:t>
      </w:r>
    </w:p>
  </w:footnote>
  <w:footnote w:id="111">
    <w:p w14:paraId="15DF7FAC" w14:textId="581BE971"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Transgender Political Coalition. 2023. Shelter for All Genders: Best Practices for Homeless Shelters, Services, and Programs in Massachusetts in Serving Transgender, Nonbinary, and Gender Non-Conforming Guests. </w:t>
      </w:r>
      <w:hyperlink r:id="rId81" w:tgtFrame="_new" w:history="1">
        <w:r w:rsidRPr="00F832F8">
          <w:rPr>
            <w:rStyle w:val="Hyperlink"/>
            <w:sz w:val="20"/>
            <w:szCs w:val="20"/>
          </w:rPr>
          <w:t>https://www.masstpc.org/wp-content/uploads/Shelter-for-All-Genders-Revised-2023-FINAL.pdf</w:t>
        </w:r>
      </w:hyperlink>
      <w:r w:rsidRPr="00F832F8">
        <w:rPr>
          <w:sz w:val="20"/>
          <w:szCs w:val="20"/>
        </w:rPr>
        <w:t>.</w:t>
      </w:r>
    </w:p>
  </w:footnote>
  <w:footnote w:id="112">
    <w:p w14:paraId="657975A4" w14:textId="0111BA28"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Commonwealth of Massachusetts. 2025. “Governor Healey: All Hotel Shelters to Close This Summer.” </w:t>
      </w:r>
      <w:hyperlink r:id="rId82" w:tgtFrame="_new" w:history="1">
        <w:r w:rsidRPr="00F832F8">
          <w:rPr>
            <w:rStyle w:val="Hyperlink"/>
            <w:sz w:val="20"/>
            <w:szCs w:val="20"/>
          </w:rPr>
          <w:t>https://www.mass.gov/news/governor-healey-all-hotel-shelters-to-close-this-summer</w:t>
        </w:r>
      </w:hyperlink>
      <w:r w:rsidRPr="00F832F8">
        <w:rPr>
          <w:sz w:val="20"/>
          <w:szCs w:val="20"/>
        </w:rPr>
        <w:t xml:space="preserve">; Commonwealth of Massachusetts. 2024. “Healey-Driscoll Administration Announces Systemwide Changes to Lower Shelter Costs.” </w:t>
      </w:r>
      <w:hyperlink r:id="rId83" w:tgtFrame="_new" w:history="1">
        <w:r w:rsidRPr="00F832F8">
          <w:rPr>
            <w:rStyle w:val="Hyperlink"/>
            <w:sz w:val="20"/>
            <w:szCs w:val="20"/>
          </w:rPr>
          <w:t>https://www.mass.gov/news/healey-driscoll-administration-announces-systemwide-changes-to-lower-shelter-costs</w:t>
        </w:r>
      </w:hyperlink>
      <w:r w:rsidRPr="00F832F8">
        <w:rPr>
          <w:sz w:val="20"/>
          <w:szCs w:val="20"/>
        </w:rPr>
        <w:t>.</w:t>
      </w:r>
    </w:p>
  </w:footnote>
  <w:footnote w:id="113">
    <w:p w14:paraId="23F151D1" w14:textId="18857B72"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Governor’s Press Office. 2025. “Governor Healey Announces Successful Closure of All Hotel Shelters, Ends State of Emergency.” </w:t>
      </w:r>
      <w:hyperlink r:id="rId84" w:tgtFrame="_new" w:history="1">
        <w:r w:rsidRPr="00F832F8">
          <w:rPr>
            <w:rStyle w:val="Hyperlink"/>
            <w:sz w:val="20"/>
            <w:szCs w:val="20"/>
          </w:rPr>
          <w:t>https://www.mass.gov/news/governor-healey-announces-successful-closure-of-all-hotel-shelters-ends-state-of-emergency</w:t>
        </w:r>
      </w:hyperlink>
      <w:r w:rsidRPr="00F832F8">
        <w:rPr>
          <w:sz w:val="20"/>
          <w:szCs w:val="20"/>
        </w:rPr>
        <w:t>.</w:t>
      </w:r>
    </w:p>
  </w:footnote>
  <w:footnote w:id="114">
    <w:p w14:paraId="70728DED" w14:textId="0FC0A4EA"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Unaccompanied Homeless Youth Commission.</w:t>
      </w:r>
    </w:p>
  </w:footnote>
  <w:footnote w:id="115">
    <w:p w14:paraId="19FDB09D" w14:textId="77777777" w:rsidR="00970972" w:rsidRPr="00F832F8" w:rsidRDefault="00970972"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Huang, Paisley Zhilan. 2025. “For State’s Homeless, a New Bill Could Make IDs Easier to Obtain.” </w:t>
      </w:r>
      <w:r w:rsidRPr="00F832F8">
        <w:rPr>
          <w:i/>
          <w:iCs/>
          <w:sz w:val="20"/>
          <w:szCs w:val="20"/>
        </w:rPr>
        <w:t>The Worcester Guardian.</w:t>
      </w:r>
      <w:r w:rsidRPr="00F832F8">
        <w:rPr>
          <w:sz w:val="20"/>
          <w:szCs w:val="20"/>
        </w:rPr>
        <w:t xml:space="preserve"> </w:t>
      </w:r>
      <w:hyperlink r:id="rId85" w:tgtFrame="_new" w:history="1">
        <w:r w:rsidRPr="00F832F8">
          <w:rPr>
            <w:rStyle w:val="Hyperlink"/>
            <w:sz w:val="20"/>
            <w:szCs w:val="20"/>
          </w:rPr>
          <w:t>https://theworcesterguardian.org/f/for-states-homeless-a-new-bill-could-make-ids-easier-to-obtain/</w:t>
        </w:r>
      </w:hyperlink>
      <w:r w:rsidRPr="00F832F8">
        <w:rPr>
          <w:sz w:val="20"/>
          <w:szCs w:val="20"/>
        </w:rPr>
        <w:t>.</w:t>
      </w:r>
    </w:p>
  </w:footnote>
  <w:footnote w:id="116">
    <w:p w14:paraId="2333E2FC" w14:textId="09902671"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Riley, Neal. 2024. “Massachusetts Sees ‘Staggering’ Drop in Home Sales.” </w:t>
      </w:r>
      <w:r w:rsidRPr="00F832F8">
        <w:rPr>
          <w:i/>
          <w:iCs/>
          <w:sz w:val="20"/>
          <w:szCs w:val="20"/>
        </w:rPr>
        <w:t>CBS Boston.</w:t>
      </w:r>
      <w:r w:rsidRPr="00F832F8">
        <w:rPr>
          <w:sz w:val="20"/>
          <w:szCs w:val="20"/>
        </w:rPr>
        <w:t xml:space="preserve"> </w:t>
      </w:r>
      <w:hyperlink r:id="rId86" w:tgtFrame="_new" w:history="1">
        <w:r w:rsidRPr="00F832F8">
          <w:rPr>
            <w:rStyle w:val="Hyperlink"/>
            <w:sz w:val="20"/>
            <w:szCs w:val="20"/>
          </w:rPr>
          <w:t>https://www.cbsnews.com/boston/news/massachusetts-home-sales-prices-2023</w:t>
        </w:r>
      </w:hyperlink>
      <w:r w:rsidRPr="00F832F8">
        <w:rPr>
          <w:sz w:val="20"/>
          <w:szCs w:val="20"/>
        </w:rPr>
        <w:t>.</w:t>
      </w:r>
    </w:p>
  </w:footnote>
  <w:footnote w:id="117">
    <w:p w14:paraId="412AD415" w14:textId="1862F210"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Stefanescu, Victor. 2024. “Boston Ranked among the Toughest Cities for Gen Z Home Buyers.” </w:t>
      </w:r>
      <w:r w:rsidRPr="00F832F8">
        <w:rPr>
          <w:i/>
          <w:iCs/>
          <w:sz w:val="20"/>
          <w:szCs w:val="20"/>
        </w:rPr>
        <w:t>Boston.com.</w:t>
      </w:r>
      <w:r w:rsidRPr="00F832F8">
        <w:rPr>
          <w:sz w:val="20"/>
          <w:szCs w:val="20"/>
        </w:rPr>
        <w:t xml:space="preserve"> </w:t>
      </w:r>
      <w:hyperlink r:id="rId87" w:tgtFrame="_new" w:history="1">
        <w:r w:rsidRPr="00F832F8">
          <w:rPr>
            <w:rStyle w:val="Hyperlink"/>
            <w:sz w:val="20"/>
            <w:szCs w:val="20"/>
          </w:rPr>
          <w:t>https://www.boston.com/real-estate/real-estate/2024/02/06/boston-ranked-among-the-toughest-cities-for-gen-z-home-buyers/</w:t>
        </w:r>
      </w:hyperlink>
      <w:r w:rsidRPr="00F832F8">
        <w:rPr>
          <w:sz w:val="20"/>
          <w:szCs w:val="20"/>
        </w:rPr>
        <w:t>.</w:t>
      </w:r>
    </w:p>
  </w:footnote>
  <w:footnote w:id="118">
    <w:p w14:paraId="4B68106F" w14:textId="3063E720"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Nickerson, Scooty. 2025. “Home Buying Is Tougher for Young Adults in Mass. than It Is Almost Anywhere Else in the Country.” </w:t>
      </w:r>
      <w:r w:rsidRPr="00F832F8">
        <w:rPr>
          <w:i/>
          <w:iCs/>
          <w:sz w:val="20"/>
          <w:szCs w:val="20"/>
        </w:rPr>
        <w:t>The Boston Globe.</w:t>
      </w:r>
      <w:r w:rsidRPr="00F832F8">
        <w:rPr>
          <w:sz w:val="20"/>
          <w:szCs w:val="20"/>
        </w:rPr>
        <w:t xml:space="preserve"> </w:t>
      </w:r>
      <w:hyperlink r:id="rId88" w:tgtFrame="_new" w:history="1">
        <w:r w:rsidRPr="00F832F8">
          <w:rPr>
            <w:rStyle w:val="Hyperlink"/>
            <w:sz w:val="20"/>
            <w:szCs w:val="20"/>
          </w:rPr>
          <w:t>https://www.bostonglobe.com/2025/08/13/data/massachusetts-young-homeownership-rate/</w:t>
        </w:r>
      </w:hyperlink>
      <w:r w:rsidRPr="00F832F8">
        <w:rPr>
          <w:sz w:val="20"/>
          <w:szCs w:val="20"/>
        </w:rPr>
        <w:t>.</w:t>
      </w:r>
    </w:p>
  </w:footnote>
  <w:footnote w:id="119">
    <w:p w14:paraId="6622CE14" w14:textId="2DC9A80C"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Fry, Richard, Jeffrey S. Passel, and D’Vera Cohn. 2020. “A Majority of Young Adults in the U.S. Live with Their Parents for the First Time since the Great Depression.” </w:t>
      </w:r>
      <w:r w:rsidRPr="00F832F8">
        <w:rPr>
          <w:i/>
          <w:iCs/>
          <w:sz w:val="20"/>
          <w:szCs w:val="20"/>
        </w:rPr>
        <w:t>Pew Research Center.</w:t>
      </w:r>
      <w:r w:rsidRPr="00F832F8">
        <w:rPr>
          <w:sz w:val="20"/>
          <w:szCs w:val="20"/>
        </w:rPr>
        <w:t xml:space="preserve"> </w:t>
      </w:r>
      <w:hyperlink r:id="rId89" w:tgtFrame="_new" w:history="1">
        <w:r w:rsidRPr="00F832F8">
          <w:rPr>
            <w:rStyle w:val="Hyperlink"/>
            <w:sz w:val="20"/>
            <w:szCs w:val="20"/>
          </w:rPr>
          <w:t>https://www.pewresearch.org/short-reads/2020/09/04/a-majority-of-young-adults-in-the-u-s-live-with-their-parents-for-the-first-time-since-the-great-depression/</w:t>
        </w:r>
      </w:hyperlink>
      <w:r w:rsidRPr="00F832F8">
        <w:rPr>
          <w:sz w:val="20"/>
          <w:szCs w:val="20"/>
        </w:rPr>
        <w:t>.</w:t>
      </w:r>
    </w:p>
  </w:footnote>
  <w:footnote w:id="120">
    <w:p w14:paraId="0507AB27" w14:textId="3B42E12F"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James, Sandy E., Jody L. Herman, Laura E. Durso, and Rodrigo Heng-Lehtinen. 2024. </w:t>
      </w:r>
      <w:r w:rsidRPr="00F832F8">
        <w:rPr>
          <w:i/>
          <w:iCs/>
          <w:sz w:val="20"/>
          <w:szCs w:val="20"/>
        </w:rPr>
        <w:t>Early Insights: A Report of the 2022 U.S. Transgender Survey.</w:t>
      </w:r>
      <w:r w:rsidRPr="00F832F8">
        <w:rPr>
          <w:sz w:val="20"/>
          <w:szCs w:val="20"/>
        </w:rPr>
        <w:t xml:space="preserve"> National Center for Transgender Equality. </w:t>
      </w:r>
      <w:hyperlink r:id="rId90" w:tgtFrame="_new" w:history="1">
        <w:proofErr w:type="spellStart"/>
        <w:r w:rsidR="0013484E" w:rsidRPr="00F832F8">
          <w:rPr>
            <w:rStyle w:val="Hyperlink"/>
            <w:sz w:val="20"/>
            <w:szCs w:val="20"/>
          </w:rPr>
          <w:t>TransEquality</w:t>
        </w:r>
        <w:proofErr w:type="spellEnd"/>
        <w:r w:rsidR="0013484E" w:rsidRPr="00F832F8">
          <w:rPr>
            <w:rStyle w:val="Hyperlink"/>
            <w:sz w:val="20"/>
            <w:szCs w:val="20"/>
          </w:rPr>
          <w:t xml:space="preserve"> website.</w:t>
        </w:r>
      </w:hyperlink>
    </w:p>
  </w:footnote>
  <w:footnote w:id="121">
    <w:p w14:paraId="2A56CCF9" w14:textId="739338D1"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Migdon, Brooke. 2024. “Half of Trans People in US Have Considered Moving out of State Because of Anti-LGBTQ Laws: Survey.” </w:t>
      </w:r>
      <w:r w:rsidRPr="00F832F8">
        <w:rPr>
          <w:i/>
          <w:iCs/>
          <w:sz w:val="20"/>
          <w:szCs w:val="20"/>
        </w:rPr>
        <w:t>The Hill.</w:t>
      </w:r>
      <w:r w:rsidRPr="00F832F8">
        <w:rPr>
          <w:sz w:val="20"/>
          <w:szCs w:val="20"/>
        </w:rPr>
        <w:t xml:space="preserve"> </w:t>
      </w:r>
      <w:hyperlink r:id="rId91" w:tgtFrame="_new" w:history="1">
        <w:r w:rsidRPr="00F832F8">
          <w:rPr>
            <w:rStyle w:val="Hyperlink"/>
            <w:sz w:val="20"/>
            <w:szCs w:val="20"/>
          </w:rPr>
          <w:t>https://thehill.com/policy/healthcare/4452248-half-of-trans-people-in-us-have-considered-moving-out-of-state-because-of-anti-lgbtq-laws-survey/</w:t>
        </w:r>
      </w:hyperlink>
      <w:r w:rsidRPr="00F832F8">
        <w:rPr>
          <w:sz w:val="20"/>
          <w:szCs w:val="20"/>
        </w:rPr>
        <w:t>.</w:t>
      </w:r>
    </w:p>
  </w:footnote>
  <w:footnote w:id="122">
    <w:p w14:paraId="77E8D2D2" w14:textId="4EFF4A51"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Karedes, Drew. 2023. “‘I Need to Leave!’ Massachusetts Attracts LGBTQ People Fleeing Red States.” </w:t>
      </w:r>
      <w:r w:rsidRPr="00F832F8">
        <w:rPr>
          <w:i/>
          <w:iCs/>
          <w:sz w:val="20"/>
          <w:szCs w:val="20"/>
        </w:rPr>
        <w:t>Boston 25 News.</w:t>
      </w:r>
      <w:r w:rsidRPr="00F832F8">
        <w:rPr>
          <w:sz w:val="20"/>
          <w:szCs w:val="20"/>
        </w:rPr>
        <w:t xml:space="preserve"> https://www.boston25news.com/news/local/i-need-leave-massachusetts-attracts-lgbq-people-fleeing-red-states/EV54J53HG5CODDLW3AUQZZ3QJI/.</w:t>
      </w:r>
    </w:p>
  </w:footnote>
  <w:footnote w:id="123">
    <w:p w14:paraId="15D03B38" w14:textId="68F1D98C"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Department of Workforce Development. 2026. “Massachusetts and the Labor Areas.” </w:t>
      </w:r>
      <w:hyperlink r:id="rId92" w:tgtFrame="_new" w:history="1">
        <w:r w:rsidRPr="00F832F8">
          <w:rPr>
            <w:rStyle w:val="Hyperlink"/>
            <w:sz w:val="20"/>
            <w:szCs w:val="20"/>
          </w:rPr>
          <w:t>https://s3lmipub-prod.s3.amazonaws.com/prod/LaborArea_comparison.pdf</w:t>
        </w:r>
      </w:hyperlink>
      <w:r w:rsidRPr="00F832F8">
        <w:rPr>
          <w:sz w:val="20"/>
          <w:szCs w:val="20"/>
        </w:rPr>
        <w:t>.</w:t>
      </w:r>
    </w:p>
  </w:footnote>
  <w:footnote w:id="124">
    <w:p w14:paraId="221C9B35" w14:textId="4C3239D1"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Rembert, Mark, David Jan, and Victor Owusu. 2023. </w:t>
      </w:r>
      <w:r w:rsidRPr="00F832F8">
        <w:rPr>
          <w:i/>
          <w:iCs/>
          <w:sz w:val="20"/>
          <w:szCs w:val="20"/>
        </w:rPr>
        <w:t>Annual Economic Analysis Report.</w:t>
      </w:r>
      <w:r w:rsidRPr="00F832F8">
        <w:rPr>
          <w:sz w:val="20"/>
          <w:szCs w:val="20"/>
        </w:rPr>
        <w:t xml:space="preserve"> </w:t>
      </w:r>
      <w:hyperlink r:id="rId93" w:tgtFrame="_new" w:history="1">
        <w:r w:rsidRPr="00F832F8">
          <w:rPr>
            <w:rStyle w:val="Hyperlink"/>
            <w:sz w:val="20"/>
            <w:szCs w:val="20"/>
          </w:rPr>
          <w:t>https://www.mass.gov/doc/2022-annual-economic-analysis-report/download</w:t>
        </w:r>
      </w:hyperlink>
      <w:r w:rsidRPr="00F832F8">
        <w:rPr>
          <w:sz w:val="20"/>
          <w:szCs w:val="20"/>
        </w:rPr>
        <w:t>.</w:t>
      </w:r>
    </w:p>
  </w:footnote>
  <w:footnote w:id="125">
    <w:p w14:paraId="6974A949" w14:textId="43CF793F"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Dolven, Taylor, and Laura Crimaldi. 2023. “MBTA Says It Needs at Least $24.5 Billion to Repair Its Troubled System.” </w:t>
      </w:r>
      <w:r w:rsidRPr="00F832F8">
        <w:rPr>
          <w:i/>
          <w:iCs/>
          <w:sz w:val="20"/>
          <w:szCs w:val="20"/>
        </w:rPr>
        <w:t>The Boston Globe.</w:t>
      </w:r>
      <w:r w:rsidRPr="00F832F8">
        <w:rPr>
          <w:sz w:val="20"/>
          <w:szCs w:val="20"/>
        </w:rPr>
        <w:t xml:space="preserve"> </w:t>
      </w:r>
      <w:hyperlink r:id="rId94" w:tgtFrame="_new" w:history="1">
        <w:r w:rsidRPr="00F832F8">
          <w:rPr>
            <w:rStyle w:val="Hyperlink"/>
            <w:sz w:val="20"/>
            <w:szCs w:val="20"/>
          </w:rPr>
          <w:t>https://www.bostonglobe.com/2023/11/16/metro/cost-to-fix-mbta/</w:t>
        </w:r>
      </w:hyperlink>
      <w:r w:rsidRPr="00F832F8">
        <w:rPr>
          <w:sz w:val="20"/>
          <w:szCs w:val="20"/>
        </w:rPr>
        <w:t>.</w:t>
      </w:r>
    </w:p>
  </w:footnote>
  <w:footnote w:id="126">
    <w:p w14:paraId="15CCC28A" w14:textId="6DD209AD"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Daniels, Adi. 2021. “Why Do People Immigrate? The Different Causes of Immigration.” </w:t>
      </w:r>
      <w:r w:rsidRPr="00F832F8">
        <w:rPr>
          <w:i/>
          <w:iCs/>
          <w:sz w:val="20"/>
          <w:szCs w:val="20"/>
        </w:rPr>
        <w:t>LIRS.</w:t>
      </w:r>
      <w:r w:rsidRPr="00F832F8">
        <w:rPr>
          <w:sz w:val="20"/>
          <w:szCs w:val="20"/>
        </w:rPr>
        <w:t xml:space="preserve"> https://www.lirs.org/causes-of-immigration/.</w:t>
      </w:r>
    </w:p>
  </w:footnote>
  <w:footnote w:id="127">
    <w:p w14:paraId="7BFE0F93" w14:textId="221266B8"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Rios, Simon. 2020. “For Non-English Speakers, Difficult Language Barriers Become Dire amid Outbreak.” </w:t>
      </w:r>
      <w:r w:rsidRPr="00F832F8">
        <w:rPr>
          <w:i/>
          <w:iCs/>
          <w:sz w:val="20"/>
          <w:szCs w:val="20"/>
        </w:rPr>
        <w:t>WBUR.</w:t>
      </w:r>
      <w:r w:rsidRPr="00F832F8">
        <w:rPr>
          <w:sz w:val="20"/>
          <w:szCs w:val="20"/>
        </w:rPr>
        <w:t xml:space="preserve"> </w:t>
      </w:r>
      <w:hyperlink r:id="rId95" w:tgtFrame="_new" w:history="1">
        <w:r w:rsidRPr="00F832F8">
          <w:rPr>
            <w:rStyle w:val="Hyperlink"/>
            <w:sz w:val="20"/>
            <w:szCs w:val="20"/>
          </w:rPr>
          <w:t>https://www.wbur.org/news/2020/04/07/coronavirus-translation-problems</w:t>
        </w:r>
      </w:hyperlink>
      <w:r w:rsidRPr="00F832F8">
        <w:rPr>
          <w:sz w:val="20"/>
          <w:szCs w:val="20"/>
        </w:rPr>
        <w:t>.</w:t>
      </w:r>
    </w:p>
  </w:footnote>
  <w:footnote w:id="128">
    <w:p w14:paraId="10343229" w14:textId="74EF152F"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Espinoza, Jason, and Sabrina Derrington. 2021. “How Should Clinicians Respond to Language Barriers That Exacerbate Health Inequity?” </w:t>
      </w:r>
      <w:r w:rsidRPr="00F832F8">
        <w:rPr>
          <w:i/>
          <w:iCs/>
          <w:sz w:val="20"/>
          <w:szCs w:val="20"/>
        </w:rPr>
        <w:t>AMA Journal of Ethics</w:t>
      </w:r>
      <w:r w:rsidRPr="00F832F8">
        <w:rPr>
          <w:sz w:val="20"/>
          <w:szCs w:val="20"/>
        </w:rPr>
        <w:t xml:space="preserve"> 23 (2): 109–16. </w:t>
      </w:r>
      <w:hyperlink r:id="rId96" w:tgtFrame="_new" w:history="1">
        <w:r w:rsidRPr="00F832F8">
          <w:rPr>
            <w:rStyle w:val="Hyperlink"/>
            <w:sz w:val="20"/>
            <w:szCs w:val="20"/>
          </w:rPr>
          <w:t>https://doi.org/10.1001/amajethics.2021.109</w:t>
        </w:r>
      </w:hyperlink>
      <w:r w:rsidRPr="00F832F8">
        <w:rPr>
          <w:sz w:val="20"/>
          <w:szCs w:val="20"/>
        </w:rPr>
        <w:t>.</w:t>
      </w:r>
    </w:p>
  </w:footnote>
  <w:footnote w:id="129">
    <w:p w14:paraId="013EEDB8" w14:textId="05D30708"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Rex, Kristina. n.d. “Some Massachusetts Schools See Spike in Absences amid Immigration Fears.” </w:t>
      </w:r>
      <w:r w:rsidRPr="00F832F8">
        <w:rPr>
          <w:i/>
          <w:iCs/>
          <w:sz w:val="20"/>
          <w:szCs w:val="20"/>
        </w:rPr>
        <w:t>CBS News.</w:t>
      </w:r>
      <w:r w:rsidRPr="00F832F8">
        <w:rPr>
          <w:sz w:val="20"/>
          <w:szCs w:val="20"/>
        </w:rPr>
        <w:t xml:space="preserve"> Accessed 2026. </w:t>
      </w:r>
      <w:hyperlink r:id="rId97" w:tgtFrame="_new" w:history="1">
        <w:r w:rsidRPr="00F832F8">
          <w:rPr>
            <w:rStyle w:val="Hyperlink"/>
            <w:sz w:val="20"/>
            <w:szCs w:val="20"/>
          </w:rPr>
          <w:t>https://www.cbsnews.com/boston/news/massachusetts-schools-immigration-fears-absences/</w:t>
        </w:r>
      </w:hyperlink>
      <w:r w:rsidRPr="00F832F8">
        <w:rPr>
          <w:sz w:val="20"/>
          <w:szCs w:val="20"/>
        </w:rPr>
        <w:t>.</w:t>
      </w:r>
    </w:p>
  </w:footnote>
  <w:footnote w:id="130">
    <w:p w14:paraId="5012ED6E" w14:textId="74A0C9F0"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Zajac, Jacek, Anil Shrestha, Parini Patel, and Leonid Poretsky. 2010. “The Main Events in the History of Diabetes Mellitus.” In </w:t>
      </w:r>
      <w:r w:rsidRPr="00F832F8">
        <w:rPr>
          <w:i/>
          <w:iCs/>
          <w:sz w:val="20"/>
          <w:szCs w:val="20"/>
        </w:rPr>
        <w:t>Principles of Diabetes Mellitus</w:t>
      </w:r>
      <w:r w:rsidRPr="00F832F8">
        <w:rPr>
          <w:sz w:val="20"/>
          <w:szCs w:val="20"/>
        </w:rPr>
        <w:t>, 3–16.</w:t>
      </w:r>
    </w:p>
  </w:footnote>
  <w:footnote w:id="131">
    <w:p w14:paraId="012B7E64" w14:textId="3D914DC5"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Turban, Jack L., Dana King, Jeremi M. Carswell, and Alex S. Keuroghlian. 2020. “Pubertal Suppression for Transgender Youth and Risk of Suicidal Ideation.” </w:t>
      </w:r>
      <w:r w:rsidRPr="00F832F8">
        <w:rPr>
          <w:i/>
          <w:iCs/>
          <w:sz w:val="20"/>
          <w:szCs w:val="20"/>
        </w:rPr>
        <w:t>Pediatrics</w:t>
      </w:r>
      <w:r w:rsidRPr="00F832F8">
        <w:rPr>
          <w:sz w:val="20"/>
          <w:szCs w:val="20"/>
        </w:rPr>
        <w:t xml:space="preserve"> 145 (2).</w:t>
      </w:r>
    </w:p>
  </w:footnote>
  <w:footnote w:id="132">
    <w:p w14:paraId="7C9C653E" w14:textId="6FD04DF1"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Olson, Kristina R., Lily Durwood, Rachel Horton, Natalie M. Gallagher, and Aaron Devor. 2022. “Gender Identity 5 Years after Social Transition.” </w:t>
      </w:r>
      <w:r w:rsidRPr="00F832F8">
        <w:rPr>
          <w:i/>
          <w:iCs/>
          <w:sz w:val="20"/>
          <w:szCs w:val="20"/>
        </w:rPr>
        <w:t>Pediatrics</w:t>
      </w:r>
      <w:r w:rsidRPr="00F832F8">
        <w:rPr>
          <w:sz w:val="20"/>
          <w:szCs w:val="20"/>
        </w:rPr>
        <w:t xml:space="preserve"> 150 (2).</w:t>
      </w:r>
    </w:p>
  </w:footnote>
  <w:footnote w:id="133">
    <w:p w14:paraId="16E4EE18" w14:textId="3DA92F19"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Puckett, Jae A., Peter Cleary, Kinton Rossman, Brian Mustanski, and Michael E. Newcomb. 2018. “Barriers to Gender-Affirming Care for Transgender and Gender Nonconforming Individuals.” </w:t>
      </w:r>
      <w:r w:rsidRPr="00F832F8">
        <w:rPr>
          <w:i/>
          <w:iCs/>
          <w:sz w:val="20"/>
          <w:szCs w:val="20"/>
        </w:rPr>
        <w:t>Sexuality Research and Social Policy</w:t>
      </w:r>
      <w:r w:rsidRPr="00F832F8">
        <w:rPr>
          <w:sz w:val="20"/>
          <w:szCs w:val="20"/>
        </w:rPr>
        <w:t xml:space="preserve"> 15: 48–</w:t>
      </w:r>
      <w:proofErr w:type="gramStart"/>
      <w:r w:rsidRPr="00F832F8">
        <w:rPr>
          <w:sz w:val="20"/>
          <w:szCs w:val="20"/>
        </w:rPr>
        <w:t>59..</w:t>
      </w:r>
      <w:proofErr w:type="gramEnd"/>
    </w:p>
  </w:footnote>
  <w:footnote w:id="134">
    <w:p w14:paraId="6AEAC7C4" w14:textId="7751EF0F"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Sava, L. M., V. A. Earnshaw, D. D. Menino, J. Perrotti, and S. L. Reisner. 2021. “LGBTQ Student Health: A Mixed-Methods Study of Unmet Needs in Massachusetts Schools.” </w:t>
      </w:r>
      <w:r w:rsidRPr="00F832F8">
        <w:rPr>
          <w:i/>
          <w:iCs/>
          <w:sz w:val="20"/>
          <w:szCs w:val="20"/>
        </w:rPr>
        <w:t>Journal of School Health</w:t>
      </w:r>
      <w:r w:rsidRPr="00F832F8">
        <w:rPr>
          <w:sz w:val="20"/>
          <w:szCs w:val="20"/>
        </w:rPr>
        <w:t xml:space="preserve"> 91 (11): 894–905. https://doi.org/10.1111/josh.13082.</w:t>
      </w:r>
    </w:p>
  </w:footnote>
  <w:footnote w:id="135">
    <w:p w14:paraId="4BFE8E62" w14:textId="533A707A"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Paceley, Megan S., Jessica N. Fish, Aaron Conrad, and Nikolaus Schuetz. 2019. “Diverse Community Contexts and Community Resources for Sexual and Gender Minority Youth: A Mixed-Methods Study.” </w:t>
      </w:r>
      <w:r w:rsidRPr="00F832F8">
        <w:rPr>
          <w:i/>
          <w:iCs/>
          <w:sz w:val="20"/>
          <w:szCs w:val="20"/>
        </w:rPr>
        <w:t>Journal of Community &amp; Applied Social Psychology</w:t>
      </w:r>
      <w:r w:rsidRPr="00F832F8">
        <w:rPr>
          <w:sz w:val="20"/>
          <w:szCs w:val="20"/>
        </w:rPr>
        <w:t xml:space="preserve"> 29 (6): 445–60. </w:t>
      </w:r>
      <w:hyperlink r:id="rId98" w:tgtFrame="_new" w:history="1">
        <w:r w:rsidRPr="00F832F8">
          <w:rPr>
            <w:rStyle w:val="Hyperlink"/>
            <w:sz w:val="20"/>
            <w:szCs w:val="20"/>
          </w:rPr>
          <w:t>https://doi.org/10.1002/casp.2417</w:t>
        </w:r>
      </w:hyperlink>
      <w:r w:rsidRPr="00F832F8">
        <w:rPr>
          <w:sz w:val="20"/>
          <w:szCs w:val="20"/>
        </w:rPr>
        <w:t>.</w:t>
      </w:r>
    </w:p>
  </w:footnote>
  <w:footnote w:id="136">
    <w:p w14:paraId="7FA919E4" w14:textId="4F4E55F5"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Goldbach, Jeremy T., Luis A. Parra, Ryan P. O’Brien, Harmony Rhoades, and Sheree M. Schrager. 2023. “Explaining Behavioral Health Differences in Urban and Rural Sexual Minority Adolescents: A Longitudinal Investigation of Minority Stress in a Diverse National Sample of Sexual Minority Adolescents.” </w:t>
      </w:r>
      <w:r w:rsidRPr="00F832F8">
        <w:rPr>
          <w:i/>
          <w:iCs/>
          <w:sz w:val="20"/>
          <w:szCs w:val="20"/>
        </w:rPr>
        <w:t>Journal of Rural Health</w:t>
      </w:r>
      <w:r w:rsidRPr="00F832F8">
        <w:rPr>
          <w:sz w:val="20"/>
          <w:szCs w:val="20"/>
        </w:rPr>
        <w:t xml:space="preserve"> 39 (1): 262–71. https://doi.org/10.1111/jrh.12706.</w:t>
      </w:r>
    </w:p>
  </w:footnote>
  <w:footnote w:id="137">
    <w:p w14:paraId="15534D4C" w14:textId="700DF624"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Whaibeh, Emile, Hossam Mahmoud, and Emily L. Vogt. 2020. “Reducing the Treatment Gap for LGBT Mental Health Needs: The Potential of Telepsychiatry.” </w:t>
      </w:r>
      <w:r w:rsidRPr="00F832F8">
        <w:rPr>
          <w:i/>
          <w:iCs/>
          <w:sz w:val="20"/>
          <w:szCs w:val="20"/>
        </w:rPr>
        <w:t>Journal of Behavioral Health Services &amp; Research</w:t>
      </w:r>
      <w:r w:rsidRPr="00F832F8">
        <w:rPr>
          <w:sz w:val="20"/>
          <w:szCs w:val="20"/>
        </w:rPr>
        <w:t xml:space="preserve"> 47 (3): 424–31.</w:t>
      </w:r>
    </w:p>
  </w:footnote>
  <w:footnote w:id="138">
    <w:p w14:paraId="37C90DB0" w14:textId="62EE0E21"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Marcin, James P., Ulfat Shaikh, and Robin H. Steinhorn. 2015. “Addressing Health Disparities in Rural Communities Using Telehealth.” </w:t>
      </w:r>
      <w:r w:rsidRPr="00F832F8">
        <w:rPr>
          <w:i/>
          <w:iCs/>
          <w:sz w:val="20"/>
          <w:szCs w:val="20"/>
        </w:rPr>
        <w:t>Pediatric Research</w:t>
      </w:r>
      <w:r w:rsidRPr="00F832F8">
        <w:rPr>
          <w:sz w:val="20"/>
          <w:szCs w:val="20"/>
        </w:rPr>
        <w:t xml:space="preserve"> 79 (1–2): 169–76. </w:t>
      </w:r>
      <w:hyperlink r:id="rId99" w:tgtFrame="_new" w:history="1">
        <w:r w:rsidRPr="00F832F8">
          <w:rPr>
            <w:rStyle w:val="Hyperlink"/>
            <w:sz w:val="20"/>
            <w:szCs w:val="20"/>
          </w:rPr>
          <w:t>https://doi.org/10.1038/pr.2015.192</w:t>
        </w:r>
      </w:hyperlink>
      <w:r w:rsidRPr="00F832F8">
        <w:rPr>
          <w:sz w:val="20"/>
          <w:szCs w:val="20"/>
        </w:rPr>
        <w:t>.</w:t>
      </w:r>
    </w:p>
  </w:footnote>
  <w:footnote w:id="139">
    <w:p w14:paraId="371EF1CE" w14:textId="77777777"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Marcin, J. P., J. Ellis, R. Mawis, E. Nagrampa, T. S. Nesbitt, and R. J. Dimand. 2003. “Using Telemedicine to Provide Pediatric Subspecialty Care to Children with Special Health Care Needs in an Underserved Rural Community.” PEDIATRICS 113 (1): 1–6. </w:t>
      </w:r>
      <w:hyperlink r:id="rId100">
        <w:r w:rsidRPr="00F832F8">
          <w:rPr>
            <w:rStyle w:val="Hyperlink"/>
            <w:sz w:val="20"/>
            <w:szCs w:val="20"/>
          </w:rPr>
          <w:t>https://doi.org/10.1542/peds.113.1.1</w:t>
        </w:r>
      </w:hyperlink>
      <w:r w:rsidRPr="00F832F8">
        <w:rPr>
          <w:sz w:val="20"/>
          <w:szCs w:val="20"/>
        </w:rPr>
        <w:t>.</w:t>
      </w:r>
    </w:p>
  </w:footnote>
  <w:footnote w:id="140">
    <w:p w14:paraId="392F2FA6" w14:textId="037A5BCA"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McGregor, Kerry, Coleen R. Williams, Ariel Botta, Francie Mandel, and Jennifer Gentile. 2022. “Providing Essential Gender-Affirming Telehealth Services to Transgender Youth during COVID-19: A Service Review.” </w:t>
      </w:r>
      <w:r w:rsidRPr="00F832F8">
        <w:rPr>
          <w:i/>
          <w:iCs/>
          <w:sz w:val="20"/>
          <w:szCs w:val="20"/>
        </w:rPr>
        <w:t>Journal of Telemedicine and Telecare</w:t>
      </w:r>
      <w:r w:rsidRPr="00F832F8">
        <w:rPr>
          <w:sz w:val="20"/>
          <w:szCs w:val="20"/>
        </w:rPr>
        <w:t xml:space="preserve"> 29 (2): 147–52. </w:t>
      </w:r>
      <w:hyperlink r:id="rId101" w:tgtFrame="_new" w:history="1">
        <w:r w:rsidRPr="00F832F8">
          <w:rPr>
            <w:rStyle w:val="Hyperlink"/>
            <w:sz w:val="20"/>
            <w:szCs w:val="20"/>
          </w:rPr>
          <w:t>https://doi.org/10.1177/1357633x221095785</w:t>
        </w:r>
      </w:hyperlink>
      <w:r w:rsidRPr="00F832F8">
        <w:rPr>
          <w:sz w:val="20"/>
          <w:szCs w:val="20"/>
        </w:rPr>
        <w:t>.</w:t>
      </w:r>
    </w:p>
  </w:footnote>
  <w:footnote w:id="141">
    <w:p w14:paraId="6243B58A" w14:textId="2325D293"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Schoenberg, Shira. 2022. “Early Data Finds Telehealth Is Largely Cost Neutral.” </w:t>
      </w:r>
      <w:r w:rsidRPr="00F832F8">
        <w:rPr>
          <w:i/>
          <w:iCs/>
          <w:sz w:val="20"/>
          <w:szCs w:val="20"/>
        </w:rPr>
        <w:t>CommonWealth Magazine.</w:t>
      </w:r>
      <w:r w:rsidRPr="00F832F8">
        <w:rPr>
          <w:sz w:val="20"/>
          <w:szCs w:val="20"/>
        </w:rPr>
        <w:t xml:space="preserve"> </w:t>
      </w:r>
      <w:hyperlink r:id="rId102" w:tgtFrame="_new" w:history="1">
        <w:r w:rsidRPr="00F832F8">
          <w:rPr>
            <w:rStyle w:val="Hyperlink"/>
            <w:sz w:val="20"/>
            <w:szCs w:val="20"/>
          </w:rPr>
          <w:t>https://commonwealthmagazine.org/health-care/early-data-finds-telehealth-is-largely-cost-neutral/</w:t>
        </w:r>
      </w:hyperlink>
      <w:r w:rsidRPr="00F832F8">
        <w:rPr>
          <w:sz w:val="20"/>
          <w:szCs w:val="20"/>
        </w:rPr>
        <w:t>.</w:t>
      </w:r>
    </w:p>
  </w:footnote>
  <w:footnote w:id="142">
    <w:p w14:paraId="5A985ED9" w14:textId="3AE9141B"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National Immigration Law Center. 2018. “A Quick Guide to Immigrant Eligibility for ACA and Key Federal Means-Tested Programs.” </w:t>
      </w:r>
      <w:hyperlink r:id="rId103" w:tgtFrame="_new" w:history="1">
        <w:r w:rsidRPr="00F832F8">
          <w:rPr>
            <w:rStyle w:val="Hyperlink"/>
            <w:sz w:val="20"/>
            <w:szCs w:val="20"/>
          </w:rPr>
          <w:t>https://www.nilc.org/issues/economic-support/quick-guide-aca-means-tested-programs/</w:t>
        </w:r>
      </w:hyperlink>
      <w:r w:rsidRPr="00F832F8">
        <w:rPr>
          <w:sz w:val="20"/>
          <w:szCs w:val="20"/>
        </w:rPr>
        <w:t>.</w:t>
      </w:r>
    </w:p>
  </w:footnote>
  <w:footnote w:id="143">
    <w:p w14:paraId="227BA45E" w14:textId="145682CB"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Commonwealth of Massachusetts. n.d. “Information for Immigrant Patients and Their Health Care Providers on Immigration Enforcement.” Accessed April 6, 2026. </w:t>
      </w:r>
      <w:hyperlink r:id="rId104" w:tgtFrame="_new" w:history="1">
        <w:r w:rsidRPr="00F832F8">
          <w:rPr>
            <w:rStyle w:val="Hyperlink"/>
            <w:sz w:val="20"/>
            <w:szCs w:val="20"/>
          </w:rPr>
          <w:t>https://www.mass.gov/service-details/information-for-immigrant-patients-and-their-health-care-providers-on-immigration-enforcement</w:t>
        </w:r>
      </w:hyperlink>
      <w:r w:rsidRPr="00F832F8">
        <w:rPr>
          <w:sz w:val="20"/>
          <w:szCs w:val="20"/>
        </w:rPr>
        <w:t>.</w:t>
      </w:r>
    </w:p>
  </w:footnote>
  <w:footnote w:id="144">
    <w:p w14:paraId="286FABAC" w14:textId="1F5F10CC"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KFF. 2025. “Key Facts on Health Coverage of Immigrants.” </w:t>
      </w:r>
      <w:hyperlink r:id="rId105" w:tgtFrame="_new" w:history="1">
        <w:r w:rsidRPr="00F832F8">
          <w:rPr>
            <w:rStyle w:val="Hyperlink"/>
            <w:sz w:val="20"/>
            <w:szCs w:val="20"/>
          </w:rPr>
          <w:t>https://www.kff.org/racial-equity-and-health-policy/key-facts-on-health-coverage-of-immigrants/</w:t>
        </w:r>
      </w:hyperlink>
      <w:r w:rsidRPr="00F832F8">
        <w:rPr>
          <w:sz w:val="20"/>
          <w:szCs w:val="20"/>
        </w:rPr>
        <w:t>.</w:t>
      </w:r>
    </w:p>
  </w:footnote>
  <w:footnote w:id="145">
    <w:p w14:paraId="5F19B8BA" w14:textId="6790978D"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Chavez, Karma R. 2011. “Identifying the Needs of LGBTQ Immigrants and Refugees in Southern Arizona.” </w:t>
      </w:r>
      <w:r w:rsidRPr="00F832F8">
        <w:rPr>
          <w:i/>
          <w:iCs/>
          <w:sz w:val="20"/>
          <w:szCs w:val="20"/>
        </w:rPr>
        <w:t>Journal of Homosexuality</w:t>
      </w:r>
      <w:r w:rsidRPr="00F832F8">
        <w:rPr>
          <w:sz w:val="20"/>
          <w:szCs w:val="20"/>
        </w:rPr>
        <w:t xml:space="preserve"> 58 (2): 189–218. </w:t>
      </w:r>
      <w:hyperlink r:id="rId106" w:tgtFrame="_new" w:history="1">
        <w:r w:rsidRPr="00F832F8">
          <w:rPr>
            <w:rStyle w:val="Hyperlink"/>
            <w:sz w:val="20"/>
            <w:szCs w:val="20"/>
          </w:rPr>
          <w:t>https://doi.org/10.1080/00918369.2011.540175</w:t>
        </w:r>
      </w:hyperlink>
      <w:r w:rsidRPr="00F832F8">
        <w:rPr>
          <w:sz w:val="20"/>
          <w:szCs w:val="20"/>
        </w:rPr>
        <w:t>.</w:t>
      </w:r>
    </w:p>
  </w:footnote>
  <w:footnote w:id="146">
    <w:p w14:paraId="78D0B034" w14:textId="5F51C1C1"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Commonwealth of Massachusetts. 2026. “Governor Healey Takes Action to Keep ICE out of Schools, Hospitals, Courthouses, and Places of Worship.” </w:t>
      </w:r>
      <w:hyperlink r:id="rId107" w:tgtFrame="_new" w:history="1">
        <w:r w:rsidRPr="00F832F8">
          <w:rPr>
            <w:rStyle w:val="Hyperlink"/>
            <w:sz w:val="20"/>
            <w:szCs w:val="20"/>
          </w:rPr>
          <w:t>https://www.mass.gov/news/governor-healey-takes-action-to-keep-ice-out-of-schools-hospitals-courthouses-and-places-of-worship</w:t>
        </w:r>
      </w:hyperlink>
      <w:r w:rsidRPr="00F832F8">
        <w:rPr>
          <w:sz w:val="20"/>
          <w:szCs w:val="20"/>
        </w:rPr>
        <w:t>.</w:t>
      </w:r>
    </w:p>
  </w:footnote>
  <w:footnote w:id="147">
    <w:p w14:paraId="7904A5A9" w14:textId="3F580A1C"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Commonwealth of Massachusetts. 2025. “Attorney General Guidance: Information for Massachusetts Healthcare Providers Regarding Immigration Enforcement and Access to Care and Assistance Programs.” </w:t>
      </w:r>
      <w:hyperlink r:id="rId108" w:tgtFrame="_new" w:history="1">
        <w:r w:rsidRPr="00F832F8">
          <w:rPr>
            <w:rStyle w:val="Hyperlink"/>
            <w:sz w:val="20"/>
            <w:szCs w:val="20"/>
          </w:rPr>
          <w:t>https://www.mass.gov/doc/information-for-immigrant-patients-and-their-health-care-providers-on-immigration-enforcement/download</w:t>
        </w:r>
      </w:hyperlink>
      <w:r w:rsidRPr="00F832F8">
        <w:rPr>
          <w:sz w:val="20"/>
          <w:szCs w:val="20"/>
        </w:rPr>
        <w:t>.</w:t>
      </w:r>
    </w:p>
  </w:footnote>
  <w:footnote w:id="148">
    <w:p w14:paraId="42543E74" w14:textId="7B1D005D"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Alegría, Margarita, Kiara Álvarez, and Karissa DiMarzio. 2017. “Immigration and Mental Health.” </w:t>
      </w:r>
      <w:r w:rsidRPr="00F832F8">
        <w:rPr>
          <w:i/>
          <w:iCs/>
          <w:sz w:val="20"/>
          <w:szCs w:val="20"/>
        </w:rPr>
        <w:t>Current Epidemiology Reports</w:t>
      </w:r>
      <w:r w:rsidRPr="00F832F8">
        <w:rPr>
          <w:sz w:val="20"/>
          <w:szCs w:val="20"/>
        </w:rPr>
        <w:t xml:space="preserve"> 4 (2): 145. </w:t>
      </w:r>
      <w:hyperlink r:id="rId109" w:tgtFrame="_new" w:history="1">
        <w:r w:rsidRPr="00F832F8">
          <w:rPr>
            <w:rStyle w:val="Hyperlink"/>
            <w:sz w:val="20"/>
            <w:szCs w:val="20"/>
          </w:rPr>
          <w:t>https://doi.org/10.1007/s40471-017-0111-2</w:t>
        </w:r>
      </w:hyperlink>
      <w:r w:rsidRPr="00F832F8">
        <w:rPr>
          <w:sz w:val="20"/>
          <w:szCs w:val="20"/>
        </w:rPr>
        <w:t>.</w:t>
      </w:r>
    </w:p>
  </w:footnote>
  <w:footnote w:id="149">
    <w:p w14:paraId="34ECBDEF" w14:textId="067F5C55"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Arbona, Consuelo, et al. 2010. “Acculturative Stress among Documented and Undocumented Latino Immigrants in the United States.” </w:t>
      </w:r>
      <w:r w:rsidRPr="00F832F8">
        <w:rPr>
          <w:i/>
          <w:iCs/>
          <w:sz w:val="20"/>
          <w:szCs w:val="20"/>
        </w:rPr>
        <w:t>Hispanic Journal of Behavioral Sciences</w:t>
      </w:r>
      <w:r w:rsidRPr="00F832F8">
        <w:rPr>
          <w:sz w:val="20"/>
          <w:szCs w:val="20"/>
        </w:rPr>
        <w:t xml:space="preserve"> 32 (3): 362–84. </w:t>
      </w:r>
      <w:hyperlink r:id="rId110" w:tgtFrame="_new" w:history="1">
        <w:r w:rsidRPr="00F832F8">
          <w:rPr>
            <w:rStyle w:val="Hyperlink"/>
            <w:sz w:val="20"/>
            <w:szCs w:val="20"/>
          </w:rPr>
          <w:t>https://doi.org/10.1177/0739986310373210</w:t>
        </w:r>
      </w:hyperlink>
      <w:r w:rsidRPr="00F832F8">
        <w:rPr>
          <w:sz w:val="20"/>
          <w:szCs w:val="20"/>
        </w:rPr>
        <w:t>.</w:t>
      </w:r>
    </w:p>
  </w:footnote>
  <w:footnote w:id="150">
    <w:p w14:paraId="793F52D6" w14:textId="01355FB9"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Gray, Nicole N., David M. Mendelsohn, and Allen M. Omoto. 2015. “Community Connectedness, Challenges, and Resilience among Gay Latino Immigrants.” </w:t>
      </w:r>
      <w:r w:rsidRPr="00F832F8">
        <w:rPr>
          <w:i/>
          <w:iCs/>
          <w:sz w:val="20"/>
          <w:szCs w:val="20"/>
        </w:rPr>
        <w:t>American Journal of Community Psychology</w:t>
      </w:r>
      <w:r w:rsidRPr="00F832F8">
        <w:rPr>
          <w:sz w:val="20"/>
          <w:szCs w:val="20"/>
        </w:rPr>
        <w:t xml:space="preserve"> 55: 202. </w:t>
      </w:r>
      <w:hyperlink r:id="rId111" w:tgtFrame="_new" w:history="1">
        <w:r w:rsidRPr="00F832F8">
          <w:rPr>
            <w:rStyle w:val="Hyperlink"/>
            <w:sz w:val="20"/>
            <w:szCs w:val="20"/>
          </w:rPr>
          <w:t>https://doi.org/10.1007/s10464-014-9697-4</w:t>
        </w:r>
      </w:hyperlink>
      <w:r w:rsidRPr="00F832F8">
        <w:rPr>
          <w:sz w:val="20"/>
          <w:szCs w:val="20"/>
        </w:rPr>
        <w:t>.</w:t>
      </w:r>
    </w:p>
  </w:footnote>
  <w:footnote w:id="151">
    <w:p w14:paraId="0D59D3DB" w14:textId="27EE46AE"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Estrada, Fernando, et al. 2011. “Machismo and Mexican American Men: An Empirical Understanding Using a Gay Sample.” </w:t>
      </w:r>
      <w:r w:rsidRPr="00F832F8">
        <w:rPr>
          <w:i/>
          <w:iCs/>
          <w:sz w:val="20"/>
          <w:szCs w:val="20"/>
        </w:rPr>
        <w:t>Journal of Counseling Psychology</w:t>
      </w:r>
      <w:r w:rsidRPr="00F832F8">
        <w:rPr>
          <w:sz w:val="20"/>
          <w:szCs w:val="20"/>
        </w:rPr>
        <w:t xml:space="preserve"> 58 (3): 358–67. </w:t>
      </w:r>
      <w:hyperlink r:id="rId112" w:tgtFrame="_new" w:history="1">
        <w:r w:rsidRPr="00F832F8">
          <w:rPr>
            <w:rStyle w:val="Hyperlink"/>
            <w:sz w:val="20"/>
            <w:szCs w:val="20"/>
          </w:rPr>
          <w:t>https://doi.org/10.1037/a0023122</w:t>
        </w:r>
      </w:hyperlink>
      <w:r w:rsidRPr="00F832F8">
        <w:rPr>
          <w:sz w:val="20"/>
          <w:szCs w:val="20"/>
        </w:rPr>
        <w:t>.</w:t>
      </w:r>
    </w:p>
  </w:footnote>
  <w:footnote w:id="152">
    <w:p w14:paraId="4A2132A1" w14:textId="1A8E0663"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APA Presidential Task Force on Immigration. 2013. “Crossroads: The Psychology of Immigration in the New Century.” </w:t>
      </w:r>
      <w:r w:rsidRPr="00F832F8">
        <w:rPr>
          <w:i/>
          <w:iCs/>
          <w:sz w:val="20"/>
          <w:szCs w:val="20"/>
        </w:rPr>
        <w:t>Journal of Latina/o Psychology</w:t>
      </w:r>
      <w:r w:rsidRPr="00F832F8">
        <w:rPr>
          <w:sz w:val="20"/>
          <w:szCs w:val="20"/>
        </w:rPr>
        <w:t xml:space="preserve"> 1 (3): 133–48. </w:t>
      </w:r>
      <w:hyperlink r:id="rId113" w:tgtFrame="_new" w:history="1">
        <w:r w:rsidRPr="00F832F8">
          <w:rPr>
            <w:rStyle w:val="Hyperlink"/>
            <w:sz w:val="20"/>
            <w:szCs w:val="20"/>
          </w:rPr>
          <w:t>https://doi.org/10.1037/lat0000001</w:t>
        </w:r>
      </w:hyperlink>
      <w:r w:rsidRPr="00F832F8">
        <w:rPr>
          <w:sz w:val="20"/>
          <w:szCs w:val="20"/>
        </w:rPr>
        <w:t>.</w:t>
      </w:r>
    </w:p>
  </w:footnote>
  <w:footnote w:id="153">
    <w:p w14:paraId="76A01B8F" w14:textId="337048AE"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The Trevor Project. 2021. “LGBTQ Youth from Immigrant Families.” </w:t>
      </w:r>
      <w:hyperlink r:id="rId114" w:tgtFrame="_new" w:history="1">
        <w:r w:rsidRPr="00F832F8">
          <w:rPr>
            <w:rStyle w:val="Hyperlink"/>
            <w:sz w:val="20"/>
            <w:szCs w:val="20"/>
          </w:rPr>
          <w:t>https://www.thetrevorproject.org/research-briefs/lgbtq-youth-from-immigrant-families-2/</w:t>
        </w:r>
      </w:hyperlink>
      <w:r w:rsidRPr="00F832F8">
        <w:rPr>
          <w:sz w:val="20"/>
          <w:szCs w:val="20"/>
        </w:rPr>
        <w:t>.</w:t>
      </w:r>
    </w:p>
  </w:footnote>
  <w:footnote w:id="154">
    <w:p w14:paraId="774E2B51" w14:textId="64048084"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The Trevor Project. 2021. “LGBTQ Youth from Immigrant Families.”</w:t>
      </w:r>
    </w:p>
  </w:footnote>
  <w:footnote w:id="155">
    <w:p w14:paraId="0CE0B1B3" w14:textId="5ECB60F1"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MIRA Coalition. 2021. </w:t>
      </w:r>
      <w:r w:rsidRPr="00F832F8">
        <w:rPr>
          <w:i/>
          <w:iCs/>
          <w:sz w:val="20"/>
          <w:szCs w:val="20"/>
        </w:rPr>
        <w:t>2021 MIRA Coalition Annual Report.</w:t>
      </w:r>
      <w:r w:rsidRPr="00F832F8">
        <w:rPr>
          <w:sz w:val="20"/>
          <w:szCs w:val="20"/>
        </w:rPr>
        <w:t xml:space="preserve"> </w:t>
      </w:r>
      <w:hyperlink r:id="rId115" w:tgtFrame="_new" w:history="1">
        <w:r w:rsidRPr="00F832F8">
          <w:rPr>
            <w:rStyle w:val="Hyperlink"/>
            <w:sz w:val="20"/>
            <w:szCs w:val="20"/>
          </w:rPr>
          <w:t>https://miracoalition.org/wp-content/uploads/2022/09/MIRAAnnualReport2021Final.pdf</w:t>
        </w:r>
      </w:hyperlink>
      <w:r w:rsidRPr="00F832F8">
        <w:rPr>
          <w:sz w:val="20"/>
          <w:szCs w:val="20"/>
        </w:rPr>
        <w:t>.</w:t>
      </w:r>
    </w:p>
  </w:footnote>
  <w:footnote w:id="156">
    <w:p w14:paraId="230DC977" w14:textId="792832C3"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Joassart-Marcelli, Pascale. 2013. “Ethnic Concentration and Nonprofit Organizations: The Political and Urban Geography of Immigrant Services in Boston, Massachusetts.” </w:t>
      </w:r>
      <w:r w:rsidRPr="00F832F8">
        <w:rPr>
          <w:i/>
          <w:iCs/>
          <w:sz w:val="20"/>
          <w:szCs w:val="20"/>
        </w:rPr>
        <w:t>International Migration Review</w:t>
      </w:r>
      <w:r w:rsidRPr="00F832F8">
        <w:rPr>
          <w:sz w:val="20"/>
          <w:szCs w:val="20"/>
        </w:rPr>
        <w:t xml:space="preserve"> 47 (3): 730–72. </w:t>
      </w:r>
      <w:hyperlink r:id="rId116" w:tgtFrame="_new" w:history="1">
        <w:r w:rsidRPr="00F832F8">
          <w:rPr>
            <w:rStyle w:val="Hyperlink"/>
            <w:sz w:val="20"/>
            <w:szCs w:val="20"/>
          </w:rPr>
          <w:t>https://doi.org/10.1111/imre.12041</w:t>
        </w:r>
      </w:hyperlink>
      <w:r w:rsidRPr="00F832F8">
        <w:rPr>
          <w:sz w:val="20"/>
          <w:szCs w:val="20"/>
        </w:rPr>
        <w:t>.</w:t>
      </w:r>
    </w:p>
  </w:footnote>
  <w:footnote w:id="157">
    <w:p w14:paraId="62F69EDD" w14:textId="0F07BC2A"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Seybold, Samantha L. 2022. “Not Just ‘Bodies with Vaginas’: A Kantian Defense of Pelvic Exam Consent Laws.” </w:t>
      </w:r>
      <w:r w:rsidRPr="00F832F8">
        <w:rPr>
          <w:i/>
          <w:iCs/>
          <w:sz w:val="20"/>
          <w:szCs w:val="20"/>
        </w:rPr>
        <w:t>Bioethics</w:t>
      </w:r>
      <w:r w:rsidRPr="00F832F8">
        <w:rPr>
          <w:sz w:val="20"/>
          <w:szCs w:val="20"/>
        </w:rPr>
        <w:t xml:space="preserve"> 36 (9): 940–47. </w:t>
      </w:r>
      <w:hyperlink r:id="rId117" w:tgtFrame="_new" w:history="1">
        <w:r w:rsidRPr="00F832F8">
          <w:rPr>
            <w:rStyle w:val="Hyperlink"/>
            <w:sz w:val="20"/>
            <w:szCs w:val="20"/>
          </w:rPr>
          <w:t>https://doi.org/10.1111/bioe.13084</w:t>
        </w:r>
      </w:hyperlink>
      <w:r w:rsidRPr="00F832F8">
        <w:rPr>
          <w:sz w:val="20"/>
          <w:szCs w:val="20"/>
        </w:rPr>
        <w:t>.</w:t>
      </w:r>
    </w:p>
  </w:footnote>
  <w:footnote w:id="158">
    <w:p w14:paraId="781029F2" w14:textId="416DD5DA"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GLAD. 2022. “Advocates Praise MA Protection for Abortion, Gender-Affirming Care.” </w:t>
      </w:r>
      <w:hyperlink r:id="rId118" w:tgtFrame="_new" w:history="1">
        <w:r w:rsidRPr="00F832F8">
          <w:rPr>
            <w:rStyle w:val="Hyperlink"/>
            <w:sz w:val="20"/>
            <w:szCs w:val="20"/>
          </w:rPr>
          <w:t>https://www.glad.org/post/advocates-praise-ma-protection-for-abortion-gender-affirming-care/</w:t>
        </w:r>
      </w:hyperlink>
      <w:r w:rsidRPr="00F832F8">
        <w:rPr>
          <w:sz w:val="20"/>
          <w:szCs w:val="20"/>
        </w:rPr>
        <w:t>.</w:t>
      </w:r>
    </w:p>
  </w:footnote>
  <w:footnote w:id="159">
    <w:p w14:paraId="15A27A0C" w14:textId="44E4E929"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Los Angeles Times. 2022. “Newsom Signs Bill Protecting Transgender Youths and Families Fleeing Red State Policies.” </w:t>
      </w:r>
      <w:hyperlink r:id="rId119" w:tgtFrame="_new" w:history="1">
        <w:r w:rsidRPr="00F832F8">
          <w:rPr>
            <w:rStyle w:val="Hyperlink"/>
            <w:sz w:val="20"/>
            <w:szCs w:val="20"/>
          </w:rPr>
          <w:t>https://www.latimes.com/california/story/2022-09-29/with-new-law-california-welcomes-out-of-state-transgender-youth</w:t>
        </w:r>
      </w:hyperlink>
      <w:r w:rsidRPr="00F832F8">
        <w:rPr>
          <w:sz w:val="20"/>
          <w:szCs w:val="20"/>
        </w:rPr>
        <w:t>.</w:t>
      </w:r>
    </w:p>
  </w:footnote>
  <w:footnote w:id="160">
    <w:p w14:paraId="1530CB05" w14:textId="49C2BF6E"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Fenway Health. 2025. “Sharing an Update about Our Care for Trans Health Patients under 19 Years of Age.” </w:t>
      </w:r>
      <w:hyperlink r:id="rId120" w:tgtFrame="_new" w:history="1">
        <w:r w:rsidRPr="00F832F8">
          <w:rPr>
            <w:rStyle w:val="Hyperlink"/>
            <w:sz w:val="20"/>
            <w:szCs w:val="20"/>
          </w:rPr>
          <w:t>https://fenwayhealth.org/sharing-an-update-about-our-care-for-trans-health-patients-under-19-years-of-age/</w:t>
        </w:r>
      </w:hyperlink>
      <w:r w:rsidRPr="00F832F8">
        <w:rPr>
          <w:sz w:val="20"/>
          <w:szCs w:val="20"/>
        </w:rPr>
        <w:t>.</w:t>
      </w:r>
    </w:p>
  </w:footnote>
  <w:footnote w:id="161">
    <w:p w14:paraId="0BE93C30" w14:textId="221CD89F"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Brown, Karen. 2026. “Families Reeling from Baystate Health Decision to End Gender Care for Youth.” </w:t>
      </w:r>
      <w:r w:rsidRPr="00F832F8">
        <w:rPr>
          <w:i/>
          <w:iCs/>
          <w:sz w:val="20"/>
          <w:szCs w:val="20"/>
        </w:rPr>
        <w:t>WBUR.</w:t>
      </w:r>
      <w:r w:rsidRPr="00F832F8">
        <w:rPr>
          <w:sz w:val="20"/>
          <w:szCs w:val="20"/>
        </w:rPr>
        <w:t xml:space="preserve"> </w:t>
      </w:r>
      <w:hyperlink r:id="rId121" w:tgtFrame="_new" w:history="1">
        <w:r w:rsidRPr="00F832F8">
          <w:rPr>
            <w:rStyle w:val="Hyperlink"/>
            <w:sz w:val="20"/>
            <w:szCs w:val="20"/>
          </w:rPr>
          <w:t>https://www.wbur.org/news/2026/04/02/gender-affirming-care-massachusetts-baystate-health</w:t>
        </w:r>
      </w:hyperlink>
      <w:r w:rsidRPr="00F832F8">
        <w:rPr>
          <w:sz w:val="20"/>
          <w:szCs w:val="20"/>
        </w:rPr>
        <w:t>.</w:t>
      </w:r>
    </w:p>
  </w:footnote>
  <w:footnote w:id="162">
    <w:p w14:paraId="0DB6A7DA" w14:textId="5DBCDE96"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Gridley, Sarah J., Jill M. Crouch, Y. Evans, W. Eng, E. Antoon, M. Lyapustina, A. Schimmel-Bristow, J. Woodward, K. Dundon, R. Schaff, C. McCarty, K. Ahrens, and D. J. Breland. 2016. “Youth and Caregiver Perspectives on Barriers to Gender-Affirming Health Care for Transgender Youth.” </w:t>
      </w:r>
      <w:r w:rsidRPr="00F832F8">
        <w:rPr>
          <w:i/>
          <w:iCs/>
          <w:sz w:val="20"/>
          <w:szCs w:val="20"/>
        </w:rPr>
        <w:t>Journal of Adolescent Health</w:t>
      </w:r>
      <w:r w:rsidRPr="00F832F8">
        <w:rPr>
          <w:sz w:val="20"/>
          <w:szCs w:val="20"/>
        </w:rPr>
        <w:t xml:space="preserve"> 59 (3): 254–61. https://doi.org/10.1016/j.jadohealth.2016.03.017; Nowaskie, Dustin Z., and John S. Sowinski. 2018. “Primary Care Providers’ Attitudes, Practices, and Knowledge in Treating LGBTQ Communities.” </w:t>
      </w:r>
      <w:r w:rsidRPr="00F832F8">
        <w:rPr>
          <w:i/>
          <w:iCs/>
          <w:sz w:val="20"/>
          <w:szCs w:val="20"/>
        </w:rPr>
        <w:t>Journal of Homosexuality</w:t>
      </w:r>
      <w:r w:rsidRPr="00F832F8">
        <w:rPr>
          <w:sz w:val="20"/>
          <w:szCs w:val="20"/>
        </w:rPr>
        <w:t xml:space="preserve"> 66 (13): 1927–47. </w:t>
      </w:r>
      <w:hyperlink r:id="rId122" w:tgtFrame="_new" w:history="1">
        <w:r w:rsidRPr="00F832F8">
          <w:rPr>
            <w:rStyle w:val="Hyperlink"/>
            <w:sz w:val="20"/>
            <w:szCs w:val="20"/>
          </w:rPr>
          <w:t>https://doi.org/10.1080/00918369.2018.1519304</w:t>
        </w:r>
      </w:hyperlink>
      <w:r w:rsidRPr="00F832F8">
        <w:rPr>
          <w:sz w:val="20"/>
          <w:szCs w:val="20"/>
        </w:rPr>
        <w:t>.</w:t>
      </w:r>
    </w:p>
  </w:footnote>
  <w:footnote w:id="163">
    <w:p w14:paraId="33520254" w14:textId="588A4BDF"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Medina, Caroline, Thee Santos, and Lindsay Mahowald. 2021. “Protecting and Advancing Health Care for Transgender Adult Communities.” </w:t>
      </w:r>
      <w:r w:rsidRPr="00F832F8">
        <w:rPr>
          <w:i/>
          <w:iCs/>
          <w:sz w:val="20"/>
          <w:szCs w:val="20"/>
        </w:rPr>
        <w:t>Center for American Progress.</w:t>
      </w:r>
      <w:r w:rsidRPr="00F832F8">
        <w:rPr>
          <w:sz w:val="20"/>
          <w:szCs w:val="20"/>
        </w:rPr>
        <w:t xml:space="preserve"> </w:t>
      </w:r>
      <w:hyperlink r:id="rId123" w:tgtFrame="_new" w:history="1">
        <w:r w:rsidRPr="00F832F8">
          <w:rPr>
            <w:rStyle w:val="Hyperlink"/>
            <w:sz w:val="20"/>
            <w:szCs w:val="20"/>
          </w:rPr>
          <w:t>https://www.americanprogress.org/article/protecting-advancing-health-care-transgender-adult-communities/</w:t>
        </w:r>
      </w:hyperlink>
      <w:r w:rsidRPr="00F832F8">
        <w:rPr>
          <w:sz w:val="20"/>
          <w:szCs w:val="20"/>
        </w:rPr>
        <w:t>.</w:t>
      </w:r>
    </w:p>
  </w:footnote>
  <w:footnote w:id="164">
    <w:p w14:paraId="6C3029D4" w14:textId="55647DAE"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Department of Public Health, Bureau of Community Health and Prevention. n.d. “CHEI Dashboard.” Accessed April 15, 2026. </w:t>
      </w:r>
      <w:hyperlink r:id="rId124" w:tgtFrame="_new" w:history="1">
        <w:r w:rsidRPr="00F832F8">
          <w:rPr>
            <w:rStyle w:val="Hyperlink"/>
            <w:sz w:val="20"/>
            <w:szCs w:val="20"/>
          </w:rPr>
          <w:t>https://www.mass.gov/info-details/community-health-equity-initiative-data-dashboard</w:t>
        </w:r>
      </w:hyperlink>
      <w:r w:rsidRPr="00F832F8">
        <w:rPr>
          <w:sz w:val="20"/>
          <w:szCs w:val="20"/>
        </w:rPr>
        <w:t>.</w:t>
      </w:r>
    </w:p>
  </w:footnote>
  <w:footnote w:id="165">
    <w:p w14:paraId="0EC197A4" w14:textId="39E4CEB3"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Oaks, Laury, Tania Israel, Kristin J. Conover, Alise Cogger, and Todd Raymond Avellar. 2019. “Community-Based Participatory Research with Invisible, Geographically Dispersed Communities: Partnering with Lesbian, Gay, Bisexual, Transgender and Queer Communities on the California Central Coast.” </w:t>
      </w:r>
      <w:r w:rsidRPr="00F832F8">
        <w:rPr>
          <w:i/>
          <w:iCs/>
          <w:sz w:val="20"/>
          <w:szCs w:val="20"/>
        </w:rPr>
        <w:t>Journal for Social Action in Counseling &amp; Psychology</w:t>
      </w:r>
      <w:r w:rsidRPr="00F832F8">
        <w:rPr>
          <w:sz w:val="20"/>
          <w:szCs w:val="20"/>
        </w:rPr>
        <w:t xml:space="preserve"> 11 (1): 14–32.</w:t>
      </w:r>
    </w:p>
  </w:footnote>
  <w:footnote w:id="166">
    <w:p w14:paraId="33E3182A" w14:textId="08C1E58E"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Goldhammer, Hilary, Chris Grasso, Sabra L. Katz-Wise, Kelsey Thomson, Allegra R. Gordon, and Alex S. Keuroghlian. 2022. “Pediatric Sexual Orientation and Gender Identity Data Collection in the Electronic Health Record.” </w:t>
      </w:r>
      <w:r w:rsidRPr="00F832F8">
        <w:rPr>
          <w:i/>
          <w:iCs/>
          <w:sz w:val="20"/>
          <w:szCs w:val="20"/>
        </w:rPr>
        <w:t>Journal of the American Medical Informatics Association</w:t>
      </w:r>
      <w:r w:rsidRPr="00F832F8">
        <w:rPr>
          <w:sz w:val="20"/>
          <w:szCs w:val="20"/>
        </w:rPr>
        <w:t xml:space="preserve"> 29 (7): 1303–9. </w:t>
      </w:r>
      <w:hyperlink r:id="rId125" w:tgtFrame="_new" w:history="1">
        <w:r w:rsidRPr="00F832F8">
          <w:rPr>
            <w:rStyle w:val="Hyperlink"/>
            <w:sz w:val="20"/>
            <w:szCs w:val="20"/>
          </w:rPr>
          <w:t>https://doi.org/10.1093/jamia/ocac048</w:t>
        </w:r>
      </w:hyperlink>
      <w:r w:rsidRPr="00F832F8">
        <w:rPr>
          <w:sz w:val="20"/>
          <w:szCs w:val="20"/>
        </w:rPr>
        <w:t>.</w:t>
      </w:r>
    </w:p>
  </w:footnote>
  <w:footnote w:id="167">
    <w:p w14:paraId="2A22D5D5" w14:textId="012B2521"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Callens, Nina, Baudewijntje P. C. Kreukels, and Tim C. van de Grift. 2021. “Young Voices: Sexual Health and Transition Care Needs in Adolescents with Intersex/Differences of Sex Development—a Pilot Study.” </w:t>
      </w:r>
      <w:r w:rsidRPr="00F832F8">
        <w:rPr>
          <w:i/>
          <w:iCs/>
          <w:sz w:val="20"/>
          <w:szCs w:val="20"/>
        </w:rPr>
        <w:t>Journal of Pediatric and Adolescent Gynecology</w:t>
      </w:r>
      <w:r w:rsidRPr="00F832F8">
        <w:rPr>
          <w:sz w:val="20"/>
          <w:szCs w:val="20"/>
        </w:rPr>
        <w:t xml:space="preserve"> 34 (2): 176–89.e2.</w:t>
      </w:r>
    </w:p>
  </w:footnote>
  <w:footnote w:id="168">
    <w:p w14:paraId="1572064D" w14:textId="451D83EC"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Carpenter, Morgan. 2020. “The OHCHR Background Note on Human Rights Violations against Intersex People.” </w:t>
      </w:r>
      <w:r w:rsidRPr="00F832F8">
        <w:rPr>
          <w:i/>
          <w:iCs/>
          <w:sz w:val="20"/>
          <w:szCs w:val="20"/>
        </w:rPr>
        <w:t>Sexual and Reproductive Health Matters</w:t>
      </w:r>
      <w:r w:rsidRPr="00F832F8">
        <w:rPr>
          <w:sz w:val="20"/>
          <w:szCs w:val="20"/>
        </w:rPr>
        <w:t xml:space="preserve"> 28 (1): 1731298. </w:t>
      </w:r>
      <w:hyperlink r:id="rId126" w:tgtFrame="_new" w:history="1">
        <w:r w:rsidRPr="00F832F8">
          <w:rPr>
            <w:rStyle w:val="Hyperlink"/>
            <w:sz w:val="20"/>
            <w:szCs w:val="20"/>
          </w:rPr>
          <w:t>https://doi.org/10.1080/26410397.2020.1731298</w:t>
        </w:r>
      </w:hyperlink>
      <w:r w:rsidRPr="00F832F8">
        <w:rPr>
          <w:sz w:val="20"/>
          <w:szCs w:val="20"/>
        </w:rPr>
        <w:t>.</w:t>
      </w:r>
    </w:p>
  </w:footnote>
  <w:footnote w:id="169">
    <w:p w14:paraId="52687B1C" w14:textId="34BCE668"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Human Rights Watch. 2019. “Massachusetts Medical Society Supports Intersex Rights.” </w:t>
      </w:r>
      <w:hyperlink r:id="rId127" w:tgtFrame="_new" w:history="1">
        <w:r w:rsidRPr="00F832F8">
          <w:rPr>
            <w:rStyle w:val="Hyperlink"/>
            <w:sz w:val="20"/>
            <w:szCs w:val="20"/>
          </w:rPr>
          <w:t>https://www.hrw.org/news/2019/12/13/massachusetts-medical-society-supports-intersex-rights</w:t>
        </w:r>
      </w:hyperlink>
      <w:r w:rsidRPr="00F832F8">
        <w:rPr>
          <w:sz w:val="20"/>
          <w:szCs w:val="20"/>
        </w:rPr>
        <w:t>.</w:t>
      </w:r>
    </w:p>
  </w:footnote>
  <w:footnote w:id="170">
    <w:p w14:paraId="0D47B16C" w14:textId="0605C61C"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Rosenwohl-Mack, Amy, Suegee Tamar-Mattis, Arlene B. Baratz, Katharine B. Dalke, Alesdair Ittelson, Kimberly Zieselman, and Jason D. Flatt. 2020. “A National Study on the Physical and Mental Health of Intersex Adults in the U.S.” </w:t>
      </w:r>
      <w:r w:rsidRPr="00F832F8">
        <w:rPr>
          <w:i/>
          <w:iCs/>
          <w:sz w:val="20"/>
          <w:szCs w:val="20"/>
        </w:rPr>
        <w:t>PLOS ONE</w:t>
      </w:r>
      <w:r w:rsidRPr="00F832F8">
        <w:rPr>
          <w:sz w:val="20"/>
          <w:szCs w:val="20"/>
        </w:rPr>
        <w:t xml:space="preserve"> 15 (10): e0240088. </w:t>
      </w:r>
      <w:hyperlink r:id="rId128" w:tgtFrame="_new" w:history="1">
        <w:r w:rsidRPr="00F832F8">
          <w:rPr>
            <w:rStyle w:val="Hyperlink"/>
            <w:sz w:val="20"/>
            <w:szCs w:val="20"/>
          </w:rPr>
          <w:t>https://doi.org/10.1371/journal.pone.0240088</w:t>
        </w:r>
      </w:hyperlink>
      <w:r w:rsidRPr="00F832F8">
        <w:rPr>
          <w:sz w:val="20"/>
          <w:szCs w:val="20"/>
        </w:rPr>
        <w:t xml:space="preserve">; The Trevor Project. 2024. </w:t>
      </w:r>
      <w:r w:rsidRPr="00F832F8">
        <w:rPr>
          <w:i/>
          <w:iCs/>
          <w:sz w:val="20"/>
          <w:szCs w:val="20"/>
        </w:rPr>
        <w:t>Experiences and Mental Health Outcomes of Intersex LGBTQ+ Young People.</w:t>
      </w:r>
      <w:r w:rsidRPr="00F832F8">
        <w:rPr>
          <w:sz w:val="20"/>
          <w:szCs w:val="20"/>
        </w:rPr>
        <w:t xml:space="preserve"> </w:t>
      </w:r>
      <w:hyperlink r:id="rId129" w:tgtFrame="_new" w:history="1">
        <w:r w:rsidRPr="00F832F8">
          <w:rPr>
            <w:rStyle w:val="Hyperlink"/>
            <w:sz w:val="20"/>
            <w:szCs w:val="20"/>
          </w:rPr>
          <w:t>https://www.thetrevorproject.org/research-briefs/experiences-and-mental-health-outcomes-among-intersex-lgbtq-young-people/</w:t>
        </w:r>
      </w:hyperlink>
      <w:r w:rsidRPr="00F832F8">
        <w:rPr>
          <w:sz w:val="20"/>
          <w:szCs w:val="20"/>
        </w:rPr>
        <w:t>.</w:t>
      </w:r>
    </w:p>
  </w:footnote>
  <w:footnote w:id="171">
    <w:p w14:paraId="126E4452" w14:textId="7827173F"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Sava, Lauren M., et al. 2021. “LGBTQ Student Health: A Mixed-Methods Study of Unmet Needs in Massachusetts Schools.” </w:t>
      </w:r>
      <w:r w:rsidRPr="00F832F8">
        <w:rPr>
          <w:i/>
          <w:iCs/>
          <w:sz w:val="20"/>
          <w:szCs w:val="20"/>
        </w:rPr>
        <w:t>Journal of School Health</w:t>
      </w:r>
      <w:r w:rsidRPr="00F832F8">
        <w:rPr>
          <w:sz w:val="20"/>
          <w:szCs w:val="20"/>
        </w:rPr>
        <w:t xml:space="preserve"> 91 (11): 894–905. </w:t>
      </w:r>
      <w:hyperlink r:id="rId130" w:tgtFrame="_new" w:history="1">
        <w:r w:rsidRPr="00F832F8">
          <w:rPr>
            <w:rStyle w:val="Hyperlink"/>
            <w:sz w:val="20"/>
            <w:szCs w:val="20"/>
          </w:rPr>
          <w:t>https://doi.org/10.1111/josh.13082</w:t>
        </w:r>
      </w:hyperlink>
      <w:r w:rsidRPr="00F832F8">
        <w:rPr>
          <w:sz w:val="20"/>
          <w:szCs w:val="20"/>
        </w:rPr>
        <w:t>.</w:t>
      </w:r>
    </w:p>
  </w:footnote>
  <w:footnote w:id="172">
    <w:p w14:paraId="2B3FA73A" w14:textId="1025927A"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Benton, Amy D., et al. 2020. “Peer-Led Sexual Health Education: Multiple Perspectives on Benefits for Peer Health Educators.” </w:t>
      </w:r>
      <w:r w:rsidRPr="00F832F8">
        <w:rPr>
          <w:i/>
          <w:iCs/>
          <w:sz w:val="20"/>
          <w:szCs w:val="20"/>
        </w:rPr>
        <w:t>Child and Adolescent Social Work Journal</w:t>
      </w:r>
      <w:r w:rsidRPr="00F832F8">
        <w:rPr>
          <w:sz w:val="20"/>
          <w:szCs w:val="20"/>
        </w:rPr>
        <w:t xml:space="preserve"> 37 (5): 487–96. </w:t>
      </w:r>
      <w:hyperlink r:id="rId131" w:tgtFrame="_new" w:history="1">
        <w:r w:rsidRPr="00F832F8">
          <w:rPr>
            <w:rStyle w:val="Hyperlink"/>
            <w:sz w:val="20"/>
            <w:szCs w:val="20"/>
          </w:rPr>
          <w:t>https://doi.org/10.1007/s10560-020-00661-9</w:t>
        </w:r>
      </w:hyperlink>
      <w:r w:rsidRPr="00F832F8">
        <w:rPr>
          <w:sz w:val="20"/>
          <w:szCs w:val="20"/>
        </w:rPr>
        <w:t>.</w:t>
      </w:r>
    </w:p>
  </w:footnote>
  <w:footnote w:id="173">
    <w:p w14:paraId="43FF20B4" w14:textId="7A04256E"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Villa-Torres, Laura, and Joar Svanemyr. 2015. “Ensuring Youth’s Right to Participation and Promotion of Youth Leadership in the Development of Sexual and Reproductive Health Policies and Programs.” </w:t>
      </w:r>
      <w:r w:rsidRPr="00F832F8">
        <w:rPr>
          <w:i/>
          <w:iCs/>
          <w:sz w:val="20"/>
          <w:szCs w:val="20"/>
        </w:rPr>
        <w:t>Journal of Adolescent Health</w:t>
      </w:r>
      <w:r w:rsidRPr="00F832F8">
        <w:rPr>
          <w:sz w:val="20"/>
          <w:szCs w:val="20"/>
        </w:rPr>
        <w:t xml:space="preserve"> 56 (1): S51–57. </w:t>
      </w:r>
      <w:hyperlink r:id="rId132" w:tgtFrame="_new" w:history="1">
        <w:r w:rsidRPr="00F832F8">
          <w:rPr>
            <w:rStyle w:val="Hyperlink"/>
            <w:sz w:val="20"/>
            <w:szCs w:val="20"/>
          </w:rPr>
          <w:t>https://doi.org/10.1016/j.jadohealth.2014.07.022</w:t>
        </w:r>
      </w:hyperlink>
      <w:r w:rsidRPr="00F832F8">
        <w:rPr>
          <w:sz w:val="20"/>
          <w:szCs w:val="20"/>
        </w:rPr>
        <w:t>.</w:t>
      </w:r>
    </w:p>
  </w:footnote>
  <w:footnote w:id="174">
    <w:p w14:paraId="2D9681EB" w14:textId="32CCFDFA"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Boston Public Health Commission. n.d. “Start Strong.” Accessed April 6, 2026. </w:t>
      </w:r>
      <w:hyperlink r:id="rId133" w:tgtFrame="_new" w:history="1">
        <w:r w:rsidRPr="00F832F8">
          <w:rPr>
            <w:rStyle w:val="Hyperlink"/>
            <w:sz w:val="20"/>
            <w:szCs w:val="20"/>
          </w:rPr>
          <w:t>https://www.thehallsboston.com/</w:t>
        </w:r>
      </w:hyperlink>
      <w:r w:rsidRPr="00F832F8">
        <w:rPr>
          <w:sz w:val="20"/>
          <w:szCs w:val="20"/>
        </w:rPr>
        <w:t>.</w:t>
      </w:r>
    </w:p>
  </w:footnote>
  <w:footnote w:id="175">
    <w:p w14:paraId="0202D6C3" w14:textId="4A829786"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Advocates for Youth. n.d. Accessed December 17, 2022. </w:t>
      </w:r>
      <w:hyperlink r:id="rId134" w:tgtFrame="_new" w:history="1">
        <w:r w:rsidRPr="00F832F8">
          <w:rPr>
            <w:rStyle w:val="Hyperlink"/>
            <w:sz w:val="20"/>
            <w:szCs w:val="20"/>
          </w:rPr>
          <w:t>https://www.advocatesforyouth.org/</w:t>
        </w:r>
      </w:hyperlink>
      <w:r w:rsidRPr="00F832F8">
        <w:rPr>
          <w:sz w:val="20"/>
          <w:szCs w:val="20"/>
        </w:rPr>
        <w:t>.</w:t>
      </w:r>
    </w:p>
  </w:footnote>
  <w:footnote w:id="176">
    <w:p w14:paraId="41F5A7C5" w14:textId="1BF5F699"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Fish, Jessica N., et al. 2019. “LGBTQ Youth-Serving Community-Based Organizations: Who Participates and What Difference Does It Make?” </w:t>
      </w:r>
      <w:r w:rsidRPr="00F832F8">
        <w:rPr>
          <w:i/>
          <w:iCs/>
          <w:sz w:val="20"/>
          <w:szCs w:val="20"/>
        </w:rPr>
        <w:t>Journal of Youth and Adolescence</w:t>
      </w:r>
      <w:r w:rsidRPr="00F832F8">
        <w:rPr>
          <w:sz w:val="20"/>
          <w:szCs w:val="20"/>
        </w:rPr>
        <w:t xml:space="preserve"> 48 (12): 2418–31. </w:t>
      </w:r>
      <w:hyperlink r:id="rId135" w:tgtFrame="_new" w:history="1">
        <w:r w:rsidRPr="00F832F8">
          <w:rPr>
            <w:rStyle w:val="Hyperlink"/>
            <w:sz w:val="20"/>
            <w:szCs w:val="20"/>
          </w:rPr>
          <w:t>https://doi.org/10.1007/s10964-019-01129-5</w:t>
        </w:r>
      </w:hyperlink>
      <w:r w:rsidRPr="00F832F8">
        <w:rPr>
          <w:sz w:val="20"/>
          <w:szCs w:val="20"/>
        </w:rPr>
        <w:t>.</w:t>
      </w:r>
    </w:p>
  </w:footnote>
  <w:footnote w:id="177">
    <w:p w14:paraId="0831FB80" w14:textId="19FAE3CA"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Department of Public Health, Bureau of Infectious Disease and Laboratory Sciences. 2024. </w:t>
      </w:r>
      <w:r w:rsidRPr="00F832F8">
        <w:rPr>
          <w:i/>
          <w:iCs/>
          <w:sz w:val="20"/>
          <w:szCs w:val="20"/>
        </w:rPr>
        <w:t>2023 Massachusetts Integrated HIV, STI and Viral Hepatitis Surveillance Report.</w:t>
      </w:r>
      <w:r w:rsidRPr="00F832F8">
        <w:rPr>
          <w:sz w:val="20"/>
          <w:szCs w:val="20"/>
        </w:rPr>
        <w:t xml:space="preserve"> </w:t>
      </w:r>
      <w:hyperlink r:id="rId136" w:tgtFrame="_new" w:history="1">
        <w:r w:rsidRPr="00F832F8">
          <w:rPr>
            <w:rStyle w:val="Hyperlink"/>
            <w:sz w:val="20"/>
            <w:szCs w:val="20"/>
          </w:rPr>
          <w:t>https://www.mass.gov/doc/2023-integrated-hiv-std-and-viral-hepatitis-reportpdf/download</w:t>
        </w:r>
      </w:hyperlink>
      <w:r w:rsidRPr="00F832F8">
        <w:rPr>
          <w:sz w:val="20"/>
          <w:szCs w:val="20"/>
        </w:rPr>
        <w:t>.</w:t>
      </w:r>
    </w:p>
  </w:footnote>
  <w:footnote w:id="178">
    <w:p w14:paraId="008A1A32" w14:textId="08A150A1"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Commission on LGBTQ Youth. 2026. </w:t>
      </w:r>
      <w:r w:rsidRPr="00F832F8">
        <w:rPr>
          <w:i/>
          <w:iCs/>
          <w:sz w:val="20"/>
          <w:szCs w:val="20"/>
        </w:rPr>
        <w:t>Analysis of 2023 MYRBS Data Provided by DESE.</w:t>
      </w:r>
    </w:p>
  </w:footnote>
  <w:footnote w:id="179">
    <w:p w14:paraId="4D1BA896" w14:textId="0F02FBBC"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Commission on LGBTQ Youth.</w:t>
      </w:r>
    </w:p>
  </w:footnote>
  <w:footnote w:id="180">
    <w:p w14:paraId="01DB74E4" w14:textId="595E4CB8"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Goldbach, Jeremy T., et al. 2014. “Minority Stress and Substance Use in Sexual Minority Adolescents: A Meta-Analysis.” </w:t>
      </w:r>
      <w:r w:rsidRPr="00F832F8">
        <w:rPr>
          <w:i/>
          <w:iCs/>
          <w:sz w:val="20"/>
          <w:szCs w:val="20"/>
        </w:rPr>
        <w:t>Prevention Science</w:t>
      </w:r>
      <w:r w:rsidRPr="00F832F8">
        <w:rPr>
          <w:sz w:val="20"/>
          <w:szCs w:val="20"/>
        </w:rPr>
        <w:t xml:space="preserve"> 15 (3): 350–63. </w:t>
      </w:r>
      <w:hyperlink r:id="rId137" w:tgtFrame="_new" w:history="1">
        <w:r w:rsidRPr="00F832F8">
          <w:rPr>
            <w:rStyle w:val="Hyperlink"/>
            <w:sz w:val="20"/>
            <w:szCs w:val="20"/>
          </w:rPr>
          <w:t>https://doi.org/10.1007/s11121-013-0393-7</w:t>
        </w:r>
      </w:hyperlink>
      <w:r w:rsidRPr="00F832F8">
        <w:rPr>
          <w:sz w:val="20"/>
          <w:szCs w:val="20"/>
        </w:rPr>
        <w:t xml:space="preserve">; Day, Jack K., et al. 2017. “Transgender Youth Substance Use Disparities: Results from a Population-Based Sample.” </w:t>
      </w:r>
      <w:r w:rsidRPr="00F832F8">
        <w:rPr>
          <w:i/>
          <w:iCs/>
          <w:sz w:val="20"/>
          <w:szCs w:val="20"/>
        </w:rPr>
        <w:t>Journal of Adolescent Health</w:t>
      </w:r>
      <w:r w:rsidRPr="00F832F8">
        <w:rPr>
          <w:sz w:val="20"/>
          <w:szCs w:val="20"/>
        </w:rPr>
        <w:t xml:space="preserve"> 61 (6): 729–35. </w:t>
      </w:r>
      <w:hyperlink r:id="rId138" w:tgtFrame="_new" w:history="1">
        <w:r w:rsidRPr="00F832F8">
          <w:rPr>
            <w:rStyle w:val="Hyperlink"/>
            <w:sz w:val="20"/>
            <w:szCs w:val="20"/>
          </w:rPr>
          <w:t>https://doi.org/10.1016/j.jadohealth.2017.06.024</w:t>
        </w:r>
      </w:hyperlink>
      <w:r w:rsidRPr="00F832F8">
        <w:rPr>
          <w:sz w:val="20"/>
          <w:szCs w:val="20"/>
        </w:rPr>
        <w:t>.</w:t>
      </w:r>
    </w:p>
  </w:footnote>
  <w:footnote w:id="181">
    <w:p w14:paraId="5B200766" w14:textId="7B7D94B8"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Commission on LGBTQ Youth. 2026. </w:t>
      </w:r>
      <w:r w:rsidRPr="00F832F8">
        <w:rPr>
          <w:i/>
          <w:iCs/>
          <w:sz w:val="20"/>
          <w:szCs w:val="20"/>
        </w:rPr>
        <w:t>Analysis of 2023 MYRBS Data Provided by DESE.</w:t>
      </w:r>
    </w:p>
  </w:footnote>
  <w:footnote w:id="182">
    <w:p w14:paraId="76C8B337" w14:textId="3FA0F798"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Centers for Disease Control and Prevention. 2023. “Fast Facts: Preventing Teen Dating Violence.” </w:t>
      </w:r>
      <w:hyperlink r:id="rId139" w:tgtFrame="_new" w:history="1">
        <w:r w:rsidRPr="00F832F8">
          <w:rPr>
            <w:rStyle w:val="Hyperlink"/>
            <w:sz w:val="20"/>
            <w:szCs w:val="20"/>
          </w:rPr>
          <w:t>https://www.cdc.gov/violenceprevention/intimatepartnerviolence/teendatingviolence/fastfact.html</w:t>
        </w:r>
      </w:hyperlink>
      <w:r w:rsidRPr="00F832F8">
        <w:rPr>
          <w:sz w:val="20"/>
          <w:szCs w:val="20"/>
        </w:rPr>
        <w:t>.</w:t>
      </w:r>
    </w:p>
  </w:footnote>
  <w:footnote w:id="183">
    <w:p w14:paraId="0C9029B0" w14:textId="1DDF608C"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Commission on LGBTQ Youth. 2026. </w:t>
      </w:r>
      <w:r w:rsidRPr="00F832F8">
        <w:rPr>
          <w:i/>
          <w:iCs/>
          <w:sz w:val="20"/>
          <w:szCs w:val="20"/>
        </w:rPr>
        <w:t>Analysis of 2023 MYRBS Data Provided by DESE.</w:t>
      </w:r>
    </w:p>
  </w:footnote>
  <w:footnote w:id="184">
    <w:p w14:paraId="119BFD36" w14:textId="702DE298"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James, Sandy E., et al. 2016. </w:t>
      </w:r>
      <w:r w:rsidRPr="00F832F8">
        <w:rPr>
          <w:i/>
          <w:iCs/>
          <w:sz w:val="20"/>
          <w:szCs w:val="20"/>
        </w:rPr>
        <w:t>The Report of the 2015 U.S. Transgender Survey.</w:t>
      </w:r>
      <w:r w:rsidRPr="00F832F8">
        <w:rPr>
          <w:sz w:val="20"/>
          <w:szCs w:val="20"/>
        </w:rPr>
        <w:t xml:space="preserve"> Washington, DC: National Center for Transgender Equality and National Gay and Lesbian Task Force. </w:t>
      </w:r>
      <w:hyperlink r:id="rId140" w:tgtFrame="_new" w:history="1">
        <w:r w:rsidRPr="00F832F8">
          <w:rPr>
            <w:rStyle w:val="Hyperlink"/>
            <w:sz w:val="20"/>
            <w:szCs w:val="20"/>
          </w:rPr>
          <w:t>https://transequality.org/sites/default/files/docs/usts/USTS-Full-Report-Dec17.pdf</w:t>
        </w:r>
      </w:hyperlink>
      <w:r w:rsidRPr="00F832F8">
        <w:rPr>
          <w:sz w:val="20"/>
          <w:szCs w:val="20"/>
        </w:rPr>
        <w:t>.</w:t>
      </w:r>
    </w:p>
  </w:footnote>
  <w:footnote w:id="185">
    <w:p w14:paraId="284DC3E8" w14:textId="0F2A6279"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Department of Public Health, Bureau of Community Health and Prevention. n.d. “CHEI Dashboard.” Accessed April 15, 2026. </w:t>
      </w:r>
      <w:hyperlink r:id="rId141" w:tgtFrame="_new" w:history="1">
        <w:r w:rsidRPr="00F832F8">
          <w:rPr>
            <w:rStyle w:val="Hyperlink"/>
            <w:sz w:val="20"/>
            <w:szCs w:val="20"/>
          </w:rPr>
          <w:t>https://www.mass.gov/info-details/community-health-equity-initiative-data-dashboard</w:t>
        </w:r>
      </w:hyperlink>
      <w:r w:rsidRPr="00F832F8">
        <w:rPr>
          <w:sz w:val="20"/>
          <w:szCs w:val="20"/>
        </w:rPr>
        <w:t>.</w:t>
      </w:r>
    </w:p>
  </w:footnote>
  <w:footnote w:id="186">
    <w:p w14:paraId="4A61531A" w14:textId="72484E68"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National Domestic Violence Hotline. n.d. “Types of Abuse.” Accessed April 8, 2026. </w:t>
      </w:r>
      <w:hyperlink r:id="rId142" w:tgtFrame="_new" w:history="1">
        <w:r w:rsidRPr="00F832F8">
          <w:rPr>
            <w:rStyle w:val="Hyperlink"/>
            <w:sz w:val="20"/>
            <w:szCs w:val="20"/>
          </w:rPr>
          <w:t>https://www.thehotline.org/resources/types-of-abuse/</w:t>
        </w:r>
      </w:hyperlink>
      <w:r w:rsidRPr="00F832F8">
        <w:rPr>
          <w:sz w:val="20"/>
          <w:szCs w:val="20"/>
        </w:rPr>
        <w:t>.</w:t>
      </w:r>
    </w:p>
  </w:footnote>
  <w:footnote w:id="187">
    <w:p w14:paraId="12BDF2A7" w14:textId="7CE57232"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Lundgren, Rebecka, and Avni Amin. 2015. “Addressing Intimate Partner Violence and Sexual Violence among Adolescents: Emerging Evidence of Effectiveness.” </w:t>
      </w:r>
      <w:r w:rsidRPr="00F832F8">
        <w:rPr>
          <w:i/>
          <w:iCs/>
          <w:sz w:val="20"/>
          <w:szCs w:val="20"/>
        </w:rPr>
        <w:t>Journal of Adolescent Health</w:t>
      </w:r>
      <w:r w:rsidRPr="00F832F8">
        <w:rPr>
          <w:sz w:val="20"/>
          <w:szCs w:val="20"/>
        </w:rPr>
        <w:t xml:space="preserve"> 56 (1): S42–50. </w:t>
      </w:r>
      <w:hyperlink r:id="rId143" w:tgtFrame="_new" w:history="1">
        <w:r w:rsidRPr="00F832F8">
          <w:rPr>
            <w:rStyle w:val="Hyperlink"/>
            <w:sz w:val="20"/>
            <w:szCs w:val="20"/>
          </w:rPr>
          <w:t>https://doi.org/10.1016/j.jadohealth.2014.08.012</w:t>
        </w:r>
      </w:hyperlink>
      <w:r w:rsidRPr="00F832F8">
        <w:rPr>
          <w:sz w:val="20"/>
          <w:szCs w:val="20"/>
        </w:rPr>
        <w:t>.</w:t>
      </w:r>
    </w:p>
  </w:footnote>
  <w:footnote w:id="188">
    <w:p w14:paraId="1C129ADB" w14:textId="1AD280AB"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Leventhal, Beth, Charly Robles, and Jenn Ho. 2020. </w:t>
      </w:r>
      <w:r w:rsidRPr="00F832F8">
        <w:rPr>
          <w:i/>
          <w:iCs/>
          <w:sz w:val="20"/>
          <w:szCs w:val="20"/>
        </w:rPr>
        <w:t>Survivor Stories: Learning from LGBQ/T Communities in MA.</w:t>
      </w:r>
      <w:r w:rsidRPr="00F832F8">
        <w:rPr>
          <w:sz w:val="20"/>
          <w:szCs w:val="20"/>
        </w:rPr>
        <w:t xml:space="preserve"> Boston: The Network/La Red. </w:t>
      </w:r>
      <w:hyperlink r:id="rId144" w:tgtFrame="_new" w:history="1">
        <w:r w:rsidRPr="00F832F8">
          <w:rPr>
            <w:rStyle w:val="Hyperlink"/>
            <w:sz w:val="20"/>
            <w:szCs w:val="20"/>
          </w:rPr>
          <w:t>https://www.tnlr.org/wp-content/uploads/CNA-w-cover-Final.pdf</w:t>
        </w:r>
      </w:hyperlink>
      <w:r w:rsidRPr="00F832F8">
        <w:rPr>
          <w:sz w:val="20"/>
          <w:szCs w:val="20"/>
        </w:rPr>
        <w:t>.</w:t>
      </w:r>
    </w:p>
  </w:footnote>
  <w:footnote w:id="189">
    <w:p w14:paraId="10CB8127" w14:textId="62F6515F"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Albright, Erin, and Kate Adamo. 2017. “Decreasing Human Trafficking through Sex Work Decriminalization.” </w:t>
      </w:r>
      <w:r w:rsidRPr="00F832F8">
        <w:rPr>
          <w:i/>
          <w:iCs/>
          <w:sz w:val="20"/>
          <w:szCs w:val="20"/>
        </w:rPr>
        <w:t>AMA Journal of Ethics</w:t>
      </w:r>
      <w:r w:rsidRPr="00F832F8">
        <w:rPr>
          <w:sz w:val="20"/>
          <w:szCs w:val="20"/>
        </w:rPr>
        <w:t xml:space="preserve"> 19 (1): 122–26. </w:t>
      </w:r>
      <w:hyperlink r:id="rId145" w:tgtFrame="_new" w:history="1">
        <w:r w:rsidRPr="00F832F8">
          <w:rPr>
            <w:rStyle w:val="Hyperlink"/>
            <w:sz w:val="20"/>
            <w:szCs w:val="20"/>
          </w:rPr>
          <w:t>https://doi.org/10.1001/journalofethics.2017.19.1.sect2-1701</w:t>
        </w:r>
      </w:hyperlink>
      <w:r w:rsidRPr="00F832F8">
        <w:rPr>
          <w:sz w:val="20"/>
          <w:szCs w:val="20"/>
        </w:rPr>
        <w:t>.</w:t>
      </w:r>
    </w:p>
  </w:footnote>
  <w:footnote w:id="190">
    <w:p w14:paraId="6A26747B" w14:textId="65A195B5"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Commission on LGBTQ Youth. 2026. </w:t>
      </w:r>
      <w:r w:rsidRPr="00F832F8">
        <w:rPr>
          <w:i/>
          <w:iCs/>
          <w:sz w:val="20"/>
          <w:szCs w:val="20"/>
        </w:rPr>
        <w:t>Analysis of 2023 MYRBS Data Provided by DESE.</w:t>
      </w:r>
    </w:p>
  </w:footnote>
  <w:footnote w:id="191">
    <w:p w14:paraId="604F7F2E" w14:textId="18E1B860"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Department of Public Health, Bureau of Community Health and Prevention. n.d. “CHEI Dashboard.” Accessed April 15, 2026. </w:t>
      </w:r>
      <w:hyperlink r:id="rId146" w:tgtFrame="_new" w:history="1">
        <w:r w:rsidRPr="00F832F8">
          <w:rPr>
            <w:rStyle w:val="Hyperlink"/>
            <w:sz w:val="20"/>
            <w:szCs w:val="20"/>
          </w:rPr>
          <w:t>https://www.mass.gov/info-details/community-health-equity-initiative-data-dashboard</w:t>
        </w:r>
      </w:hyperlink>
      <w:r w:rsidRPr="00F832F8">
        <w:rPr>
          <w:sz w:val="20"/>
          <w:szCs w:val="20"/>
        </w:rPr>
        <w:t>.</w:t>
      </w:r>
    </w:p>
  </w:footnote>
  <w:footnote w:id="192">
    <w:p w14:paraId="64CEE226" w14:textId="3768CEAE"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The Trevor Project. 2024. Sexual Violence and Mental Health among LGBTQ+ Young People.</w:t>
      </w:r>
    </w:p>
  </w:footnote>
  <w:footnote w:id="193">
    <w:p w14:paraId="342F0CB5" w14:textId="1945D46B"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American Psychological Association. 2020. “Black Women, the Forgotten Survivors of Sexual Assault.” </w:t>
      </w:r>
      <w:hyperlink r:id="rId147" w:tgtFrame="_new" w:history="1">
        <w:r w:rsidRPr="00F832F8">
          <w:rPr>
            <w:rStyle w:val="Hyperlink"/>
            <w:sz w:val="20"/>
            <w:szCs w:val="20"/>
          </w:rPr>
          <w:t>https://www.apa.org/pi/about/newsletter/2020/02/black-women-sexual-assault</w:t>
        </w:r>
      </w:hyperlink>
      <w:r w:rsidRPr="00F832F8">
        <w:rPr>
          <w:sz w:val="20"/>
          <w:szCs w:val="20"/>
        </w:rPr>
        <w:t>.</w:t>
      </w:r>
    </w:p>
  </w:footnote>
  <w:footnote w:id="194">
    <w:p w14:paraId="0C074D0E" w14:textId="51BC9463"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Finoh, Maya, and Jasmine Sanofka. 2019. “The Legal System Has Failed Black Girls, Women, and Non-Binary Survivors of Violence.” </w:t>
      </w:r>
      <w:r w:rsidRPr="00F832F8">
        <w:rPr>
          <w:i/>
          <w:iCs/>
          <w:sz w:val="20"/>
          <w:szCs w:val="20"/>
        </w:rPr>
        <w:t>American Civil Liberties Union.</w:t>
      </w:r>
      <w:r w:rsidRPr="00F832F8">
        <w:rPr>
          <w:sz w:val="20"/>
          <w:szCs w:val="20"/>
        </w:rPr>
        <w:t xml:space="preserve"> </w:t>
      </w:r>
      <w:hyperlink r:id="rId148" w:tgtFrame="_new" w:history="1">
        <w:r w:rsidRPr="00F832F8">
          <w:rPr>
            <w:rStyle w:val="Hyperlink"/>
            <w:sz w:val="20"/>
            <w:szCs w:val="20"/>
          </w:rPr>
          <w:t>https://www.aclu.org/news/racial-justice/legal-system-has-failed-black-girls-women-and-non</w:t>
        </w:r>
      </w:hyperlink>
      <w:r w:rsidRPr="00F832F8">
        <w:rPr>
          <w:sz w:val="20"/>
          <w:szCs w:val="20"/>
        </w:rPr>
        <w:t>.</w:t>
      </w:r>
    </w:p>
  </w:footnote>
  <w:footnote w:id="195">
    <w:p w14:paraId="0F23C8A3" w14:textId="769F232E"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Bauer, Elizabeth Edmondson, et al. n.d. </w:t>
      </w:r>
      <w:r w:rsidRPr="00F832F8">
        <w:rPr>
          <w:i/>
          <w:iCs/>
          <w:sz w:val="20"/>
          <w:szCs w:val="20"/>
        </w:rPr>
        <w:t>College-Aged but on the Streets: Young Adults Who Experience Homelessness and Sexual Violence.</w:t>
      </w:r>
      <w:r w:rsidRPr="00F832F8">
        <w:rPr>
          <w:sz w:val="20"/>
          <w:szCs w:val="20"/>
        </w:rPr>
        <w:t xml:space="preserve"> National Sexual Assault Coalition Resource Sharing Project. </w:t>
      </w:r>
      <w:hyperlink r:id="rId149" w:tgtFrame="_new" w:history="1">
        <w:r w:rsidRPr="00F832F8">
          <w:rPr>
            <w:rStyle w:val="Hyperlink"/>
            <w:sz w:val="20"/>
            <w:szCs w:val="20"/>
          </w:rPr>
          <w:t>https://evawintl.org/wp-content/uploads/YoungAdultsWhoExperienceHomelessnessandSexualViolenceMay2017.pdf</w:t>
        </w:r>
      </w:hyperlink>
      <w:r w:rsidRPr="00F832F8">
        <w:rPr>
          <w:sz w:val="20"/>
          <w:szCs w:val="20"/>
        </w:rPr>
        <w:t>.</w:t>
      </w:r>
    </w:p>
  </w:footnote>
  <w:footnote w:id="196">
    <w:p w14:paraId="6AD4D1AE" w14:textId="501EAA55"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Bauer, Elizabeth Edmondson, et al.</w:t>
      </w:r>
    </w:p>
  </w:footnote>
  <w:footnote w:id="197">
    <w:p w14:paraId="017CF075" w14:textId="7254C7DD"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National Center for Transgender Equality. 2014. “Federal Survey: 40% of Transgender Prisoners Are Sexually Abused Each Year.” </w:t>
      </w:r>
      <w:hyperlink r:id="rId150" w:tgtFrame="_new" w:history="1">
        <w:r w:rsidRPr="00F832F8">
          <w:rPr>
            <w:rStyle w:val="Hyperlink"/>
            <w:sz w:val="20"/>
            <w:szCs w:val="20"/>
          </w:rPr>
          <w:t>https://transequality.org/blog/federal-survey-40-of-transgender-prisoners-are-sexually-abused-each-year</w:t>
        </w:r>
      </w:hyperlink>
      <w:r w:rsidRPr="00F832F8">
        <w:rPr>
          <w:sz w:val="20"/>
          <w:szCs w:val="20"/>
        </w:rPr>
        <w:t>.</w:t>
      </w:r>
    </w:p>
  </w:footnote>
  <w:footnote w:id="198">
    <w:p w14:paraId="31216FE1" w14:textId="528CA2CE"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Hernandez, Rebecca. 2021. </w:t>
      </w:r>
      <w:r w:rsidRPr="00F832F8">
        <w:rPr>
          <w:i/>
          <w:iCs/>
          <w:sz w:val="20"/>
          <w:szCs w:val="20"/>
        </w:rPr>
        <w:t>The Commercial Exploitation of Boys &amp; LGBTQ+ Youth: A Systematic Literature Review.</w:t>
      </w:r>
      <w:r w:rsidRPr="00F832F8">
        <w:rPr>
          <w:sz w:val="20"/>
          <w:szCs w:val="20"/>
        </w:rPr>
        <w:t xml:space="preserve"> </w:t>
      </w:r>
      <w:hyperlink r:id="rId151" w:tgtFrame="_new" w:history="1">
        <w:r w:rsidRPr="00F832F8">
          <w:rPr>
            <w:rStyle w:val="Hyperlink"/>
            <w:sz w:val="20"/>
            <w:szCs w:val="20"/>
          </w:rPr>
          <w:t>https://scholarworks.calstate.edu/downloads/2v23w095f</w:t>
        </w:r>
      </w:hyperlink>
      <w:r w:rsidRPr="00F832F8">
        <w:rPr>
          <w:sz w:val="20"/>
          <w:szCs w:val="20"/>
        </w:rPr>
        <w:t>.</w:t>
      </w:r>
    </w:p>
  </w:footnote>
  <w:footnote w:id="199">
    <w:p w14:paraId="6ACDC721" w14:textId="5B575B8B"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Schwartz, Gabriel L., Jaquelyn L. Jahn, and Amanda Geller. 2022. “Policing Sexuality: Sexual Minority Youth, Police Contact, and Health Inequity.” </w:t>
      </w:r>
      <w:r w:rsidRPr="00F832F8">
        <w:rPr>
          <w:i/>
          <w:iCs/>
          <w:sz w:val="20"/>
          <w:szCs w:val="20"/>
        </w:rPr>
        <w:t>SSM - Population Health</w:t>
      </w:r>
      <w:r w:rsidRPr="00F832F8">
        <w:rPr>
          <w:sz w:val="20"/>
          <w:szCs w:val="20"/>
        </w:rPr>
        <w:t xml:space="preserve"> 20: 101292. </w:t>
      </w:r>
      <w:hyperlink r:id="rId152" w:tgtFrame="_new" w:history="1">
        <w:r w:rsidRPr="00F832F8">
          <w:rPr>
            <w:rStyle w:val="Hyperlink"/>
            <w:sz w:val="20"/>
            <w:szCs w:val="20"/>
          </w:rPr>
          <w:t>https://doi.org/10.1016/j.ssmph.2022.101292</w:t>
        </w:r>
      </w:hyperlink>
      <w:r w:rsidRPr="00F832F8">
        <w:rPr>
          <w:sz w:val="20"/>
          <w:szCs w:val="20"/>
        </w:rPr>
        <w:t>.</w:t>
      </w:r>
    </w:p>
  </w:footnote>
  <w:footnote w:id="200">
    <w:p w14:paraId="735D31C3" w14:textId="0CFDE81A"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Sex Workers and Allies Network and Yale Global Health Justice Partnership. 2020. </w:t>
      </w:r>
      <w:r w:rsidRPr="00F832F8">
        <w:rPr>
          <w:i/>
          <w:iCs/>
          <w:sz w:val="20"/>
          <w:szCs w:val="20"/>
        </w:rPr>
        <w:t>Sex Work vs. Trafficking: How They Are Different and Why It Matters.</w:t>
      </w:r>
      <w:r w:rsidRPr="00F832F8">
        <w:rPr>
          <w:sz w:val="20"/>
          <w:szCs w:val="20"/>
        </w:rPr>
        <w:t xml:space="preserve"> </w:t>
      </w:r>
      <w:hyperlink r:id="rId153" w:tgtFrame="_new" w:history="1">
        <w:r w:rsidRPr="00F832F8">
          <w:rPr>
            <w:rStyle w:val="Hyperlink"/>
            <w:sz w:val="20"/>
            <w:szCs w:val="20"/>
          </w:rPr>
          <w:t>https://law.yale.edu/sites/default/files/area/center/ghjp/documents/issue_brief_sex_work_vs_trafficking_v2.pdf</w:t>
        </w:r>
      </w:hyperlink>
      <w:r w:rsidRPr="00F832F8">
        <w:rPr>
          <w:sz w:val="20"/>
          <w:szCs w:val="20"/>
        </w:rPr>
        <w:t>.</w:t>
      </w:r>
    </w:p>
  </w:footnote>
  <w:footnote w:id="201">
    <w:p w14:paraId="594AF64E" w14:textId="185BB4ED"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Hacking//Hustling. n.d. “Erased: The Impact of FOSTA-SESTA and the Removal of Backpage 2020.” Accessed April 6, 2026. </w:t>
      </w:r>
      <w:hyperlink r:id="rId154" w:tgtFrame="_new" w:history="1">
        <w:r w:rsidRPr="00F832F8">
          <w:rPr>
            <w:rStyle w:val="Hyperlink"/>
            <w:sz w:val="20"/>
            <w:szCs w:val="20"/>
          </w:rPr>
          <w:t>https://hackinghustling.org/erased-the-impact-of-fosta-sesta-2020/</w:t>
        </w:r>
      </w:hyperlink>
      <w:r w:rsidRPr="00F832F8">
        <w:rPr>
          <w:sz w:val="20"/>
          <w:szCs w:val="20"/>
        </w:rPr>
        <w:t>.</w:t>
      </w:r>
    </w:p>
  </w:footnote>
  <w:footnote w:id="202">
    <w:p w14:paraId="2BD800E7" w14:textId="1BE7F5C2"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Hogan, Kimberly A., and Dominique Roe-Sepowitz. 2020. “LGBTQ+ Homeless Young Adults and Sex Trafficking Vulnerability.” </w:t>
      </w:r>
      <w:r w:rsidRPr="00F832F8">
        <w:rPr>
          <w:i/>
          <w:iCs/>
          <w:sz w:val="20"/>
          <w:szCs w:val="20"/>
        </w:rPr>
        <w:t>Journal of Human Trafficking</w:t>
      </w:r>
      <w:r w:rsidRPr="00F832F8">
        <w:rPr>
          <w:sz w:val="20"/>
          <w:szCs w:val="20"/>
        </w:rPr>
        <w:t xml:space="preserve"> 0 (0): 1–16. </w:t>
      </w:r>
      <w:hyperlink r:id="rId155" w:tgtFrame="_new" w:history="1">
        <w:r w:rsidRPr="00F832F8">
          <w:rPr>
            <w:rStyle w:val="Hyperlink"/>
            <w:sz w:val="20"/>
            <w:szCs w:val="20"/>
          </w:rPr>
          <w:t>https://doi.org/10.1080/23322705.2020.1841985</w:t>
        </w:r>
      </w:hyperlink>
      <w:r w:rsidRPr="00F832F8">
        <w:rPr>
          <w:sz w:val="20"/>
          <w:szCs w:val="20"/>
        </w:rPr>
        <w:t>.</w:t>
      </w:r>
    </w:p>
  </w:footnote>
  <w:footnote w:id="203">
    <w:p w14:paraId="18A76D58" w14:textId="5C04A8E5"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Bayliss, Blaire. 2020. “The Kids Are Alright </w:t>
      </w:r>
      <w:r w:rsidRPr="00F832F8">
        <w:rPr>
          <w:rFonts w:ascii="Segoe UI Emoji" w:hAnsi="Segoe UI Emoji" w:cs="Segoe UI Emoji"/>
          <w:sz w:val="20"/>
          <w:szCs w:val="20"/>
        </w:rPr>
        <w:t>😂😂😂😂</w:t>
      </w:r>
      <w:r w:rsidRPr="00F832F8">
        <w:rPr>
          <w:sz w:val="20"/>
          <w:szCs w:val="20"/>
        </w:rPr>
        <w:t xml:space="preserve"> </w:t>
      </w:r>
      <w:r w:rsidRPr="00F832F8">
        <w:rPr>
          <w:rFonts w:ascii="Segoe UI Emoji" w:hAnsi="Segoe UI Emoji" w:cs="Segoe UI Emoji"/>
          <w:sz w:val="20"/>
          <w:szCs w:val="20"/>
        </w:rPr>
        <w:t>🍆🍆🍆🍆</w:t>
      </w:r>
      <w:r w:rsidRPr="00F832F8">
        <w:rPr>
          <w:sz w:val="20"/>
          <w:szCs w:val="20"/>
        </w:rPr>
        <w:t xml:space="preserve"> </w:t>
      </w:r>
      <w:r w:rsidRPr="00F832F8">
        <w:rPr>
          <w:rFonts w:ascii="Segoe UI Emoji" w:hAnsi="Segoe UI Emoji" w:cs="Segoe UI Emoji"/>
          <w:sz w:val="20"/>
          <w:szCs w:val="20"/>
        </w:rPr>
        <w:t>🍑🍑🍑🍑</w:t>
      </w:r>
      <w:r w:rsidRPr="00F832F8">
        <w:rPr>
          <w:sz w:val="20"/>
          <w:szCs w:val="20"/>
        </w:rPr>
        <w:t xml:space="preserve">: Teen Sexting, Child Pornography Charges, and the Criminalization of Adolescent Sexuality.” </w:t>
      </w:r>
      <w:r w:rsidRPr="00F832F8">
        <w:rPr>
          <w:i/>
          <w:iCs/>
          <w:sz w:val="20"/>
          <w:szCs w:val="20"/>
        </w:rPr>
        <w:t>University of Colorado Law Review</w:t>
      </w:r>
      <w:r w:rsidRPr="00F832F8">
        <w:rPr>
          <w:sz w:val="20"/>
          <w:szCs w:val="20"/>
        </w:rPr>
        <w:t xml:space="preserve"> 91: 251–82.</w:t>
      </w:r>
    </w:p>
  </w:footnote>
  <w:footnote w:id="204">
    <w:p w14:paraId="183E4F65" w14:textId="632BFBD1"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Macias-Konstantopoulos, Wendy L., et al. 2015. “The Commercial Sexual Exploitation and Sex Trafficking of Minors in the Boston Metropolitan Area: Experiences and Challenges Faced by Front-Line Providers and Other Stakeholders.” </w:t>
      </w:r>
      <w:r w:rsidRPr="00F832F8">
        <w:rPr>
          <w:i/>
          <w:iCs/>
          <w:sz w:val="20"/>
          <w:szCs w:val="20"/>
        </w:rPr>
        <w:t>Journal of Applied Research on Children</w:t>
      </w:r>
      <w:r w:rsidRPr="00F832F8">
        <w:rPr>
          <w:sz w:val="20"/>
          <w:szCs w:val="20"/>
        </w:rPr>
        <w:t xml:space="preserve"> 6 (1). </w:t>
      </w:r>
      <w:hyperlink r:id="rId156" w:tgtFrame="_new" w:history="1">
        <w:r w:rsidRPr="00F832F8">
          <w:rPr>
            <w:rStyle w:val="Hyperlink"/>
            <w:sz w:val="20"/>
            <w:szCs w:val="20"/>
          </w:rPr>
          <w:t>https://eric.ed.gov/?id=EJ118852</w:t>
        </w:r>
      </w:hyperlink>
      <w:r w:rsidRPr="00F832F8">
        <w:rPr>
          <w:sz w:val="20"/>
          <w:szCs w:val="20"/>
        </w:rPr>
        <w:t xml:space="preserve">; Hounmenou, Charles, and Caitlin O’Grady. 2019. “A Review and Critique of the U.S. Responses to the Commercial Sexual Exploitation of Children.” </w:t>
      </w:r>
      <w:r w:rsidRPr="00F832F8">
        <w:rPr>
          <w:i/>
          <w:iCs/>
          <w:sz w:val="20"/>
          <w:szCs w:val="20"/>
        </w:rPr>
        <w:t>Children and Youth Services Review</w:t>
      </w:r>
      <w:r w:rsidRPr="00F832F8">
        <w:rPr>
          <w:sz w:val="20"/>
          <w:szCs w:val="20"/>
        </w:rPr>
        <w:t xml:space="preserve"> 98: 188–98. </w:t>
      </w:r>
      <w:hyperlink r:id="rId157" w:tgtFrame="_new" w:history="1">
        <w:r w:rsidRPr="00F832F8">
          <w:rPr>
            <w:rStyle w:val="Hyperlink"/>
            <w:sz w:val="20"/>
            <w:szCs w:val="20"/>
          </w:rPr>
          <w:t>https://doi.org/10.1016/j.childyouth.2019.01.005</w:t>
        </w:r>
      </w:hyperlink>
      <w:r w:rsidRPr="00F832F8">
        <w:rPr>
          <w:sz w:val="20"/>
          <w:szCs w:val="20"/>
        </w:rPr>
        <w:t>.</w:t>
      </w:r>
    </w:p>
  </w:footnote>
  <w:footnote w:id="205">
    <w:p w14:paraId="29789635" w14:textId="76B19185"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Abrams, Laura S., et al. 2020. “Collaborative Responses to Commercial Sexual Exploitation as a Model of Smart Decarceration.” </w:t>
      </w:r>
      <w:r w:rsidRPr="00F832F8">
        <w:rPr>
          <w:i/>
          <w:iCs/>
          <w:sz w:val="20"/>
          <w:szCs w:val="20"/>
        </w:rPr>
        <w:t>Social Work</w:t>
      </w:r>
      <w:r w:rsidRPr="00F832F8">
        <w:rPr>
          <w:sz w:val="20"/>
          <w:szCs w:val="20"/>
        </w:rPr>
        <w:t xml:space="preserve"> 65 (4): 387–96. </w:t>
      </w:r>
      <w:hyperlink r:id="rId158" w:tgtFrame="_new" w:history="1">
        <w:r w:rsidRPr="00F832F8">
          <w:rPr>
            <w:rStyle w:val="Hyperlink"/>
            <w:sz w:val="20"/>
            <w:szCs w:val="20"/>
          </w:rPr>
          <w:t>https://doi.org/10.1093/sw/swaa040</w:t>
        </w:r>
      </w:hyperlink>
      <w:r w:rsidRPr="00F832F8">
        <w:rPr>
          <w:sz w:val="20"/>
          <w:szCs w:val="20"/>
        </w:rPr>
        <w:t>.</w:t>
      </w:r>
    </w:p>
  </w:footnote>
  <w:footnote w:id="206">
    <w:p w14:paraId="122731CB" w14:textId="5CE80CC4"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Ducak, Dora, et al. 2022. “Perspectives of Stakeholders Working to End the Commercial Sexual Exploitation of Children in Atlanta, Georgia.” </w:t>
      </w:r>
      <w:r w:rsidRPr="00F832F8">
        <w:rPr>
          <w:i/>
          <w:iCs/>
          <w:sz w:val="20"/>
          <w:szCs w:val="20"/>
        </w:rPr>
        <w:t>Violence and Gender</w:t>
      </w:r>
      <w:r w:rsidRPr="00F832F8">
        <w:rPr>
          <w:sz w:val="20"/>
          <w:szCs w:val="20"/>
        </w:rPr>
        <w:t xml:space="preserve"> 9 (2): 73–79. </w:t>
      </w:r>
      <w:hyperlink r:id="rId159" w:tgtFrame="_new" w:history="1">
        <w:r w:rsidRPr="00F832F8">
          <w:rPr>
            <w:rStyle w:val="Hyperlink"/>
            <w:sz w:val="20"/>
            <w:szCs w:val="20"/>
          </w:rPr>
          <w:t>https://doi.org/10.1089/vio.2021.0048</w:t>
        </w:r>
      </w:hyperlink>
      <w:r w:rsidRPr="00F832F8">
        <w:rPr>
          <w:sz w:val="20"/>
          <w:szCs w:val="20"/>
        </w:rPr>
        <w:t>.</w:t>
      </w:r>
    </w:p>
  </w:footnote>
  <w:footnote w:id="207">
    <w:p w14:paraId="04ADF79D" w14:textId="363DD638"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Constance-Huggins, Monique. 2019. “Critical Race Theory in Social Work Education.” </w:t>
      </w:r>
      <w:r w:rsidRPr="00F832F8">
        <w:rPr>
          <w:i/>
          <w:iCs/>
          <w:sz w:val="20"/>
          <w:szCs w:val="20"/>
        </w:rPr>
        <w:t>Critical Social Work</w:t>
      </w:r>
      <w:r w:rsidRPr="00F832F8">
        <w:rPr>
          <w:sz w:val="20"/>
          <w:szCs w:val="20"/>
        </w:rPr>
        <w:t xml:space="preserve"> 13 (2). </w:t>
      </w:r>
      <w:hyperlink r:id="rId160" w:tgtFrame="_new" w:history="1">
        <w:r w:rsidRPr="00F832F8">
          <w:rPr>
            <w:rStyle w:val="Hyperlink"/>
            <w:sz w:val="20"/>
            <w:szCs w:val="20"/>
          </w:rPr>
          <w:t>https://doi.org/10.22329/csw.v13i2.5861</w:t>
        </w:r>
      </w:hyperlink>
      <w:r w:rsidRPr="00F832F8">
        <w:rPr>
          <w:sz w:val="20"/>
          <w:szCs w:val="20"/>
        </w:rPr>
        <w:t>.</w:t>
      </w:r>
    </w:p>
  </w:footnote>
  <w:footnote w:id="208">
    <w:p w14:paraId="210104B9" w14:textId="012B6182"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Department of Public Health, Bureau of Community Health and Prevention. ”CHEI Dashboard.”</w:t>
      </w:r>
    </w:p>
  </w:footnote>
  <w:footnote w:id="209">
    <w:p w14:paraId="3F1EFA02" w14:textId="7AED51FF"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Glisten. 2026. The 2025 National School Climate Survey: School Experiences of LGBTQ+ Youth in the U.S. New York: Glisten.</w:t>
      </w:r>
    </w:p>
  </w:footnote>
  <w:footnote w:id="210">
    <w:p w14:paraId="2269FF89" w14:textId="175A8F9D"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Castro-Ramirez, Franckie, Maha Al-Suwaidi, Pedro Garcia, Osiris Rankin, Jordyn R. Ricard, and Matthew K. Nock. 2021. “Racism and Poverty Are Barriers to the Treatment of Youth Mental Health Concerns.” </w:t>
      </w:r>
      <w:r w:rsidRPr="00F832F8">
        <w:rPr>
          <w:i/>
          <w:iCs/>
          <w:sz w:val="20"/>
          <w:szCs w:val="20"/>
        </w:rPr>
        <w:t>Journal of Clinical Child &amp; Adolescent Psychology</w:t>
      </w:r>
      <w:r w:rsidRPr="00F832F8">
        <w:rPr>
          <w:sz w:val="20"/>
          <w:szCs w:val="20"/>
        </w:rPr>
        <w:t xml:space="preserve"> 50 (4): 534–46. </w:t>
      </w:r>
      <w:hyperlink r:id="rId161" w:tgtFrame="_new" w:history="1">
        <w:r w:rsidRPr="00F832F8">
          <w:rPr>
            <w:rStyle w:val="Hyperlink"/>
            <w:sz w:val="20"/>
            <w:szCs w:val="20"/>
          </w:rPr>
          <w:t>https://doi.org/10.1080/15374416.2021.1941058</w:t>
        </w:r>
      </w:hyperlink>
      <w:r w:rsidRPr="00F832F8">
        <w:rPr>
          <w:sz w:val="20"/>
          <w:szCs w:val="20"/>
        </w:rPr>
        <w:t>.</w:t>
      </w:r>
    </w:p>
  </w:footnote>
  <w:footnote w:id="211">
    <w:p w14:paraId="577CF852" w14:textId="02F87285"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Fadus, Matthew C., Kenneth R. Ginsburg, Kunmi Sobowale, Colleen A. Halliday-Boykins, Brittany E. Bryant, Kevin M. Gray, and Lindsay M. Squeglia. 2020. “Unconscious Bias and the Diagnosis of Disruptive Behavior Disorders and ADHD in African American and Hispanic Youth.” </w:t>
      </w:r>
      <w:r w:rsidRPr="00F832F8">
        <w:rPr>
          <w:i/>
          <w:iCs/>
          <w:sz w:val="20"/>
          <w:szCs w:val="20"/>
        </w:rPr>
        <w:t>Academic Psychiatry</w:t>
      </w:r>
      <w:r w:rsidRPr="00F832F8">
        <w:rPr>
          <w:sz w:val="20"/>
          <w:szCs w:val="20"/>
        </w:rPr>
        <w:t xml:space="preserve"> 44 (1): 95–102. </w:t>
      </w:r>
      <w:hyperlink r:id="rId162" w:tgtFrame="_new" w:history="1">
        <w:r w:rsidRPr="00F832F8">
          <w:rPr>
            <w:rStyle w:val="Hyperlink"/>
            <w:sz w:val="20"/>
            <w:szCs w:val="20"/>
          </w:rPr>
          <w:t>https://doi.org/10.1007/s40596-019-01127-6</w:t>
        </w:r>
      </w:hyperlink>
      <w:r w:rsidRPr="00F832F8">
        <w:rPr>
          <w:sz w:val="20"/>
          <w:szCs w:val="20"/>
        </w:rPr>
        <w:t>.</w:t>
      </w:r>
    </w:p>
  </w:footnote>
  <w:footnote w:id="212">
    <w:p w14:paraId="704F3B8D" w14:textId="5E1757FE"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Pattisapu, Krishna. 2019. “The Necessity of Intentionally Closed Spaces for LGBTQ Youth of Color.” </w:t>
      </w:r>
      <w:r w:rsidRPr="00F832F8">
        <w:rPr>
          <w:i/>
          <w:iCs/>
          <w:sz w:val="20"/>
          <w:szCs w:val="20"/>
        </w:rPr>
        <w:t>The Assembly: A Journal for Public Scholarship on Education</w:t>
      </w:r>
      <w:r w:rsidRPr="00F832F8">
        <w:rPr>
          <w:sz w:val="20"/>
          <w:szCs w:val="20"/>
        </w:rPr>
        <w:t xml:space="preserve"> 2. http://www.colorado.edu/journal/assembly/2019/06/30/necessity-intentionally-closed-spaces-lgbtq-youth-color.</w:t>
      </w:r>
    </w:p>
  </w:footnote>
  <w:footnote w:id="213">
    <w:p w14:paraId="2AAC814B" w14:textId="20343D8B"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Kosciw, Joseph, Caitlin Clark, and Leesh Menard. 2022. </w:t>
      </w:r>
      <w:r w:rsidRPr="00F832F8">
        <w:rPr>
          <w:i/>
          <w:iCs/>
          <w:sz w:val="20"/>
          <w:szCs w:val="20"/>
        </w:rPr>
        <w:t>The 2021 National School Climate Survey: The Experiences of LGBTQ+ Youth in Our Nation’s Schools.</w:t>
      </w:r>
      <w:r w:rsidRPr="00F832F8">
        <w:rPr>
          <w:sz w:val="20"/>
          <w:szCs w:val="20"/>
        </w:rPr>
        <w:t xml:space="preserve"> New York: Gay, Lesbian and Straight Education Network. </w:t>
      </w:r>
      <w:hyperlink r:id="rId163" w:tgtFrame="_new" w:history="1">
        <w:r w:rsidRPr="00F832F8">
          <w:rPr>
            <w:rStyle w:val="Hyperlink"/>
            <w:sz w:val="20"/>
            <w:szCs w:val="20"/>
          </w:rPr>
          <w:t>https://www.glsen.org/sites/default/files/2022-10/NSCS-2021-Full-Report.pdf</w:t>
        </w:r>
      </w:hyperlink>
      <w:r w:rsidRPr="00F832F8">
        <w:rPr>
          <w:sz w:val="20"/>
          <w:szCs w:val="20"/>
        </w:rPr>
        <w:t>.</w:t>
      </w:r>
    </w:p>
  </w:footnote>
  <w:footnote w:id="214">
    <w:p w14:paraId="36E8D178" w14:textId="133E0511"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The Trevor Project. 2021. </w:t>
      </w:r>
      <w:r w:rsidRPr="00F832F8">
        <w:rPr>
          <w:i/>
          <w:iCs/>
          <w:sz w:val="20"/>
          <w:szCs w:val="20"/>
        </w:rPr>
        <w:t>LGBTQ Youth from Immigrant Families.</w:t>
      </w:r>
      <w:r w:rsidRPr="00F832F8">
        <w:rPr>
          <w:sz w:val="20"/>
          <w:szCs w:val="20"/>
        </w:rPr>
        <w:t xml:space="preserve"> </w:t>
      </w:r>
      <w:hyperlink r:id="rId164" w:tgtFrame="_new" w:history="1">
        <w:r w:rsidRPr="00F832F8">
          <w:rPr>
            <w:rStyle w:val="Hyperlink"/>
            <w:sz w:val="20"/>
            <w:szCs w:val="20"/>
          </w:rPr>
          <w:t>https://www.thetrevorproject.org/wp-content/uploads/2021/07/Trevor-Project-First-Generation-Research-Brief.pdf</w:t>
        </w:r>
      </w:hyperlink>
      <w:r w:rsidRPr="00F832F8">
        <w:rPr>
          <w:sz w:val="20"/>
          <w:szCs w:val="20"/>
        </w:rPr>
        <w:t>.</w:t>
      </w:r>
    </w:p>
  </w:footnote>
  <w:footnote w:id="215">
    <w:p w14:paraId="1CB8BD6A" w14:textId="3EEAE56F"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Bacong, Adrian Matias, and Cecilia Menjívar. 2021. “Recasting the Immigrant Health Paradox through Intersections of Legal Status and Race.” </w:t>
      </w:r>
      <w:r w:rsidRPr="00F832F8">
        <w:rPr>
          <w:i/>
          <w:iCs/>
          <w:sz w:val="20"/>
          <w:szCs w:val="20"/>
        </w:rPr>
        <w:t>Journal of Immigrant and Minority Health</w:t>
      </w:r>
      <w:r w:rsidRPr="00F832F8">
        <w:rPr>
          <w:sz w:val="20"/>
          <w:szCs w:val="20"/>
        </w:rPr>
        <w:t xml:space="preserve"> 23 (5): 1092–1104. </w:t>
      </w:r>
      <w:hyperlink r:id="rId165" w:tgtFrame="_new" w:history="1">
        <w:r w:rsidRPr="00F832F8">
          <w:rPr>
            <w:rStyle w:val="Hyperlink"/>
            <w:sz w:val="20"/>
            <w:szCs w:val="20"/>
          </w:rPr>
          <w:t>https://doi.org/10.1007/s10903-021-01162-2</w:t>
        </w:r>
      </w:hyperlink>
      <w:r w:rsidRPr="00F832F8">
        <w:rPr>
          <w:sz w:val="20"/>
          <w:szCs w:val="20"/>
        </w:rPr>
        <w:t>.</w:t>
      </w:r>
    </w:p>
  </w:footnote>
  <w:footnote w:id="216">
    <w:p w14:paraId="55E9D2BB" w14:textId="26CEC5A2" w:rsidR="009F0C09" w:rsidRPr="00F832F8" w:rsidRDefault="009F0C0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The Trevor Project. </w:t>
      </w:r>
      <w:r w:rsidRPr="00F832F8">
        <w:rPr>
          <w:i/>
          <w:iCs/>
          <w:sz w:val="20"/>
          <w:szCs w:val="20"/>
        </w:rPr>
        <w:t>LGBTQ Youth from Immigrant Families</w:t>
      </w:r>
      <w:r w:rsidRPr="00F832F8">
        <w:rPr>
          <w:sz w:val="20"/>
          <w:szCs w:val="20"/>
        </w:rPr>
        <w:t>.</w:t>
      </w:r>
    </w:p>
  </w:footnote>
  <w:footnote w:id="217">
    <w:p w14:paraId="1F451B62" w14:textId="5C6B51F3" w:rsidR="009F0C09" w:rsidRPr="00F832F8" w:rsidRDefault="009F0C0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Glisten. </w:t>
      </w:r>
      <w:r w:rsidRPr="00F832F8">
        <w:rPr>
          <w:i/>
          <w:iCs/>
          <w:sz w:val="20"/>
          <w:szCs w:val="20"/>
        </w:rPr>
        <w:t>2021 School Climate Survey</w:t>
      </w:r>
      <w:r w:rsidRPr="00F832F8">
        <w:rPr>
          <w:sz w:val="20"/>
          <w:szCs w:val="20"/>
        </w:rPr>
        <w:t>.</w:t>
      </w:r>
    </w:p>
  </w:footnote>
  <w:footnote w:id="218">
    <w:p w14:paraId="764756A8" w14:textId="30BE4189"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Department of Public Health, Bureau of Community Health and Prevention. n.d. “CHEI Dashboard.” Accessed April 15, 2026. </w:t>
      </w:r>
      <w:hyperlink r:id="rId166" w:tgtFrame="_new" w:history="1">
        <w:r w:rsidRPr="00F832F8">
          <w:rPr>
            <w:rStyle w:val="Hyperlink"/>
            <w:sz w:val="20"/>
            <w:szCs w:val="20"/>
          </w:rPr>
          <w:t>https://www.mass.gov/info-details/community-health-equity-initiative-data-dashboard</w:t>
        </w:r>
      </w:hyperlink>
      <w:r w:rsidRPr="00F832F8">
        <w:rPr>
          <w:sz w:val="20"/>
          <w:szCs w:val="20"/>
        </w:rPr>
        <w:t>.</w:t>
      </w:r>
    </w:p>
  </w:footnote>
  <w:footnote w:id="219">
    <w:p w14:paraId="29D4725A" w14:textId="6D9A6B34"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Benton, Amy D., et al. 2020. “Peer-Led Sexual Health Education: Multiple Perspectives on Benefits for Peer Health Educators.” </w:t>
      </w:r>
      <w:r w:rsidRPr="00F832F8">
        <w:rPr>
          <w:i/>
          <w:iCs/>
          <w:sz w:val="20"/>
          <w:szCs w:val="20"/>
        </w:rPr>
        <w:t>Child and Adolescent Social Work Journal</w:t>
      </w:r>
      <w:r w:rsidRPr="00F832F8">
        <w:rPr>
          <w:sz w:val="20"/>
          <w:szCs w:val="20"/>
        </w:rPr>
        <w:t xml:space="preserve"> 37 (5): 487–96. </w:t>
      </w:r>
      <w:hyperlink r:id="rId167" w:tgtFrame="_new" w:history="1">
        <w:r w:rsidRPr="00F832F8">
          <w:rPr>
            <w:rStyle w:val="Hyperlink"/>
            <w:sz w:val="20"/>
            <w:szCs w:val="20"/>
          </w:rPr>
          <w:t>https://doi.org/10.1007/s10560-020-00661-9</w:t>
        </w:r>
      </w:hyperlink>
      <w:r w:rsidRPr="00F832F8">
        <w:rPr>
          <w:sz w:val="20"/>
          <w:szCs w:val="20"/>
        </w:rPr>
        <w:t xml:space="preserve">; Galiette, A. J., R. Herman, K. Reeder, J. R. Scheer, A. Stefancic, and L. Bochicchio. 2026. “‘Being Here, You Could Actually Be Yourself’: Trans and Gender Expansive Youth’s Experiences of Affirmation within LGBTQ+ Community-Based Organizations.” </w:t>
      </w:r>
      <w:r w:rsidRPr="00F832F8">
        <w:rPr>
          <w:i/>
          <w:iCs/>
          <w:sz w:val="20"/>
          <w:szCs w:val="20"/>
        </w:rPr>
        <w:t>Psychological Services</w:t>
      </w:r>
      <w:r w:rsidRPr="00F832F8">
        <w:rPr>
          <w:sz w:val="20"/>
          <w:szCs w:val="20"/>
        </w:rPr>
        <w:t xml:space="preserve"> 23 (1): 172–82. https://doi.org/10.1037/ser0000906.</w:t>
      </w:r>
    </w:p>
  </w:footnote>
  <w:footnote w:id="220">
    <w:p w14:paraId="5633C255" w14:textId="595E192E"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Fish, Jessica N., et al. 2019. “LGBTQ Youth-Serving Community-Based Organizations: Who Participates and What Difference Does It Make?” </w:t>
      </w:r>
      <w:r w:rsidRPr="00F832F8">
        <w:rPr>
          <w:i/>
          <w:iCs/>
          <w:sz w:val="20"/>
          <w:szCs w:val="20"/>
        </w:rPr>
        <w:t>Journal of Youth and Adolescence</w:t>
      </w:r>
      <w:r w:rsidRPr="00F832F8">
        <w:rPr>
          <w:sz w:val="20"/>
          <w:szCs w:val="20"/>
        </w:rPr>
        <w:t xml:space="preserve"> 48 (12): 2418–31. </w:t>
      </w:r>
      <w:hyperlink r:id="rId168" w:tgtFrame="_new" w:history="1">
        <w:r w:rsidRPr="00F832F8">
          <w:rPr>
            <w:rStyle w:val="Hyperlink"/>
            <w:sz w:val="20"/>
            <w:szCs w:val="20"/>
          </w:rPr>
          <w:t>https://doi.org/10.1007/s10964-019-01129-5</w:t>
        </w:r>
      </w:hyperlink>
      <w:r w:rsidRPr="00F832F8">
        <w:rPr>
          <w:sz w:val="20"/>
          <w:szCs w:val="20"/>
        </w:rPr>
        <w:t>.</w:t>
      </w:r>
    </w:p>
  </w:footnote>
  <w:footnote w:id="221">
    <w:p w14:paraId="0A86F0E1" w14:textId="077DEDB1" w:rsidR="00D94862" w:rsidRPr="00F832F8" w:rsidRDefault="00D94862"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w:t>
      </w:r>
      <w:r w:rsidR="00702A0E" w:rsidRPr="00F832F8">
        <w:rPr>
          <w:sz w:val="20"/>
          <w:szCs w:val="20"/>
        </w:rPr>
        <w:t>Moran SA, Bishop MD, Watson RJ, Fish JN. LGBTQ+ youth policy and mental health: Indirect effects through school experiences. J Res Adolesc. 2025 Mar;35(1):e13052. doi: 10.1111/jora.13052. PMID: 39734104; PMCID: PMC11682966.</w:t>
      </w:r>
    </w:p>
  </w:footnote>
  <w:footnote w:id="222">
    <w:p w14:paraId="6BBA47FA" w14:textId="6524ABAA" w:rsidR="00D94862" w:rsidRPr="00F832F8" w:rsidRDefault="00D94862"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w:t>
      </w:r>
      <w:r w:rsidR="00702A0E" w:rsidRPr="00F832F8">
        <w:rPr>
          <w:sz w:val="20"/>
          <w:szCs w:val="20"/>
        </w:rPr>
        <w:t xml:space="preserve">Pretorius C, Chambers D, Coyle D. Young People's Online Help-Seeking and Mental Health Difficulties: Systematic Narrative Review. J Med Internet Res. 2019 Nov 19;21(11):e13873. doi: 10.2196/13873. PMID: 31742562; PMCID: PMC6891826.; The Trevor Project. 2025. </w:t>
      </w:r>
      <w:r w:rsidR="00702A0E" w:rsidRPr="00F832F8">
        <w:rPr>
          <w:i/>
          <w:iCs/>
          <w:sz w:val="20"/>
          <w:szCs w:val="20"/>
        </w:rPr>
        <w:t>Online Experiences and Mental Health of LGBTQ+ Young People</w:t>
      </w:r>
      <w:r w:rsidR="00702A0E" w:rsidRPr="00F832F8">
        <w:rPr>
          <w:sz w:val="20"/>
          <w:szCs w:val="20"/>
        </w:rPr>
        <w:t xml:space="preserve">. </w:t>
      </w:r>
      <w:hyperlink r:id="rId169" w:history="1">
        <w:r w:rsidR="00702A0E" w:rsidRPr="00F832F8">
          <w:rPr>
            <w:rStyle w:val="Hyperlink"/>
            <w:sz w:val="20"/>
            <w:szCs w:val="20"/>
          </w:rPr>
          <w:t>https://doi.org/10.70226/DZPX7792</w:t>
        </w:r>
      </w:hyperlink>
    </w:p>
  </w:footnote>
  <w:footnote w:id="223">
    <w:p w14:paraId="65122C64" w14:textId="08493DD6" w:rsidR="00C21C2D" w:rsidRPr="00F832F8" w:rsidRDefault="00C21C2D"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w:t>
      </w:r>
      <w:r w:rsidR="00702A0E" w:rsidRPr="00F832F8">
        <w:rPr>
          <w:sz w:val="20"/>
          <w:szCs w:val="20"/>
        </w:rPr>
        <w:t>Kothari BH, Godlewski B, McBeath B, McGee M, Waid J, Lipscomb S, Bank L. A longitudinal analysis of school discipline events among youth in foster care. Child Youth Serv Rev. 2018 Oct;93:117-125. doi: 10.1016/j.childyouth.2018.07.017. Epub 2018 Jul 18. PMID: 34135541; PMCID: PMC8204670.</w:t>
      </w:r>
    </w:p>
  </w:footnote>
  <w:footnote w:id="224">
    <w:p w14:paraId="688E30F7" w14:textId="00EF7279" w:rsidR="00C21C2D" w:rsidRPr="00F832F8" w:rsidRDefault="00C21C2D"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w:t>
      </w:r>
      <w:r w:rsidR="00702A0E" w:rsidRPr="00F832F8">
        <w:rPr>
          <w:sz w:val="20"/>
          <w:szCs w:val="20"/>
        </w:rPr>
        <w:t>Wilson BDM, Jordan SP, Meyer IH, Flores AR, Stemple L, Herman JL. Disproportionality and Disparities among Sexual Minority Youth in Custody. J Youth Adolesc. 2017 Jul;46(7):1547-1561. doi: 10.1007/s10964-017-0632-5. Epub 2017 Jan 16. PMID: 28093665; PMCID: PMC5844288.</w:t>
      </w:r>
    </w:p>
  </w:footnote>
  <w:footnote w:id="225">
    <w:p w14:paraId="1AB31657" w14:textId="4E062CA0"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SIECUS. n.d. “Detailed Insights on U.S. Sex Education Policies.” Accessed April 16, 2026. </w:t>
      </w:r>
      <w:hyperlink r:id="rId170" w:tgtFrame="_new" w:history="1">
        <w:r w:rsidRPr="00F832F8">
          <w:rPr>
            <w:rStyle w:val="Hyperlink"/>
            <w:sz w:val="20"/>
            <w:szCs w:val="20"/>
          </w:rPr>
          <w:t>https://siecus.org/siecus-state-profiles/</w:t>
        </w:r>
      </w:hyperlink>
      <w:r w:rsidRPr="00F832F8">
        <w:rPr>
          <w:sz w:val="20"/>
          <w:szCs w:val="20"/>
        </w:rPr>
        <w:t>.</w:t>
      </w:r>
    </w:p>
  </w:footnote>
  <w:footnote w:id="226">
    <w:p w14:paraId="586542BC" w14:textId="6FEEE42B" w:rsidR="00C21C2D" w:rsidRPr="00F832F8" w:rsidRDefault="00C21C2D"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w:t>
      </w:r>
      <w:r w:rsidR="00702A0E" w:rsidRPr="00F832F8">
        <w:rPr>
          <w:sz w:val="20"/>
          <w:szCs w:val="20"/>
        </w:rPr>
        <w:t>Kantor L, Levitz N. Parents' views on sex education in schools: How much do Democrats and Republicans agree? PLoS One. 2017 Jul 3;12(7):e0180250. doi: 10.1371/journal.pone.0180250. PMID: 28672027; PMCID: PMC5495344.</w:t>
      </w:r>
    </w:p>
  </w:footnote>
  <w:footnote w:id="227">
    <w:p w14:paraId="68B35E08" w14:textId="4AABE21A" w:rsidR="00C21C2D" w:rsidRPr="00F832F8" w:rsidRDefault="00C21C2D"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w:t>
      </w:r>
      <w:r w:rsidR="00F832F8" w:rsidRPr="00F832F8">
        <w:rPr>
          <w:sz w:val="20"/>
          <w:szCs w:val="20"/>
        </w:rPr>
        <w:t>Eisenberg ME, Oliphant JA, Plowman S, Forstie M, Sieving RE. Increased Parent Support for Comprehensive Sexuality Education Over 15 Years. J Adolesc Health. 2022 Dec;71(6):744-750. doi: 10.1016/j.jadohealth.2022.08.005. Epub 2022 Oct 8. PMID: 36220687.</w:t>
      </w:r>
    </w:p>
  </w:footnote>
  <w:footnote w:id="228">
    <w:p w14:paraId="636CCAD0" w14:textId="43AA5D95"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Health Policy Commission. 2024. “Massachusetts Ranks 45th in Nation for Severe Maternal Morbidity Rates; HPC Proposes Investment to Address Leading Cause of Pregnancy-Related Illness.” </w:t>
      </w:r>
      <w:hyperlink r:id="rId171" w:tgtFrame="_new" w:history="1">
        <w:r w:rsidRPr="00F832F8">
          <w:rPr>
            <w:rStyle w:val="Hyperlink"/>
            <w:sz w:val="20"/>
            <w:szCs w:val="20"/>
          </w:rPr>
          <w:t>https://masshpc.gov/news/press-release/massachusetts-ranks-45th-nation-severe-maternal-morbidity-rates-hpc-proposes</w:t>
        </w:r>
      </w:hyperlink>
      <w:r w:rsidRPr="00F832F8">
        <w:rPr>
          <w:sz w:val="20"/>
          <w:szCs w:val="20"/>
        </w:rPr>
        <w:t>.</w:t>
      </w:r>
    </w:p>
  </w:footnote>
  <w:footnote w:id="229">
    <w:p w14:paraId="5FAD8B24" w14:textId="09359E1A"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Department of Public Health. 2023. </w:t>
      </w:r>
      <w:r w:rsidRPr="00F832F8">
        <w:rPr>
          <w:i/>
          <w:iCs/>
          <w:sz w:val="20"/>
          <w:szCs w:val="20"/>
        </w:rPr>
        <w:t>Data Brief: An Assessment of Severe Maternal Morbidity in Massachusetts: 2011–2020.</w:t>
      </w:r>
      <w:r w:rsidRPr="00F832F8">
        <w:rPr>
          <w:sz w:val="20"/>
          <w:szCs w:val="20"/>
        </w:rPr>
        <w:t xml:space="preserve"> </w:t>
      </w:r>
      <w:hyperlink r:id="rId172" w:tgtFrame="_new" w:history="1">
        <w:r w:rsidRPr="00F832F8">
          <w:rPr>
            <w:rStyle w:val="Hyperlink"/>
            <w:sz w:val="20"/>
            <w:szCs w:val="20"/>
          </w:rPr>
          <w:t>https://www.mass.gov/doc/an-assessment-of-severe-maternal-morbidity-in-massachusetts-2011-2020/download</w:t>
        </w:r>
      </w:hyperlink>
      <w:r w:rsidRPr="00F832F8">
        <w:rPr>
          <w:sz w:val="20"/>
          <w:szCs w:val="20"/>
        </w:rPr>
        <w:t>.</w:t>
      </w:r>
    </w:p>
  </w:footnote>
  <w:footnote w:id="230">
    <w:p w14:paraId="1FBFCE67" w14:textId="4972A989"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Commonwealth of Massachusetts. n.d. “Maternal Mortality and Morbidity Initiative.” https://www.mass.gov/service-details/maternal-mortality-and-morbidity-initiative.</w:t>
      </w:r>
    </w:p>
  </w:footnote>
  <w:footnote w:id="231">
    <w:p w14:paraId="1C5E1598" w14:textId="5402552F"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Kramer, Michael R., et al. 2019. “Changing the Conversation: Applying a Health Equity Framework to Maternal Mortality Reviews.” </w:t>
      </w:r>
      <w:r w:rsidRPr="00F832F8">
        <w:rPr>
          <w:i/>
          <w:iCs/>
          <w:sz w:val="20"/>
          <w:szCs w:val="20"/>
        </w:rPr>
        <w:t>American Journal of Obstetrics and Gynecology</w:t>
      </w:r>
      <w:r w:rsidRPr="00F832F8">
        <w:rPr>
          <w:sz w:val="20"/>
          <w:szCs w:val="20"/>
        </w:rPr>
        <w:t xml:space="preserve"> 221 (6): 609.e1–609.e9. </w:t>
      </w:r>
      <w:hyperlink r:id="rId173" w:tgtFrame="_new" w:history="1">
        <w:r w:rsidRPr="00F832F8">
          <w:rPr>
            <w:rStyle w:val="Hyperlink"/>
            <w:sz w:val="20"/>
            <w:szCs w:val="20"/>
          </w:rPr>
          <w:t>https://doi.org/10.1016/j.ajog.2019.08.057</w:t>
        </w:r>
      </w:hyperlink>
      <w:r w:rsidRPr="00F832F8">
        <w:rPr>
          <w:sz w:val="20"/>
          <w:szCs w:val="20"/>
        </w:rPr>
        <w:t>.</w:t>
      </w:r>
    </w:p>
  </w:footnote>
  <w:footnote w:id="232">
    <w:p w14:paraId="606F2954" w14:textId="6CD88C64"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Center for Health Justice. n.d. “Polling Spotlight: Understanding the Experiences of LGBTQ+ Birthing People.” Accessed April 6, 2026. </w:t>
      </w:r>
      <w:hyperlink r:id="rId174" w:tgtFrame="_new" w:history="1">
        <w:r w:rsidRPr="00F832F8">
          <w:rPr>
            <w:rStyle w:val="Hyperlink"/>
            <w:sz w:val="20"/>
            <w:szCs w:val="20"/>
          </w:rPr>
          <w:t>https://www.aamchealthjustice.org/news/polling/lgbtq-birth</w:t>
        </w:r>
      </w:hyperlink>
      <w:r w:rsidRPr="00F832F8">
        <w:rPr>
          <w:sz w:val="20"/>
          <w:szCs w:val="20"/>
        </w:rPr>
        <w:t>.</w:t>
      </w:r>
    </w:p>
  </w:footnote>
  <w:footnote w:id="233">
    <w:p w14:paraId="239175CD" w14:textId="6EDF2953"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Altman, M. R., T. van Winkle, B. Ferrell, A. J. Lowik, K. R. S. Soled, L. A. Tarasoff, J. McCulloch, K. Stoll, J. Obedin-Maliver, and S. Vedam. 2025. “Feasibility of a Community-Developed Survey Measuring Experiences of Pregnancy Care for LGBTQ2S+ Families.” </w:t>
      </w:r>
      <w:r w:rsidRPr="00F832F8">
        <w:rPr>
          <w:i/>
          <w:iCs/>
          <w:sz w:val="20"/>
          <w:szCs w:val="20"/>
        </w:rPr>
        <w:t>Birth</w:t>
      </w:r>
      <w:r w:rsidRPr="00F832F8">
        <w:rPr>
          <w:sz w:val="20"/>
          <w:szCs w:val="20"/>
        </w:rPr>
        <w:t xml:space="preserve"> 52 (3): 517–26. https://doi.org/10.1111/birt.12911.</w:t>
      </w:r>
    </w:p>
  </w:footnote>
  <w:footnote w:id="234">
    <w:p w14:paraId="1E60FDBC" w14:textId="3B885EA6"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Patel, Sajal, and Lori B. Sweeney. 2021. “Maternal Health in the Transgender Population.” </w:t>
      </w:r>
      <w:r w:rsidRPr="00F832F8">
        <w:rPr>
          <w:i/>
          <w:iCs/>
          <w:sz w:val="20"/>
          <w:szCs w:val="20"/>
        </w:rPr>
        <w:t>Journal of Women’s Health</w:t>
      </w:r>
      <w:r w:rsidRPr="00F832F8">
        <w:rPr>
          <w:sz w:val="20"/>
          <w:szCs w:val="20"/>
        </w:rPr>
        <w:t xml:space="preserve"> 30 (2): 253–59. </w:t>
      </w:r>
      <w:hyperlink r:id="rId175" w:tgtFrame="_new" w:history="1">
        <w:r w:rsidRPr="00F832F8">
          <w:rPr>
            <w:rStyle w:val="Hyperlink"/>
            <w:sz w:val="20"/>
            <w:szCs w:val="20"/>
          </w:rPr>
          <w:t>https://doi.org/10.1089/jwh.2020.8880</w:t>
        </w:r>
      </w:hyperlink>
      <w:r w:rsidRPr="00F832F8">
        <w:rPr>
          <w:sz w:val="20"/>
          <w:szCs w:val="20"/>
        </w:rPr>
        <w:t>.</w:t>
      </w:r>
    </w:p>
  </w:footnote>
  <w:footnote w:id="235">
    <w:p w14:paraId="09F2DAFC" w14:textId="049B7B1E"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Them. n.d. “LGBTQ+ Doulas Help New Parents Thrive, No Matter How They Identify.” Accessed April 6, 2026. </w:t>
      </w:r>
      <w:hyperlink r:id="rId176" w:tgtFrame="_new" w:history="1">
        <w:r w:rsidRPr="00F832F8">
          <w:rPr>
            <w:rStyle w:val="Hyperlink"/>
            <w:sz w:val="20"/>
            <w:szCs w:val="20"/>
          </w:rPr>
          <w:t>https://www.them.us/story/lgbtq-doulas</w:t>
        </w:r>
      </w:hyperlink>
      <w:r w:rsidRPr="00F832F8">
        <w:rPr>
          <w:sz w:val="20"/>
          <w:szCs w:val="20"/>
        </w:rPr>
        <w:t>.</w:t>
      </w:r>
    </w:p>
  </w:footnote>
  <w:footnote w:id="236">
    <w:p w14:paraId="44C7A62D" w14:textId="583A5088"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Commonwealth of Massachusetts. 2023. “Maternal Access Data Brief.” </w:t>
      </w:r>
      <w:hyperlink r:id="rId177" w:tgtFrame="_new" w:history="1">
        <w:r w:rsidRPr="00F832F8">
          <w:rPr>
            <w:rStyle w:val="Hyperlink"/>
            <w:sz w:val="20"/>
            <w:szCs w:val="20"/>
          </w:rPr>
          <w:t>https://www.mass.gov/info-details/maternal-access-data-brief</w:t>
        </w:r>
      </w:hyperlink>
      <w:r w:rsidRPr="00F832F8">
        <w:rPr>
          <w:sz w:val="20"/>
          <w:szCs w:val="20"/>
        </w:rPr>
        <w:t>.</w:t>
      </w:r>
    </w:p>
  </w:footnote>
  <w:footnote w:id="237">
    <w:p w14:paraId="3A3EE1C4" w14:textId="67BBB469"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Bleichfeld, Avery. 2025. “Zoning Board Approves Roxbury Birth Center Plan.” </w:t>
      </w:r>
      <w:r w:rsidRPr="00F832F8">
        <w:rPr>
          <w:i/>
          <w:iCs/>
          <w:sz w:val="20"/>
          <w:szCs w:val="20"/>
        </w:rPr>
        <w:t>The Bay State Banner.</w:t>
      </w:r>
      <w:r w:rsidRPr="00F832F8">
        <w:rPr>
          <w:sz w:val="20"/>
          <w:szCs w:val="20"/>
        </w:rPr>
        <w:t xml:space="preserve"> </w:t>
      </w:r>
      <w:hyperlink r:id="rId178" w:tgtFrame="_new" w:history="1">
        <w:r w:rsidRPr="00F832F8">
          <w:rPr>
            <w:rStyle w:val="Hyperlink"/>
            <w:sz w:val="20"/>
            <w:szCs w:val="20"/>
          </w:rPr>
          <w:t>https://baystatebanner.com/2025/12/24/zoning-board-approves-roxbury-birth-center-plan/</w:t>
        </w:r>
      </w:hyperlink>
      <w:r w:rsidRPr="00F832F8">
        <w:rPr>
          <w:sz w:val="20"/>
          <w:szCs w:val="20"/>
        </w:rPr>
        <w:t>.</w:t>
      </w:r>
    </w:p>
  </w:footnote>
  <w:footnote w:id="238">
    <w:p w14:paraId="1967F8BE" w14:textId="3ED09627"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Snyder, Barbara K., Gail D. Burack, and Anna Petrova. 2017. “LGBTQ Youth’s Perceptions of Primary Care.” </w:t>
      </w:r>
      <w:r w:rsidRPr="00F832F8">
        <w:rPr>
          <w:i/>
          <w:iCs/>
          <w:sz w:val="20"/>
          <w:szCs w:val="20"/>
        </w:rPr>
        <w:t>Clinical Pediatrics</w:t>
      </w:r>
      <w:r w:rsidRPr="00F832F8">
        <w:rPr>
          <w:sz w:val="20"/>
          <w:szCs w:val="20"/>
        </w:rPr>
        <w:t xml:space="preserve"> 56 (5): 443–50. </w:t>
      </w:r>
      <w:hyperlink r:id="rId179" w:tgtFrame="_new" w:history="1">
        <w:r w:rsidRPr="00F832F8">
          <w:rPr>
            <w:rStyle w:val="Hyperlink"/>
            <w:sz w:val="20"/>
            <w:szCs w:val="20"/>
          </w:rPr>
          <w:t>https://doi.org/10.1177/0009922816673306</w:t>
        </w:r>
      </w:hyperlink>
      <w:r w:rsidRPr="00F832F8">
        <w:rPr>
          <w:sz w:val="20"/>
          <w:szCs w:val="20"/>
        </w:rPr>
        <w:t>.</w:t>
      </w:r>
    </w:p>
  </w:footnote>
  <w:footnote w:id="239">
    <w:p w14:paraId="44BE5103" w14:textId="232F1950"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Mehringer, Jamie, and Nadia L. Dowshen. 2019. “Sexual and Reproductive Health Considerations among Transgender and Gender-Expansive Youth.” </w:t>
      </w:r>
      <w:r w:rsidRPr="00F832F8">
        <w:rPr>
          <w:i/>
          <w:iCs/>
          <w:sz w:val="20"/>
          <w:szCs w:val="20"/>
        </w:rPr>
        <w:t>Current Problems in Pediatric and Adolescent Health Care</w:t>
      </w:r>
      <w:r w:rsidRPr="00F832F8">
        <w:rPr>
          <w:sz w:val="20"/>
          <w:szCs w:val="20"/>
        </w:rPr>
        <w:t xml:space="preserve"> 49 (9): 100684. </w:t>
      </w:r>
      <w:hyperlink r:id="rId180" w:tgtFrame="_new" w:history="1">
        <w:r w:rsidRPr="00F832F8">
          <w:rPr>
            <w:rStyle w:val="Hyperlink"/>
            <w:sz w:val="20"/>
            <w:szCs w:val="20"/>
          </w:rPr>
          <w:t>https://doi.org/10.1016/j.cppeds.2019.100684</w:t>
        </w:r>
      </w:hyperlink>
      <w:r w:rsidRPr="00F832F8">
        <w:rPr>
          <w:sz w:val="20"/>
          <w:szCs w:val="20"/>
        </w:rPr>
        <w:t>.</w:t>
      </w:r>
    </w:p>
  </w:footnote>
  <w:footnote w:id="240">
    <w:p w14:paraId="5436BE93" w14:textId="65B2B138"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Boudreau, Danielle, and Ronica Mukerjee. 2019. “Contraception Care for Transmasculine Individuals on Testosterone Therapy.” </w:t>
      </w:r>
      <w:r w:rsidRPr="00F832F8">
        <w:rPr>
          <w:i/>
          <w:iCs/>
          <w:sz w:val="20"/>
          <w:szCs w:val="20"/>
        </w:rPr>
        <w:t>Journal of Midwifery &amp; Women’s Health</w:t>
      </w:r>
      <w:r w:rsidRPr="00F832F8">
        <w:rPr>
          <w:sz w:val="20"/>
          <w:szCs w:val="20"/>
        </w:rPr>
        <w:t xml:space="preserve"> 64 (4): 395–402. </w:t>
      </w:r>
      <w:hyperlink r:id="rId181" w:tgtFrame="_new" w:history="1">
        <w:r w:rsidRPr="00F832F8">
          <w:rPr>
            <w:rStyle w:val="Hyperlink"/>
            <w:sz w:val="20"/>
            <w:szCs w:val="20"/>
          </w:rPr>
          <w:t>https://doi.org/10.1111/jmwh.12962</w:t>
        </w:r>
      </w:hyperlink>
      <w:r w:rsidRPr="00F832F8">
        <w:rPr>
          <w:sz w:val="20"/>
          <w:szCs w:val="20"/>
        </w:rPr>
        <w:t>.</w:t>
      </w:r>
    </w:p>
  </w:footnote>
  <w:footnote w:id="241">
    <w:p w14:paraId="5339E91D" w14:textId="4E21DB27"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Carpenter, Elizabeth, Bethany G. Everett, Margaret Z. Greene, Sadia Haider, Christine E. Hendrick, and Jenny A. Higgins. 2020. “Pregnancy (Im)possibilities: Identifying Factors That Influence Sexual Minority Women’s Pregnancy Desires.” </w:t>
      </w:r>
      <w:r w:rsidRPr="00F832F8">
        <w:rPr>
          <w:i/>
          <w:iCs/>
          <w:sz w:val="20"/>
          <w:szCs w:val="20"/>
        </w:rPr>
        <w:t>Social Work in Health Care</w:t>
      </w:r>
      <w:r w:rsidRPr="00F832F8">
        <w:rPr>
          <w:sz w:val="20"/>
          <w:szCs w:val="20"/>
        </w:rPr>
        <w:t xml:space="preserve"> 59 (3): 180–98. https://doi.org/10.1080/00981389.2020.1737304.</w:t>
      </w:r>
    </w:p>
  </w:footnote>
  <w:footnote w:id="242">
    <w:p w14:paraId="6FB0E3F6" w14:textId="6CE8FAC1"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National Library of Medicine. 2022. “Female Condoms.” </w:t>
      </w:r>
      <w:hyperlink r:id="rId182" w:tgtFrame="_new" w:history="1">
        <w:r w:rsidRPr="00F832F8">
          <w:rPr>
            <w:rStyle w:val="Hyperlink"/>
            <w:sz w:val="20"/>
            <w:szCs w:val="20"/>
          </w:rPr>
          <w:t>https://medlineplus.gov/ency/article/004002.htm</w:t>
        </w:r>
      </w:hyperlink>
      <w:r w:rsidRPr="00F832F8">
        <w:rPr>
          <w:sz w:val="20"/>
          <w:szCs w:val="20"/>
        </w:rPr>
        <w:t xml:space="preserve">.; Planned Parenthood. “How effective are condoms?” </w:t>
      </w:r>
      <w:hyperlink r:id="rId183">
        <w:r w:rsidRPr="00F832F8">
          <w:rPr>
            <w:rStyle w:val="Hyperlink"/>
            <w:sz w:val="20"/>
            <w:szCs w:val="20"/>
          </w:rPr>
          <w:t>https://www.plannedparenthood.org/learn/birth-control/condom/how-</w:t>
        </w:r>
      </w:hyperlink>
      <w:r w:rsidRPr="00F832F8">
        <w:rPr>
          <w:sz w:val="20"/>
          <w:szCs w:val="20"/>
        </w:rPr>
        <w:t xml:space="preserve"> effective-are-condoms.</w:t>
      </w:r>
    </w:p>
  </w:footnote>
  <w:footnote w:id="243">
    <w:p w14:paraId="702639D1" w14:textId="03328A19"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Kanj, Rula V., et al. 2019. “Hormonal Contraceptive Choices in a Clinic-Based Series of Transgender Adolescents and Young Adults.” </w:t>
      </w:r>
      <w:r w:rsidRPr="00F832F8">
        <w:rPr>
          <w:i/>
          <w:iCs/>
          <w:sz w:val="20"/>
          <w:szCs w:val="20"/>
        </w:rPr>
        <w:t>International Journal of Transgenderism</w:t>
      </w:r>
      <w:r w:rsidRPr="00F832F8">
        <w:rPr>
          <w:sz w:val="20"/>
          <w:szCs w:val="20"/>
        </w:rPr>
        <w:t xml:space="preserve"> 20 (4): 413–20. </w:t>
      </w:r>
      <w:hyperlink r:id="rId184" w:tgtFrame="_new" w:history="1">
        <w:r w:rsidRPr="00F832F8">
          <w:rPr>
            <w:rStyle w:val="Hyperlink"/>
            <w:sz w:val="20"/>
            <w:szCs w:val="20"/>
          </w:rPr>
          <w:t>https://doi.org/10.1080/15532739.2019.1631929</w:t>
        </w:r>
      </w:hyperlink>
      <w:r w:rsidRPr="00F832F8">
        <w:rPr>
          <w:sz w:val="20"/>
          <w:szCs w:val="20"/>
        </w:rPr>
        <w:t>.</w:t>
      </w:r>
    </w:p>
  </w:footnote>
  <w:footnote w:id="244">
    <w:p w14:paraId="05850509" w14:textId="16FCA002"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Francis, A., S. Jasani, and G. Bachmann. 2018. “Contraceptive Challenges and the Transgender Individual.” </w:t>
      </w:r>
      <w:r w:rsidRPr="00F832F8">
        <w:rPr>
          <w:i/>
          <w:iCs/>
          <w:sz w:val="20"/>
          <w:szCs w:val="20"/>
        </w:rPr>
        <w:t>Women’s Midlife Health</w:t>
      </w:r>
      <w:r w:rsidRPr="00F832F8">
        <w:rPr>
          <w:sz w:val="20"/>
          <w:szCs w:val="20"/>
        </w:rPr>
        <w:t xml:space="preserve"> 4: 12. </w:t>
      </w:r>
      <w:hyperlink r:id="rId185" w:tgtFrame="_new" w:history="1">
        <w:r w:rsidRPr="00F832F8">
          <w:rPr>
            <w:rStyle w:val="Hyperlink"/>
            <w:sz w:val="20"/>
            <w:szCs w:val="20"/>
          </w:rPr>
          <w:t>https://doi.org/10.1186/s40695-018-0042-1</w:t>
        </w:r>
      </w:hyperlink>
    </w:p>
  </w:footnote>
  <w:footnote w:id="245">
    <w:p w14:paraId="5B1ED25B" w14:textId="496BBB59"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Brown, Taylor N. T., Adam P. Romero, and Gary J. Gates. n.d. </w:t>
      </w:r>
      <w:r w:rsidRPr="00F832F8">
        <w:rPr>
          <w:i/>
          <w:iCs/>
          <w:sz w:val="20"/>
          <w:szCs w:val="20"/>
        </w:rPr>
        <w:t>Food Insecurity and SNAP Participation in the LGBT Community.</w:t>
      </w:r>
    </w:p>
  </w:footnote>
  <w:footnote w:id="246">
    <w:p w14:paraId="4878CDB7" w14:textId="2210B18D"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Illinois Senate Democratic Caucus. 2021. “Menstrual Hygiene Products Can Be Purchased with SNAP and WIC Benefits under Villa Law.” </w:t>
      </w:r>
      <w:hyperlink r:id="rId186" w:tgtFrame="_new" w:history="1">
        <w:r w:rsidRPr="00F832F8">
          <w:rPr>
            <w:rStyle w:val="Hyperlink"/>
            <w:sz w:val="20"/>
            <w:szCs w:val="20"/>
          </w:rPr>
          <w:t>https://www.illinoissenatedemocrats.com/caucus-news/72-senator-karina-villa-news/2886-menstrual-hygiene-products-can-be-purchased-with-snap-and-wic-benefits-under-villa-law</w:t>
        </w:r>
      </w:hyperlink>
      <w:r w:rsidRPr="00F832F8">
        <w:rPr>
          <w:sz w:val="20"/>
          <w:szCs w:val="20"/>
        </w:rPr>
        <w:t>.</w:t>
      </w:r>
    </w:p>
  </w:footnote>
  <w:footnote w:id="247">
    <w:p w14:paraId="5D78CB75" w14:textId="764B0779"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Charlton, Brittany, et al. 2021. “Teen Pregnancy Risk Factors among Young Women of Diverse Sexual Orientations.” In </w:t>
      </w:r>
      <w:r w:rsidRPr="00F832F8">
        <w:rPr>
          <w:i/>
          <w:iCs/>
          <w:sz w:val="20"/>
          <w:szCs w:val="20"/>
        </w:rPr>
        <w:t>Pediatric Collections: LGBTQ+: Support and Care, Part 2: Health Concerns and Disparities.</w:t>
      </w:r>
      <w:r w:rsidRPr="00F832F8">
        <w:rPr>
          <w:sz w:val="20"/>
          <w:szCs w:val="20"/>
        </w:rPr>
        <w:t xml:space="preserve"> American Academy of Pediatrics. </w:t>
      </w:r>
      <w:hyperlink r:id="rId187" w:tgtFrame="_new" w:history="1">
        <w:r w:rsidRPr="00F832F8">
          <w:rPr>
            <w:rStyle w:val="Hyperlink"/>
            <w:sz w:val="20"/>
            <w:szCs w:val="20"/>
          </w:rPr>
          <w:t>https://doi.org/10.1542/9781610025409-teen</w:t>
        </w:r>
      </w:hyperlink>
      <w:r w:rsidRPr="00F832F8">
        <w:rPr>
          <w:sz w:val="20"/>
          <w:szCs w:val="20"/>
        </w:rPr>
        <w:t>.</w:t>
      </w:r>
    </w:p>
  </w:footnote>
  <w:footnote w:id="248">
    <w:p w14:paraId="7E222982" w14:textId="5694B3CE"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Centers for Disease Control and Prevention. 2021. “About Teen Pregnancy.” </w:t>
      </w:r>
      <w:hyperlink r:id="rId188" w:tgtFrame="_new" w:history="1">
        <w:r w:rsidRPr="00F832F8">
          <w:rPr>
            <w:rStyle w:val="Hyperlink"/>
            <w:sz w:val="20"/>
            <w:szCs w:val="20"/>
          </w:rPr>
          <w:t>https://www.cdc.gov/teenpregnancy/about/index.htm</w:t>
        </w:r>
      </w:hyperlink>
      <w:r w:rsidRPr="00F832F8">
        <w:rPr>
          <w:sz w:val="20"/>
          <w:szCs w:val="20"/>
        </w:rPr>
        <w:t xml:space="preserve">.; Thompson, Sanna, et al. 2008. “Runaway and Pregnant: Risk Factors Associated with Pregnancy in a National Sample of Runaway/Homeless Female Adolescents.” </w:t>
      </w:r>
      <w:r w:rsidRPr="00F832F8">
        <w:rPr>
          <w:i/>
          <w:iCs/>
          <w:sz w:val="20"/>
          <w:szCs w:val="20"/>
        </w:rPr>
        <w:t>Journal of Adolescent Health</w:t>
      </w:r>
      <w:r w:rsidRPr="00F832F8">
        <w:rPr>
          <w:sz w:val="20"/>
          <w:szCs w:val="20"/>
        </w:rPr>
        <w:t xml:space="preserve"> 43 (2): 125–32. </w:t>
      </w:r>
      <w:hyperlink r:id="rId189" w:tgtFrame="_new" w:history="1">
        <w:r w:rsidRPr="00F832F8">
          <w:rPr>
            <w:rStyle w:val="Hyperlink"/>
            <w:sz w:val="20"/>
            <w:szCs w:val="20"/>
          </w:rPr>
          <w:t>https://www.ncbi.nlm.nih.gov/pmc/articles/PMC2742657</w:t>
        </w:r>
      </w:hyperlink>
      <w:r w:rsidRPr="00F832F8">
        <w:rPr>
          <w:sz w:val="20"/>
          <w:szCs w:val="20"/>
        </w:rPr>
        <w:t xml:space="preserve">/.; Center for Youth and Adults with Conditions of Childhood, Indiana School of Medicine. n.d. “Teenage Pregnancy and Youth with Intellectual Disabilities.” </w:t>
      </w:r>
      <w:hyperlink r:id="rId190" w:tgtFrame="_new" w:history="1">
        <w:r w:rsidRPr="00F832F8">
          <w:rPr>
            <w:rStyle w:val="Hyperlink"/>
            <w:sz w:val="20"/>
            <w:szCs w:val="20"/>
          </w:rPr>
          <w:t>https://instrc.indiana.edu/pdf/resources/Fact_Sheet_Teen_Pregnancy_with_Disability.pdf</w:t>
        </w:r>
      </w:hyperlink>
      <w:r w:rsidRPr="00F832F8">
        <w:rPr>
          <w:sz w:val="20"/>
          <w:szCs w:val="20"/>
        </w:rPr>
        <w:t>.</w:t>
      </w:r>
    </w:p>
  </w:footnote>
  <w:footnote w:id="249">
    <w:p w14:paraId="7F9F508A" w14:textId="14CDCF2E"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Charlton, Brittany, et al. 2019. “Sexual Orientation Differences in Pregnancy and Abortion across the Lifecourse.” </w:t>
      </w:r>
      <w:r w:rsidRPr="00F832F8">
        <w:rPr>
          <w:i/>
          <w:iCs/>
          <w:sz w:val="20"/>
          <w:szCs w:val="20"/>
        </w:rPr>
        <w:t>Guttmacher Institute.</w:t>
      </w:r>
      <w:r w:rsidRPr="00F832F8">
        <w:rPr>
          <w:sz w:val="20"/>
          <w:szCs w:val="20"/>
        </w:rPr>
        <w:t xml:space="preserve"> </w:t>
      </w:r>
      <w:hyperlink r:id="rId191" w:tgtFrame="_new" w:history="1">
        <w:r w:rsidRPr="00F832F8">
          <w:rPr>
            <w:rStyle w:val="Hyperlink"/>
            <w:sz w:val="20"/>
            <w:szCs w:val="20"/>
          </w:rPr>
          <w:t>https://www.guttmacher.org/article/2019/12/sexual-orientation-differences-pregnancy-and-abortion-across-lifecourse</w:t>
        </w:r>
      </w:hyperlink>
      <w:r w:rsidRPr="00F832F8">
        <w:rPr>
          <w:sz w:val="20"/>
          <w:szCs w:val="20"/>
        </w:rPr>
        <w:t>.</w:t>
      </w:r>
    </w:p>
  </w:footnote>
  <w:footnote w:id="250">
    <w:p w14:paraId="2E10095A" w14:textId="10F57383"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Charlton, Brittany, et al.</w:t>
      </w:r>
    </w:p>
  </w:footnote>
  <w:footnote w:id="251">
    <w:p w14:paraId="79EDA85D" w14:textId="6B22E5ED"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Moseson, Heidi, et al. 2020. “Abortion Experiences and Preferences of Transgender, Nonbinary, and Gender-Expansive People in the United States.” </w:t>
      </w:r>
      <w:r w:rsidRPr="00F832F8">
        <w:rPr>
          <w:i/>
          <w:iCs/>
          <w:sz w:val="20"/>
          <w:szCs w:val="20"/>
        </w:rPr>
        <w:t>American Journal of Obstetrics &amp; Gynecology</w:t>
      </w:r>
      <w:r w:rsidRPr="00F832F8">
        <w:rPr>
          <w:sz w:val="20"/>
          <w:szCs w:val="20"/>
        </w:rPr>
        <w:t xml:space="preserve"> 224 (4): 376.e1–376.e11. </w:t>
      </w:r>
      <w:hyperlink r:id="rId192" w:tgtFrame="_new" w:history="1">
        <w:r w:rsidRPr="00F832F8">
          <w:rPr>
            <w:rStyle w:val="Hyperlink"/>
            <w:sz w:val="20"/>
            <w:szCs w:val="20"/>
          </w:rPr>
          <w:t>https://doi.org/10.1016/j.ajog.2020.09.035</w:t>
        </w:r>
      </w:hyperlink>
      <w:r w:rsidRPr="00F832F8">
        <w:rPr>
          <w:sz w:val="20"/>
          <w:szCs w:val="20"/>
        </w:rPr>
        <w:t>.</w:t>
      </w:r>
    </w:p>
  </w:footnote>
  <w:footnote w:id="252">
    <w:p w14:paraId="2D60EC86" w14:textId="67B296DB"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U.S. Environmental Protection Agency, Office of Environmental Justice and External Civil Rights. 2015. “Environmental Justice Timeline.” </w:t>
      </w:r>
      <w:hyperlink r:id="rId193" w:tgtFrame="_new" w:history="1">
        <w:r w:rsidRPr="00F832F8">
          <w:rPr>
            <w:rStyle w:val="Hyperlink"/>
            <w:sz w:val="20"/>
            <w:szCs w:val="20"/>
          </w:rPr>
          <w:t>https://www.epa.gov/environmentaljustice/environmental-justice-timeline</w:t>
        </w:r>
      </w:hyperlink>
      <w:r w:rsidRPr="00F832F8">
        <w:rPr>
          <w:sz w:val="20"/>
          <w:szCs w:val="20"/>
        </w:rPr>
        <w:t>.</w:t>
      </w:r>
    </w:p>
  </w:footnote>
  <w:footnote w:id="253">
    <w:p w14:paraId="7A5EAA84" w14:textId="2B0018C7"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Commonwealth of Massachusetts. n.d. “Environmental Justice Policy.” https://www.mass.gov/service-details/environmental-justice-policy.</w:t>
      </w:r>
    </w:p>
  </w:footnote>
  <w:footnote w:id="254">
    <w:p w14:paraId="1CC081FE" w14:textId="096F7313"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Commonwealth of Massachusetts. n.d. “Objectives of Environmental Justice.” https://www.mass.gov/service-details/objectives-of-environmental-justice.</w:t>
      </w:r>
    </w:p>
  </w:footnote>
  <w:footnote w:id="255">
    <w:p w14:paraId="2047A074" w14:textId="13959134"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Collins, Timothy W., Sara E. Grineski, and Danielle X. Morales. 2022. “We Need Environmental Health Justice Research and Action for LGBTQ+ People.” </w:t>
      </w:r>
      <w:r w:rsidRPr="00F832F8">
        <w:rPr>
          <w:i/>
          <w:iCs/>
          <w:sz w:val="20"/>
          <w:szCs w:val="20"/>
        </w:rPr>
        <w:t>American Journal of Public Health</w:t>
      </w:r>
      <w:r w:rsidRPr="00F832F8">
        <w:rPr>
          <w:sz w:val="20"/>
          <w:szCs w:val="20"/>
        </w:rPr>
        <w:t xml:space="preserve"> 112 (1): 54–56. </w:t>
      </w:r>
      <w:hyperlink r:id="rId194" w:tgtFrame="_new" w:history="1">
        <w:r w:rsidRPr="00F832F8">
          <w:rPr>
            <w:rStyle w:val="Hyperlink"/>
            <w:sz w:val="20"/>
            <w:szCs w:val="20"/>
          </w:rPr>
          <w:t>https://doi.org/10.2105/AJPH.2021.306477</w:t>
        </w:r>
      </w:hyperlink>
      <w:r w:rsidRPr="00F832F8">
        <w:rPr>
          <w:sz w:val="20"/>
          <w:szCs w:val="20"/>
        </w:rPr>
        <w:t>.</w:t>
      </w:r>
    </w:p>
  </w:footnote>
  <w:footnote w:id="256">
    <w:p w14:paraId="76E337F0" w14:textId="31F3650C"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The Trevor Project. 2024. “Climate Change Concerns, Climate Change Risk, and Mental Health among LGBTQ+ Young People.” </w:t>
      </w:r>
      <w:hyperlink r:id="rId195" w:tgtFrame="_new" w:history="1">
        <w:r w:rsidRPr="00F832F8">
          <w:rPr>
            <w:rStyle w:val="Hyperlink"/>
            <w:sz w:val="20"/>
            <w:szCs w:val="20"/>
          </w:rPr>
          <w:t>https://www.thetrevorproject.org/research-briefs/climate-change-concerns-climate-change-risk-and-mental-health-among-lgbtq-young-people/</w:t>
        </w:r>
      </w:hyperlink>
      <w:r w:rsidRPr="00F832F8">
        <w:rPr>
          <w:sz w:val="20"/>
          <w:szCs w:val="20"/>
        </w:rPr>
        <w:t>.</w:t>
      </w:r>
    </w:p>
  </w:footnote>
  <w:footnote w:id="257">
    <w:p w14:paraId="05E5DC11" w14:textId="4C5B4A90"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Goldsmith, Leo, and Michelle L. Bell. 2022. “Queering Environmental Justice: Unequal Environmental Health Burden on the LGBTQ+ Community.” </w:t>
      </w:r>
      <w:r w:rsidRPr="00F832F8">
        <w:rPr>
          <w:i/>
          <w:iCs/>
          <w:sz w:val="20"/>
          <w:szCs w:val="20"/>
        </w:rPr>
        <w:t>American Journal of Public Health</w:t>
      </w:r>
      <w:r w:rsidRPr="00F832F8">
        <w:rPr>
          <w:sz w:val="20"/>
          <w:szCs w:val="20"/>
        </w:rPr>
        <w:t xml:space="preserve"> 112 (1): 79–87. </w:t>
      </w:r>
      <w:hyperlink r:id="rId196" w:tgtFrame="_new" w:history="1">
        <w:r w:rsidRPr="00F832F8">
          <w:rPr>
            <w:rStyle w:val="Hyperlink"/>
            <w:sz w:val="20"/>
            <w:szCs w:val="20"/>
          </w:rPr>
          <w:t>https://doi.org/10.2105/AJPH.2021.306406</w:t>
        </w:r>
      </w:hyperlink>
      <w:r w:rsidRPr="00F832F8">
        <w:rPr>
          <w:sz w:val="20"/>
          <w:szCs w:val="20"/>
        </w:rPr>
        <w:t>.</w:t>
      </w:r>
    </w:p>
  </w:footnote>
  <w:footnote w:id="258">
    <w:p w14:paraId="5E381E9D" w14:textId="660FE1A0"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Department of Public Health, Bureau of Community Health and Prevention. n.d. “CHEI Dashboard.” Accessed April 15, 2026. </w:t>
      </w:r>
      <w:hyperlink r:id="rId197" w:tgtFrame="_new" w:history="1">
        <w:r w:rsidRPr="00F832F8">
          <w:rPr>
            <w:rStyle w:val="Hyperlink"/>
            <w:sz w:val="20"/>
            <w:szCs w:val="20"/>
          </w:rPr>
          <w:t>https://www.mass.gov/info-details/community-health-equity-initiative-data-dashboard</w:t>
        </w:r>
      </w:hyperlink>
      <w:r w:rsidRPr="00F832F8">
        <w:rPr>
          <w:sz w:val="20"/>
          <w:szCs w:val="20"/>
        </w:rPr>
        <w:t>.</w:t>
      </w:r>
    </w:p>
  </w:footnote>
  <w:footnote w:id="259">
    <w:p w14:paraId="29FB4DD8" w14:textId="23018FB0"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Collins, Timothy W., Sara E. Grineski, and Danielle X. Morales.</w:t>
      </w:r>
    </w:p>
  </w:footnote>
  <w:footnote w:id="260">
    <w:p w14:paraId="28E62505" w14:textId="44A9ABFA"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Toxics Are a Drag: June 2021 Uptown Chats, 2021, </w:t>
      </w:r>
      <w:hyperlink r:id="rId198">
        <w:proofErr w:type="spellStart"/>
        <w:r w:rsidR="0013484E" w:rsidRPr="00F832F8">
          <w:rPr>
            <w:rStyle w:val="Hyperlink"/>
            <w:sz w:val="20"/>
            <w:szCs w:val="20"/>
          </w:rPr>
          <w:t>Youtube</w:t>
        </w:r>
        <w:proofErr w:type="spellEnd"/>
        <w:r w:rsidR="0013484E" w:rsidRPr="00F832F8">
          <w:rPr>
            <w:rStyle w:val="Hyperlink"/>
            <w:sz w:val="20"/>
            <w:szCs w:val="20"/>
          </w:rPr>
          <w:t xml:space="preserve"> link.</w:t>
        </w:r>
      </w:hyperlink>
      <w:r w:rsidRPr="00F832F8">
        <w:rPr>
          <w:sz w:val="20"/>
          <w:szCs w:val="20"/>
        </w:rPr>
        <w:t>.</w:t>
      </w:r>
    </w:p>
  </w:footnote>
  <w:footnote w:id="261">
    <w:p w14:paraId="20270A95" w14:textId="4D58D1C6"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Associated Press. 2021. “Study: Half of US Cosmetics Contain Toxic Chemicals.” </w:t>
      </w:r>
      <w:hyperlink r:id="rId199" w:tgtFrame="_new" w:history="1">
        <w:r w:rsidRPr="00F832F8">
          <w:rPr>
            <w:rStyle w:val="Hyperlink"/>
            <w:sz w:val="20"/>
            <w:szCs w:val="20"/>
          </w:rPr>
          <w:t>https://apnews.com/article/canada-science-health-business-government-and-politics-769d9740a0ddc8a4fe72619885511a23</w:t>
        </w:r>
      </w:hyperlink>
      <w:r w:rsidRPr="00F832F8">
        <w:rPr>
          <w:sz w:val="20"/>
          <w:szCs w:val="20"/>
        </w:rPr>
        <w:t>.</w:t>
      </w:r>
    </w:p>
  </w:footnote>
  <w:footnote w:id="262">
    <w:p w14:paraId="14CDC0D6" w14:textId="5B6B6CF2"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Friedman, Alexa, and David Andrews. 2026. “FDA Reports over 50 PFAS Ingredients Intentionally Added to 1,700 Personal Care Products.” </w:t>
      </w:r>
      <w:r w:rsidRPr="00F832F8">
        <w:rPr>
          <w:i/>
          <w:iCs/>
          <w:sz w:val="20"/>
          <w:szCs w:val="20"/>
        </w:rPr>
        <w:t>EWG.</w:t>
      </w:r>
      <w:r w:rsidRPr="00F832F8">
        <w:rPr>
          <w:sz w:val="20"/>
          <w:szCs w:val="20"/>
        </w:rPr>
        <w:t xml:space="preserve"> </w:t>
      </w:r>
      <w:hyperlink r:id="rId200" w:tgtFrame="_new" w:history="1">
        <w:r w:rsidRPr="00F832F8">
          <w:rPr>
            <w:rStyle w:val="Hyperlink"/>
            <w:sz w:val="20"/>
            <w:szCs w:val="20"/>
          </w:rPr>
          <w:t>https://www.ewg.org/news-insights/news/2026/01/fda-reports-over-50-pfas-ingredients-intentionally-added-1700-personal</w:t>
        </w:r>
      </w:hyperlink>
      <w:r w:rsidRPr="00F832F8">
        <w:rPr>
          <w:sz w:val="20"/>
          <w:szCs w:val="20"/>
        </w:rPr>
        <w:t>.</w:t>
      </w:r>
    </w:p>
  </w:footnote>
  <w:footnote w:id="263">
    <w:p w14:paraId="346B88E4" w14:textId="3873000D"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McDonald, Jasmine A., et al. 2022. “The Environmental Injustice of Beauty Products: Toward Clean and Equitable Beauty.” </w:t>
      </w:r>
      <w:r w:rsidRPr="00F832F8">
        <w:rPr>
          <w:i/>
          <w:iCs/>
          <w:sz w:val="20"/>
          <w:szCs w:val="20"/>
        </w:rPr>
        <w:t>American Journal of Public Health</w:t>
      </w:r>
      <w:r w:rsidRPr="00F832F8">
        <w:rPr>
          <w:sz w:val="20"/>
          <w:szCs w:val="20"/>
        </w:rPr>
        <w:t xml:space="preserve"> 112 (1): 50–53. </w:t>
      </w:r>
      <w:hyperlink r:id="rId201" w:tgtFrame="_new" w:history="1">
        <w:r w:rsidRPr="00F832F8">
          <w:rPr>
            <w:rStyle w:val="Hyperlink"/>
            <w:sz w:val="20"/>
            <w:szCs w:val="20"/>
          </w:rPr>
          <w:t>https://doi.org/10.2105/AJPH.2021.306606</w:t>
        </w:r>
      </w:hyperlink>
      <w:r w:rsidRPr="00F832F8">
        <w:rPr>
          <w:sz w:val="20"/>
          <w:szCs w:val="20"/>
        </w:rPr>
        <w:t>.</w:t>
      </w:r>
    </w:p>
  </w:footnote>
  <w:footnote w:id="264">
    <w:p w14:paraId="1C6F60AE" w14:textId="5FC4D4CD"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Toxics Are a Drag: June 2021 Uptown Chats, 2021, </w:t>
      </w:r>
      <w:hyperlink r:id="rId202">
        <w:proofErr w:type="spellStart"/>
        <w:r w:rsidR="0013484E" w:rsidRPr="00F832F8">
          <w:rPr>
            <w:rStyle w:val="Hyperlink"/>
            <w:sz w:val="20"/>
            <w:szCs w:val="20"/>
          </w:rPr>
          <w:t>Youtube</w:t>
        </w:r>
        <w:proofErr w:type="spellEnd"/>
        <w:r w:rsidR="0013484E" w:rsidRPr="00F832F8">
          <w:rPr>
            <w:rStyle w:val="Hyperlink"/>
            <w:sz w:val="20"/>
            <w:szCs w:val="20"/>
          </w:rPr>
          <w:t xml:space="preserve"> link.</w:t>
        </w:r>
      </w:hyperlink>
      <w:r w:rsidRPr="00F832F8">
        <w:rPr>
          <w:sz w:val="20"/>
          <w:szCs w:val="20"/>
        </w:rPr>
        <w:t>.</w:t>
      </w:r>
    </w:p>
  </w:footnote>
  <w:footnote w:id="265">
    <w:p w14:paraId="77DCC27B" w14:textId="5AD92043"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Breast Cancer Prevention Partners. n.d. “Safer Beauty &amp; Cosmetics State Laws.” Accessed April 6, 2026. </w:t>
      </w:r>
      <w:hyperlink r:id="rId203" w:tgtFrame="_new" w:history="1">
        <w:r w:rsidRPr="00F832F8">
          <w:rPr>
            <w:rStyle w:val="Hyperlink"/>
            <w:sz w:val="20"/>
            <w:szCs w:val="20"/>
          </w:rPr>
          <w:t>https://www.bcpp.org/resource/safer-beauty-and-cosmetics-state-laws/</w:t>
        </w:r>
      </w:hyperlink>
      <w:r w:rsidRPr="00F832F8">
        <w:rPr>
          <w:sz w:val="20"/>
          <w:szCs w:val="20"/>
        </w:rPr>
        <w:t>.</w:t>
      </w:r>
    </w:p>
  </w:footnote>
  <w:footnote w:id="266">
    <w:p w14:paraId="6B1DEFA1" w14:textId="388CE408"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Goldsmith, Leo, Vanessa Raditz, and Michael Méndez. 2022. “Queer and Present Danger: Understanding the Disparate Impacts of Disasters on LGBTQ+ Communities.” </w:t>
      </w:r>
      <w:r w:rsidRPr="00F832F8">
        <w:rPr>
          <w:i/>
          <w:iCs/>
          <w:sz w:val="20"/>
          <w:szCs w:val="20"/>
        </w:rPr>
        <w:t>Disasters</w:t>
      </w:r>
      <w:r w:rsidRPr="00F832F8">
        <w:rPr>
          <w:sz w:val="20"/>
          <w:szCs w:val="20"/>
        </w:rPr>
        <w:t xml:space="preserve"> 46 (4): 946–73. </w:t>
      </w:r>
      <w:hyperlink r:id="rId204" w:tgtFrame="_new" w:history="1">
        <w:r w:rsidRPr="00F832F8">
          <w:rPr>
            <w:rStyle w:val="Hyperlink"/>
            <w:sz w:val="20"/>
            <w:szCs w:val="20"/>
          </w:rPr>
          <w:t>https://doi.org/10.1111/disa.12509</w:t>
        </w:r>
      </w:hyperlink>
      <w:r w:rsidRPr="00F832F8">
        <w:rPr>
          <w:sz w:val="20"/>
          <w:szCs w:val="20"/>
        </w:rPr>
        <w:t xml:space="preserve">.; Dominey-Howes, Dale, Andrew Gorman-Murray, and Scott McKinnon. 2014. “Queering Disasters: On the Need to Account for LGBTI Experiences in Natural Disaster Contexts.” </w:t>
      </w:r>
      <w:r w:rsidRPr="00F832F8">
        <w:rPr>
          <w:i/>
          <w:iCs/>
          <w:sz w:val="20"/>
          <w:szCs w:val="20"/>
        </w:rPr>
        <w:t>Gender, Place &amp; Culture</w:t>
      </w:r>
      <w:r w:rsidRPr="00F832F8">
        <w:rPr>
          <w:sz w:val="20"/>
          <w:szCs w:val="20"/>
        </w:rPr>
        <w:t xml:space="preserve"> 21 (7): 905–18. </w:t>
      </w:r>
      <w:hyperlink r:id="rId205" w:tgtFrame="_new" w:history="1">
        <w:r w:rsidRPr="00F832F8">
          <w:rPr>
            <w:rStyle w:val="Hyperlink"/>
            <w:sz w:val="20"/>
            <w:szCs w:val="20"/>
          </w:rPr>
          <w:t>https://doi.org/10.1080/0966369X.2013.802673</w:t>
        </w:r>
      </w:hyperlink>
      <w:r w:rsidRPr="00F832F8">
        <w:rPr>
          <w:sz w:val="20"/>
          <w:szCs w:val="20"/>
        </w:rPr>
        <w:t>.</w:t>
      </w:r>
    </w:p>
  </w:footnote>
  <w:footnote w:id="267">
    <w:p w14:paraId="767ED292" w14:textId="77777777"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Goldsmith, Raditz, and Méndez, “Queer and Present Danger.”</w:t>
      </w:r>
    </w:p>
  </w:footnote>
  <w:footnote w:id="268">
    <w:p w14:paraId="7A611835" w14:textId="6927E37B"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Sears, Brad, Lee D. Sprague, Kerith P. Taylor, Nathan M. Castleberry, Bianca Efron, Yifeng Cui, and M. V. Lee Shah. 2026. </w:t>
      </w:r>
      <w:r w:rsidRPr="00F832F8">
        <w:rPr>
          <w:i/>
          <w:iCs/>
          <w:sz w:val="20"/>
          <w:szCs w:val="20"/>
        </w:rPr>
        <w:t>The Impact of the 2025 Eaton Fire on LGBTQ+ Communities.</w:t>
      </w:r>
      <w:r w:rsidRPr="00F832F8">
        <w:rPr>
          <w:sz w:val="20"/>
          <w:szCs w:val="20"/>
        </w:rPr>
        <w:t xml:space="preserve"> Los Angeles: Williams Institute, UCLA School of Law.</w:t>
      </w:r>
    </w:p>
  </w:footnote>
  <w:footnote w:id="269">
    <w:p w14:paraId="79EA9C1E" w14:textId="14C5255D" w:rsidR="00592E89" w:rsidRPr="00F832F8" w:rsidRDefault="00592E89"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Human Rights Campaign. 2012. </w:t>
      </w:r>
      <w:r w:rsidRPr="00F832F8">
        <w:rPr>
          <w:i/>
          <w:iCs/>
          <w:sz w:val="20"/>
          <w:szCs w:val="20"/>
        </w:rPr>
        <w:t>Working with the LGBTQ Community: A Cultural Competence Guide for Emergency Responders and Volunteers.</w:t>
      </w:r>
      <w:r w:rsidRPr="00F832F8">
        <w:rPr>
          <w:sz w:val="20"/>
          <w:szCs w:val="20"/>
        </w:rPr>
        <w:t xml:space="preserve"> </w:t>
      </w:r>
      <w:hyperlink r:id="rId206" w:tgtFrame="_new" w:history="1">
        <w:r w:rsidRPr="00F832F8">
          <w:rPr>
            <w:rStyle w:val="Hyperlink"/>
            <w:sz w:val="20"/>
            <w:szCs w:val="20"/>
          </w:rPr>
          <w:t>https://assets2.hrc.org/files/assets/resources/EmergencyResponders_-_LGBT_Competency.pdf</w:t>
        </w:r>
      </w:hyperlink>
      <w:r w:rsidRPr="00F832F8">
        <w:rPr>
          <w:sz w:val="20"/>
          <w:szCs w:val="20"/>
        </w:rPr>
        <w:t>.</w:t>
      </w:r>
    </w:p>
  </w:footnote>
  <w:footnote w:id="270">
    <w:p w14:paraId="64C5B040" w14:textId="77777777" w:rsidR="00685963" w:rsidRPr="00F832F8" w:rsidRDefault="00685963" w:rsidP="00F832F8">
      <w:pPr>
        <w:spacing w:before="0" w:after="0" w:line="240" w:lineRule="auto"/>
        <w:rPr>
          <w:sz w:val="20"/>
          <w:szCs w:val="20"/>
        </w:rPr>
      </w:pPr>
      <w:r w:rsidRPr="00F832F8">
        <w:rPr>
          <w:rStyle w:val="FootnoteReference"/>
          <w:sz w:val="20"/>
          <w:szCs w:val="20"/>
        </w:rPr>
        <w:footnoteRef/>
      </w:r>
      <w:r w:rsidRPr="00F832F8">
        <w:rPr>
          <w:sz w:val="20"/>
          <w:szCs w:val="20"/>
        </w:rPr>
        <w:t xml:space="preserve"> The Trevor Project, “Mental Health of Deaf* LGBTQ Youth,” </w:t>
      </w:r>
      <w:r w:rsidRPr="00F832F8">
        <w:rPr>
          <w:i/>
          <w:iCs/>
          <w:sz w:val="20"/>
          <w:szCs w:val="20"/>
        </w:rPr>
        <w:t>The Trevor Project</w:t>
      </w:r>
      <w:r w:rsidRPr="00F832F8">
        <w:rPr>
          <w:sz w:val="20"/>
          <w:szCs w:val="20"/>
        </w:rPr>
        <w:t xml:space="preserve">, March 28, 2022, </w:t>
      </w:r>
      <w:hyperlink r:id="rId207" w:history="1">
        <w:r w:rsidRPr="00F832F8">
          <w:rPr>
            <w:rStyle w:val="Hyperlink"/>
            <w:b/>
            <w:bCs/>
            <w:sz w:val="20"/>
            <w:szCs w:val="20"/>
          </w:rPr>
          <w:t>https://www.thetrevorproject.org/research-</w:t>
        </w:r>
      </w:hyperlink>
      <w:r w:rsidRPr="00F832F8">
        <w:rPr>
          <w:sz w:val="20"/>
          <w:szCs w:val="20"/>
        </w:rPr>
        <w:t>briefs/mental-health-of-deaf-lgbtq-youth-mar-2022/</w:t>
      </w:r>
    </w:p>
    <w:p w14:paraId="3901691B" w14:textId="0F077C5E" w:rsidR="00685963" w:rsidRPr="00F832F8" w:rsidRDefault="00685963" w:rsidP="00F832F8">
      <w:pPr>
        <w:pStyle w:val="FootnoteText"/>
        <w:spacing w:before="0" w:line="240" w:lineRule="auto"/>
        <w:rPr>
          <w:sz w:val="20"/>
          <w:szCs w:val="20"/>
        </w:rPr>
      </w:pPr>
    </w:p>
  </w:footnote>
  <w:footnote w:id="271">
    <w:p w14:paraId="570E15C1" w14:textId="523F9FCE" w:rsidR="00685963" w:rsidRPr="00F832F8" w:rsidRDefault="00685963" w:rsidP="00F832F8">
      <w:pPr>
        <w:spacing w:before="0" w:after="0" w:line="240" w:lineRule="auto"/>
        <w:rPr>
          <w:sz w:val="20"/>
          <w:szCs w:val="20"/>
        </w:rPr>
      </w:pPr>
      <w:r w:rsidRPr="00F832F8">
        <w:rPr>
          <w:rStyle w:val="FootnoteReference"/>
          <w:sz w:val="20"/>
          <w:szCs w:val="20"/>
        </w:rPr>
        <w:footnoteRef/>
      </w:r>
      <w:r w:rsidRPr="00F832F8">
        <w:rPr>
          <w:sz w:val="20"/>
          <w:szCs w:val="20"/>
        </w:rPr>
        <w:t xml:space="preserve"> Movement Advancement Project. July 2019. LGBT People With Disabilities. https://</w:t>
      </w:r>
      <w:hyperlink r:id="rId208" w:history="1">
        <w:r w:rsidRPr="00F832F8">
          <w:rPr>
            <w:rStyle w:val="Hyperlink"/>
            <w:b/>
            <w:bCs/>
            <w:sz w:val="20"/>
            <w:szCs w:val="20"/>
          </w:rPr>
          <w:t>www.lgbtmap.org/lgbt-people-disabilities.</w:t>
        </w:r>
      </w:hyperlink>
    </w:p>
  </w:footnote>
  <w:footnote w:id="272">
    <w:p w14:paraId="4569559F" w14:textId="28FA8216" w:rsidR="007E1DD2" w:rsidRPr="00F832F8" w:rsidRDefault="007E1DD2"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w:t>
      </w:r>
      <w:r w:rsidR="00B7107C" w:rsidRPr="00F832F8">
        <w:rPr>
          <w:sz w:val="20"/>
          <w:szCs w:val="20"/>
        </w:rPr>
        <w:t xml:space="preserve">Massachusetts Department of Public Health, Bureau of Community Health and Prevention. n.d. “CHEI Dashboard.” Accessed April 15, 2026. </w:t>
      </w:r>
      <w:hyperlink r:id="rId209" w:tgtFrame="_new" w:history="1">
        <w:r w:rsidR="00B7107C" w:rsidRPr="00F832F8">
          <w:rPr>
            <w:rStyle w:val="Hyperlink"/>
            <w:sz w:val="20"/>
            <w:szCs w:val="20"/>
          </w:rPr>
          <w:t>https://www.mass.gov/info-details/community-health-equity-initiative-data-dashboard</w:t>
        </w:r>
      </w:hyperlink>
      <w:r w:rsidR="00B7107C" w:rsidRPr="00F832F8">
        <w:rPr>
          <w:sz w:val="20"/>
          <w:szCs w:val="20"/>
        </w:rPr>
        <w:t>.</w:t>
      </w:r>
    </w:p>
  </w:footnote>
  <w:footnote w:id="273">
    <w:p w14:paraId="58BE67F9" w14:textId="76A78C8A" w:rsidR="007E1DD2" w:rsidRPr="00F832F8" w:rsidRDefault="007E1DD2" w:rsidP="00F832F8">
      <w:pPr>
        <w:spacing w:before="0" w:after="0" w:line="240" w:lineRule="auto"/>
        <w:rPr>
          <w:sz w:val="20"/>
          <w:szCs w:val="20"/>
        </w:rPr>
      </w:pPr>
      <w:r w:rsidRPr="00F832F8">
        <w:rPr>
          <w:rStyle w:val="FootnoteReference"/>
          <w:sz w:val="20"/>
          <w:szCs w:val="20"/>
        </w:rPr>
        <w:footnoteRef/>
      </w:r>
      <w:r w:rsidRPr="00F832F8">
        <w:rPr>
          <w:sz w:val="20"/>
          <w:szCs w:val="20"/>
        </w:rPr>
        <w:t xml:space="preserve"> Nath, R., Matthews, D., Hobaica, S., Eden, T.M., Taylor, A.B., DeChants, J.P., Suffredini, K. (2025). 2024 U.S. National Survey on the Mental Health of LGBTQ+ Young People by State. West Hollywood, CA: The Trevor Project.</w:t>
      </w:r>
      <w:hyperlink r:id="rId210" w:history="1">
        <w:r w:rsidRPr="00F832F8">
          <w:rPr>
            <w:rStyle w:val="Hyperlink"/>
            <w:b/>
            <w:bCs/>
            <w:sz w:val="20"/>
            <w:szCs w:val="20"/>
          </w:rPr>
          <w:t xml:space="preserve"> www.thetrevorproject.org/survey-2024-by-state</w:t>
        </w:r>
      </w:hyperlink>
    </w:p>
  </w:footnote>
  <w:footnote w:id="274">
    <w:p w14:paraId="3F08970F" w14:textId="7AB2E5B8" w:rsidR="007E1DD2" w:rsidRPr="00F832F8" w:rsidRDefault="007E1DD2"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The Trevor Project. (2025). The Impact of Houselessness and Food Insecurity on the Mental Health of LGBTQ+ Young People.</w:t>
      </w:r>
      <w:hyperlink r:id="rId211" w:history="1">
        <w:r w:rsidRPr="00F832F8">
          <w:rPr>
            <w:rStyle w:val="Hyperlink"/>
            <w:b/>
            <w:bCs/>
            <w:sz w:val="20"/>
            <w:szCs w:val="20"/>
          </w:rPr>
          <w:t xml:space="preserve"> https://doi.org/10.70226/QZIL3244</w:t>
        </w:r>
      </w:hyperlink>
    </w:p>
  </w:footnote>
  <w:footnote w:id="275">
    <w:p w14:paraId="4EC5D996" w14:textId="289C05F3" w:rsidR="00685963" w:rsidRPr="00F832F8" w:rsidRDefault="00685963" w:rsidP="00F832F8">
      <w:pPr>
        <w:spacing w:before="0" w:after="0" w:line="240" w:lineRule="auto"/>
        <w:rPr>
          <w:sz w:val="20"/>
          <w:szCs w:val="20"/>
        </w:rPr>
      </w:pPr>
      <w:r w:rsidRPr="00F832F8">
        <w:rPr>
          <w:rStyle w:val="FootnoteReference"/>
          <w:sz w:val="20"/>
          <w:szCs w:val="20"/>
        </w:rPr>
        <w:footnoteRef/>
      </w:r>
      <w:r w:rsidRPr="00F832F8">
        <w:rPr>
          <w:sz w:val="20"/>
          <w:szCs w:val="20"/>
        </w:rPr>
        <w:t xml:space="preserve"> Shoshana Goldberg and Kerith Conron, “LGBT Adult Immigrants in the United States,” Williams Institute, February 2021,</w:t>
      </w:r>
      <w:hyperlink r:id="rId212" w:history="1">
        <w:r w:rsidRPr="00F832F8">
          <w:rPr>
            <w:rStyle w:val="Hyperlink"/>
            <w:sz w:val="20"/>
            <w:szCs w:val="20"/>
          </w:rPr>
          <w:t xml:space="preserve"> https://williamsinstitute.law.ucla.edu/publications/lgbt-immigrants-in-the-us/.</w:t>
        </w:r>
      </w:hyperlink>
      <w:r w:rsidRPr="00F832F8">
        <w:rPr>
          <w:sz w:val="20"/>
          <w:szCs w:val="20"/>
        </w:rPr>
        <w:t> </w:t>
      </w:r>
    </w:p>
  </w:footnote>
  <w:footnote w:id="276">
    <w:p w14:paraId="0C1BD61B" w14:textId="77777777" w:rsidR="00685963" w:rsidRPr="00F832F8" w:rsidRDefault="00685963" w:rsidP="00F832F8">
      <w:pPr>
        <w:spacing w:before="0" w:after="0" w:line="240" w:lineRule="auto"/>
        <w:rPr>
          <w:sz w:val="20"/>
          <w:szCs w:val="20"/>
        </w:rPr>
      </w:pPr>
      <w:r w:rsidRPr="00F832F8">
        <w:rPr>
          <w:rStyle w:val="FootnoteReference"/>
          <w:sz w:val="20"/>
          <w:szCs w:val="20"/>
        </w:rPr>
        <w:footnoteRef/>
      </w:r>
      <w:r w:rsidRPr="00F832F8">
        <w:rPr>
          <w:sz w:val="20"/>
          <w:szCs w:val="20"/>
        </w:rPr>
        <w:t xml:space="preserve"> Ari Shaw et al., “LGBT Asylum Claims in the United States,” Williams Institute, March 2021,</w:t>
      </w:r>
      <w:hyperlink r:id="rId213" w:history="1">
        <w:r w:rsidRPr="00F832F8">
          <w:rPr>
            <w:rStyle w:val="Hyperlink"/>
            <w:sz w:val="20"/>
            <w:szCs w:val="20"/>
          </w:rPr>
          <w:t xml:space="preserve"> https://williamsinstitute.law.ucla.edu/publications/lgbt-asylum-claims/</w:t>
        </w:r>
      </w:hyperlink>
      <w:r w:rsidRPr="00F832F8">
        <w:rPr>
          <w:sz w:val="20"/>
          <w:szCs w:val="20"/>
        </w:rPr>
        <w:t> </w:t>
      </w:r>
    </w:p>
    <w:p w14:paraId="025017CA" w14:textId="22F192DE" w:rsidR="00685963" w:rsidRPr="00F832F8" w:rsidRDefault="00685963" w:rsidP="00F832F8">
      <w:pPr>
        <w:pStyle w:val="FootnoteText"/>
        <w:spacing w:before="0" w:line="240" w:lineRule="auto"/>
        <w:rPr>
          <w:sz w:val="20"/>
          <w:szCs w:val="20"/>
        </w:rPr>
      </w:pPr>
    </w:p>
  </w:footnote>
  <w:footnote w:id="277">
    <w:p w14:paraId="3A88089E" w14:textId="61AAA0C5" w:rsidR="00637866" w:rsidRPr="00F832F8" w:rsidRDefault="00637866"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"Libraries Respond: Services to Poor and Homeless People", American Library Association, August 19, 2019 </w:t>
      </w:r>
      <w:hyperlink r:id="rId214" w:history="1">
        <w:r w:rsidRPr="00F832F8">
          <w:rPr>
            <w:rStyle w:val="Hyperlink"/>
            <w:sz w:val="20"/>
            <w:szCs w:val="20"/>
          </w:rPr>
          <w:t>https://www.ala.org/advocacy/diversity/librariesrespond/services-poor-homeless</w:t>
        </w:r>
      </w:hyperlink>
      <w:r w:rsidRPr="00F832F8">
        <w:rPr>
          <w:sz w:val="20"/>
          <w:szCs w:val="20"/>
        </w:rPr>
        <w:t xml:space="preserve"> (Accessed May 3, 2026)</w:t>
      </w:r>
    </w:p>
  </w:footnote>
  <w:footnote w:id="278">
    <w:p w14:paraId="1D660D9C" w14:textId="653ADD72" w:rsidR="00637866" w:rsidRPr="00F832F8" w:rsidRDefault="00637866" w:rsidP="00F832F8">
      <w:pPr>
        <w:pStyle w:val="FootnoteText"/>
        <w:spacing w:before="0" w:line="240" w:lineRule="auto"/>
        <w:rPr>
          <w:sz w:val="20"/>
          <w:szCs w:val="20"/>
        </w:rPr>
      </w:pPr>
      <w:r w:rsidRPr="00F832F8">
        <w:rPr>
          <w:rStyle w:val="FootnoteReference"/>
          <w:sz w:val="20"/>
          <w:szCs w:val="20"/>
        </w:rPr>
        <w:footnoteRef/>
      </w:r>
      <w:r w:rsidRPr="00F832F8">
        <w:rPr>
          <w:sz w:val="20"/>
          <w:szCs w:val="20"/>
        </w:rPr>
        <w:t xml:space="preserve"> Massachusetts Board of Library Commissioners. “Attempts to Censor Library Materials Increase. March 2026. </w:t>
      </w:r>
      <w:hyperlink r:id="rId215" w:history="1">
        <w:r w:rsidRPr="00F832F8">
          <w:rPr>
            <w:rStyle w:val="Hyperlink"/>
            <w:sz w:val="20"/>
            <w:szCs w:val="20"/>
          </w:rPr>
          <w:t>https://mblc.state.ma.us/news/news-releases/2026/nr260331.php</w:t>
        </w:r>
      </w:hyperlink>
      <w:r w:rsidRPr="00F832F8">
        <w:rPr>
          <w:sz w:val="20"/>
          <w:szCs w:val="20"/>
        </w:rPr>
        <w:t> </w:t>
      </w:r>
    </w:p>
  </w:footnote>
  <w:footnote w:id="279">
    <w:p w14:paraId="54760019" w14:textId="49948C4E" w:rsidR="005B2F7E" w:rsidRPr="00F832F8" w:rsidRDefault="005B2F7E" w:rsidP="00F832F8">
      <w:pPr>
        <w:spacing w:before="0" w:after="0" w:line="240" w:lineRule="auto"/>
        <w:rPr>
          <w:sz w:val="20"/>
          <w:szCs w:val="20"/>
        </w:rPr>
      </w:pPr>
      <w:r w:rsidRPr="00F832F8">
        <w:rPr>
          <w:rStyle w:val="FootnoteReference"/>
          <w:sz w:val="20"/>
          <w:szCs w:val="20"/>
        </w:rPr>
        <w:footnoteRef/>
      </w:r>
      <w:r w:rsidRPr="00F832F8">
        <w:rPr>
          <w:sz w:val="20"/>
          <w:szCs w:val="20"/>
        </w:rPr>
        <w:t xml:space="preserve"> Unaccompanied Homeless Youth Commission. 2024. “Massachusetts 2024 Youth Count.” Prepared by Laurie Ross. </w:t>
      </w:r>
      <w:hyperlink r:id="rId216" w:history="1">
        <w:r w:rsidRPr="00F832F8">
          <w:rPr>
            <w:rStyle w:val="Hyperlink"/>
            <w:sz w:val="20"/>
            <w:szCs w:val="20"/>
          </w:rPr>
          <w:t>https://www.mass.gov/doc/2022-youth-count-report/download</w:t>
        </w:r>
      </w:hyperlink>
      <w:r w:rsidRPr="00F832F8">
        <w:rPr>
          <w:sz w:val="20"/>
          <w:szCs w:val="20"/>
        </w:rPr>
        <w:t> </w:t>
      </w:r>
    </w:p>
    <w:p w14:paraId="74C3F07E" w14:textId="4DEE96AC" w:rsidR="005B2F7E" w:rsidRPr="00F832F8" w:rsidRDefault="005B2F7E" w:rsidP="00F832F8">
      <w:pPr>
        <w:pStyle w:val="FootnoteText"/>
        <w:spacing w:before="0" w:line="240" w:lineRule="auto"/>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F36FF5F" w14:paraId="371EC6A9" w14:textId="77777777" w:rsidTr="002F7EC1">
      <w:trPr>
        <w:trHeight w:val="360"/>
      </w:trPr>
      <w:tc>
        <w:tcPr>
          <w:tcW w:w="3120" w:type="dxa"/>
        </w:tcPr>
        <w:p w14:paraId="179BEC31" w14:textId="3BAE66BA" w:rsidR="7F36FF5F" w:rsidRDefault="7F36FF5F" w:rsidP="00E64629">
          <w:pPr>
            <w:pStyle w:val="Header"/>
          </w:pPr>
        </w:p>
      </w:tc>
      <w:tc>
        <w:tcPr>
          <w:tcW w:w="3120" w:type="dxa"/>
        </w:tcPr>
        <w:p w14:paraId="5C8DF28C" w14:textId="7DBF7808" w:rsidR="7F36FF5F" w:rsidRDefault="7F36FF5F" w:rsidP="00E64629">
          <w:pPr>
            <w:pStyle w:val="Header"/>
          </w:pPr>
        </w:p>
      </w:tc>
      <w:tc>
        <w:tcPr>
          <w:tcW w:w="3120" w:type="dxa"/>
        </w:tcPr>
        <w:p w14:paraId="751F31CB" w14:textId="72C5CA34" w:rsidR="7F36FF5F" w:rsidRDefault="7F36FF5F" w:rsidP="00E64629">
          <w:pPr>
            <w:pStyle w:val="Header"/>
          </w:pPr>
        </w:p>
      </w:tc>
    </w:tr>
  </w:tbl>
  <w:p w14:paraId="219EC56A" w14:textId="21670B1A" w:rsidR="7F36FF5F" w:rsidRDefault="7F36FF5F" w:rsidP="00E64629">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1D7"/>
    <w:multiLevelType w:val="hybridMultilevel"/>
    <w:tmpl w:val="2812B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406EF"/>
    <w:multiLevelType w:val="hybridMultilevel"/>
    <w:tmpl w:val="6F544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464ADD"/>
    <w:multiLevelType w:val="multilevel"/>
    <w:tmpl w:val="E4AAE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033B82"/>
    <w:multiLevelType w:val="multilevel"/>
    <w:tmpl w:val="E4AAE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A77123"/>
    <w:multiLevelType w:val="multilevel"/>
    <w:tmpl w:val="E4AAE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933FD1"/>
    <w:multiLevelType w:val="multilevel"/>
    <w:tmpl w:val="E4AAE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335DFE"/>
    <w:multiLevelType w:val="hybridMultilevel"/>
    <w:tmpl w:val="32D80C9C"/>
    <w:lvl w:ilvl="0" w:tplc="57BC3532">
      <w:numFmt w:val="bullet"/>
      <w:lvlText w:val="•"/>
      <w:lvlJc w:val="left"/>
      <w:pPr>
        <w:ind w:left="1440" w:hanging="360"/>
      </w:pPr>
      <w:rPr>
        <w:rFonts w:ascii="Calibri" w:eastAsiaTheme="minorEastAsia"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A47144"/>
    <w:multiLevelType w:val="multilevel"/>
    <w:tmpl w:val="E4AAE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FF00B6"/>
    <w:multiLevelType w:val="hybridMultilevel"/>
    <w:tmpl w:val="E85A7C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515FD7"/>
    <w:multiLevelType w:val="hybridMultilevel"/>
    <w:tmpl w:val="260AC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D48E9B"/>
    <w:multiLevelType w:val="hybridMultilevel"/>
    <w:tmpl w:val="A5A2E91E"/>
    <w:lvl w:ilvl="0" w:tplc="AA2AB5EA">
      <w:start w:val="1"/>
      <w:numFmt w:val="decimal"/>
      <w:lvlText w:val="%1."/>
      <w:lvlJc w:val="left"/>
      <w:pPr>
        <w:ind w:left="720" w:hanging="360"/>
      </w:pPr>
    </w:lvl>
    <w:lvl w:ilvl="1" w:tplc="65F8495C">
      <w:start w:val="1"/>
      <w:numFmt w:val="lowerLetter"/>
      <w:lvlText w:val="%2."/>
      <w:lvlJc w:val="left"/>
      <w:pPr>
        <w:ind w:left="1440" w:hanging="360"/>
      </w:pPr>
    </w:lvl>
    <w:lvl w:ilvl="2" w:tplc="A0A686F0">
      <w:start w:val="1"/>
      <w:numFmt w:val="lowerRoman"/>
      <w:lvlText w:val="%3."/>
      <w:lvlJc w:val="right"/>
      <w:pPr>
        <w:ind w:left="2160" w:hanging="180"/>
      </w:pPr>
    </w:lvl>
    <w:lvl w:ilvl="3" w:tplc="2F2407B2">
      <w:start w:val="1"/>
      <w:numFmt w:val="decimal"/>
      <w:lvlText w:val="%4."/>
      <w:lvlJc w:val="left"/>
      <w:pPr>
        <w:ind w:left="2880" w:hanging="360"/>
      </w:pPr>
    </w:lvl>
    <w:lvl w:ilvl="4" w:tplc="76B2F70A">
      <w:start w:val="1"/>
      <w:numFmt w:val="lowerLetter"/>
      <w:lvlText w:val="%5."/>
      <w:lvlJc w:val="left"/>
      <w:pPr>
        <w:ind w:left="3600" w:hanging="360"/>
      </w:pPr>
    </w:lvl>
    <w:lvl w:ilvl="5" w:tplc="06A8A45E">
      <w:start w:val="1"/>
      <w:numFmt w:val="lowerRoman"/>
      <w:lvlText w:val="%6."/>
      <w:lvlJc w:val="right"/>
      <w:pPr>
        <w:ind w:left="4320" w:hanging="180"/>
      </w:pPr>
    </w:lvl>
    <w:lvl w:ilvl="6" w:tplc="4FEA2FD8">
      <w:start w:val="1"/>
      <w:numFmt w:val="decimal"/>
      <w:lvlText w:val="%7."/>
      <w:lvlJc w:val="left"/>
      <w:pPr>
        <w:ind w:left="5040" w:hanging="360"/>
      </w:pPr>
    </w:lvl>
    <w:lvl w:ilvl="7" w:tplc="CB74E028">
      <w:start w:val="1"/>
      <w:numFmt w:val="lowerLetter"/>
      <w:lvlText w:val="%8."/>
      <w:lvlJc w:val="left"/>
      <w:pPr>
        <w:ind w:left="5760" w:hanging="360"/>
      </w:pPr>
    </w:lvl>
    <w:lvl w:ilvl="8" w:tplc="0A7E0804">
      <w:start w:val="1"/>
      <w:numFmt w:val="lowerRoman"/>
      <w:lvlText w:val="%9."/>
      <w:lvlJc w:val="right"/>
      <w:pPr>
        <w:ind w:left="6480" w:hanging="180"/>
      </w:pPr>
    </w:lvl>
  </w:abstractNum>
  <w:abstractNum w:abstractNumId="11" w15:restartNumberingAfterBreak="0">
    <w:nsid w:val="1962726A"/>
    <w:multiLevelType w:val="multilevel"/>
    <w:tmpl w:val="E4AAE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7F0DE3"/>
    <w:multiLevelType w:val="hybridMultilevel"/>
    <w:tmpl w:val="DF403C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93159B"/>
    <w:multiLevelType w:val="multilevel"/>
    <w:tmpl w:val="E4AAE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E769E9"/>
    <w:multiLevelType w:val="hybridMultilevel"/>
    <w:tmpl w:val="3408A930"/>
    <w:lvl w:ilvl="0" w:tplc="57BC353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FA7758"/>
    <w:multiLevelType w:val="multilevel"/>
    <w:tmpl w:val="E4AAE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8A353E"/>
    <w:multiLevelType w:val="hybridMultilevel"/>
    <w:tmpl w:val="A530AC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DC05E5C"/>
    <w:multiLevelType w:val="multilevel"/>
    <w:tmpl w:val="E4AAE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551CA6"/>
    <w:multiLevelType w:val="hybridMultilevel"/>
    <w:tmpl w:val="98D23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6E1C62"/>
    <w:multiLevelType w:val="multilevel"/>
    <w:tmpl w:val="E4AAE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EB4A1E"/>
    <w:multiLevelType w:val="multilevel"/>
    <w:tmpl w:val="E4AAE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2A35048"/>
    <w:multiLevelType w:val="multilevel"/>
    <w:tmpl w:val="E4AAE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5B0C85"/>
    <w:multiLevelType w:val="hybridMultilevel"/>
    <w:tmpl w:val="745C8726"/>
    <w:lvl w:ilvl="0" w:tplc="624437B0">
      <w:start w:val="1"/>
      <w:numFmt w:val="bullet"/>
      <w:lvlText w:val=""/>
      <w:lvlJc w:val="left"/>
      <w:pPr>
        <w:ind w:left="720" w:hanging="360"/>
      </w:pPr>
      <w:rPr>
        <w:rFonts w:ascii="Symbol" w:hAnsi="Symbol" w:hint="default"/>
      </w:rPr>
    </w:lvl>
    <w:lvl w:ilvl="1" w:tplc="EA7A056E">
      <w:start w:val="1"/>
      <w:numFmt w:val="bullet"/>
      <w:lvlText w:val="o"/>
      <w:lvlJc w:val="left"/>
      <w:pPr>
        <w:ind w:left="1440" w:hanging="360"/>
      </w:pPr>
      <w:rPr>
        <w:rFonts w:ascii="Courier New" w:hAnsi="Courier New" w:hint="default"/>
      </w:rPr>
    </w:lvl>
    <w:lvl w:ilvl="2" w:tplc="9A2E5B46">
      <w:start w:val="1"/>
      <w:numFmt w:val="bullet"/>
      <w:lvlText w:val=""/>
      <w:lvlJc w:val="left"/>
      <w:pPr>
        <w:ind w:left="2160" w:hanging="360"/>
      </w:pPr>
      <w:rPr>
        <w:rFonts w:ascii="Wingdings" w:hAnsi="Wingdings" w:hint="default"/>
      </w:rPr>
    </w:lvl>
    <w:lvl w:ilvl="3" w:tplc="190A0142">
      <w:start w:val="1"/>
      <w:numFmt w:val="bullet"/>
      <w:lvlText w:val=""/>
      <w:lvlJc w:val="left"/>
      <w:pPr>
        <w:ind w:left="2880" w:hanging="360"/>
      </w:pPr>
      <w:rPr>
        <w:rFonts w:ascii="Symbol" w:hAnsi="Symbol" w:hint="default"/>
      </w:rPr>
    </w:lvl>
    <w:lvl w:ilvl="4" w:tplc="8F4027BE">
      <w:start w:val="1"/>
      <w:numFmt w:val="bullet"/>
      <w:lvlText w:val="o"/>
      <w:lvlJc w:val="left"/>
      <w:pPr>
        <w:ind w:left="3600" w:hanging="360"/>
      </w:pPr>
      <w:rPr>
        <w:rFonts w:ascii="Courier New" w:hAnsi="Courier New" w:hint="default"/>
      </w:rPr>
    </w:lvl>
    <w:lvl w:ilvl="5" w:tplc="0E7C006E">
      <w:start w:val="1"/>
      <w:numFmt w:val="bullet"/>
      <w:lvlText w:val=""/>
      <w:lvlJc w:val="left"/>
      <w:pPr>
        <w:ind w:left="4320" w:hanging="360"/>
      </w:pPr>
      <w:rPr>
        <w:rFonts w:ascii="Wingdings" w:hAnsi="Wingdings" w:hint="default"/>
      </w:rPr>
    </w:lvl>
    <w:lvl w:ilvl="6" w:tplc="DB5E5BA0">
      <w:start w:val="1"/>
      <w:numFmt w:val="bullet"/>
      <w:lvlText w:val=""/>
      <w:lvlJc w:val="left"/>
      <w:pPr>
        <w:ind w:left="5040" w:hanging="360"/>
      </w:pPr>
      <w:rPr>
        <w:rFonts w:ascii="Symbol" w:hAnsi="Symbol" w:hint="default"/>
      </w:rPr>
    </w:lvl>
    <w:lvl w:ilvl="7" w:tplc="5CF81E46">
      <w:start w:val="1"/>
      <w:numFmt w:val="bullet"/>
      <w:lvlText w:val="o"/>
      <w:lvlJc w:val="left"/>
      <w:pPr>
        <w:ind w:left="5760" w:hanging="360"/>
      </w:pPr>
      <w:rPr>
        <w:rFonts w:ascii="Courier New" w:hAnsi="Courier New" w:hint="default"/>
      </w:rPr>
    </w:lvl>
    <w:lvl w:ilvl="8" w:tplc="CB9000C0">
      <w:start w:val="1"/>
      <w:numFmt w:val="bullet"/>
      <w:lvlText w:val=""/>
      <w:lvlJc w:val="left"/>
      <w:pPr>
        <w:ind w:left="6480" w:hanging="360"/>
      </w:pPr>
      <w:rPr>
        <w:rFonts w:ascii="Wingdings" w:hAnsi="Wingdings" w:hint="default"/>
      </w:rPr>
    </w:lvl>
  </w:abstractNum>
  <w:abstractNum w:abstractNumId="23" w15:restartNumberingAfterBreak="0">
    <w:nsid w:val="3B3F132A"/>
    <w:multiLevelType w:val="multilevel"/>
    <w:tmpl w:val="E4AAE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21537B"/>
    <w:multiLevelType w:val="multilevel"/>
    <w:tmpl w:val="E4AAE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70015BC"/>
    <w:multiLevelType w:val="hybridMultilevel"/>
    <w:tmpl w:val="9CCA6DC6"/>
    <w:lvl w:ilvl="0" w:tplc="A1B2B8A8">
      <w:start w:val="2026"/>
      <w:numFmt w:val="bullet"/>
      <w:lvlText w:val="-"/>
      <w:lvlJc w:val="left"/>
      <w:pPr>
        <w:ind w:left="405" w:hanging="360"/>
      </w:pPr>
      <w:rPr>
        <w:rFonts w:ascii="Calibri" w:eastAsiaTheme="minorEastAsia"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6" w15:restartNumberingAfterBreak="0">
    <w:nsid w:val="4E3A5F9B"/>
    <w:multiLevelType w:val="multilevel"/>
    <w:tmpl w:val="E4AAE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897741"/>
    <w:multiLevelType w:val="multilevel"/>
    <w:tmpl w:val="E4AAE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78C624D"/>
    <w:multiLevelType w:val="multilevel"/>
    <w:tmpl w:val="E4AAE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B800488"/>
    <w:multiLevelType w:val="multilevel"/>
    <w:tmpl w:val="E4AAE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250139"/>
    <w:multiLevelType w:val="hybridMultilevel"/>
    <w:tmpl w:val="0D12C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9F3209"/>
    <w:multiLevelType w:val="hybridMultilevel"/>
    <w:tmpl w:val="851C1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106A42"/>
    <w:multiLevelType w:val="hybridMultilevel"/>
    <w:tmpl w:val="75F48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ED86EE"/>
    <w:multiLevelType w:val="hybridMultilevel"/>
    <w:tmpl w:val="50566756"/>
    <w:lvl w:ilvl="0" w:tplc="C30A1262">
      <w:start w:val="1"/>
      <w:numFmt w:val="bullet"/>
      <w:lvlText w:val=""/>
      <w:lvlJc w:val="left"/>
      <w:pPr>
        <w:ind w:left="720" w:hanging="360"/>
      </w:pPr>
      <w:rPr>
        <w:rFonts w:ascii="Symbol" w:hAnsi="Symbol" w:hint="default"/>
      </w:rPr>
    </w:lvl>
    <w:lvl w:ilvl="1" w:tplc="7D9EAD34">
      <w:start w:val="1"/>
      <w:numFmt w:val="bullet"/>
      <w:lvlText w:val="o"/>
      <w:lvlJc w:val="left"/>
      <w:pPr>
        <w:ind w:left="1440" w:hanging="360"/>
      </w:pPr>
      <w:rPr>
        <w:rFonts w:ascii="Courier New" w:hAnsi="Courier New" w:hint="default"/>
      </w:rPr>
    </w:lvl>
    <w:lvl w:ilvl="2" w:tplc="1880366E">
      <w:start w:val="1"/>
      <w:numFmt w:val="bullet"/>
      <w:lvlText w:val=""/>
      <w:lvlJc w:val="left"/>
      <w:pPr>
        <w:ind w:left="2160" w:hanging="360"/>
      </w:pPr>
      <w:rPr>
        <w:rFonts w:ascii="Wingdings" w:hAnsi="Wingdings" w:hint="default"/>
      </w:rPr>
    </w:lvl>
    <w:lvl w:ilvl="3" w:tplc="73FC06C8">
      <w:start w:val="1"/>
      <w:numFmt w:val="bullet"/>
      <w:lvlText w:val=""/>
      <w:lvlJc w:val="left"/>
      <w:pPr>
        <w:ind w:left="2880" w:hanging="360"/>
      </w:pPr>
      <w:rPr>
        <w:rFonts w:ascii="Symbol" w:hAnsi="Symbol" w:hint="default"/>
      </w:rPr>
    </w:lvl>
    <w:lvl w:ilvl="4" w:tplc="98E04C3A">
      <w:start w:val="1"/>
      <w:numFmt w:val="bullet"/>
      <w:lvlText w:val="o"/>
      <w:lvlJc w:val="left"/>
      <w:pPr>
        <w:ind w:left="3600" w:hanging="360"/>
      </w:pPr>
      <w:rPr>
        <w:rFonts w:ascii="Courier New" w:hAnsi="Courier New" w:hint="default"/>
      </w:rPr>
    </w:lvl>
    <w:lvl w:ilvl="5" w:tplc="CE24E41E">
      <w:start w:val="1"/>
      <w:numFmt w:val="bullet"/>
      <w:lvlText w:val=""/>
      <w:lvlJc w:val="left"/>
      <w:pPr>
        <w:ind w:left="4320" w:hanging="360"/>
      </w:pPr>
      <w:rPr>
        <w:rFonts w:ascii="Wingdings" w:hAnsi="Wingdings" w:hint="default"/>
      </w:rPr>
    </w:lvl>
    <w:lvl w:ilvl="6" w:tplc="0F58EC10">
      <w:start w:val="1"/>
      <w:numFmt w:val="bullet"/>
      <w:lvlText w:val=""/>
      <w:lvlJc w:val="left"/>
      <w:pPr>
        <w:ind w:left="5040" w:hanging="360"/>
      </w:pPr>
      <w:rPr>
        <w:rFonts w:ascii="Symbol" w:hAnsi="Symbol" w:hint="default"/>
      </w:rPr>
    </w:lvl>
    <w:lvl w:ilvl="7" w:tplc="ABF8BEAA">
      <w:start w:val="1"/>
      <w:numFmt w:val="bullet"/>
      <w:lvlText w:val="o"/>
      <w:lvlJc w:val="left"/>
      <w:pPr>
        <w:ind w:left="5760" w:hanging="360"/>
      </w:pPr>
      <w:rPr>
        <w:rFonts w:ascii="Courier New" w:hAnsi="Courier New" w:hint="default"/>
      </w:rPr>
    </w:lvl>
    <w:lvl w:ilvl="8" w:tplc="F54C1D1C">
      <w:start w:val="1"/>
      <w:numFmt w:val="bullet"/>
      <w:lvlText w:val=""/>
      <w:lvlJc w:val="left"/>
      <w:pPr>
        <w:ind w:left="6480" w:hanging="360"/>
      </w:pPr>
      <w:rPr>
        <w:rFonts w:ascii="Wingdings" w:hAnsi="Wingdings" w:hint="default"/>
      </w:rPr>
    </w:lvl>
  </w:abstractNum>
  <w:abstractNum w:abstractNumId="34" w15:restartNumberingAfterBreak="0">
    <w:nsid w:val="7545C0B3"/>
    <w:multiLevelType w:val="hybridMultilevel"/>
    <w:tmpl w:val="4E824382"/>
    <w:lvl w:ilvl="0" w:tplc="5E96F988">
      <w:start w:val="1"/>
      <w:numFmt w:val="bullet"/>
      <w:lvlText w:val=""/>
      <w:lvlJc w:val="left"/>
      <w:pPr>
        <w:ind w:left="720" w:hanging="360"/>
      </w:pPr>
      <w:rPr>
        <w:rFonts w:ascii="Symbol" w:hAnsi="Symbol" w:hint="default"/>
      </w:rPr>
    </w:lvl>
    <w:lvl w:ilvl="1" w:tplc="750A5BF6">
      <w:start w:val="1"/>
      <w:numFmt w:val="bullet"/>
      <w:lvlText w:val="o"/>
      <w:lvlJc w:val="left"/>
      <w:pPr>
        <w:ind w:left="1440" w:hanging="360"/>
      </w:pPr>
      <w:rPr>
        <w:rFonts w:ascii="Courier New" w:hAnsi="Courier New" w:hint="default"/>
      </w:rPr>
    </w:lvl>
    <w:lvl w:ilvl="2" w:tplc="6BFC2C60">
      <w:start w:val="1"/>
      <w:numFmt w:val="bullet"/>
      <w:lvlText w:val=""/>
      <w:lvlJc w:val="left"/>
      <w:pPr>
        <w:ind w:left="2160" w:hanging="360"/>
      </w:pPr>
      <w:rPr>
        <w:rFonts w:ascii="Wingdings" w:hAnsi="Wingdings" w:hint="default"/>
      </w:rPr>
    </w:lvl>
    <w:lvl w:ilvl="3" w:tplc="A7445B6A">
      <w:start w:val="1"/>
      <w:numFmt w:val="bullet"/>
      <w:lvlText w:val=""/>
      <w:lvlJc w:val="left"/>
      <w:pPr>
        <w:ind w:left="2880" w:hanging="360"/>
      </w:pPr>
      <w:rPr>
        <w:rFonts w:ascii="Symbol" w:hAnsi="Symbol" w:hint="default"/>
      </w:rPr>
    </w:lvl>
    <w:lvl w:ilvl="4" w:tplc="8990E25E">
      <w:start w:val="1"/>
      <w:numFmt w:val="bullet"/>
      <w:lvlText w:val="o"/>
      <w:lvlJc w:val="left"/>
      <w:pPr>
        <w:ind w:left="3600" w:hanging="360"/>
      </w:pPr>
      <w:rPr>
        <w:rFonts w:ascii="Courier New" w:hAnsi="Courier New" w:hint="default"/>
      </w:rPr>
    </w:lvl>
    <w:lvl w:ilvl="5" w:tplc="F3966FA8">
      <w:start w:val="1"/>
      <w:numFmt w:val="bullet"/>
      <w:lvlText w:val=""/>
      <w:lvlJc w:val="left"/>
      <w:pPr>
        <w:ind w:left="4320" w:hanging="360"/>
      </w:pPr>
      <w:rPr>
        <w:rFonts w:ascii="Wingdings" w:hAnsi="Wingdings" w:hint="default"/>
      </w:rPr>
    </w:lvl>
    <w:lvl w:ilvl="6" w:tplc="1A4C4650">
      <w:start w:val="1"/>
      <w:numFmt w:val="bullet"/>
      <w:lvlText w:val=""/>
      <w:lvlJc w:val="left"/>
      <w:pPr>
        <w:ind w:left="5040" w:hanging="360"/>
      </w:pPr>
      <w:rPr>
        <w:rFonts w:ascii="Symbol" w:hAnsi="Symbol" w:hint="default"/>
      </w:rPr>
    </w:lvl>
    <w:lvl w:ilvl="7" w:tplc="B8D66DAA">
      <w:start w:val="1"/>
      <w:numFmt w:val="bullet"/>
      <w:lvlText w:val="o"/>
      <w:lvlJc w:val="left"/>
      <w:pPr>
        <w:ind w:left="5760" w:hanging="360"/>
      </w:pPr>
      <w:rPr>
        <w:rFonts w:ascii="Courier New" w:hAnsi="Courier New" w:hint="default"/>
      </w:rPr>
    </w:lvl>
    <w:lvl w:ilvl="8" w:tplc="89CA8498">
      <w:start w:val="1"/>
      <w:numFmt w:val="bullet"/>
      <w:lvlText w:val=""/>
      <w:lvlJc w:val="left"/>
      <w:pPr>
        <w:ind w:left="6480" w:hanging="360"/>
      </w:pPr>
      <w:rPr>
        <w:rFonts w:ascii="Wingdings" w:hAnsi="Wingdings" w:hint="default"/>
      </w:rPr>
    </w:lvl>
  </w:abstractNum>
  <w:abstractNum w:abstractNumId="35" w15:restartNumberingAfterBreak="0">
    <w:nsid w:val="79546B2A"/>
    <w:multiLevelType w:val="multilevel"/>
    <w:tmpl w:val="E4AAE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A8B7DDC"/>
    <w:multiLevelType w:val="hybridMultilevel"/>
    <w:tmpl w:val="5CC2D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367184"/>
    <w:multiLevelType w:val="multilevel"/>
    <w:tmpl w:val="E4AAE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6D08C1"/>
    <w:multiLevelType w:val="hybridMultilevel"/>
    <w:tmpl w:val="0EB81840"/>
    <w:lvl w:ilvl="0" w:tplc="57BC3532">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94664185">
    <w:abstractNumId w:val="10"/>
  </w:num>
  <w:num w:numId="2" w16cid:durableId="418647172">
    <w:abstractNumId w:val="22"/>
  </w:num>
  <w:num w:numId="3" w16cid:durableId="1078794093">
    <w:abstractNumId w:val="33"/>
  </w:num>
  <w:num w:numId="4" w16cid:durableId="536283615">
    <w:abstractNumId w:val="34"/>
  </w:num>
  <w:num w:numId="5" w16cid:durableId="4408050">
    <w:abstractNumId w:val="6"/>
  </w:num>
  <w:num w:numId="6" w16cid:durableId="1056398369">
    <w:abstractNumId w:val="14"/>
  </w:num>
  <w:num w:numId="7" w16cid:durableId="410203226">
    <w:abstractNumId w:val="16"/>
  </w:num>
  <w:num w:numId="8" w16cid:durableId="158886665">
    <w:abstractNumId w:val="38"/>
  </w:num>
  <w:num w:numId="9" w16cid:durableId="62722765">
    <w:abstractNumId w:val="2"/>
  </w:num>
  <w:num w:numId="10" w16cid:durableId="189417240">
    <w:abstractNumId w:val="19"/>
  </w:num>
  <w:num w:numId="11" w16cid:durableId="369185981">
    <w:abstractNumId w:val="17"/>
  </w:num>
  <w:num w:numId="12" w16cid:durableId="2031292487">
    <w:abstractNumId w:val="21"/>
  </w:num>
  <w:num w:numId="13" w16cid:durableId="309987778">
    <w:abstractNumId w:val="4"/>
  </w:num>
  <w:num w:numId="14" w16cid:durableId="1954941719">
    <w:abstractNumId w:val="15"/>
  </w:num>
  <w:num w:numId="15" w16cid:durableId="1177234973">
    <w:abstractNumId w:val="28"/>
  </w:num>
  <w:num w:numId="16" w16cid:durableId="1557622029">
    <w:abstractNumId w:val="29"/>
  </w:num>
  <w:num w:numId="17" w16cid:durableId="262956685">
    <w:abstractNumId w:val="37"/>
  </w:num>
  <w:num w:numId="18" w16cid:durableId="1910579048">
    <w:abstractNumId w:val="11"/>
  </w:num>
  <w:num w:numId="19" w16cid:durableId="848132747">
    <w:abstractNumId w:val="35"/>
  </w:num>
  <w:num w:numId="20" w16cid:durableId="1225608644">
    <w:abstractNumId w:val="13"/>
  </w:num>
  <w:num w:numId="21" w16cid:durableId="1478062202">
    <w:abstractNumId w:val="26"/>
  </w:num>
  <w:num w:numId="22" w16cid:durableId="56319105">
    <w:abstractNumId w:val="5"/>
  </w:num>
  <w:num w:numId="23" w16cid:durableId="7369016">
    <w:abstractNumId w:val="24"/>
  </w:num>
  <w:num w:numId="24" w16cid:durableId="383527819">
    <w:abstractNumId w:val="23"/>
  </w:num>
  <w:num w:numId="25" w16cid:durableId="763841864">
    <w:abstractNumId w:val="7"/>
  </w:num>
  <w:num w:numId="26" w16cid:durableId="115637518">
    <w:abstractNumId w:val="27"/>
  </w:num>
  <w:num w:numId="27" w16cid:durableId="1129591995">
    <w:abstractNumId w:val="20"/>
  </w:num>
  <w:num w:numId="28" w16cid:durableId="117722680">
    <w:abstractNumId w:val="3"/>
  </w:num>
  <w:num w:numId="29" w16cid:durableId="414086064">
    <w:abstractNumId w:val="36"/>
  </w:num>
  <w:num w:numId="30" w16cid:durableId="1131094433">
    <w:abstractNumId w:val="31"/>
  </w:num>
  <w:num w:numId="31" w16cid:durableId="1063795174">
    <w:abstractNumId w:val="32"/>
  </w:num>
  <w:num w:numId="32" w16cid:durableId="2007783884">
    <w:abstractNumId w:val="18"/>
  </w:num>
  <w:num w:numId="33" w16cid:durableId="818379844">
    <w:abstractNumId w:val="0"/>
  </w:num>
  <w:num w:numId="34" w16cid:durableId="249394447">
    <w:abstractNumId w:val="1"/>
  </w:num>
  <w:num w:numId="35" w16cid:durableId="567493836">
    <w:abstractNumId w:val="12"/>
  </w:num>
  <w:num w:numId="36" w16cid:durableId="1188182820">
    <w:abstractNumId w:val="9"/>
  </w:num>
  <w:num w:numId="37" w16cid:durableId="1054624241">
    <w:abstractNumId w:val="30"/>
  </w:num>
  <w:num w:numId="38" w16cid:durableId="1203178973">
    <w:abstractNumId w:val="8"/>
  </w:num>
  <w:num w:numId="39" w16cid:durableId="206182319">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2F39393"/>
    <w:rsid w:val="00011744"/>
    <w:rsid w:val="00012117"/>
    <w:rsid w:val="00012555"/>
    <w:rsid w:val="0001545B"/>
    <w:rsid w:val="00017C35"/>
    <w:rsid w:val="00022266"/>
    <w:rsid w:val="00022960"/>
    <w:rsid w:val="000329CD"/>
    <w:rsid w:val="0005607E"/>
    <w:rsid w:val="00060628"/>
    <w:rsid w:val="00078655"/>
    <w:rsid w:val="00083E3E"/>
    <w:rsid w:val="0009166F"/>
    <w:rsid w:val="00091812"/>
    <w:rsid w:val="00095FE4"/>
    <w:rsid w:val="000BB635"/>
    <w:rsid w:val="000C290C"/>
    <w:rsid w:val="000F6AA0"/>
    <w:rsid w:val="00102D4D"/>
    <w:rsid w:val="00121BF5"/>
    <w:rsid w:val="0013484E"/>
    <w:rsid w:val="001509C4"/>
    <w:rsid w:val="0017024A"/>
    <w:rsid w:val="001766F7"/>
    <w:rsid w:val="001A238F"/>
    <w:rsid w:val="001C7200"/>
    <w:rsid w:val="001D0D5D"/>
    <w:rsid w:val="001D6282"/>
    <w:rsid w:val="00213ACE"/>
    <w:rsid w:val="00215027"/>
    <w:rsid w:val="00224479"/>
    <w:rsid w:val="002337A6"/>
    <w:rsid w:val="00253069"/>
    <w:rsid w:val="00260186"/>
    <w:rsid w:val="002664B7"/>
    <w:rsid w:val="00266838"/>
    <w:rsid w:val="00267556"/>
    <w:rsid w:val="00273732"/>
    <w:rsid w:val="0028A4C2"/>
    <w:rsid w:val="00291D08"/>
    <w:rsid w:val="002D3BE6"/>
    <w:rsid w:val="002F20F0"/>
    <w:rsid w:val="002F258F"/>
    <w:rsid w:val="002F7EC1"/>
    <w:rsid w:val="00300D62"/>
    <w:rsid w:val="00350348"/>
    <w:rsid w:val="003B6749"/>
    <w:rsid w:val="003C6061"/>
    <w:rsid w:val="003D1818"/>
    <w:rsid w:val="003F51E6"/>
    <w:rsid w:val="00401CAC"/>
    <w:rsid w:val="00412336"/>
    <w:rsid w:val="004326F8"/>
    <w:rsid w:val="00434076"/>
    <w:rsid w:val="00443CE5"/>
    <w:rsid w:val="00471E48"/>
    <w:rsid w:val="00476A72"/>
    <w:rsid w:val="00486DA6"/>
    <w:rsid w:val="004A7B56"/>
    <w:rsid w:val="004B54A9"/>
    <w:rsid w:val="004F6E0A"/>
    <w:rsid w:val="004F6F84"/>
    <w:rsid w:val="00505022"/>
    <w:rsid w:val="00541404"/>
    <w:rsid w:val="0054417F"/>
    <w:rsid w:val="0055EEA9"/>
    <w:rsid w:val="00562343"/>
    <w:rsid w:val="0059069B"/>
    <w:rsid w:val="00592E89"/>
    <w:rsid w:val="005B04B7"/>
    <w:rsid w:val="005B2F7E"/>
    <w:rsid w:val="005D02DE"/>
    <w:rsid w:val="005E09EF"/>
    <w:rsid w:val="005F70DF"/>
    <w:rsid w:val="006028DF"/>
    <w:rsid w:val="006029DD"/>
    <w:rsid w:val="0063006B"/>
    <w:rsid w:val="00631402"/>
    <w:rsid w:val="00637866"/>
    <w:rsid w:val="00637E28"/>
    <w:rsid w:val="006420E4"/>
    <w:rsid w:val="0065603B"/>
    <w:rsid w:val="006718B1"/>
    <w:rsid w:val="006857E2"/>
    <w:rsid w:val="00685963"/>
    <w:rsid w:val="0068E9A9"/>
    <w:rsid w:val="006A6D91"/>
    <w:rsid w:val="006D651C"/>
    <w:rsid w:val="006F7541"/>
    <w:rsid w:val="00702A0E"/>
    <w:rsid w:val="00703A3B"/>
    <w:rsid w:val="007043A9"/>
    <w:rsid w:val="00706705"/>
    <w:rsid w:val="00723326"/>
    <w:rsid w:val="00731F4D"/>
    <w:rsid w:val="00746AB2"/>
    <w:rsid w:val="00766AA9"/>
    <w:rsid w:val="00787384"/>
    <w:rsid w:val="00790BEF"/>
    <w:rsid w:val="007926A8"/>
    <w:rsid w:val="007A7418"/>
    <w:rsid w:val="007C2DD7"/>
    <w:rsid w:val="007C42C6"/>
    <w:rsid w:val="007D4C0C"/>
    <w:rsid w:val="007D5540"/>
    <w:rsid w:val="007D658D"/>
    <w:rsid w:val="007E1DD2"/>
    <w:rsid w:val="007E47BA"/>
    <w:rsid w:val="007E49C5"/>
    <w:rsid w:val="007F21B6"/>
    <w:rsid w:val="007F36B1"/>
    <w:rsid w:val="00801C8D"/>
    <w:rsid w:val="00803390"/>
    <w:rsid w:val="0082613B"/>
    <w:rsid w:val="008304B3"/>
    <w:rsid w:val="008504B5"/>
    <w:rsid w:val="00897D82"/>
    <w:rsid w:val="008C6B13"/>
    <w:rsid w:val="008F0445"/>
    <w:rsid w:val="008F4D5A"/>
    <w:rsid w:val="00903FC6"/>
    <w:rsid w:val="00970972"/>
    <w:rsid w:val="00971130"/>
    <w:rsid w:val="00982595"/>
    <w:rsid w:val="009833EE"/>
    <w:rsid w:val="009D70D2"/>
    <w:rsid w:val="009F0C09"/>
    <w:rsid w:val="009F0C6B"/>
    <w:rsid w:val="00A00B1F"/>
    <w:rsid w:val="00A05D52"/>
    <w:rsid w:val="00A240B1"/>
    <w:rsid w:val="00A37010"/>
    <w:rsid w:val="00A3710E"/>
    <w:rsid w:val="00A41910"/>
    <w:rsid w:val="00A57093"/>
    <w:rsid w:val="00A615F1"/>
    <w:rsid w:val="00A82E8F"/>
    <w:rsid w:val="00A85DDA"/>
    <w:rsid w:val="00A91154"/>
    <w:rsid w:val="00A934C7"/>
    <w:rsid w:val="00A97AAD"/>
    <w:rsid w:val="00AC1A78"/>
    <w:rsid w:val="00AC2328"/>
    <w:rsid w:val="00AD058D"/>
    <w:rsid w:val="00B07767"/>
    <w:rsid w:val="00B219D7"/>
    <w:rsid w:val="00B443A2"/>
    <w:rsid w:val="00B647F4"/>
    <w:rsid w:val="00B7107C"/>
    <w:rsid w:val="00B815BA"/>
    <w:rsid w:val="00B81F6A"/>
    <w:rsid w:val="00B9574D"/>
    <w:rsid w:val="00B966BE"/>
    <w:rsid w:val="00BC6653"/>
    <w:rsid w:val="00BE057D"/>
    <w:rsid w:val="00BF0A74"/>
    <w:rsid w:val="00BF5B9D"/>
    <w:rsid w:val="00C21C2D"/>
    <w:rsid w:val="00C2756F"/>
    <w:rsid w:val="00C3485C"/>
    <w:rsid w:val="00C35BBC"/>
    <w:rsid w:val="00C40501"/>
    <w:rsid w:val="00C439BF"/>
    <w:rsid w:val="00C43A0B"/>
    <w:rsid w:val="00C45725"/>
    <w:rsid w:val="00C50419"/>
    <w:rsid w:val="00C51388"/>
    <w:rsid w:val="00C52359"/>
    <w:rsid w:val="00C603CE"/>
    <w:rsid w:val="00C65721"/>
    <w:rsid w:val="00C97CD0"/>
    <w:rsid w:val="00CA4086"/>
    <w:rsid w:val="00CC34B9"/>
    <w:rsid w:val="00CC6C01"/>
    <w:rsid w:val="00D0433F"/>
    <w:rsid w:val="00D04751"/>
    <w:rsid w:val="00D523FC"/>
    <w:rsid w:val="00D712F1"/>
    <w:rsid w:val="00D8500D"/>
    <w:rsid w:val="00D92A75"/>
    <w:rsid w:val="00D94862"/>
    <w:rsid w:val="00DC0226"/>
    <w:rsid w:val="00DD5809"/>
    <w:rsid w:val="00DE6BD6"/>
    <w:rsid w:val="00E44F63"/>
    <w:rsid w:val="00E45FC2"/>
    <w:rsid w:val="00E57461"/>
    <w:rsid w:val="00E621D0"/>
    <w:rsid w:val="00E634B5"/>
    <w:rsid w:val="00E64629"/>
    <w:rsid w:val="00E8450A"/>
    <w:rsid w:val="00E944EC"/>
    <w:rsid w:val="00E97E73"/>
    <w:rsid w:val="00EAE7E5"/>
    <w:rsid w:val="00EB2940"/>
    <w:rsid w:val="00EC5CA6"/>
    <w:rsid w:val="00EC6578"/>
    <w:rsid w:val="00EF1335"/>
    <w:rsid w:val="00EF5E52"/>
    <w:rsid w:val="00F02458"/>
    <w:rsid w:val="00F07C19"/>
    <w:rsid w:val="00F4EC5C"/>
    <w:rsid w:val="00F6562E"/>
    <w:rsid w:val="00F775C9"/>
    <w:rsid w:val="00F832F8"/>
    <w:rsid w:val="00FA42CB"/>
    <w:rsid w:val="00FA5BE7"/>
    <w:rsid w:val="00FBC299"/>
    <w:rsid w:val="00FE47FE"/>
    <w:rsid w:val="00FF7045"/>
    <w:rsid w:val="0103D901"/>
    <w:rsid w:val="013BFC6D"/>
    <w:rsid w:val="0140468F"/>
    <w:rsid w:val="01479A5C"/>
    <w:rsid w:val="014A0017"/>
    <w:rsid w:val="01D095C1"/>
    <w:rsid w:val="01E76961"/>
    <w:rsid w:val="01FCA55F"/>
    <w:rsid w:val="025B7D95"/>
    <w:rsid w:val="0261E355"/>
    <w:rsid w:val="02878349"/>
    <w:rsid w:val="02B5EE30"/>
    <w:rsid w:val="02C80D8E"/>
    <w:rsid w:val="02F32FF2"/>
    <w:rsid w:val="03047B91"/>
    <w:rsid w:val="0324DBEB"/>
    <w:rsid w:val="033DD85C"/>
    <w:rsid w:val="033EA2EF"/>
    <w:rsid w:val="034A1515"/>
    <w:rsid w:val="03681548"/>
    <w:rsid w:val="037167B9"/>
    <w:rsid w:val="03737EFA"/>
    <w:rsid w:val="0378E617"/>
    <w:rsid w:val="037D3B11"/>
    <w:rsid w:val="0388E27E"/>
    <w:rsid w:val="0395BB43"/>
    <w:rsid w:val="03CA5D25"/>
    <w:rsid w:val="03F01588"/>
    <w:rsid w:val="03FC3D96"/>
    <w:rsid w:val="041F0B83"/>
    <w:rsid w:val="0422535D"/>
    <w:rsid w:val="04396346"/>
    <w:rsid w:val="045D67D0"/>
    <w:rsid w:val="048CAE8E"/>
    <w:rsid w:val="04AFE59C"/>
    <w:rsid w:val="04C3B0D0"/>
    <w:rsid w:val="04DD5767"/>
    <w:rsid w:val="05096219"/>
    <w:rsid w:val="050D90F8"/>
    <w:rsid w:val="050FE732"/>
    <w:rsid w:val="0552D6A7"/>
    <w:rsid w:val="0562E5C4"/>
    <w:rsid w:val="057CBCD2"/>
    <w:rsid w:val="05B57782"/>
    <w:rsid w:val="05BA5A86"/>
    <w:rsid w:val="05DCF957"/>
    <w:rsid w:val="05F7EDBB"/>
    <w:rsid w:val="05FB222B"/>
    <w:rsid w:val="0614CBE6"/>
    <w:rsid w:val="063E374B"/>
    <w:rsid w:val="06513BA9"/>
    <w:rsid w:val="065CC765"/>
    <w:rsid w:val="066F08EB"/>
    <w:rsid w:val="06C9BC4D"/>
    <w:rsid w:val="06CE9D28"/>
    <w:rsid w:val="06ECAC43"/>
    <w:rsid w:val="0734C589"/>
    <w:rsid w:val="0741A729"/>
    <w:rsid w:val="07602FAA"/>
    <w:rsid w:val="07784AF0"/>
    <w:rsid w:val="078BDC71"/>
    <w:rsid w:val="0799728E"/>
    <w:rsid w:val="07AA2E14"/>
    <w:rsid w:val="07B7C7A8"/>
    <w:rsid w:val="07BCCB9F"/>
    <w:rsid w:val="07BDA084"/>
    <w:rsid w:val="07C0B9E3"/>
    <w:rsid w:val="08239083"/>
    <w:rsid w:val="082CD091"/>
    <w:rsid w:val="0831613E"/>
    <w:rsid w:val="08328C0F"/>
    <w:rsid w:val="08346E55"/>
    <w:rsid w:val="08466FF3"/>
    <w:rsid w:val="0867CAFB"/>
    <w:rsid w:val="08AD5DF3"/>
    <w:rsid w:val="08CD430A"/>
    <w:rsid w:val="08FC6CC9"/>
    <w:rsid w:val="08FEAD2D"/>
    <w:rsid w:val="09250B58"/>
    <w:rsid w:val="09298326"/>
    <w:rsid w:val="09573986"/>
    <w:rsid w:val="0A1A973E"/>
    <w:rsid w:val="0A453999"/>
    <w:rsid w:val="0A49DBD8"/>
    <w:rsid w:val="0A680D2B"/>
    <w:rsid w:val="0A7209D1"/>
    <w:rsid w:val="0A97DF5A"/>
    <w:rsid w:val="0AE648FA"/>
    <w:rsid w:val="0AE97FFB"/>
    <w:rsid w:val="0AF09040"/>
    <w:rsid w:val="0B00B7C5"/>
    <w:rsid w:val="0B04C4F8"/>
    <w:rsid w:val="0B073A59"/>
    <w:rsid w:val="0B595CC0"/>
    <w:rsid w:val="0B6AE9F1"/>
    <w:rsid w:val="0B82885B"/>
    <w:rsid w:val="0B8B31C1"/>
    <w:rsid w:val="0BA7C5C5"/>
    <w:rsid w:val="0BB6CB46"/>
    <w:rsid w:val="0BBDAEF0"/>
    <w:rsid w:val="0BE0743F"/>
    <w:rsid w:val="0BE94054"/>
    <w:rsid w:val="0C04DF6D"/>
    <w:rsid w:val="0C130FE0"/>
    <w:rsid w:val="0C2B67C9"/>
    <w:rsid w:val="0C4A3A6D"/>
    <w:rsid w:val="0C4C2105"/>
    <w:rsid w:val="0C666E71"/>
    <w:rsid w:val="0C703AA8"/>
    <w:rsid w:val="0C95D00C"/>
    <w:rsid w:val="0C9CF514"/>
    <w:rsid w:val="0CA4BA7E"/>
    <w:rsid w:val="0CB4BC9E"/>
    <w:rsid w:val="0CD2517C"/>
    <w:rsid w:val="0CD77B3A"/>
    <w:rsid w:val="0CE29607"/>
    <w:rsid w:val="0CF6BD87"/>
    <w:rsid w:val="0D0FF774"/>
    <w:rsid w:val="0D222CBD"/>
    <w:rsid w:val="0D27E525"/>
    <w:rsid w:val="0D2ECC5E"/>
    <w:rsid w:val="0D5BD682"/>
    <w:rsid w:val="0D68EA6A"/>
    <w:rsid w:val="0D93D59B"/>
    <w:rsid w:val="0D9DFF93"/>
    <w:rsid w:val="0DDBF6E4"/>
    <w:rsid w:val="0E401418"/>
    <w:rsid w:val="0E8E8A2D"/>
    <w:rsid w:val="0EC0237C"/>
    <w:rsid w:val="0ED2AB82"/>
    <w:rsid w:val="0EDA4D4E"/>
    <w:rsid w:val="0F2504B6"/>
    <w:rsid w:val="0F2F8280"/>
    <w:rsid w:val="0F374583"/>
    <w:rsid w:val="0F48B55B"/>
    <w:rsid w:val="0F53B34F"/>
    <w:rsid w:val="0F65926B"/>
    <w:rsid w:val="0F7344C5"/>
    <w:rsid w:val="0F930234"/>
    <w:rsid w:val="0FBC2B7C"/>
    <w:rsid w:val="0FD33AFC"/>
    <w:rsid w:val="0FDB51BF"/>
    <w:rsid w:val="0FDC1DBE"/>
    <w:rsid w:val="0FEB1350"/>
    <w:rsid w:val="0FF50876"/>
    <w:rsid w:val="0FF60FAE"/>
    <w:rsid w:val="10094377"/>
    <w:rsid w:val="101FAA6A"/>
    <w:rsid w:val="10317F1D"/>
    <w:rsid w:val="10337BBD"/>
    <w:rsid w:val="103D6063"/>
    <w:rsid w:val="10454A71"/>
    <w:rsid w:val="10520DA6"/>
    <w:rsid w:val="1059E305"/>
    <w:rsid w:val="10689BEB"/>
    <w:rsid w:val="1099E251"/>
    <w:rsid w:val="10AEE187"/>
    <w:rsid w:val="10C2BDDE"/>
    <w:rsid w:val="10DDCD77"/>
    <w:rsid w:val="10E7247A"/>
    <w:rsid w:val="111636F1"/>
    <w:rsid w:val="11339061"/>
    <w:rsid w:val="114B9CE4"/>
    <w:rsid w:val="116D1C60"/>
    <w:rsid w:val="11856D0B"/>
    <w:rsid w:val="119BDF01"/>
    <w:rsid w:val="11BF66C9"/>
    <w:rsid w:val="11CF160D"/>
    <w:rsid w:val="11DCC651"/>
    <w:rsid w:val="11DF128E"/>
    <w:rsid w:val="11E27DDD"/>
    <w:rsid w:val="11F329B4"/>
    <w:rsid w:val="122ED92D"/>
    <w:rsid w:val="124181AF"/>
    <w:rsid w:val="126279D3"/>
    <w:rsid w:val="12683584"/>
    <w:rsid w:val="128929DB"/>
    <w:rsid w:val="12B07F13"/>
    <w:rsid w:val="12B0BC12"/>
    <w:rsid w:val="12C12B5B"/>
    <w:rsid w:val="1326F9C9"/>
    <w:rsid w:val="132BCD05"/>
    <w:rsid w:val="13518835"/>
    <w:rsid w:val="135C8305"/>
    <w:rsid w:val="136315C6"/>
    <w:rsid w:val="1376BEF8"/>
    <w:rsid w:val="137E1698"/>
    <w:rsid w:val="138628C4"/>
    <w:rsid w:val="13AE2F23"/>
    <w:rsid w:val="13FA82EB"/>
    <w:rsid w:val="14B380EC"/>
    <w:rsid w:val="14B406BE"/>
    <w:rsid w:val="14C5954E"/>
    <w:rsid w:val="14CF5AE9"/>
    <w:rsid w:val="14E5A2BC"/>
    <w:rsid w:val="15088ADB"/>
    <w:rsid w:val="153AE3E1"/>
    <w:rsid w:val="15526FB2"/>
    <w:rsid w:val="1552B5AB"/>
    <w:rsid w:val="15737BCE"/>
    <w:rsid w:val="15763DA6"/>
    <w:rsid w:val="1583FC04"/>
    <w:rsid w:val="15A98A98"/>
    <w:rsid w:val="15C1ECD9"/>
    <w:rsid w:val="15C5D73B"/>
    <w:rsid w:val="15D755A7"/>
    <w:rsid w:val="15F66411"/>
    <w:rsid w:val="161BCE0C"/>
    <w:rsid w:val="16314F19"/>
    <w:rsid w:val="164BB1EA"/>
    <w:rsid w:val="1655D755"/>
    <w:rsid w:val="165F27DE"/>
    <w:rsid w:val="168B86DC"/>
    <w:rsid w:val="16AB2D8E"/>
    <w:rsid w:val="16C5C38F"/>
    <w:rsid w:val="16EB86B4"/>
    <w:rsid w:val="16F3D712"/>
    <w:rsid w:val="17417992"/>
    <w:rsid w:val="17471162"/>
    <w:rsid w:val="176B05EC"/>
    <w:rsid w:val="176E5822"/>
    <w:rsid w:val="179E8FA5"/>
    <w:rsid w:val="17C2C24E"/>
    <w:rsid w:val="17CF52A9"/>
    <w:rsid w:val="17D77B5C"/>
    <w:rsid w:val="17FA5EAD"/>
    <w:rsid w:val="180D6CBE"/>
    <w:rsid w:val="1833FA4D"/>
    <w:rsid w:val="1880649D"/>
    <w:rsid w:val="1885973C"/>
    <w:rsid w:val="1894868B"/>
    <w:rsid w:val="18AAD396"/>
    <w:rsid w:val="18AAE173"/>
    <w:rsid w:val="196A64A9"/>
    <w:rsid w:val="196C08B1"/>
    <w:rsid w:val="199FD810"/>
    <w:rsid w:val="19BF09EC"/>
    <w:rsid w:val="19BF58AF"/>
    <w:rsid w:val="19C00DF5"/>
    <w:rsid w:val="19F6B4E5"/>
    <w:rsid w:val="19FAB1F2"/>
    <w:rsid w:val="1A5646E4"/>
    <w:rsid w:val="1A6F628D"/>
    <w:rsid w:val="1A7636BB"/>
    <w:rsid w:val="1A76B2F3"/>
    <w:rsid w:val="1A7B09E9"/>
    <w:rsid w:val="1A8E43D7"/>
    <w:rsid w:val="1AAD8AD2"/>
    <w:rsid w:val="1AD019BC"/>
    <w:rsid w:val="1AD84484"/>
    <w:rsid w:val="1AE9E583"/>
    <w:rsid w:val="1B06B9FB"/>
    <w:rsid w:val="1B55BB3B"/>
    <w:rsid w:val="1B6B23BC"/>
    <w:rsid w:val="1BB396FE"/>
    <w:rsid w:val="1BC989A3"/>
    <w:rsid w:val="1BD36F3D"/>
    <w:rsid w:val="1C16384E"/>
    <w:rsid w:val="1C1D687D"/>
    <w:rsid w:val="1C1EB0AD"/>
    <w:rsid w:val="1C23593F"/>
    <w:rsid w:val="1C6AD503"/>
    <w:rsid w:val="1C849963"/>
    <w:rsid w:val="1C9DF23F"/>
    <w:rsid w:val="1CA9161A"/>
    <w:rsid w:val="1CB08E3D"/>
    <w:rsid w:val="1CBBE7BD"/>
    <w:rsid w:val="1CC5B34B"/>
    <w:rsid w:val="1CFAC55B"/>
    <w:rsid w:val="1D07B677"/>
    <w:rsid w:val="1D1B7C12"/>
    <w:rsid w:val="1D3FE685"/>
    <w:rsid w:val="1D6D7F3C"/>
    <w:rsid w:val="1D6E08C0"/>
    <w:rsid w:val="1D6F70A4"/>
    <w:rsid w:val="1D74ACED"/>
    <w:rsid w:val="1D9AE71C"/>
    <w:rsid w:val="1DCD7DB1"/>
    <w:rsid w:val="1DE177C9"/>
    <w:rsid w:val="1DE8D130"/>
    <w:rsid w:val="1E0509FF"/>
    <w:rsid w:val="1E1A1E66"/>
    <w:rsid w:val="1E486DBF"/>
    <w:rsid w:val="1E54EB18"/>
    <w:rsid w:val="1E6DEFC2"/>
    <w:rsid w:val="1E731FAB"/>
    <w:rsid w:val="1EA82F74"/>
    <w:rsid w:val="1EB315F3"/>
    <w:rsid w:val="1ED50E21"/>
    <w:rsid w:val="1F0274B7"/>
    <w:rsid w:val="1F20F530"/>
    <w:rsid w:val="1F242373"/>
    <w:rsid w:val="1F3FBAAE"/>
    <w:rsid w:val="1F63C6C9"/>
    <w:rsid w:val="1F6EB2C5"/>
    <w:rsid w:val="1F762A02"/>
    <w:rsid w:val="1F9BB2EF"/>
    <w:rsid w:val="1FA13908"/>
    <w:rsid w:val="1FBA71AF"/>
    <w:rsid w:val="1FCE0ABC"/>
    <w:rsid w:val="1FDF940D"/>
    <w:rsid w:val="1FFC2748"/>
    <w:rsid w:val="20066BD3"/>
    <w:rsid w:val="20361167"/>
    <w:rsid w:val="2036257F"/>
    <w:rsid w:val="204733B5"/>
    <w:rsid w:val="2060A1FB"/>
    <w:rsid w:val="208AEB30"/>
    <w:rsid w:val="208E70DF"/>
    <w:rsid w:val="20ACD792"/>
    <w:rsid w:val="20BEDB1A"/>
    <w:rsid w:val="20D38CD7"/>
    <w:rsid w:val="20DD6786"/>
    <w:rsid w:val="20E3317A"/>
    <w:rsid w:val="20F41C74"/>
    <w:rsid w:val="20F7F386"/>
    <w:rsid w:val="212CCED7"/>
    <w:rsid w:val="214B2B70"/>
    <w:rsid w:val="217C45D8"/>
    <w:rsid w:val="218F4701"/>
    <w:rsid w:val="2195CC00"/>
    <w:rsid w:val="219CE2E5"/>
    <w:rsid w:val="21AF9DE3"/>
    <w:rsid w:val="21DE2578"/>
    <w:rsid w:val="21E41F77"/>
    <w:rsid w:val="21EAAEEC"/>
    <w:rsid w:val="21F8BA34"/>
    <w:rsid w:val="220400FA"/>
    <w:rsid w:val="22116DFA"/>
    <w:rsid w:val="22167B2F"/>
    <w:rsid w:val="2227B023"/>
    <w:rsid w:val="2238F8FD"/>
    <w:rsid w:val="224754B2"/>
    <w:rsid w:val="22477303"/>
    <w:rsid w:val="22520564"/>
    <w:rsid w:val="226AE7EB"/>
    <w:rsid w:val="226F5627"/>
    <w:rsid w:val="227695D2"/>
    <w:rsid w:val="22787AB0"/>
    <w:rsid w:val="2286AF75"/>
    <w:rsid w:val="228796D8"/>
    <w:rsid w:val="22E3B79C"/>
    <w:rsid w:val="22E645B2"/>
    <w:rsid w:val="22F2D662"/>
    <w:rsid w:val="22FA6B61"/>
    <w:rsid w:val="231C1B11"/>
    <w:rsid w:val="233C80E4"/>
    <w:rsid w:val="234576A0"/>
    <w:rsid w:val="23625939"/>
    <w:rsid w:val="23658C53"/>
    <w:rsid w:val="2373F9E8"/>
    <w:rsid w:val="2387FCE4"/>
    <w:rsid w:val="239B7AC9"/>
    <w:rsid w:val="23AEE321"/>
    <w:rsid w:val="23B6FB0B"/>
    <w:rsid w:val="23C5DA63"/>
    <w:rsid w:val="23D4A8FA"/>
    <w:rsid w:val="240361E5"/>
    <w:rsid w:val="240F01ED"/>
    <w:rsid w:val="2412CE37"/>
    <w:rsid w:val="241B1901"/>
    <w:rsid w:val="242B974C"/>
    <w:rsid w:val="24703A8B"/>
    <w:rsid w:val="2474C6D8"/>
    <w:rsid w:val="247643D2"/>
    <w:rsid w:val="24F42864"/>
    <w:rsid w:val="24FA63AE"/>
    <w:rsid w:val="250D9492"/>
    <w:rsid w:val="25193A6A"/>
    <w:rsid w:val="253CB601"/>
    <w:rsid w:val="2557AE07"/>
    <w:rsid w:val="25646AA7"/>
    <w:rsid w:val="2578C587"/>
    <w:rsid w:val="257D513F"/>
    <w:rsid w:val="2584EB86"/>
    <w:rsid w:val="25D48B81"/>
    <w:rsid w:val="25E2BFC3"/>
    <w:rsid w:val="25EC4ADA"/>
    <w:rsid w:val="2624061C"/>
    <w:rsid w:val="263D8836"/>
    <w:rsid w:val="264B26C3"/>
    <w:rsid w:val="265E7A3E"/>
    <w:rsid w:val="26A339FD"/>
    <w:rsid w:val="26A3E770"/>
    <w:rsid w:val="26A4453B"/>
    <w:rsid w:val="26CE3120"/>
    <w:rsid w:val="26D72C7B"/>
    <w:rsid w:val="26F20B4B"/>
    <w:rsid w:val="26F6BBCB"/>
    <w:rsid w:val="26FE9A67"/>
    <w:rsid w:val="26FF96EC"/>
    <w:rsid w:val="26FFC204"/>
    <w:rsid w:val="271969CC"/>
    <w:rsid w:val="2724A5A7"/>
    <w:rsid w:val="27533732"/>
    <w:rsid w:val="275FE80F"/>
    <w:rsid w:val="27B7CD22"/>
    <w:rsid w:val="27C7EA2B"/>
    <w:rsid w:val="27CDBD82"/>
    <w:rsid w:val="27D5A513"/>
    <w:rsid w:val="27D9C05F"/>
    <w:rsid w:val="27F8308D"/>
    <w:rsid w:val="2819E760"/>
    <w:rsid w:val="283573DA"/>
    <w:rsid w:val="2839952F"/>
    <w:rsid w:val="286F3B64"/>
    <w:rsid w:val="286F5A3A"/>
    <w:rsid w:val="2873BFFE"/>
    <w:rsid w:val="288F9B7C"/>
    <w:rsid w:val="28928473"/>
    <w:rsid w:val="289DFCBE"/>
    <w:rsid w:val="28B6246C"/>
    <w:rsid w:val="28DE07A6"/>
    <w:rsid w:val="28E54477"/>
    <w:rsid w:val="28EB209D"/>
    <w:rsid w:val="291AB643"/>
    <w:rsid w:val="29255F7B"/>
    <w:rsid w:val="2929D8C7"/>
    <w:rsid w:val="29458C36"/>
    <w:rsid w:val="2950731E"/>
    <w:rsid w:val="295A718A"/>
    <w:rsid w:val="296316F0"/>
    <w:rsid w:val="296845DA"/>
    <w:rsid w:val="29756220"/>
    <w:rsid w:val="29D2ED16"/>
    <w:rsid w:val="2A00E3E9"/>
    <w:rsid w:val="2A081CD6"/>
    <w:rsid w:val="2A1F547B"/>
    <w:rsid w:val="2A2C03E6"/>
    <w:rsid w:val="2A3D6944"/>
    <w:rsid w:val="2A46C81E"/>
    <w:rsid w:val="2A4F1C86"/>
    <w:rsid w:val="2A54AFA6"/>
    <w:rsid w:val="2A649A84"/>
    <w:rsid w:val="2A6C1ACA"/>
    <w:rsid w:val="2A701BF2"/>
    <w:rsid w:val="2A7E70B2"/>
    <w:rsid w:val="2A83E6BE"/>
    <w:rsid w:val="2A9ED70F"/>
    <w:rsid w:val="2AA49276"/>
    <w:rsid w:val="2ACB6477"/>
    <w:rsid w:val="2AD30E52"/>
    <w:rsid w:val="2ADF3E10"/>
    <w:rsid w:val="2B19BA10"/>
    <w:rsid w:val="2B43F926"/>
    <w:rsid w:val="2B512164"/>
    <w:rsid w:val="2B558A16"/>
    <w:rsid w:val="2B6EDE9B"/>
    <w:rsid w:val="2B80F7EC"/>
    <w:rsid w:val="2B83FD73"/>
    <w:rsid w:val="2BB5AC43"/>
    <w:rsid w:val="2BCDC5C1"/>
    <w:rsid w:val="2BD419B1"/>
    <w:rsid w:val="2C1C258E"/>
    <w:rsid w:val="2C26D5CF"/>
    <w:rsid w:val="2C2FC25B"/>
    <w:rsid w:val="2C325CA0"/>
    <w:rsid w:val="2C4152FD"/>
    <w:rsid w:val="2C555567"/>
    <w:rsid w:val="2CA330C6"/>
    <w:rsid w:val="2CB6C5A4"/>
    <w:rsid w:val="2CBDA7BA"/>
    <w:rsid w:val="2CCCCDC3"/>
    <w:rsid w:val="2CD5B84C"/>
    <w:rsid w:val="2CF7D8BE"/>
    <w:rsid w:val="2CFCE441"/>
    <w:rsid w:val="2D25511C"/>
    <w:rsid w:val="2D7AF032"/>
    <w:rsid w:val="2D7B3DDD"/>
    <w:rsid w:val="2D8AE01D"/>
    <w:rsid w:val="2DCBD6D4"/>
    <w:rsid w:val="2DDAC95C"/>
    <w:rsid w:val="2DF4B14B"/>
    <w:rsid w:val="2E2DD4CD"/>
    <w:rsid w:val="2E6F13C9"/>
    <w:rsid w:val="2E88A470"/>
    <w:rsid w:val="2EA50A27"/>
    <w:rsid w:val="2EADEF0B"/>
    <w:rsid w:val="2EB47E06"/>
    <w:rsid w:val="2EC64C88"/>
    <w:rsid w:val="2ED585FB"/>
    <w:rsid w:val="2EF0586A"/>
    <w:rsid w:val="2EF2D5B0"/>
    <w:rsid w:val="2F06A3BB"/>
    <w:rsid w:val="2F1AF14F"/>
    <w:rsid w:val="2F2B64A7"/>
    <w:rsid w:val="2F3103C6"/>
    <w:rsid w:val="2F602767"/>
    <w:rsid w:val="2F6A9308"/>
    <w:rsid w:val="2F7AEF36"/>
    <w:rsid w:val="2F9DFBC5"/>
    <w:rsid w:val="2FA54085"/>
    <w:rsid w:val="2FBBC33F"/>
    <w:rsid w:val="2FDDF3F2"/>
    <w:rsid w:val="2FEEB10A"/>
    <w:rsid w:val="3011A4C9"/>
    <w:rsid w:val="30160D12"/>
    <w:rsid w:val="301B4B14"/>
    <w:rsid w:val="3020B466"/>
    <w:rsid w:val="303BE5C6"/>
    <w:rsid w:val="3042240B"/>
    <w:rsid w:val="306298FE"/>
    <w:rsid w:val="306A32AF"/>
    <w:rsid w:val="30935393"/>
    <w:rsid w:val="3099BDA5"/>
    <w:rsid w:val="30D73C50"/>
    <w:rsid w:val="3108B0A4"/>
    <w:rsid w:val="3152ED97"/>
    <w:rsid w:val="31599405"/>
    <w:rsid w:val="3172B104"/>
    <w:rsid w:val="31ADF391"/>
    <w:rsid w:val="31C2BFB2"/>
    <w:rsid w:val="31C2C6EA"/>
    <w:rsid w:val="31D314B7"/>
    <w:rsid w:val="31FE89F1"/>
    <w:rsid w:val="32128718"/>
    <w:rsid w:val="3212F4F2"/>
    <w:rsid w:val="3229A900"/>
    <w:rsid w:val="325B9CF9"/>
    <w:rsid w:val="3269709D"/>
    <w:rsid w:val="327513B6"/>
    <w:rsid w:val="32B85888"/>
    <w:rsid w:val="32C79759"/>
    <w:rsid w:val="32F0B943"/>
    <w:rsid w:val="331E85D8"/>
    <w:rsid w:val="332B67DD"/>
    <w:rsid w:val="33303D85"/>
    <w:rsid w:val="333912CE"/>
    <w:rsid w:val="333E0B6D"/>
    <w:rsid w:val="335516F8"/>
    <w:rsid w:val="33969444"/>
    <w:rsid w:val="33A12ECD"/>
    <w:rsid w:val="33A22CBD"/>
    <w:rsid w:val="33B3C829"/>
    <w:rsid w:val="33C8334C"/>
    <w:rsid w:val="341226EB"/>
    <w:rsid w:val="3415B783"/>
    <w:rsid w:val="3429D18A"/>
    <w:rsid w:val="342EDDBA"/>
    <w:rsid w:val="343698E5"/>
    <w:rsid w:val="3437D9B4"/>
    <w:rsid w:val="34468999"/>
    <w:rsid w:val="345ED6F3"/>
    <w:rsid w:val="34600369"/>
    <w:rsid w:val="3468C55D"/>
    <w:rsid w:val="346F2D73"/>
    <w:rsid w:val="34942571"/>
    <w:rsid w:val="349B2A4E"/>
    <w:rsid w:val="34BAFC9D"/>
    <w:rsid w:val="34BBC0FF"/>
    <w:rsid w:val="34CF9832"/>
    <w:rsid w:val="34D58BD1"/>
    <w:rsid w:val="34EA23B8"/>
    <w:rsid w:val="34F7A50E"/>
    <w:rsid w:val="3513AA63"/>
    <w:rsid w:val="352C2BB1"/>
    <w:rsid w:val="352ED66A"/>
    <w:rsid w:val="354B5784"/>
    <w:rsid w:val="354E3475"/>
    <w:rsid w:val="356D6B9E"/>
    <w:rsid w:val="35A0793F"/>
    <w:rsid w:val="35B2B27B"/>
    <w:rsid w:val="35E10675"/>
    <w:rsid w:val="3621EAA4"/>
    <w:rsid w:val="3625E344"/>
    <w:rsid w:val="364FFA30"/>
    <w:rsid w:val="36525261"/>
    <w:rsid w:val="365883CA"/>
    <w:rsid w:val="3660FBFC"/>
    <w:rsid w:val="36781D7B"/>
    <w:rsid w:val="368854C3"/>
    <w:rsid w:val="36886426"/>
    <w:rsid w:val="368A829B"/>
    <w:rsid w:val="36923C38"/>
    <w:rsid w:val="369E4194"/>
    <w:rsid w:val="36A9F476"/>
    <w:rsid w:val="36B09114"/>
    <w:rsid w:val="36B11F99"/>
    <w:rsid w:val="36C05452"/>
    <w:rsid w:val="370059F7"/>
    <w:rsid w:val="3711C874"/>
    <w:rsid w:val="373E670F"/>
    <w:rsid w:val="375404C3"/>
    <w:rsid w:val="3796FECC"/>
    <w:rsid w:val="37AF1DE8"/>
    <w:rsid w:val="37E996A1"/>
    <w:rsid w:val="37EE38B3"/>
    <w:rsid w:val="37FD35F3"/>
    <w:rsid w:val="38134672"/>
    <w:rsid w:val="3814D304"/>
    <w:rsid w:val="3856D441"/>
    <w:rsid w:val="38888A42"/>
    <w:rsid w:val="38BA137F"/>
    <w:rsid w:val="38C9DCF0"/>
    <w:rsid w:val="3910291A"/>
    <w:rsid w:val="39106FA0"/>
    <w:rsid w:val="3941AF55"/>
    <w:rsid w:val="39606E6A"/>
    <w:rsid w:val="396C0833"/>
    <w:rsid w:val="397CDF09"/>
    <w:rsid w:val="39975067"/>
    <w:rsid w:val="39B024E0"/>
    <w:rsid w:val="39B0A1AD"/>
    <w:rsid w:val="39B48EF1"/>
    <w:rsid w:val="39C77548"/>
    <w:rsid w:val="39D3169F"/>
    <w:rsid w:val="39FEF575"/>
    <w:rsid w:val="3A5E9495"/>
    <w:rsid w:val="3A83CF22"/>
    <w:rsid w:val="3A9A93D5"/>
    <w:rsid w:val="3AE15DA1"/>
    <w:rsid w:val="3B1B67A2"/>
    <w:rsid w:val="3B3B8959"/>
    <w:rsid w:val="3B767CCB"/>
    <w:rsid w:val="3BA0BF48"/>
    <w:rsid w:val="3BB5F7DB"/>
    <w:rsid w:val="3BBA5AB0"/>
    <w:rsid w:val="3BECDFB0"/>
    <w:rsid w:val="3C0DB216"/>
    <w:rsid w:val="3C1F9E03"/>
    <w:rsid w:val="3C59E07B"/>
    <w:rsid w:val="3C5DC827"/>
    <w:rsid w:val="3C6AEAD0"/>
    <w:rsid w:val="3C854F63"/>
    <w:rsid w:val="3C8DDA37"/>
    <w:rsid w:val="3CB372BD"/>
    <w:rsid w:val="3CCA37D8"/>
    <w:rsid w:val="3CD76859"/>
    <w:rsid w:val="3CF50BA7"/>
    <w:rsid w:val="3D18366D"/>
    <w:rsid w:val="3D26EBE8"/>
    <w:rsid w:val="3D6EAD05"/>
    <w:rsid w:val="3D968472"/>
    <w:rsid w:val="3DB6C6A1"/>
    <w:rsid w:val="3DCD39CD"/>
    <w:rsid w:val="3DD552A6"/>
    <w:rsid w:val="3E4673F2"/>
    <w:rsid w:val="3ED03383"/>
    <w:rsid w:val="3F1C4B42"/>
    <w:rsid w:val="3F2FBA24"/>
    <w:rsid w:val="3F4879A4"/>
    <w:rsid w:val="3F6952A3"/>
    <w:rsid w:val="3F8FAB22"/>
    <w:rsid w:val="3F992622"/>
    <w:rsid w:val="3FC92BDA"/>
    <w:rsid w:val="3FC9E63D"/>
    <w:rsid w:val="3FF2BEE8"/>
    <w:rsid w:val="3FFC2F39"/>
    <w:rsid w:val="40203D4B"/>
    <w:rsid w:val="40B63034"/>
    <w:rsid w:val="40D4919C"/>
    <w:rsid w:val="40DE8012"/>
    <w:rsid w:val="40E60A35"/>
    <w:rsid w:val="412B0B24"/>
    <w:rsid w:val="41305374"/>
    <w:rsid w:val="413F6C58"/>
    <w:rsid w:val="415B36F8"/>
    <w:rsid w:val="417D2680"/>
    <w:rsid w:val="418FA35C"/>
    <w:rsid w:val="418FEF43"/>
    <w:rsid w:val="419108DA"/>
    <w:rsid w:val="41A373E0"/>
    <w:rsid w:val="41EB207A"/>
    <w:rsid w:val="41ED3AE2"/>
    <w:rsid w:val="41F1270C"/>
    <w:rsid w:val="41FF86F1"/>
    <w:rsid w:val="42182557"/>
    <w:rsid w:val="42218105"/>
    <w:rsid w:val="42583187"/>
    <w:rsid w:val="426EBBDC"/>
    <w:rsid w:val="4277A4F2"/>
    <w:rsid w:val="429177B2"/>
    <w:rsid w:val="42ED24AA"/>
    <w:rsid w:val="42F3656B"/>
    <w:rsid w:val="42F39393"/>
    <w:rsid w:val="430477FE"/>
    <w:rsid w:val="4314F506"/>
    <w:rsid w:val="4359A7F4"/>
    <w:rsid w:val="436D1612"/>
    <w:rsid w:val="439C0444"/>
    <w:rsid w:val="43AE5839"/>
    <w:rsid w:val="43B70B26"/>
    <w:rsid w:val="43C58577"/>
    <w:rsid w:val="440FF5A2"/>
    <w:rsid w:val="44131259"/>
    <w:rsid w:val="44701733"/>
    <w:rsid w:val="44711903"/>
    <w:rsid w:val="448B56ED"/>
    <w:rsid w:val="44991A87"/>
    <w:rsid w:val="44D30612"/>
    <w:rsid w:val="45011E53"/>
    <w:rsid w:val="4517E187"/>
    <w:rsid w:val="451F76A6"/>
    <w:rsid w:val="453B90A0"/>
    <w:rsid w:val="455B422F"/>
    <w:rsid w:val="455B7A2A"/>
    <w:rsid w:val="456DD207"/>
    <w:rsid w:val="45B17609"/>
    <w:rsid w:val="45DA38A9"/>
    <w:rsid w:val="45F9C606"/>
    <w:rsid w:val="45FCD236"/>
    <w:rsid w:val="4608C309"/>
    <w:rsid w:val="460BE385"/>
    <w:rsid w:val="4615E3D0"/>
    <w:rsid w:val="461ADA6A"/>
    <w:rsid w:val="4628C535"/>
    <w:rsid w:val="463B4EE3"/>
    <w:rsid w:val="46583ED2"/>
    <w:rsid w:val="466CC386"/>
    <w:rsid w:val="4670B5F7"/>
    <w:rsid w:val="4676A2B8"/>
    <w:rsid w:val="467DB518"/>
    <w:rsid w:val="46814023"/>
    <w:rsid w:val="46943B25"/>
    <w:rsid w:val="4694E679"/>
    <w:rsid w:val="4699E3AC"/>
    <w:rsid w:val="46A262CC"/>
    <w:rsid w:val="46B208CF"/>
    <w:rsid w:val="46C42AC5"/>
    <w:rsid w:val="46DFBCF0"/>
    <w:rsid w:val="46FD9EEB"/>
    <w:rsid w:val="46FF8A73"/>
    <w:rsid w:val="470298BF"/>
    <w:rsid w:val="4718BEA0"/>
    <w:rsid w:val="47194408"/>
    <w:rsid w:val="47294EA5"/>
    <w:rsid w:val="473BF6CC"/>
    <w:rsid w:val="4751F24D"/>
    <w:rsid w:val="47758639"/>
    <w:rsid w:val="47F1770A"/>
    <w:rsid w:val="48227C18"/>
    <w:rsid w:val="482F2DDC"/>
    <w:rsid w:val="4861E4BC"/>
    <w:rsid w:val="4863CA4A"/>
    <w:rsid w:val="48941DF1"/>
    <w:rsid w:val="48AEA046"/>
    <w:rsid w:val="48B00235"/>
    <w:rsid w:val="48BDE08E"/>
    <w:rsid w:val="48F3DE49"/>
    <w:rsid w:val="48FC7231"/>
    <w:rsid w:val="493406B7"/>
    <w:rsid w:val="49349AF9"/>
    <w:rsid w:val="497936FF"/>
    <w:rsid w:val="49875D08"/>
    <w:rsid w:val="49BDB9E7"/>
    <w:rsid w:val="49C471BD"/>
    <w:rsid w:val="49EF5774"/>
    <w:rsid w:val="49F7FB4A"/>
    <w:rsid w:val="4A0207C8"/>
    <w:rsid w:val="4A05C526"/>
    <w:rsid w:val="4A3409D9"/>
    <w:rsid w:val="4A372EEE"/>
    <w:rsid w:val="4A62B56B"/>
    <w:rsid w:val="4A67F400"/>
    <w:rsid w:val="4A70DC47"/>
    <w:rsid w:val="4A74BEDC"/>
    <w:rsid w:val="4A7914D6"/>
    <w:rsid w:val="4AA359B1"/>
    <w:rsid w:val="4B00D6C5"/>
    <w:rsid w:val="4B0946A6"/>
    <w:rsid w:val="4B1E83E2"/>
    <w:rsid w:val="4B40AE41"/>
    <w:rsid w:val="4B4E8EB2"/>
    <w:rsid w:val="4B576C69"/>
    <w:rsid w:val="4B5C7259"/>
    <w:rsid w:val="4B725A4E"/>
    <w:rsid w:val="4B81E974"/>
    <w:rsid w:val="4B9BAC51"/>
    <w:rsid w:val="4BA19EA4"/>
    <w:rsid w:val="4BAF1FB6"/>
    <w:rsid w:val="4BB9AD27"/>
    <w:rsid w:val="4BD5AE18"/>
    <w:rsid w:val="4BDF45D4"/>
    <w:rsid w:val="4BE352FA"/>
    <w:rsid w:val="4BF88123"/>
    <w:rsid w:val="4C02856F"/>
    <w:rsid w:val="4C03FC7D"/>
    <w:rsid w:val="4C20CDF3"/>
    <w:rsid w:val="4C234635"/>
    <w:rsid w:val="4C24DF80"/>
    <w:rsid w:val="4C31C211"/>
    <w:rsid w:val="4C333EAA"/>
    <w:rsid w:val="4C359F9B"/>
    <w:rsid w:val="4C3F3C96"/>
    <w:rsid w:val="4C602E6C"/>
    <w:rsid w:val="4C690990"/>
    <w:rsid w:val="4C970AEF"/>
    <w:rsid w:val="4C986C3C"/>
    <w:rsid w:val="4CC090C6"/>
    <w:rsid w:val="4CC3D9AE"/>
    <w:rsid w:val="4CFD4F88"/>
    <w:rsid w:val="4D500B60"/>
    <w:rsid w:val="4D588A82"/>
    <w:rsid w:val="4D7B9FCC"/>
    <w:rsid w:val="4DA99038"/>
    <w:rsid w:val="4DB35CAF"/>
    <w:rsid w:val="4DB75545"/>
    <w:rsid w:val="4E1CD8CA"/>
    <w:rsid w:val="4E24242A"/>
    <w:rsid w:val="4E26ADEE"/>
    <w:rsid w:val="4E3F0882"/>
    <w:rsid w:val="4E60AF11"/>
    <w:rsid w:val="4E705862"/>
    <w:rsid w:val="4E96BCF4"/>
    <w:rsid w:val="4EA5A001"/>
    <w:rsid w:val="4EBF7478"/>
    <w:rsid w:val="4ED4F54C"/>
    <w:rsid w:val="4EF64DA9"/>
    <w:rsid w:val="4F08CBA1"/>
    <w:rsid w:val="4F1A5E51"/>
    <w:rsid w:val="4F727B52"/>
    <w:rsid w:val="4FBE0053"/>
    <w:rsid w:val="4FEE70BE"/>
    <w:rsid w:val="5065F166"/>
    <w:rsid w:val="507594C9"/>
    <w:rsid w:val="50789F15"/>
    <w:rsid w:val="507FB43B"/>
    <w:rsid w:val="50BF22AA"/>
    <w:rsid w:val="50CDEEE4"/>
    <w:rsid w:val="50F19FDC"/>
    <w:rsid w:val="512A4A75"/>
    <w:rsid w:val="51329BD8"/>
    <w:rsid w:val="51482267"/>
    <w:rsid w:val="516BDA77"/>
    <w:rsid w:val="516D709E"/>
    <w:rsid w:val="517C5350"/>
    <w:rsid w:val="518C0384"/>
    <w:rsid w:val="518F1ACE"/>
    <w:rsid w:val="51E3BEC9"/>
    <w:rsid w:val="51E75962"/>
    <w:rsid w:val="51EEB64F"/>
    <w:rsid w:val="51F6ED23"/>
    <w:rsid w:val="51FB30D3"/>
    <w:rsid w:val="5202DAEE"/>
    <w:rsid w:val="521423B6"/>
    <w:rsid w:val="5219E01C"/>
    <w:rsid w:val="5227B8E9"/>
    <w:rsid w:val="522D3F64"/>
    <w:rsid w:val="52447A06"/>
    <w:rsid w:val="52487B1E"/>
    <w:rsid w:val="524E78BA"/>
    <w:rsid w:val="527467D1"/>
    <w:rsid w:val="528B9A9E"/>
    <w:rsid w:val="52C10B9E"/>
    <w:rsid w:val="52DD53B8"/>
    <w:rsid w:val="52EC07C3"/>
    <w:rsid w:val="52F4C69A"/>
    <w:rsid w:val="53007161"/>
    <w:rsid w:val="5333776C"/>
    <w:rsid w:val="5344885B"/>
    <w:rsid w:val="53969250"/>
    <w:rsid w:val="53A10AF4"/>
    <w:rsid w:val="53DBC1D6"/>
    <w:rsid w:val="53E3301D"/>
    <w:rsid w:val="53FCA7D2"/>
    <w:rsid w:val="541E2B1E"/>
    <w:rsid w:val="542192ED"/>
    <w:rsid w:val="54365CAB"/>
    <w:rsid w:val="5443EA20"/>
    <w:rsid w:val="544D838F"/>
    <w:rsid w:val="54552694"/>
    <w:rsid w:val="545CB5A6"/>
    <w:rsid w:val="54647668"/>
    <w:rsid w:val="5468BBAF"/>
    <w:rsid w:val="54F662C4"/>
    <w:rsid w:val="54F66BEA"/>
    <w:rsid w:val="55170D0A"/>
    <w:rsid w:val="5520DF40"/>
    <w:rsid w:val="5528342E"/>
    <w:rsid w:val="553335D6"/>
    <w:rsid w:val="5548DE86"/>
    <w:rsid w:val="554BFF57"/>
    <w:rsid w:val="55899DEF"/>
    <w:rsid w:val="55AB486E"/>
    <w:rsid w:val="55AB5A04"/>
    <w:rsid w:val="55BF7995"/>
    <w:rsid w:val="55C722C0"/>
    <w:rsid w:val="55E592E4"/>
    <w:rsid w:val="55E6CE32"/>
    <w:rsid w:val="55E90EA7"/>
    <w:rsid w:val="55F81B94"/>
    <w:rsid w:val="55F92E73"/>
    <w:rsid w:val="55FC37B2"/>
    <w:rsid w:val="5611C7ED"/>
    <w:rsid w:val="561DF9A0"/>
    <w:rsid w:val="56215D13"/>
    <w:rsid w:val="5626778C"/>
    <w:rsid w:val="56360F8B"/>
    <w:rsid w:val="56457EA6"/>
    <w:rsid w:val="564E3F6B"/>
    <w:rsid w:val="56503EEB"/>
    <w:rsid w:val="56529996"/>
    <w:rsid w:val="5664E37D"/>
    <w:rsid w:val="56B7E24F"/>
    <w:rsid w:val="56DB3D5E"/>
    <w:rsid w:val="56E159BF"/>
    <w:rsid w:val="5706579A"/>
    <w:rsid w:val="570E1E75"/>
    <w:rsid w:val="57107C67"/>
    <w:rsid w:val="57137EEE"/>
    <w:rsid w:val="57273186"/>
    <w:rsid w:val="5738C6E8"/>
    <w:rsid w:val="5774C7F0"/>
    <w:rsid w:val="5787ED2E"/>
    <w:rsid w:val="57AE8A15"/>
    <w:rsid w:val="57E3F212"/>
    <w:rsid w:val="57E74B31"/>
    <w:rsid w:val="580ED1C0"/>
    <w:rsid w:val="5820BB05"/>
    <w:rsid w:val="582FED74"/>
    <w:rsid w:val="586C3E7A"/>
    <w:rsid w:val="586C8E82"/>
    <w:rsid w:val="58AE6BB3"/>
    <w:rsid w:val="58C405B7"/>
    <w:rsid w:val="58EBCD6F"/>
    <w:rsid w:val="58F75E6A"/>
    <w:rsid w:val="58FA6D9D"/>
    <w:rsid w:val="58FF5A69"/>
    <w:rsid w:val="59324A41"/>
    <w:rsid w:val="593563E0"/>
    <w:rsid w:val="5975B5A2"/>
    <w:rsid w:val="5975E347"/>
    <w:rsid w:val="5984E506"/>
    <w:rsid w:val="59931CDA"/>
    <w:rsid w:val="59AA9620"/>
    <w:rsid w:val="59B2D3A0"/>
    <w:rsid w:val="59C2BA47"/>
    <w:rsid w:val="59D9FDC0"/>
    <w:rsid w:val="5A0757B7"/>
    <w:rsid w:val="5A1C04CF"/>
    <w:rsid w:val="5A365466"/>
    <w:rsid w:val="5A3BED4A"/>
    <w:rsid w:val="5A3D70DD"/>
    <w:rsid w:val="5A4C323C"/>
    <w:rsid w:val="5A5731CD"/>
    <w:rsid w:val="5A5F3640"/>
    <w:rsid w:val="5A721992"/>
    <w:rsid w:val="5A766E56"/>
    <w:rsid w:val="5A7C6E59"/>
    <w:rsid w:val="5A83FE59"/>
    <w:rsid w:val="5A85AEC8"/>
    <w:rsid w:val="5A9612F8"/>
    <w:rsid w:val="5AACAD83"/>
    <w:rsid w:val="5ABC1432"/>
    <w:rsid w:val="5AEC7EA3"/>
    <w:rsid w:val="5B1EE146"/>
    <w:rsid w:val="5B31E101"/>
    <w:rsid w:val="5B3AD7F2"/>
    <w:rsid w:val="5B460883"/>
    <w:rsid w:val="5B52BDA1"/>
    <w:rsid w:val="5B63C063"/>
    <w:rsid w:val="5B731058"/>
    <w:rsid w:val="5B83B3BF"/>
    <w:rsid w:val="5B868F05"/>
    <w:rsid w:val="5B8F287D"/>
    <w:rsid w:val="5BB52645"/>
    <w:rsid w:val="5BCAC66A"/>
    <w:rsid w:val="5BD54F9F"/>
    <w:rsid w:val="5BE296FF"/>
    <w:rsid w:val="5BEF5F84"/>
    <w:rsid w:val="5C089BAD"/>
    <w:rsid w:val="5C0DCB0F"/>
    <w:rsid w:val="5C734C5A"/>
    <w:rsid w:val="5C9739F9"/>
    <w:rsid w:val="5CBE6832"/>
    <w:rsid w:val="5CCC9EE1"/>
    <w:rsid w:val="5D2B1958"/>
    <w:rsid w:val="5D687686"/>
    <w:rsid w:val="5D6A4F6E"/>
    <w:rsid w:val="5D7FBE65"/>
    <w:rsid w:val="5DA0B153"/>
    <w:rsid w:val="5DB93BAF"/>
    <w:rsid w:val="5DC189E0"/>
    <w:rsid w:val="5DCDC38A"/>
    <w:rsid w:val="5DCDE814"/>
    <w:rsid w:val="5DD35E2F"/>
    <w:rsid w:val="5DD75F89"/>
    <w:rsid w:val="5DE6A940"/>
    <w:rsid w:val="5DF578FB"/>
    <w:rsid w:val="5DFA6F71"/>
    <w:rsid w:val="5E1CD738"/>
    <w:rsid w:val="5E33A03E"/>
    <w:rsid w:val="5E38750B"/>
    <w:rsid w:val="5E43B421"/>
    <w:rsid w:val="5E5B20A6"/>
    <w:rsid w:val="5E6A9F06"/>
    <w:rsid w:val="5EE7B548"/>
    <w:rsid w:val="5EF867E1"/>
    <w:rsid w:val="5EFACAF7"/>
    <w:rsid w:val="5F15EFB4"/>
    <w:rsid w:val="5F242F06"/>
    <w:rsid w:val="5F24DC6C"/>
    <w:rsid w:val="5F2A0553"/>
    <w:rsid w:val="5F3135DC"/>
    <w:rsid w:val="5F428047"/>
    <w:rsid w:val="5F56F179"/>
    <w:rsid w:val="5F59CCA0"/>
    <w:rsid w:val="5F5B1F01"/>
    <w:rsid w:val="5F6847AD"/>
    <w:rsid w:val="5F699BE2"/>
    <w:rsid w:val="5FB905F2"/>
    <w:rsid w:val="5FE107F5"/>
    <w:rsid w:val="5FF62FBD"/>
    <w:rsid w:val="600F6F14"/>
    <w:rsid w:val="601C651A"/>
    <w:rsid w:val="6070CE85"/>
    <w:rsid w:val="608342C5"/>
    <w:rsid w:val="60961281"/>
    <w:rsid w:val="60973DC9"/>
    <w:rsid w:val="60CDBF1D"/>
    <w:rsid w:val="60EDEA9C"/>
    <w:rsid w:val="61165B62"/>
    <w:rsid w:val="612E9BCE"/>
    <w:rsid w:val="614E7EF3"/>
    <w:rsid w:val="6174479A"/>
    <w:rsid w:val="6175FCA2"/>
    <w:rsid w:val="61BF1475"/>
    <w:rsid w:val="61C0127A"/>
    <w:rsid w:val="61C7A049"/>
    <w:rsid w:val="61DBEE20"/>
    <w:rsid w:val="61F14825"/>
    <w:rsid w:val="61F2A386"/>
    <w:rsid w:val="620983BB"/>
    <w:rsid w:val="62172AF6"/>
    <w:rsid w:val="621D97E9"/>
    <w:rsid w:val="622A5A8B"/>
    <w:rsid w:val="622BD008"/>
    <w:rsid w:val="6244DE4A"/>
    <w:rsid w:val="62633762"/>
    <w:rsid w:val="6264FF05"/>
    <w:rsid w:val="626E3887"/>
    <w:rsid w:val="6295CF5F"/>
    <w:rsid w:val="62A8A126"/>
    <w:rsid w:val="62B9CCDA"/>
    <w:rsid w:val="62D64C01"/>
    <w:rsid w:val="62E423D4"/>
    <w:rsid w:val="62E6641A"/>
    <w:rsid w:val="62EE9112"/>
    <w:rsid w:val="62F97241"/>
    <w:rsid w:val="6301B678"/>
    <w:rsid w:val="630C38A2"/>
    <w:rsid w:val="630E18C8"/>
    <w:rsid w:val="632A7710"/>
    <w:rsid w:val="63303927"/>
    <w:rsid w:val="6330D31E"/>
    <w:rsid w:val="634145B9"/>
    <w:rsid w:val="63655A28"/>
    <w:rsid w:val="638D15AB"/>
    <w:rsid w:val="63A12E8F"/>
    <w:rsid w:val="63B0CE46"/>
    <w:rsid w:val="63BF440C"/>
    <w:rsid w:val="63DE4C6E"/>
    <w:rsid w:val="63DE6824"/>
    <w:rsid w:val="6416BC5B"/>
    <w:rsid w:val="64242254"/>
    <w:rsid w:val="6426D58E"/>
    <w:rsid w:val="642DE652"/>
    <w:rsid w:val="64371224"/>
    <w:rsid w:val="644500BA"/>
    <w:rsid w:val="644CF4B0"/>
    <w:rsid w:val="645AC755"/>
    <w:rsid w:val="64B36B8B"/>
    <w:rsid w:val="64D660CB"/>
    <w:rsid w:val="650A9966"/>
    <w:rsid w:val="650EB067"/>
    <w:rsid w:val="6518ACE2"/>
    <w:rsid w:val="652E0857"/>
    <w:rsid w:val="655F8B71"/>
    <w:rsid w:val="65647DF7"/>
    <w:rsid w:val="656D0176"/>
    <w:rsid w:val="656E4D5A"/>
    <w:rsid w:val="65732022"/>
    <w:rsid w:val="658B7428"/>
    <w:rsid w:val="65DE0F8F"/>
    <w:rsid w:val="65EFE144"/>
    <w:rsid w:val="65FA6682"/>
    <w:rsid w:val="6615EE6B"/>
    <w:rsid w:val="6638EFBA"/>
    <w:rsid w:val="66416786"/>
    <w:rsid w:val="6643ED73"/>
    <w:rsid w:val="664D7F70"/>
    <w:rsid w:val="6656A847"/>
    <w:rsid w:val="6659D01F"/>
    <w:rsid w:val="6663614E"/>
    <w:rsid w:val="666BA72B"/>
    <w:rsid w:val="668ECCC2"/>
    <w:rsid w:val="66AD5395"/>
    <w:rsid w:val="66B3EE35"/>
    <w:rsid w:val="66BABEBF"/>
    <w:rsid w:val="66DB79A9"/>
    <w:rsid w:val="66F6616E"/>
    <w:rsid w:val="67118764"/>
    <w:rsid w:val="67218FE3"/>
    <w:rsid w:val="67385BF6"/>
    <w:rsid w:val="67442EAE"/>
    <w:rsid w:val="674BBFC7"/>
    <w:rsid w:val="677F6040"/>
    <w:rsid w:val="67A0F151"/>
    <w:rsid w:val="67CD2A28"/>
    <w:rsid w:val="67D1A950"/>
    <w:rsid w:val="67D5DFAB"/>
    <w:rsid w:val="67DFC9CF"/>
    <w:rsid w:val="67EB7DAF"/>
    <w:rsid w:val="68060011"/>
    <w:rsid w:val="6809CCA9"/>
    <w:rsid w:val="68163E3C"/>
    <w:rsid w:val="6819FE1A"/>
    <w:rsid w:val="6832A602"/>
    <w:rsid w:val="6839DA28"/>
    <w:rsid w:val="6843200B"/>
    <w:rsid w:val="687A6328"/>
    <w:rsid w:val="689D9C4A"/>
    <w:rsid w:val="68AF702F"/>
    <w:rsid w:val="68C1AA3F"/>
    <w:rsid w:val="6923B248"/>
    <w:rsid w:val="6944777A"/>
    <w:rsid w:val="694FF466"/>
    <w:rsid w:val="69715F62"/>
    <w:rsid w:val="6973A38B"/>
    <w:rsid w:val="699FDADF"/>
    <w:rsid w:val="69B9F61C"/>
    <w:rsid w:val="69C460AE"/>
    <w:rsid w:val="69CCDBB2"/>
    <w:rsid w:val="69E0AE56"/>
    <w:rsid w:val="6A07EA76"/>
    <w:rsid w:val="6A2516FB"/>
    <w:rsid w:val="6A2845C8"/>
    <w:rsid w:val="6A55C1D7"/>
    <w:rsid w:val="6A56FDF1"/>
    <w:rsid w:val="6A6975D1"/>
    <w:rsid w:val="6A71B657"/>
    <w:rsid w:val="6A7217D3"/>
    <w:rsid w:val="6A7A2E46"/>
    <w:rsid w:val="6AB45FFF"/>
    <w:rsid w:val="6AB855ED"/>
    <w:rsid w:val="6ABAAE4B"/>
    <w:rsid w:val="6AC76CBD"/>
    <w:rsid w:val="6AE21DEB"/>
    <w:rsid w:val="6AF65F0D"/>
    <w:rsid w:val="6B0F6AB0"/>
    <w:rsid w:val="6B2B5268"/>
    <w:rsid w:val="6B45F3F7"/>
    <w:rsid w:val="6B469DFB"/>
    <w:rsid w:val="6B76DA7D"/>
    <w:rsid w:val="6B773480"/>
    <w:rsid w:val="6BA8DB46"/>
    <w:rsid w:val="6BB136AB"/>
    <w:rsid w:val="6BB7310B"/>
    <w:rsid w:val="6BD354B3"/>
    <w:rsid w:val="6C1234B4"/>
    <w:rsid w:val="6C2E8D56"/>
    <w:rsid w:val="6C5BF069"/>
    <w:rsid w:val="6C90C44D"/>
    <w:rsid w:val="6C9E6026"/>
    <w:rsid w:val="6CAB84E5"/>
    <w:rsid w:val="6CB860D7"/>
    <w:rsid w:val="6CCDC905"/>
    <w:rsid w:val="6CDFA940"/>
    <w:rsid w:val="6CE47FA0"/>
    <w:rsid w:val="6CFA5C3F"/>
    <w:rsid w:val="6D00432C"/>
    <w:rsid w:val="6D1EDDF8"/>
    <w:rsid w:val="6D2E0A55"/>
    <w:rsid w:val="6D328491"/>
    <w:rsid w:val="6D37FC0C"/>
    <w:rsid w:val="6D6B88B1"/>
    <w:rsid w:val="6D6BC215"/>
    <w:rsid w:val="6D73D033"/>
    <w:rsid w:val="6D8C9E62"/>
    <w:rsid w:val="6D9A0C0C"/>
    <w:rsid w:val="6DB093BA"/>
    <w:rsid w:val="6DCA7C46"/>
    <w:rsid w:val="6DDF6A22"/>
    <w:rsid w:val="6DF08E6B"/>
    <w:rsid w:val="6DF5B2EF"/>
    <w:rsid w:val="6DF5BBE4"/>
    <w:rsid w:val="6E2225F3"/>
    <w:rsid w:val="6E237461"/>
    <w:rsid w:val="6E27F6F7"/>
    <w:rsid w:val="6E2D4D19"/>
    <w:rsid w:val="6E3C4298"/>
    <w:rsid w:val="6E455E16"/>
    <w:rsid w:val="6E5ECA99"/>
    <w:rsid w:val="6E613566"/>
    <w:rsid w:val="6EA948D4"/>
    <w:rsid w:val="6EA9C2F7"/>
    <w:rsid w:val="6EC2C955"/>
    <w:rsid w:val="6EC71D42"/>
    <w:rsid w:val="6EDE4C84"/>
    <w:rsid w:val="6EFBE261"/>
    <w:rsid w:val="6F01DB52"/>
    <w:rsid w:val="6F137711"/>
    <w:rsid w:val="6F649D0C"/>
    <w:rsid w:val="6F695782"/>
    <w:rsid w:val="6F7A9A48"/>
    <w:rsid w:val="6FA9ED5D"/>
    <w:rsid w:val="6FC21154"/>
    <w:rsid w:val="6FF0301C"/>
    <w:rsid w:val="70032F4F"/>
    <w:rsid w:val="701D62FE"/>
    <w:rsid w:val="702AE7A6"/>
    <w:rsid w:val="70403967"/>
    <w:rsid w:val="704B932A"/>
    <w:rsid w:val="706F80B1"/>
    <w:rsid w:val="707AED4C"/>
    <w:rsid w:val="708BB817"/>
    <w:rsid w:val="70C5B160"/>
    <w:rsid w:val="70D098C1"/>
    <w:rsid w:val="70E0AD2B"/>
    <w:rsid w:val="70E47434"/>
    <w:rsid w:val="71039938"/>
    <w:rsid w:val="71096381"/>
    <w:rsid w:val="711DB8C2"/>
    <w:rsid w:val="714A1C5D"/>
    <w:rsid w:val="71535860"/>
    <w:rsid w:val="7164F662"/>
    <w:rsid w:val="716BB2AC"/>
    <w:rsid w:val="7178EE04"/>
    <w:rsid w:val="7182BDB3"/>
    <w:rsid w:val="71C5335E"/>
    <w:rsid w:val="71D5B5ED"/>
    <w:rsid w:val="720AAE64"/>
    <w:rsid w:val="725EE3E2"/>
    <w:rsid w:val="72739246"/>
    <w:rsid w:val="7289B4CB"/>
    <w:rsid w:val="72BCFD9F"/>
    <w:rsid w:val="72C783F5"/>
    <w:rsid w:val="72E8AAE3"/>
    <w:rsid w:val="730B8324"/>
    <w:rsid w:val="732ADC51"/>
    <w:rsid w:val="736114AB"/>
    <w:rsid w:val="7369EA0C"/>
    <w:rsid w:val="737F0881"/>
    <w:rsid w:val="739081C6"/>
    <w:rsid w:val="7393C251"/>
    <w:rsid w:val="7394BA10"/>
    <w:rsid w:val="7396322E"/>
    <w:rsid w:val="73D1D1BF"/>
    <w:rsid w:val="742801D9"/>
    <w:rsid w:val="743CF831"/>
    <w:rsid w:val="748068E1"/>
    <w:rsid w:val="748F302C"/>
    <w:rsid w:val="74984141"/>
    <w:rsid w:val="74BAC958"/>
    <w:rsid w:val="74C218C7"/>
    <w:rsid w:val="750F9B21"/>
    <w:rsid w:val="7516CDD5"/>
    <w:rsid w:val="755BFAFD"/>
    <w:rsid w:val="755EDDB0"/>
    <w:rsid w:val="7583B670"/>
    <w:rsid w:val="759A781F"/>
    <w:rsid w:val="75B1E5D1"/>
    <w:rsid w:val="75B8B8B0"/>
    <w:rsid w:val="75BAB4E2"/>
    <w:rsid w:val="75F19513"/>
    <w:rsid w:val="75F8C90F"/>
    <w:rsid w:val="75FDEE33"/>
    <w:rsid w:val="762199E8"/>
    <w:rsid w:val="762A25AE"/>
    <w:rsid w:val="763206D4"/>
    <w:rsid w:val="7654C6EE"/>
    <w:rsid w:val="7660B2C3"/>
    <w:rsid w:val="7688F2CD"/>
    <w:rsid w:val="768F8940"/>
    <w:rsid w:val="76BB13E3"/>
    <w:rsid w:val="76BD0B92"/>
    <w:rsid w:val="76E2F5BC"/>
    <w:rsid w:val="76E686A5"/>
    <w:rsid w:val="76F512A2"/>
    <w:rsid w:val="770DBE89"/>
    <w:rsid w:val="772B4AA0"/>
    <w:rsid w:val="773C812A"/>
    <w:rsid w:val="77418824"/>
    <w:rsid w:val="774B2F9E"/>
    <w:rsid w:val="7761260A"/>
    <w:rsid w:val="777BCF2D"/>
    <w:rsid w:val="77BA7057"/>
    <w:rsid w:val="77C37B66"/>
    <w:rsid w:val="77E2A403"/>
    <w:rsid w:val="77FD8797"/>
    <w:rsid w:val="780DE82E"/>
    <w:rsid w:val="7813BDEF"/>
    <w:rsid w:val="7834897B"/>
    <w:rsid w:val="784D7546"/>
    <w:rsid w:val="7869F0DB"/>
    <w:rsid w:val="7872113F"/>
    <w:rsid w:val="789FC75D"/>
    <w:rsid w:val="78C59A4E"/>
    <w:rsid w:val="78DCDD55"/>
    <w:rsid w:val="7945F9A5"/>
    <w:rsid w:val="79588010"/>
    <w:rsid w:val="795CBB22"/>
    <w:rsid w:val="7988EBD4"/>
    <w:rsid w:val="798CBCA2"/>
    <w:rsid w:val="79A4421A"/>
    <w:rsid w:val="7A0AE8F8"/>
    <w:rsid w:val="7A1A67DE"/>
    <w:rsid w:val="7A30A4EB"/>
    <w:rsid w:val="7A6568F2"/>
    <w:rsid w:val="7A747938"/>
    <w:rsid w:val="7A860CE9"/>
    <w:rsid w:val="7A9D5022"/>
    <w:rsid w:val="7AEAD02C"/>
    <w:rsid w:val="7B023340"/>
    <w:rsid w:val="7B06F4A7"/>
    <w:rsid w:val="7B12B2BF"/>
    <w:rsid w:val="7B19CE99"/>
    <w:rsid w:val="7B34ECC6"/>
    <w:rsid w:val="7B3556CD"/>
    <w:rsid w:val="7B4EA46C"/>
    <w:rsid w:val="7BA97615"/>
    <w:rsid w:val="7BAC578D"/>
    <w:rsid w:val="7BB0A8B8"/>
    <w:rsid w:val="7BB16558"/>
    <w:rsid w:val="7BC0B069"/>
    <w:rsid w:val="7BD39DFC"/>
    <w:rsid w:val="7C3347E4"/>
    <w:rsid w:val="7C384A64"/>
    <w:rsid w:val="7C46D0D2"/>
    <w:rsid w:val="7C821DA5"/>
    <w:rsid w:val="7C8F981B"/>
    <w:rsid w:val="7C92C711"/>
    <w:rsid w:val="7C95C4BE"/>
    <w:rsid w:val="7C9E43ED"/>
    <w:rsid w:val="7CA557B1"/>
    <w:rsid w:val="7CAF3CFF"/>
    <w:rsid w:val="7CBF18E0"/>
    <w:rsid w:val="7CC733AC"/>
    <w:rsid w:val="7CD59763"/>
    <w:rsid w:val="7CE888AB"/>
    <w:rsid w:val="7D14D813"/>
    <w:rsid w:val="7D49B2CC"/>
    <w:rsid w:val="7D49F87B"/>
    <w:rsid w:val="7D5875EF"/>
    <w:rsid w:val="7D59B096"/>
    <w:rsid w:val="7D719C0D"/>
    <w:rsid w:val="7D8D8C96"/>
    <w:rsid w:val="7D8F663F"/>
    <w:rsid w:val="7DA09746"/>
    <w:rsid w:val="7DC222F0"/>
    <w:rsid w:val="7DC9F30C"/>
    <w:rsid w:val="7DCD42ED"/>
    <w:rsid w:val="7DD46D7D"/>
    <w:rsid w:val="7DE24E50"/>
    <w:rsid w:val="7DE503C0"/>
    <w:rsid w:val="7E285C8F"/>
    <w:rsid w:val="7E2A8F92"/>
    <w:rsid w:val="7E3EF7FF"/>
    <w:rsid w:val="7E4B8384"/>
    <w:rsid w:val="7E5A92AF"/>
    <w:rsid w:val="7E7BC4AB"/>
    <w:rsid w:val="7E894BB9"/>
    <w:rsid w:val="7EB95A22"/>
    <w:rsid w:val="7EBCDB44"/>
    <w:rsid w:val="7EC298D0"/>
    <w:rsid w:val="7EC5B7CD"/>
    <w:rsid w:val="7EE322B9"/>
    <w:rsid w:val="7EE4FFAA"/>
    <w:rsid w:val="7EEA6499"/>
    <w:rsid w:val="7EEFFDB3"/>
    <w:rsid w:val="7EFCEAE9"/>
    <w:rsid w:val="7F0E2E4D"/>
    <w:rsid w:val="7F2852DB"/>
    <w:rsid w:val="7F36FF5F"/>
    <w:rsid w:val="7F3F4C4B"/>
    <w:rsid w:val="7F4112E8"/>
    <w:rsid w:val="7F461656"/>
    <w:rsid w:val="7F4AE659"/>
    <w:rsid w:val="7F56A65D"/>
    <w:rsid w:val="7FB117B7"/>
    <w:rsid w:val="7FE5F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E0E64B"/>
  <w15:chartTrackingRefBased/>
  <w15:docId w15:val="{BE488976-705A-489B-9E11-6BB8850D6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629"/>
    <w:rPr>
      <w:rFonts w:ascii="Calibri" w:hAnsi="Calibri" w:cs="Calibri"/>
      <w:sz w:val="24"/>
      <w:szCs w:val="24"/>
    </w:rPr>
  </w:style>
  <w:style w:type="paragraph" w:styleId="Heading1">
    <w:name w:val="heading 1"/>
    <w:basedOn w:val="Normal"/>
    <w:next w:val="Normal"/>
    <w:link w:val="Heading1Char"/>
    <w:uiPriority w:val="9"/>
    <w:qFormat/>
    <w:rsid w:val="005B04B7"/>
    <w:pPr>
      <w:pBdr>
        <w:top w:val="single" w:sz="24" w:space="0" w:color="AD84C6" w:themeColor="accent1"/>
        <w:left w:val="single" w:sz="24" w:space="0" w:color="AD84C6" w:themeColor="accent1"/>
        <w:bottom w:val="single" w:sz="24" w:space="0" w:color="AD84C6" w:themeColor="accent1"/>
        <w:right w:val="single" w:sz="24" w:space="0" w:color="AD84C6" w:themeColor="accent1"/>
      </w:pBdr>
      <w:shd w:val="clear" w:color="auto" w:fill="AD84C6" w:themeFill="accent1"/>
      <w:spacing w:before="0" w:after="0"/>
      <w:outlineLvl w:val="0"/>
    </w:pPr>
    <w:rPr>
      <w:b/>
      <w:bCs/>
      <w:caps/>
      <w:color w:val="FFFFFF" w:themeColor="background1"/>
      <w:spacing w:val="15"/>
      <w:sz w:val="32"/>
      <w:szCs w:val="32"/>
    </w:rPr>
  </w:style>
  <w:style w:type="paragraph" w:styleId="Heading2">
    <w:name w:val="heading 2"/>
    <w:basedOn w:val="Normal"/>
    <w:next w:val="Normal"/>
    <w:link w:val="Heading2Char"/>
    <w:uiPriority w:val="9"/>
    <w:unhideWhenUsed/>
    <w:qFormat/>
    <w:rsid w:val="00B7107C"/>
    <w:pPr>
      <w:pBdr>
        <w:top w:val="single" w:sz="24" w:space="0" w:color="EEE6F3" w:themeColor="accent1" w:themeTint="33"/>
        <w:left w:val="single" w:sz="24" w:space="0" w:color="EEE6F3" w:themeColor="accent1" w:themeTint="33"/>
        <w:bottom w:val="single" w:sz="24" w:space="0" w:color="EEE6F3" w:themeColor="accent1" w:themeTint="33"/>
        <w:right w:val="single" w:sz="24" w:space="0" w:color="EEE6F3" w:themeColor="accent1" w:themeTint="33"/>
      </w:pBdr>
      <w:shd w:val="clear" w:color="auto" w:fill="EEE6F3" w:themeFill="accent1" w:themeFillTint="33"/>
      <w:spacing w:before="0" w:after="240"/>
      <w:outlineLvl w:val="1"/>
    </w:pPr>
    <w:rPr>
      <w:b/>
      <w:bCs/>
      <w:caps/>
      <w:spacing w:val="15"/>
      <w:sz w:val="28"/>
      <w:szCs w:val="28"/>
    </w:rPr>
  </w:style>
  <w:style w:type="paragraph" w:styleId="Heading3">
    <w:name w:val="heading 3"/>
    <w:basedOn w:val="Normal"/>
    <w:next w:val="Normal"/>
    <w:link w:val="Heading3Char"/>
    <w:uiPriority w:val="9"/>
    <w:unhideWhenUsed/>
    <w:qFormat/>
    <w:rsid w:val="00E97E73"/>
    <w:pPr>
      <w:keepNext/>
      <w:pBdr>
        <w:top w:val="single" w:sz="6" w:space="2" w:color="AD84C6" w:themeColor="accent1"/>
      </w:pBdr>
      <w:spacing w:before="300" w:after="240" w:line="240" w:lineRule="auto"/>
      <w:outlineLvl w:val="2"/>
    </w:pPr>
    <w:rPr>
      <w:b/>
      <w:bCs/>
      <w:caps/>
      <w:color w:val="593470" w:themeColor="accent1" w:themeShade="7F"/>
      <w:spacing w:val="15"/>
    </w:rPr>
  </w:style>
  <w:style w:type="paragraph" w:styleId="Heading4">
    <w:name w:val="heading 4"/>
    <w:basedOn w:val="Normal"/>
    <w:next w:val="Normal"/>
    <w:link w:val="Heading4Char"/>
    <w:uiPriority w:val="9"/>
    <w:unhideWhenUsed/>
    <w:qFormat/>
    <w:rsid w:val="00083E3E"/>
    <w:pPr>
      <w:pBdr>
        <w:top w:val="dotted" w:sz="6" w:space="2" w:color="AD84C6" w:themeColor="accent1"/>
      </w:pBdr>
      <w:spacing w:before="200" w:after="0"/>
      <w:outlineLvl w:val="3"/>
    </w:pPr>
    <w:rPr>
      <w:caps/>
      <w:color w:val="864EA8" w:themeColor="accent1" w:themeShade="BF"/>
      <w:spacing w:val="10"/>
    </w:rPr>
  </w:style>
  <w:style w:type="paragraph" w:styleId="Heading5">
    <w:name w:val="heading 5"/>
    <w:basedOn w:val="Normal"/>
    <w:next w:val="Normal"/>
    <w:link w:val="Heading5Char"/>
    <w:uiPriority w:val="9"/>
    <w:unhideWhenUsed/>
    <w:qFormat/>
    <w:rsid w:val="00B7107C"/>
    <w:pPr>
      <w:keepNext/>
      <w:pBdr>
        <w:bottom w:val="single" w:sz="6" w:space="1" w:color="AD84C6" w:themeColor="accent1"/>
      </w:pBdr>
      <w:spacing w:before="200" w:after="240" w:line="240" w:lineRule="auto"/>
      <w:jc w:val="both"/>
      <w:outlineLvl w:val="4"/>
    </w:pPr>
    <w:rPr>
      <w:color w:val="864EA8" w:themeColor="accent1" w:themeShade="BF"/>
      <w:spacing w:val="10"/>
    </w:rPr>
  </w:style>
  <w:style w:type="paragraph" w:styleId="Heading6">
    <w:name w:val="heading 6"/>
    <w:basedOn w:val="Normal"/>
    <w:next w:val="Normal"/>
    <w:link w:val="Heading6Char"/>
    <w:uiPriority w:val="9"/>
    <w:semiHidden/>
    <w:unhideWhenUsed/>
    <w:qFormat/>
    <w:rsid w:val="00083E3E"/>
    <w:pPr>
      <w:pBdr>
        <w:bottom w:val="dotted" w:sz="6" w:space="1" w:color="AD84C6" w:themeColor="accent1"/>
      </w:pBdr>
      <w:spacing w:before="200" w:after="0"/>
      <w:outlineLvl w:val="5"/>
    </w:pPr>
    <w:rPr>
      <w:caps/>
      <w:color w:val="864EA8" w:themeColor="accent1" w:themeShade="BF"/>
      <w:spacing w:val="10"/>
    </w:rPr>
  </w:style>
  <w:style w:type="paragraph" w:styleId="Heading7">
    <w:name w:val="heading 7"/>
    <w:basedOn w:val="Normal"/>
    <w:next w:val="Normal"/>
    <w:link w:val="Heading7Char"/>
    <w:uiPriority w:val="9"/>
    <w:semiHidden/>
    <w:unhideWhenUsed/>
    <w:qFormat/>
    <w:rsid w:val="00083E3E"/>
    <w:pPr>
      <w:spacing w:before="200" w:after="0"/>
      <w:outlineLvl w:val="6"/>
    </w:pPr>
    <w:rPr>
      <w:caps/>
      <w:color w:val="864EA8" w:themeColor="accent1" w:themeShade="BF"/>
      <w:spacing w:val="10"/>
    </w:rPr>
  </w:style>
  <w:style w:type="paragraph" w:styleId="Heading8">
    <w:name w:val="heading 8"/>
    <w:basedOn w:val="Normal"/>
    <w:next w:val="Normal"/>
    <w:link w:val="Heading8Char"/>
    <w:uiPriority w:val="9"/>
    <w:semiHidden/>
    <w:unhideWhenUsed/>
    <w:qFormat/>
    <w:rsid w:val="00083E3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083E3E"/>
    <w:pPr>
      <w:spacing w:before="200" w:after="0"/>
      <w:outlineLvl w:val="8"/>
    </w:pPr>
    <w:rPr>
      <w:i/>
      <w:iCs/>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2F6A9308"/>
    <w:pPr>
      <w:ind w:left="720"/>
      <w:contextualSpacing/>
    </w:pPr>
  </w:style>
  <w:style w:type="character" w:styleId="Hyperlink">
    <w:name w:val="Hyperlink"/>
    <w:basedOn w:val="DefaultParagraphFont"/>
    <w:uiPriority w:val="99"/>
    <w:unhideWhenUsed/>
    <w:rsid w:val="7F36FF5F"/>
    <w:rPr>
      <w:color w:val="467886"/>
      <w:u w:val="single"/>
    </w:rPr>
  </w:style>
  <w:style w:type="paragraph" w:styleId="Header">
    <w:name w:val="header"/>
    <w:basedOn w:val="Normal"/>
    <w:uiPriority w:val="99"/>
    <w:unhideWhenUsed/>
    <w:rsid w:val="2F6A9308"/>
    <w:pPr>
      <w:tabs>
        <w:tab w:val="center" w:pos="4680"/>
        <w:tab w:val="right" w:pos="9360"/>
      </w:tabs>
      <w:spacing w:after="0"/>
    </w:pPr>
  </w:style>
  <w:style w:type="paragraph" w:styleId="Footer">
    <w:name w:val="footer"/>
    <w:basedOn w:val="Normal"/>
    <w:uiPriority w:val="99"/>
    <w:unhideWhenUsed/>
    <w:rsid w:val="2F6A9308"/>
    <w:pPr>
      <w:tabs>
        <w:tab w:val="center" w:pos="4680"/>
        <w:tab w:val="right" w:pos="9360"/>
      </w:tabs>
      <w:spacing w:after="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uiPriority w:val="99"/>
    <w:unhideWhenUsed/>
    <w:rsid w:val="2F6A9308"/>
    <w:pPr>
      <w:spacing w:after="0"/>
    </w:pPr>
  </w:style>
  <w:style w:type="character" w:styleId="FootnoteReference">
    <w:name w:val="footnote reference"/>
    <w:basedOn w:val="DefaultParagraphFont"/>
    <w:uiPriority w:val="99"/>
    <w:semiHidden/>
    <w:unhideWhenUsed/>
    <w:rsid w:val="3625E344"/>
    <w:rPr>
      <w:vertAlign w:val="superscript"/>
    </w:rPr>
  </w:style>
  <w:style w:type="paragraph" w:styleId="EndnoteText">
    <w:name w:val="endnote text"/>
    <w:basedOn w:val="Normal"/>
    <w:uiPriority w:val="99"/>
    <w:unhideWhenUsed/>
    <w:rsid w:val="2F6A9308"/>
    <w:pPr>
      <w:spacing w:after="0"/>
    </w:pPr>
  </w:style>
  <w:style w:type="character" w:styleId="EndnoteReference">
    <w:name w:val="endnote reference"/>
    <w:basedOn w:val="DefaultParagraphFont"/>
    <w:uiPriority w:val="99"/>
    <w:semiHidden/>
    <w:unhideWhenUsed/>
    <w:rsid w:val="2F6A9308"/>
    <w:rPr>
      <w:vertAlign w:val="superscript"/>
    </w:rPr>
  </w:style>
  <w:style w:type="paragraph" w:styleId="NoSpacing">
    <w:name w:val="No Spacing"/>
    <w:link w:val="NoSpacingChar"/>
    <w:uiPriority w:val="1"/>
    <w:qFormat/>
    <w:rsid w:val="00083E3E"/>
    <w:pPr>
      <w:spacing w:after="0" w:line="240" w:lineRule="auto"/>
    </w:pPr>
  </w:style>
  <w:style w:type="paragraph" w:styleId="CommentText">
    <w:name w:val="annotation text"/>
    <w:basedOn w:val="Normal"/>
    <w:link w:val="CommentTextChar"/>
    <w:uiPriority w:val="99"/>
    <w:unhideWhenUsed/>
    <w:pPr>
      <w:spacing w:line="240" w:lineRule="auto"/>
    </w:pPr>
  </w:style>
  <w:style w:type="character" w:customStyle="1" w:styleId="CommentTextChar">
    <w:name w:val="Comment Text Char"/>
    <w:basedOn w:val="DefaultParagraphFont"/>
    <w:link w:val="CommentText"/>
    <w:uiPriority w:val="99"/>
    <w:rPr>
      <w:rFonts w:ascii="Calibri" w:eastAsia="Calibri" w:hAnsi="Calibri" w:cs="Calibri"/>
      <w:color w:val="000000" w:themeColor="text1"/>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1Char">
    <w:name w:val="Heading 1 Char"/>
    <w:basedOn w:val="DefaultParagraphFont"/>
    <w:link w:val="Heading1"/>
    <w:uiPriority w:val="9"/>
    <w:rsid w:val="005B04B7"/>
    <w:rPr>
      <w:rFonts w:ascii="Calibri" w:hAnsi="Calibri" w:cs="Calibri"/>
      <w:b/>
      <w:bCs/>
      <w:caps/>
      <w:color w:val="FFFFFF" w:themeColor="background1"/>
      <w:spacing w:val="15"/>
      <w:sz w:val="32"/>
      <w:szCs w:val="32"/>
      <w:shd w:val="clear" w:color="auto" w:fill="AD84C6" w:themeFill="accent1"/>
    </w:rPr>
  </w:style>
  <w:style w:type="character" w:styleId="UnresolvedMention">
    <w:name w:val="Unresolved Mention"/>
    <w:basedOn w:val="DefaultParagraphFont"/>
    <w:uiPriority w:val="99"/>
    <w:semiHidden/>
    <w:unhideWhenUsed/>
    <w:rsid w:val="00011744"/>
    <w:rPr>
      <w:color w:val="605E5C"/>
      <w:shd w:val="clear" w:color="auto" w:fill="E1DFDD"/>
    </w:rPr>
  </w:style>
  <w:style w:type="character" w:styleId="FollowedHyperlink">
    <w:name w:val="FollowedHyperlink"/>
    <w:basedOn w:val="DefaultParagraphFont"/>
    <w:uiPriority w:val="99"/>
    <w:semiHidden/>
    <w:unhideWhenUsed/>
    <w:rsid w:val="00253069"/>
    <w:rPr>
      <w:color w:val="8C8C8C" w:themeColor="followedHyperlink"/>
      <w:u w:val="single"/>
    </w:rPr>
  </w:style>
  <w:style w:type="paragraph" w:styleId="CommentSubject">
    <w:name w:val="annotation subject"/>
    <w:basedOn w:val="CommentText"/>
    <w:next w:val="CommentText"/>
    <w:link w:val="CommentSubjectChar"/>
    <w:uiPriority w:val="99"/>
    <w:semiHidden/>
    <w:unhideWhenUsed/>
    <w:rsid w:val="001509C4"/>
    <w:rPr>
      <w:b/>
      <w:bCs/>
    </w:rPr>
  </w:style>
  <w:style w:type="character" w:customStyle="1" w:styleId="CommentSubjectChar">
    <w:name w:val="Comment Subject Char"/>
    <w:basedOn w:val="CommentTextChar"/>
    <w:link w:val="CommentSubject"/>
    <w:uiPriority w:val="99"/>
    <w:semiHidden/>
    <w:rsid w:val="001509C4"/>
    <w:rPr>
      <w:rFonts w:ascii="Calibri" w:eastAsia="Calibri" w:hAnsi="Calibri" w:cs="Calibri"/>
      <w:b/>
      <w:bCs/>
      <w:color w:val="000000" w:themeColor="text1"/>
      <w:sz w:val="20"/>
      <w:szCs w:val="20"/>
    </w:rPr>
  </w:style>
  <w:style w:type="paragraph" w:styleId="Quote">
    <w:name w:val="Quote"/>
    <w:basedOn w:val="Normal"/>
    <w:next w:val="Normal"/>
    <w:link w:val="QuoteChar"/>
    <w:uiPriority w:val="29"/>
    <w:qFormat/>
    <w:rsid w:val="00083E3E"/>
    <w:rPr>
      <w:i/>
      <w:iCs/>
    </w:rPr>
  </w:style>
  <w:style w:type="character" w:customStyle="1" w:styleId="QuoteChar">
    <w:name w:val="Quote Char"/>
    <w:basedOn w:val="DefaultParagraphFont"/>
    <w:link w:val="Quote"/>
    <w:uiPriority w:val="29"/>
    <w:rsid w:val="00083E3E"/>
    <w:rPr>
      <w:i/>
      <w:iCs/>
      <w:sz w:val="24"/>
      <w:szCs w:val="24"/>
    </w:rPr>
  </w:style>
  <w:style w:type="character" w:styleId="IntenseReference">
    <w:name w:val="Intense Reference"/>
    <w:uiPriority w:val="32"/>
    <w:qFormat/>
    <w:rsid w:val="00083E3E"/>
    <w:rPr>
      <w:b/>
      <w:bCs/>
      <w:i/>
      <w:iCs/>
      <w:caps/>
      <w:color w:val="AD84C6" w:themeColor="accent1"/>
    </w:rPr>
  </w:style>
  <w:style w:type="paragraph" w:styleId="IntenseQuote">
    <w:name w:val="Intense Quote"/>
    <w:basedOn w:val="Normal"/>
    <w:next w:val="Normal"/>
    <w:link w:val="IntenseQuoteChar"/>
    <w:uiPriority w:val="30"/>
    <w:qFormat/>
    <w:rsid w:val="00083E3E"/>
    <w:pPr>
      <w:spacing w:after="240" w:line="240" w:lineRule="auto"/>
      <w:ind w:left="1080" w:right="1080"/>
      <w:jc w:val="center"/>
    </w:pPr>
    <w:rPr>
      <w:color w:val="AD84C6" w:themeColor="accent1"/>
    </w:rPr>
  </w:style>
  <w:style w:type="character" w:customStyle="1" w:styleId="IntenseQuoteChar">
    <w:name w:val="Intense Quote Char"/>
    <w:basedOn w:val="DefaultParagraphFont"/>
    <w:link w:val="IntenseQuote"/>
    <w:uiPriority w:val="30"/>
    <w:rsid w:val="00083E3E"/>
    <w:rPr>
      <w:color w:val="AD84C6" w:themeColor="accent1"/>
      <w:sz w:val="24"/>
      <w:szCs w:val="24"/>
    </w:rPr>
  </w:style>
  <w:style w:type="character" w:customStyle="1" w:styleId="Heading2Char">
    <w:name w:val="Heading 2 Char"/>
    <w:basedOn w:val="DefaultParagraphFont"/>
    <w:link w:val="Heading2"/>
    <w:uiPriority w:val="9"/>
    <w:rsid w:val="00B7107C"/>
    <w:rPr>
      <w:rFonts w:ascii="Calibri" w:hAnsi="Calibri" w:cs="Calibri"/>
      <w:b/>
      <w:bCs/>
      <w:caps/>
      <w:spacing w:val="15"/>
      <w:sz w:val="28"/>
      <w:szCs w:val="28"/>
      <w:shd w:val="clear" w:color="auto" w:fill="EEE6F3" w:themeFill="accent1" w:themeFillTint="33"/>
    </w:rPr>
  </w:style>
  <w:style w:type="character" w:customStyle="1" w:styleId="Heading3Char">
    <w:name w:val="Heading 3 Char"/>
    <w:basedOn w:val="DefaultParagraphFont"/>
    <w:link w:val="Heading3"/>
    <w:uiPriority w:val="9"/>
    <w:rsid w:val="00E97E73"/>
    <w:rPr>
      <w:rFonts w:ascii="Calibri" w:hAnsi="Calibri" w:cs="Calibri"/>
      <w:b/>
      <w:bCs/>
      <w:caps/>
      <w:color w:val="593470" w:themeColor="accent1" w:themeShade="7F"/>
      <w:spacing w:val="15"/>
      <w:sz w:val="24"/>
      <w:szCs w:val="24"/>
    </w:rPr>
  </w:style>
  <w:style w:type="character" w:customStyle="1" w:styleId="Heading4Char">
    <w:name w:val="Heading 4 Char"/>
    <w:basedOn w:val="DefaultParagraphFont"/>
    <w:link w:val="Heading4"/>
    <w:uiPriority w:val="9"/>
    <w:rsid w:val="00083E3E"/>
    <w:rPr>
      <w:caps/>
      <w:color w:val="864EA8" w:themeColor="accent1" w:themeShade="BF"/>
      <w:spacing w:val="10"/>
    </w:rPr>
  </w:style>
  <w:style w:type="character" w:customStyle="1" w:styleId="Heading5Char">
    <w:name w:val="Heading 5 Char"/>
    <w:basedOn w:val="DefaultParagraphFont"/>
    <w:link w:val="Heading5"/>
    <w:uiPriority w:val="9"/>
    <w:rsid w:val="00B7107C"/>
    <w:rPr>
      <w:rFonts w:ascii="Calibri" w:hAnsi="Calibri" w:cs="Calibri"/>
      <w:color w:val="864EA8" w:themeColor="accent1" w:themeShade="BF"/>
      <w:spacing w:val="10"/>
      <w:sz w:val="24"/>
      <w:szCs w:val="24"/>
    </w:rPr>
  </w:style>
  <w:style w:type="character" w:customStyle="1" w:styleId="Heading6Char">
    <w:name w:val="Heading 6 Char"/>
    <w:basedOn w:val="DefaultParagraphFont"/>
    <w:link w:val="Heading6"/>
    <w:uiPriority w:val="9"/>
    <w:semiHidden/>
    <w:rsid w:val="00083E3E"/>
    <w:rPr>
      <w:caps/>
      <w:color w:val="864EA8" w:themeColor="accent1" w:themeShade="BF"/>
      <w:spacing w:val="10"/>
    </w:rPr>
  </w:style>
  <w:style w:type="character" w:customStyle="1" w:styleId="Heading7Char">
    <w:name w:val="Heading 7 Char"/>
    <w:basedOn w:val="DefaultParagraphFont"/>
    <w:link w:val="Heading7"/>
    <w:uiPriority w:val="9"/>
    <w:semiHidden/>
    <w:rsid w:val="00083E3E"/>
    <w:rPr>
      <w:caps/>
      <w:color w:val="864EA8" w:themeColor="accent1" w:themeShade="BF"/>
      <w:spacing w:val="10"/>
    </w:rPr>
  </w:style>
  <w:style w:type="character" w:customStyle="1" w:styleId="Heading8Char">
    <w:name w:val="Heading 8 Char"/>
    <w:basedOn w:val="DefaultParagraphFont"/>
    <w:link w:val="Heading8"/>
    <w:uiPriority w:val="9"/>
    <w:semiHidden/>
    <w:rsid w:val="00083E3E"/>
    <w:rPr>
      <w:caps/>
      <w:spacing w:val="10"/>
      <w:sz w:val="18"/>
      <w:szCs w:val="18"/>
    </w:rPr>
  </w:style>
  <w:style w:type="character" w:customStyle="1" w:styleId="Heading9Char">
    <w:name w:val="Heading 9 Char"/>
    <w:basedOn w:val="DefaultParagraphFont"/>
    <w:link w:val="Heading9"/>
    <w:uiPriority w:val="9"/>
    <w:semiHidden/>
    <w:rsid w:val="00083E3E"/>
    <w:rPr>
      <w:i/>
      <w:iCs/>
      <w:caps/>
      <w:spacing w:val="10"/>
      <w:sz w:val="18"/>
      <w:szCs w:val="18"/>
    </w:rPr>
  </w:style>
  <w:style w:type="paragraph" w:styleId="Caption">
    <w:name w:val="caption"/>
    <w:basedOn w:val="Normal"/>
    <w:next w:val="Normal"/>
    <w:uiPriority w:val="35"/>
    <w:semiHidden/>
    <w:unhideWhenUsed/>
    <w:qFormat/>
    <w:rsid w:val="00083E3E"/>
    <w:rPr>
      <w:b/>
      <w:bCs/>
      <w:color w:val="864EA8" w:themeColor="accent1" w:themeShade="BF"/>
      <w:sz w:val="16"/>
      <w:szCs w:val="16"/>
    </w:rPr>
  </w:style>
  <w:style w:type="paragraph" w:styleId="Title">
    <w:name w:val="Title"/>
    <w:basedOn w:val="Normal"/>
    <w:next w:val="Normal"/>
    <w:link w:val="TitleChar"/>
    <w:uiPriority w:val="10"/>
    <w:qFormat/>
    <w:rsid w:val="00083E3E"/>
    <w:pPr>
      <w:spacing w:before="0" w:after="0"/>
    </w:pPr>
    <w:rPr>
      <w:rFonts w:asciiTheme="majorHAnsi" w:eastAsiaTheme="majorEastAsia" w:hAnsiTheme="majorHAnsi" w:cstheme="majorBidi"/>
      <w:caps/>
      <w:color w:val="AD84C6" w:themeColor="accent1"/>
      <w:spacing w:val="10"/>
      <w:sz w:val="52"/>
      <w:szCs w:val="52"/>
    </w:rPr>
  </w:style>
  <w:style w:type="character" w:customStyle="1" w:styleId="TitleChar">
    <w:name w:val="Title Char"/>
    <w:basedOn w:val="DefaultParagraphFont"/>
    <w:link w:val="Title"/>
    <w:uiPriority w:val="10"/>
    <w:rsid w:val="00083E3E"/>
    <w:rPr>
      <w:rFonts w:asciiTheme="majorHAnsi" w:eastAsiaTheme="majorEastAsia" w:hAnsiTheme="majorHAnsi" w:cstheme="majorBidi"/>
      <w:caps/>
      <w:color w:val="AD84C6" w:themeColor="accent1"/>
      <w:spacing w:val="10"/>
      <w:sz w:val="52"/>
      <w:szCs w:val="52"/>
    </w:rPr>
  </w:style>
  <w:style w:type="paragraph" w:styleId="Subtitle">
    <w:name w:val="Subtitle"/>
    <w:basedOn w:val="Normal"/>
    <w:next w:val="Normal"/>
    <w:link w:val="SubtitleChar"/>
    <w:uiPriority w:val="11"/>
    <w:qFormat/>
    <w:rsid w:val="00083E3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083E3E"/>
    <w:rPr>
      <w:caps/>
      <w:color w:val="595959" w:themeColor="text1" w:themeTint="A6"/>
      <w:spacing w:val="10"/>
      <w:sz w:val="21"/>
      <w:szCs w:val="21"/>
    </w:rPr>
  </w:style>
  <w:style w:type="character" w:styleId="Strong">
    <w:name w:val="Strong"/>
    <w:uiPriority w:val="22"/>
    <w:qFormat/>
    <w:rsid w:val="00083E3E"/>
    <w:rPr>
      <w:b/>
      <w:bCs/>
    </w:rPr>
  </w:style>
  <w:style w:type="character" w:styleId="Emphasis">
    <w:name w:val="Emphasis"/>
    <w:uiPriority w:val="20"/>
    <w:qFormat/>
    <w:rsid w:val="00083E3E"/>
    <w:rPr>
      <w:caps/>
      <w:color w:val="593470" w:themeColor="accent1" w:themeShade="7F"/>
      <w:spacing w:val="5"/>
    </w:rPr>
  </w:style>
  <w:style w:type="character" w:styleId="SubtleEmphasis">
    <w:name w:val="Subtle Emphasis"/>
    <w:uiPriority w:val="19"/>
    <w:qFormat/>
    <w:rsid w:val="00DC0226"/>
    <w:rPr>
      <w:i/>
      <w:iCs/>
      <w:color w:val="593470" w:themeColor="accent1" w:themeShade="7F"/>
    </w:rPr>
  </w:style>
  <w:style w:type="character" w:styleId="IntenseEmphasis">
    <w:name w:val="Intense Emphasis"/>
    <w:uiPriority w:val="21"/>
    <w:qFormat/>
    <w:rsid w:val="00083E3E"/>
    <w:rPr>
      <w:b/>
      <w:bCs/>
      <w:caps/>
      <w:color w:val="593470" w:themeColor="accent1" w:themeShade="7F"/>
      <w:spacing w:val="10"/>
    </w:rPr>
  </w:style>
  <w:style w:type="character" w:styleId="SubtleReference">
    <w:name w:val="Subtle Reference"/>
    <w:uiPriority w:val="31"/>
    <w:qFormat/>
    <w:rsid w:val="00B7107C"/>
    <w:rPr>
      <w:b/>
      <w:bCs/>
      <w:color w:val="AD84C6" w:themeColor="accent1"/>
    </w:rPr>
  </w:style>
  <w:style w:type="character" w:styleId="BookTitle">
    <w:name w:val="Book Title"/>
    <w:uiPriority w:val="33"/>
    <w:qFormat/>
    <w:rsid w:val="00083E3E"/>
    <w:rPr>
      <w:b/>
      <w:bCs/>
      <w:i/>
      <w:iCs/>
      <w:spacing w:val="0"/>
    </w:rPr>
  </w:style>
  <w:style w:type="paragraph" w:styleId="TOCHeading">
    <w:name w:val="TOC Heading"/>
    <w:basedOn w:val="Heading1"/>
    <w:next w:val="Normal"/>
    <w:uiPriority w:val="39"/>
    <w:unhideWhenUsed/>
    <w:qFormat/>
    <w:rsid w:val="00083E3E"/>
    <w:pPr>
      <w:outlineLvl w:val="9"/>
    </w:pPr>
  </w:style>
  <w:style w:type="character" w:customStyle="1" w:styleId="NoSpacingChar">
    <w:name w:val="No Spacing Char"/>
    <w:basedOn w:val="DefaultParagraphFont"/>
    <w:link w:val="NoSpacing"/>
    <w:uiPriority w:val="1"/>
    <w:rsid w:val="00EF1335"/>
  </w:style>
  <w:style w:type="paragraph" w:customStyle="1" w:styleId="Quote2">
    <w:name w:val="Quote 2"/>
    <w:basedOn w:val="Normal"/>
    <w:next w:val="Normal"/>
    <w:link w:val="Quote2Char"/>
    <w:uiPriority w:val="29"/>
    <w:rsid w:val="007926A8"/>
    <w:pPr>
      <w:tabs>
        <w:tab w:val="left" w:pos="5812"/>
      </w:tabs>
      <w:spacing w:after="0"/>
      <w:ind w:left="709" w:right="766"/>
      <w:jc w:val="center"/>
    </w:pPr>
    <w:rPr>
      <w:rFonts w:asciiTheme="minorHAnsi" w:hAnsiTheme="minorHAnsi" w:cstheme="minorBidi"/>
      <w:i/>
      <w:iCs/>
      <w:color w:val="FFFFFF" w:themeColor="background1"/>
      <w:sz w:val="36"/>
      <w:szCs w:val="36"/>
      <w:lang w:eastAsia="en-US"/>
    </w:rPr>
  </w:style>
  <w:style w:type="character" w:customStyle="1" w:styleId="Quote2Char">
    <w:name w:val="Quote 2 Char"/>
    <w:basedOn w:val="DefaultParagraphFont"/>
    <w:link w:val="Quote2"/>
    <w:uiPriority w:val="29"/>
    <w:rsid w:val="007926A8"/>
    <w:rPr>
      <w:i/>
      <w:iCs/>
      <w:color w:val="FFFFFF" w:themeColor="background1"/>
      <w:sz w:val="36"/>
      <w:szCs w:val="36"/>
      <w:lang w:eastAsia="en-US"/>
    </w:rPr>
  </w:style>
  <w:style w:type="paragraph" w:customStyle="1" w:styleId="Quote4">
    <w:name w:val="Quote 4"/>
    <w:basedOn w:val="Normal"/>
    <w:next w:val="Normal"/>
    <w:link w:val="Quote4Char"/>
    <w:uiPriority w:val="29"/>
    <w:rsid w:val="00C65721"/>
    <w:pPr>
      <w:spacing w:after="0"/>
      <w:ind w:left="709" w:right="709"/>
      <w:jc w:val="center"/>
    </w:pPr>
    <w:rPr>
      <w:rFonts w:asciiTheme="majorHAnsi" w:hAnsiTheme="majorHAnsi" w:cstheme="minorBidi"/>
      <w:i/>
      <w:sz w:val="52"/>
      <w:szCs w:val="20"/>
      <w:lang w:eastAsia="en-US"/>
    </w:rPr>
  </w:style>
  <w:style w:type="character" w:customStyle="1" w:styleId="Quote4Char">
    <w:name w:val="Quote 4 Char"/>
    <w:basedOn w:val="DefaultParagraphFont"/>
    <w:link w:val="Quote4"/>
    <w:uiPriority w:val="29"/>
    <w:rsid w:val="00C65721"/>
    <w:rPr>
      <w:rFonts w:asciiTheme="majorHAnsi" w:hAnsiTheme="majorHAnsi"/>
      <w:i/>
      <w:sz w:val="52"/>
      <w:lang w:eastAsia="en-US"/>
    </w:rPr>
  </w:style>
  <w:style w:type="paragraph" w:styleId="NormalWeb">
    <w:name w:val="Normal (Web)"/>
    <w:basedOn w:val="Normal"/>
    <w:uiPriority w:val="99"/>
    <w:semiHidden/>
    <w:unhideWhenUsed/>
    <w:rsid w:val="00685963"/>
    <w:rPr>
      <w:rFonts w:ascii="Times New Roman" w:hAnsi="Times New Roman" w:cs="Times New Roman"/>
    </w:rPr>
  </w:style>
  <w:style w:type="paragraph" w:styleId="TOC1">
    <w:name w:val="toc 1"/>
    <w:basedOn w:val="Normal"/>
    <w:next w:val="Normal"/>
    <w:autoRedefine/>
    <w:uiPriority w:val="39"/>
    <w:unhideWhenUsed/>
    <w:rsid w:val="000329CD"/>
    <w:pPr>
      <w:tabs>
        <w:tab w:val="right" w:pos="9350"/>
      </w:tabs>
      <w:spacing w:before="360" w:after="0"/>
    </w:pPr>
    <w:rPr>
      <w:rFonts w:asciiTheme="minorHAnsi" w:hAnsiTheme="minorHAnsi"/>
      <w:b/>
      <w:bCs/>
      <w:caps/>
      <w:sz w:val="22"/>
      <w:szCs w:val="22"/>
      <w:u w:val="single"/>
    </w:rPr>
  </w:style>
  <w:style w:type="paragraph" w:styleId="TOC2">
    <w:name w:val="toc 2"/>
    <w:basedOn w:val="Normal"/>
    <w:next w:val="Normal"/>
    <w:autoRedefine/>
    <w:uiPriority w:val="39"/>
    <w:unhideWhenUsed/>
    <w:rsid w:val="00AD058D"/>
    <w:pPr>
      <w:spacing w:before="0" w:after="0"/>
    </w:pPr>
    <w:rPr>
      <w:rFonts w:asciiTheme="minorHAnsi" w:hAnsiTheme="minorHAnsi"/>
      <w:b/>
      <w:bCs/>
      <w:smallCaps/>
      <w:sz w:val="22"/>
      <w:szCs w:val="22"/>
    </w:rPr>
  </w:style>
  <w:style w:type="paragraph" w:styleId="TOC3">
    <w:name w:val="toc 3"/>
    <w:basedOn w:val="Normal"/>
    <w:next w:val="Normal"/>
    <w:autoRedefine/>
    <w:uiPriority w:val="39"/>
    <w:unhideWhenUsed/>
    <w:rsid w:val="00AD058D"/>
    <w:pPr>
      <w:spacing w:before="0" w:after="0"/>
    </w:pPr>
    <w:rPr>
      <w:rFonts w:asciiTheme="minorHAnsi" w:hAnsiTheme="minorHAnsi"/>
      <w:smallCaps/>
      <w:sz w:val="22"/>
      <w:szCs w:val="22"/>
    </w:rPr>
  </w:style>
  <w:style w:type="paragraph" w:styleId="TOC4">
    <w:name w:val="toc 4"/>
    <w:basedOn w:val="Normal"/>
    <w:next w:val="Normal"/>
    <w:autoRedefine/>
    <w:uiPriority w:val="39"/>
    <w:unhideWhenUsed/>
    <w:rsid w:val="00AD058D"/>
    <w:pPr>
      <w:spacing w:before="0" w:after="0"/>
    </w:pPr>
    <w:rPr>
      <w:rFonts w:asciiTheme="minorHAnsi" w:hAnsiTheme="minorHAnsi"/>
      <w:sz w:val="22"/>
      <w:szCs w:val="22"/>
    </w:rPr>
  </w:style>
  <w:style w:type="paragraph" w:styleId="TOC5">
    <w:name w:val="toc 5"/>
    <w:basedOn w:val="Normal"/>
    <w:next w:val="Normal"/>
    <w:autoRedefine/>
    <w:uiPriority w:val="39"/>
    <w:unhideWhenUsed/>
    <w:rsid w:val="00AD058D"/>
    <w:pPr>
      <w:spacing w:before="0" w:after="0"/>
    </w:pPr>
    <w:rPr>
      <w:rFonts w:asciiTheme="minorHAnsi" w:hAnsiTheme="minorHAnsi"/>
      <w:sz w:val="22"/>
      <w:szCs w:val="22"/>
    </w:rPr>
  </w:style>
  <w:style w:type="paragraph" w:styleId="TOC6">
    <w:name w:val="toc 6"/>
    <w:basedOn w:val="Normal"/>
    <w:next w:val="Normal"/>
    <w:autoRedefine/>
    <w:uiPriority w:val="39"/>
    <w:unhideWhenUsed/>
    <w:rsid w:val="00AD058D"/>
    <w:pPr>
      <w:spacing w:before="0" w:after="0"/>
    </w:pPr>
    <w:rPr>
      <w:rFonts w:asciiTheme="minorHAnsi" w:hAnsiTheme="minorHAnsi"/>
      <w:sz w:val="22"/>
      <w:szCs w:val="22"/>
    </w:rPr>
  </w:style>
  <w:style w:type="paragraph" w:styleId="TOC7">
    <w:name w:val="toc 7"/>
    <w:basedOn w:val="Normal"/>
    <w:next w:val="Normal"/>
    <w:autoRedefine/>
    <w:uiPriority w:val="39"/>
    <w:unhideWhenUsed/>
    <w:rsid w:val="00AD058D"/>
    <w:pPr>
      <w:spacing w:before="0" w:after="0"/>
    </w:pPr>
    <w:rPr>
      <w:rFonts w:asciiTheme="minorHAnsi" w:hAnsiTheme="minorHAnsi"/>
      <w:sz w:val="22"/>
      <w:szCs w:val="22"/>
    </w:rPr>
  </w:style>
  <w:style w:type="paragraph" w:styleId="TOC8">
    <w:name w:val="toc 8"/>
    <w:basedOn w:val="Normal"/>
    <w:next w:val="Normal"/>
    <w:autoRedefine/>
    <w:uiPriority w:val="39"/>
    <w:unhideWhenUsed/>
    <w:rsid w:val="00AD058D"/>
    <w:pPr>
      <w:spacing w:before="0" w:after="0"/>
    </w:pPr>
    <w:rPr>
      <w:rFonts w:asciiTheme="minorHAnsi" w:hAnsiTheme="minorHAnsi"/>
      <w:sz w:val="22"/>
      <w:szCs w:val="22"/>
    </w:rPr>
  </w:style>
  <w:style w:type="paragraph" w:styleId="TOC9">
    <w:name w:val="toc 9"/>
    <w:basedOn w:val="Normal"/>
    <w:next w:val="Normal"/>
    <w:autoRedefine/>
    <w:uiPriority w:val="39"/>
    <w:unhideWhenUsed/>
    <w:rsid w:val="00AD058D"/>
    <w:pPr>
      <w:spacing w:before="0" w:after="0"/>
    </w:pPr>
    <w:rPr>
      <w:rFonts w:asciiTheme="minorHAnsi" w:hAnsiTheme="minorHAnsi"/>
      <w:sz w:val="22"/>
      <w:szCs w:val="22"/>
    </w:rPr>
  </w:style>
  <w:style w:type="paragraph" w:styleId="BodyText">
    <w:name w:val="Body Text"/>
    <w:basedOn w:val="Normal"/>
    <w:link w:val="BodyTextChar"/>
    <w:qFormat/>
    <w:rsid w:val="00DC0226"/>
    <w:pPr>
      <w:spacing w:before="180" w:after="180" w:line="240" w:lineRule="auto"/>
    </w:pPr>
    <w:rPr>
      <w:rFonts w:asciiTheme="minorHAnsi" w:eastAsiaTheme="minorHAnsi" w:hAnsiTheme="minorHAnsi" w:cstheme="minorBidi"/>
      <w:lang w:eastAsia="en-US"/>
    </w:rPr>
  </w:style>
  <w:style w:type="character" w:customStyle="1" w:styleId="BodyTextChar">
    <w:name w:val="Body Text Char"/>
    <w:basedOn w:val="DefaultParagraphFont"/>
    <w:link w:val="BodyText"/>
    <w:rsid w:val="00DC0226"/>
    <w:rPr>
      <w:rFonts w:eastAsiaTheme="minorHAnsi"/>
      <w:sz w:val="24"/>
      <w:szCs w:val="24"/>
      <w:lang w:eastAsia="en-US"/>
    </w:rPr>
  </w:style>
  <w:style w:type="paragraph" w:customStyle="1" w:styleId="FirstParagraph">
    <w:name w:val="First Paragraph"/>
    <w:basedOn w:val="BodyText"/>
    <w:next w:val="BodyText"/>
    <w:qFormat/>
    <w:rsid w:val="00DC02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hyperlink" Target="https://www.mass.gov/service-details/connect-with-your-local-masshire-workforce-board" TargetMode="External"/><Relationship Id="rId68" Type="http://schemas.microsoft.com/office/2020/10/relationships/intelligence" Target="intelligence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jpeg"/><Relationship Id="rId45" Type="http://schemas.openxmlformats.org/officeDocument/2006/relationships/image" Target="media/image37.png"/><Relationship Id="rId53" Type="http://schemas.openxmlformats.org/officeDocument/2006/relationships/image" Target="media/image44.png"/><Relationship Id="rId58" Type="http://schemas.openxmlformats.org/officeDocument/2006/relationships/hyperlink" Target="https://www.ewg.org/skindeep/ingredients/723141-PTFE_TEFLON/"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mass.gov/service-details/the-safe-spaces-for-lgbtqia-youth-program-engage-youth-who-are-lgbtqia" TargetMode="Externa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39.png"/><Relationship Id="rId56" Type="http://schemas.openxmlformats.org/officeDocument/2006/relationships/image" Target="media/image47.jpeg"/><Relationship Id="rId64"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png"/><Relationship Id="rId46" Type="http://schemas.microsoft.com/office/2007/relationships/hdphoto" Target="media/hdphoto1.wdp"/><Relationship Id="rId59" Type="http://schemas.openxmlformats.org/officeDocument/2006/relationships/image" Target="media/image49.png"/><Relationship Id="rId67"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5.jpeg"/><Relationship Id="rId62" Type="http://schemas.openxmlformats.org/officeDocument/2006/relationships/hyperlink" Target="https://www.mass.gov/masshire-career-center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3.png"/><Relationship Id="rId60" Type="http://schemas.openxmlformats.org/officeDocument/2006/relationships/hyperlink" Target="https://www.masshelpline.com/"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ass.gov/annual-recommendations" TargetMode="Externa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jpeg"/></Relationships>
</file>

<file path=word/_rels/footnotes.xml.rels><?xml version="1.0" encoding="UTF-8" standalone="yes"?>
<Relationships xmlns="http://schemas.openxmlformats.org/package/2006/relationships"><Relationship Id="rId117" Type="http://schemas.openxmlformats.org/officeDocument/2006/relationships/hyperlink" Target="https://doi.org/10.1111/bioe.13084" TargetMode="External"/><Relationship Id="rId21" Type="http://schemas.openxmlformats.org/officeDocument/2006/relationships/hyperlink" Target="https://www.aclu.org/legislative-attacks-on-lgbtq-rights-2026" TargetMode="External"/><Relationship Id="rId42" Type="http://schemas.openxmlformats.org/officeDocument/2006/relationships/hyperlink" Target="https://doi.org/10.1177/01614681221111072" TargetMode="External"/><Relationship Id="rId63" Type="http://schemas.openxmlformats.org/officeDocument/2006/relationships/hyperlink" Target="https://ncsacw.acf.hhs.gov/files/live-experience.pdf" TargetMode="External"/><Relationship Id="rId84" Type="http://schemas.openxmlformats.org/officeDocument/2006/relationships/hyperlink" Target="https://www.mass.gov/news/governor-healey-announces-successful-closure-of-all-hotel-shelters-ends-state-of-emergency" TargetMode="External"/><Relationship Id="rId138" Type="http://schemas.openxmlformats.org/officeDocument/2006/relationships/hyperlink" Target="https://doi.org/10.1016/j.jadohealth.2017.06.024" TargetMode="External"/><Relationship Id="rId159" Type="http://schemas.openxmlformats.org/officeDocument/2006/relationships/hyperlink" Target="https://doi.org/10.1089/vio.2021.0048" TargetMode="External"/><Relationship Id="rId170" Type="http://schemas.openxmlformats.org/officeDocument/2006/relationships/hyperlink" Target="https://siecus.org/siecus-state-profiles/" TargetMode="External"/><Relationship Id="rId191" Type="http://schemas.openxmlformats.org/officeDocument/2006/relationships/hyperlink" Target="https://www.guttmacher.org/article/2019/12/sexual-orientation-differences-pregnancy-and-abortion-across-lifecourse" TargetMode="External"/><Relationship Id="rId205" Type="http://schemas.openxmlformats.org/officeDocument/2006/relationships/hyperlink" Target="https://doi.org/10.1080/0966369X.2013.802673" TargetMode="External"/><Relationship Id="rId107" Type="http://schemas.openxmlformats.org/officeDocument/2006/relationships/hyperlink" Target="https://www.mass.gov/news/governor-healey-takes-action-to-keep-ice-out-of-schools-hospitals-courthouses-and-places-of-worship" TargetMode="External"/><Relationship Id="rId11" Type="http://schemas.openxmlformats.org/officeDocument/2006/relationships/hyperlink" Target="https://www.pw.hks.harvard.edu/post/addressing-the-labor-shortage-in-massachusetts" TargetMode="External"/><Relationship Id="rId32" Type="http://schemas.openxmlformats.org/officeDocument/2006/relationships/hyperlink" Target="https://www.aclu.org/press-releases/supreme-court-concludes-oral-arguments-in-historic-transgender-rights-hearing" TargetMode="External"/><Relationship Id="rId53" Type="http://schemas.openxmlformats.org/officeDocument/2006/relationships/hyperlink" Target="https://doi.org/10.1111/cdev.13345" TargetMode="External"/><Relationship Id="rId74" Type="http://schemas.openxmlformats.org/officeDocument/2006/relationships/hyperlink" Target="https://www.cbpp.org/research/federal-rental-assistance-fact-sheets" TargetMode="External"/><Relationship Id="rId128" Type="http://schemas.openxmlformats.org/officeDocument/2006/relationships/hyperlink" Target="https://doi.org/10.1371/journal.pone.0240088" TargetMode="External"/><Relationship Id="rId149" Type="http://schemas.openxmlformats.org/officeDocument/2006/relationships/hyperlink" Target="https://evawintl.org/wp-content/uploads/YoungAdultsWhoExperienceHomelessnessandSexualViolenceMay2017.pdf" TargetMode="External"/><Relationship Id="rId5" Type="http://schemas.openxmlformats.org/officeDocument/2006/relationships/hyperlink" Target="https://www.mass.gov/doc/2024-youth-count-report-pdf/download" TargetMode="External"/><Relationship Id="rId95" Type="http://schemas.openxmlformats.org/officeDocument/2006/relationships/hyperlink" Target="https://www.wbur.org/news/2020/04/07/coronavirus-translation-problems" TargetMode="External"/><Relationship Id="rId160" Type="http://schemas.openxmlformats.org/officeDocument/2006/relationships/hyperlink" Target="https://doi.org/10.22329/csw.v13i2.5861" TargetMode="External"/><Relationship Id="rId181" Type="http://schemas.openxmlformats.org/officeDocument/2006/relationships/hyperlink" Target="https://doi.org/10.1111/jmwh.12962" TargetMode="External"/><Relationship Id="rId216" Type="http://schemas.openxmlformats.org/officeDocument/2006/relationships/hyperlink" Target="https://www.mass.gov/doc/2024-youth-count-report-pdf/download" TargetMode="External"/><Relationship Id="rId22" Type="http://schemas.openxmlformats.org/officeDocument/2006/relationships/hyperlink" Target="https://www.thetrevorproject.org/research-briefs/sexual-violence-and-suicide-risk-among-lgbtq-young-people/" TargetMode="External"/><Relationship Id="rId43" Type="http://schemas.openxmlformats.org/officeDocument/2006/relationships/hyperlink" Target="https://www.americanprogress.org/article/ending-daca-means-lgbtq-dreamers/" TargetMode="External"/><Relationship Id="rId64" Type="http://schemas.openxmlformats.org/officeDocument/2006/relationships/hyperlink" Target="https://www.njjn.org/uploads/digital-library/resource_497.pdf" TargetMode="External"/><Relationship Id="rId118" Type="http://schemas.openxmlformats.org/officeDocument/2006/relationships/hyperlink" Target="https://www.glad.org/post/advocates-praise-ma-protection-for-abortion-gender-affirming-care/" TargetMode="External"/><Relationship Id="rId139" Type="http://schemas.openxmlformats.org/officeDocument/2006/relationships/hyperlink" Target="https://www.cdc.gov/violenceprevention/intimatepartnerviolence/teendatingviolence/fastfact.html" TargetMode="External"/><Relationship Id="rId85" Type="http://schemas.openxmlformats.org/officeDocument/2006/relationships/hyperlink" Target="https://theworcesterguardian.org/f/for-states-homeless-a-new-bill-could-make-ids-easier-to-obtain/" TargetMode="External"/><Relationship Id="rId150" Type="http://schemas.openxmlformats.org/officeDocument/2006/relationships/hyperlink" Target="https://transequality.org/blog/federal-survey-40-of-transgender-prisoners-are-sexually-abused-each-year" TargetMode="External"/><Relationship Id="rId171" Type="http://schemas.openxmlformats.org/officeDocument/2006/relationships/hyperlink" Target="https://masshpc.gov/news/press-release/massachusetts-ranks-45th-nation-severe-maternal-morbidity-rates-hpc-proposes" TargetMode="External"/><Relationship Id="rId192" Type="http://schemas.openxmlformats.org/officeDocument/2006/relationships/hyperlink" Target="https://doi.org/10.1016/j.ajog.2020.09.035" TargetMode="External"/><Relationship Id="rId206" Type="http://schemas.openxmlformats.org/officeDocument/2006/relationships/hyperlink" Target="https://assets2.hrc.org/files/assets/resources/EmergencyResponders_-_LGBT_Competency.pdf" TargetMode="External"/><Relationship Id="rId12" Type="http://schemas.openxmlformats.org/officeDocument/2006/relationships/hyperlink" Target="https://www.prisonpolicy.org/blog/2022/02/08/employment/" TargetMode="External"/><Relationship Id="rId33" Type="http://schemas.openxmlformats.org/officeDocument/2006/relationships/hyperlink" Target="https://doi.org/10.70226/OSCY3344" TargetMode="External"/><Relationship Id="rId108" Type="http://schemas.openxmlformats.org/officeDocument/2006/relationships/hyperlink" Target="https://www.mass.gov/doc/information-for-immigrant-patients-and-their-health-care-providers-on-immigration-enforcement/download" TargetMode="External"/><Relationship Id="rId129" Type="http://schemas.openxmlformats.org/officeDocument/2006/relationships/hyperlink" Target="https://www.thetrevorproject.org/research-briefs/experiences-and-mental-health-outcomes-among-intersex-lgbtq-young-people/" TargetMode="External"/><Relationship Id="rId54" Type="http://schemas.openxmlformats.org/officeDocument/2006/relationships/hyperlink" Target="https://www.mass.gov/doc/dys-annual-report-2023/download" TargetMode="External"/><Relationship Id="rId75" Type="http://schemas.openxmlformats.org/officeDocument/2006/relationships/hyperlink" Target="https://nlihc.org/oor/state/ma" TargetMode="External"/><Relationship Id="rId96" Type="http://schemas.openxmlformats.org/officeDocument/2006/relationships/hyperlink" Target="https://doi.org/10.1001/amajethics.2021.109" TargetMode="External"/><Relationship Id="rId140" Type="http://schemas.openxmlformats.org/officeDocument/2006/relationships/hyperlink" Target="https://transequality.org/sites/default/files/docs/usts/USTS-Full-Report-Dec17.pdf" TargetMode="External"/><Relationship Id="rId161" Type="http://schemas.openxmlformats.org/officeDocument/2006/relationships/hyperlink" Target="https://doi.org/10.1080/15374416.2021.1941058" TargetMode="External"/><Relationship Id="rId182" Type="http://schemas.openxmlformats.org/officeDocument/2006/relationships/hyperlink" Target="https://medlineplus.gov/ency/article/004002.htm" TargetMode="External"/><Relationship Id="rId6" Type="http://schemas.openxmlformats.org/officeDocument/2006/relationships/hyperlink" Target="https://www.mass.gov/doc/fy2024-dcf-annual-report/download" TargetMode="External"/><Relationship Id="rId23" Type="http://schemas.openxmlformats.org/officeDocument/2006/relationships/hyperlink" Target="https://doi.org/10.1177/08862605231162655" TargetMode="External"/><Relationship Id="rId119" Type="http://schemas.openxmlformats.org/officeDocument/2006/relationships/hyperlink" Target="https://www.latimes.com/california/story/2022-09-29/with-new-law-california-welcomes-out-of-state-transgender-youth" TargetMode="External"/><Relationship Id="rId44" Type="http://schemas.openxmlformats.org/officeDocument/2006/relationships/hyperlink" Target="https://williamsinstitute.law.ucla.edu/publications/lgbt-dreamers-daca/" TargetMode="External"/><Relationship Id="rId65" Type="http://schemas.openxmlformats.org/officeDocument/2006/relationships/hyperlink" Target="https://allianceforchildrensrights.org/wp-content/uploads/Engaging-Lived-Experience-Report.pdf" TargetMode="External"/><Relationship Id="rId86" Type="http://schemas.openxmlformats.org/officeDocument/2006/relationships/hyperlink" Target="https://www.cbsnews.com/boston/news/massachusetts-home-sales-prices-2023/" TargetMode="External"/><Relationship Id="rId130" Type="http://schemas.openxmlformats.org/officeDocument/2006/relationships/hyperlink" Target="https://doi.org/10.1111/josh.13082" TargetMode="External"/><Relationship Id="rId151" Type="http://schemas.openxmlformats.org/officeDocument/2006/relationships/hyperlink" Target="https://scholarworks.calstate.edu/downloads/2v23w095f" TargetMode="External"/><Relationship Id="rId172" Type="http://schemas.openxmlformats.org/officeDocument/2006/relationships/hyperlink" Target="https://www.mass.gov/doc/an-assessment-of-severe-maternal-morbidity-in-massachusetts-2011-2020/download" TargetMode="External"/><Relationship Id="rId193" Type="http://schemas.openxmlformats.org/officeDocument/2006/relationships/hyperlink" Target="https://www.epa.gov/environmentaljustice/environmental-justice-timeline" TargetMode="External"/><Relationship Id="rId207" Type="http://schemas.openxmlformats.org/officeDocument/2006/relationships/hyperlink" Target="https://www.thetrevorproject.org/research-" TargetMode="External"/><Relationship Id="rId13" Type="http://schemas.openxmlformats.org/officeDocument/2006/relationships/hyperlink" Target="https://commcorp.org/program/residential-work-programs-department-of-youth-services/" TargetMode="External"/><Relationship Id="rId109" Type="http://schemas.openxmlformats.org/officeDocument/2006/relationships/hyperlink" Target="https://doi.org/10.1007/s40471-017-0111-2" TargetMode="External"/><Relationship Id="rId34" Type="http://schemas.openxmlformats.org/officeDocument/2006/relationships/hyperlink" Target="https://maps.glsen.org/wp-content/uploads/2023/02/GLSEN_2021_NSCS_State_Snapshots_MA.pdf" TargetMode="External"/><Relationship Id="rId55" Type="http://schemas.openxmlformats.org/officeDocument/2006/relationships/hyperlink" Target="https://williamsinstitute.law.ucla.edu/wp-content/uploads/LGBTQYOC-SocialServices-Jul-2019.pdf" TargetMode="External"/><Relationship Id="rId76" Type="http://schemas.openxmlformats.org/officeDocument/2006/relationships/hyperlink" Target="https://www.mass.gov/how-to/apply-for-raft-emergency-help-for-housing-costs" TargetMode="External"/><Relationship Id="rId97" Type="http://schemas.openxmlformats.org/officeDocument/2006/relationships/hyperlink" Target="https://www.cbsnews.com/boston/news/massachusetts-schools-immigration-fears-absences/" TargetMode="External"/><Relationship Id="rId120" Type="http://schemas.openxmlformats.org/officeDocument/2006/relationships/hyperlink" Target="https://fenwayhealth.org/sharing-an-update-about-our-care-for-trans-health-patients-under-19-years-of-age/" TargetMode="External"/><Relationship Id="rId141" Type="http://schemas.openxmlformats.org/officeDocument/2006/relationships/hyperlink" Target="https://www.mass.gov/info-details/community-health-equity-initiative-data-dashboard" TargetMode="External"/><Relationship Id="rId7" Type="http://schemas.openxmlformats.org/officeDocument/2006/relationships/hyperlink" Target="https://doi.org/10.1016/j.childyouth.2020.105481" TargetMode="External"/><Relationship Id="rId162" Type="http://schemas.openxmlformats.org/officeDocument/2006/relationships/hyperlink" Target="https://doi.org/10.1007/s40596-019-01127-6" TargetMode="External"/><Relationship Id="rId183" Type="http://schemas.openxmlformats.org/officeDocument/2006/relationships/hyperlink" Target="https://www.plannedparenthood.org/learn/birth-control/condom/how-" TargetMode="External"/><Relationship Id="rId24" Type="http://schemas.openxmlformats.org/officeDocument/2006/relationships/hyperlink" Target="https://doi.org/10.2105/AJPH.2021.306623" TargetMode="External"/><Relationship Id="rId45" Type="http://schemas.openxmlformats.org/officeDocument/2006/relationships/hyperlink" Target="https://www.americanprogress.org/article/daca-recipients-economic-educational-gains-continue-grow/" TargetMode="External"/><Relationship Id="rId66" Type="http://schemas.openxmlformats.org/officeDocument/2006/relationships/hyperlink" Target="https://nij.ojp.gov/topics/articles/expungement-criminal-records-reentry-barriers" TargetMode="External"/><Relationship Id="rId87" Type="http://schemas.openxmlformats.org/officeDocument/2006/relationships/hyperlink" Target="https://www.boston.com/real-estate/real-estate/2024/02/06/boston-ranked-among-the-toughest-cities-for-gen-z-home-buyers/" TargetMode="External"/><Relationship Id="rId110" Type="http://schemas.openxmlformats.org/officeDocument/2006/relationships/hyperlink" Target="https://doi.org/10.1177/0739986310373210" TargetMode="External"/><Relationship Id="rId131" Type="http://schemas.openxmlformats.org/officeDocument/2006/relationships/hyperlink" Target="https://doi.org/10.1007/s10560-020-00661-9" TargetMode="External"/><Relationship Id="rId152" Type="http://schemas.openxmlformats.org/officeDocument/2006/relationships/hyperlink" Target="https://doi.org/10.1016/j.ssmph.2022.101292" TargetMode="External"/><Relationship Id="rId173" Type="http://schemas.openxmlformats.org/officeDocument/2006/relationships/hyperlink" Target="https://doi.org/10.1016/j.ajog.2019.08.057" TargetMode="External"/><Relationship Id="rId194" Type="http://schemas.openxmlformats.org/officeDocument/2006/relationships/hyperlink" Target="https://doi.org/10.2105/AJPH.2021.306477" TargetMode="External"/><Relationship Id="rId208" Type="http://schemas.openxmlformats.org/officeDocument/2006/relationships/hyperlink" Target="http://www.lgbtmap.org/lgbt-people-disabilities" TargetMode="External"/><Relationship Id="rId19" Type="http://schemas.openxmlformats.org/officeDocument/2006/relationships/hyperlink" Target="https://doi.org/10.1080/15548732.2016.1221368" TargetMode="External"/><Relationship Id="rId14" Type="http://schemas.openxmlformats.org/officeDocument/2006/relationships/hyperlink" Target="https://doi.org/10.29158/JAAPL.220028-21" TargetMode="External"/><Relationship Id="rId30" Type="http://schemas.openxmlformats.org/officeDocument/2006/relationships/hyperlink" Target="https://doi.org/10.1111/cdev.12998" TargetMode="External"/><Relationship Id="rId35" Type="http://schemas.openxmlformats.org/officeDocument/2006/relationships/hyperlink" Target="https://mblc.state.ma.us/mblc_blog/2023/09/12/beyond-book-bans-how-book-challenges-are-impacting-librarians-and-libraries-in-massachusetts/" TargetMode="External"/><Relationship Id="rId56" Type="http://schemas.openxmlformats.org/officeDocument/2006/relationships/hyperlink" Target="https://fenwayhealth.org/wp-content/uploads/TFIP-33_Best-Practices-for-LGBTI-Incarcerated-People-Brief_web.pdf" TargetMode="External"/><Relationship Id="rId77" Type="http://schemas.openxmlformats.org/officeDocument/2006/relationships/hyperlink" Target="https://www.mass.gov/cost-and-its-consequences" TargetMode="External"/><Relationship Id="rId100" Type="http://schemas.openxmlformats.org/officeDocument/2006/relationships/hyperlink" Target="https://doi.org/10.1542/peds.113.1.1" TargetMode="External"/><Relationship Id="rId105" Type="http://schemas.openxmlformats.org/officeDocument/2006/relationships/hyperlink" Target="https://www.kff.org/racial-equity-and-health-policy/key-facts-on-health-coverage-of-immigrants/" TargetMode="External"/><Relationship Id="rId126" Type="http://schemas.openxmlformats.org/officeDocument/2006/relationships/hyperlink" Target="https://doi.org/10.1080/26410397.2020.1731298" TargetMode="External"/><Relationship Id="rId147" Type="http://schemas.openxmlformats.org/officeDocument/2006/relationships/hyperlink" Target="https://www.apa.org/pi/about/newsletter/2020/02/black-women-sexual-assault" TargetMode="External"/><Relationship Id="rId168" Type="http://schemas.openxmlformats.org/officeDocument/2006/relationships/hyperlink" Target="https://doi.org/10.1007/s10964-019-01129-5" TargetMode="External"/><Relationship Id="rId8" Type="http://schemas.openxmlformats.org/officeDocument/2006/relationships/hyperlink" Target="https://nycfuture.org/research/basic-income-for-transition-age-foster-youth" TargetMode="External"/><Relationship Id="rId51" Type="http://schemas.openxmlformats.org/officeDocument/2006/relationships/hyperlink" Target="https://www.cdc.gov/youthviolence/about/about-bullying.html" TargetMode="External"/><Relationship Id="rId72" Type="http://schemas.openxmlformats.org/officeDocument/2006/relationships/hyperlink" Target="https://www.mass.gov/doc/young-adults-who-experience-homelessness-or-housing-instability-and-exchange-sex-to-meet-their-needs-findings-recommendations-2023/download" TargetMode="External"/><Relationship Id="rId93" Type="http://schemas.openxmlformats.org/officeDocument/2006/relationships/hyperlink" Target="https://www.mass.gov/doc/2022-annual-economic-analysis-report/download" TargetMode="External"/><Relationship Id="rId98" Type="http://schemas.openxmlformats.org/officeDocument/2006/relationships/hyperlink" Target="https://doi.org/10.1002/casp.2417" TargetMode="External"/><Relationship Id="rId121" Type="http://schemas.openxmlformats.org/officeDocument/2006/relationships/hyperlink" Target="https://www.wbur.org/news/2026/04/02/gender-affirming-care-massachusetts-baystate-health" TargetMode="External"/><Relationship Id="rId142" Type="http://schemas.openxmlformats.org/officeDocument/2006/relationships/hyperlink" Target="https://www.thehotline.org/resources/types-of-abuse/" TargetMode="External"/><Relationship Id="rId163" Type="http://schemas.openxmlformats.org/officeDocument/2006/relationships/hyperlink" Target="https://www.glsen.org/sites/default/files/2022-10/NSCS-2021-Full-Report.pdf" TargetMode="External"/><Relationship Id="rId184" Type="http://schemas.openxmlformats.org/officeDocument/2006/relationships/hyperlink" Target="https://doi.org/10.1080/15532739.2019.1631929" TargetMode="External"/><Relationship Id="rId189" Type="http://schemas.openxmlformats.org/officeDocument/2006/relationships/hyperlink" Target="https://www.ncbi.nlm.nih.gov/pmc/articles/PMC2742657/" TargetMode="External"/><Relationship Id="rId3" Type="http://schemas.openxmlformats.org/officeDocument/2006/relationships/hyperlink" Target="https://www.mass.gov/doc/foster-care-review-report-fy-2023/download" TargetMode="External"/><Relationship Id="rId214" Type="http://schemas.openxmlformats.org/officeDocument/2006/relationships/hyperlink" Target="https://www.ala.org/advocacy/diversity/librariesrespond/services-poor-homeless" TargetMode="External"/><Relationship Id="rId25" Type="http://schemas.openxmlformats.org/officeDocument/2006/relationships/hyperlink" Target="https://doi.org/10.1177/1059840520970847" TargetMode="External"/><Relationship Id="rId46" Type="http://schemas.openxmlformats.org/officeDocument/2006/relationships/hyperlink" Target="https://dailynexus.com/2022-11-12/new-department-of-homeland-security-rule-aims-to-preserve-deferred-action-for-childhood-arrivals-program-amid-court-scrutiny/" TargetMode="External"/><Relationship Id="rId67" Type="http://schemas.openxmlformats.org/officeDocument/2006/relationships/hyperlink" Target="https://www.publichealthwm.org/application/files/1617/0204/8768/Clean-Slate-Fact-Sheet_REVISED-12-7-23.pdf" TargetMode="External"/><Relationship Id="rId116" Type="http://schemas.openxmlformats.org/officeDocument/2006/relationships/hyperlink" Target="https://doi.org/10.1111/imre.12041" TargetMode="External"/><Relationship Id="rId137" Type="http://schemas.openxmlformats.org/officeDocument/2006/relationships/hyperlink" Target="https://doi.org/10.1007/s11121-013-0393-7" TargetMode="External"/><Relationship Id="rId158" Type="http://schemas.openxmlformats.org/officeDocument/2006/relationships/hyperlink" Target="https://doi.org/10.1093/sw/swaa040" TargetMode="External"/><Relationship Id="rId20" Type="http://schemas.openxmlformats.org/officeDocument/2006/relationships/hyperlink" Target="https://www.thetrevorproject.org/research-briefs/school-related-protective-factors-for-lgbtq-middle-and-high-school-students-aug-2023/" TargetMode="External"/><Relationship Id="rId41" Type="http://schemas.openxmlformats.org/officeDocument/2006/relationships/hyperlink" Target="https://glisten.org/nscs2025/" TargetMode="External"/><Relationship Id="rId62" Type="http://schemas.openxmlformats.org/officeDocument/2006/relationships/hyperlink" Target="https://www.ncjfcj.org/wp-content/uploads/2020/09/NCJFCJ_Strategies_for_Engaging_PWLE_Final.pdf" TargetMode="External"/><Relationship Id="rId83" Type="http://schemas.openxmlformats.org/officeDocument/2006/relationships/hyperlink" Target="https://www.mass.gov/news/healey-driscoll-administration-announces-systemwide-changes-to-lower-shelter-costs" TargetMode="External"/><Relationship Id="rId88" Type="http://schemas.openxmlformats.org/officeDocument/2006/relationships/hyperlink" Target="https://www.bostonglobe.com/2025/08/13/data/massachusetts-young-homeownership-rate/" TargetMode="External"/><Relationship Id="rId111" Type="http://schemas.openxmlformats.org/officeDocument/2006/relationships/hyperlink" Target="https://doi.org/10.1007/s10464-014-9697-4" TargetMode="External"/><Relationship Id="rId132" Type="http://schemas.openxmlformats.org/officeDocument/2006/relationships/hyperlink" Target="https://doi.org/10.1016/j.jadohealth.2014.07.022" TargetMode="External"/><Relationship Id="rId153" Type="http://schemas.openxmlformats.org/officeDocument/2006/relationships/hyperlink" Target="https://law.yale.edu/sites/default/files/area/center/ghjp/documents/issue_brief_sex_work_vs_trafficking_v2.pdf" TargetMode="External"/><Relationship Id="rId174" Type="http://schemas.openxmlformats.org/officeDocument/2006/relationships/hyperlink" Target="https://www.aamchealthjustice.org/news/polling/lgbtq-birth" TargetMode="External"/><Relationship Id="rId179" Type="http://schemas.openxmlformats.org/officeDocument/2006/relationships/hyperlink" Target="https://doi.org/10.1177/0009922816673306" TargetMode="External"/><Relationship Id="rId195" Type="http://schemas.openxmlformats.org/officeDocument/2006/relationships/hyperlink" Target="https://www.thetrevorproject.org/research-briefs/climate-change-concerns-climate-change-risk-and-mental-health-among-lgbtq-young-people/" TargetMode="External"/><Relationship Id="rId209" Type="http://schemas.openxmlformats.org/officeDocument/2006/relationships/hyperlink" Target="https://www.mass.gov/info-details/community-health-equity-initiative-data-dashboard" TargetMode="External"/><Relationship Id="rId190" Type="http://schemas.openxmlformats.org/officeDocument/2006/relationships/hyperlink" Target="https://instrc.indiana.edu/pdf/resources/Fact_Sheet_Teen_Pregnancy_with_Disability.pdf" TargetMode="External"/><Relationship Id="rId204" Type="http://schemas.openxmlformats.org/officeDocument/2006/relationships/hyperlink" Target="https://doi.org/10.1111/disa.12509" TargetMode="External"/><Relationship Id="rId15" Type="http://schemas.openxmlformats.org/officeDocument/2006/relationships/hyperlink" Target="https://williamsinstitute.law.ucla.edu/wp-content/uploads/Trans-Workplace-Discrimination-Nov-2024.pdf" TargetMode="External"/><Relationship Id="rId36" Type="http://schemas.openxmlformats.org/officeDocument/2006/relationships/hyperlink" Target="https://legiscan.com/MA/bill/S336/2025" TargetMode="External"/><Relationship Id="rId57" Type="http://schemas.openxmlformats.org/officeDocument/2006/relationships/hyperlink" Target="https://bjs.ojp.gov/library/publications/violent-victimization-sexual-orientation-and-gender-identity-2017-2020" TargetMode="External"/><Relationship Id="rId106" Type="http://schemas.openxmlformats.org/officeDocument/2006/relationships/hyperlink" Target="https://doi.org/10.1080/00918369.2011.540175" TargetMode="External"/><Relationship Id="rId127" Type="http://schemas.openxmlformats.org/officeDocument/2006/relationships/hyperlink" Target="https://www.hrw.org/news/2019/12/13/massachusetts-medical-society-supports-intersex-rights" TargetMode="External"/><Relationship Id="rId10" Type="http://schemas.openxmlformats.org/officeDocument/2006/relationships/hyperlink" Target="https://www.congress.gov/bill/119th-congress/house-bill/1" TargetMode="External"/><Relationship Id="rId31" Type="http://schemas.openxmlformats.org/officeDocument/2006/relationships/hyperlink" Target="https://circle.tufts.edu/latest-research/youth-lack-community-connections-are-critical-civic-engagement" TargetMode="External"/><Relationship Id="rId52" Type="http://schemas.openxmlformats.org/officeDocument/2006/relationships/hyperlink" Target="https://doi.org/10.1016/j.arcmed.2019.10.009" TargetMode="External"/><Relationship Id="rId73" Type="http://schemas.openxmlformats.org/officeDocument/2006/relationships/hyperlink" Target="https://www.thetrevorproject.org/wp-content/uploads/2022/02/Trevor-Project-Homelessness-Report.pdf" TargetMode="External"/><Relationship Id="rId78" Type="http://schemas.openxmlformats.org/officeDocument/2006/relationships/hyperlink" Target="https://williamsinstitute.law.ucla.edu/wp-content/uploads/LGBT-Housing-Apr-2020.pdf" TargetMode="External"/><Relationship Id="rId94" Type="http://schemas.openxmlformats.org/officeDocument/2006/relationships/hyperlink" Target="https://www.bostonglobe.com/2023/11/16/metro/cost-to-fix-mbta/" TargetMode="External"/><Relationship Id="rId99" Type="http://schemas.openxmlformats.org/officeDocument/2006/relationships/hyperlink" Target="https://doi.org/10.1038/pr.2015.192" TargetMode="External"/><Relationship Id="rId101" Type="http://schemas.openxmlformats.org/officeDocument/2006/relationships/hyperlink" Target="https://doi.org/10.1177/1357633x221095785" TargetMode="External"/><Relationship Id="rId122" Type="http://schemas.openxmlformats.org/officeDocument/2006/relationships/hyperlink" Target="https://doi.org/10.1080/00918369.2018.1519304" TargetMode="External"/><Relationship Id="rId143" Type="http://schemas.openxmlformats.org/officeDocument/2006/relationships/hyperlink" Target="https://doi.org/10.1016/j.jadohealth.2014.08.012" TargetMode="External"/><Relationship Id="rId148" Type="http://schemas.openxmlformats.org/officeDocument/2006/relationships/hyperlink" Target="https://www.aclu.org/news/racial-justice/legal-system-has-failed-black-girls-women-and-non" TargetMode="External"/><Relationship Id="rId164" Type="http://schemas.openxmlformats.org/officeDocument/2006/relationships/hyperlink" Target="https://www.thetrevorproject.org/wp-content/uploads/2021/07/Trevor-Project-First-Generation-Research-Brief.pdf" TargetMode="External"/><Relationship Id="rId169" Type="http://schemas.openxmlformats.org/officeDocument/2006/relationships/hyperlink" Target="https://doi.org/10.70226/DZPX7792" TargetMode="External"/><Relationship Id="rId185" Type="http://schemas.openxmlformats.org/officeDocument/2006/relationships/hyperlink" Target="https://doi.org/10.1186/s40695-018-0042-1" TargetMode="External"/><Relationship Id="rId4" Type="http://schemas.openxmlformats.org/officeDocument/2006/relationships/hyperlink" Target="https://doi.org/10.1016/j.childyouth.2020.105481" TargetMode="External"/><Relationship Id="rId9" Type="http://schemas.openxmlformats.org/officeDocument/2006/relationships/hyperlink" Target="https://mgaleg.maryland.gov/mgawebsite/Legislation/Details/HB0628?ys=2026RS" TargetMode="External"/><Relationship Id="rId180" Type="http://schemas.openxmlformats.org/officeDocument/2006/relationships/hyperlink" Target="https://doi.org/10.1016/j.cppeds.2019.100684" TargetMode="External"/><Relationship Id="rId210" Type="http://schemas.openxmlformats.org/officeDocument/2006/relationships/hyperlink" Target="http://www.thetrevorproject.org/survey-2024-by-state" TargetMode="External"/><Relationship Id="rId215" Type="http://schemas.openxmlformats.org/officeDocument/2006/relationships/hyperlink" Target="https://mblc.state.ma.us/news/news-releases/2026/nr260331.php" TargetMode="External"/><Relationship Id="rId26" Type="http://schemas.openxmlformats.org/officeDocument/2006/relationships/hyperlink" Target="https://www.thetrevorproject.org/research-briefs/civic-engagement-and-mental-health-among-lgbtq-young-people/" TargetMode="External"/><Relationship Id="rId47" Type="http://schemas.openxmlformats.org/officeDocument/2006/relationships/hyperlink" Target="https://www.thetrevorproject.org/survey-2024-by-state" TargetMode="External"/><Relationship Id="rId68" Type="http://schemas.openxmlformats.org/officeDocument/2006/relationships/hyperlink" Target="https://19thnews.org/2025/02/trump-funding-freeze-domestic-violence-nonprofits/" TargetMode="External"/><Relationship Id="rId89" Type="http://schemas.openxmlformats.org/officeDocument/2006/relationships/hyperlink" Target="https://www.pewresearch.org/short-reads/2020/09/04/a-majority-of-young-adults-in-the-u-s-live-with-their-parents-for-the-first-time-since-the-great-depression/" TargetMode="External"/><Relationship Id="rId112" Type="http://schemas.openxmlformats.org/officeDocument/2006/relationships/hyperlink" Target="https://doi.org/10.1037/a0023122" TargetMode="External"/><Relationship Id="rId133" Type="http://schemas.openxmlformats.org/officeDocument/2006/relationships/hyperlink" Target="https://www.thehallsboston.com/" TargetMode="External"/><Relationship Id="rId154" Type="http://schemas.openxmlformats.org/officeDocument/2006/relationships/hyperlink" Target="https://hackinghustling.org/erased-the-impact-of-fosta-sesta-2020/" TargetMode="External"/><Relationship Id="rId175" Type="http://schemas.openxmlformats.org/officeDocument/2006/relationships/hyperlink" Target="https://doi.org/10.1089/jwh.2020.8880" TargetMode="External"/><Relationship Id="rId196" Type="http://schemas.openxmlformats.org/officeDocument/2006/relationships/hyperlink" Target="https://doi.org/10.2105/AJPH.2021.306406" TargetMode="External"/><Relationship Id="rId200" Type="http://schemas.openxmlformats.org/officeDocument/2006/relationships/hyperlink" Target="https://www.ewg.org/news-insights/news/2026/01/fda-reports-over-50-pfas-ingredients-intentionally-added-1700-personal" TargetMode="External"/><Relationship Id="rId16" Type="http://schemas.openxmlformats.org/officeDocument/2006/relationships/hyperlink" Target="https://papers.ssrn.com/sol3/papers.cfm?abstract_id=4490163" TargetMode="External"/><Relationship Id="rId37" Type="http://schemas.openxmlformats.org/officeDocument/2006/relationships/hyperlink" Target="https://www.mass.gov/news/governor-healey-and-attorney-general-campbell-issue-joint-guidance-affirming-commitment-to-equal-access-to-education" TargetMode="External"/><Relationship Id="rId58" Type="http://schemas.openxmlformats.org/officeDocument/2006/relationships/hyperlink" Target="https://ojjdp.ojp.gov/newsletter/ojjdp-news-glance-february-2024/diversion-programs-offer-treatment-while-keeping-youth-out-justice-system" TargetMode="External"/><Relationship Id="rId79" Type="http://schemas.openxmlformats.org/officeDocument/2006/relationships/hyperlink" Target="https://nlihc.org/resource/hud-publishes-proposed-anti-transgender-rule-federal-register" TargetMode="External"/><Relationship Id="rId102" Type="http://schemas.openxmlformats.org/officeDocument/2006/relationships/hyperlink" Target="https://commonwealthmagazine.org/health-care/early-data-finds-telehealth-is-largely-cost-neutral/" TargetMode="External"/><Relationship Id="rId123" Type="http://schemas.openxmlformats.org/officeDocument/2006/relationships/hyperlink" Target="https://www.americanprogress.org/article/protecting-advancing-health-care-transgender-adult-communities/" TargetMode="External"/><Relationship Id="rId144" Type="http://schemas.openxmlformats.org/officeDocument/2006/relationships/hyperlink" Target="https://www.tnlr.org/wp-content/uploads/CNA-w-cover-Final.pdf" TargetMode="External"/><Relationship Id="rId90" Type="http://schemas.openxmlformats.org/officeDocument/2006/relationships/hyperlink" Target="https://transequality.org/sites/default/files/2024-02/2022%20USTS%20Early%20Insights%20Report_FINAL.pdf" TargetMode="External"/><Relationship Id="rId165" Type="http://schemas.openxmlformats.org/officeDocument/2006/relationships/hyperlink" Target="https://doi.org/10.1007/s10903-021-01162-2" TargetMode="External"/><Relationship Id="rId186" Type="http://schemas.openxmlformats.org/officeDocument/2006/relationships/hyperlink" Target="https://www.illinoissenatedemocrats.com/caucus-news/72-senator-karina-villa-news/2886-menstrual-hygiene-products-can-be-purchased-with-snap-and-wic-benefits-under-villa-law" TargetMode="External"/><Relationship Id="rId211" Type="http://schemas.openxmlformats.org/officeDocument/2006/relationships/hyperlink" Target="https://doi.org/10.70226/QZIL3244" TargetMode="External"/><Relationship Id="rId27" Type="http://schemas.openxmlformats.org/officeDocument/2006/relationships/hyperlink" Target="https://www.nasbe.org/the-state-of-youth-civic-engagement/" TargetMode="External"/><Relationship Id="rId48" Type="http://schemas.openxmlformats.org/officeDocument/2006/relationships/hyperlink" Target="https://papers.ssrn.com/sol3/papers.cfm?abstract_id=2577333" TargetMode="External"/><Relationship Id="rId69" Type="http://schemas.openxmlformats.org/officeDocument/2006/relationships/hyperlink" Target="https://www.mass.gov/doc/2024-youth-count-report-pdf/download" TargetMode="External"/><Relationship Id="rId113" Type="http://schemas.openxmlformats.org/officeDocument/2006/relationships/hyperlink" Target="https://doi.org/10.1037/lat0000001" TargetMode="External"/><Relationship Id="rId134" Type="http://schemas.openxmlformats.org/officeDocument/2006/relationships/hyperlink" Target="https://www.advocatesforyouth.org/" TargetMode="External"/><Relationship Id="rId80" Type="http://schemas.openxmlformats.org/officeDocument/2006/relationships/hyperlink" Target="https://doi.org/10.1016/j.jadohealth.2022.11.229" TargetMode="External"/><Relationship Id="rId155" Type="http://schemas.openxmlformats.org/officeDocument/2006/relationships/hyperlink" Target="https://doi.org/10.1080/23322705.2020.1841985" TargetMode="External"/><Relationship Id="rId176" Type="http://schemas.openxmlformats.org/officeDocument/2006/relationships/hyperlink" Target="https://www.them.us/story/lgbtq-doulas" TargetMode="External"/><Relationship Id="rId197" Type="http://schemas.openxmlformats.org/officeDocument/2006/relationships/hyperlink" Target="https://www.mass.gov/info-details/community-health-equity-initiative-data-dashboard" TargetMode="External"/><Relationship Id="rId201" Type="http://schemas.openxmlformats.org/officeDocument/2006/relationships/hyperlink" Target="https://doi.org/10.2105/AJPH.2021.306606" TargetMode="External"/><Relationship Id="rId17" Type="http://schemas.openxmlformats.org/officeDocument/2006/relationships/hyperlink" Target="https://malegislature.gov/Bills/194/H273" TargetMode="External"/><Relationship Id="rId38" Type="http://schemas.openxmlformats.org/officeDocument/2006/relationships/hyperlink" Target="https://www.thetrevorproject.org/state-reports-massachusetts-2024/" TargetMode="External"/><Relationship Id="rId59" Type="http://schemas.openxmlformats.org/officeDocument/2006/relationships/hyperlink" Target="https://www.mass.gov/info-details/jdai-diversion" TargetMode="External"/><Relationship Id="rId103" Type="http://schemas.openxmlformats.org/officeDocument/2006/relationships/hyperlink" Target="https://www.nilc.org/issues/economic-support/quick-guide-aca-means-tested-programs/" TargetMode="External"/><Relationship Id="rId124" Type="http://schemas.openxmlformats.org/officeDocument/2006/relationships/hyperlink" Target="https://www.mass.gov/info-details/community-health-equity-initiative-data-dashboard" TargetMode="External"/><Relationship Id="rId70" Type="http://schemas.openxmlformats.org/officeDocument/2006/relationships/hyperlink" Target="https://www.thetrevorproject.org/blog/new-report-shows-homelessness-housing-instability-linked-to-increased-suicide-risk-among-lgbtq-youth/" TargetMode="External"/><Relationship Id="rId91" Type="http://schemas.openxmlformats.org/officeDocument/2006/relationships/hyperlink" Target="https://thehill.com/policy/healthcare/4452248-half-of-trans-people-in-us-have-considered-moving-out-of-state-because-of-anti-lgbtq-laws-survey/" TargetMode="External"/><Relationship Id="rId145" Type="http://schemas.openxmlformats.org/officeDocument/2006/relationships/hyperlink" Target="https://doi.org/10.1001/journalofethics.2017.19.1.sect2-1701" TargetMode="External"/><Relationship Id="rId166" Type="http://schemas.openxmlformats.org/officeDocument/2006/relationships/hyperlink" Target="https://www.mass.gov/info-details/community-health-equity-initiative-data-dashboard" TargetMode="External"/><Relationship Id="rId187" Type="http://schemas.openxmlformats.org/officeDocument/2006/relationships/hyperlink" Target="https://doi.org/10.1542/9781610025409-teen" TargetMode="External"/><Relationship Id="rId1" Type="http://schemas.openxmlformats.org/officeDocument/2006/relationships/hyperlink" Target="https://www.urban.org/research/publication/how-employment-programs-can-support-young-people-transitioning-out-foster-care" TargetMode="External"/><Relationship Id="rId212" Type="http://schemas.openxmlformats.org/officeDocument/2006/relationships/hyperlink" Target="https://williamsinstitute.law.ucla.edu/publications/lgbt-immigrants-in-the-us/" TargetMode="External"/><Relationship Id="rId28" Type="http://schemas.openxmlformats.org/officeDocument/2006/relationships/hyperlink" Target="https://circle.tufts.edu/latest-research/2024-poll-barriers-issues-economy" TargetMode="External"/><Relationship Id="rId49" Type="http://schemas.openxmlformats.org/officeDocument/2006/relationships/hyperlink" Target="https://www.aclu.org/documents/what-school-prison-pipeline" TargetMode="External"/><Relationship Id="rId114" Type="http://schemas.openxmlformats.org/officeDocument/2006/relationships/hyperlink" Target="https://www.thetrevorproject.org/research-briefs/lgbtq-youth-from-immigrant-families-2/" TargetMode="External"/><Relationship Id="rId60" Type="http://schemas.openxmlformats.org/officeDocument/2006/relationships/hyperlink" Target="https://doi.org/10.1007/s10979-009-9210-z" TargetMode="External"/><Relationship Id="rId81" Type="http://schemas.openxmlformats.org/officeDocument/2006/relationships/hyperlink" Target="https://www.masstpc.org/wp-content/uploads/Shelter-for-All-Genders-Revised-2023-FINAL.pdf" TargetMode="External"/><Relationship Id="rId135" Type="http://schemas.openxmlformats.org/officeDocument/2006/relationships/hyperlink" Target="https://doi.org/10.1007/s10964-019-01129-5" TargetMode="External"/><Relationship Id="rId156" Type="http://schemas.openxmlformats.org/officeDocument/2006/relationships/hyperlink" Target="https://eric.ed.gov/?id=EJ118852" TargetMode="External"/><Relationship Id="rId177" Type="http://schemas.openxmlformats.org/officeDocument/2006/relationships/hyperlink" Target="https://www.mass.gov/info-details/maternal-access-data-brief" TargetMode="External"/><Relationship Id="rId198" Type="http://schemas.openxmlformats.org/officeDocument/2006/relationships/hyperlink" Target="https://www.youtube.com/watch?v=1jgchaRTc_Y" TargetMode="External"/><Relationship Id="rId202" Type="http://schemas.openxmlformats.org/officeDocument/2006/relationships/hyperlink" Target="https://www.youtube.com/watch?v=1jgchaRTc_Y" TargetMode="External"/><Relationship Id="rId18" Type="http://schemas.openxmlformats.org/officeDocument/2006/relationships/hyperlink" Target="https://doi.org/10.1542/peds.2017-4211" TargetMode="External"/><Relationship Id="rId39" Type="http://schemas.openxmlformats.org/officeDocument/2006/relationships/hyperlink" Target="https://doi.org/10.1007/s44217-022-00016-9" TargetMode="External"/><Relationship Id="rId50" Type="http://schemas.openxmlformats.org/officeDocument/2006/relationships/hyperlink" Target="https://doi.org/10.70226/DZPX7792" TargetMode="External"/><Relationship Id="rId104" Type="http://schemas.openxmlformats.org/officeDocument/2006/relationships/hyperlink" Target="https://www.mass.gov/service-details/information-for-immigrant-patients-and-their-health-care-providers-on-immigration-enforcement" TargetMode="External"/><Relationship Id="rId125" Type="http://schemas.openxmlformats.org/officeDocument/2006/relationships/hyperlink" Target="https://doi.org/10.1093/jamia/ocac048" TargetMode="External"/><Relationship Id="rId146" Type="http://schemas.openxmlformats.org/officeDocument/2006/relationships/hyperlink" Target="https://www.mass.gov/info-details/community-health-equity-initiative-data-dashboard" TargetMode="External"/><Relationship Id="rId167" Type="http://schemas.openxmlformats.org/officeDocument/2006/relationships/hyperlink" Target="https://doi.org/10.1007/s10560-020-00661-9" TargetMode="External"/><Relationship Id="rId188" Type="http://schemas.openxmlformats.org/officeDocument/2006/relationships/hyperlink" Target="https://www.cdc.gov/teenpregnancy/about/index.htm" TargetMode="External"/><Relationship Id="rId71" Type="http://schemas.openxmlformats.org/officeDocument/2006/relationships/hyperlink" Target="https://www.mass.gov/doc/2024-youth-count-report-pdf/download" TargetMode="External"/><Relationship Id="rId92" Type="http://schemas.openxmlformats.org/officeDocument/2006/relationships/hyperlink" Target="https://s3lmipub-prod.s3.amazonaws.com/prod/LaborArea_comparison.pdf" TargetMode="External"/><Relationship Id="rId213" Type="http://schemas.openxmlformats.org/officeDocument/2006/relationships/hyperlink" Target="https://williamsinstitute.law.ucla.edu/publications/lgbt-asylum-claims/" TargetMode="External"/><Relationship Id="rId2" Type="http://schemas.openxmlformats.org/officeDocument/2006/relationships/hyperlink" Target="https://www.law.georgetown.edu/poverty-journal/blog/bowling-with-bumpers-increasing-social-capital-for-foster-care-youth/" TargetMode="External"/><Relationship Id="rId29" Type="http://schemas.openxmlformats.org/officeDocument/2006/relationships/hyperlink" Target="https://circle.tufts.edu/latest-research/youth-are-taking-civic-action-need-opportunities-and-support-overcome-socioeconomic" TargetMode="External"/><Relationship Id="rId40" Type="http://schemas.openxmlformats.org/officeDocument/2006/relationships/hyperlink" Target="https://www.glsen.org/sites/default/files/2022-10/NSCS-2021-Full-Report.pdf" TargetMode="External"/><Relationship Id="rId115" Type="http://schemas.openxmlformats.org/officeDocument/2006/relationships/hyperlink" Target="https://miracoalition.org/wp-content/uploads/2022/09/MIRAAnnualReport2021Final.pdf" TargetMode="External"/><Relationship Id="rId136" Type="http://schemas.openxmlformats.org/officeDocument/2006/relationships/hyperlink" Target="https://www.mass.gov/doc/2023-integrated-hiv-std-and-viral-hepatitis-reportpdf/download" TargetMode="External"/><Relationship Id="rId157" Type="http://schemas.openxmlformats.org/officeDocument/2006/relationships/hyperlink" Target="https://doi.org/10.1016/j.childyouth.2019.01.005" TargetMode="External"/><Relationship Id="rId178" Type="http://schemas.openxmlformats.org/officeDocument/2006/relationships/hyperlink" Target="https://baystatebanner.com/2025/12/24/zoning-board-approves-roxbury-birth-center-plan/" TargetMode="External"/><Relationship Id="rId61" Type="http://schemas.openxmlformats.org/officeDocument/2006/relationships/hyperlink" Target="https://williamsinstitute.law.ucla.edu/publications/lgbt-discrim-law-enforcement/" TargetMode="External"/><Relationship Id="rId82" Type="http://schemas.openxmlformats.org/officeDocument/2006/relationships/hyperlink" Target="https://www.mass.gov/news/governor-healey-all-hotel-shelters-to-close-this-summer" TargetMode="External"/><Relationship Id="rId199" Type="http://schemas.openxmlformats.org/officeDocument/2006/relationships/hyperlink" Target="https://apnews.com/article/canada-science-health-business-government-and-politics-769d9740a0ddc8a4fe72619885511a23" TargetMode="External"/><Relationship Id="rId203" Type="http://schemas.openxmlformats.org/officeDocument/2006/relationships/hyperlink" Target="https://www.bcpp.org/resource/safer-beauty-and-cosmetics-state-laws/" TargetMode="External"/></Relationships>
</file>

<file path=word/theme/theme1.xml><?xml version="1.0" encoding="utf-8"?>
<a:theme xmlns:a="http://schemas.openxmlformats.org/drawingml/2006/main" name="Office Theme">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499D2-389A-48F1-8468-187F0BFBB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3934</TotalTime>
  <Pages>265</Pages>
  <Words>88094</Words>
  <Characters>502140</Characters>
  <Application>Microsoft Office Word</Application>
  <DocSecurity>0</DocSecurity>
  <Lines>4184</Lines>
  <Paragraphs>1178</Paragraphs>
  <ScaleCrop>false</ScaleCrop>
  <Company/>
  <LinksUpToDate>false</LinksUpToDate>
  <CharactersWithSpaces>589056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Rayna Hill</dc:creator>
  <cp:keywords/>
  <dc:description/>
  <cp:lastModifiedBy>Rayna Hill</cp:lastModifiedBy>
  <cp:revision>47</cp:revision>
  <dcterms:created xsi:type="dcterms:W3CDTF">2026-03-06T17:19:00Z</dcterms:created>
  <dcterms:modified xsi:type="dcterms:W3CDTF">2026-05-29T20:32:00Z</dcterms:modified>
</cp:coreProperties>
</file>