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90" w:rsidRPr="00D45593" w:rsidRDefault="00D45593" w:rsidP="00D45593">
      <w:pPr>
        <w:jc w:val="center"/>
        <w:rPr>
          <w:b/>
          <w:bCs/>
          <w:sz w:val="24"/>
          <w:szCs w:val="24"/>
        </w:rPr>
      </w:pPr>
      <w:r w:rsidRPr="00D45593">
        <w:rPr>
          <w:b/>
          <w:bCs/>
          <w:sz w:val="24"/>
          <w:szCs w:val="24"/>
        </w:rPr>
        <w:t>BULLETIN 2020-01</w:t>
      </w:r>
    </w:p>
    <w:p w:rsidR="00D45593" w:rsidRPr="00D45593" w:rsidRDefault="00D45593" w:rsidP="00D45593">
      <w:pPr>
        <w:jc w:val="center"/>
        <w:rPr>
          <w:b/>
          <w:bCs/>
          <w:sz w:val="24"/>
          <w:szCs w:val="24"/>
        </w:rPr>
      </w:pPr>
    </w:p>
    <w:p w:rsidR="00D45593" w:rsidRPr="00D45593" w:rsidRDefault="00D45593" w:rsidP="00D45593">
      <w:pPr>
        <w:rPr>
          <w:sz w:val="24"/>
          <w:szCs w:val="24"/>
        </w:rPr>
      </w:pPr>
      <w:r w:rsidRPr="00D45593">
        <w:rPr>
          <w:sz w:val="24"/>
          <w:szCs w:val="24"/>
        </w:rPr>
        <w:t xml:space="preserve">To: </w:t>
      </w:r>
      <w:r>
        <w:rPr>
          <w:sz w:val="24"/>
          <w:szCs w:val="24"/>
        </w:rPr>
        <w:t>Massachusetts Farmers, Agricultural Businesses, Organizations and Valued Stakeholders</w:t>
      </w:r>
    </w:p>
    <w:p w:rsidR="00D45593" w:rsidRPr="00D45593" w:rsidRDefault="00D45593" w:rsidP="00D45593">
      <w:pPr>
        <w:rPr>
          <w:sz w:val="24"/>
          <w:szCs w:val="24"/>
        </w:rPr>
      </w:pPr>
    </w:p>
    <w:p w:rsidR="00D45593" w:rsidRPr="00D45593" w:rsidRDefault="00D45593" w:rsidP="00D45593">
      <w:pPr>
        <w:rPr>
          <w:sz w:val="24"/>
          <w:szCs w:val="24"/>
        </w:rPr>
      </w:pPr>
      <w:r w:rsidRPr="00D45593">
        <w:rPr>
          <w:sz w:val="24"/>
          <w:szCs w:val="24"/>
        </w:rPr>
        <w:t>From:</w:t>
      </w:r>
      <w:r>
        <w:rPr>
          <w:sz w:val="24"/>
          <w:szCs w:val="24"/>
        </w:rPr>
        <w:t xml:space="preserve"> John Lebeaux, Commissioner </w:t>
      </w:r>
    </w:p>
    <w:p w:rsidR="00D45593" w:rsidRPr="00D45593" w:rsidRDefault="00D45593" w:rsidP="00D45593">
      <w:pPr>
        <w:rPr>
          <w:sz w:val="24"/>
          <w:szCs w:val="24"/>
        </w:rPr>
      </w:pPr>
    </w:p>
    <w:p w:rsidR="00D45593" w:rsidRPr="00D45593" w:rsidRDefault="00D45593" w:rsidP="00D45593">
      <w:pPr>
        <w:rPr>
          <w:sz w:val="24"/>
          <w:szCs w:val="24"/>
        </w:rPr>
      </w:pPr>
      <w:r w:rsidRPr="00D45593">
        <w:rPr>
          <w:sz w:val="24"/>
          <w:szCs w:val="24"/>
        </w:rPr>
        <w:t>Date: March 13, 2020</w:t>
      </w:r>
    </w:p>
    <w:p w:rsidR="00D45593" w:rsidRPr="00D45593" w:rsidRDefault="00D45593" w:rsidP="00D45593">
      <w:pPr>
        <w:rPr>
          <w:sz w:val="24"/>
          <w:szCs w:val="24"/>
        </w:rPr>
      </w:pPr>
    </w:p>
    <w:p w:rsidR="00D45593" w:rsidRDefault="00D45593" w:rsidP="00D45593">
      <w:pPr>
        <w:pBdr>
          <w:bottom w:val="single" w:sz="12" w:space="1" w:color="auto"/>
        </w:pBdr>
        <w:rPr>
          <w:sz w:val="24"/>
          <w:szCs w:val="24"/>
        </w:rPr>
      </w:pPr>
      <w:r w:rsidRPr="00D45593">
        <w:rPr>
          <w:sz w:val="24"/>
          <w:szCs w:val="24"/>
        </w:rPr>
        <w:t xml:space="preserve">Re: </w:t>
      </w:r>
      <w:r>
        <w:rPr>
          <w:sz w:val="24"/>
          <w:szCs w:val="24"/>
        </w:rPr>
        <w:t>Addressing COVID-19 (Coronavirus) Impacts and Guidance</w:t>
      </w:r>
    </w:p>
    <w:p w:rsidR="00D45593" w:rsidRDefault="00D45593" w:rsidP="00D45593">
      <w:pPr>
        <w:rPr>
          <w:sz w:val="24"/>
          <w:szCs w:val="24"/>
        </w:rPr>
      </w:pPr>
    </w:p>
    <w:p w:rsidR="00D45593" w:rsidRDefault="00D45593" w:rsidP="00D45593">
      <w:pPr>
        <w:rPr>
          <w:sz w:val="24"/>
          <w:szCs w:val="24"/>
        </w:rPr>
      </w:pPr>
      <w:r w:rsidRPr="00D45593">
        <w:rPr>
          <w:sz w:val="24"/>
          <w:szCs w:val="24"/>
        </w:rPr>
        <w:t>To our farming community,</w:t>
      </w:r>
    </w:p>
    <w:p w:rsidR="00D45593" w:rsidRPr="00D45593" w:rsidRDefault="00D45593" w:rsidP="00D45593">
      <w:pPr>
        <w:rPr>
          <w:sz w:val="24"/>
          <w:szCs w:val="24"/>
        </w:rPr>
      </w:pPr>
    </w:p>
    <w:p w:rsidR="00D45593" w:rsidRDefault="00D45593" w:rsidP="00D45593">
      <w:pPr>
        <w:rPr>
          <w:sz w:val="24"/>
          <w:szCs w:val="24"/>
        </w:rPr>
      </w:pPr>
      <w:r w:rsidRPr="00D45593">
        <w:rPr>
          <w:sz w:val="24"/>
          <w:szCs w:val="24"/>
        </w:rPr>
        <w:t>On March 10, the Baker-</w:t>
      </w:r>
      <w:proofErr w:type="spellStart"/>
      <w:r w:rsidRPr="00D45593">
        <w:rPr>
          <w:sz w:val="24"/>
          <w:szCs w:val="24"/>
        </w:rPr>
        <w:t>Polito</w:t>
      </w:r>
      <w:proofErr w:type="spellEnd"/>
      <w:r w:rsidRPr="00D45593">
        <w:rPr>
          <w:sz w:val="24"/>
          <w:szCs w:val="24"/>
        </w:rPr>
        <w:t xml:space="preserve"> Administration announced new guidance for Executive Branch employees in order to prevent and mitigate the spread of the Coronavirus (COVID-19), including canceling or virtually holding conferences, seminars, and other discretionary gatherings hosted by Executive Branch agencies involving external parties.  Out of an abundance of caution, the Massachusetts Department of Agricultural Resources (MDAR) and our sister agencies have postponed, cancelled or moved to a remote format over the next thirty (30) days.  Decisions about future events will be made in a timely fashion and will be based on the best information we have at the time.  Our commitment lies with serving our constituents and stakeholders in any capacity we can to be helpful and supportive during this unprecedented time. We appreciate your understanding and patience as we navigate this rapidly evolving situation alongside you.</w:t>
      </w:r>
    </w:p>
    <w:p w:rsidR="00D45593" w:rsidRPr="00D45593" w:rsidRDefault="00D45593" w:rsidP="00D45593">
      <w:pPr>
        <w:rPr>
          <w:sz w:val="24"/>
          <w:szCs w:val="24"/>
        </w:rPr>
      </w:pPr>
    </w:p>
    <w:p w:rsidR="00D45593" w:rsidRDefault="00D45593" w:rsidP="00D45593">
      <w:pPr>
        <w:rPr>
          <w:sz w:val="24"/>
          <w:szCs w:val="24"/>
        </w:rPr>
      </w:pPr>
      <w:r w:rsidRPr="00D45593">
        <w:rPr>
          <w:sz w:val="24"/>
          <w:szCs w:val="24"/>
        </w:rPr>
        <w:t>We recognize the immediate and potential long-term impacts to your farms and businesses as well and want to ensure that you are provided with the necessary resources and informed communications to continue to conduct your normal business operations.  It is important to continue to reinforce standard health and hygiene protocols, both on-farm and in a retail setting.  Please practice the commonsense recommendations public health professionals are making. Wash your hands often and thoroughly. Sneeze or cough into a tissue or your elbow. Please do not attend an event, meeting, or engage in a retail atmosphere such as a farmers’ market or farm stand if you are sick and may have direct interactions with customers.  Please advise your farm and retail staff to follow the same protocols.</w:t>
      </w:r>
    </w:p>
    <w:p w:rsidR="00D45593" w:rsidRPr="00D45593" w:rsidRDefault="00D45593" w:rsidP="00D45593">
      <w:pPr>
        <w:rPr>
          <w:sz w:val="24"/>
          <w:szCs w:val="24"/>
        </w:rPr>
      </w:pPr>
    </w:p>
    <w:p w:rsidR="00D45593" w:rsidRPr="00D45593" w:rsidRDefault="00D45593" w:rsidP="00D45593">
      <w:pPr>
        <w:rPr>
          <w:sz w:val="24"/>
          <w:szCs w:val="24"/>
        </w:rPr>
      </w:pPr>
      <w:r w:rsidRPr="00D45593">
        <w:rPr>
          <w:sz w:val="24"/>
          <w:szCs w:val="24"/>
        </w:rPr>
        <w:t>On-farm biosecurity should remain of utmost importance at this time.  The recommendations below apply to </w:t>
      </w:r>
      <w:r w:rsidRPr="00D45593">
        <w:rPr>
          <w:b/>
          <w:bCs/>
          <w:sz w:val="24"/>
          <w:szCs w:val="24"/>
        </w:rPr>
        <w:t>general precautions against introducing or spreading disease on the farm</w:t>
      </w:r>
      <w:r w:rsidRPr="00D45593">
        <w:rPr>
          <w:sz w:val="24"/>
          <w:szCs w:val="24"/>
        </w:rPr>
        <w:t xml:space="preserve">, which </w:t>
      </w:r>
      <w:proofErr w:type="gramStart"/>
      <w:r w:rsidRPr="00D45593">
        <w:rPr>
          <w:sz w:val="24"/>
          <w:szCs w:val="24"/>
        </w:rPr>
        <w:t>are excellent practices to follow at all times</w:t>
      </w:r>
      <w:proofErr w:type="gramEnd"/>
      <w:r w:rsidRPr="00D45593">
        <w:rPr>
          <w:sz w:val="24"/>
          <w:szCs w:val="24"/>
        </w:rPr>
        <w:t>.</w:t>
      </w:r>
      <w:r w:rsidRPr="00D45593">
        <w:rPr>
          <w:sz w:val="24"/>
          <w:szCs w:val="24"/>
          <w:vertAlign w:val="superscript"/>
        </w:rPr>
        <w:footnoteReference w:id="1"/>
      </w:r>
    </w:p>
    <w:p w:rsidR="00D45593" w:rsidRPr="00D45593" w:rsidRDefault="00D45593" w:rsidP="00D45593">
      <w:pPr>
        <w:numPr>
          <w:ilvl w:val="0"/>
          <w:numId w:val="10"/>
        </w:numPr>
        <w:rPr>
          <w:sz w:val="24"/>
          <w:szCs w:val="24"/>
        </w:rPr>
      </w:pPr>
      <w:r w:rsidRPr="00D45593">
        <w:rPr>
          <w:sz w:val="24"/>
          <w:szCs w:val="24"/>
        </w:rPr>
        <w:lastRenderedPageBreak/>
        <w:t xml:space="preserve">Be sure your farm and family biosecurity </w:t>
      </w:r>
      <w:proofErr w:type="gramStart"/>
      <w:r w:rsidRPr="00D45593">
        <w:rPr>
          <w:sz w:val="24"/>
          <w:szCs w:val="24"/>
        </w:rPr>
        <w:t>is</w:t>
      </w:r>
      <w:proofErr w:type="gramEnd"/>
      <w:r w:rsidRPr="00D45593">
        <w:rPr>
          <w:sz w:val="24"/>
          <w:szCs w:val="24"/>
        </w:rPr>
        <w:t xml:space="preserve"> strong. Keep all visitors to your farm, wildlife and new livestock out of direct contact with your animals, as well as their feed and water.</w:t>
      </w:r>
    </w:p>
    <w:p w:rsidR="00D45593" w:rsidRPr="00D45593" w:rsidRDefault="00D45593" w:rsidP="00D45593">
      <w:pPr>
        <w:numPr>
          <w:ilvl w:val="0"/>
          <w:numId w:val="10"/>
        </w:numPr>
        <w:rPr>
          <w:sz w:val="24"/>
          <w:szCs w:val="24"/>
        </w:rPr>
      </w:pPr>
      <w:r w:rsidRPr="00D45593">
        <w:rPr>
          <w:sz w:val="24"/>
          <w:szCs w:val="24"/>
        </w:rPr>
        <w:t>Use good management to keep your family’s and your animals’ innate immunity strong. Good nutrition, housing, ventilation, water and general hygiene will strengthen immune defenses and reduce the chance of serious disease of any kind.</w:t>
      </w:r>
    </w:p>
    <w:p w:rsidR="00D45593" w:rsidRPr="00D45593" w:rsidRDefault="00D45593" w:rsidP="00D45593">
      <w:pPr>
        <w:numPr>
          <w:ilvl w:val="0"/>
          <w:numId w:val="10"/>
        </w:numPr>
        <w:rPr>
          <w:sz w:val="24"/>
          <w:szCs w:val="24"/>
        </w:rPr>
      </w:pPr>
      <w:r w:rsidRPr="00D45593">
        <w:rPr>
          <w:sz w:val="24"/>
          <w:szCs w:val="24"/>
        </w:rPr>
        <w:t>Be a good observer. Report serious illnesses to your veterinarian, processor representative or medical professional as appropriate. While no one needs to panic, it’s always good to discuss how to best address illnesses on the farm. No matter what, usual occurrences of disease and losses will occur on farms but shouldn’t be confused with more serious disease.</w:t>
      </w:r>
    </w:p>
    <w:p w:rsidR="00D45593" w:rsidRPr="00D45593" w:rsidRDefault="00D45593" w:rsidP="00D45593">
      <w:pPr>
        <w:numPr>
          <w:ilvl w:val="0"/>
          <w:numId w:val="10"/>
        </w:numPr>
        <w:rPr>
          <w:sz w:val="24"/>
          <w:szCs w:val="24"/>
        </w:rPr>
      </w:pPr>
      <w:r w:rsidRPr="00D45593">
        <w:rPr>
          <w:sz w:val="24"/>
          <w:szCs w:val="24"/>
        </w:rPr>
        <w:t>Keep enough resources on hand to be able to manage if backups are needed. You should have replacements for essential items at the farm, as well as at least two weeks’ worth of supplies.</w:t>
      </w:r>
    </w:p>
    <w:p w:rsidR="00D45593" w:rsidRDefault="00D45593" w:rsidP="00D45593">
      <w:pPr>
        <w:rPr>
          <w:sz w:val="24"/>
          <w:szCs w:val="24"/>
        </w:rPr>
      </w:pPr>
    </w:p>
    <w:p w:rsidR="00D45593" w:rsidRPr="00D45593" w:rsidRDefault="00D45593" w:rsidP="00D45593">
      <w:pPr>
        <w:rPr>
          <w:sz w:val="24"/>
          <w:szCs w:val="24"/>
        </w:rPr>
      </w:pPr>
      <w:r w:rsidRPr="00D45593">
        <w:rPr>
          <w:sz w:val="24"/>
          <w:szCs w:val="24"/>
        </w:rPr>
        <w:t xml:space="preserve">With food safety on consumer’s minds, it is important to emphasize the rigorous food safety audits and standards that our farms must comply with, both on a state and federal level.  Our Produce Safety Team stands ready to assist farmers with market access challenges and encourage farmers to evaluate their current marketing and sales strategies to best meet consumers’ changing purchasing needs.  For example, with some farmers’ markets closing for the immediate future, farmers are offering home delivery services and centralized pick-up locations for their products.  It’s also important to emphasize the notion of social distancing and that interactions with farm and retail staff should be limited with customers.  Staff and volunteers should be extra vigilant about washing hands, sanitizing surfaces frequently, and not working at the farm stand or market when sick.  With consumers wanting to shop, eat, drink, and buy local during these evolving circumstances, we want to help keep fresh, local food accessible. </w:t>
      </w:r>
    </w:p>
    <w:p w:rsidR="00D45593" w:rsidRDefault="00D45593" w:rsidP="00D45593">
      <w:pPr>
        <w:rPr>
          <w:sz w:val="24"/>
          <w:szCs w:val="24"/>
        </w:rPr>
      </w:pPr>
    </w:p>
    <w:p w:rsidR="00D45593" w:rsidRPr="00D45593" w:rsidRDefault="00D45593" w:rsidP="00D45593">
      <w:pPr>
        <w:rPr>
          <w:sz w:val="24"/>
          <w:szCs w:val="24"/>
        </w:rPr>
      </w:pPr>
      <w:r w:rsidRPr="00D45593">
        <w:rPr>
          <w:sz w:val="24"/>
          <w:szCs w:val="24"/>
        </w:rPr>
        <w:t xml:space="preserve">We continue to monitor and assess the impacts to farmers and stakeholders across the industry.  Please stay in touch regarding the personal anecdotes your businesses and organizations are facing so we can best assist you.  Thank you for your cooperation and support as the Commonwealth works to address this public health issue.  </w:t>
      </w:r>
    </w:p>
    <w:p w:rsidR="00D45593" w:rsidRDefault="00D45593" w:rsidP="00D45593">
      <w:pPr>
        <w:rPr>
          <w:sz w:val="24"/>
          <w:szCs w:val="24"/>
        </w:rPr>
      </w:pPr>
    </w:p>
    <w:p w:rsidR="00D45593" w:rsidRDefault="00D45593" w:rsidP="00D45593">
      <w:pPr>
        <w:rPr>
          <w:sz w:val="24"/>
          <w:szCs w:val="24"/>
        </w:rPr>
      </w:pPr>
      <w:r w:rsidRPr="00D45593">
        <w:rPr>
          <w:sz w:val="24"/>
          <w:szCs w:val="24"/>
        </w:rPr>
        <w:t>Sincerely,</w:t>
      </w:r>
    </w:p>
    <w:p w:rsidR="00D45593" w:rsidRDefault="00FA04B8" w:rsidP="00D45593">
      <w:pPr>
        <w:rPr>
          <w:sz w:val="24"/>
          <w:szCs w:val="24"/>
        </w:rPr>
      </w:pPr>
      <w:r>
        <w:rPr>
          <w:noProof/>
          <w:sz w:val="24"/>
          <w:szCs w:val="24"/>
        </w:rPr>
        <w:drawing>
          <wp:inline distT="0" distB="0" distL="0" distR="0">
            <wp:extent cx="1807530" cy="657225"/>
            <wp:effectExtent l="0" t="0" r="2540" b="0"/>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 Lebeaux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341" cy="670973"/>
                    </a:xfrm>
                    <a:prstGeom prst="rect">
                      <a:avLst/>
                    </a:prstGeom>
                  </pic:spPr>
                </pic:pic>
              </a:graphicData>
            </a:graphic>
          </wp:inline>
        </w:drawing>
      </w:r>
    </w:p>
    <w:p w:rsidR="00D45593" w:rsidRPr="00D45593" w:rsidRDefault="00D45593" w:rsidP="00D45593">
      <w:pPr>
        <w:rPr>
          <w:sz w:val="24"/>
          <w:szCs w:val="24"/>
        </w:rPr>
      </w:pPr>
    </w:p>
    <w:p w:rsidR="00D45593" w:rsidRPr="00D45593" w:rsidRDefault="00D45593" w:rsidP="00D45593">
      <w:pPr>
        <w:rPr>
          <w:sz w:val="24"/>
          <w:szCs w:val="24"/>
        </w:rPr>
      </w:pPr>
      <w:r w:rsidRPr="00D45593">
        <w:rPr>
          <w:sz w:val="24"/>
          <w:szCs w:val="24"/>
        </w:rPr>
        <w:t>John Lebeaux, Commissioner</w:t>
      </w:r>
    </w:p>
    <w:p w:rsidR="00D45593" w:rsidRPr="00D45593" w:rsidRDefault="00D45593" w:rsidP="00D45593">
      <w:pPr>
        <w:rPr>
          <w:sz w:val="24"/>
          <w:szCs w:val="24"/>
        </w:rPr>
      </w:pPr>
      <w:r w:rsidRPr="00D45593">
        <w:rPr>
          <w:sz w:val="24"/>
          <w:szCs w:val="24"/>
        </w:rPr>
        <w:t>M</w:t>
      </w:r>
      <w:r>
        <w:rPr>
          <w:sz w:val="24"/>
          <w:szCs w:val="24"/>
        </w:rPr>
        <w:t>assachusetts</w:t>
      </w:r>
      <w:r w:rsidRPr="00D45593">
        <w:rPr>
          <w:sz w:val="24"/>
          <w:szCs w:val="24"/>
        </w:rPr>
        <w:t xml:space="preserve"> Department of Agricultural Resourc</w:t>
      </w:r>
      <w:r>
        <w:rPr>
          <w:sz w:val="24"/>
          <w:szCs w:val="24"/>
        </w:rPr>
        <w:t xml:space="preserve">es </w:t>
      </w:r>
      <w:bookmarkStart w:id="0" w:name="_GoBack"/>
      <w:bookmarkEnd w:id="0"/>
    </w:p>
    <w:p w:rsidR="00D45593" w:rsidRPr="00D45593" w:rsidRDefault="00D45593" w:rsidP="00D45593">
      <w:pPr>
        <w:rPr>
          <w:sz w:val="24"/>
          <w:szCs w:val="24"/>
        </w:rPr>
      </w:pPr>
    </w:p>
    <w:p w:rsidR="00D45593" w:rsidRPr="00D45593" w:rsidRDefault="00D45593" w:rsidP="00D45593">
      <w:pPr>
        <w:rPr>
          <w:sz w:val="24"/>
          <w:szCs w:val="24"/>
        </w:rPr>
      </w:pPr>
    </w:p>
    <w:p w:rsidR="00D45593" w:rsidRPr="00D45593" w:rsidRDefault="00D45593" w:rsidP="00D45593">
      <w:pPr>
        <w:rPr>
          <w:sz w:val="24"/>
          <w:szCs w:val="24"/>
        </w:rPr>
      </w:pPr>
    </w:p>
    <w:p w:rsidR="00D45593" w:rsidRPr="00D45593" w:rsidRDefault="00D45593" w:rsidP="00D45593">
      <w:pPr>
        <w:rPr>
          <w:sz w:val="24"/>
          <w:szCs w:val="24"/>
        </w:rPr>
      </w:pPr>
    </w:p>
    <w:p w:rsidR="00D45593" w:rsidRPr="00D45593" w:rsidRDefault="00D45593" w:rsidP="00D45593">
      <w:pPr>
        <w:rPr>
          <w:sz w:val="24"/>
          <w:szCs w:val="24"/>
        </w:rPr>
      </w:pPr>
    </w:p>
    <w:p w:rsidR="00D45593" w:rsidRPr="00D45593" w:rsidRDefault="00D45593" w:rsidP="00D45593">
      <w:pPr>
        <w:rPr>
          <w:sz w:val="24"/>
          <w:szCs w:val="24"/>
        </w:rPr>
      </w:pPr>
    </w:p>
    <w:p w:rsidR="00D45593" w:rsidRPr="00D45593" w:rsidRDefault="00D45593" w:rsidP="00D45593">
      <w:pPr>
        <w:rPr>
          <w:sz w:val="24"/>
          <w:szCs w:val="24"/>
        </w:rPr>
      </w:pPr>
    </w:p>
    <w:p w:rsidR="00D45593" w:rsidRPr="00D45593" w:rsidRDefault="00D45593" w:rsidP="00D45593">
      <w:pPr>
        <w:rPr>
          <w:sz w:val="24"/>
          <w:szCs w:val="24"/>
        </w:rPr>
      </w:pPr>
    </w:p>
    <w:p w:rsidR="00D45593" w:rsidRPr="00D45593" w:rsidRDefault="00D45593" w:rsidP="00D45593">
      <w:pPr>
        <w:rPr>
          <w:sz w:val="24"/>
          <w:szCs w:val="24"/>
        </w:rPr>
      </w:pPr>
    </w:p>
    <w:p w:rsidR="00D45593" w:rsidRPr="00D45593" w:rsidRDefault="00D45593" w:rsidP="00D45593">
      <w:pPr>
        <w:rPr>
          <w:sz w:val="24"/>
          <w:szCs w:val="24"/>
        </w:rPr>
      </w:pPr>
    </w:p>
    <w:p w:rsidR="00D45593" w:rsidRPr="00D45593" w:rsidRDefault="00D45593" w:rsidP="00D45593">
      <w:pPr>
        <w:rPr>
          <w:sz w:val="24"/>
          <w:szCs w:val="24"/>
        </w:rPr>
      </w:pPr>
    </w:p>
    <w:p w:rsidR="00D45593" w:rsidRDefault="00D45593" w:rsidP="00D45593">
      <w:pPr>
        <w:rPr>
          <w:sz w:val="24"/>
          <w:szCs w:val="24"/>
        </w:rPr>
      </w:pPr>
    </w:p>
    <w:p w:rsidR="00D45593" w:rsidRPr="00D45593" w:rsidRDefault="00D45593" w:rsidP="00D45593">
      <w:pPr>
        <w:rPr>
          <w:sz w:val="24"/>
          <w:szCs w:val="24"/>
        </w:rPr>
      </w:pPr>
      <w:r>
        <w:rPr>
          <w:sz w:val="24"/>
          <w:szCs w:val="24"/>
        </w:rPr>
        <w:t xml:space="preserve">If you have any questions about this Bulletin, please contact Ashley Randle, Deputy Commissioner for the Massachusetts Department of Agricultural Resources, at (617)-626-1715 or </w:t>
      </w:r>
      <w:hyperlink r:id="rId8" w:history="1">
        <w:r w:rsidRPr="00CB00DA">
          <w:rPr>
            <w:rStyle w:val="Hyperlink"/>
            <w:sz w:val="24"/>
            <w:szCs w:val="24"/>
          </w:rPr>
          <w:t>Ashley.Randle@mass.gov</w:t>
        </w:r>
      </w:hyperlink>
      <w:r>
        <w:rPr>
          <w:sz w:val="24"/>
          <w:szCs w:val="24"/>
        </w:rPr>
        <w:t xml:space="preserve">. </w:t>
      </w:r>
    </w:p>
    <w:sectPr w:rsidR="00D45593" w:rsidRPr="00D45593" w:rsidSect="00542CEF">
      <w:footerReference w:type="default" r:id="rId9"/>
      <w:headerReference w:type="first" r:id="rId10"/>
      <w:pgSz w:w="12240" w:h="15840" w:code="1"/>
      <w:pgMar w:top="720" w:right="1008" w:bottom="720" w:left="1008"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6C3" w:rsidRDefault="007016C3">
      <w:r>
        <w:separator/>
      </w:r>
    </w:p>
  </w:endnote>
  <w:endnote w:type="continuationSeparator" w:id="0">
    <w:p w:rsidR="007016C3" w:rsidRDefault="0070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6C3" w:rsidRDefault="007016C3">
    <w:pPr>
      <w:pStyle w:val="Footer"/>
    </w:pPr>
    <w:r>
      <w:tab/>
      <w:t xml:space="preserve">Page </w:t>
    </w:r>
    <w:r w:rsidR="004159F1">
      <w:rPr>
        <w:rStyle w:val="PageNumber"/>
      </w:rPr>
      <w:fldChar w:fldCharType="begin"/>
    </w:r>
    <w:r>
      <w:rPr>
        <w:rStyle w:val="PageNumber"/>
      </w:rPr>
      <w:instrText xml:space="preserve"> PAGE </w:instrText>
    </w:r>
    <w:r w:rsidR="004159F1">
      <w:rPr>
        <w:rStyle w:val="PageNumber"/>
      </w:rPr>
      <w:fldChar w:fldCharType="separate"/>
    </w:r>
    <w:r w:rsidR="004E1790">
      <w:rPr>
        <w:rStyle w:val="PageNumber"/>
        <w:noProof/>
      </w:rPr>
      <w:t>2</w:t>
    </w:r>
    <w:r w:rsidR="004159F1">
      <w:rPr>
        <w:rStyle w:val="PageNumber"/>
      </w:rPr>
      <w:fldChar w:fldCharType="end"/>
    </w:r>
    <w:r>
      <w:rPr>
        <w:rStyle w:val="PageNumber"/>
      </w:rPr>
      <w:t xml:space="preserve"> of </w:t>
    </w:r>
    <w:r w:rsidR="004159F1">
      <w:rPr>
        <w:rStyle w:val="PageNumber"/>
      </w:rPr>
      <w:fldChar w:fldCharType="begin"/>
    </w:r>
    <w:r>
      <w:rPr>
        <w:rStyle w:val="PageNumber"/>
      </w:rPr>
      <w:instrText xml:space="preserve"> NUMPAGES </w:instrText>
    </w:r>
    <w:r w:rsidR="004159F1">
      <w:rPr>
        <w:rStyle w:val="PageNumber"/>
      </w:rPr>
      <w:fldChar w:fldCharType="separate"/>
    </w:r>
    <w:r w:rsidR="004E1790">
      <w:rPr>
        <w:rStyle w:val="PageNumber"/>
        <w:noProof/>
      </w:rPr>
      <w:t>1</w:t>
    </w:r>
    <w:r w:rsidR="004159F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6C3" w:rsidRDefault="007016C3">
      <w:r>
        <w:separator/>
      </w:r>
    </w:p>
  </w:footnote>
  <w:footnote w:type="continuationSeparator" w:id="0">
    <w:p w:rsidR="007016C3" w:rsidRDefault="007016C3">
      <w:r>
        <w:continuationSeparator/>
      </w:r>
    </w:p>
  </w:footnote>
  <w:footnote w:id="1">
    <w:p w:rsidR="00D45593" w:rsidRPr="00C36F67" w:rsidRDefault="00D45593" w:rsidP="00D45593">
      <w:pPr>
        <w:pStyle w:val="FootnoteText"/>
      </w:pPr>
      <w:r>
        <w:rPr>
          <w:rStyle w:val="FootnoteReference"/>
        </w:rPr>
        <w:footnoteRef/>
      </w:r>
      <w:r>
        <w:t xml:space="preserve"> </w:t>
      </w:r>
      <w:proofErr w:type="spellStart"/>
      <w:r w:rsidRPr="00C36F67">
        <w:rPr>
          <w:i/>
          <w:iCs/>
        </w:rPr>
        <w:t>Lichtenwalner</w:t>
      </w:r>
      <w:proofErr w:type="spellEnd"/>
      <w:r>
        <w:rPr>
          <w:i/>
          <w:iCs/>
        </w:rPr>
        <w:t xml:space="preserve">, Anne </w:t>
      </w:r>
      <w:proofErr w:type="gramStart"/>
      <w:r>
        <w:rPr>
          <w:i/>
          <w:iCs/>
        </w:rPr>
        <w:t>Dr..</w:t>
      </w:r>
      <w:proofErr w:type="gramEnd"/>
      <w:r>
        <w:rPr>
          <w:i/>
          <w:iCs/>
        </w:rPr>
        <w:t xml:space="preserve">  “</w:t>
      </w:r>
      <w:r w:rsidRPr="00C36F67">
        <w:t>The Farmer’s Response to Disease Outbreaks: Biosecurity, Simple Cleaning, and Disinfection Can Slow or Stop the Spread of COVID-19</w:t>
      </w:r>
      <w:r>
        <w:t xml:space="preserve">.” </w:t>
      </w:r>
      <w:r w:rsidRPr="00C36F67">
        <w:t>University of Maine Cooperative Extension Diagnostic and Research Laboratory</w:t>
      </w:r>
      <w:r>
        <w:t xml:space="preserve">. 06 March 2020.  </w:t>
      </w:r>
    </w:p>
    <w:p w:rsidR="00D45593" w:rsidRDefault="00D45593" w:rsidP="00D455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98" w:type="dxa"/>
      <w:tblLayout w:type="fixed"/>
      <w:tblLook w:val="04A0" w:firstRow="1" w:lastRow="0" w:firstColumn="1" w:lastColumn="0" w:noHBand="0" w:noVBand="1"/>
    </w:tblPr>
    <w:tblGrid>
      <w:gridCol w:w="1190"/>
      <w:gridCol w:w="1510"/>
      <w:gridCol w:w="2610"/>
      <w:gridCol w:w="3240"/>
      <w:gridCol w:w="1516"/>
      <w:gridCol w:w="14"/>
    </w:tblGrid>
    <w:tr w:rsidR="007016C3" w:rsidTr="000F690A">
      <w:trPr>
        <w:gridAfter w:val="1"/>
        <w:wAfter w:w="14" w:type="dxa"/>
        <w:trHeight w:val="1011"/>
      </w:trPr>
      <w:tc>
        <w:tcPr>
          <w:tcW w:w="10066" w:type="dxa"/>
          <w:gridSpan w:val="5"/>
          <w:hideMark/>
        </w:tcPr>
        <w:p w:rsidR="007016C3" w:rsidRDefault="007016C3">
          <w:pPr>
            <w:rPr>
              <w:smallCaps/>
              <w:spacing w:val="70"/>
              <w:sz w:val="42"/>
              <w:szCs w:val="42"/>
            </w:rPr>
          </w:pPr>
          <w:r>
            <w:rPr>
              <w:smallCaps/>
              <w:spacing w:val="70"/>
              <w:sz w:val="42"/>
              <w:szCs w:val="42"/>
            </w:rPr>
            <w:t>The Commonwealth Of Massachusetts</w:t>
          </w:r>
        </w:p>
        <w:p w:rsidR="007016C3" w:rsidRDefault="00D45593">
          <w:pPr>
            <w:spacing w:line="320" w:lineRule="exact"/>
            <w:rPr>
              <w:sz w:val="30"/>
              <w:szCs w:val="30"/>
            </w:rPr>
          </w:pPr>
          <w:r>
            <w:rPr>
              <w:noProof/>
            </w:rPr>
            <mc:AlternateContent>
              <mc:Choice Requires="wps">
                <w:drawing>
                  <wp:anchor distT="0" distB="0" distL="114300" distR="114300" simplePos="0" relativeHeight="251657216" behindDoc="0" locked="0" layoutInCell="1" allowOverlap="1">
                    <wp:simplePos x="0" y="0"/>
                    <wp:positionH relativeFrom="column">
                      <wp:posOffset>-203835</wp:posOffset>
                    </wp:positionH>
                    <wp:positionV relativeFrom="paragraph">
                      <wp:posOffset>180340</wp:posOffset>
                    </wp:positionV>
                    <wp:extent cx="974090" cy="1024890"/>
                    <wp:effectExtent l="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6C3" w:rsidRDefault="007016C3" w:rsidP="000F690A">
                                <w:r>
                                  <w:rPr>
                                    <w:noProof/>
                                    <w:sz w:val="20"/>
                                  </w:rPr>
                                  <w:drawing>
                                    <wp:inline distT="0" distB="0" distL="0" distR="0">
                                      <wp:extent cx="790575" cy="9334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0575" cy="933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05pt;margin-top:14.2pt;width:76.7pt;height:80.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" filled="f" stroked="f">
                    <v:textbox style="mso-fit-shape-to-text:t">
                      <w:txbxContent>
                        <w:p w:rsidR="007016C3" w:rsidRDefault="007016C3" w:rsidP="000F690A">
                          <w:r>
                            <w:rPr>
                              <w:noProof/>
                              <w:sz w:val="20"/>
                            </w:rPr>
                            <w:drawing>
                              <wp:inline distT="0" distB="0" distL="0" distR="0">
                                <wp:extent cx="790575" cy="9334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90575" cy="933450"/>
                                        </a:xfrm>
                                        <a:prstGeom prst="rect">
                                          <a:avLst/>
                                        </a:prstGeom>
                                        <a:noFill/>
                                        <a:ln w="9525">
                                          <a:noFill/>
                                          <a:miter lim="800000"/>
                                          <a:headEnd/>
                                          <a:tailEnd/>
                                        </a:ln>
                                      </pic:spPr>
                                    </pic:pic>
                                  </a:graphicData>
                                </a:graphic>
                              </wp:inline>
                            </w:drawing>
                          </w:r>
                        </w:p>
                      </w:txbxContent>
                    </v:textbox>
                  </v:shape>
                </w:pict>
              </mc:Fallback>
            </mc:AlternateContent>
          </w:r>
          <w:r w:rsidR="007016C3">
            <w:rPr>
              <w:smallCaps/>
              <w:spacing w:val="30"/>
              <w:sz w:val="24"/>
              <w:szCs w:val="30"/>
            </w:rPr>
            <w:t>Executive Office Of Energy And Environmental Affairs</w:t>
          </w:r>
        </w:p>
      </w:tc>
    </w:tr>
    <w:tr w:rsidR="007016C3" w:rsidTr="000F690A">
      <w:trPr>
        <w:gridAfter w:val="1"/>
        <w:wAfter w:w="14" w:type="dxa"/>
        <w:trHeight w:val="1287"/>
      </w:trPr>
      <w:tc>
        <w:tcPr>
          <w:tcW w:w="1190" w:type="dxa"/>
          <w:tcBorders>
            <w:top w:val="nil"/>
            <w:left w:val="nil"/>
            <w:bottom w:val="single" w:sz="4" w:space="0" w:color="auto"/>
            <w:right w:val="nil"/>
          </w:tcBorders>
        </w:tcPr>
        <w:p w:rsidR="007016C3" w:rsidRDefault="007016C3">
          <w:pPr>
            <w:ind w:left="-108"/>
          </w:pPr>
        </w:p>
      </w:tc>
      <w:tc>
        <w:tcPr>
          <w:tcW w:w="8876" w:type="dxa"/>
          <w:gridSpan w:val="4"/>
          <w:tcBorders>
            <w:top w:val="nil"/>
            <w:left w:val="nil"/>
            <w:bottom w:val="single" w:sz="4" w:space="0" w:color="auto"/>
            <w:right w:val="nil"/>
          </w:tcBorders>
          <w:hideMark/>
        </w:tcPr>
        <w:p w:rsidR="007016C3" w:rsidRDefault="00D45593">
          <w:pPr>
            <w:pStyle w:val="Header"/>
            <w:tabs>
              <w:tab w:val="clear" w:pos="4320"/>
              <w:tab w:val="clear" w:pos="8640"/>
              <w:tab w:val="left" w:pos="8622"/>
              <w:tab w:val="left" w:pos="10962"/>
            </w:tabs>
            <w:ind w:left="72"/>
            <w:rPr>
              <w:spacing w:val="10"/>
              <w:sz w:val="36"/>
              <w:szCs w:val="34"/>
            </w:rPr>
          </w:pPr>
          <w:r>
            <w:rPr>
              <w:noProof/>
            </w:rPr>
            <mc:AlternateContent>
              <mc:Choice Requires="wps">
                <w:drawing>
                  <wp:anchor distT="0" distB="0" distL="114300" distR="114300" simplePos="0" relativeHeight="251658240" behindDoc="0" locked="0" layoutInCell="1" allowOverlap="1">
                    <wp:simplePos x="0" y="0"/>
                    <wp:positionH relativeFrom="column">
                      <wp:posOffset>3777615</wp:posOffset>
                    </wp:positionH>
                    <wp:positionV relativeFrom="paragraph">
                      <wp:posOffset>66675</wp:posOffset>
                    </wp:positionV>
                    <wp:extent cx="1783715" cy="596265"/>
                    <wp:effectExtent l="0" t="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6C3" w:rsidRDefault="007016C3" w:rsidP="000F690A">
                                <w:r>
                                  <w:rPr>
                                    <w:noProof/>
                                    <w:sz w:val="20"/>
                                  </w:rPr>
                                  <w:drawing>
                                    <wp:inline distT="0" distB="0" distL="0" distR="0">
                                      <wp:extent cx="1571625" cy="504825"/>
                                      <wp:effectExtent l="19050" t="0" r="9525" b="0"/>
                                      <wp:docPr id="6" name="Picture 6" descr="MDARlogoBandW_fo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ARlogoBandW_forltrhd"/>
                                              <pic:cNvPicPr>
                                                <a:picLocks noChangeAspect="1" noChangeArrowheads="1"/>
                                              </pic:cNvPicPr>
                                            </pic:nvPicPr>
                                            <pic:blipFill>
                                              <a:blip r:embed="rId3"/>
                                              <a:srcRect/>
                                              <a:stretch>
                                                <a:fillRect/>
                                              </a:stretch>
                                            </pic:blipFill>
                                            <pic:spPr bwMode="auto">
                                              <a:xfrm>
                                                <a:off x="0" y="0"/>
                                                <a:ext cx="1571625" cy="5048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97.45pt;margin-top:5.25pt;width:140.45pt;height:46.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VswIAAL4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" filled="f" stroked="f">
                    <v:textbox style="mso-fit-shape-to-text:t">
                      <w:txbxContent>
                        <w:p w:rsidR="007016C3" w:rsidRDefault="007016C3" w:rsidP="000F690A">
                          <w:r>
                            <w:rPr>
                              <w:noProof/>
                              <w:sz w:val="20"/>
                            </w:rPr>
                            <w:drawing>
                              <wp:inline distT="0" distB="0" distL="0" distR="0">
                                <wp:extent cx="1571625" cy="504825"/>
                                <wp:effectExtent l="19050" t="0" r="9525" b="0"/>
                                <wp:docPr id="6" name="Picture 6" descr="MDARlogoBandW_fo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ARlogoBandW_forltrhd"/>
                                        <pic:cNvPicPr>
                                          <a:picLocks noChangeAspect="1" noChangeArrowheads="1"/>
                                        </pic:cNvPicPr>
                                      </pic:nvPicPr>
                                      <pic:blipFill>
                                        <a:blip r:embed="rId4"/>
                                        <a:srcRect/>
                                        <a:stretch>
                                          <a:fillRect/>
                                        </a:stretch>
                                      </pic:blipFill>
                                      <pic:spPr bwMode="auto">
                                        <a:xfrm>
                                          <a:off x="0" y="0"/>
                                          <a:ext cx="1571625" cy="504825"/>
                                        </a:xfrm>
                                        <a:prstGeom prst="rect">
                                          <a:avLst/>
                                        </a:prstGeom>
                                        <a:noFill/>
                                        <a:ln w="9525">
                                          <a:noFill/>
                                          <a:miter lim="800000"/>
                                          <a:headEnd/>
                                          <a:tailEnd/>
                                        </a:ln>
                                      </pic:spPr>
                                    </pic:pic>
                                  </a:graphicData>
                                </a:graphic>
                              </wp:inline>
                            </w:drawing>
                          </w:r>
                        </w:p>
                      </w:txbxContent>
                    </v:textbox>
                  </v:shape>
                </w:pict>
              </mc:Fallback>
            </mc:AlternateContent>
          </w:r>
          <w:r w:rsidR="007016C3">
            <w:rPr>
              <w:spacing w:val="10"/>
              <w:sz w:val="36"/>
              <w:szCs w:val="34"/>
            </w:rPr>
            <w:t>Department of Agricultural Resources</w:t>
          </w:r>
        </w:p>
        <w:p w:rsidR="007016C3" w:rsidRDefault="007016C3">
          <w:pPr>
            <w:pStyle w:val="Header"/>
            <w:tabs>
              <w:tab w:val="left" w:pos="720"/>
            </w:tabs>
            <w:ind w:left="72"/>
            <w:rPr>
              <w:sz w:val="21"/>
              <w:szCs w:val="21"/>
            </w:rPr>
          </w:pPr>
          <w:r>
            <w:rPr>
              <w:sz w:val="21"/>
              <w:szCs w:val="21"/>
            </w:rPr>
            <w:t>251 Causeway Street, Suite 500, Boston, MA 02114</w:t>
          </w:r>
        </w:p>
        <w:p w:rsidR="007016C3" w:rsidRDefault="007016C3">
          <w:pPr>
            <w:tabs>
              <w:tab w:val="left" w:pos="1602"/>
            </w:tabs>
            <w:ind w:left="72"/>
            <w:rPr>
              <w:rFonts w:ascii="Adobe Garamond Pro" w:hAnsi="Adobe Garamond Pro" w:cs="Arial"/>
              <w:smallCaps/>
              <w:sz w:val="28"/>
            </w:rPr>
          </w:pPr>
          <w:r>
            <w:rPr>
              <w:sz w:val="21"/>
              <w:szCs w:val="21"/>
            </w:rPr>
            <w:t>617-626-1700   fax:  617-626-1850    www.mass.gov/agr</w:t>
          </w:r>
        </w:p>
      </w:tc>
    </w:tr>
    <w:tr w:rsidR="007016C3" w:rsidTr="002C0A2E">
      <w:trPr>
        <w:trHeight w:val="449"/>
      </w:trPr>
      <w:tc>
        <w:tcPr>
          <w:tcW w:w="2700" w:type="dxa"/>
          <w:gridSpan w:val="2"/>
          <w:tcBorders>
            <w:top w:val="single" w:sz="4" w:space="0" w:color="auto"/>
            <w:left w:val="nil"/>
            <w:bottom w:val="nil"/>
            <w:right w:val="nil"/>
          </w:tcBorders>
          <w:vAlign w:val="bottom"/>
          <w:hideMark/>
        </w:tcPr>
        <w:p w:rsidR="007016C3" w:rsidRDefault="007016C3">
          <w:pPr>
            <w:rPr>
              <w:rFonts w:ascii="Lucida Sans" w:hAnsi="Lucida Sans"/>
              <w:b/>
              <w:sz w:val="16"/>
              <w:szCs w:val="16"/>
            </w:rPr>
          </w:pPr>
          <w:r>
            <w:rPr>
              <w:rFonts w:ascii="Lucida Sans" w:hAnsi="Lucida Sans"/>
              <w:sz w:val="16"/>
              <w:szCs w:val="16"/>
            </w:rPr>
            <w:t>CHARLES D. BAKER</w:t>
          </w:r>
        </w:p>
        <w:p w:rsidR="007016C3" w:rsidRDefault="007016C3">
          <w:pPr>
            <w:rPr>
              <w:rFonts w:ascii="Lucida Sans" w:hAnsi="Lucida Sans"/>
              <w:sz w:val="16"/>
              <w:szCs w:val="16"/>
            </w:rPr>
          </w:pPr>
          <w:r>
            <w:rPr>
              <w:rFonts w:ascii="Lucida Sans" w:hAnsi="Lucida Sans"/>
              <w:sz w:val="16"/>
              <w:szCs w:val="16"/>
            </w:rPr>
            <w:t>Governor</w:t>
          </w:r>
        </w:p>
      </w:tc>
      <w:tc>
        <w:tcPr>
          <w:tcW w:w="2610" w:type="dxa"/>
          <w:tcBorders>
            <w:top w:val="single" w:sz="4" w:space="0" w:color="auto"/>
            <w:left w:val="nil"/>
            <w:bottom w:val="nil"/>
            <w:right w:val="nil"/>
          </w:tcBorders>
          <w:vAlign w:val="bottom"/>
          <w:hideMark/>
        </w:tcPr>
        <w:p w:rsidR="007016C3" w:rsidRDefault="007016C3" w:rsidP="00A6503E">
          <w:pPr>
            <w:rPr>
              <w:rFonts w:ascii="Lucida Sans" w:hAnsi="Lucida Sans"/>
              <w:sz w:val="16"/>
              <w:szCs w:val="16"/>
            </w:rPr>
          </w:pPr>
          <w:r>
            <w:rPr>
              <w:rFonts w:ascii="Lucida Sans" w:hAnsi="Lucida Sans"/>
              <w:sz w:val="16"/>
              <w:szCs w:val="16"/>
            </w:rPr>
            <w:t>KARYN E. POLITO</w:t>
          </w:r>
          <w:r>
            <w:rPr>
              <w:rFonts w:ascii="Lucida Sans" w:hAnsi="Lucida Sans"/>
              <w:sz w:val="16"/>
              <w:szCs w:val="16"/>
            </w:rPr>
            <w:br/>
          </w:r>
          <w:r w:rsidRPr="00A6503E">
            <w:rPr>
              <w:rFonts w:ascii="Lucida Sans" w:hAnsi="Lucida Sans"/>
              <w:sz w:val="16"/>
              <w:szCs w:val="16"/>
            </w:rPr>
            <w:t>Lt. Governor</w:t>
          </w:r>
        </w:p>
      </w:tc>
      <w:tc>
        <w:tcPr>
          <w:tcW w:w="3240" w:type="dxa"/>
          <w:tcBorders>
            <w:top w:val="single" w:sz="4" w:space="0" w:color="auto"/>
            <w:left w:val="nil"/>
            <w:bottom w:val="nil"/>
            <w:right w:val="nil"/>
          </w:tcBorders>
          <w:vAlign w:val="bottom"/>
          <w:hideMark/>
        </w:tcPr>
        <w:p w:rsidR="007016C3" w:rsidRDefault="002C0A2E" w:rsidP="002C0A2E">
          <w:pPr>
            <w:rPr>
              <w:rFonts w:ascii="Lucida Sans" w:hAnsi="Lucida Sans"/>
              <w:sz w:val="16"/>
              <w:szCs w:val="16"/>
            </w:rPr>
          </w:pPr>
          <w:r>
            <w:rPr>
              <w:rFonts w:ascii="Lucida Sans" w:hAnsi="Lucida Sans"/>
              <w:sz w:val="16"/>
              <w:szCs w:val="16"/>
            </w:rPr>
            <w:t>K</w:t>
          </w:r>
          <w:r w:rsidR="007016C3">
            <w:rPr>
              <w:rFonts w:ascii="Lucida Sans" w:hAnsi="Lucida Sans"/>
              <w:sz w:val="16"/>
              <w:szCs w:val="16"/>
            </w:rPr>
            <w:t>AT</w:t>
          </w:r>
          <w:r>
            <w:rPr>
              <w:rFonts w:ascii="Lucida Sans" w:hAnsi="Lucida Sans"/>
              <w:sz w:val="16"/>
              <w:szCs w:val="16"/>
            </w:rPr>
            <w:t>HLEEN A. THEOHARIDES</w:t>
          </w:r>
          <w:r w:rsidR="007016C3">
            <w:rPr>
              <w:rFonts w:ascii="Lucida Sans" w:hAnsi="Lucida Sans"/>
              <w:sz w:val="16"/>
              <w:szCs w:val="16"/>
            </w:rPr>
            <w:br/>
            <w:t>Secretary</w:t>
          </w:r>
        </w:p>
      </w:tc>
      <w:tc>
        <w:tcPr>
          <w:tcW w:w="1530" w:type="dxa"/>
          <w:gridSpan w:val="2"/>
          <w:tcBorders>
            <w:top w:val="single" w:sz="4" w:space="0" w:color="auto"/>
            <w:left w:val="nil"/>
            <w:bottom w:val="nil"/>
            <w:right w:val="nil"/>
          </w:tcBorders>
          <w:vAlign w:val="bottom"/>
        </w:tcPr>
        <w:p w:rsidR="007016C3" w:rsidRDefault="002F59F0" w:rsidP="002F59F0">
          <w:pPr>
            <w:rPr>
              <w:rFonts w:ascii="Lucida Sans" w:hAnsi="Lucida Sans"/>
              <w:sz w:val="16"/>
              <w:szCs w:val="16"/>
            </w:rPr>
          </w:pPr>
          <w:r>
            <w:rPr>
              <w:rFonts w:ascii="Lucida Sans" w:hAnsi="Lucida Sans"/>
              <w:sz w:val="16"/>
              <w:szCs w:val="16"/>
            </w:rPr>
            <w:t>JOHN LEBEAUX</w:t>
          </w:r>
          <w:r w:rsidR="007016C3">
            <w:rPr>
              <w:rFonts w:ascii="Lucida Sans" w:hAnsi="Lucida Sans"/>
              <w:sz w:val="16"/>
              <w:szCs w:val="16"/>
            </w:rPr>
            <w:br/>
          </w:r>
          <w:r w:rsidR="007016C3" w:rsidRPr="007016C3">
            <w:rPr>
              <w:rFonts w:ascii="Lucida Sans" w:hAnsi="Lucida Sans"/>
              <w:sz w:val="16"/>
              <w:szCs w:val="16"/>
            </w:rPr>
            <w:t>Commissioner</w:t>
          </w:r>
        </w:p>
      </w:tc>
    </w:tr>
  </w:tbl>
  <w:p w:rsidR="007016C3" w:rsidRPr="00CD0E7B" w:rsidRDefault="007016C3" w:rsidP="00D44FC7">
    <w:pPr>
      <w:pStyle w:val="Header"/>
      <w:ind w:left="-450"/>
      <w:rPr>
        <w:rFonts w:ascii="Adobe Myungjo Std M" w:eastAsia="Adobe Myungjo Std M" w:hAnsi="Adobe Myungjo Std 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B5ACA"/>
    <w:multiLevelType w:val="singleLevel"/>
    <w:tmpl w:val="52A27FAE"/>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25F3241A"/>
    <w:multiLevelType w:val="multilevel"/>
    <w:tmpl w:val="5092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B12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2A45E8"/>
    <w:multiLevelType w:val="hybridMultilevel"/>
    <w:tmpl w:val="2488F8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14B23D7"/>
    <w:multiLevelType w:val="hybridMultilevel"/>
    <w:tmpl w:val="91829E76"/>
    <w:lvl w:ilvl="0" w:tplc="D06C3B20">
      <w:start w:val="1"/>
      <w:numFmt w:val="upperRoman"/>
      <w:lvlText w:val="%1."/>
      <w:lvlJc w:val="left"/>
      <w:pPr>
        <w:tabs>
          <w:tab w:val="num" w:pos="1080"/>
        </w:tabs>
        <w:ind w:left="1080" w:hanging="720"/>
      </w:pPr>
      <w:rPr>
        <w:rFonts w:hint="default"/>
      </w:rPr>
    </w:lvl>
    <w:lvl w:ilvl="1" w:tplc="9C9462D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65E06"/>
    <w:multiLevelType w:val="singleLevel"/>
    <w:tmpl w:val="ADE48D40"/>
    <w:lvl w:ilvl="0">
      <w:start w:val="1"/>
      <w:numFmt w:val="decimal"/>
      <w:lvlText w:val="%1."/>
      <w:lvlJc w:val="left"/>
      <w:pPr>
        <w:tabs>
          <w:tab w:val="num" w:pos="435"/>
        </w:tabs>
        <w:ind w:left="435" w:hanging="435"/>
      </w:pPr>
      <w:rPr>
        <w:rFonts w:hint="default"/>
      </w:rPr>
    </w:lvl>
  </w:abstractNum>
  <w:abstractNum w:abstractNumId="6" w15:restartNumberingAfterBreak="0">
    <w:nsid w:val="59863BE8"/>
    <w:multiLevelType w:val="hybridMultilevel"/>
    <w:tmpl w:val="D6FE61D6"/>
    <w:lvl w:ilvl="0" w:tplc="BD6EC3BA">
      <w:start w:val="1"/>
      <w:numFmt w:val="upperLetter"/>
      <w:lvlText w:val="%1."/>
      <w:lvlJc w:val="left"/>
      <w:pPr>
        <w:tabs>
          <w:tab w:val="num" w:pos="1800"/>
        </w:tabs>
        <w:ind w:left="1800" w:hanging="360"/>
      </w:pPr>
      <w:rPr>
        <w:rFonts w:hint="default"/>
      </w:rPr>
    </w:lvl>
    <w:lvl w:ilvl="1" w:tplc="E256AA8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C4B7FF0"/>
    <w:multiLevelType w:val="hybridMultilevel"/>
    <w:tmpl w:val="FC46C9E8"/>
    <w:lvl w:ilvl="0" w:tplc="BFD6E6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1D6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B030D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2"/>
  </w:num>
  <w:num w:numId="4">
    <w:abstractNumId w:val="9"/>
  </w:num>
  <w:num w:numId="5">
    <w:abstractNumId w:val="8"/>
  </w:num>
  <w:num w:numId="6">
    <w:abstractNumId w:val="7"/>
  </w:num>
  <w:num w:numId="7">
    <w:abstractNumId w:val="4"/>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44"/>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EA"/>
    <w:rsid w:val="00004BF2"/>
    <w:rsid w:val="000471E5"/>
    <w:rsid w:val="00056ADF"/>
    <w:rsid w:val="000A0709"/>
    <w:rsid w:val="000A272C"/>
    <w:rsid w:val="000A2D76"/>
    <w:rsid w:val="000A614E"/>
    <w:rsid w:val="000D74FD"/>
    <w:rsid w:val="000E67D2"/>
    <w:rsid w:val="000F0311"/>
    <w:rsid w:val="000F690A"/>
    <w:rsid w:val="00117761"/>
    <w:rsid w:val="00117DCC"/>
    <w:rsid w:val="00163A6F"/>
    <w:rsid w:val="00190E94"/>
    <w:rsid w:val="001B0A61"/>
    <w:rsid w:val="001D3034"/>
    <w:rsid w:val="001D430E"/>
    <w:rsid w:val="001D5602"/>
    <w:rsid w:val="001D74E1"/>
    <w:rsid w:val="00247265"/>
    <w:rsid w:val="00257D4D"/>
    <w:rsid w:val="00294CEF"/>
    <w:rsid w:val="002A6AF7"/>
    <w:rsid w:val="002A7023"/>
    <w:rsid w:val="002C0A2E"/>
    <w:rsid w:val="002C1318"/>
    <w:rsid w:val="002E0062"/>
    <w:rsid w:val="002E1372"/>
    <w:rsid w:val="002F4599"/>
    <w:rsid w:val="002F59F0"/>
    <w:rsid w:val="00304F93"/>
    <w:rsid w:val="00324C88"/>
    <w:rsid w:val="0032724D"/>
    <w:rsid w:val="00327DD9"/>
    <w:rsid w:val="00372BF9"/>
    <w:rsid w:val="00377A4E"/>
    <w:rsid w:val="0038712B"/>
    <w:rsid w:val="003963E4"/>
    <w:rsid w:val="003B7844"/>
    <w:rsid w:val="003B7A84"/>
    <w:rsid w:val="003D660E"/>
    <w:rsid w:val="003F1935"/>
    <w:rsid w:val="00406987"/>
    <w:rsid w:val="00414751"/>
    <w:rsid w:val="004159F1"/>
    <w:rsid w:val="0043231B"/>
    <w:rsid w:val="004420E6"/>
    <w:rsid w:val="004442C0"/>
    <w:rsid w:val="00483B8B"/>
    <w:rsid w:val="004A3FC7"/>
    <w:rsid w:val="004B0EDF"/>
    <w:rsid w:val="004C5439"/>
    <w:rsid w:val="004D77CA"/>
    <w:rsid w:val="004E1790"/>
    <w:rsid w:val="004E772E"/>
    <w:rsid w:val="004F552C"/>
    <w:rsid w:val="00501930"/>
    <w:rsid w:val="00506C17"/>
    <w:rsid w:val="005172E2"/>
    <w:rsid w:val="00542CEF"/>
    <w:rsid w:val="00544921"/>
    <w:rsid w:val="00562F12"/>
    <w:rsid w:val="00585AED"/>
    <w:rsid w:val="005A6863"/>
    <w:rsid w:val="005C14CF"/>
    <w:rsid w:val="005C1FA3"/>
    <w:rsid w:val="005D74FE"/>
    <w:rsid w:val="005E4948"/>
    <w:rsid w:val="005E567C"/>
    <w:rsid w:val="00602D18"/>
    <w:rsid w:val="00603362"/>
    <w:rsid w:val="00631BB9"/>
    <w:rsid w:val="006438B1"/>
    <w:rsid w:val="006733FE"/>
    <w:rsid w:val="00681086"/>
    <w:rsid w:val="0069461A"/>
    <w:rsid w:val="006A4ACE"/>
    <w:rsid w:val="006C4189"/>
    <w:rsid w:val="006C67F5"/>
    <w:rsid w:val="006D7F9D"/>
    <w:rsid w:val="007016C3"/>
    <w:rsid w:val="00704B68"/>
    <w:rsid w:val="00722A48"/>
    <w:rsid w:val="007262AB"/>
    <w:rsid w:val="00744238"/>
    <w:rsid w:val="007511F3"/>
    <w:rsid w:val="00774751"/>
    <w:rsid w:val="00774BFC"/>
    <w:rsid w:val="007848D8"/>
    <w:rsid w:val="00793BE5"/>
    <w:rsid w:val="00797F95"/>
    <w:rsid w:val="007B0C50"/>
    <w:rsid w:val="007B0F3F"/>
    <w:rsid w:val="007B1C7A"/>
    <w:rsid w:val="007C2B73"/>
    <w:rsid w:val="007C42D8"/>
    <w:rsid w:val="007D1540"/>
    <w:rsid w:val="007D6279"/>
    <w:rsid w:val="007E2822"/>
    <w:rsid w:val="007E5DE9"/>
    <w:rsid w:val="007F697D"/>
    <w:rsid w:val="007F7965"/>
    <w:rsid w:val="0080244F"/>
    <w:rsid w:val="00802EF7"/>
    <w:rsid w:val="00806A82"/>
    <w:rsid w:val="00811079"/>
    <w:rsid w:val="00813AAD"/>
    <w:rsid w:val="0082407B"/>
    <w:rsid w:val="008417E0"/>
    <w:rsid w:val="008436CB"/>
    <w:rsid w:val="00844BAB"/>
    <w:rsid w:val="008579F8"/>
    <w:rsid w:val="008620A7"/>
    <w:rsid w:val="00875655"/>
    <w:rsid w:val="00877150"/>
    <w:rsid w:val="008807AB"/>
    <w:rsid w:val="008843B8"/>
    <w:rsid w:val="008953D6"/>
    <w:rsid w:val="0089626A"/>
    <w:rsid w:val="008B5596"/>
    <w:rsid w:val="008C4120"/>
    <w:rsid w:val="008C5174"/>
    <w:rsid w:val="008F68AA"/>
    <w:rsid w:val="008F6AEC"/>
    <w:rsid w:val="00912050"/>
    <w:rsid w:val="00916CD8"/>
    <w:rsid w:val="009837B9"/>
    <w:rsid w:val="009A2CCB"/>
    <w:rsid w:val="009A3732"/>
    <w:rsid w:val="009B2185"/>
    <w:rsid w:val="009C0FD2"/>
    <w:rsid w:val="009C2BCA"/>
    <w:rsid w:val="009E09CB"/>
    <w:rsid w:val="00A25312"/>
    <w:rsid w:val="00A36B0D"/>
    <w:rsid w:val="00A4340A"/>
    <w:rsid w:val="00A43AD4"/>
    <w:rsid w:val="00A5780B"/>
    <w:rsid w:val="00A6503E"/>
    <w:rsid w:val="00A812BD"/>
    <w:rsid w:val="00A843F0"/>
    <w:rsid w:val="00A972AA"/>
    <w:rsid w:val="00AA629C"/>
    <w:rsid w:val="00AB6DDF"/>
    <w:rsid w:val="00AD343C"/>
    <w:rsid w:val="00AD4741"/>
    <w:rsid w:val="00AD6214"/>
    <w:rsid w:val="00AF2BE1"/>
    <w:rsid w:val="00B10B6F"/>
    <w:rsid w:val="00B119E0"/>
    <w:rsid w:val="00B1436A"/>
    <w:rsid w:val="00B24627"/>
    <w:rsid w:val="00B32CB7"/>
    <w:rsid w:val="00B3463A"/>
    <w:rsid w:val="00B369BD"/>
    <w:rsid w:val="00B40240"/>
    <w:rsid w:val="00B41A76"/>
    <w:rsid w:val="00B530CA"/>
    <w:rsid w:val="00B60283"/>
    <w:rsid w:val="00B908DA"/>
    <w:rsid w:val="00BA58FE"/>
    <w:rsid w:val="00BF044F"/>
    <w:rsid w:val="00BF53E4"/>
    <w:rsid w:val="00C0714D"/>
    <w:rsid w:val="00C17229"/>
    <w:rsid w:val="00C17C22"/>
    <w:rsid w:val="00C3361A"/>
    <w:rsid w:val="00C6440A"/>
    <w:rsid w:val="00C72B26"/>
    <w:rsid w:val="00C767F5"/>
    <w:rsid w:val="00CB77B5"/>
    <w:rsid w:val="00CC655B"/>
    <w:rsid w:val="00CD0E7B"/>
    <w:rsid w:val="00D007B0"/>
    <w:rsid w:val="00D04A3B"/>
    <w:rsid w:val="00D12317"/>
    <w:rsid w:val="00D24812"/>
    <w:rsid w:val="00D44FC7"/>
    <w:rsid w:val="00D45593"/>
    <w:rsid w:val="00D7138E"/>
    <w:rsid w:val="00D85E6B"/>
    <w:rsid w:val="00D95E2B"/>
    <w:rsid w:val="00D97A63"/>
    <w:rsid w:val="00D97FEA"/>
    <w:rsid w:val="00DA40FB"/>
    <w:rsid w:val="00DE4168"/>
    <w:rsid w:val="00DF67CA"/>
    <w:rsid w:val="00E015C2"/>
    <w:rsid w:val="00E02656"/>
    <w:rsid w:val="00E337B0"/>
    <w:rsid w:val="00E35949"/>
    <w:rsid w:val="00E46930"/>
    <w:rsid w:val="00E4757A"/>
    <w:rsid w:val="00E52907"/>
    <w:rsid w:val="00E5339D"/>
    <w:rsid w:val="00E5597F"/>
    <w:rsid w:val="00E639C8"/>
    <w:rsid w:val="00E672C0"/>
    <w:rsid w:val="00E90D0A"/>
    <w:rsid w:val="00EA1B1B"/>
    <w:rsid w:val="00EE3584"/>
    <w:rsid w:val="00F03AB1"/>
    <w:rsid w:val="00F306AF"/>
    <w:rsid w:val="00F47BE8"/>
    <w:rsid w:val="00F51FC0"/>
    <w:rsid w:val="00F61CD9"/>
    <w:rsid w:val="00F67354"/>
    <w:rsid w:val="00F81D6C"/>
    <w:rsid w:val="00F83547"/>
    <w:rsid w:val="00F91312"/>
    <w:rsid w:val="00FA04B8"/>
    <w:rsid w:val="00FA36A8"/>
    <w:rsid w:val="00FB362C"/>
    <w:rsid w:val="00FE353E"/>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78B8DB-8D24-4995-95B2-0F56EAC7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1B1B"/>
    <w:rPr>
      <w:sz w:val="22"/>
    </w:rPr>
  </w:style>
  <w:style w:type="paragraph" w:styleId="Heading1">
    <w:name w:val="heading 1"/>
    <w:basedOn w:val="Normal"/>
    <w:next w:val="Normal"/>
    <w:link w:val="Heading1Char"/>
    <w:qFormat/>
    <w:rsid w:val="00EA1B1B"/>
    <w:pPr>
      <w:keepNext/>
      <w:outlineLvl w:val="0"/>
    </w:pPr>
    <w:rPr>
      <w:b/>
    </w:rPr>
  </w:style>
  <w:style w:type="paragraph" w:styleId="Heading2">
    <w:name w:val="heading 2"/>
    <w:basedOn w:val="Normal"/>
    <w:next w:val="Normal"/>
    <w:qFormat/>
    <w:rsid w:val="00EA1B1B"/>
    <w:pPr>
      <w:keepNext/>
      <w:spacing w:before="40"/>
      <w:outlineLvl w:val="1"/>
    </w:pPr>
    <w:rPr>
      <w:rFonts w:ascii="Century Schoolbook" w:hAnsi="Century Schoolbook"/>
      <w:smallCaps/>
      <w:sz w:val="28"/>
    </w:rPr>
  </w:style>
  <w:style w:type="paragraph" w:styleId="Heading3">
    <w:name w:val="heading 3"/>
    <w:basedOn w:val="Normal"/>
    <w:next w:val="Normal"/>
    <w:qFormat/>
    <w:rsid w:val="00EA1B1B"/>
    <w:pPr>
      <w:keepNext/>
      <w:spacing w:before="240" w:after="240"/>
      <w:outlineLvl w:val="2"/>
    </w:pPr>
    <w:rPr>
      <w:rFonts w:ascii="Arial" w:hAnsi="Arial"/>
      <w:b/>
    </w:rPr>
  </w:style>
  <w:style w:type="paragraph" w:styleId="Heading4">
    <w:name w:val="heading 4"/>
    <w:basedOn w:val="Normal"/>
    <w:next w:val="Normal"/>
    <w:qFormat/>
    <w:rsid w:val="00EA1B1B"/>
    <w:pPr>
      <w:keepNext/>
      <w:spacing w:before="120"/>
      <w:outlineLvl w:val="3"/>
    </w:pPr>
    <w:rPr>
      <w:rFonts w:ascii="Century Schoolbook" w:hAnsi="Century Schoolbook"/>
      <w:i/>
      <w:iCs/>
      <w:sz w:val="32"/>
    </w:rPr>
  </w:style>
  <w:style w:type="paragraph" w:styleId="Heading5">
    <w:name w:val="heading 5"/>
    <w:basedOn w:val="Normal"/>
    <w:next w:val="Normal"/>
    <w:link w:val="Heading5Char"/>
    <w:semiHidden/>
    <w:unhideWhenUsed/>
    <w:qFormat/>
    <w:rsid w:val="00722A4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A1B1B"/>
    <w:pPr>
      <w:ind w:left="360" w:hanging="360"/>
    </w:pPr>
    <w:rPr>
      <w:sz w:val="20"/>
    </w:rPr>
  </w:style>
  <w:style w:type="paragraph" w:styleId="BodyText">
    <w:name w:val="Body Text"/>
    <w:basedOn w:val="Normal"/>
    <w:rsid w:val="00EA1B1B"/>
    <w:rPr>
      <w:color w:val="000000"/>
    </w:rPr>
  </w:style>
  <w:style w:type="paragraph" w:styleId="BodyText2">
    <w:name w:val="Body Text 2"/>
    <w:basedOn w:val="Normal"/>
    <w:rsid w:val="00EA1B1B"/>
    <w:pPr>
      <w:ind w:right="264"/>
    </w:pPr>
    <w:rPr>
      <w:snapToGrid w:val="0"/>
    </w:rPr>
  </w:style>
  <w:style w:type="paragraph" w:styleId="Header">
    <w:name w:val="header"/>
    <w:basedOn w:val="Normal"/>
    <w:link w:val="HeaderChar"/>
    <w:rsid w:val="00EA1B1B"/>
    <w:pPr>
      <w:tabs>
        <w:tab w:val="center" w:pos="4320"/>
        <w:tab w:val="right" w:pos="8640"/>
      </w:tabs>
    </w:pPr>
  </w:style>
  <w:style w:type="paragraph" w:styleId="Footer">
    <w:name w:val="footer"/>
    <w:basedOn w:val="Normal"/>
    <w:rsid w:val="00EA1B1B"/>
    <w:pPr>
      <w:tabs>
        <w:tab w:val="center" w:pos="4320"/>
        <w:tab w:val="right" w:pos="8640"/>
      </w:tabs>
    </w:pPr>
  </w:style>
  <w:style w:type="paragraph" w:styleId="Title">
    <w:name w:val="Title"/>
    <w:basedOn w:val="Normal"/>
    <w:qFormat/>
    <w:rsid w:val="00EA1B1B"/>
    <w:pPr>
      <w:jc w:val="center"/>
    </w:pPr>
    <w:rPr>
      <w:b/>
    </w:rPr>
  </w:style>
  <w:style w:type="paragraph" w:styleId="BodyTextIndent">
    <w:name w:val="Body Text Indent"/>
    <w:basedOn w:val="Normal"/>
    <w:rsid w:val="00EA1B1B"/>
    <w:pPr>
      <w:ind w:left="720"/>
    </w:pPr>
    <w:rPr>
      <w:snapToGrid w:val="0"/>
    </w:rPr>
  </w:style>
  <w:style w:type="character" w:styleId="PageNumber">
    <w:name w:val="page number"/>
    <w:basedOn w:val="DefaultParagraphFont"/>
    <w:rsid w:val="00EA1B1B"/>
  </w:style>
  <w:style w:type="character" w:styleId="Hyperlink">
    <w:name w:val="Hyperlink"/>
    <w:basedOn w:val="DefaultParagraphFont"/>
    <w:rsid w:val="00EA1B1B"/>
    <w:rPr>
      <w:color w:val="0000FF"/>
      <w:u w:val="single"/>
    </w:rPr>
  </w:style>
  <w:style w:type="paragraph" w:styleId="BalloonText">
    <w:name w:val="Balloon Text"/>
    <w:basedOn w:val="Normal"/>
    <w:semiHidden/>
    <w:rsid w:val="005172E2"/>
    <w:rPr>
      <w:rFonts w:ascii="Tahoma" w:hAnsi="Tahoma" w:cs="Tahoma"/>
      <w:sz w:val="16"/>
      <w:szCs w:val="16"/>
    </w:rPr>
  </w:style>
  <w:style w:type="character" w:customStyle="1" w:styleId="Heading5Char">
    <w:name w:val="Heading 5 Char"/>
    <w:basedOn w:val="DefaultParagraphFont"/>
    <w:link w:val="Heading5"/>
    <w:semiHidden/>
    <w:rsid w:val="00722A48"/>
    <w:rPr>
      <w:rFonts w:ascii="Calibri" w:eastAsia="Times New Roman" w:hAnsi="Calibri" w:cs="Times New Roman"/>
      <w:b/>
      <w:bCs/>
      <w:i/>
      <w:iCs/>
      <w:sz w:val="26"/>
      <w:szCs w:val="26"/>
    </w:rPr>
  </w:style>
  <w:style w:type="paragraph" w:styleId="BodyText3">
    <w:name w:val="Body Text 3"/>
    <w:basedOn w:val="Normal"/>
    <w:link w:val="BodyText3Char"/>
    <w:rsid w:val="00722A48"/>
    <w:pPr>
      <w:spacing w:after="120"/>
    </w:pPr>
    <w:rPr>
      <w:sz w:val="16"/>
      <w:szCs w:val="16"/>
    </w:rPr>
  </w:style>
  <w:style w:type="character" w:customStyle="1" w:styleId="BodyText3Char">
    <w:name w:val="Body Text 3 Char"/>
    <w:basedOn w:val="DefaultParagraphFont"/>
    <w:link w:val="BodyText3"/>
    <w:rsid w:val="00722A48"/>
    <w:rPr>
      <w:sz w:val="16"/>
      <w:szCs w:val="16"/>
    </w:rPr>
  </w:style>
  <w:style w:type="paragraph" w:styleId="Subtitle">
    <w:name w:val="Subtitle"/>
    <w:basedOn w:val="Normal"/>
    <w:link w:val="SubtitleChar"/>
    <w:qFormat/>
    <w:rsid w:val="009E09CB"/>
    <w:pPr>
      <w:jc w:val="center"/>
    </w:pPr>
    <w:rPr>
      <w:b/>
      <w:sz w:val="24"/>
    </w:rPr>
  </w:style>
  <w:style w:type="character" w:customStyle="1" w:styleId="SubtitleChar">
    <w:name w:val="Subtitle Char"/>
    <w:basedOn w:val="DefaultParagraphFont"/>
    <w:link w:val="Subtitle"/>
    <w:rsid w:val="009E09CB"/>
    <w:rPr>
      <w:b/>
      <w:sz w:val="24"/>
    </w:rPr>
  </w:style>
  <w:style w:type="table" w:styleId="TableGrid">
    <w:name w:val="Table Grid"/>
    <w:basedOn w:val="TableNormal"/>
    <w:rsid w:val="00602D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602D18"/>
    <w:rPr>
      <w:sz w:val="22"/>
    </w:rPr>
  </w:style>
  <w:style w:type="character" w:customStyle="1" w:styleId="Heading1Char">
    <w:name w:val="Heading 1 Char"/>
    <w:basedOn w:val="DefaultParagraphFont"/>
    <w:link w:val="Heading1"/>
    <w:rsid w:val="006733FE"/>
    <w:rPr>
      <w:b/>
      <w:sz w:val="22"/>
    </w:rPr>
  </w:style>
  <w:style w:type="paragraph" w:styleId="BlockText">
    <w:name w:val="Block Text"/>
    <w:basedOn w:val="Normal"/>
    <w:rsid w:val="006733FE"/>
    <w:pPr>
      <w:ind w:left="720" w:right="720"/>
    </w:pPr>
  </w:style>
  <w:style w:type="paragraph" w:styleId="NoSpacing">
    <w:name w:val="No Spacing"/>
    <w:uiPriority w:val="1"/>
    <w:qFormat/>
    <w:rsid w:val="005C14CF"/>
    <w:rPr>
      <w:rFonts w:ascii="Calibri" w:eastAsia="Calibri" w:hAnsi="Calibri"/>
      <w:sz w:val="22"/>
      <w:szCs w:val="22"/>
    </w:rPr>
  </w:style>
  <w:style w:type="paragraph" w:styleId="FootnoteText">
    <w:name w:val="footnote text"/>
    <w:basedOn w:val="Normal"/>
    <w:link w:val="FootnoteTextChar"/>
    <w:uiPriority w:val="99"/>
    <w:semiHidden/>
    <w:unhideWhenUsed/>
    <w:rsid w:val="00D4559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D4559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45593"/>
    <w:rPr>
      <w:vertAlign w:val="superscript"/>
    </w:rPr>
  </w:style>
  <w:style w:type="character" w:styleId="UnresolvedMention">
    <w:name w:val="Unresolved Mention"/>
    <w:basedOn w:val="DefaultParagraphFont"/>
    <w:uiPriority w:val="99"/>
    <w:semiHidden/>
    <w:unhideWhenUsed/>
    <w:rsid w:val="00D4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787">
      <w:bodyDiv w:val="1"/>
      <w:marLeft w:val="0"/>
      <w:marRight w:val="0"/>
      <w:marTop w:val="0"/>
      <w:marBottom w:val="0"/>
      <w:divBdr>
        <w:top w:val="none" w:sz="0" w:space="0" w:color="auto"/>
        <w:left w:val="none" w:sz="0" w:space="0" w:color="auto"/>
        <w:bottom w:val="none" w:sz="0" w:space="0" w:color="auto"/>
        <w:right w:val="none" w:sz="0" w:space="0" w:color="auto"/>
      </w:divBdr>
    </w:div>
    <w:div w:id="408892253">
      <w:bodyDiv w:val="1"/>
      <w:marLeft w:val="0"/>
      <w:marRight w:val="0"/>
      <w:marTop w:val="0"/>
      <w:marBottom w:val="0"/>
      <w:divBdr>
        <w:top w:val="none" w:sz="0" w:space="0" w:color="auto"/>
        <w:left w:val="none" w:sz="0" w:space="0" w:color="auto"/>
        <w:bottom w:val="none" w:sz="0" w:space="0" w:color="auto"/>
        <w:right w:val="none" w:sz="0" w:space="0" w:color="auto"/>
      </w:divBdr>
    </w:div>
    <w:div w:id="547183086">
      <w:bodyDiv w:val="1"/>
      <w:marLeft w:val="0"/>
      <w:marRight w:val="0"/>
      <w:marTop w:val="0"/>
      <w:marBottom w:val="0"/>
      <w:divBdr>
        <w:top w:val="none" w:sz="0" w:space="0" w:color="auto"/>
        <w:left w:val="none" w:sz="0" w:space="0" w:color="auto"/>
        <w:bottom w:val="none" w:sz="0" w:space="0" w:color="auto"/>
        <w:right w:val="none" w:sz="0" w:space="0" w:color="auto"/>
      </w:divBdr>
    </w:div>
    <w:div w:id="1740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ley.Randle@mas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emf"/><Relationship Id="rId1" Type="http://schemas.openxmlformats.org/officeDocument/2006/relationships/image" Target="media/image2.emf"/><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Worcester Issues – BRP/CERO</vt:lpstr>
    </vt:vector>
  </TitlesOfParts>
  <Company>dep</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Issues – BRP/CERO</dc:title>
  <dc:creator>Richard LeBlanc</dc:creator>
  <cp:lastModifiedBy>Lebeaux, John (AGR)</cp:lastModifiedBy>
  <cp:revision>2</cp:revision>
  <cp:lastPrinted>2018-06-04T19:58:00Z</cp:lastPrinted>
  <dcterms:created xsi:type="dcterms:W3CDTF">2020-03-13T19:27:00Z</dcterms:created>
  <dcterms:modified xsi:type="dcterms:W3CDTF">2020-03-13T19:27:00Z</dcterms:modified>
</cp:coreProperties>
</file>