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9.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0.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1.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2.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13.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14.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15.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16.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17.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footer20.xml" ContentType="application/vnd.openxmlformats-officedocument.wordprocessingml.footer+xml"/>
  <Override PartName="/word/header5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629858" w14:textId="77777777" w:rsidR="00566E18" w:rsidRDefault="00E900A3" w:rsidP="00CA05F6">
      <w:r>
        <w:rPr>
          <w:noProof/>
        </w:rPr>
        <w:drawing>
          <wp:inline distT="0" distB="0" distL="0" distR="0" wp14:anchorId="787EBF15" wp14:editId="31756F0F">
            <wp:extent cx="1604542" cy="1635092"/>
            <wp:effectExtent l="0" t="0" r="0" b="3810"/>
            <wp:docPr id="3" name="Picture 3" descr="Image result for massachusetts department of public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assachusetts department of public healt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5847" cy="1636422"/>
                    </a:xfrm>
                    <a:prstGeom prst="rect">
                      <a:avLst/>
                    </a:prstGeom>
                    <a:noFill/>
                    <a:ln>
                      <a:noFill/>
                    </a:ln>
                  </pic:spPr>
                </pic:pic>
              </a:graphicData>
            </a:graphic>
          </wp:inline>
        </w:drawing>
      </w:r>
    </w:p>
    <w:p w14:paraId="077B549E" w14:textId="77777777" w:rsidR="003A5213" w:rsidRDefault="003A5213" w:rsidP="003A5213">
      <w:pPr>
        <w:jc w:val="right"/>
      </w:pPr>
    </w:p>
    <w:p w14:paraId="20B09D9B" w14:textId="77777777" w:rsidR="00CA05F6" w:rsidRPr="00CA05F6" w:rsidRDefault="00CA05F6" w:rsidP="00CA05F6">
      <w:pPr>
        <w:spacing w:after="0" w:line="0" w:lineRule="atLeast"/>
        <w:rPr>
          <w:rFonts w:ascii="Franklin Gothic Medium Cond" w:eastAsia="Franklin Gothic Medium Cond" w:hAnsi="Franklin Gothic Medium Cond" w:cs="Arial"/>
          <w:color w:val="E36C0A"/>
          <w:sz w:val="28"/>
          <w:szCs w:val="20"/>
        </w:rPr>
      </w:pPr>
      <w:r w:rsidRPr="00CA05F6">
        <w:rPr>
          <w:rFonts w:ascii="Franklin Gothic Medium Cond" w:eastAsia="Franklin Gothic Medium Cond" w:hAnsi="Franklin Gothic Medium Cond" w:cs="Arial"/>
          <w:color w:val="E36C0A"/>
          <w:sz w:val="28"/>
          <w:szCs w:val="20"/>
        </w:rPr>
        <w:t>MASSACHUSETTS DEPARTMENT OF PUBLIC HEALTH</w:t>
      </w:r>
    </w:p>
    <w:p w14:paraId="329B04B9" w14:textId="011102DC" w:rsidR="00CA05F6" w:rsidRPr="00CA05F6" w:rsidRDefault="00CA05F6" w:rsidP="00CA05F6">
      <w:pPr>
        <w:spacing w:after="0" w:line="20" w:lineRule="exact"/>
        <w:rPr>
          <w:rFonts w:ascii="Times New Roman" w:eastAsia="Times New Roman" w:hAnsi="Times New Roman" w:cs="Arial"/>
          <w:sz w:val="24"/>
          <w:szCs w:val="20"/>
        </w:rPr>
      </w:pPr>
      <w:r>
        <w:rPr>
          <w:rFonts w:ascii="Franklin Gothic Medium Cond" w:eastAsia="Franklin Gothic Medium Cond" w:hAnsi="Franklin Gothic Medium Cond" w:cs="Arial"/>
          <w:noProof/>
          <w:color w:val="E36C0A"/>
          <w:sz w:val="28"/>
          <w:szCs w:val="20"/>
        </w:rPr>
        <w:drawing>
          <wp:anchor distT="0" distB="0" distL="114300" distR="114300" simplePos="0" relativeHeight="251679744" behindDoc="1" locked="0" layoutInCell="1" allowOverlap="1" wp14:anchorId="06EECE69" wp14:editId="2F76F13A">
            <wp:simplePos x="0" y="0"/>
            <wp:positionH relativeFrom="column">
              <wp:posOffset>-17145</wp:posOffset>
            </wp:positionH>
            <wp:positionV relativeFrom="paragraph">
              <wp:posOffset>128270</wp:posOffset>
            </wp:positionV>
            <wp:extent cx="5981065" cy="38100"/>
            <wp:effectExtent l="0" t="0" r="63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81065" cy="38100"/>
                    </a:xfrm>
                    <a:prstGeom prst="rect">
                      <a:avLst/>
                    </a:prstGeom>
                    <a:noFill/>
                  </pic:spPr>
                </pic:pic>
              </a:graphicData>
            </a:graphic>
            <wp14:sizeRelH relativeFrom="page">
              <wp14:pctWidth>0</wp14:pctWidth>
            </wp14:sizeRelH>
            <wp14:sizeRelV relativeFrom="page">
              <wp14:pctHeight>0</wp14:pctHeight>
            </wp14:sizeRelV>
          </wp:anchor>
        </w:drawing>
      </w:r>
    </w:p>
    <w:p w14:paraId="0010F6A4" w14:textId="77777777" w:rsidR="00CA05F6" w:rsidRPr="00CA05F6" w:rsidRDefault="00CA05F6" w:rsidP="00CA05F6">
      <w:pPr>
        <w:spacing w:after="0" w:line="196" w:lineRule="exact"/>
        <w:rPr>
          <w:rFonts w:ascii="Times New Roman" w:eastAsia="Times New Roman" w:hAnsi="Times New Roman" w:cs="Arial"/>
          <w:sz w:val="24"/>
          <w:szCs w:val="20"/>
        </w:rPr>
      </w:pPr>
    </w:p>
    <w:p w14:paraId="309F3011" w14:textId="16CE62A7" w:rsidR="00CA05F6" w:rsidRPr="00CA05F6" w:rsidRDefault="00CA05F6" w:rsidP="00CA05F6">
      <w:pPr>
        <w:spacing w:after="0" w:line="0" w:lineRule="atLeast"/>
        <w:rPr>
          <w:rFonts w:ascii="Franklin Gothic Medium Cond" w:eastAsia="Franklin Gothic Medium Cond" w:hAnsi="Franklin Gothic Medium Cond" w:cs="Arial"/>
          <w:b/>
          <w:sz w:val="56"/>
          <w:szCs w:val="20"/>
        </w:rPr>
      </w:pPr>
      <w:r>
        <w:rPr>
          <w:rFonts w:ascii="Franklin Gothic Medium Cond" w:eastAsia="Franklin Gothic Medium Cond" w:hAnsi="Franklin Gothic Medium Cond" w:cs="Arial"/>
          <w:b/>
          <w:sz w:val="56"/>
          <w:szCs w:val="20"/>
        </w:rPr>
        <w:t xml:space="preserve">Infectious Disease </w:t>
      </w:r>
      <w:r w:rsidR="00243E1B">
        <w:rPr>
          <w:rFonts w:ascii="Franklin Gothic Medium Cond" w:eastAsia="Franklin Gothic Medium Cond" w:hAnsi="Franklin Gothic Medium Cond" w:cs="Arial"/>
          <w:b/>
          <w:sz w:val="56"/>
          <w:szCs w:val="20"/>
        </w:rPr>
        <w:t xml:space="preserve">Emergency </w:t>
      </w:r>
      <w:r>
        <w:rPr>
          <w:rFonts w:ascii="Franklin Gothic Medium Cond" w:eastAsia="Franklin Gothic Medium Cond" w:hAnsi="Franklin Gothic Medium Cond" w:cs="Arial"/>
          <w:b/>
          <w:sz w:val="56"/>
          <w:szCs w:val="20"/>
        </w:rPr>
        <w:t>Response Plan</w:t>
      </w:r>
    </w:p>
    <w:p w14:paraId="6603CE25" w14:textId="1972339E" w:rsidR="00CA05F6" w:rsidRPr="00CA05F6" w:rsidRDefault="00CA05F6" w:rsidP="00CA05F6">
      <w:pPr>
        <w:spacing w:after="0" w:line="20" w:lineRule="exact"/>
        <w:rPr>
          <w:rFonts w:ascii="Times New Roman" w:eastAsia="Times New Roman" w:hAnsi="Times New Roman" w:cs="Arial"/>
          <w:sz w:val="24"/>
          <w:szCs w:val="20"/>
        </w:rPr>
      </w:pPr>
      <w:r>
        <w:rPr>
          <w:rFonts w:ascii="Franklin Gothic Medium Cond" w:eastAsia="Franklin Gothic Medium Cond" w:hAnsi="Franklin Gothic Medium Cond" w:cs="Arial"/>
          <w:b/>
          <w:noProof/>
          <w:sz w:val="56"/>
          <w:szCs w:val="20"/>
        </w:rPr>
        <w:drawing>
          <wp:anchor distT="0" distB="0" distL="114300" distR="114300" simplePos="0" relativeHeight="251680768" behindDoc="1" locked="0" layoutInCell="1" allowOverlap="1" wp14:anchorId="12715402" wp14:editId="32AC5CD5">
            <wp:simplePos x="0" y="0"/>
            <wp:positionH relativeFrom="column">
              <wp:posOffset>-17145</wp:posOffset>
            </wp:positionH>
            <wp:positionV relativeFrom="paragraph">
              <wp:posOffset>103505</wp:posOffset>
            </wp:positionV>
            <wp:extent cx="5981065" cy="38100"/>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81065" cy="38100"/>
                    </a:xfrm>
                    <a:prstGeom prst="rect">
                      <a:avLst/>
                    </a:prstGeom>
                    <a:noFill/>
                  </pic:spPr>
                </pic:pic>
              </a:graphicData>
            </a:graphic>
            <wp14:sizeRelH relativeFrom="page">
              <wp14:pctWidth>0</wp14:pctWidth>
            </wp14:sizeRelH>
            <wp14:sizeRelV relativeFrom="page">
              <wp14:pctHeight>0</wp14:pctHeight>
            </wp14:sizeRelV>
          </wp:anchor>
        </w:drawing>
      </w:r>
    </w:p>
    <w:p w14:paraId="3B0856B4" w14:textId="77777777" w:rsidR="00CA05F6" w:rsidRPr="00CA05F6" w:rsidRDefault="00CA05F6" w:rsidP="00CA05F6">
      <w:pPr>
        <w:spacing w:after="0" w:line="200" w:lineRule="exact"/>
        <w:rPr>
          <w:rFonts w:ascii="Times New Roman" w:eastAsia="Times New Roman" w:hAnsi="Times New Roman" w:cs="Arial"/>
          <w:sz w:val="24"/>
          <w:szCs w:val="20"/>
        </w:rPr>
      </w:pPr>
    </w:p>
    <w:p w14:paraId="49F31B7F" w14:textId="77777777" w:rsidR="00CA05F6" w:rsidRPr="00CA05F6" w:rsidRDefault="00CA05F6" w:rsidP="00CA05F6">
      <w:pPr>
        <w:spacing w:after="0" w:line="211" w:lineRule="exact"/>
        <w:rPr>
          <w:rFonts w:ascii="Times New Roman" w:eastAsia="Times New Roman" w:hAnsi="Times New Roman" w:cs="Arial"/>
          <w:sz w:val="24"/>
          <w:szCs w:val="20"/>
        </w:rPr>
      </w:pPr>
    </w:p>
    <w:p w14:paraId="0E72A464" w14:textId="5642C92B" w:rsidR="00CA05F6" w:rsidRPr="00CA05F6" w:rsidRDefault="007F0D5D" w:rsidP="00CA05F6">
      <w:pPr>
        <w:spacing w:after="0" w:line="0" w:lineRule="atLeast"/>
        <w:rPr>
          <w:rFonts w:ascii="Franklin Gothic Medium Cond" w:eastAsia="Franklin Gothic Medium Cond" w:hAnsi="Franklin Gothic Medium Cond" w:cs="Arial"/>
          <w:b/>
          <w:sz w:val="24"/>
          <w:szCs w:val="20"/>
        </w:rPr>
      </w:pPr>
      <w:r>
        <w:rPr>
          <w:rFonts w:ascii="Franklin Gothic Medium Cond" w:eastAsia="Franklin Gothic Medium Cond" w:hAnsi="Franklin Gothic Medium Cond" w:cs="Arial"/>
          <w:b/>
          <w:sz w:val="24"/>
          <w:szCs w:val="20"/>
        </w:rPr>
        <w:t xml:space="preserve">February </w:t>
      </w:r>
      <w:r w:rsidR="00061A35">
        <w:rPr>
          <w:rFonts w:ascii="Franklin Gothic Medium Cond" w:eastAsia="Franklin Gothic Medium Cond" w:hAnsi="Franklin Gothic Medium Cond" w:cs="Arial"/>
          <w:b/>
          <w:sz w:val="24"/>
          <w:szCs w:val="20"/>
        </w:rPr>
        <w:t>2020</w:t>
      </w:r>
    </w:p>
    <w:p w14:paraId="68DA9588" w14:textId="77777777" w:rsidR="00CA05F6" w:rsidRPr="00CA05F6" w:rsidRDefault="00CA05F6" w:rsidP="00CA05F6">
      <w:pPr>
        <w:spacing w:after="0" w:line="0" w:lineRule="atLeast"/>
        <w:rPr>
          <w:rFonts w:ascii="Franklin Gothic Medium Cond" w:eastAsia="Franklin Gothic Medium Cond" w:hAnsi="Franklin Gothic Medium Cond" w:cs="Arial"/>
          <w:b/>
          <w:sz w:val="24"/>
          <w:szCs w:val="20"/>
        </w:rPr>
      </w:pPr>
    </w:p>
    <w:p w14:paraId="24A75E6C" w14:textId="5795809D" w:rsidR="00CA05F6" w:rsidRPr="00CA05F6" w:rsidRDefault="00CA05F6" w:rsidP="00CA05F6">
      <w:pPr>
        <w:spacing w:after="0" w:line="0" w:lineRule="atLeast"/>
        <w:rPr>
          <w:rFonts w:ascii="Franklin Gothic Medium Cond" w:eastAsia="Franklin Gothic Medium Cond" w:hAnsi="Franklin Gothic Medium Cond" w:cs="Arial"/>
          <w:b/>
          <w:sz w:val="24"/>
          <w:szCs w:val="20"/>
        </w:rPr>
      </w:pPr>
      <w:r>
        <w:rPr>
          <w:rFonts w:ascii="Franklin Gothic Medium Cond" w:eastAsia="Franklin Gothic Medium Cond" w:hAnsi="Franklin Gothic Medium Cond" w:cs="Arial"/>
          <w:b/>
          <w:sz w:val="24"/>
          <w:szCs w:val="20"/>
        </w:rPr>
        <w:t xml:space="preserve">Version </w:t>
      </w:r>
      <w:r w:rsidR="00061A35">
        <w:rPr>
          <w:rFonts w:ascii="Franklin Gothic Medium Cond" w:eastAsia="Franklin Gothic Medium Cond" w:hAnsi="Franklin Gothic Medium Cond" w:cs="Arial"/>
          <w:b/>
          <w:sz w:val="24"/>
          <w:szCs w:val="20"/>
        </w:rPr>
        <w:t>2.0</w:t>
      </w:r>
    </w:p>
    <w:p w14:paraId="18CCBA2E" w14:textId="77777777" w:rsidR="00686B1B" w:rsidRDefault="00686B1B" w:rsidP="003A5213">
      <w:pPr>
        <w:rPr>
          <w:rFonts w:ascii="Arial" w:hAnsi="Arial" w:cs="Arial"/>
          <w:sz w:val="48"/>
          <w:szCs w:val="48"/>
        </w:rPr>
      </w:pPr>
    </w:p>
    <w:p w14:paraId="325E3D2D" w14:textId="0E584F87" w:rsidR="00CA05F6" w:rsidRDefault="00CA05F6" w:rsidP="003A5213">
      <w:pPr>
        <w:rPr>
          <w:rFonts w:ascii="Arial" w:hAnsi="Arial" w:cs="Arial"/>
          <w:sz w:val="48"/>
          <w:szCs w:val="48"/>
        </w:rPr>
      </w:pPr>
      <w:r>
        <w:rPr>
          <w:rFonts w:ascii="Arial" w:hAnsi="Arial" w:cs="Arial"/>
          <w:noProof/>
          <w:sz w:val="48"/>
          <w:szCs w:val="48"/>
        </w:rPr>
        <w:drawing>
          <wp:inline distT="0" distB="0" distL="0" distR="0" wp14:anchorId="30DB1EC4" wp14:editId="6E15CF48">
            <wp:extent cx="1716657" cy="124220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b person.jpg"/>
                    <pic:cNvPicPr/>
                  </pic:nvPicPr>
                  <pic:blipFill>
                    <a:blip r:embed="rId11">
                      <a:extLst>
                        <a:ext uri="{28A0092B-C50C-407E-A947-70E740481C1C}">
                          <a14:useLocalDpi xmlns:a14="http://schemas.microsoft.com/office/drawing/2010/main" val="0"/>
                        </a:ext>
                      </a:extLst>
                    </a:blip>
                    <a:stretch>
                      <a:fillRect/>
                    </a:stretch>
                  </pic:blipFill>
                  <pic:spPr>
                    <a:xfrm>
                      <a:off x="0" y="0"/>
                      <a:ext cx="1725054" cy="1248280"/>
                    </a:xfrm>
                    <a:prstGeom prst="rect">
                      <a:avLst/>
                    </a:prstGeom>
                  </pic:spPr>
                </pic:pic>
              </a:graphicData>
            </a:graphic>
          </wp:inline>
        </w:drawing>
      </w:r>
      <w:r w:rsidR="004279FC">
        <w:rPr>
          <w:rFonts w:ascii="Arial" w:hAnsi="Arial" w:cs="Arial"/>
          <w:sz w:val="48"/>
          <w:szCs w:val="48"/>
        </w:rPr>
        <w:t xml:space="preserve">   </w:t>
      </w:r>
      <w:r w:rsidR="003D3067">
        <w:rPr>
          <w:rFonts w:ascii="Arial" w:hAnsi="Arial" w:cs="Arial"/>
          <w:noProof/>
          <w:sz w:val="48"/>
          <w:szCs w:val="48"/>
        </w:rPr>
        <w:drawing>
          <wp:inline distT="0" distB="0" distL="0" distR="0" wp14:anchorId="6CEFA6B0" wp14:editId="546CCBB6">
            <wp:extent cx="1832901" cy="124220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imson contaigion map.png"/>
                    <pic:cNvPicPr/>
                  </pic:nvPicPr>
                  <pic:blipFill>
                    <a:blip r:embed="rId12">
                      <a:extLst>
                        <a:ext uri="{28A0092B-C50C-407E-A947-70E740481C1C}">
                          <a14:useLocalDpi xmlns:a14="http://schemas.microsoft.com/office/drawing/2010/main" val="0"/>
                        </a:ext>
                      </a:extLst>
                    </a:blip>
                    <a:stretch>
                      <a:fillRect/>
                    </a:stretch>
                  </pic:blipFill>
                  <pic:spPr>
                    <a:xfrm>
                      <a:off x="0" y="0"/>
                      <a:ext cx="1837334" cy="1245208"/>
                    </a:xfrm>
                    <a:prstGeom prst="rect">
                      <a:avLst/>
                    </a:prstGeom>
                  </pic:spPr>
                </pic:pic>
              </a:graphicData>
            </a:graphic>
          </wp:inline>
        </w:drawing>
      </w:r>
      <w:r w:rsidR="004279FC">
        <w:rPr>
          <w:rFonts w:ascii="Arial" w:hAnsi="Arial" w:cs="Arial"/>
          <w:sz w:val="48"/>
          <w:szCs w:val="48"/>
        </w:rPr>
        <w:t xml:space="preserve">   </w:t>
      </w:r>
      <w:r w:rsidR="004279FC">
        <w:rPr>
          <w:rFonts w:ascii="Arial" w:hAnsi="Arial" w:cs="Arial"/>
          <w:noProof/>
          <w:sz w:val="48"/>
          <w:szCs w:val="48"/>
        </w:rPr>
        <w:drawing>
          <wp:inline distT="0" distB="0" distL="0" distR="0" wp14:anchorId="2C95666A" wp14:editId="1099872B">
            <wp:extent cx="1837141" cy="124220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ccine.jpg"/>
                    <pic:cNvPicPr/>
                  </pic:nvPicPr>
                  <pic:blipFill>
                    <a:blip r:embed="rId13">
                      <a:extLst>
                        <a:ext uri="{28A0092B-C50C-407E-A947-70E740481C1C}">
                          <a14:useLocalDpi xmlns:a14="http://schemas.microsoft.com/office/drawing/2010/main" val="0"/>
                        </a:ext>
                      </a:extLst>
                    </a:blip>
                    <a:stretch>
                      <a:fillRect/>
                    </a:stretch>
                  </pic:blipFill>
                  <pic:spPr>
                    <a:xfrm>
                      <a:off x="0" y="0"/>
                      <a:ext cx="1841118" cy="1244893"/>
                    </a:xfrm>
                    <a:prstGeom prst="rect">
                      <a:avLst/>
                    </a:prstGeom>
                  </pic:spPr>
                </pic:pic>
              </a:graphicData>
            </a:graphic>
          </wp:inline>
        </w:drawing>
      </w:r>
    </w:p>
    <w:p w14:paraId="420DF45B" w14:textId="77777777" w:rsidR="00152615" w:rsidRDefault="00152615" w:rsidP="003A5213">
      <w:pPr>
        <w:rPr>
          <w:rFonts w:ascii="Arial" w:hAnsi="Arial" w:cs="Arial"/>
          <w:i/>
          <w:color w:val="FF0000"/>
        </w:rPr>
      </w:pPr>
    </w:p>
    <w:p w14:paraId="2C640D58" w14:textId="77777777" w:rsidR="00152615" w:rsidRDefault="00152615" w:rsidP="003A5213">
      <w:pPr>
        <w:rPr>
          <w:rFonts w:ascii="Arial" w:hAnsi="Arial" w:cs="Arial"/>
          <w:i/>
          <w:color w:val="FF0000"/>
        </w:rPr>
      </w:pPr>
    </w:p>
    <w:p w14:paraId="1560B673" w14:textId="77777777" w:rsidR="00152615" w:rsidRDefault="00152615" w:rsidP="00D65C96">
      <w:pPr>
        <w:pStyle w:val="Heading1"/>
        <w:numPr>
          <w:ilvl w:val="0"/>
          <w:numId w:val="1"/>
        </w:numPr>
        <w:sectPr w:rsidR="00152615" w:rsidSect="007C153E">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cols w:space="720"/>
          <w:titlePg/>
          <w:docGrid w:linePitch="360"/>
        </w:sectPr>
      </w:pPr>
      <w:bookmarkStart w:id="0" w:name="_Toc482792813"/>
    </w:p>
    <w:p w14:paraId="3A440636" w14:textId="77777777" w:rsidR="00D65C96" w:rsidRDefault="003B0492" w:rsidP="005B6B4A">
      <w:pPr>
        <w:pStyle w:val="Heading1"/>
      </w:pPr>
      <w:bookmarkStart w:id="1" w:name="_Toc31622979"/>
      <w:r w:rsidRPr="00712F19">
        <w:lastRenderedPageBreak/>
        <w:t>Introductory Material</w:t>
      </w:r>
      <w:bookmarkEnd w:id="0"/>
      <w:bookmarkEnd w:id="1"/>
    </w:p>
    <w:p w14:paraId="4C10B60E" w14:textId="4CEDD7B7" w:rsidR="00A270C6" w:rsidRPr="00A270C6" w:rsidRDefault="00A270C6" w:rsidP="0014460F">
      <w:pPr>
        <w:pStyle w:val="Heading2"/>
        <w:numPr>
          <w:ilvl w:val="1"/>
          <w:numId w:val="76"/>
        </w:numPr>
      </w:pPr>
      <w:bookmarkStart w:id="2" w:name="_Toc505946941"/>
      <w:bookmarkStart w:id="3" w:name="_Toc31622980"/>
      <w:r w:rsidRPr="00A270C6">
        <w:t>Promulgation/Adoption</w:t>
      </w:r>
      <w:bookmarkEnd w:id="2"/>
      <w:bookmarkEnd w:id="3"/>
      <w:r w:rsidRPr="00A270C6">
        <w:t xml:space="preserve"> </w:t>
      </w:r>
    </w:p>
    <w:p w14:paraId="38251605" w14:textId="2410A32F" w:rsidR="00A270C6" w:rsidRPr="00A270C6" w:rsidRDefault="00A270C6" w:rsidP="0014460F">
      <w:pPr>
        <w:spacing w:after="240"/>
        <w:jc w:val="both"/>
        <w:rPr>
          <w:rFonts w:ascii="Calibri" w:eastAsia="Calibri" w:hAnsi="Calibri" w:cs="Times New Roman"/>
        </w:rPr>
      </w:pPr>
      <w:r w:rsidRPr="00A270C6">
        <w:rPr>
          <w:rFonts w:ascii="Calibri" w:eastAsia="Calibri" w:hAnsi="Calibri" w:cs="Times New Roman"/>
        </w:rPr>
        <w:t xml:space="preserve">The Massachusetts Department of Public Health (MDPH) </w:t>
      </w:r>
      <w:r w:rsidR="00F12C03">
        <w:rPr>
          <w:rFonts w:ascii="Calibri" w:eastAsia="Calibri" w:hAnsi="Calibri" w:cs="Times New Roman"/>
        </w:rPr>
        <w:t>Infectious Disease Emergency Response Plan (IDER)</w:t>
      </w:r>
      <w:r w:rsidRPr="00A270C6">
        <w:rPr>
          <w:rFonts w:ascii="Calibri" w:eastAsia="Calibri" w:hAnsi="Calibri" w:cs="Times New Roman"/>
        </w:rPr>
        <w:t xml:space="preserve"> is an Annex to the MDPH Emergency Operations Plan (EOP). It describes the roles and responsibilities of the MDPH in supporting </w:t>
      </w:r>
      <w:r w:rsidR="00F12C03">
        <w:rPr>
          <w:rFonts w:ascii="Calibri" w:eastAsia="Calibri" w:hAnsi="Calibri" w:cs="Times New Roman"/>
        </w:rPr>
        <w:t xml:space="preserve">response </w:t>
      </w:r>
      <w:r w:rsidRPr="00A270C6">
        <w:rPr>
          <w:rFonts w:ascii="Calibri" w:eastAsia="Calibri" w:hAnsi="Calibri" w:cs="Times New Roman"/>
        </w:rPr>
        <w:t xml:space="preserve">operations, and will be </w:t>
      </w:r>
      <w:r w:rsidR="00AB268B">
        <w:rPr>
          <w:rFonts w:ascii="Calibri" w:eastAsia="Calibri" w:hAnsi="Calibri" w:cs="Times New Roman"/>
        </w:rPr>
        <w:t xml:space="preserve">activated </w:t>
      </w:r>
      <w:r w:rsidR="00F12C03">
        <w:rPr>
          <w:rFonts w:ascii="Calibri" w:eastAsia="Calibri" w:hAnsi="Calibri" w:cs="Times New Roman"/>
        </w:rPr>
        <w:t>when an infectious disease, including a pandemic, affects the public health and safety of the Commonwealth.</w:t>
      </w:r>
    </w:p>
    <w:p w14:paraId="01CA9CFB" w14:textId="1D1049B3" w:rsidR="00A270C6" w:rsidRPr="00A270C6" w:rsidRDefault="00A270C6" w:rsidP="0014460F">
      <w:pPr>
        <w:spacing w:after="240"/>
        <w:jc w:val="both"/>
        <w:rPr>
          <w:rFonts w:ascii="Calibri" w:eastAsia="Calibri" w:hAnsi="Calibri" w:cs="Times New Roman"/>
        </w:rPr>
      </w:pPr>
      <w:r w:rsidRPr="00A270C6">
        <w:rPr>
          <w:rFonts w:ascii="Calibri" w:eastAsia="Calibri" w:hAnsi="Calibri" w:cs="Times New Roman"/>
        </w:rPr>
        <w:t>State statutes and regulations establish the roles and responsibilities of the MDPH in response to a disaster o</w:t>
      </w:r>
      <w:r w:rsidR="00F12C03">
        <w:rPr>
          <w:rFonts w:ascii="Calibri" w:eastAsia="Calibri" w:hAnsi="Calibri" w:cs="Times New Roman"/>
        </w:rPr>
        <w:t xml:space="preserve">r public health emergency. The IDER </w:t>
      </w:r>
      <w:r w:rsidRPr="00A270C6">
        <w:rPr>
          <w:rFonts w:ascii="Calibri" w:eastAsia="Calibri" w:hAnsi="Calibri" w:cs="Times New Roman"/>
        </w:rPr>
        <w:t xml:space="preserve">adheres to all applicable laws in order to maximize the efficiency of </w:t>
      </w:r>
      <w:r w:rsidR="00F12C03">
        <w:rPr>
          <w:rFonts w:ascii="Calibri" w:eastAsia="Calibri" w:hAnsi="Calibri" w:cs="Times New Roman"/>
        </w:rPr>
        <w:t>response</w:t>
      </w:r>
      <w:r w:rsidRPr="00A270C6">
        <w:rPr>
          <w:rFonts w:ascii="Calibri" w:eastAsia="Calibri" w:hAnsi="Calibri" w:cs="Times New Roman"/>
        </w:rPr>
        <w:t xml:space="preserve"> operations. Relevant statutes and authorities are cited in the EOP, Authorities and References.</w:t>
      </w:r>
    </w:p>
    <w:p w14:paraId="54F4F085" w14:textId="77777777" w:rsidR="00A270C6" w:rsidRPr="00A270C6" w:rsidRDefault="00A270C6" w:rsidP="0014460F">
      <w:pPr>
        <w:spacing w:after="240"/>
        <w:jc w:val="both"/>
        <w:rPr>
          <w:rFonts w:ascii="Calibri" w:eastAsia="Calibri" w:hAnsi="Calibri" w:cs="Times New Roman"/>
        </w:rPr>
      </w:pPr>
      <w:r w:rsidRPr="00A270C6">
        <w:rPr>
          <w:rFonts w:ascii="Calibri" w:eastAsia="Calibri" w:hAnsi="Calibri" w:cs="Times New Roman"/>
        </w:rPr>
        <w:t>This Annex is consistent with guidance provided by the United States Department of Health and Human Services (HHS), Centers for Disease Control and Prevention (CDC), and Office of the Assistant Secretary for Preparedness and Response (ASPR).</w:t>
      </w:r>
    </w:p>
    <w:p w14:paraId="53BC0605" w14:textId="778C33C6" w:rsidR="00A270C6" w:rsidRPr="00A270C6" w:rsidRDefault="00A270C6" w:rsidP="0014460F">
      <w:pPr>
        <w:pStyle w:val="Heading2"/>
        <w:numPr>
          <w:ilvl w:val="1"/>
          <w:numId w:val="76"/>
        </w:numPr>
      </w:pPr>
      <w:bookmarkStart w:id="4" w:name="_Toc505946942"/>
      <w:bookmarkStart w:id="5" w:name="_Toc31622981"/>
      <w:r w:rsidRPr="00A270C6">
        <w:t>Approval and Implementation</w:t>
      </w:r>
      <w:bookmarkEnd w:id="4"/>
      <w:bookmarkEnd w:id="5"/>
    </w:p>
    <w:p w14:paraId="6F3FC747" w14:textId="56CC002E" w:rsidR="00A270C6" w:rsidRPr="00A270C6" w:rsidRDefault="00A270C6" w:rsidP="0014460F">
      <w:pPr>
        <w:spacing w:after="240"/>
        <w:jc w:val="both"/>
        <w:rPr>
          <w:rFonts w:ascii="Calibri" w:eastAsia="Calibri" w:hAnsi="Calibri" w:cs="Times New Roman"/>
        </w:rPr>
      </w:pPr>
      <w:r w:rsidRPr="00A270C6">
        <w:rPr>
          <w:rFonts w:ascii="Calibri" w:eastAsia="Calibri" w:hAnsi="Calibri" w:cs="Times New Roman"/>
        </w:rPr>
        <w:t xml:space="preserve">The </w:t>
      </w:r>
      <w:r w:rsidR="00F12C03">
        <w:rPr>
          <w:rFonts w:ascii="Calibri" w:eastAsia="Calibri" w:hAnsi="Calibri" w:cs="Times New Roman"/>
        </w:rPr>
        <w:t>IDER</w:t>
      </w:r>
      <w:r w:rsidRPr="00A270C6">
        <w:rPr>
          <w:rFonts w:ascii="Calibri" w:eastAsia="Calibri" w:hAnsi="Calibri" w:cs="Times New Roman"/>
        </w:rPr>
        <w:t xml:space="preserve"> provides the MDPH’s operational framework for supporting the public health and health care systems’ ability to effectively </w:t>
      </w:r>
      <w:r w:rsidR="00F12C03">
        <w:rPr>
          <w:rFonts w:ascii="Calibri" w:eastAsia="Calibri" w:hAnsi="Calibri" w:cs="Times New Roman"/>
        </w:rPr>
        <w:t>prepare for and respond to infectious diseases that threaten the Commonwealth. This</w:t>
      </w:r>
      <w:r w:rsidRPr="00A270C6">
        <w:rPr>
          <w:rFonts w:ascii="Calibri" w:eastAsia="Calibri" w:hAnsi="Calibri" w:cs="Times New Roman"/>
        </w:rPr>
        <w:t xml:space="preserve"> </w:t>
      </w:r>
      <w:r w:rsidR="00F12C03">
        <w:rPr>
          <w:rFonts w:ascii="Calibri" w:eastAsia="Calibri" w:hAnsi="Calibri" w:cs="Times New Roman"/>
        </w:rPr>
        <w:t xml:space="preserve">Plan </w:t>
      </w:r>
      <w:r w:rsidRPr="00A270C6">
        <w:rPr>
          <w:rFonts w:ascii="Calibri" w:eastAsia="Calibri" w:hAnsi="Calibri" w:cs="Times New Roman"/>
        </w:rPr>
        <w:t xml:space="preserve">will be revised and updated as described in the EOP, Plan Development and Maintenance. </w:t>
      </w:r>
    </w:p>
    <w:p w14:paraId="7CCCEA59" w14:textId="2B1DE9F9" w:rsidR="00A270C6" w:rsidRPr="00A270C6" w:rsidRDefault="00A270C6" w:rsidP="0014460F">
      <w:pPr>
        <w:spacing w:after="240"/>
        <w:jc w:val="both"/>
        <w:rPr>
          <w:rFonts w:ascii="Calibri" w:eastAsia="Calibri" w:hAnsi="Calibri" w:cs="Times New Roman"/>
        </w:rPr>
      </w:pPr>
      <w:r w:rsidRPr="00A270C6">
        <w:rPr>
          <w:rFonts w:ascii="Calibri" w:eastAsia="Calibri" w:hAnsi="Calibri" w:cs="Times New Roman"/>
        </w:rPr>
        <w:t xml:space="preserve">This </w:t>
      </w:r>
      <w:r w:rsidR="00F12C03">
        <w:rPr>
          <w:rFonts w:ascii="Calibri" w:eastAsia="Calibri" w:hAnsi="Calibri" w:cs="Times New Roman"/>
        </w:rPr>
        <w:t>Plan</w:t>
      </w:r>
      <w:r w:rsidRPr="00A270C6">
        <w:rPr>
          <w:rFonts w:ascii="Calibri" w:eastAsia="Calibri" w:hAnsi="Calibri" w:cs="Times New Roman"/>
        </w:rPr>
        <w:t xml:space="preserve"> may be implemented as a stand-alone plan or in coordination with the </w:t>
      </w:r>
      <w:r w:rsidR="00F12C03">
        <w:rPr>
          <w:rFonts w:ascii="Calibri" w:eastAsia="Calibri" w:hAnsi="Calibri" w:cs="Times New Roman"/>
        </w:rPr>
        <w:t xml:space="preserve">MDPH </w:t>
      </w:r>
      <w:r w:rsidRPr="00A270C6">
        <w:rPr>
          <w:rFonts w:ascii="Calibri" w:eastAsia="Calibri" w:hAnsi="Calibri" w:cs="Times New Roman"/>
        </w:rPr>
        <w:t>EOP</w:t>
      </w:r>
      <w:r w:rsidR="00F12C03">
        <w:rPr>
          <w:rFonts w:ascii="Calibri" w:eastAsia="Calibri" w:hAnsi="Calibri" w:cs="Times New Roman"/>
        </w:rPr>
        <w:t>.</w:t>
      </w:r>
      <w:r w:rsidRPr="00A270C6">
        <w:rPr>
          <w:rFonts w:ascii="Calibri" w:eastAsia="Calibri" w:hAnsi="Calibri" w:cs="Times New Roman"/>
        </w:rPr>
        <w:t xml:space="preserve"> </w:t>
      </w:r>
    </w:p>
    <w:p w14:paraId="5C474666" w14:textId="77777777" w:rsidR="00A270C6" w:rsidRPr="00A270C6" w:rsidRDefault="00A270C6" w:rsidP="0014460F">
      <w:pPr>
        <w:spacing w:after="240"/>
        <w:jc w:val="both"/>
        <w:rPr>
          <w:rFonts w:ascii="Calibri" w:eastAsia="Calibri" w:hAnsi="Calibri" w:cs="Times New Roman"/>
        </w:rPr>
      </w:pPr>
    </w:p>
    <w:p w14:paraId="3564B0D0" w14:textId="77777777" w:rsidR="00A270C6" w:rsidRPr="00A270C6" w:rsidRDefault="00A270C6" w:rsidP="0014460F">
      <w:pPr>
        <w:spacing w:after="240"/>
        <w:jc w:val="both"/>
        <w:rPr>
          <w:rFonts w:ascii="Calibri" w:eastAsia="Calibri" w:hAnsi="Calibri" w:cs="Times New Roman"/>
        </w:rPr>
      </w:pPr>
      <w:r w:rsidRPr="00A270C6">
        <w:rPr>
          <w:rFonts w:ascii="Calibri" w:eastAsia="Calibri" w:hAnsi="Calibri" w:cs="Times New Roman"/>
        </w:rPr>
        <w:t xml:space="preserve">Approved and adopted on this date _________________________________________ by:  </w:t>
      </w:r>
    </w:p>
    <w:p w14:paraId="72DFFBC5" w14:textId="77777777" w:rsidR="00A270C6" w:rsidRPr="00A270C6" w:rsidRDefault="00A270C6" w:rsidP="0014460F">
      <w:pPr>
        <w:spacing w:after="240"/>
        <w:jc w:val="both"/>
        <w:rPr>
          <w:rFonts w:ascii="Calibri" w:eastAsia="Calibri" w:hAnsi="Calibri" w:cs="Times New Roman"/>
        </w:rPr>
      </w:pPr>
    </w:p>
    <w:p w14:paraId="15CA971A" w14:textId="77777777" w:rsidR="00A270C6" w:rsidRPr="00A270C6" w:rsidRDefault="00A270C6" w:rsidP="00A270C6">
      <w:pPr>
        <w:spacing w:after="240"/>
        <w:rPr>
          <w:rFonts w:ascii="Calibri" w:eastAsia="Calibri" w:hAnsi="Calibri" w:cs="Times New Roman"/>
        </w:rPr>
      </w:pPr>
    </w:p>
    <w:p w14:paraId="18136E87" w14:textId="77777777" w:rsidR="00A270C6" w:rsidRPr="00A270C6" w:rsidRDefault="00A270C6" w:rsidP="00A270C6">
      <w:pPr>
        <w:spacing w:after="0"/>
        <w:rPr>
          <w:rFonts w:ascii="Calibri" w:eastAsia="Calibri" w:hAnsi="Calibri" w:cs="Times New Roman"/>
        </w:rPr>
      </w:pPr>
    </w:p>
    <w:p w14:paraId="3C83FFB8" w14:textId="77777777" w:rsidR="00A270C6" w:rsidRPr="00A270C6" w:rsidRDefault="00A270C6" w:rsidP="00A270C6">
      <w:pPr>
        <w:spacing w:after="0"/>
        <w:rPr>
          <w:rFonts w:ascii="Calibri" w:eastAsia="Calibri" w:hAnsi="Calibri" w:cs="Times New Roman"/>
        </w:rPr>
      </w:pPr>
      <w:r w:rsidRPr="00A270C6">
        <w:rPr>
          <w:rFonts w:ascii="Calibri" w:eastAsia="Calibri" w:hAnsi="Calibri" w:cs="Times New Roman"/>
        </w:rPr>
        <w:t>____________________________________</w:t>
      </w:r>
    </w:p>
    <w:p w14:paraId="2EF6050B" w14:textId="77777777" w:rsidR="00A270C6" w:rsidRPr="00A270C6" w:rsidRDefault="00A270C6" w:rsidP="00A270C6">
      <w:pPr>
        <w:spacing w:after="0"/>
        <w:rPr>
          <w:rFonts w:ascii="Calibri" w:eastAsia="Calibri" w:hAnsi="Calibri" w:cs="Times New Roman"/>
        </w:rPr>
      </w:pPr>
      <w:r w:rsidRPr="00A270C6">
        <w:rPr>
          <w:rFonts w:ascii="Calibri" w:eastAsia="Calibri" w:hAnsi="Calibri" w:cs="Times New Roman"/>
        </w:rPr>
        <w:t>Monica Bharel, MD, MPH, Commissioner</w:t>
      </w:r>
    </w:p>
    <w:p w14:paraId="2F2C509D" w14:textId="77777777" w:rsidR="00A270C6" w:rsidRDefault="00A270C6" w:rsidP="00A270C6">
      <w:pPr>
        <w:spacing w:after="240"/>
        <w:rPr>
          <w:rFonts w:ascii="Calibri" w:eastAsia="Calibri" w:hAnsi="Calibri" w:cs="Times New Roman"/>
        </w:rPr>
      </w:pPr>
      <w:r w:rsidRPr="00A270C6">
        <w:rPr>
          <w:rFonts w:ascii="Calibri" w:eastAsia="Calibri" w:hAnsi="Calibri" w:cs="Times New Roman"/>
        </w:rPr>
        <w:t>Massachusetts Department of Public Health</w:t>
      </w:r>
    </w:p>
    <w:p w14:paraId="35A5D0B8" w14:textId="77777777" w:rsidR="00F12C03" w:rsidRDefault="00F12C03" w:rsidP="00A270C6">
      <w:pPr>
        <w:spacing w:after="240"/>
        <w:rPr>
          <w:rFonts w:ascii="Calibri" w:eastAsia="Calibri" w:hAnsi="Calibri" w:cs="Times New Roman"/>
        </w:rPr>
      </w:pPr>
    </w:p>
    <w:p w14:paraId="58AB2785" w14:textId="77777777" w:rsidR="00BC6A95" w:rsidRDefault="00BC6A95" w:rsidP="00A270C6">
      <w:pPr>
        <w:spacing w:after="240"/>
        <w:rPr>
          <w:rFonts w:ascii="Calibri" w:eastAsia="Calibri" w:hAnsi="Calibri" w:cs="Times New Roman"/>
        </w:rPr>
      </w:pPr>
    </w:p>
    <w:p w14:paraId="3917F09C" w14:textId="77777777" w:rsidR="00BC6A95" w:rsidRDefault="00BC6A95" w:rsidP="00A270C6">
      <w:pPr>
        <w:spacing w:after="240"/>
        <w:rPr>
          <w:rFonts w:ascii="Calibri" w:eastAsia="Calibri" w:hAnsi="Calibri" w:cs="Times New Roman"/>
        </w:rPr>
      </w:pPr>
    </w:p>
    <w:p w14:paraId="521D53CD" w14:textId="3BB942FB" w:rsidR="00A270C6" w:rsidRPr="00A270C6" w:rsidRDefault="00A270C6" w:rsidP="001C1C13">
      <w:pPr>
        <w:pStyle w:val="Heading2"/>
        <w:numPr>
          <w:ilvl w:val="1"/>
          <w:numId w:val="76"/>
        </w:numPr>
      </w:pPr>
      <w:bookmarkStart w:id="6" w:name="_Toc505946943"/>
      <w:bookmarkStart w:id="7" w:name="_Toc31622982"/>
      <w:r>
        <w:lastRenderedPageBreak/>
        <w:t>Re</w:t>
      </w:r>
      <w:r w:rsidRPr="00A270C6">
        <w:t>cord of Changes</w:t>
      </w:r>
      <w:bookmarkEnd w:id="6"/>
      <w:bookmarkEnd w:id="7"/>
      <w:r w:rsidRPr="00A270C6">
        <w:t xml:space="preserve"> </w:t>
      </w:r>
    </w:p>
    <w:tbl>
      <w:tblPr>
        <w:tblpPr w:leftFromText="180" w:rightFromText="180" w:vertAnchor="page" w:horzAnchor="margin" w:tblpY="235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044"/>
        <w:gridCol w:w="1890"/>
        <w:gridCol w:w="4680"/>
        <w:gridCol w:w="1998"/>
      </w:tblGrid>
      <w:tr w:rsidR="00A270C6" w:rsidRPr="00A270C6" w14:paraId="5EC48CC1" w14:textId="77777777" w:rsidTr="008463E9">
        <w:trPr>
          <w:trHeight w:val="243"/>
        </w:trPr>
        <w:tc>
          <w:tcPr>
            <w:tcW w:w="1044" w:type="dxa"/>
            <w:tcBorders>
              <w:top w:val="single" w:sz="8" w:space="0" w:color="auto"/>
              <w:left w:val="single" w:sz="8" w:space="0" w:color="auto"/>
              <w:bottom w:val="single" w:sz="8" w:space="0" w:color="auto"/>
              <w:right w:val="nil"/>
            </w:tcBorders>
            <w:shd w:val="clear" w:color="auto" w:fill="17365D"/>
            <w:tcMar>
              <w:top w:w="72" w:type="dxa"/>
              <w:left w:w="144" w:type="dxa"/>
              <w:bottom w:w="72" w:type="dxa"/>
              <w:right w:w="144" w:type="dxa"/>
            </w:tcMar>
            <w:vAlign w:val="center"/>
          </w:tcPr>
          <w:p w14:paraId="4A24C53A" w14:textId="77777777" w:rsidR="00A270C6" w:rsidRPr="00A270C6" w:rsidRDefault="00A270C6" w:rsidP="00A270C6">
            <w:pPr>
              <w:spacing w:after="0"/>
              <w:jc w:val="center"/>
              <w:rPr>
                <w:rFonts w:ascii="Calibri" w:eastAsia="Calibri" w:hAnsi="Calibri" w:cs="Times New Roman"/>
                <w:b/>
                <w:color w:val="F2F2F2"/>
              </w:rPr>
            </w:pPr>
            <w:r w:rsidRPr="00A270C6">
              <w:rPr>
                <w:rFonts w:ascii="Calibri" w:eastAsia="Calibri" w:hAnsi="Calibri" w:cs="Times New Roman"/>
                <w:b/>
                <w:color w:val="F2F2F2"/>
              </w:rPr>
              <w:t>Change Number</w:t>
            </w:r>
          </w:p>
        </w:tc>
        <w:tc>
          <w:tcPr>
            <w:tcW w:w="1890" w:type="dxa"/>
            <w:tcBorders>
              <w:top w:val="single" w:sz="8" w:space="0" w:color="auto"/>
              <w:left w:val="nil"/>
              <w:bottom w:val="single" w:sz="8" w:space="0" w:color="auto"/>
              <w:right w:val="nil"/>
            </w:tcBorders>
            <w:shd w:val="clear" w:color="auto" w:fill="17365D"/>
            <w:tcMar>
              <w:top w:w="72" w:type="dxa"/>
              <w:left w:w="144" w:type="dxa"/>
              <w:bottom w:w="72" w:type="dxa"/>
              <w:right w:w="144" w:type="dxa"/>
            </w:tcMar>
            <w:vAlign w:val="center"/>
          </w:tcPr>
          <w:p w14:paraId="7FAF0F2B" w14:textId="77777777" w:rsidR="00A270C6" w:rsidRPr="00A270C6" w:rsidRDefault="00A270C6" w:rsidP="00A270C6">
            <w:pPr>
              <w:spacing w:after="0"/>
              <w:jc w:val="center"/>
              <w:rPr>
                <w:rFonts w:ascii="Calibri" w:eastAsia="Calibri" w:hAnsi="Calibri" w:cs="Times New Roman"/>
                <w:b/>
                <w:color w:val="F2F2F2"/>
              </w:rPr>
            </w:pPr>
            <w:r w:rsidRPr="00A270C6">
              <w:rPr>
                <w:rFonts w:ascii="Calibri" w:eastAsia="Calibri" w:hAnsi="Calibri" w:cs="Times New Roman"/>
                <w:b/>
                <w:color w:val="F2F2F2"/>
              </w:rPr>
              <w:t>Date of Revisions</w:t>
            </w:r>
          </w:p>
        </w:tc>
        <w:tc>
          <w:tcPr>
            <w:tcW w:w="4680" w:type="dxa"/>
            <w:tcBorders>
              <w:top w:val="single" w:sz="8" w:space="0" w:color="auto"/>
              <w:left w:val="nil"/>
              <w:bottom w:val="single" w:sz="8" w:space="0" w:color="auto"/>
              <w:right w:val="nil"/>
            </w:tcBorders>
            <w:shd w:val="clear" w:color="auto" w:fill="17365D"/>
            <w:vAlign w:val="center"/>
          </w:tcPr>
          <w:p w14:paraId="79E5E14C" w14:textId="77777777" w:rsidR="00A270C6" w:rsidRPr="00A270C6" w:rsidRDefault="00A270C6" w:rsidP="00A270C6">
            <w:pPr>
              <w:spacing w:after="0"/>
              <w:jc w:val="center"/>
              <w:rPr>
                <w:rFonts w:ascii="Calibri" w:eastAsia="Calibri" w:hAnsi="Calibri" w:cs="Times New Roman"/>
                <w:b/>
                <w:color w:val="F2F2F2"/>
              </w:rPr>
            </w:pPr>
            <w:r w:rsidRPr="00A270C6">
              <w:rPr>
                <w:rFonts w:ascii="Calibri" w:eastAsia="Calibri" w:hAnsi="Calibri" w:cs="Times New Roman"/>
                <w:b/>
                <w:color w:val="F2F2F2"/>
              </w:rPr>
              <w:t>Subject Area and Summary of Change</w:t>
            </w:r>
          </w:p>
        </w:tc>
        <w:tc>
          <w:tcPr>
            <w:tcW w:w="1998" w:type="dxa"/>
            <w:tcBorders>
              <w:top w:val="single" w:sz="8" w:space="0" w:color="auto"/>
              <w:left w:val="nil"/>
              <w:bottom w:val="single" w:sz="8" w:space="0" w:color="auto"/>
              <w:right w:val="single" w:sz="8" w:space="0" w:color="auto"/>
            </w:tcBorders>
            <w:shd w:val="clear" w:color="auto" w:fill="17365D"/>
            <w:vAlign w:val="center"/>
          </w:tcPr>
          <w:p w14:paraId="03012A68" w14:textId="77777777" w:rsidR="00A270C6" w:rsidRPr="00A270C6" w:rsidRDefault="00A270C6" w:rsidP="00A270C6">
            <w:pPr>
              <w:spacing w:after="0"/>
              <w:jc w:val="center"/>
              <w:rPr>
                <w:rFonts w:ascii="Calibri" w:eastAsia="Calibri" w:hAnsi="Calibri" w:cs="Times New Roman"/>
                <w:b/>
                <w:color w:val="F2F2F2"/>
              </w:rPr>
            </w:pPr>
            <w:r w:rsidRPr="00A270C6">
              <w:rPr>
                <w:rFonts w:ascii="Calibri" w:eastAsia="Calibri" w:hAnsi="Calibri" w:cs="Times New Roman"/>
                <w:b/>
                <w:color w:val="F2F2F2"/>
              </w:rPr>
              <w:t>Name</w:t>
            </w:r>
          </w:p>
        </w:tc>
      </w:tr>
      <w:tr w:rsidR="00A270C6" w:rsidRPr="00A270C6" w14:paraId="74F2C17B" w14:textId="77777777" w:rsidTr="008463E9">
        <w:trPr>
          <w:trHeight w:val="14"/>
        </w:trPr>
        <w:tc>
          <w:tcPr>
            <w:tcW w:w="1044" w:type="dxa"/>
            <w:tcBorders>
              <w:top w:val="single" w:sz="8" w:space="0" w:color="auto"/>
            </w:tcBorders>
            <w:shd w:val="clear" w:color="auto" w:fill="auto"/>
            <w:tcMar>
              <w:top w:w="72" w:type="dxa"/>
              <w:left w:w="144" w:type="dxa"/>
              <w:bottom w:w="72" w:type="dxa"/>
              <w:right w:w="144" w:type="dxa"/>
            </w:tcMar>
          </w:tcPr>
          <w:p w14:paraId="3558B211" w14:textId="77777777" w:rsidR="00A270C6" w:rsidRPr="00A270C6" w:rsidRDefault="00A270C6" w:rsidP="00A270C6">
            <w:pPr>
              <w:spacing w:after="0" w:line="240" w:lineRule="auto"/>
              <w:jc w:val="center"/>
              <w:rPr>
                <w:rFonts w:ascii="Calibri" w:eastAsia="Calibri" w:hAnsi="Calibri" w:cs="Times New Roman"/>
                <w:color w:val="262626"/>
              </w:rPr>
            </w:pPr>
          </w:p>
        </w:tc>
        <w:tc>
          <w:tcPr>
            <w:tcW w:w="1890" w:type="dxa"/>
            <w:tcBorders>
              <w:top w:val="single" w:sz="8" w:space="0" w:color="auto"/>
            </w:tcBorders>
            <w:shd w:val="clear" w:color="auto" w:fill="auto"/>
            <w:tcMar>
              <w:top w:w="72" w:type="dxa"/>
              <w:left w:w="144" w:type="dxa"/>
              <w:bottom w:w="72" w:type="dxa"/>
              <w:right w:w="144" w:type="dxa"/>
            </w:tcMar>
          </w:tcPr>
          <w:p w14:paraId="26B3FA83" w14:textId="77777777" w:rsidR="00A270C6" w:rsidRPr="00A270C6" w:rsidRDefault="00A270C6" w:rsidP="00A270C6">
            <w:pPr>
              <w:spacing w:after="0" w:line="240" w:lineRule="auto"/>
              <w:rPr>
                <w:rFonts w:ascii="Times New Roman" w:eastAsia="Calibri" w:hAnsi="Times New Roman" w:cs="Times New Roman"/>
                <w:color w:val="262626"/>
                <w:sz w:val="24"/>
              </w:rPr>
            </w:pPr>
          </w:p>
        </w:tc>
        <w:tc>
          <w:tcPr>
            <w:tcW w:w="4680" w:type="dxa"/>
            <w:tcBorders>
              <w:top w:val="single" w:sz="8" w:space="0" w:color="auto"/>
            </w:tcBorders>
            <w:shd w:val="clear" w:color="auto" w:fill="auto"/>
          </w:tcPr>
          <w:p w14:paraId="619E403D" w14:textId="77777777" w:rsidR="00A270C6" w:rsidRPr="00A270C6" w:rsidRDefault="00A270C6" w:rsidP="00A270C6">
            <w:pPr>
              <w:spacing w:after="0" w:line="240" w:lineRule="auto"/>
              <w:rPr>
                <w:rFonts w:ascii="Times New Roman" w:eastAsia="Calibri" w:hAnsi="Times New Roman" w:cs="Times New Roman"/>
                <w:color w:val="262626"/>
                <w:sz w:val="24"/>
              </w:rPr>
            </w:pPr>
          </w:p>
        </w:tc>
        <w:tc>
          <w:tcPr>
            <w:tcW w:w="1998" w:type="dxa"/>
            <w:tcBorders>
              <w:top w:val="single" w:sz="8" w:space="0" w:color="auto"/>
            </w:tcBorders>
            <w:shd w:val="clear" w:color="auto" w:fill="auto"/>
          </w:tcPr>
          <w:p w14:paraId="0F135D66" w14:textId="77777777" w:rsidR="00A270C6" w:rsidRPr="00A270C6" w:rsidRDefault="00A270C6" w:rsidP="00A270C6">
            <w:pPr>
              <w:spacing w:after="0" w:line="240" w:lineRule="auto"/>
              <w:rPr>
                <w:rFonts w:ascii="Times New Roman" w:eastAsia="Calibri" w:hAnsi="Times New Roman" w:cs="Times New Roman"/>
                <w:color w:val="262626"/>
                <w:sz w:val="24"/>
              </w:rPr>
            </w:pPr>
          </w:p>
        </w:tc>
      </w:tr>
      <w:tr w:rsidR="00A270C6" w:rsidRPr="00A270C6" w14:paraId="700A96F6" w14:textId="77777777" w:rsidTr="008463E9">
        <w:tc>
          <w:tcPr>
            <w:tcW w:w="1044" w:type="dxa"/>
            <w:shd w:val="clear" w:color="auto" w:fill="auto"/>
            <w:tcMar>
              <w:top w:w="72" w:type="dxa"/>
              <w:left w:w="144" w:type="dxa"/>
              <w:bottom w:w="72" w:type="dxa"/>
              <w:right w:w="144" w:type="dxa"/>
            </w:tcMar>
          </w:tcPr>
          <w:p w14:paraId="1FF58B10" w14:textId="77777777" w:rsidR="00A270C6" w:rsidRPr="00A270C6" w:rsidRDefault="00A270C6" w:rsidP="00A270C6">
            <w:pPr>
              <w:spacing w:after="0" w:line="240" w:lineRule="auto"/>
              <w:jc w:val="center"/>
              <w:rPr>
                <w:rFonts w:ascii="Calibri" w:eastAsia="Calibri" w:hAnsi="Calibri" w:cs="Times New Roman"/>
                <w:color w:val="262626"/>
              </w:rPr>
            </w:pPr>
          </w:p>
        </w:tc>
        <w:tc>
          <w:tcPr>
            <w:tcW w:w="1890" w:type="dxa"/>
            <w:shd w:val="clear" w:color="auto" w:fill="auto"/>
            <w:tcMar>
              <w:top w:w="72" w:type="dxa"/>
              <w:left w:w="144" w:type="dxa"/>
              <w:bottom w:w="72" w:type="dxa"/>
              <w:right w:w="144" w:type="dxa"/>
            </w:tcMar>
          </w:tcPr>
          <w:p w14:paraId="29E4B690" w14:textId="77777777" w:rsidR="00A270C6" w:rsidRPr="00A270C6" w:rsidRDefault="00A270C6" w:rsidP="00A270C6">
            <w:pPr>
              <w:spacing w:after="0" w:line="240" w:lineRule="auto"/>
              <w:rPr>
                <w:rFonts w:ascii="Times New Roman" w:eastAsia="Calibri" w:hAnsi="Times New Roman" w:cs="Times New Roman"/>
                <w:color w:val="262626"/>
                <w:sz w:val="24"/>
              </w:rPr>
            </w:pPr>
          </w:p>
        </w:tc>
        <w:tc>
          <w:tcPr>
            <w:tcW w:w="4680" w:type="dxa"/>
            <w:shd w:val="clear" w:color="auto" w:fill="auto"/>
          </w:tcPr>
          <w:p w14:paraId="463C6C4F" w14:textId="77777777" w:rsidR="00A270C6" w:rsidRPr="00A270C6" w:rsidRDefault="00A270C6" w:rsidP="00A270C6">
            <w:pPr>
              <w:spacing w:after="0" w:line="240" w:lineRule="auto"/>
              <w:rPr>
                <w:rFonts w:ascii="Times New Roman" w:eastAsia="Calibri" w:hAnsi="Times New Roman" w:cs="Times New Roman"/>
                <w:color w:val="262626"/>
                <w:sz w:val="24"/>
              </w:rPr>
            </w:pPr>
          </w:p>
        </w:tc>
        <w:tc>
          <w:tcPr>
            <w:tcW w:w="1998" w:type="dxa"/>
            <w:shd w:val="clear" w:color="auto" w:fill="auto"/>
          </w:tcPr>
          <w:p w14:paraId="1713DCCE" w14:textId="77777777" w:rsidR="00A270C6" w:rsidRPr="00A270C6" w:rsidRDefault="00A270C6" w:rsidP="00A270C6">
            <w:pPr>
              <w:spacing w:after="0" w:line="240" w:lineRule="auto"/>
              <w:rPr>
                <w:rFonts w:ascii="Times New Roman" w:eastAsia="Calibri" w:hAnsi="Times New Roman" w:cs="Times New Roman"/>
                <w:color w:val="262626"/>
                <w:sz w:val="24"/>
              </w:rPr>
            </w:pPr>
          </w:p>
        </w:tc>
      </w:tr>
      <w:tr w:rsidR="00A270C6" w:rsidRPr="00A270C6" w14:paraId="04EDF17E" w14:textId="77777777" w:rsidTr="008463E9">
        <w:tc>
          <w:tcPr>
            <w:tcW w:w="1044" w:type="dxa"/>
            <w:shd w:val="clear" w:color="auto" w:fill="auto"/>
            <w:tcMar>
              <w:top w:w="72" w:type="dxa"/>
              <w:left w:w="144" w:type="dxa"/>
              <w:bottom w:w="72" w:type="dxa"/>
              <w:right w:w="144" w:type="dxa"/>
            </w:tcMar>
          </w:tcPr>
          <w:p w14:paraId="614E4A2F" w14:textId="77777777" w:rsidR="00A270C6" w:rsidRPr="00A270C6" w:rsidRDefault="00A270C6" w:rsidP="00A270C6">
            <w:pPr>
              <w:spacing w:after="0" w:line="240" w:lineRule="auto"/>
              <w:jc w:val="center"/>
              <w:rPr>
                <w:rFonts w:ascii="Calibri" w:eastAsia="Calibri" w:hAnsi="Calibri" w:cs="Times New Roman"/>
                <w:color w:val="262626"/>
              </w:rPr>
            </w:pPr>
          </w:p>
        </w:tc>
        <w:tc>
          <w:tcPr>
            <w:tcW w:w="1890" w:type="dxa"/>
            <w:shd w:val="clear" w:color="auto" w:fill="auto"/>
            <w:tcMar>
              <w:top w:w="72" w:type="dxa"/>
              <w:left w:w="144" w:type="dxa"/>
              <w:bottom w:w="72" w:type="dxa"/>
              <w:right w:w="144" w:type="dxa"/>
            </w:tcMar>
          </w:tcPr>
          <w:p w14:paraId="1380DFCB" w14:textId="77777777" w:rsidR="00A270C6" w:rsidRPr="00A270C6" w:rsidRDefault="00A270C6" w:rsidP="00A270C6">
            <w:pPr>
              <w:spacing w:after="0" w:line="240" w:lineRule="auto"/>
              <w:rPr>
                <w:rFonts w:ascii="Times New Roman" w:eastAsia="Calibri" w:hAnsi="Times New Roman" w:cs="Times New Roman"/>
                <w:color w:val="262626"/>
                <w:sz w:val="24"/>
              </w:rPr>
            </w:pPr>
          </w:p>
        </w:tc>
        <w:tc>
          <w:tcPr>
            <w:tcW w:w="4680" w:type="dxa"/>
            <w:shd w:val="clear" w:color="auto" w:fill="auto"/>
          </w:tcPr>
          <w:p w14:paraId="521625BE" w14:textId="77777777" w:rsidR="00A270C6" w:rsidRPr="00A270C6" w:rsidRDefault="00A270C6" w:rsidP="00A270C6">
            <w:pPr>
              <w:spacing w:after="0" w:line="240" w:lineRule="auto"/>
              <w:rPr>
                <w:rFonts w:ascii="Times New Roman" w:eastAsia="Calibri" w:hAnsi="Times New Roman" w:cs="Times New Roman"/>
                <w:color w:val="262626"/>
                <w:sz w:val="24"/>
              </w:rPr>
            </w:pPr>
          </w:p>
        </w:tc>
        <w:tc>
          <w:tcPr>
            <w:tcW w:w="1998" w:type="dxa"/>
            <w:shd w:val="clear" w:color="auto" w:fill="auto"/>
          </w:tcPr>
          <w:p w14:paraId="36B2D04D" w14:textId="77777777" w:rsidR="00A270C6" w:rsidRPr="00A270C6" w:rsidRDefault="00A270C6" w:rsidP="00A270C6">
            <w:pPr>
              <w:spacing w:after="0" w:line="240" w:lineRule="auto"/>
              <w:rPr>
                <w:rFonts w:ascii="Times New Roman" w:eastAsia="Calibri" w:hAnsi="Times New Roman" w:cs="Times New Roman"/>
                <w:color w:val="262626"/>
                <w:sz w:val="24"/>
              </w:rPr>
            </w:pPr>
          </w:p>
        </w:tc>
      </w:tr>
      <w:tr w:rsidR="00A270C6" w:rsidRPr="00A270C6" w14:paraId="6FB43256" w14:textId="77777777" w:rsidTr="008463E9">
        <w:tc>
          <w:tcPr>
            <w:tcW w:w="1044" w:type="dxa"/>
            <w:shd w:val="clear" w:color="auto" w:fill="auto"/>
            <w:tcMar>
              <w:top w:w="72" w:type="dxa"/>
              <w:left w:w="144" w:type="dxa"/>
              <w:bottom w:w="72" w:type="dxa"/>
              <w:right w:w="144" w:type="dxa"/>
            </w:tcMar>
          </w:tcPr>
          <w:p w14:paraId="3756283F" w14:textId="77777777" w:rsidR="00A270C6" w:rsidRPr="00A270C6" w:rsidRDefault="00A270C6" w:rsidP="00A270C6">
            <w:pPr>
              <w:spacing w:after="0" w:line="240" w:lineRule="auto"/>
              <w:jc w:val="center"/>
              <w:rPr>
                <w:rFonts w:ascii="Calibri" w:eastAsia="Calibri" w:hAnsi="Calibri" w:cs="Times New Roman"/>
                <w:color w:val="262626"/>
              </w:rPr>
            </w:pPr>
          </w:p>
        </w:tc>
        <w:tc>
          <w:tcPr>
            <w:tcW w:w="1890" w:type="dxa"/>
            <w:shd w:val="clear" w:color="auto" w:fill="auto"/>
            <w:tcMar>
              <w:top w:w="72" w:type="dxa"/>
              <w:left w:w="144" w:type="dxa"/>
              <w:bottom w:w="72" w:type="dxa"/>
              <w:right w:w="144" w:type="dxa"/>
            </w:tcMar>
          </w:tcPr>
          <w:p w14:paraId="7F52B892" w14:textId="77777777" w:rsidR="00A270C6" w:rsidRPr="00A270C6" w:rsidRDefault="00A270C6" w:rsidP="00A270C6">
            <w:pPr>
              <w:spacing w:after="0" w:line="240" w:lineRule="auto"/>
              <w:rPr>
                <w:rFonts w:ascii="Times New Roman" w:eastAsia="Calibri" w:hAnsi="Times New Roman" w:cs="Times New Roman"/>
                <w:color w:val="262626"/>
                <w:sz w:val="24"/>
              </w:rPr>
            </w:pPr>
          </w:p>
        </w:tc>
        <w:tc>
          <w:tcPr>
            <w:tcW w:w="4680" w:type="dxa"/>
            <w:shd w:val="clear" w:color="auto" w:fill="auto"/>
          </w:tcPr>
          <w:p w14:paraId="237FC861" w14:textId="77777777" w:rsidR="00A270C6" w:rsidRPr="00A270C6" w:rsidRDefault="00A270C6" w:rsidP="00A270C6">
            <w:pPr>
              <w:spacing w:after="0" w:line="240" w:lineRule="auto"/>
              <w:rPr>
                <w:rFonts w:ascii="Times New Roman" w:eastAsia="Calibri" w:hAnsi="Times New Roman" w:cs="Times New Roman"/>
                <w:color w:val="262626"/>
                <w:sz w:val="24"/>
              </w:rPr>
            </w:pPr>
          </w:p>
        </w:tc>
        <w:tc>
          <w:tcPr>
            <w:tcW w:w="1998" w:type="dxa"/>
            <w:shd w:val="clear" w:color="auto" w:fill="auto"/>
          </w:tcPr>
          <w:p w14:paraId="7836F725" w14:textId="77777777" w:rsidR="00A270C6" w:rsidRPr="00A270C6" w:rsidRDefault="00A270C6" w:rsidP="00A270C6">
            <w:pPr>
              <w:spacing w:after="0" w:line="240" w:lineRule="auto"/>
              <w:rPr>
                <w:rFonts w:ascii="Times New Roman" w:eastAsia="Calibri" w:hAnsi="Times New Roman" w:cs="Times New Roman"/>
                <w:color w:val="262626"/>
                <w:sz w:val="24"/>
              </w:rPr>
            </w:pPr>
          </w:p>
        </w:tc>
      </w:tr>
      <w:tr w:rsidR="00A270C6" w:rsidRPr="00A270C6" w14:paraId="619A6E34" w14:textId="77777777" w:rsidTr="008463E9">
        <w:tc>
          <w:tcPr>
            <w:tcW w:w="1044" w:type="dxa"/>
            <w:shd w:val="clear" w:color="auto" w:fill="auto"/>
            <w:tcMar>
              <w:top w:w="72" w:type="dxa"/>
              <w:left w:w="144" w:type="dxa"/>
              <w:bottom w:w="72" w:type="dxa"/>
              <w:right w:w="144" w:type="dxa"/>
            </w:tcMar>
          </w:tcPr>
          <w:p w14:paraId="6EFBFCA8" w14:textId="77777777" w:rsidR="00A270C6" w:rsidRPr="00A270C6" w:rsidRDefault="00A270C6" w:rsidP="00A270C6">
            <w:pPr>
              <w:spacing w:after="0" w:line="240" w:lineRule="auto"/>
              <w:jc w:val="center"/>
              <w:rPr>
                <w:rFonts w:ascii="Calibri" w:eastAsia="Calibri" w:hAnsi="Calibri" w:cs="Times New Roman"/>
                <w:color w:val="262626"/>
              </w:rPr>
            </w:pPr>
          </w:p>
        </w:tc>
        <w:tc>
          <w:tcPr>
            <w:tcW w:w="1890" w:type="dxa"/>
            <w:shd w:val="clear" w:color="auto" w:fill="auto"/>
            <w:tcMar>
              <w:top w:w="72" w:type="dxa"/>
              <w:left w:w="144" w:type="dxa"/>
              <w:bottom w:w="72" w:type="dxa"/>
              <w:right w:w="144" w:type="dxa"/>
            </w:tcMar>
          </w:tcPr>
          <w:p w14:paraId="5418BD21" w14:textId="77777777" w:rsidR="00A270C6" w:rsidRPr="00A270C6" w:rsidRDefault="00A270C6" w:rsidP="00A270C6">
            <w:pPr>
              <w:spacing w:after="0" w:line="240" w:lineRule="auto"/>
              <w:rPr>
                <w:rFonts w:ascii="Times New Roman" w:eastAsia="Calibri" w:hAnsi="Times New Roman" w:cs="Times New Roman"/>
                <w:color w:val="262626"/>
                <w:sz w:val="24"/>
              </w:rPr>
            </w:pPr>
          </w:p>
        </w:tc>
        <w:tc>
          <w:tcPr>
            <w:tcW w:w="4680" w:type="dxa"/>
            <w:shd w:val="clear" w:color="auto" w:fill="auto"/>
          </w:tcPr>
          <w:p w14:paraId="541C7DD1" w14:textId="77777777" w:rsidR="00A270C6" w:rsidRPr="00A270C6" w:rsidRDefault="00A270C6" w:rsidP="00A270C6">
            <w:pPr>
              <w:spacing w:after="0" w:line="240" w:lineRule="auto"/>
              <w:rPr>
                <w:rFonts w:ascii="Times New Roman" w:eastAsia="Calibri" w:hAnsi="Times New Roman" w:cs="Times New Roman"/>
                <w:color w:val="262626"/>
                <w:sz w:val="24"/>
              </w:rPr>
            </w:pPr>
          </w:p>
        </w:tc>
        <w:tc>
          <w:tcPr>
            <w:tcW w:w="1998" w:type="dxa"/>
            <w:shd w:val="clear" w:color="auto" w:fill="auto"/>
          </w:tcPr>
          <w:p w14:paraId="6413AB2B" w14:textId="77777777" w:rsidR="00A270C6" w:rsidRPr="00A270C6" w:rsidRDefault="00A270C6" w:rsidP="00A270C6">
            <w:pPr>
              <w:spacing w:after="0" w:line="240" w:lineRule="auto"/>
              <w:rPr>
                <w:rFonts w:ascii="Times New Roman" w:eastAsia="Calibri" w:hAnsi="Times New Roman" w:cs="Times New Roman"/>
                <w:color w:val="262626"/>
                <w:sz w:val="24"/>
              </w:rPr>
            </w:pPr>
          </w:p>
        </w:tc>
      </w:tr>
      <w:tr w:rsidR="00A270C6" w:rsidRPr="00A270C6" w14:paraId="03F2A777" w14:textId="77777777" w:rsidTr="008463E9">
        <w:trPr>
          <w:trHeight w:val="14"/>
        </w:trPr>
        <w:tc>
          <w:tcPr>
            <w:tcW w:w="1044" w:type="dxa"/>
            <w:shd w:val="clear" w:color="auto" w:fill="auto"/>
            <w:tcMar>
              <w:top w:w="72" w:type="dxa"/>
              <w:left w:w="144" w:type="dxa"/>
              <w:bottom w:w="72" w:type="dxa"/>
              <w:right w:w="144" w:type="dxa"/>
            </w:tcMar>
          </w:tcPr>
          <w:p w14:paraId="7C82BC12" w14:textId="77777777" w:rsidR="00A270C6" w:rsidRPr="00A270C6" w:rsidRDefault="00A270C6" w:rsidP="00A270C6">
            <w:pPr>
              <w:spacing w:after="0" w:line="240" w:lineRule="auto"/>
              <w:jc w:val="center"/>
              <w:rPr>
                <w:rFonts w:ascii="Calibri" w:eastAsia="Calibri" w:hAnsi="Calibri" w:cs="Times New Roman"/>
                <w:color w:val="262626"/>
              </w:rPr>
            </w:pPr>
          </w:p>
        </w:tc>
        <w:tc>
          <w:tcPr>
            <w:tcW w:w="1890" w:type="dxa"/>
            <w:shd w:val="clear" w:color="auto" w:fill="auto"/>
            <w:tcMar>
              <w:top w:w="72" w:type="dxa"/>
              <w:left w:w="144" w:type="dxa"/>
              <w:bottom w:w="72" w:type="dxa"/>
              <w:right w:w="144" w:type="dxa"/>
            </w:tcMar>
          </w:tcPr>
          <w:p w14:paraId="3E75F00E" w14:textId="77777777" w:rsidR="00A270C6" w:rsidRPr="00A270C6" w:rsidRDefault="00A270C6" w:rsidP="00A270C6">
            <w:pPr>
              <w:spacing w:after="0" w:line="240" w:lineRule="auto"/>
              <w:rPr>
                <w:rFonts w:ascii="Times New Roman" w:eastAsia="Calibri" w:hAnsi="Times New Roman" w:cs="Times New Roman"/>
                <w:color w:val="262626"/>
                <w:sz w:val="24"/>
              </w:rPr>
            </w:pPr>
          </w:p>
        </w:tc>
        <w:tc>
          <w:tcPr>
            <w:tcW w:w="4680" w:type="dxa"/>
            <w:shd w:val="clear" w:color="auto" w:fill="auto"/>
          </w:tcPr>
          <w:p w14:paraId="4D872A1E" w14:textId="77777777" w:rsidR="00A270C6" w:rsidRPr="00A270C6" w:rsidRDefault="00A270C6" w:rsidP="00A270C6">
            <w:pPr>
              <w:spacing w:after="0" w:line="240" w:lineRule="auto"/>
              <w:rPr>
                <w:rFonts w:ascii="Times New Roman" w:eastAsia="Calibri" w:hAnsi="Times New Roman" w:cs="Times New Roman"/>
                <w:color w:val="262626"/>
                <w:sz w:val="24"/>
              </w:rPr>
            </w:pPr>
          </w:p>
        </w:tc>
        <w:tc>
          <w:tcPr>
            <w:tcW w:w="1998" w:type="dxa"/>
            <w:shd w:val="clear" w:color="auto" w:fill="auto"/>
          </w:tcPr>
          <w:p w14:paraId="5567A35A" w14:textId="77777777" w:rsidR="00A270C6" w:rsidRPr="00A270C6" w:rsidRDefault="00A270C6" w:rsidP="00A270C6">
            <w:pPr>
              <w:spacing w:after="0" w:line="240" w:lineRule="auto"/>
              <w:rPr>
                <w:rFonts w:ascii="Times New Roman" w:eastAsia="Calibri" w:hAnsi="Times New Roman" w:cs="Times New Roman"/>
                <w:color w:val="262626"/>
                <w:sz w:val="24"/>
              </w:rPr>
            </w:pPr>
          </w:p>
        </w:tc>
      </w:tr>
      <w:tr w:rsidR="00A270C6" w:rsidRPr="00A270C6" w14:paraId="7B2E0689" w14:textId="77777777" w:rsidTr="008463E9">
        <w:trPr>
          <w:trHeight w:val="14"/>
        </w:trPr>
        <w:tc>
          <w:tcPr>
            <w:tcW w:w="1044" w:type="dxa"/>
            <w:shd w:val="clear" w:color="auto" w:fill="auto"/>
            <w:tcMar>
              <w:top w:w="72" w:type="dxa"/>
              <w:left w:w="144" w:type="dxa"/>
              <w:bottom w:w="72" w:type="dxa"/>
              <w:right w:w="144" w:type="dxa"/>
            </w:tcMar>
          </w:tcPr>
          <w:p w14:paraId="0F0F25B3" w14:textId="77777777" w:rsidR="00A270C6" w:rsidRPr="00A270C6" w:rsidRDefault="00A270C6" w:rsidP="00A270C6">
            <w:pPr>
              <w:spacing w:after="0" w:line="240" w:lineRule="auto"/>
              <w:jc w:val="center"/>
              <w:rPr>
                <w:rFonts w:ascii="Calibri" w:eastAsia="Calibri" w:hAnsi="Calibri" w:cs="Times New Roman"/>
                <w:color w:val="262626"/>
              </w:rPr>
            </w:pPr>
          </w:p>
        </w:tc>
        <w:tc>
          <w:tcPr>
            <w:tcW w:w="1890" w:type="dxa"/>
            <w:shd w:val="clear" w:color="auto" w:fill="auto"/>
            <w:tcMar>
              <w:top w:w="72" w:type="dxa"/>
              <w:left w:w="144" w:type="dxa"/>
              <w:bottom w:w="72" w:type="dxa"/>
              <w:right w:w="144" w:type="dxa"/>
            </w:tcMar>
          </w:tcPr>
          <w:p w14:paraId="5325F09C" w14:textId="77777777" w:rsidR="00A270C6" w:rsidRPr="00A270C6" w:rsidRDefault="00A270C6" w:rsidP="00A270C6">
            <w:pPr>
              <w:spacing w:after="0" w:line="240" w:lineRule="auto"/>
              <w:rPr>
                <w:rFonts w:ascii="Times New Roman" w:eastAsia="Calibri" w:hAnsi="Times New Roman" w:cs="Times New Roman"/>
                <w:color w:val="262626"/>
                <w:sz w:val="24"/>
              </w:rPr>
            </w:pPr>
          </w:p>
        </w:tc>
        <w:tc>
          <w:tcPr>
            <w:tcW w:w="4680" w:type="dxa"/>
            <w:shd w:val="clear" w:color="auto" w:fill="auto"/>
          </w:tcPr>
          <w:p w14:paraId="718C6D6E" w14:textId="77777777" w:rsidR="00A270C6" w:rsidRPr="00A270C6" w:rsidRDefault="00A270C6" w:rsidP="00A270C6">
            <w:pPr>
              <w:spacing w:after="0" w:line="240" w:lineRule="auto"/>
              <w:rPr>
                <w:rFonts w:ascii="Times New Roman" w:eastAsia="Calibri" w:hAnsi="Times New Roman" w:cs="Times New Roman"/>
                <w:color w:val="262626"/>
                <w:sz w:val="24"/>
              </w:rPr>
            </w:pPr>
          </w:p>
        </w:tc>
        <w:tc>
          <w:tcPr>
            <w:tcW w:w="1998" w:type="dxa"/>
            <w:shd w:val="clear" w:color="auto" w:fill="auto"/>
          </w:tcPr>
          <w:p w14:paraId="334F1038" w14:textId="77777777" w:rsidR="00A270C6" w:rsidRPr="00A270C6" w:rsidRDefault="00A270C6" w:rsidP="00A270C6">
            <w:pPr>
              <w:spacing w:after="0" w:line="240" w:lineRule="auto"/>
              <w:rPr>
                <w:rFonts w:ascii="Times New Roman" w:eastAsia="Calibri" w:hAnsi="Times New Roman" w:cs="Times New Roman"/>
                <w:color w:val="262626"/>
                <w:sz w:val="24"/>
              </w:rPr>
            </w:pPr>
          </w:p>
        </w:tc>
      </w:tr>
      <w:tr w:rsidR="00A270C6" w:rsidRPr="00A270C6" w14:paraId="739CF20E" w14:textId="77777777" w:rsidTr="008463E9">
        <w:trPr>
          <w:trHeight w:val="14"/>
        </w:trPr>
        <w:tc>
          <w:tcPr>
            <w:tcW w:w="1044" w:type="dxa"/>
            <w:shd w:val="clear" w:color="auto" w:fill="auto"/>
            <w:tcMar>
              <w:top w:w="72" w:type="dxa"/>
              <w:left w:w="144" w:type="dxa"/>
              <w:bottom w:w="72" w:type="dxa"/>
              <w:right w:w="144" w:type="dxa"/>
            </w:tcMar>
          </w:tcPr>
          <w:p w14:paraId="2FBDBFF0" w14:textId="77777777" w:rsidR="00A270C6" w:rsidRPr="00A270C6" w:rsidRDefault="00A270C6" w:rsidP="00A270C6">
            <w:pPr>
              <w:spacing w:after="0" w:line="240" w:lineRule="auto"/>
              <w:jc w:val="center"/>
              <w:rPr>
                <w:rFonts w:ascii="Calibri" w:eastAsia="Calibri" w:hAnsi="Calibri" w:cs="Times New Roman"/>
                <w:color w:val="262626"/>
              </w:rPr>
            </w:pPr>
          </w:p>
        </w:tc>
        <w:tc>
          <w:tcPr>
            <w:tcW w:w="1890" w:type="dxa"/>
            <w:shd w:val="clear" w:color="auto" w:fill="auto"/>
            <w:tcMar>
              <w:top w:w="72" w:type="dxa"/>
              <w:left w:w="144" w:type="dxa"/>
              <w:bottom w:w="72" w:type="dxa"/>
              <w:right w:w="144" w:type="dxa"/>
            </w:tcMar>
          </w:tcPr>
          <w:p w14:paraId="1D7931EE" w14:textId="77777777" w:rsidR="00A270C6" w:rsidRPr="00A270C6" w:rsidRDefault="00A270C6" w:rsidP="00A270C6">
            <w:pPr>
              <w:spacing w:after="0" w:line="240" w:lineRule="auto"/>
              <w:rPr>
                <w:rFonts w:ascii="Times New Roman" w:eastAsia="Calibri" w:hAnsi="Times New Roman" w:cs="Times New Roman"/>
                <w:color w:val="262626"/>
                <w:sz w:val="24"/>
              </w:rPr>
            </w:pPr>
          </w:p>
        </w:tc>
        <w:tc>
          <w:tcPr>
            <w:tcW w:w="4680" w:type="dxa"/>
            <w:shd w:val="clear" w:color="auto" w:fill="auto"/>
          </w:tcPr>
          <w:p w14:paraId="4D7D45D6" w14:textId="77777777" w:rsidR="00A270C6" w:rsidRPr="00A270C6" w:rsidRDefault="00A270C6" w:rsidP="00A270C6">
            <w:pPr>
              <w:spacing w:after="0" w:line="240" w:lineRule="auto"/>
              <w:rPr>
                <w:rFonts w:ascii="Times New Roman" w:eastAsia="Calibri" w:hAnsi="Times New Roman" w:cs="Times New Roman"/>
                <w:color w:val="262626"/>
                <w:sz w:val="24"/>
              </w:rPr>
            </w:pPr>
          </w:p>
        </w:tc>
        <w:tc>
          <w:tcPr>
            <w:tcW w:w="1998" w:type="dxa"/>
            <w:shd w:val="clear" w:color="auto" w:fill="auto"/>
          </w:tcPr>
          <w:p w14:paraId="59ECFC6E" w14:textId="77777777" w:rsidR="00A270C6" w:rsidRPr="00A270C6" w:rsidRDefault="00A270C6" w:rsidP="00A270C6">
            <w:pPr>
              <w:spacing w:after="0" w:line="240" w:lineRule="auto"/>
              <w:rPr>
                <w:rFonts w:ascii="Times New Roman" w:eastAsia="Calibri" w:hAnsi="Times New Roman" w:cs="Times New Roman"/>
                <w:color w:val="262626"/>
                <w:sz w:val="24"/>
              </w:rPr>
            </w:pPr>
          </w:p>
        </w:tc>
      </w:tr>
      <w:tr w:rsidR="00A270C6" w:rsidRPr="00A270C6" w14:paraId="03BC92B2" w14:textId="77777777" w:rsidTr="008463E9">
        <w:trPr>
          <w:trHeight w:val="14"/>
        </w:trPr>
        <w:tc>
          <w:tcPr>
            <w:tcW w:w="1044" w:type="dxa"/>
            <w:shd w:val="clear" w:color="auto" w:fill="auto"/>
            <w:tcMar>
              <w:top w:w="72" w:type="dxa"/>
              <w:left w:w="144" w:type="dxa"/>
              <w:bottom w:w="72" w:type="dxa"/>
              <w:right w:w="144" w:type="dxa"/>
            </w:tcMar>
          </w:tcPr>
          <w:p w14:paraId="66FF0B14" w14:textId="77777777" w:rsidR="00A270C6" w:rsidRPr="00A270C6" w:rsidRDefault="00A270C6" w:rsidP="00A270C6">
            <w:pPr>
              <w:spacing w:after="0" w:line="240" w:lineRule="auto"/>
              <w:jc w:val="center"/>
              <w:rPr>
                <w:rFonts w:ascii="Calibri" w:eastAsia="Calibri" w:hAnsi="Calibri" w:cs="Times New Roman"/>
                <w:color w:val="262626"/>
              </w:rPr>
            </w:pPr>
          </w:p>
        </w:tc>
        <w:tc>
          <w:tcPr>
            <w:tcW w:w="1890" w:type="dxa"/>
            <w:shd w:val="clear" w:color="auto" w:fill="auto"/>
            <w:tcMar>
              <w:top w:w="72" w:type="dxa"/>
              <w:left w:w="144" w:type="dxa"/>
              <w:bottom w:w="72" w:type="dxa"/>
              <w:right w:w="144" w:type="dxa"/>
            </w:tcMar>
          </w:tcPr>
          <w:p w14:paraId="6158F22E" w14:textId="77777777" w:rsidR="00A270C6" w:rsidRPr="00A270C6" w:rsidRDefault="00A270C6" w:rsidP="00A270C6">
            <w:pPr>
              <w:spacing w:after="0" w:line="240" w:lineRule="auto"/>
              <w:rPr>
                <w:rFonts w:ascii="Times New Roman" w:eastAsia="Calibri" w:hAnsi="Times New Roman" w:cs="Times New Roman"/>
                <w:color w:val="262626"/>
                <w:sz w:val="24"/>
              </w:rPr>
            </w:pPr>
          </w:p>
        </w:tc>
        <w:tc>
          <w:tcPr>
            <w:tcW w:w="4680" w:type="dxa"/>
            <w:shd w:val="clear" w:color="auto" w:fill="auto"/>
          </w:tcPr>
          <w:p w14:paraId="2C4FA87A" w14:textId="77777777" w:rsidR="00A270C6" w:rsidRPr="00A270C6" w:rsidRDefault="00A270C6" w:rsidP="00A270C6">
            <w:pPr>
              <w:spacing w:after="0" w:line="240" w:lineRule="auto"/>
              <w:rPr>
                <w:rFonts w:ascii="Times New Roman" w:eastAsia="Calibri" w:hAnsi="Times New Roman" w:cs="Times New Roman"/>
                <w:color w:val="262626"/>
                <w:sz w:val="24"/>
              </w:rPr>
            </w:pPr>
          </w:p>
        </w:tc>
        <w:tc>
          <w:tcPr>
            <w:tcW w:w="1998" w:type="dxa"/>
            <w:shd w:val="clear" w:color="auto" w:fill="auto"/>
          </w:tcPr>
          <w:p w14:paraId="06FF1B07" w14:textId="77777777" w:rsidR="00A270C6" w:rsidRPr="00A270C6" w:rsidRDefault="00A270C6" w:rsidP="00A270C6">
            <w:pPr>
              <w:spacing w:after="0" w:line="240" w:lineRule="auto"/>
              <w:rPr>
                <w:rFonts w:ascii="Times New Roman" w:eastAsia="Calibri" w:hAnsi="Times New Roman" w:cs="Times New Roman"/>
                <w:color w:val="262626"/>
                <w:sz w:val="24"/>
              </w:rPr>
            </w:pPr>
          </w:p>
        </w:tc>
      </w:tr>
      <w:tr w:rsidR="00A270C6" w:rsidRPr="00A270C6" w14:paraId="21ECD70D" w14:textId="77777777" w:rsidTr="008463E9">
        <w:trPr>
          <w:trHeight w:val="14"/>
        </w:trPr>
        <w:tc>
          <w:tcPr>
            <w:tcW w:w="1044" w:type="dxa"/>
            <w:shd w:val="clear" w:color="auto" w:fill="auto"/>
            <w:tcMar>
              <w:top w:w="72" w:type="dxa"/>
              <w:left w:w="144" w:type="dxa"/>
              <w:bottom w:w="72" w:type="dxa"/>
              <w:right w:w="144" w:type="dxa"/>
            </w:tcMar>
          </w:tcPr>
          <w:p w14:paraId="74545E26" w14:textId="77777777" w:rsidR="00A270C6" w:rsidRPr="00A270C6" w:rsidRDefault="00A270C6" w:rsidP="00A270C6">
            <w:pPr>
              <w:spacing w:after="0" w:line="240" w:lineRule="auto"/>
              <w:jc w:val="center"/>
              <w:rPr>
                <w:rFonts w:ascii="Calibri" w:eastAsia="Calibri" w:hAnsi="Calibri" w:cs="Times New Roman"/>
                <w:color w:val="262626"/>
              </w:rPr>
            </w:pPr>
          </w:p>
        </w:tc>
        <w:tc>
          <w:tcPr>
            <w:tcW w:w="1890" w:type="dxa"/>
            <w:shd w:val="clear" w:color="auto" w:fill="auto"/>
            <w:tcMar>
              <w:top w:w="72" w:type="dxa"/>
              <w:left w:w="144" w:type="dxa"/>
              <w:bottom w:w="72" w:type="dxa"/>
              <w:right w:w="144" w:type="dxa"/>
            </w:tcMar>
          </w:tcPr>
          <w:p w14:paraId="63ACCD71" w14:textId="77777777" w:rsidR="00A270C6" w:rsidRPr="00A270C6" w:rsidRDefault="00A270C6" w:rsidP="00A270C6">
            <w:pPr>
              <w:spacing w:after="0" w:line="240" w:lineRule="auto"/>
              <w:rPr>
                <w:rFonts w:ascii="Times New Roman" w:eastAsia="Calibri" w:hAnsi="Times New Roman" w:cs="Times New Roman"/>
                <w:color w:val="262626"/>
                <w:sz w:val="24"/>
              </w:rPr>
            </w:pPr>
          </w:p>
        </w:tc>
        <w:tc>
          <w:tcPr>
            <w:tcW w:w="4680" w:type="dxa"/>
            <w:shd w:val="clear" w:color="auto" w:fill="auto"/>
          </w:tcPr>
          <w:p w14:paraId="775248A1" w14:textId="77777777" w:rsidR="00A270C6" w:rsidRPr="00A270C6" w:rsidRDefault="00A270C6" w:rsidP="00A270C6">
            <w:pPr>
              <w:spacing w:after="0" w:line="240" w:lineRule="auto"/>
              <w:rPr>
                <w:rFonts w:ascii="Times New Roman" w:eastAsia="Calibri" w:hAnsi="Times New Roman" w:cs="Times New Roman"/>
                <w:color w:val="262626"/>
                <w:sz w:val="24"/>
              </w:rPr>
            </w:pPr>
          </w:p>
        </w:tc>
        <w:tc>
          <w:tcPr>
            <w:tcW w:w="1998" w:type="dxa"/>
            <w:shd w:val="clear" w:color="auto" w:fill="auto"/>
          </w:tcPr>
          <w:p w14:paraId="2AB94DDD" w14:textId="77777777" w:rsidR="00A270C6" w:rsidRPr="00A270C6" w:rsidRDefault="00A270C6" w:rsidP="00A270C6">
            <w:pPr>
              <w:spacing w:after="0" w:line="240" w:lineRule="auto"/>
              <w:rPr>
                <w:rFonts w:ascii="Times New Roman" w:eastAsia="Calibri" w:hAnsi="Times New Roman" w:cs="Times New Roman"/>
                <w:color w:val="262626"/>
                <w:sz w:val="24"/>
              </w:rPr>
            </w:pPr>
          </w:p>
        </w:tc>
      </w:tr>
      <w:tr w:rsidR="00A270C6" w:rsidRPr="00A270C6" w14:paraId="5F87BC30" w14:textId="77777777" w:rsidTr="008463E9">
        <w:trPr>
          <w:trHeight w:val="14"/>
        </w:trPr>
        <w:tc>
          <w:tcPr>
            <w:tcW w:w="1044" w:type="dxa"/>
            <w:shd w:val="clear" w:color="auto" w:fill="auto"/>
            <w:tcMar>
              <w:top w:w="72" w:type="dxa"/>
              <w:left w:w="144" w:type="dxa"/>
              <w:bottom w:w="72" w:type="dxa"/>
              <w:right w:w="144" w:type="dxa"/>
            </w:tcMar>
          </w:tcPr>
          <w:p w14:paraId="1602D74E" w14:textId="77777777" w:rsidR="00A270C6" w:rsidRPr="00A270C6" w:rsidRDefault="00A270C6" w:rsidP="00A270C6">
            <w:pPr>
              <w:spacing w:after="0" w:line="240" w:lineRule="auto"/>
              <w:jc w:val="center"/>
              <w:rPr>
                <w:rFonts w:ascii="Calibri" w:eastAsia="Calibri" w:hAnsi="Calibri" w:cs="Times New Roman"/>
                <w:color w:val="262626"/>
              </w:rPr>
            </w:pPr>
          </w:p>
        </w:tc>
        <w:tc>
          <w:tcPr>
            <w:tcW w:w="1890" w:type="dxa"/>
            <w:shd w:val="clear" w:color="auto" w:fill="auto"/>
            <w:tcMar>
              <w:top w:w="72" w:type="dxa"/>
              <w:left w:w="144" w:type="dxa"/>
              <w:bottom w:w="72" w:type="dxa"/>
              <w:right w:w="144" w:type="dxa"/>
            </w:tcMar>
          </w:tcPr>
          <w:p w14:paraId="060A8D0D" w14:textId="77777777" w:rsidR="00A270C6" w:rsidRPr="00A270C6" w:rsidRDefault="00A270C6" w:rsidP="00A270C6">
            <w:pPr>
              <w:spacing w:after="0" w:line="240" w:lineRule="auto"/>
              <w:rPr>
                <w:rFonts w:ascii="Times New Roman" w:eastAsia="Calibri" w:hAnsi="Times New Roman" w:cs="Times New Roman"/>
                <w:color w:val="262626"/>
                <w:sz w:val="24"/>
              </w:rPr>
            </w:pPr>
          </w:p>
        </w:tc>
        <w:tc>
          <w:tcPr>
            <w:tcW w:w="4680" w:type="dxa"/>
            <w:shd w:val="clear" w:color="auto" w:fill="auto"/>
          </w:tcPr>
          <w:p w14:paraId="5DD1EAA9" w14:textId="77777777" w:rsidR="00A270C6" w:rsidRPr="00A270C6" w:rsidRDefault="00A270C6" w:rsidP="00A270C6">
            <w:pPr>
              <w:spacing w:after="0" w:line="240" w:lineRule="auto"/>
              <w:rPr>
                <w:rFonts w:ascii="Times New Roman" w:eastAsia="Calibri" w:hAnsi="Times New Roman" w:cs="Times New Roman"/>
                <w:color w:val="262626"/>
                <w:sz w:val="24"/>
              </w:rPr>
            </w:pPr>
          </w:p>
        </w:tc>
        <w:tc>
          <w:tcPr>
            <w:tcW w:w="1998" w:type="dxa"/>
            <w:shd w:val="clear" w:color="auto" w:fill="auto"/>
          </w:tcPr>
          <w:p w14:paraId="59244569" w14:textId="77777777" w:rsidR="00A270C6" w:rsidRPr="00A270C6" w:rsidRDefault="00A270C6" w:rsidP="00A270C6">
            <w:pPr>
              <w:spacing w:after="0" w:line="240" w:lineRule="auto"/>
              <w:rPr>
                <w:rFonts w:ascii="Times New Roman" w:eastAsia="Calibri" w:hAnsi="Times New Roman" w:cs="Times New Roman"/>
                <w:color w:val="262626"/>
                <w:sz w:val="24"/>
              </w:rPr>
            </w:pPr>
          </w:p>
        </w:tc>
      </w:tr>
      <w:tr w:rsidR="00A270C6" w:rsidRPr="00A270C6" w14:paraId="70E692D2" w14:textId="77777777" w:rsidTr="008463E9">
        <w:trPr>
          <w:trHeight w:val="14"/>
        </w:trPr>
        <w:tc>
          <w:tcPr>
            <w:tcW w:w="1044" w:type="dxa"/>
            <w:shd w:val="clear" w:color="auto" w:fill="auto"/>
            <w:tcMar>
              <w:top w:w="72" w:type="dxa"/>
              <w:left w:w="144" w:type="dxa"/>
              <w:bottom w:w="72" w:type="dxa"/>
              <w:right w:w="144" w:type="dxa"/>
            </w:tcMar>
          </w:tcPr>
          <w:p w14:paraId="754B5E9E" w14:textId="77777777" w:rsidR="00A270C6" w:rsidRPr="00A270C6" w:rsidRDefault="00A270C6" w:rsidP="00A270C6">
            <w:pPr>
              <w:spacing w:after="0" w:line="240" w:lineRule="auto"/>
              <w:jc w:val="center"/>
              <w:rPr>
                <w:rFonts w:ascii="Calibri" w:eastAsia="Calibri" w:hAnsi="Calibri" w:cs="Times New Roman"/>
                <w:color w:val="262626"/>
              </w:rPr>
            </w:pPr>
          </w:p>
        </w:tc>
        <w:tc>
          <w:tcPr>
            <w:tcW w:w="1890" w:type="dxa"/>
            <w:shd w:val="clear" w:color="auto" w:fill="auto"/>
            <w:tcMar>
              <w:top w:w="72" w:type="dxa"/>
              <w:left w:w="144" w:type="dxa"/>
              <w:bottom w:w="72" w:type="dxa"/>
              <w:right w:w="144" w:type="dxa"/>
            </w:tcMar>
          </w:tcPr>
          <w:p w14:paraId="6779C3CA" w14:textId="77777777" w:rsidR="00A270C6" w:rsidRPr="00A270C6" w:rsidRDefault="00A270C6" w:rsidP="00A270C6">
            <w:pPr>
              <w:spacing w:after="0" w:line="240" w:lineRule="auto"/>
              <w:rPr>
                <w:rFonts w:ascii="Times New Roman" w:eastAsia="Calibri" w:hAnsi="Times New Roman" w:cs="Times New Roman"/>
                <w:color w:val="262626"/>
                <w:sz w:val="24"/>
              </w:rPr>
            </w:pPr>
          </w:p>
        </w:tc>
        <w:tc>
          <w:tcPr>
            <w:tcW w:w="4680" w:type="dxa"/>
            <w:shd w:val="clear" w:color="auto" w:fill="auto"/>
          </w:tcPr>
          <w:p w14:paraId="455907E8" w14:textId="77777777" w:rsidR="00A270C6" w:rsidRPr="00A270C6" w:rsidRDefault="00A270C6" w:rsidP="00A270C6">
            <w:pPr>
              <w:spacing w:after="0" w:line="240" w:lineRule="auto"/>
              <w:rPr>
                <w:rFonts w:ascii="Times New Roman" w:eastAsia="Calibri" w:hAnsi="Times New Roman" w:cs="Times New Roman"/>
                <w:color w:val="262626"/>
                <w:sz w:val="24"/>
              </w:rPr>
            </w:pPr>
          </w:p>
        </w:tc>
        <w:tc>
          <w:tcPr>
            <w:tcW w:w="1998" w:type="dxa"/>
            <w:shd w:val="clear" w:color="auto" w:fill="auto"/>
          </w:tcPr>
          <w:p w14:paraId="03911BDD" w14:textId="77777777" w:rsidR="00A270C6" w:rsidRPr="00A270C6" w:rsidRDefault="00A270C6" w:rsidP="00A270C6">
            <w:pPr>
              <w:spacing w:after="0" w:line="240" w:lineRule="auto"/>
              <w:rPr>
                <w:rFonts w:ascii="Times New Roman" w:eastAsia="Calibri" w:hAnsi="Times New Roman" w:cs="Times New Roman"/>
                <w:color w:val="262626"/>
                <w:sz w:val="24"/>
              </w:rPr>
            </w:pPr>
          </w:p>
        </w:tc>
      </w:tr>
      <w:tr w:rsidR="00A270C6" w:rsidRPr="00A270C6" w14:paraId="6E2B6102" w14:textId="77777777" w:rsidTr="008463E9">
        <w:trPr>
          <w:trHeight w:val="14"/>
        </w:trPr>
        <w:tc>
          <w:tcPr>
            <w:tcW w:w="1044" w:type="dxa"/>
            <w:shd w:val="clear" w:color="auto" w:fill="auto"/>
            <w:tcMar>
              <w:top w:w="72" w:type="dxa"/>
              <w:left w:w="144" w:type="dxa"/>
              <w:bottom w:w="72" w:type="dxa"/>
              <w:right w:w="144" w:type="dxa"/>
            </w:tcMar>
          </w:tcPr>
          <w:p w14:paraId="589B8291" w14:textId="77777777" w:rsidR="00A270C6" w:rsidRPr="00A270C6" w:rsidRDefault="00A270C6" w:rsidP="00A270C6">
            <w:pPr>
              <w:spacing w:after="0" w:line="240" w:lineRule="auto"/>
              <w:jc w:val="center"/>
              <w:rPr>
                <w:rFonts w:ascii="Calibri" w:eastAsia="Calibri" w:hAnsi="Calibri" w:cs="Times New Roman"/>
                <w:color w:val="262626"/>
              </w:rPr>
            </w:pPr>
          </w:p>
        </w:tc>
        <w:tc>
          <w:tcPr>
            <w:tcW w:w="1890" w:type="dxa"/>
            <w:shd w:val="clear" w:color="auto" w:fill="auto"/>
            <w:tcMar>
              <w:top w:w="72" w:type="dxa"/>
              <w:left w:w="144" w:type="dxa"/>
              <w:bottom w:w="72" w:type="dxa"/>
              <w:right w:w="144" w:type="dxa"/>
            </w:tcMar>
          </w:tcPr>
          <w:p w14:paraId="60ECCD50" w14:textId="77777777" w:rsidR="00A270C6" w:rsidRPr="00A270C6" w:rsidRDefault="00A270C6" w:rsidP="00A270C6">
            <w:pPr>
              <w:spacing w:after="0" w:line="240" w:lineRule="auto"/>
              <w:rPr>
                <w:rFonts w:ascii="Times New Roman" w:eastAsia="Calibri" w:hAnsi="Times New Roman" w:cs="Times New Roman"/>
                <w:color w:val="262626"/>
                <w:sz w:val="24"/>
              </w:rPr>
            </w:pPr>
          </w:p>
        </w:tc>
        <w:tc>
          <w:tcPr>
            <w:tcW w:w="4680" w:type="dxa"/>
            <w:shd w:val="clear" w:color="auto" w:fill="auto"/>
          </w:tcPr>
          <w:p w14:paraId="778D71B1" w14:textId="77777777" w:rsidR="00A270C6" w:rsidRPr="00A270C6" w:rsidRDefault="00A270C6" w:rsidP="00A270C6">
            <w:pPr>
              <w:spacing w:after="0" w:line="240" w:lineRule="auto"/>
              <w:rPr>
                <w:rFonts w:ascii="Times New Roman" w:eastAsia="Calibri" w:hAnsi="Times New Roman" w:cs="Times New Roman"/>
                <w:color w:val="262626"/>
                <w:sz w:val="24"/>
              </w:rPr>
            </w:pPr>
          </w:p>
        </w:tc>
        <w:tc>
          <w:tcPr>
            <w:tcW w:w="1998" w:type="dxa"/>
            <w:shd w:val="clear" w:color="auto" w:fill="auto"/>
          </w:tcPr>
          <w:p w14:paraId="084F8844" w14:textId="77777777" w:rsidR="00A270C6" w:rsidRPr="00A270C6" w:rsidRDefault="00A270C6" w:rsidP="00A270C6">
            <w:pPr>
              <w:spacing w:after="0" w:line="240" w:lineRule="auto"/>
              <w:rPr>
                <w:rFonts w:ascii="Times New Roman" w:eastAsia="Calibri" w:hAnsi="Times New Roman" w:cs="Times New Roman"/>
                <w:color w:val="262626"/>
                <w:sz w:val="24"/>
              </w:rPr>
            </w:pPr>
          </w:p>
        </w:tc>
      </w:tr>
      <w:tr w:rsidR="00A270C6" w:rsidRPr="00A270C6" w14:paraId="3BB3EB95" w14:textId="77777777" w:rsidTr="008463E9">
        <w:trPr>
          <w:trHeight w:val="14"/>
        </w:trPr>
        <w:tc>
          <w:tcPr>
            <w:tcW w:w="1044" w:type="dxa"/>
            <w:shd w:val="clear" w:color="auto" w:fill="auto"/>
            <w:tcMar>
              <w:top w:w="72" w:type="dxa"/>
              <w:left w:w="144" w:type="dxa"/>
              <w:bottom w:w="72" w:type="dxa"/>
              <w:right w:w="144" w:type="dxa"/>
            </w:tcMar>
          </w:tcPr>
          <w:p w14:paraId="11356E6F" w14:textId="77777777" w:rsidR="00A270C6" w:rsidRPr="00A270C6" w:rsidRDefault="00A270C6" w:rsidP="00A270C6">
            <w:pPr>
              <w:spacing w:after="0" w:line="240" w:lineRule="auto"/>
              <w:jc w:val="center"/>
              <w:rPr>
                <w:rFonts w:ascii="Calibri" w:eastAsia="Calibri" w:hAnsi="Calibri" w:cs="Times New Roman"/>
                <w:color w:val="262626"/>
              </w:rPr>
            </w:pPr>
          </w:p>
        </w:tc>
        <w:tc>
          <w:tcPr>
            <w:tcW w:w="1890" w:type="dxa"/>
            <w:shd w:val="clear" w:color="auto" w:fill="auto"/>
            <w:tcMar>
              <w:top w:w="72" w:type="dxa"/>
              <w:left w:w="144" w:type="dxa"/>
              <w:bottom w:w="72" w:type="dxa"/>
              <w:right w:w="144" w:type="dxa"/>
            </w:tcMar>
          </w:tcPr>
          <w:p w14:paraId="49DA5098" w14:textId="77777777" w:rsidR="00A270C6" w:rsidRPr="00A270C6" w:rsidRDefault="00A270C6" w:rsidP="00A270C6">
            <w:pPr>
              <w:spacing w:after="0" w:line="240" w:lineRule="auto"/>
              <w:rPr>
                <w:rFonts w:ascii="Times New Roman" w:eastAsia="Calibri" w:hAnsi="Times New Roman" w:cs="Times New Roman"/>
                <w:color w:val="262626"/>
                <w:sz w:val="24"/>
              </w:rPr>
            </w:pPr>
          </w:p>
        </w:tc>
        <w:tc>
          <w:tcPr>
            <w:tcW w:w="4680" w:type="dxa"/>
            <w:shd w:val="clear" w:color="auto" w:fill="auto"/>
          </w:tcPr>
          <w:p w14:paraId="5752C0DE" w14:textId="77777777" w:rsidR="00A270C6" w:rsidRPr="00A270C6" w:rsidRDefault="00A270C6" w:rsidP="00A270C6">
            <w:pPr>
              <w:spacing w:after="0" w:line="240" w:lineRule="auto"/>
              <w:rPr>
                <w:rFonts w:ascii="Times New Roman" w:eastAsia="Calibri" w:hAnsi="Times New Roman" w:cs="Times New Roman"/>
                <w:color w:val="262626"/>
                <w:sz w:val="24"/>
              </w:rPr>
            </w:pPr>
          </w:p>
        </w:tc>
        <w:tc>
          <w:tcPr>
            <w:tcW w:w="1998" w:type="dxa"/>
            <w:shd w:val="clear" w:color="auto" w:fill="auto"/>
          </w:tcPr>
          <w:p w14:paraId="1CBDE2D6" w14:textId="77777777" w:rsidR="00A270C6" w:rsidRPr="00A270C6" w:rsidRDefault="00A270C6" w:rsidP="00A270C6">
            <w:pPr>
              <w:spacing w:after="0" w:line="240" w:lineRule="auto"/>
              <w:rPr>
                <w:rFonts w:ascii="Times New Roman" w:eastAsia="Calibri" w:hAnsi="Times New Roman" w:cs="Times New Roman"/>
                <w:color w:val="262626"/>
                <w:sz w:val="24"/>
              </w:rPr>
            </w:pPr>
          </w:p>
        </w:tc>
      </w:tr>
      <w:tr w:rsidR="00A270C6" w:rsidRPr="00A270C6" w14:paraId="56EFC294" w14:textId="77777777" w:rsidTr="008463E9">
        <w:trPr>
          <w:trHeight w:val="14"/>
        </w:trPr>
        <w:tc>
          <w:tcPr>
            <w:tcW w:w="1044" w:type="dxa"/>
            <w:shd w:val="clear" w:color="auto" w:fill="auto"/>
            <w:tcMar>
              <w:top w:w="72" w:type="dxa"/>
              <w:left w:w="144" w:type="dxa"/>
              <w:bottom w:w="72" w:type="dxa"/>
              <w:right w:w="144" w:type="dxa"/>
            </w:tcMar>
          </w:tcPr>
          <w:p w14:paraId="006183AE" w14:textId="77777777" w:rsidR="00A270C6" w:rsidRPr="00A270C6" w:rsidRDefault="00A270C6" w:rsidP="00A270C6">
            <w:pPr>
              <w:spacing w:after="0" w:line="240" w:lineRule="auto"/>
              <w:jc w:val="center"/>
              <w:rPr>
                <w:rFonts w:ascii="Calibri" w:eastAsia="Calibri" w:hAnsi="Calibri" w:cs="Times New Roman"/>
                <w:color w:val="262626"/>
              </w:rPr>
            </w:pPr>
          </w:p>
        </w:tc>
        <w:tc>
          <w:tcPr>
            <w:tcW w:w="1890" w:type="dxa"/>
            <w:shd w:val="clear" w:color="auto" w:fill="auto"/>
            <w:tcMar>
              <w:top w:w="72" w:type="dxa"/>
              <w:left w:w="144" w:type="dxa"/>
              <w:bottom w:w="72" w:type="dxa"/>
              <w:right w:w="144" w:type="dxa"/>
            </w:tcMar>
          </w:tcPr>
          <w:p w14:paraId="380567CE" w14:textId="77777777" w:rsidR="00A270C6" w:rsidRPr="00A270C6" w:rsidRDefault="00A270C6" w:rsidP="00A270C6">
            <w:pPr>
              <w:spacing w:after="0" w:line="240" w:lineRule="auto"/>
              <w:rPr>
                <w:rFonts w:ascii="Times New Roman" w:eastAsia="Calibri" w:hAnsi="Times New Roman" w:cs="Times New Roman"/>
                <w:color w:val="262626"/>
                <w:sz w:val="24"/>
              </w:rPr>
            </w:pPr>
          </w:p>
        </w:tc>
        <w:tc>
          <w:tcPr>
            <w:tcW w:w="4680" w:type="dxa"/>
            <w:shd w:val="clear" w:color="auto" w:fill="auto"/>
          </w:tcPr>
          <w:p w14:paraId="426C0927" w14:textId="77777777" w:rsidR="00A270C6" w:rsidRPr="00A270C6" w:rsidRDefault="00A270C6" w:rsidP="00A270C6">
            <w:pPr>
              <w:spacing w:after="0" w:line="240" w:lineRule="auto"/>
              <w:rPr>
                <w:rFonts w:ascii="Times New Roman" w:eastAsia="Calibri" w:hAnsi="Times New Roman" w:cs="Times New Roman"/>
                <w:color w:val="262626"/>
                <w:sz w:val="24"/>
              </w:rPr>
            </w:pPr>
          </w:p>
        </w:tc>
        <w:tc>
          <w:tcPr>
            <w:tcW w:w="1998" w:type="dxa"/>
            <w:shd w:val="clear" w:color="auto" w:fill="auto"/>
          </w:tcPr>
          <w:p w14:paraId="45A7F1B0" w14:textId="77777777" w:rsidR="00A270C6" w:rsidRPr="00A270C6" w:rsidRDefault="00A270C6" w:rsidP="00A270C6">
            <w:pPr>
              <w:spacing w:after="0" w:line="240" w:lineRule="auto"/>
              <w:rPr>
                <w:rFonts w:ascii="Times New Roman" w:eastAsia="Calibri" w:hAnsi="Times New Roman" w:cs="Times New Roman"/>
                <w:color w:val="262626"/>
                <w:sz w:val="24"/>
              </w:rPr>
            </w:pPr>
          </w:p>
        </w:tc>
      </w:tr>
      <w:tr w:rsidR="00A270C6" w:rsidRPr="00A270C6" w14:paraId="3B347C7A" w14:textId="77777777" w:rsidTr="008463E9">
        <w:trPr>
          <w:trHeight w:val="14"/>
        </w:trPr>
        <w:tc>
          <w:tcPr>
            <w:tcW w:w="1044" w:type="dxa"/>
            <w:shd w:val="clear" w:color="auto" w:fill="auto"/>
            <w:tcMar>
              <w:top w:w="72" w:type="dxa"/>
              <w:left w:w="144" w:type="dxa"/>
              <w:bottom w:w="72" w:type="dxa"/>
              <w:right w:w="144" w:type="dxa"/>
            </w:tcMar>
          </w:tcPr>
          <w:p w14:paraId="47089935" w14:textId="77777777" w:rsidR="00A270C6" w:rsidRPr="00A270C6" w:rsidRDefault="00A270C6" w:rsidP="00A270C6">
            <w:pPr>
              <w:spacing w:after="0" w:line="240" w:lineRule="auto"/>
              <w:jc w:val="center"/>
              <w:rPr>
                <w:rFonts w:ascii="Calibri" w:eastAsia="Calibri" w:hAnsi="Calibri" w:cs="Times New Roman"/>
                <w:color w:val="262626"/>
              </w:rPr>
            </w:pPr>
          </w:p>
        </w:tc>
        <w:tc>
          <w:tcPr>
            <w:tcW w:w="1890" w:type="dxa"/>
            <w:shd w:val="clear" w:color="auto" w:fill="auto"/>
            <w:tcMar>
              <w:top w:w="72" w:type="dxa"/>
              <w:left w:w="144" w:type="dxa"/>
              <w:bottom w:w="72" w:type="dxa"/>
              <w:right w:w="144" w:type="dxa"/>
            </w:tcMar>
          </w:tcPr>
          <w:p w14:paraId="2FEA603E" w14:textId="77777777" w:rsidR="00A270C6" w:rsidRPr="00A270C6" w:rsidRDefault="00A270C6" w:rsidP="00A270C6">
            <w:pPr>
              <w:spacing w:after="0" w:line="240" w:lineRule="auto"/>
              <w:rPr>
                <w:rFonts w:ascii="Times New Roman" w:eastAsia="Calibri" w:hAnsi="Times New Roman" w:cs="Times New Roman"/>
                <w:color w:val="262626"/>
                <w:sz w:val="24"/>
              </w:rPr>
            </w:pPr>
          </w:p>
        </w:tc>
        <w:tc>
          <w:tcPr>
            <w:tcW w:w="4680" w:type="dxa"/>
            <w:shd w:val="clear" w:color="auto" w:fill="auto"/>
          </w:tcPr>
          <w:p w14:paraId="4D7B0A22" w14:textId="77777777" w:rsidR="00A270C6" w:rsidRPr="00A270C6" w:rsidRDefault="00A270C6" w:rsidP="00A270C6">
            <w:pPr>
              <w:spacing w:after="0" w:line="240" w:lineRule="auto"/>
              <w:rPr>
                <w:rFonts w:ascii="Times New Roman" w:eastAsia="Calibri" w:hAnsi="Times New Roman" w:cs="Times New Roman"/>
                <w:color w:val="262626"/>
                <w:sz w:val="24"/>
              </w:rPr>
            </w:pPr>
          </w:p>
        </w:tc>
        <w:tc>
          <w:tcPr>
            <w:tcW w:w="1998" w:type="dxa"/>
            <w:shd w:val="clear" w:color="auto" w:fill="auto"/>
          </w:tcPr>
          <w:p w14:paraId="04408B81" w14:textId="77777777" w:rsidR="00A270C6" w:rsidRPr="00A270C6" w:rsidRDefault="00A270C6" w:rsidP="00A270C6">
            <w:pPr>
              <w:spacing w:after="0" w:line="240" w:lineRule="auto"/>
              <w:rPr>
                <w:rFonts w:ascii="Times New Roman" w:eastAsia="Calibri" w:hAnsi="Times New Roman" w:cs="Times New Roman"/>
                <w:color w:val="262626"/>
                <w:sz w:val="24"/>
              </w:rPr>
            </w:pPr>
          </w:p>
        </w:tc>
      </w:tr>
      <w:tr w:rsidR="00A270C6" w:rsidRPr="00A270C6" w14:paraId="52973F1D" w14:textId="77777777" w:rsidTr="008463E9">
        <w:trPr>
          <w:trHeight w:val="14"/>
        </w:trPr>
        <w:tc>
          <w:tcPr>
            <w:tcW w:w="1044" w:type="dxa"/>
            <w:shd w:val="clear" w:color="auto" w:fill="auto"/>
            <w:tcMar>
              <w:top w:w="72" w:type="dxa"/>
              <w:left w:w="144" w:type="dxa"/>
              <w:bottom w:w="72" w:type="dxa"/>
              <w:right w:w="144" w:type="dxa"/>
            </w:tcMar>
          </w:tcPr>
          <w:p w14:paraId="67981907" w14:textId="77777777" w:rsidR="00A270C6" w:rsidRPr="00A270C6" w:rsidRDefault="00A270C6" w:rsidP="00A270C6">
            <w:pPr>
              <w:spacing w:after="0" w:line="240" w:lineRule="auto"/>
              <w:jc w:val="center"/>
              <w:rPr>
                <w:rFonts w:ascii="Calibri" w:eastAsia="Calibri" w:hAnsi="Calibri" w:cs="Times New Roman"/>
                <w:color w:val="262626"/>
              </w:rPr>
            </w:pPr>
          </w:p>
        </w:tc>
        <w:tc>
          <w:tcPr>
            <w:tcW w:w="1890" w:type="dxa"/>
            <w:shd w:val="clear" w:color="auto" w:fill="auto"/>
            <w:tcMar>
              <w:top w:w="72" w:type="dxa"/>
              <w:left w:w="144" w:type="dxa"/>
              <w:bottom w:w="72" w:type="dxa"/>
              <w:right w:w="144" w:type="dxa"/>
            </w:tcMar>
          </w:tcPr>
          <w:p w14:paraId="51051109" w14:textId="77777777" w:rsidR="00A270C6" w:rsidRPr="00A270C6" w:rsidRDefault="00A270C6" w:rsidP="00A270C6">
            <w:pPr>
              <w:spacing w:after="0" w:line="240" w:lineRule="auto"/>
              <w:rPr>
                <w:rFonts w:ascii="Times New Roman" w:eastAsia="Calibri" w:hAnsi="Times New Roman" w:cs="Times New Roman"/>
                <w:color w:val="262626"/>
                <w:sz w:val="24"/>
              </w:rPr>
            </w:pPr>
          </w:p>
        </w:tc>
        <w:tc>
          <w:tcPr>
            <w:tcW w:w="4680" w:type="dxa"/>
            <w:shd w:val="clear" w:color="auto" w:fill="auto"/>
          </w:tcPr>
          <w:p w14:paraId="4A6B6AE6" w14:textId="77777777" w:rsidR="00A270C6" w:rsidRPr="00A270C6" w:rsidRDefault="00A270C6" w:rsidP="00A270C6">
            <w:pPr>
              <w:spacing w:after="0" w:line="240" w:lineRule="auto"/>
              <w:rPr>
                <w:rFonts w:ascii="Times New Roman" w:eastAsia="Calibri" w:hAnsi="Times New Roman" w:cs="Times New Roman"/>
                <w:color w:val="262626"/>
                <w:sz w:val="24"/>
              </w:rPr>
            </w:pPr>
          </w:p>
        </w:tc>
        <w:tc>
          <w:tcPr>
            <w:tcW w:w="1998" w:type="dxa"/>
            <w:shd w:val="clear" w:color="auto" w:fill="auto"/>
          </w:tcPr>
          <w:p w14:paraId="15F0D139" w14:textId="77777777" w:rsidR="00A270C6" w:rsidRPr="00A270C6" w:rsidRDefault="00A270C6" w:rsidP="00A270C6">
            <w:pPr>
              <w:spacing w:after="0" w:line="240" w:lineRule="auto"/>
              <w:rPr>
                <w:rFonts w:ascii="Times New Roman" w:eastAsia="Calibri" w:hAnsi="Times New Roman" w:cs="Times New Roman"/>
                <w:color w:val="262626"/>
                <w:sz w:val="24"/>
              </w:rPr>
            </w:pPr>
          </w:p>
        </w:tc>
      </w:tr>
      <w:tr w:rsidR="00A270C6" w:rsidRPr="00A270C6" w14:paraId="5A390418" w14:textId="77777777" w:rsidTr="008463E9">
        <w:trPr>
          <w:trHeight w:val="14"/>
        </w:trPr>
        <w:tc>
          <w:tcPr>
            <w:tcW w:w="1044" w:type="dxa"/>
            <w:shd w:val="clear" w:color="auto" w:fill="auto"/>
            <w:tcMar>
              <w:top w:w="72" w:type="dxa"/>
              <w:left w:w="144" w:type="dxa"/>
              <w:bottom w:w="72" w:type="dxa"/>
              <w:right w:w="144" w:type="dxa"/>
            </w:tcMar>
          </w:tcPr>
          <w:p w14:paraId="0F5D1959" w14:textId="77777777" w:rsidR="00A270C6" w:rsidRPr="00A270C6" w:rsidRDefault="00A270C6" w:rsidP="00A270C6">
            <w:pPr>
              <w:spacing w:after="0" w:line="240" w:lineRule="auto"/>
              <w:jc w:val="center"/>
              <w:rPr>
                <w:rFonts w:ascii="Calibri" w:eastAsia="Calibri" w:hAnsi="Calibri" w:cs="Times New Roman"/>
                <w:color w:val="262626"/>
              </w:rPr>
            </w:pPr>
          </w:p>
        </w:tc>
        <w:tc>
          <w:tcPr>
            <w:tcW w:w="1890" w:type="dxa"/>
            <w:shd w:val="clear" w:color="auto" w:fill="auto"/>
            <w:tcMar>
              <w:top w:w="72" w:type="dxa"/>
              <w:left w:w="144" w:type="dxa"/>
              <w:bottom w:w="72" w:type="dxa"/>
              <w:right w:w="144" w:type="dxa"/>
            </w:tcMar>
          </w:tcPr>
          <w:p w14:paraId="01A22EB2" w14:textId="77777777" w:rsidR="00A270C6" w:rsidRPr="00A270C6" w:rsidRDefault="00A270C6" w:rsidP="00A270C6">
            <w:pPr>
              <w:spacing w:after="0" w:line="240" w:lineRule="auto"/>
              <w:rPr>
                <w:rFonts w:ascii="Times New Roman" w:eastAsia="Calibri" w:hAnsi="Times New Roman" w:cs="Times New Roman"/>
                <w:color w:val="262626"/>
                <w:sz w:val="24"/>
              </w:rPr>
            </w:pPr>
          </w:p>
        </w:tc>
        <w:tc>
          <w:tcPr>
            <w:tcW w:w="4680" w:type="dxa"/>
            <w:shd w:val="clear" w:color="auto" w:fill="auto"/>
          </w:tcPr>
          <w:p w14:paraId="45E62174" w14:textId="77777777" w:rsidR="00A270C6" w:rsidRPr="00A270C6" w:rsidRDefault="00A270C6" w:rsidP="00A270C6">
            <w:pPr>
              <w:spacing w:after="0" w:line="240" w:lineRule="auto"/>
              <w:rPr>
                <w:rFonts w:ascii="Times New Roman" w:eastAsia="Calibri" w:hAnsi="Times New Roman" w:cs="Times New Roman"/>
                <w:color w:val="262626"/>
                <w:sz w:val="24"/>
              </w:rPr>
            </w:pPr>
          </w:p>
        </w:tc>
        <w:tc>
          <w:tcPr>
            <w:tcW w:w="1998" w:type="dxa"/>
            <w:shd w:val="clear" w:color="auto" w:fill="auto"/>
          </w:tcPr>
          <w:p w14:paraId="289E413A" w14:textId="77777777" w:rsidR="00A270C6" w:rsidRPr="00A270C6" w:rsidRDefault="00A270C6" w:rsidP="00A270C6">
            <w:pPr>
              <w:spacing w:after="0" w:line="240" w:lineRule="auto"/>
              <w:rPr>
                <w:rFonts w:ascii="Times New Roman" w:eastAsia="Calibri" w:hAnsi="Times New Roman" w:cs="Times New Roman"/>
                <w:color w:val="262626"/>
                <w:sz w:val="24"/>
              </w:rPr>
            </w:pPr>
          </w:p>
        </w:tc>
      </w:tr>
      <w:tr w:rsidR="00A270C6" w:rsidRPr="00A270C6" w14:paraId="7802166E" w14:textId="77777777" w:rsidTr="008463E9">
        <w:trPr>
          <w:trHeight w:val="14"/>
        </w:trPr>
        <w:tc>
          <w:tcPr>
            <w:tcW w:w="1044" w:type="dxa"/>
            <w:shd w:val="clear" w:color="auto" w:fill="auto"/>
            <w:tcMar>
              <w:top w:w="72" w:type="dxa"/>
              <w:left w:w="144" w:type="dxa"/>
              <w:bottom w:w="72" w:type="dxa"/>
              <w:right w:w="144" w:type="dxa"/>
            </w:tcMar>
          </w:tcPr>
          <w:p w14:paraId="585EE522" w14:textId="77777777" w:rsidR="00A270C6" w:rsidRPr="00A270C6" w:rsidRDefault="00A270C6" w:rsidP="00A270C6">
            <w:pPr>
              <w:spacing w:after="0" w:line="240" w:lineRule="auto"/>
              <w:jc w:val="center"/>
              <w:rPr>
                <w:rFonts w:ascii="Calibri" w:eastAsia="Calibri" w:hAnsi="Calibri" w:cs="Times New Roman"/>
                <w:color w:val="262626"/>
              </w:rPr>
            </w:pPr>
          </w:p>
        </w:tc>
        <w:tc>
          <w:tcPr>
            <w:tcW w:w="1890" w:type="dxa"/>
            <w:shd w:val="clear" w:color="auto" w:fill="auto"/>
            <w:tcMar>
              <w:top w:w="72" w:type="dxa"/>
              <w:left w:w="144" w:type="dxa"/>
              <w:bottom w:w="72" w:type="dxa"/>
              <w:right w:w="144" w:type="dxa"/>
            </w:tcMar>
          </w:tcPr>
          <w:p w14:paraId="4B893014" w14:textId="77777777" w:rsidR="00A270C6" w:rsidRPr="00A270C6" w:rsidRDefault="00A270C6" w:rsidP="00A270C6">
            <w:pPr>
              <w:spacing w:after="0" w:line="240" w:lineRule="auto"/>
              <w:rPr>
                <w:rFonts w:ascii="Times New Roman" w:eastAsia="Calibri" w:hAnsi="Times New Roman" w:cs="Times New Roman"/>
                <w:color w:val="262626"/>
                <w:sz w:val="24"/>
              </w:rPr>
            </w:pPr>
          </w:p>
        </w:tc>
        <w:tc>
          <w:tcPr>
            <w:tcW w:w="4680" w:type="dxa"/>
            <w:shd w:val="clear" w:color="auto" w:fill="auto"/>
          </w:tcPr>
          <w:p w14:paraId="69064A3A" w14:textId="77777777" w:rsidR="00A270C6" w:rsidRPr="00A270C6" w:rsidRDefault="00A270C6" w:rsidP="00A270C6">
            <w:pPr>
              <w:spacing w:after="0" w:line="240" w:lineRule="auto"/>
              <w:rPr>
                <w:rFonts w:ascii="Times New Roman" w:eastAsia="Calibri" w:hAnsi="Times New Roman" w:cs="Times New Roman"/>
                <w:color w:val="262626"/>
                <w:sz w:val="24"/>
              </w:rPr>
            </w:pPr>
          </w:p>
        </w:tc>
        <w:tc>
          <w:tcPr>
            <w:tcW w:w="1998" w:type="dxa"/>
            <w:shd w:val="clear" w:color="auto" w:fill="auto"/>
          </w:tcPr>
          <w:p w14:paraId="315A808B" w14:textId="77777777" w:rsidR="00A270C6" w:rsidRPr="00A270C6" w:rsidRDefault="00A270C6" w:rsidP="00A270C6">
            <w:pPr>
              <w:spacing w:after="0" w:line="240" w:lineRule="auto"/>
              <w:rPr>
                <w:rFonts w:ascii="Times New Roman" w:eastAsia="Calibri" w:hAnsi="Times New Roman" w:cs="Times New Roman"/>
                <w:color w:val="262626"/>
                <w:sz w:val="24"/>
              </w:rPr>
            </w:pPr>
          </w:p>
        </w:tc>
      </w:tr>
      <w:tr w:rsidR="00A270C6" w:rsidRPr="00A270C6" w14:paraId="352D3DF6" w14:textId="77777777" w:rsidTr="008463E9">
        <w:trPr>
          <w:trHeight w:val="14"/>
        </w:trPr>
        <w:tc>
          <w:tcPr>
            <w:tcW w:w="1044" w:type="dxa"/>
            <w:shd w:val="clear" w:color="auto" w:fill="auto"/>
            <w:tcMar>
              <w:top w:w="72" w:type="dxa"/>
              <w:left w:w="144" w:type="dxa"/>
              <w:bottom w:w="72" w:type="dxa"/>
              <w:right w:w="144" w:type="dxa"/>
            </w:tcMar>
          </w:tcPr>
          <w:p w14:paraId="0323742C" w14:textId="77777777" w:rsidR="00A270C6" w:rsidRPr="00A270C6" w:rsidRDefault="00A270C6" w:rsidP="00A270C6">
            <w:pPr>
              <w:spacing w:after="0" w:line="240" w:lineRule="auto"/>
              <w:jc w:val="center"/>
              <w:rPr>
                <w:rFonts w:ascii="Calibri" w:eastAsia="Calibri" w:hAnsi="Calibri" w:cs="Times New Roman"/>
                <w:color w:val="262626"/>
              </w:rPr>
            </w:pPr>
          </w:p>
        </w:tc>
        <w:tc>
          <w:tcPr>
            <w:tcW w:w="1890" w:type="dxa"/>
            <w:shd w:val="clear" w:color="auto" w:fill="auto"/>
            <w:tcMar>
              <w:top w:w="72" w:type="dxa"/>
              <w:left w:w="144" w:type="dxa"/>
              <w:bottom w:w="72" w:type="dxa"/>
              <w:right w:w="144" w:type="dxa"/>
            </w:tcMar>
          </w:tcPr>
          <w:p w14:paraId="022C795B" w14:textId="77777777" w:rsidR="00A270C6" w:rsidRPr="00A270C6" w:rsidRDefault="00A270C6" w:rsidP="00A270C6">
            <w:pPr>
              <w:spacing w:after="0" w:line="240" w:lineRule="auto"/>
              <w:rPr>
                <w:rFonts w:ascii="Times New Roman" w:eastAsia="Calibri" w:hAnsi="Times New Roman" w:cs="Times New Roman"/>
                <w:color w:val="262626"/>
                <w:sz w:val="24"/>
              </w:rPr>
            </w:pPr>
          </w:p>
        </w:tc>
        <w:tc>
          <w:tcPr>
            <w:tcW w:w="4680" w:type="dxa"/>
            <w:shd w:val="clear" w:color="auto" w:fill="auto"/>
          </w:tcPr>
          <w:p w14:paraId="7F384278" w14:textId="77777777" w:rsidR="00A270C6" w:rsidRPr="00A270C6" w:rsidRDefault="00A270C6" w:rsidP="00A270C6">
            <w:pPr>
              <w:spacing w:after="0" w:line="240" w:lineRule="auto"/>
              <w:rPr>
                <w:rFonts w:ascii="Times New Roman" w:eastAsia="Calibri" w:hAnsi="Times New Roman" w:cs="Times New Roman"/>
                <w:color w:val="262626"/>
                <w:sz w:val="24"/>
              </w:rPr>
            </w:pPr>
          </w:p>
        </w:tc>
        <w:tc>
          <w:tcPr>
            <w:tcW w:w="1998" w:type="dxa"/>
            <w:shd w:val="clear" w:color="auto" w:fill="auto"/>
          </w:tcPr>
          <w:p w14:paraId="2C5ADF17" w14:textId="77777777" w:rsidR="00A270C6" w:rsidRPr="00A270C6" w:rsidRDefault="00A270C6" w:rsidP="00A270C6">
            <w:pPr>
              <w:spacing w:after="0" w:line="240" w:lineRule="auto"/>
              <w:rPr>
                <w:rFonts w:ascii="Times New Roman" w:eastAsia="Calibri" w:hAnsi="Times New Roman" w:cs="Times New Roman"/>
                <w:color w:val="262626"/>
                <w:sz w:val="24"/>
              </w:rPr>
            </w:pPr>
          </w:p>
        </w:tc>
      </w:tr>
      <w:tr w:rsidR="00A270C6" w:rsidRPr="00A270C6" w14:paraId="5892E1E3" w14:textId="77777777" w:rsidTr="008463E9">
        <w:trPr>
          <w:trHeight w:val="14"/>
        </w:trPr>
        <w:tc>
          <w:tcPr>
            <w:tcW w:w="1044" w:type="dxa"/>
            <w:shd w:val="clear" w:color="auto" w:fill="auto"/>
            <w:tcMar>
              <w:top w:w="72" w:type="dxa"/>
              <w:left w:w="144" w:type="dxa"/>
              <w:bottom w:w="72" w:type="dxa"/>
              <w:right w:w="144" w:type="dxa"/>
            </w:tcMar>
          </w:tcPr>
          <w:p w14:paraId="23AEE095" w14:textId="77777777" w:rsidR="00A270C6" w:rsidRPr="00A270C6" w:rsidRDefault="00A270C6" w:rsidP="00A270C6">
            <w:pPr>
              <w:spacing w:after="0" w:line="240" w:lineRule="auto"/>
              <w:jc w:val="center"/>
              <w:rPr>
                <w:rFonts w:ascii="Calibri" w:eastAsia="Calibri" w:hAnsi="Calibri" w:cs="Times New Roman"/>
                <w:color w:val="262626"/>
              </w:rPr>
            </w:pPr>
          </w:p>
        </w:tc>
        <w:tc>
          <w:tcPr>
            <w:tcW w:w="1890" w:type="dxa"/>
            <w:shd w:val="clear" w:color="auto" w:fill="auto"/>
            <w:tcMar>
              <w:top w:w="72" w:type="dxa"/>
              <w:left w:w="144" w:type="dxa"/>
              <w:bottom w:w="72" w:type="dxa"/>
              <w:right w:w="144" w:type="dxa"/>
            </w:tcMar>
          </w:tcPr>
          <w:p w14:paraId="06EA8248" w14:textId="77777777" w:rsidR="00A270C6" w:rsidRPr="00A270C6" w:rsidRDefault="00A270C6" w:rsidP="00A270C6">
            <w:pPr>
              <w:spacing w:after="0" w:line="240" w:lineRule="auto"/>
              <w:rPr>
                <w:rFonts w:ascii="Times New Roman" w:eastAsia="Calibri" w:hAnsi="Times New Roman" w:cs="Times New Roman"/>
                <w:color w:val="262626"/>
                <w:sz w:val="24"/>
              </w:rPr>
            </w:pPr>
          </w:p>
        </w:tc>
        <w:tc>
          <w:tcPr>
            <w:tcW w:w="4680" w:type="dxa"/>
            <w:shd w:val="clear" w:color="auto" w:fill="auto"/>
          </w:tcPr>
          <w:p w14:paraId="6D94C8F0" w14:textId="77777777" w:rsidR="00A270C6" w:rsidRPr="00A270C6" w:rsidRDefault="00A270C6" w:rsidP="00A270C6">
            <w:pPr>
              <w:spacing w:after="0" w:line="240" w:lineRule="auto"/>
              <w:rPr>
                <w:rFonts w:ascii="Times New Roman" w:eastAsia="Calibri" w:hAnsi="Times New Roman" w:cs="Times New Roman"/>
                <w:color w:val="262626"/>
                <w:sz w:val="24"/>
              </w:rPr>
            </w:pPr>
          </w:p>
        </w:tc>
        <w:tc>
          <w:tcPr>
            <w:tcW w:w="1998" w:type="dxa"/>
            <w:shd w:val="clear" w:color="auto" w:fill="auto"/>
          </w:tcPr>
          <w:p w14:paraId="7FED95A5" w14:textId="77777777" w:rsidR="00A270C6" w:rsidRPr="00A270C6" w:rsidRDefault="00A270C6" w:rsidP="00A270C6">
            <w:pPr>
              <w:spacing w:after="0" w:line="240" w:lineRule="auto"/>
              <w:rPr>
                <w:rFonts w:ascii="Times New Roman" w:eastAsia="Calibri" w:hAnsi="Times New Roman" w:cs="Times New Roman"/>
                <w:color w:val="262626"/>
                <w:sz w:val="24"/>
              </w:rPr>
            </w:pPr>
          </w:p>
        </w:tc>
      </w:tr>
      <w:tr w:rsidR="00A270C6" w:rsidRPr="00A270C6" w14:paraId="08FA5F36" w14:textId="77777777" w:rsidTr="008463E9">
        <w:trPr>
          <w:trHeight w:val="14"/>
        </w:trPr>
        <w:tc>
          <w:tcPr>
            <w:tcW w:w="1044" w:type="dxa"/>
            <w:shd w:val="clear" w:color="auto" w:fill="auto"/>
            <w:tcMar>
              <w:top w:w="72" w:type="dxa"/>
              <w:left w:w="144" w:type="dxa"/>
              <w:bottom w:w="72" w:type="dxa"/>
              <w:right w:w="144" w:type="dxa"/>
            </w:tcMar>
          </w:tcPr>
          <w:p w14:paraId="15F0A08D" w14:textId="77777777" w:rsidR="00A270C6" w:rsidRPr="00A270C6" w:rsidRDefault="00A270C6" w:rsidP="00A270C6">
            <w:pPr>
              <w:spacing w:after="0" w:line="240" w:lineRule="auto"/>
              <w:jc w:val="center"/>
              <w:rPr>
                <w:rFonts w:ascii="Calibri" w:eastAsia="Calibri" w:hAnsi="Calibri" w:cs="Times New Roman"/>
                <w:color w:val="262626"/>
              </w:rPr>
            </w:pPr>
          </w:p>
        </w:tc>
        <w:tc>
          <w:tcPr>
            <w:tcW w:w="1890" w:type="dxa"/>
            <w:shd w:val="clear" w:color="auto" w:fill="auto"/>
            <w:tcMar>
              <w:top w:w="72" w:type="dxa"/>
              <w:left w:w="144" w:type="dxa"/>
              <w:bottom w:w="72" w:type="dxa"/>
              <w:right w:w="144" w:type="dxa"/>
            </w:tcMar>
          </w:tcPr>
          <w:p w14:paraId="4B4C07F4" w14:textId="77777777" w:rsidR="00A270C6" w:rsidRPr="00A270C6" w:rsidRDefault="00A270C6" w:rsidP="00A270C6">
            <w:pPr>
              <w:spacing w:after="0" w:line="240" w:lineRule="auto"/>
              <w:rPr>
                <w:rFonts w:ascii="Times New Roman" w:eastAsia="Calibri" w:hAnsi="Times New Roman" w:cs="Times New Roman"/>
                <w:color w:val="262626"/>
                <w:sz w:val="24"/>
              </w:rPr>
            </w:pPr>
          </w:p>
        </w:tc>
        <w:tc>
          <w:tcPr>
            <w:tcW w:w="4680" w:type="dxa"/>
            <w:shd w:val="clear" w:color="auto" w:fill="auto"/>
          </w:tcPr>
          <w:p w14:paraId="3EDA0776" w14:textId="77777777" w:rsidR="00A270C6" w:rsidRPr="00A270C6" w:rsidRDefault="00A270C6" w:rsidP="00A270C6">
            <w:pPr>
              <w:spacing w:after="0" w:line="240" w:lineRule="auto"/>
              <w:rPr>
                <w:rFonts w:ascii="Times New Roman" w:eastAsia="Calibri" w:hAnsi="Times New Roman" w:cs="Times New Roman"/>
                <w:color w:val="262626"/>
                <w:sz w:val="24"/>
              </w:rPr>
            </w:pPr>
          </w:p>
        </w:tc>
        <w:tc>
          <w:tcPr>
            <w:tcW w:w="1998" w:type="dxa"/>
            <w:shd w:val="clear" w:color="auto" w:fill="auto"/>
          </w:tcPr>
          <w:p w14:paraId="4D5D2251" w14:textId="77777777" w:rsidR="00A270C6" w:rsidRPr="00A270C6" w:rsidRDefault="00A270C6" w:rsidP="00A270C6">
            <w:pPr>
              <w:spacing w:after="0" w:line="240" w:lineRule="auto"/>
              <w:rPr>
                <w:rFonts w:ascii="Times New Roman" w:eastAsia="Calibri" w:hAnsi="Times New Roman" w:cs="Times New Roman"/>
                <w:color w:val="262626"/>
                <w:sz w:val="24"/>
              </w:rPr>
            </w:pPr>
          </w:p>
        </w:tc>
      </w:tr>
      <w:tr w:rsidR="00A270C6" w:rsidRPr="00A270C6" w14:paraId="13C4630B" w14:textId="77777777" w:rsidTr="008463E9">
        <w:trPr>
          <w:trHeight w:val="14"/>
        </w:trPr>
        <w:tc>
          <w:tcPr>
            <w:tcW w:w="1044" w:type="dxa"/>
            <w:shd w:val="clear" w:color="auto" w:fill="auto"/>
            <w:tcMar>
              <w:top w:w="72" w:type="dxa"/>
              <w:left w:w="144" w:type="dxa"/>
              <w:bottom w:w="72" w:type="dxa"/>
              <w:right w:w="144" w:type="dxa"/>
            </w:tcMar>
          </w:tcPr>
          <w:p w14:paraId="08234FAC" w14:textId="77777777" w:rsidR="00A270C6" w:rsidRPr="00A270C6" w:rsidRDefault="00A270C6" w:rsidP="00A270C6">
            <w:pPr>
              <w:spacing w:after="0" w:line="240" w:lineRule="auto"/>
              <w:jc w:val="center"/>
              <w:rPr>
                <w:rFonts w:ascii="Calibri" w:eastAsia="Calibri" w:hAnsi="Calibri" w:cs="Times New Roman"/>
                <w:color w:val="262626"/>
              </w:rPr>
            </w:pPr>
          </w:p>
        </w:tc>
        <w:tc>
          <w:tcPr>
            <w:tcW w:w="1890" w:type="dxa"/>
            <w:shd w:val="clear" w:color="auto" w:fill="auto"/>
            <w:tcMar>
              <w:top w:w="72" w:type="dxa"/>
              <w:left w:w="144" w:type="dxa"/>
              <w:bottom w:w="72" w:type="dxa"/>
              <w:right w:w="144" w:type="dxa"/>
            </w:tcMar>
          </w:tcPr>
          <w:p w14:paraId="4DB41DAD" w14:textId="77777777" w:rsidR="00A270C6" w:rsidRPr="00A270C6" w:rsidRDefault="00A270C6" w:rsidP="00A270C6">
            <w:pPr>
              <w:spacing w:after="0" w:line="240" w:lineRule="auto"/>
              <w:rPr>
                <w:rFonts w:ascii="Times New Roman" w:eastAsia="Calibri" w:hAnsi="Times New Roman" w:cs="Times New Roman"/>
                <w:color w:val="262626"/>
                <w:sz w:val="24"/>
              </w:rPr>
            </w:pPr>
          </w:p>
        </w:tc>
        <w:tc>
          <w:tcPr>
            <w:tcW w:w="4680" w:type="dxa"/>
            <w:shd w:val="clear" w:color="auto" w:fill="auto"/>
          </w:tcPr>
          <w:p w14:paraId="11E3456D" w14:textId="77777777" w:rsidR="00A270C6" w:rsidRPr="00A270C6" w:rsidRDefault="00A270C6" w:rsidP="00A270C6">
            <w:pPr>
              <w:spacing w:after="0" w:line="240" w:lineRule="auto"/>
              <w:rPr>
                <w:rFonts w:ascii="Times New Roman" w:eastAsia="Calibri" w:hAnsi="Times New Roman" w:cs="Times New Roman"/>
                <w:color w:val="262626"/>
                <w:sz w:val="24"/>
              </w:rPr>
            </w:pPr>
          </w:p>
        </w:tc>
        <w:tc>
          <w:tcPr>
            <w:tcW w:w="1998" w:type="dxa"/>
            <w:shd w:val="clear" w:color="auto" w:fill="auto"/>
          </w:tcPr>
          <w:p w14:paraId="56EB1653" w14:textId="77777777" w:rsidR="00A270C6" w:rsidRPr="00A270C6" w:rsidRDefault="00A270C6" w:rsidP="00A270C6">
            <w:pPr>
              <w:spacing w:after="0" w:line="240" w:lineRule="auto"/>
              <w:rPr>
                <w:rFonts w:ascii="Times New Roman" w:eastAsia="Calibri" w:hAnsi="Times New Roman" w:cs="Times New Roman"/>
                <w:color w:val="262626"/>
                <w:sz w:val="24"/>
              </w:rPr>
            </w:pPr>
          </w:p>
        </w:tc>
      </w:tr>
    </w:tbl>
    <w:p w14:paraId="70185E42" w14:textId="77777777" w:rsidR="00A270C6" w:rsidRPr="00A270C6" w:rsidRDefault="00A270C6" w:rsidP="00A270C6">
      <w:pPr>
        <w:spacing w:after="240"/>
        <w:rPr>
          <w:rFonts w:ascii="Calibri" w:eastAsia="Calibri" w:hAnsi="Calibri" w:cs="Times New Roman"/>
        </w:rPr>
      </w:pPr>
    </w:p>
    <w:p w14:paraId="4A9A3CF5" w14:textId="77777777" w:rsidR="00DE0069" w:rsidRDefault="00DE0069" w:rsidP="00E734E4"/>
    <w:p w14:paraId="7641D2D2" w14:textId="5DA595B3" w:rsidR="00AA36CD" w:rsidRDefault="00AA36CD" w:rsidP="008A4924">
      <w:pPr>
        <w:jc w:val="both"/>
        <w:sectPr w:rsidR="00AA36CD" w:rsidSect="006160F8">
          <w:headerReference w:type="even" r:id="rId20"/>
          <w:headerReference w:type="default" r:id="rId21"/>
          <w:footerReference w:type="default" r:id="rId22"/>
          <w:headerReference w:type="first" r:id="rId23"/>
          <w:pgSz w:w="12240" w:h="15840"/>
          <w:pgMar w:top="1440" w:right="1440" w:bottom="1440" w:left="1440" w:header="720" w:footer="720" w:gutter="0"/>
          <w:cols w:space="720"/>
          <w:docGrid w:linePitch="360"/>
        </w:sectPr>
      </w:pPr>
    </w:p>
    <w:p w14:paraId="5641AC3D" w14:textId="45A7AD0A" w:rsidR="00F01BF4" w:rsidRDefault="00F01BF4" w:rsidP="000F4E86">
      <w:pPr>
        <w:pStyle w:val="Heading2"/>
        <w:numPr>
          <w:ilvl w:val="1"/>
          <w:numId w:val="76"/>
        </w:numPr>
      </w:pPr>
      <w:bookmarkStart w:id="8" w:name="_Toc482792817"/>
      <w:bookmarkStart w:id="9" w:name="_Toc31622983"/>
      <w:bookmarkStart w:id="10" w:name="_Toc481758981"/>
      <w:r>
        <w:lastRenderedPageBreak/>
        <w:t>Table of Contents</w:t>
      </w:r>
      <w:bookmarkEnd w:id="8"/>
      <w:bookmarkEnd w:id="9"/>
    </w:p>
    <w:p w14:paraId="30797402" w14:textId="77777777" w:rsidR="00F01BF4" w:rsidRDefault="00F01BF4" w:rsidP="00F01BF4"/>
    <w:p w14:paraId="002FBEFC" w14:textId="77777777" w:rsidR="00FA0CDB" w:rsidRDefault="00F01BF4">
      <w:pPr>
        <w:pStyle w:val="TOC1"/>
        <w:rPr>
          <w:rFonts w:eastAsiaTheme="minorEastAsia"/>
          <w:noProof/>
        </w:rPr>
      </w:pPr>
      <w:r>
        <w:fldChar w:fldCharType="begin"/>
      </w:r>
      <w:r>
        <w:instrText xml:space="preserve"> TOC \o "1-3" \h \z \u </w:instrText>
      </w:r>
      <w:r>
        <w:fldChar w:fldCharType="separate"/>
      </w:r>
      <w:hyperlink w:anchor="_Toc31622979" w:history="1">
        <w:r w:rsidR="00FA0CDB" w:rsidRPr="00B10193">
          <w:rPr>
            <w:rStyle w:val="Hyperlink"/>
            <w:noProof/>
          </w:rPr>
          <w:t>1.</w:t>
        </w:r>
        <w:r w:rsidR="00FA0CDB">
          <w:rPr>
            <w:rFonts w:eastAsiaTheme="minorEastAsia"/>
            <w:noProof/>
          </w:rPr>
          <w:tab/>
        </w:r>
        <w:r w:rsidR="00FA0CDB" w:rsidRPr="00B10193">
          <w:rPr>
            <w:rStyle w:val="Hyperlink"/>
            <w:noProof/>
          </w:rPr>
          <w:t>Introductory Material</w:t>
        </w:r>
        <w:r w:rsidR="00FA0CDB">
          <w:rPr>
            <w:noProof/>
            <w:webHidden/>
          </w:rPr>
          <w:tab/>
        </w:r>
        <w:r w:rsidR="00FA0CDB">
          <w:rPr>
            <w:noProof/>
            <w:webHidden/>
          </w:rPr>
          <w:fldChar w:fldCharType="begin"/>
        </w:r>
        <w:r w:rsidR="00FA0CDB">
          <w:rPr>
            <w:noProof/>
            <w:webHidden/>
          </w:rPr>
          <w:instrText xml:space="preserve"> PAGEREF _Toc31622979 \h </w:instrText>
        </w:r>
        <w:r w:rsidR="00FA0CDB">
          <w:rPr>
            <w:noProof/>
            <w:webHidden/>
          </w:rPr>
        </w:r>
        <w:r w:rsidR="00FA0CDB">
          <w:rPr>
            <w:noProof/>
            <w:webHidden/>
          </w:rPr>
          <w:fldChar w:fldCharType="separate"/>
        </w:r>
        <w:r w:rsidR="009A1FF8">
          <w:rPr>
            <w:noProof/>
            <w:webHidden/>
          </w:rPr>
          <w:t>2</w:t>
        </w:r>
        <w:r w:rsidR="00FA0CDB">
          <w:rPr>
            <w:noProof/>
            <w:webHidden/>
          </w:rPr>
          <w:fldChar w:fldCharType="end"/>
        </w:r>
      </w:hyperlink>
    </w:p>
    <w:p w14:paraId="42BE7EAC" w14:textId="77777777" w:rsidR="00FA0CDB" w:rsidRDefault="009A1FF8">
      <w:pPr>
        <w:pStyle w:val="TOC2"/>
        <w:rPr>
          <w:rFonts w:eastAsiaTheme="minorEastAsia"/>
        </w:rPr>
      </w:pPr>
      <w:hyperlink w:anchor="_Toc31622980" w:history="1">
        <w:r w:rsidR="00FA0CDB" w:rsidRPr="00B10193">
          <w:rPr>
            <w:rStyle w:val="Hyperlink"/>
          </w:rPr>
          <w:t>1.1</w:t>
        </w:r>
        <w:r w:rsidR="00FA0CDB">
          <w:rPr>
            <w:rFonts w:eastAsiaTheme="minorEastAsia"/>
          </w:rPr>
          <w:tab/>
        </w:r>
        <w:r w:rsidR="00FA0CDB" w:rsidRPr="00B10193">
          <w:rPr>
            <w:rStyle w:val="Hyperlink"/>
          </w:rPr>
          <w:t>Promulgation/Adoption</w:t>
        </w:r>
        <w:r w:rsidR="00FA0CDB">
          <w:rPr>
            <w:webHidden/>
          </w:rPr>
          <w:tab/>
        </w:r>
        <w:r w:rsidR="00FA0CDB">
          <w:rPr>
            <w:webHidden/>
          </w:rPr>
          <w:fldChar w:fldCharType="begin"/>
        </w:r>
        <w:r w:rsidR="00FA0CDB">
          <w:rPr>
            <w:webHidden/>
          </w:rPr>
          <w:instrText xml:space="preserve"> PAGEREF _Toc31622980 \h </w:instrText>
        </w:r>
        <w:r w:rsidR="00FA0CDB">
          <w:rPr>
            <w:webHidden/>
          </w:rPr>
        </w:r>
        <w:r w:rsidR="00FA0CDB">
          <w:rPr>
            <w:webHidden/>
          </w:rPr>
          <w:fldChar w:fldCharType="separate"/>
        </w:r>
        <w:r>
          <w:rPr>
            <w:webHidden/>
          </w:rPr>
          <w:t>2</w:t>
        </w:r>
        <w:r w:rsidR="00FA0CDB">
          <w:rPr>
            <w:webHidden/>
          </w:rPr>
          <w:fldChar w:fldCharType="end"/>
        </w:r>
      </w:hyperlink>
    </w:p>
    <w:p w14:paraId="210E5E03" w14:textId="77777777" w:rsidR="00FA0CDB" w:rsidRDefault="009A1FF8">
      <w:pPr>
        <w:pStyle w:val="TOC2"/>
        <w:rPr>
          <w:rFonts w:eastAsiaTheme="minorEastAsia"/>
        </w:rPr>
      </w:pPr>
      <w:hyperlink w:anchor="_Toc31622981" w:history="1">
        <w:r w:rsidR="00FA0CDB" w:rsidRPr="00B10193">
          <w:rPr>
            <w:rStyle w:val="Hyperlink"/>
          </w:rPr>
          <w:t>1.2</w:t>
        </w:r>
        <w:r w:rsidR="00FA0CDB">
          <w:rPr>
            <w:rFonts w:eastAsiaTheme="minorEastAsia"/>
          </w:rPr>
          <w:tab/>
        </w:r>
        <w:r w:rsidR="00FA0CDB" w:rsidRPr="00B10193">
          <w:rPr>
            <w:rStyle w:val="Hyperlink"/>
          </w:rPr>
          <w:t>Approval and Implementation</w:t>
        </w:r>
        <w:r w:rsidR="00FA0CDB">
          <w:rPr>
            <w:webHidden/>
          </w:rPr>
          <w:tab/>
        </w:r>
        <w:r w:rsidR="00FA0CDB">
          <w:rPr>
            <w:webHidden/>
          </w:rPr>
          <w:fldChar w:fldCharType="begin"/>
        </w:r>
        <w:r w:rsidR="00FA0CDB">
          <w:rPr>
            <w:webHidden/>
          </w:rPr>
          <w:instrText xml:space="preserve"> PAGEREF _Toc31622981 \h </w:instrText>
        </w:r>
        <w:r w:rsidR="00FA0CDB">
          <w:rPr>
            <w:webHidden/>
          </w:rPr>
        </w:r>
        <w:r w:rsidR="00FA0CDB">
          <w:rPr>
            <w:webHidden/>
          </w:rPr>
          <w:fldChar w:fldCharType="separate"/>
        </w:r>
        <w:r>
          <w:rPr>
            <w:webHidden/>
          </w:rPr>
          <w:t>2</w:t>
        </w:r>
        <w:r w:rsidR="00FA0CDB">
          <w:rPr>
            <w:webHidden/>
          </w:rPr>
          <w:fldChar w:fldCharType="end"/>
        </w:r>
      </w:hyperlink>
    </w:p>
    <w:p w14:paraId="3F394C91" w14:textId="77777777" w:rsidR="00FA0CDB" w:rsidRDefault="009A1FF8">
      <w:pPr>
        <w:pStyle w:val="TOC2"/>
        <w:rPr>
          <w:rFonts w:eastAsiaTheme="minorEastAsia"/>
        </w:rPr>
      </w:pPr>
      <w:hyperlink w:anchor="_Toc31622982" w:history="1">
        <w:r w:rsidR="00FA0CDB" w:rsidRPr="00B10193">
          <w:rPr>
            <w:rStyle w:val="Hyperlink"/>
          </w:rPr>
          <w:t>1.3</w:t>
        </w:r>
        <w:r w:rsidR="00FA0CDB">
          <w:rPr>
            <w:rFonts w:eastAsiaTheme="minorEastAsia"/>
          </w:rPr>
          <w:tab/>
        </w:r>
        <w:r w:rsidR="00FA0CDB" w:rsidRPr="00B10193">
          <w:rPr>
            <w:rStyle w:val="Hyperlink"/>
          </w:rPr>
          <w:t>Record of Changes</w:t>
        </w:r>
        <w:r w:rsidR="00FA0CDB">
          <w:rPr>
            <w:webHidden/>
          </w:rPr>
          <w:tab/>
        </w:r>
        <w:r w:rsidR="00FA0CDB">
          <w:rPr>
            <w:webHidden/>
          </w:rPr>
          <w:fldChar w:fldCharType="begin"/>
        </w:r>
        <w:r w:rsidR="00FA0CDB">
          <w:rPr>
            <w:webHidden/>
          </w:rPr>
          <w:instrText xml:space="preserve"> PAGEREF _Toc31622982 \h </w:instrText>
        </w:r>
        <w:r w:rsidR="00FA0CDB">
          <w:rPr>
            <w:webHidden/>
          </w:rPr>
        </w:r>
        <w:r w:rsidR="00FA0CDB">
          <w:rPr>
            <w:webHidden/>
          </w:rPr>
          <w:fldChar w:fldCharType="separate"/>
        </w:r>
        <w:r>
          <w:rPr>
            <w:webHidden/>
          </w:rPr>
          <w:t>3</w:t>
        </w:r>
        <w:r w:rsidR="00FA0CDB">
          <w:rPr>
            <w:webHidden/>
          </w:rPr>
          <w:fldChar w:fldCharType="end"/>
        </w:r>
      </w:hyperlink>
    </w:p>
    <w:p w14:paraId="143B285A" w14:textId="77777777" w:rsidR="00FA0CDB" w:rsidRDefault="009A1FF8">
      <w:pPr>
        <w:pStyle w:val="TOC2"/>
        <w:rPr>
          <w:rFonts w:eastAsiaTheme="minorEastAsia"/>
        </w:rPr>
      </w:pPr>
      <w:hyperlink w:anchor="_Toc31622983" w:history="1">
        <w:r w:rsidR="00FA0CDB" w:rsidRPr="00B10193">
          <w:rPr>
            <w:rStyle w:val="Hyperlink"/>
          </w:rPr>
          <w:t>1.4</w:t>
        </w:r>
        <w:r w:rsidR="00FA0CDB">
          <w:rPr>
            <w:rFonts w:eastAsiaTheme="minorEastAsia"/>
          </w:rPr>
          <w:tab/>
        </w:r>
        <w:r w:rsidR="00FA0CDB" w:rsidRPr="00B10193">
          <w:rPr>
            <w:rStyle w:val="Hyperlink"/>
          </w:rPr>
          <w:t>Table of Contents</w:t>
        </w:r>
        <w:r w:rsidR="00FA0CDB">
          <w:rPr>
            <w:webHidden/>
          </w:rPr>
          <w:tab/>
        </w:r>
        <w:r w:rsidR="00FA0CDB">
          <w:rPr>
            <w:webHidden/>
          </w:rPr>
          <w:fldChar w:fldCharType="begin"/>
        </w:r>
        <w:r w:rsidR="00FA0CDB">
          <w:rPr>
            <w:webHidden/>
          </w:rPr>
          <w:instrText xml:space="preserve"> PAGEREF _Toc31622983 \h </w:instrText>
        </w:r>
        <w:r w:rsidR="00FA0CDB">
          <w:rPr>
            <w:webHidden/>
          </w:rPr>
        </w:r>
        <w:r w:rsidR="00FA0CDB">
          <w:rPr>
            <w:webHidden/>
          </w:rPr>
          <w:fldChar w:fldCharType="separate"/>
        </w:r>
        <w:r>
          <w:rPr>
            <w:webHidden/>
          </w:rPr>
          <w:t>4</w:t>
        </w:r>
        <w:r w:rsidR="00FA0CDB">
          <w:rPr>
            <w:webHidden/>
          </w:rPr>
          <w:fldChar w:fldCharType="end"/>
        </w:r>
      </w:hyperlink>
    </w:p>
    <w:p w14:paraId="3C87B7B9" w14:textId="77777777" w:rsidR="00FA0CDB" w:rsidRDefault="009A1FF8">
      <w:pPr>
        <w:pStyle w:val="TOC1"/>
        <w:rPr>
          <w:rFonts w:eastAsiaTheme="minorEastAsia"/>
          <w:noProof/>
        </w:rPr>
      </w:pPr>
      <w:hyperlink w:anchor="_Toc31622984" w:history="1">
        <w:r w:rsidR="00FA0CDB" w:rsidRPr="00B10193">
          <w:rPr>
            <w:rStyle w:val="Hyperlink"/>
            <w:noProof/>
          </w:rPr>
          <w:t>2. Purpose, Scope, Situation Overview, and Assumptions</w:t>
        </w:r>
        <w:r w:rsidR="00FA0CDB">
          <w:rPr>
            <w:noProof/>
            <w:webHidden/>
          </w:rPr>
          <w:tab/>
        </w:r>
        <w:r w:rsidR="00FA0CDB">
          <w:rPr>
            <w:noProof/>
            <w:webHidden/>
          </w:rPr>
          <w:fldChar w:fldCharType="begin"/>
        </w:r>
        <w:r w:rsidR="00FA0CDB">
          <w:rPr>
            <w:noProof/>
            <w:webHidden/>
          </w:rPr>
          <w:instrText xml:space="preserve"> PAGEREF _Toc31622984 \h </w:instrText>
        </w:r>
        <w:r w:rsidR="00FA0CDB">
          <w:rPr>
            <w:noProof/>
            <w:webHidden/>
          </w:rPr>
        </w:r>
        <w:r w:rsidR="00FA0CDB">
          <w:rPr>
            <w:noProof/>
            <w:webHidden/>
          </w:rPr>
          <w:fldChar w:fldCharType="separate"/>
        </w:r>
        <w:r>
          <w:rPr>
            <w:noProof/>
            <w:webHidden/>
          </w:rPr>
          <w:t>6</w:t>
        </w:r>
        <w:r w:rsidR="00FA0CDB">
          <w:rPr>
            <w:noProof/>
            <w:webHidden/>
          </w:rPr>
          <w:fldChar w:fldCharType="end"/>
        </w:r>
      </w:hyperlink>
    </w:p>
    <w:p w14:paraId="3DA0026F" w14:textId="77777777" w:rsidR="00FA0CDB" w:rsidRDefault="009A1FF8">
      <w:pPr>
        <w:pStyle w:val="TOC2"/>
        <w:rPr>
          <w:rFonts w:eastAsiaTheme="minorEastAsia"/>
        </w:rPr>
      </w:pPr>
      <w:hyperlink w:anchor="_Toc31622985" w:history="1">
        <w:r w:rsidR="00FA0CDB" w:rsidRPr="00B10193">
          <w:rPr>
            <w:rStyle w:val="Hyperlink"/>
          </w:rPr>
          <w:t>2.1</w:t>
        </w:r>
        <w:r w:rsidR="00FA0CDB">
          <w:rPr>
            <w:rFonts w:eastAsiaTheme="minorEastAsia"/>
          </w:rPr>
          <w:tab/>
        </w:r>
        <w:r w:rsidR="00FA0CDB" w:rsidRPr="00B10193">
          <w:rPr>
            <w:rStyle w:val="Hyperlink"/>
          </w:rPr>
          <w:t>Purpose</w:t>
        </w:r>
        <w:r w:rsidR="00FA0CDB">
          <w:rPr>
            <w:webHidden/>
          </w:rPr>
          <w:tab/>
        </w:r>
        <w:r w:rsidR="00FA0CDB">
          <w:rPr>
            <w:webHidden/>
          </w:rPr>
          <w:fldChar w:fldCharType="begin"/>
        </w:r>
        <w:r w:rsidR="00FA0CDB">
          <w:rPr>
            <w:webHidden/>
          </w:rPr>
          <w:instrText xml:space="preserve"> PAGEREF _Toc31622985 \h </w:instrText>
        </w:r>
        <w:r w:rsidR="00FA0CDB">
          <w:rPr>
            <w:webHidden/>
          </w:rPr>
        </w:r>
        <w:r w:rsidR="00FA0CDB">
          <w:rPr>
            <w:webHidden/>
          </w:rPr>
          <w:fldChar w:fldCharType="separate"/>
        </w:r>
        <w:r>
          <w:rPr>
            <w:webHidden/>
          </w:rPr>
          <w:t>6</w:t>
        </w:r>
        <w:r w:rsidR="00FA0CDB">
          <w:rPr>
            <w:webHidden/>
          </w:rPr>
          <w:fldChar w:fldCharType="end"/>
        </w:r>
      </w:hyperlink>
    </w:p>
    <w:p w14:paraId="3E8A2814" w14:textId="77777777" w:rsidR="00FA0CDB" w:rsidRDefault="009A1FF8">
      <w:pPr>
        <w:pStyle w:val="TOC2"/>
        <w:rPr>
          <w:rFonts w:eastAsiaTheme="minorEastAsia"/>
        </w:rPr>
      </w:pPr>
      <w:hyperlink w:anchor="_Toc31622986" w:history="1">
        <w:r w:rsidR="00FA0CDB" w:rsidRPr="00B10193">
          <w:rPr>
            <w:rStyle w:val="Hyperlink"/>
          </w:rPr>
          <w:t>2.2</w:t>
        </w:r>
        <w:r w:rsidR="00FA0CDB">
          <w:rPr>
            <w:rFonts w:eastAsiaTheme="minorEastAsia"/>
          </w:rPr>
          <w:tab/>
        </w:r>
        <w:r w:rsidR="00FA0CDB" w:rsidRPr="00B10193">
          <w:rPr>
            <w:rStyle w:val="Hyperlink"/>
          </w:rPr>
          <w:t>Scope</w:t>
        </w:r>
        <w:r w:rsidR="00FA0CDB">
          <w:rPr>
            <w:webHidden/>
          </w:rPr>
          <w:tab/>
        </w:r>
        <w:r w:rsidR="00FA0CDB">
          <w:rPr>
            <w:webHidden/>
          </w:rPr>
          <w:fldChar w:fldCharType="begin"/>
        </w:r>
        <w:r w:rsidR="00FA0CDB">
          <w:rPr>
            <w:webHidden/>
          </w:rPr>
          <w:instrText xml:space="preserve"> PAGEREF _Toc31622986 \h </w:instrText>
        </w:r>
        <w:r w:rsidR="00FA0CDB">
          <w:rPr>
            <w:webHidden/>
          </w:rPr>
        </w:r>
        <w:r w:rsidR="00FA0CDB">
          <w:rPr>
            <w:webHidden/>
          </w:rPr>
          <w:fldChar w:fldCharType="separate"/>
        </w:r>
        <w:r>
          <w:rPr>
            <w:webHidden/>
          </w:rPr>
          <w:t>6</w:t>
        </w:r>
        <w:r w:rsidR="00FA0CDB">
          <w:rPr>
            <w:webHidden/>
          </w:rPr>
          <w:fldChar w:fldCharType="end"/>
        </w:r>
      </w:hyperlink>
    </w:p>
    <w:p w14:paraId="5530533E" w14:textId="77777777" w:rsidR="00FA0CDB" w:rsidRDefault="009A1FF8">
      <w:pPr>
        <w:pStyle w:val="TOC2"/>
        <w:rPr>
          <w:rFonts w:eastAsiaTheme="minorEastAsia"/>
        </w:rPr>
      </w:pPr>
      <w:hyperlink w:anchor="_Toc31622987" w:history="1">
        <w:r w:rsidR="00FA0CDB" w:rsidRPr="00B10193">
          <w:rPr>
            <w:rStyle w:val="Hyperlink"/>
          </w:rPr>
          <w:t>2.3</w:t>
        </w:r>
        <w:r w:rsidR="00FA0CDB">
          <w:rPr>
            <w:rFonts w:eastAsiaTheme="minorEastAsia"/>
          </w:rPr>
          <w:tab/>
        </w:r>
        <w:r w:rsidR="00FA0CDB" w:rsidRPr="00B10193">
          <w:rPr>
            <w:rStyle w:val="Hyperlink"/>
          </w:rPr>
          <w:t>Situation Overview</w:t>
        </w:r>
        <w:r w:rsidR="00FA0CDB">
          <w:rPr>
            <w:webHidden/>
          </w:rPr>
          <w:tab/>
        </w:r>
        <w:r w:rsidR="00FA0CDB">
          <w:rPr>
            <w:webHidden/>
          </w:rPr>
          <w:fldChar w:fldCharType="begin"/>
        </w:r>
        <w:r w:rsidR="00FA0CDB">
          <w:rPr>
            <w:webHidden/>
          </w:rPr>
          <w:instrText xml:space="preserve"> PAGEREF _Toc31622987 \h </w:instrText>
        </w:r>
        <w:r w:rsidR="00FA0CDB">
          <w:rPr>
            <w:webHidden/>
          </w:rPr>
        </w:r>
        <w:r w:rsidR="00FA0CDB">
          <w:rPr>
            <w:webHidden/>
          </w:rPr>
          <w:fldChar w:fldCharType="separate"/>
        </w:r>
        <w:r>
          <w:rPr>
            <w:webHidden/>
          </w:rPr>
          <w:t>6</w:t>
        </w:r>
        <w:r w:rsidR="00FA0CDB">
          <w:rPr>
            <w:webHidden/>
          </w:rPr>
          <w:fldChar w:fldCharType="end"/>
        </w:r>
      </w:hyperlink>
    </w:p>
    <w:p w14:paraId="39F65268" w14:textId="77777777" w:rsidR="00FA0CDB" w:rsidRDefault="009A1FF8">
      <w:pPr>
        <w:pStyle w:val="TOC2"/>
        <w:rPr>
          <w:rFonts w:eastAsiaTheme="minorEastAsia"/>
        </w:rPr>
      </w:pPr>
      <w:hyperlink w:anchor="_Toc31622988" w:history="1">
        <w:r w:rsidR="00FA0CDB" w:rsidRPr="00B10193">
          <w:rPr>
            <w:rStyle w:val="Hyperlink"/>
          </w:rPr>
          <w:t>2.4</w:t>
        </w:r>
        <w:r w:rsidR="00FA0CDB">
          <w:rPr>
            <w:rFonts w:eastAsiaTheme="minorEastAsia"/>
          </w:rPr>
          <w:tab/>
        </w:r>
        <w:r w:rsidR="00FA0CDB" w:rsidRPr="00B10193">
          <w:rPr>
            <w:rStyle w:val="Hyperlink"/>
          </w:rPr>
          <w:t>Planning Assumptions</w:t>
        </w:r>
        <w:r w:rsidR="00FA0CDB">
          <w:rPr>
            <w:webHidden/>
          </w:rPr>
          <w:tab/>
        </w:r>
        <w:r w:rsidR="00FA0CDB">
          <w:rPr>
            <w:webHidden/>
          </w:rPr>
          <w:fldChar w:fldCharType="begin"/>
        </w:r>
        <w:r w:rsidR="00FA0CDB">
          <w:rPr>
            <w:webHidden/>
          </w:rPr>
          <w:instrText xml:space="preserve"> PAGEREF _Toc31622988 \h </w:instrText>
        </w:r>
        <w:r w:rsidR="00FA0CDB">
          <w:rPr>
            <w:webHidden/>
          </w:rPr>
        </w:r>
        <w:r w:rsidR="00FA0CDB">
          <w:rPr>
            <w:webHidden/>
          </w:rPr>
          <w:fldChar w:fldCharType="separate"/>
        </w:r>
        <w:r>
          <w:rPr>
            <w:webHidden/>
          </w:rPr>
          <w:t>6</w:t>
        </w:r>
        <w:r w:rsidR="00FA0CDB">
          <w:rPr>
            <w:webHidden/>
          </w:rPr>
          <w:fldChar w:fldCharType="end"/>
        </w:r>
      </w:hyperlink>
    </w:p>
    <w:p w14:paraId="39C4344D" w14:textId="77777777" w:rsidR="00FA0CDB" w:rsidRDefault="009A1FF8">
      <w:pPr>
        <w:pStyle w:val="TOC1"/>
        <w:rPr>
          <w:rFonts w:eastAsiaTheme="minorEastAsia"/>
          <w:noProof/>
        </w:rPr>
      </w:pPr>
      <w:hyperlink w:anchor="_Toc31622989" w:history="1">
        <w:r w:rsidR="00FA0CDB" w:rsidRPr="00B10193">
          <w:rPr>
            <w:rStyle w:val="Hyperlink"/>
            <w:noProof/>
          </w:rPr>
          <w:t>3.</w:t>
        </w:r>
        <w:r w:rsidR="00FA0CDB">
          <w:rPr>
            <w:rFonts w:eastAsiaTheme="minorEastAsia"/>
            <w:noProof/>
          </w:rPr>
          <w:tab/>
        </w:r>
        <w:r w:rsidR="00FA0CDB" w:rsidRPr="00B10193">
          <w:rPr>
            <w:rStyle w:val="Hyperlink"/>
            <w:noProof/>
          </w:rPr>
          <w:t>Concept of Operations</w:t>
        </w:r>
        <w:r w:rsidR="00FA0CDB">
          <w:rPr>
            <w:noProof/>
            <w:webHidden/>
          </w:rPr>
          <w:tab/>
        </w:r>
        <w:r w:rsidR="00FA0CDB">
          <w:rPr>
            <w:noProof/>
            <w:webHidden/>
          </w:rPr>
          <w:fldChar w:fldCharType="begin"/>
        </w:r>
        <w:r w:rsidR="00FA0CDB">
          <w:rPr>
            <w:noProof/>
            <w:webHidden/>
          </w:rPr>
          <w:instrText xml:space="preserve"> PAGEREF _Toc31622989 \h </w:instrText>
        </w:r>
        <w:r w:rsidR="00FA0CDB">
          <w:rPr>
            <w:noProof/>
            <w:webHidden/>
          </w:rPr>
        </w:r>
        <w:r w:rsidR="00FA0CDB">
          <w:rPr>
            <w:noProof/>
            <w:webHidden/>
          </w:rPr>
          <w:fldChar w:fldCharType="separate"/>
        </w:r>
        <w:r>
          <w:rPr>
            <w:noProof/>
            <w:webHidden/>
          </w:rPr>
          <w:t>8</w:t>
        </w:r>
        <w:r w:rsidR="00FA0CDB">
          <w:rPr>
            <w:noProof/>
            <w:webHidden/>
          </w:rPr>
          <w:fldChar w:fldCharType="end"/>
        </w:r>
      </w:hyperlink>
    </w:p>
    <w:p w14:paraId="3717439E" w14:textId="77777777" w:rsidR="00FA0CDB" w:rsidRDefault="009A1FF8">
      <w:pPr>
        <w:pStyle w:val="TOC2"/>
        <w:rPr>
          <w:rFonts w:eastAsiaTheme="minorEastAsia"/>
        </w:rPr>
      </w:pPr>
      <w:hyperlink w:anchor="_Toc31622991" w:history="1">
        <w:r w:rsidR="00FA0CDB" w:rsidRPr="00B10193">
          <w:rPr>
            <w:rStyle w:val="Hyperlink"/>
          </w:rPr>
          <w:t>3.1</w:t>
        </w:r>
        <w:r w:rsidR="00FA0CDB">
          <w:rPr>
            <w:rFonts w:eastAsiaTheme="minorEastAsia"/>
          </w:rPr>
          <w:tab/>
        </w:r>
        <w:r w:rsidR="00FA0CDB" w:rsidRPr="00B10193">
          <w:rPr>
            <w:rStyle w:val="Hyperlink"/>
          </w:rPr>
          <w:t>Initial Assessment of Threat Warning Information</w:t>
        </w:r>
        <w:r w:rsidR="00FA0CDB">
          <w:rPr>
            <w:webHidden/>
          </w:rPr>
          <w:tab/>
        </w:r>
        <w:r w:rsidR="00FA0CDB">
          <w:rPr>
            <w:webHidden/>
          </w:rPr>
          <w:fldChar w:fldCharType="begin"/>
        </w:r>
        <w:r w:rsidR="00FA0CDB">
          <w:rPr>
            <w:webHidden/>
          </w:rPr>
          <w:instrText xml:space="preserve"> PAGEREF _Toc31622991 \h </w:instrText>
        </w:r>
        <w:r w:rsidR="00FA0CDB">
          <w:rPr>
            <w:webHidden/>
          </w:rPr>
        </w:r>
        <w:r w:rsidR="00FA0CDB">
          <w:rPr>
            <w:webHidden/>
          </w:rPr>
          <w:fldChar w:fldCharType="separate"/>
        </w:r>
        <w:r>
          <w:rPr>
            <w:webHidden/>
          </w:rPr>
          <w:t>8</w:t>
        </w:r>
        <w:r w:rsidR="00FA0CDB">
          <w:rPr>
            <w:webHidden/>
          </w:rPr>
          <w:fldChar w:fldCharType="end"/>
        </w:r>
      </w:hyperlink>
    </w:p>
    <w:p w14:paraId="1289CF7B" w14:textId="77777777" w:rsidR="00FA0CDB" w:rsidRDefault="009A1FF8">
      <w:pPr>
        <w:pStyle w:val="TOC2"/>
        <w:rPr>
          <w:rFonts w:eastAsiaTheme="minorEastAsia"/>
        </w:rPr>
      </w:pPr>
      <w:hyperlink w:anchor="_Toc31622992" w:history="1">
        <w:r w:rsidR="00FA0CDB" w:rsidRPr="00B10193">
          <w:rPr>
            <w:rStyle w:val="Hyperlink"/>
          </w:rPr>
          <w:t>3.2</w:t>
        </w:r>
        <w:r w:rsidR="00FA0CDB">
          <w:rPr>
            <w:rFonts w:eastAsiaTheme="minorEastAsia"/>
          </w:rPr>
          <w:tab/>
        </w:r>
        <w:r w:rsidR="00FA0CDB" w:rsidRPr="00B10193">
          <w:rPr>
            <w:rStyle w:val="Hyperlink"/>
          </w:rPr>
          <w:t>Activation</w:t>
        </w:r>
        <w:r w:rsidR="00FA0CDB">
          <w:rPr>
            <w:webHidden/>
          </w:rPr>
          <w:tab/>
        </w:r>
        <w:r w:rsidR="00FA0CDB">
          <w:rPr>
            <w:webHidden/>
          </w:rPr>
          <w:fldChar w:fldCharType="begin"/>
        </w:r>
        <w:r w:rsidR="00FA0CDB">
          <w:rPr>
            <w:webHidden/>
          </w:rPr>
          <w:instrText xml:space="preserve"> PAGEREF _Toc31622992 \h </w:instrText>
        </w:r>
        <w:r w:rsidR="00FA0CDB">
          <w:rPr>
            <w:webHidden/>
          </w:rPr>
        </w:r>
        <w:r w:rsidR="00FA0CDB">
          <w:rPr>
            <w:webHidden/>
          </w:rPr>
          <w:fldChar w:fldCharType="separate"/>
        </w:r>
        <w:r>
          <w:rPr>
            <w:webHidden/>
          </w:rPr>
          <w:t>8</w:t>
        </w:r>
        <w:r w:rsidR="00FA0CDB">
          <w:rPr>
            <w:webHidden/>
          </w:rPr>
          <w:fldChar w:fldCharType="end"/>
        </w:r>
      </w:hyperlink>
    </w:p>
    <w:p w14:paraId="4BE9554F" w14:textId="77777777" w:rsidR="00FA0CDB" w:rsidRDefault="009A1FF8">
      <w:pPr>
        <w:pStyle w:val="TOC2"/>
        <w:rPr>
          <w:rFonts w:eastAsiaTheme="minorEastAsia"/>
        </w:rPr>
      </w:pPr>
      <w:hyperlink w:anchor="_Toc31622993" w:history="1">
        <w:r w:rsidR="00FA0CDB" w:rsidRPr="00B10193">
          <w:rPr>
            <w:rStyle w:val="Hyperlink"/>
          </w:rPr>
          <w:t>3.3</w:t>
        </w:r>
        <w:r w:rsidR="00FA0CDB">
          <w:rPr>
            <w:rFonts w:eastAsiaTheme="minorEastAsia"/>
          </w:rPr>
          <w:tab/>
        </w:r>
        <w:r w:rsidR="00FA0CDB" w:rsidRPr="00B10193">
          <w:rPr>
            <w:rStyle w:val="Hyperlink"/>
          </w:rPr>
          <w:t>MDPH Operations</w:t>
        </w:r>
        <w:r w:rsidR="00FA0CDB">
          <w:rPr>
            <w:webHidden/>
          </w:rPr>
          <w:tab/>
        </w:r>
        <w:r w:rsidR="00FA0CDB">
          <w:rPr>
            <w:webHidden/>
          </w:rPr>
          <w:fldChar w:fldCharType="begin"/>
        </w:r>
        <w:r w:rsidR="00FA0CDB">
          <w:rPr>
            <w:webHidden/>
          </w:rPr>
          <w:instrText xml:space="preserve"> PAGEREF _Toc31622993 \h </w:instrText>
        </w:r>
        <w:r w:rsidR="00FA0CDB">
          <w:rPr>
            <w:webHidden/>
          </w:rPr>
        </w:r>
        <w:r w:rsidR="00FA0CDB">
          <w:rPr>
            <w:webHidden/>
          </w:rPr>
          <w:fldChar w:fldCharType="separate"/>
        </w:r>
        <w:r>
          <w:rPr>
            <w:webHidden/>
          </w:rPr>
          <w:t>9</w:t>
        </w:r>
        <w:r w:rsidR="00FA0CDB">
          <w:rPr>
            <w:webHidden/>
          </w:rPr>
          <w:fldChar w:fldCharType="end"/>
        </w:r>
      </w:hyperlink>
    </w:p>
    <w:p w14:paraId="517A974F" w14:textId="77777777" w:rsidR="00FA0CDB" w:rsidRDefault="009A1FF8">
      <w:pPr>
        <w:pStyle w:val="TOC2"/>
        <w:rPr>
          <w:rFonts w:eastAsiaTheme="minorEastAsia"/>
        </w:rPr>
      </w:pPr>
      <w:hyperlink w:anchor="_Toc31622994" w:history="1">
        <w:r w:rsidR="00FA0CDB" w:rsidRPr="00B10193">
          <w:rPr>
            <w:rStyle w:val="Hyperlink"/>
          </w:rPr>
          <w:t>3.4</w:t>
        </w:r>
        <w:r w:rsidR="00FA0CDB">
          <w:rPr>
            <w:rFonts w:eastAsiaTheme="minorEastAsia"/>
          </w:rPr>
          <w:tab/>
        </w:r>
        <w:r w:rsidR="00FA0CDB" w:rsidRPr="00B10193">
          <w:rPr>
            <w:rStyle w:val="Hyperlink"/>
          </w:rPr>
          <w:t>Information Sharing and Situational Awareness</w:t>
        </w:r>
        <w:r w:rsidR="00FA0CDB">
          <w:rPr>
            <w:webHidden/>
          </w:rPr>
          <w:tab/>
        </w:r>
        <w:r w:rsidR="00FA0CDB">
          <w:rPr>
            <w:webHidden/>
          </w:rPr>
          <w:fldChar w:fldCharType="begin"/>
        </w:r>
        <w:r w:rsidR="00FA0CDB">
          <w:rPr>
            <w:webHidden/>
          </w:rPr>
          <w:instrText xml:space="preserve"> PAGEREF _Toc31622994 \h </w:instrText>
        </w:r>
        <w:r w:rsidR="00FA0CDB">
          <w:rPr>
            <w:webHidden/>
          </w:rPr>
        </w:r>
        <w:r w:rsidR="00FA0CDB">
          <w:rPr>
            <w:webHidden/>
          </w:rPr>
          <w:fldChar w:fldCharType="separate"/>
        </w:r>
        <w:r>
          <w:rPr>
            <w:webHidden/>
          </w:rPr>
          <w:t>13</w:t>
        </w:r>
        <w:r w:rsidR="00FA0CDB">
          <w:rPr>
            <w:webHidden/>
          </w:rPr>
          <w:fldChar w:fldCharType="end"/>
        </w:r>
      </w:hyperlink>
    </w:p>
    <w:p w14:paraId="670B82D8" w14:textId="77777777" w:rsidR="00FA0CDB" w:rsidRDefault="009A1FF8">
      <w:pPr>
        <w:pStyle w:val="TOC2"/>
        <w:rPr>
          <w:rFonts w:eastAsiaTheme="minorEastAsia"/>
        </w:rPr>
      </w:pPr>
      <w:hyperlink w:anchor="_Toc31622995" w:history="1">
        <w:r w:rsidR="00FA0CDB" w:rsidRPr="00B10193">
          <w:rPr>
            <w:rStyle w:val="Hyperlink"/>
          </w:rPr>
          <w:t>3.5</w:t>
        </w:r>
        <w:r w:rsidR="00FA0CDB">
          <w:rPr>
            <w:rFonts w:eastAsiaTheme="minorEastAsia"/>
          </w:rPr>
          <w:tab/>
        </w:r>
        <w:r w:rsidR="00FA0CDB" w:rsidRPr="00B10193">
          <w:rPr>
            <w:rStyle w:val="Hyperlink"/>
          </w:rPr>
          <w:t>Demobilization</w:t>
        </w:r>
        <w:r w:rsidR="00FA0CDB">
          <w:rPr>
            <w:webHidden/>
          </w:rPr>
          <w:tab/>
        </w:r>
        <w:r w:rsidR="00FA0CDB">
          <w:rPr>
            <w:webHidden/>
          </w:rPr>
          <w:fldChar w:fldCharType="begin"/>
        </w:r>
        <w:r w:rsidR="00FA0CDB">
          <w:rPr>
            <w:webHidden/>
          </w:rPr>
          <w:instrText xml:space="preserve"> PAGEREF _Toc31622995 \h </w:instrText>
        </w:r>
        <w:r w:rsidR="00FA0CDB">
          <w:rPr>
            <w:webHidden/>
          </w:rPr>
        </w:r>
        <w:r w:rsidR="00FA0CDB">
          <w:rPr>
            <w:webHidden/>
          </w:rPr>
          <w:fldChar w:fldCharType="separate"/>
        </w:r>
        <w:r>
          <w:rPr>
            <w:webHidden/>
          </w:rPr>
          <w:t>14</w:t>
        </w:r>
        <w:r w:rsidR="00FA0CDB">
          <w:rPr>
            <w:webHidden/>
          </w:rPr>
          <w:fldChar w:fldCharType="end"/>
        </w:r>
      </w:hyperlink>
    </w:p>
    <w:p w14:paraId="3FA78DCF" w14:textId="77777777" w:rsidR="00FA0CDB" w:rsidRDefault="009A1FF8">
      <w:pPr>
        <w:pStyle w:val="TOC1"/>
        <w:rPr>
          <w:rFonts w:eastAsiaTheme="minorEastAsia"/>
          <w:noProof/>
        </w:rPr>
      </w:pPr>
      <w:hyperlink w:anchor="_Toc31622996" w:history="1">
        <w:r w:rsidR="00FA0CDB" w:rsidRPr="00B10193">
          <w:rPr>
            <w:rStyle w:val="Hyperlink"/>
            <w:noProof/>
          </w:rPr>
          <w:t>4.</w:t>
        </w:r>
        <w:r w:rsidR="00FA0CDB">
          <w:rPr>
            <w:rFonts w:eastAsiaTheme="minorEastAsia"/>
            <w:noProof/>
          </w:rPr>
          <w:tab/>
        </w:r>
        <w:r w:rsidR="00FA0CDB" w:rsidRPr="00B10193">
          <w:rPr>
            <w:rStyle w:val="Hyperlink"/>
            <w:noProof/>
          </w:rPr>
          <w:t>Organization and Assignment of Responsibilities</w:t>
        </w:r>
        <w:r w:rsidR="00FA0CDB">
          <w:rPr>
            <w:noProof/>
            <w:webHidden/>
          </w:rPr>
          <w:tab/>
        </w:r>
        <w:r w:rsidR="00FA0CDB">
          <w:rPr>
            <w:noProof/>
            <w:webHidden/>
          </w:rPr>
          <w:fldChar w:fldCharType="begin"/>
        </w:r>
        <w:r w:rsidR="00FA0CDB">
          <w:rPr>
            <w:noProof/>
            <w:webHidden/>
          </w:rPr>
          <w:instrText xml:space="preserve"> PAGEREF _Toc31622996 \h </w:instrText>
        </w:r>
        <w:r w:rsidR="00FA0CDB">
          <w:rPr>
            <w:noProof/>
            <w:webHidden/>
          </w:rPr>
        </w:r>
        <w:r w:rsidR="00FA0CDB">
          <w:rPr>
            <w:noProof/>
            <w:webHidden/>
          </w:rPr>
          <w:fldChar w:fldCharType="separate"/>
        </w:r>
        <w:r>
          <w:rPr>
            <w:noProof/>
            <w:webHidden/>
          </w:rPr>
          <w:t>15</w:t>
        </w:r>
        <w:r w:rsidR="00FA0CDB">
          <w:rPr>
            <w:noProof/>
            <w:webHidden/>
          </w:rPr>
          <w:fldChar w:fldCharType="end"/>
        </w:r>
      </w:hyperlink>
    </w:p>
    <w:p w14:paraId="19F802E9" w14:textId="77777777" w:rsidR="00FA0CDB" w:rsidRDefault="009A1FF8">
      <w:pPr>
        <w:pStyle w:val="TOC2"/>
        <w:rPr>
          <w:rFonts w:eastAsiaTheme="minorEastAsia"/>
        </w:rPr>
      </w:pPr>
      <w:hyperlink w:anchor="_Toc31622997" w:history="1">
        <w:r w:rsidR="00FA0CDB" w:rsidRPr="00B10193">
          <w:rPr>
            <w:rStyle w:val="Hyperlink"/>
          </w:rPr>
          <w:t>4.1</w:t>
        </w:r>
        <w:r w:rsidR="00FA0CDB">
          <w:rPr>
            <w:rFonts w:eastAsiaTheme="minorEastAsia"/>
          </w:rPr>
          <w:tab/>
        </w:r>
        <w:r w:rsidR="00FA0CDB" w:rsidRPr="00B10193">
          <w:rPr>
            <w:rStyle w:val="Hyperlink"/>
          </w:rPr>
          <w:t>State Organizations</w:t>
        </w:r>
        <w:r w:rsidR="00FA0CDB">
          <w:rPr>
            <w:webHidden/>
          </w:rPr>
          <w:tab/>
        </w:r>
        <w:r w:rsidR="00FA0CDB">
          <w:rPr>
            <w:webHidden/>
          </w:rPr>
          <w:fldChar w:fldCharType="begin"/>
        </w:r>
        <w:r w:rsidR="00FA0CDB">
          <w:rPr>
            <w:webHidden/>
          </w:rPr>
          <w:instrText xml:space="preserve"> PAGEREF _Toc31622997 \h </w:instrText>
        </w:r>
        <w:r w:rsidR="00FA0CDB">
          <w:rPr>
            <w:webHidden/>
          </w:rPr>
        </w:r>
        <w:r w:rsidR="00FA0CDB">
          <w:rPr>
            <w:webHidden/>
          </w:rPr>
          <w:fldChar w:fldCharType="separate"/>
        </w:r>
        <w:r>
          <w:rPr>
            <w:webHidden/>
          </w:rPr>
          <w:t>15</w:t>
        </w:r>
        <w:r w:rsidR="00FA0CDB">
          <w:rPr>
            <w:webHidden/>
          </w:rPr>
          <w:fldChar w:fldCharType="end"/>
        </w:r>
      </w:hyperlink>
    </w:p>
    <w:p w14:paraId="5A946DC6" w14:textId="77777777" w:rsidR="00FA0CDB" w:rsidRDefault="009A1FF8">
      <w:pPr>
        <w:pStyle w:val="TOC2"/>
        <w:rPr>
          <w:rFonts w:eastAsiaTheme="minorEastAsia"/>
        </w:rPr>
      </w:pPr>
      <w:hyperlink w:anchor="_Toc31622998" w:history="1">
        <w:r w:rsidR="00FA0CDB" w:rsidRPr="00B10193">
          <w:rPr>
            <w:rStyle w:val="Hyperlink"/>
          </w:rPr>
          <w:t>4.2</w:t>
        </w:r>
        <w:r w:rsidR="00FA0CDB">
          <w:rPr>
            <w:rFonts w:eastAsiaTheme="minorEastAsia"/>
          </w:rPr>
          <w:tab/>
        </w:r>
        <w:r w:rsidR="00FA0CDB" w:rsidRPr="00B10193">
          <w:rPr>
            <w:rStyle w:val="Hyperlink"/>
          </w:rPr>
          <w:t>Federal Organizations</w:t>
        </w:r>
        <w:r w:rsidR="00FA0CDB">
          <w:rPr>
            <w:webHidden/>
          </w:rPr>
          <w:tab/>
        </w:r>
        <w:r w:rsidR="00FA0CDB">
          <w:rPr>
            <w:webHidden/>
          </w:rPr>
          <w:fldChar w:fldCharType="begin"/>
        </w:r>
        <w:r w:rsidR="00FA0CDB">
          <w:rPr>
            <w:webHidden/>
          </w:rPr>
          <w:instrText xml:space="preserve"> PAGEREF _Toc31622998 \h </w:instrText>
        </w:r>
        <w:r w:rsidR="00FA0CDB">
          <w:rPr>
            <w:webHidden/>
          </w:rPr>
        </w:r>
        <w:r w:rsidR="00FA0CDB">
          <w:rPr>
            <w:webHidden/>
          </w:rPr>
          <w:fldChar w:fldCharType="separate"/>
        </w:r>
        <w:r>
          <w:rPr>
            <w:webHidden/>
          </w:rPr>
          <w:t>18</w:t>
        </w:r>
        <w:r w:rsidR="00FA0CDB">
          <w:rPr>
            <w:webHidden/>
          </w:rPr>
          <w:fldChar w:fldCharType="end"/>
        </w:r>
      </w:hyperlink>
    </w:p>
    <w:p w14:paraId="0B442990" w14:textId="77777777" w:rsidR="00FA0CDB" w:rsidRDefault="009A1FF8">
      <w:pPr>
        <w:pStyle w:val="TOC2"/>
        <w:rPr>
          <w:rFonts w:eastAsiaTheme="minorEastAsia"/>
        </w:rPr>
      </w:pPr>
      <w:hyperlink w:anchor="_Toc31622999" w:history="1">
        <w:r w:rsidR="00FA0CDB" w:rsidRPr="00B10193">
          <w:rPr>
            <w:rStyle w:val="Hyperlink"/>
          </w:rPr>
          <w:t>4.3</w:t>
        </w:r>
        <w:r w:rsidR="00FA0CDB">
          <w:rPr>
            <w:rFonts w:eastAsiaTheme="minorEastAsia"/>
          </w:rPr>
          <w:tab/>
        </w:r>
        <w:r w:rsidR="00FA0CDB" w:rsidRPr="00B10193">
          <w:rPr>
            <w:rStyle w:val="Hyperlink"/>
          </w:rPr>
          <w:t>Regional Organizations</w:t>
        </w:r>
        <w:r w:rsidR="00FA0CDB">
          <w:rPr>
            <w:webHidden/>
          </w:rPr>
          <w:tab/>
        </w:r>
        <w:r w:rsidR="00FA0CDB">
          <w:rPr>
            <w:webHidden/>
          </w:rPr>
          <w:fldChar w:fldCharType="begin"/>
        </w:r>
        <w:r w:rsidR="00FA0CDB">
          <w:rPr>
            <w:webHidden/>
          </w:rPr>
          <w:instrText xml:space="preserve"> PAGEREF _Toc31622999 \h </w:instrText>
        </w:r>
        <w:r w:rsidR="00FA0CDB">
          <w:rPr>
            <w:webHidden/>
          </w:rPr>
        </w:r>
        <w:r w:rsidR="00FA0CDB">
          <w:rPr>
            <w:webHidden/>
          </w:rPr>
          <w:fldChar w:fldCharType="separate"/>
        </w:r>
        <w:r>
          <w:rPr>
            <w:webHidden/>
          </w:rPr>
          <w:t>19</w:t>
        </w:r>
        <w:r w:rsidR="00FA0CDB">
          <w:rPr>
            <w:webHidden/>
          </w:rPr>
          <w:fldChar w:fldCharType="end"/>
        </w:r>
      </w:hyperlink>
    </w:p>
    <w:p w14:paraId="50FB2A9D" w14:textId="77777777" w:rsidR="00FA0CDB" w:rsidRDefault="009A1FF8">
      <w:pPr>
        <w:pStyle w:val="TOC2"/>
        <w:rPr>
          <w:rFonts w:eastAsiaTheme="minorEastAsia"/>
        </w:rPr>
      </w:pPr>
      <w:hyperlink w:anchor="_Toc31623000" w:history="1">
        <w:r w:rsidR="00FA0CDB" w:rsidRPr="00B10193">
          <w:rPr>
            <w:rStyle w:val="Hyperlink"/>
          </w:rPr>
          <w:t>4.4</w:t>
        </w:r>
        <w:r w:rsidR="00FA0CDB">
          <w:rPr>
            <w:rFonts w:eastAsiaTheme="minorEastAsia"/>
          </w:rPr>
          <w:tab/>
        </w:r>
        <w:r w:rsidR="00FA0CDB" w:rsidRPr="00B10193">
          <w:rPr>
            <w:rStyle w:val="Hyperlink"/>
          </w:rPr>
          <w:t>Local Organizations</w:t>
        </w:r>
        <w:r w:rsidR="00FA0CDB">
          <w:rPr>
            <w:webHidden/>
          </w:rPr>
          <w:tab/>
        </w:r>
        <w:r w:rsidR="00FA0CDB">
          <w:rPr>
            <w:webHidden/>
          </w:rPr>
          <w:fldChar w:fldCharType="begin"/>
        </w:r>
        <w:r w:rsidR="00FA0CDB">
          <w:rPr>
            <w:webHidden/>
          </w:rPr>
          <w:instrText xml:space="preserve"> PAGEREF _Toc31623000 \h </w:instrText>
        </w:r>
        <w:r w:rsidR="00FA0CDB">
          <w:rPr>
            <w:webHidden/>
          </w:rPr>
        </w:r>
        <w:r w:rsidR="00FA0CDB">
          <w:rPr>
            <w:webHidden/>
          </w:rPr>
          <w:fldChar w:fldCharType="separate"/>
        </w:r>
        <w:r>
          <w:rPr>
            <w:webHidden/>
          </w:rPr>
          <w:t>19</w:t>
        </w:r>
        <w:r w:rsidR="00FA0CDB">
          <w:rPr>
            <w:webHidden/>
          </w:rPr>
          <w:fldChar w:fldCharType="end"/>
        </w:r>
      </w:hyperlink>
    </w:p>
    <w:p w14:paraId="4E9EB6CE" w14:textId="77777777" w:rsidR="00FA0CDB" w:rsidRDefault="009A1FF8">
      <w:pPr>
        <w:pStyle w:val="TOC1"/>
        <w:rPr>
          <w:rFonts w:eastAsiaTheme="minorEastAsia"/>
          <w:noProof/>
        </w:rPr>
      </w:pPr>
      <w:hyperlink w:anchor="_Toc31623001" w:history="1">
        <w:r w:rsidR="00FA0CDB" w:rsidRPr="00B10193">
          <w:rPr>
            <w:rStyle w:val="Hyperlink"/>
            <w:noProof/>
          </w:rPr>
          <w:t>5.</w:t>
        </w:r>
        <w:r w:rsidR="00FA0CDB">
          <w:rPr>
            <w:rFonts w:eastAsiaTheme="minorEastAsia"/>
            <w:noProof/>
          </w:rPr>
          <w:tab/>
        </w:r>
        <w:r w:rsidR="00FA0CDB" w:rsidRPr="00B10193">
          <w:rPr>
            <w:rStyle w:val="Hyperlink"/>
            <w:noProof/>
          </w:rPr>
          <w:t>Direction, Control and Coordination</w:t>
        </w:r>
        <w:r w:rsidR="00FA0CDB">
          <w:rPr>
            <w:noProof/>
            <w:webHidden/>
          </w:rPr>
          <w:tab/>
        </w:r>
        <w:r w:rsidR="00FA0CDB">
          <w:rPr>
            <w:noProof/>
            <w:webHidden/>
          </w:rPr>
          <w:fldChar w:fldCharType="begin"/>
        </w:r>
        <w:r w:rsidR="00FA0CDB">
          <w:rPr>
            <w:noProof/>
            <w:webHidden/>
          </w:rPr>
          <w:instrText xml:space="preserve"> PAGEREF _Toc31623001 \h </w:instrText>
        </w:r>
        <w:r w:rsidR="00FA0CDB">
          <w:rPr>
            <w:noProof/>
            <w:webHidden/>
          </w:rPr>
        </w:r>
        <w:r w:rsidR="00FA0CDB">
          <w:rPr>
            <w:noProof/>
            <w:webHidden/>
          </w:rPr>
          <w:fldChar w:fldCharType="separate"/>
        </w:r>
        <w:r>
          <w:rPr>
            <w:noProof/>
            <w:webHidden/>
          </w:rPr>
          <w:t>20</w:t>
        </w:r>
        <w:r w:rsidR="00FA0CDB">
          <w:rPr>
            <w:noProof/>
            <w:webHidden/>
          </w:rPr>
          <w:fldChar w:fldCharType="end"/>
        </w:r>
      </w:hyperlink>
    </w:p>
    <w:p w14:paraId="39D7DAA6" w14:textId="77777777" w:rsidR="00FA0CDB" w:rsidRDefault="009A1FF8">
      <w:pPr>
        <w:pStyle w:val="TOC2"/>
        <w:rPr>
          <w:rFonts w:eastAsiaTheme="minorEastAsia"/>
        </w:rPr>
      </w:pPr>
      <w:hyperlink w:anchor="_Toc31623002" w:history="1">
        <w:r w:rsidR="00FA0CDB" w:rsidRPr="00B10193">
          <w:rPr>
            <w:rStyle w:val="Hyperlink"/>
          </w:rPr>
          <w:t>5.1.</w:t>
        </w:r>
        <w:r w:rsidR="00FA0CDB">
          <w:rPr>
            <w:rFonts w:eastAsiaTheme="minorEastAsia"/>
          </w:rPr>
          <w:tab/>
        </w:r>
        <w:r w:rsidR="00FA0CDB" w:rsidRPr="00B10193">
          <w:rPr>
            <w:rStyle w:val="Hyperlink"/>
          </w:rPr>
          <w:t>Overview</w:t>
        </w:r>
        <w:r w:rsidR="00FA0CDB">
          <w:rPr>
            <w:webHidden/>
          </w:rPr>
          <w:tab/>
        </w:r>
        <w:r w:rsidR="00FA0CDB">
          <w:rPr>
            <w:webHidden/>
          </w:rPr>
          <w:fldChar w:fldCharType="begin"/>
        </w:r>
        <w:r w:rsidR="00FA0CDB">
          <w:rPr>
            <w:webHidden/>
          </w:rPr>
          <w:instrText xml:space="preserve"> PAGEREF _Toc31623002 \h </w:instrText>
        </w:r>
        <w:r w:rsidR="00FA0CDB">
          <w:rPr>
            <w:webHidden/>
          </w:rPr>
        </w:r>
        <w:r w:rsidR="00FA0CDB">
          <w:rPr>
            <w:webHidden/>
          </w:rPr>
          <w:fldChar w:fldCharType="separate"/>
        </w:r>
        <w:r>
          <w:rPr>
            <w:webHidden/>
          </w:rPr>
          <w:t>20</w:t>
        </w:r>
        <w:r w:rsidR="00FA0CDB">
          <w:rPr>
            <w:webHidden/>
          </w:rPr>
          <w:fldChar w:fldCharType="end"/>
        </w:r>
      </w:hyperlink>
    </w:p>
    <w:p w14:paraId="28EBD5AB" w14:textId="610ADB06" w:rsidR="00FA0CDB" w:rsidRDefault="009A1FF8">
      <w:pPr>
        <w:pStyle w:val="TOC2"/>
        <w:rPr>
          <w:rFonts w:eastAsiaTheme="minorEastAsia"/>
        </w:rPr>
      </w:pPr>
      <w:hyperlink w:anchor="_Toc31623003" w:history="1">
        <w:r w:rsidR="00FA0CDB" w:rsidRPr="00B10193">
          <w:rPr>
            <w:rStyle w:val="Hyperlink"/>
          </w:rPr>
          <w:t xml:space="preserve">5.2 </w:t>
        </w:r>
        <w:r w:rsidR="00FA0CDB">
          <w:rPr>
            <w:rFonts w:eastAsiaTheme="minorEastAsia"/>
          </w:rPr>
          <w:tab/>
        </w:r>
        <w:r w:rsidR="00FA0CDB" w:rsidRPr="00B10193">
          <w:rPr>
            <w:rStyle w:val="Hyperlink"/>
          </w:rPr>
          <w:t>Local Coordination</w:t>
        </w:r>
        <w:r w:rsidR="00FA0CDB">
          <w:rPr>
            <w:webHidden/>
          </w:rPr>
          <w:tab/>
        </w:r>
        <w:r w:rsidR="00FA0CDB">
          <w:rPr>
            <w:webHidden/>
          </w:rPr>
          <w:fldChar w:fldCharType="begin"/>
        </w:r>
        <w:r w:rsidR="00FA0CDB">
          <w:rPr>
            <w:webHidden/>
          </w:rPr>
          <w:instrText xml:space="preserve"> PAGEREF _Toc31623003 \h </w:instrText>
        </w:r>
        <w:r w:rsidR="00FA0CDB">
          <w:rPr>
            <w:webHidden/>
          </w:rPr>
        </w:r>
        <w:r w:rsidR="00FA0CDB">
          <w:rPr>
            <w:webHidden/>
          </w:rPr>
          <w:fldChar w:fldCharType="separate"/>
        </w:r>
        <w:r>
          <w:rPr>
            <w:webHidden/>
          </w:rPr>
          <w:t>20</w:t>
        </w:r>
        <w:r w:rsidR="00FA0CDB">
          <w:rPr>
            <w:webHidden/>
          </w:rPr>
          <w:fldChar w:fldCharType="end"/>
        </w:r>
      </w:hyperlink>
    </w:p>
    <w:p w14:paraId="7A70BFE8" w14:textId="0DAB5238" w:rsidR="00FA0CDB" w:rsidRDefault="009A1FF8">
      <w:pPr>
        <w:pStyle w:val="TOC2"/>
        <w:rPr>
          <w:rFonts w:eastAsiaTheme="minorEastAsia"/>
        </w:rPr>
      </w:pPr>
      <w:hyperlink w:anchor="_Toc31623004" w:history="1">
        <w:r w:rsidR="00FA0CDB" w:rsidRPr="00B10193">
          <w:rPr>
            <w:rStyle w:val="Hyperlink"/>
          </w:rPr>
          <w:t xml:space="preserve">5.3      </w:t>
        </w:r>
        <w:r w:rsidR="00FA0CDB">
          <w:rPr>
            <w:rStyle w:val="Hyperlink"/>
          </w:rPr>
          <w:t xml:space="preserve">  </w:t>
        </w:r>
        <w:r w:rsidR="00FA0CDB" w:rsidRPr="00B10193">
          <w:rPr>
            <w:rStyle w:val="Hyperlink"/>
          </w:rPr>
          <w:t>Regional Coordination</w:t>
        </w:r>
        <w:r w:rsidR="00FA0CDB">
          <w:rPr>
            <w:webHidden/>
          </w:rPr>
          <w:tab/>
        </w:r>
        <w:r w:rsidR="00FA0CDB">
          <w:rPr>
            <w:webHidden/>
          </w:rPr>
          <w:fldChar w:fldCharType="begin"/>
        </w:r>
        <w:r w:rsidR="00FA0CDB">
          <w:rPr>
            <w:webHidden/>
          </w:rPr>
          <w:instrText xml:space="preserve"> PAGEREF _Toc31623004 \h </w:instrText>
        </w:r>
        <w:r w:rsidR="00FA0CDB">
          <w:rPr>
            <w:webHidden/>
          </w:rPr>
        </w:r>
        <w:r w:rsidR="00FA0CDB">
          <w:rPr>
            <w:webHidden/>
          </w:rPr>
          <w:fldChar w:fldCharType="separate"/>
        </w:r>
        <w:r>
          <w:rPr>
            <w:webHidden/>
          </w:rPr>
          <w:t>21</w:t>
        </w:r>
        <w:r w:rsidR="00FA0CDB">
          <w:rPr>
            <w:webHidden/>
          </w:rPr>
          <w:fldChar w:fldCharType="end"/>
        </w:r>
      </w:hyperlink>
    </w:p>
    <w:p w14:paraId="527F2FBA" w14:textId="007DF1A2" w:rsidR="00FA0CDB" w:rsidRDefault="009A1FF8">
      <w:pPr>
        <w:pStyle w:val="TOC2"/>
        <w:rPr>
          <w:rFonts w:eastAsiaTheme="minorEastAsia"/>
        </w:rPr>
      </w:pPr>
      <w:hyperlink w:anchor="_Toc31623005" w:history="1">
        <w:r w:rsidR="00FA0CDB" w:rsidRPr="00B10193">
          <w:rPr>
            <w:rStyle w:val="Hyperlink"/>
          </w:rPr>
          <w:t xml:space="preserve">5.4      </w:t>
        </w:r>
        <w:r w:rsidR="00FA0CDB">
          <w:rPr>
            <w:rStyle w:val="Hyperlink"/>
          </w:rPr>
          <w:t xml:space="preserve">  </w:t>
        </w:r>
        <w:r w:rsidR="00FA0CDB" w:rsidRPr="00B10193">
          <w:rPr>
            <w:rStyle w:val="Hyperlink"/>
          </w:rPr>
          <w:t>State Coordination</w:t>
        </w:r>
        <w:r w:rsidR="00FA0CDB">
          <w:rPr>
            <w:webHidden/>
          </w:rPr>
          <w:tab/>
        </w:r>
        <w:r w:rsidR="00FA0CDB">
          <w:rPr>
            <w:webHidden/>
          </w:rPr>
          <w:fldChar w:fldCharType="begin"/>
        </w:r>
        <w:r w:rsidR="00FA0CDB">
          <w:rPr>
            <w:webHidden/>
          </w:rPr>
          <w:instrText xml:space="preserve"> PAGEREF _Toc31623005 \h </w:instrText>
        </w:r>
        <w:r w:rsidR="00FA0CDB">
          <w:rPr>
            <w:webHidden/>
          </w:rPr>
        </w:r>
        <w:r w:rsidR="00FA0CDB">
          <w:rPr>
            <w:webHidden/>
          </w:rPr>
          <w:fldChar w:fldCharType="separate"/>
        </w:r>
        <w:r>
          <w:rPr>
            <w:webHidden/>
          </w:rPr>
          <w:t>21</w:t>
        </w:r>
        <w:r w:rsidR="00FA0CDB">
          <w:rPr>
            <w:webHidden/>
          </w:rPr>
          <w:fldChar w:fldCharType="end"/>
        </w:r>
      </w:hyperlink>
    </w:p>
    <w:p w14:paraId="7456C391" w14:textId="78815815" w:rsidR="00FA0CDB" w:rsidRDefault="009A1FF8">
      <w:pPr>
        <w:pStyle w:val="TOC2"/>
        <w:rPr>
          <w:rFonts w:eastAsiaTheme="minorEastAsia"/>
        </w:rPr>
      </w:pPr>
      <w:hyperlink w:anchor="_Toc31623006" w:history="1">
        <w:r w:rsidR="00FA0CDB" w:rsidRPr="00B10193">
          <w:rPr>
            <w:rStyle w:val="Hyperlink"/>
          </w:rPr>
          <w:t xml:space="preserve">5.5      </w:t>
        </w:r>
        <w:r w:rsidR="00FA0CDB">
          <w:rPr>
            <w:rStyle w:val="Hyperlink"/>
          </w:rPr>
          <w:t xml:space="preserve">  </w:t>
        </w:r>
        <w:r w:rsidR="00FA0CDB" w:rsidRPr="00B10193">
          <w:rPr>
            <w:rStyle w:val="Hyperlink"/>
          </w:rPr>
          <w:t>Federal Coordination</w:t>
        </w:r>
        <w:r w:rsidR="00FA0CDB">
          <w:rPr>
            <w:webHidden/>
          </w:rPr>
          <w:tab/>
        </w:r>
        <w:r w:rsidR="00FA0CDB">
          <w:rPr>
            <w:webHidden/>
          </w:rPr>
          <w:fldChar w:fldCharType="begin"/>
        </w:r>
        <w:r w:rsidR="00FA0CDB">
          <w:rPr>
            <w:webHidden/>
          </w:rPr>
          <w:instrText xml:space="preserve"> PAGEREF _Toc31623006 \h </w:instrText>
        </w:r>
        <w:r w:rsidR="00FA0CDB">
          <w:rPr>
            <w:webHidden/>
          </w:rPr>
        </w:r>
        <w:r w:rsidR="00FA0CDB">
          <w:rPr>
            <w:webHidden/>
          </w:rPr>
          <w:fldChar w:fldCharType="separate"/>
        </w:r>
        <w:r>
          <w:rPr>
            <w:webHidden/>
          </w:rPr>
          <w:t>22</w:t>
        </w:r>
        <w:r w:rsidR="00FA0CDB">
          <w:rPr>
            <w:webHidden/>
          </w:rPr>
          <w:fldChar w:fldCharType="end"/>
        </w:r>
      </w:hyperlink>
    </w:p>
    <w:p w14:paraId="3F997914" w14:textId="77777777" w:rsidR="00FA0CDB" w:rsidRDefault="009A1FF8">
      <w:pPr>
        <w:pStyle w:val="TOC1"/>
        <w:rPr>
          <w:rFonts w:eastAsiaTheme="minorEastAsia"/>
          <w:noProof/>
        </w:rPr>
      </w:pPr>
      <w:hyperlink w:anchor="_Toc31623007" w:history="1">
        <w:r w:rsidR="00FA0CDB" w:rsidRPr="00B10193">
          <w:rPr>
            <w:rStyle w:val="Hyperlink"/>
            <w:noProof/>
          </w:rPr>
          <w:t>6.</w:t>
        </w:r>
        <w:r w:rsidR="00FA0CDB">
          <w:rPr>
            <w:rFonts w:eastAsiaTheme="minorEastAsia"/>
            <w:noProof/>
          </w:rPr>
          <w:tab/>
        </w:r>
        <w:r w:rsidR="00FA0CDB" w:rsidRPr="00B10193">
          <w:rPr>
            <w:rStyle w:val="Hyperlink"/>
            <w:noProof/>
          </w:rPr>
          <w:t>Domains</w:t>
        </w:r>
        <w:r w:rsidR="00FA0CDB">
          <w:rPr>
            <w:noProof/>
            <w:webHidden/>
          </w:rPr>
          <w:tab/>
        </w:r>
        <w:r w:rsidR="00FA0CDB">
          <w:rPr>
            <w:noProof/>
            <w:webHidden/>
          </w:rPr>
          <w:fldChar w:fldCharType="begin"/>
        </w:r>
        <w:r w:rsidR="00FA0CDB">
          <w:rPr>
            <w:noProof/>
            <w:webHidden/>
          </w:rPr>
          <w:instrText xml:space="preserve"> PAGEREF _Toc31623007 \h </w:instrText>
        </w:r>
        <w:r w:rsidR="00FA0CDB">
          <w:rPr>
            <w:noProof/>
            <w:webHidden/>
          </w:rPr>
        </w:r>
        <w:r w:rsidR="00FA0CDB">
          <w:rPr>
            <w:noProof/>
            <w:webHidden/>
          </w:rPr>
          <w:fldChar w:fldCharType="separate"/>
        </w:r>
        <w:r>
          <w:rPr>
            <w:noProof/>
            <w:webHidden/>
          </w:rPr>
          <w:t>23</w:t>
        </w:r>
        <w:r w:rsidR="00FA0CDB">
          <w:rPr>
            <w:noProof/>
            <w:webHidden/>
          </w:rPr>
          <w:fldChar w:fldCharType="end"/>
        </w:r>
      </w:hyperlink>
    </w:p>
    <w:p w14:paraId="7DC6C137" w14:textId="151D14D8" w:rsidR="00FA0CDB" w:rsidRDefault="009A1FF8">
      <w:pPr>
        <w:pStyle w:val="TOC2"/>
        <w:rPr>
          <w:rFonts w:eastAsiaTheme="minorEastAsia"/>
        </w:rPr>
      </w:pPr>
      <w:hyperlink w:anchor="_Toc31623008" w:history="1">
        <w:r w:rsidR="00FA0CDB" w:rsidRPr="00B10193">
          <w:rPr>
            <w:rStyle w:val="Hyperlink"/>
          </w:rPr>
          <w:t xml:space="preserve">6.1      </w:t>
        </w:r>
        <w:r w:rsidR="00FA0CDB">
          <w:rPr>
            <w:rStyle w:val="Hyperlink"/>
          </w:rPr>
          <w:t xml:space="preserve">  </w:t>
        </w:r>
        <w:r w:rsidR="00FA0CDB" w:rsidRPr="00B10193">
          <w:rPr>
            <w:rStyle w:val="Hyperlink"/>
          </w:rPr>
          <w:t>Public Health Surveillance and Epidemiological Investigation</w:t>
        </w:r>
        <w:r w:rsidR="00FA0CDB">
          <w:rPr>
            <w:webHidden/>
          </w:rPr>
          <w:tab/>
        </w:r>
        <w:r w:rsidR="00FA0CDB">
          <w:rPr>
            <w:webHidden/>
          </w:rPr>
          <w:fldChar w:fldCharType="begin"/>
        </w:r>
        <w:r w:rsidR="00FA0CDB">
          <w:rPr>
            <w:webHidden/>
          </w:rPr>
          <w:instrText xml:space="preserve"> PAGEREF _Toc31623008 \h </w:instrText>
        </w:r>
        <w:r w:rsidR="00FA0CDB">
          <w:rPr>
            <w:webHidden/>
          </w:rPr>
        </w:r>
        <w:r w:rsidR="00FA0CDB">
          <w:rPr>
            <w:webHidden/>
          </w:rPr>
          <w:fldChar w:fldCharType="separate"/>
        </w:r>
        <w:r>
          <w:rPr>
            <w:webHidden/>
          </w:rPr>
          <w:t>23</w:t>
        </w:r>
        <w:r w:rsidR="00FA0CDB">
          <w:rPr>
            <w:webHidden/>
          </w:rPr>
          <w:fldChar w:fldCharType="end"/>
        </w:r>
      </w:hyperlink>
    </w:p>
    <w:p w14:paraId="4CEF49B9" w14:textId="741D0A51" w:rsidR="00FA0CDB" w:rsidRDefault="009A1FF8">
      <w:pPr>
        <w:pStyle w:val="TOC2"/>
        <w:rPr>
          <w:rFonts w:eastAsiaTheme="minorEastAsia"/>
        </w:rPr>
      </w:pPr>
      <w:hyperlink w:anchor="_Toc31623009" w:history="1">
        <w:r w:rsidR="00FA0CDB" w:rsidRPr="00B10193">
          <w:rPr>
            <w:rStyle w:val="Hyperlink"/>
          </w:rPr>
          <w:t xml:space="preserve">6.2     </w:t>
        </w:r>
        <w:r w:rsidR="00FA0CDB">
          <w:rPr>
            <w:rStyle w:val="Hyperlink"/>
          </w:rPr>
          <w:t xml:space="preserve"> </w:t>
        </w:r>
        <w:r w:rsidR="00FA0CDB" w:rsidRPr="00B10193">
          <w:rPr>
            <w:rStyle w:val="Hyperlink"/>
          </w:rPr>
          <w:t>Public Health Laboratory Testing</w:t>
        </w:r>
        <w:r w:rsidR="00FA0CDB">
          <w:rPr>
            <w:webHidden/>
          </w:rPr>
          <w:tab/>
        </w:r>
        <w:r w:rsidR="00FA0CDB">
          <w:rPr>
            <w:webHidden/>
          </w:rPr>
          <w:fldChar w:fldCharType="begin"/>
        </w:r>
        <w:r w:rsidR="00FA0CDB">
          <w:rPr>
            <w:webHidden/>
          </w:rPr>
          <w:instrText xml:space="preserve"> PAGEREF _Toc31623009 \h </w:instrText>
        </w:r>
        <w:r w:rsidR="00FA0CDB">
          <w:rPr>
            <w:webHidden/>
          </w:rPr>
        </w:r>
        <w:r w:rsidR="00FA0CDB">
          <w:rPr>
            <w:webHidden/>
          </w:rPr>
          <w:fldChar w:fldCharType="separate"/>
        </w:r>
        <w:r>
          <w:rPr>
            <w:webHidden/>
          </w:rPr>
          <w:t>25</w:t>
        </w:r>
        <w:r w:rsidR="00FA0CDB">
          <w:rPr>
            <w:webHidden/>
          </w:rPr>
          <w:fldChar w:fldCharType="end"/>
        </w:r>
      </w:hyperlink>
    </w:p>
    <w:p w14:paraId="12EC29E2" w14:textId="22A3771B" w:rsidR="00FA0CDB" w:rsidRDefault="009A1FF8">
      <w:pPr>
        <w:pStyle w:val="TOC2"/>
        <w:rPr>
          <w:rFonts w:eastAsiaTheme="minorEastAsia"/>
        </w:rPr>
      </w:pPr>
      <w:hyperlink w:anchor="_Toc31623010" w:history="1">
        <w:r w:rsidR="00FA0CDB" w:rsidRPr="00B10193">
          <w:rPr>
            <w:rStyle w:val="Hyperlink"/>
          </w:rPr>
          <w:t xml:space="preserve">6.3     </w:t>
        </w:r>
        <w:r w:rsidR="00FA0CDB">
          <w:rPr>
            <w:rStyle w:val="Hyperlink"/>
          </w:rPr>
          <w:t xml:space="preserve"> </w:t>
        </w:r>
        <w:r w:rsidR="00FA0CDB" w:rsidRPr="00B10193">
          <w:rPr>
            <w:rStyle w:val="Hyperlink"/>
          </w:rPr>
          <w:t>Responder Health and Safety</w:t>
        </w:r>
        <w:r w:rsidR="00FA0CDB">
          <w:rPr>
            <w:webHidden/>
          </w:rPr>
          <w:tab/>
        </w:r>
        <w:r w:rsidR="00FA0CDB">
          <w:rPr>
            <w:webHidden/>
          </w:rPr>
          <w:fldChar w:fldCharType="begin"/>
        </w:r>
        <w:r w:rsidR="00FA0CDB">
          <w:rPr>
            <w:webHidden/>
          </w:rPr>
          <w:instrText xml:space="preserve"> PAGEREF _Toc31623010 \h </w:instrText>
        </w:r>
        <w:r w:rsidR="00FA0CDB">
          <w:rPr>
            <w:webHidden/>
          </w:rPr>
        </w:r>
        <w:r w:rsidR="00FA0CDB">
          <w:rPr>
            <w:webHidden/>
          </w:rPr>
          <w:fldChar w:fldCharType="separate"/>
        </w:r>
        <w:r>
          <w:rPr>
            <w:webHidden/>
          </w:rPr>
          <w:t>27</w:t>
        </w:r>
        <w:r w:rsidR="00FA0CDB">
          <w:rPr>
            <w:webHidden/>
          </w:rPr>
          <w:fldChar w:fldCharType="end"/>
        </w:r>
      </w:hyperlink>
    </w:p>
    <w:p w14:paraId="090F7741" w14:textId="77777777" w:rsidR="00FA0CDB" w:rsidRDefault="009A1FF8">
      <w:pPr>
        <w:pStyle w:val="TOC2"/>
        <w:rPr>
          <w:rFonts w:eastAsiaTheme="minorEastAsia"/>
        </w:rPr>
      </w:pPr>
      <w:hyperlink w:anchor="_Toc31623011" w:history="1">
        <w:r w:rsidR="00FA0CDB" w:rsidRPr="00B10193">
          <w:rPr>
            <w:rStyle w:val="Hyperlink"/>
          </w:rPr>
          <w:t>6.4      Non-pharmaceutical Interventions</w:t>
        </w:r>
        <w:r w:rsidR="00FA0CDB">
          <w:rPr>
            <w:webHidden/>
          </w:rPr>
          <w:tab/>
        </w:r>
        <w:r w:rsidR="00FA0CDB">
          <w:rPr>
            <w:webHidden/>
          </w:rPr>
          <w:fldChar w:fldCharType="begin"/>
        </w:r>
        <w:r w:rsidR="00FA0CDB">
          <w:rPr>
            <w:webHidden/>
          </w:rPr>
          <w:instrText xml:space="preserve"> PAGEREF _Toc31623011 \h </w:instrText>
        </w:r>
        <w:r w:rsidR="00FA0CDB">
          <w:rPr>
            <w:webHidden/>
          </w:rPr>
        </w:r>
        <w:r w:rsidR="00FA0CDB">
          <w:rPr>
            <w:webHidden/>
          </w:rPr>
          <w:fldChar w:fldCharType="separate"/>
        </w:r>
        <w:r>
          <w:rPr>
            <w:webHidden/>
          </w:rPr>
          <w:t>28</w:t>
        </w:r>
        <w:r w:rsidR="00FA0CDB">
          <w:rPr>
            <w:webHidden/>
          </w:rPr>
          <w:fldChar w:fldCharType="end"/>
        </w:r>
      </w:hyperlink>
    </w:p>
    <w:p w14:paraId="315EBC46" w14:textId="77777777" w:rsidR="00FA0CDB" w:rsidRDefault="009A1FF8">
      <w:pPr>
        <w:pStyle w:val="TOC2"/>
        <w:rPr>
          <w:rFonts w:eastAsiaTheme="minorEastAsia"/>
        </w:rPr>
      </w:pPr>
      <w:hyperlink w:anchor="_Toc31623012" w:history="1">
        <w:r w:rsidR="00FA0CDB" w:rsidRPr="00B10193">
          <w:rPr>
            <w:rStyle w:val="Hyperlink"/>
          </w:rPr>
          <w:t>6.5      Medical Surge</w:t>
        </w:r>
        <w:r w:rsidR="00FA0CDB">
          <w:rPr>
            <w:webHidden/>
          </w:rPr>
          <w:tab/>
        </w:r>
        <w:r w:rsidR="00FA0CDB">
          <w:rPr>
            <w:webHidden/>
          </w:rPr>
          <w:fldChar w:fldCharType="begin"/>
        </w:r>
        <w:r w:rsidR="00FA0CDB">
          <w:rPr>
            <w:webHidden/>
          </w:rPr>
          <w:instrText xml:space="preserve"> PAGEREF _Toc31623012 \h </w:instrText>
        </w:r>
        <w:r w:rsidR="00FA0CDB">
          <w:rPr>
            <w:webHidden/>
          </w:rPr>
        </w:r>
        <w:r w:rsidR="00FA0CDB">
          <w:rPr>
            <w:webHidden/>
          </w:rPr>
          <w:fldChar w:fldCharType="separate"/>
        </w:r>
        <w:r>
          <w:rPr>
            <w:webHidden/>
          </w:rPr>
          <w:t>30</w:t>
        </w:r>
        <w:r w:rsidR="00FA0CDB">
          <w:rPr>
            <w:webHidden/>
          </w:rPr>
          <w:fldChar w:fldCharType="end"/>
        </w:r>
      </w:hyperlink>
    </w:p>
    <w:p w14:paraId="1A69A418" w14:textId="77777777" w:rsidR="00FA0CDB" w:rsidRDefault="009A1FF8">
      <w:pPr>
        <w:pStyle w:val="TOC2"/>
        <w:rPr>
          <w:rFonts w:eastAsiaTheme="minorEastAsia"/>
        </w:rPr>
      </w:pPr>
      <w:hyperlink w:anchor="_Toc31623013" w:history="1">
        <w:r w:rsidR="00FA0CDB" w:rsidRPr="00B10193">
          <w:rPr>
            <w:rStyle w:val="Hyperlink"/>
          </w:rPr>
          <w:t>6.6      Medical Countermeasure Dispensing</w:t>
        </w:r>
        <w:r w:rsidR="00FA0CDB">
          <w:rPr>
            <w:webHidden/>
          </w:rPr>
          <w:tab/>
        </w:r>
        <w:r w:rsidR="00FA0CDB">
          <w:rPr>
            <w:webHidden/>
          </w:rPr>
          <w:fldChar w:fldCharType="begin"/>
        </w:r>
        <w:r w:rsidR="00FA0CDB">
          <w:rPr>
            <w:webHidden/>
          </w:rPr>
          <w:instrText xml:space="preserve"> PAGEREF _Toc31623013 \h </w:instrText>
        </w:r>
        <w:r w:rsidR="00FA0CDB">
          <w:rPr>
            <w:webHidden/>
          </w:rPr>
        </w:r>
        <w:r w:rsidR="00FA0CDB">
          <w:rPr>
            <w:webHidden/>
          </w:rPr>
          <w:fldChar w:fldCharType="separate"/>
        </w:r>
        <w:r>
          <w:rPr>
            <w:webHidden/>
          </w:rPr>
          <w:t>32</w:t>
        </w:r>
        <w:r w:rsidR="00FA0CDB">
          <w:rPr>
            <w:webHidden/>
          </w:rPr>
          <w:fldChar w:fldCharType="end"/>
        </w:r>
      </w:hyperlink>
    </w:p>
    <w:p w14:paraId="61C8FE50" w14:textId="77777777" w:rsidR="00FA0CDB" w:rsidRDefault="009A1FF8">
      <w:pPr>
        <w:pStyle w:val="TOC2"/>
        <w:rPr>
          <w:rFonts w:eastAsiaTheme="minorEastAsia"/>
        </w:rPr>
      </w:pPr>
      <w:hyperlink w:anchor="_Toc31623014" w:history="1">
        <w:r w:rsidR="00FA0CDB" w:rsidRPr="00B10193">
          <w:rPr>
            <w:rStyle w:val="Hyperlink"/>
          </w:rPr>
          <w:t>6.7      Fatality Management</w:t>
        </w:r>
        <w:r w:rsidR="00FA0CDB">
          <w:rPr>
            <w:webHidden/>
          </w:rPr>
          <w:tab/>
        </w:r>
        <w:r w:rsidR="00FA0CDB">
          <w:rPr>
            <w:webHidden/>
          </w:rPr>
          <w:fldChar w:fldCharType="begin"/>
        </w:r>
        <w:r w:rsidR="00FA0CDB">
          <w:rPr>
            <w:webHidden/>
          </w:rPr>
          <w:instrText xml:space="preserve"> PAGEREF _Toc31623014 \h </w:instrText>
        </w:r>
        <w:r w:rsidR="00FA0CDB">
          <w:rPr>
            <w:webHidden/>
          </w:rPr>
        </w:r>
        <w:r w:rsidR="00FA0CDB">
          <w:rPr>
            <w:webHidden/>
          </w:rPr>
          <w:fldChar w:fldCharType="separate"/>
        </w:r>
        <w:r>
          <w:rPr>
            <w:webHidden/>
          </w:rPr>
          <w:t>33</w:t>
        </w:r>
        <w:r w:rsidR="00FA0CDB">
          <w:rPr>
            <w:webHidden/>
          </w:rPr>
          <w:fldChar w:fldCharType="end"/>
        </w:r>
      </w:hyperlink>
    </w:p>
    <w:p w14:paraId="76D13BD8" w14:textId="77777777" w:rsidR="00FA0CDB" w:rsidRDefault="009A1FF8">
      <w:pPr>
        <w:pStyle w:val="TOC2"/>
        <w:rPr>
          <w:rFonts w:eastAsiaTheme="minorEastAsia"/>
        </w:rPr>
      </w:pPr>
      <w:hyperlink w:anchor="_Toc31623015" w:history="1">
        <w:r w:rsidR="00FA0CDB" w:rsidRPr="00B10193">
          <w:rPr>
            <w:rStyle w:val="Hyperlink"/>
          </w:rPr>
          <w:t>6.8      Behavioral Health</w:t>
        </w:r>
        <w:r w:rsidR="00FA0CDB">
          <w:rPr>
            <w:webHidden/>
          </w:rPr>
          <w:tab/>
        </w:r>
        <w:r w:rsidR="00FA0CDB">
          <w:rPr>
            <w:webHidden/>
          </w:rPr>
          <w:fldChar w:fldCharType="begin"/>
        </w:r>
        <w:r w:rsidR="00FA0CDB">
          <w:rPr>
            <w:webHidden/>
          </w:rPr>
          <w:instrText xml:space="preserve"> PAGEREF _Toc31623015 \h </w:instrText>
        </w:r>
        <w:r w:rsidR="00FA0CDB">
          <w:rPr>
            <w:webHidden/>
          </w:rPr>
        </w:r>
        <w:r w:rsidR="00FA0CDB">
          <w:rPr>
            <w:webHidden/>
          </w:rPr>
          <w:fldChar w:fldCharType="separate"/>
        </w:r>
        <w:r>
          <w:rPr>
            <w:webHidden/>
          </w:rPr>
          <w:t>34</w:t>
        </w:r>
        <w:r w:rsidR="00FA0CDB">
          <w:rPr>
            <w:webHidden/>
          </w:rPr>
          <w:fldChar w:fldCharType="end"/>
        </w:r>
      </w:hyperlink>
    </w:p>
    <w:p w14:paraId="53F1C62D" w14:textId="77777777" w:rsidR="00FA0CDB" w:rsidRDefault="009A1FF8">
      <w:pPr>
        <w:pStyle w:val="TOC1"/>
        <w:rPr>
          <w:rFonts w:eastAsiaTheme="minorEastAsia"/>
          <w:noProof/>
        </w:rPr>
      </w:pPr>
      <w:hyperlink w:anchor="_Toc31623016" w:history="1">
        <w:r w:rsidR="00FA0CDB" w:rsidRPr="00B10193">
          <w:rPr>
            <w:rStyle w:val="Hyperlink"/>
            <w:noProof/>
          </w:rPr>
          <w:t>7.</w:t>
        </w:r>
        <w:r w:rsidR="00FA0CDB">
          <w:rPr>
            <w:rFonts w:eastAsiaTheme="minorEastAsia"/>
            <w:noProof/>
          </w:rPr>
          <w:tab/>
        </w:r>
        <w:r w:rsidR="00FA0CDB" w:rsidRPr="00B10193">
          <w:rPr>
            <w:rStyle w:val="Hyperlink"/>
            <w:noProof/>
          </w:rPr>
          <w:t>Communications</w:t>
        </w:r>
        <w:r w:rsidR="00FA0CDB">
          <w:rPr>
            <w:noProof/>
            <w:webHidden/>
          </w:rPr>
          <w:tab/>
        </w:r>
        <w:r w:rsidR="00FA0CDB">
          <w:rPr>
            <w:noProof/>
            <w:webHidden/>
          </w:rPr>
          <w:fldChar w:fldCharType="begin"/>
        </w:r>
        <w:r w:rsidR="00FA0CDB">
          <w:rPr>
            <w:noProof/>
            <w:webHidden/>
          </w:rPr>
          <w:instrText xml:space="preserve"> PAGEREF _Toc31623016 \h </w:instrText>
        </w:r>
        <w:r w:rsidR="00FA0CDB">
          <w:rPr>
            <w:noProof/>
            <w:webHidden/>
          </w:rPr>
        </w:r>
        <w:r w:rsidR="00FA0CDB">
          <w:rPr>
            <w:noProof/>
            <w:webHidden/>
          </w:rPr>
          <w:fldChar w:fldCharType="separate"/>
        </w:r>
        <w:r>
          <w:rPr>
            <w:noProof/>
            <w:webHidden/>
          </w:rPr>
          <w:t>35</w:t>
        </w:r>
        <w:r w:rsidR="00FA0CDB">
          <w:rPr>
            <w:noProof/>
            <w:webHidden/>
          </w:rPr>
          <w:fldChar w:fldCharType="end"/>
        </w:r>
      </w:hyperlink>
    </w:p>
    <w:p w14:paraId="7D4C9E29" w14:textId="77777777" w:rsidR="00FA0CDB" w:rsidRDefault="009A1FF8">
      <w:pPr>
        <w:pStyle w:val="TOC2"/>
        <w:rPr>
          <w:rFonts w:eastAsiaTheme="minorEastAsia"/>
        </w:rPr>
      </w:pPr>
      <w:hyperlink w:anchor="_Toc31623017" w:history="1">
        <w:r w:rsidR="00FA0CDB" w:rsidRPr="00B10193">
          <w:rPr>
            <w:rStyle w:val="Hyperlink"/>
          </w:rPr>
          <w:t>7.1      Internal Communication</w:t>
        </w:r>
        <w:r w:rsidR="00FA0CDB">
          <w:rPr>
            <w:webHidden/>
          </w:rPr>
          <w:tab/>
        </w:r>
        <w:r w:rsidR="00FA0CDB">
          <w:rPr>
            <w:webHidden/>
          </w:rPr>
          <w:fldChar w:fldCharType="begin"/>
        </w:r>
        <w:r w:rsidR="00FA0CDB">
          <w:rPr>
            <w:webHidden/>
          </w:rPr>
          <w:instrText xml:space="preserve"> PAGEREF _Toc31623017 \h </w:instrText>
        </w:r>
        <w:r w:rsidR="00FA0CDB">
          <w:rPr>
            <w:webHidden/>
          </w:rPr>
        </w:r>
        <w:r w:rsidR="00FA0CDB">
          <w:rPr>
            <w:webHidden/>
          </w:rPr>
          <w:fldChar w:fldCharType="separate"/>
        </w:r>
        <w:r>
          <w:rPr>
            <w:webHidden/>
          </w:rPr>
          <w:t>35</w:t>
        </w:r>
        <w:r w:rsidR="00FA0CDB">
          <w:rPr>
            <w:webHidden/>
          </w:rPr>
          <w:fldChar w:fldCharType="end"/>
        </w:r>
      </w:hyperlink>
    </w:p>
    <w:p w14:paraId="7F5C87B9" w14:textId="77777777" w:rsidR="00FA0CDB" w:rsidRDefault="009A1FF8">
      <w:pPr>
        <w:pStyle w:val="TOC2"/>
        <w:rPr>
          <w:rFonts w:eastAsiaTheme="minorEastAsia"/>
        </w:rPr>
      </w:pPr>
      <w:hyperlink w:anchor="_Toc31623018" w:history="1">
        <w:r w:rsidR="00FA0CDB" w:rsidRPr="00B10193">
          <w:rPr>
            <w:rStyle w:val="Hyperlink"/>
          </w:rPr>
          <w:t>7.2      External Communication</w:t>
        </w:r>
        <w:r w:rsidR="00FA0CDB">
          <w:rPr>
            <w:webHidden/>
          </w:rPr>
          <w:tab/>
        </w:r>
        <w:r w:rsidR="00FA0CDB">
          <w:rPr>
            <w:webHidden/>
          </w:rPr>
          <w:fldChar w:fldCharType="begin"/>
        </w:r>
        <w:r w:rsidR="00FA0CDB">
          <w:rPr>
            <w:webHidden/>
          </w:rPr>
          <w:instrText xml:space="preserve"> PAGEREF _Toc31623018 \h </w:instrText>
        </w:r>
        <w:r w:rsidR="00FA0CDB">
          <w:rPr>
            <w:webHidden/>
          </w:rPr>
        </w:r>
        <w:r w:rsidR="00FA0CDB">
          <w:rPr>
            <w:webHidden/>
          </w:rPr>
          <w:fldChar w:fldCharType="separate"/>
        </w:r>
        <w:r>
          <w:rPr>
            <w:webHidden/>
          </w:rPr>
          <w:t>35</w:t>
        </w:r>
        <w:r w:rsidR="00FA0CDB">
          <w:rPr>
            <w:webHidden/>
          </w:rPr>
          <w:fldChar w:fldCharType="end"/>
        </w:r>
      </w:hyperlink>
    </w:p>
    <w:p w14:paraId="1BCFB593" w14:textId="77777777" w:rsidR="00FA0CDB" w:rsidRDefault="009A1FF8">
      <w:pPr>
        <w:pStyle w:val="TOC1"/>
        <w:rPr>
          <w:rFonts w:eastAsiaTheme="minorEastAsia"/>
          <w:noProof/>
        </w:rPr>
      </w:pPr>
      <w:hyperlink w:anchor="_Toc31623019" w:history="1">
        <w:r w:rsidR="00FA0CDB" w:rsidRPr="00B10193">
          <w:rPr>
            <w:rStyle w:val="Hyperlink"/>
            <w:noProof/>
          </w:rPr>
          <w:t>8.</w:t>
        </w:r>
        <w:r w:rsidR="00FA0CDB">
          <w:rPr>
            <w:rFonts w:eastAsiaTheme="minorEastAsia"/>
            <w:noProof/>
          </w:rPr>
          <w:tab/>
        </w:r>
        <w:r w:rsidR="00FA0CDB" w:rsidRPr="00B10193">
          <w:rPr>
            <w:rStyle w:val="Hyperlink"/>
            <w:noProof/>
          </w:rPr>
          <w:t>Plan Development and Maintenance</w:t>
        </w:r>
        <w:r w:rsidR="00FA0CDB">
          <w:rPr>
            <w:noProof/>
            <w:webHidden/>
          </w:rPr>
          <w:tab/>
        </w:r>
        <w:r w:rsidR="00FA0CDB">
          <w:rPr>
            <w:noProof/>
            <w:webHidden/>
          </w:rPr>
          <w:fldChar w:fldCharType="begin"/>
        </w:r>
        <w:r w:rsidR="00FA0CDB">
          <w:rPr>
            <w:noProof/>
            <w:webHidden/>
          </w:rPr>
          <w:instrText xml:space="preserve"> PAGEREF _Toc31623019 \h </w:instrText>
        </w:r>
        <w:r w:rsidR="00FA0CDB">
          <w:rPr>
            <w:noProof/>
            <w:webHidden/>
          </w:rPr>
        </w:r>
        <w:r w:rsidR="00FA0CDB">
          <w:rPr>
            <w:noProof/>
            <w:webHidden/>
          </w:rPr>
          <w:fldChar w:fldCharType="separate"/>
        </w:r>
        <w:r>
          <w:rPr>
            <w:noProof/>
            <w:webHidden/>
          </w:rPr>
          <w:t>39</w:t>
        </w:r>
        <w:r w:rsidR="00FA0CDB">
          <w:rPr>
            <w:noProof/>
            <w:webHidden/>
          </w:rPr>
          <w:fldChar w:fldCharType="end"/>
        </w:r>
      </w:hyperlink>
    </w:p>
    <w:p w14:paraId="0A759B80" w14:textId="77777777" w:rsidR="00FA0CDB" w:rsidRDefault="009A1FF8">
      <w:pPr>
        <w:pStyle w:val="TOC2"/>
        <w:rPr>
          <w:rFonts w:eastAsiaTheme="minorEastAsia"/>
        </w:rPr>
      </w:pPr>
      <w:hyperlink w:anchor="_Toc31623020" w:history="1">
        <w:r w:rsidR="00FA0CDB" w:rsidRPr="00B10193">
          <w:rPr>
            <w:rStyle w:val="Hyperlink"/>
          </w:rPr>
          <w:t>8.1      Revision Process</w:t>
        </w:r>
        <w:r w:rsidR="00FA0CDB">
          <w:rPr>
            <w:webHidden/>
          </w:rPr>
          <w:tab/>
        </w:r>
        <w:r w:rsidR="00FA0CDB">
          <w:rPr>
            <w:webHidden/>
          </w:rPr>
          <w:fldChar w:fldCharType="begin"/>
        </w:r>
        <w:r w:rsidR="00FA0CDB">
          <w:rPr>
            <w:webHidden/>
          </w:rPr>
          <w:instrText xml:space="preserve"> PAGEREF _Toc31623020 \h </w:instrText>
        </w:r>
        <w:r w:rsidR="00FA0CDB">
          <w:rPr>
            <w:webHidden/>
          </w:rPr>
        </w:r>
        <w:r w:rsidR="00FA0CDB">
          <w:rPr>
            <w:webHidden/>
          </w:rPr>
          <w:fldChar w:fldCharType="separate"/>
        </w:r>
        <w:r>
          <w:rPr>
            <w:webHidden/>
          </w:rPr>
          <w:t>39</w:t>
        </w:r>
        <w:r w:rsidR="00FA0CDB">
          <w:rPr>
            <w:webHidden/>
          </w:rPr>
          <w:fldChar w:fldCharType="end"/>
        </w:r>
      </w:hyperlink>
    </w:p>
    <w:p w14:paraId="5CDB41D5" w14:textId="77777777" w:rsidR="00FA0CDB" w:rsidRDefault="009A1FF8">
      <w:pPr>
        <w:pStyle w:val="TOC2"/>
        <w:rPr>
          <w:rFonts w:eastAsiaTheme="minorEastAsia"/>
        </w:rPr>
      </w:pPr>
      <w:hyperlink w:anchor="_Toc31623021" w:history="1">
        <w:r w:rsidR="00FA0CDB" w:rsidRPr="00B10193">
          <w:rPr>
            <w:rStyle w:val="Hyperlink"/>
          </w:rPr>
          <w:t>8.2      Debriefing/After Action Reports</w:t>
        </w:r>
        <w:r w:rsidR="00FA0CDB">
          <w:rPr>
            <w:webHidden/>
          </w:rPr>
          <w:tab/>
        </w:r>
        <w:r w:rsidR="00FA0CDB">
          <w:rPr>
            <w:webHidden/>
          </w:rPr>
          <w:fldChar w:fldCharType="begin"/>
        </w:r>
        <w:r w:rsidR="00FA0CDB">
          <w:rPr>
            <w:webHidden/>
          </w:rPr>
          <w:instrText xml:space="preserve"> PAGEREF _Toc31623021 \h </w:instrText>
        </w:r>
        <w:r w:rsidR="00FA0CDB">
          <w:rPr>
            <w:webHidden/>
          </w:rPr>
        </w:r>
        <w:r w:rsidR="00FA0CDB">
          <w:rPr>
            <w:webHidden/>
          </w:rPr>
          <w:fldChar w:fldCharType="separate"/>
        </w:r>
        <w:r>
          <w:rPr>
            <w:webHidden/>
          </w:rPr>
          <w:t>39</w:t>
        </w:r>
        <w:r w:rsidR="00FA0CDB">
          <w:rPr>
            <w:webHidden/>
          </w:rPr>
          <w:fldChar w:fldCharType="end"/>
        </w:r>
      </w:hyperlink>
    </w:p>
    <w:p w14:paraId="62797B64" w14:textId="77777777" w:rsidR="00FA0CDB" w:rsidRDefault="009A1FF8">
      <w:pPr>
        <w:pStyle w:val="TOC2"/>
        <w:rPr>
          <w:rFonts w:eastAsiaTheme="minorEastAsia"/>
        </w:rPr>
      </w:pPr>
      <w:hyperlink w:anchor="_Toc31623022" w:history="1">
        <w:r w:rsidR="00FA0CDB" w:rsidRPr="00B10193">
          <w:rPr>
            <w:rStyle w:val="Hyperlink"/>
          </w:rPr>
          <w:t>8.3      Exercises</w:t>
        </w:r>
        <w:r w:rsidR="00FA0CDB">
          <w:rPr>
            <w:webHidden/>
          </w:rPr>
          <w:tab/>
        </w:r>
        <w:r w:rsidR="00FA0CDB">
          <w:rPr>
            <w:webHidden/>
          </w:rPr>
          <w:fldChar w:fldCharType="begin"/>
        </w:r>
        <w:r w:rsidR="00FA0CDB">
          <w:rPr>
            <w:webHidden/>
          </w:rPr>
          <w:instrText xml:space="preserve"> PAGEREF _Toc31623022 \h </w:instrText>
        </w:r>
        <w:r w:rsidR="00FA0CDB">
          <w:rPr>
            <w:webHidden/>
          </w:rPr>
        </w:r>
        <w:r w:rsidR="00FA0CDB">
          <w:rPr>
            <w:webHidden/>
          </w:rPr>
          <w:fldChar w:fldCharType="separate"/>
        </w:r>
        <w:r>
          <w:rPr>
            <w:webHidden/>
          </w:rPr>
          <w:t>39</w:t>
        </w:r>
        <w:r w:rsidR="00FA0CDB">
          <w:rPr>
            <w:webHidden/>
          </w:rPr>
          <w:fldChar w:fldCharType="end"/>
        </w:r>
      </w:hyperlink>
    </w:p>
    <w:p w14:paraId="697FA48F" w14:textId="77777777" w:rsidR="00FA0CDB" w:rsidRDefault="009A1FF8">
      <w:pPr>
        <w:pStyle w:val="TOC1"/>
        <w:rPr>
          <w:rFonts w:eastAsiaTheme="minorEastAsia"/>
          <w:noProof/>
        </w:rPr>
      </w:pPr>
      <w:hyperlink w:anchor="_Toc31623023" w:history="1">
        <w:r w:rsidR="00FA0CDB" w:rsidRPr="00B10193">
          <w:rPr>
            <w:rStyle w:val="Hyperlink"/>
            <w:noProof/>
          </w:rPr>
          <w:t>9.</w:t>
        </w:r>
        <w:r w:rsidR="00FA0CDB">
          <w:rPr>
            <w:rFonts w:eastAsiaTheme="minorEastAsia"/>
            <w:noProof/>
          </w:rPr>
          <w:tab/>
        </w:r>
        <w:r w:rsidR="00FA0CDB" w:rsidRPr="00B10193">
          <w:rPr>
            <w:rStyle w:val="Hyperlink"/>
            <w:noProof/>
          </w:rPr>
          <w:t>Authorities and References</w:t>
        </w:r>
        <w:r w:rsidR="00FA0CDB">
          <w:rPr>
            <w:noProof/>
            <w:webHidden/>
          </w:rPr>
          <w:tab/>
        </w:r>
        <w:r w:rsidR="00FA0CDB">
          <w:rPr>
            <w:noProof/>
            <w:webHidden/>
          </w:rPr>
          <w:fldChar w:fldCharType="begin"/>
        </w:r>
        <w:r w:rsidR="00FA0CDB">
          <w:rPr>
            <w:noProof/>
            <w:webHidden/>
          </w:rPr>
          <w:instrText xml:space="preserve"> PAGEREF _Toc31623023 \h </w:instrText>
        </w:r>
        <w:r w:rsidR="00FA0CDB">
          <w:rPr>
            <w:noProof/>
            <w:webHidden/>
          </w:rPr>
        </w:r>
        <w:r w:rsidR="00FA0CDB">
          <w:rPr>
            <w:noProof/>
            <w:webHidden/>
          </w:rPr>
          <w:fldChar w:fldCharType="separate"/>
        </w:r>
        <w:r>
          <w:rPr>
            <w:noProof/>
            <w:webHidden/>
          </w:rPr>
          <w:t>40</w:t>
        </w:r>
        <w:r w:rsidR="00FA0CDB">
          <w:rPr>
            <w:noProof/>
            <w:webHidden/>
          </w:rPr>
          <w:fldChar w:fldCharType="end"/>
        </w:r>
      </w:hyperlink>
    </w:p>
    <w:p w14:paraId="60D8FE1B" w14:textId="77777777" w:rsidR="00FA0CDB" w:rsidRDefault="009A1FF8">
      <w:pPr>
        <w:pStyle w:val="TOC1"/>
        <w:rPr>
          <w:rFonts w:eastAsiaTheme="minorEastAsia"/>
          <w:noProof/>
        </w:rPr>
      </w:pPr>
      <w:hyperlink w:anchor="_Toc31623024" w:history="1">
        <w:r w:rsidR="00FA0CDB" w:rsidRPr="00B10193">
          <w:rPr>
            <w:rStyle w:val="Hyperlink"/>
            <w:noProof/>
          </w:rPr>
          <w:t>Appendices</w:t>
        </w:r>
        <w:r w:rsidR="00FA0CDB">
          <w:rPr>
            <w:noProof/>
            <w:webHidden/>
          </w:rPr>
          <w:tab/>
        </w:r>
        <w:r w:rsidR="00FA0CDB">
          <w:rPr>
            <w:noProof/>
            <w:webHidden/>
          </w:rPr>
          <w:fldChar w:fldCharType="begin"/>
        </w:r>
        <w:r w:rsidR="00FA0CDB">
          <w:rPr>
            <w:noProof/>
            <w:webHidden/>
          </w:rPr>
          <w:instrText xml:space="preserve"> PAGEREF _Toc31623024 \h </w:instrText>
        </w:r>
        <w:r w:rsidR="00FA0CDB">
          <w:rPr>
            <w:noProof/>
            <w:webHidden/>
          </w:rPr>
        </w:r>
        <w:r w:rsidR="00FA0CDB">
          <w:rPr>
            <w:noProof/>
            <w:webHidden/>
          </w:rPr>
          <w:fldChar w:fldCharType="separate"/>
        </w:r>
        <w:r>
          <w:rPr>
            <w:noProof/>
            <w:webHidden/>
          </w:rPr>
          <w:t>41</w:t>
        </w:r>
        <w:r w:rsidR="00FA0CDB">
          <w:rPr>
            <w:noProof/>
            <w:webHidden/>
          </w:rPr>
          <w:fldChar w:fldCharType="end"/>
        </w:r>
      </w:hyperlink>
    </w:p>
    <w:p w14:paraId="7F992AD2" w14:textId="77777777" w:rsidR="00FA0CDB" w:rsidRDefault="009A1FF8">
      <w:pPr>
        <w:pStyle w:val="TOC3"/>
        <w:tabs>
          <w:tab w:val="right" w:leader="dot" w:pos="9350"/>
        </w:tabs>
        <w:rPr>
          <w:rFonts w:eastAsiaTheme="minorEastAsia"/>
          <w:noProof/>
        </w:rPr>
      </w:pPr>
      <w:hyperlink w:anchor="_Toc31623029" w:history="1">
        <w:r w:rsidR="00FA0CDB" w:rsidRPr="00B10193">
          <w:rPr>
            <w:rStyle w:val="Hyperlink"/>
            <w:noProof/>
          </w:rPr>
          <w:t>Acronyms</w:t>
        </w:r>
        <w:r w:rsidR="00FA0CDB">
          <w:rPr>
            <w:noProof/>
            <w:webHidden/>
          </w:rPr>
          <w:tab/>
        </w:r>
        <w:r w:rsidR="00FA0CDB">
          <w:rPr>
            <w:noProof/>
            <w:webHidden/>
          </w:rPr>
          <w:fldChar w:fldCharType="begin"/>
        </w:r>
        <w:r w:rsidR="00FA0CDB">
          <w:rPr>
            <w:noProof/>
            <w:webHidden/>
          </w:rPr>
          <w:instrText xml:space="preserve"> PAGEREF _Toc31623029 \h </w:instrText>
        </w:r>
        <w:r w:rsidR="00FA0CDB">
          <w:rPr>
            <w:noProof/>
            <w:webHidden/>
          </w:rPr>
        </w:r>
        <w:r w:rsidR="00FA0CDB">
          <w:rPr>
            <w:noProof/>
            <w:webHidden/>
          </w:rPr>
          <w:fldChar w:fldCharType="separate"/>
        </w:r>
        <w:r>
          <w:rPr>
            <w:noProof/>
            <w:webHidden/>
          </w:rPr>
          <w:t>42</w:t>
        </w:r>
        <w:r w:rsidR="00FA0CDB">
          <w:rPr>
            <w:noProof/>
            <w:webHidden/>
          </w:rPr>
          <w:fldChar w:fldCharType="end"/>
        </w:r>
      </w:hyperlink>
    </w:p>
    <w:p w14:paraId="320CB266" w14:textId="77777777" w:rsidR="00FA0CDB" w:rsidRDefault="009A1FF8">
      <w:pPr>
        <w:pStyle w:val="TOC3"/>
        <w:tabs>
          <w:tab w:val="right" w:leader="dot" w:pos="9350"/>
        </w:tabs>
        <w:rPr>
          <w:rFonts w:eastAsiaTheme="minorEastAsia"/>
          <w:noProof/>
        </w:rPr>
      </w:pPr>
      <w:hyperlink w:anchor="_Toc31623030" w:history="1">
        <w:r w:rsidR="00FA0CDB" w:rsidRPr="00B10193">
          <w:rPr>
            <w:rStyle w:val="Hyperlink"/>
            <w:noProof/>
          </w:rPr>
          <w:t>Diseases reportable to the Massachusetts Department of Public Health and local boards of health by Law</w:t>
        </w:r>
        <w:r w:rsidR="00FA0CDB">
          <w:rPr>
            <w:noProof/>
            <w:webHidden/>
          </w:rPr>
          <w:tab/>
        </w:r>
        <w:r w:rsidR="00FA0CDB">
          <w:rPr>
            <w:noProof/>
            <w:webHidden/>
          </w:rPr>
          <w:fldChar w:fldCharType="begin"/>
        </w:r>
        <w:r w:rsidR="00FA0CDB">
          <w:rPr>
            <w:noProof/>
            <w:webHidden/>
          </w:rPr>
          <w:instrText xml:space="preserve"> PAGEREF _Toc31623030 \h </w:instrText>
        </w:r>
        <w:r w:rsidR="00FA0CDB">
          <w:rPr>
            <w:noProof/>
            <w:webHidden/>
          </w:rPr>
        </w:r>
        <w:r w:rsidR="00FA0CDB">
          <w:rPr>
            <w:noProof/>
            <w:webHidden/>
          </w:rPr>
          <w:fldChar w:fldCharType="separate"/>
        </w:r>
        <w:r>
          <w:rPr>
            <w:noProof/>
            <w:webHidden/>
          </w:rPr>
          <w:t>43</w:t>
        </w:r>
        <w:r w:rsidR="00FA0CDB">
          <w:rPr>
            <w:noProof/>
            <w:webHidden/>
          </w:rPr>
          <w:fldChar w:fldCharType="end"/>
        </w:r>
      </w:hyperlink>
    </w:p>
    <w:p w14:paraId="2C24D37D" w14:textId="77777777" w:rsidR="00FA0CDB" w:rsidRDefault="009A1FF8">
      <w:pPr>
        <w:pStyle w:val="TOC3"/>
        <w:tabs>
          <w:tab w:val="right" w:leader="dot" w:pos="9350"/>
        </w:tabs>
        <w:rPr>
          <w:rFonts w:eastAsiaTheme="minorEastAsia"/>
          <w:noProof/>
        </w:rPr>
      </w:pPr>
      <w:hyperlink w:anchor="_Toc31623031" w:history="1">
        <w:r w:rsidR="00FA0CDB" w:rsidRPr="00B10193">
          <w:rPr>
            <w:rStyle w:val="Hyperlink"/>
            <w:noProof/>
          </w:rPr>
          <w:t>Infectious Disease Surveillance Systems in Massachusetts</w:t>
        </w:r>
        <w:r w:rsidR="00FA0CDB">
          <w:rPr>
            <w:noProof/>
            <w:webHidden/>
          </w:rPr>
          <w:tab/>
        </w:r>
        <w:r w:rsidR="00FA0CDB">
          <w:rPr>
            <w:noProof/>
            <w:webHidden/>
          </w:rPr>
          <w:fldChar w:fldCharType="begin"/>
        </w:r>
        <w:r w:rsidR="00FA0CDB">
          <w:rPr>
            <w:noProof/>
            <w:webHidden/>
          </w:rPr>
          <w:instrText xml:space="preserve"> PAGEREF _Toc31623031 \h </w:instrText>
        </w:r>
        <w:r w:rsidR="00FA0CDB">
          <w:rPr>
            <w:noProof/>
            <w:webHidden/>
          </w:rPr>
        </w:r>
        <w:r w:rsidR="00FA0CDB">
          <w:rPr>
            <w:noProof/>
            <w:webHidden/>
          </w:rPr>
          <w:fldChar w:fldCharType="separate"/>
        </w:r>
        <w:r>
          <w:rPr>
            <w:noProof/>
            <w:webHidden/>
          </w:rPr>
          <w:t>44</w:t>
        </w:r>
        <w:r w:rsidR="00FA0CDB">
          <w:rPr>
            <w:noProof/>
            <w:webHidden/>
          </w:rPr>
          <w:fldChar w:fldCharType="end"/>
        </w:r>
      </w:hyperlink>
    </w:p>
    <w:p w14:paraId="1BD2337C" w14:textId="77777777" w:rsidR="00FA0CDB" w:rsidRDefault="009A1FF8">
      <w:pPr>
        <w:pStyle w:val="TOC3"/>
        <w:tabs>
          <w:tab w:val="right" w:leader="dot" w:pos="9350"/>
        </w:tabs>
        <w:rPr>
          <w:rFonts w:eastAsiaTheme="minorEastAsia"/>
          <w:noProof/>
        </w:rPr>
      </w:pPr>
      <w:hyperlink w:anchor="_Toc31623032" w:history="1">
        <w:r w:rsidR="00FA0CDB" w:rsidRPr="00B10193">
          <w:rPr>
            <w:rStyle w:val="Hyperlink"/>
            <w:noProof/>
          </w:rPr>
          <w:t>Infectious Disease Notification and Information Sharing Platforms (Outgoing)</w:t>
        </w:r>
        <w:r w:rsidR="00FA0CDB">
          <w:rPr>
            <w:noProof/>
            <w:webHidden/>
          </w:rPr>
          <w:tab/>
        </w:r>
        <w:r w:rsidR="00FA0CDB">
          <w:rPr>
            <w:noProof/>
            <w:webHidden/>
          </w:rPr>
          <w:fldChar w:fldCharType="begin"/>
        </w:r>
        <w:r w:rsidR="00FA0CDB">
          <w:rPr>
            <w:noProof/>
            <w:webHidden/>
          </w:rPr>
          <w:instrText xml:space="preserve"> PAGEREF _Toc31623032 \h </w:instrText>
        </w:r>
        <w:r w:rsidR="00FA0CDB">
          <w:rPr>
            <w:noProof/>
            <w:webHidden/>
          </w:rPr>
        </w:r>
        <w:r w:rsidR="00FA0CDB">
          <w:rPr>
            <w:noProof/>
            <w:webHidden/>
          </w:rPr>
          <w:fldChar w:fldCharType="separate"/>
        </w:r>
        <w:r>
          <w:rPr>
            <w:noProof/>
            <w:webHidden/>
          </w:rPr>
          <w:t>47</w:t>
        </w:r>
        <w:r w:rsidR="00FA0CDB">
          <w:rPr>
            <w:noProof/>
            <w:webHidden/>
          </w:rPr>
          <w:fldChar w:fldCharType="end"/>
        </w:r>
      </w:hyperlink>
    </w:p>
    <w:p w14:paraId="6A0DE40D" w14:textId="77777777" w:rsidR="00FA0CDB" w:rsidRDefault="009A1FF8">
      <w:pPr>
        <w:pStyle w:val="TOC3"/>
        <w:tabs>
          <w:tab w:val="right" w:leader="dot" w:pos="9350"/>
        </w:tabs>
        <w:rPr>
          <w:rFonts w:eastAsiaTheme="minorEastAsia"/>
          <w:noProof/>
        </w:rPr>
      </w:pPr>
      <w:hyperlink w:anchor="_Toc31623033" w:history="1">
        <w:r w:rsidR="00FA0CDB" w:rsidRPr="00B10193">
          <w:rPr>
            <w:rStyle w:val="Hyperlink"/>
            <w:noProof/>
          </w:rPr>
          <w:t>Non-Pharmaceutical Interventions Information</w:t>
        </w:r>
        <w:r w:rsidR="00FA0CDB">
          <w:rPr>
            <w:noProof/>
            <w:webHidden/>
          </w:rPr>
          <w:tab/>
        </w:r>
        <w:r w:rsidR="00FA0CDB">
          <w:rPr>
            <w:noProof/>
            <w:webHidden/>
          </w:rPr>
          <w:fldChar w:fldCharType="begin"/>
        </w:r>
        <w:r w:rsidR="00FA0CDB">
          <w:rPr>
            <w:noProof/>
            <w:webHidden/>
          </w:rPr>
          <w:instrText xml:space="preserve"> PAGEREF _Toc31623033 \h </w:instrText>
        </w:r>
        <w:r w:rsidR="00FA0CDB">
          <w:rPr>
            <w:noProof/>
            <w:webHidden/>
          </w:rPr>
        </w:r>
        <w:r w:rsidR="00FA0CDB">
          <w:rPr>
            <w:noProof/>
            <w:webHidden/>
          </w:rPr>
          <w:fldChar w:fldCharType="separate"/>
        </w:r>
        <w:r>
          <w:rPr>
            <w:noProof/>
            <w:webHidden/>
          </w:rPr>
          <w:t>48</w:t>
        </w:r>
        <w:r w:rsidR="00FA0CDB">
          <w:rPr>
            <w:noProof/>
            <w:webHidden/>
          </w:rPr>
          <w:fldChar w:fldCharType="end"/>
        </w:r>
      </w:hyperlink>
    </w:p>
    <w:p w14:paraId="31F2B5EB" w14:textId="77777777" w:rsidR="00FA0CDB" w:rsidRDefault="009A1FF8">
      <w:pPr>
        <w:pStyle w:val="TOC3"/>
        <w:tabs>
          <w:tab w:val="right" w:leader="dot" w:pos="9350"/>
        </w:tabs>
        <w:rPr>
          <w:rFonts w:eastAsiaTheme="minorEastAsia"/>
          <w:noProof/>
        </w:rPr>
      </w:pPr>
      <w:hyperlink w:anchor="_Toc31623034" w:history="1">
        <w:r w:rsidR="00FA0CDB" w:rsidRPr="00B10193">
          <w:rPr>
            <w:rStyle w:val="Hyperlink"/>
            <w:noProof/>
          </w:rPr>
          <w:t>Societal Sectors Appendix</w:t>
        </w:r>
        <w:r w:rsidR="00FA0CDB">
          <w:rPr>
            <w:noProof/>
            <w:webHidden/>
          </w:rPr>
          <w:tab/>
        </w:r>
        <w:r w:rsidR="00FA0CDB">
          <w:rPr>
            <w:noProof/>
            <w:webHidden/>
          </w:rPr>
          <w:fldChar w:fldCharType="begin"/>
        </w:r>
        <w:r w:rsidR="00FA0CDB">
          <w:rPr>
            <w:noProof/>
            <w:webHidden/>
          </w:rPr>
          <w:instrText xml:space="preserve"> PAGEREF _Toc31623034 \h </w:instrText>
        </w:r>
        <w:r w:rsidR="00FA0CDB">
          <w:rPr>
            <w:noProof/>
            <w:webHidden/>
          </w:rPr>
        </w:r>
        <w:r w:rsidR="00FA0CDB">
          <w:rPr>
            <w:noProof/>
            <w:webHidden/>
          </w:rPr>
          <w:fldChar w:fldCharType="separate"/>
        </w:r>
        <w:r>
          <w:rPr>
            <w:noProof/>
            <w:webHidden/>
          </w:rPr>
          <w:t>51</w:t>
        </w:r>
        <w:r w:rsidR="00FA0CDB">
          <w:rPr>
            <w:noProof/>
            <w:webHidden/>
          </w:rPr>
          <w:fldChar w:fldCharType="end"/>
        </w:r>
      </w:hyperlink>
    </w:p>
    <w:p w14:paraId="4739C120" w14:textId="77777777" w:rsidR="00FA0CDB" w:rsidRDefault="009A1FF8">
      <w:pPr>
        <w:pStyle w:val="TOC1"/>
        <w:rPr>
          <w:rFonts w:eastAsiaTheme="minorEastAsia"/>
          <w:noProof/>
        </w:rPr>
      </w:pPr>
      <w:hyperlink w:anchor="_Toc31623035" w:history="1">
        <w:r w:rsidR="00FA0CDB" w:rsidRPr="00B10193">
          <w:rPr>
            <w:rStyle w:val="Hyperlink"/>
            <w:noProof/>
          </w:rPr>
          <w:t>Annex</w:t>
        </w:r>
        <w:r w:rsidR="00FA0CDB">
          <w:rPr>
            <w:noProof/>
            <w:webHidden/>
          </w:rPr>
          <w:tab/>
        </w:r>
        <w:r w:rsidR="00FA0CDB">
          <w:rPr>
            <w:noProof/>
            <w:webHidden/>
          </w:rPr>
          <w:fldChar w:fldCharType="begin"/>
        </w:r>
        <w:r w:rsidR="00FA0CDB">
          <w:rPr>
            <w:noProof/>
            <w:webHidden/>
          </w:rPr>
          <w:instrText xml:space="preserve"> PAGEREF _Toc31623035 \h </w:instrText>
        </w:r>
        <w:r w:rsidR="00FA0CDB">
          <w:rPr>
            <w:noProof/>
            <w:webHidden/>
          </w:rPr>
        </w:r>
        <w:r w:rsidR="00FA0CDB">
          <w:rPr>
            <w:noProof/>
            <w:webHidden/>
          </w:rPr>
          <w:fldChar w:fldCharType="separate"/>
        </w:r>
        <w:r>
          <w:rPr>
            <w:noProof/>
            <w:webHidden/>
          </w:rPr>
          <w:t>59</w:t>
        </w:r>
        <w:r w:rsidR="00FA0CDB">
          <w:rPr>
            <w:noProof/>
            <w:webHidden/>
          </w:rPr>
          <w:fldChar w:fldCharType="end"/>
        </w:r>
      </w:hyperlink>
    </w:p>
    <w:p w14:paraId="0DB2D0C7" w14:textId="77777777" w:rsidR="00FA0CDB" w:rsidRDefault="009A1FF8">
      <w:pPr>
        <w:pStyle w:val="TOC3"/>
        <w:tabs>
          <w:tab w:val="right" w:leader="dot" w:pos="9350"/>
        </w:tabs>
        <w:rPr>
          <w:rFonts w:eastAsiaTheme="minorEastAsia"/>
          <w:noProof/>
        </w:rPr>
      </w:pPr>
      <w:hyperlink w:anchor="_Toc31623040" w:history="1">
        <w:r w:rsidR="00FA0CDB" w:rsidRPr="00B10193">
          <w:rPr>
            <w:rStyle w:val="Hyperlink"/>
            <w:noProof/>
          </w:rPr>
          <w:t>Mass Vaccination and Dispensing Annex</w:t>
        </w:r>
        <w:r w:rsidR="00FA0CDB">
          <w:rPr>
            <w:noProof/>
            <w:webHidden/>
          </w:rPr>
          <w:tab/>
        </w:r>
        <w:r w:rsidR="00FA0CDB">
          <w:rPr>
            <w:noProof/>
            <w:webHidden/>
          </w:rPr>
          <w:fldChar w:fldCharType="begin"/>
        </w:r>
        <w:r w:rsidR="00FA0CDB">
          <w:rPr>
            <w:noProof/>
            <w:webHidden/>
          </w:rPr>
          <w:instrText xml:space="preserve"> PAGEREF _Toc31623040 \h </w:instrText>
        </w:r>
        <w:r w:rsidR="00FA0CDB">
          <w:rPr>
            <w:noProof/>
            <w:webHidden/>
          </w:rPr>
        </w:r>
        <w:r w:rsidR="00FA0CDB">
          <w:rPr>
            <w:noProof/>
            <w:webHidden/>
          </w:rPr>
          <w:fldChar w:fldCharType="separate"/>
        </w:r>
        <w:r>
          <w:rPr>
            <w:noProof/>
            <w:webHidden/>
          </w:rPr>
          <w:t>60</w:t>
        </w:r>
        <w:r w:rsidR="00FA0CDB">
          <w:rPr>
            <w:noProof/>
            <w:webHidden/>
          </w:rPr>
          <w:fldChar w:fldCharType="end"/>
        </w:r>
      </w:hyperlink>
    </w:p>
    <w:p w14:paraId="59919B06" w14:textId="77777777" w:rsidR="00F01BF4" w:rsidRPr="00F01BF4" w:rsidRDefault="00F01BF4" w:rsidP="00F01BF4">
      <w:pPr>
        <w:sectPr w:rsidR="00F01BF4" w:rsidRPr="00F01BF4" w:rsidSect="006160F8">
          <w:headerReference w:type="even" r:id="rId24"/>
          <w:headerReference w:type="default" r:id="rId25"/>
          <w:footerReference w:type="default" r:id="rId26"/>
          <w:headerReference w:type="first" r:id="rId27"/>
          <w:pgSz w:w="12240" w:h="15840"/>
          <w:pgMar w:top="1440" w:right="1440" w:bottom="1440" w:left="1440" w:header="720" w:footer="720" w:gutter="0"/>
          <w:cols w:space="720"/>
          <w:docGrid w:linePitch="360"/>
        </w:sectPr>
      </w:pPr>
      <w:r>
        <w:fldChar w:fldCharType="end"/>
      </w:r>
    </w:p>
    <w:p w14:paraId="41F508BA" w14:textId="0C86C675" w:rsidR="00C30BB6" w:rsidRDefault="00A270C6" w:rsidP="00A270C6">
      <w:pPr>
        <w:pStyle w:val="Heading1"/>
        <w:numPr>
          <w:ilvl w:val="0"/>
          <w:numId w:val="0"/>
        </w:numPr>
        <w:jc w:val="both"/>
      </w:pPr>
      <w:bookmarkStart w:id="11" w:name="_Toc31622984"/>
      <w:bookmarkEnd w:id="10"/>
      <w:r>
        <w:lastRenderedPageBreak/>
        <w:t xml:space="preserve">2. </w:t>
      </w:r>
      <w:r w:rsidR="00176DBA">
        <w:t>Purpose, Scope, Situation Overview, and Assumptions</w:t>
      </w:r>
      <w:bookmarkEnd w:id="11"/>
    </w:p>
    <w:p w14:paraId="705C8F59" w14:textId="77777777" w:rsidR="00BD2F55" w:rsidRPr="00BD2F55" w:rsidRDefault="00BD2F55" w:rsidP="001C1C13">
      <w:pPr>
        <w:pStyle w:val="Heading2"/>
        <w:numPr>
          <w:ilvl w:val="1"/>
          <w:numId w:val="29"/>
        </w:numPr>
        <w:tabs>
          <w:tab w:val="left" w:pos="450"/>
        </w:tabs>
      </w:pPr>
      <w:bookmarkStart w:id="12" w:name="_Toc467077799"/>
      <w:bookmarkStart w:id="13" w:name="_Toc467256699"/>
      <w:bookmarkStart w:id="14" w:name="_Toc468367174"/>
      <w:bookmarkStart w:id="15" w:name="_Toc470164532"/>
      <w:bookmarkStart w:id="16" w:name="_Toc473721292"/>
      <w:bookmarkStart w:id="17" w:name="_Toc476815740"/>
      <w:bookmarkStart w:id="18" w:name="_Toc477863200"/>
      <w:bookmarkStart w:id="19" w:name="_Toc477863387"/>
      <w:bookmarkStart w:id="20" w:name="_Toc477864000"/>
      <w:bookmarkStart w:id="21" w:name="_Toc477866300"/>
      <w:bookmarkStart w:id="22" w:name="_Toc480546344"/>
      <w:bookmarkStart w:id="23" w:name="_Toc481758983"/>
      <w:bookmarkStart w:id="24" w:name="_Toc482792820"/>
      <w:bookmarkStart w:id="25" w:name="_Toc482792976"/>
      <w:bookmarkStart w:id="26" w:name="_Toc31622985"/>
      <w:r>
        <w:t>Purpose</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29F449FC" w14:textId="77777777" w:rsidR="004A60A3" w:rsidRPr="00C82CC3" w:rsidRDefault="00DB4747" w:rsidP="008A4924">
      <w:pPr>
        <w:jc w:val="both"/>
      </w:pPr>
      <w:r w:rsidRPr="00C82CC3">
        <w:t xml:space="preserve">The </w:t>
      </w:r>
      <w:r w:rsidR="001503A9" w:rsidRPr="00C82CC3">
        <w:t>M</w:t>
      </w:r>
      <w:r w:rsidR="004830A4" w:rsidRPr="00C82CC3">
        <w:t xml:space="preserve">assachusetts </w:t>
      </w:r>
      <w:r w:rsidR="001503A9" w:rsidRPr="00C82CC3">
        <w:t>D</w:t>
      </w:r>
      <w:r w:rsidR="004830A4" w:rsidRPr="00C82CC3">
        <w:t xml:space="preserve">epartment of </w:t>
      </w:r>
      <w:r w:rsidR="001503A9" w:rsidRPr="00C82CC3">
        <w:t>P</w:t>
      </w:r>
      <w:r w:rsidR="004830A4" w:rsidRPr="00C82CC3">
        <w:t xml:space="preserve">ublic </w:t>
      </w:r>
      <w:r w:rsidR="001503A9" w:rsidRPr="00C82CC3">
        <w:t>H</w:t>
      </w:r>
      <w:r w:rsidR="004830A4" w:rsidRPr="00C82CC3">
        <w:t>ealth (MDPH)</w:t>
      </w:r>
      <w:r w:rsidR="001503A9" w:rsidRPr="00C82CC3">
        <w:t xml:space="preserve"> </w:t>
      </w:r>
      <w:r w:rsidRPr="00C82CC3">
        <w:t>I</w:t>
      </w:r>
      <w:r w:rsidR="00E37320" w:rsidRPr="00C82CC3">
        <w:t xml:space="preserve">nfectious </w:t>
      </w:r>
      <w:r w:rsidRPr="00C82CC3">
        <w:t>D</w:t>
      </w:r>
      <w:r w:rsidR="00E37320" w:rsidRPr="00C82CC3">
        <w:t xml:space="preserve">isease </w:t>
      </w:r>
      <w:r w:rsidRPr="00C82CC3">
        <w:t>E</w:t>
      </w:r>
      <w:r w:rsidR="00E37320" w:rsidRPr="00C82CC3">
        <w:t xml:space="preserve">mergency </w:t>
      </w:r>
      <w:r w:rsidRPr="00C82CC3">
        <w:t>R</w:t>
      </w:r>
      <w:r w:rsidR="00E37320" w:rsidRPr="00C82CC3">
        <w:t>esponse (IDER)</w:t>
      </w:r>
      <w:r w:rsidRPr="00C82CC3">
        <w:t xml:space="preserve"> P</w:t>
      </w:r>
      <w:r w:rsidR="004A60A3" w:rsidRPr="00C82CC3">
        <w:t>lan define</w:t>
      </w:r>
      <w:r w:rsidR="002D7205" w:rsidRPr="00C82CC3">
        <w:t>s</w:t>
      </w:r>
      <w:r w:rsidR="004A60A3" w:rsidRPr="00C82CC3">
        <w:t xml:space="preserve"> </w:t>
      </w:r>
      <w:r w:rsidR="00643B50" w:rsidRPr="00C82CC3">
        <w:t xml:space="preserve">the concept of operations </w:t>
      </w:r>
      <w:r w:rsidR="002D7205" w:rsidRPr="00C82CC3">
        <w:t>for</w:t>
      </w:r>
      <w:r w:rsidR="00643B50" w:rsidRPr="00C82CC3">
        <w:t xml:space="preserve"> an </w:t>
      </w:r>
      <w:r w:rsidR="000F55FD" w:rsidRPr="00C82CC3">
        <w:t>infectious disease</w:t>
      </w:r>
      <w:r w:rsidR="00643B50" w:rsidRPr="00C82CC3">
        <w:t xml:space="preserve"> emergency response, outline</w:t>
      </w:r>
      <w:r w:rsidR="002D7205" w:rsidRPr="00C82CC3">
        <w:t>s</w:t>
      </w:r>
      <w:r w:rsidR="00643B50" w:rsidRPr="00C82CC3">
        <w:t xml:space="preserve"> </w:t>
      </w:r>
      <w:r w:rsidR="001503A9" w:rsidRPr="00C82CC3">
        <w:t xml:space="preserve">department </w:t>
      </w:r>
      <w:r w:rsidR="00643B50" w:rsidRPr="00C82CC3">
        <w:t>roles and responsibilities, and describe</w:t>
      </w:r>
      <w:r w:rsidR="002D7205" w:rsidRPr="00C82CC3">
        <w:t>s</w:t>
      </w:r>
      <w:r w:rsidR="00643B50" w:rsidRPr="00C82CC3">
        <w:t xml:space="preserve"> </w:t>
      </w:r>
      <w:r w:rsidR="004A60A3" w:rsidRPr="00C82CC3">
        <w:t xml:space="preserve">procedures and the coordination among </w:t>
      </w:r>
      <w:r w:rsidR="001503A9" w:rsidRPr="00C82CC3">
        <w:t xml:space="preserve">and across </w:t>
      </w:r>
      <w:r w:rsidR="004A60A3" w:rsidRPr="00C82CC3">
        <w:t xml:space="preserve">responding agencies to ensure an effective operation. </w:t>
      </w:r>
    </w:p>
    <w:p w14:paraId="40CCC9A8" w14:textId="5C0BCED2" w:rsidR="00DA4393" w:rsidRPr="00C82CC3" w:rsidRDefault="00DA4393" w:rsidP="008A4924">
      <w:pPr>
        <w:jc w:val="both"/>
      </w:pPr>
      <w:r w:rsidRPr="00C82CC3">
        <w:t xml:space="preserve">The </w:t>
      </w:r>
      <w:r w:rsidR="00DB4747" w:rsidRPr="00C82CC3">
        <w:t xml:space="preserve">IDER </w:t>
      </w:r>
      <w:r w:rsidRPr="00C82CC3">
        <w:t xml:space="preserve">Plan establishes the framework for </w:t>
      </w:r>
      <w:r w:rsidR="00E77C71" w:rsidRPr="00C82CC3">
        <w:t xml:space="preserve">incident recognition and </w:t>
      </w:r>
      <w:r w:rsidRPr="00C82CC3">
        <w:t xml:space="preserve">the activation and </w:t>
      </w:r>
      <w:r w:rsidR="002D7205" w:rsidRPr="00C82CC3">
        <w:t xml:space="preserve">coordination </w:t>
      </w:r>
      <w:r w:rsidRPr="00C82CC3">
        <w:t xml:space="preserve">of </w:t>
      </w:r>
      <w:r w:rsidR="00D23E9D" w:rsidRPr="00C82CC3">
        <w:t>M</w:t>
      </w:r>
      <w:r w:rsidRPr="00C82CC3">
        <w:t xml:space="preserve">DPH and partner agency actions in response to </w:t>
      </w:r>
      <w:r w:rsidR="000F55FD" w:rsidRPr="00C82CC3">
        <w:t>infectious disease</w:t>
      </w:r>
      <w:r w:rsidR="00375214" w:rsidRPr="00C82CC3">
        <w:t xml:space="preserve"> </w:t>
      </w:r>
      <w:r w:rsidRPr="00C82CC3">
        <w:t>incidents having public health implications</w:t>
      </w:r>
      <w:r w:rsidR="00C82CC3" w:rsidRPr="00C82CC3">
        <w:t>.</w:t>
      </w:r>
      <w:r w:rsidR="00A66FA9" w:rsidRPr="00C82CC3">
        <w:t xml:space="preserve"> </w:t>
      </w:r>
      <w:r w:rsidR="0068777C" w:rsidRPr="00C82CC3">
        <w:t>The p</w:t>
      </w:r>
      <w:r w:rsidRPr="00C82CC3">
        <w:t xml:space="preserve">lan also describes the </w:t>
      </w:r>
      <w:r w:rsidR="00CD4493" w:rsidRPr="00C82CC3">
        <w:t xml:space="preserve">activities to ensure coordination, effective communication, and </w:t>
      </w:r>
      <w:r w:rsidR="00375214" w:rsidRPr="00C82CC3">
        <w:t>ongoing planning</w:t>
      </w:r>
      <w:r w:rsidR="00CD4493" w:rsidRPr="00C82CC3">
        <w:t xml:space="preserve">. </w:t>
      </w:r>
    </w:p>
    <w:p w14:paraId="76364538" w14:textId="77777777" w:rsidR="00BD2F55" w:rsidRDefault="00BD2F55" w:rsidP="001C1C13">
      <w:pPr>
        <w:pStyle w:val="Heading2"/>
        <w:numPr>
          <w:ilvl w:val="1"/>
          <w:numId w:val="29"/>
        </w:numPr>
      </w:pPr>
      <w:bookmarkStart w:id="27" w:name="_Toc467077800"/>
      <w:bookmarkStart w:id="28" w:name="_Toc467256700"/>
      <w:bookmarkStart w:id="29" w:name="_Toc468367175"/>
      <w:bookmarkStart w:id="30" w:name="_Toc470164533"/>
      <w:bookmarkStart w:id="31" w:name="_Toc473721293"/>
      <w:bookmarkStart w:id="32" w:name="_Toc476815741"/>
      <w:bookmarkStart w:id="33" w:name="_Toc477863201"/>
      <w:bookmarkStart w:id="34" w:name="_Toc477863388"/>
      <w:bookmarkStart w:id="35" w:name="_Toc477864001"/>
      <w:bookmarkStart w:id="36" w:name="_Toc477866301"/>
      <w:bookmarkStart w:id="37" w:name="_Toc480546345"/>
      <w:bookmarkStart w:id="38" w:name="_Toc481758984"/>
      <w:bookmarkStart w:id="39" w:name="_Toc482792821"/>
      <w:bookmarkStart w:id="40" w:name="_Toc482792977"/>
      <w:bookmarkStart w:id="41" w:name="_Toc31622986"/>
      <w:r>
        <w:t>Scope</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1B0A619E" w14:textId="3EE661A3" w:rsidR="009E1991" w:rsidRDefault="003820DC" w:rsidP="008A4924">
      <w:pPr>
        <w:jc w:val="both"/>
      </w:pPr>
      <w:r>
        <w:t xml:space="preserve">The MDPH IDER Plan </w:t>
      </w:r>
      <w:r w:rsidR="00175EEF">
        <w:t>details role</w:t>
      </w:r>
      <w:r w:rsidR="001A1C63">
        <w:t>s</w:t>
      </w:r>
      <w:r w:rsidR="00175EEF">
        <w:t xml:space="preserve"> and </w:t>
      </w:r>
      <w:r w:rsidR="00284C2B">
        <w:t xml:space="preserve">activities </w:t>
      </w:r>
      <w:r>
        <w:t xml:space="preserve">to </w:t>
      </w:r>
      <w:r w:rsidR="00B342C6">
        <w:t xml:space="preserve">coordinate and </w:t>
      </w:r>
      <w:r>
        <w:t xml:space="preserve">support </w:t>
      </w:r>
      <w:r w:rsidR="00B342C6">
        <w:t xml:space="preserve">state, </w:t>
      </w:r>
      <w:r w:rsidR="001503A9">
        <w:t xml:space="preserve">tribal, </w:t>
      </w:r>
      <w:r w:rsidR="00B342C6" w:rsidRPr="00C766B8">
        <w:t>regional</w:t>
      </w:r>
      <w:r w:rsidR="00B342C6">
        <w:t>, and local</w:t>
      </w:r>
      <w:r>
        <w:t xml:space="preserve"> </w:t>
      </w:r>
      <w:r w:rsidR="00B342C6">
        <w:t xml:space="preserve">response </w:t>
      </w:r>
      <w:r>
        <w:t xml:space="preserve">to an </w:t>
      </w:r>
      <w:r w:rsidR="000F55FD">
        <w:t>infectious disease</w:t>
      </w:r>
      <w:r>
        <w:t xml:space="preserve"> emergency that threatens public health in the Commonwealth. </w:t>
      </w:r>
    </w:p>
    <w:p w14:paraId="784FB001" w14:textId="5C914D2E" w:rsidR="001503A9" w:rsidRDefault="00FB0884" w:rsidP="001503A9">
      <w:pPr>
        <w:jc w:val="both"/>
      </w:pPr>
      <w:r>
        <w:t xml:space="preserve">The MDPH Bureau of </w:t>
      </w:r>
      <w:r w:rsidR="00E7624A">
        <w:t>Infectious D</w:t>
      </w:r>
      <w:r w:rsidR="000F55FD">
        <w:t>isease</w:t>
      </w:r>
      <w:r>
        <w:t xml:space="preserve"> and Laboratory Sciences (BIDLS) </w:t>
      </w:r>
      <w:proofErr w:type="gramStart"/>
      <w:r>
        <w:t>collaborates</w:t>
      </w:r>
      <w:proofErr w:type="gramEnd"/>
      <w:r>
        <w:t xml:space="preserve"> with </w:t>
      </w:r>
      <w:r w:rsidR="00E7624A">
        <w:t xml:space="preserve">health and medical entities </w:t>
      </w:r>
      <w:r>
        <w:t xml:space="preserve">in the investigation of </w:t>
      </w:r>
      <w:r w:rsidR="0019002B">
        <w:t>infectious</w:t>
      </w:r>
      <w:r w:rsidR="00B10632">
        <w:t xml:space="preserve"> diseases. </w:t>
      </w:r>
      <w:r w:rsidR="00A7715F">
        <w:t>Generally, l</w:t>
      </w:r>
      <w:r w:rsidR="0000176B">
        <w:t>ocal</w:t>
      </w:r>
      <w:r w:rsidR="001503A9">
        <w:t xml:space="preserve"> public health assumes the primary role in investigating </w:t>
      </w:r>
      <w:r w:rsidR="0000176B">
        <w:t xml:space="preserve">most </w:t>
      </w:r>
      <w:r w:rsidR="000F55FD">
        <w:t>infectious disease</w:t>
      </w:r>
      <w:r w:rsidR="00FD15AA">
        <w:t xml:space="preserve">s; however, under </w:t>
      </w:r>
      <w:hyperlink r:id="rId28" w:history="1">
        <w:r w:rsidR="00FD15AA" w:rsidRPr="00FD15AA">
          <w:rPr>
            <w:rStyle w:val="Hyperlink"/>
          </w:rPr>
          <w:t>Massachusetts General Law, Chapter 111, Section 7</w:t>
        </w:r>
      </w:hyperlink>
      <w:r w:rsidR="00FD15AA">
        <w:t>,</w:t>
      </w:r>
      <w:r w:rsidR="0000176B">
        <w:t xml:space="preserve"> </w:t>
      </w:r>
      <w:r w:rsidR="001503A9">
        <w:t xml:space="preserve">MDPH </w:t>
      </w:r>
      <w:r w:rsidR="0000176B">
        <w:t xml:space="preserve">has </w:t>
      </w:r>
      <w:r w:rsidR="001503A9">
        <w:t xml:space="preserve">“coordinate powers” </w:t>
      </w:r>
      <w:r w:rsidR="00B702E2">
        <w:t xml:space="preserve">with local health </w:t>
      </w:r>
      <w:r w:rsidR="001503A9">
        <w:t>and may initiate a</w:t>
      </w:r>
      <w:r w:rsidR="00E37320">
        <w:t>ny</w:t>
      </w:r>
      <w:r w:rsidR="003F6F1D">
        <w:t xml:space="preserve"> disease</w:t>
      </w:r>
      <w:r w:rsidR="001503A9">
        <w:t xml:space="preserve"> investigation</w:t>
      </w:r>
      <w:r w:rsidR="00E37320">
        <w:t xml:space="preserve"> as needed</w:t>
      </w:r>
      <w:r w:rsidR="001503A9">
        <w:t xml:space="preserve">. </w:t>
      </w:r>
    </w:p>
    <w:p w14:paraId="24200CC1" w14:textId="77777777" w:rsidR="009E1991" w:rsidRDefault="00B702E2" w:rsidP="008A4924">
      <w:pPr>
        <w:jc w:val="both"/>
      </w:pPr>
      <w:r>
        <w:t>MDPH provides technical assistance and support to local public health agencies and healthcare providers w</w:t>
      </w:r>
      <w:r w:rsidR="009E1991">
        <w:t xml:space="preserve">hen clusters of illness, potential bioterrorism agents, emerging </w:t>
      </w:r>
      <w:r w:rsidR="000F55FD">
        <w:t>infectious disease</w:t>
      </w:r>
      <w:r>
        <w:t>s</w:t>
      </w:r>
      <w:r w:rsidR="009E1991">
        <w:t>, or other serious threats to public health are identified</w:t>
      </w:r>
      <w:r>
        <w:t>.</w:t>
      </w:r>
      <w:r w:rsidR="009E1991">
        <w:t xml:space="preserve"> </w:t>
      </w:r>
      <w:r w:rsidR="003F6F1D">
        <w:t>The department may</w:t>
      </w:r>
      <w:r w:rsidR="007F00A0">
        <w:t xml:space="preserve"> provide assistance </w:t>
      </w:r>
      <w:r w:rsidR="009E1991">
        <w:t xml:space="preserve">in a consulting capacity </w:t>
      </w:r>
      <w:r w:rsidR="007F00A0">
        <w:t xml:space="preserve">or </w:t>
      </w:r>
      <w:r w:rsidR="009E1991">
        <w:t>direct</w:t>
      </w:r>
      <w:r w:rsidR="007F00A0">
        <w:t>ly</w:t>
      </w:r>
      <w:r w:rsidR="009E1991">
        <w:t xml:space="preserve"> manage </w:t>
      </w:r>
      <w:r w:rsidR="007F00A0">
        <w:t>case</w:t>
      </w:r>
      <w:r w:rsidR="009E1991">
        <w:t xml:space="preserve"> investigation, implementation of control and prevention measures, and follow-up activities.</w:t>
      </w:r>
      <w:r w:rsidR="007F00A0">
        <w:t xml:space="preserve"> </w:t>
      </w:r>
      <w:r w:rsidR="009E1991">
        <w:t xml:space="preserve"> </w:t>
      </w:r>
      <w:r w:rsidR="007F00A0">
        <w:t>If necessary</w:t>
      </w:r>
      <w:r w:rsidR="009E1991">
        <w:t>, MDPH may request federal technical assistance from the C</w:t>
      </w:r>
      <w:r w:rsidR="004830A4">
        <w:t>enter</w:t>
      </w:r>
      <w:r w:rsidR="00C22EF5">
        <w:t>s</w:t>
      </w:r>
      <w:r w:rsidR="004830A4">
        <w:t xml:space="preserve"> for </w:t>
      </w:r>
      <w:r w:rsidR="009E1991">
        <w:t>D</w:t>
      </w:r>
      <w:r w:rsidR="004830A4">
        <w:t>isease Control and Prevention (CDC)</w:t>
      </w:r>
      <w:r w:rsidR="009E1991">
        <w:t>.</w:t>
      </w:r>
    </w:p>
    <w:p w14:paraId="20D6220C" w14:textId="77777777" w:rsidR="00BD2F55" w:rsidRDefault="00176DBA" w:rsidP="001C1C13">
      <w:pPr>
        <w:pStyle w:val="Heading2"/>
        <w:numPr>
          <w:ilvl w:val="1"/>
          <w:numId w:val="29"/>
        </w:numPr>
      </w:pPr>
      <w:bookmarkStart w:id="42" w:name="_Toc467077802"/>
      <w:bookmarkStart w:id="43" w:name="_Toc467256702"/>
      <w:bookmarkStart w:id="44" w:name="_Toc468367177"/>
      <w:bookmarkStart w:id="45" w:name="_Toc470164535"/>
      <w:bookmarkStart w:id="46" w:name="_Toc473721295"/>
      <w:bookmarkStart w:id="47" w:name="_Toc476815743"/>
      <w:bookmarkStart w:id="48" w:name="_Toc477863203"/>
      <w:bookmarkStart w:id="49" w:name="_Toc477863390"/>
      <w:bookmarkStart w:id="50" w:name="_Toc477864003"/>
      <w:bookmarkStart w:id="51" w:name="_Toc477866303"/>
      <w:bookmarkStart w:id="52" w:name="_Toc480546347"/>
      <w:bookmarkStart w:id="53" w:name="_Toc481758986"/>
      <w:bookmarkStart w:id="54" w:name="_Toc482792823"/>
      <w:bookmarkStart w:id="55" w:name="_Toc482792979"/>
      <w:bookmarkStart w:id="56" w:name="_Toc31622987"/>
      <w:r>
        <w:t xml:space="preserve">Situation </w:t>
      </w:r>
      <w:r w:rsidR="00BD2F55">
        <w:t>Overview</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51E4EA05" w14:textId="27B6522C" w:rsidR="00377418" w:rsidRPr="001F0B57" w:rsidRDefault="0068777C" w:rsidP="008A4924">
      <w:pPr>
        <w:jc w:val="both"/>
      </w:pPr>
      <w:r>
        <w:t>This p</w:t>
      </w:r>
      <w:r w:rsidR="00377418">
        <w:t xml:space="preserve">lan </w:t>
      </w:r>
      <w:r w:rsidR="0075730A">
        <w:t>may be activated</w:t>
      </w:r>
      <w:r w:rsidR="00377418">
        <w:t xml:space="preserve"> </w:t>
      </w:r>
      <w:r w:rsidR="00D93C50">
        <w:t xml:space="preserve">for </w:t>
      </w:r>
      <w:r w:rsidR="00377418">
        <w:t>a</w:t>
      </w:r>
      <w:r w:rsidR="00A33773">
        <w:t>n</w:t>
      </w:r>
      <w:r w:rsidR="00377418">
        <w:t xml:space="preserve"> outbreak</w:t>
      </w:r>
      <w:r w:rsidR="00A33773">
        <w:t xml:space="preserve"> of an existing reportable condition</w:t>
      </w:r>
      <w:r w:rsidR="00377418">
        <w:t xml:space="preserve">, </w:t>
      </w:r>
      <w:r w:rsidR="00A33773">
        <w:t>e</w:t>
      </w:r>
      <w:r w:rsidR="00AB268B">
        <w:t xml:space="preserve">merging </w:t>
      </w:r>
      <w:r w:rsidR="00A33773">
        <w:t>i</w:t>
      </w:r>
      <w:r w:rsidR="00AB268B">
        <w:t xml:space="preserve">nfectious </w:t>
      </w:r>
      <w:r w:rsidR="00A33773">
        <w:t>d</w:t>
      </w:r>
      <w:r w:rsidR="00AB268B">
        <w:t>isease</w:t>
      </w:r>
      <w:r w:rsidR="00377418">
        <w:t xml:space="preserve">, </w:t>
      </w:r>
      <w:r w:rsidR="00AB268B">
        <w:t xml:space="preserve">pandemic </w:t>
      </w:r>
      <w:r w:rsidR="00377418">
        <w:t xml:space="preserve">or </w:t>
      </w:r>
      <w:r w:rsidR="00DB4747">
        <w:t xml:space="preserve">suspected </w:t>
      </w:r>
      <w:r w:rsidR="00377418">
        <w:t>bioterrorism event</w:t>
      </w:r>
      <w:r w:rsidR="006F73F0">
        <w:t xml:space="preserve"> </w:t>
      </w:r>
      <w:r w:rsidR="003677DD">
        <w:t>that threatens the public’s health</w:t>
      </w:r>
      <w:r w:rsidR="00377418">
        <w:t xml:space="preserve">. </w:t>
      </w:r>
      <w:r w:rsidR="00D93C50">
        <w:t xml:space="preserve"> </w:t>
      </w:r>
      <w:r w:rsidR="00377418">
        <w:t xml:space="preserve">An </w:t>
      </w:r>
      <w:r w:rsidR="000F55FD">
        <w:t>infectious disease</w:t>
      </w:r>
      <w:r w:rsidR="00377418">
        <w:t xml:space="preserve"> emergency </w:t>
      </w:r>
      <w:r w:rsidR="006F73F0">
        <w:t>will require timely and effective use of public</w:t>
      </w:r>
      <w:r w:rsidR="00377418">
        <w:t xml:space="preserve"> health and medical resources, including facilities, personnel, equipment, </w:t>
      </w:r>
      <w:r w:rsidR="003677DD">
        <w:t xml:space="preserve">mental and behavioral health services, </w:t>
      </w:r>
      <w:r w:rsidR="00377418">
        <w:t xml:space="preserve">and pharmaceutical and other supplies. </w:t>
      </w:r>
      <w:r w:rsidR="003677DD">
        <w:t xml:space="preserve">The need for resources may exceed routine operations and overwhelm resources available at the local, tribal, regional, and state level. </w:t>
      </w:r>
    </w:p>
    <w:p w14:paraId="55F29C7B" w14:textId="77777777" w:rsidR="00BD2F55" w:rsidRDefault="00C30BB6" w:rsidP="001C1C13">
      <w:pPr>
        <w:pStyle w:val="Heading2"/>
        <w:numPr>
          <w:ilvl w:val="1"/>
          <w:numId w:val="29"/>
        </w:numPr>
      </w:pPr>
      <w:bookmarkStart w:id="57" w:name="_Toc467077803"/>
      <w:bookmarkStart w:id="58" w:name="_Toc467256703"/>
      <w:bookmarkStart w:id="59" w:name="_Toc468367178"/>
      <w:bookmarkStart w:id="60" w:name="_Toc470164536"/>
      <w:bookmarkStart w:id="61" w:name="_Toc473721296"/>
      <w:bookmarkStart w:id="62" w:name="_Toc476815744"/>
      <w:bookmarkStart w:id="63" w:name="_Toc477863204"/>
      <w:bookmarkStart w:id="64" w:name="_Toc477863391"/>
      <w:bookmarkStart w:id="65" w:name="_Toc477864004"/>
      <w:bookmarkStart w:id="66" w:name="_Toc477866304"/>
      <w:bookmarkStart w:id="67" w:name="_Toc480546348"/>
      <w:bookmarkStart w:id="68" w:name="_Toc481758987"/>
      <w:bookmarkStart w:id="69" w:name="_Toc482792824"/>
      <w:bookmarkStart w:id="70" w:name="_Toc482792980"/>
      <w:bookmarkStart w:id="71" w:name="_Toc31622988"/>
      <w:r>
        <w:t xml:space="preserve">Planning </w:t>
      </w:r>
      <w:r w:rsidR="00BD2F55">
        <w:t>Assumptions</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14:paraId="5769EC48" w14:textId="77777777" w:rsidR="006C7941" w:rsidRDefault="006C7941" w:rsidP="00050DCF">
      <w:pPr>
        <w:pStyle w:val="ListParagraph"/>
        <w:numPr>
          <w:ilvl w:val="0"/>
          <w:numId w:val="24"/>
        </w:numPr>
        <w:jc w:val="both"/>
      </w:pPr>
      <w:r>
        <w:t xml:space="preserve">An </w:t>
      </w:r>
      <w:r w:rsidR="000F55FD">
        <w:t>infectious disease</w:t>
      </w:r>
      <w:r>
        <w:t xml:space="preserve"> emergency response may:</w:t>
      </w:r>
    </w:p>
    <w:p w14:paraId="159A5895" w14:textId="590FF0FD" w:rsidR="00377418" w:rsidRDefault="00377418" w:rsidP="008A4924">
      <w:pPr>
        <w:pStyle w:val="ListParagraph"/>
        <w:numPr>
          <w:ilvl w:val="1"/>
          <w:numId w:val="9"/>
        </w:numPr>
        <w:jc w:val="both"/>
      </w:pPr>
      <w:r>
        <w:lastRenderedPageBreak/>
        <w:t>Involve</w:t>
      </w:r>
      <w:r w:rsidR="003677DD">
        <w:t xml:space="preserve"> </w:t>
      </w:r>
      <w:r>
        <w:t>single or multiple geographic areas</w:t>
      </w:r>
    </w:p>
    <w:p w14:paraId="3A000102" w14:textId="539CEFDB" w:rsidR="001926A2" w:rsidRDefault="001F2DC3" w:rsidP="001926A2">
      <w:pPr>
        <w:pStyle w:val="ListParagraph"/>
        <w:numPr>
          <w:ilvl w:val="1"/>
          <w:numId w:val="9"/>
        </w:numPr>
        <w:jc w:val="both"/>
      </w:pPr>
      <w:r>
        <w:t>Involve a novel pathogen</w:t>
      </w:r>
    </w:p>
    <w:p w14:paraId="39EF3BEA" w14:textId="1569A49C" w:rsidR="00971504" w:rsidRDefault="00971504" w:rsidP="008A4924">
      <w:pPr>
        <w:pStyle w:val="ListParagraph"/>
        <w:numPr>
          <w:ilvl w:val="1"/>
          <w:numId w:val="9"/>
        </w:numPr>
        <w:jc w:val="both"/>
      </w:pPr>
      <w:r>
        <w:t>Overwhelm the capacity and capabili</w:t>
      </w:r>
      <w:r w:rsidRPr="00F84A3F">
        <w:t>t</w:t>
      </w:r>
      <w:r>
        <w:t xml:space="preserve">ies of local and tribal governments, </w:t>
      </w:r>
      <w:r w:rsidR="00377418">
        <w:t>H</w:t>
      </w:r>
      <w:r w:rsidR="006D1A5E">
        <w:t xml:space="preserve">ealth and </w:t>
      </w:r>
      <w:r w:rsidR="00377418">
        <w:t>M</w:t>
      </w:r>
      <w:r w:rsidR="006D1A5E">
        <w:t xml:space="preserve">edical </w:t>
      </w:r>
      <w:r w:rsidR="00377418">
        <w:t>C</w:t>
      </w:r>
      <w:r w:rsidR="006D1A5E">
        <w:t xml:space="preserve">oordinating </w:t>
      </w:r>
      <w:r w:rsidR="00377418">
        <w:t>C</w:t>
      </w:r>
      <w:r w:rsidR="006D1A5E">
        <w:t>oalitions (HMCCs)</w:t>
      </w:r>
      <w:r>
        <w:t xml:space="preserve">, </w:t>
      </w:r>
      <w:r w:rsidR="00377418">
        <w:t>and/</w:t>
      </w:r>
      <w:r>
        <w:t xml:space="preserve">or state agencies </w:t>
      </w:r>
    </w:p>
    <w:p w14:paraId="583D8DE8" w14:textId="46AA7C26" w:rsidR="001926A2" w:rsidRDefault="001926A2" w:rsidP="008A4924">
      <w:pPr>
        <w:pStyle w:val="ListParagraph"/>
        <w:numPr>
          <w:ilvl w:val="1"/>
          <w:numId w:val="9"/>
        </w:numPr>
        <w:jc w:val="both"/>
      </w:pPr>
      <w:r>
        <w:t>Require a flexible and scalable response</w:t>
      </w:r>
    </w:p>
    <w:p w14:paraId="29DA4F82" w14:textId="10DCB03E" w:rsidR="006C7941" w:rsidRDefault="006C7941" w:rsidP="008A4924">
      <w:pPr>
        <w:pStyle w:val="ListParagraph"/>
        <w:numPr>
          <w:ilvl w:val="1"/>
          <w:numId w:val="9"/>
        </w:numPr>
        <w:jc w:val="both"/>
      </w:pPr>
      <w:r>
        <w:t xml:space="preserve">Require short-notice resource coordination and response </w:t>
      </w:r>
    </w:p>
    <w:p w14:paraId="3728FD5A" w14:textId="7D61FD82" w:rsidR="000B1678" w:rsidRDefault="006C7941" w:rsidP="008A4924">
      <w:pPr>
        <w:pStyle w:val="ListParagraph"/>
        <w:numPr>
          <w:ilvl w:val="1"/>
          <w:numId w:val="9"/>
        </w:numPr>
        <w:jc w:val="both"/>
      </w:pPr>
      <w:r>
        <w:t xml:space="preserve">Require prolonged, sustained incident management operations and support activities </w:t>
      </w:r>
    </w:p>
    <w:p w14:paraId="3A8C3858" w14:textId="33474CE7" w:rsidR="008563A8" w:rsidRPr="008563A8" w:rsidRDefault="008563A8" w:rsidP="008A4924">
      <w:pPr>
        <w:pStyle w:val="ListParagraph"/>
        <w:numPr>
          <w:ilvl w:val="0"/>
          <w:numId w:val="9"/>
        </w:numPr>
        <w:jc w:val="both"/>
      </w:pPr>
      <w:r w:rsidRPr="008563A8">
        <w:t xml:space="preserve">Surveillance systems are in place at the state level to detect threats and send alerts and notifications </w:t>
      </w:r>
    </w:p>
    <w:p w14:paraId="305A48DC" w14:textId="515E0A51" w:rsidR="00582954" w:rsidRDefault="003677DD" w:rsidP="00582954">
      <w:pPr>
        <w:pStyle w:val="ListParagraph"/>
        <w:numPr>
          <w:ilvl w:val="0"/>
          <w:numId w:val="9"/>
        </w:numPr>
        <w:jc w:val="both"/>
      </w:pPr>
      <w:r>
        <w:t xml:space="preserve">MDPH will </w:t>
      </w:r>
      <w:r w:rsidR="008563A8" w:rsidRPr="008563A8">
        <w:t xml:space="preserve">provide guidance and technical assistance </w:t>
      </w:r>
      <w:r w:rsidR="00C12FDC">
        <w:t xml:space="preserve">to </w:t>
      </w:r>
      <w:r w:rsidR="008563A8">
        <w:t>local public health</w:t>
      </w:r>
      <w:r w:rsidR="00844A36">
        <w:t xml:space="preserve"> and health care</w:t>
      </w:r>
      <w:r w:rsidR="008563A8" w:rsidRPr="008563A8">
        <w:t xml:space="preserve"> </w:t>
      </w:r>
    </w:p>
    <w:p w14:paraId="12A9DEF1" w14:textId="6E5E2BF8" w:rsidR="008563A8" w:rsidRDefault="00C12FDC" w:rsidP="008A4924">
      <w:pPr>
        <w:pStyle w:val="ListParagraph"/>
        <w:numPr>
          <w:ilvl w:val="0"/>
          <w:numId w:val="9"/>
        </w:numPr>
        <w:jc w:val="both"/>
      </w:pPr>
      <w:r>
        <w:t>D</w:t>
      </w:r>
      <w:r w:rsidR="008563A8" w:rsidRPr="008563A8">
        <w:t xml:space="preserve">esignated mandatory reporters for </w:t>
      </w:r>
      <w:r w:rsidR="000F55FD">
        <w:t>infectious disease</w:t>
      </w:r>
      <w:r w:rsidR="008563A8" w:rsidRPr="008563A8">
        <w:t xml:space="preserve"> – local </w:t>
      </w:r>
      <w:r w:rsidR="00391C72">
        <w:t>public health departments</w:t>
      </w:r>
      <w:r w:rsidR="008563A8" w:rsidRPr="008563A8">
        <w:t xml:space="preserve">, laboratories, and </w:t>
      </w:r>
      <w:r w:rsidR="00101D82">
        <w:t>health care providers</w:t>
      </w:r>
      <w:r w:rsidR="008563A8" w:rsidRPr="008563A8">
        <w:t xml:space="preserve"> – </w:t>
      </w:r>
      <w:r>
        <w:t xml:space="preserve">will </w:t>
      </w:r>
      <w:r w:rsidR="008563A8" w:rsidRPr="008563A8">
        <w:t xml:space="preserve">communicate </w:t>
      </w:r>
      <w:r>
        <w:t>through established po</w:t>
      </w:r>
      <w:r w:rsidR="000E581B">
        <w:t>licies and procedures regarding</w:t>
      </w:r>
      <w:r w:rsidR="008563A8" w:rsidRPr="008563A8">
        <w:t xml:space="preserve"> </w:t>
      </w:r>
      <w:r w:rsidR="00885D90" w:rsidRPr="008563A8">
        <w:t>possible</w:t>
      </w:r>
      <w:r w:rsidR="008563A8" w:rsidRPr="008563A8">
        <w:t xml:space="preserve"> and confirmed cases</w:t>
      </w:r>
    </w:p>
    <w:p w14:paraId="19DA6DD0" w14:textId="2DC9B4D8" w:rsidR="00ED5320" w:rsidRPr="008563A8" w:rsidRDefault="00ED5320" w:rsidP="00ED5320">
      <w:pPr>
        <w:pStyle w:val="ListParagraph"/>
        <w:numPr>
          <w:ilvl w:val="0"/>
          <w:numId w:val="9"/>
        </w:numPr>
        <w:jc w:val="both"/>
      </w:pPr>
      <w:r>
        <w:t>An infectious disease outbreak will re</w:t>
      </w:r>
      <w:r w:rsidR="00E37320">
        <w:t>quire significant communication</w:t>
      </w:r>
      <w:r>
        <w:t xml:space="preserve"> and information sharing across jurisdictions and between the public and private sectors</w:t>
      </w:r>
    </w:p>
    <w:p w14:paraId="6BB3891F" w14:textId="2E2B7D97" w:rsidR="000B1678" w:rsidRDefault="00C12FDC" w:rsidP="008A4924">
      <w:pPr>
        <w:pStyle w:val="ListParagraph"/>
        <w:numPr>
          <w:ilvl w:val="0"/>
          <w:numId w:val="9"/>
        </w:numPr>
        <w:jc w:val="both"/>
      </w:pPr>
      <w:r>
        <w:t>P</w:t>
      </w:r>
      <w:r w:rsidR="000B1678">
        <w:t xml:space="preserve">ublic health officials </w:t>
      </w:r>
      <w:r>
        <w:t xml:space="preserve">will be expected to </w:t>
      </w:r>
      <w:r w:rsidR="000B1678">
        <w:t>communicate clear</w:t>
      </w:r>
      <w:r w:rsidR="00612403">
        <w:t>, consistent,</w:t>
      </w:r>
      <w:r w:rsidR="000B1678">
        <w:t xml:space="preserve"> </w:t>
      </w:r>
      <w:r>
        <w:t xml:space="preserve">and timely public information and </w:t>
      </w:r>
      <w:r w:rsidR="000B1678">
        <w:t xml:space="preserve">risk messaging </w:t>
      </w:r>
      <w:r w:rsidR="001A07DF">
        <w:t xml:space="preserve">based upon </w:t>
      </w:r>
      <w:r>
        <w:t xml:space="preserve">the </w:t>
      </w:r>
      <w:r w:rsidR="000B1678">
        <w:t xml:space="preserve">best available </w:t>
      </w:r>
      <w:r w:rsidR="000E0996">
        <w:t>data</w:t>
      </w:r>
      <w:r w:rsidR="00985542">
        <w:t xml:space="preserve"> and infection control </w:t>
      </w:r>
      <w:r w:rsidR="001A07DF">
        <w:t>principles</w:t>
      </w:r>
      <w:r w:rsidR="00985542">
        <w:t xml:space="preserve"> known </w:t>
      </w:r>
      <w:r w:rsidR="00E37320">
        <w:t xml:space="preserve">at that time; the expectation is that this information may change rapidly and </w:t>
      </w:r>
      <w:r w:rsidR="00101D82">
        <w:t xml:space="preserve">will </w:t>
      </w:r>
      <w:r w:rsidR="00E37320">
        <w:t xml:space="preserve">be updated accordingly </w:t>
      </w:r>
    </w:p>
    <w:p w14:paraId="61A04BD1" w14:textId="557DC965" w:rsidR="000B1678" w:rsidRDefault="000B1678" w:rsidP="008A4924">
      <w:pPr>
        <w:pStyle w:val="ListParagraph"/>
        <w:numPr>
          <w:ilvl w:val="0"/>
          <w:numId w:val="9"/>
        </w:numPr>
        <w:jc w:val="both"/>
      </w:pPr>
      <w:r>
        <w:t>A proacti</w:t>
      </w:r>
      <w:r w:rsidR="00E37320">
        <w:t>ve, coordinated response is significantly more</w:t>
      </w:r>
      <w:r>
        <w:t xml:space="preserve"> likely to lead to better outcomes than a delayed or reactive response </w:t>
      </w:r>
    </w:p>
    <w:p w14:paraId="5D897DF2" w14:textId="55A402BA" w:rsidR="000B1678" w:rsidRDefault="00C12FDC" w:rsidP="008A4924">
      <w:pPr>
        <w:pStyle w:val="ListParagraph"/>
        <w:numPr>
          <w:ilvl w:val="0"/>
          <w:numId w:val="9"/>
        </w:numPr>
        <w:jc w:val="both"/>
      </w:pPr>
      <w:r>
        <w:t xml:space="preserve">Individuals with access and functional needs </w:t>
      </w:r>
      <w:r w:rsidR="000B1678">
        <w:t>(</w:t>
      </w:r>
      <w:r w:rsidR="00175EEF">
        <w:t>including</w:t>
      </w:r>
      <w:r w:rsidR="00284C2B">
        <w:t>,</w:t>
      </w:r>
      <w:r w:rsidR="00175EEF">
        <w:t xml:space="preserve"> but not limited to</w:t>
      </w:r>
      <w:r w:rsidR="00284C2B">
        <w:t>,</w:t>
      </w:r>
      <w:r w:rsidR="00175EEF">
        <w:t xml:space="preserve"> </w:t>
      </w:r>
      <w:r w:rsidR="000B1678">
        <w:t>people w</w:t>
      </w:r>
      <w:r w:rsidR="009C1D6C">
        <w:t>ho are homeless, homebound, economically or transportation disadvantaged</w:t>
      </w:r>
      <w:r w:rsidR="000B1678">
        <w:t xml:space="preserve">, hearing or visually impaired, or who </w:t>
      </w:r>
      <w:r>
        <w:t>have limited</w:t>
      </w:r>
      <w:r w:rsidR="000B1678">
        <w:t xml:space="preserve"> English</w:t>
      </w:r>
      <w:r>
        <w:t xml:space="preserve"> proficiency</w:t>
      </w:r>
      <w:r w:rsidR="00E37320">
        <w:t>)</w:t>
      </w:r>
      <w:r w:rsidR="00E37320" w:rsidRPr="00E37320">
        <w:t xml:space="preserve"> </w:t>
      </w:r>
      <w:r w:rsidR="0004504F" w:rsidRPr="00EB546C">
        <w:t>are often disproportionately affected by emergencies and may require additional assistance in an emergency</w:t>
      </w:r>
    </w:p>
    <w:p w14:paraId="7EB191C4" w14:textId="10098E03" w:rsidR="00582954" w:rsidRDefault="003467D2" w:rsidP="00582954">
      <w:pPr>
        <w:pStyle w:val="ListParagraph"/>
        <w:numPr>
          <w:ilvl w:val="0"/>
          <w:numId w:val="9"/>
        </w:numPr>
        <w:jc w:val="both"/>
      </w:pPr>
      <w:r>
        <w:t>Healthcare providers</w:t>
      </w:r>
      <w:r w:rsidR="000B1678">
        <w:t xml:space="preserve"> and emergency response </w:t>
      </w:r>
      <w:r w:rsidR="00E37320">
        <w:t>and public safety personnel may</w:t>
      </w:r>
      <w:r w:rsidR="000B1678">
        <w:t xml:space="preserve"> be </w:t>
      </w:r>
      <w:r w:rsidR="000E0996">
        <w:t>at heightened risk of exposure in the course of their work</w:t>
      </w:r>
      <w:r w:rsidR="00E37320">
        <w:t>, depending upon the mode of disease transmission</w:t>
      </w:r>
    </w:p>
    <w:p w14:paraId="7D31F8C5" w14:textId="5999C6E8" w:rsidR="00582954" w:rsidRDefault="00582954" w:rsidP="00582954">
      <w:pPr>
        <w:pStyle w:val="ListParagraph"/>
        <w:numPr>
          <w:ilvl w:val="0"/>
          <w:numId w:val="9"/>
        </w:numPr>
        <w:jc w:val="both"/>
      </w:pPr>
      <w:r>
        <w:t xml:space="preserve">Responding agencies may also be impacted by the incident and have limited staffing </w:t>
      </w:r>
    </w:p>
    <w:p w14:paraId="0121A56A" w14:textId="7B70867F" w:rsidR="006C7941" w:rsidRDefault="00985542" w:rsidP="008A4924">
      <w:pPr>
        <w:pStyle w:val="ListParagraph"/>
        <w:numPr>
          <w:ilvl w:val="0"/>
          <w:numId w:val="9"/>
        </w:numPr>
        <w:jc w:val="both"/>
      </w:pPr>
      <w:r>
        <w:t>If the</w:t>
      </w:r>
      <w:r w:rsidR="006C7941">
        <w:t xml:space="preserve"> </w:t>
      </w:r>
      <w:r w:rsidR="000F55FD">
        <w:t>infectious disease</w:t>
      </w:r>
      <w:r w:rsidR="006C7941">
        <w:t xml:space="preserve"> </w:t>
      </w:r>
      <w:r w:rsidR="00C12FDC">
        <w:t xml:space="preserve">outbreak </w:t>
      </w:r>
      <w:r>
        <w:t xml:space="preserve">is </w:t>
      </w:r>
      <w:r w:rsidR="006C7941">
        <w:t>widespread</w:t>
      </w:r>
      <w:r w:rsidR="00E37320">
        <w:t xml:space="preserve"> (regional, national or international)</w:t>
      </w:r>
      <w:r w:rsidR="006C7941">
        <w:t xml:space="preserve">, it may </w:t>
      </w:r>
      <w:r>
        <w:t xml:space="preserve">not </w:t>
      </w:r>
      <w:r w:rsidR="006C7941">
        <w:t xml:space="preserve">be </w:t>
      </w:r>
      <w:r>
        <w:t xml:space="preserve">possible to obtain resources </w:t>
      </w:r>
      <w:r w:rsidR="006C7941">
        <w:t xml:space="preserve">from other areas </w:t>
      </w:r>
    </w:p>
    <w:p w14:paraId="02D39320" w14:textId="26E4BCA3" w:rsidR="000B1678" w:rsidRDefault="000B1678" w:rsidP="008A4924">
      <w:pPr>
        <w:pStyle w:val="ListParagraph"/>
        <w:numPr>
          <w:ilvl w:val="0"/>
          <w:numId w:val="9"/>
        </w:numPr>
        <w:jc w:val="both"/>
      </w:pPr>
      <w:r>
        <w:t>High attack</w:t>
      </w:r>
      <w:r w:rsidR="00445A5E">
        <w:t xml:space="preserve"> rates</w:t>
      </w:r>
      <w:r>
        <w:t xml:space="preserve"> </w:t>
      </w:r>
      <w:r w:rsidR="00E37320">
        <w:t xml:space="preserve">or case fatality </w:t>
      </w:r>
      <w:r>
        <w:t xml:space="preserve">rates will likely place overwhelming demands on the </w:t>
      </w:r>
      <w:r w:rsidR="001926A2">
        <w:t xml:space="preserve">public health and </w:t>
      </w:r>
      <w:r>
        <w:t>healthcare system</w:t>
      </w:r>
      <w:r w:rsidR="001926A2">
        <w:t>s</w:t>
      </w:r>
      <w:r w:rsidR="000E0996">
        <w:t xml:space="preserve">. </w:t>
      </w:r>
      <w:r w:rsidR="001926A2">
        <w:t xml:space="preserve">These systems </w:t>
      </w:r>
      <w:r w:rsidR="000E0996">
        <w:t>will implement their surge plans to</w:t>
      </w:r>
      <w:r w:rsidR="001926A2">
        <w:t xml:space="preserve"> best attempt to</w:t>
      </w:r>
      <w:r w:rsidR="000E0996">
        <w:t xml:space="preserve"> mitigate the impact on operations and the healthcare system</w:t>
      </w:r>
    </w:p>
    <w:p w14:paraId="09BFEE46" w14:textId="77777777" w:rsidR="00ED5320" w:rsidRDefault="00ED5320" w:rsidP="008A4924">
      <w:pPr>
        <w:jc w:val="both"/>
        <w:sectPr w:rsidR="00ED5320" w:rsidSect="006160F8">
          <w:headerReference w:type="even" r:id="rId29"/>
          <w:headerReference w:type="default" r:id="rId30"/>
          <w:footerReference w:type="default" r:id="rId31"/>
          <w:headerReference w:type="first" r:id="rId32"/>
          <w:pgSz w:w="12240" w:h="15840"/>
          <w:pgMar w:top="1440" w:right="1440" w:bottom="1440" w:left="1440" w:header="720" w:footer="720" w:gutter="0"/>
          <w:cols w:space="720"/>
          <w:docGrid w:linePitch="360"/>
        </w:sectPr>
      </w:pPr>
    </w:p>
    <w:p w14:paraId="2324A286" w14:textId="77777777" w:rsidR="00F01BF4" w:rsidRDefault="00F01BF4" w:rsidP="00050DCF">
      <w:pPr>
        <w:pStyle w:val="Heading1"/>
        <w:numPr>
          <w:ilvl w:val="0"/>
          <w:numId w:val="26"/>
        </w:numPr>
        <w:jc w:val="both"/>
      </w:pPr>
      <w:bookmarkStart w:id="72" w:name="_Toc477858531"/>
      <w:bookmarkStart w:id="73" w:name="_Toc477863018"/>
      <w:bookmarkStart w:id="74" w:name="_Toc477863205"/>
      <w:bookmarkStart w:id="75" w:name="_Toc477863392"/>
      <w:bookmarkStart w:id="76" w:name="_Toc477863821"/>
      <w:bookmarkStart w:id="77" w:name="_Toc477864005"/>
      <w:bookmarkStart w:id="78" w:name="_Toc477866305"/>
      <w:bookmarkStart w:id="79" w:name="_Toc480546349"/>
      <w:bookmarkStart w:id="80" w:name="_Toc481758988"/>
      <w:bookmarkStart w:id="81" w:name="_Toc482792675"/>
      <w:bookmarkStart w:id="82" w:name="_Toc482792825"/>
      <w:bookmarkStart w:id="83" w:name="_Toc482792981"/>
      <w:bookmarkStart w:id="84" w:name="_Toc481759002"/>
      <w:bookmarkStart w:id="85" w:name="_Toc482792846"/>
      <w:bookmarkStart w:id="86" w:name="_Toc31622989"/>
      <w:bookmarkEnd w:id="72"/>
      <w:bookmarkEnd w:id="73"/>
      <w:bookmarkEnd w:id="74"/>
      <w:bookmarkEnd w:id="75"/>
      <w:bookmarkEnd w:id="76"/>
      <w:bookmarkEnd w:id="77"/>
      <w:bookmarkEnd w:id="78"/>
      <w:bookmarkEnd w:id="79"/>
      <w:bookmarkEnd w:id="80"/>
      <w:bookmarkEnd w:id="81"/>
      <w:bookmarkEnd w:id="82"/>
      <w:bookmarkEnd w:id="83"/>
      <w:r>
        <w:lastRenderedPageBreak/>
        <w:t>Concept of Operations</w:t>
      </w:r>
      <w:bookmarkEnd w:id="84"/>
      <w:bookmarkEnd w:id="85"/>
      <w:bookmarkEnd w:id="86"/>
    </w:p>
    <w:p w14:paraId="025930C5" w14:textId="77777777" w:rsidR="006313FA" w:rsidRPr="006313FA" w:rsidRDefault="006313FA" w:rsidP="001C1C13">
      <w:pPr>
        <w:pStyle w:val="ListParagraph"/>
        <w:keepNext/>
        <w:keepLines/>
        <w:numPr>
          <w:ilvl w:val="0"/>
          <w:numId w:val="29"/>
        </w:numPr>
        <w:spacing w:before="200" w:after="0"/>
        <w:contextualSpacing w:val="0"/>
        <w:outlineLvl w:val="1"/>
        <w:rPr>
          <w:rFonts w:asciiTheme="majorHAnsi" w:eastAsiaTheme="majorEastAsia" w:hAnsiTheme="majorHAnsi" w:cstheme="majorBidi"/>
          <w:b/>
          <w:bCs/>
          <w:vanish/>
          <w:color w:val="4F81BD" w:themeColor="accent1"/>
          <w:sz w:val="26"/>
          <w:szCs w:val="26"/>
        </w:rPr>
      </w:pPr>
      <w:bookmarkStart w:id="87" w:name="_Toc483996000"/>
      <w:bookmarkStart w:id="88" w:name="_Toc484606924"/>
      <w:bookmarkStart w:id="89" w:name="_Toc486238549"/>
      <w:bookmarkStart w:id="90" w:name="_Toc486328924"/>
      <w:bookmarkStart w:id="91" w:name="_Toc486407575"/>
      <w:bookmarkStart w:id="92" w:name="_Toc486407714"/>
      <w:bookmarkStart w:id="93" w:name="_Toc486492318"/>
      <w:bookmarkStart w:id="94" w:name="_Toc486499815"/>
      <w:bookmarkStart w:id="95" w:name="_Toc486500991"/>
      <w:bookmarkStart w:id="96" w:name="_Toc486508738"/>
      <w:bookmarkStart w:id="97" w:name="_Toc486516451"/>
      <w:bookmarkStart w:id="98" w:name="_Toc486577706"/>
      <w:bookmarkStart w:id="99" w:name="_Toc486578912"/>
      <w:bookmarkStart w:id="100" w:name="_Toc8132171"/>
      <w:bookmarkStart w:id="101" w:name="_Toc15548162"/>
      <w:bookmarkStart w:id="102" w:name="_Toc15549131"/>
      <w:bookmarkStart w:id="103" w:name="_Toc15549478"/>
      <w:bookmarkStart w:id="104" w:name="_Toc15549951"/>
      <w:bookmarkStart w:id="105" w:name="_Toc15550018"/>
      <w:bookmarkStart w:id="106" w:name="_Toc15560738"/>
      <w:bookmarkStart w:id="107" w:name="_Toc15882433"/>
      <w:bookmarkStart w:id="108" w:name="_Toc15882494"/>
      <w:bookmarkStart w:id="109" w:name="_Toc16147808"/>
      <w:bookmarkStart w:id="110" w:name="_Toc31350850"/>
      <w:bookmarkStart w:id="111" w:name="_Toc31357403"/>
      <w:bookmarkStart w:id="112" w:name="_Toc31357540"/>
      <w:bookmarkStart w:id="113" w:name="_Toc31358673"/>
      <w:bookmarkStart w:id="114" w:name="_Toc31359037"/>
      <w:bookmarkStart w:id="115" w:name="_Toc31622990"/>
      <w:bookmarkStart w:id="116" w:name="_Toc476815746"/>
      <w:bookmarkStart w:id="117" w:name="_Toc477863406"/>
      <w:bookmarkStart w:id="118" w:name="_Toc477864019"/>
      <w:bookmarkStart w:id="119" w:name="_Toc477866319"/>
      <w:bookmarkStart w:id="120" w:name="_Toc480546364"/>
      <w:bookmarkStart w:id="121" w:name="_Toc481759003"/>
      <w:bookmarkStart w:id="122" w:name="_Toc482792847"/>
      <w:bookmarkStart w:id="123" w:name="_Toc482793003"/>
      <w:bookmarkStart w:id="124" w:name="_Toc482793296"/>
      <w:bookmarkStart w:id="125" w:name="_Toc356762269"/>
      <w:bookmarkStart w:id="126" w:name="_Toc483566867"/>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14:paraId="5D51F5F2" w14:textId="6970A08F" w:rsidR="0019002B" w:rsidRDefault="0019002B" w:rsidP="001C1C13">
      <w:pPr>
        <w:pStyle w:val="Heading2"/>
        <w:numPr>
          <w:ilvl w:val="1"/>
          <w:numId w:val="29"/>
        </w:numPr>
      </w:pPr>
      <w:bookmarkStart w:id="127" w:name="_Toc31622991"/>
      <w:r>
        <w:t>Initial Assessment of Threat Warning Information</w:t>
      </w:r>
      <w:bookmarkEnd w:id="127"/>
      <w:r>
        <w:t xml:space="preserve"> </w:t>
      </w:r>
    </w:p>
    <w:p w14:paraId="2C553A54" w14:textId="73EE3AAC" w:rsidR="0019002B" w:rsidRPr="00FB06E4" w:rsidRDefault="0019002B" w:rsidP="006160F8">
      <w:pPr>
        <w:ind w:firstLine="14"/>
        <w:contextualSpacing/>
        <w:jc w:val="both"/>
      </w:pPr>
      <w:r>
        <w:t xml:space="preserve">The </w:t>
      </w:r>
      <w:r w:rsidR="00101D82">
        <w:t xml:space="preserve">Division of </w:t>
      </w:r>
      <w:r>
        <w:t>Epidemiology and Laboratory</w:t>
      </w:r>
      <w:r w:rsidR="00175EEF">
        <w:t xml:space="preserve"> </w:t>
      </w:r>
      <w:r>
        <w:t xml:space="preserve">staff leadership at the </w:t>
      </w:r>
      <w:r w:rsidR="008F4E73">
        <w:t>Massachusetts State Public Health Laboratory (MASPHL)</w:t>
      </w:r>
      <w:r>
        <w:t xml:space="preserve"> closely monitor</w:t>
      </w:r>
      <w:r w:rsidR="001A1C63">
        <w:t>s</w:t>
      </w:r>
      <w:r>
        <w:t xml:space="preserve"> infectious disease activity as part of their normal operating procedures. As a result of constant engagement with other infectious disease experts and resources, BIDLS may </w:t>
      </w:r>
      <w:r w:rsidRPr="000C63A7">
        <w:t>receive information that suggests or indicates a potential or real public health threat</w:t>
      </w:r>
      <w:r>
        <w:t>. In such instances</w:t>
      </w:r>
      <w:r w:rsidR="001A1C63">
        <w:t>,</w:t>
      </w:r>
      <w:r>
        <w:t xml:space="preserve"> the BIDLS Director</w:t>
      </w:r>
      <w:r w:rsidR="00175EEF">
        <w:t xml:space="preserve"> may</w:t>
      </w:r>
      <w:r>
        <w:t xml:space="preserve"> brief </w:t>
      </w:r>
      <w:r w:rsidRPr="00502E71">
        <w:t>the Commissioner</w:t>
      </w:r>
      <w:r w:rsidR="00284C2B">
        <w:t xml:space="preserve"> </w:t>
      </w:r>
      <w:r w:rsidR="007C153E">
        <w:t xml:space="preserve">or designee </w:t>
      </w:r>
      <w:r>
        <w:t>of the potential need for activation of the MDPH EOP</w:t>
      </w:r>
      <w:r w:rsidR="00175EEF">
        <w:t xml:space="preserve"> </w:t>
      </w:r>
      <w:r w:rsidR="00DA69FE">
        <w:t xml:space="preserve">(and any associated Annexes, as needed) </w:t>
      </w:r>
      <w:r w:rsidR="00175EEF">
        <w:t xml:space="preserve">as well as to </w:t>
      </w:r>
      <w:r w:rsidRPr="00FB06E4">
        <w:t>assess the need for an infectious disease response outside of the normal disease control capacity based on the following criteria:</w:t>
      </w:r>
    </w:p>
    <w:p w14:paraId="5CAB7431" w14:textId="77777777" w:rsidR="0019002B" w:rsidRDefault="0019002B" w:rsidP="00284C2B">
      <w:pPr>
        <w:contextualSpacing/>
        <w:jc w:val="both"/>
      </w:pPr>
    </w:p>
    <w:p w14:paraId="3895672C" w14:textId="49EB2E28" w:rsidR="0019002B" w:rsidRPr="00FB06E4" w:rsidRDefault="0019002B" w:rsidP="00284C2B">
      <w:pPr>
        <w:contextualSpacing/>
        <w:jc w:val="both"/>
        <w:rPr>
          <w:i/>
        </w:rPr>
      </w:pPr>
      <w:r w:rsidRPr="00FB06E4">
        <w:tab/>
      </w:r>
      <w:r w:rsidRPr="00FB06E4">
        <w:tab/>
      </w:r>
      <w:r w:rsidRPr="00FB06E4">
        <w:rPr>
          <w:i/>
        </w:rPr>
        <w:t>Characteristics of the Disease Event</w:t>
      </w:r>
      <w:r w:rsidR="00F03DA3">
        <w:rPr>
          <w:i/>
        </w:rPr>
        <w:t xml:space="preserve"> May Include:</w:t>
      </w:r>
    </w:p>
    <w:p w14:paraId="56A3E7FD" w14:textId="30256E7D" w:rsidR="0019002B" w:rsidRPr="00FB06E4" w:rsidRDefault="0019002B" w:rsidP="00284C2B">
      <w:pPr>
        <w:pStyle w:val="ListParagraph"/>
        <w:numPr>
          <w:ilvl w:val="0"/>
          <w:numId w:val="30"/>
        </w:numPr>
        <w:spacing w:after="0"/>
        <w:ind w:left="1080"/>
        <w:jc w:val="both"/>
      </w:pPr>
      <w:r w:rsidRPr="00FB06E4">
        <w:t>Worldwide declaration of a Public Health Emergency of International Concern</w:t>
      </w:r>
      <w:r w:rsidR="00E1727E">
        <w:t xml:space="preserve"> by</w:t>
      </w:r>
      <w:r w:rsidR="00EE23A6">
        <w:t xml:space="preserve"> the</w:t>
      </w:r>
      <w:r w:rsidR="00E1727E">
        <w:t xml:space="preserve"> </w:t>
      </w:r>
      <w:r w:rsidR="00EE23A6">
        <w:t>World Health Organization</w:t>
      </w:r>
      <w:r w:rsidR="00ED29A4">
        <w:t xml:space="preserve"> (WHO)</w:t>
      </w:r>
    </w:p>
    <w:p w14:paraId="6907A90D" w14:textId="77777777" w:rsidR="0019002B" w:rsidRPr="00FB06E4" w:rsidRDefault="0019002B" w:rsidP="00284C2B">
      <w:pPr>
        <w:pStyle w:val="ListParagraph"/>
        <w:numPr>
          <w:ilvl w:val="0"/>
          <w:numId w:val="30"/>
        </w:numPr>
        <w:spacing w:after="0"/>
        <w:ind w:left="1080"/>
        <w:jc w:val="both"/>
      </w:pPr>
      <w:r w:rsidRPr="00FB06E4">
        <w:t>Information received about a current infectious disease event with the potential to affect the Commonwealth from CDC’s Health Alert Network</w:t>
      </w:r>
    </w:p>
    <w:p w14:paraId="65ED5740" w14:textId="77777777" w:rsidR="0019002B" w:rsidRPr="00FB06E4" w:rsidRDefault="0019002B" w:rsidP="00284C2B">
      <w:pPr>
        <w:pStyle w:val="ListParagraph"/>
        <w:numPr>
          <w:ilvl w:val="0"/>
          <w:numId w:val="30"/>
        </w:numPr>
        <w:spacing w:after="0"/>
        <w:ind w:left="1080"/>
        <w:jc w:val="both"/>
      </w:pPr>
      <w:r w:rsidRPr="00FB06E4">
        <w:t>Notification of unusual infectious disease activity with the potential for significant morbidity and/or mortality from physicians, public health partners, or state and local authorities</w:t>
      </w:r>
    </w:p>
    <w:p w14:paraId="5D3911EF" w14:textId="77777777" w:rsidR="0019002B" w:rsidRPr="00FB06E4" w:rsidRDefault="0019002B" w:rsidP="00284C2B">
      <w:pPr>
        <w:pStyle w:val="ListParagraph"/>
        <w:numPr>
          <w:ilvl w:val="0"/>
          <w:numId w:val="30"/>
        </w:numPr>
        <w:spacing w:after="0"/>
        <w:ind w:left="1080"/>
        <w:jc w:val="both"/>
      </w:pPr>
      <w:r w:rsidRPr="00FB06E4">
        <w:t>High profile situation involving an infectious disease</w:t>
      </w:r>
    </w:p>
    <w:p w14:paraId="7171D5F0" w14:textId="77777777" w:rsidR="0019002B" w:rsidRPr="00FB06E4" w:rsidRDefault="0019002B" w:rsidP="00284C2B">
      <w:pPr>
        <w:pStyle w:val="ListParagraph"/>
        <w:numPr>
          <w:ilvl w:val="0"/>
          <w:numId w:val="30"/>
        </w:numPr>
        <w:spacing w:after="0"/>
        <w:ind w:left="1080"/>
        <w:jc w:val="both"/>
      </w:pPr>
      <w:r w:rsidRPr="00FB06E4">
        <w:t>Possible or confirmed intentional release of a biological agent</w:t>
      </w:r>
    </w:p>
    <w:p w14:paraId="37294968" w14:textId="77777777" w:rsidR="0019002B" w:rsidRPr="00FB06E4" w:rsidRDefault="0019002B" w:rsidP="00284C2B">
      <w:pPr>
        <w:pStyle w:val="ListParagraph"/>
        <w:numPr>
          <w:ilvl w:val="0"/>
          <w:numId w:val="30"/>
        </w:numPr>
        <w:spacing w:after="0"/>
        <w:ind w:left="1080"/>
        <w:jc w:val="both"/>
      </w:pPr>
      <w:r w:rsidRPr="00FB06E4">
        <w:t>A large disease outbreak requiring more than routine resources</w:t>
      </w:r>
    </w:p>
    <w:p w14:paraId="45F1DFF1" w14:textId="77777777" w:rsidR="0019002B" w:rsidRPr="00FB06E4" w:rsidRDefault="0019002B" w:rsidP="00284C2B">
      <w:pPr>
        <w:pStyle w:val="ListParagraph"/>
        <w:numPr>
          <w:ilvl w:val="0"/>
          <w:numId w:val="30"/>
        </w:numPr>
        <w:spacing w:after="0"/>
        <w:ind w:left="1080"/>
        <w:jc w:val="both"/>
      </w:pPr>
      <w:r w:rsidRPr="00FB06E4">
        <w:t>Positive signal from an acknowledged environmental detector</w:t>
      </w:r>
    </w:p>
    <w:p w14:paraId="6B28ED20" w14:textId="77777777" w:rsidR="0019002B" w:rsidRPr="00FB06E4" w:rsidRDefault="0019002B" w:rsidP="00284C2B">
      <w:pPr>
        <w:pStyle w:val="ListParagraph"/>
        <w:numPr>
          <w:ilvl w:val="0"/>
          <w:numId w:val="30"/>
        </w:numPr>
        <w:spacing w:after="0"/>
        <w:ind w:left="1080"/>
        <w:jc w:val="both"/>
      </w:pPr>
      <w:r w:rsidRPr="00FB06E4">
        <w:t>First or initial case(s) of an emerging infectious disease with the potential for significant illness or death in the population</w:t>
      </w:r>
    </w:p>
    <w:p w14:paraId="1C1DD6E5" w14:textId="77777777" w:rsidR="0019002B" w:rsidRDefault="0019002B" w:rsidP="00284C2B">
      <w:pPr>
        <w:contextualSpacing/>
        <w:jc w:val="both"/>
        <w:rPr>
          <w:i/>
        </w:rPr>
      </w:pPr>
    </w:p>
    <w:p w14:paraId="3FC9C2D1" w14:textId="13BD91E5" w:rsidR="0019002B" w:rsidRPr="00FB06E4" w:rsidRDefault="0019002B" w:rsidP="00284C2B">
      <w:pPr>
        <w:contextualSpacing/>
        <w:jc w:val="both"/>
        <w:rPr>
          <w:i/>
        </w:rPr>
      </w:pPr>
      <w:r w:rsidRPr="00FB06E4">
        <w:rPr>
          <w:i/>
        </w:rPr>
        <w:t>Characteristics of the Disease Agent</w:t>
      </w:r>
      <w:r w:rsidR="00F03DA3">
        <w:rPr>
          <w:i/>
        </w:rPr>
        <w:t xml:space="preserve"> May Include:</w:t>
      </w:r>
    </w:p>
    <w:p w14:paraId="3A43AB89" w14:textId="77777777" w:rsidR="0019002B" w:rsidRPr="00FB06E4" w:rsidRDefault="0019002B" w:rsidP="00284C2B">
      <w:pPr>
        <w:pStyle w:val="ListParagraph"/>
        <w:numPr>
          <w:ilvl w:val="0"/>
          <w:numId w:val="31"/>
        </w:numPr>
        <w:spacing w:after="0"/>
        <w:ind w:left="1080"/>
        <w:jc w:val="both"/>
      </w:pPr>
      <w:r w:rsidRPr="00FB06E4">
        <w:t>Ease of transmission (person to person, multiple transmission routes)</w:t>
      </w:r>
    </w:p>
    <w:p w14:paraId="511877EB" w14:textId="77777777" w:rsidR="0019002B" w:rsidRPr="00FB06E4" w:rsidRDefault="0019002B" w:rsidP="00284C2B">
      <w:pPr>
        <w:pStyle w:val="ListParagraph"/>
        <w:numPr>
          <w:ilvl w:val="0"/>
          <w:numId w:val="31"/>
        </w:numPr>
        <w:spacing w:after="0"/>
        <w:ind w:left="1080"/>
        <w:jc w:val="both"/>
      </w:pPr>
      <w:r w:rsidRPr="00FB06E4">
        <w:t>Significant morbidity and/or mortality</w:t>
      </w:r>
    </w:p>
    <w:p w14:paraId="32BD4159" w14:textId="197F47A4" w:rsidR="0019002B" w:rsidRPr="00FB06E4" w:rsidRDefault="0019002B" w:rsidP="00284C2B">
      <w:pPr>
        <w:pStyle w:val="ListParagraph"/>
        <w:numPr>
          <w:ilvl w:val="0"/>
          <w:numId w:val="31"/>
        </w:numPr>
        <w:spacing w:after="0"/>
        <w:ind w:left="1080"/>
        <w:jc w:val="both"/>
      </w:pPr>
      <w:r w:rsidRPr="00FB06E4">
        <w:t>Disease is infectious before symptom onset</w:t>
      </w:r>
      <w:r w:rsidR="00E073D4">
        <w:t xml:space="preserve"> (e.g. influenza)</w:t>
      </w:r>
    </w:p>
    <w:p w14:paraId="2180B80B" w14:textId="77777777" w:rsidR="0019002B" w:rsidRPr="00FB06E4" w:rsidRDefault="0019002B" w:rsidP="00284C2B">
      <w:pPr>
        <w:pStyle w:val="ListParagraph"/>
        <w:numPr>
          <w:ilvl w:val="0"/>
          <w:numId w:val="31"/>
        </w:numPr>
        <w:spacing w:after="0"/>
        <w:ind w:left="1080"/>
        <w:jc w:val="both"/>
      </w:pPr>
      <w:r w:rsidRPr="00FB06E4">
        <w:t>Minimal or no existing immunity in the population</w:t>
      </w:r>
    </w:p>
    <w:p w14:paraId="62214720" w14:textId="77777777" w:rsidR="0019002B" w:rsidRPr="00FB06E4" w:rsidRDefault="0019002B" w:rsidP="00284C2B">
      <w:pPr>
        <w:pStyle w:val="ListParagraph"/>
        <w:numPr>
          <w:ilvl w:val="0"/>
          <w:numId w:val="31"/>
        </w:numPr>
        <w:spacing w:after="0"/>
        <w:ind w:left="1080"/>
        <w:jc w:val="both"/>
      </w:pPr>
      <w:r w:rsidRPr="00FB06E4">
        <w:t>Minimal or no availability of appropriate personal protective equipment</w:t>
      </w:r>
    </w:p>
    <w:p w14:paraId="31B27B41" w14:textId="587C459D" w:rsidR="0019002B" w:rsidRDefault="0019002B" w:rsidP="001C1C13">
      <w:pPr>
        <w:pStyle w:val="Heading2"/>
        <w:numPr>
          <w:ilvl w:val="1"/>
          <w:numId w:val="29"/>
        </w:numPr>
      </w:pPr>
      <w:bookmarkStart w:id="128" w:name="_Toc31622992"/>
      <w:r>
        <w:t>Activation</w:t>
      </w:r>
      <w:bookmarkEnd w:id="128"/>
      <w:r>
        <w:t xml:space="preserve"> </w:t>
      </w:r>
    </w:p>
    <w:p w14:paraId="36A884F6" w14:textId="7CA7CB37" w:rsidR="00DF09A6" w:rsidRDefault="0019002B" w:rsidP="00284C2B">
      <w:pPr>
        <w:spacing w:line="253" w:lineRule="auto"/>
        <w:ind w:right="60"/>
        <w:jc w:val="both"/>
      </w:pPr>
      <w:r>
        <w:t>Based on the characteristics of the disease agent and the disease event, and in consultation with t</w:t>
      </w:r>
      <w:r w:rsidR="004239CC">
        <w:t>he Directors of BIDLS and OPEM and the Executive Team, the Commissioner will activate th</w:t>
      </w:r>
      <w:r w:rsidR="00D94DC7">
        <w:t>is</w:t>
      </w:r>
      <w:r w:rsidRPr="00FB06E4">
        <w:t xml:space="preserve"> </w:t>
      </w:r>
      <w:r>
        <w:t>plan and the MDPH EOP.</w:t>
      </w:r>
      <w:r w:rsidR="00DF09A6">
        <w:t xml:space="preserve"> The purpose of activating the EOP is to assign roles and responsibilities, coordinate the flow of internal and external information, conduct situational awareness, develop response and recovery objectives and support response and recovery resource requests.</w:t>
      </w:r>
      <w:r w:rsidR="00035995">
        <w:t xml:space="preserve"> </w:t>
      </w:r>
      <w:r w:rsidR="00850F09">
        <w:t xml:space="preserve">Once the Commissioner approves the activation of the EOP and IDER, he/she will then designate an Incident Manager (IM) to oversee the </w:t>
      </w:r>
      <w:r w:rsidR="00850F09">
        <w:lastRenderedPageBreak/>
        <w:t xml:space="preserve">incident response actions of the Department. </w:t>
      </w:r>
      <w:r w:rsidR="00850F09" w:rsidRPr="00391C72">
        <w:t xml:space="preserve">The </w:t>
      </w:r>
      <w:r w:rsidR="00850F09">
        <w:t>IM</w:t>
      </w:r>
      <w:r w:rsidR="00850F09" w:rsidRPr="00391C72">
        <w:t xml:space="preserve"> has overall responsibility for managing the incident by establishing objectives, planning strategies, and implementing tactics. </w:t>
      </w:r>
      <w:r w:rsidR="00850F09">
        <w:t xml:space="preserve">In addition, the IM will also designate other Command and General Staff positions to be activated to aid in managing the response. </w:t>
      </w:r>
      <w:r w:rsidR="004239CC">
        <w:t xml:space="preserve">Command and General Staff positions will be filled based on the needs of the incident and will be staffed by personnel from within the Department, with knowledge and expertise to support the role. </w:t>
      </w:r>
      <w:r w:rsidR="00850F09">
        <w:t>Lastly, u</w:t>
      </w:r>
      <w:r w:rsidR="00850F09" w:rsidRPr="00391C72">
        <w:t>pon recommendation of the OPEM Director, t</w:t>
      </w:r>
      <w:r w:rsidR="00850F09" w:rsidRPr="000F6C6F">
        <w:t xml:space="preserve">he Commissioner will </w:t>
      </w:r>
      <w:r w:rsidR="00850F09">
        <w:t xml:space="preserve">also </w:t>
      </w:r>
      <w:r w:rsidR="00850F09" w:rsidRPr="000F6C6F">
        <w:t>determine whether the Department Operation Center (DOC)</w:t>
      </w:r>
      <w:r w:rsidR="00850F09" w:rsidRPr="005869D1">
        <w:t xml:space="preserve"> will be </w:t>
      </w:r>
      <w:r w:rsidR="00850F09">
        <w:t xml:space="preserve">activated, to which level and in which location. </w:t>
      </w:r>
      <w:r w:rsidR="005A27C3">
        <w:t xml:space="preserve">Once the DOC is activated and </w:t>
      </w:r>
      <w:proofErr w:type="gramStart"/>
      <w:r w:rsidR="005A27C3">
        <w:t>staff are</w:t>
      </w:r>
      <w:proofErr w:type="gramEnd"/>
      <w:r w:rsidR="005A27C3">
        <w:t xml:space="preserve"> in place</w:t>
      </w:r>
      <w:r w:rsidR="00AF43BE">
        <w:t>, including a liaison from BIDLS</w:t>
      </w:r>
      <w:r w:rsidR="005A27C3">
        <w:t xml:space="preserve">, the Planning Section will work with the IM and Operation Section to develop the initial Incident Action Plan (IAP) that will help guide the department’s initial response. The IAP will be updated for each operational period </w:t>
      </w:r>
      <w:r w:rsidR="00D94DC7">
        <w:t>and the</w:t>
      </w:r>
      <w:r w:rsidR="005A27C3">
        <w:t xml:space="preserve"> approved IAP will be presented to staff at the operational briefing at the beginning of each operational </w:t>
      </w:r>
      <w:r w:rsidR="004239CC">
        <w:t>period.</w:t>
      </w:r>
      <w:r w:rsidR="003B1277">
        <w:t xml:space="preserve">  </w:t>
      </w:r>
    </w:p>
    <w:p w14:paraId="272F4448" w14:textId="0F25C2A2" w:rsidR="0019002B" w:rsidRPr="00502E71" w:rsidRDefault="0019002B" w:rsidP="0019002B">
      <w:pPr>
        <w:contextualSpacing/>
      </w:pPr>
    </w:p>
    <w:p w14:paraId="5B5B4590" w14:textId="013AA4B0" w:rsidR="0019002B" w:rsidRPr="005A27C3" w:rsidRDefault="00DF09A6" w:rsidP="001C1C13">
      <w:pPr>
        <w:pStyle w:val="Heading2"/>
        <w:numPr>
          <w:ilvl w:val="1"/>
          <w:numId w:val="29"/>
        </w:numPr>
      </w:pPr>
      <w:bookmarkStart w:id="129" w:name="_Toc31622993"/>
      <w:r w:rsidRPr="005A27C3">
        <w:t>MDPH Operations</w:t>
      </w:r>
      <w:bookmarkEnd w:id="129"/>
    </w:p>
    <w:p w14:paraId="26CCA545" w14:textId="78EE14A4" w:rsidR="006F0E94" w:rsidRDefault="006F0E94" w:rsidP="006F0E94">
      <w:pPr>
        <w:jc w:val="both"/>
      </w:pPr>
      <w:r w:rsidRPr="00AC0923">
        <w:t>Follo</w:t>
      </w:r>
      <w:r>
        <w:t>wing a structured approach to infectious disease</w:t>
      </w:r>
      <w:r w:rsidRPr="00AC0923">
        <w:t xml:space="preserve"> planning and response </w:t>
      </w:r>
      <w:r>
        <w:t>can provide</w:t>
      </w:r>
      <w:r w:rsidRPr="00AC0923">
        <w:t xml:space="preserve"> greater detail and clarity with regards to the potential timing of key actions to mitigate the spread of disease. </w:t>
      </w:r>
      <w:r>
        <w:t>This p</w:t>
      </w:r>
      <w:r w:rsidRPr="00D23798">
        <w:t>lan is struct</w:t>
      </w:r>
      <w:r>
        <w:t xml:space="preserve">ured according to six infectious disease response </w:t>
      </w:r>
      <w:r w:rsidR="00D94DC7">
        <w:t>interval</w:t>
      </w:r>
      <w:r>
        <w:t>s</w:t>
      </w:r>
      <w:r w:rsidRPr="00F61FBA">
        <w:t xml:space="preserve"> </w:t>
      </w:r>
      <w:r>
        <w:t xml:space="preserve">which include: Preparation, Investigation/Alerting, Recognition, Initiation, Acceleration, and Demobilization. These </w:t>
      </w:r>
      <w:r w:rsidR="00D94DC7">
        <w:t>interval</w:t>
      </w:r>
      <w:r>
        <w:t>s describe the progression from routine surveillance through threat identification, response and recovery.</w:t>
      </w:r>
      <w:r w:rsidRPr="00D23798">
        <w:t xml:space="preserve"> </w:t>
      </w:r>
    </w:p>
    <w:p w14:paraId="13ED1159" w14:textId="2D15FF45" w:rsidR="006F0E94" w:rsidRDefault="006F0E94" w:rsidP="006F0E94">
      <w:pPr>
        <w:jc w:val="both"/>
      </w:pPr>
      <w:r>
        <w:t>Not every infectious disease</w:t>
      </w:r>
      <w:r w:rsidRPr="00AF2EDE">
        <w:t xml:space="preserve"> </w:t>
      </w:r>
      <w:r>
        <w:t xml:space="preserve">threat will progress sequentially to every IDER </w:t>
      </w:r>
      <w:r w:rsidR="00D94DC7">
        <w:t>interval</w:t>
      </w:r>
      <w:r>
        <w:t xml:space="preserve">. For example, the </w:t>
      </w:r>
      <w:r w:rsidR="00101D82">
        <w:t xml:space="preserve">Division of </w:t>
      </w:r>
      <w:r>
        <w:t>Epidemiology may investigate an infectious disease</w:t>
      </w:r>
      <w:r w:rsidRPr="00AF2EDE">
        <w:t xml:space="preserve"> </w:t>
      </w:r>
      <w:r>
        <w:t>case and conclude that no</w:t>
      </w:r>
      <w:r w:rsidR="00101D82">
        <w:t xml:space="preserve"> further</w:t>
      </w:r>
      <w:r>
        <w:t xml:space="preserve"> follow up action is needed. Alternatively, some responses to specific pathogens may skip preliminary </w:t>
      </w:r>
      <w:r w:rsidR="001567CB">
        <w:t>l</w:t>
      </w:r>
      <w:r>
        <w:t>evels/</w:t>
      </w:r>
      <w:r w:rsidR="001567CB">
        <w:t>i</w:t>
      </w:r>
      <w:r w:rsidR="00D94DC7">
        <w:t>nterval</w:t>
      </w:r>
      <w:r>
        <w:t>s as they may immediately require a more robust response, as may be the case with a suspected bioterror incident or a particularly virulent communicable disease. Should an infectious disease</w:t>
      </w:r>
      <w:r w:rsidRPr="00AF2EDE">
        <w:t xml:space="preserve"> </w:t>
      </w:r>
      <w:r>
        <w:t xml:space="preserve">incident warrant the bypassing of initial </w:t>
      </w:r>
      <w:r w:rsidR="00D94DC7">
        <w:t>interval</w:t>
      </w:r>
      <w:r>
        <w:t xml:space="preserve">s, responding agencies will still review and follow the key actions of skipped </w:t>
      </w:r>
      <w:r w:rsidR="00D94DC7">
        <w:t>interval</w:t>
      </w:r>
      <w:r>
        <w:t xml:space="preserve">s to ensure a comprehensive response.  </w:t>
      </w:r>
    </w:p>
    <w:p w14:paraId="08BF4F8A" w14:textId="3FEEC6A5" w:rsidR="006F0E94" w:rsidRDefault="006F0E94" w:rsidP="006F0E94">
      <w:pPr>
        <w:jc w:val="both"/>
      </w:pPr>
      <w:r>
        <w:t xml:space="preserve">Key considerations and action items for each </w:t>
      </w:r>
      <w:r w:rsidR="00D94DC7">
        <w:t>interval</w:t>
      </w:r>
      <w:r>
        <w:t xml:space="preserve"> can be found below as well as in Section 6: Domains. </w:t>
      </w:r>
    </w:p>
    <w:p w14:paraId="402D321A" w14:textId="6CA8DB16" w:rsidR="00C02D2E" w:rsidRDefault="00C02D2E" w:rsidP="009A25B6">
      <w:pPr>
        <w:pStyle w:val="Heading4"/>
      </w:pPr>
      <w:r>
        <w:t xml:space="preserve">Preparation </w:t>
      </w:r>
      <w:r w:rsidR="00D94DC7">
        <w:t>Interval</w:t>
      </w:r>
    </w:p>
    <w:p w14:paraId="79672A96" w14:textId="47B59CCE" w:rsidR="00910142" w:rsidRDefault="00910142" w:rsidP="006F0E94">
      <w:pPr>
        <w:contextualSpacing/>
        <w:jc w:val="both"/>
      </w:pPr>
      <w:r w:rsidRPr="00910142">
        <w:t xml:space="preserve">Interval Indicators:  Routine activities including response to localized outbreaks of infectious disease known or likely to occur in the state. </w:t>
      </w:r>
      <w:proofErr w:type="gramStart"/>
      <w:r w:rsidRPr="00910142">
        <w:t>Preparing for future outbreaks that require infectious disease response</w:t>
      </w:r>
      <w:r w:rsidR="00885D90">
        <w:t>,</w:t>
      </w:r>
      <w:r w:rsidRPr="00910142">
        <w:t xml:space="preserve"> beyond routine activities.</w:t>
      </w:r>
      <w:proofErr w:type="gramEnd"/>
    </w:p>
    <w:p w14:paraId="0CCFAE59" w14:textId="77777777" w:rsidR="00910142" w:rsidRDefault="00910142" w:rsidP="006F0E94">
      <w:pPr>
        <w:contextualSpacing/>
        <w:jc w:val="both"/>
      </w:pPr>
    </w:p>
    <w:p w14:paraId="540CBACC" w14:textId="05D9BA60" w:rsidR="006F0E94" w:rsidRDefault="00C02D2E" w:rsidP="006F0E94">
      <w:pPr>
        <w:contextualSpacing/>
        <w:jc w:val="both"/>
      </w:pPr>
      <w:r>
        <w:t>The Preparation</w:t>
      </w:r>
      <w:r w:rsidR="006F0E94">
        <w:t xml:space="preserve"> </w:t>
      </w:r>
      <w:r w:rsidR="00D94DC7">
        <w:t>Interval</w:t>
      </w:r>
      <w:r w:rsidR="006F0E94">
        <w:t xml:space="preserve"> provides a baseline for infectious disease</w:t>
      </w:r>
      <w:r w:rsidR="006F0E94" w:rsidRPr="00AF2EDE">
        <w:t xml:space="preserve"> </w:t>
      </w:r>
      <w:r w:rsidR="006F0E94">
        <w:t xml:space="preserve">response activities and largely consists of normal operating procedures. </w:t>
      </w:r>
    </w:p>
    <w:p w14:paraId="07671003" w14:textId="270C90DF" w:rsidR="006F0E94" w:rsidRDefault="006F0E94" w:rsidP="006F0E94">
      <w:pPr>
        <w:pStyle w:val="ListParagraph"/>
        <w:numPr>
          <w:ilvl w:val="0"/>
          <w:numId w:val="2"/>
        </w:numPr>
        <w:jc w:val="both"/>
      </w:pPr>
      <w:r w:rsidRPr="00E177ED">
        <w:t xml:space="preserve">This </w:t>
      </w:r>
      <w:r w:rsidR="00D94DC7">
        <w:t>interval</w:t>
      </w:r>
      <w:r w:rsidRPr="00E177ED">
        <w:t xml:space="preserve"> includes</w:t>
      </w:r>
      <w:r>
        <w:t xml:space="preserve"> ongoing</w:t>
      </w:r>
      <w:r w:rsidRPr="00E177ED">
        <w:t xml:space="preserve"> </w:t>
      </w:r>
      <w:r>
        <w:t xml:space="preserve">IDER Plan review and maintenance, periodic exercising of the plan, and continuation of other related planning efforts, such as surge planning and </w:t>
      </w:r>
      <w:r w:rsidRPr="00E177ED">
        <w:t xml:space="preserve">continuity of operations planning </w:t>
      </w:r>
    </w:p>
    <w:p w14:paraId="17DDE5C9" w14:textId="281E7E39" w:rsidR="006F0E94" w:rsidRDefault="006F0E94" w:rsidP="006F0E94">
      <w:pPr>
        <w:pStyle w:val="ListParagraph"/>
        <w:numPr>
          <w:ilvl w:val="0"/>
          <w:numId w:val="2"/>
        </w:numPr>
        <w:jc w:val="both"/>
      </w:pPr>
      <w:r w:rsidRPr="00C43AF1">
        <w:t>Routine surveillance</w:t>
      </w:r>
      <w:r w:rsidR="00101D82">
        <w:t xml:space="preserve"> and case follow up are</w:t>
      </w:r>
      <w:r w:rsidRPr="00C43AF1">
        <w:t xml:space="preserve"> occurring </w:t>
      </w:r>
    </w:p>
    <w:p w14:paraId="36C50751" w14:textId="34DD27ED" w:rsidR="006F0E94" w:rsidRDefault="006F0E94" w:rsidP="006F0E94">
      <w:pPr>
        <w:pStyle w:val="ListParagraph"/>
        <w:numPr>
          <w:ilvl w:val="0"/>
          <w:numId w:val="2"/>
        </w:numPr>
        <w:jc w:val="both"/>
      </w:pPr>
      <w:r>
        <w:lastRenderedPageBreak/>
        <w:t>MDPH participates in professional development training and offer educational opportunities for partners, as able</w:t>
      </w:r>
    </w:p>
    <w:p w14:paraId="6316A448" w14:textId="366A28B8" w:rsidR="007173E5" w:rsidRDefault="007173E5" w:rsidP="007173E5">
      <w:pPr>
        <w:jc w:val="both"/>
      </w:pPr>
      <w:r>
        <w:t xml:space="preserve">Concrete triggers that may signal a need to transition from the Preparation </w:t>
      </w:r>
      <w:r w:rsidR="00D94DC7">
        <w:t>Interval</w:t>
      </w:r>
      <w:r>
        <w:t xml:space="preserve"> to the Investigation/Alerting </w:t>
      </w:r>
      <w:r w:rsidR="00D94DC7">
        <w:t>Interval</w:t>
      </w:r>
      <w:r>
        <w:t xml:space="preserve"> include:</w:t>
      </w:r>
    </w:p>
    <w:p w14:paraId="76A941E2" w14:textId="2D9AD037" w:rsidR="007173E5" w:rsidRDefault="007173E5" w:rsidP="001A1C63">
      <w:pPr>
        <w:pStyle w:val="ListParagraph"/>
        <w:numPr>
          <w:ilvl w:val="0"/>
          <w:numId w:val="96"/>
        </w:numPr>
        <w:jc w:val="both"/>
      </w:pPr>
      <w:r>
        <w:t xml:space="preserve">The posting of an item on a professional association or federal agency listserv (i.e., </w:t>
      </w:r>
      <w:proofErr w:type="spellStart"/>
      <w:r>
        <w:t>ProMed</w:t>
      </w:r>
      <w:proofErr w:type="spellEnd"/>
      <w:r>
        <w:t xml:space="preserve">, CDC, </w:t>
      </w:r>
      <w:r w:rsidR="001567CB">
        <w:t>World Health Organization (</w:t>
      </w:r>
      <w:r>
        <w:t>WHO</w:t>
      </w:r>
      <w:r w:rsidR="001567CB">
        <w:t>)</w:t>
      </w:r>
      <w:r>
        <w:t>, etc.) that requires further action as determined by BIDLS leadership</w:t>
      </w:r>
    </w:p>
    <w:p w14:paraId="5651723D" w14:textId="77777777" w:rsidR="007173E5" w:rsidRDefault="007173E5" w:rsidP="001A1C63">
      <w:pPr>
        <w:pStyle w:val="ListParagraph"/>
        <w:numPr>
          <w:ilvl w:val="0"/>
          <w:numId w:val="96"/>
        </w:numPr>
        <w:jc w:val="both"/>
      </w:pPr>
      <w:r>
        <w:t>CDC or WHO mobilizing a response to an infectious disease</w:t>
      </w:r>
      <w:r w:rsidRPr="00AF2EDE">
        <w:t xml:space="preserve"> </w:t>
      </w:r>
      <w:r>
        <w:t xml:space="preserve">in any country </w:t>
      </w:r>
    </w:p>
    <w:p w14:paraId="0D9860A9" w14:textId="3D1D75D3" w:rsidR="007173E5" w:rsidRDefault="007173E5" w:rsidP="001A1C63">
      <w:pPr>
        <w:pStyle w:val="ListParagraph"/>
        <w:numPr>
          <w:ilvl w:val="0"/>
          <w:numId w:val="96"/>
        </w:numPr>
        <w:jc w:val="both"/>
      </w:pPr>
      <w:r>
        <w:t>Any case</w:t>
      </w:r>
      <w:r w:rsidR="00101D82">
        <w:t xml:space="preserve"> or cluster</w:t>
      </w:r>
      <w:r>
        <w:t xml:space="preserve"> that is assigned to an Epidemiologist-of-the-Day for investigation that requires more than a routine response </w:t>
      </w:r>
    </w:p>
    <w:p w14:paraId="29C0E659" w14:textId="54819647" w:rsidR="007173E5" w:rsidRDefault="007173E5" w:rsidP="007173E5">
      <w:pPr>
        <w:jc w:val="both"/>
      </w:pPr>
      <w:r>
        <w:t xml:space="preserve">BIDLS senior leadership, the </w:t>
      </w:r>
      <w:r w:rsidRPr="000B48C5">
        <w:t xml:space="preserve">State Epidemiologist, </w:t>
      </w:r>
      <w:r w:rsidR="00D94DC7">
        <w:t>Division</w:t>
      </w:r>
      <w:r>
        <w:t xml:space="preserve"> Medical Directors</w:t>
      </w:r>
      <w:proofErr w:type="gramStart"/>
      <w:r w:rsidR="006160F8">
        <w:t>,</w:t>
      </w:r>
      <w:r>
        <w:t xml:space="preserve"> </w:t>
      </w:r>
      <w:r w:rsidR="00101D82">
        <w:t xml:space="preserve"> Division</w:t>
      </w:r>
      <w:proofErr w:type="gramEnd"/>
      <w:r w:rsidR="00101D82">
        <w:t xml:space="preserve"> of </w:t>
      </w:r>
      <w:r>
        <w:t xml:space="preserve">Epidemiology </w:t>
      </w:r>
      <w:r w:rsidR="00101D82">
        <w:t>, Office of Integrated Surveillance and Informatics</w:t>
      </w:r>
      <w:r w:rsidR="002A09B7">
        <w:t xml:space="preserve"> Services</w:t>
      </w:r>
      <w:r w:rsidR="0090024C">
        <w:t xml:space="preserve"> (ISIS)</w:t>
      </w:r>
      <w:r w:rsidR="00101D82">
        <w:t xml:space="preserve">, </w:t>
      </w:r>
      <w:r>
        <w:t xml:space="preserve">and Laboratory staff, lead the transition to the Investigation/Alerting </w:t>
      </w:r>
      <w:r w:rsidR="00D94DC7">
        <w:t>Interval</w:t>
      </w:r>
      <w:r>
        <w:t xml:space="preserve">. These subject matter experts receive information from their situational awareness sources and determine whether the situation merits closer attention. </w:t>
      </w:r>
    </w:p>
    <w:p w14:paraId="19993C45" w14:textId="1BEECCEA" w:rsidR="00C02D2E" w:rsidRDefault="00C02D2E" w:rsidP="00C02D2E">
      <w:pPr>
        <w:pStyle w:val="Heading4"/>
      </w:pPr>
      <w:r>
        <w:t xml:space="preserve">Investigation/Alerting </w:t>
      </w:r>
      <w:r w:rsidR="00D94DC7">
        <w:t>Interval</w:t>
      </w:r>
    </w:p>
    <w:p w14:paraId="1B8EACD1" w14:textId="77777777" w:rsidR="00910142" w:rsidRDefault="00910142" w:rsidP="006F0E94">
      <w:pPr>
        <w:jc w:val="both"/>
      </w:pPr>
      <w:r w:rsidRPr="00910142">
        <w:t>Interval Indicators: Identification of either a new infectious disease or a developing outbreak of a known or suspected infectious disease that may have relevant implications for human health in any location.</w:t>
      </w:r>
    </w:p>
    <w:p w14:paraId="438F1CC2" w14:textId="12F17912" w:rsidR="006F0E94" w:rsidRDefault="006F0E94" w:rsidP="006F0E94">
      <w:pPr>
        <w:jc w:val="both"/>
      </w:pPr>
      <w:r w:rsidRPr="00B02F58">
        <w:t>During</w:t>
      </w:r>
      <w:r>
        <w:t xml:space="preserve"> the</w:t>
      </w:r>
      <w:r w:rsidRPr="00B02F58">
        <w:t xml:space="preserve"> Investigation</w:t>
      </w:r>
      <w:r>
        <w:t xml:space="preserve">/Alerting </w:t>
      </w:r>
      <w:r w:rsidR="00D94DC7">
        <w:t>Interval</w:t>
      </w:r>
      <w:r w:rsidRPr="00B02F58">
        <w:t xml:space="preserve">, </w:t>
      </w:r>
      <w:r w:rsidR="00016638">
        <w:t>BIDLS</w:t>
      </w:r>
      <w:r>
        <w:t xml:space="preserve"> monitors the progression of</w:t>
      </w:r>
      <w:r w:rsidR="00101D82">
        <w:t xml:space="preserve"> the</w:t>
      </w:r>
      <w:r>
        <w:t xml:space="preserve"> infectious disease</w:t>
      </w:r>
      <w:r w:rsidRPr="00AF2EDE">
        <w:t xml:space="preserve"> </w:t>
      </w:r>
      <w:r>
        <w:t xml:space="preserve">and conducts analysis on the potential impact on affected populations; there is not an active response, but an active community, as information is sought and shared. </w:t>
      </w:r>
    </w:p>
    <w:p w14:paraId="644F0E93" w14:textId="2351730F" w:rsidR="006F0E94" w:rsidRDefault="00016638" w:rsidP="00050DCF">
      <w:pPr>
        <w:pStyle w:val="ListParagraph"/>
        <w:numPr>
          <w:ilvl w:val="0"/>
          <w:numId w:val="17"/>
        </w:numPr>
        <w:jc w:val="both"/>
      </w:pPr>
      <w:r>
        <w:t>BIDLS</w:t>
      </w:r>
      <w:r w:rsidR="006F0E94">
        <w:t xml:space="preserve"> will gather information on the disease and share information internally and externally with select partners </w:t>
      </w:r>
    </w:p>
    <w:p w14:paraId="47EEFDE9" w14:textId="06B7D6A0" w:rsidR="006F0E94" w:rsidRPr="005425CE" w:rsidRDefault="006F0E94" w:rsidP="006F0E94">
      <w:pPr>
        <w:pStyle w:val="ListParagraph"/>
        <w:numPr>
          <w:ilvl w:val="0"/>
          <w:numId w:val="2"/>
        </w:numPr>
        <w:jc w:val="both"/>
      </w:pPr>
      <w:r>
        <w:t xml:space="preserve">The </w:t>
      </w:r>
      <w:r w:rsidR="00101D82">
        <w:t xml:space="preserve">Division of </w:t>
      </w:r>
      <w:r>
        <w:t xml:space="preserve">Epidemiology will </w:t>
      </w:r>
      <w:r w:rsidRPr="005425CE">
        <w:t xml:space="preserve">assess the potential for the </w:t>
      </w:r>
      <w:r>
        <w:t>infectious disease</w:t>
      </w:r>
      <w:r w:rsidRPr="00AF2EDE">
        <w:t xml:space="preserve"> </w:t>
      </w:r>
      <w:r w:rsidRPr="005425CE">
        <w:t xml:space="preserve">to cause severe disease and/or a </w:t>
      </w:r>
      <w:r>
        <w:t>significant outbreak in humans.</w:t>
      </w:r>
      <w:r w:rsidRPr="005425CE">
        <w:t xml:space="preserve"> They will also assess the likelihood of the </w:t>
      </w:r>
      <w:r>
        <w:t>infectious disease</w:t>
      </w:r>
      <w:r w:rsidRPr="00AF2EDE">
        <w:t xml:space="preserve"> </w:t>
      </w:r>
      <w:r w:rsidRPr="005425CE">
        <w:t xml:space="preserve">affecting the residents of, or travelers to the Commonwealth   </w:t>
      </w:r>
    </w:p>
    <w:p w14:paraId="368FABB0" w14:textId="55B1793D" w:rsidR="006F0E94" w:rsidRDefault="006F0E94" w:rsidP="006F0E94">
      <w:pPr>
        <w:pStyle w:val="ListParagraph"/>
        <w:numPr>
          <w:ilvl w:val="0"/>
          <w:numId w:val="2"/>
        </w:numPr>
        <w:jc w:val="both"/>
      </w:pPr>
      <w:r>
        <w:t xml:space="preserve">Laboratory Sciences and </w:t>
      </w:r>
      <w:r w:rsidR="00101D82">
        <w:t xml:space="preserve">Division of </w:t>
      </w:r>
      <w:r>
        <w:t>E</w:t>
      </w:r>
      <w:r w:rsidRPr="005425CE">
        <w:t>pidemiology</w:t>
      </w:r>
      <w:r>
        <w:t xml:space="preserve"> </w:t>
      </w:r>
      <w:r w:rsidRPr="005425CE">
        <w:t xml:space="preserve">staff </w:t>
      </w:r>
      <w:r>
        <w:t xml:space="preserve">will </w:t>
      </w:r>
      <w:r w:rsidRPr="005425CE">
        <w:t xml:space="preserve">monitor and update the case definition for the </w:t>
      </w:r>
      <w:r>
        <w:t>infectious disease</w:t>
      </w:r>
      <w:r w:rsidRPr="00AF2EDE">
        <w:t xml:space="preserve"> </w:t>
      </w:r>
      <w:r w:rsidRPr="005425CE">
        <w:t xml:space="preserve">as appropriate, incorporating any guidance from the CDC and WHO  </w:t>
      </w:r>
    </w:p>
    <w:p w14:paraId="02363070" w14:textId="1484ED15" w:rsidR="00284C2B" w:rsidRDefault="006F0E94" w:rsidP="00284C2B">
      <w:pPr>
        <w:pStyle w:val="ListParagraph"/>
        <w:numPr>
          <w:ilvl w:val="0"/>
          <w:numId w:val="2"/>
        </w:numPr>
        <w:jc w:val="both"/>
      </w:pPr>
      <w:r>
        <w:t>The Communications Office will recommend a strategy for public messaging</w:t>
      </w:r>
      <w:r w:rsidR="00284C2B">
        <w:t xml:space="preserve"> </w:t>
      </w:r>
    </w:p>
    <w:p w14:paraId="6E5B7C71" w14:textId="73ECF860" w:rsidR="007173E5" w:rsidRDefault="007173E5" w:rsidP="00284C2B">
      <w:pPr>
        <w:ind w:left="360"/>
        <w:jc w:val="both"/>
      </w:pPr>
      <w:r>
        <w:t xml:space="preserve">Concrete triggers that may signal a transition from the Investigation/Alerting </w:t>
      </w:r>
      <w:r w:rsidR="00D94DC7">
        <w:t>Interval</w:t>
      </w:r>
      <w:r>
        <w:t xml:space="preserve"> to the Recognition </w:t>
      </w:r>
      <w:r w:rsidR="00D94DC7">
        <w:t>Interval</w:t>
      </w:r>
      <w:r>
        <w:t xml:space="preserve"> may include:</w:t>
      </w:r>
    </w:p>
    <w:p w14:paraId="46C20059" w14:textId="4A8802E3" w:rsidR="007173E5" w:rsidRDefault="007173E5" w:rsidP="001A1C63">
      <w:pPr>
        <w:pStyle w:val="ListParagraph"/>
        <w:numPr>
          <w:ilvl w:val="0"/>
          <w:numId w:val="96"/>
        </w:numPr>
        <w:jc w:val="both"/>
      </w:pPr>
      <w:r>
        <w:t xml:space="preserve">The </w:t>
      </w:r>
      <w:r w:rsidR="00101D82">
        <w:t xml:space="preserve">Division of </w:t>
      </w:r>
      <w:r>
        <w:t xml:space="preserve">Epidemiology determines further action within or external to MDPH is necessary (i.e., issuing further communications) </w:t>
      </w:r>
    </w:p>
    <w:p w14:paraId="1B943592" w14:textId="5EE3AA83" w:rsidR="007173E5" w:rsidRDefault="007173E5" w:rsidP="001A1C63">
      <w:pPr>
        <w:pStyle w:val="ListParagraph"/>
        <w:numPr>
          <w:ilvl w:val="0"/>
          <w:numId w:val="96"/>
        </w:numPr>
        <w:jc w:val="both"/>
      </w:pPr>
      <w:r>
        <w:t xml:space="preserve">The Laboratory Sciences staff contacts the </w:t>
      </w:r>
      <w:r w:rsidR="00101D82">
        <w:t xml:space="preserve">Division of </w:t>
      </w:r>
      <w:r>
        <w:t>Epidemiology, who then alerts OPEM, over concerns of a potential threat</w:t>
      </w:r>
    </w:p>
    <w:p w14:paraId="1FD7D059" w14:textId="5F113A94" w:rsidR="007173E5" w:rsidRDefault="007173E5" w:rsidP="001A1C63">
      <w:pPr>
        <w:pStyle w:val="ListParagraph"/>
        <w:numPr>
          <w:ilvl w:val="0"/>
          <w:numId w:val="96"/>
        </w:numPr>
        <w:jc w:val="both"/>
      </w:pPr>
      <w:r>
        <w:lastRenderedPageBreak/>
        <w:t>CDC declares a public health emergency, issues alerts, monitors travel advisories, and/or activates its E</w:t>
      </w:r>
      <w:r w:rsidR="001567CB">
        <w:t xml:space="preserve">mergency </w:t>
      </w:r>
      <w:r>
        <w:t>O</w:t>
      </w:r>
      <w:r w:rsidR="001567CB">
        <w:t xml:space="preserve">perations </w:t>
      </w:r>
      <w:r>
        <w:t>C</w:t>
      </w:r>
      <w:r w:rsidR="001567CB">
        <w:t>enter (EOC)</w:t>
      </w:r>
      <w:r>
        <w:t xml:space="preserve"> </w:t>
      </w:r>
    </w:p>
    <w:p w14:paraId="3560A38D" w14:textId="26B290D7" w:rsidR="007173E5" w:rsidRDefault="007173E5" w:rsidP="007173E5">
      <w:pPr>
        <w:jc w:val="both"/>
      </w:pPr>
      <w:r>
        <w:t xml:space="preserve">The Incident Manager, in consultation with the </w:t>
      </w:r>
      <w:r w:rsidR="005A27C3">
        <w:t>Executive Team</w:t>
      </w:r>
      <w:r>
        <w:t xml:space="preserve">, manages the transition from </w:t>
      </w:r>
      <w:r w:rsidR="001567CB">
        <w:t xml:space="preserve">the </w:t>
      </w:r>
      <w:r>
        <w:t xml:space="preserve">Investigation/Alerting </w:t>
      </w:r>
      <w:r w:rsidR="00D94DC7">
        <w:t>Interval</w:t>
      </w:r>
      <w:r w:rsidR="001567CB">
        <w:t>.</w:t>
      </w:r>
      <w:r>
        <w:t xml:space="preserve"> </w:t>
      </w:r>
    </w:p>
    <w:p w14:paraId="5C3F482D" w14:textId="110761C0" w:rsidR="00C02D2E" w:rsidRDefault="00C02D2E" w:rsidP="00C02D2E">
      <w:pPr>
        <w:pStyle w:val="Heading4"/>
      </w:pPr>
      <w:r>
        <w:t xml:space="preserve">Recognition </w:t>
      </w:r>
      <w:r w:rsidR="00D94DC7">
        <w:t>Interval</w:t>
      </w:r>
    </w:p>
    <w:p w14:paraId="5D1C43B1" w14:textId="77777777" w:rsidR="00910142" w:rsidRDefault="00910142" w:rsidP="00910142">
      <w:pPr>
        <w:jc w:val="both"/>
      </w:pPr>
      <w:r>
        <w:t xml:space="preserve">Interval Indicators: </w:t>
      </w:r>
      <w:r w:rsidRPr="00910142">
        <w:t>Increasing number of human cases or clusters of an infectious disease with characteristics indicating potential for ongoing transmission or increased potential for development of human-to-human transmission in any location.</w:t>
      </w:r>
    </w:p>
    <w:p w14:paraId="0997E4E4" w14:textId="467F4AF2" w:rsidR="006F0E94" w:rsidRDefault="006F0E94" w:rsidP="006F0E94">
      <w:pPr>
        <w:contextualSpacing/>
        <w:jc w:val="both"/>
      </w:pPr>
      <w:r>
        <w:t xml:space="preserve">During the Recognition </w:t>
      </w:r>
      <w:r w:rsidR="00D94DC7">
        <w:t>Interval</w:t>
      </w:r>
      <w:r>
        <w:t xml:space="preserve">, the </w:t>
      </w:r>
      <w:r w:rsidR="005A27C3">
        <w:t>Executive Team</w:t>
      </w:r>
      <w:r>
        <w:t xml:space="preserve">, </w:t>
      </w:r>
      <w:r w:rsidR="00BB3E39">
        <w:t xml:space="preserve">Division of </w:t>
      </w:r>
      <w:r>
        <w:t xml:space="preserve">Epidemiology and Laboratory staffs have determined a threat exists, and work with MDPH colleagues and external partners to decide what is needed in terms of response. </w:t>
      </w:r>
    </w:p>
    <w:p w14:paraId="42A5742D" w14:textId="75D7770A" w:rsidR="00BB3E39" w:rsidRDefault="006F0E94" w:rsidP="006F0E94">
      <w:pPr>
        <w:pStyle w:val="ListParagraph"/>
        <w:numPr>
          <w:ilvl w:val="0"/>
          <w:numId w:val="4"/>
        </w:numPr>
        <w:jc w:val="both"/>
      </w:pPr>
      <w:r>
        <w:t>BIDLS staff will actively monitor</w:t>
      </w:r>
      <w:r w:rsidRPr="005425CE">
        <w:t xml:space="preserve"> the outbreak to continually assess the likelihood of the </w:t>
      </w:r>
      <w:r>
        <w:t>infectious disease</w:t>
      </w:r>
      <w:r w:rsidRPr="00AF2EDE">
        <w:t xml:space="preserve"> </w:t>
      </w:r>
      <w:r w:rsidRPr="005425CE">
        <w:t>affecting the residents of, or travelers to</w:t>
      </w:r>
      <w:r>
        <w:t>,</w:t>
      </w:r>
      <w:r w:rsidRPr="005425CE">
        <w:t xml:space="preserve"> the Commonwealth </w:t>
      </w:r>
    </w:p>
    <w:p w14:paraId="028CA6A1" w14:textId="65FEBF7B" w:rsidR="00BB3E39" w:rsidRPr="005425CE" w:rsidRDefault="00BB3E39" w:rsidP="00BB3E39">
      <w:pPr>
        <w:pStyle w:val="ListParagraph"/>
        <w:numPr>
          <w:ilvl w:val="0"/>
          <w:numId w:val="4"/>
        </w:numPr>
        <w:jc w:val="both"/>
      </w:pPr>
      <w:r>
        <w:t>Division of Epidemiology and ISIS staff will determine whether additional data collection is appropriate and determine appropriate mechanisms</w:t>
      </w:r>
    </w:p>
    <w:p w14:paraId="36393C90" w14:textId="7904AD78" w:rsidR="006F0E94" w:rsidRPr="00337B45" w:rsidRDefault="006F0E94" w:rsidP="006F0E94">
      <w:pPr>
        <w:pStyle w:val="ListParagraph"/>
        <w:numPr>
          <w:ilvl w:val="0"/>
          <w:numId w:val="4"/>
        </w:numPr>
        <w:jc w:val="both"/>
      </w:pPr>
      <w:r>
        <w:t>There will be</w:t>
      </w:r>
      <w:r w:rsidRPr="00337B45">
        <w:t xml:space="preserve"> increased internal communication </w:t>
      </w:r>
      <w:r>
        <w:t>within MDPH</w:t>
      </w:r>
      <w:r w:rsidRPr="00337B45">
        <w:t>, and external communication with governmental and response partners.  The threat assessment, case definition, and other relevant information are regularly updated</w:t>
      </w:r>
    </w:p>
    <w:p w14:paraId="4CD5301C" w14:textId="1741E83F" w:rsidR="006F0E94" w:rsidRPr="005425CE" w:rsidRDefault="006F0E94" w:rsidP="006F0E94">
      <w:pPr>
        <w:pStyle w:val="ListParagraph"/>
        <w:numPr>
          <w:ilvl w:val="0"/>
          <w:numId w:val="4"/>
        </w:numPr>
        <w:jc w:val="both"/>
      </w:pPr>
      <w:r>
        <w:t>Laboratory staff will determine</w:t>
      </w:r>
      <w:r w:rsidRPr="005425CE">
        <w:t xml:space="preserve"> what may be needed or available to support relevant testing for disease</w:t>
      </w:r>
    </w:p>
    <w:p w14:paraId="29A38D2C" w14:textId="08D26978" w:rsidR="006F0E94" w:rsidRDefault="006F0E94" w:rsidP="006F0E94">
      <w:pPr>
        <w:pStyle w:val="ListParagraph"/>
        <w:numPr>
          <w:ilvl w:val="0"/>
          <w:numId w:val="4"/>
        </w:numPr>
        <w:jc w:val="both"/>
      </w:pPr>
      <w:r>
        <w:t>M</w:t>
      </w:r>
      <w:r w:rsidRPr="005425CE">
        <w:t xml:space="preserve">DPH </w:t>
      </w:r>
      <w:r>
        <w:t>will communicate</w:t>
      </w:r>
      <w:r w:rsidRPr="005425CE">
        <w:t xml:space="preserve"> with the public to support awareness of the </w:t>
      </w:r>
      <w:r>
        <w:t>infectious disease</w:t>
      </w:r>
      <w:r w:rsidRPr="00AF2EDE">
        <w:t xml:space="preserve"> </w:t>
      </w:r>
      <w:r w:rsidRPr="005425CE">
        <w:t>and all available per</w:t>
      </w:r>
      <w:r>
        <w:t>sonal, family and community non</w:t>
      </w:r>
      <w:r w:rsidR="005A27C3">
        <w:t>-</w:t>
      </w:r>
      <w:r w:rsidRPr="005425CE">
        <w:t>pharmaceutical protective measures</w:t>
      </w:r>
    </w:p>
    <w:p w14:paraId="026B9326" w14:textId="0B24E0F6" w:rsidR="006F0E94" w:rsidRDefault="006F0E94" w:rsidP="006F0E94">
      <w:pPr>
        <w:pStyle w:val="ListParagraph"/>
        <w:numPr>
          <w:ilvl w:val="0"/>
          <w:numId w:val="4"/>
        </w:numPr>
        <w:jc w:val="both"/>
      </w:pPr>
      <w:r>
        <w:t>MDPH will begin to discuss essential services in preparation for a scaled-up infectious disease emergency response</w:t>
      </w:r>
    </w:p>
    <w:p w14:paraId="302B4993" w14:textId="27C771D8" w:rsidR="007173E5" w:rsidRDefault="007173E5" w:rsidP="007173E5">
      <w:pPr>
        <w:jc w:val="both"/>
      </w:pPr>
      <w:r>
        <w:t xml:space="preserve">Concrete triggers that may signal a transition from the Recognition </w:t>
      </w:r>
      <w:r w:rsidR="00D94DC7">
        <w:t>Interval</w:t>
      </w:r>
      <w:r>
        <w:t xml:space="preserve"> to the Initiation </w:t>
      </w:r>
      <w:r w:rsidR="00D94DC7">
        <w:t>Interval</w:t>
      </w:r>
      <w:r>
        <w:t xml:space="preserve"> include:</w:t>
      </w:r>
    </w:p>
    <w:p w14:paraId="07B26858" w14:textId="20D6F1F8" w:rsidR="007173E5" w:rsidRDefault="007173E5" w:rsidP="001A1C63">
      <w:pPr>
        <w:pStyle w:val="ListParagraph"/>
        <w:numPr>
          <w:ilvl w:val="0"/>
          <w:numId w:val="96"/>
        </w:numPr>
        <w:jc w:val="both"/>
      </w:pPr>
      <w:r>
        <w:t>Note in the Incident Action Plan that further action is needed</w:t>
      </w:r>
    </w:p>
    <w:p w14:paraId="6259A693" w14:textId="77777777" w:rsidR="007173E5" w:rsidRDefault="007173E5" w:rsidP="007173E5">
      <w:pPr>
        <w:jc w:val="both"/>
      </w:pPr>
      <w:r>
        <w:t xml:space="preserve">The decision may also be made based on actions or requests from the executive level, such as the Governor’s Office, or federal agencies, such as the CDC or WHO, which are then discussed by the Commissioner’s Office. </w:t>
      </w:r>
    </w:p>
    <w:p w14:paraId="24582E7E" w14:textId="36A9A074" w:rsidR="007173E5" w:rsidRDefault="007173E5" w:rsidP="007173E5">
      <w:pPr>
        <w:jc w:val="both"/>
      </w:pPr>
      <w:r>
        <w:t xml:space="preserve">The Incident Manager </w:t>
      </w:r>
      <w:r w:rsidR="00016638">
        <w:t xml:space="preserve">will be responsible for the </w:t>
      </w:r>
      <w:r>
        <w:t>transition from</w:t>
      </w:r>
      <w:r w:rsidR="001567CB">
        <w:t xml:space="preserve"> </w:t>
      </w:r>
      <w:r w:rsidR="00016638">
        <w:t>one level to another.</w:t>
      </w:r>
    </w:p>
    <w:p w14:paraId="46E01F54" w14:textId="0E8E3562" w:rsidR="00C02D2E" w:rsidRDefault="00C02D2E" w:rsidP="00C02D2E">
      <w:pPr>
        <w:pStyle w:val="Heading4"/>
      </w:pPr>
      <w:r>
        <w:t xml:space="preserve">Initiation </w:t>
      </w:r>
      <w:r w:rsidR="00D94DC7">
        <w:t>Interval</w:t>
      </w:r>
    </w:p>
    <w:p w14:paraId="4618963E" w14:textId="77777777" w:rsidR="00910142" w:rsidRDefault="00910142" w:rsidP="00910142">
      <w:pPr>
        <w:jc w:val="both"/>
      </w:pPr>
      <w:r>
        <w:t xml:space="preserve">Interval Indicators: </w:t>
      </w:r>
      <w:r w:rsidRPr="00AF2EDE">
        <w:t xml:space="preserve">Confirmation of human cases of an </w:t>
      </w:r>
      <w:r>
        <w:t>infectious disease</w:t>
      </w:r>
      <w:r w:rsidRPr="00AF2EDE">
        <w:t xml:space="preserve"> with demonstrated </w:t>
      </w:r>
      <w:r>
        <w:t>ongoing transmission or evidence of increased</w:t>
      </w:r>
      <w:r w:rsidRPr="00AF2EDE">
        <w:t xml:space="preserve"> human-to-human transmission. No, or few</w:t>
      </w:r>
      <w:r>
        <w:t>,</w:t>
      </w:r>
      <w:r w:rsidRPr="00AF2EDE">
        <w:t xml:space="preserve"> cases or contacts in MA. </w:t>
      </w:r>
    </w:p>
    <w:p w14:paraId="5622A768" w14:textId="7CD909C7" w:rsidR="00C02D2E" w:rsidRPr="005425CE" w:rsidRDefault="00C02D2E" w:rsidP="00C02D2E">
      <w:pPr>
        <w:contextualSpacing/>
        <w:jc w:val="both"/>
      </w:pPr>
      <w:r>
        <w:lastRenderedPageBreak/>
        <w:t xml:space="preserve">During the Initiation </w:t>
      </w:r>
      <w:r w:rsidR="00D94DC7">
        <w:t>Interval</w:t>
      </w:r>
      <w:r w:rsidRPr="005425CE">
        <w:t xml:space="preserve">, </w:t>
      </w:r>
      <w:r>
        <w:t xml:space="preserve">the response concentrates on identifying </w:t>
      </w:r>
      <w:r w:rsidRPr="005425CE">
        <w:t>public health actions</w:t>
      </w:r>
      <w:r>
        <w:t xml:space="preserve"> that may</w:t>
      </w:r>
      <w:r w:rsidRPr="005425CE">
        <w:t xml:space="preserve"> control the outbreak, focusing on the potential use of case-based control measures, including treatment and isolation of ill persons and voluntary quar</w:t>
      </w:r>
      <w:r>
        <w:t xml:space="preserve">antine of contacts, if relevant and/or </w:t>
      </w:r>
      <w:r w:rsidRPr="005425CE">
        <w:t>appropriate.</w:t>
      </w:r>
    </w:p>
    <w:p w14:paraId="0A7D2E41" w14:textId="710D7E33" w:rsidR="00C02D2E" w:rsidRPr="005425CE" w:rsidRDefault="00C02D2E" w:rsidP="00C02D2E">
      <w:pPr>
        <w:pStyle w:val="ListParagraph"/>
        <w:numPr>
          <w:ilvl w:val="0"/>
          <w:numId w:val="5"/>
        </w:numPr>
        <w:jc w:val="both"/>
      </w:pPr>
      <w:r>
        <w:t>Surveillance activities will be</w:t>
      </w:r>
      <w:r w:rsidRPr="005425CE">
        <w:t xml:space="preserve"> enhanced.</w:t>
      </w:r>
      <w:r>
        <w:t xml:space="preserve"> It also may be necessary to provide increased education and training regarding surveillance at this time, to provide healthcare practitioners with the appropriate context when looking for specific signs and symptoms of the disease</w:t>
      </w:r>
    </w:p>
    <w:p w14:paraId="7F64358C" w14:textId="2DAF52D4" w:rsidR="00C02D2E" w:rsidRPr="005425CE" w:rsidRDefault="00C02D2E" w:rsidP="00C02D2E">
      <w:pPr>
        <w:pStyle w:val="ListParagraph"/>
        <w:numPr>
          <w:ilvl w:val="0"/>
          <w:numId w:val="5"/>
        </w:numPr>
        <w:jc w:val="both"/>
      </w:pPr>
      <w:r>
        <w:t>There will be</w:t>
      </w:r>
      <w:r w:rsidRPr="005425CE">
        <w:t xml:space="preserve"> increased and scheduled internal communication </w:t>
      </w:r>
      <w:r>
        <w:t>within MDPH</w:t>
      </w:r>
      <w:r w:rsidRPr="005425CE">
        <w:t xml:space="preserve">, and external communication with governmental and response partners regarding the </w:t>
      </w:r>
      <w:r>
        <w:t>infectious disease</w:t>
      </w:r>
      <w:r w:rsidRPr="005425CE">
        <w:t xml:space="preserve"> and all necessary and appropriate preparation and response measures</w:t>
      </w:r>
    </w:p>
    <w:p w14:paraId="42673611" w14:textId="3A0962DC" w:rsidR="00C02D2E" w:rsidRPr="005425CE" w:rsidRDefault="00C02D2E" w:rsidP="00C02D2E">
      <w:pPr>
        <w:pStyle w:val="ListParagraph"/>
        <w:numPr>
          <w:ilvl w:val="0"/>
          <w:numId w:val="5"/>
        </w:numPr>
        <w:jc w:val="both"/>
      </w:pPr>
      <w:r>
        <w:t>The Communications Office</w:t>
      </w:r>
      <w:r w:rsidRPr="005425CE">
        <w:t xml:space="preserve"> </w:t>
      </w:r>
      <w:r>
        <w:t>will increase</w:t>
      </w:r>
      <w:r w:rsidRPr="005425CE">
        <w:t xml:space="preserve"> its comm</w:t>
      </w:r>
      <w:r>
        <w:t>unications with the public and continue to monitor for rumor control and correct</w:t>
      </w:r>
      <w:r w:rsidRPr="005425CE">
        <w:t xml:space="preserve"> misinformation  </w:t>
      </w:r>
    </w:p>
    <w:p w14:paraId="0C920DE9" w14:textId="15227594" w:rsidR="00C02D2E" w:rsidRDefault="00C02D2E" w:rsidP="00C02D2E">
      <w:pPr>
        <w:pStyle w:val="ListParagraph"/>
        <w:numPr>
          <w:ilvl w:val="0"/>
          <w:numId w:val="5"/>
        </w:numPr>
        <w:jc w:val="both"/>
      </w:pPr>
      <w:r>
        <w:t>MDPH may work with providers and vendors to coordinate the pre-positioning</w:t>
      </w:r>
      <w:r w:rsidRPr="005425CE">
        <w:t xml:space="preserve"> of equipment and supplies in anticipation of a surge in </w:t>
      </w:r>
      <w:r>
        <w:t>infectious disease</w:t>
      </w:r>
      <w:r w:rsidRPr="005425CE">
        <w:t xml:space="preserve"> cases</w:t>
      </w:r>
    </w:p>
    <w:p w14:paraId="76B58E0F" w14:textId="49FCB725" w:rsidR="00C02D2E" w:rsidRDefault="00C02D2E" w:rsidP="007173E5">
      <w:pPr>
        <w:jc w:val="both"/>
      </w:pPr>
      <w:r w:rsidRPr="007B5CE9">
        <w:t>The transition</w:t>
      </w:r>
      <w:r>
        <w:t xml:space="preserve"> from the Initiation </w:t>
      </w:r>
      <w:r w:rsidR="00D94DC7">
        <w:t>Interval</w:t>
      </w:r>
      <w:r>
        <w:t xml:space="preserve"> to the Acceleration </w:t>
      </w:r>
      <w:r w:rsidR="00D94DC7">
        <w:t>Interval</w:t>
      </w:r>
      <w:r>
        <w:t xml:space="preserve"> may</w:t>
      </w:r>
      <w:r w:rsidRPr="007B5CE9">
        <w:t xml:space="preserve"> be based</w:t>
      </w:r>
      <w:r>
        <w:t xml:space="preserve"> primarily</w:t>
      </w:r>
      <w:r w:rsidRPr="007B5CE9">
        <w:t xml:space="preserve"> on the definition of </w:t>
      </w:r>
      <w:r>
        <w:t xml:space="preserve">the </w:t>
      </w:r>
      <w:r w:rsidRPr="007B5CE9">
        <w:t xml:space="preserve">number of cases, and/or </w:t>
      </w:r>
      <w:r>
        <w:t>up</w:t>
      </w:r>
      <w:r w:rsidRPr="007B5CE9">
        <w:t xml:space="preserve">on </w:t>
      </w:r>
      <w:r>
        <w:t>a continuing increase of number of cases or contacts with no stopping point.</w:t>
      </w:r>
    </w:p>
    <w:p w14:paraId="2E17D727" w14:textId="3759BFD2" w:rsidR="00C02D2E" w:rsidRDefault="00016638" w:rsidP="007173E5">
      <w:pPr>
        <w:jc w:val="both"/>
      </w:pPr>
      <w:r>
        <w:t>The Incident Manager will be responsible for the transition from one level to another.</w:t>
      </w:r>
    </w:p>
    <w:p w14:paraId="7877545B" w14:textId="1BD1361D" w:rsidR="00C02D2E" w:rsidRDefault="00C02D2E" w:rsidP="00C02D2E">
      <w:pPr>
        <w:pStyle w:val="Heading4"/>
      </w:pPr>
      <w:r>
        <w:t xml:space="preserve">Acceleration </w:t>
      </w:r>
      <w:r w:rsidR="00D94DC7">
        <w:t>Interval</w:t>
      </w:r>
    </w:p>
    <w:p w14:paraId="6CF56885" w14:textId="1DB7AD15" w:rsidR="00910142" w:rsidRPr="00AF2EDE" w:rsidRDefault="00910142" w:rsidP="00910142">
      <w:pPr>
        <w:jc w:val="both"/>
      </w:pPr>
      <w:r>
        <w:t>Interval Indicators:</w:t>
      </w:r>
      <w:r w:rsidRPr="00910142">
        <w:t xml:space="preserve"> </w:t>
      </w:r>
      <w:r w:rsidRPr="00AF2EDE">
        <w:t xml:space="preserve">Increasing numbers of </w:t>
      </w:r>
      <w:r>
        <w:t>infectious disease</w:t>
      </w:r>
      <w:r w:rsidRPr="00AF2EDE">
        <w:t xml:space="preserve"> cases or contacts identified in MA, indicating established transmission in the area or continuing introduction of travel-associated cases or contacts. </w:t>
      </w:r>
    </w:p>
    <w:p w14:paraId="682C04E1" w14:textId="75C3A09C" w:rsidR="00C02D2E" w:rsidRDefault="00C02D2E" w:rsidP="00C02D2E">
      <w:pPr>
        <w:contextualSpacing/>
        <w:jc w:val="both"/>
      </w:pPr>
      <w:r>
        <w:t xml:space="preserve">During the Acceleration </w:t>
      </w:r>
      <w:r w:rsidR="00D94DC7">
        <w:t>Interval</w:t>
      </w:r>
      <w:r>
        <w:t xml:space="preserve">, MDPH will support a potential surge in infectious disease cases, monitor hospital capacity and capability to treat infected patients, and provide assistance to local public health agencies standing up EDSs, when needed. </w:t>
      </w:r>
    </w:p>
    <w:p w14:paraId="7BC4208C" w14:textId="66057891" w:rsidR="00C02D2E" w:rsidRDefault="00C02D2E" w:rsidP="00C02D2E">
      <w:pPr>
        <w:pStyle w:val="ListParagraph"/>
        <w:numPr>
          <w:ilvl w:val="0"/>
          <w:numId w:val="6"/>
        </w:numPr>
        <w:jc w:val="both"/>
      </w:pPr>
      <w:r w:rsidRPr="005425CE">
        <w:t xml:space="preserve">This </w:t>
      </w:r>
      <w:r w:rsidR="00D94DC7">
        <w:t>interval</w:t>
      </w:r>
      <w:r w:rsidRPr="005425CE">
        <w:t xml:space="preserve"> </w:t>
      </w:r>
      <w:r>
        <w:t>will include</w:t>
      </w:r>
      <w:r w:rsidRPr="005425CE">
        <w:t xml:space="preserve"> enhanced surveillance of the operational consequences of the </w:t>
      </w:r>
      <w:r>
        <w:t>infectious disease</w:t>
      </w:r>
      <w:r w:rsidRPr="005425CE">
        <w:t xml:space="preserve"> on the health system and in the community  </w:t>
      </w:r>
    </w:p>
    <w:p w14:paraId="2E21A1E2" w14:textId="7AEF4FA7" w:rsidR="00C02D2E" w:rsidRPr="005425CE" w:rsidRDefault="00C02D2E" w:rsidP="00C02D2E">
      <w:pPr>
        <w:pStyle w:val="ListParagraph"/>
        <w:numPr>
          <w:ilvl w:val="0"/>
          <w:numId w:val="6"/>
        </w:numPr>
        <w:jc w:val="both"/>
      </w:pPr>
      <w:r>
        <w:t>There will be</w:t>
      </w:r>
      <w:r w:rsidRPr="005425CE">
        <w:t xml:space="preserve"> consideration of initiation and/or expansion of appropriate community mitigation measures and social distancing, in addition to significant efforts to support the efficient management of public health resource</w:t>
      </w:r>
      <w:r>
        <w:t>s (medical countermeasures</w:t>
      </w:r>
      <w:r w:rsidRPr="005425CE">
        <w:t xml:space="preserve"> and vaccines, if available) </w:t>
      </w:r>
    </w:p>
    <w:p w14:paraId="5B4C1AB7" w14:textId="49CFB8F9" w:rsidR="00C02D2E" w:rsidRPr="005425CE" w:rsidRDefault="00C02D2E" w:rsidP="00C02D2E">
      <w:pPr>
        <w:pStyle w:val="ListParagraph"/>
        <w:numPr>
          <w:ilvl w:val="0"/>
          <w:numId w:val="6"/>
        </w:numPr>
        <w:jc w:val="both"/>
      </w:pPr>
      <w:r w:rsidRPr="005425CE">
        <w:t xml:space="preserve">There </w:t>
      </w:r>
      <w:r>
        <w:t>will be</w:t>
      </w:r>
      <w:r w:rsidRPr="005425CE">
        <w:t xml:space="preserve"> a ramping up of healthcare surge activities and staffing in organizations that will be relied upon to respond to an </w:t>
      </w:r>
      <w:r>
        <w:t>infectious disease</w:t>
      </w:r>
      <w:r w:rsidRPr="005425CE">
        <w:t xml:space="preserve"> event, including possible implementation of triage systems to help direct cases to the most appropriate venue for care</w:t>
      </w:r>
    </w:p>
    <w:p w14:paraId="11A9C07D" w14:textId="40F7F350" w:rsidR="00C02D2E" w:rsidRDefault="00C02D2E" w:rsidP="00C02D2E">
      <w:pPr>
        <w:pStyle w:val="ListParagraph"/>
        <w:numPr>
          <w:ilvl w:val="0"/>
          <w:numId w:val="6"/>
        </w:numPr>
        <w:jc w:val="both"/>
      </w:pPr>
      <w:r>
        <w:t>There will be</w:t>
      </w:r>
      <w:r w:rsidRPr="005425CE">
        <w:t xml:space="preserve"> maximal communication internally, with response partners, and with the public concerning disease prevention, control measures, and response actions</w:t>
      </w:r>
      <w:r>
        <w:t>, as appropriate</w:t>
      </w:r>
      <w:r w:rsidRPr="005425CE">
        <w:t xml:space="preserve">   </w:t>
      </w:r>
    </w:p>
    <w:p w14:paraId="7A571AF0" w14:textId="4950C8F8" w:rsidR="007173E5" w:rsidRDefault="007173E5" w:rsidP="007173E5">
      <w:pPr>
        <w:jc w:val="both"/>
      </w:pPr>
      <w:r>
        <w:t xml:space="preserve">Concrete triggers that may signal a transition from the Acceleration </w:t>
      </w:r>
      <w:r w:rsidR="00D94DC7">
        <w:t>Interval</w:t>
      </w:r>
      <w:r>
        <w:t xml:space="preserve"> to the Demobilization </w:t>
      </w:r>
      <w:r w:rsidR="00D94DC7">
        <w:t>Interval</w:t>
      </w:r>
      <w:r>
        <w:t xml:space="preserve"> include:</w:t>
      </w:r>
    </w:p>
    <w:p w14:paraId="7AB15CA6" w14:textId="033E0927" w:rsidR="007173E5" w:rsidRDefault="007173E5" w:rsidP="001A1C63">
      <w:pPr>
        <w:pStyle w:val="ListParagraph"/>
        <w:numPr>
          <w:ilvl w:val="0"/>
          <w:numId w:val="97"/>
        </w:numPr>
        <w:jc w:val="both"/>
      </w:pPr>
      <w:r>
        <w:lastRenderedPageBreak/>
        <w:t xml:space="preserve">The Commissioner may declare that transmission is no longer ongoing (i.e., two incubation periods have passed) </w:t>
      </w:r>
    </w:p>
    <w:p w14:paraId="00CBAEED" w14:textId="7DF1BC69" w:rsidR="007173E5" w:rsidRDefault="007173E5" w:rsidP="001A1C63">
      <w:pPr>
        <w:pStyle w:val="ListParagraph"/>
        <w:numPr>
          <w:ilvl w:val="0"/>
          <w:numId w:val="97"/>
        </w:numPr>
        <w:jc w:val="both"/>
      </w:pPr>
      <w:r>
        <w:t xml:space="preserve">There may be additional information or new knowledge that changes the nature of the response </w:t>
      </w:r>
    </w:p>
    <w:p w14:paraId="210271D9" w14:textId="1F8C2E0E" w:rsidR="007173E5" w:rsidRDefault="00016638" w:rsidP="007173E5">
      <w:pPr>
        <w:jc w:val="both"/>
      </w:pPr>
      <w:r>
        <w:t>The Incident Manager, will be responsible for the transition from one level to another.</w:t>
      </w:r>
    </w:p>
    <w:p w14:paraId="41E4AFEF" w14:textId="05C58B41" w:rsidR="00C02D2E" w:rsidRDefault="00C02D2E" w:rsidP="00C02D2E">
      <w:pPr>
        <w:pStyle w:val="Heading4"/>
      </w:pPr>
      <w:r>
        <w:t xml:space="preserve">Demobilization </w:t>
      </w:r>
      <w:r w:rsidR="00D94DC7">
        <w:t>Interval</w:t>
      </w:r>
    </w:p>
    <w:p w14:paraId="190223FE" w14:textId="77777777" w:rsidR="00910142" w:rsidRPr="00AF2EDE" w:rsidRDefault="00910142" w:rsidP="00910142">
      <w:pPr>
        <w:jc w:val="both"/>
      </w:pPr>
      <w:r>
        <w:t xml:space="preserve">Interval Indicators: </w:t>
      </w:r>
      <w:r w:rsidRPr="00AF2EDE">
        <w:t xml:space="preserve">Decreasing rate of newly acquired </w:t>
      </w:r>
      <w:r>
        <w:t>infectious disease</w:t>
      </w:r>
      <w:r w:rsidRPr="00AF2EDE">
        <w:t xml:space="preserve"> cases or contacts in MA</w:t>
      </w:r>
      <w:r>
        <w:t xml:space="preserve">, or establishment of </w:t>
      </w:r>
      <w:proofErr w:type="spellStart"/>
      <w:r>
        <w:t>endemicity</w:t>
      </w:r>
      <w:proofErr w:type="spellEnd"/>
      <w:r w:rsidRPr="00AF2EDE">
        <w:t xml:space="preserve">. </w:t>
      </w:r>
    </w:p>
    <w:p w14:paraId="29F0DACD" w14:textId="4C68CDF2" w:rsidR="00C02D2E" w:rsidRDefault="00C02D2E" w:rsidP="00C02D2E">
      <w:pPr>
        <w:contextualSpacing/>
        <w:jc w:val="both"/>
      </w:pPr>
      <w:r>
        <w:t xml:space="preserve">The Demobilization </w:t>
      </w:r>
      <w:r w:rsidR="00D94DC7">
        <w:t>Interval</w:t>
      </w:r>
      <w:r w:rsidRPr="005D52E5">
        <w:t xml:space="preserve"> discusses de</w:t>
      </w:r>
      <w:r>
        <w:t>briefing</w:t>
      </w:r>
      <w:r w:rsidRPr="005D52E5">
        <w:t xml:space="preserve">, the transition back to normal operating procedures, </w:t>
      </w:r>
      <w:r>
        <w:t>and/or integrating new response activities into baseline procedures.</w:t>
      </w:r>
    </w:p>
    <w:p w14:paraId="1806A452" w14:textId="3DD5FE89" w:rsidR="00C02D2E" w:rsidRPr="005D52E5" w:rsidRDefault="00C02D2E" w:rsidP="00C02D2E">
      <w:pPr>
        <w:pStyle w:val="ListParagraph"/>
        <w:numPr>
          <w:ilvl w:val="0"/>
          <w:numId w:val="3"/>
        </w:numPr>
        <w:jc w:val="both"/>
      </w:pPr>
      <w:r w:rsidRPr="005D52E5">
        <w:t xml:space="preserve">Public health and government officials </w:t>
      </w:r>
      <w:r>
        <w:t xml:space="preserve">will </w:t>
      </w:r>
      <w:r w:rsidRPr="005D52E5">
        <w:t>plan for the appropriate suspension of community miti</w:t>
      </w:r>
      <w:r>
        <w:t>gation measures or adaptation of measures into routine response</w:t>
      </w:r>
      <w:r w:rsidRPr="005D52E5">
        <w:t xml:space="preserve"> </w:t>
      </w:r>
    </w:p>
    <w:p w14:paraId="51DAA575" w14:textId="559297DF" w:rsidR="00C02D2E" w:rsidRPr="005D52E5" w:rsidRDefault="00C02D2E" w:rsidP="00C02D2E">
      <w:pPr>
        <w:pStyle w:val="ListParagraph"/>
        <w:numPr>
          <w:ilvl w:val="0"/>
          <w:numId w:val="3"/>
        </w:numPr>
        <w:jc w:val="both"/>
      </w:pPr>
      <w:r w:rsidRPr="005D52E5">
        <w:t xml:space="preserve">Public health and government officials </w:t>
      </w:r>
      <w:r>
        <w:t xml:space="preserve">will </w:t>
      </w:r>
      <w:r w:rsidRPr="005D52E5">
        <w:t xml:space="preserve">work </w:t>
      </w:r>
      <w:r>
        <w:t>to facilitate the recovery of public health</w:t>
      </w:r>
      <w:r w:rsidRPr="005D52E5">
        <w:t>, healthcare, and community infrastructure</w:t>
      </w:r>
    </w:p>
    <w:p w14:paraId="4C0A5C85" w14:textId="73D93880" w:rsidR="00C02D2E" w:rsidRDefault="00C02D2E" w:rsidP="00C02D2E">
      <w:pPr>
        <w:pStyle w:val="ListParagraph"/>
        <w:numPr>
          <w:ilvl w:val="0"/>
          <w:numId w:val="3"/>
        </w:numPr>
        <w:jc w:val="both"/>
      </w:pPr>
      <w:r w:rsidRPr="005D52E5">
        <w:t>Enh</w:t>
      </w:r>
      <w:r>
        <w:t>anced surveillance protocols will be</w:t>
      </w:r>
      <w:r w:rsidRPr="005D52E5">
        <w:t xml:space="preserve"> </w:t>
      </w:r>
      <w:r w:rsidRPr="00F249CD">
        <w:t>drawn down but continued</w:t>
      </w:r>
      <w:r>
        <w:t xml:space="preserve"> when necessary to a lesser extent</w:t>
      </w:r>
      <w:r w:rsidRPr="00F249CD">
        <w:t xml:space="preserve"> to detect subsequent waves</w:t>
      </w:r>
      <w:r>
        <w:t xml:space="preserve"> of illness</w:t>
      </w:r>
    </w:p>
    <w:p w14:paraId="448C48D6" w14:textId="6F597551" w:rsidR="00C02D2E" w:rsidRDefault="00C02D2E" w:rsidP="00C02D2E">
      <w:pPr>
        <w:pStyle w:val="ListParagraph"/>
        <w:numPr>
          <w:ilvl w:val="0"/>
          <w:numId w:val="3"/>
        </w:numPr>
        <w:jc w:val="both"/>
      </w:pPr>
      <w:r>
        <w:t>D</w:t>
      </w:r>
      <w:r w:rsidRPr="005D52E5">
        <w:t>ebriefing and after action reporting</w:t>
      </w:r>
      <w:r>
        <w:t xml:space="preserve"> will occur at all levels</w:t>
      </w:r>
    </w:p>
    <w:p w14:paraId="54D31082" w14:textId="55F69724" w:rsidR="00C02D2E" w:rsidRPr="00F249CD" w:rsidRDefault="00C02D2E" w:rsidP="00C02D2E">
      <w:pPr>
        <w:pStyle w:val="ListParagraph"/>
        <w:numPr>
          <w:ilvl w:val="0"/>
          <w:numId w:val="3"/>
        </w:numPr>
        <w:jc w:val="both"/>
      </w:pPr>
      <w:r>
        <w:t>A timely and effective behavioral health campaign may be a priority in order to assist the population process the impact of the infectious disease event</w:t>
      </w:r>
    </w:p>
    <w:p w14:paraId="63E22857" w14:textId="29474CC0" w:rsidR="0019002B" w:rsidRDefault="0019002B" w:rsidP="0019002B">
      <w:pPr>
        <w:jc w:val="both"/>
      </w:pPr>
    </w:p>
    <w:p w14:paraId="7FB996F0" w14:textId="27662FF1" w:rsidR="00DF09A6" w:rsidRPr="00DF09A6" w:rsidRDefault="0019002B" w:rsidP="001C1C13">
      <w:pPr>
        <w:pStyle w:val="Heading2"/>
        <w:numPr>
          <w:ilvl w:val="1"/>
          <w:numId w:val="29"/>
        </w:numPr>
      </w:pPr>
      <w:bookmarkStart w:id="130" w:name="_Toc31622994"/>
      <w:r>
        <w:t>Information Sharing and Situational Awareness</w:t>
      </w:r>
      <w:bookmarkEnd w:id="130"/>
      <w:r>
        <w:t xml:space="preserve"> </w:t>
      </w:r>
    </w:p>
    <w:p w14:paraId="0A9D840E" w14:textId="6CA8E35E" w:rsidR="0019002B" w:rsidRDefault="0019002B" w:rsidP="0019002B">
      <w:pPr>
        <w:jc w:val="both"/>
      </w:pPr>
      <w:r w:rsidRPr="004D7C0E">
        <w:t>Based o</w:t>
      </w:r>
      <w:r>
        <w:t xml:space="preserve">n the nature of the infectious disease, MDPH may notify stakeholders both within and outside of the department of </w:t>
      </w:r>
      <w:r w:rsidR="00AE5461">
        <w:t>EOP and</w:t>
      </w:r>
      <w:r w:rsidR="00C02D2E">
        <w:t xml:space="preserve"> IDER </w:t>
      </w:r>
      <w:r>
        <w:t>activation in order to obtain their subject matter expertise and input into future key decisions</w:t>
      </w:r>
      <w:r w:rsidR="00C86E96">
        <w:t xml:space="preserve"> based on the needs of the incident</w:t>
      </w:r>
      <w:r>
        <w:t xml:space="preserve">. </w:t>
      </w:r>
    </w:p>
    <w:p w14:paraId="57DFCE0C" w14:textId="70111D83" w:rsidR="0019002B" w:rsidRDefault="0019002B" w:rsidP="00050DCF">
      <w:pPr>
        <w:pStyle w:val="ListParagraph"/>
        <w:numPr>
          <w:ilvl w:val="0"/>
          <w:numId w:val="27"/>
        </w:numPr>
        <w:jc w:val="both"/>
      </w:pPr>
      <w:r>
        <w:t xml:space="preserve">The BIDLS Director is responsible for regularly updating the </w:t>
      </w:r>
      <w:r w:rsidR="00016638">
        <w:t>Commissioner</w:t>
      </w:r>
      <w:r w:rsidR="007C2951">
        <w:t xml:space="preserve"> </w:t>
      </w:r>
      <w:r>
        <w:t xml:space="preserve">during the Investigation/Alerting </w:t>
      </w:r>
      <w:r w:rsidR="00D94DC7">
        <w:t>Interval</w:t>
      </w:r>
      <w:r>
        <w:t xml:space="preserve">. Upon activation of the EOP, the Incident Manager, is responsible for </w:t>
      </w:r>
      <w:r w:rsidRPr="0058623F">
        <w:t xml:space="preserve">transitioning </w:t>
      </w:r>
      <w:r>
        <w:t xml:space="preserve">between </w:t>
      </w:r>
      <w:r w:rsidR="001567CB">
        <w:t>Intervals</w:t>
      </w:r>
      <w:r w:rsidR="00C86E96">
        <w:t xml:space="preserve"> based on extent of disease progression</w:t>
      </w:r>
    </w:p>
    <w:p w14:paraId="6C0031A3" w14:textId="38E02138" w:rsidR="00C86E96" w:rsidRDefault="00C86E96" w:rsidP="00050DCF">
      <w:pPr>
        <w:pStyle w:val="ListParagraph"/>
        <w:numPr>
          <w:ilvl w:val="0"/>
          <w:numId w:val="27"/>
        </w:numPr>
        <w:jc w:val="both"/>
      </w:pPr>
      <w:r>
        <w:t>Incident Manager will schedule internal DPH coordination check-in calls which may cover:</w:t>
      </w:r>
    </w:p>
    <w:p w14:paraId="09673DCF" w14:textId="0DED4024" w:rsidR="00C86E96" w:rsidRDefault="00C86E96" w:rsidP="00C86E96">
      <w:pPr>
        <w:pStyle w:val="ListParagraph"/>
        <w:numPr>
          <w:ilvl w:val="1"/>
          <w:numId w:val="27"/>
        </w:numPr>
        <w:jc w:val="both"/>
      </w:pPr>
      <w:r>
        <w:t>Review and determine what information should be shared and with which audiences</w:t>
      </w:r>
    </w:p>
    <w:p w14:paraId="6EC0A609" w14:textId="5BA617D5" w:rsidR="00C86E96" w:rsidRDefault="00757F68" w:rsidP="00C86E96">
      <w:pPr>
        <w:pStyle w:val="ListParagraph"/>
        <w:numPr>
          <w:ilvl w:val="1"/>
          <w:numId w:val="27"/>
        </w:numPr>
        <w:jc w:val="both"/>
      </w:pPr>
      <w:r>
        <w:t>Coordinate information sharing based on when information is being released by the federal government</w:t>
      </w:r>
    </w:p>
    <w:p w14:paraId="36B23745" w14:textId="61C25EEC" w:rsidR="00757F68" w:rsidRDefault="00757F68" w:rsidP="006160F8">
      <w:pPr>
        <w:pStyle w:val="ListParagraph"/>
        <w:numPr>
          <w:ilvl w:val="1"/>
          <w:numId w:val="27"/>
        </w:numPr>
        <w:jc w:val="both"/>
      </w:pPr>
      <w:r>
        <w:t>Identifying who is tasked with preparing, reviewing, and distributing different information types (federal guidance, state guidance, internal/external messaging) along with the approval process</w:t>
      </w:r>
    </w:p>
    <w:p w14:paraId="69599552" w14:textId="78C06643" w:rsidR="00EE3E25" w:rsidRDefault="00EE3E25" w:rsidP="00050DCF">
      <w:pPr>
        <w:pStyle w:val="ListParagraph"/>
        <w:numPr>
          <w:ilvl w:val="0"/>
          <w:numId w:val="27"/>
        </w:numPr>
        <w:jc w:val="both"/>
      </w:pPr>
      <w:r>
        <w:t>Communications Office will designate a liaison overseeing the information flow and coordinating with the Incident Manager</w:t>
      </w:r>
    </w:p>
    <w:p w14:paraId="3FF08EB5" w14:textId="08201313" w:rsidR="0019002B" w:rsidRDefault="00AE5461" w:rsidP="00050DCF">
      <w:pPr>
        <w:pStyle w:val="ListParagraph"/>
        <w:numPr>
          <w:ilvl w:val="0"/>
          <w:numId w:val="27"/>
        </w:numPr>
        <w:jc w:val="both"/>
      </w:pPr>
      <w:r>
        <w:t>M</w:t>
      </w:r>
      <w:r w:rsidR="0019002B" w:rsidRPr="0058623F">
        <w:t xml:space="preserve">DPH will </w:t>
      </w:r>
      <w:r w:rsidR="00DA69FE">
        <w:t>develop</w:t>
      </w:r>
      <w:r w:rsidR="0019002B" w:rsidRPr="0058623F">
        <w:t xml:space="preserve"> Health and Medical Situation Reports</w:t>
      </w:r>
      <w:r w:rsidR="00757F68">
        <w:t xml:space="preserve"> </w:t>
      </w:r>
      <w:r w:rsidR="00DA69FE">
        <w:t>and will distribute them</w:t>
      </w:r>
      <w:r w:rsidR="0019002B" w:rsidRPr="0058623F">
        <w:t xml:space="preserve"> via </w:t>
      </w:r>
      <w:proofErr w:type="spellStart"/>
      <w:r w:rsidR="0019002B" w:rsidRPr="0058623F">
        <w:t>listservs</w:t>
      </w:r>
      <w:proofErr w:type="spellEnd"/>
      <w:r w:rsidR="0019002B" w:rsidRPr="0058623F">
        <w:t xml:space="preserve"> and/or the HHAN</w:t>
      </w:r>
      <w:r w:rsidR="0019002B">
        <w:t xml:space="preserve"> </w:t>
      </w:r>
    </w:p>
    <w:p w14:paraId="0A9F8242" w14:textId="5188879C" w:rsidR="0019002B" w:rsidRPr="0058623F" w:rsidRDefault="0019002B" w:rsidP="00050DCF">
      <w:pPr>
        <w:pStyle w:val="ListParagraph"/>
        <w:numPr>
          <w:ilvl w:val="0"/>
          <w:numId w:val="27"/>
        </w:numPr>
        <w:jc w:val="both"/>
      </w:pPr>
      <w:r>
        <w:lastRenderedPageBreak/>
        <w:t>Throughout the infectious disease event, the Incident Manager and Communications Office</w:t>
      </w:r>
      <w:r w:rsidR="00016638">
        <w:t xml:space="preserve"> (and </w:t>
      </w:r>
      <w:r w:rsidR="00EE3E25">
        <w:t>Public Information Officer (PIO)</w:t>
      </w:r>
      <w:r w:rsidR="00016638">
        <w:t xml:space="preserve"> if one has been formally assigned)</w:t>
      </w:r>
      <w:r w:rsidRPr="00AC3639">
        <w:t xml:space="preserve"> assess </w:t>
      </w:r>
      <w:r>
        <w:t xml:space="preserve">the need to notify additional </w:t>
      </w:r>
      <w:r w:rsidRPr="00AC3639">
        <w:t>stakeholders</w:t>
      </w:r>
      <w:r w:rsidR="005A27C3">
        <w:t xml:space="preserve"> and coordinate any messaging, guidance or requests that are sent to external stakeholders</w:t>
      </w:r>
    </w:p>
    <w:p w14:paraId="7BB1067A" w14:textId="77777777" w:rsidR="005A27C3" w:rsidRDefault="005A27C3" w:rsidP="009A25B6">
      <w:pPr>
        <w:pStyle w:val="Heading2"/>
        <w:ind w:left="1530" w:hanging="720"/>
      </w:pPr>
    </w:p>
    <w:p w14:paraId="7AA49ACB" w14:textId="2750084C" w:rsidR="009C4F0D" w:rsidRDefault="009C4F0D" w:rsidP="000F4E86">
      <w:pPr>
        <w:pStyle w:val="Heading2"/>
        <w:numPr>
          <w:ilvl w:val="1"/>
          <w:numId w:val="29"/>
        </w:numPr>
      </w:pPr>
      <w:bookmarkStart w:id="131" w:name="_Toc31622995"/>
      <w:r w:rsidRPr="00DF09A6">
        <w:t>Demobilization</w:t>
      </w:r>
      <w:bookmarkEnd w:id="131"/>
    </w:p>
    <w:p w14:paraId="08D65EC0" w14:textId="562AF626" w:rsidR="009C4F0D" w:rsidRDefault="00480B12" w:rsidP="007C2951">
      <w:pPr>
        <w:spacing w:line="253" w:lineRule="auto"/>
        <w:ind w:right="420"/>
        <w:jc w:val="both"/>
      </w:pPr>
      <w:r>
        <w:t>Upon assessment of response needs, the IM will work with Command and General Staff to determine which areas can move towards resuming normal operations and which areas will remain active in the response</w:t>
      </w:r>
      <w:r w:rsidR="007D147C">
        <w:t xml:space="preserve"> to ensure incident objectives are being met</w:t>
      </w:r>
      <w:r>
        <w:t>.</w:t>
      </w:r>
      <w:r w:rsidR="00F310F3">
        <w:t xml:space="preserve"> </w:t>
      </w:r>
      <w:r w:rsidR="00DA3442">
        <w:t>T</w:t>
      </w:r>
      <w:r w:rsidR="009C4F0D">
        <w:t>he IM, in consultation with the Commissioner</w:t>
      </w:r>
      <w:r w:rsidR="00DA3442">
        <w:t>,</w:t>
      </w:r>
      <w:r w:rsidR="009C4F0D">
        <w:t xml:space="preserve"> will </w:t>
      </w:r>
      <w:r w:rsidR="006160F8">
        <w:t>approve full</w:t>
      </w:r>
      <w:r w:rsidR="00DA3442">
        <w:t xml:space="preserve"> </w:t>
      </w:r>
      <w:r w:rsidR="009C4F0D">
        <w:t>deactivation of the response when the remaining demands of the incident can be met by normal MDPH operations.</w:t>
      </w:r>
      <w:r w:rsidR="00F310F3">
        <w:t xml:space="preserve"> </w:t>
      </w:r>
    </w:p>
    <w:p w14:paraId="77C3BAE0" w14:textId="3461D37C" w:rsidR="009C4F0D" w:rsidRDefault="009C4F0D" w:rsidP="007C2951">
      <w:pPr>
        <w:spacing w:line="267" w:lineRule="auto"/>
        <w:ind w:right="20"/>
        <w:jc w:val="both"/>
        <w:rPr>
          <w:color w:val="000000"/>
        </w:rPr>
      </w:pPr>
      <w:r>
        <w:t>The IM, in consultation with the Commissione</w:t>
      </w:r>
      <w:r w:rsidR="00016638">
        <w:t>r</w:t>
      </w:r>
      <w:r w:rsidR="00A77F23">
        <w:t xml:space="preserve"> and other offices and bureaus that were engaged in the response</w:t>
      </w:r>
      <w:r w:rsidR="001A1C63">
        <w:t>,</w:t>
      </w:r>
      <w:r>
        <w:t xml:space="preserve"> will schedule an incident debriefing meeting to occur as soon after the event as possible. For a complex, multi-bureau response, more than one debriefing session may be scheduled. All staff that participated in the response will be expected to participate in the debriefing. Following the debriefing, an </w:t>
      </w:r>
      <w:r w:rsidR="001567CB">
        <w:t>After Action Report (</w:t>
      </w:r>
      <w:r>
        <w:t>AAR</w:t>
      </w:r>
      <w:r w:rsidR="001567CB">
        <w:t>)</w:t>
      </w:r>
      <w:r>
        <w:t xml:space="preserve"> will be completed as part of the Demobilization process, and an </w:t>
      </w:r>
      <w:r w:rsidR="001567CB">
        <w:t>Improvement Plan (</w:t>
      </w:r>
      <w:r>
        <w:t>IP</w:t>
      </w:r>
      <w:r w:rsidR="001567CB">
        <w:t>)</w:t>
      </w:r>
      <w:r>
        <w:t xml:space="preserve"> developed. See </w:t>
      </w:r>
      <w:r w:rsidR="00885D90" w:rsidRPr="00885D90">
        <w:t>Section 9: Plan Development and Maintenance</w:t>
      </w:r>
      <w:r w:rsidR="00885D90" w:rsidRPr="00885D90">
        <w:rPr>
          <w:b/>
        </w:rPr>
        <w:t xml:space="preserve"> </w:t>
      </w:r>
      <w:r>
        <w:rPr>
          <w:color w:val="000000"/>
        </w:rPr>
        <w:t>for</w:t>
      </w:r>
      <w:r>
        <w:rPr>
          <w:b/>
          <w:color w:val="0000FF"/>
        </w:rPr>
        <w:t xml:space="preserve"> </w:t>
      </w:r>
      <w:r>
        <w:rPr>
          <w:color w:val="000000"/>
        </w:rPr>
        <w:t>more information about AAR/IPs.</w:t>
      </w:r>
    </w:p>
    <w:bookmarkEnd w:id="116"/>
    <w:bookmarkEnd w:id="117"/>
    <w:bookmarkEnd w:id="118"/>
    <w:bookmarkEnd w:id="119"/>
    <w:bookmarkEnd w:id="120"/>
    <w:bookmarkEnd w:id="121"/>
    <w:bookmarkEnd w:id="122"/>
    <w:bookmarkEnd w:id="123"/>
    <w:bookmarkEnd w:id="124"/>
    <w:bookmarkEnd w:id="125"/>
    <w:bookmarkEnd w:id="126"/>
    <w:p w14:paraId="2ED2C06E" w14:textId="77777777" w:rsidR="00B77162" w:rsidRDefault="00B77162" w:rsidP="00B77162">
      <w:pPr>
        <w:sectPr w:rsidR="00B77162" w:rsidSect="006160F8">
          <w:headerReference w:type="even" r:id="rId33"/>
          <w:headerReference w:type="default" r:id="rId34"/>
          <w:footerReference w:type="default" r:id="rId35"/>
          <w:headerReference w:type="first" r:id="rId36"/>
          <w:pgSz w:w="12240" w:h="15840"/>
          <w:pgMar w:top="1440" w:right="1440" w:bottom="1440" w:left="1440" w:header="720" w:footer="720" w:gutter="0"/>
          <w:cols w:space="720"/>
          <w:docGrid w:linePitch="360"/>
        </w:sectPr>
      </w:pPr>
    </w:p>
    <w:p w14:paraId="75F1411E" w14:textId="5E0E80A4" w:rsidR="00391C72" w:rsidRPr="00391C72" w:rsidRDefault="00F01BF4" w:rsidP="00050DCF">
      <w:pPr>
        <w:pStyle w:val="Heading1"/>
        <w:numPr>
          <w:ilvl w:val="0"/>
          <w:numId w:val="26"/>
        </w:numPr>
      </w:pPr>
      <w:bookmarkStart w:id="132" w:name="_Toc481758989"/>
      <w:bookmarkStart w:id="133" w:name="_Toc482792826"/>
      <w:bookmarkStart w:id="134" w:name="_Toc31622996"/>
      <w:r>
        <w:lastRenderedPageBreak/>
        <w:t>Organization</w:t>
      </w:r>
      <w:r w:rsidR="008A373F">
        <w:t xml:space="preserve"> and </w:t>
      </w:r>
      <w:r>
        <w:t xml:space="preserve">Assignment of </w:t>
      </w:r>
      <w:r w:rsidR="008A373F">
        <w:t>Responsibilities</w:t>
      </w:r>
      <w:bookmarkStart w:id="135" w:name="_Toc483996012"/>
      <w:bookmarkStart w:id="136" w:name="_Toc484606936"/>
      <w:bookmarkStart w:id="137" w:name="_Toc482792827"/>
      <w:bookmarkStart w:id="138" w:name="_Toc482792983"/>
      <w:bookmarkStart w:id="139" w:name="_Toc482793304"/>
      <w:bookmarkStart w:id="140" w:name="_Toc356762276"/>
      <w:bookmarkStart w:id="141" w:name="_Toc483566872"/>
      <w:bookmarkStart w:id="142" w:name="_Toc467051300"/>
      <w:bookmarkStart w:id="143" w:name="_Toc467077806"/>
      <w:bookmarkStart w:id="144" w:name="_Toc467256706"/>
      <w:bookmarkStart w:id="145" w:name="_Toc468367181"/>
      <w:bookmarkStart w:id="146" w:name="_Toc470164539"/>
      <w:bookmarkStart w:id="147" w:name="_Toc473721299"/>
      <w:bookmarkStart w:id="148" w:name="_Toc476815754"/>
      <w:bookmarkStart w:id="149" w:name="_Toc477863209"/>
      <w:bookmarkStart w:id="150" w:name="_Toc477863394"/>
      <w:bookmarkStart w:id="151" w:name="_Toc477864007"/>
      <w:bookmarkStart w:id="152" w:name="_Toc477866307"/>
      <w:bookmarkStart w:id="153" w:name="_Toc480546351"/>
      <w:bookmarkStart w:id="154" w:name="_Toc481758990"/>
      <w:bookmarkEnd w:id="132"/>
      <w:bookmarkEnd w:id="133"/>
      <w:bookmarkEnd w:id="135"/>
      <w:bookmarkEnd w:id="136"/>
      <w:bookmarkEnd w:id="134"/>
    </w:p>
    <w:p w14:paraId="2261F74D" w14:textId="4F293B71" w:rsidR="007A080B" w:rsidRPr="000F4E86" w:rsidRDefault="007A080B" w:rsidP="001C1C13">
      <w:pPr>
        <w:pStyle w:val="Heading2"/>
        <w:numPr>
          <w:ilvl w:val="1"/>
          <w:numId w:val="60"/>
        </w:numPr>
      </w:pPr>
      <w:bookmarkStart w:id="155" w:name="_Toc31622997"/>
      <w:r w:rsidRPr="000F4E86">
        <w:t>State Organizations</w:t>
      </w:r>
      <w:bookmarkEnd w:id="137"/>
      <w:bookmarkEnd w:id="138"/>
      <w:bookmarkEnd w:id="139"/>
      <w:bookmarkEnd w:id="140"/>
      <w:bookmarkEnd w:id="141"/>
      <w:bookmarkEnd w:id="155"/>
    </w:p>
    <w:p w14:paraId="2358F83A" w14:textId="1943A1D5" w:rsidR="008A373F" w:rsidRPr="009A25B6" w:rsidRDefault="008A373F" w:rsidP="009A25B6">
      <w:pPr>
        <w:pStyle w:val="Heading4"/>
        <w:rPr>
          <w:sz w:val="24"/>
          <w:szCs w:val="24"/>
        </w:rPr>
      </w:pPr>
      <w:bookmarkStart w:id="156" w:name="_Toc482792828"/>
      <w:bookmarkStart w:id="157" w:name="_Toc482792984"/>
      <w:bookmarkStart w:id="158" w:name="_Toc482793305"/>
      <w:bookmarkStart w:id="159" w:name="_Toc356762277"/>
      <w:bookmarkStart w:id="160" w:name="_Toc483566873"/>
      <w:bookmarkStart w:id="161" w:name="_Toc483995662"/>
      <w:bookmarkStart w:id="162" w:name="_Toc483996014"/>
      <w:bookmarkStart w:id="163" w:name="_Toc484606938"/>
      <w:bookmarkStart w:id="164" w:name="_Toc486238562"/>
      <w:bookmarkStart w:id="165" w:name="_Toc486328937"/>
      <w:bookmarkStart w:id="166" w:name="_Toc486407728"/>
      <w:bookmarkStart w:id="167" w:name="_Toc486492332"/>
      <w:bookmarkStart w:id="168" w:name="_Toc486499829"/>
      <w:bookmarkStart w:id="169" w:name="_Toc486501005"/>
      <w:bookmarkStart w:id="170" w:name="_Toc486516465"/>
      <w:bookmarkStart w:id="171" w:name="_Toc486577720"/>
      <w:bookmarkStart w:id="172" w:name="_Toc486578926"/>
      <w:r w:rsidRPr="009A25B6">
        <w:rPr>
          <w:sz w:val="24"/>
          <w:szCs w:val="24"/>
        </w:rPr>
        <w:t xml:space="preserve">Massachusetts Department of Public </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sidR="005A27C3" w:rsidRPr="009A25B6">
        <w:rPr>
          <w:sz w:val="24"/>
          <w:szCs w:val="24"/>
        </w:rPr>
        <w:t>Health (</w:t>
      </w:r>
      <w:r w:rsidR="00FB08E0" w:rsidRPr="009A25B6">
        <w:rPr>
          <w:sz w:val="24"/>
          <w:szCs w:val="24"/>
        </w:rPr>
        <w:t>MDPH)</w:t>
      </w:r>
    </w:p>
    <w:p w14:paraId="619033C5" w14:textId="77777777" w:rsidR="00A72FCB" w:rsidRPr="00A72FCB" w:rsidRDefault="00A72FCB" w:rsidP="00D02D74">
      <w:pPr>
        <w:tabs>
          <w:tab w:val="left" w:pos="720"/>
        </w:tabs>
        <w:spacing w:after="0" w:line="240" w:lineRule="auto"/>
        <w:contextualSpacing/>
        <w:rPr>
          <w:sz w:val="12"/>
          <w:szCs w:val="12"/>
        </w:rPr>
      </w:pPr>
    </w:p>
    <w:p w14:paraId="5BA86A2A" w14:textId="64FDD85B" w:rsidR="006E16E7" w:rsidRPr="00085A1D" w:rsidRDefault="00085A1D" w:rsidP="00A72FCB">
      <w:pPr>
        <w:spacing w:after="240"/>
        <w:contextualSpacing/>
        <w:rPr>
          <w:rFonts w:ascii="Calibri" w:eastAsia="Calibri" w:hAnsi="Calibri" w:cs="Times New Roman"/>
          <w:b/>
          <w:color w:val="548DD4"/>
        </w:rPr>
      </w:pPr>
      <w:bookmarkStart w:id="173" w:name="_Toc476815755"/>
      <w:bookmarkStart w:id="174" w:name="_Toc477863210"/>
      <w:bookmarkStart w:id="175" w:name="_Toc477863395"/>
      <w:bookmarkStart w:id="176" w:name="_Toc477864008"/>
      <w:bookmarkStart w:id="177" w:name="_Toc477866308"/>
      <w:bookmarkStart w:id="178" w:name="_Toc480546352"/>
      <w:bookmarkStart w:id="179" w:name="_Toc481758991"/>
      <w:bookmarkStart w:id="180" w:name="_Toc482792829"/>
      <w:bookmarkStart w:id="181" w:name="_Toc482792985"/>
      <w:bookmarkStart w:id="182" w:name="_Toc482793306"/>
      <w:bookmarkStart w:id="183" w:name="_Toc356762278"/>
      <w:bookmarkStart w:id="184" w:name="_Toc483566874"/>
      <w:bookmarkStart w:id="185" w:name="_Toc483995663"/>
      <w:bookmarkStart w:id="186" w:name="_Toc483996015"/>
      <w:bookmarkStart w:id="187" w:name="_Toc484606939"/>
      <w:r w:rsidRPr="00F860FC">
        <w:rPr>
          <w:rStyle w:val="Heading4Char"/>
        </w:rPr>
        <w:t>Commissioner of the Massachusetts Department of Public Health/designee</w:t>
      </w:r>
      <w:r w:rsidRPr="00085A1D">
        <w:rPr>
          <w:rFonts w:ascii="Univers LT Std 47 Cn Lt" w:eastAsia="Calibri" w:hAnsi="Univers LT Std 47 Cn Lt" w:cs="Times New Roman"/>
          <w:b/>
          <w:color w:val="548DD4"/>
        </w:rPr>
        <w:t>:</w:t>
      </w:r>
      <w:r w:rsidRPr="00085A1D">
        <w:rPr>
          <w:rFonts w:ascii="Calibri" w:eastAsia="Calibri" w:hAnsi="Calibri" w:cs="Times New Roman"/>
        </w:rPr>
        <w:t xml:space="preserve"> As the lead health official for the Commonwealth of Massachusetts, the Commissioner/designee is responsible for coordinating a response within the Department in an emergency and authorizes activation of the MDPH EOP.</w:t>
      </w:r>
      <w:r w:rsidR="006E16E7" w:rsidRPr="006E16E7">
        <w:rPr>
          <w:rFonts w:ascii="Calibri" w:eastAsia="Calibri" w:hAnsi="Calibri" w:cs="Times New Roman"/>
        </w:rPr>
        <w:t xml:space="preserve"> Additionally, the Commissioner/designee has the following responsibilities, following the activation of the EOP:</w:t>
      </w:r>
    </w:p>
    <w:p w14:paraId="4A5F48F0" w14:textId="7DC73EFD" w:rsidR="006E16E7" w:rsidRPr="00085A1D" w:rsidRDefault="006E16E7" w:rsidP="001C1C13">
      <w:pPr>
        <w:numPr>
          <w:ilvl w:val="0"/>
          <w:numId w:val="52"/>
        </w:numPr>
        <w:spacing w:after="0"/>
        <w:rPr>
          <w:rFonts w:ascii="Calibri" w:eastAsia="Calibri" w:hAnsi="Calibri" w:cs="Times New Roman"/>
        </w:rPr>
      </w:pPr>
      <w:r w:rsidRPr="00085A1D">
        <w:rPr>
          <w:rFonts w:ascii="Calibri" w:eastAsia="Calibri" w:hAnsi="Calibri" w:cs="Times New Roman"/>
        </w:rPr>
        <w:t>Serve as liaison to the Executive Office of Health and Human Services</w:t>
      </w:r>
    </w:p>
    <w:p w14:paraId="447DF1FC" w14:textId="5FC86F83" w:rsidR="006E16E7" w:rsidRPr="00085A1D" w:rsidRDefault="006E16E7" w:rsidP="001C1C13">
      <w:pPr>
        <w:numPr>
          <w:ilvl w:val="0"/>
          <w:numId w:val="52"/>
        </w:numPr>
        <w:spacing w:after="0"/>
        <w:rPr>
          <w:rFonts w:ascii="Calibri" w:eastAsia="Calibri" w:hAnsi="Calibri" w:cs="Times New Roman"/>
        </w:rPr>
      </w:pPr>
      <w:r w:rsidRPr="00085A1D">
        <w:rPr>
          <w:rFonts w:ascii="Calibri" w:eastAsia="Calibri" w:hAnsi="Calibri" w:cs="Times New Roman"/>
        </w:rPr>
        <w:t>Direct the opening of the DOC and request opening of the State Emergency Operations Center (SEOC), if necessary</w:t>
      </w:r>
    </w:p>
    <w:p w14:paraId="2EB91F5F" w14:textId="276ADB51" w:rsidR="006E16E7" w:rsidRPr="00085A1D" w:rsidRDefault="006E16E7" w:rsidP="001C1C13">
      <w:pPr>
        <w:numPr>
          <w:ilvl w:val="0"/>
          <w:numId w:val="52"/>
        </w:numPr>
        <w:spacing w:after="0"/>
        <w:rPr>
          <w:rFonts w:ascii="Calibri" w:eastAsia="Calibri" w:hAnsi="Calibri" w:cs="Times New Roman"/>
        </w:rPr>
      </w:pPr>
      <w:r w:rsidRPr="00085A1D">
        <w:rPr>
          <w:rFonts w:ascii="Calibri" w:eastAsia="Calibri" w:hAnsi="Calibri" w:cs="Times New Roman"/>
        </w:rPr>
        <w:t>Serve as chief spokesperson for MDPH</w:t>
      </w:r>
      <w:r w:rsidR="005A05EE">
        <w:rPr>
          <w:rFonts w:ascii="Calibri" w:eastAsia="Calibri" w:hAnsi="Calibri" w:cs="Times New Roman"/>
        </w:rPr>
        <w:t>, unless otherwise delegated</w:t>
      </w:r>
    </w:p>
    <w:p w14:paraId="0EF55CA7" w14:textId="6478FC6F" w:rsidR="006E16E7" w:rsidRPr="00085A1D" w:rsidRDefault="006E16E7" w:rsidP="001C1C13">
      <w:pPr>
        <w:numPr>
          <w:ilvl w:val="0"/>
          <w:numId w:val="52"/>
        </w:numPr>
        <w:spacing w:after="0"/>
        <w:rPr>
          <w:rFonts w:ascii="Calibri" w:eastAsia="Calibri" w:hAnsi="Calibri" w:cs="Times New Roman"/>
        </w:rPr>
      </w:pPr>
      <w:r w:rsidRPr="00085A1D">
        <w:rPr>
          <w:rFonts w:ascii="Calibri" w:eastAsia="Calibri" w:hAnsi="Calibri" w:cs="Times New Roman"/>
        </w:rPr>
        <w:t>Approve overall M</w:t>
      </w:r>
      <w:r w:rsidR="005A05EE">
        <w:rPr>
          <w:rFonts w:ascii="Calibri" w:eastAsia="Calibri" w:hAnsi="Calibri" w:cs="Times New Roman"/>
        </w:rPr>
        <w:t>DPH response and recovery goals</w:t>
      </w:r>
    </w:p>
    <w:p w14:paraId="75F01DAD" w14:textId="107916A1" w:rsidR="006E16E7" w:rsidRPr="000A442C" w:rsidRDefault="006E16E7" w:rsidP="001C1C13">
      <w:pPr>
        <w:numPr>
          <w:ilvl w:val="0"/>
          <w:numId w:val="52"/>
        </w:numPr>
        <w:spacing w:after="240"/>
        <w:rPr>
          <w:rFonts w:ascii="Calibri" w:eastAsia="Calibri" w:hAnsi="Calibri" w:cs="Times New Roman"/>
        </w:rPr>
      </w:pPr>
      <w:r w:rsidRPr="000A442C">
        <w:rPr>
          <w:rFonts w:ascii="Calibri" w:eastAsia="Calibri" w:hAnsi="Calibri" w:cs="Times New Roman"/>
        </w:rPr>
        <w:t>Issue directives to waive licensing or regulatory requirements, as needed and during a state of emergency or public health emergency</w:t>
      </w:r>
      <w:r>
        <w:rPr>
          <w:rFonts w:ascii="Calibri" w:eastAsia="Calibri" w:hAnsi="Calibri" w:cs="Times New Roman"/>
        </w:rPr>
        <w:t>, following approval of the Public Health Council</w:t>
      </w:r>
    </w:p>
    <w:p w14:paraId="047DA643" w14:textId="0C5E1E35" w:rsidR="00FB08E0" w:rsidRDefault="00085A1D" w:rsidP="00085A1D">
      <w:pPr>
        <w:spacing w:after="240"/>
      </w:pPr>
      <w:r w:rsidRPr="00F860FC">
        <w:rPr>
          <w:rStyle w:val="Heading4Char"/>
        </w:rPr>
        <w:t xml:space="preserve">The Commissioner’s </w:t>
      </w:r>
      <w:r w:rsidR="00E073D4">
        <w:rPr>
          <w:rStyle w:val="Heading4Char"/>
        </w:rPr>
        <w:t>Executive Team</w:t>
      </w:r>
      <w:r w:rsidRPr="00F860FC">
        <w:rPr>
          <w:rStyle w:val="Heading4Char"/>
        </w:rPr>
        <w:t xml:space="preserve"> </w:t>
      </w:r>
      <w:r w:rsidR="00FB08E0" w:rsidRPr="007016CF">
        <w:t>is responsible for strategic planning, policy, and leadership</w:t>
      </w:r>
      <w:r w:rsidR="00FB08E0" w:rsidRPr="007016CF">
        <w:rPr>
          <w:b/>
        </w:rPr>
        <w:t xml:space="preserve"> </w:t>
      </w:r>
      <w:r w:rsidR="00FB08E0" w:rsidRPr="007016CF">
        <w:t xml:space="preserve">during an incident or event. In addition to the Commissioner, the team is comprised of the Associate Commissioner, Assistant Commissioners, Chief Operating Officer, </w:t>
      </w:r>
      <w:proofErr w:type="gramStart"/>
      <w:r w:rsidR="00FB08E0" w:rsidRPr="007016CF">
        <w:t>Chief</w:t>
      </w:r>
      <w:proofErr w:type="gramEnd"/>
      <w:r w:rsidR="00FB08E0" w:rsidRPr="007016CF">
        <w:t xml:space="preserve"> of Staff, General Council, Chief Financial Officer and Director of Diversity. For the purpose of response, the OPEM Director, Communications Director and Director of Government Affairs are consulted. The Commissioner’s Executive Team may also consult with other relevant Bureau or Office directors, and may establish advisory groups of subject matter experts </w:t>
      </w:r>
      <w:r w:rsidR="00306572">
        <w:t xml:space="preserve">(SME) </w:t>
      </w:r>
      <w:r w:rsidR="00FB08E0" w:rsidRPr="007016CF">
        <w:t>as needed.</w:t>
      </w:r>
    </w:p>
    <w:p w14:paraId="7EBAD58C" w14:textId="49DF15D6" w:rsidR="00A45FEE" w:rsidRDefault="00A45FEE" w:rsidP="00A45FEE">
      <w:r w:rsidRPr="006E16E7">
        <w:rPr>
          <w:rStyle w:val="Heading4Char"/>
        </w:rPr>
        <w:t xml:space="preserve">Director of </w:t>
      </w:r>
      <w:r>
        <w:rPr>
          <w:rStyle w:val="Heading4Char"/>
        </w:rPr>
        <w:t>Communications</w:t>
      </w:r>
      <w:r w:rsidR="00FE5206">
        <w:rPr>
          <w:rStyle w:val="Heading4Char"/>
        </w:rPr>
        <w:t>/designee</w:t>
      </w:r>
      <w:r>
        <w:rPr>
          <w:rStyle w:val="Heading4Char"/>
        </w:rPr>
        <w:t xml:space="preserve">: </w:t>
      </w:r>
      <w:r>
        <w:t>The Director is responsible for ensuring that the communications office is the point of contact for media relations and advises the IM on information that will be shared with external partners.</w:t>
      </w:r>
    </w:p>
    <w:p w14:paraId="61A85D36" w14:textId="77777777" w:rsidR="00FB08E0" w:rsidRDefault="00085A1D" w:rsidP="00085A1D">
      <w:pPr>
        <w:spacing w:after="240"/>
        <w:rPr>
          <w:color w:val="000000"/>
        </w:rPr>
      </w:pPr>
      <w:r w:rsidRPr="006E16E7">
        <w:rPr>
          <w:rStyle w:val="Heading4Char"/>
        </w:rPr>
        <w:t>Director of the Office of Preparedness and Emergency Management (OPEM)/designee:</w:t>
      </w:r>
      <w:r w:rsidRPr="00C92238">
        <w:rPr>
          <w:rFonts w:ascii="Calibri" w:eastAsia="Calibri" w:hAnsi="Calibri" w:cs="Times New Roman"/>
        </w:rPr>
        <w:t xml:space="preserve"> </w:t>
      </w:r>
      <w:r w:rsidR="00FB08E0" w:rsidRPr="007016CF">
        <w:t>The Director is responsible for overseeing planning and emergency preparedness</w:t>
      </w:r>
      <w:r w:rsidR="00FB08E0" w:rsidRPr="007016CF">
        <w:rPr>
          <w:b/>
        </w:rPr>
        <w:t xml:space="preserve"> </w:t>
      </w:r>
      <w:r w:rsidR="00FB08E0" w:rsidRPr="007016CF">
        <w:t>for the Department and may be delegated with authority by the Commissioner/designee to coordinate a response within the Department during an emergency and to activate the EOP and DOC.</w:t>
      </w:r>
      <w:r w:rsidR="00FB08E0">
        <w:rPr>
          <w:color w:val="000000"/>
        </w:rPr>
        <w:t xml:space="preserve"> The Director oversees the OPEM 24/7 Duty Officer Team.</w:t>
      </w:r>
    </w:p>
    <w:p w14:paraId="0F7CE037" w14:textId="44492B7E" w:rsidR="00A45FEE" w:rsidRDefault="00A45FEE" w:rsidP="00085A1D">
      <w:pPr>
        <w:spacing w:after="240"/>
        <w:rPr>
          <w:color w:val="000000"/>
        </w:rPr>
      </w:pPr>
      <w:r w:rsidRPr="006E16E7">
        <w:rPr>
          <w:rStyle w:val="Heading4Char"/>
        </w:rPr>
        <w:t xml:space="preserve">Director of the </w:t>
      </w:r>
      <w:r>
        <w:rPr>
          <w:rStyle w:val="Heading4Char"/>
        </w:rPr>
        <w:t>Bureau of Infectious Diseases and Laboratory Sciences</w:t>
      </w:r>
      <w:r w:rsidR="00FE5206">
        <w:rPr>
          <w:rStyle w:val="Heading4Char"/>
        </w:rPr>
        <w:t>/designee</w:t>
      </w:r>
      <w:r>
        <w:rPr>
          <w:rStyle w:val="Heading4Char"/>
        </w:rPr>
        <w:t>:</w:t>
      </w:r>
      <w:r w:rsidRPr="00A45FEE">
        <w:rPr>
          <w:color w:val="000000"/>
        </w:rPr>
        <w:t xml:space="preserve"> </w:t>
      </w:r>
      <w:r>
        <w:rPr>
          <w:color w:val="000000"/>
        </w:rPr>
        <w:t xml:space="preserve">The Director is responsible for overseeing the planning for and response to an infectious disease in Massachusetts.  The </w:t>
      </w:r>
      <w:r>
        <w:rPr>
          <w:color w:val="000000"/>
        </w:rPr>
        <w:lastRenderedPageBreak/>
        <w:t>Director would advise the Commissioner of an event that may warrant the activation of this plan or a need to respond to other infectious disease outbreaks.</w:t>
      </w:r>
    </w:p>
    <w:p w14:paraId="461660C2" w14:textId="129A7249" w:rsidR="008B3333" w:rsidRDefault="008B3333" w:rsidP="00085A1D">
      <w:pPr>
        <w:spacing w:after="240"/>
        <w:rPr>
          <w:color w:val="000000"/>
        </w:rPr>
      </w:pPr>
      <w:r w:rsidRPr="006E16E7">
        <w:rPr>
          <w:rStyle w:val="Heading4Char"/>
        </w:rPr>
        <w:t>D</w:t>
      </w:r>
      <w:r>
        <w:rPr>
          <w:rStyle w:val="Heading4Char"/>
        </w:rPr>
        <w:t xml:space="preserve">eputy General Counsel/designee: </w:t>
      </w:r>
      <w:r>
        <w:rPr>
          <w:rFonts w:ascii="Calibri" w:eastAsia="Calibri" w:hAnsi="Calibri" w:cs="Times New Roman"/>
        </w:rPr>
        <w:t>The Deputy General Counsel is responsible for providing legal assistance and guidance during the course of the incident including but not limited to public health declarations and certifications.</w:t>
      </w:r>
    </w:p>
    <w:p w14:paraId="37636B9B" w14:textId="50F68482" w:rsidR="00085A1D" w:rsidRPr="00085A1D" w:rsidRDefault="00085A1D" w:rsidP="00085A1D">
      <w:pPr>
        <w:spacing w:after="240"/>
        <w:rPr>
          <w:rFonts w:ascii="Calibri" w:eastAsia="Calibri" w:hAnsi="Calibri" w:cs="Times New Roman"/>
        </w:rPr>
      </w:pPr>
      <w:r w:rsidRPr="006E16E7">
        <w:rPr>
          <w:rStyle w:val="Heading4Char"/>
        </w:rPr>
        <w:t>MDPH Offices and Bureaus:</w:t>
      </w:r>
      <w:r w:rsidRPr="00085A1D">
        <w:rPr>
          <w:rFonts w:ascii="Calibri" w:eastAsia="Calibri" w:hAnsi="Calibri" w:cs="Times New Roman"/>
          <w:color w:val="548DD4"/>
        </w:rPr>
        <w:t xml:space="preserve"> </w:t>
      </w:r>
      <w:r w:rsidR="00FB08E0">
        <w:rPr>
          <w:rFonts w:ascii="Calibri" w:eastAsia="Calibri" w:hAnsi="Calibri" w:cs="Times New Roman"/>
        </w:rPr>
        <w:t>O</w:t>
      </w:r>
      <w:r w:rsidRPr="00085A1D">
        <w:rPr>
          <w:rFonts w:ascii="Calibri" w:eastAsia="Calibri" w:hAnsi="Calibri" w:cs="Times New Roman"/>
        </w:rPr>
        <w:t>r</w:t>
      </w:r>
      <w:r w:rsidRPr="00C92238">
        <w:rPr>
          <w:rFonts w:ascii="Calibri" w:eastAsia="Calibri" w:hAnsi="Calibri" w:cs="Times New Roman"/>
        </w:rPr>
        <w:t>ganizational units throughout MDPH have response and/or recovery responsibilities during an emergency</w:t>
      </w:r>
      <w:r w:rsidRPr="00085A1D">
        <w:rPr>
          <w:rFonts w:ascii="Calibri" w:eastAsia="Calibri" w:hAnsi="Calibri" w:cs="Times New Roman"/>
        </w:rPr>
        <w:t xml:space="preserve">. </w:t>
      </w:r>
      <w:r w:rsidR="008463E9">
        <w:rPr>
          <w:rFonts w:ascii="Calibri" w:eastAsia="Calibri" w:hAnsi="Calibri" w:cs="Times New Roman"/>
        </w:rPr>
        <w:t>H</w:t>
      </w:r>
      <w:r w:rsidRPr="00085A1D">
        <w:rPr>
          <w:rFonts w:ascii="Calibri" w:eastAsia="Calibri" w:hAnsi="Calibri" w:cs="Times New Roman"/>
        </w:rPr>
        <w:t xml:space="preserve">azard-specific plans </w:t>
      </w:r>
      <w:r w:rsidR="008463E9">
        <w:rPr>
          <w:rFonts w:ascii="Calibri" w:eastAsia="Calibri" w:hAnsi="Calibri" w:cs="Times New Roman"/>
        </w:rPr>
        <w:t xml:space="preserve">developed by Bureaus and Offices </w:t>
      </w:r>
      <w:r w:rsidRPr="00085A1D">
        <w:rPr>
          <w:rFonts w:ascii="Calibri" w:eastAsia="Calibri" w:hAnsi="Calibri" w:cs="Times New Roman"/>
        </w:rPr>
        <w:t xml:space="preserve">can be found as an </w:t>
      </w:r>
      <w:r w:rsidR="008463E9">
        <w:rPr>
          <w:rFonts w:ascii="Calibri" w:eastAsia="Calibri" w:hAnsi="Calibri" w:cs="Times New Roman"/>
        </w:rPr>
        <w:t>Annex to the</w:t>
      </w:r>
      <w:r w:rsidR="006E16E7">
        <w:rPr>
          <w:rFonts w:ascii="Calibri" w:eastAsia="Calibri" w:hAnsi="Calibri" w:cs="Times New Roman"/>
        </w:rPr>
        <w:t xml:space="preserve"> EOP. Examples of </w:t>
      </w:r>
      <w:r w:rsidR="007D0ACC">
        <w:rPr>
          <w:rFonts w:ascii="Calibri" w:eastAsia="Calibri" w:hAnsi="Calibri" w:cs="Times New Roman"/>
        </w:rPr>
        <w:t>O</w:t>
      </w:r>
      <w:r w:rsidR="005A05EE">
        <w:rPr>
          <w:rFonts w:ascii="Calibri" w:eastAsia="Calibri" w:hAnsi="Calibri" w:cs="Times New Roman"/>
        </w:rPr>
        <w:t xml:space="preserve">ffices and </w:t>
      </w:r>
      <w:r w:rsidR="007D0ACC">
        <w:rPr>
          <w:rFonts w:ascii="Calibri" w:eastAsia="Calibri" w:hAnsi="Calibri" w:cs="Times New Roman"/>
        </w:rPr>
        <w:t>B</w:t>
      </w:r>
      <w:r w:rsidRPr="00085A1D">
        <w:rPr>
          <w:rFonts w:ascii="Calibri" w:eastAsia="Calibri" w:hAnsi="Calibri" w:cs="Times New Roman"/>
        </w:rPr>
        <w:t>ureau</w:t>
      </w:r>
      <w:r w:rsidR="006E16E7">
        <w:rPr>
          <w:rFonts w:ascii="Calibri" w:eastAsia="Calibri" w:hAnsi="Calibri" w:cs="Times New Roman"/>
        </w:rPr>
        <w:t xml:space="preserve">s </w:t>
      </w:r>
      <w:r w:rsidR="00BC41F9">
        <w:rPr>
          <w:rFonts w:ascii="Calibri" w:eastAsia="Calibri" w:hAnsi="Calibri" w:cs="Times New Roman"/>
        </w:rPr>
        <w:t>with primary emergency roles</w:t>
      </w:r>
      <w:r w:rsidR="008463E9">
        <w:rPr>
          <w:rFonts w:ascii="Calibri" w:eastAsia="Calibri" w:hAnsi="Calibri" w:cs="Times New Roman"/>
        </w:rPr>
        <w:t xml:space="preserve"> within this plan</w:t>
      </w:r>
      <w:r w:rsidRPr="00085A1D">
        <w:rPr>
          <w:rFonts w:ascii="Calibri" w:eastAsia="Calibri" w:hAnsi="Calibri" w:cs="Times New Roman"/>
        </w:rPr>
        <w:t xml:space="preserve"> are included below.</w:t>
      </w:r>
    </w:p>
    <w:p w14:paraId="0967B3AA" w14:textId="441AC7A7" w:rsidR="00085A1D" w:rsidRPr="006E16E7" w:rsidRDefault="00085A1D" w:rsidP="006E16E7">
      <w:pPr>
        <w:pStyle w:val="Heading5"/>
        <w:rPr>
          <w:b/>
        </w:rPr>
      </w:pPr>
      <w:bookmarkStart w:id="188" w:name="_Toc486407729"/>
      <w:r w:rsidRPr="006E16E7">
        <w:rPr>
          <w:b/>
        </w:rPr>
        <w:t>O</w:t>
      </w:r>
      <w:r w:rsidR="00A45FEE">
        <w:rPr>
          <w:b/>
        </w:rPr>
        <w:t xml:space="preserve">ffice of </w:t>
      </w:r>
      <w:r w:rsidR="00A45FEE" w:rsidRPr="006E16E7">
        <w:rPr>
          <w:b/>
        </w:rPr>
        <w:t>P</w:t>
      </w:r>
      <w:r w:rsidR="00A45FEE">
        <w:rPr>
          <w:b/>
        </w:rPr>
        <w:t xml:space="preserve">reparedness and </w:t>
      </w:r>
      <w:r w:rsidR="00A45FEE" w:rsidRPr="006E16E7">
        <w:rPr>
          <w:b/>
        </w:rPr>
        <w:t>E</w:t>
      </w:r>
      <w:r w:rsidR="00A45FEE">
        <w:rPr>
          <w:b/>
        </w:rPr>
        <w:t xml:space="preserve">mergency </w:t>
      </w:r>
      <w:r w:rsidRPr="006E16E7">
        <w:rPr>
          <w:b/>
        </w:rPr>
        <w:t>M</w:t>
      </w:r>
      <w:bookmarkEnd w:id="188"/>
      <w:r w:rsidR="00A45FEE">
        <w:rPr>
          <w:b/>
        </w:rPr>
        <w:t>anagement (OPEM)</w:t>
      </w:r>
    </w:p>
    <w:p w14:paraId="6A64258C" w14:textId="23EEFE27" w:rsidR="00085A1D" w:rsidRPr="00085A1D" w:rsidRDefault="00085A1D" w:rsidP="00A72FCB">
      <w:pPr>
        <w:spacing w:after="0"/>
        <w:rPr>
          <w:rFonts w:ascii="Calibri" w:eastAsia="Calibri" w:hAnsi="Calibri" w:cs="Times New Roman"/>
        </w:rPr>
      </w:pPr>
      <w:r w:rsidRPr="000A442C">
        <w:rPr>
          <w:rFonts w:ascii="Calibri" w:eastAsia="Calibri" w:hAnsi="Calibri" w:cs="Times New Roman"/>
        </w:rPr>
        <w:t xml:space="preserve">In addition to the OPEM Director role listed above, OPEM has the following </w:t>
      </w:r>
      <w:r w:rsidR="00DA69FE">
        <w:rPr>
          <w:rFonts w:ascii="Calibri" w:eastAsia="Calibri" w:hAnsi="Calibri" w:cs="Times New Roman"/>
        </w:rPr>
        <w:t>areas of responsibly</w:t>
      </w:r>
      <w:r w:rsidRPr="000A442C">
        <w:rPr>
          <w:rFonts w:ascii="Calibri" w:eastAsia="Calibri" w:hAnsi="Calibri" w:cs="Times New Roman"/>
        </w:rPr>
        <w:t>:</w:t>
      </w:r>
      <w:r w:rsidRPr="00085A1D">
        <w:rPr>
          <w:rFonts w:ascii="Calibri" w:eastAsia="Calibri" w:hAnsi="Calibri" w:cs="Times New Roman"/>
        </w:rPr>
        <w:t xml:space="preserve"> </w:t>
      </w:r>
    </w:p>
    <w:p w14:paraId="603EC40F" w14:textId="1065CBF9" w:rsidR="00A72FCB" w:rsidRDefault="007D0ACC" w:rsidP="001C1C13">
      <w:pPr>
        <w:numPr>
          <w:ilvl w:val="0"/>
          <w:numId w:val="52"/>
        </w:numPr>
        <w:spacing w:after="240"/>
        <w:contextualSpacing/>
        <w:rPr>
          <w:rFonts w:ascii="Calibri" w:eastAsia="Calibri" w:hAnsi="Calibri" w:cs="Times New Roman"/>
        </w:rPr>
      </w:pPr>
      <w:r>
        <w:rPr>
          <w:rFonts w:ascii="Calibri" w:eastAsia="Calibri" w:hAnsi="Calibri" w:cs="Times New Roman"/>
        </w:rPr>
        <w:t>Provide</w:t>
      </w:r>
      <w:r w:rsidR="00701271">
        <w:rPr>
          <w:rFonts w:ascii="Calibri" w:eastAsia="Calibri" w:hAnsi="Calibri" w:cs="Times New Roman"/>
        </w:rPr>
        <w:t>s</w:t>
      </w:r>
      <w:r w:rsidR="00085A1D" w:rsidRPr="000A442C">
        <w:rPr>
          <w:rFonts w:ascii="Calibri" w:eastAsia="Calibri" w:hAnsi="Calibri" w:cs="Times New Roman"/>
        </w:rPr>
        <w:t xml:space="preserve"> situational awareness on health and medical issues to the public health and healthcare communities</w:t>
      </w:r>
    </w:p>
    <w:p w14:paraId="371D9D2C" w14:textId="5B4AA52B" w:rsidR="00A72FCB" w:rsidRDefault="007D0ACC" w:rsidP="001C1C13">
      <w:pPr>
        <w:numPr>
          <w:ilvl w:val="0"/>
          <w:numId w:val="52"/>
        </w:numPr>
        <w:spacing w:after="240"/>
        <w:contextualSpacing/>
        <w:rPr>
          <w:rFonts w:ascii="Calibri" w:eastAsia="Calibri" w:hAnsi="Calibri" w:cs="Times New Roman"/>
        </w:rPr>
      </w:pPr>
      <w:r>
        <w:rPr>
          <w:rFonts w:ascii="Calibri" w:eastAsia="Calibri" w:hAnsi="Calibri" w:cs="Times New Roman"/>
        </w:rPr>
        <w:t>Assist</w:t>
      </w:r>
      <w:r w:rsidR="00701271">
        <w:rPr>
          <w:rFonts w:ascii="Calibri" w:eastAsia="Calibri" w:hAnsi="Calibri" w:cs="Times New Roman"/>
        </w:rPr>
        <w:t>s</w:t>
      </w:r>
      <w:r w:rsidR="00085A1D" w:rsidRPr="00A72FCB">
        <w:rPr>
          <w:rFonts w:ascii="Calibri" w:eastAsia="Calibri" w:hAnsi="Calibri" w:cs="Times New Roman"/>
        </w:rPr>
        <w:t xml:space="preserve"> in the development and release of public information related to the infectious disease emergency</w:t>
      </w:r>
    </w:p>
    <w:p w14:paraId="50A81D17" w14:textId="59AF51AA" w:rsidR="00A72FCB" w:rsidRDefault="007D0ACC" w:rsidP="001C1C13">
      <w:pPr>
        <w:numPr>
          <w:ilvl w:val="0"/>
          <w:numId w:val="52"/>
        </w:numPr>
        <w:spacing w:after="240"/>
        <w:contextualSpacing/>
        <w:rPr>
          <w:rFonts w:ascii="Calibri" w:eastAsia="Calibri" w:hAnsi="Calibri" w:cs="Times New Roman"/>
        </w:rPr>
      </w:pPr>
      <w:r>
        <w:rPr>
          <w:rFonts w:ascii="Calibri" w:eastAsia="Calibri" w:hAnsi="Calibri" w:cs="Times New Roman"/>
        </w:rPr>
        <w:t>Staff</w:t>
      </w:r>
      <w:r w:rsidR="00701271">
        <w:rPr>
          <w:rFonts w:ascii="Calibri" w:eastAsia="Calibri" w:hAnsi="Calibri" w:cs="Times New Roman"/>
        </w:rPr>
        <w:t>s</w:t>
      </w:r>
      <w:r w:rsidR="00085A1D" w:rsidRPr="00A72FCB">
        <w:rPr>
          <w:rFonts w:ascii="Calibri" w:eastAsia="Calibri" w:hAnsi="Calibri" w:cs="Times New Roman"/>
        </w:rPr>
        <w:t xml:space="preserve"> the DOC and Emergency Support </w:t>
      </w:r>
      <w:r>
        <w:rPr>
          <w:rFonts w:ascii="Calibri" w:eastAsia="Calibri" w:hAnsi="Calibri" w:cs="Times New Roman"/>
        </w:rPr>
        <w:t>Function (ESF)-8 Desk at the SEOC</w:t>
      </w:r>
      <w:r w:rsidR="00085A1D" w:rsidRPr="00A72FCB">
        <w:rPr>
          <w:rFonts w:ascii="Calibri" w:eastAsia="Calibri" w:hAnsi="Calibri" w:cs="Times New Roman"/>
        </w:rPr>
        <w:t>, when activated</w:t>
      </w:r>
    </w:p>
    <w:p w14:paraId="7483C91E" w14:textId="35DCC7F1" w:rsidR="00A72FCB" w:rsidRDefault="007D0ACC" w:rsidP="001C1C13">
      <w:pPr>
        <w:numPr>
          <w:ilvl w:val="0"/>
          <w:numId w:val="52"/>
        </w:numPr>
        <w:spacing w:after="240"/>
        <w:contextualSpacing/>
        <w:rPr>
          <w:rFonts w:ascii="Calibri" w:eastAsia="Calibri" w:hAnsi="Calibri" w:cs="Times New Roman"/>
        </w:rPr>
      </w:pPr>
      <w:r>
        <w:rPr>
          <w:rFonts w:ascii="Calibri" w:eastAsia="Calibri" w:hAnsi="Calibri" w:cs="Times New Roman"/>
        </w:rPr>
        <w:t>Coordinate</w:t>
      </w:r>
      <w:r w:rsidR="00701271">
        <w:rPr>
          <w:rFonts w:ascii="Calibri" w:eastAsia="Calibri" w:hAnsi="Calibri" w:cs="Times New Roman"/>
        </w:rPr>
        <w:t>s</w:t>
      </w:r>
      <w:r w:rsidR="00085A1D" w:rsidRPr="00A72FCB">
        <w:rPr>
          <w:rFonts w:ascii="Calibri" w:eastAsia="Calibri" w:hAnsi="Calibri" w:cs="Times New Roman"/>
        </w:rPr>
        <w:t xml:space="preserve"> health and medical resources during a public health emergency, as needed</w:t>
      </w:r>
    </w:p>
    <w:p w14:paraId="4F0B9418" w14:textId="71EF3294" w:rsidR="00A72FCB" w:rsidRDefault="007D0ACC" w:rsidP="001C1C13">
      <w:pPr>
        <w:numPr>
          <w:ilvl w:val="0"/>
          <w:numId w:val="52"/>
        </w:numPr>
        <w:spacing w:after="240"/>
        <w:contextualSpacing/>
        <w:rPr>
          <w:rFonts w:ascii="Calibri" w:eastAsia="Calibri" w:hAnsi="Calibri" w:cs="Times New Roman"/>
        </w:rPr>
      </w:pPr>
      <w:r>
        <w:rPr>
          <w:rFonts w:ascii="Calibri" w:eastAsia="Calibri" w:hAnsi="Calibri" w:cs="Times New Roman"/>
        </w:rPr>
        <w:t>Work</w:t>
      </w:r>
      <w:r w:rsidR="00701271">
        <w:rPr>
          <w:rFonts w:ascii="Calibri" w:eastAsia="Calibri" w:hAnsi="Calibri" w:cs="Times New Roman"/>
        </w:rPr>
        <w:t>s</w:t>
      </w:r>
      <w:r w:rsidR="00085A1D" w:rsidRPr="00A72FCB">
        <w:rPr>
          <w:rFonts w:ascii="Calibri" w:eastAsia="Calibri" w:hAnsi="Calibri" w:cs="Times New Roman"/>
        </w:rPr>
        <w:t xml:space="preserve"> with the Massachusetts Emergency Management Agency (MEMA) and federal partners to reque</w:t>
      </w:r>
      <w:r w:rsidR="00A72FCB">
        <w:rPr>
          <w:rFonts w:ascii="Calibri" w:eastAsia="Calibri" w:hAnsi="Calibri" w:cs="Times New Roman"/>
        </w:rPr>
        <w:t>st deployment of federal assets</w:t>
      </w:r>
    </w:p>
    <w:p w14:paraId="3155C3D5" w14:textId="0074434B" w:rsidR="00085A1D" w:rsidRPr="00A72FCB" w:rsidRDefault="007D0ACC" w:rsidP="001C1C13">
      <w:pPr>
        <w:numPr>
          <w:ilvl w:val="0"/>
          <w:numId w:val="52"/>
        </w:numPr>
        <w:spacing w:after="240"/>
        <w:contextualSpacing/>
        <w:rPr>
          <w:rFonts w:ascii="Calibri" w:eastAsia="Calibri" w:hAnsi="Calibri" w:cs="Times New Roman"/>
        </w:rPr>
      </w:pPr>
      <w:r>
        <w:rPr>
          <w:rFonts w:ascii="Calibri" w:eastAsia="Calibri" w:hAnsi="Calibri" w:cs="Times New Roman"/>
        </w:rPr>
        <w:t>Coordinate</w:t>
      </w:r>
      <w:r w:rsidR="00701271">
        <w:rPr>
          <w:rFonts w:ascii="Calibri" w:eastAsia="Calibri" w:hAnsi="Calibri" w:cs="Times New Roman"/>
        </w:rPr>
        <w:t>s</w:t>
      </w:r>
      <w:r>
        <w:rPr>
          <w:rFonts w:ascii="Calibri" w:eastAsia="Calibri" w:hAnsi="Calibri" w:cs="Times New Roman"/>
        </w:rPr>
        <w:t xml:space="preserve"> and conduct</w:t>
      </w:r>
      <w:r w:rsidR="00701271">
        <w:rPr>
          <w:rFonts w:ascii="Calibri" w:eastAsia="Calibri" w:hAnsi="Calibri" w:cs="Times New Roman"/>
        </w:rPr>
        <w:t>s</w:t>
      </w:r>
      <w:r w:rsidR="00085A1D" w:rsidRPr="00A72FCB">
        <w:rPr>
          <w:rFonts w:ascii="Calibri" w:eastAsia="Calibri" w:hAnsi="Calibri" w:cs="Times New Roman"/>
        </w:rPr>
        <w:t xml:space="preserve"> post-incident debriefings of publi</w:t>
      </w:r>
      <w:r>
        <w:rPr>
          <w:rFonts w:ascii="Calibri" w:eastAsia="Calibri" w:hAnsi="Calibri" w:cs="Times New Roman"/>
        </w:rPr>
        <w:t>c health participants and draft</w:t>
      </w:r>
      <w:r w:rsidR="00701271">
        <w:rPr>
          <w:rFonts w:ascii="Calibri" w:eastAsia="Calibri" w:hAnsi="Calibri" w:cs="Times New Roman"/>
        </w:rPr>
        <w:t>s</w:t>
      </w:r>
      <w:r w:rsidR="00085A1D" w:rsidRPr="00A72FCB">
        <w:rPr>
          <w:rFonts w:ascii="Calibri" w:eastAsia="Calibri" w:hAnsi="Calibri" w:cs="Times New Roman"/>
        </w:rPr>
        <w:t xml:space="preserve"> after action report</w:t>
      </w:r>
      <w:r>
        <w:rPr>
          <w:rFonts w:ascii="Calibri" w:eastAsia="Calibri" w:hAnsi="Calibri" w:cs="Times New Roman"/>
        </w:rPr>
        <w:t>s</w:t>
      </w:r>
      <w:r w:rsidR="00085A1D" w:rsidRPr="00A72FCB">
        <w:rPr>
          <w:rFonts w:ascii="Calibri" w:eastAsia="Calibri" w:hAnsi="Calibri" w:cs="Times New Roman"/>
        </w:rPr>
        <w:t xml:space="preserve"> and improvement plan</w:t>
      </w:r>
      <w:r>
        <w:rPr>
          <w:rFonts w:ascii="Calibri" w:eastAsia="Calibri" w:hAnsi="Calibri" w:cs="Times New Roman"/>
        </w:rPr>
        <w:t>s</w:t>
      </w:r>
      <w:r w:rsidR="00085A1D" w:rsidRPr="00A72FCB">
        <w:rPr>
          <w:rFonts w:ascii="Calibri" w:eastAsia="Calibri" w:hAnsi="Calibri" w:cs="Times New Roman"/>
        </w:rPr>
        <w:t xml:space="preserve"> for MDPH in coordination wi</w:t>
      </w:r>
      <w:r w:rsidR="00A72FCB">
        <w:rPr>
          <w:rFonts w:ascii="Calibri" w:eastAsia="Calibri" w:hAnsi="Calibri" w:cs="Times New Roman"/>
        </w:rPr>
        <w:t>th other Bureaus as appropriate</w:t>
      </w:r>
    </w:p>
    <w:p w14:paraId="7E468552" w14:textId="0AABC4F3" w:rsidR="00085A1D" w:rsidRPr="006E16E7" w:rsidRDefault="00085A1D" w:rsidP="006E16E7">
      <w:pPr>
        <w:pStyle w:val="Heading5"/>
        <w:rPr>
          <w:b/>
        </w:rPr>
      </w:pPr>
      <w:bookmarkStart w:id="189" w:name="_Toc486407730"/>
      <w:bookmarkStart w:id="190" w:name="_Toc480546354"/>
      <w:bookmarkStart w:id="191" w:name="_Toc481758993"/>
      <w:bookmarkStart w:id="192" w:name="_Toc482792831"/>
      <w:bookmarkStart w:id="193" w:name="_Toc482792987"/>
      <w:bookmarkStart w:id="194" w:name="_Toc482793308"/>
      <w:bookmarkStart w:id="195" w:name="_Toc356762280"/>
      <w:bookmarkStart w:id="196" w:name="_Toc483566876"/>
      <w:bookmarkStart w:id="197" w:name="_Toc483995665"/>
      <w:bookmarkStart w:id="198" w:name="_Toc483996017"/>
      <w:bookmarkStart w:id="199" w:name="_Toc484606941"/>
      <w:bookmarkStart w:id="200" w:name="_Toc468367185"/>
      <w:bookmarkStart w:id="201" w:name="_Toc470164543"/>
      <w:bookmarkStart w:id="202" w:name="_Toc473721303"/>
      <w:bookmarkStart w:id="203" w:name="_Toc476815757"/>
      <w:bookmarkStart w:id="204" w:name="_Toc477863212"/>
      <w:bookmarkStart w:id="205" w:name="_Toc477863397"/>
      <w:bookmarkStart w:id="206" w:name="_Toc477864010"/>
      <w:bookmarkStart w:id="207" w:name="_Toc477866310"/>
      <w:bookmarkStart w:id="208" w:name="_Toc467051305"/>
      <w:bookmarkStart w:id="209" w:name="_Toc467077811"/>
      <w:bookmarkStart w:id="210" w:name="_Toc467256711"/>
      <w:bookmarkStart w:id="211" w:name="_Toc468367183"/>
      <w:bookmarkStart w:id="212" w:name="_Toc470164541"/>
      <w:bookmarkStart w:id="213" w:name="_Toc473721301"/>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6E16E7">
        <w:rPr>
          <w:b/>
        </w:rPr>
        <w:t>Bureau of Infectious Disease and Laboratory Sciences (BIDLS)</w:t>
      </w:r>
      <w:bookmarkEnd w:id="189"/>
    </w:p>
    <w:p w14:paraId="67D2B045" w14:textId="0EC4DFC8" w:rsidR="00DA69FE" w:rsidRPr="00DA69FE" w:rsidRDefault="00DA69FE" w:rsidP="00DA69FE">
      <w:pPr>
        <w:spacing w:after="0"/>
        <w:rPr>
          <w:rFonts w:ascii="Calibri" w:eastAsia="Calibri" w:hAnsi="Calibri" w:cs="Times New Roman"/>
        </w:rPr>
      </w:pPr>
      <w:r w:rsidRPr="00DA69FE">
        <w:rPr>
          <w:rFonts w:ascii="Calibri" w:eastAsia="Calibri" w:hAnsi="Calibri" w:cs="Times New Roman"/>
        </w:rPr>
        <w:t xml:space="preserve">In addition to the </w:t>
      </w:r>
      <w:r>
        <w:rPr>
          <w:rFonts w:ascii="Calibri" w:eastAsia="Calibri" w:hAnsi="Calibri" w:cs="Times New Roman"/>
        </w:rPr>
        <w:t>BIDLS</w:t>
      </w:r>
      <w:r w:rsidRPr="00DA69FE">
        <w:rPr>
          <w:rFonts w:ascii="Calibri" w:eastAsia="Calibri" w:hAnsi="Calibri" w:cs="Times New Roman"/>
        </w:rPr>
        <w:t xml:space="preserve"> Director role listed above, </w:t>
      </w:r>
      <w:r>
        <w:rPr>
          <w:rFonts w:ascii="Calibri" w:eastAsia="Calibri" w:hAnsi="Calibri" w:cs="Times New Roman"/>
        </w:rPr>
        <w:t>BIDLS</w:t>
      </w:r>
      <w:r w:rsidRPr="00DA69FE">
        <w:rPr>
          <w:rFonts w:ascii="Calibri" w:eastAsia="Calibri" w:hAnsi="Calibri" w:cs="Times New Roman"/>
        </w:rPr>
        <w:t xml:space="preserve"> has the following areas of responsibly: </w:t>
      </w:r>
    </w:p>
    <w:p w14:paraId="3F6FBAD7" w14:textId="07463A8A" w:rsidR="005A05EE" w:rsidRDefault="00085A1D" w:rsidP="001C1C13">
      <w:pPr>
        <w:numPr>
          <w:ilvl w:val="0"/>
          <w:numId w:val="52"/>
        </w:numPr>
        <w:spacing w:after="240"/>
        <w:contextualSpacing/>
        <w:rPr>
          <w:rFonts w:ascii="Calibri" w:eastAsia="Calibri" w:hAnsi="Calibri" w:cs="Times New Roman"/>
        </w:rPr>
      </w:pPr>
      <w:r w:rsidRPr="005A05EE">
        <w:rPr>
          <w:rFonts w:ascii="Calibri" w:eastAsia="Calibri" w:hAnsi="Calibri" w:cs="Times New Roman"/>
        </w:rPr>
        <w:t xml:space="preserve">BIDLS is responsible for tracking, responding to, and </w:t>
      </w:r>
      <w:r w:rsidR="008463E9">
        <w:rPr>
          <w:rFonts w:ascii="Calibri" w:eastAsia="Calibri" w:hAnsi="Calibri" w:cs="Times New Roman"/>
        </w:rPr>
        <w:t>controlling</w:t>
      </w:r>
      <w:r w:rsidRPr="005A05EE">
        <w:rPr>
          <w:rFonts w:ascii="Calibri" w:eastAsia="Calibri" w:hAnsi="Calibri" w:cs="Times New Roman"/>
        </w:rPr>
        <w:t xml:space="preserve"> infectious diseases as well as performing laboratory tests to identify suspicious substances, food-, insect-, environmental-, and other pathogens, lead, and treatable disorders in newborns  </w:t>
      </w:r>
    </w:p>
    <w:p w14:paraId="21EDB4DF" w14:textId="2C406CA5" w:rsidR="00085A1D" w:rsidRPr="007C2951" w:rsidRDefault="00085A1D" w:rsidP="001C1C13">
      <w:pPr>
        <w:numPr>
          <w:ilvl w:val="0"/>
          <w:numId w:val="52"/>
        </w:numPr>
        <w:spacing w:after="240"/>
        <w:contextualSpacing/>
        <w:rPr>
          <w:rFonts w:ascii="Calibri" w:eastAsia="Calibri" w:hAnsi="Calibri" w:cs="Times New Roman"/>
        </w:rPr>
      </w:pPr>
      <w:r w:rsidRPr="005A05EE">
        <w:rPr>
          <w:bCs/>
          <w:shd w:val="clear" w:color="auto" w:fill="FFFFFF"/>
        </w:rPr>
        <w:t>BIDLS is</w:t>
      </w:r>
      <w:r w:rsidR="00FB3859">
        <w:rPr>
          <w:bCs/>
          <w:shd w:val="clear" w:color="auto" w:fill="FFFFFF"/>
        </w:rPr>
        <w:t xml:space="preserve"> also</w:t>
      </w:r>
      <w:r w:rsidRPr="005A05EE">
        <w:rPr>
          <w:bCs/>
          <w:shd w:val="clear" w:color="auto" w:fill="FFFFFF"/>
        </w:rPr>
        <w:t xml:space="preserve"> responsible for surveillance, case/outbreak investigation, laboratory testing, providing guidance to clinicians and the public, </w:t>
      </w:r>
      <w:r w:rsidR="00D53225">
        <w:rPr>
          <w:bCs/>
          <w:shd w:val="clear" w:color="auto" w:fill="FFFFFF"/>
        </w:rPr>
        <w:t xml:space="preserve">managing vaccine allocation/distribution (for VPDs) </w:t>
      </w:r>
      <w:r w:rsidRPr="005A05EE">
        <w:rPr>
          <w:bCs/>
          <w:shd w:val="clear" w:color="auto" w:fill="FFFFFF"/>
        </w:rPr>
        <w:t>and advising on necessary responses</w:t>
      </w:r>
    </w:p>
    <w:p w14:paraId="374985D5" w14:textId="3E94B0DF" w:rsidR="007C2951" w:rsidRPr="005A05EE" w:rsidRDefault="007C2951" w:rsidP="001C1C13">
      <w:pPr>
        <w:numPr>
          <w:ilvl w:val="0"/>
          <w:numId w:val="52"/>
        </w:numPr>
        <w:spacing w:after="240"/>
        <w:contextualSpacing/>
        <w:rPr>
          <w:rFonts w:ascii="Calibri" w:eastAsia="Calibri" w:hAnsi="Calibri" w:cs="Times New Roman"/>
        </w:rPr>
      </w:pPr>
      <w:r>
        <w:rPr>
          <w:bCs/>
          <w:shd w:val="clear" w:color="auto" w:fill="FFFFFF"/>
        </w:rPr>
        <w:t>BIDLS has on-call Epidemiologists available 24/7 who can answer questions regarding infectious disease emergencies. The 24/7 contact information is 617-983-6800</w:t>
      </w:r>
    </w:p>
    <w:p w14:paraId="3A616D83" w14:textId="3244E3B3" w:rsidR="00246306" w:rsidRPr="00B178DC" w:rsidRDefault="00246306" w:rsidP="00A72FCB">
      <w:pPr>
        <w:pStyle w:val="Heading5"/>
        <w:rPr>
          <w:b/>
        </w:rPr>
      </w:pPr>
      <w:bookmarkStart w:id="214" w:name="_Toc486407731"/>
      <w:r w:rsidRPr="00B178DC">
        <w:rPr>
          <w:b/>
        </w:rPr>
        <w:t>Bureau of Health Care Safety and Quality</w:t>
      </w:r>
      <w:bookmarkEnd w:id="214"/>
      <w:r w:rsidR="008463E9">
        <w:rPr>
          <w:b/>
        </w:rPr>
        <w:t xml:space="preserve"> (BHCSQ)</w:t>
      </w:r>
    </w:p>
    <w:p w14:paraId="1236D811" w14:textId="695242AC" w:rsidR="00B178DC" w:rsidRDefault="001E7407" w:rsidP="00B178DC">
      <w:pPr>
        <w:pStyle w:val="ListParagraph"/>
        <w:numPr>
          <w:ilvl w:val="0"/>
          <w:numId w:val="7"/>
        </w:numPr>
        <w:jc w:val="both"/>
      </w:pPr>
      <w:r>
        <w:t>BHCSQ</w:t>
      </w:r>
      <w:r w:rsidR="00B178DC">
        <w:t xml:space="preserve"> work</w:t>
      </w:r>
      <w:r>
        <w:t>s</w:t>
      </w:r>
      <w:r w:rsidR="00B178DC">
        <w:t xml:space="preserve"> with</w:t>
      </w:r>
      <w:r w:rsidR="00B178DC" w:rsidRPr="001B4908">
        <w:t xml:space="preserve"> healthcare facilities and other health response agencies to determine their capacities to accommodate a surge in cases,</w:t>
      </w:r>
      <w:r w:rsidR="00B178DC">
        <w:t xml:space="preserve"> and consider</w:t>
      </w:r>
      <w:r w:rsidR="00B178DC" w:rsidRPr="001B4908">
        <w:t xml:space="preserve"> the most effective actions to assist in supporting the </w:t>
      </w:r>
      <w:r>
        <w:t xml:space="preserve">infectious disease </w:t>
      </w:r>
      <w:r w:rsidR="00B178DC" w:rsidRPr="001B4908">
        <w:t xml:space="preserve">response </w:t>
      </w:r>
    </w:p>
    <w:p w14:paraId="7CAB5290" w14:textId="55BDCB9E" w:rsidR="007A080B" w:rsidRPr="00A72FCB" w:rsidRDefault="007A080B" w:rsidP="00A72FCB">
      <w:pPr>
        <w:pStyle w:val="Heading5"/>
        <w:rPr>
          <w:b/>
        </w:rPr>
      </w:pPr>
      <w:bookmarkStart w:id="215" w:name="_Toc482792835"/>
      <w:bookmarkStart w:id="216" w:name="_Toc482792991"/>
      <w:bookmarkStart w:id="217" w:name="_Toc482793312"/>
      <w:bookmarkStart w:id="218" w:name="_Toc356762284"/>
      <w:bookmarkStart w:id="219" w:name="_Toc483566879"/>
      <w:bookmarkStart w:id="220" w:name="_Toc483995666"/>
      <w:bookmarkStart w:id="221" w:name="_Toc483996018"/>
      <w:bookmarkStart w:id="222" w:name="_Toc484606942"/>
      <w:bookmarkStart w:id="223" w:name="_Toc486238563"/>
      <w:bookmarkStart w:id="224" w:name="_Toc486328938"/>
      <w:bookmarkStart w:id="225" w:name="_Toc486407732"/>
      <w:bookmarkStart w:id="226" w:name="_Toc476815760"/>
      <w:bookmarkStart w:id="227" w:name="_Toc477863215"/>
      <w:bookmarkStart w:id="228" w:name="_Toc477863400"/>
      <w:bookmarkStart w:id="229" w:name="_Toc477864013"/>
      <w:bookmarkStart w:id="230" w:name="_Toc477866313"/>
      <w:bookmarkStart w:id="231" w:name="_Toc480546358"/>
      <w:bookmarkStart w:id="232" w:name="_Toc481758997"/>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r w:rsidRPr="00B178DC">
        <w:rPr>
          <w:b/>
        </w:rPr>
        <w:lastRenderedPageBreak/>
        <w:t>Bureau of Community Health</w:t>
      </w:r>
      <w:r w:rsidRPr="00A72FCB">
        <w:rPr>
          <w:b/>
        </w:rPr>
        <w:t xml:space="preserve"> and Prevention</w:t>
      </w:r>
      <w:bookmarkEnd w:id="215"/>
      <w:bookmarkEnd w:id="216"/>
      <w:bookmarkEnd w:id="217"/>
      <w:bookmarkEnd w:id="218"/>
      <w:bookmarkEnd w:id="219"/>
      <w:bookmarkEnd w:id="220"/>
      <w:bookmarkEnd w:id="221"/>
      <w:bookmarkEnd w:id="222"/>
      <w:bookmarkEnd w:id="223"/>
      <w:bookmarkEnd w:id="224"/>
      <w:bookmarkEnd w:id="225"/>
      <w:r w:rsidR="008463E9">
        <w:rPr>
          <w:b/>
        </w:rPr>
        <w:t xml:space="preserve"> (BCH</w:t>
      </w:r>
      <w:r w:rsidR="007C2951">
        <w:rPr>
          <w:b/>
        </w:rPr>
        <w:t>A</w:t>
      </w:r>
      <w:r w:rsidR="008463E9">
        <w:rPr>
          <w:b/>
        </w:rPr>
        <w:t>P)</w:t>
      </w:r>
    </w:p>
    <w:p w14:paraId="3A9DBAD1" w14:textId="35C97DF7" w:rsidR="00246306" w:rsidRDefault="00246306" w:rsidP="006E16E7">
      <w:pPr>
        <w:pStyle w:val="Heading6"/>
        <w:rPr>
          <w:b w:val="0"/>
        </w:rPr>
      </w:pPr>
      <w:bookmarkStart w:id="233" w:name="_Toc482792836"/>
      <w:bookmarkStart w:id="234" w:name="_Toc482792992"/>
      <w:bookmarkStart w:id="235" w:name="_Toc482793313"/>
      <w:bookmarkStart w:id="236" w:name="_Toc356762285"/>
      <w:bookmarkStart w:id="237" w:name="_Toc483566880"/>
      <w:r w:rsidRPr="00A72FCB">
        <w:rPr>
          <w:b w:val="0"/>
        </w:rPr>
        <w:t>Occupational Health</w:t>
      </w:r>
      <w:r w:rsidR="00A72FCB">
        <w:rPr>
          <w:b w:val="0"/>
        </w:rPr>
        <w:t xml:space="preserve"> Surveillance </w:t>
      </w:r>
      <w:r w:rsidR="00D94DC7">
        <w:rPr>
          <w:b w:val="0"/>
        </w:rPr>
        <w:t>Division</w:t>
      </w:r>
      <w:r w:rsidR="005A05EE">
        <w:rPr>
          <w:b w:val="0"/>
        </w:rPr>
        <w:t xml:space="preserve"> (OHSP)</w:t>
      </w:r>
    </w:p>
    <w:p w14:paraId="28DC01FB" w14:textId="13D4B90C" w:rsidR="00246306" w:rsidRPr="005A05EE" w:rsidRDefault="001E7407" w:rsidP="001C1C13">
      <w:pPr>
        <w:numPr>
          <w:ilvl w:val="0"/>
          <w:numId w:val="52"/>
        </w:numPr>
        <w:spacing w:after="240"/>
        <w:contextualSpacing/>
        <w:rPr>
          <w:bCs/>
          <w:shd w:val="clear" w:color="auto" w:fill="FFFFFF"/>
        </w:rPr>
      </w:pPr>
      <w:r>
        <w:t>OHSP</w:t>
      </w:r>
      <w:r>
        <w:rPr>
          <w:bCs/>
          <w:shd w:val="clear" w:color="auto" w:fill="FFFFFF"/>
        </w:rPr>
        <w:t xml:space="preserve"> s</w:t>
      </w:r>
      <w:r w:rsidR="00A72FCB" w:rsidRPr="005A05EE">
        <w:rPr>
          <w:bCs/>
          <w:shd w:val="clear" w:color="auto" w:fill="FFFFFF"/>
        </w:rPr>
        <w:t xml:space="preserve">upports the occupational safety and health </w:t>
      </w:r>
      <w:r w:rsidR="00B178DC">
        <w:rPr>
          <w:bCs/>
          <w:shd w:val="clear" w:color="auto" w:fill="FFFFFF"/>
        </w:rPr>
        <w:t>of workers in Massachusetts</w:t>
      </w:r>
      <w:r w:rsidR="00A72FCB" w:rsidRPr="005A05EE">
        <w:rPr>
          <w:bCs/>
          <w:shd w:val="clear" w:color="auto" w:fill="FFFFFF"/>
        </w:rPr>
        <w:t xml:space="preserve"> </w:t>
      </w:r>
      <w:r w:rsidR="00943C54">
        <w:rPr>
          <w:bCs/>
          <w:shd w:val="clear" w:color="auto" w:fill="FFFFFF"/>
        </w:rPr>
        <w:t xml:space="preserve">by </w:t>
      </w:r>
      <w:r w:rsidR="00A72FCB" w:rsidRPr="005A05EE">
        <w:rPr>
          <w:bCs/>
          <w:shd w:val="clear" w:color="auto" w:fill="FFFFFF"/>
        </w:rPr>
        <w:t xml:space="preserve">providing technical assistance with regards to personal protective equipment (PPE) </w:t>
      </w:r>
      <w:r>
        <w:rPr>
          <w:bCs/>
          <w:shd w:val="clear" w:color="auto" w:fill="FFFFFF"/>
        </w:rPr>
        <w:t>and other protective measures during an infectious disease emergency</w:t>
      </w:r>
    </w:p>
    <w:p w14:paraId="538B5D8A" w14:textId="0C205515" w:rsidR="008A373F" w:rsidRPr="006E16E7" w:rsidRDefault="007E44F5" w:rsidP="006E16E7">
      <w:pPr>
        <w:pStyle w:val="Heading6"/>
        <w:rPr>
          <w:b w:val="0"/>
        </w:rPr>
      </w:pPr>
      <w:r>
        <w:t xml:space="preserve">  </w:t>
      </w:r>
      <w:r w:rsidR="008A373F" w:rsidRPr="006E16E7">
        <w:rPr>
          <w:b w:val="0"/>
        </w:rPr>
        <w:t>School Health Services</w:t>
      </w:r>
      <w:bookmarkEnd w:id="208"/>
      <w:bookmarkEnd w:id="209"/>
      <w:bookmarkEnd w:id="210"/>
      <w:bookmarkEnd w:id="211"/>
      <w:bookmarkEnd w:id="212"/>
      <w:bookmarkEnd w:id="213"/>
      <w:bookmarkEnd w:id="226"/>
      <w:bookmarkEnd w:id="227"/>
      <w:bookmarkEnd w:id="228"/>
      <w:bookmarkEnd w:id="229"/>
      <w:bookmarkEnd w:id="230"/>
      <w:bookmarkEnd w:id="231"/>
      <w:bookmarkEnd w:id="232"/>
      <w:bookmarkEnd w:id="233"/>
      <w:bookmarkEnd w:id="234"/>
      <w:bookmarkEnd w:id="235"/>
      <w:bookmarkEnd w:id="236"/>
      <w:bookmarkEnd w:id="237"/>
      <w:r w:rsidR="008463E9">
        <w:rPr>
          <w:b w:val="0"/>
        </w:rPr>
        <w:t xml:space="preserve"> (SHS)</w:t>
      </w:r>
    </w:p>
    <w:p w14:paraId="38FE321F" w14:textId="62CBBECC" w:rsidR="005A05EE" w:rsidRDefault="008A373F" w:rsidP="001C1C13">
      <w:pPr>
        <w:numPr>
          <w:ilvl w:val="0"/>
          <w:numId w:val="52"/>
        </w:numPr>
        <w:spacing w:after="240"/>
        <w:contextualSpacing/>
        <w:rPr>
          <w:bCs/>
          <w:shd w:val="clear" w:color="auto" w:fill="FFFFFF"/>
        </w:rPr>
      </w:pPr>
      <w:r w:rsidRPr="005A05EE">
        <w:rPr>
          <w:bCs/>
          <w:shd w:val="clear" w:color="auto" w:fill="FFFFFF"/>
        </w:rPr>
        <w:t xml:space="preserve">Collaborates with the Immunization </w:t>
      </w:r>
      <w:r w:rsidR="00BB3E39">
        <w:rPr>
          <w:bCs/>
          <w:shd w:val="clear" w:color="auto" w:fill="FFFFFF"/>
        </w:rPr>
        <w:t xml:space="preserve">Division </w:t>
      </w:r>
      <w:r w:rsidRPr="005A05EE">
        <w:rPr>
          <w:bCs/>
          <w:shd w:val="clear" w:color="auto" w:fill="FFFFFF"/>
        </w:rPr>
        <w:t xml:space="preserve">and </w:t>
      </w:r>
      <w:r w:rsidR="00BB3E39">
        <w:rPr>
          <w:bCs/>
          <w:shd w:val="clear" w:color="auto" w:fill="FFFFFF"/>
        </w:rPr>
        <w:t xml:space="preserve">the Division of </w:t>
      </w:r>
      <w:r w:rsidRPr="005A05EE">
        <w:rPr>
          <w:bCs/>
          <w:shd w:val="clear" w:color="auto" w:fill="FFFFFF"/>
        </w:rPr>
        <w:t xml:space="preserve">Epidemiology to </w:t>
      </w:r>
      <w:r w:rsidR="00892229">
        <w:rPr>
          <w:bCs/>
          <w:shd w:val="clear" w:color="auto" w:fill="FFFFFF"/>
        </w:rPr>
        <w:t>ensure</w:t>
      </w:r>
      <w:r w:rsidR="00892229" w:rsidRPr="005A05EE">
        <w:rPr>
          <w:bCs/>
          <w:shd w:val="clear" w:color="auto" w:fill="FFFFFF"/>
        </w:rPr>
        <w:t xml:space="preserve"> </w:t>
      </w:r>
      <w:r w:rsidRPr="005A05EE">
        <w:rPr>
          <w:bCs/>
          <w:shd w:val="clear" w:color="auto" w:fill="FFFFFF"/>
        </w:rPr>
        <w:t>infection control in schools; this includes ensuring that students are immunized according to the MDPH requirements, as well as</w:t>
      </w:r>
      <w:r w:rsidR="00241DFD" w:rsidRPr="005A05EE">
        <w:rPr>
          <w:bCs/>
          <w:shd w:val="clear" w:color="auto" w:fill="FFFFFF"/>
        </w:rPr>
        <w:t xml:space="preserve"> responding to and mitigating</w:t>
      </w:r>
      <w:r w:rsidRPr="005A05EE">
        <w:rPr>
          <w:bCs/>
          <w:shd w:val="clear" w:color="auto" w:fill="FFFFFF"/>
        </w:rPr>
        <w:t xml:space="preserve"> </w:t>
      </w:r>
      <w:r w:rsidR="0019002B">
        <w:rPr>
          <w:bCs/>
          <w:shd w:val="clear" w:color="auto" w:fill="FFFFFF"/>
        </w:rPr>
        <w:t>infectious</w:t>
      </w:r>
      <w:r w:rsidRPr="005A05EE">
        <w:rPr>
          <w:bCs/>
          <w:shd w:val="clear" w:color="auto" w:fill="FFFFFF"/>
        </w:rPr>
        <w:t xml:space="preserve"> disease outbreaks in the schools</w:t>
      </w:r>
    </w:p>
    <w:p w14:paraId="58C73363" w14:textId="3D639637" w:rsidR="005A05EE" w:rsidRDefault="008A373F" w:rsidP="001C1C13">
      <w:pPr>
        <w:numPr>
          <w:ilvl w:val="0"/>
          <w:numId w:val="52"/>
        </w:numPr>
        <w:spacing w:after="240"/>
        <w:contextualSpacing/>
        <w:rPr>
          <w:bCs/>
          <w:shd w:val="clear" w:color="auto" w:fill="FFFFFF"/>
        </w:rPr>
      </w:pPr>
      <w:r w:rsidRPr="005A05EE">
        <w:rPr>
          <w:rFonts w:eastAsia="Times New Roman" w:cs="Times New Roman"/>
        </w:rPr>
        <w:t>Assists in developing and/or disseminating health promotion materials to public and nonpublic schools in the Commonwealth</w:t>
      </w:r>
    </w:p>
    <w:p w14:paraId="2235F553" w14:textId="30868A5B" w:rsidR="008A373F" w:rsidRPr="005A05EE" w:rsidRDefault="008A373F" w:rsidP="001C1C13">
      <w:pPr>
        <w:numPr>
          <w:ilvl w:val="0"/>
          <w:numId w:val="52"/>
        </w:numPr>
        <w:spacing w:after="240"/>
        <w:contextualSpacing/>
        <w:rPr>
          <w:bCs/>
          <w:shd w:val="clear" w:color="auto" w:fill="FFFFFF"/>
        </w:rPr>
      </w:pPr>
      <w:r w:rsidRPr="005A05EE">
        <w:rPr>
          <w:rFonts w:eastAsia="Times New Roman" w:cs="Times New Roman"/>
        </w:rPr>
        <w:t xml:space="preserve">Consults on school health issues, both clinical and management, with parents, students, school administrators, school nurses, school physicians, local </w:t>
      </w:r>
      <w:r w:rsidR="00391C72" w:rsidRPr="005A05EE">
        <w:rPr>
          <w:rFonts w:eastAsia="Times New Roman" w:cs="Times New Roman"/>
        </w:rPr>
        <w:t>public health departments</w:t>
      </w:r>
      <w:r w:rsidRPr="005A05EE">
        <w:rPr>
          <w:rFonts w:eastAsia="Times New Roman" w:cs="Times New Roman"/>
        </w:rPr>
        <w:t>, health educators, teachers, counselors, municipal agents, he</w:t>
      </w:r>
      <w:r w:rsidR="00D80982" w:rsidRPr="005A05EE">
        <w:rPr>
          <w:rFonts w:eastAsia="Times New Roman" w:cs="Times New Roman"/>
        </w:rPr>
        <w:t>alth care providers, and others</w:t>
      </w:r>
    </w:p>
    <w:p w14:paraId="0B114513" w14:textId="4F6CCABD" w:rsidR="008A373F" w:rsidRPr="009A25B6" w:rsidRDefault="008A373F" w:rsidP="009A25B6">
      <w:pPr>
        <w:pStyle w:val="Heading4"/>
        <w:rPr>
          <w:sz w:val="24"/>
          <w:szCs w:val="24"/>
        </w:rPr>
      </w:pPr>
      <w:bookmarkStart w:id="238" w:name="_Toc483995667"/>
      <w:bookmarkStart w:id="239" w:name="_Toc483996019"/>
      <w:bookmarkStart w:id="240" w:name="_Toc484606943"/>
      <w:bookmarkStart w:id="241" w:name="_Toc486238564"/>
      <w:bookmarkStart w:id="242" w:name="_Toc486328939"/>
      <w:bookmarkStart w:id="243" w:name="_Toc486407733"/>
      <w:bookmarkStart w:id="244" w:name="_Toc486492333"/>
      <w:bookmarkStart w:id="245" w:name="_Toc486499830"/>
      <w:bookmarkStart w:id="246" w:name="_Toc486501006"/>
      <w:bookmarkStart w:id="247" w:name="_Toc486516466"/>
      <w:bookmarkStart w:id="248" w:name="_Toc486577721"/>
      <w:bookmarkStart w:id="249" w:name="_Toc486578927"/>
      <w:bookmarkStart w:id="250" w:name="_Toc467051308"/>
      <w:bookmarkStart w:id="251" w:name="_Toc467077814"/>
      <w:bookmarkStart w:id="252" w:name="_Toc467256714"/>
      <w:bookmarkStart w:id="253" w:name="_Toc468367190"/>
      <w:bookmarkStart w:id="254" w:name="_Toc470164548"/>
      <w:bookmarkStart w:id="255" w:name="_Toc473721307"/>
      <w:bookmarkStart w:id="256" w:name="_Toc476815762"/>
      <w:bookmarkStart w:id="257" w:name="_Toc477863217"/>
      <w:bookmarkStart w:id="258" w:name="_Toc477863402"/>
      <w:bookmarkStart w:id="259" w:name="_Toc477864015"/>
      <w:bookmarkStart w:id="260" w:name="_Toc477866315"/>
      <w:bookmarkStart w:id="261" w:name="_Toc480546359"/>
      <w:bookmarkStart w:id="262" w:name="_Toc481758998"/>
      <w:bookmarkStart w:id="263" w:name="_Toc482792837"/>
      <w:bookmarkStart w:id="264" w:name="_Toc482792993"/>
      <w:bookmarkStart w:id="265" w:name="_Toc482793314"/>
      <w:bookmarkStart w:id="266" w:name="_Toc356762286"/>
      <w:bookmarkStart w:id="267" w:name="_Toc483566881"/>
      <w:r w:rsidRPr="009A25B6">
        <w:rPr>
          <w:sz w:val="24"/>
          <w:szCs w:val="24"/>
        </w:rPr>
        <w:t>Department of Mental Health</w:t>
      </w:r>
      <w:bookmarkEnd w:id="238"/>
      <w:bookmarkEnd w:id="239"/>
      <w:bookmarkEnd w:id="240"/>
      <w:bookmarkEnd w:id="241"/>
      <w:bookmarkEnd w:id="242"/>
      <w:bookmarkEnd w:id="243"/>
      <w:bookmarkEnd w:id="244"/>
      <w:bookmarkEnd w:id="245"/>
      <w:bookmarkEnd w:id="246"/>
      <w:bookmarkEnd w:id="247"/>
      <w:bookmarkEnd w:id="248"/>
      <w:bookmarkEnd w:id="249"/>
      <w:r w:rsidRPr="009A25B6">
        <w:rPr>
          <w:sz w:val="24"/>
          <w:szCs w:val="24"/>
        </w:rPr>
        <w:t xml:space="preserve"> </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r w:rsidR="008463E9" w:rsidRPr="009A25B6">
        <w:rPr>
          <w:sz w:val="24"/>
          <w:szCs w:val="24"/>
        </w:rPr>
        <w:t>(DMH)</w:t>
      </w:r>
    </w:p>
    <w:p w14:paraId="2C8D46F1" w14:textId="34769EC0" w:rsidR="008A373F" w:rsidRDefault="008A373F" w:rsidP="00050DCF">
      <w:pPr>
        <w:pStyle w:val="ListParagraph"/>
        <w:numPr>
          <w:ilvl w:val="0"/>
          <w:numId w:val="10"/>
        </w:numPr>
        <w:jc w:val="both"/>
      </w:pPr>
      <w:r>
        <w:t xml:space="preserve">Coordinates resources to provide </w:t>
      </w:r>
      <w:r w:rsidR="008463E9">
        <w:t>behavioral health support</w:t>
      </w:r>
      <w:r>
        <w:t xml:space="preserve"> services to impacted populations and affected members of the general public, as needed</w:t>
      </w:r>
    </w:p>
    <w:p w14:paraId="42E7628B" w14:textId="45B4EF7C" w:rsidR="008A373F" w:rsidRDefault="008A373F" w:rsidP="00050DCF">
      <w:pPr>
        <w:pStyle w:val="ListParagraph"/>
        <w:numPr>
          <w:ilvl w:val="0"/>
          <w:numId w:val="10"/>
        </w:numPr>
        <w:jc w:val="both"/>
      </w:pPr>
      <w:r>
        <w:t>Assists in arranging Critical Incident Stress Management (CISM) services for first responders, as needed</w:t>
      </w:r>
    </w:p>
    <w:p w14:paraId="41BC43EA" w14:textId="495449AE" w:rsidR="008A373F" w:rsidRDefault="008A373F" w:rsidP="00050DCF">
      <w:pPr>
        <w:pStyle w:val="ListParagraph"/>
        <w:numPr>
          <w:ilvl w:val="0"/>
          <w:numId w:val="10"/>
        </w:numPr>
        <w:jc w:val="both"/>
      </w:pPr>
      <w:r>
        <w:t>Provides and/or support</w:t>
      </w:r>
      <w:r w:rsidR="00BB3E39">
        <w:t>s</w:t>
      </w:r>
      <w:r>
        <w:t xml:space="preserve"> Disaster Behavioral Health training for volunteer clinicians and supp</w:t>
      </w:r>
      <w:r w:rsidR="00897EE9">
        <w:t>ort</w:t>
      </w:r>
      <w:r w:rsidR="00BB3E39">
        <w:t>s</w:t>
      </w:r>
      <w:r w:rsidR="00897EE9">
        <w:t xml:space="preserve"> staff willing to respond</w:t>
      </w:r>
      <w:r>
        <w:t xml:space="preserve"> to disasters</w:t>
      </w:r>
    </w:p>
    <w:p w14:paraId="6E86448B" w14:textId="6BAAC3B0" w:rsidR="008A373F" w:rsidRDefault="008A373F" w:rsidP="00050DCF">
      <w:pPr>
        <w:pStyle w:val="ListParagraph"/>
        <w:numPr>
          <w:ilvl w:val="0"/>
          <w:numId w:val="10"/>
        </w:numPr>
        <w:jc w:val="both"/>
      </w:pPr>
      <w:r>
        <w:t>Maintains a roster of trained crisis counselors</w:t>
      </w:r>
    </w:p>
    <w:p w14:paraId="30006ED9" w14:textId="2664686A" w:rsidR="008A373F" w:rsidRPr="009A25B6" w:rsidRDefault="008A373F" w:rsidP="009A25B6">
      <w:pPr>
        <w:pStyle w:val="Heading4"/>
        <w:rPr>
          <w:sz w:val="24"/>
          <w:szCs w:val="24"/>
        </w:rPr>
      </w:pPr>
      <w:bookmarkStart w:id="268" w:name="_Toc483995668"/>
      <w:bookmarkStart w:id="269" w:name="_Toc483996020"/>
      <w:bookmarkStart w:id="270" w:name="_Toc484606944"/>
      <w:bookmarkStart w:id="271" w:name="_Toc486407735"/>
      <w:bookmarkStart w:id="272" w:name="_Toc486492335"/>
      <w:bookmarkStart w:id="273" w:name="_Toc486499832"/>
      <w:bookmarkStart w:id="274" w:name="_Toc486501008"/>
      <w:bookmarkStart w:id="275" w:name="_Toc486516468"/>
      <w:bookmarkStart w:id="276" w:name="_Toc486577723"/>
      <w:bookmarkStart w:id="277" w:name="_Toc486578929"/>
      <w:bookmarkStart w:id="278" w:name="_Toc467051310"/>
      <w:bookmarkStart w:id="279" w:name="_Toc467077816"/>
      <w:bookmarkStart w:id="280" w:name="_Toc467256716"/>
      <w:bookmarkStart w:id="281" w:name="_Toc468367192"/>
      <w:bookmarkStart w:id="282" w:name="_Toc470164550"/>
      <w:bookmarkStart w:id="283" w:name="_Toc473721309"/>
      <w:bookmarkStart w:id="284" w:name="_Toc476815763"/>
      <w:bookmarkStart w:id="285" w:name="_Toc477863218"/>
      <w:bookmarkStart w:id="286" w:name="_Toc477863403"/>
      <w:bookmarkStart w:id="287" w:name="_Toc477864016"/>
      <w:bookmarkStart w:id="288" w:name="_Toc477866316"/>
      <w:bookmarkStart w:id="289" w:name="_Toc480546361"/>
      <w:bookmarkStart w:id="290" w:name="_Toc481759000"/>
      <w:bookmarkStart w:id="291" w:name="_Toc482792838"/>
      <w:bookmarkStart w:id="292" w:name="_Toc482792994"/>
      <w:bookmarkStart w:id="293" w:name="_Toc482793315"/>
      <w:bookmarkStart w:id="294" w:name="_Toc356762287"/>
      <w:bookmarkStart w:id="295" w:name="_Toc483566882"/>
      <w:bookmarkStart w:id="296" w:name="_Toc486238565"/>
      <w:bookmarkStart w:id="297" w:name="_Toc486328940"/>
      <w:r w:rsidRPr="009A25B6">
        <w:rPr>
          <w:sz w:val="24"/>
          <w:szCs w:val="24"/>
        </w:rPr>
        <w:t xml:space="preserve">Massachusetts Emergency Management </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r w:rsidR="009A25B6" w:rsidRPr="009A25B6">
        <w:rPr>
          <w:sz w:val="24"/>
          <w:szCs w:val="24"/>
        </w:rPr>
        <w:t>Agency (</w:t>
      </w:r>
      <w:r w:rsidR="008463E9" w:rsidRPr="009A25B6">
        <w:rPr>
          <w:sz w:val="24"/>
          <w:szCs w:val="24"/>
        </w:rPr>
        <w:t>MEMA)</w:t>
      </w:r>
    </w:p>
    <w:p w14:paraId="1BA95978" w14:textId="11222B4E" w:rsidR="008A373F" w:rsidRDefault="00744FC1" w:rsidP="00050DCF">
      <w:pPr>
        <w:pStyle w:val="ListParagraph"/>
        <w:numPr>
          <w:ilvl w:val="0"/>
          <w:numId w:val="11"/>
        </w:numPr>
        <w:jc w:val="both"/>
      </w:pPr>
      <w:r>
        <w:t xml:space="preserve">Activates the </w:t>
      </w:r>
      <w:r w:rsidR="008A373F">
        <w:t>SEOC</w:t>
      </w:r>
      <w:r w:rsidR="003F3B90">
        <w:t xml:space="preserve"> and</w:t>
      </w:r>
      <w:r>
        <w:t xml:space="preserve"> ESFs</w:t>
      </w:r>
      <w:r w:rsidR="008A373F">
        <w:t xml:space="preserve"> as required to support state response activities</w:t>
      </w:r>
    </w:p>
    <w:p w14:paraId="4ADA13E1" w14:textId="66E40642" w:rsidR="008A373F" w:rsidRDefault="008A373F" w:rsidP="00050DCF">
      <w:pPr>
        <w:pStyle w:val="ListParagraph"/>
        <w:numPr>
          <w:ilvl w:val="0"/>
          <w:numId w:val="11"/>
        </w:numPr>
        <w:jc w:val="both"/>
      </w:pPr>
      <w:r>
        <w:t>Supports the dissemination of public health messaging to emergency manage</w:t>
      </w:r>
      <w:r w:rsidR="005A05EE">
        <w:t>ment and public safety partners</w:t>
      </w:r>
    </w:p>
    <w:p w14:paraId="0A597ABD" w14:textId="54D0F149" w:rsidR="008A373F" w:rsidRDefault="008A373F" w:rsidP="00050DCF">
      <w:pPr>
        <w:pStyle w:val="ListParagraph"/>
        <w:numPr>
          <w:ilvl w:val="0"/>
          <w:numId w:val="11"/>
        </w:numPr>
        <w:jc w:val="both"/>
      </w:pPr>
      <w:r>
        <w:t>Coordinates the support and involvement of Mass 2-1-1 in public information efforts</w:t>
      </w:r>
    </w:p>
    <w:p w14:paraId="25C66241" w14:textId="6EC55928" w:rsidR="008A373F" w:rsidRDefault="008A373F" w:rsidP="00050DCF">
      <w:pPr>
        <w:pStyle w:val="ListParagraph"/>
        <w:numPr>
          <w:ilvl w:val="0"/>
          <w:numId w:val="11"/>
        </w:numPr>
        <w:jc w:val="both"/>
      </w:pPr>
      <w:r>
        <w:t xml:space="preserve">Coordinates with MDPH and the Governor’s Office regarding declaration of emergency as required </w:t>
      </w:r>
    </w:p>
    <w:p w14:paraId="46B416ED" w14:textId="23FA32FE" w:rsidR="008A373F" w:rsidRDefault="008A373F" w:rsidP="00050DCF">
      <w:pPr>
        <w:pStyle w:val="ListParagraph"/>
        <w:numPr>
          <w:ilvl w:val="0"/>
          <w:numId w:val="11"/>
        </w:numPr>
        <w:jc w:val="both"/>
      </w:pPr>
      <w:r>
        <w:t>As required, drafts the Governor’s Emergency Declaration, and coordinate with MDPH to determine emergency orders/directives/measures that may be needed to be included in the Declaration</w:t>
      </w:r>
    </w:p>
    <w:p w14:paraId="05E06E99" w14:textId="5082FD7C" w:rsidR="008A373F" w:rsidRDefault="00085A1D" w:rsidP="00050DCF">
      <w:pPr>
        <w:pStyle w:val="ListParagraph"/>
        <w:numPr>
          <w:ilvl w:val="0"/>
          <w:numId w:val="11"/>
        </w:numPr>
        <w:jc w:val="both"/>
      </w:pPr>
      <w:r>
        <w:t>C</w:t>
      </w:r>
      <w:r w:rsidR="008A373F">
        <w:t xml:space="preserve">oordinates resource support from other states through </w:t>
      </w:r>
      <w:r w:rsidR="0066728E">
        <w:t>the Emergency Management Assistance Compact (</w:t>
      </w:r>
      <w:r w:rsidR="008A373F">
        <w:t>EMAC</w:t>
      </w:r>
      <w:r w:rsidR="0066728E">
        <w:t>)</w:t>
      </w:r>
      <w:r w:rsidR="008A373F">
        <w:t xml:space="preserve"> or</w:t>
      </w:r>
      <w:r w:rsidR="0066728E">
        <w:t xml:space="preserve"> International Emergency Management Assistance Com</w:t>
      </w:r>
      <w:r w:rsidR="0059164C">
        <w:t>p</w:t>
      </w:r>
      <w:r w:rsidR="0066728E">
        <w:t>act (</w:t>
      </w:r>
      <w:r w:rsidR="008A373F">
        <w:t>IEMAC</w:t>
      </w:r>
      <w:r w:rsidR="0066728E">
        <w:t>)</w:t>
      </w:r>
      <w:r w:rsidR="008A373F">
        <w:t xml:space="preserve"> </w:t>
      </w:r>
    </w:p>
    <w:p w14:paraId="0DFF97A9" w14:textId="4C435543" w:rsidR="008A373F" w:rsidRDefault="00085A1D" w:rsidP="00050DCF">
      <w:pPr>
        <w:pStyle w:val="ListParagraph"/>
        <w:numPr>
          <w:ilvl w:val="0"/>
          <w:numId w:val="11"/>
        </w:numPr>
        <w:jc w:val="both"/>
      </w:pPr>
      <w:r>
        <w:t>C</w:t>
      </w:r>
      <w:r w:rsidR="008A373F">
        <w:t>oordinates resource support from the federal government in coordination with FEMA</w:t>
      </w:r>
    </w:p>
    <w:p w14:paraId="776C89C6" w14:textId="5FB8193B" w:rsidR="008A373F" w:rsidRPr="009A25B6" w:rsidRDefault="008A373F" w:rsidP="009A25B6">
      <w:pPr>
        <w:pStyle w:val="Heading4"/>
        <w:rPr>
          <w:sz w:val="24"/>
          <w:szCs w:val="24"/>
        </w:rPr>
      </w:pPr>
      <w:bookmarkStart w:id="298" w:name="_Toc483995669"/>
      <w:bookmarkStart w:id="299" w:name="_Toc483996021"/>
      <w:bookmarkStart w:id="300" w:name="_Toc484606945"/>
      <w:bookmarkStart w:id="301" w:name="_Toc486238566"/>
      <w:bookmarkStart w:id="302" w:name="_Toc486328941"/>
      <w:bookmarkStart w:id="303" w:name="_Toc486407736"/>
      <w:bookmarkStart w:id="304" w:name="_Toc486492336"/>
      <w:bookmarkStart w:id="305" w:name="_Toc486499833"/>
      <w:bookmarkStart w:id="306" w:name="_Toc486501009"/>
      <w:bookmarkStart w:id="307" w:name="_Toc486516469"/>
      <w:bookmarkStart w:id="308" w:name="_Toc486577724"/>
      <w:bookmarkStart w:id="309" w:name="_Toc486578930"/>
      <w:bookmarkStart w:id="310" w:name="_Toc467051311"/>
      <w:bookmarkStart w:id="311" w:name="_Toc467077817"/>
      <w:bookmarkStart w:id="312" w:name="_Toc467256717"/>
      <w:bookmarkStart w:id="313" w:name="_Toc468367193"/>
      <w:bookmarkStart w:id="314" w:name="_Toc470164551"/>
      <w:bookmarkStart w:id="315" w:name="_Toc473721310"/>
      <w:bookmarkStart w:id="316" w:name="_Toc476815764"/>
      <w:bookmarkStart w:id="317" w:name="_Toc477863219"/>
      <w:bookmarkStart w:id="318" w:name="_Toc477863404"/>
      <w:bookmarkStart w:id="319" w:name="_Toc477864017"/>
      <w:bookmarkStart w:id="320" w:name="_Toc477866317"/>
      <w:bookmarkStart w:id="321" w:name="_Toc480546362"/>
      <w:bookmarkStart w:id="322" w:name="_Toc481759001"/>
      <w:bookmarkStart w:id="323" w:name="_Toc482792839"/>
      <w:bookmarkStart w:id="324" w:name="_Toc482792995"/>
      <w:bookmarkStart w:id="325" w:name="_Toc482793316"/>
      <w:bookmarkStart w:id="326" w:name="_Toc356762288"/>
      <w:bookmarkStart w:id="327" w:name="_Toc483566883"/>
      <w:r w:rsidRPr="009A25B6">
        <w:rPr>
          <w:sz w:val="24"/>
          <w:szCs w:val="24"/>
        </w:rPr>
        <w:lastRenderedPageBreak/>
        <w:t>Office of the Chief Medical Examiner</w:t>
      </w:r>
      <w:bookmarkEnd w:id="298"/>
      <w:bookmarkEnd w:id="299"/>
      <w:bookmarkEnd w:id="300"/>
      <w:bookmarkEnd w:id="301"/>
      <w:bookmarkEnd w:id="302"/>
      <w:bookmarkEnd w:id="303"/>
      <w:bookmarkEnd w:id="304"/>
      <w:bookmarkEnd w:id="305"/>
      <w:bookmarkEnd w:id="306"/>
      <w:bookmarkEnd w:id="307"/>
      <w:bookmarkEnd w:id="308"/>
      <w:bookmarkEnd w:id="309"/>
      <w:r w:rsidR="008463E9" w:rsidRPr="009A25B6">
        <w:rPr>
          <w:sz w:val="24"/>
          <w:szCs w:val="24"/>
        </w:rPr>
        <w:t xml:space="preserve"> (OCME)</w:t>
      </w:r>
      <w:r w:rsidRPr="009A25B6">
        <w:rPr>
          <w:sz w:val="24"/>
          <w:szCs w:val="24"/>
        </w:rPr>
        <w:t xml:space="preserve"> </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14:paraId="19EE6885" w14:textId="0EE7C803" w:rsidR="008A373F" w:rsidRDefault="008A373F" w:rsidP="00050DCF">
      <w:pPr>
        <w:pStyle w:val="ListParagraph"/>
        <w:numPr>
          <w:ilvl w:val="0"/>
          <w:numId w:val="14"/>
        </w:numPr>
        <w:tabs>
          <w:tab w:val="left" w:pos="1440"/>
        </w:tabs>
        <w:jc w:val="both"/>
      </w:pPr>
      <w:r>
        <w:t>In</w:t>
      </w:r>
      <w:r w:rsidR="00DE0A51">
        <w:t>vestigates instances of</w:t>
      </w:r>
      <w:r>
        <w:t xml:space="preserve"> deaths due to unknown illness in consultation with MDPH </w:t>
      </w:r>
    </w:p>
    <w:p w14:paraId="6A2C65E5" w14:textId="6CF0CBB7" w:rsidR="008A373F" w:rsidRDefault="008A373F" w:rsidP="00050DCF">
      <w:pPr>
        <w:pStyle w:val="ListParagraph"/>
        <w:numPr>
          <w:ilvl w:val="0"/>
          <w:numId w:val="14"/>
        </w:numPr>
        <w:jc w:val="both"/>
      </w:pPr>
      <w:r>
        <w:t xml:space="preserve">Submits specimens to the </w:t>
      </w:r>
      <w:r w:rsidR="008F4E73">
        <w:t>MA</w:t>
      </w:r>
      <w:r w:rsidR="00BB3E39">
        <w:t xml:space="preserve"> </w:t>
      </w:r>
      <w:r w:rsidR="008F4E73">
        <w:t>SPHL</w:t>
      </w:r>
      <w:r>
        <w:t xml:space="preserve"> for analysis, as requested</w:t>
      </w:r>
    </w:p>
    <w:p w14:paraId="444DE925" w14:textId="6CC42742" w:rsidR="00DA4C79" w:rsidRDefault="008A373F" w:rsidP="00050DCF">
      <w:pPr>
        <w:pStyle w:val="ListParagraph"/>
        <w:numPr>
          <w:ilvl w:val="0"/>
          <w:numId w:val="14"/>
        </w:numPr>
        <w:jc w:val="both"/>
      </w:pPr>
      <w:r>
        <w:t xml:space="preserve">Accepts and processes all deaths due to suspected bioterrorism event, and coordinates with </w:t>
      </w:r>
      <w:r w:rsidR="00744FC1">
        <w:t xml:space="preserve">the </w:t>
      </w:r>
      <w:r>
        <w:t>E</w:t>
      </w:r>
      <w:r w:rsidR="00744FC1">
        <w:t xml:space="preserve">xecutive </w:t>
      </w:r>
      <w:r>
        <w:t>O</w:t>
      </w:r>
      <w:r w:rsidR="00744FC1">
        <w:t xml:space="preserve">ffice of </w:t>
      </w:r>
      <w:r>
        <w:t>P</w:t>
      </w:r>
      <w:r w:rsidR="00744FC1">
        <w:t xml:space="preserve">ublic </w:t>
      </w:r>
      <w:r>
        <w:t>S</w:t>
      </w:r>
      <w:r w:rsidR="00744FC1">
        <w:t xml:space="preserve">afety and </w:t>
      </w:r>
      <w:r>
        <w:t>S</w:t>
      </w:r>
      <w:r w:rsidR="00744FC1">
        <w:t>ecurity (EOPSS)</w:t>
      </w:r>
    </w:p>
    <w:p w14:paraId="7BF5F9F1" w14:textId="1DF54B1F" w:rsidR="000336B3" w:rsidRPr="000F4E86" w:rsidRDefault="000336B3" w:rsidP="001C1C13">
      <w:pPr>
        <w:pStyle w:val="Heading2"/>
        <w:numPr>
          <w:ilvl w:val="1"/>
          <w:numId w:val="60"/>
        </w:numPr>
      </w:pPr>
      <w:bookmarkStart w:id="328" w:name="_Toc476815751"/>
      <w:bookmarkStart w:id="329" w:name="_Toc477863411"/>
      <w:bookmarkStart w:id="330" w:name="_Toc477864024"/>
      <w:bookmarkStart w:id="331" w:name="_Toc477866324"/>
      <w:bookmarkStart w:id="332" w:name="_Toc480546371"/>
      <w:bookmarkStart w:id="333" w:name="_Toc481759010"/>
      <w:bookmarkStart w:id="334" w:name="_Toc482792840"/>
      <w:bookmarkStart w:id="335" w:name="_Toc482792996"/>
      <w:bookmarkStart w:id="336" w:name="_Toc482793317"/>
      <w:bookmarkStart w:id="337" w:name="_Toc356762289"/>
      <w:bookmarkStart w:id="338" w:name="_Toc483566884"/>
      <w:bookmarkStart w:id="339" w:name="_Toc31622998"/>
      <w:r w:rsidRPr="000F4E86">
        <w:t xml:space="preserve">Federal </w:t>
      </w:r>
      <w:bookmarkEnd w:id="328"/>
      <w:bookmarkEnd w:id="329"/>
      <w:bookmarkEnd w:id="330"/>
      <w:bookmarkEnd w:id="331"/>
      <w:bookmarkEnd w:id="332"/>
      <w:bookmarkEnd w:id="333"/>
      <w:r w:rsidR="007A080B" w:rsidRPr="000F4E86">
        <w:t>Organizations</w:t>
      </w:r>
      <w:bookmarkEnd w:id="334"/>
      <w:bookmarkEnd w:id="335"/>
      <w:bookmarkEnd w:id="336"/>
      <w:bookmarkEnd w:id="337"/>
      <w:bookmarkEnd w:id="338"/>
      <w:bookmarkEnd w:id="339"/>
    </w:p>
    <w:p w14:paraId="26829A06" w14:textId="77777777" w:rsidR="000336B3" w:rsidRDefault="000336B3" w:rsidP="000336B3">
      <w:pPr>
        <w:jc w:val="both"/>
      </w:pPr>
      <w:r>
        <w:t xml:space="preserve">In the event that an infectious disease emergency overwhelms local, tribal, and state resources, or is particularly virulent, federal assets may be requested or provided. Federal agencies and their areas of specialty are listed below: </w:t>
      </w:r>
    </w:p>
    <w:p w14:paraId="045F62CF" w14:textId="34ACC72C" w:rsidR="000336B3" w:rsidRPr="009A25B6" w:rsidRDefault="000336B3" w:rsidP="009A25B6">
      <w:pPr>
        <w:pStyle w:val="Heading4"/>
        <w:rPr>
          <w:sz w:val="24"/>
          <w:szCs w:val="24"/>
        </w:rPr>
      </w:pPr>
      <w:bookmarkStart w:id="340" w:name="_Toc483995672"/>
      <w:bookmarkStart w:id="341" w:name="_Toc483996024"/>
      <w:bookmarkStart w:id="342" w:name="_Toc484606948"/>
      <w:bookmarkStart w:id="343" w:name="_Toc486238569"/>
      <w:bookmarkStart w:id="344" w:name="_Toc486328944"/>
      <w:bookmarkStart w:id="345" w:name="_Toc486407739"/>
      <w:bookmarkStart w:id="346" w:name="_Toc486492339"/>
      <w:bookmarkStart w:id="347" w:name="_Toc486499836"/>
      <w:bookmarkStart w:id="348" w:name="_Toc486501012"/>
      <w:bookmarkStart w:id="349" w:name="_Toc486516472"/>
      <w:bookmarkStart w:id="350" w:name="_Toc486577727"/>
      <w:bookmarkStart w:id="351" w:name="_Toc486578933"/>
      <w:r w:rsidRPr="009A25B6">
        <w:rPr>
          <w:sz w:val="24"/>
          <w:szCs w:val="24"/>
        </w:rPr>
        <w:t>Office of the Assistant Secretary for Preparedness and Response</w:t>
      </w:r>
      <w:bookmarkEnd w:id="340"/>
      <w:bookmarkEnd w:id="341"/>
      <w:bookmarkEnd w:id="342"/>
      <w:bookmarkEnd w:id="343"/>
      <w:bookmarkEnd w:id="344"/>
      <w:bookmarkEnd w:id="345"/>
      <w:bookmarkEnd w:id="346"/>
      <w:bookmarkEnd w:id="347"/>
      <w:bookmarkEnd w:id="348"/>
      <w:bookmarkEnd w:id="349"/>
      <w:bookmarkEnd w:id="350"/>
      <w:bookmarkEnd w:id="351"/>
      <w:r w:rsidR="008463E9" w:rsidRPr="009A25B6">
        <w:rPr>
          <w:sz w:val="24"/>
          <w:szCs w:val="24"/>
        </w:rPr>
        <w:t xml:space="preserve"> (ASPR)</w:t>
      </w:r>
      <w:r w:rsidRPr="009A25B6">
        <w:rPr>
          <w:sz w:val="24"/>
          <w:szCs w:val="24"/>
        </w:rPr>
        <w:t xml:space="preserve"> </w:t>
      </w:r>
    </w:p>
    <w:p w14:paraId="5A5E4530" w14:textId="5B08264D" w:rsidR="000336B3" w:rsidRDefault="000336B3" w:rsidP="000336B3">
      <w:pPr>
        <w:jc w:val="both"/>
      </w:pPr>
      <w:r>
        <w:t xml:space="preserve">During an infectious disease emergency, ASPR provides federal support, including medical professionals through the National Disaster Medical System (NDMS), to augment state and local capabilities. NDMS Response Teams most commonly consist of Disaster Medical Assistance Teams (DMATs) and Disaster Mortuary Operational Response Teams (DMORTs).  During normal operations, </w:t>
      </w:r>
      <w:r w:rsidR="00762548">
        <w:t>ASPR</w:t>
      </w:r>
      <w:r>
        <w:t xml:space="preserve"> coordinates preparedness planning for public health and healthcare systems nationwide.</w:t>
      </w:r>
      <w:r w:rsidR="008463E9">
        <w:t xml:space="preserve"> ASPR also manages the federal Division of Strategic National Stockpile (SNS).</w:t>
      </w:r>
    </w:p>
    <w:p w14:paraId="6D911FCC" w14:textId="3D5B996E" w:rsidR="000336B3" w:rsidRPr="009A25B6" w:rsidRDefault="000336B3" w:rsidP="009A25B6">
      <w:pPr>
        <w:pStyle w:val="Heading4"/>
        <w:rPr>
          <w:sz w:val="24"/>
          <w:szCs w:val="24"/>
        </w:rPr>
      </w:pPr>
      <w:bookmarkStart w:id="352" w:name="_Toc483995673"/>
      <w:bookmarkStart w:id="353" w:name="_Toc483996025"/>
      <w:bookmarkStart w:id="354" w:name="_Toc484606949"/>
      <w:bookmarkStart w:id="355" w:name="_Toc486238570"/>
      <w:bookmarkStart w:id="356" w:name="_Toc486328945"/>
      <w:bookmarkStart w:id="357" w:name="_Toc486407740"/>
      <w:bookmarkStart w:id="358" w:name="_Toc486492340"/>
      <w:bookmarkStart w:id="359" w:name="_Toc486499837"/>
      <w:bookmarkStart w:id="360" w:name="_Toc486501013"/>
      <w:bookmarkStart w:id="361" w:name="_Toc486516473"/>
      <w:bookmarkStart w:id="362" w:name="_Toc486577728"/>
      <w:bookmarkStart w:id="363" w:name="_Toc486578934"/>
      <w:r w:rsidRPr="009A25B6">
        <w:rPr>
          <w:sz w:val="24"/>
          <w:szCs w:val="24"/>
        </w:rPr>
        <w:t xml:space="preserve">Centers for Disease Control and </w:t>
      </w:r>
      <w:bookmarkEnd w:id="352"/>
      <w:bookmarkEnd w:id="353"/>
      <w:bookmarkEnd w:id="354"/>
      <w:bookmarkEnd w:id="355"/>
      <w:bookmarkEnd w:id="356"/>
      <w:bookmarkEnd w:id="357"/>
      <w:bookmarkEnd w:id="358"/>
      <w:bookmarkEnd w:id="359"/>
      <w:bookmarkEnd w:id="360"/>
      <w:bookmarkEnd w:id="361"/>
      <w:bookmarkEnd w:id="362"/>
      <w:bookmarkEnd w:id="363"/>
      <w:r w:rsidR="004914F9" w:rsidRPr="009A25B6">
        <w:rPr>
          <w:sz w:val="24"/>
          <w:szCs w:val="24"/>
        </w:rPr>
        <w:t>Prevention (CDC)</w:t>
      </w:r>
    </w:p>
    <w:p w14:paraId="737DBB62" w14:textId="6056B9E5" w:rsidR="000336B3" w:rsidRDefault="000336B3" w:rsidP="000336B3">
      <w:pPr>
        <w:jc w:val="both"/>
      </w:pPr>
      <w:r>
        <w:t>The CDC has a major role in protecting the public from biological or chemical threats. As part of this mission, the CDC</w:t>
      </w:r>
      <w:r w:rsidR="004914F9">
        <w:t xml:space="preserve"> provides guidance and directives to state and local communities during emergencies, as needed, based on the incident.</w:t>
      </w:r>
      <w:r w:rsidR="0068006A">
        <w:t xml:space="preserve"> MDPH reports core surveillance data to CDC routinely which would be expanded during an emergency.</w:t>
      </w:r>
      <w:r w:rsidR="004914F9">
        <w:t xml:space="preserve"> </w:t>
      </w:r>
    </w:p>
    <w:p w14:paraId="705DC9C4" w14:textId="77777777" w:rsidR="000336B3" w:rsidRPr="009A25B6" w:rsidRDefault="000336B3" w:rsidP="009A25B6">
      <w:pPr>
        <w:pStyle w:val="Heading4"/>
        <w:rPr>
          <w:sz w:val="24"/>
          <w:szCs w:val="24"/>
        </w:rPr>
      </w:pPr>
      <w:bookmarkStart w:id="364" w:name="_Toc486492341"/>
      <w:bookmarkStart w:id="365" w:name="_Toc486499838"/>
      <w:bookmarkStart w:id="366" w:name="_Toc486501014"/>
      <w:bookmarkStart w:id="367" w:name="_Toc486516474"/>
      <w:bookmarkStart w:id="368" w:name="_Toc486577729"/>
      <w:bookmarkStart w:id="369" w:name="_Toc486578935"/>
      <w:r w:rsidRPr="009A25B6">
        <w:rPr>
          <w:sz w:val="24"/>
          <w:szCs w:val="24"/>
        </w:rPr>
        <w:t>Substance Abuse and Mental Health Services Administration (SAMHSA)</w:t>
      </w:r>
      <w:bookmarkEnd w:id="364"/>
      <w:bookmarkEnd w:id="365"/>
      <w:bookmarkEnd w:id="366"/>
      <w:bookmarkEnd w:id="367"/>
      <w:bookmarkEnd w:id="368"/>
      <w:bookmarkEnd w:id="369"/>
    </w:p>
    <w:p w14:paraId="5912496E" w14:textId="29059E6D" w:rsidR="000336B3" w:rsidRDefault="000336B3" w:rsidP="000336B3">
      <w:r>
        <w:t xml:space="preserve">Infectious disease emergencies are likely to cause feelings of anxiety or stress in the public, particularly when little is known about the disease. SAMHSA leads efforts to advance the </w:t>
      </w:r>
      <w:r w:rsidR="00701271">
        <w:t>behavioral health of the nation and</w:t>
      </w:r>
      <w:r>
        <w:t xml:space="preserve"> provides information and services to support communities and individuals that may be impacted by an infectious disease emergency. </w:t>
      </w:r>
    </w:p>
    <w:p w14:paraId="70DB92F7" w14:textId="2F221C16" w:rsidR="000336B3" w:rsidRPr="009A25B6" w:rsidRDefault="000336B3" w:rsidP="009A25B6">
      <w:pPr>
        <w:pStyle w:val="Heading4"/>
        <w:rPr>
          <w:sz w:val="24"/>
          <w:szCs w:val="24"/>
        </w:rPr>
      </w:pPr>
      <w:bookmarkStart w:id="370" w:name="_Toc483995674"/>
      <w:bookmarkStart w:id="371" w:name="_Toc483996026"/>
      <w:bookmarkStart w:id="372" w:name="_Toc484606950"/>
      <w:bookmarkStart w:id="373" w:name="_Toc486238571"/>
      <w:bookmarkStart w:id="374" w:name="_Toc486328946"/>
      <w:bookmarkStart w:id="375" w:name="_Toc486407741"/>
      <w:bookmarkStart w:id="376" w:name="_Toc486492343"/>
      <w:bookmarkStart w:id="377" w:name="_Toc486499840"/>
      <w:bookmarkStart w:id="378" w:name="_Toc486501016"/>
      <w:bookmarkStart w:id="379" w:name="_Toc486516476"/>
      <w:bookmarkStart w:id="380" w:name="_Toc486577731"/>
      <w:bookmarkStart w:id="381" w:name="_Toc486578937"/>
      <w:bookmarkStart w:id="382" w:name="_Toc480546373"/>
      <w:bookmarkStart w:id="383" w:name="_Toc481759012"/>
      <w:bookmarkStart w:id="384" w:name="_Toc482792842"/>
      <w:bookmarkStart w:id="385" w:name="_Toc482792998"/>
      <w:bookmarkStart w:id="386" w:name="_Toc482793319"/>
      <w:bookmarkStart w:id="387" w:name="_Toc356762291"/>
      <w:bookmarkStart w:id="388" w:name="_Toc483566886"/>
      <w:r w:rsidRPr="009A25B6">
        <w:rPr>
          <w:sz w:val="24"/>
          <w:szCs w:val="24"/>
        </w:rPr>
        <w:t>Federal Emergency Management Agency</w:t>
      </w:r>
      <w:bookmarkEnd w:id="370"/>
      <w:bookmarkEnd w:id="371"/>
      <w:bookmarkEnd w:id="372"/>
      <w:bookmarkEnd w:id="373"/>
      <w:bookmarkEnd w:id="374"/>
      <w:bookmarkEnd w:id="375"/>
      <w:bookmarkEnd w:id="376"/>
      <w:bookmarkEnd w:id="377"/>
      <w:bookmarkEnd w:id="378"/>
      <w:bookmarkEnd w:id="379"/>
      <w:bookmarkEnd w:id="380"/>
      <w:bookmarkEnd w:id="381"/>
      <w:r w:rsidRPr="009A25B6">
        <w:rPr>
          <w:sz w:val="24"/>
          <w:szCs w:val="24"/>
        </w:rPr>
        <w:t xml:space="preserve"> </w:t>
      </w:r>
      <w:bookmarkEnd w:id="382"/>
      <w:bookmarkEnd w:id="383"/>
      <w:bookmarkEnd w:id="384"/>
      <w:bookmarkEnd w:id="385"/>
      <w:bookmarkEnd w:id="386"/>
      <w:bookmarkEnd w:id="387"/>
      <w:bookmarkEnd w:id="388"/>
      <w:r w:rsidR="004914F9" w:rsidRPr="009A25B6">
        <w:rPr>
          <w:sz w:val="24"/>
          <w:szCs w:val="24"/>
        </w:rPr>
        <w:t>(FEMA)</w:t>
      </w:r>
    </w:p>
    <w:p w14:paraId="32A20A56" w14:textId="79CE4F2E" w:rsidR="000336B3" w:rsidRDefault="000336B3" w:rsidP="000336B3">
      <w:pPr>
        <w:jc w:val="both"/>
      </w:pPr>
      <w:r w:rsidRPr="00BC589B">
        <w:t xml:space="preserve">FEMA </w:t>
      </w:r>
      <w:r>
        <w:t>support</w:t>
      </w:r>
      <w:r w:rsidR="00EB546C">
        <w:t>s</w:t>
      </w:r>
      <w:r>
        <w:t xml:space="preserve"> citizens and first responders by coordinating the response to a disaster that overwhelms local, tribal, and state authorities. Any action taken by FEMA in response to an infectious disease emergency will be in coordination with other agencies that have a primary role, such as HHS and CDC. </w:t>
      </w:r>
    </w:p>
    <w:p w14:paraId="0CC0C650" w14:textId="77777777" w:rsidR="000336B3" w:rsidRDefault="000336B3" w:rsidP="000336B3">
      <w:pPr>
        <w:jc w:val="both"/>
      </w:pPr>
      <w:r>
        <w:t xml:space="preserve">In rare instances, the incident may be of a nature where federal entities assume jurisdiction. A suspected bioterror incident requires involvement of federal law enforcement agencies due to the criminal element; incident command will be led by the Federal Bureau of Investigation (FBI) with the potential for inclusion of other agencies in Unified Command. MDPH will continue to direct the Commonwealth’s public health response. </w:t>
      </w:r>
    </w:p>
    <w:p w14:paraId="5A84AB20" w14:textId="70B1E367" w:rsidR="00DA4C79" w:rsidRPr="000F4E86" w:rsidRDefault="00D02D74" w:rsidP="001C1C13">
      <w:pPr>
        <w:pStyle w:val="Heading2"/>
        <w:numPr>
          <w:ilvl w:val="1"/>
          <w:numId w:val="60"/>
        </w:numPr>
        <w:ind w:left="540" w:firstLine="270"/>
      </w:pPr>
      <w:bookmarkStart w:id="389" w:name="_Toc482792843"/>
      <w:bookmarkStart w:id="390" w:name="_Toc482792999"/>
      <w:bookmarkStart w:id="391" w:name="_Toc482793320"/>
      <w:bookmarkStart w:id="392" w:name="_Toc356762292"/>
      <w:bookmarkStart w:id="393" w:name="_Toc483566887"/>
      <w:bookmarkStart w:id="394" w:name="_Toc476815761"/>
      <w:bookmarkStart w:id="395" w:name="_Toc477863216"/>
      <w:bookmarkStart w:id="396" w:name="_Toc477863401"/>
      <w:bookmarkStart w:id="397" w:name="_Toc477864014"/>
      <w:bookmarkStart w:id="398" w:name="_Toc477866314"/>
      <w:bookmarkStart w:id="399" w:name="_Toc480546360"/>
      <w:bookmarkStart w:id="400" w:name="_Toc481758999"/>
      <w:r>
        <w:rPr>
          <w:i/>
        </w:rPr>
        <w:lastRenderedPageBreak/>
        <w:t xml:space="preserve">         </w:t>
      </w:r>
      <w:bookmarkStart w:id="401" w:name="_Toc31622999"/>
      <w:r w:rsidR="00DA4C79" w:rsidRPr="000F4E86">
        <w:t>Regional</w:t>
      </w:r>
      <w:r w:rsidR="007A080B" w:rsidRPr="000F4E86">
        <w:t xml:space="preserve"> Organizations</w:t>
      </w:r>
      <w:bookmarkEnd w:id="389"/>
      <w:bookmarkEnd w:id="390"/>
      <w:bookmarkEnd w:id="391"/>
      <w:bookmarkEnd w:id="392"/>
      <w:bookmarkEnd w:id="393"/>
      <w:bookmarkEnd w:id="401"/>
    </w:p>
    <w:p w14:paraId="2EA5D014" w14:textId="75514656" w:rsidR="00DA4C79" w:rsidRPr="009A25B6" w:rsidRDefault="00DA4C79" w:rsidP="009A25B6">
      <w:pPr>
        <w:pStyle w:val="Heading4"/>
        <w:rPr>
          <w:sz w:val="24"/>
          <w:szCs w:val="24"/>
        </w:rPr>
      </w:pPr>
      <w:bookmarkStart w:id="402" w:name="_Toc482792844"/>
      <w:bookmarkStart w:id="403" w:name="_Toc482793000"/>
      <w:bookmarkStart w:id="404" w:name="_Toc482793321"/>
      <w:bookmarkStart w:id="405" w:name="_Toc356762293"/>
      <w:bookmarkStart w:id="406" w:name="_Toc483566888"/>
      <w:bookmarkStart w:id="407" w:name="_Toc483995676"/>
      <w:bookmarkStart w:id="408" w:name="_Toc483996028"/>
      <w:bookmarkStart w:id="409" w:name="_Toc484606952"/>
      <w:bookmarkStart w:id="410" w:name="_Toc486238573"/>
      <w:bookmarkStart w:id="411" w:name="_Toc486328948"/>
      <w:bookmarkStart w:id="412" w:name="_Toc486407743"/>
      <w:bookmarkStart w:id="413" w:name="_Toc486492345"/>
      <w:bookmarkStart w:id="414" w:name="_Toc486499842"/>
      <w:bookmarkStart w:id="415" w:name="_Toc486501018"/>
      <w:bookmarkStart w:id="416" w:name="_Toc486516478"/>
      <w:bookmarkStart w:id="417" w:name="_Toc486577733"/>
      <w:bookmarkStart w:id="418" w:name="_Toc486578939"/>
      <w:r w:rsidRPr="009A25B6">
        <w:rPr>
          <w:sz w:val="24"/>
          <w:szCs w:val="24"/>
        </w:rPr>
        <w:t>Health and Medical Coordinating Coalitions</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r w:rsidRPr="009A25B6">
        <w:rPr>
          <w:sz w:val="24"/>
          <w:szCs w:val="24"/>
        </w:rPr>
        <w:t xml:space="preserve"> </w:t>
      </w:r>
      <w:bookmarkEnd w:id="394"/>
      <w:bookmarkEnd w:id="395"/>
      <w:bookmarkEnd w:id="396"/>
      <w:bookmarkEnd w:id="397"/>
      <w:bookmarkEnd w:id="398"/>
      <w:bookmarkEnd w:id="399"/>
      <w:bookmarkEnd w:id="400"/>
      <w:r w:rsidR="004914F9" w:rsidRPr="009A25B6">
        <w:rPr>
          <w:sz w:val="24"/>
          <w:szCs w:val="24"/>
        </w:rPr>
        <w:t>(HMCC)</w:t>
      </w:r>
    </w:p>
    <w:p w14:paraId="2A2C66DC" w14:textId="77777777" w:rsidR="00DA4C79" w:rsidRDefault="00DA4C79" w:rsidP="00050DCF">
      <w:pPr>
        <w:pStyle w:val="ListParagraph"/>
        <w:numPr>
          <w:ilvl w:val="0"/>
          <w:numId w:val="10"/>
        </w:numPr>
        <w:jc w:val="both"/>
      </w:pPr>
      <w:r>
        <w:t xml:space="preserve">Assist and support member disciplines (local public health, hospitals, Emergency Medical Services, community health centers, large ambulatory care practices, long term care facilities) involved in response and recovery operations </w:t>
      </w:r>
    </w:p>
    <w:p w14:paraId="0472C65D" w14:textId="4E545936" w:rsidR="00DA4C79" w:rsidRPr="008563A8" w:rsidRDefault="00A77F23" w:rsidP="00050DCF">
      <w:pPr>
        <w:pStyle w:val="ListParagraph"/>
        <w:numPr>
          <w:ilvl w:val="0"/>
          <w:numId w:val="10"/>
        </w:numPr>
        <w:jc w:val="both"/>
      </w:pPr>
      <w:r>
        <w:t>As requested d</w:t>
      </w:r>
      <w:r w:rsidR="00DA4C79" w:rsidRPr="008563A8">
        <w:t>isseminate validated information</w:t>
      </w:r>
      <w:r w:rsidR="00AA5E34">
        <w:t xml:space="preserve">, i.e. Clinical Advisories or Health and Medical Situation Reports, </w:t>
      </w:r>
      <w:r w:rsidR="00DA4C79">
        <w:t>fr</w:t>
      </w:r>
      <w:r w:rsidR="00AA5E34">
        <w:t>om MDPH (or similar source)</w:t>
      </w:r>
      <w:r w:rsidR="00DA4C79">
        <w:t xml:space="preserve"> to members and partner agencies</w:t>
      </w:r>
    </w:p>
    <w:p w14:paraId="4230995A" w14:textId="77777777" w:rsidR="00DA4C79" w:rsidRPr="008563A8" w:rsidRDefault="00DA4C79" w:rsidP="00050DCF">
      <w:pPr>
        <w:pStyle w:val="ListParagraph"/>
        <w:numPr>
          <w:ilvl w:val="0"/>
          <w:numId w:val="10"/>
        </w:numPr>
        <w:jc w:val="both"/>
      </w:pPr>
      <w:r w:rsidRPr="008563A8">
        <w:t>Coordinate region-wide meetings</w:t>
      </w:r>
      <w:r>
        <w:t xml:space="preserve"> and conference calls as needed</w:t>
      </w:r>
      <w:r w:rsidRPr="008563A8">
        <w:t xml:space="preserve"> </w:t>
      </w:r>
    </w:p>
    <w:p w14:paraId="5D77FB0B" w14:textId="77777777" w:rsidR="00DA4C79" w:rsidRPr="008563A8" w:rsidRDefault="00DA4C79" w:rsidP="00050DCF">
      <w:pPr>
        <w:pStyle w:val="ListParagraph"/>
        <w:numPr>
          <w:ilvl w:val="0"/>
          <w:numId w:val="10"/>
        </w:numPr>
        <w:jc w:val="both"/>
      </w:pPr>
      <w:r>
        <w:t>Provide information for situation reports</w:t>
      </w:r>
      <w:r w:rsidRPr="008563A8">
        <w:t xml:space="preserve"> </w:t>
      </w:r>
    </w:p>
    <w:p w14:paraId="5EE6BDAB" w14:textId="77777777" w:rsidR="00DA4C79" w:rsidRPr="008563A8" w:rsidRDefault="00DA4C79" w:rsidP="00050DCF">
      <w:pPr>
        <w:pStyle w:val="ListParagraph"/>
        <w:numPr>
          <w:ilvl w:val="0"/>
          <w:numId w:val="10"/>
        </w:numPr>
        <w:jc w:val="both"/>
      </w:pPr>
      <w:r w:rsidRPr="008563A8">
        <w:t xml:space="preserve">Monitor and document </w:t>
      </w:r>
      <w:r>
        <w:t>HMCC</w:t>
      </w:r>
      <w:r w:rsidRPr="008563A8">
        <w:t xml:space="preserve"> </w:t>
      </w:r>
      <w:r>
        <w:t xml:space="preserve">member </w:t>
      </w:r>
      <w:r w:rsidRPr="008563A8">
        <w:t>response a</w:t>
      </w:r>
      <w:r>
        <w:t>ctivities</w:t>
      </w:r>
    </w:p>
    <w:p w14:paraId="55073FCE" w14:textId="77777777" w:rsidR="00DA4C79" w:rsidRPr="004C27DA" w:rsidRDefault="00DA4C79" w:rsidP="00050DCF">
      <w:pPr>
        <w:pStyle w:val="ListParagraph"/>
        <w:numPr>
          <w:ilvl w:val="0"/>
          <w:numId w:val="10"/>
        </w:numPr>
        <w:jc w:val="both"/>
      </w:pPr>
      <w:r w:rsidRPr="008563A8">
        <w:t>Liaise with Regional Coordinators</w:t>
      </w:r>
      <w:r>
        <w:t xml:space="preserve"> and other OPEM staff </w:t>
      </w:r>
      <w:r w:rsidRPr="008563A8">
        <w:t>regarding al</w:t>
      </w:r>
      <w:r>
        <w:t>l of the above responsibilities</w:t>
      </w:r>
    </w:p>
    <w:p w14:paraId="1227B740" w14:textId="77777777" w:rsidR="00DA4C79" w:rsidRDefault="00DA4C79" w:rsidP="00050DCF">
      <w:pPr>
        <w:pStyle w:val="ListParagraph"/>
        <w:numPr>
          <w:ilvl w:val="0"/>
          <w:numId w:val="10"/>
        </w:numPr>
        <w:jc w:val="both"/>
      </w:pPr>
      <w:r>
        <w:t>Facilitate the sharing of health and medical resources, as needed</w:t>
      </w:r>
    </w:p>
    <w:p w14:paraId="18ADDDEE" w14:textId="3D54F9E6" w:rsidR="00DA4C79" w:rsidRDefault="00DA4C79" w:rsidP="00050DCF">
      <w:pPr>
        <w:pStyle w:val="ListParagraph"/>
        <w:numPr>
          <w:ilvl w:val="0"/>
          <w:numId w:val="12"/>
        </w:numPr>
        <w:jc w:val="both"/>
      </w:pPr>
      <w:r>
        <w:t>Provide continuous on-call coverage in order to activate the region</w:t>
      </w:r>
      <w:r w:rsidR="00CA3D99">
        <w:t>’s ECP</w:t>
      </w:r>
      <w:r>
        <w:t>, when necessary</w:t>
      </w:r>
    </w:p>
    <w:p w14:paraId="4AE30521" w14:textId="6794AE70" w:rsidR="00DA4C79" w:rsidRPr="000F4E86" w:rsidRDefault="00D02D74" w:rsidP="001C1C13">
      <w:pPr>
        <w:pStyle w:val="Heading2"/>
        <w:numPr>
          <w:ilvl w:val="1"/>
          <w:numId w:val="60"/>
        </w:numPr>
        <w:ind w:left="540" w:firstLine="270"/>
      </w:pPr>
      <w:bookmarkStart w:id="419" w:name="_Toc482792845"/>
      <w:bookmarkStart w:id="420" w:name="_Toc482793001"/>
      <w:bookmarkStart w:id="421" w:name="_Toc482793322"/>
      <w:bookmarkStart w:id="422" w:name="_Toc356762294"/>
      <w:bookmarkStart w:id="423" w:name="_Toc483566889"/>
      <w:r>
        <w:rPr>
          <w:i/>
        </w:rPr>
        <w:t xml:space="preserve">          </w:t>
      </w:r>
      <w:bookmarkStart w:id="424" w:name="_Toc31623000"/>
      <w:r w:rsidR="00DA4C79" w:rsidRPr="000F4E86">
        <w:t>Local</w:t>
      </w:r>
      <w:r w:rsidR="007A080B" w:rsidRPr="000F4E86">
        <w:t xml:space="preserve"> Organizations</w:t>
      </w:r>
      <w:bookmarkEnd w:id="419"/>
      <w:bookmarkEnd w:id="420"/>
      <w:bookmarkEnd w:id="421"/>
      <w:bookmarkEnd w:id="422"/>
      <w:bookmarkEnd w:id="423"/>
      <w:bookmarkEnd w:id="424"/>
    </w:p>
    <w:p w14:paraId="53A5765E" w14:textId="11462F51" w:rsidR="000F11D6" w:rsidRDefault="00DC64F4" w:rsidP="000F11D6">
      <w:pPr>
        <w:jc w:val="both"/>
      </w:pPr>
      <w:r>
        <w:t>L</w:t>
      </w:r>
      <w:r w:rsidR="00DA4C79">
        <w:t xml:space="preserve">ocal level </w:t>
      </w:r>
      <w:r w:rsidR="007A080B">
        <w:t>entities</w:t>
      </w:r>
      <w:r>
        <w:t xml:space="preserve"> consist of both municipal and non-municipal entities. At the municipal level, local public health department</w:t>
      </w:r>
      <w:r w:rsidR="000F11D6">
        <w:t>s play the</w:t>
      </w:r>
      <w:r>
        <w:t xml:space="preserve"> prominent role in the prevention and mitigation of, and response to, infectious disease threats. Local public health </w:t>
      </w:r>
      <w:r w:rsidR="000F11D6">
        <w:t>departments</w:t>
      </w:r>
      <w:r>
        <w:t xml:space="preserve"> are supported by their colleagues in local government, including but not </w:t>
      </w:r>
      <w:r w:rsidR="000F11D6">
        <w:t>limited</w:t>
      </w:r>
      <w:r>
        <w:t xml:space="preserve"> to </w:t>
      </w:r>
      <w:r w:rsidR="00C87BA2">
        <w:t xml:space="preserve">emergency management, </w:t>
      </w:r>
      <w:r>
        <w:t xml:space="preserve">law enforcement, fire services, environmental and recreation departments, school systems, and </w:t>
      </w:r>
      <w:r w:rsidR="000F11D6">
        <w:t xml:space="preserve">local leadership, among many others. </w:t>
      </w:r>
      <w:r w:rsidR="000F11D6" w:rsidRPr="000F11D6">
        <w:t>Due to the complexity and variety of planning and response efforts that may be required for different infectious disease outbreaks, a broad combination of expert viewpoints is needed to ensure adequate assessment of each developing situation.</w:t>
      </w:r>
    </w:p>
    <w:p w14:paraId="2FF58835" w14:textId="43CBF75D" w:rsidR="00DC64F4" w:rsidRDefault="000F11D6" w:rsidP="000336B3">
      <w:pPr>
        <w:jc w:val="both"/>
      </w:pPr>
      <w:r>
        <w:t xml:space="preserve">Local organizations also incorporate the health and medical systems and facilities that may have a role in an infectious disease event, such as hospitals, community health centers, long term care facilities, </w:t>
      </w:r>
    </w:p>
    <w:p w14:paraId="692D5B77" w14:textId="4A043665" w:rsidR="000F11D6" w:rsidRDefault="000F11D6" w:rsidP="000336B3">
      <w:pPr>
        <w:jc w:val="both"/>
        <w:sectPr w:rsidR="000F11D6" w:rsidSect="006160F8">
          <w:headerReference w:type="even" r:id="rId37"/>
          <w:headerReference w:type="default" r:id="rId38"/>
          <w:footerReference w:type="default" r:id="rId39"/>
          <w:headerReference w:type="first" r:id="rId40"/>
          <w:pgSz w:w="12240" w:h="15840"/>
          <w:pgMar w:top="1440" w:right="1440" w:bottom="1440" w:left="1440" w:header="720" w:footer="720" w:gutter="0"/>
          <w:cols w:space="720"/>
          <w:docGrid w:linePitch="360"/>
        </w:sectPr>
      </w:pPr>
      <w:r>
        <w:t>A</w:t>
      </w:r>
      <w:r w:rsidR="00DA4C79">
        <w:t>ll</w:t>
      </w:r>
      <w:r>
        <w:t xml:space="preserve"> local level organizations are encouraged to have emergency operations plans that address infectious disease threats, and continuity of operations plans</w:t>
      </w:r>
      <w:r w:rsidR="004914F9">
        <w:t xml:space="preserve"> (COOP)</w:t>
      </w:r>
      <w:r>
        <w:t xml:space="preserve"> that describe the actions needed to sustain essential services if impacted by such an event. These plans should also describe how these plans may be activated</w:t>
      </w:r>
      <w:r w:rsidR="00DA4C79">
        <w:t xml:space="preserve"> as appropriate</w:t>
      </w:r>
      <w:r>
        <w:t>,</w:t>
      </w:r>
      <w:r w:rsidR="00DA4C79">
        <w:t xml:space="preserve"> and</w:t>
      </w:r>
      <w:r>
        <w:t xml:space="preserve"> how to </w:t>
      </w:r>
      <w:r w:rsidR="00DA4C79">
        <w:t xml:space="preserve">liaise </w:t>
      </w:r>
      <w:r w:rsidR="005F2F5E">
        <w:t xml:space="preserve">with </w:t>
      </w:r>
      <w:r>
        <w:t xml:space="preserve">DPH, and </w:t>
      </w:r>
      <w:r w:rsidR="005F2F5E">
        <w:t>HMCC</w:t>
      </w:r>
      <w:r>
        <w:t>s as appropriate</w:t>
      </w:r>
      <w:r w:rsidR="005F2F5E">
        <w:t xml:space="preserve"> and as per their EOP.</w:t>
      </w:r>
    </w:p>
    <w:p w14:paraId="21352060" w14:textId="06F54A18" w:rsidR="003A5213" w:rsidRPr="00F61FBA" w:rsidRDefault="00ED2CD4" w:rsidP="005A777E">
      <w:pPr>
        <w:pStyle w:val="Heading1"/>
        <w:numPr>
          <w:ilvl w:val="0"/>
          <w:numId w:val="26"/>
        </w:numPr>
      </w:pPr>
      <w:bookmarkStart w:id="425" w:name="_Phases"/>
      <w:bookmarkStart w:id="426" w:name="_Toc31623001"/>
      <w:bookmarkEnd w:id="425"/>
      <w:r>
        <w:lastRenderedPageBreak/>
        <w:t>Direction, Control and Coordination</w:t>
      </w:r>
      <w:bookmarkEnd w:id="426"/>
    </w:p>
    <w:p w14:paraId="19074E99" w14:textId="167A1DED" w:rsidR="00031362" w:rsidRPr="005A777E" w:rsidRDefault="00031362" w:rsidP="00415538">
      <w:pPr>
        <w:pStyle w:val="Heading2"/>
        <w:numPr>
          <w:ilvl w:val="1"/>
          <w:numId w:val="26"/>
        </w:numPr>
        <w:tabs>
          <w:tab w:val="left" w:pos="360"/>
        </w:tabs>
        <w:ind w:hanging="72"/>
      </w:pPr>
      <w:r>
        <w:tab/>
      </w:r>
      <w:r>
        <w:tab/>
      </w:r>
      <w:r>
        <w:tab/>
      </w:r>
      <w:r>
        <w:tab/>
      </w:r>
      <w:r>
        <w:tab/>
      </w:r>
      <w:r>
        <w:tab/>
      </w:r>
      <w:r>
        <w:tab/>
      </w:r>
      <w:r>
        <w:tab/>
        <w:t xml:space="preserve">   </w:t>
      </w:r>
      <w:bookmarkStart w:id="427" w:name="_Toc31623002"/>
      <w:r w:rsidRPr="005A777E">
        <w:t>Overview</w:t>
      </w:r>
      <w:bookmarkEnd w:id="427"/>
    </w:p>
    <w:p w14:paraId="5C76E52B" w14:textId="77777777" w:rsidR="005704CD" w:rsidRDefault="005704CD" w:rsidP="005704CD">
      <w:pPr>
        <w:jc w:val="both"/>
      </w:pPr>
      <w:r>
        <w:t xml:space="preserve">A successful response to an infectious disease emergency requires the implementation of evidence-based protocols and procedures by authorities with strong, previously established relationships between local public health, tribal nations, healthcare providers and institutions, and state and federal agencies. MDPH is the lead public health agency responsible for protecting and improving the public’s health throughout the Commonwealth.  In the event of an infectious disease emergency, MDPH must coordinate with partners at all levels of government and in the private sector to ensure a comprehensive and effective response. </w:t>
      </w:r>
    </w:p>
    <w:p w14:paraId="16DAC05B" w14:textId="4E31B258" w:rsidR="00031362" w:rsidRDefault="00031362" w:rsidP="00415538">
      <w:pPr>
        <w:pStyle w:val="Heading2"/>
        <w:ind w:left="720" w:hanging="360"/>
      </w:pPr>
      <w:r>
        <w:t xml:space="preserve">      </w:t>
      </w:r>
      <w:bookmarkStart w:id="428" w:name="_Toc31623003"/>
      <w:r>
        <w:t xml:space="preserve">5.2 </w:t>
      </w:r>
      <w:r w:rsidR="005A777E">
        <w:tab/>
      </w:r>
      <w:r w:rsidR="005A777E">
        <w:tab/>
      </w:r>
      <w:r w:rsidR="005A777E">
        <w:tab/>
      </w:r>
      <w:r w:rsidR="005A777E">
        <w:tab/>
      </w:r>
      <w:r w:rsidR="005A777E">
        <w:tab/>
      </w:r>
      <w:r w:rsidR="005A777E">
        <w:tab/>
      </w:r>
      <w:r w:rsidR="005A777E">
        <w:tab/>
      </w:r>
      <w:r w:rsidR="005A777E">
        <w:tab/>
      </w:r>
      <w:r w:rsidR="005A777E">
        <w:tab/>
      </w:r>
      <w:r w:rsidR="005A777E">
        <w:tab/>
      </w:r>
      <w:r w:rsidR="005A777E">
        <w:tab/>
      </w:r>
      <w:r w:rsidR="005A777E">
        <w:tab/>
      </w:r>
      <w:r w:rsidR="005A777E">
        <w:tab/>
      </w:r>
      <w:r w:rsidR="005A777E">
        <w:tab/>
      </w:r>
      <w:r w:rsidR="005A777E">
        <w:tab/>
      </w:r>
      <w:r w:rsidR="005A777E">
        <w:tab/>
      </w:r>
      <w:r w:rsidR="005A777E">
        <w:tab/>
      </w:r>
      <w:r w:rsidR="005A777E">
        <w:tab/>
      </w:r>
      <w:r w:rsidR="005A777E">
        <w:tab/>
      </w:r>
      <w:r w:rsidR="005A777E">
        <w:tab/>
      </w:r>
      <w:r w:rsidR="005A777E">
        <w:tab/>
      </w:r>
      <w:r w:rsidR="005A777E">
        <w:tab/>
      </w:r>
      <w:r w:rsidR="00AE5461">
        <w:t>Local Coordination</w:t>
      </w:r>
      <w:bookmarkEnd w:id="428"/>
    </w:p>
    <w:p w14:paraId="798C89E5" w14:textId="77777777" w:rsidR="00AE5461" w:rsidRDefault="00AE5461" w:rsidP="00AE5461">
      <w:pPr>
        <w:jc w:val="both"/>
      </w:pPr>
      <w:r>
        <w:t xml:space="preserve">Effective public health surveillance and response begins at the local level. Generally, for most infectious diseases, local public health departments assume the primary role in conducting case investigation and follow up. </w:t>
      </w:r>
    </w:p>
    <w:p w14:paraId="1F9310B4" w14:textId="6CCD7993" w:rsidR="00AE5461" w:rsidRDefault="00AE5461" w:rsidP="00AE5461">
      <w:pPr>
        <w:jc w:val="both"/>
      </w:pPr>
      <w:r>
        <w:t>The Commonwealth of Massachusetts has laws mandating that providers report cases of certain diseases to local public health departments.   Local public health departments work with hospitals and healthcare providers to obtain reports on infectious disease cases in their communities. If a</w:t>
      </w:r>
      <w:r w:rsidR="00F9418D">
        <w:t>n</w:t>
      </w:r>
      <w:r>
        <w:t xml:space="preserve"> </w:t>
      </w:r>
      <w:r w:rsidR="00F9418D">
        <w:t xml:space="preserve">infectious </w:t>
      </w:r>
      <w:r>
        <w:t xml:space="preserve">disease is listed </w:t>
      </w:r>
      <w:r w:rsidR="00F9418D">
        <w:t xml:space="preserve">as reported by </w:t>
      </w:r>
      <w:hyperlink r:id="rId41" w:history="1">
        <w:r w:rsidR="0059616D" w:rsidRPr="0059616D">
          <w:rPr>
            <w:rStyle w:val="Hyperlink"/>
          </w:rPr>
          <w:t>R</w:t>
        </w:r>
        <w:r w:rsidR="00F9418D" w:rsidRPr="005344BE">
          <w:rPr>
            <w:rStyle w:val="Hyperlink"/>
          </w:rPr>
          <w:t>egulation</w:t>
        </w:r>
        <w:r w:rsidR="004D578C" w:rsidRPr="0059616D">
          <w:rPr>
            <w:rStyle w:val="Hyperlink"/>
          </w:rPr>
          <w:t xml:space="preserve"> </w:t>
        </w:r>
        <w:r w:rsidR="0059616D" w:rsidRPr="0059616D">
          <w:rPr>
            <w:rStyle w:val="Hyperlink"/>
          </w:rPr>
          <w:t>105 CMR 300.00</w:t>
        </w:r>
      </w:hyperlink>
      <w:r>
        <w:t xml:space="preserve">, or is made reportable in response to an emergency situation by the </w:t>
      </w:r>
      <w:r w:rsidR="00F9418D">
        <w:t>Commissioner</w:t>
      </w:r>
      <w:r>
        <w:t xml:space="preserve">, the local public health official </w:t>
      </w:r>
      <w:r w:rsidR="00F9418D">
        <w:t xml:space="preserve">is responsible for  notifying </w:t>
      </w:r>
      <w:r>
        <w:t>the Epidemiologist On-Call with suspected or confirmed cases of certain diseases.</w:t>
      </w:r>
      <w:r w:rsidRPr="00AC0A83">
        <w:t xml:space="preserve"> </w:t>
      </w:r>
      <w:r>
        <w:t xml:space="preserve">Local public health officials </w:t>
      </w:r>
      <w:r w:rsidR="00F9418D">
        <w:t xml:space="preserve">may </w:t>
      </w:r>
      <w:r>
        <w:t xml:space="preserve">also create an event in the Massachusetts Virtual Epidemiological Network (MAVEN), </w:t>
      </w:r>
      <w:r w:rsidR="00F9418D">
        <w:t xml:space="preserve">the </w:t>
      </w:r>
      <w:r w:rsidR="006160F8">
        <w:t>Department’s web</w:t>
      </w:r>
      <w:r>
        <w:t xml:space="preserve">-based </w:t>
      </w:r>
      <w:r w:rsidR="00F9418D">
        <w:t xml:space="preserve">infectious disease </w:t>
      </w:r>
      <w:r>
        <w:t xml:space="preserve">surveillance and case management system that enables </w:t>
      </w:r>
      <w:r w:rsidR="001A1C63">
        <w:t>secure data</w:t>
      </w:r>
      <w:r w:rsidR="00F9418D">
        <w:t xml:space="preserve"> sharing </w:t>
      </w:r>
      <w:r>
        <w:t>between local and state public health officials. Throughout the infectious disease emergency, the local public health department and MDPH collaborate closely for infectious disease case management</w:t>
      </w:r>
      <w:r w:rsidR="004D43BC">
        <w:t xml:space="preserve"> and the activation of Emergency Dispensing Sites (EDS)</w:t>
      </w:r>
      <w:r w:rsidR="00A77F23">
        <w:t xml:space="preserve"> as appropriate</w:t>
      </w:r>
      <w:r>
        <w:t xml:space="preserve">. </w:t>
      </w:r>
    </w:p>
    <w:p w14:paraId="315C98D0" w14:textId="77777777" w:rsidR="004D43BC" w:rsidRDefault="00AE5461" w:rsidP="00AE5461">
      <w:pPr>
        <w:jc w:val="both"/>
      </w:pPr>
      <w:r>
        <w:t>Local public health departments also work with local law enforcement, government officials, school administrators, and other stakeholders to develop plans for local response and to ensure that policies and procedures are in place that support implementation of appropriate community mitigation</w:t>
      </w:r>
      <w:r w:rsidR="004D43BC">
        <w:t xml:space="preserve"> actions</w:t>
      </w:r>
      <w:r>
        <w:t>.</w:t>
      </w:r>
    </w:p>
    <w:p w14:paraId="67F47C44" w14:textId="0A5EAB53" w:rsidR="00AE5461" w:rsidRPr="008C1F88" w:rsidRDefault="004D43BC" w:rsidP="00AE5461">
      <w:pPr>
        <w:jc w:val="both"/>
      </w:pPr>
      <w:r>
        <w:t>If local public health is in need of public health and medical resources, they will reach out to the HMCC to determine if the resource can be located within the region. If they need a resource that is non health and medical, they will work with their local Emergency Management Director</w:t>
      </w:r>
      <w:r w:rsidR="00A77F23">
        <w:t xml:space="preserve"> (EMD)</w:t>
      </w:r>
      <w:r>
        <w:t xml:space="preserve">, who in turn will work </w:t>
      </w:r>
      <w:r w:rsidR="001A1C63">
        <w:t xml:space="preserve">with </w:t>
      </w:r>
      <w:r>
        <w:t>MEMA to locate the resource.</w:t>
      </w:r>
    </w:p>
    <w:p w14:paraId="02EB3416" w14:textId="77777777" w:rsidR="00AE5461" w:rsidRPr="00AE5461" w:rsidRDefault="00AE5461" w:rsidP="00AE5461"/>
    <w:p w14:paraId="4637F2AC" w14:textId="23DECC8A" w:rsidR="00031362" w:rsidRDefault="00031362" w:rsidP="00415538">
      <w:pPr>
        <w:pStyle w:val="Heading2"/>
        <w:ind w:left="540" w:hanging="180"/>
      </w:pPr>
      <w:r>
        <w:lastRenderedPageBreak/>
        <w:t xml:space="preserve">      </w:t>
      </w:r>
      <w:bookmarkStart w:id="429" w:name="_Toc31623004"/>
      <w:r>
        <w:t xml:space="preserve">5.3 </w:t>
      </w:r>
      <w:r w:rsidR="005A777E">
        <w:t xml:space="preserve">     </w:t>
      </w:r>
      <w:r w:rsidR="00AE5461">
        <w:t>Regional Coordination</w:t>
      </w:r>
      <w:bookmarkEnd w:id="429"/>
    </w:p>
    <w:p w14:paraId="6A4A10FD" w14:textId="77777777" w:rsidR="00AE5461" w:rsidRDefault="00AE5461" w:rsidP="0005080A">
      <w:pPr>
        <w:pStyle w:val="NoSpacing"/>
        <w:spacing w:line="276" w:lineRule="auto"/>
        <w:jc w:val="both"/>
        <w:rPr>
          <w:rFonts w:cs="Arial"/>
        </w:rPr>
      </w:pPr>
      <w:r>
        <w:rPr>
          <w:rFonts w:cs="Arial"/>
          <w:color w:val="222222"/>
          <w:shd w:val="clear" w:color="auto" w:fill="FFFFFF"/>
        </w:rPr>
        <w:t>MDPH has worked to establish six regional Health and Medical Coordinating Coalitions</w:t>
      </w:r>
      <w:r w:rsidRPr="00430001">
        <w:rPr>
          <w:rFonts w:cs="Arial"/>
          <w:color w:val="222222"/>
          <w:shd w:val="clear" w:color="auto" w:fill="FFFFFF"/>
        </w:rPr>
        <w:t xml:space="preserve"> </w:t>
      </w:r>
      <w:r>
        <w:rPr>
          <w:rFonts w:cs="Arial"/>
          <w:color w:val="222222"/>
          <w:shd w:val="clear" w:color="auto" w:fill="FFFFFF"/>
        </w:rPr>
        <w:t>(HMCCs)</w:t>
      </w:r>
      <w:r>
        <w:rPr>
          <w:rFonts w:cs="Arial"/>
        </w:rPr>
        <w:t xml:space="preserve"> </w:t>
      </w:r>
      <w:r w:rsidRPr="00430001">
        <w:rPr>
          <w:rFonts w:cs="Arial"/>
        </w:rPr>
        <w:t xml:space="preserve">to promote cross-disciplinary planning, and to support public health and medical response across the Commonwealth during emergencies and disasters.  </w:t>
      </w:r>
    </w:p>
    <w:p w14:paraId="367A99AB" w14:textId="77777777" w:rsidR="00AE5461" w:rsidRPr="007A023C" w:rsidRDefault="00AE5461" w:rsidP="0005080A">
      <w:pPr>
        <w:pStyle w:val="NoSpacing"/>
        <w:spacing w:line="276" w:lineRule="auto"/>
        <w:jc w:val="both"/>
        <w:rPr>
          <w:rFonts w:cs="Arial"/>
          <w:color w:val="222222"/>
          <w:shd w:val="clear" w:color="auto" w:fill="FFFFFF"/>
        </w:rPr>
      </w:pPr>
    </w:p>
    <w:p w14:paraId="18661435" w14:textId="6CDF56A2" w:rsidR="00AE5461" w:rsidRPr="00AA37EB" w:rsidRDefault="00AE5461" w:rsidP="0005080A">
      <w:pPr>
        <w:jc w:val="both"/>
      </w:pPr>
      <w:r>
        <w:t>The HMCCs consist of member agencies from local public health, hospitals, community health centers/large ambulatory care practices, emergency medical services, long term care facilities and emergency management. In some areas, planning among HMCCs has also extended to additional disciplines, such as university health</w:t>
      </w:r>
      <w:r w:rsidR="001A1C63">
        <w:t xml:space="preserve"> centers</w:t>
      </w:r>
      <w:r>
        <w:t xml:space="preserve">, dialysis centers, and pharmacies, among others, whenever possible.  </w:t>
      </w:r>
    </w:p>
    <w:p w14:paraId="1F21FBFD" w14:textId="5003D10E" w:rsidR="00AE5461" w:rsidRDefault="00AE5461" w:rsidP="0005080A">
      <w:pPr>
        <w:jc w:val="both"/>
      </w:pPr>
      <w:r>
        <w:t xml:space="preserve">When needed, HMCC </w:t>
      </w:r>
      <w:r w:rsidR="004D43BC">
        <w:t>staff is</w:t>
      </w:r>
      <w:r>
        <w:t xml:space="preserve"> also able to assist with resource coordination, matching requesting and supplying agencies whenever possible. The HMCC staff work closely with OPEM staff in order to support coordination between state and local entities. </w:t>
      </w:r>
      <w:r w:rsidR="004D43BC">
        <w:t xml:space="preserve">If a resource is requested through the HMCC, but </w:t>
      </w:r>
      <w:proofErr w:type="spellStart"/>
      <w:r w:rsidR="004D43BC">
        <w:t>can not</w:t>
      </w:r>
      <w:proofErr w:type="spellEnd"/>
      <w:r w:rsidR="004D43BC">
        <w:t xml:space="preserve"> be obtained regionally, the HMCC will reach out to OPEM to fill the request.</w:t>
      </w:r>
    </w:p>
    <w:p w14:paraId="75CCDE5E" w14:textId="78B3E853" w:rsidR="00AE5461" w:rsidRDefault="00AE5461" w:rsidP="0005080A">
      <w:pPr>
        <w:jc w:val="both"/>
      </w:pPr>
      <w:r>
        <w:t xml:space="preserve">Each HMCC has developed an Emergency Coordination Plan (ECP), Disease Surveillance Annex, Medical Countermeasures Annex, and Resource Coordination Annex to help guide HMCC staff and member agency interaction during an infectious disease emergency. </w:t>
      </w:r>
    </w:p>
    <w:p w14:paraId="6F1A6E60" w14:textId="355990F1" w:rsidR="00AE5461" w:rsidRDefault="00AE5461" w:rsidP="00415538">
      <w:pPr>
        <w:pStyle w:val="Heading2"/>
        <w:ind w:left="540" w:hanging="180"/>
      </w:pPr>
      <w:r>
        <w:t xml:space="preserve">       </w:t>
      </w:r>
      <w:bookmarkStart w:id="430" w:name="_Toc31623005"/>
      <w:r>
        <w:t xml:space="preserve">5.4 </w:t>
      </w:r>
      <w:r w:rsidR="005A777E">
        <w:t xml:space="preserve">     </w:t>
      </w:r>
      <w:r>
        <w:t>State Coordination</w:t>
      </w:r>
      <w:bookmarkEnd w:id="430"/>
    </w:p>
    <w:p w14:paraId="640958A0" w14:textId="5D6B1F15" w:rsidR="00AE5461" w:rsidRDefault="00AE5461" w:rsidP="00AE5461">
      <w:pPr>
        <w:pStyle w:val="Heading4"/>
      </w:pPr>
      <w:r>
        <w:t>MDPH Department Operations Center</w:t>
      </w:r>
    </w:p>
    <w:p w14:paraId="689A4940" w14:textId="098F90D1" w:rsidR="007E5393" w:rsidRPr="000A21FE" w:rsidRDefault="007E5393" w:rsidP="007E5393">
      <w:pPr>
        <w:jc w:val="both"/>
      </w:pPr>
      <w:r>
        <w:t xml:space="preserve">At the department level, the MDPH EOP describes the departmental response to an emergency, and the roles and responsibilities of bureau and office staff to ensure an effective response. </w:t>
      </w:r>
      <w:r w:rsidRPr="000A21FE">
        <w:t xml:space="preserve">To coordinate the state public health response, MDPH may </w:t>
      </w:r>
      <w:r w:rsidRPr="00343EE5">
        <w:t xml:space="preserve">activate the </w:t>
      </w:r>
      <w:r w:rsidR="004D43BC">
        <w:t>DOC</w:t>
      </w:r>
      <w:r w:rsidRPr="000A21FE">
        <w:t xml:space="preserve">, located at the MDPH Central Office, </w:t>
      </w:r>
      <w:r w:rsidR="00BB5E5D" w:rsidRPr="000A21FE">
        <w:t>with backup locations</w:t>
      </w:r>
      <w:r w:rsidRPr="000A21FE">
        <w:t xml:space="preserve"> at the </w:t>
      </w:r>
      <w:r>
        <w:t>MA</w:t>
      </w:r>
      <w:r w:rsidR="00F9418D">
        <w:t xml:space="preserve"> </w:t>
      </w:r>
      <w:r>
        <w:t>SPHL and Marlborough Office.</w:t>
      </w:r>
      <w:r w:rsidRPr="000A21FE">
        <w:t xml:space="preserve"> </w:t>
      </w:r>
      <w:r w:rsidR="004D43BC">
        <w:t>The DOC provides a central location for the facilitation</w:t>
      </w:r>
      <w:r w:rsidR="00BB5E5D">
        <w:t xml:space="preserve"> </w:t>
      </w:r>
      <w:r w:rsidR="001A042B">
        <w:t xml:space="preserve">of and </w:t>
      </w:r>
      <w:r w:rsidR="004D43BC">
        <w:t xml:space="preserve">efficient coordination of </w:t>
      </w:r>
      <w:r w:rsidR="00BB5E5D">
        <w:t>information</w:t>
      </w:r>
      <w:r w:rsidR="004D43BC">
        <w:t xml:space="preserve"> sharing, resources </w:t>
      </w:r>
      <w:r w:rsidR="00BB5E5D">
        <w:t xml:space="preserve">and communication to support MDPH response and recovery activities. </w:t>
      </w:r>
      <w:r w:rsidRPr="000A21FE">
        <w:t>The</w:t>
      </w:r>
      <w:r>
        <w:t xml:space="preserve"> DOC would</w:t>
      </w:r>
      <w:r w:rsidR="00BB5E5D">
        <w:t xml:space="preserve"> also</w:t>
      </w:r>
      <w:r>
        <w:t xml:space="preserve"> support the ESF-8 Desk when the SEOC is activated. </w:t>
      </w:r>
      <w:r w:rsidRPr="000A21FE">
        <w:t xml:space="preserve"> </w:t>
      </w:r>
      <w:r w:rsidR="00BB5E5D">
        <w:t xml:space="preserve">If resource requests are received from an </w:t>
      </w:r>
      <w:r w:rsidR="001A042B">
        <w:t xml:space="preserve">HMCC that </w:t>
      </w:r>
      <w:proofErr w:type="spellStart"/>
      <w:r w:rsidR="001A042B">
        <w:t>can not</w:t>
      </w:r>
      <w:proofErr w:type="spellEnd"/>
      <w:r w:rsidR="001A042B">
        <w:t xml:space="preserve"> be filled within the </w:t>
      </w:r>
      <w:r w:rsidR="0005080A">
        <w:t>Commonwealth, DOC</w:t>
      </w:r>
      <w:r w:rsidR="00BB5E5D">
        <w:t xml:space="preserve"> staff would work with MEMA to make the request up to the Federal level, through either the ASPR Region 1 REC and/or FEMA.</w:t>
      </w:r>
    </w:p>
    <w:p w14:paraId="266ABD41" w14:textId="40C80AA8" w:rsidR="00AE5461" w:rsidRPr="00AE5461" w:rsidRDefault="00AE5461" w:rsidP="00AE5461">
      <w:pPr>
        <w:pStyle w:val="Heading4"/>
      </w:pPr>
      <w:r>
        <w:t>MEMA State Emergency Operations Center</w:t>
      </w:r>
    </w:p>
    <w:p w14:paraId="7969F46F" w14:textId="6F6CE914" w:rsidR="00031362" w:rsidRDefault="00AE5461" w:rsidP="0005080A">
      <w:pPr>
        <w:jc w:val="both"/>
      </w:pPr>
      <w:r>
        <w:t xml:space="preserve">The overarching document that guides emergency operations coordination among responding departments and agencies is the Massachusetts Emergency Management Agency (MEMA) Comprehensive Emergency Management Plan (CEMP) and its supplemental Emergency Support Function (ESF) and Hazard-Specific Annexes. The CEMP describes when activation of the State Emergency Operations Center (SEOC) is warranted; should the SEOC be activated for an infectious disease emergency, MDPH </w:t>
      </w:r>
      <w:r w:rsidRPr="000A21FE">
        <w:t>will send a representative to the SEOC to staff the ESF-8 Desk, to coordinate Public Health and Medical activities.</w:t>
      </w:r>
    </w:p>
    <w:p w14:paraId="412E36D5" w14:textId="481A39FA" w:rsidR="00031362" w:rsidRDefault="00031362" w:rsidP="00415538">
      <w:pPr>
        <w:pStyle w:val="Heading2"/>
        <w:ind w:left="720" w:hanging="360"/>
      </w:pPr>
      <w:r>
        <w:lastRenderedPageBreak/>
        <w:t xml:space="preserve">       </w:t>
      </w:r>
      <w:bookmarkStart w:id="431" w:name="_Toc31623006"/>
      <w:r>
        <w:t>5.</w:t>
      </w:r>
      <w:r w:rsidR="00AE5461">
        <w:t>5</w:t>
      </w:r>
      <w:r>
        <w:t xml:space="preserve"> </w:t>
      </w:r>
      <w:r w:rsidR="005A777E">
        <w:t xml:space="preserve">     </w:t>
      </w:r>
      <w:r w:rsidR="00AE5461">
        <w:t xml:space="preserve">Federal </w:t>
      </w:r>
      <w:r w:rsidR="007E5393">
        <w:t>Coordination</w:t>
      </w:r>
      <w:bookmarkEnd w:id="431"/>
    </w:p>
    <w:p w14:paraId="5566635D" w14:textId="481F2F53" w:rsidR="00AE5461" w:rsidRDefault="00AE5461" w:rsidP="00415538">
      <w:pPr>
        <w:tabs>
          <w:tab w:val="left" w:pos="720"/>
        </w:tabs>
        <w:contextualSpacing/>
        <w:jc w:val="both"/>
      </w:pPr>
      <w:r w:rsidRPr="00055DA5">
        <w:t>In the event that an infectious disease emergency overwhelms local, tribal, and state resources, or is particularly virulent, federal assets may be requested or provided.</w:t>
      </w:r>
      <w:r>
        <w:t xml:space="preserve"> The request for such resources will be made in collaboration with MEMA.</w:t>
      </w:r>
      <w:r w:rsidR="00BB5E5D">
        <w:t xml:space="preserve"> In addition, guidance and information sharing resources will be provided from the CDC or ASPR, down to the States to help guide them in their response activities. The CDC will also work with the States on vaccine distribution and planning to ensure target populations are the first to receive the vaccine once it becomes available.</w:t>
      </w:r>
    </w:p>
    <w:p w14:paraId="3FD8554D" w14:textId="77777777" w:rsidR="00031362" w:rsidRDefault="00031362" w:rsidP="00031362"/>
    <w:p w14:paraId="6F6761C9" w14:textId="77777777" w:rsidR="00BB5E5D" w:rsidRDefault="00BB5E5D" w:rsidP="00031362"/>
    <w:p w14:paraId="6C1F45AB" w14:textId="77777777" w:rsidR="00BB5E5D" w:rsidRDefault="00BB5E5D" w:rsidP="00031362"/>
    <w:p w14:paraId="06C08F4F" w14:textId="77777777" w:rsidR="00BB5E5D" w:rsidRDefault="00BB5E5D" w:rsidP="00031362"/>
    <w:p w14:paraId="2446899D" w14:textId="77777777" w:rsidR="00BB5E5D" w:rsidRDefault="00BB5E5D" w:rsidP="00031362"/>
    <w:p w14:paraId="411A238D" w14:textId="77777777" w:rsidR="00BB5E5D" w:rsidRDefault="00BB5E5D" w:rsidP="00031362"/>
    <w:p w14:paraId="22D2B80F" w14:textId="77777777" w:rsidR="00BB5E5D" w:rsidRDefault="00BB5E5D" w:rsidP="00031362"/>
    <w:p w14:paraId="08EBD724" w14:textId="77777777" w:rsidR="00BB5E5D" w:rsidRDefault="00BB5E5D" w:rsidP="00031362"/>
    <w:p w14:paraId="5AA942B0" w14:textId="77777777" w:rsidR="00BB5E5D" w:rsidRDefault="00BB5E5D" w:rsidP="00031362"/>
    <w:p w14:paraId="2A704623" w14:textId="77777777" w:rsidR="00BB5E5D" w:rsidRDefault="00BB5E5D" w:rsidP="00031362"/>
    <w:p w14:paraId="303F6B48" w14:textId="77777777" w:rsidR="00BB5E5D" w:rsidRDefault="00BB5E5D" w:rsidP="00031362"/>
    <w:p w14:paraId="0C037656" w14:textId="77777777" w:rsidR="00BB5E5D" w:rsidRDefault="00BB5E5D" w:rsidP="00031362"/>
    <w:p w14:paraId="7BDF7829" w14:textId="77777777" w:rsidR="00BB5E5D" w:rsidRDefault="00BB5E5D" w:rsidP="00031362"/>
    <w:p w14:paraId="4711C291" w14:textId="77777777" w:rsidR="00BB5E5D" w:rsidRDefault="00BB5E5D" w:rsidP="00031362"/>
    <w:p w14:paraId="0F621051" w14:textId="77777777" w:rsidR="00BB5E5D" w:rsidRDefault="00BB5E5D" w:rsidP="00031362"/>
    <w:p w14:paraId="4018AC85" w14:textId="77777777" w:rsidR="00BB5E5D" w:rsidRDefault="00BB5E5D" w:rsidP="00031362"/>
    <w:p w14:paraId="0D9F53E5" w14:textId="77777777" w:rsidR="00BB5E5D" w:rsidRDefault="00BB5E5D" w:rsidP="00031362"/>
    <w:p w14:paraId="3462290C" w14:textId="77777777" w:rsidR="00BB5E5D" w:rsidRDefault="00BB5E5D" w:rsidP="00031362"/>
    <w:p w14:paraId="34CD7552" w14:textId="77777777" w:rsidR="00BB5E5D" w:rsidRDefault="00BB5E5D" w:rsidP="00031362"/>
    <w:p w14:paraId="1F408065" w14:textId="15866B13" w:rsidR="00DA3237" w:rsidRPr="00DA3237" w:rsidRDefault="00BE759C" w:rsidP="005A777E">
      <w:pPr>
        <w:pStyle w:val="Heading1"/>
        <w:numPr>
          <w:ilvl w:val="0"/>
          <w:numId w:val="26"/>
        </w:numPr>
      </w:pPr>
      <w:bookmarkStart w:id="432" w:name="_Toc31623007"/>
      <w:r>
        <w:lastRenderedPageBreak/>
        <w:t>Domains</w:t>
      </w:r>
      <w:bookmarkEnd w:id="432"/>
      <w:r w:rsidR="00DA3237" w:rsidRPr="00DA3237">
        <w:t xml:space="preserve"> </w:t>
      </w:r>
    </w:p>
    <w:p w14:paraId="25724021" w14:textId="77777777" w:rsidR="00BE759C" w:rsidRDefault="00BE759C" w:rsidP="0005080A">
      <w:pPr>
        <w:spacing w:after="0" w:line="253" w:lineRule="auto"/>
        <w:ind w:right="100"/>
        <w:jc w:val="both"/>
        <w:rPr>
          <w:rFonts w:ascii="Calibri" w:eastAsia="Calibri" w:hAnsi="Calibri" w:cs="Arial"/>
          <w:szCs w:val="20"/>
        </w:rPr>
      </w:pPr>
      <w:r w:rsidRPr="00BE759C">
        <w:rPr>
          <w:rFonts w:ascii="Calibri" w:eastAsia="Calibri" w:hAnsi="Calibri" w:cs="Arial"/>
          <w:szCs w:val="20"/>
        </w:rPr>
        <w:t>While most incidents are handled on a day-to-day basis by a single local jurisdiction, there are instances in which successful incident management depends on the involvement of multiple jurisdictions, functional agencies, and emergency responder disciplines at the local, state, and federal levels. During an infectious disease outbreak MDPH has overall coordination of the health and medical response for the Commonwealth and will coordinate response activities as indicated by the situation.</w:t>
      </w:r>
    </w:p>
    <w:p w14:paraId="2F030C38" w14:textId="77777777" w:rsidR="0005080A" w:rsidRPr="00BE759C" w:rsidRDefault="0005080A" w:rsidP="0005080A">
      <w:pPr>
        <w:spacing w:after="0" w:line="253" w:lineRule="auto"/>
        <w:ind w:right="100"/>
        <w:jc w:val="both"/>
        <w:rPr>
          <w:rFonts w:ascii="Calibri" w:eastAsia="Calibri" w:hAnsi="Calibri" w:cs="Arial"/>
          <w:szCs w:val="20"/>
        </w:rPr>
      </w:pPr>
    </w:p>
    <w:p w14:paraId="2B1307B5" w14:textId="77777777" w:rsidR="00BE759C" w:rsidRPr="00BE759C" w:rsidRDefault="00BE759C" w:rsidP="0005080A">
      <w:pPr>
        <w:spacing w:after="0" w:line="253" w:lineRule="auto"/>
        <w:ind w:right="100"/>
        <w:jc w:val="both"/>
        <w:rPr>
          <w:rFonts w:ascii="Calibri" w:eastAsia="Calibri" w:hAnsi="Calibri" w:cs="Arial"/>
          <w:szCs w:val="20"/>
        </w:rPr>
      </w:pPr>
      <w:r w:rsidRPr="00BE759C">
        <w:rPr>
          <w:rFonts w:ascii="Calibri" w:eastAsia="Calibri" w:hAnsi="Calibri" w:cs="Arial"/>
          <w:szCs w:val="20"/>
        </w:rPr>
        <w:t xml:space="preserve">Below is a grouping of capabilities and the associated activities that will occur within each during the lifecycle of an infectious disease response within Massachusetts. </w:t>
      </w:r>
    </w:p>
    <w:p w14:paraId="141B7CCE" w14:textId="77777777" w:rsidR="00BE759C" w:rsidRPr="00BE759C" w:rsidRDefault="00BE759C" w:rsidP="00BE759C"/>
    <w:p w14:paraId="7D8F9A56" w14:textId="60C6629C" w:rsidR="00BE759C" w:rsidRDefault="00BC6A95" w:rsidP="00BC6A95">
      <w:pPr>
        <w:pStyle w:val="Heading2"/>
        <w:ind w:left="360"/>
      </w:pPr>
      <w:bookmarkStart w:id="433" w:name="_Toc477863415"/>
      <w:bookmarkStart w:id="434" w:name="_Toc481759015"/>
      <w:bookmarkStart w:id="435" w:name="_Toc482792855"/>
      <w:bookmarkStart w:id="436" w:name="_Toc31623008"/>
      <w:r>
        <w:t>6.1</w:t>
      </w:r>
      <w:r w:rsidR="00BE759C" w:rsidRPr="00BE759C">
        <w:t xml:space="preserve"> </w:t>
      </w:r>
      <w:bookmarkEnd w:id="433"/>
      <w:bookmarkEnd w:id="434"/>
      <w:bookmarkEnd w:id="435"/>
      <w:r w:rsidR="005A777E">
        <w:t xml:space="preserve">     </w:t>
      </w:r>
      <w:r w:rsidR="00BE759C" w:rsidRPr="00BE759C">
        <w:t>Public Health Surveillance and Epidemiological Investigation</w:t>
      </w:r>
      <w:bookmarkEnd w:id="436"/>
    </w:p>
    <w:p w14:paraId="31D323DB" w14:textId="77777777" w:rsidR="00FF5FCC" w:rsidRPr="00BE759C" w:rsidRDefault="00FF5FCC" w:rsidP="00BE759C">
      <w:pPr>
        <w:keepNext/>
        <w:keepLines/>
        <w:spacing w:before="200" w:after="0"/>
        <w:ind w:left="360"/>
        <w:jc w:val="both"/>
        <w:outlineLvl w:val="1"/>
        <w:rPr>
          <w:rFonts w:asciiTheme="majorHAnsi" w:eastAsiaTheme="majorEastAsia" w:hAnsiTheme="majorHAnsi" w:cstheme="majorBidi"/>
          <w:b/>
          <w:bCs/>
          <w:color w:val="4F81BD" w:themeColor="accent1"/>
          <w:sz w:val="26"/>
          <w:szCs w:val="26"/>
        </w:rPr>
      </w:pPr>
    </w:p>
    <w:tbl>
      <w:tblPr>
        <w:tblStyle w:val="TableGrid"/>
        <w:tblW w:w="0" w:type="auto"/>
        <w:tblLayout w:type="fixed"/>
        <w:tblLook w:val="04A0" w:firstRow="1" w:lastRow="0" w:firstColumn="1" w:lastColumn="0" w:noHBand="0" w:noVBand="1"/>
      </w:tblPr>
      <w:tblGrid>
        <w:gridCol w:w="1638"/>
        <w:gridCol w:w="7938"/>
      </w:tblGrid>
      <w:tr w:rsidR="00FF5FCC" w:rsidRPr="003A0C9B" w14:paraId="54E08DD0" w14:textId="77777777" w:rsidTr="00032DD3">
        <w:tc>
          <w:tcPr>
            <w:tcW w:w="1638" w:type="dxa"/>
          </w:tcPr>
          <w:p w14:paraId="24FFFFCC" w14:textId="74E54F72" w:rsidR="00FF5FCC" w:rsidRPr="003A0C9B" w:rsidRDefault="00FF5FCC" w:rsidP="00F21535">
            <w:pPr>
              <w:contextualSpacing/>
              <w:rPr>
                <w:sz w:val="22"/>
                <w:szCs w:val="22"/>
              </w:rPr>
            </w:pPr>
            <w:r w:rsidRPr="003A0C9B">
              <w:rPr>
                <w:sz w:val="22"/>
                <w:szCs w:val="22"/>
              </w:rPr>
              <w:t>Preparation</w:t>
            </w:r>
          </w:p>
        </w:tc>
        <w:tc>
          <w:tcPr>
            <w:tcW w:w="7938" w:type="dxa"/>
          </w:tcPr>
          <w:p w14:paraId="64DB717E" w14:textId="77777777" w:rsidR="00AE525D" w:rsidRPr="00032DD3" w:rsidRDefault="00AE525D" w:rsidP="00AE525D">
            <w:pPr>
              <w:jc w:val="both"/>
              <w:rPr>
                <w:i/>
                <w:sz w:val="22"/>
                <w:szCs w:val="22"/>
              </w:rPr>
            </w:pPr>
            <w:r w:rsidRPr="00032DD3">
              <w:rPr>
                <w:sz w:val="22"/>
                <w:szCs w:val="22"/>
              </w:rPr>
              <w:tab/>
              <w:t xml:space="preserve">Public health surveillance is the ongoing systematic collection, analysis, interpretation, and dissemination of data regarding a health-related event to drive public health action to reduce morbidity and mortality and to improve health. </w:t>
            </w:r>
          </w:p>
          <w:p w14:paraId="519DE755" w14:textId="17A32738" w:rsidR="00AE525D" w:rsidRPr="00032DD3" w:rsidRDefault="00AE525D" w:rsidP="00AE525D">
            <w:pPr>
              <w:jc w:val="both"/>
              <w:rPr>
                <w:sz w:val="22"/>
                <w:szCs w:val="22"/>
              </w:rPr>
            </w:pPr>
            <w:r w:rsidRPr="00032DD3">
              <w:rPr>
                <w:sz w:val="22"/>
                <w:szCs w:val="22"/>
              </w:rPr>
              <w:t xml:space="preserve">During this </w:t>
            </w:r>
            <w:r w:rsidR="00D94DC7">
              <w:rPr>
                <w:sz w:val="22"/>
                <w:szCs w:val="22"/>
              </w:rPr>
              <w:t>interval</w:t>
            </w:r>
            <w:r w:rsidRPr="00032DD3">
              <w:rPr>
                <w:sz w:val="22"/>
                <w:szCs w:val="22"/>
              </w:rPr>
              <w:t xml:space="preserve">, routine surveillance occurs at the local and state levels. The local and state public health agencies </w:t>
            </w:r>
            <w:r w:rsidR="00F9418D" w:rsidRPr="00032DD3">
              <w:rPr>
                <w:sz w:val="22"/>
                <w:szCs w:val="22"/>
              </w:rPr>
              <w:t>receiv</w:t>
            </w:r>
            <w:r w:rsidR="00F9418D">
              <w:rPr>
                <w:sz w:val="22"/>
                <w:szCs w:val="22"/>
              </w:rPr>
              <w:t>e</w:t>
            </w:r>
            <w:r w:rsidR="00F9418D" w:rsidRPr="00032DD3">
              <w:rPr>
                <w:sz w:val="22"/>
                <w:szCs w:val="22"/>
              </w:rPr>
              <w:t xml:space="preserve"> </w:t>
            </w:r>
            <w:r w:rsidRPr="00032DD3">
              <w:rPr>
                <w:sz w:val="22"/>
                <w:szCs w:val="22"/>
              </w:rPr>
              <w:t xml:space="preserve">disease </w:t>
            </w:r>
            <w:r w:rsidR="00F9418D">
              <w:rPr>
                <w:sz w:val="22"/>
                <w:szCs w:val="22"/>
              </w:rPr>
              <w:t>reports</w:t>
            </w:r>
            <w:r w:rsidR="00F9418D" w:rsidRPr="00032DD3">
              <w:rPr>
                <w:sz w:val="22"/>
                <w:szCs w:val="22"/>
              </w:rPr>
              <w:t xml:space="preserve"> </w:t>
            </w:r>
            <w:r w:rsidRPr="00032DD3">
              <w:rPr>
                <w:sz w:val="22"/>
                <w:szCs w:val="22"/>
              </w:rPr>
              <w:t>from health</w:t>
            </w:r>
            <w:r w:rsidR="00F9418D">
              <w:rPr>
                <w:sz w:val="22"/>
                <w:szCs w:val="22"/>
              </w:rPr>
              <w:t xml:space="preserve"> care</w:t>
            </w:r>
            <w:r w:rsidRPr="00032DD3">
              <w:rPr>
                <w:sz w:val="22"/>
                <w:szCs w:val="22"/>
              </w:rPr>
              <w:t xml:space="preserve"> providers and laboratory results through Electronic Laboratory Reporting (ELR) </w:t>
            </w:r>
            <w:r w:rsidR="00F9418D">
              <w:rPr>
                <w:sz w:val="22"/>
                <w:szCs w:val="22"/>
              </w:rPr>
              <w:t>mechanisms. P</w:t>
            </w:r>
            <w:r w:rsidR="00F9418D" w:rsidRPr="00032DD3">
              <w:rPr>
                <w:sz w:val="22"/>
                <w:szCs w:val="22"/>
              </w:rPr>
              <w:t xml:space="preserve">ublic </w:t>
            </w:r>
            <w:r w:rsidRPr="00032DD3">
              <w:rPr>
                <w:sz w:val="22"/>
                <w:szCs w:val="22"/>
              </w:rPr>
              <w:t xml:space="preserve">health also engages in </w:t>
            </w:r>
            <w:r w:rsidR="00F9418D">
              <w:rPr>
                <w:sz w:val="22"/>
                <w:szCs w:val="22"/>
              </w:rPr>
              <w:t xml:space="preserve">follow </w:t>
            </w:r>
            <w:r w:rsidR="006160F8">
              <w:rPr>
                <w:sz w:val="22"/>
                <w:szCs w:val="22"/>
              </w:rPr>
              <w:t xml:space="preserve">up </w:t>
            </w:r>
            <w:r w:rsidR="006160F8" w:rsidRPr="00032DD3">
              <w:rPr>
                <w:sz w:val="22"/>
                <w:szCs w:val="22"/>
              </w:rPr>
              <w:t>activities</w:t>
            </w:r>
            <w:r w:rsidRPr="00032DD3">
              <w:rPr>
                <w:sz w:val="22"/>
                <w:szCs w:val="22"/>
              </w:rPr>
              <w:t xml:space="preserve"> as needed: conducting investigations into potential disease cases and/or clusters, and collaborating with the </w:t>
            </w:r>
            <w:r w:rsidR="00F9418D">
              <w:rPr>
                <w:sz w:val="22"/>
                <w:szCs w:val="22"/>
              </w:rPr>
              <w:t xml:space="preserve">Division of </w:t>
            </w:r>
            <w:r w:rsidR="006160F8" w:rsidRPr="00032DD3">
              <w:rPr>
                <w:sz w:val="22"/>
                <w:szCs w:val="22"/>
              </w:rPr>
              <w:t>Epidemiology.</w:t>
            </w:r>
            <w:r w:rsidRPr="00032DD3">
              <w:rPr>
                <w:sz w:val="22"/>
                <w:szCs w:val="22"/>
              </w:rPr>
              <w:t xml:space="preserve">  The </w:t>
            </w:r>
            <w:hyperlink w:anchor="_Appendix_8.2_List" w:history="1">
              <w:r w:rsidRPr="00032DD3">
                <w:rPr>
                  <w:rStyle w:val="Hyperlink"/>
                  <w:sz w:val="22"/>
                  <w:szCs w:val="22"/>
                </w:rPr>
                <w:t>List of</w:t>
              </w:r>
              <w:r w:rsidR="00F9418D">
                <w:rPr>
                  <w:rStyle w:val="Hyperlink"/>
                  <w:sz w:val="22"/>
                  <w:szCs w:val="22"/>
                </w:rPr>
                <w:t xml:space="preserve"> Reportable</w:t>
              </w:r>
              <w:r w:rsidRPr="00032DD3">
                <w:rPr>
                  <w:rStyle w:val="Hyperlink"/>
                  <w:sz w:val="22"/>
                  <w:szCs w:val="22"/>
                </w:rPr>
                <w:t xml:space="preserve"> Infectious Diseases </w:t>
              </w:r>
            </w:hyperlink>
            <w:r w:rsidRPr="00032DD3">
              <w:rPr>
                <w:sz w:val="22"/>
                <w:szCs w:val="22"/>
              </w:rPr>
              <w:t xml:space="preserve"> identifies </w:t>
            </w:r>
            <w:r w:rsidR="00F9418D">
              <w:rPr>
                <w:sz w:val="22"/>
                <w:szCs w:val="22"/>
              </w:rPr>
              <w:t>those</w:t>
            </w:r>
            <w:r w:rsidR="00F9418D" w:rsidRPr="00032DD3">
              <w:rPr>
                <w:sz w:val="22"/>
                <w:szCs w:val="22"/>
              </w:rPr>
              <w:t xml:space="preserve"> </w:t>
            </w:r>
            <w:r w:rsidRPr="00032DD3">
              <w:rPr>
                <w:sz w:val="22"/>
                <w:szCs w:val="22"/>
              </w:rPr>
              <w:t>diseases that local public health agencies, clinical laboratories and healthcare providers must</w:t>
            </w:r>
            <w:r w:rsidR="00F9418D">
              <w:rPr>
                <w:sz w:val="22"/>
                <w:szCs w:val="22"/>
              </w:rPr>
              <w:t xml:space="preserve"> </w:t>
            </w:r>
            <w:r w:rsidR="006160F8">
              <w:rPr>
                <w:sz w:val="22"/>
                <w:szCs w:val="22"/>
              </w:rPr>
              <w:t xml:space="preserve">also </w:t>
            </w:r>
            <w:r w:rsidR="006160F8" w:rsidRPr="00032DD3">
              <w:rPr>
                <w:sz w:val="22"/>
                <w:szCs w:val="22"/>
              </w:rPr>
              <w:t>immediately</w:t>
            </w:r>
            <w:r w:rsidRPr="00032DD3">
              <w:rPr>
                <w:sz w:val="22"/>
                <w:szCs w:val="22"/>
              </w:rPr>
              <w:t xml:space="preserve"> report to the Epidemiologist On-Call with suspected or confirmed cases. </w:t>
            </w:r>
          </w:p>
          <w:p w14:paraId="31C08BAF" w14:textId="7952DBFF" w:rsidR="00AE525D" w:rsidRPr="00032DD3" w:rsidRDefault="00F9418D" w:rsidP="00AE525D">
            <w:pPr>
              <w:jc w:val="both"/>
              <w:rPr>
                <w:sz w:val="22"/>
                <w:szCs w:val="22"/>
              </w:rPr>
            </w:pPr>
            <w:r>
              <w:rPr>
                <w:sz w:val="22"/>
                <w:szCs w:val="22"/>
              </w:rPr>
              <w:t>H</w:t>
            </w:r>
            <w:r w:rsidR="00AE525D" w:rsidRPr="00032DD3">
              <w:rPr>
                <w:sz w:val="22"/>
                <w:szCs w:val="22"/>
              </w:rPr>
              <w:t>ospital</w:t>
            </w:r>
            <w:r>
              <w:rPr>
                <w:sz w:val="22"/>
                <w:szCs w:val="22"/>
              </w:rPr>
              <w:t xml:space="preserve"> emergency departments</w:t>
            </w:r>
            <w:r w:rsidR="00AE525D" w:rsidRPr="00032DD3">
              <w:rPr>
                <w:sz w:val="22"/>
                <w:szCs w:val="22"/>
              </w:rPr>
              <w:t xml:space="preserve"> and </w:t>
            </w:r>
            <w:r>
              <w:rPr>
                <w:sz w:val="22"/>
                <w:szCs w:val="22"/>
              </w:rPr>
              <w:t xml:space="preserve">certain </w:t>
            </w:r>
            <w:r w:rsidR="00AE525D" w:rsidRPr="00032DD3">
              <w:rPr>
                <w:sz w:val="22"/>
                <w:szCs w:val="22"/>
              </w:rPr>
              <w:t xml:space="preserve">urgent care centers </w:t>
            </w:r>
            <w:r>
              <w:rPr>
                <w:sz w:val="22"/>
                <w:szCs w:val="22"/>
              </w:rPr>
              <w:t xml:space="preserve">report visit level data to the National Syndromic Surveillance Platform. </w:t>
            </w:r>
            <w:r w:rsidR="00885D90">
              <w:rPr>
                <w:sz w:val="22"/>
                <w:szCs w:val="22"/>
              </w:rPr>
              <w:t>Data are</w:t>
            </w:r>
            <w:r>
              <w:rPr>
                <w:sz w:val="22"/>
                <w:szCs w:val="22"/>
              </w:rPr>
              <w:t xml:space="preserve"> </w:t>
            </w:r>
            <w:r w:rsidR="00AE525D" w:rsidRPr="00032DD3">
              <w:rPr>
                <w:sz w:val="22"/>
                <w:szCs w:val="22"/>
              </w:rPr>
              <w:t xml:space="preserve">monitored in real time to </w:t>
            </w:r>
            <w:r>
              <w:rPr>
                <w:sz w:val="22"/>
                <w:szCs w:val="22"/>
              </w:rPr>
              <w:t xml:space="preserve">assess situational awareness. </w:t>
            </w:r>
          </w:p>
          <w:p w14:paraId="42BB9051" w14:textId="69379DCA" w:rsidR="00AE525D" w:rsidRPr="00032DD3" w:rsidRDefault="00AE525D" w:rsidP="00AE525D">
            <w:pPr>
              <w:jc w:val="both"/>
              <w:rPr>
                <w:sz w:val="22"/>
                <w:szCs w:val="22"/>
              </w:rPr>
            </w:pPr>
            <w:r w:rsidRPr="00032DD3">
              <w:rPr>
                <w:sz w:val="22"/>
                <w:szCs w:val="22"/>
              </w:rPr>
              <w:t xml:space="preserve">During the Preparation/Routine </w:t>
            </w:r>
            <w:r w:rsidR="00D94DC7">
              <w:rPr>
                <w:sz w:val="22"/>
                <w:szCs w:val="22"/>
              </w:rPr>
              <w:t>Interval</w:t>
            </w:r>
            <w:r w:rsidRPr="00032DD3">
              <w:rPr>
                <w:sz w:val="22"/>
                <w:szCs w:val="22"/>
              </w:rPr>
              <w:t>, at the state level:</w:t>
            </w:r>
          </w:p>
          <w:p w14:paraId="309C41CD" w14:textId="3C2311E0" w:rsidR="00AE525D" w:rsidRPr="00032DD3" w:rsidRDefault="00AE525D" w:rsidP="00050DCF">
            <w:pPr>
              <w:pStyle w:val="ListParagraph"/>
              <w:numPr>
                <w:ilvl w:val="0"/>
                <w:numId w:val="22"/>
              </w:numPr>
              <w:jc w:val="both"/>
              <w:rPr>
                <w:sz w:val="22"/>
                <w:szCs w:val="22"/>
              </w:rPr>
            </w:pPr>
            <w:r w:rsidRPr="00032DD3">
              <w:rPr>
                <w:sz w:val="22"/>
                <w:szCs w:val="22"/>
              </w:rPr>
              <w:t xml:space="preserve">The </w:t>
            </w:r>
            <w:r w:rsidR="00F9418D">
              <w:rPr>
                <w:sz w:val="22"/>
                <w:szCs w:val="22"/>
              </w:rPr>
              <w:t xml:space="preserve">Division of </w:t>
            </w:r>
            <w:r w:rsidRPr="00032DD3">
              <w:rPr>
                <w:sz w:val="22"/>
                <w:szCs w:val="22"/>
              </w:rPr>
              <w:t xml:space="preserve">Epidemiology collaborates with local public health agencies to conduct case investigations and provide technical assistance as needed </w:t>
            </w:r>
          </w:p>
          <w:p w14:paraId="75952F29" w14:textId="2871A4CE" w:rsidR="00AE525D" w:rsidRPr="00032DD3" w:rsidRDefault="00AE525D" w:rsidP="00050DCF">
            <w:pPr>
              <w:pStyle w:val="ListParagraph"/>
              <w:numPr>
                <w:ilvl w:val="0"/>
                <w:numId w:val="22"/>
              </w:numPr>
              <w:jc w:val="both"/>
              <w:rPr>
                <w:sz w:val="22"/>
                <w:szCs w:val="22"/>
              </w:rPr>
            </w:pPr>
            <w:r w:rsidRPr="00032DD3">
              <w:rPr>
                <w:sz w:val="22"/>
                <w:szCs w:val="22"/>
              </w:rPr>
              <w:t xml:space="preserve">The Office of Integrated Surveillance and Informatics Services </w:t>
            </w:r>
            <w:r w:rsidR="00A60B6A">
              <w:rPr>
                <w:sz w:val="22"/>
                <w:szCs w:val="22"/>
              </w:rPr>
              <w:t xml:space="preserve"> collects and manages </w:t>
            </w:r>
            <w:r w:rsidRPr="00032DD3">
              <w:rPr>
                <w:sz w:val="22"/>
                <w:szCs w:val="22"/>
              </w:rPr>
              <w:t xml:space="preserve">disease surveillance data used to inform activities </w:t>
            </w:r>
            <w:r w:rsidR="00A60B6A">
              <w:rPr>
                <w:sz w:val="22"/>
                <w:szCs w:val="22"/>
              </w:rPr>
              <w:t xml:space="preserve">for BIDLS and local health departments and provides routine updates to MAVEN and supporting infrastructure to ensure readiness </w:t>
            </w:r>
          </w:p>
          <w:p w14:paraId="773F21FD" w14:textId="2ACC31ED" w:rsidR="00AE525D" w:rsidRPr="00032DD3" w:rsidRDefault="005344BE" w:rsidP="00050DCF">
            <w:pPr>
              <w:pStyle w:val="ListParagraph"/>
              <w:numPr>
                <w:ilvl w:val="0"/>
                <w:numId w:val="22"/>
              </w:numPr>
              <w:jc w:val="both"/>
              <w:rPr>
                <w:color w:val="1F497D"/>
                <w:sz w:val="22"/>
                <w:szCs w:val="22"/>
              </w:rPr>
            </w:pPr>
            <w:r>
              <w:rPr>
                <w:sz w:val="22"/>
                <w:szCs w:val="22"/>
              </w:rPr>
              <w:t>The Division of Epidemiology Influenza Surveillance Program</w:t>
            </w:r>
            <w:r w:rsidR="00AE525D" w:rsidRPr="00032DD3">
              <w:rPr>
                <w:sz w:val="22"/>
                <w:szCs w:val="22"/>
              </w:rPr>
              <w:t xml:space="preserve"> monitors sentinel sites, a network of volunteer providers and healthcare organizations which report on influenza-like illness (ILI). An influenza-like illness activity level is reported weekly throughout flu season to the CDC and via the MDPH weekly flu report</w:t>
            </w:r>
          </w:p>
          <w:p w14:paraId="4C07EEE8" w14:textId="76A428B0" w:rsidR="00AE525D" w:rsidRPr="00032DD3" w:rsidRDefault="00AE525D" w:rsidP="00050DCF">
            <w:pPr>
              <w:pStyle w:val="ListParagraph"/>
              <w:numPr>
                <w:ilvl w:val="0"/>
                <w:numId w:val="22"/>
              </w:numPr>
              <w:jc w:val="both"/>
              <w:rPr>
                <w:sz w:val="22"/>
                <w:szCs w:val="22"/>
              </w:rPr>
            </w:pPr>
            <w:r w:rsidRPr="00032DD3">
              <w:rPr>
                <w:sz w:val="22"/>
                <w:szCs w:val="22"/>
              </w:rPr>
              <w:t xml:space="preserve">BIDLS works with the </w:t>
            </w:r>
            <w:proofErr w:type="spellStart"/>
            <w:r w:rsidRPr="00032DD3">
              <w:rPr>
                <w:sz w:val="22"/>
                <w:szCs w:val="22"/>
              </w:rPr>
              <w:t>BioWatch</w:t>
            </w:r>
            <w:proofErr w:type="spellEnd"/>
            <w:r w:rsidRPr="00032DD3">
              <w:rPr>
                <w:sz w:val="22"/>
                <w:szCs w:val="22"/>
              </w:rPr>
              <w:t xml:space="preserve"> </w:t>
            </w:r>
            <w:r w:rsidR="00D94DC7">
              <w:rPr>
                <w:sz w:val="22"/>
                <w:szCs w:val="22"/>
              </w:rPr>
              <w:t>Division</w:t>
            </w:r>
            <w:r w:rsidRPr="00032DD3">
              <w:rPr>
                <w:sz w:val="22"/>
                <w:szCs w:val="22"/>
              </w:rPr>
              <w:t xml:space="preserve"> to detect biological agents that may present a threat to public health </w:t>
            </w:r>
          </w:p>
          <w:p w14:paraId="36862FB2" w14:textId="526F3D0E" w:rsidR="00FF5FCC" w:rsidRPr="00032DD3" w:rsidRDefault="00FF5FCC" w:rsidP="00AE525D">
            <w:pPr>
              <w:tabs>
                <w:tab w:val="left" w:pos="652"/>
              </w:tabs>
              <w:rPr>
                <w:sz w:val="22"/>
                <w:szCs w:val="22"/>
              </w:rPr>
            </w:pPr>
          </w:p>
        </w:tc>
      </w:tr>
      <w:tr w:rsidR="00FF5FCC" w:rsidRPr="003A0C9B" w14:paraId="48114A73" w14:textId="77777777" w:rsidTr="00032DD3">
        <w:tc>
          <w:tcPr>
            <w:tcW w:w="1638" w:type="dxa"/>
          </w:tcPr>
          <w:p w14:paraId="45AD4FB6" w14:textId="77777777" w:rsidR="00FF5FCC" w:rsidRPr="003A0C9B" w:rsidRDefault="00FF5FCC" w:rsidP="00032DD3">
            <w:pPr>
              <w:spacing w:line="276" w:lineRule="auto"/>
              <w:rPr>
                <w:sz w:val="22"/>
                <w:szCs w:val="22"/>
              </w:rPr>
            </w:pPr>
            <w:r w:rsidRPr="003A0C9B">
              <w:rPr>
                <w:sz w:val="22"/>
                <w:szCs w:val="22"/>
              </w:rPr>
              <w:lastRenderedPageBreak/>
              <w:t>Investigation/</w:t>
            </w:r>
          </w:p>
          <w:p w14:paraId="24D7C938" w14:textId="77777777" w:rsidR="00FF5FCC" w:rsidRPr="003A0C9B" w:rsidRDefault="00FF5FCC" w:rsidP="00032DD3">
            <w:pPr>
              <w:spacing w:line="276" w:lineRule="auto"/>
              <w:rPr>
                <w:sz w:val="22"/>
                <w:szCs w:val="22"/>
              </w:rPr>
            </w:pPr>
            <w:r w:rsidRPr="003A0C9B">
              <w:rPr>
                <w:sz w:val="22"/>
                <w:szCs w:val="22"/>
              </w:rPr>
              <w:t>Alerting</w:t>
            </w:r>
          </w:p>
        </w:tc>
        <w:tc>
          <w:tcPr>
            <w:tcW w:w="7938" w:type="dxa"/>
          </w:tcPr>
          <w:p w14:paraId="390143BF" w14:textId="77777777" w:rsidR="00AE525D" w:rsidRPr="00032DD3" w:rsidRDefault="00AE525D" w:rsidP="00AE525D">
            <w:pPr>
              <w:jc w:val="both"/>
              <w:rPr>
                <w:sz w:val="22"/>
                <w:szCs w:val="22"/>
              </w:rPr>
            </w:pPr>
            <w:r w:rsidRPr="00032DD3">
              <w:rPr>
                <w:sz w:val="22"/>
                <w:szCs w:val="22"/>
              </w:rPr>
              <w:t>When a known infectious disease outbreak or new infectious disease has emerged outside of the Commonwealth, BIDLS staff will monitor the case definition as set forth by the CDC and/or WHO (if available).</w:t>
            </w:r>
          </w:p>
          <w:p w14:paraId="0090D82C" w14:textId="68654E5F" w:rsidR="00AE525D" w:rsidRPr="00032DD3" w:rsidRDefault="00AE525D" w:rsidP="00AE525D">
            <w:pPr>
              <w:jc w:val="both"/>
              <w:rPr>
                <w:sz w:val="22"/>
                <w:szCs w:val="22"/>
              </w:rPr>
            </w:pPr>
            <w:r w:rsidRPr="00032DD3">
              <w:rPr>
                <w:sz w:val="22"/>
                <w:szCs w:val="22"/>
              </w:rPr>
              <w:t xml:space="preserve">The </w:t>
            </w:r>
            <w:r w:rsidR="00A60B6A">
              <w:rPr>
                <w:sz w:val="22"/>
                <w:szCs w:val="22"/>
              </w:rPr>
              <w:t xml:space="preserve">Division of </w:t>
            </w:r>
            <w:r w:rsidR="006160F8" w:rsidRPr="00032DD3">
              <w:rPr>
                <w:sz w:val="22"/>
                <w:szCs w:val="22"/>
              </w:rPr>
              <w:t xml:space="preserve">Epidemiology </w:t>
            </w:r>
            <w:r w:rsidR="006160F8">
              <w:rPr>
                <w:sz w:val="22"/>
                <w:szCs w:val="22"/>
              </w:rPr>
              <w:t>and</w:t>
            </w:r>
            <w:r w:rsidR="00A60B6A">
              <w:rPr>
                <w:sz w:val="22"/>
                <w:szCs w:val="22"/>
              </w:rPr>
              <w:t xml:space="preserve"> ISIS </w:t>
            </w:r>
            <w:r w:rsidRPr="00032DD3">
              <w:rPr>
                <w:sz w:val="22"/>
                <w:szCs w:val="22"/>
              </w:rPr>
              <w:t xml:space="preserve">may engage in enhanced surveillance, working closely with the healthcare providers and laboratories most likely to report a particular disease or disease group, and with local public health to monitor disease trends in the population that may signify the occurrence of an infectious disease in Massachusetts. </w:t>
            </w:r>
            <w:r w:rsidR="00A60B6A">
              <w:rPr>
                <w:sz w:val="22"/>
                <w:szCs w:val="22"/>
              </w:rPr>
              <w:t>Staff will assess MAVEN and supporting infrastructure to determine whether additional data collection and system modifications are appropriate.</w:t>
            </w:r>
          </w:p>
          <w:p w14:paraId="4FC1C508" w14:textId="2CF25EDD" w:rsidR="00AE525D" w:rsidRPr="00032DD3" w:rsidRDefault="00AE525D" w:rsidP="00AE525D">
            <w:pPr>
              <w:jc w:val="both"/>
              <w:rPr>
                <w:sz w:val="22"/>
                <w:szCs w:val="22"/>
              </w:rPr>
            </w:pPr>
            <w:r w:rsidRPr="00032DD3">
              <w:rPr>
                <w:sz w:val="22"/>
                <w:szCs w:val="22"/>
              </w:rPr>
              <w:t xml:space="preserve">The Immunization </w:t>
            </w:r>
            <w:r w:rsidR="002A2DD7">
              <w:rPr>
                <w:sz w:val="22"/>
                <w:szCs w:val="22"/>
              </w:rPr>
              <w:t xml:space="preserve">Division </w:t>
            </w:r>
            <w:r w:rsidRPr="00032DD3">
              <w:rPr>
                <w:sz w:val="22"/>
                <w:szCs w:val="22"/>
              </w:rPr>
              <w:t xml:space="preserve">will communicate with the CDC to determine if a vaccine response is needed, or available, for the infectious disease. </w:t>
            </w:r>
          </w:p>
          <w:p w14:paraId="57B0B4D3" w14:textId="77777777" w:rsidR="00AE525D" w:rsidRPr="00032DD3" w:rsidRDefault="00AE525D" w:rsidP="00AE525D">
            <w:pPr>
              <w:jc w:val="both"/>
              <w:rPr>
                <w:sz w:val="22"/>
                <w:szCs w:val="22"/>
              </w:rPr>
            </w:pPr>
            <w:r w:rsidRPr="00032DD3">
              <w:rPr>
                <w:sz w:val="22"/>
                <w:szCs w:val="22"/>
              </w:rPr>
              <w:t xml:space="preserve">Local and state public health agencies will continue to use MAVEN to share information relative to disease case management and investigation.  </w:t>
            </w:r>
          </w:p>
          <w:p w14:paraId="3115DDB1" w14:textId="464D3792" w:rsidR="00AE525D" w:rsidRPr="00032DD3" w:rsidRDefault="00AE525D" w:rsidP="00AE525D">
            <w:pPr>
              <w:jc w:val="both"/>
              <w:rPr>
                <w:sz w:val="22"/>
                <w:szCs w:val="22"/>
              </w:rPr>
            </w:pPr>
            <w:r w:rsidRPr="00032DD3">
              <w:rPr>
                <w:sz w:val="22"/>
                <w:szCs w:val="22"/>
              </w:rPr>
              <w:t xml:space="preserve">MDPH will monitor international trends related to the outbreak of </w:t>
            </w:r>
            <w:r w:rsidR="00A33773">
              <w:t>emerging infectious disease</w:t>
            </w:r>
            <w:r w:rsidRPr="00032DD3">
              <w:rPr>
                <w:sz w:val="22"/>
                <w:szCs w:val="22"/>
              </w:rPr>
              <w:t xml:space="preserve"> due to the potential impact on Massachusetts residents who travel for business, school, and personal reasons. MDPH will assess the Commonwealth’s demographics to identify early concerns based on global events.</w:t>
            </w:r>
          </w:p>
          <w:p w14:paraId="054F237E" w14:textId="2D27BB37" w:rsidR="00FF5FCC" w:rsidRPr="00032DD3" w:rsidRDefault="00FF5FCC" w:rsidP="00FF5FCC">
            <w:pPr>
              <w:rPr>
                <w:sz w:val="22"/>
                <w:szCs w:val="22"/>
              </w:rPr>
            </w:pPr>
          </w:p>
        </w:tc>
      </w:tr>
      <w:tr w:rsidR="00FF5FCC" w:rsidRPr="003A0C9B" w14:paraId="13484681" w14:textId="77777777" w:rsidTr="00032DD3">
        <w:tc>
          <w:tcPr>
            <w:tcW w:w="1638" w:type="dxa"/>
          </w:tcPr>
          <w:p w14:paraId="5A620806" w14:textId="77777777" w:rsidR="00FF5FCC" w:rsidRPr="003A0C9B" w:rsidRDefault="00FF5FCC" w:rsidP="00032DD3">
            <w:pPr>
              <w:spacing w:line="276" w:lineRule="auto"/>
              <w:rPr>
                <w:sz w:val="22"/>
                <w:szCs w:val="22"/>
              </w:rPr>
            </w:pPr>
            <w:r w:rsidRPr="003A0C9B">
              <w:rPr>
                <w:sz w:val="22"/>
                <w:szCs w:val="22"/>
              </w:rPr>
              <w:t>Recognition</w:t>
            </w:r>
          </w:p>
        </w:tc>
        <w:tc>
          <w:tcPr>
            <w:tcW w:w="7938" w:type="dxa"/>
          </w:tcPr>
          <w:p w14:paraId="350FF38F" w14:textId="5D1339DB" w:rsidR="00AE525D" w:rsidRPr="00032DD3" w:rsidRDefault="00AE525D" w:rsidP="00AE525D">
            <w:pPr>
              <w:jc w:val="both"/>
              <w:rPr>
                <w:sz w:val="22"/>
                <w:szCs w:val="22"/>
              </w:rPr>
            </w:pPr>
            <w:r w:rsidRPr="00032DD3">
              <w:rPr>
                <w:sz w:val="22"/>
                <w:szCs w:val="22"/>
              </w:rPr>
              <w:t xml:space="preserve">BIDLS staff will monitor, update and disseminate the case definition, threat assessment, laboratory diagnostic and clinical guidance, and preventative information for the infectious disease as appropriate, incorporating any guidance disseminated by the CDC and WHO.  The </w:t>
            </w:r>
            <w:r w:rsidR="00A60B6A">
              <w:rPr>
                <w:sz w:val="22"/>
                <w:szCs w:val="22"/>
              </w:rPr>
              <w:t xml:space="preserve">Division of </w:t>
            </w:r>
            <w:r w:rsidRPr="00032DD3">
              <w:rPr>
                <w:sz w:val="22"/>
                <w:szCs w:val="22"/>
              </w:rPr>
              <w:t xml:space="preserve">Epidemiology will also be in close communication with local public health agencies in order to provide necessary technical assistance, and prepare for a potential increase in case investigations. </w:t>
            </w:r>
          </w:p>
          <w:p w14:paraId="3FFF8CB1" w14:textId="013F45E1" w:rsidR="00AE525D" w:rsidRPr="00032DD3" w:rsidRDefault="00AE525D" w:rsidP="00AE525D">
            <w:pPr>
              <w:jc w:val="both"/>
              <w:rPr>
                <w:sz w:val="22"/>
                <w:szCs w:val="22"/>
              </w:rPr>
            </w:pPr>
            <w:r w:rsidRPr="00032DD3">
              <w:rPr>
                <w:sz w:val="22"/>
                <w:szCs w:val="22"/>
              </w:rPr>
              <w:t xml:space="preserve">The </w:t>
            </w:r>
            <w:r w:rsidR="00A60B6A">
              <w:rPr>
                <w:sz w:val="22"/>
                <w:szCs w:val="22"/>
              </w:rPr>
              <w:t xml:space="preserve">Division of </w:t>
            </w:r>
            <w:r w:rsidR="006160F8" w:rsidRPr="00032DD3">
              <w:rPr>
                <w:sz w:val="22"/>
                <w:szCs w:val="22"/>
              </w:rPr>
              <w:t xml:space="preserve">Epidemiology </w:t>
            </w:r>
            <w:r w:rsidR="006160F8">
              <w:rPr>
                <w:sz w:val="22"/>
                <w:szCs w:val="22"/>
              </w:rPr>
              <w:t>staff</w:t>
            </w:r>
            <w:r w:rsidRPr="00032DD3">
              <w:rPr>
                <w:sz w:val="22"/>
                <w:szCs w:val="22"/>
              </w:rPr>
              <w:t xml:space="preserve"> will likely be fielding increased call volumes with requests for information. BIDLS leadership will identify staff support options in anticipation of a surge in infectious disease cases. </w:t>
            </w:r>
            <w:r w:rsidR="00A60B6A">
              <w:rPr>
                <w:sz w:val="22"/>
                <w:szCs w:val="22"/>
              </w:rPr>
              <w:t>ISIS staff will work with IT to enhance MAVEN and supporting infrastructure to incorporate new data collection and triage needs.</w:t>
            </w:r>
          </w:p>
          <w:p w14:paraId="750D1E17" w14:textId="0D6487B3" w:rsidR="00FF5FCC" w:rsidRPr="00032DD3" w:rsidRDefault="00FF5FCC" w:rsidP="00FF5FCC">
            <w:pPr>
              <w:rPr>
                <w:sz w:val="22"/>
                <w:szCs w:val="22"/>
              </w:rPr>
            </w:pPr>
          </w:p>
        </w:tc>
      </w:tr>
      <w:tr w:rsidR="00FF5FCC" w:rsidRPr="003A0C9B" w14:paraId="5BE062E0" w14:textId="77777777" w:rsidTr="00032DD3">
        <w:tc>
          <w:tcPr>
            <w:tcW w:w="1638" w:type="dxa"/>
          </w:tcPr>
          <w:p w14:paraId="56C576CA" w14:textId="77777777" w:rsidR="00FF5FCC" w:rsidRPr="003A0C9B" w:rsidRDefault="00FF5FCC" w:rsidP="00032DD3">
            <w:pPr>
              <w:spacing w:line="276" w:lineRule="auto"/>
              <w:rPr>
                <w:sz w:val="22"/>
                <w:szCs w:val="22"/>
              </w:rPr>
            </w:pPr>
            <w:r w:rsidRPr="003A0C9B">
              <w:rPr>
                <w:sz w:val="22"/>
                <w:szCs w:val="22"/>
              </w:rPr>
              <w:t>Initiation</w:t>
            </w:r>
          </w:p>
        </w:tc>
        <w:tc>
          <w:tcPr>
            <w:tcW w:w="7938" w:type="dxa"/>
          </w:tcPr>
          <w:p w14:paraId="08107944" w14:textId="4488AF6F" w:rsidR="00AE525D" w:rsidRPr="00032DD3" w:rsidRDefault="00AE525D" w:rsidP="00AE525D">
            <w:pPr>
              <w:jc w:val="both"/>
              <w:rPr>
                <w:color w:val="FF0000"/>
                <w:sz w:val="22"/>
                <w:szCs w:val="22"/>
              </w:rPr>
            </w:pPr>
            <w:r w:rsidRPr="00032DD3">
              <w:rPr>
                <w:sz w:val="22"/>
                <w:szCs w:val="22"/>
              </w:rPr>
              <w:t xml:space="preserve">In addition to supporting local public health agencies with increased case investigations and contact tracing, the Epidemiology </w:t>
            </w:r>
            <w:r w:rsidR="002A2DD7">
              <w:rPr>
                <w:sz w:val="22"/>
                <w:szCs w:val="22"/>
              </w:rPr>
              <w:t>Division</w:t>
            </w:r>
            <w:r w:rsidRPr="00032DD3">
              <w:rPr>
                <w:sz w:val="22"/>
                <w:szCs w:val="22"/>
              </w:rPr>
              <w:t xml:space="preserve"> will assess the need for additional support options to handle increased call volumes and ways to triage and quickly respond to questions from the “worried well” while maintaining SME time for critical stakeholders. </w:t>
            </w:r>
          </w:p>
          <w:p w14:paraId="304ED8D0" w14:textId="76F5C645" w:rsidR="00FF5FCC" w:rsidRPr="00032DD3" w:rsidRDefault="00FF5FCC" w:rsidP="00FF5FCC">
            <w:pPr>
              <w:pStyle w:val="ListParagraph"/>
              <w:spacing w:line="276" w:lineRule="auto"/>
              <w:ind w:left="266"/>
              <w:rPr>
                <w:sz w:val="22"/>
                <w:szCs w:val="22"/>
              </w:rPr>
            </w:pPr>
          </w:p>
        </w:tc>
      </w:tr>
      <w:tr w:rsidR="00FF5FCC" w:rsidRPr="003A0C9B" w14:paraId="5305502A" w14:textId="77777777" w:rsidTr="00032DD3">
        <w:tc>
          <w:tcPr>
            <w:tcW w:w="1638" w:type="dxa"/>
          </w:tcPr>
          <w:p w14:paraId="4A3E17DF" w14:textId="77777777" w:rsidR="00FF5FCC" w:rsidRPr="003A0C9B" w:rsidRDefault="00FF5FCC" w:rsidP="00032DD3">
            <w:pPr>
              <w:spacing w:line="276" w:lineRule="auto"/>
              <w:rPr>
                <w:sz w:val="22"/>
                <w:szCs w:val="22"/>
              </w:rPr>
            </w:pPr>
            <w:r w:rsidRPr="003A0C9B">
              <w:rPr>
                <w:sz w:val="22"/>
                <w:szCs w:val="22"/>
              </w:rPr>
              <w:t>Acceleration</w:t>
            </w:r>
          </w:p>
        </w:tc>
        <w:tc>
          <w:tcPr>
            <w:tcW w:w="7938" w:type="dxa"/>
          </w:tcPr>
          <w:p w14:paraId="7A6E4D95" w14:textId="21CB019F" w:rsidR="00FA013D" w:rsidRPr="00032DD3" w:rsidRDefault="00FA013D" w:rsidP="00FA013D">
            <w:pPr>
              <w:jc w:val="both"/>
              <w:rPr>
                <w:sz w:val="22"/>
                <w:szCs w:val="22"/>
              </w:rPr>
            </w:pPr>
            <w:r w:rsidRPr="00032DD3">
              <w:rPr>
                <w:sz w:val="22"/>
                <w:szCs w:val="22"/>
              </w:rPr>
              <w:t xml:space="preserve">The </w:t>
            </w:r>
            <w:r w:rsidR="00A60B6A">
              <w:rPr>
                <w:sz w:val="22"/>
                <w:szCs w:val="22"/>
              </w:rPr>
              <w:t xml:space="preserve">Division of </w:t>
            </w:r>
            <w:r w:rsidRPr="00032DD3">
              <w:rPr>
                <w:sz w:val="22"/>
                <w:szCs w:val="22"/>
              </w:rPr>
              <w:t>Epidemiology will work at maximum to support local public health agencies with their efforts to implement isolation and quarantine, and serve as advisors for governmental initiatives aimed to promote social distancing to stop the spread of disease.</w:t>
            </w:r>
          </w:p>
          <w:p w14:paraId="23E63ED6" w14:textId="040A0655" w:rsidR="00FF5FCC" w:rsidRPr="00032DD3" w:rsidRDefault="00FA013D" w:rsidP="00A60B6A">
            <w:pPr>
              <w:jc w:val="both"/>
              <w:rPr>
                <w:sz w:val="22"/>
                <w:szCs w:val="22"/>
              </w:rPr>
            </w:pPr>
            <w:r w:rsidRPr="00032DD3">
              <w:rPr>
                <w:sz w:val="22"/>
                <w:szCs w:val="22"/>
              </w:rPr>
              <w:t xml:space="preserve">The </w:t>
            </w:r>
            <w:r w:rsidR="00A60B6A">
              <w:rPr>
                <w:sz w:val="22"/>
                <w:szCs w:val="22"/>
              </w:rPr>
              <w:t xml:space="preserve">Division of </w:t>
            </w:r>
            <w:r w:rsidRPr="00032DD3">
              <w:rPr>
                <w:sz w:val="22"/>
                <w:szCs w:val="22"/>
              </w:rPr>
              <w:t xml:space="preserve">Epidemiology </w:t>
            </w:r>
            <w:r w:rsidR="002A2DD7">
              <w:rPr>
                <w:sz w:val="22"/>
                <w:szCs w:val="22"/>
              </w:rPr>
              <w:t>and Immunization Division</w:t>
            </w:r>
            <w:r w:rsidRPr="00032DD3">
              <w:rPr>
                <w:sz w:val="22"/>
                <w:szCs w:val="22"/>
              </w:rPr>
              <w:t xml:space="preserve"> may recall contract support to assist in responding to public requests for information via the hotline, and with other activities as needed.</w:t>
            </w:r>
          </w:p>
        </w:tc>
      </w:tr>
      <w:tr w:rsidR="00FF5FCC" w:rsidRPr="003A0C9B" w14:paraId="39A0416D" w14:textId="77777777" w:rsidTr="00032DD3">
        <w:tc>
          <w:tcPr>
            <w:tcW w:w="1638" w:type="dxa"/>
          </w:tcPr>
          <w:p w14:paraId="0DE12C7C" w14:textId="77777777" w:rsidR="00FF5FCC" w:rsidRPr="003A0C9B" w:rsidRDefault="00FF5FCC" w:rsidP="00032DD3">
            <w:pPr>
              <w:spacing w:line="276" w:lineRule="auto"/>
              <w:rPr>
                <w:sz w:val="22"/>
                <w:szCs w:val="22"/>
              </w:rPr>
            </w:pPr>
            <w:r w:rsidRPr="003A0C9B">
              <w:rPr>
                <w:sz w:val="22"/>
                <w:szCs w:val="22"/>
              </w:rPr>
              <w:t>Demobilization</w:t>
            </w:r>
          </w:p>
        </w:tc>
        <w:tc>
          <w:tcPr>
            <w:tcW w:w="7938" w:type="dxa"/>
          </w:tcPr>
          <w:p w14:paraId="797961FB" w14:textId="741A7E39" w:rsidR="00FA013D" w:rsidRPr="00032DD3" w:rsidRDefault="00A60B6A" w:rsidP="00FA013D">
            <w:pPr>
              <w:jc w:val="both"/>
              <w:rPr>
                <w:sz w:val="22"/>
                <w:szCs w:val="22"/>
              </w:rPr>
            </w:pPr>
            <w:r>
              <w:rPr>
                <w:sz w:val="22"/>
                <w:szCs w:val="22"/>
              </w:rPr>
              <w:t xml:space="preserve">The Division of </w:t>
            </w:r>
            <w:r w:rsidR="006160F8" w:rsidRPr="00032DD3">
              <w:rPr>
                <w:sz w:val="22"/>
                <w:szCs w:val="22"/>
              </w:rPr>
              <w:t xml:space="preserve">Epidemiology </w:t>
            </w:r>
            <w:r w:rsidR="006160F8">
              <w:rPr>
                <w:sz w:val="22"/>
                <w:szCs w:val="22"/>
              </w:rPr>
              <w:t>and</w:t>
            </w:r>
            <w:r>
              <w:rPr>
                <w:sz w:val="22"/>
                <w:szCs w:val="22"/>
              </w:rPr>
              <w:t xml:space="preserve"> ISIS </w:t>
            </w:r>
            <w:r w:rsidR="00FA013D" w:rsidRPr="00032DD3">
              <w:rPr>
                <w:sz w:val="22"/>
                <w:szCs w:val="22"/>
              </w:rPr>
              <w:t xml:space="preserve">staff will continue both enhanced and active surveillance activities to ensure the decreased transmission of the disease, to a less urgent degree than during the peak of infection rates. Meanwhile, they will also resume routine surveillance and testing activities that may have become delayed due </w:t>
            </w:r>
            <w:r w:rsidR="00FA013D" w:rsidRPr="00032DD3">
              <w:rPr>
                <w:sz w:val="22"/>
                <w:szCs w:val="22"/>
              </w:rPr>
              <w:lastRenderedPageBreak/>
              <w:t xml:space="preserve">to the infectious disease emergency. The </w:t>
            </w:r>
            <w:r>
              <w:rPr>
                <w:sz w:val="22"/>
                <w:szCs w:val="22"/>
              </w:rPr>
              <w:t xml:space="preserve">Division of </w:t>
            </w:r>
            <w:r w:rsidR="00FA013D" w:rsidRPr="00032DD3">
              <w:rPr>
                <w:sz w:val="22"/>
                <w:szCs w:val="22"/>
              </w:rPr>
              <w:t xml:space="preserve">Epidemiology will work with local public health departments to transition the full load of investigations and follow-up activities back to the local public health domain. </w:t>
            </w:r>
          </w:p>
          <w:p w14:paraId="03E66AEA" w14:textId="5EA658CF" w:rsidR="00FF5FCC" w:rsidRPr="00032DD3" w:rsidRDefault="00FF5FCC" w:rsidP="00FF5FCC">
            <w:pPr>
              <w:spacing w:line="276" w:lineRule="auto"/>
              <w:ind w:left="252"/>
              <w:contextualSpacing/>
              <w:rPr>
                <w:sz w:val="22"/>
                <w:szCs w:val="22"/>
              </w:rPr>
            </w:pPr>
          </w:p>
        </w:tc>
      </w:tr>
    </w:tbl>
    <w:p w14:paraId="5BC76D86" w14:textId="3F7B0283" w:rsidR="00BE759C" w:rsidRDefault="00BE759C" w:rsidP="00BC6A95">
      <w:pPr>
        <w:pStyle w:val="Heading2"/>
        <w:ind w:left="450"/>
      </w:pPr>
      <w:bookmarkStart w:id="437" w:name="_Toc470164560"/>
      <w:bookmarkStart w:id="438" w:name="_Toc473721319"/>
      <w:bookmarkStart w:id="439" w:name="_Toc476815773"/>
      <w:bookmarkStart w:id="440" w:name="_Toc477863421"/>
      <w:bookmarkStart w:id="441" w:name="_Toc477864034"/>
      <w:bookmarkStart w:id="442" w:name="_Toc477866334"/>
      <w:bookmarkStart w:id="443" w:name="_Toc480546382"/>
      <w:bookmarkStart w:id="444" w:name="_Toc481759021"/>
      <w:bookmarkStart w:id="445" w:name="_Toc482792861"/>
      <w:bookmarkStart w:id="446" w:name="_Toc482793017"/>
      <w:bookmarkStart w:id="447" w:name="_Toc482793331"/>
      <w:bookmarkStart w:id="448" w:name="_Toc356762303"/>
      <w:bookmarkStart w:id="449" w:name="_Toc483566898"/>
      <w:bookmarkStart w:id="450" w:name="_Toc483995685"/>
      <w:bookmarkStart w:id="451" w:name="_Toc483996037"/>
      <w:bookmarkStart w:id="452" w:name="_Toc484606961"/>
      <w:bookmarkStart w:id="453" w:name="_Toc486238582"/>
      <w:bookmarkStart w:id="454" w:name="_Toc486328955"/>
      <w:bookmarkStart w:id="455" w:name="_Toc486407750"/>
      <w:bookmarkStart w:id="456" w:name="_Toc486492352"/>
      <w:bookmarkStart w:id="457" w:name="_Toc486499849"/>
      <w:bookmarkStart w:id="458" w:name="_Toc486501025"/>
      <w:bookmarkStart w:id="459" w:name="_Toc486516485"/>
      <w:bookmarkStart w:id="460" w:name="_Toc486577740"/>
      <w:bookmarkStart w:id="461" w:name="_Toc486578946"/>
      <w:bookmarkStart w:id="462" w:name="_Toc31623009"/>
      <w:r>
        <w:lastRenderedPageBreak/>
        <w:t>6</w:t>
      </w:r>
      <w:r w:rsidRPr="00BE759C">
        <w:t xml:space="preserve">.2 </w:t>
      </w:r>
      <w:r w:rsidR="003B7C6A">
        <w:t xml:space="preserve">    </w:t>
      </w:r>
      <w:r w:rsidRPr="00BE759C">
        <w:t>Public Health Laboratory Testing</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r w:rsidRPr="00BE759C">
        <w:t xml:space="preserve"> </w:t>
      </w:r>
    </w:p>
    <w:p w14:paraId="30F5059B" w14:textId="77777777" w:rsidR="00FF5FCC" w:rsidRPr="00BE759C" w:rsidRDefault="00FF5FCC" w:rsidP="00FF5FCC">
      <w:pPr>
        <w:keepNext/>
        <w:keepLines/>
        <w:spacing w:before="200" w:after="0"/>
        <w:ind w:left="360"/>
        <w:jc w:val="both"/>
        <w:outlineLvl w:val="1"/>
        <w:rPr>
          <w:rFonts w:asciiTheme="majorHAnsi" w:eastAsiaTheme="majorEastAsia" w:hAnsiTheme="majorHAnsi" w:cstheme="majorBidi"/>
          <w:b/>
          <w:bCs/>
          <w:color w:val="4F81BD" w:themeColor="accent1"/>
          <w:sz w:val="26"/>
          <w:szCs w:val="26"/>
        </w:rPr>
      </w:pPr>
    </w:p>
    <w:tbl>
      <w:tblPr>
        <w:tblStyle w:val="TableGrid"/>
        <w:tblW w:w="0" w:type="auto"/>
        <w:tblLayout w:type="fixed"/>
        <w:tblLook w:val="04A0" w:firstRow="1" w:lastRow="0" w:firstColumn="1" w:lastColumn="0" w:noHBand="0" w:noVBand="1"/>
      </w:tblPr>
      <w:tblGrid>
        <w:gridCol w:w="1638"/>
        <w:gridCol w:w="7938"/>
      </w:tblGrid>
      <w:tr w:rsidR="00FF5FCC" w:rsidRPr="003A0C9B" w14:paraId="4A74591F" w14:textId="77777777" w:rsidTr="00032DD3">
        <w:tc>
          <w:tcPr>
            <w:tcW w:w="1638" w:type="dxa"/>
          </w:tcPr>
          <w:p w14:paraId="5EE1FAE2" w14:textId="71FDE69F" w:rsidR="00FF5FCC" w:rsidRPr="003A0C9B" w:rsidRDefault="00FF5FCC" w:rsidP="00F21535">
            <w:pPr>
              <w:contextualSpacing/>
              <w:rPr>
                <w:sz w:val="22"/>
                <w:szCs w:val="22"/>
              </w:rPr>
            </w:pPr>
            <w:r w:rsidRPr="003A0C9B">
              <w:rPr>
                <w:sz w:val="22"/>
                <w:szCs w:val="22"/>
              </w:rPr>
              <w:t>Preparation</w:t>
            </w:r>
          </w:p>
        </w:tc>
        <w:tc>
          <w:tcPr>
            <w:tcW w:w="7938" w:type="dxa"/>
          </w:tcPr>
          <w:p w14:paraId="3F8876F4" w14:textId="63C3B1B1" w:rsidR="00AE525D" w:rsidRPr="00032DD3" w:rsidRDefault="00AE525D" w:rsidP="00AE525D">
            <w:pPr>
              <w:jc w:val="both"/>
              <w:rPr>
                <w:sz w:val="22"/>
                <w:szCs w:val="22"/>
              </w:rPr>
            </w:pPr>
            <w:r w:rsidRPr="00032DD3">
              <w:rPr>
                <w:sz w:val="22"/>
                <w:szCs w:val="22"/>
              </w:rPr>
              <w:t xml:space="preserve">Laboratory Sciences at the </w:t>
            </w:r>
            <w:r w:rsidR="00AE5461">
              <w:rPr>
                <w:sz w:val="22"/>
                <w:szCs w:val="22"/>
              </w:rPr>
              <w:t>MA</w:t>
            </w:r>
            <w:r w:rsidR="004D578C">
              <w:rPr>
                <w:sz w:val="22"/>
                <w:szCs w:val="22"/>
              </w:rPr>
              <w:t xml:space="preserve"> </w:t>
            </w:r>
            <w:r w:rsidR="00AE5461">
              <w:rPr>
                <w:sz w:val="22"/>
                <w:szCs w:val="22"/>
              </w:rPr>
              <w:t>SPHL</w:t>
            </w:r>
            <w:r w:rsidRPr="00032DD3">
              <w:rPr>
                <w:sz w:val="22"/>
                <w:szCs w:val="22"/>
              </w:rPr>
              <w:t xml:space="preserve"> is a regional resource as it maintains the capability of working with Tier 1 biological select agents and toxins, and conducts advanced level specimen testing. Baseline activities include reviewing situational awareness sources for testing developments and monitoring CDC’s Laboratory Response Network (LRN) and the Association of Public Health Laboratories (APHL) for guidance on testing for new diseases.  </w:t>
            </w:r>
          </w:p>
          <w:p w14:paraId="71483C7D" w14:textId="77777777" w:rsidR="00AE525D" w:rsidRPr="00032DD3" w:rsidRDefault="00AE525D" w:rsidP="00AE525D">
            <w:pPr>
              <w:jc w:val="both"/>
              <w:rPr>
                <w:sz w:val="22"/>
                <w:szCs w:val="22"/>
              </w:rPr>
            </w:pPr>
            <w:r w:rsidRPr="00032DD3">
              <w:rPr>
                <w:sz w:val="22"/>
                <w:szCs w:val="22"/>
              </w:rPr>
              <w:t>Laboratory staff routinely communicates important information to the sentinel laboratories in Massachusetts. Annually, Laboratory staff surveys the sentinel labs to verify emergency contact information and determine their laboratory testing capabilities. Additionally, Laboratory Sciences provides training opportunities throughout the year in agents of bioterrorism, biosafety and biosecurity, and packaging and shipping of clinical specimens.  They also offer biological, chemical, and radiological terrorism training to first responders who may respond to suspicious mail or substances.</w:t>
            </w:r>
          </w:p>
          <w:p w14:paraId="1E62AC2F" w14:textId="77777777" w:rsidR="00FF5FCC" w:rsidRPr="00032DD3" w:rsidRDefault="00FF5FCC" w:rsidP="00032DD3">
            <w:pPr>
              <w:rPr>
                <w:sz w:val="22"/>
                <w:szCs w:val="22"/>
              </w:rPr>
            </w:pPr>
          </w:p>
        </w:tc>
      </w:tr>
      <w:tr w:rsidR="00FF5FCC" w:rsidRPr="003A0C9B" w14:paraId="0D40F53C" w14:textId="77777777" w:rsidTr="00032DD3">
        <w:tc>
          <w:tcPr>
            <w:tcW w:w="1638" w:type="dxa"/>
          </w:tcPr>
          <w:p w14:paraId="6C8BD021" w14:textId="77777777" w:rsidR="00FF5FCC" w:rsidRPr="003A0C9B" w:rsidRDefault="00FF5FCC" w:rsidP="00032DD3">
            <w:pPr>
              <w:spacing w:line="276" w:lineRule="auto"/>
              <w:rPr>
                <w:sz w:val="22"/>
                <w:szCs w:val="22"/>
              </w:rPr>
            </w:pPr>
            <w:r w:rsidRPr="003A0C9B">
              <w:rPr>
                <w:sz w:val="22"/>
                <w:szCs w:val="22"/>
              </w:rPr>
              <w:t>Investigation/</w:t>
            </w:r>
          </w:p>
          <w:p w14:paraId="4ABC61F9" w14:textId="77777777" w:rsidR="00FF5FCC" w:rsidRPr="003A0C9B" w:rsidRDefault="00FF5FCC" w:rsidP="00032DD3">
            <w:pPr>
              <w:spacing w:line="276" w:lineRule="auto"/>
              <w:rPr>
                <w:sz w:val="22"/>
                <w:szCs w:val="22"/>
              </w:rPr>
            </w:pPr>
            <w:r w:rsidRPr="003A0C9B">
              <w:rPr>
                <w:sz w:val="22"/>
                <w:szCs w:val="22"/>
              </w:rPr>
              <w:t>Alerting</w:t>
            </w:r>
          </w:p>
        </w:tc>
        <w:tc>
          <w:tcPr>
            <w:tcW w:w="7938" w:type="dxa"/>
          </w:tcPr>
          <w:p w14:paraId="60DDF305" w14:textId="77777777" w:rsidR="00AE525D" w:rsidRPr="00032DD3" w:rsidRDefault="00AE525D" w:rsidP="00AE525D">
            <w:pPr>
              <w:jc w:val="both"/>
              <w:rPr>
                <w:sz w:val="22"/>
                <w:szCs w:val="22"/>
              </w:rPr>
            </w:pPr>
            <w:r w:rsidRPr="00032DD3">
              <w:rPr>
                <w:sz w:val="22"/>
                <w:szCs w:val="22"/>
              </w:rPr>
              <w:t xml:space="preserve">Laboratory Sciences will communicate with state and national public health officials to gather information and plan for a potential infectious disease emergency response. </w:t>
            </w:r>
          </w:p>
          <w:p w14:paraId="3DC0F483" w14:textId="77777777" w:rsidR="00AE525D" w:rsidRPr="00032DD3" w:rsidRDefault="00AE525D" w:rsidP="00AE525D">
            <w:pPr>
              <w:jc w:val="both"/>
              <w:rPr>
                <w:sz w:val="22"/>
                <w:szCs w:val="22"/>
              </w:rPr>
            </w:pPr>
            <w:r w:rsidRPr="00032DD3">
              <w:rPr>
                <w:sz w:val="22"/>
                <w:szCs w:val="22"/>
              </w:rPr>
              <w:t xml:space="preserve">Laboratory leadership, in discussions with the State Epidemiologist and other appropriate medical and epidemiology SMEs, will first determine the need to bring a new test on board; many factors are assessed to make this decision, such as Massachusetts’ geography, the infectious disease characteristics and likelihood of spread to the Commonwealth. The BIDLS Director/designee may also consult the Commissioner to review the case for bringing on a new test. If MDPH determines to bring on testing, laboratory staff would look to the CDC’s LRN for existing protocols. </w:t>
            </w:r>
          </w:p>
          <w:p w14:paraId="2E711C6F" w14:textId="346A8524" w:rsidR="00AE525D" w:rsidRPr="00032DD3" w:rsidRDefault="00AE525D" w:rsidP="00AE525D">
            <w:pPr>
              <w:jc w:val="both"/>
              <w:rPr>
                <w:sz w:val="22"/>
                <w:szCs w:val="22"/>
              </w:rPr>
            </w:pPr>
            <w:r w:rsidRPr="00032DD3">
              <w:rPr>
                <w:sz w:val="22"/>
                <w:szCs w:val="22"/>
              </w:rPr>
              <w:t xml:space="preserve">Next, Laboratory leadership will determine if the new test requires specialized or additional supplies and equipment to conduct testing for the particular infectious disease threat. Leadership will ask staff to inventory and restock general use items as needed, including personal protective equipment; however, Laboratory staff would wait until the next </w:t>
            </w:r>
            <w:r w:rsidR="00D94DC7">
              <w:rPr>
                <w:sz w:val="22"/>
                <w:szCs w:val="22"/>
              </w:rPr>
              <w:t>interval</w:t>
            </w:r>
            <w:r w:rsidRPr="00032DD3">
              <w:rPr>
                <w:sz w:val="22"/>
                <w:szCs w:val="22"/>
              </w:rPr>
              <w:t xml:space="preserve"> to order items needed to test the specific disease.</w:t>
            </w:r>
          </w:p>
          <w:p w14:paraId="445C95CE" w14:textId="77777777" w:rsidR="00AE525D" w:rsidRPr="00032DD3" w:rsidRDefault="00AE525D" w:rsidP="00AE525D">
            <w:pPr>
              <w:jc w:val="both"/>
              <w:rPr>
                <w:sz w:val="22"/>
                <w:szCs w:val="22"/>
              </w:rPr>
            </w:pPr>
            <w:r w:rsidRPr="00032DD3">
              <w:rPr>
                <w:sz w:val="22"/>
                <w:szCs w:val="22"/>
              </w:rPr>
              <w:t xml:space="preserve">Laboratory leadership will also assess staff capabilities to determine if there is sufficient expertise and coverage to address the particular infectious disease threat. </w:t>
            </w:r>
          </w:p>
          <w:p w14:paraId="2EEBE49E" w14:textId="77777777" w:rsidR="00AE525D" w:rsidRPr="00032DD3" w:rsidRDefault="00AE525D" w:rsidP="00AE525D">
            <w:pPr>
              <w:jc w:val="both"/>
              <w:rPr>
                <w:sz w:val="22"/>
                <w:szCs w:val="22"/>
              </w:rPr>
            </w:pPr>
            <w:r w:rsidRPr="00032DD3">
              <w:rPr>
                <w:sz w:val="22"/>
                <w:szCs w:val="22"/>
              </w:rPr>
              <w:t xml:space="preserve">Laboratory staff will notify sentinel laboratories of the decision to bring on testing and prepare them for arrival of the infectious disease. Notification will be coordinated with appropriate Medical Directors and Epidemiologists to ensure consistent messaging with laboratories and providers. </w:t>
            </w:r>
          </w:p>
          <w:p w14:paraId="38075B29" w14:textId="77777777" w:rsidR="00FF5FCC" w:rsidRPr="00032DD3" w:rsidRDefault="00FF5FCC" w:rsidP="00032DD3">
            <w:pPr>
              <w:rPr>
                <w:sz w:val="22"/>
                <w:szCs w:val="22"/>
              </w:rPr>
            </w:pPr>
          </w:p>
        </w:tc>
      </w:tr>
      <w:tr w:rsidR="00FF5FCC" w:rsidRPr="003A0C9B" w14:paraId="56A6EDF7" w14:textId="77777777" w:rsidTr="00032DD3">
        <w:tc>
          <w:tcPr>
            <w:tcW w:w="1638" w:type="dxa"/>
          </w:tcPr>
          <w:p w14:paraId="100CC143" w14:textId="77777777" w:rsidR="00FF5FCC" w:rsidRPr="003A0C9B" w:rsidRDefault="00FF5FCC" w:rsidP="00032DD3">
            <w:pPr>
              <w:spacing w:line="276" w:lineRule="auto"/>
              <w:rPr>
                <w:sz w:val="22"/>
                <w:szCs w:val="22"/>
              </w:rPr>
            </w:pPr>
            <w:r w:rsidRPr="003A0C9B">
              <w:rPr>
                <w:sz w:val="22"/>
                <w:szCs w:val="22"/>
              </w:rPr>
              <w:t>Recognition</w:t>
            </w:r>
          </w:p>
        </w:tc>
        <w:tc>
          <w:tcPr>
            <w:tcW w:w="7938" w:type="dxa"/>
          </w:tcPr>
          <w:p w14:paraId="00405022" w14:textId="29BBBFDE" w:rsidR="00AE525D" w:rsidRPr="00032DD3" w:rsidRDefault="00AE525D" w:rsidP="00AE525D">
            <w:pPr>
              <w:jc w:val="both"/>
              <w:rPr>
                <w:sz w:val="22"/>
                <w:szCs w:val="22"/>
              </w:rPr>
            </w:pPr>
            <w:r w:rsidRPr="00032DD3">
              <w:rPr>
                <w:sz w:val="22"/>
                <w:szCs w:val="22"/>
              </w:rPr>
              <w:t xml:space="preserve">During this </w:t>
            </w:r>
            <w:r w:rsidR="00D94DC7">
              <w:rPr>
                <w:sz w:val="22"/>
                <w:szCs w:val="22"/>
              </w:rPr>
              <w:t>interval</w:t>
            </w:r>
            <w:r w:rsidRPr="00032DD3">
              <w:rPr>
                <w:sz w:val="22"/>
                <w:szCs w:val="22"/>
              </w:rPr>
              <w:t xml:space="preserve">, Laboratory leadership will ensure its networks are prepared for the infectious disease event by offering training, ordering supplies, and maintaining open lines of communications with sentinel laboratories to provide necessary </w:t>
            </w:r>
            <w:r w:rsidRPr="00032DD3">
              <w:rPr>
                <w:sz w:val="22"/>
                <w:szCs w:val="22"/>
              </w:rPr>
              <w:lastRenderedPageBreak/>
              <w:t>technical assistance, and prepare for a potential increase in testing.</w:t>
            </w:r>
          </w:p>
          <w:p w14:paraId="3E4EDF20" w14:textId="12B9CEBE" w:rsidR="00AE525D" w:rsidRPr="00032DD3" w:rsidRDefault="00AE525D" w:rsidP="00050DCF">
            <w:pPr>
              <w:pStyle w:val="ListParagraph"/>
              <w:numPr>
                <w:ilvl w:val="0"/>
                <w:numId w:val="23"/>
              </w:numPr>
              <w:jc w:val="both"/>
              <w:rPr>
                <w:sz w:val="22"/>
                <w:szCs w:val="22"/>
              </w:rPr>
            </w:pPr>
            <w:r w:rsidRPr="00032DD3">
              <w:rPr>
                <w:sz w:val="22"/>
                <w:szCs w:val="22"/>
              </w:rPr>
              <w:t xml:space="preserve">Laboratory leadership will convene meetings to speak to employees about personal protection, and conduct internal trainings and risk assessments in preparation for disease response </w:t>
            </w:r>
          </w:p>
          <w:p w14:paraId="72D29FFF" w14:textId="7D3D0A97" w:rsidR="00AE525D" w:rsidRPr="00032DD3" w:rsidRDefault="00AE525D" w:rsidP="00050DCF">
            <w:pPr>
              <w:pStyle w:val="ListParagraph"/>
              <w:numPr>
                <w:ilvl w:val="0"/>
                <w:numId w:val="23"/>
              </w:numPr>
              <w:jc w:val="both"/>
              <w:rPr>
                <w:sz w:val="22"/>
                <w:szCs w:val="22"/>
              </w:rPr>
            </w:pPr>
            <w:r w:rsidRPr="00032DD3">
              <w:rPr>
                <w:sz w:val="22"/>
                <w:szCs w:val="22"/>
              </w:rPr>
              <w:t xml:space="preserve">Laboratory leadership will review contingency plans to assess the need to expand testing if needed in the future </w:t>
            </w:r>
          </w:p>
          <w:p w14:paraId="1550EBE8" w14:textId="29CC2C35" w:rsidR="00AE525D" w:rsidRPr="00032DD3" w:rsidRDefault="00AE525D" w:rsidP="00050DCF">
            <w:pPr>
              <w:pStyle w:val="ListParagraph"/>
              <w:numPr>
                <w:ilvl w:val="0"/>
                <w:numId w:val="23"/>
              </w:numPr>
              <w:jc w:val="both"/>
              <w:rPr>
                <w:sz w:val="22"/>
                <w:szCs w:val="22"/>
              </w:rPr>
            </w:pPr>
            <w:r w:rsidRPr="00032DD3">
              <w:rPr>
                <w:sz w:val="22"/>
                <w:szCs w:val="22"/>
              </w:rPr>
              <w:t xml:space="preserve">Laboratory staff will start to procure any necessary supplies and equipment in order to be able to test for the disease </w:t>
            </w:r>
          </w:p>
          <w:p w14:paraId="5C76D6E8" w14:textId="18C8AF91" w:rsidR="00AE525D" w:rsidRPr="00032DD3" w:rsidRDefault="00AE525D" w:rsidP="00050DCF">
            <w:pPr>
              <w:pStyle w:val="ListParagraph"/>
              <w:numPr>
                <w:ilvl w:val="0"/>
                <w:numId w:val="23"/>
              </w:numPr>
              <w:jc w:val="both"/>
              <w:rPr>
                <w:sz w:val="22"/>
                <w:szCs w:val="22"/>
              </w:rPr>
            </w:pPr>
            <w:r w:rsidRPr="00032DD3">
              <w:rPr>
                <w:sz w:val="22"/>
                <w:szCs w:val="22"/>
              </w:rPr>
              <w:t xml:space="preserve">Laboratory staff will survey provider and laboratory networks regarding capabilities and capacities for the specific disease threat and address any concerns on conference calls </w:t>
            </w:r>
          </w:p>
          <w:p w14:paraId="545EDF3C" w14:textId="7AF4A50C" w:rsidR="00FF5FCC" w:rsidRPr="00032DD3" w:rsidRDefault="00AE525D" w:rsidP="00032DD3">
            <w:pPr>
              <w:rPr>
                <w:sz w:val="22"/>
                <w:szCs w:val="22"/>
              </w:rPr>
            </w:pPr>
            <w:r w:rsidRPr="00032DD3">
              <w:rPr>
                <w:sz w:val="22"/>
                <w:szCs w:val="22"/>
              </w:rPr>
              <w:t xml:space="preserve">The Director of BIDLS may contact the Commissioner to request additional funds to maintain the response, as needed. </w:t>
            </w:r>
          </w:p>
        </w:tc>
      </w:tr>
      <w:tr w:rsidR="00FF5FCC" w:rsidRPr="003A0C9B" w14:paraId="0D80AD1A" w14:textId="77777777" w:rsidTr="00032DD3">
        <w:tc>
          <w:tcPr>
            <w:tcW w:w="1638" w:type="dxa"/>
          </w:tcPr>
          <w:p w14:paraId="5D040F85" w14:textId="77777777" w:rsidR="00FF5FCC" w:rsidRPr="003A0C9B" w:rsidRDefault="00FF5FCC" w:rsidP="00032DD3">
            <w:pPr>
              <w:spacing w:line="276" w:lineRule="auto"/>
              <w:rPr>
                <w:sz w:val="22"/>
                <w:szCs w:val="22"/>
              </w:rPr>
            </w:pPr>
            <w:r w:rsidRPr="003A0C9B">
              <w:rPr>
                <w:sz w:val="22"/>
                <w:szCs w:val="22"/>
              </w:rPr>
              <w:lastRenderedPageBreak/>
              <w:t>Initiation</w:t>
            </w:r>
          </w:p>
        </w:tc>
        <w:tc>
          <w:tcPr>
            <w:tcW w:w="7938" w:type="dxa"/>
          </w:tcPr>
          <w:p w14:paraId="4FA46E5E" w14:textId="334ABAE5" w:rsidR="00AE525D" w:rsidRPr="00032DD3" w:rsidRDefault="00AE525D" w:rsidP="00AE525D">
            <w:pPr>
              <w:jc w:val="both"/>
              <w:rPr>
                <w:sz w:val="22"/>
                <w:szCs w:val="22"/>
              </w:rPr>
            </w:pPr>
            <w:r w:rsidRPr="00032DD3">
              <w:rPr>
                <w:sz w:val="22"/>
                <w:szCs w:val="22"/>
              </w:rPr>
              <w:t xml:space="preserve">During the Initiation </w:t>
            </w:r>
            <w:r w:rsidR="00D94DC7">
              <w:rPr>
                <w:sz w:val="22"/>
                <w:szCs w:val="22"/>
              </w:rPr>
              <w:t>interval</w:t>
            </w:r>
            <w:r w:rsidRPr="00032DD3">
              <w:rPr>
                <w:sz w:val="22"/>
                <w:szCs w:val="22"/>
              </w:rPr>
              <w:t>, Laboratory leadership will participate in statewide conference calls and national calls with CDC and APHL to learn more about the disease and any best practices employed by laboratories that are currently responding to the threat. Laboratory staff will network with Epidemiologists and in-state and out-of-state labs to maintain situational awareness. Laboratory staff may also anticipate that the CDC pushes out reagents specific to the outbreak.</w:t>
            </w:r>
          </w:p>
          <w:p w14:paraId="722AFB57" w14:textId="77777777" w:rsidR="00AE525D" w:rsidRPr="00032DD3" w:rsidRDefault="00AE525D" w:rsidP="00AE525D">
            <w:pPr>
              <w:jc w:val="both"/>
              <w:rPr>
                <w:sz w:val="22"/>
                <w:szCs w:val="22"/>
              </w:rPr>
            </w:pPr>
            <w:r w:rsidRPr="00032DD3">
              <w:rPr>
                <w:sz w:val="22"/>
                <w:szCs w:val="22"/>
              </w:rPr>
              <w:t xml:space="preserve">Laboratory leadership will review its staffing plan and evaluate the need for additional support. Depending on the nature of the infectious disease, the Laboratory may feel the most strain in Serology, and experience slight backlogs in confirmatory testing and data reporting. Additional staff may be brought on to assist, depending on the level of funding CDC is able to release for the infectious disease response. </w:t>
            </w:r>
          </w:p>
          <w:p w14:paraId="7FD445A4" w14:textId="77777777" w:rsidR="00FF5FCC" w:rsidRPr="00032DD3" w:rsidRDefault="00FF5FCC" w:rsidP="00032DD3">
            <w:pPr>
              <w:pStyle w:val="ListParagraph"/>
              <w:spacing w:line="276" w:lineRule="auto"/>
              <w:ind w:left="266"/>
              <w:rPr>
                <w:sz w:val="22"/>
                <w:szCs w:val="22"/>
              </w:rPr>
            </w:pPr>
          </w:p>
        </w:tc>
      </w:tr>
      <w:tr w:rsidR="00FF5FCC" w:rsidRPr="003A0C9B" w14:paraId="395B7A04" w14:textId="77777777" w:rsidTr="00032DD3">
        <w:tc>
          <w:tcPr>
            <w:tcW w:w="1638" w:type="dxa"/>
          </w:tcPr>
          <w:p w14:paraId="1C7D6FFA" w14:textId="77777777" w:rsidR="00FF5FCC" w:rsidRPr="003A0C9B" w:rsidRDefault="00FF5FCC" w:rsidP="00032DD3">
            <w:pPr>
              <w:spacing w:line="276" w:lineRule="auto"/>
              <w:rPr>
                <w:sz w:val="22"/>
                <w:szCs w:val="22"/>
              </w:rPr>
            </w:pPr>
            <w:r w:rsidRPr="003A0C9B">
              <w:rPr>
                <w:sz w:val="22"/>
                <w:szCs w:val="22"/>
              </w:rPr>
              <w:t>Acceleration</w:t>
            </w:r>
          </w:p>
        </w:tc>
        <w:tc>
          <w:tcPr>
            <w:tcW w:w="7938" w:type="dxa"/>
          </w:tcPr>
          <w:p w14:paraId="3D7181D7" w14:textId="324BB0AF" w:rsidR="00FA013D" w:rsidRPr="00032DD3" w:rsidRDefault="00FA013D" w:rsidP="00FA013D">
            <w:pPr>
              <w:jc w:val="both"/>
              <w:rPr>
                <w:sz w:val="22"/>
                <w:szCs w:val="22"/>
              </w:rPr>
            </w:pPr>
            <w:r w:rsidRPr="00032DD3">
              <w:rPr>
                <w:sz w:val="22"/>
                <w:szCs w:val="22"/>
              </w:rPr>
              <w:t xml:space="preserve">During this </w:t>
            </w:r>
            <w:r w:rsidR="00D94DC7">
              <w:rPr>
                <w:sz w:val="22"/>
                <w:szCs w:val="22"/>
              </w:rPr>
              <w:t>interval</w:t>
            </w:r>
            <w:r w:rsidRPr="00032DD3">
              <w:rPr>
                <w:sz w:val="22"/>
                <w:szCs w:val="22"/>
              </w:rPr>
              <w:t xml:space="preserve">, Laboratory leadership will work to confirm whether the predicted scope of disease spread is in line with epidemiological data and observations. Operationally, the Laboratory will look to streamline tasks wherever possible. </w:t>
            </w:r>
          </w:p>
          <w:p w14:paraId="468EF829" w14:textId="0BCE687C" w:rsidR="00FA013D" w:rsidRPr="00032DD3" w:rsidRDefault="00FA013D" w:rsidP="00FA013D">
            <w:pPr>
              <w:jc w:val="both"/>
              <w:rPr>
                <w:sz w:val="22"/>
                <w:szCs w:val="22"/>
              </w:rPr>
            </w:pPr>
            <w:r w:rsidRPr="00032DD3">
              <w:rPr>
                <w:sz w:val="22"/>
                <w:szCs w:val="22"/>
              </w:rPr>
              <w:t>Laboratory staff will work at maximum to perform confirmatory tests and coordinate</w:t>
            </w:r>
            <w:r w:rsidR="002A2DD7">
              <w:rPr>
                <w:sz w:val="22"/>
                <w:szCs w:val="22"/>
              </w:rPr>
              <w:t xml:space="preserve"> with the </w:t>
            </w:r>
            <w:r w:rsidR="004D578C">
              <w:rPr>
                <w:sz w:val="22"/>
                <w:szCs w:val="22"/>
              </w:rPr>
              <w:t xml:space="preserve">Division of </w:t>
            </w:r>
            <w:r w:rsidR="002A2DD7">
              <w:rPr>
                <w:sz w:val="22"/>
                <w:szCs w:val="22"/>
              </w:rPr>
              <w:t xml:space="preserve">Epidemiology </w:t>
            </w:r>
            <w:r w:rsidRPr="00032DD3">
              <w:rPr>
                <w:sz w:val="22"/>
                <w:szCs w:val="22"/>
              </w:rPr>
              <w:t>to report results to requesting providers and/or laboratories. Laboratory leadership may recall contract support in order to process the number of tests needed during the surge; specifically, contractors may be needed to assist with the pre-analytical (i.e., receiving tests, data entry) and post-analytical (i.e., data reporting) activities. Laboratory leadership will also look internally to cross train staff.</w:t>
            </w:r>
          </w:p>
          <w:p w14:paraId="75D31BAD" w14:textId="14038C01" w:rsidR="00FA013D" w:rsidRPr="00032DD3" w:rsidRDefault="00FA013D" w:rsidP="00FA013D">
            <w:pPr>
              <w:jc w:val="both"/>
              <w:rPr>
                <w:sz w:val="22"/>
                <w:szCs w:val="22"/>
              </w:rPr>
            </w:pPr>
            <w:r w:rsidRPr="00032DD3">
              <w:rPr>
                <w:sz w:val="22"/>
                <w:szCs w:val="22"/>
              </w:rPr>
              <w:t xml:space="preserve">Laboratory staff will continue to liaise with Epidemiologists and in-state, out-of-state, and federal laboratories at the CDC in order to stay up-to-date on disease characteristics and best practice methodologies. Depending on the geographic distribution of the infectious disease, out-of-state laboratories may also be able to assist by processing routine laboratory tests while the </w:t>
            </w:r>
            <w:r w:rsidR="00AE5461">
              <w:rPr>
                <w:sz w:val="22"/>
                <w:szCs w:val="22"/>
              </w:rPr>
              <w:t>MASPHL</w:t>
            </w:r>
            <w:r w:rsidRPr="00032DD3">
              <w:rPr>
                <w:sz w:val="22"/>
                <w:szCs w:val="22"/>
              </w:rPr>
              <w:t xml:space="preserve"> focuses its efforts on the response.</w:t>
            </w:r>
          </w:p>
          <w:p w14:paraId="133D7FC6" w14:textId="77777777" w:rsidR="00FF5FCC" w:rsidRPr="00032DD3" w:rsidRDefault="00FF5FCC" w:rsidP="00032DD3">
            <w:pPr>
              <w:pStyle w:val="ListParagraph"/>
              <w:spacing w:line="276" w:lineRule="auto"/>
              <w:ind w:left="266"/>
              <w:rPr>
                <w:sz w:val="22"/>
                <w:szCs w:val="22"/>
              </w:rPr>
            </w:pPr>
          </w:p>
        </w:tc>
      </w:tr>
      <w:tr w:rsidR="00FF5FCC" w:rsidRPr="003A0C9B" w14:paraId="5D2CF0EC" w14:textId="77777777" w:rsidTr="00032DD3">
        <w:tc>
          <w:tcPr>
            <w:tcW w:w="1638" w:type="dxa"/>
          </w:tcPr>
          <w:p w14:paraId="0564AFF1" w14:textId="77777777" w:rsidR="00FF5FCC" w:rsidRPr="003A0C9B" w:rsidRDefault="00FF5FCC" w:rsidP="00032DD3">
            <w:pPr>
              <w:spacing w:line="276" w:lineRule="auto"/>
              <w:rPr>
                <w:sz w:val="22"/>
                <w:szCs w:val="22"/>
              </w:rPr>
            </w:pPr>
            <w:r w:rsidRPr="003A0C9B">
              <w:rPr>
                <w:sz w:val="22"/>
                <w:szCs w:val="22"/>
              </w:rPr>
              <w:t>Demobilization</w:t>
            </w:r>
          </w:p>
        </w:tc>
        <w:tc>
          <w:tcPr>
            <w:tcW w:w="7938" w:type="dxa"/>
          </w:tcPr>
          <w:p w14:paraId="17384528" w14:textId="77777777" w:rsidR="00FA013D" w:rsidRPr="00032DD3" w:rsidRDefault="00FA013D" w:rsidP="00FA013D">
            <w:pPr>
              <w:jc w:val="both"/>
              <w:rPr>
                <w:sz w:val="22"/>
                <w:szCs w:val="22"/>
              </w:rPr>
            </w:pPr>
            <w:r w:rsidRPr="00032DD3">
              <w:rPr>
                <w:sz w:val="22"/>
                <w:szCs w:val="22"/>
              </w:rPr>
              <w:t>Laboratory staff will continue to process, test, and report data from the infectious disease event, and resume routine laboratory testing. Laboratory leadership will assess quality management measures, review standard operating procedures and rewrite procedures as needed.</w:t>
            </w:r>
          </w:p>
          <w:p w14:paraId="02BE64C8" w14:textId="2B73FFDD" w:rsidR="00FF5FCC" w:rsidRPr="00032DD3" w:rsidRDefault="00FA013D" w:rsidP="004D578C">
            <w:pPr>
              <w:spacing w:line="276" w:lineRule="auto"/>
              <w:ind w:left="252"/>
              <w:contextualSpacing/>
              <w:rPr>
                <w:sz w:val="22"/>
                <w:szCs w:val="22"/>
              </w:rPr>
            </w:pPr>
            <w:r w:rsidRPr="00032DD3">
              <w:rPr>
                <w:sz w:val="22"/>
                <w:szCs w:val="22"/>
              </w:rPr>
              <w:t xml:space="preserve">Laboratory staff will also play a pivotal role in the debriefing and after action </w:t>
            </w:r>
            <w:r w:rsidRPr="00032DD3">
              <w:rPr>
                <w:sz w:val="22"/>
                <w:szCs w:val="22"/>
              </w:rPr>
              <w:lastRenderedPageBreak/>
              <w:t xml:space="preserve">reporting of the infectious disease response. They will debrief internally before participating in a joint </w:t>
            </w:r>
            <w:proofErr w:type="spellStart"/>
            <w:r w:rsidRPr="00032DD3">
              <w:rPr>
                <w:sz w:val="22"/>
                <w:szCs w:val="22"/>
              </w:rPr>
              <w:t>hotwash</w:t>
            </w:r>
            <w:proofErr w:type="spellEnd"/>
            <w:r w:rsidRPr="00032DD3">
              <w:rPr>
                <w:sz w:val="22"/>
                <w:szCs w:val="22"/>
              </w:rPr>
              <w:t xml:space="preserve"> with the </w:t>
            </w:r>
            <w:r w:rsidR="004D578C">
              <w:rPr>
                <w:sz w:val="22"/>
                <w:szCs w:val="22"/>
              </w:rPr>
              <w:t xml:space="preserve">Division of </w:t>
            </w:r>
            <w:r w:rsidR="00885D90" w:rsidRPr="00032DD3">
              <w:rPr>
                <w:sz w:val="22"/>
                <w:szCs w:val="22"/>
              </w:rPr>
              <w:t xml:space="preserve">Epidemiology </w:t>
            </w:r>
            <w:r w:rsidR="00885D90">
              <w:rPr>
                <w:sz w:val="22"/>
                <w:szCs w:val="22"/>
              </w:rPr>
              <w:t>and</w:t>
            </w:r>
            <w:r w:rsidR="004D578C">
              <w:rPr>
                <w:sz w:val="22"/>
                <w:szCs w:val="22"/>
              </w:rPr>
              <w:t xml:space="preserve"> ISIS</w:t>
            </w:r>
            <w:r w:rsidRPr="00032DD3">
              <w:rPr>
                <w:sz w:val="22"/>
                <w:szCs w:val="22"/>
              </w:rPr>
              <w:t>; they will also communicate with sentinel laboratories and all users of laboratory services to evaluate the response.</w:t>
            </w:r>
          </w:p>
        </w:tc>
      </w:tr>
    </w:tbl>
    <w:p w14:paraId="5F817B52" w14:textId="6D1C34FA" w:rsidR="00BE759C" w:rsidRDefault="00BE759C" w:rsidP="00BC6A95">
      <w:pPr>
        <w:pStyle w:val="Heading2"/>
        <w:ind w:left="450"/>
      </w:pPr>
      <w:bookmarkStart w:id="463" w:name="_5.2_Investigation/Alerting_Phase"/>
      <w:bookmarkStart w:id="464" w:name="_Toc470164570"/>
      <w:bookmarkStart w:id="465" w:name="_Toc473721330"/>
      <w:bookmarkStart w:id="466" w:name="_Toc476815783"/>
      <w:bookmarkStart w:id="467" w:name="_Toc477863431"/>
      <w:bookmarkStart w:id="468" w:name="_Toc477864044"/>
      <w:bookmarkStart w:id="469" w:name="_Toc477866344"/>
      <w:bookmarkStart w:id="470" w:name="_Toc480546392"/>
      <w:bookmarkStart w:id="471" w:name="_Toc481759031"/>
      <w:bookmarkStart w:id="472" w:name="_Toc482792871"/>
      <w:bookmarkStart w:id="473" w:name="_Toc482793027"/>
      <w:bookmarkStart w:id="474" w:name="_Toc482793341"/>
      <w:bookmarkStart w:id="475" w:name="_Toc356762313"/>
      <w:bookmarkStart w:id="476" w:name="_Toc483566908"/>
      <w:bookmarkStart w:id="477" w:name="_Toc483995695"/>
      <w:bookmarkStart w:id="478" w:name="_Toc483996047"/>
      <w:bookmarkStart w:id="479" w:name="_Toc484606971"/>
      <w:bookmarkStart w:id="480" w:name="_Toc486238592"/>
      <w:bookmarkStart w:id="481" w:name="_Toc486328962"/>
      <w:bookmarkStart w:id="482" w:name="_Toc486407757"/>
      <w:bookmarkStart w:id="483" w:name="_Toc486492359"/>
      <w:bookmarkStart w:id="484" w:name="_Toc486499855"/>
      <w:bookmarkStart w:id="485" w:name="_Toc486501031"/>
      <w:bookmarkStart w:id="486" w:name="_Toc486516491"/>
      <w:bookmarkStart w:id="487" w:name="_Toc486577746"/>
      <w:bookmarkStart w:id="488" w:name="_Toc486578952"/>
      <w:bookmarkStart w:id="489" w:name="_Toc31623010"/>
      <w:bookmarkEnd w:id="463"/>
      <w:r>
        <w:lastRenderedPageBreak/>
        <w:t>6</w:t>
      </w:r>
      <w:r w:rsidRPr="00BE759C">
        <w:t xml:space="preserve">.3 </w:t>
      </w:r>
      <w:r w:rsidR="003B7C6A">
        <w:t xml:space="preserve">    </w:t>
      </w:r>
      <w:r w:rsidRPr="00BE759C">
        <w:t>Responder Health and Safety</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14:paraId="6A1DAB66" w14:textId="77777777" w:rsidR="00FF5FCC" w:rsidRPr="00BE759C" w:rsidRDefault="00FF5FCC" w:rsidP="00FF5FCC">
      <w:pPr>
        <w:keepNext/>
        <w:keepLines/>
        <w:spacing w:before="200" w:after="0"/>
        <w:ind w:left="360"/>
        <w:jc w:val="both"/>
        <w:outlineLvl w:val="1"/>
        <w:rPr>
          <w:rFonts w:asciiTheme="majorHAnsi" w:eastAsiaTheme="majorEastAsia" w:hAnsiTheme="majorHAnsi" w:cstheme="majorBidi"/>
          <w:b/>
          <w:bCs/>
          <w:color w:val="4F81BD" w:themeColor="accent1"/>
          <w:sz w:val="26"/>
          <w:szCs w:val="26"/>
        </w:rPr>
      </w:pPr>
    </w:p>
    <w:tbl>
      <w:tblPr>
        <w:tblStyle w:val="TableGrid"/>
        <w:tblW w:w="0" w:type="auto"/>
        <w:tblLayout w:type="fixed"/>
        <w:tblLook w:val="04A0" w:firstRow="1" w:lastRow="0" w:firstColumn="1" w:lastColumn="0" w:noHBand="0" w:noVBand="1"/>
      </w:tblPr>
      <w:tblGrid>
        <w:gridCol w:w="1638"/>
        <w:gridCol w:w="7938"/>
      </w:tblGrid>
      <w:tr w:rsidR="00FF5FCC" w:rsidRPr="003A0C9B" w14:paraId="31DFCB29" w14:textId="77777777" w:rsidTr="00032DD3">
        <w:tc>
          <w:tcPr>
            <w:tcW w:w="1638" w:type="dxa"/>
          </w:tcPr>
          <w:p w14:paraId="70A72CB8" w14:textId="53C36875" w:rsidR="00FF5FCC" w:rsidRPr="003A0C9B" w:rsidRDefault="00FF5FCC" w:rsidP="00F21535">
            <w:pPr>
              <w:contextualSpacing/>
              <w:rPr>
                <w:sz w:val="22"/>
                <w:szCs w:val="22"/>
              </w:rPr>
            </w:pPr>
            <w:r w:rsidRPr="003A0C9B">
              <w:rPr>
                <w:sz w:val="22"/>
                <w:szCs w:val="22"/>
              </w:rPr>
              <w:t>Preparation</w:t>
            </w:r>
          </w:p>
        </w:tc>
        <w:tc>
          <w:tcPr>
            <w:tcW w:w="7938" w:type="dxa"/>
          </w:tcPr>
          <w:p w14:paraId="586B927E" w14:textId="79FE02E7" w:rsidR="00FF5FCC" w:rsidRPr="00032DD3" w:rsidRDefault="00FA013D" w:rsidP="00032DD3">
            <w:pPr>
              <w:rPr>
                <w:sz w:val="22"/>
                <w:szCs w:val="22"/>
              </w:rPr>
            </w:pPr>
            <w:r w:rsidRPr="00032DD3">
              <w:rPr>
                <w:sz w:val="22"/>
                <w:szCs w:val="22"/>
              </w:rPr>
              <w:t>N/A</w:t>
            </w:r>
          </w:p>
        </w:tc>
      </w:tr>
      <w:tr w:rsidR="00FF5FCC" w:rsidRPr="003A0C9B" w14:paraId="0527F00E" w14:textId="77777777" w:rsidTr="00032DD3">
        <w:tc>
          <w:tcPr>
            <w:tcW w:w="1638" w:type="dxa"/>
          </w:tcPr>
          <w:p w14:paraId="7181A022" w14:textId="77777777" w:rsidR="00FF5FCC" w:rsidRPr="003A0C9B" w:rsidRDefault="00FF5FCC" w:rsidP="00032DD3">
            <w:pPr>
              <w:spacing w:line="276" w:lineRule="auto"/>
              <w:rPr>
                <w:sz w:val="22"/>
                <w:szCs w:val="22"/>
              </w:rPr>
            </w:pPr>
            <w:r w:rsidRPr="003A0C9B">
              <w:rPr>
                <w:sz w:val="22"/>
                <w:szCs w:val="22"/>
              </w:rPr>
              <w:t>Investigation/</w:t>
            </w:r>
          </w:p>
          <w:p w14:paraId="14E93A0E" w14:textId="77777777" w:rsidR="00FF5FCC" w:rsidRPr="003A0C9B" w:rsidRDefault="00FF5FCC" w:rsidP="00032DD3">
            <w:pPr>
              <w:spacing w:line="276" w:lineRule="auto"/>
              <w:rPr>
                <w:sz w:val="22"/>
                <w:szCs w:val="22"/>
              </w:rPr>
            </w:pPr>
            <w:r w:rsidRPr="003A0C9B">
              <w:rPr>
                <w:sz w:val="22"/>
                <w:szCs w:val="22"/>
              </w:rPr>
              <w:t>Alerting</w:t>
            </w:r>
          </w:p>
        </w:tc>
        <w:tc>
          <w:tcPr>
            <w:tcW w:w="7938" w:type="dxa"/>
          </w:tcPr>
          <w:p w14:paraId="2C77AE82" w14:textId="77777777" w:rsidR="00AE525D" w:rsidRPr="00032DD3" w:rsidRDefault="00AE525D" w:rsidP="00AE525D">
            <w:pPr>
              <w:jc w:val="both"/>
              <w:rPr>
                <w:sz w:val="22"/>
                <w:szCs w:val="22"/>
              </w:rPr>
            </w:pPr>
            <w:r w:rsidRPr="00032DD3">
              <w:rPr>
                <w:sz w:val="22"/>
                <w:szCs w:val="22"/>
              </w:rPr>
              <w:t xml:space="preserve">In order to maintain safe and healthy work environments, NIOSH, under the CDC, will provide technical assistance and resources with regards to PPE. NIOSH will issue evidence-based recommendations on what, when, and how to don PPE. </w:t>
            </w:r>
          </w:p>
          <w:p w14:paraId="066E70B2" w14:textId="537E6AC6" w:rsidR="00AE525D" w:rsidRPr="00032DD3" w:rsidRDefault="00AE525D" w:rsidP="00AE525D">
            <w:pPr>
              <w:jc w:val="both"/>
              <w:rPr>
                <w:sz w:val="22"/>
                <w:szCs w:val="22"/>
              </w:rPr>
            </w:pPr>
            <w:r w:rsidRPr="00032DD3">
              <w:rPr>
                <w:sz w:val="22"/>
                <w:szCs w:val="22"/>
              </w:rPr>
              <w:t xml:space="preserve">The State Epidemiologist and </w:t>
            </w:r>
            <w:r w:rsidR="004D578C">
              <w:rPr>
                <w:sz w:val="22"/>
                <w:szCs w:val="22"/>
              </w:rPr>
              <w:t xml:space="preserve">the Division of </w:t>
            </w:r>
            <w:r w:rsidRPr="00032DD3">
              <w:rPr>
                <w:sz w:val="22"/>
                <w:szCs w:val="22"/>
              </w:rPr>
              <w:t xml:space="preserve">Epidemiology staff will review the case definition, if available, and federal agency guidance to determine disease transmission type and other characteristics that will impact the kind and quantity of personal protective equipment needed to respond to the infectious disease. Working with OPEM and the OHSP, they may source or collate a list of recommended PPE by responder type. </w:t>
            </w:r>
          </w:p>
          <w:p w14:paraId="5264EEBF" w14:textId="77777777" w:rsidR="00FF5FCC" w:rsidRPr="00032DD3" w:rsidRDefault="00FF5FCC" w:rsidP="00032DD3">
            <w:pPr>
              <w:rPr>
                <w:sz w:val="22"/>
                <w:szCs w:val="22"/>
              </w:rPr>
            </w:pPr>
          </w:p>
        </w:tc>
      </w:tr>
      <w:tr w:rsidR="00FF5FCC" w:rsidRPr="003A0C9B" w14:paraId="2BEFA9F7" w14:textId="77777777" w:rsidTr="00032DD3">
        <w:tc>
          <w:tcPr>
            <w:tcW w:w="1638" w:type="dxa"/>
          </w:tcPr>
          <w:p w14:paraId="6830F451" w14:textId="77777777" w:rsidR="00FF5FCC" w:rsidRPr="003A0C9B" w:rsidRDefault="00FF5FCC" w:rsidP="00032DD3">
            <w:pPr>
              <w:spacing w:line="276" w:lineRule="auto"/>
              <w:rPr>
                <w:sz w:val="22"/>
                <w:szCs w:val="22"/>
              </w:rPr>
            </w:pPr>
            <w:r w:rsidRPr="003A0C9B">
              <w:rPr>
                <w:sz w:val="22"/>
                <w:szCs w:val="22"/>
              </w:rPr>
              <w:t>Recognition</w:t>
            </w:r>
          </w:p>
        </w:tc>
        <w:tc>
          <w:tcPr>
            <w:tcW w:w="7938" w:type="dxa"/>
          </w:tcPr>
          <w:p w14:paraId="1CC59DCC" w14:textId="05F0A093" w:rsidR="00AE525D" w:rsidRPr="00032DD3" w:rsidRDefault="00AE525D" w:rsidP="00AE525D">
            <w:pPr>
              <w:jc w:val="both"/>
              <w:rPr>
                <w:sz w:val="22"/>
                <w:szCs w:val="22"/>
              </w:rPr>
            </w:pPr>
            <w:r w:rsidRPr="00032DD3">
              <w:rPr>
                <w:sz w:val="22"/>
                <w:szCs w:val="22"/>
              </w:rPr>
              <w:t xml:space="preserve">Following State Epidemiologist and other subject matter expert review and determination, PPE recommendations for equipment and training will be disseminated to healthcare providers and other frontline responders via the HHAN and </w:t>
            </w:r>
            <w:r w:rsidR="0080685D">
              <w:rPr>
                <w:sz w:val="22"/>
                <w:szCs w:val="22"/>
              </w:rPr>
              <w:t>M</w:t>
            </w:r>
            <w:r w:rsidRPr="00032DD3">
              <w:rPr>
                <w:sz w:val="22"/>
                <w:szCs w:val="22"/>
              </w:rPr>
              <w:t xml:space="preserve">DPH </w:t>
            </w:r>
            <w:proofErr w:type="spellStart"/>
            <w:r w:rsidRPr="00032DD3">
              <w:rPr>
                <w:sz w:val="22"/>
                <w:szCs w:val="22"/>
              </w:rPr>
              <w:t>listservs</w:t>
            </w:r>
            <w:proofErr w:type="spellEnd"/>
            <w:r w:rsidRPr="00032DD3">
              <w:rPr>
                <w:sz w:val="22"/>
                <w:szCs w:val="22"/>
              </w:rPr>
              <w:t>. OPEM will also reach out to HMCCs in anticipation of materials shortages or requests for technical assistance from member agencies, and monitor vendor purchasing to anticipate shortages and/or restrictions.</w:t>
            </w:r>
          </w:p>
          <w:p w14:paraId="3919C036" w14:textId="77777777" w:rsidR="00FF5FCC" w:rsidRPr="00032DD3" w:rsidRDefault="00FF5FCC" w:rsidP="00032DD3">
            <w:pPr>
              <w:rPr>
                <w:sz w:val="22"/>
                <w:szCs w:val="22"/>
              </w:rPr>
            </w:pPr>
          </w:p>
        </w:tc>
      </w:tr>
      <w:tr w:rsidR="00FF5FCC" w:rsidRPr="003A0C9B" w14:paraId="6A1EC69B" w14:textId="77777777" w:rsidTr="00032DD3">
        <w:tc>
          <w:tcPr>
            <w:tcW w:w="1638" w:type="dxa"/>
          </w:tcPr>
          <w:p w14:paraId="2458341C" w14:textId="77777777" w:rsidR="00FF5FCC" w:rsidRPr="003A0C9B" w:rsidRDefault="00FF5FCC" w:rsidP="00032DD3">
            <w:pPr>
              <w:spacing w:line="276" w:lineRule="auto"/>
              <w:rPr>
                <w:sz w:val="22"/>
                <w:szCs w:val="22"/>
              </w:rPr>
            </w:pPr>
            <w:r w:rsidRPr="003A0C9B">
              <w:rPr>
                <w:sz w:val="22"/>
                <w:szCs w:val="22"/>
              </w:rPr>
              <w:t>Initiation</w:t>
            </w:r>
          </w:p>
        </w:tc>
        <w:tc>
          <w:tcPr>
            <w:tcW w:w="7938" w:type="dxa"/>
          </w:tcPr>
          <w:p w14:paraId="5AB50BB9" w14:textId="12BC9D3D" w:rsidR="00AE525D" w:rsidRPr="00032DD3" w:rsidRDefault="00AE525D" w:rsidP="00AE525D">
            <w:pPr>
              <w:jc w:val="both"/>
              <w:rPr>
                <w:sz w:val="22"/>
                <w:szCs w:val="22"/>
              </w:rPr>
            </w:pPr>
            <w:r w:rsidRPr="00032DD3">
              <w:rPr>
                <w:sz w:val="22"/>
                <w:szCs w:val="22"/>
              </w:rPr>
              <w:t xml:space="preserve">Depending on the nature of the infectious disease, the State Epidemiologist, in consultation with the </w:t>
            </w:r>
            <w:r w:rsidR="005A27C3">
              <w:rPr>
                <w:sz w:val="22"/>
                <w:szCs w:val="22"/>
              </w:rPr>
              <w:t>Executive Team</w:t>
            </w:r>
            <w:r w:rsidRPr="00032DD3">
              <w:rPr>
                <w:sz w:val="22"/>
                <w:szCs w:val="22"/>
              </w:rPr>
              <w:t>, may consider recommending an increase in levels of PPE usage, and evaluate whether PPE training offerings meet the demand.</w:t>
            </w:r>
          </w:p>
          <w:p w14:paraId="6E8F8F59" w14:textId="77777777" w:rsidR="00AE525D" w:rsidRPr="00032DD3" w:rsidRDefault="00AE525D" w:rsidP="00AE525D">
            <w:pPr>
              <w:jc w:val="both"/>
              <w:rPr>
                <w:sz w:val="22"/>
                <w:szCs w:val="22"/>
              </w:rPr>
            </w:pPr>
            <w:r w:rsidRPr="00032DD3">
              <w:rPr>
                <w:sz w:val="22"/>
                <w:szCs w:val="22"/>
              </w:rPr>
              <w:t xml:space="preserve">OPEM will provide guidance as issued by the CDC or other such authority to healthcare providers and frontline responders using PPE. Guidance may include, but is not limited to: </w:t>
            </w:r>
          </w:p>
          <w:p w14:paraId="147B2CB1" w14:textId="77777777" w:rsidR="00AE525D" w:rsidRPr="00032DD3" w:rsidRDefault="00AE525D" w:rsidP="00050DCF">
            <w:pPr>
              <w:pStyle w:val="ListParagraph"/>
              <w:numPr>
                <w:ilvl w:val="0"/>
                <w:numId w:val="15"/>
              </w:numPr>
              <w:jc w:val="both"/>
              <w:rPr>
                <w:sz w:val="22"/>
                <w:szCs w:val="22"/>
              </w:rPr>
            </w:pPr>
            <w:r w:rsidRPr="00032DD3">
              <w:rPr>
                <w:sz w:val="22"/>
                <w:szCs w:val="22"/>
              </w:rPr>
              <w:t xml:space="preserve">Disseminating PPE donning and doffing protocols </w:t>
            </w:r>
          </w:p>
          <w:p w14:paraId="546E303B" w14:textId="77777777" w:rsidR="00AE525D" w:rsidRPr="00032DD3" w:rsidRDefault="00AE525D" w:rsidP="00050DCF">
            <w:pPr>
              <w:pStyle w:val="ListParagraph"/>
              <w:numPr>
                <w:ilvl w:val="0"/>
                <w:numId w:val="15"/>
              </w:numPr>
              <w:jc w:val="both"/>
              <w:rPr>
                <w:sz w:val="22"/>
                <w:szCs w:val="22"/>
              </w:rPr>
            </w:pPr>
            <w:r w:rsidRPr="00032DD3">
              <w:rPr>
                <w:sz w:val="22"/>
                <w:szCs w:val="22"/>
              </w:rPr>
              <w:t xml:space="preserve">Disseminating environmental control guidance </w:t>
            </w:r>
          </w:p>
          <w:p w14:paraId="223D2E89" w14:textId="77777777" w:rsidR="00AE525D" w:rsidRPr="00032DD3" w:rsidRDefault="00AE525D" w:rsidP="00050DCF">
            <w:pPr>
              <w:pStyle w:val="ListParagraph"/>
              <w:numPr>
                <w:ilvl w:val="0"/>
                <w:numId w:val="15"/>
              </w:numPr>
              <w:jc w:val="both"/>
              <w:rPr>
                <w:sz w:val="22"/>
                <w:szCs w:val="22"/>
              </w:rPr>
            </w:pPr>
            <w:r w:rsidRPr="00032DD3">
              <w:rPr>
                <w:sz w:val="22"/>
                <w:szCs w:val="22"/>
              </w:rPr>
              <w:t>Identifying individuals with appropriate backgrounds to conduct PPE trainings and fit tests, as needed</w:t>
            </w:r>
          </w:p>
          <w:p w14:paraId="202F1537" w14:textId="77777777" w:rsidR="00AE525D" w:rsidRPr="00032DD3" w:rsidRDefault="00AE525D" w:rsidP="00AE525D">
            <w:pPr>
              <w:jc w:val="both"/>
              <w:rPr>
                <w:sz w:val="22"/>
                <w:szCs w:val="22"/>
              </w:rPr>
            </w:pPr>
            <w:r w:rsidRPr="00032DD3">
              <w:rPr>
                <w:sz w:val="22"/>
                <w:szCs w:val="22"/>
              </w:rPr>
              <w:t xml:space="preserve">OPEM may also recommend that healthcare facilities and HMCCs conduct inventory assessments at this time. </w:t>
            </w:r>
          </w:p>
          <w:p w14:paraId="66D3E5AB" w14:textId="77777777" w:rsidR="00FF5FCC" w:rsidRPr="00032DD3" w:rsidRDefault="00FF5FCC" w:rsidP="00032DD3">
            <w:pPr>
              <w:pStyle w:val="ListParagraph"/>
              <w:spacing w:line="276" w:lineRule="auto"/>
              <w:ind w:left="266"/>
              <w:rPr>
                <w:sz w:val="22"/>
                <w:szCs w:val="22"/>
              </w:rPr>
            </w:pPr>
          </w:p>
        </w:tc>
      </w:tr>
      <w:tr w:rsidR="00FF5FCC" w:rsidRPr="003A0C9B" w14:paraId="10185D3B" w14:textId="77777777" w:rsidTr="00032DD3">
        <w:tc>
          <w:tcPr>
            <w:tcW w:w="1638" w:type="dxa"/>
          </w:tcPr>
          <w:p w14:paraId="39B62152" w14:textId="77777777" w:rsidR="00FF5FCC" w:rsidRPr="003A0C9B" w:rsidRDefault="00FF5FCC" w:rsidP="00032DD3">
            <w:pPr>
              <w:spacing w:line="276" w:lineRule="auto"/>
              <w:rPr>
                <w:sz w:val="22"/>
                <w:szCs w:val="22"/>
              </w:rPr>
            </w:pPr>
            <w:r w:rsidRPr="003A0C9B">
              <w:rPr>
                <w:sz w:val="22"/>
                <w:szCs w:val="22"/>
              </w:rPr>
              <w:t>Acceleration</w:t>
            </w:r>
          </w:p>
        </w:tc>
        <w:tc>
          <w:tcPr>
            <w:tcW w:w="7938" w:type="dxa"/>
          </w:tcPr>
          <w:p w14:paraId="73B03AA7" w14:textId="77777777" w:rsidR="00FA013D" w:rsidRPr="00032DD3" w:rsidRDefault="00FA013D" w:rsidP="00FA013D">
            <w:pPr>
              <w:jc w:val="both"/>
              <w:rPr>
                <w:sz w:val="22"/>
                <w:szCs w:val="22"/>
              </w:rPr>
            </w:pPr>
            <w:r w:rsidRPr="00032DD3">
              <w:rPr>
                <w:sz w:val="22"/>
                <w:szCs w:val="22"/>
              </w:rPr>
              <w:t>The PIO, in consultation with the Communications Office and OPEM, will coordinate increased messaging and training on appropriate PPE, and discuss where modifications may be made. For diseases that are transmitted person-to-person, healthcare providers and frontline responders must don appropriate PPE for contact with the public, and follow protocols for the safe doffing and disposal of contaminated PPE. The Planning Section will monitor for the potential depletion of supplies due to training and responder use.</w:t>
            </w:r>
          </w:p>
          <w:p w14:paraId="4AC70889" w14:textId="2656E4C4" w:rsidR="00FA013D" w:rsidRPr="00032DD3" w:rsidRDefault="00FA013D" w:rsidP="00FA013D">
            <w:pPr>
              <w:jc w:val="both"/>
              <w:rPr>
                <w:sz w:val="22"/>
                <w:szCs w:val="22"/>
              </w:rPr>
            </w:pPr>
            <w:r w:rsidRPr="00032DD3">
              <w:rPr>
                <w:sz w:val="22"/>
                <w:szCs w:val="22"/>
              </w:rPr>
              <w:lastRenderedPageBreak/>
              <w:t>Frontline responders will also be provided with medical countermeasures, as appropriate, to protect against exposure. For more information on how responders will receive medical countermeasures, refer to the regional HMCC Medical Countermeasures Annexes (</w:t>
            </w:r>
            <w:r w:rsidR="00885D90" w:rsidRPr="00885D90">
              <w:rPr>
                <w:sz w:val="22"/>
                <w:szCs w:val="22"/>
              </w:rPr>
              <w:t>Authorities and References</w:t>
            </w:r>
            <w:r w:rsidRPr="00032DD3">
              <w:rPr>
                <w:sz w:val="22"/>
                <w:szCs w:val="22"/>
              </w:rPr>
              <w:t xml:space="preserve">). </w:t>
            </w:r>
          </w:p>
          <w:p w14:paraId="1B2907AE" w14:textId="77777777" w:rsidR="00FF5FCC" w:rsidRPr="00032DD3" w:rsidRDefault="00FF5FCC" w:rsidP="00032DD3">
            <w:pPr>
              <w:pStyle w:val="ListParagraph"/>
              <w:spacing w:line="276" w:lineRule="auto"/>
              <w:ind w:left="266"/>
              <w:rPr>
                <w:sz w:val="22"/>
                <w:szCs w:val="22"/>
              </w:rPr>
            </w:pPr>
          </w:p>
        </w:tc>
      </w:tr>
      <w:tr w:rsidR="00FF5FCC" w:rsidRPr="003A0C9B" w14:paraId="36709344" w14:textId="77777777" w:rsidTr="00032DD3">
        <w:tc>
          <w:tcPr>
            <w:tcW w:w="1638" w:type="dxa"/>
          </w:tcPr>
          <w:p w14:paraId="11BD4AB2" w14:textId="77777777" w:rsidR="00FF5FCC" w:rsidRPr="003A0C9B" w:rsidRDefault="00FF5FCC" w:rsidP="00032DD3">
            <w:pPr>
              <w:spacing w:line="276" w:lineRule="auto"/>
              <w:rPr>
                <w:sz w:val="22"/>
                <w:szCs w:val="22"/>
              </w:rPr>
            </w:pPr>
            <w:r w:rsidRPr="003A0C9B">
              <w:rPr>
                <w:sz w:val="22"/>
                <w:szCs w:val="22"/>
              </w:rPr>
              <w:lastRenderedPageBreak/>
              <w:t>Demobilization</w:t>
            </w:r>
          </w:p>
        </w:tc>
        <w:tc>
          <w:tcPr>
            <w:tcW w:w="7938" w:type="dxa"/>
          </w:tcPr>
          <w:p w14:paraId="6E6E557A" w14:textId="77777777" w:rsidR="00FA013D" w:rsidRPr="00032DD3" w:rsidRDefault="00FA013D" w:rsidP="00FA013D">
            <w:pPr>
              <w:jc w:val="both"/>
              <w:rPr>
                <w:sz w:val="22"/>
                <w:szCs w:val="22"/>
              </w:rPr>
            </w:pPr>
            <w:r w:rsidRPr="00032DD3">
              <w:rPr>
                <w:sz w:val="22"/>
                <w:szCs w:val="22"/>
              </w:rPr>
              <w:t xml:space="preserve">Healthcare providers and frontline responders will, if necessary based on the transmission characteristics of the disease, continue to don appropriate PPE for contact with the public to protect against subsequent waves of illness until advised by MDPH officials otherwise. </w:t>
            </w:r>
          </w:p>
          <w:p w14:paraId="19D20988" w14:textId="77777777" w:rsidR="00FA013D" w:rsidRPr="00032DD3" w:rsidRDefault="00FA013D" w:rsidP="00FA013D">
            <w:pPr>
              <w:jc w:val="both"/>
              <w:rPr>
                <w:sz w:val="22"/>
                <w:szCs w:val="22"/>
              </w:rPr>
            </w:pPr>
            <w:r w:rsidRPr="00032DD3">
              <w:rPr>
                <w:sz w:val="22"/>
                <w:szCs w:val="22"/>
              </w:rPr>
              <w:t xml:space="preserve">At this time, MDPH and partner agencies in the response will conduct another inventory assessment to measure resource depletion. Following this, agencies will replenish PPE levels to pre-incident levels and/or purchase more appropriate equipment needed for future responses, depending on the effectiveness of the equipment. </w:t>
            </w:r>
          </w:p>
          <w:p w14:paraId="29C46293" w14:textId="77777777" w:rsidR="00FA013D" w:rsidRPr="00032DD3" w:rsidRDefault="00FA013D" w:rsidP="00FA013D">
            <w:pPr>
              <w:jc w:val="both"/>
              <w:rPr>
                <w:sz w:val="22"/>
                <w:szCs w:val="22"/>
              </w:rPr>
            </w:pPr>
            <w:r w:rsidRPr="00032DD3">
              <w:rPr>
                <w:sz w:val="22"/>
                <w:szCs w:val="22"/>
              </w:rPr>
              <w:t xml:space="preserve">OPEM will evaluate the effectiveness of PPE trainings, and debrief with training instructors. </w:t>
            </w:r>
          </w:p>
          <w:p w14:paraId="25E7533A" w14:textId="77777777" w:rsidR="00FF5FCC" w:rsidRPr="00032DD3" w:rsidRDefault="00FF5FCC" w:rsidP="00032DD3">
            <w:pPr>
              <w:spacing w:line="276" w:lineRule="auto"/>
              <w:ind w:left="252"/>
              <w:contextualSpacing/>
              <w:rPr>
                <w:sz w:val="22"/>
                <w:szCs w:val="22"/>
              </w:rPr>
            </w:pPr>
          </w:p>
        </w:tc>
      </w:tr>
    </w:tbl>
    <w:p w14:paraId="08CAE0C5" w14:textId="77777777" w:rsidR="00FF5FCC" w:rsidRPr="00BE759C" w:rsidRDefault="00FF5FCC" w:rsidP="00BE759C">
      <w:pPr>
        <w:keepNext/>
        <w:keepLines/>
        <w:spacing w:before="200" w:after="0"/>
        <w:ind w:left="360"/>
        <w:jc w:val="both"/>
        <w:outlineLvl w:val="2"/>
        <w:rPr>
          <w:rFonts w:asciiTheme="majorHAnsi" w:eastAsiaTheme="majorEastAsia" w:hAnsiTheme="majorHAnsi" w:cstheme="majorBidi"/>
          <w:b/>
          <w:bCs/>
          <w:color w:val="4F81BD" w:themeColor="accent1"/>
          <w:sz w:val="26"/>
          <w:szCs w:val="26"/>
        </w:rPr>
      </w:pPr>
    </w:p>
    <w:p w14:paraId="1A8DCFC6" w14:textId="6E294F68" w:rsidR="00BE759C" w:rsidRDefault="00BE759C" w:rsidP="00BC6A95">
      <w:pPr>
        <w:pStyle w:val="Heading2"/>
        <w:ind w:left="360"/>
      </w:pPr>
      <w:bookmarkStart w:id="490" w:name="_Toc470164579"/>
      <w:bookmarkStart w:id="491" w:name="_Toc473721340"/>
      <w:bookmarkStart w:id="492" w:name="_Toc476815793"/>
      <w:bookmarkStart w:id="493" w:name="_Toc477863441"/>
      <w:bookmarkStart w:id="494" w:name="_Toc477864054"/>
      <w:bookmarkStart w:id="495" w:name="_Toc477866354"/>
      <w:bookmarkStart w:id="496" w:name="_Toc480546402"/>
      <w:bookmarkStart w:id="497" w:name="_Toc481759041"/>
      <w:bookmarkStart w:id="498" w:name="_Toc482792881"/>
      <w:bookmarkStart w:id="499" w:name="_Toc482793037"/>
      <w:bookmarkStart w:id="500" w:name="_Toc482793351"/>
      <w:bookmarkStart w:id="501" w:name="_Toc356762323"/>
      <w:bookmarkStart w:id="502" w:name="_Toc483566918"/>
      <w:bookmarkStart w:id="503" w:name="_Toc483995705"/>
      <w:bookmarkStart w:id="504" w:name="_Toc483996057"/>
      <w:bookmarkStart w:id="505" w:name="_Toc484606981"/>
      <w:bookmarkStart w:id="506" w:name="_Toc486238602"/>
      <w:bookmarkStart w:id="507" w:name="_Toc486328969"/>
      <w:bookmarkStart w:id="508" w:name="_Toc486407764"/>
      <w:bookmarkStart w:id="509" w:name="_Toc486492366"/>
      <w:bookmarkStart w:id="510" w:name="_Toc486499862"/>
      <w:bookmarkStart w:id="511" w:name="_Toc486501038"/>
      <w:bookmarkStart w:id="512" w:name="_Toc486516498"/>
      <w:bookmarkStart w:id="513" w:name="_Toc486577753"/>
      <w:bookmarkStart w:id="514" w:name="_Toc486578959"/>
      <w:bookmarkStart w:id="515" w:name="_Toc31623011"/>
      <w:r>
        <w:t>6</w:t>
      </w:r>
      <w:r w:rsidRPr="00BE759C">
        <w:t xml:space="preserve">.4 </w:t>
      </w:r>
      <w:r w:rsidR="003B7C6A">
        <w:t xml:space="preserve">     </w:t>
      </w:r>
      <w:r w:rsidRPr="00BE759C">
        <w:t>Non-pharmaceutical Interventions</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p>
    <w:p w14:paraId="3B7D9A38" w14:textId="77777777" w:rsidR="00FF5FCC" w:rsidRPr="00BE759C" w:rsidRDefault="00FF5FCC" w:rsidP="00FF5FCC">
      <w:pPr>
        <w:keepNext/>
        <w:keepLines/>
        <w:spacing w:before="200" w:after="0"/>
        <w:ind w:left="360"/>
        <w:jc w:val="both"/>
        <w:outlineLvl w:val="1"/>
        <w:rPr>
          <w:rFonts w:asciiTheme="majorHAnsi" w:eastAsiaTheme="majorEastAsia" w:hAnsiTheme="majorHAnsi" w:cstheme="majorBidi"/>
          <w:b/>
          <w:bCs/>
          <w:color w:val="4F81BD" w:themeColor="accent1"/>
          <w:sz w:val="26"/>
          <w:szCs w:val="26"/>
        </w:rPr>
      </w:pPr>
    </w:p>
    <w:tbl>
      <w:tblPr>
        <w:tblStyle w:val="TableGrid"/>
        <w:tblW w:w="0" w:type="auto"/>
        <w:tblLayout w:type="fixed"/>
        <w:tblLook w:val="04A0" w:firstRow="1" w:lastRow="0" w:firstColumn="1" w:lastColumn="0" w:noHBand="0" w:noVBand="1"/>
      </w:tblPr>
      <w:tblGrid>
        <w:gridCol w:w="1638"/>
        <w:gridCol w:w="7938"/>
      </w:tblGrid>
      <w:tr w:rsidR="00FF5FCC" w:rsidRPr="003A0C9B" w14:paraId="718A66F8" w14:textId="77777777" w:rsidTr="00032DD3">
        <w:tc>
          <w:tcPr>
            <w:tcW w:w="1638" w:type="dxa"/>
          </w:tcPr>
          <w:p w14:paraId="7054E0FA" w14:textId="760219DC" w:rsidR="00FF5FCC" w:rsidRPr="003A0C9B" w:rsidRDefault="00FF5FCC" w:rsidP="00F21535">
            <w:pPr>
              <w:contextualSpacing/>
              <w:rPr>
                <w:sz w:val="22"/>
                <w:szCs w:val="22"/>
              </w:rPr>
            </w:pPr>
            <w:r w:rsidRPr="003A0C9B">
              <w:rPr>
                <w:sz w:val="22"/>
                <w:szCs w:val="22"/>
              </w:rPr>
              <w:t>Preparation</w:t>
            </w:r>
          </w:p>
        </w:tc>
        <w:tc>
          <w:tcPr>
            <w:tcW w:w="7938" w:type="dxa"/>
          </w:tcPr>
          <w:p w14:paraId="0347B8D5" w14:textId="2253472D" w:rsidR="00FF5FCC" w:rsidRPr="00032DD3" w:rsidRDefault="00FA013D" w:rsidP="00032DD3">
            <w:pPr>
              <w:rPr>
                <w:sz w:val="22"/>
                <w:szCs w:val="22"/>
              </w:rPr>
            </w:pPr>
            <w:r w:rsidRPr="00032DD3">
              <w:rPr>
                <w:sz w:val="22"/>
                <w:szCs w:val="22"/>
              </w:rPr>
              <w:t>N/A</w:t>
            </w:r>
          </w:p>
        </w:tc>
      </w:tr>
      <w:tr w:rsidR="00FF5FCC" w:rsidRPr="003A0C9B" w14:paraId="2C09ACCF" w14:textId="77777777" w:rsidTr="00032DD3">
        <w:tc>
          <w:tcPr>
            <w:tcW w:w="1638" w:type="dxa"/>
          </w:tcPr>
          <w:p w14:paraId="659D1CA6" w14:textId="77777777" w:rsidR="00FF5FCC" w:rsidRPr="003A0C9B" w:rsidRDefault="00FF5FCC" w:rsidP="00032DD3">
            <w:pPr>
              <w:spacing w:line="276" w:lineRule="auto"/>
              <w:rPr>
                <w:sz w:val="22"/>
                <w:szCs w:val="22"/>
              </w:rPr>
            </w:pPr>
            <w:r w:rsidRPr="003A0C9B">
              <w:rPr>
                <w:sz w:val="22"/>
                <w:szCs w:val="22"/>
              </w:rPr>
              <w:t>Investigation/</w:t>
            </w:r>
          </w:p>
          <w:p w14:paraId="5760F3EE" w14:textId="77777777" w:rsidR="00FF5FCC" w:rsidRPr="003A0C9B" w:rsidRDefault="00FF5FCC" w:rsidP="00032DD3">
            <w:pPr>
              <w:spacing w:line="276" w:lineRule="auto"/>
              <w:rPr>
                <w:sz w:val="22"/>
                <w:szCs w:val="22"/>
              </w:rPr>
            </w:pPr>
            <w:r w:rsidRPr="003A0C9B">
              <w:rPr>
                <w:sz w:val="22"/>
                <w:szCs w:val="22"/>
              </w:rPr>
              <w:t>Alerting</w:t>
            </w:r>
          </w:p>
        </w:tc>
        <w:tc>
          <w:tcPr>
            <w:tcW w:w="7938" w:type="dxa"/>
          </w:tcPr>
          <w:p w14:paraId="3D7AD351" w14:textId="6FDE60A3" w:rsidR="00FF5FCC" w:rsidRPr="00032DD3" w:rsidRDefault="00FA013D" w:rsidP="00032DD3">
            <w:pPr>
              <w:rPr>
                <w:sz w:val="22"/>
                <w:szCs w:val="22"/>
              </w:rPr>
            </w:pPr>
            <w:r w:rsidRPr="00032DD3">
              <w:rPr>
                <w:sz w:val="22"/>
                <w:szCs w:val="22"/>
              </w:rPr>
              <w:t>N/A</w:t>
            </w:r>
          </w:p>
        </w:tc>
      </w:tr>
      <w:tr w:rsidR="00FF5FCC" w:rsidRPr="003A0C9B" w14:paraId="46BA480B" w14:textId="77777777" w:rsidTr="00032DD3">
        <w:tc>
          <w:tcPr>
            <w:tcW w:w="1638" w:type="dxa"/>
          </w:tcPr>
          <w:p w14:paraId="0A3747A3" w14:textId="77777777" w:rsidR="00FF5FCC" w:rsidRPr="003A0C9B" w:rsidRDefault="00FF5FCC" w:rsidP="00032DD3">
            <w:pPr>
              <w:spacing w:line="276" w:lineRule="auto"/>
              <w:rPr>
                <w:sz w:val="22"/>
                <w:szCs w:val="22"/>
              </w:rPr>
            </w:pPr>
            <w:r w:rsidRPr="003A0C9B">
              <w:rPr>
                <w:sz w:val="22"/>
                <w:szCs w:val="22"/>
              </w:rPr>
              <w:t>Recognition</w:t>
            </w:r>
          </w:p>
        </w:tc>
        <w:tc>
          <w:tcPr>
            <w:tcW w:w="7938" w:type="dxa"/>
          </w:tcPr>
          <w:p w14:paraId="62DF217F" w14:textId="70FFA7E3" w:rsidR="00AE525D" w:rsidRPr="00032DD3" w:rsidRDefault="00AE525D" w:rsidP="00AE525D">
            <w:pPr>
              <w:jc w:val="both"/>
              <w:rPr>
                <w:sz w:val="22"/>
                <w:szCs w:val="22"/>
              </w:rPr>
            </w:pPr>
            <w:r w:rsidRPr="00032DD3">
              <w:rPr>
                <w:sz w:val="22"/>
                <w:szCs w:val="22"/>
              </w:rPr>
              <w:t xml:space="preserve">During the Recognition </w:t>
            </w:r>
            <w:r w:rsidR="00D94DC7">
              <w:rPr>
                <w:sz w:val="22"/>
                <w:szCs w:val="22"/>
              </w:rPr>
              <w:t>Interval</w:t>
            </w:r>
            <w:r w:rsidRPr="00032DD3">
              <w:rPr>
                <w:sz w:val="22"/>
                <w:szCs w:val="22"/>
              </w:rPr>
              <w:t xml:space="preserve">, the PIO will disseminate information to the public to use precautionary protective behaviors appropriate to the disease that will usually include, but are not limited to, personal hygiene activities (hand hygiene, cough etiquette, etc.). Internally, MDPH may begin to review community mitigation measures that may need to be implemented depending on the infectious disease spread. </w:t>
            </w:r>
          </w:p>
          <w:p w14:paraId="2515032B" w14:textId="40CCCE86" w:rsidR="00AE525D" w:rsidRDefault="00AE525D" w:rsidP="00AE525D">
            <w:pPr>
              <w:jc w:val="both"/>
              <w:rPr>
                <w:sz w:val="22"/>
                <w:szCs w:val="22"/>
              </w:rPr>
            </w:pPr>
            <w:r w:rsidRPr="00032DD3">
              <w:rPr>
                <w:sz w:val="22"/>
                <w:szCs w:val="22"/>
              </w:rPr>
              <w:t xml:space="preserve">Travel screenings may be considered in order to mitigate the spread of disease. The </w:t>
            </w:r>
            <w:r w:rsidR="004D578C">
              <w:rPr>
                <w:sz w:val="22"/>
                <w:szCs w:val="22"/>
              </w:rPr>
              <w:t xml:space="preserve">Division of </w:t>
            </w:r>
            <w:r w:rsidRPr="00032DD3">
              <w:rPr>
                <w:sz w:val="22"/>
                <w:szCs w:val="22"/>
              </w:rPr>
              <w:t xml:space="preserve">Epidemiology will monitor the CDC’s Travelers Health website for any travel notices in effect for affected countries, and stay up-to-date on any public health monitoring (direct active monitoring or active monitoring) activities that may be needed for travelers who may have been exposed. </w:t>
            </w:r>
          </w:p>
          <w:p w14:paraId="7A67527A" w14:textId="0E5692F6" w:rsidR="00B0330E" w:rsidRPr="00032DD3" w:rsidRDefault="00B0330E" w:rsidP="00AE525D">
            <w:pPr>
              <w:jc w:val="both"/>
              <w:rPr>
                <w:sz w:val="22"/>
                <w:szCs w:val="22"/>
              </w:rPr>
            </w:pPr>
            <w:r>
              <w:rPr>
                <w:sz w:val="22"/>
                <w:szCs w:val="22"/>
              </w:rPr>
              <w:t>For more information, see CDC’s recommendations on NPIs:</w:t>
            </w:r>
          </w:p>
          <w:p w14:paraId="05C3E1CE" w14:textId="12F647B8" w:rsidR="00FF5FCC" w:rsidRPr="00032DD3" w:rsidRDefault="009A1FF8" w:rsidP="00032DD3">
            <w:pPr>
              <w:rPr>
                <w:sz w:val="22"/>
                <w:szCs w:val="22"/>
              </w:rPr>
            </w:pPr>
            <w:hyperlink r:id="rId42" w:history="1">
              <w:r w:rsidR="0087395A">
                <w:rPr>
                  <w:rStyle w:val="Hyperlink"/>
                </w:rPr>
                <w:t>https://www.cdc.gov/nonpharmaceutical-interventions/index.html</w:t>
              </w:r>
            </w:hyperlink>
          </w:p>
        </w:tc>
      </w:tr>
      <w:tr w:rsidR="00FF5FCC" w:rsidRPr="003A0C9B" w14:paraId="24CCE47F" w14:textId="77777777" w:rsidTr="00032DD3">
        <w:tc>
          <w:tcPr>
            <w:tcW w:w="1638" w:type="dxa"/>
          </w:tcPr>
          <w:p w14:paraId="736AAE47" w14:textId="77777777" w:rsidR="00FF5FCC" w:rsidRPr="003A0C9B" w:rsidRDefault="00FF5FCC" w:rsidP="00032DD3">
            <w:pPr>
              <w:spacing w:line="276" w:lineRule="auto"/>
              <w:rPr>
                <w:sz w:val="22"/>
                <w:szCs w:val="22"/>
              </w:rPr>
            </w:pPr>
            <w:r w:rsidRPr="003A0C9B">
              <w:rPr>
                <w:sz w:val="22"/>
                <w:szCs w:val="22"/>
              </w:rPr>
              <w:t>Initiation</w:t>
            </w:r>
          </w:p>
        </w:tc>
        <w:tc>
          <w:tcPr>
            <w:tcW w:w="7938" w:type="dxa"/>
          </w:tcPr>
          <w:p w14:paraId="6B9FC874" w14:textId="77777777" w:rsidR="00AE525D" w:rsidRPr="00032DD3" w:rsidRDefault="00AE525D" w:rsidP="00AE525D">
            <w:pPr>
              <w:jc w:val="both"/>
              <w:rPr>
                <w:sz w:val="22"/>
                <w:szCs w:val="22"/>
              </w:rPr>
            </w:pPr>
            <w:r w:rsidRPr="00032DD3">
              <w:rPr>
                <w:sz w:val="22"/>
                <w:szCs w:val="22"/>
              </w:rPr>
              <w:t xml:space="preserve">The PIO, in consultation with the Communications Office, BIDLS and OPEM, will continue to encourage precautionary protective behaviors. </w:t>
            </w:r>
          </w:p>
          <w:p w14:paraId="6BD9EDDE" w14:textId="216B8730" w:rsidR="00AE525D" w:rsidRPr="00032DD3" w:rsidRDefault="00AE525D" w:rsidP="00AE525D">
            <w:pPr>
              <w:jc w:val="both"/>
              <w:rPr>
                <w:sz w:val="22"/>
                <w:szCs w:val="22"/>
              </w:rPr>
            </w:pPr>
            <w:r w:rsidRPr="00032DD3">
              <w:rPr>
                <w:sz w:val="22"/>
                <w:szCs w:val="22"/>
              </w:rPr>
              <w:t xml:space="preserve">The </w:t>
            </w:r>
            <w:r w:rsidR="004D578C">
              <w:rPr>
                <w:sz w:val="22"/>
                <w:szCs w:val="22"/>
              </w:rPr>
              <w:t xml:space="preserve">Division of </w:t>
            </w:r>
            <w:r w:rsidRPr="00032DD3">
              <w:rPr>
                <w:sz w:val="22"/>
                <w:szCs w:val="22"/>
              </w:rPr>
              <w:t xml:space="preserve">Epidemiology, in consultation with the Office of the General </w:t>
            </w:r>
            <w:r w:rsidR="00647F5E">
              <w:rPr>
                <w:sz w:val="22"/>
                <w:szCs w:val="22"/>
              </w:rPr>
              <w:t>Council</w:t>
            </w:r>
            <w:r w:rsidRPr="00032DD3">
              <w:rPr>
                <w:sz w:val="22"/>
                <w:szCs w:val="22"/>
              </w:rPr>
              <w:t xml:space="preserve">, will work with local public health agencies to implement isolation and quarantine of individuals that are or may be infected.  </w:t>
            </w:r>
          </w:p>
          <w:p w14:paraId="228754DD" w14:textId="4B93C124" w:rsidR="00AE525D" w:rsidRPr="00032DD3" w:rsidRDefault="00AE525D" w:rsidP="00AE525D">
            <w:pPr>
              <w:jc w:val="both"/>
              <w:rPr>
                <w:sz w:val="22"/>
                <w:szCs w:val="22"/>
              </w:rPr>
            </w:pPr>
            <w:r w:rsidRPr="00032DD3">
              <w:rPr>
                <w:sz w:val="22"/>
                <w:szCs w:val="22"/>
              </w:rPr>
              <w:t xml:space="preserve">Internally, the </w:t>
            </w:r>
            <w:r w:rsidR="005A27C3">
              <w:rPr>
                <w:sz w:val="22"/>
                <w:szCs w:val="22"/>
              </w:rPr>
              <w:t>Executive Team</w:t>
            </w:r>
            <w:r w:rsidRPr="00032DD3">
              <w:rPr>
                <w:sz w:val="22"/>
                <w:szCs w:val="22"/>
              </w:rPr>
              <w:t xml:space="preserve">, in consultation with BIDLS leadership, will continue to review recommended community mitigation measures that may need to come into effect depending on the severity of infectious disease spread. These measures may </w:t>
            </w:r>
            <w:r w:rsidRPr="00032DD3">
              <w:rPr>
                <w:sz w:val="22"/>
                <w:szCs w:val="22"/>
              </w:rPr>
              <w:lastRenderedPageBreak/>
              <w:t>include, but are not limited to:</w:t>
            </w:r>
          </w:p>
          <w:p w14:paraId="3CCF5576" w14:textId="77777777" w:rsidR="00AE525D" w:rsidRPr="00032DD3" w:rsidRDefault="00AE525D" w:rsidP="00050DCF">
            <w:pPr>
              <w:pStyle w:val="ListParagraph"/>
              <w:numPr>
                <w:ilvl w:val="0"/>
                <w:numId w:val="18"/>
              </w:numPr>
              <w:jc w:val="both"/>
              <w:rPr>
                <w:sz w:val="22"/>
                <w:szCs w:val="22"/>
              </w:rPr>
            </w:pPr>
            <w:r w:rsidRPr="00032DD3">
              <w:rPr>
                <w:sz w:val="22"/>
                <w:szCs w:val="22"/>
              </w:rPr>
              <w:t>Enhanced travel screening</w:t>
            </w:r>
          </w:p>
          <w:p w14:paraId="790E6C07" w14:textId="77777777" w:rsidR="00AE525D" w:rsidRPr="00032DD3" w:rsidRDefault="00AE525D" w:rsidP="00050DCF">
            <w:pPr>
              <w:pStyle w:val="ListParagraph"/>
              <w:numPr>
                <w:ilvl w:val="0"/>
                <w:numId w:val="18"/>
              </w:numPr>
              <w:jc w:val="both"/>
              <w:rPr>
                <w:sz w:val="22"/>
                <w:szCs w:val="22"/>
              </w:rPr>
            </w:pPr>
            <w:r w:rsidRPr="00032DD3">
              <w:rPr>
                <w:sz w:val="22"/>
                <w:szCs w:val="22"/>
              </w:rPr>
              <w:t>Social distancing, for example:</w:t>
            </w:r>
          </w:p>
          <w:p w14:paraId="3953326B" w14:textId="77777777" w:rsidR="00AE525D" w:rsidRPr="00032DD3" w:rsidRDefault="00AE525D" w:rsidP="00050DCF">
            <w:pPr>
              <w:pStyle w:val="ListParagraph"/>
              <w:numPr>
                <w:ilvl w:val="1"/>
                <w:numId w:val="18"/>
              </w:numPr>
              <w:jc w:val="both"/>
              <w:rPr>
                <w:sz w:val="22"/>
                <w:szCs w:val="22"/>
              </w:rPr>
            </w:pPr>
            <w:r w:rsidRPr="00032DD3">
              <w:rPr>
                <w:sz w:val="22"/>
                <w:szCs w:val="22"/>
              </w:rPr>
              <w:t>Schools suspending classes and transitioning to web-based learning, if possible</w:t>
            </w:r>
          </w:p>
          <w:p w14:paraId="47C1FFAC" w14:textId="77777777" w:rsidR="00AE525D" w:rsidRPr="00032DD3" w:rsidRDefault="00AE525D" w:rsidP="00050DCF">
            <w:pPr>
              <w:pStyle w:val="ListParagraph"/>
              <w:numPr>
                <w:ilvl w:val="1"/>
                <w:numId w:val="18"/>
              </w:numPr>
              <w:jc w:val="both"/>
              <w:rPr>
                <w:sz w:val="22"/>
                <w:szCs w:val="22"/>
              </w:rPr>
            </w:pPr>
            <w:r w:rsidRPr="00032DD3">
              <w:rPr>
                <w:sz w:val="22"/>
                <w:szCs w:val="22"/>
              </w:rPr>
              <w:t>Employers setting up flexible shift plans, offering telecommute options</w:t>
            </w:r>
          </w:p>
          <w:p w14:paraId="787A4A4A" w14:textId="77777777" w:rsidR="00AE525D" w:rsidRPr="00032DD3" w:rsidRDefault="00AE525D" w:rsidP="00050DCF">
            <w:pPr>
              <w:pStyle w:val="ListParagraph"/>
              <w:numPr>
                <w:ilvl w:val="0"/>
                <w:numId w:val="18"/>
              </w:numPr>
              <w:jc w:val="both"/>
              <w:rPr>
                <w:sz w:val="22"/>
                <w:szCs w:val="22"/>
              </w:rPr>
            </w:pPr>
            <w:r w:rsidRPr="00032DD3">
              <w:rPr>
                <w:sz w:val="22"/>
                <w:szCs w:val="22"/>
              </w:rPr>
              <w:t>Postponement of events or services with large gatherings</w:t>
            </w:r>
          </w:p>
          <w:p w14:paraId="0680ECCD" w14:textId="77777777" w:rsidR="00AE525D" w:rsidRPr="00032DD3" w:rsidRDefault="00AE525D" w:rsidP="00050DCF">
            <w:pPr>
              <w:pStyle w:val="ListParagraph"/>
              <w:numPr>
                <w:ilvl w:val="1"/>
                <w:numId w:val="18"/>
              </w:numPr>
              <w:jc w:val="both"/>
              <w:rPr>
                <w:sz w:val="22"/>
                <w:szCs w:val="22"/>
              </w:rPr>
            </w:pPr>
            <w:r w:rsidRPr="00032DD3">
              <w:rPr>
                <w:sz w:val="22"/>
                <w:szCs w:val="22"/>
              </w:rPr>
              <w:t>Sports events, concerts, parades, festivals</w:t>
            </w:r>
          </w:p>
          <w:p w14:paraId="5EACC34A" w14:textId="1B0927F3" w:rsidR="00FF5FCC" w:rsidRPr="00032DD3" w:rsidRDefault="00AE525D" w:rsidP="00AE525D">
            <w:pPr>
              <w:pStyle w:val="ListParagraph"/>
              <w:spacing w:line="276" w:lineRule="auto"/>
              <w:ind w:left="266"/>
              <w:rPr>
                <w:sz w:val="22"/>
                <w:szCs w:val="22"/>
              </w:rPr>
            </w:pPr>
            <w:r w:rsidRPr="00032DD3">
              <w:rPr>
                <w:sz w:val="22"/>
                <w:szCs w:val="22"/>
              </w:rPr>
              <w:t>Mass transit systems</w:t>
            </w:r>
          </w:p>
        </w:tc>
      </w:tr>
      <w:tr w:rsidR="00FF5FCC" w:rsidRPr="003A0C9B" w14:paraId="4628F813" w14:textId="77777777" w:rsidTr="00032DD3">
        <w:tc>
          <w:tcPr>
            <w:tcW w:w="1638" w:type="dxa"/>
          </w:tcPr>
          <w:p w14:paraId="6366A437" w14:textId="77777777" w:rsidR="00FF5FCC" w:rsidRPr="003A0C9B" w:rsidRDefault="00FF5FCC" w:rsidP="00032DD3">
            <w:pPr>
              <w:spacing w:line="276" w:lineRule="auto"/>
              <w:rPr>
                <w:sz w:val="22"/>
                <w:szCs w:val="22"/>
              </w:rPr>
            </w:pPr>
            <w:r w:rsidRPr="003A0C9B">
              <w:rPr>
                <w:sz w:val="22"/>
                <w:szCs w:val="22"/>
              </w:rPr>
              <w:lastRenderedPageBreak/>
              <w:t>Acceleration</w:t>
            </w:r>
          </w:p>
        </w:tc>
        <w:tc>
          <w:tcPr>
            <w:tcW w:w="7938" w:type="dxa"/>
          </w:tcPr>
          <w:p w14:paraId="17C132FD" w14:textId="77777777" w:rsidR="00FA013D" w:rsidRPr="00032DD3" w:rsidRDefault="00FA013D" w:rsidP="00FA013D">
            <w:pPr>
              <w:jc w:val="both"/>
              <w:rPr>
                <w:sz w:val="22"/>
                <w:szCs w:val="22"/>
              </w:rPr>
            </w:pPr>
            <w:r w:rsidRPr="00032DD3">
              <w:rPr>
                <w:sz w:val="22"/>
                <w:szCs w:val="22"/>
              </w:rPr>
              <w:t xml:space="preserve">During a severe infectious disease emergency, state and local health departments may implement community mitigation measures that decrease social contact within groups or whole communities to minimize the spread of disease. The Governor has the ability to declare a public health emergency, which provides the Commissioner greater authority to initiate these measures. </w:t>
            </w:r>
          </w:p>
          <w:p w14:paraId="20B49366" w14:textId="6BFE829D" w:rsidR="00FA013D" w:rsidRPr="00032DD3" w:rsidRDefault="00FA013D" w:rsidP="00FA013D">
            <w:pPr>
              <w:jc w:val="both"/>
              <w:rPr>
                <w:sz w:val="22"/>
                <w:szCs w:val="22"/>
              </w:rPr>
            </w:pPr>
            <w:r w:rsidRPr="00032DD3">
              <w:rPr>
                <w:sz w:val="22"/>
                <w:szCs w:val="22"/>
              </w:rPr>
              <w:t xml:space="preserve">After the Governor issues an emergency declaration, the Commissioner may convene other Commissioners to hold agency-level discussions to make community mitigation recommendations to the HHS Secretary and the Governor’s Office. As community mitigation measures affect the whole society, the Commissioner will consult with other relevant stakeholders in government in order to recommend measures that will protect public health yet cause minimal economic and social disruption. These recommendations may include, but are not limited to implementing school closures, postponing public gatherings, and otherwise limiting opportunities for the disease to spread among the population.  </w:t>
            </w:r>
            <w:r w:rsidR="002A2DD7">
              <w:rPr>
                <w:sz w:val="22"/>
                <w:szCs w:val="22"/>
              </w:rPr>
              <w:t>M</w:t>
            </w:r>
            <w:r w:rsidRPr="00032DD3">
              <w:rPr>
                <w:sz w:val="22"/>
                <w:szCs w:val="22"/>
              </w:rPr>
              <w:t xml:space="preserve">DPH may also encourage healthcare facilities to implement changes intended to limit the number of visitors accessing facilities during an infectious disease emergency. </w:t>
            </w:r>
          </w:p>
          <w:p w14:paraId="73B6C824" w14:textId="77777777" w:rsidR="00FF5FCC" w:rsidRPr="00032DD3" w:rsidRDefault="00FF5FCC" w:rsidP="00032DD3">
            <w:pPr>
              <w:pStyle w:val="ListParagraph"/>
              <w:spacing w:line="276" w:lineRule="auto"/>
              <w:ind w:left="266"/>
              <w:rPr>
                <w:sz w:val="22"/>
                <w:szCs w:val="22"/>
              </w:rPr>
            </w:pPr>
          </w:p>
        </w:tc>
      </w:tr>
      <w:tr w:rsidR="00FF5FCC" w:rsidRPr="003A0C9B" w14:paraId="7456149F" w14:textId="77777777" w:rsidTr="00032DD3">
        <w:tc>
          <w:tcPr>
            <w:tcW w:w="1638" w:type="dxa"/>
          </w:tcPr>
          <w:p w14:paraId="2CC1D96E" w14:textId="77777777" w:rsidR="00FF5FCC" w:rsidRPr="003A0C9B" w:rsidRDefault="00FF5FCC" w:rsidP="00032DD3">
            <w:pPr>
              <w:spacing w:line="276" w:lineRule="auto"/>
              <w:rPr>
                <w:sz w:val="22"/>
                <w:szCs w:val="22"/>
              </w:rPr>
            </w:pPr>
            <w:r w:rsidRPr="003A0C9B">
              <w:rPr>
                <w:sz w:val="22"/>
                <w:szCs w:val="22"/>
              </w:rPr>
              <w:t>Demobilization</w:t>
            </w:r>
          </w:p>
        </w:tc>
        <w:tc>
          <w:tcPr>
            <w:tcW w:w="7938" w:type="dxa"/>
          </w:tcPr>
          <w:p w14:paraId="705DDE44" w14:textId="66041DFF" w:rsidR="00FA013D" w:rsidRPr="00032DD3" w:rsidRDefault="00FA013D" w:rsidP="00050DCF">
            <w:pPr>
              <w:pStyle w:val="ListParagraph"/>
              <w:numPr>
                <w:ilvl w:val="0"/>
                <w:numId w:val="21"/>
              </w:numPr>
              <w:jc w:val="both"/>
              <w:rPr>
                <w:sz w:val="22"/>
                <w:szCs w:val="22"/>
              </w:rPr>
            </w:pPr>
            <w:r w:rsidRPr="00032DD3">
              <w:rPr>
                <w:sz w:val="22"/>
                <w:szCs w:val="22"/>
              </w:rPr>
              <w:t xml:space="preserve">Public health and government officials will plan for the appropriate suspension of community mitigation measures </w:t>
            </w:r>
          </w:p>
          <w:p w14:paraId="5C24D16F" w14:textId="46FFB50D" w:rsidR="00FA013D" w:rsidRPr="00032DD3" w:rsidRDefault="00FA013D" w:rsidP="00050DCF">
            <w:pPr>
              <w:pStyle w:val="ListParagraph"/>
              <w:numPr>
                <w:ilvl w:val="0"/>
                <w:numId w:val="21"/>
              </w:numPr>
              <w:jc w:val="both"/>
              <w:rPr>
                <w:sz w:val="22"/>
                <w:szCs w:val="22"/>
              </w:rPr>
            </w:pPr>
            <w:r w:rsidRPr="00032DD3">
              <w:rPr>
                <w:sz w:val="22"/>
                <w:szCs w:val="22"/>
              </w:rPr>
              <w:t xml:space="preserve">Upon the Governor declaring an end to the state of emergency, the Commissioners of EEC, DESE, and Higher Education will plan for the resumption of schools and daycare facilities </w:t>
            </w:r>
          </w:p>
          <w:p w14:paraId="0B837D66" w14:textId="5AD17F66" w:rsidR="00FA013D" w:rsidRPr="00032DD3" w:rsidRDefault="00FA013D" w:rsidP="00050DCF">
            <w:pPr>
              <w:pStyle w:val="ListParagraph"/>
              <w:numPr>
                <w:ilvl w:val="0"/>
                <w:numId w:val="21"/>
              </w:numPr>
              <w:jc w:val="both"/>
              <w:rPr>
                <w:sz w:val="22"/>
                <w:szCs w:val="22"/>
              </w:rPr>
            </w:pPr>
            <w:r w:rsidRPr="00032DD3">
              <w:rPr>
                <w:sz w:val="22"/>
                <w:szCs w:val="22"/>
              </w:rPr>
              <w:t xml:space="preserve">The Communications Office will encourage the public to maintain precautionary protective behaviors </w:t>
            </w:r>
          </w:p>
          <w:p w14:paraId="4E6E5F03" w14:textId="3211576E" w:rsidR="00FA013D" w:rsidRPr="00032DD3" w:rsidRDefault="00FA013D" w:rsidP="00050DCF">
            <w:pPr>
              <w:pStyle w:val="ListParagraph"/>
              <w:numPr>
                <w:ilvl w:val="0"/>
                <w:numId w:val="21"/>
              </w:numPr>
              <w:jc w:val="both"/>
              <w:rPr>
                <w:sz w:val="22"/>
                <w:szCs w:val="22"/>
              </w:rPr>
            </w:pPr>
            <w:r w:rsidRPr="00032DD3">
              <w:rPr>
                <w:sz w:val="22"/>
                <w:szCs w:val="22"/>
              </w:rPr>
              <w:t xml:space="preserve">BIDLS staff will monitor the CDC and WHO travel advisories, and communicate with </w:t>
            </w:r>
            <w:proofErr w:type="spellStart"/>
            <w:r w:rsidRPr="00032DD3">
              <w:rPr>
                <w:sz w:val="22"/>
                <w:szCs w:val="22"/>
              </w:rPr>
              <w:t>Massport</w:t>
            </w:r>
            <w:proofErr w:type="spellEnd"/>
            <w:r w:rsidRPr="00032DD3">
              <w:rPr>
                <w:sz w:val="22"/>
                <w:szCs w:val="22"/>
              </w:rPr>
              <w:t>, to plan for the cessation of travel screening in the Commonwealth</w:t>
            </w:r>
          </w:p>
          <w:p w14:paraId="23BF1359" w14:textId="77777777" w:rsidR="00FF5FCC" w:rsidRPr="00032DD3" w:rsidRDefault="00FF5FCC" w:rsidP="00032DD3">
            <w:pPr>
              <w:spacing w:line="276" w:lineRule="auto"/>
              <w:ind w:left="252"/>
              <w:contextualSpacing/>
              <w:rPr>
                <w:sz w:val="22"/>
                <w:szCs w:val="22"/>
              </w:rPr>
            </w:pPr>
          </w:p>
        </w:tc>
      </w:tr>
    </w:tbl>
    <w:p w14:paraId="377C0322" w14:textId="77777777" w:rsidR="00194809" w:rsidRDefault="00194809" w:rsidP="00BC6A95">
      <w:pPr>
        <w:pStyle w:val="Heading2"/>
        <w:ind w:left="360"/>
        <w:rPr>
          <w:b w:val="0"/>
        </w:rPr>
      </w:pPr>
      <w:bookmarkStart w:id="516" w:name="_Toc470164589"/>
      <w:bookmarkStart w:id="517" w:name="_Toc473721352"/>
      <w:bookmarkStart w:id="518" w:name="_Toc476815805"/>
      <w:bookmarkStart w:id="519" w:name="_Toc477864066"/>
      <w:bookmarkStart w:id="520" w:name="_Toc477866366"/>
      <w:bookmarkStart w:id="521" w:name="_Toc480546414"/>
      <w:bookmarkStart w:id="522" w:name="_Toc481759053"/>
      <w:bookmarkStart w:id="523" w:name="_Toc482792893"/>
      <w:bookmarkStart w:id="524" w:name="_Toc482793049"/>
      <w:bookmarkStart w:id="525" w:name="_Toc482793363"/>
      <w:bookmarkStart w:id="526" w:name="_Toc356762335"/>
      <w:bookmarkStart w:id="527" w:name="_Toc483566930"/>
      <w:bookmarkStart w:id="528" w:name="_Toc483996069"/>
      <w:bookmarkStart w:id="529" w:name="_Toc484606993"/>
      <w:bookmarkStart w:id="530" w:name="_Toc486238613"/>
      <w:bookmarkStart w:id="531" w:name="_Toc486328978"/>
      <w:bookmarkStart w:id="532" w:name="_Toc486407773"/>
      <w:bookmarkStart w:id="533" w:name="_Toc486492375"/>
      <w:bookmarkStart w:id="534" w:name="_Toc486499871"/>
      <w:bookmarkStart w:id="535" w:name="_Toc486501047"/>
      <w:bookmarkStart w:id="536" w:name="_Toc486516507"/>
      <w:bookmarkStart w:id="537" w:name="_Toc486577762"/>
      <w:bookmarkStart w:id="538" w:name="_Toc486578968"/>
    </w:p>
    <w:p w14:paraId="40E21625" w14:textId="77777777" w:rsidR="00194809" w:rsidRDefault="00194809" w:rsidP="00194809"/>
    <w:p w14:paraId="3C7863CE" w14:textId="77777777" w:rsidR="00194809" w:rsidRPr="00194809" w:rsidRDefault="00194809" w:rsidP="00194809"/>
    <w:p w14:paraId="3912631E" w14:textId="41D83AE6" w:rsidR="00BE759C" w:rsidRDefault="00BE759C" w:rsidP="00BC6A95">
      <w:pPr>
        <w:pStyle w:val="Heading2"/>
        <w:ind w:left="360"/>
      </w:pPr>
      <w:bookmarkStart w:id="539" w:name="_Toc31623012"/>
      <w:r>
        <w:lastRenderedPageBreak/>
        <w:t>6</w:t>
      </w:r>
      <w:r w:rsidRPr="00BE759C">
        <w:t xml:space="preserve">.5 </w:t>
      </w:r>
      <w:r w:rsidR="003B7C6A">
        <w:t xml:space="preserve">     </w:t>
      </w:r>
      <w:r w:rsidRPr="00BE759C">
        <w:t>Medical Surge</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14:paraId="17176891" w14:textId="77777777" w:rsidR="00FF5FCC" w:rsidRPr="00BE759C" w:rsidRDefault="00FF5FCC" w:rsidP="00FF5FCC">
      <w:pPr>
        <w:keepNext/>
        <w:keepLines/>
        <w:spacing w:before="200" w:after="0"/>
        <w:ind w:left="360"/>
        <w:jc w:val="both"/>
        <w:outlineLvl w:val="1"/>
        <w:rPr>
          <w:rFonts w:asciiTheme="majorHAnsi" w:eastAsiaTheme="majorEastAsia" w:hAnsiTheme="majorHAnsi" w:cstheme="majorBidi"/>
          <w:b/>
          <w:bCs/>
          <w:color w:val="4F81BD" w:themeColor="accent1"/>
          <w:sz w:val="26"/>
          <w:szCs w:val="26"/>
        </w:rPr>
      </w:pPr>
    </w:p>
    <w:tbl>
      <w:tblPr>
        <w:tblStyle w:val="TableGrid"/>
        <w:tblW w:w="0" w:type="auto"/>
        <w:tblLayout w:type="fixed"/>
        <w:tblLook w:val="04A0" w:firstRow="1" w:lastRow="0" w:firstColumn="1" w:lastColumn="0" w:noHBand="0" w:noVBand="1"/>
      </w:tblPr>
      <w:tblGrid>
        <w:gridCol w:w="1638"/>
        <w:gridCol w:w="7938"/>
      </w:tblGrid>
      <w:tr w:rsidR="00FF5FCC" w:rsidRPr="003A0C9B" w14:paraId="2011B0A2" w14:textId="77777777" w:rsidTr="00032DD3">
        <w:tc>
          <w:tcPr>
            <w:tcW w:w="1638" w:type="dxa"/>
          </w:tcPr>
          <w:p w14:paraId="1866D5EC" w14:textId="1AE15885" w:rsidR="00FF5FCC" w:rsidRPr="003A0C9B" w:rsidRDefault="00FF5FCC" w:rsidP="00F21535">
            <w:pPr>
              <w:contextualSpacing/>
              <w:rPr>
                <w:sz w:val="22"/>
                <w:szCs w:val="22"/>
              </w:rPr>
            </w:pPr>
            <w:r w:rsidRPr="003A0C9B">
              <w:rPr>
                <w:sz w:val="22"/>
                <w:szCs w:val="22"/>
              </w:rPr>
              <w:t>Preparation</w:t>
            </w:r>
          </w:p>
        </w:tc>
        <w:tc>
          <w:tcPr>
            <w:tcW w:w="7938" w:type="dxa"/>
          </w:tcPr>
          <w:p w14:paraId="3C29864B" w14:textId="7DBCA7F9" w:rsidR="00FF5FCC" w:rsidRPr="00032DD3" w:rsidRDefault="00FA013D" w:rsidP="00032DD3">
            <w:pPr>
              <w:rPr>
                <w:sz w:val="22"/>
                <w:szCs w:val="22"/>
              </w:rPr>
            </w:pPr>
            <w:r w:rsidRPr="00032DD3">
              <w:rPr>
                <w:sz w:val="22"/>
                <w:szCs w:val="22"/>
              </w:rPr>
              <w:t>N/A</w:t>
            </w:r>
          </w:p>
        </w:tc>
      </w:tr>
      <w:tr w:rsidR="00FF5FCC" w:rsidRPr="003A0C9B" w14:paraId="215C63ED" w14:textId="77777777" w:rsidTr="00032DD3">
        <w:tc>
          <w:tcPr>
            <w:tcW w:w="1638" w:type="dxa"/>
          </w:tcPr>
          <w:p w14:paraId="61B1F1F8" w14:textId="77777777" w:rsidR="00FF5FCC" w:rsidRPr="003A0C9B" w:rsidRDefault="00FF5FCC" w:rsidP="00032DD3">
            <w:pPr>
              <w:spacing w:line="276" w:lineRule="auto"/>
              <w:rPr>
                <w:sz w:val="22"/>
                <w:szCs w:val="22"/>
              </w:rPr>
            </w:pPr>
            <w:r w:rsidRPr="003A0C9B">
              <w:rPr>
                <w:sz w:val="22"/>
                <w:szCs w:val="22"/>
              </w:rPr>
              <w:t>Investigation/</w:t>
            </w:r>
          </w:p>
          <w:p w14:paraId="029C9D00" w14:textId="77777777" w:rsidR="00FF5FCC" w:rsidRPr="003A0C9B" w:rsidRDefault="00FF5FCC" w:rsidP="00032DD3">
            <w:pPr>
              <w:spacing w:line="276" w:lineRule="auto"/>
              <w:rPr>
                <w:sz w:val="22"/>
                <w:szCs w:val="22"/>
              </w:rPr>
            </w:pPr>
            <w:r w:rsidRPr="003A0C9B">
              <w:rPr>
                <w:sz w:val="22"/>
                <w:szCs w:val="22"/>
              </w:rPr>
              <w:t>Alerting</w:t>
            </w:r>
          </w:p>
        </w:tc>
        <w:tc>
          <w:tcPr>
            <w:tcW w:w="7938" w:type="dxa"/>
          </w:tcPr>
          <w:p w14:paraId="4D3FBDAD" w14:textId="4984E747" w:rsidR="00FF5FCC" w:rsidRPr="00032DD3" w:rsidRDefault="00FA013D" w:rsidP="00032DD3">
            <w:pPr>
              <w:rPr>
                <w:sz w:val="22"/>
                <w:szCs w:val="22"/>
              </w:rPr>
            </w:pPr>
            <w:r w:rsidRPr="00032DD3">
              <w:rPr>
                <w:sz w:val="22"/>
                <w:szCs w:val="22"/>
              </w:rPr>
              <w:t>N/A</w:t>
            </w:r>
          </w:p>
        </w:tc>
      </w:tr>
      <w:tr w:rsidR="00FF5FCC" w:rsidRPr="003A0C9B" w14:paraId="3AF0B6B6" w14:textId="77777777" w:rsidTr="00032DD3">
        <w:tc>
          <w:tcPr>
            <w:tcW w:w="1638" w:type="dxa"/>
          </w:tcPr>
          <w:p w14:paraId="70724FEA" w14:textId="77777777" w:rsidR="00FF5FCC" w:rsidRPr="003A0C9B" w:rsidRDefault="00FF5FCC" w:rsidP="00032DD3">
            <w:pPr>
              <w:spacing w:line="276" w:lineRule="auto"/>
              <w:rPr>
                <w:sz w:val="22"/>
                <w:szCs w:val="22"/>
              </w:rPr>
            </w:pPr>
            <w:r w:rsidRPr="003A0C9B">
              <w:rPr>
                <w:sz w:val="22"/>
                <w:szCs w:val="22"/>
              </w:rPr>
              <w:t>Recognition</w:t>
            </w:r>
          </w:p>
        </w:tc>
        <w:tc>
          <w:tcPr>
            <w:tcW w:w="7938" w:type="dxa"/>
          </w:tcPr>
          <w:p w14:paraId="6C70B586" w14:textId="0AA97752" w:rsidR="00FF5FCC" w:rsidRPr="00032DD3" w:rsidRDefault="00FA013D" w:rsidP="00032DD3">
            <w:pPr>
              <w:rPr>
                <w:sz w:val="22"/>
                <w:szCs w:val="22"/>
              </w:rPr>
            </w:pPr>
            <w:r w:rsidRPr="00032DD3">
              <w:rPr>
                <w:sz w:val="22"/>
                <w:szCs w:val="22"/>
              </w:rPr>
              <w:t>N/A</w:t>
            </w:r>
          </w:p>
        </w:tc>
      </w:tr>
      <w:tr w:rsidR="00FF5FCC" w:rsidRPr="003A0C9B" w14:paraId="17840E8F" w14:textId="77777777" w:rsidTr="00032DD3">
        <w:tc>
          <w:tcPr>
            <w:tcW w:w="1638" w:type="dxa"/>
          </w:tcPr>
          <w:p w14:paraId="3F9E46A6" w14:textId="77777777" w:rsidR="00FF5FCC" w:rsidRPr="003A0C9B" w:rsidRDefault="00FF5FCC" w:rsidP="00032DD3">
            <w:pPr>
              <w:spacing w:line="276" w:lineRule="auto"/>
              <w:rPr>
                <w:sz w:val="22"/>
                <w:szCs w:val="22"/>
              </w:rPr>
            </w:pPr>
            <w:r w:rsidRPr="003A0C9B">
              <w:rPr>
                <w:sz w:val="22"/>
                <w:szCs w:val="22"/>
              </w:rPr>
              <w:t>Initiation</w:t>
            </w:r>
          </w:p>
        </w:tc>
        <w:tc>
          <w:tcPr>
            <w:tcW w:w="7938" w:type="dxa"/>
          </w:tcPr>
          <w:p w14:paraId="28439F06" w14:textId="77777777" w:rsidR="00AE525D" w:rsidRPr="00032DD3" w:rsidRDefault="00AE525D" w:rsidP="00AE525D">
            <w:pPr>
              <w:keepNext/>
              <w:keepLines/>
              <w:spacing w:before="200"/>
              <w:jc w:val="both"/>
              <w:outlineLvl w:val="3"/>
              <w:rPr>
                <w:rFonts w:asciiTheme="majorHAnsi" w:eastAsiaTheme="majorEastAsia" w:hAnsiTheme="majorHAnsi" w:cstheme="majorBidi"/>
                <w:b/>
                <w:bCs/>
                <w:i/>
                <w:iCs/>
                <w:color w:val="4F81BD" w:themeColor="accent1"/>
                <w:sz w:val="22"/>
                <w:szCs w:val="22"/>
              </w:rPr>
            </w:pPr>
            <w:r w:rsidRPr="00032DD3">
              <w:rPr>
                <w:rFonts w:asciiTheme="majorHAnsi" w:eastAsiaTheme="majorEastAsia" w:hAnsiTheme="majorHAnsi" w:cstheme="majorBidi"/>
                <w:b/>
                <w:bCs/>
                <w:i/>
                <w:iCs/>
                <w:color w:val="4F81BD" w:themeColor="accent1"/>
                <w:sz w:val="22"/>
                <w:szCs w:val="22"/>
              </w:rPr>
              <w:t>Staffing</w:t>
            </w:r>
          </w:p>
          <w:p w14:paraId="453869C5" w14:textId="04E68FBC" w:rsidR="00AE525D" w:rsidRPr="00032DD3" w:rsidRDefault="00AE525D" w:rsidP="00AE525D">
            <w:pPr>
              <w:jc w:val="both"/>
              <w:rPr>
                <w:sz w:val="22"/>
                <w:szCs w:val="22"/>
              </w:rPr>
            </w:pPr>
            <w:r w:rsidRPr="00032DD3">
              <w:rPr>
                <w:sz w:val="22"/>
                <w:szCs w:val="22"/>
              </w:rPr>
              <w:t xml:space="preserve">During this </w:t>
            </w:r>
            <w:r w:rsidR="00D94DC7">
              <w:rPr>
                <w:sz w:val="22"/>
                <w:szCs w:val="22"/>
              </w:rPr>
              <w:t>interval</w:t>
            </w:r>
            <w:r w:rsidRPr="00032DD3">
              <w:rPr>
                <w:sz w:val="22"/>
                <w:szCs w:val="22"/>
              </w:rPr>
              <w:t xml:space="preserve">, MDPH will assess potential staffing shortages in response to an infectious disease emergency, and evaluate their ability to increase staffing levels. </w:t>
            </w:r>
          </w:p>
          <w:p w14:paraId="203E7413" w14:textId="77777777" w:rsidR="00AE525D" w:rsidRPr="00032DD3" w:rsidRDefault="00AE525D" w:rsidP="00AE525D">
            <w:pPr>
              <w:keepNext/>
              <w:keepLines/>
              <w:spacing w:before="200"/>
              <w:jc w:val="both"/>
              <w:outlineLvl w:val="3"/>
              <w:rPr>
                <w:rFonts w:asciiTheme="majorHAnsi" w:eastAsiaTheme="majorEastAsia" w:hAnsiTheme="majorHAnsi" w:cstheme="majorBidi"/>
                <w:b/>
                <w:bCs/>
                <w:i/>
                <w:iCs/>
                <w:color w:val="4F81BD" w:themeColor="accent1"/>
                <w:sz w:val="22"/>
                <w:szCs w:val="22"/>
              </w:rPr>
            </w:pPr>
            <w:r w:rsidRPr="00032DD3">
              <w:rPr>
                <w:rFonts w:asciiTheme="majorHAnsi" w:eastAsiaTheme="majorEastAsia" w:hAnsiTheme="majorHAnsi" w:cstheme="majorBidi"/>
                <w:b/>
                <w:bCs/>
                <w:i/>
                <w:iCs/>
                <w:color w:val="4F81BD" w:themeColor="accent1"/>
                <w:sz w:val="22"/>
                <w:szCs w:val="22"/>
              </w:rPr>
              <w:t>Monitoring Healthcare Facilities</w:t>
            </w:r>
          </w:p>
          <w:p w14:paraId="16F7B7A6" w14:textId="5E53D599" w:rsidR="00AE525D" w:rsidRPr="00032DD3" w:rsidRDefault="00AE525D" w:rsidP="00AE525D">
            <w:pPr>
              <w:numPr>
                <w:ilvl w:val="0"/>
                <w:numId w:val="7"/>
              </w:numPr>
              <w:contextualSpacing/>
              <w:jc w:val="both"/>
              <w:rPr>
                <w:sz w:val="22"/>
                <w:szCs w:val="22"/>
              </w:rPr>
            </w:pPr>
            <w:r w:rsidRPr="00032DD3">
              <w:rPr>
                <w:sz w:val="22"/>
                <w:szCs w:val="22"/>
              </w:rPr>
              <w:t xml:space="preserve">The Hospital Branch Director, under the Operations Section, will work with healthcare facilities and other health response agencies to determine their capacities to accommodate a surge in cases, and consider the most effective actions to assist in supporting the response </w:t>
            </w:r>
          </w:p>
          <w:p w14:paraId="384D1E5E" w14:textId="51364917" w:rsidR="00AE525D" w:rsidRPr="00032DD3" w:rsidRDefault="00AE525D" w:rsidP="00AE525D">
            <w:pPr>
              <w:numPr>
                <w:ilvl w:val="0"/>
                <w:numId w:val="7"/>
              </w:numPr>
              <w:contextualSpacing/>
              <w:jc w:val="both"/>
              <w:rPr>
                <w:sz w:val="22"/>
                <w:szCs w:val="22"/>
              </w:rPr>
            </w:pPr>
            <w:r w:rsidRPr="00032DD3">
              <w:rPr>
                <w:sz w:val="22"/>
                <w:szCs w:val="22"/>
              </w:rPr>
              <w:t xml:space="preserve">The Hospital Branch Director, in consultation with OPEM and BHCSQ, will also anticipate potential stress points that may hinder healthcare facilities’ abilities to effectively provide care </w:t>
            </w:r>
          </w:p>
          <w:p w14:paraId="0192C56F" w14:textId="2A9ED086" w:rsidR="00AE525D" w:rsidRPr="00032DD3" w:rsidRDefault="00AE525D" w:rsidP="00AE525D">
            <w:pPr>
              <w:numPr>
                <w:ilvl w:val="0"/>
                <w:numId w:val="7"/>
              </w:numPr>
              <w:contextualSpacing/>
              <w:jc w:val="both"/>
              <w:rPr>
                <w:sz w:val="22"/>
                <w:szCs w:val="22"/>
              </w:rPr>
            </w:pPr>
            <w:r w:rsidRPr="00032DD3">
              <w:rPr>
                <w:sz w:val="22"/>
                <w:szCs w:val="22"/>
              </w:rPr>
              <w:t xml:space="preserve">The Planning Section Chief will work with the Office of Emergency Medical Services (OEMS), Bureau of Health Care Safety and Quality (BHCSQ) and others to identify what data is available and should be collected to help inform response decisions where waivers and extraordinary actions may be required to support an effective response  </w:t>
            </w:r>
          </w:p>
          <w:p w14:paraId="76ACD929" w14:textId="77777777" w:rsidR="00AE525D" w:rsidRPr="00032DD3" w:rsidRDefault="00AE525D" w:rsidP="00AE525D">
            <w:pPr>
              <w:keepNext/>
              <w:keepLines/>
              <w:spacing w:before="200"/>
              <w:jc w:val="both"/>
              <w:outlineLvl w:val="3"/>
              <w:rPr>
                <w:rFonts w:asciiTheme="majorHAnsi" w:eastAsiaTheme="majorEastAsia" w:hAnsiTheme="majorHAnsi" w:cstheme="majorBidi"/>
                <w:b/>
                <w:bCs/>
                <w:i/>
                <w:iCs/>
                <w:color w:val="4F81BD" w:themeColor="accent1"/>
                <w:sz w:val="22"/>
                <w:szCs w:val="22"/>
              </w:rPr>
            </w:pPr>
            <w:r w:rsidRPr="00032DD3">
              <w:rPr>
                <w:rFonts w:asciiTheme="majorHAnsi" w:eastAsiaTheme="majorEastAsia" w:hAnsiTheme="majorHAnsi" w:cstheme="majorBidi"/>
                <w:b/>
                <w:bCs/>
                <w:i/>
                <w:iCs/>
                <w:color w:val="4F81BD" w:themeColor="accent1"/>
                <w:sz w:val="22"/>
                <w:szCs w:val="22"/>
              </w:rPr>
              <w:t xml:space="preserve">Monitoring Resources </w:t>
            </w:r>
          </w:p>
          <w:p w14:paraId="6013EFAE" w14:textId="77777777" w:rsidR="00AE525D" w:rsidRPr="00032DD3" w:rsidRDefault="00AE525D" w:rsidP="00AE525D">
            <w:pPr>
              <w:jc w:val="both"/>
              <w:rPr>
                <w:sz w:val="22"/>
                <w:szCs w:val="22"/>
              </w:rPr>
            </w:pPr>
            <w:r w:rsidRPr="00032DD3">
              <w:rPr>
                <w:sz w:val="22"/>
                <w:szCs w:val="22"/>
              </w:rPr>
              <w:t xml:space="preserve">Peak planning will occur to pre-position needed medical supplies and equipment prior to an anticipated surge in infectious disease cases. </w:t>
            </w:r>
          </w:p>
          <w:p w14:paraId="77DEE044" w14:textId="4CD35ACC" w:rsidR="00AE525D" w:rsidRPr="00032DD3" w:rsidRDefault="00AE525D" w:rsidP="00AE525D">
            <w:pPr>
              <w:jc w:val="both"/>
              <w:rPr>
                <w:sz w:val="22"/>
                <w:szCs w:val="22"/>
              </w:rPr>
            </w:pPr>
            <w:r w:rsidRPr="00032DD3">
              <w:rPr>
                <w:sz w:val="22"/>
                <w:szCs w:val="22"/>
              </w:rPr>
              <w:t xml:space="preserve">Depending on the type of infectious disease response needed, scarcities in PPE, medical equipment, and pharmaceuticals may be expected to occur, likely during the Acceleration </w:t>
            </w:r>
            <w:r w:rsidR="00D94DC7">
              <w:rPr>
                <w:sz w:val="22"/>
                <w:szCs w:val="22"/>
              </w:rPr>
              <w:t>Interval</w:t>
            </w:r>
            <w:r w:rsidRPr="00032DD3">
              <w:rPr>
                <w:sz w:val="22"/>
                <w:szCs w:val="22"/>
              </w:rPr>
              <w:t>. To anticipate this:</w:t>
            </w:r>
          </w:p>
          <w:p w14:paraId="3C4E8CC9" w14:textId="29B25E00" w:rsidR="00AE525D" w:rsidRPr="00032DD3" w:rsidRDefault="00AE525D" w:rsidP="00050DCF">
            <w:pPr>
              <w:numPr>
                <w:ilvl w:val="0"/>
                <w:numId w:val="19"/>
              </w:numPr>
              <w:contextualSpacing/>
              <w:jc w:val="both"/>
              <w:rPr>
                <w:sz w:val="22"/>
                <w:szCs w:val="22"/>
              </w:rPr>
            </w:pPr>
            <w:r w:rsidRPr="00032DD3">
              <w:rPr>
                <w:sz w:val="22"/>
                <w:szCs w:val="22"/>
              </w:rPr>
              <w:t xml:space="preserve">The Planning Section Chief will monitor the </w:t>
            </w:r>
            <w:proofErr w:type="spellStart"/>
            <w:r w:rsidRPr="00032DD3">
              <w:rPr>
                <w:sz w:val="22"/>
                <w:szCs w:val="22"/>
              </w:rPr>
              <w:t>WebEOC’s</w:t>
            </w:r>
            <w:proofErr w:type="spellEnd"/>
            <w:r w:rsidRPr="00032DD3">
              <w:rPr>
                <w:sz w:val="22"/>
                <w:szCs w:val="22"/>
              </w:rPr>
              <w:t xml:space="preserve"> Resource Request Board to identify specific resources that may be needed across health and medical disciplines in the Commonwealth</w:t>
            </w:r>
          </w:p>
          <w:p w14:paraId="2C7BCD11" w14:textId="3ACCFE1E" w:rsidR="00AE525D" w:rsidRPr="00032DD3" w:rsidRDefault="00AE525D" w:rsidP="00050DCF">
            <w:pPr>
              <w:numPr>
                <w:ilvl w:val="0"/>
                <w:numId w:val="19"/>
              </w:numPr>
              <w:contextualSpacing/>
              <w:jc w:val="both"/>
              <w:rPr>
                <w:sz w:val="22"/>
                <w:szCs w:val="22"/>
              </w:rPr>
            </w:pPr>
            <w:r w:rsidRPr="00032DD3">
              <w:rPr>
                <w:sz w:val="22"/>
                <w:szCs w:val="22"/>
              </w:rPr>
              <w:t xml:space="preserve">The Planning Section will monitor pharmacies for antibiotic or antiviral use and liaise with the Logistics Section Chief as needed regarding surpluses or shortages in supply </w:t>
            </w:r>
          </w:p>
          <w:p w14:paraId="2476DB0C" w14:textId="1F95BC64" w:rsidR="00AE525D" w:rsidRPr="00032DD3" w:rsidRDefault="00AE525D" w:rsidP="00AE525D">
            <w:pPr>
              <w:jc w:val="both"/>
              <w:rPr>
                <w:sz w:val="22"/>
                <w:szCs w:val="22"/>
              </w:rPr>
            </w:pPr>
            <w:r w:rsidRPr="00032DD3">
              <w:rPr>
                <w:sz w:val="22"/>
                <w:szCs w:val="22"/>
              </w:rPr>
              <w:t xml:space="preserve">The Incident Manager may also initiate an internal discussion with the </w:t>
            </w:r>
            <w:r w:rsidR="005A27C3">
              <w:rPr>
                <w:sz w:val="22"/>
                <w:szCs w:val="22"/>
              </w:rPr>
              <w:t>Executive Team</w:t>
            </w:r>
            <w:r w:rsidRPr="00032DD3">
              <w:rPr>
                <w:sz w:val="22"/>
                <w:szCs w:val="22"/>
              </w:rPr>
              <w:t xml:space="preserve"> and senior-level BIDLS management on resource prioritization. The prioritization of scarce resources depends on the type of resource; if there is a shortage of pharmaceuticals, then prioritization information will be disseminated by the CDC, and the PIO, in consultation with the </w:t>
            </w:r>
            <w:r w:rsidR="005A27C3">
              <w:rPr>
                <w:sz w:val="22"/>
                <w:szCs w:val="22"/>
              </w:rPr>
              <w:t>Executive Team</w:t>
            </w:r>
            <w:r w:rsidRPr="00032DD3">
              <w:rPr>
                <w:sz w:val="22"/>
                <w:szCs w:val="22"/>
              </w:rPr>
              <w:t xml:space="preserve">, will distribute a letter describing the target population. The PIO must be very clear to identify the priority group and describe the scarce resource, and s/he must exert tight control over messaging around those areas. </w:t>
            </w:r>
          </w:p>
          <w:p w14:paraId="360922AD" w14:textId="77777777" w:rsidR="00FF5FCC" w:rsidRPr="00032DD3" w:rsidRDefault="00FF5FCC" w:rsidP="00032DD3">
            <w:pPr>
              <w:pStyle w:val="ListParagraph"/>
              <w:spacing w:line="276" w:lineRule="auto"/>
              <w:ind w:left="266"/>
              <w:rPr>
                <w:sz w:val="22"/>
                <w:szCs w:val="22"/>
              </w:rPr>
            </w:pPr>
          </w:p>
        </w:tc>
      </w:tr>
      <w:tr w:rsidR="00FF5FCC" w:rsidRPr="003A0C9B" w14:paraId="18378DF9" w14:textId="77777777" w:rsidTr="00032DD3">
        <w:tc>
          <w:tcPr>
            <w:tcW w:w="1638" w:type="dxa"/>
          </w:tcPr>
          <w:p w14:paraId="402F30E8" w14:textId="77777777" w:rsidR="00FF5FCC" w:rsidRPr="003A0C9B" w:rsidRDefault="00FF5FCC" w:rsidP="00032DD3">
            <w:pPr>
              <w:spacing w:line="276" w:lineRule="auto"/>
              <w:rPr>
                <w:sz w:val="22"/>
                <w:szCs w:val="22"/>
              </w:rPr>
            </w:pPr>
            <w:r w:rsidRPr="003A0C9B">
              <w:rPr>
                <w:sz w:val="22"/>
                <w:szCs w:val="22"/>
              </w:rPr>
              <w:lastRenderedPageBreak/>
              <w:t>Acceleration</w:t>
            </w:r>
          </w:p>
        </w:tc>
        <w:tc>
          <w:tcPr>
            <w:tcW w:w="7938" w:type="dxa"/>
          </w:tcPr>
          <w:p w14:paraId="5A7DC14C" w14:textId="6F450D8A" w:rsidR="00FA013D" w:rsidRPr="00FA013D" w:rsidRDefault="00FA013D" w:rsidP="00FA013D">
            <w:pPr>
              <w:jc w:val="both"/>
              <w:rPr>
                <w:sz w:val="22"/>
                <w:szCs w:val="22"/>
              </w:rPr>
            </w:pPr>
            <w:r w:rsidRPr="00FA013D">
              <w:rPr>
                <w:sz w:val="22"/>
                <w:szCs w:val="22"/>
              </w:rPr>
              <w:t xml:space="preserve">During the Acceleration </w:t>
            </w:r>
            <w:r w:rsidR="00D94DC7">
              <w:rPr>
                <w:sz w:val="22"/>
                <w:szCs w:val="22"/>
              </w:rPr>
              <w:t>interval</w:t>
            </w:r>
            <w:r w:rsidRPr="00FA013D">
              <w:rPr>
                <w:sz w:val="22"/>
                <w:szCs w:val="22"/>
              </w:rPr>
              <w:t xml:space="preserve">, the Planning Section will monitor WebEOC and the Operations Section will communicate with HMCCs and healthcare facilities during routine intervals to assess surge activities. The Operations Section will take action as needed to support agencies and organizations responding to surge. </w:t>
            </w:r>
          </w:p>
          <w:p w14:paraId="256D5F19" w14:textId="77777777" w:rsidR="00FA013D" w:rsidRPr="00FA013D" w:rsidRDefault="00FA013D" w:rsidP="00FA013D">
            <w:pPr>
              <w:jc w:val="both"/>
              <w:rPr>
                <w:sz w:val="22"/>
                <w:szCs w:val="22"/>
              </w:rPr>
            </w:pPr>
            <w:r w:rsidRPr="00FA013D">
              <w:rPr>
                <w:sz w:val="22"/>
                <w:szCs w:val="22"/>
              </w:rPr>
              <w:t xml:space="preserve">The Governor may declare a Public Health Emergency or State of Emergency, as needed. </w:t>
            </w:r>
          </w:p>
          <w:p w14:paraId="6FE5F76E" w14:textId="77777777" w:rsidR="00FA013D" w:rsidRPr="00FA013D" w:rsidRDefault="00FA013D" w:rsidP="00FA013D">
            <w:pPr>
              <w:keepNext/>
              <w:keepLines/>
              <w:spacing w:before="200"/>
              <w:jc w:val="both"/>
              <w:outlineLvl w:val="3"/>
              <w:rPr>
                <w:rFonts w:asciiTheme="majorHAnsi" w:eastAsiaTheme="majorEastAsia" w:hAnsiTheme="majorHAnsi" w:cstheme="majorBidi"/>
                <w:b/>
                <w:bCs/>
                <w:i/>
                <w:iCs/>
                <w:color w:val="4F81BD" w:themeColor="accent1"/>
                <w:sz w:val="22"/>
                <w:szCs w:val="22"/>
              </w:rPr>
            </w:pPr>
            <w:r w:rsidRPr="00FA013D">
              <w:rPr>
                <w:rFonts w:asciiTheme="majorHAnsi" w:eastAsiaTheme="majorEastAsia" w:hAnsiTheme="majorHAnsi" w:cstheme="majorBidi"/>
                <w:b/>
                <w:bCs/>
                <w:i/>
                <w:iCs/>
                <w:color w:val="4F81BD" w:themeColor="accent1"/>
                <w:sz w:val="22"/>
                <w:szCs w:val="22"/>
              </w:rPr>
              <w:t>Staffing</w:t>
            </w:r>
          </w:p>
          <w:p w14:paraId="64521D63" w14:textId="4E546FDF" w:rsidR="00FA013D" w:rsidRPr="00FA013D" w:rsidRDefault="00FA013D" w:rsidP="00FA013D">
            <w:pPr>
              <w:jc w:val="both"/>
              <w:rPr>
                <w:sz w:val="22"/>
                <w:szCs w:val="22"/>
              </w:rPr>
            </w:pPr>
            <w:r w:rsidRPr="00FA013D">
              <w:rPr>
                <w:sz w:val="22"/>
                <w:szCs w:val="22"/>
              </w:rPr>
              <w:t xml:space="preserve">As staffing will likely be a major concern across MDPH, leadership may begin to prioritize essential services. Select MDPH Bureaus and Offices may also contract with outside agencies as needed to support employees working on the infectious disease response; for example, there is a precedent for the </w:t>
            </w:r>
            <w:r w:rsidR="00DA5B38">
              <w:rPr>
                <w:sz w:val="22"/>
                <w:szCs w:val="22"/>
              </w:rPr>
              <w:t xml:space="preserve">Division of </w:t>
            </w:r>
            <w:r w:rsidRPr="00FA013D">
              <w:rPr>
                <w:sz w:val="22"/>
                <w:szCs w:val="22"/>
              </w:rPr>
              <w:t xml:space="preserve">Epidemiology to contract with a consulting firm for hotline operators to assist with infectious disease inquiries from the public. The </w:t>
            </w:r>
            <w:r w:rsidR="00DA5B38">
              <w:rPr>
                <w:sz w:val="22"/>
                <w:szCs w:val="22"/>
              </w:rPr>
              <w:t xml:space="preserve">Division of </w:t>
            </w:r>
            <w:r w:rsidRPr="00FA013D">
              <w:rPr>
                <w:sz w:val="22"/>
                <w:szCs w:val="22"/>
              </w:rPr>
              <w:t xml:space="preserve">Epidemiology may be especially resource strapped as it will continue to support local public health nurses with case investigation and follow up. </w:t>
            </w:r>
          </w:p>
          <w:p w14:paraId="3D3E447E" w14:textId="77777777" w:rsidR="00FA013D" w:rsidRPr="00FA013D" w:rsidRDefault="00FA013D" w:rsidP="00FA013D">
            <w:pPr>
              <w:jc w:val="both"/>
              <w:rPr>
                <w:sz w:val="22"/>
                <w:szCs w:val="22"/>
              </w:rPr>
            </w:pPr>
            <w:r w:rsidRPr="00FA013D">
              <w:rPr>
                <w:sz w:val="22"/>
                <w:szCs w:val="22"/>
              </w:rPr>
              <w:t xml:space="preserve">OPEM may encourage HMCCs to activate staffing clauses in Memoranda of Understanding (MOUs) as needed.  </w:t>
            </w:r>
          </w:p>
          <w:p w14:paraId="18D67456" w14:textId="77777777" w:rsidR="00FA013D" w:rsidRPr="00FA013D" w:rsidRDefault="00FA013D" w:rsidP="00FA013D">
            <w:pPr>
              <w:keepNext/>
              <w:keepLines/>
              <w:spacing w:before="200"/>
              <w:jc w:val="both"/>
              <w:outlineLvl w:val="3"/>
              <w:rPr>
                <w:rFonts w:asciiTheme="majorHAnsi" w:eastAsiaTheme="majorEastAsia" w:hAnsiTheme="majorHAnsi" w:cstheme="majorBidi"/>
                <w:b/>
                <w:bCs/>
                <w:i/>
                <w:iCs/>
                <w:color w:val="4F81BD" w:themeColor="accent1"/>
                <w:sz w:val="22"/>
                <w:szCs w:val="22"/>
              </w:rPr>
            </w:pPr>
            <w:r w:rsidRPr="00FA013D">
              <w:rPr>
                <w:rFonts w:asciiTheme="majorHAnsi" w:eastAsiaTheme="majorEastAsia" w:hAnsiTheme="majorHAnsi" w:cstheme="majorBidi"/>
                <w:b/>
                <w:bCs/>
                <w:i/>
                <w:iCs/>
                <w:color w:val="4F81BD" w:themeColor="accent1"/>
                <w:sz w:val="22"/>
                <w:szCs w:val="22"/>
              </w:rPr>
              <w:t>Monitoring Healthcare Facilities</w:t>
            </w:r>
          </w:p>
          <w:p w14:paraId="7639C38E" w14:textId="653D8FC0" w:rsidR="00FA013D" w:rsidRPr="00FA013D" w:rsidRDefault="00FA013D" w:rsidP="00FA013D">
            <w:pPr>
              <w:numPr>
                <w:ilvl w:val="0"/>
                <w:numId w:val="8"/>
              </w:numPr>
              <w:contextualSpacing/>
              <w:jc w:val="both"/>
              <w:rPr>
                <w:sz w:val="22"/>
                <w:szCs w:val="22"/>
              </w:rPr>
            </w:pPr>
            <w:r w:rsidRPr="00FA013D">
              <w:rPr>
                <w:sz w:val="22"/>
                <w:szCs w:val="22"/>
              </w:rPr>
              <w:t>The Hospital Branch Director may call for healthcare organizations to implement actions aimed at reducing patient census, such as canceling elective surgeries, to ensure all facilities are prepared to evenly share the patient surge</w:t>
            </w:r>
          </w:p>
          <w:p w14:paraId="21102742" w14:textId="4A67FE23" w:rsidR="00FA013D" w:rsidRPr="00FA013D" w:rsidRDefault="00FA013D" w:rsidP="00FA013D">
            <w:pPr>
              <w:numPr>
                <w:ilvl w:val="0"/>
                <w:numId w:val="8"/>
              </w:numPr>
              <w:contextualSpacing/>
              <w:jc w:val="both"/>
              <w:rPr>
                <w:sz w:val="22"/>
                <w:szCs w:val="22"/>
              </w:rPr>
            </w:pPr>
            <w:r w:rsidRPr="00FA013D">
              <w:rPr>
                <w:sz w:val="22"/>
                <w:szCs w:val="22"/>
              </w:rPr>
              <w:t>The Medical Section and Operations Section Chief may request regulatory relief measures to allow for crisis standards of care, such as revising or temporarily suspending statutes governing the number of licensed or staffed beds allowed in healthcare organizations, or regulations stipulating provider-to-patient ratios and other standards of care parameters</w:t>
            </w:r>
          </w:p>
          <w:p w14:paraId="03BECE72" w14:textId="128D54BE" w:rsidR="00FA013D" w:rsidRPr="00FA013D" w:rsidRDefault="00FA013D" w:rsidP="00FA013D">
            <w:pPr>
              <w:numPr>
                <w:ilvl w:val="0"/>
                <w:numId w:val="8"/>
              </w:numPr>
              <w:contextualSpacing/>
              <w:jc w:val="both"/>
              <w:rPr>
                <w:sz w:val="22"/>
                <w:szCs w:val="22"/>
              </w:rPr>
            </w:pPr>
            <w:r w:rsidRPr="00FA013D">
              <w:rPr>
                <w:sz w:val="22"/>
                <w:szCs w:val="22"/>
              </w:rPr>
              <w:t xml:space="preserve">The OEMS Branch Director may confer with OEMS on the need for waivers regarding EMS standards of care </w:t>
            </w:r>
          </w:p>
          <w:p w14:paraId="4A02991F" w14:textId="52F8B033" w:rsidR="00FA013D" w:rsidRPr="00FA013D" w:rsidRDefault="00FA013D" w:rsidP="00FA013D">
            <w:pPr>
              <w:numPr>
                <w:ilvl w:val="0"/>
                <w:numId w:val="8"/>
              </w:numPr>
              <w:contextualSpacing/>
              <w:jc w:val="both"/>
              <w:rPr>
                <w:sz w:val="22"/>
                <w:szCs w:val="22"/>
              </w:rPr>
            </w:pPr>
            <w:r w:rsidRPr="00FA013D">
              <w:rPr>
                <w:sz w:val="22"/>
                <w:szCs w:val="22"/>
              </w:rPr>
              <w:t>The Planning Section will continue to monitor facility status and capability through WebEOC</w:t>
            </w:r>
          </w:p>
          <w:p w14:paraId="60B90C75" w14:textId="77777777" w:rsidR="00FA013D" w:rsidRPr="00FA013D" w:rsidRDefault="00FA013D" w:rsidP="00FA013D">
            <w:pPr>
              <w:numPr>
                <w:ilvl w:val="1"/>
                <w:numId w:val="8"/>
              </w:numPr>
              <w:contextualSpacing/>
              <w:jc w:val="both"/>
              <w:rPr>
                <w:sz w:val="22"/>
                <w:szCs w:val="22"/>
              </w:rPr>
            </w:pPr>
            <w:r w:rsidRPr="00FA013D">
              <w:rPr>
                <w:sz w:val="22"/>
                <w:szCs w:val="22"/>
              </w:rPr>
              <w:t>OPEM may coordinate with HMCCs to ask healthcare facilities to post updates to WebEOC (i.e., outpatient/Emergency Department/inpatient census)</w:t>
            </w:r>
          </w:p>
          <w:p w14:paraId="361FC84F" w14:textId="77777777" w:rsidR="00FA013D" w:rsidRPr="00FA013D" w:rsidRDefault="00FA013D" w:rsidP="00FA013D">
            <w:pPr>
              <w:numPr>
                <w:ilvl w:val="1"/>
                <w:numId w:val="8"/>
              </w:numPr>
              <w:contextualSpacing/>
              <w:jc w:val="both"/>
              <w:rPr>
                <w:sz w:val="22"/>
                <w:szCs w:val="22"/>
              </w:rPr>
            </w:pPr>
            <w:r w:rsidRPr="00FA013D">
              <w:rPr>
                <w:sz w:val="22"/>
                <w:szCs w:val="22"/>
              </w:rPr>
              <w:t>OPEM may coordinate with HMCCs to ask local public health to post updates to WebEOC (i.e. EDS status)</w:t>
            </w:r>
          </w:p>
          <w:p w14:paraId="7C545670" w14:textId="77777777" w:rsidR="00FA013D" w:rsidRPr="00FA013D" w:rsidRDefault="00FA013D" w:rsidP="00FA013D">
            <w:pPr>
              <w:keepNext/>
              <w:keepLines/>
              <w:spacing w:before="200"/>
              <w:jc w:val="both"/>
              <w:outlineLvl w:val="3"/>
              <w:rPr>
                <w:rFonts w:asciiTheme="majorHAnsi" w:eastAsiaTheme="majorEastAsia" w:hAnsiTheme="majorHAnsi" w:cstheme="majorBidi"/>
                <w:b/>
                <w:bCs/>
                <w:i/>
                <w:iCs/>
                <w:color w:val="4F81BD" w:themeColor="accent1"/>
                <w:sz w:val="22"/>
                <w:szCs w:val="22"/>
              </w:rPr>
            </w:pPr>
            <w:r w:rsidRPr="00FA013D">
              <w:rPr>
                <w:rFonts w:asciiTheme="majorHAnsi" w:eastAsiaTheme="majorEastAsia" w:hAnsiTheme="majorHAnsi" w:cstheme="majorBidi"/>
                <w:b/>
                <w:bCs/>
                <w:i/>
                <w:iCs/>
                <w:color w:val="4F81BD" w:themeColor="accent1"/>
                <w:sz w:val="22"/>
                <w:szCs w:val="22"/>
              </w:rPr>
              <w:t>Monitoring Resources</w:t>
            </w:r>
          </w:p>
          <w:p w14:paraId="4A84FB6D" w14:textId="298C70B1" w:rsidR="00FA013D" w:rsidRPr="00FA013D" w:rsidRDefault="00FA013D" w:rsidP="00050DCF">
            <w:pPr>
              <w:numPr>
                <w:ilvl w:val="0"/>
                <w:numId w:val="19"/>
              </w:numPr>
              <w:contextualSpacing/>
              <w:jc w:val="both"/>
              <w:rPr>
                <w:sz w:val="22"/>
                <w:szCs w:val="22"/>
              </w:rPr>
            </w:pPr>
            <w:r w:rsidRPr="00FA013D">
              <w:rPr>
                <w:sz w:val="22"/>
                <w:szCs w:val="22"/>
              </w:rPr>
              <w:t>The Planning Section will monitor WebEOC to assess for and prioritize scarce resources across health and medical disciplines</w:t>
            </w:r>
          </w:p>
          <w:p w14:paraId="6AAE5E49" w14:textId="0BCBF9D1" w:rsidR="00FA013D" w:rsidRPr="00FA013D" w:rsidRDefault="00FA013D" w:rsidP="00050DCF">
            <w:pPr>
              <w:numPr>
                <w:ilvl w:val="0"/>
                <w:numId w:val="19"/>
              </w:numPr>
              <w:contextualSpacing/>
              <w:jc w:val="both"/>
              <w:rPr>
                <w:sz w:val="22"/>
                <w:szCs w:val="22"/>
              </w:rPr>
            </w:pPr>
            <w:r w:rsidRPr="00FA013D">
              <w:rPr>
                <w:sz w:val="22"/>
                <w:szCs w:val="22"/>
              </w:rPr>
              <w:t xml:space="preserve">The Planning Section will continue to communicate with pharmacies regarding anticipated antibiotic or antiviral shortages, and vendors for PPE usage </w:t>
            </w:r>
          </w:p>
          <w:p w14:paraId="6D740D85" w14:textId="77777777" w:rsidR="00FF5FCC" w:rsidRPr="00032DD3" w:rsidRDefault="00FF5FCC" w:rsidP="00032DD3">
            <w:pPr>
              <w:pStyle w:val="ListParagraph"/>
              <w:spacing w:line="276" w:lineRule="auto"/>
              <w:ind w:left="266"/>
              <w:rPr>
                <w:sz w:val="22"/>
                <w:szCs w:val="22"/>
              </w:rPr>
            </w:pPr>
          </w:p>
        </w:tc>
      </w:tr>
      <w:tr w:rsidR="00FF5FCC" w:rsidRPr="003A0C9B" w14:paraId="341B940E" w14:textId="77777777" w:rsidTr="00032DD3">
        <w:tc>
          <w:tcPr>
            <w:tcW w:w="1638" w:type="dxa"/>
          </w:tcPr>
          <w:p w14:paraId="264E3717" w14:textId="77777777" w:rsidR="00FF5FCC" w:rsidRPr="003A0C9B" w:rsidRDefault="00FF5FCC" w:rsidP="00032DD3">
            <w:pPr>
              <w:spacing w:line="276" w:lineRule="auto"/>
              <w:rPr>
                <w:sz w:val="22"/>
                <w:szCs w:val="22"/>
              </w:rPr>
            </w:pPr>
            <w:r w:rsidRPr="003A0C9B">
              <w:rPr>
                <w:sz w:val="22"/>
                <w:szCs w:val="22"/>
              </w:rPr>
              <w:t>Demobilization</w:t>
            </w:r>
          </w:p>
        </w:tc>
        <w:tc>
          <w:tcPr>
            <w:tcW w:w="7938" w:type="dxa"/>
          </w:tcPr>
          <w:p w14:paraId="21A43896" w14:textId="59431655" w:rsidR="00FF5FCC" w:rsidRPr="00032DD3" w:rsidRDefault="00FA013D" w:rsidP="00032DD3">
            <w:pPr>
              <w:spacing w:line="276" w:lineRule="auto"/>
              <w:ind w:left="252"/>
              <w:contextualSpacing/>
              <w:rPr>
                <w:sz w:val="22"/>
                <w:szCs w:val="22"/>
              </w:rPr>
            </w:pPr>
            <w:r w:rsidRPr="00032DD3">
              <w:rPr>
                <w:sz w:val="22"/>
                <w:szCs w:val="22"/>
              </w:rPr>
              <w:t>N/A</w:t>
            </w:r>
          </w:p>
        </w:tc>
      </w:tr>
    </w:tbl>
    <w:p w14:paraId="210BB474" w14:textId="77777777" w:rsidR="00FF5FCC" w:rsidRDefault="00FF5FCC" w:rsidP="00FF5FCC">
      <w:pPr>
        <w:jc w:val="both"/>
      </w:pPr>
    </w:p>
    <w:p w14:paraId="79368199" w14:textId="1F58559C" w:rsidR="00BE759C" w:rsidRDefault="00BE759C" w:rsidP="00BC6A95">
      <w:pPr>
        <w:pStyle w:val="Heading2"/>
        <w:ind w:left="360"/>
      </w:pPr>
      <w:bookmarkStart w:id="540" w:name="_Toc473721341"/>
      <w:bookmarkStart w:id="541" w:name="_Toc476815794"/>
      <w:bookmarkStart w:id="542" w:name="_Toc477863442"/>
      <w:bookmarkStart w:id="543" w:name="_Toc477864055"/>
      <w:bookmarkStart w:id="544" w:name="_Toc477866355"/>
      <w:bookmarkStart w:id="545" w:name="_Toc480546403"/>
      <w:bookmarkStart w:id="546" w:name="_Toc481759042"/>
      <w:bookmarkStart w:id="547" w:name="_Toc482792882"/>
      <w:bookmarkStart w:id="548" w:name="_Toc482793038"/>
      <w:bookmarkStart w:id="549" w:name="_Toc482793352"/>
      <w:bookmarkStart w:id="550" w:name="_Toc356762324"/>
      <w:bookmarkStart w:id="551" w:name="_Toc483566919"/>
      <w:bookmarkStart w:id="552" w:name="_Toc483995706"/>
      <w:bookmarkStart w:id="553" w:name="_Toc483996058"/>
      <w:bookmarkStart w:id="554" w:name="_Toc484606982"/>
      <w:bookmarkStart w:id="555" w:name="_Toc486238603"/>
      <w:bookmarkStart w:id="556" w:name="_Toc486328970"/>
      <w:bookmarkStart w:id="557" w:name="_Toc486407765"/>
      <w:bookmarkStart w:id="558" w:name="_Toc486492367"/>
      <w:bookmarkStart w:id="559" w:name="_Toc486499863"/>
      <w:bookmarkStart w:id="560" w:name="_Toc486501039"/>
      <w:bookmarkStart w:id="561" w:name="_Toc486516499"/>
      <w:bookmarkStart w:id="562" w:name="_Toc486577754"/>
      <w:bookmarkStart w:id="563" w:name="_Toc486578960"/>
      <w:bookmarkStart w:id="564" w:name="_Toc31623013"/>
      <w:r>
        <w:lastRenderedPageBreak/>
        <w:t>6</w:t>
      </w:r>
      <w:r w:rsidRPr="00BE759C">
        <w:t xml:space="preserve">.6 </w:t>
      </w:r>
      <w:r w:rsidR="003B7C6A">
        <w:t xml:space="preserve">     </w:t>
      </w:r>
      <w:r w:rsidRPr="00BE759C">
        <w:t>Medical Countermeasure Dispensing</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r w:rsidRPr="00BE759C">
        <w:t xml:space="preserve"> </w:t>
      </w:r>
    </w:p>
    <w:p w14:paraId="52D37F90" w14:textId="77777777" w:rsidR="00FF5FCC" w:rsidRPr="00BE759C" w:rsidRDefault="00FF5FCC" w:rsidP="00FF5FCC">
      <w:pPr>
        <w:keepNext/>
        <w:keepLines/>
        <w:spacing w:before="200" w:after="0"/>
        <w:ind w:left="360"/>
        <w:jc w:val="both"/>
        <w:outlineLvl w:val="1"/>
        <w:rPr>
          <w:rFonts w:asciiTheme="majorHAnsi" w:eastAsiaTheme="majorEastAsia" w:hAnsiTheme="majorHAnsi" w:cstheme="majorBidi"/>
          <w:b/>
          <w:bCs/>
          <w:color w:val="4F81BD" w:themeColor="accent1"/>
          <w:sz w:val="26"/>
          <w:szCs w:val="26"/>
        </w:rPr>
      </w:pPr>
    </w:p>
    <w:tbl>
      <w:tblPr>
        <w:tblStyle w:val="TableGrid"/>
        <w:tblW w:w="0" w:type="auto"/>
        <w:tblLayout w:type="fixed"/>
        <w:tblLook w:val="04A0" w:firstRow="1" w:lastRow="0" w:firstColumn="1" w:lastColumn="0" w:noHBand="0" w:noVBand="1"/>
      </w:tblPr>
      <w:tblGrid>
        <w:gridCol w:w="1638"/>
        <w:gridCol w:w="7938"/>
      </w:tblGrid>
      <w:tr w:rsidR="00FF5FCC" w:rsidRPr="003A0C9B" w14:paraId="720CB04B" w14:textId="77777777" w:rsidTr="00032DD3">
        <w:tc>
          <w:tcPr>
            <w:tcW w:w="1638" w:type="dxa"/>
          </w:tcPr>
          <w:p w14:paraId="02E23E03" w14:textId="005D3EBA" w:rsidR="00FF5FCC" w:rsidRPr="003A0C9B" w:rsidRDefault="00FF5FCC" w:rsidP="00F21535">
            <w:pPr>
              <w:contextualSpacing/>
              <w:rPr>
                <w:sz w:val="22"/>
                <w:szCs w:val="22"/>
              </w:rPr>
            </w:pPr>
            <w:r w:rsidRPr="003A0C9B">
              <w:rPr>
                <w:sz w:val="22"/>
                <w:szCs w:val="22"/>
              </w:rPr>
              <w:t>Preparation</w:t>
            </w:r>
          </w:p>
        </w:tc>
        <w:tc>
          <w:tcPr>
            <w:tcW w:w="7938" w:type="dxa"/>
          </w:tcPr>
          <w:p w14:paraId="3C71BA81" w14:textId="4BCE1619" w:rsidR="00FF5FCC" w:rsidRPr="00032DD3" w:rsidRDefault="00032DD3" w:rsidP="00032DD3">
            <w:pPr>
              <w:rPr>
                <w:sz w:val="22"/>
                <w:szCs w:val="22"/>
              </w:rPr>
            </w:pPr>
            <w:r w:rsidRPr="00032DD3">
              <w:rPr>
                <w:sz w:val="22"/>
                <w:szCs w:val="22"/>
              </w:rPr>
              <w:t>N/A</w:t>
            </w:r>
          </w:p>
        </w:tc>
      </w:tr>
      <w:tr w:rsidR="00FF5FCC" w:rsidRPr="003A0C9B" w14:paraId="77B4DDF5" w14:textId="77777777" w:rsidTr="00032DD3">
        <w:tc>
          <w:tcPr>
            <w:tcW w:w="1638" w:type="dxa"/>
          </w:tcPr>
          <w:p w14:paraId="6BD41E63" w14:textId="77777777" w:rsidR="00FF5FCC" w:rsidRPr="003A0C9B" w:rsidRDefault="00FF5FCC" w:rsidP="00032DD3">
            <w:pPr>
              <w:spacing w:line="276" w:lineRule="auto"/>
              <w:rPr>
                <w:sz w:val="22"/>
                <w:szCs w:val="22"/>
              </w:rPr>
            </w:pPr>
            <w:r w:rsidRPr="003A0C9B">
              <w:rPr>
                <w:sz w:val="22"/>
                <w:szCs w:val="22"/>
              </w:rPr>
              <w:t>Investigation/</w:t>
            </w:r>
          </w:p>
          <w:p w14:paraId="439EA072" w14:textId="77777777" w:rsidR="00FF5FCC" w:rsidRPr="003A0C9B" w:rsidRDefault="00FF5FCC" w:rsidP="00032DD3">
            <w:pPr>
              <w:spacing w:line="276" w:lineRule="auto"/>
              <w:rPr>
                <w:sz w:val="22"/>
                <w:szCs w:val="22"/>
              </w:rPr>
            </w:pPr>
            <w:r w:rsidRPr="003A0C9B">
              <w:rPr>
                <w:sz w:val="22"/>
                <w:szCs w:val="22"/>
              </w:rPr>
              <w:t>Alerting</w:t>
            </w:r>
          </w:p>
        </w:tc>
        <w:tc>
          <w:tcPr>
            <w:tcW w:w="7938" w:type="dxa"/>
          </w:tcPr>
          <w:p w14:paraId="377DFF38" w14:textId="3C329C3E" w:rsidR="00FF5FCC" w:rsidRPr="00032DD3" w:rsidRDefault="00032DD3" w:rsidP="00032DD3">
            <w:pPr>
              <w:rPr>
                <w:sz w:val="22"/>
                <w:szCs w:val="22"/>
              </w:rPr>
            </w:pPr>
            <w:r w:rsidRPr="00032DD3">
              <w:rPr>
                <w:sz w:val="22"/>
                <w:szCs w:val="22"/>
              </w:rPr>
              <w:t>N/A</w:t>
            </w:r>
          </w:p>
        </w:tc>
      </w:tr>
      <w:tr w:rsidR="00FF5FCC" w:rsidRPr="003A0C9B" w14:paraId="3C90C0BF" w14:textId="77777777" w:rsidTr="00032DD3">
        <w:tc>
          <w:tcPr>
            <w:tcW w:w="1638" w:type="dxa"/>
          </w:tcPr>
          <w:p w14:paraId="70B3FF4E" w14:textId="77777777" w:rsidR="00FF5FCC" w:rsidRPr="003A0C9B" w:rsidRDefault="00FF5FCC" w:rsidP="00032DD3">
            <w:pPr>
              <w:spacing w:line="276" w:lineRule="auto"/>
              <w:rPr>
                <w:sz w:val="22"/>
                <w:szCs w:val="22"/>
              </w:rPr>
            </w:pPr>
            <w:r w:rsidRPr="003A0C9B">
              <w:rPr>
                <w:sz w:val="22"/>
                <w:szCs w:val="22"/>
              </w:rPr>
              <w:t>Recognition</w:t>
            </w:r>
          </w:p>
        </w:tc>
        <w:tc>
          <w:tcPr>
            <w:tcW w:w="7938" w:type="dxa"/>
          </w:tcPr>
          <w:p w14:paraId="19CB4607" w14:textId="2EF24418" w:rsidR="00AE525D" w:rsidRPr="00032DD3" w:rsidRDefault="00AE525D" w:rsidP="00AE525D">
            <w:pPr>
              <w:jc w:val="both"/>
              <w:rPr>
                <w:sz w:val="22"/>
                <w:szCs w:val="22"/>
              </w:rPr>
            </w:pPr>
            <w:r w:rsidRPr="00032DD3">
              <w:rPr>
                <w:sz w:val="22"/>
                <w:szCs w:val="22"/>
              </w:rPr>
              <w:t xml:space="preserve">If a countermeasure response is anticipated to be needed for the infectious disease threat, the </w:t>
            </w:r>
            <w:r w:rsidR="005A27C3">
              <w:rPr>
                <w:sz w:val="22"/>
                <w:szCs w:val="22"/>
              </w:rPr>
              <w:t>Executive Team</w:t>
            </w:r>
            <w:r w:rsidRPr="00032DD3">
              <w:rPr>
                <w:sz w:val="22"/>
                <w:szCs w:val="22"/>
              </w:rPr>
              <w:t xml:space="preserve"> and Incident Manager will convene to plan for prophylactic interventions. In the case of a vaccine preventable disease, the Immunization </w:t>
            </w:r>
            <w:r w:rsidR="002A2DD7">
              <w:rPr>
                <w:sz w:val="22"/>
                <w:szCs w:val="22"/>
              </w:rPr>
              <w:t>Division</w:t>
            </w:r>
            <w:r w:rsidRPr="00032DD3">
              <w:rPr>
                <w:sz w:val="22"/>
                <w:szCs w:val="22"/>
              </w:rPr>
              <w:t xml:space="preserve"> may be asked to contact the CDC to ascertain </w:t>
            </w:r>
            <w:r w:rsidR="002A2DD7">
              <w:rPr>
                <w:sz w:val="22"/>
                <w:szCs w:val="22"/>
              </w:rPr>
              <w:t>vaccine allocation amounts.</w:t>
            </w:r>
            <w:r w:rsidRPr="00032DD3">
              <w:rPr>
                <w:sz w:val="22"/>
                <w:szCs w:val="22"/>
              </w:rPr>
              <w:t xml:space="preserve"> </w:t>
            </w:r>
          </w:p>
          <w:p w14:paraId="4456448D" w14:textId="77777777" w:rsidR="00FF5FCC" w:rsidRPr="00032DD3" w:rsidRDefault="00FF5FCC" w:rsidP="00AE525D">
            <w:pPr>
              <w:ind w:firstLine="14"/>
              <w:rPr>
                <w:sz w:val="22"/>
                <w:szCs w:val="22"/>
              </w:rPr>
            </w:pPr>
          </w:p>
        </w:tc>
      </w:tr>
      <w:tr w:rsidR="00FF5FCC" w:rsidRPr="003A0C9B" w14:paraId="224F16C5" w14:textId="77777777" w:rsidTr="00032DD3">
        <w:tc>
          <w:tcPr>
            <w:tcW w:w="1638" w:type="dxa"/>
          </w:tcPr>
          <w:p w14:paraId="183F2BF7" w14:textId="77777777" w:rsidR="00FF5FCC" w:rsidRPr="003A0C9B" w:rsidRDefault="00FF5FCC" w:rsidP="00032DD3">
            <w:pPr>
              <w:spacing w:line="276" w:lineRule="auto"/>
              <w:rPr>
                <w:sz w:val="22"/>
                <w:szCs w:val="22"/>
              </w:rPr>
            </w:pPr>
            <w:r w:rsidRPr="003A0C9B">
              <w:rPr>
                <w:sz w:val="22"/>
                <w:szCs w:val="22"/>
              </w:rPr>
              <w:t>Initiation</w:t>
            </w:r>
          </w:p>
        </w:tc>
        <w:tc>
          <w:tcPr>
            <w:tcW w:w="7938" w:type="dxa"/>
          </w:tcPr>
          <w:p w14:paraId="5EB334FC" w14:textId="50EF819C" w:rsidR="00AE525D" w:rsidRPr="00032DD3" w:rsidRDefault="00AE525D" w:rsidP="00AE525D">
            <w:pPr>
              <w:jc w:val="both"/>
              <w:rPr>
                <w:sz w:val="22"/>
                <w:szCs w:val="22"/>
              </w:rPr>
            </w:pPr>
            <w:r w:rsidRPr="00032DD3">
              <w:rPr>
                <w:sz w:val="22"/>
                <w:szCs w:val="22"/>
              </w:rPr>
              <w:t xml:space="preserve">The Operations Section Chief and </w:t>
            </w:r>
            <w:r w:rsidR="005A27C3">
              <w:rPr>
                <w:sz w:val="22"/>
                <w:szCs w:val="22"/>
              </w:rPr>
              <w:t>Executive Team</w:t>
            </w:r>
            <w:r w:rsidRPr="00032DD3">
              <w:rPr>
                <w:sz w:val="22"/>
                <w:szCs w:val="22"/>
              </w:rPr>
              <w:t xml:space="preserve">, in consultation with the BIDLS Director, State Epidemiologist and OPEM leadership, may discuss the provision of medical countermeasures in support of treatment or prophylaxis to an identified population. </w:t>
            </w:r>
          </w:p>
          <w:p w14:paraId="1C048463" w14:textId="762BC2E1" w:rsidR="00AE525D" w:rsidRPr="00032DD3" w:rsidRDefault="00AE525D" w:rsidP="00AE525D">
            <w:pPr>
              <w:jc w:val="both"/>
              <w:rPr>
                <w:sz w:val="22"/>
                <w:szCs w:val="22"/>
              </w:rPr>
            </w:pPr>
            <w:r w:rsidRPr="00032DD3">
              <w:rPr>
                <w:sz w:val="22"/>
                <w:szCs w:val="22"/>
              </w:rPr>
              <w:t xml:space="preserve">After communicating with the </w:t>
            </w:r>
            <w:r w:rsidR="005A27C3">
              <w:rPr>
                <w:sz w:val="22"/>
                <w:szCs w:val="22"/>
              </w:rPr>
              <w:t>Executive Team</w:t>
            </w:r>
            <w:r w:rsidRPr="00032DD3">
              <w:rPr>
                <w:sz w:val="22"/>
                <w:szCs w:val="22"/>
              </w:rPr>
              <w:t>, the Incident Manager will convene conference calls with affected communities to assess the need for medical countermeasures. Items for discussion will include the potential number of impacted people, the type of prophylaxis required, where the prophylaxis could be sourced, and how to dispense to impacted populations. The timeline for dispensing will also be discussed. Should the need for pharmaceutical or ancillary supplies be determined, the Incident Manager may begin to activate SNS request protocols.</w:t>
            </w:r>
          </w:p>
          <w:p w14:paraId="74577F76" w14:textId="55E6F515" w:rsidR="00AE525D" w:rsidRPr="00032DD3" w:rsidRDefault="00AE525D" w:rsidP="00AE525D">
            <w:pPr>
              <w:jc w:val="both"/>
              <w:rPr>
                <w:sz w:val="22"/>
                <w:szCs w:val="22"/>
              </w:rPr>
            </w:pPr>
            <w:r w:rsidRPr="00032DD3">
              <w:rPr>
                <w:sz w:val="22"/>
                <w:szCs w:val="22"/>
              </w:rPr>
              <w:t xml:space="preserve">Also during this </w:t>
            </w:r>
            <w:r w:rsidR="00D94DC7">
              <w:rPr>
                <w:sz w:val="22"/>
                <w:szCs w:val="22"/>
              </w:rPr>
              <w:t>interval</w:t>
            </w:r>
            <w:r w:rsidRPr="00032DD3">
              <w:rPr>
                <w:sz w:val="22"/>
                <w:szCs w:val="22"/>
              </w:rPr>
              <w:t xml:space="preserve">, the OPEM Health Volunteer </w:t>
            </w:r>
            <w:r w:rsidR="00D94DC7">
              <w:rPr>
                <w:sz w:val="22"/>
                <w:szCs w:val="22"/>
              </w:rPr>
              <w:t>Division</w:t>
            </w:r>
            <w:r w:rsidRPr="00032DD3">
              <w:rPr>
                <w:sz w:val="22"/>
                <w:szCs w:val="22"/>
              </w:rPr>
              <w:t xml:space="preserve"> Coordinator will monitor LBOH’s need for Medical Reserve Corps (MRC) volunteer activation. </w:t>
            </w:r>
          </w:p>
          <w:p w14:paraId="5BC1C63B" w14:textId="62EF495A" w:rsidR="00AE525D" w:rsidRPr="00032DD3" w:rsidRDefault="00AE525D" w:rsidP="00AE525D">
            <w:pPr>
              <w:jc w:val="both"/>
              <w:rPr>
                <w:sz w:val="22"/>
                <w:szCs w:val="22"/>
              </w:rPr>
            </w:pPr>
            <w:r w:rsidRPr="00032DD3">
              <w:rPr>
                <w:sz w:val="22"/>
                <w:szCs w:val="22"/>
              </w:rPr>
              <w:t xml:space="preserve">For additional information on medical countermeasure dispensing, please refer to the following plans (also noted in </w:t>
            </w:r>
            <w:r w:rsidR="00885D90" w:rsidRPr="00885D90">
              <w:rPr>
                <w:sz w:val="22"/>
                <w:szCs w:val="22"/>
              </w:rPr>
              <w:t>Authorities and References</w:t>
            </w:r>
            <w:r w:rsidRPr="00032DD3">
              <w:rPr>
                <w:sz w:val="22"/>
                <w:szCs w:val="22"/>
              </w:rPr>
              <w:t>):</w:t>
            </w:r>
          </w:p>
          <w:p w14:paraId="33DEA2B8" w14:textId="77777777" w:rsidR="00AE525D" w:rsidRPr="00032DD3" w:rsidRDefault="00AE525D" w:rsidP="00AE525D">
            <w:pPr>
              <w:jc w:val="both"/>
              <w:rPr>
                <w:i/>
                <w:sz w:val="22"/>
                <w:szCs w:val="22"/>
              </w:rPr>
            </w:pPr>
            <w:r w:rsidRPr="00032DD3">
              <w:rPr>
                <w:i/>
                <w:sz w:val="22"/>
                <w:szCs w:val="22"/>
              </w:rPr>
              <w:t>State Plans</w:t>
            </w:r>
          </w:p>
          <w:p w14:paraId="7F154C26" w14:textId="61741556" w:rsidR="00AE525D" w:rsidRPr="00032DD3" w:rsidRDefault="009A1FF8" w:rsidP="00050DCF">
            <w:pPr>
              <w:pStyle w:val="ListParagraph"/>
              <w:numPr>
                <w:ilvl w:val="0"/>
                <w:numId w:val="25"/>
              </w:numPr>
              <w:jc w:val="both"/>
              <w:rPr>
                <w:sz w:val="22"/>
                <w:szCs w:val="22"/>
              </w:rPr>
            </w:pPr>
            <w:hyperlink w:anchor="_Appendices" w:history="1">
              <w:r w:rsidR="00AE525D" w:rsidRPr="00032DD3">
                <w:rPr>
                  <w:rStyle w:val="Hyperlink"/>
                  <w:sz w:val="22"/>
                  <w:szCs w:val="22"/>
                </w:rPr>
                <w:t>Mass Vaccination</w:t>
              </w:r>
              <w:r w:rsidR="002A2DD7">
                <w:rPr>
                  <w:rStyle w:val="Hyperlink"/>
                  <w:sz w:val="22"/>
                  <w:szCs w:val="22"/>
                </w:rPr>
                <w:t xml:space="preserve"> and Dispensing</w:t>
              </w:r>
              <w:r w:rsidR="00AE525D" w:rsidRPr="00032DD3">
                <w:rPr>
                  <w:rStyle w:val="Hyperlink"/>
                  <w:sz w:val="22"/>
                  <w:szCs w:val="22"/>
                </w:rPr>
                <w:t xml:space="preserve"> Annex</w:t>
              </w:r>
            </w:hyperlink>
            <w:r w:rsidR="00AE525D" w:rsidRPr="00032DD3">
              <w:rPr>
                <w:sz w:val="22"/>
                <w:szCs w:val="22"/>
              </w:rPr>
              <w:t xml:space="preserve"> </w:t>
            </w:r>
          </w:p>
          <w:p w14:paraId="6F174FCD" w14:textId="77777777" w:rsidR="00AE525D" w:rsidRPr="00032DD3" w:rsidRDefault="00AE525D" w:rsidP="00050DCF">
            <w:pPr>
              <w:pStyle w:val="ListParagraph"/>
              <w:numPr>
                <w:ilvl w:val="0"/>
                <w:numId w:val="25"/>
              </w:numPr>
              <w:jc w:val="both"/>
              <w:rPr>
                <w:sz w:val="22"/>
                <w:szCs w:val="22"/>
              </w:rPr>
            </w:pPr>
            <w:r w:rsidRPr="00032DD3">
              <w:rPr>
                <w:sz w:val="22"/>
                <w:szCs w:val="22"/>
              </w:rPr>
              <w:t xml:space="preserve">Massachusetts Medical Countermeasure Plan </w:t>
            </w:r>
          </w:p>
          <w:p w14:paraId="6C5D715E" w14:textId="77777777" w:rsidR="00AE525D" w:rsidRPr="00032DD3" w:rsidRDefault="00AE525D" w:rsidP="00AE525D">
            <w:pPr>
              <w:jc w:val="both"/>
              <w:rPr>
                <w:i/>
                <w:sz w:val="22"/>
                <w:szCs w:val="22"/>
              </w:rPr>
            </w:pPr>
            <w:r w:rsidRPr="00032DD3">
              <w:rPr>
                <w:i/>
                <w:sz w:val="22"/>
                <w:szCs w:val="22"/>
              </w:rPr>
              <w:t>Regional Plans</w:t>
            </w:r>
          </w:p>
          <w:p w14:paraId="57D313C4" w14:textId="77777777" w:rsidR="00AE525D" w:rsidRPr="00032DD3" w:rsidRDefault="00AE525D" w:rsidP="00050DCF">
            <w:pPr>
              <w:pStyle w:val="ListParagraph"/>
              <w:numPr>
                <w:ilvl w:val="0"/>
                <w:numId w:val="25"/>
              </w:numPr>
              <w:jc w:val="both"/>
              <w:rPr>
                <w:sz w:val="22"/>
                <w:szCs w:val="22"/>
              </w:rPr>
            </w:pPr>
            <w:r w:rsidRPr="00032DD3">
              <w:rPr>
                <w:sz w:val="22"/>
                <w:szCs w:val="22"/>
              </w:rPr>
              <w:t xml:space="preserve">HMCC Medical Countermeasure Dispensing Annexes </w:t>
            </w:r>
          </w:p>
          <w:p w14:paraId="57AA2057" w14:textId="77777777" w:rsidR="00AE525D" w:rsidRPr="00032DD3" w:rsidRDefault="00AE525D" w:rsidP="00AE525D">
            <w:pPr>
              <w:jc w:val="both"/>
              <w:rPr>
                <w:i/>
                <w:sz w:val="22"/>
                <w:szCs w:val="22"/>
              </w:rPr>
            </w:pPr>
            <w:r w:rsidRPr="00032DD3">
              <w:rPr>
                <w:i/>
                <w:sz w:val="22"/>
                <w:szCs w:val="22"/>
              </w:rPr>
              <w:t>Local Plans</w:t>
            </w:r>
          </w:p>
          <w:p w14:paraId="34A79727" w14:textId="77777777" w:rsidR="00AE525D" w:rsidRPr="00032DD3" w:rsidRDefault="00AE525D" w:rsidP="00050DCF">
            <w:pPr>
              <w:pStyle w:val="ListParagraph"/>
              <w:numPr>
                <w:ilvl w:val="0"/>
                <w:numId w:val="25"/>
              </w:numPr>
              <w:jc w:val="both"/>
              <w:rPr>
                <w:sz w:val="22"/>
                <w:szCs w:val="22"/>
              </w:rPr>
            </w:pPr>
            <w:r w:rsidRPr="00032DD3">
              <w:rPr>
                <w:sz w:val="22"/>
                <w:szCs w:val="22"/>
              </w:rPr>
              <w:t>Emergency Dispensing Site (EDS) Plans, as maintained by municipal Public Health Departments</w:t>
            </w:r>
          </w:p>
          <w:p w14:paraId="4A866EA2" w14:textId="77777777" w:rsidR="00FF5FCC" w:rsidRPr="00032DD3" w:rsidRDefault="00FF5FCC" w:rsidP="00032DD3">
            <w:pPr>
              <w:pStyle w:val="ListParagraph"/>
              <w:spacing w:line="276" w:lineRule="auto"/>
              <w:ind w:left="266"/>
              <w:rPr>
                <w:sz w:val="22"/>
                <w:szCs w:val="22"/>
              </w:rPr>
            </w:pPr>
          </w:p>
        </w:tc>
      </w:tr>
      <w:tr w:rsidR="00FF5FCC" w:rsidRPr="003A0C9B" w14:paraId="4EA24542" w14:textId="77777777" w:rsidTr="00032DD3">
        <w:tc>
          <w:tcPr>
            <w:tcW w:w="1638" w:type="dxa"/>
          </w:tcPr>
          <w:p w14:paraId="4F2935D8" w14:textId="77777777" w:rsidR="00FF5FCC" w:rsidRPr="003A0C9B" w:rsidRDefault="00FF5FCC" w:rsidP="00032DD3">
            <w:pPr>
              <w:spacing w:line="276" w:lineRule="auto"/>
              <w:rPr>
                <w:sz w:val="22"/>
                <w:szCs w:val="22"/>
              </w:rPr>
            </w:pPr>
            <w:r w:rsidRPr="003A0C9B">
              <w:rPr>
                <w:sz w:val="22"/>
                <w:szCs w:val="22"/>
              </w:rPr>
              <w:t>Acceleration</w:t>
            </w:r>
          </w:p>
        </w:tc>
        <w:tc>
          <w:tcPr>
            <w:tcW w:w="7938" w:type="dxa"/>
          </w:tcPr>
          <w:p w14:paraId="5998DD44" w14:textId="77777777" w:rsidR="00FA013D" w:rsidRPr="00032DD3" w:rsidRDefault="00FA013D" w:rsidP="00FA013D">
            <w:pPr>
              <w:jc w:val="both"/>
              <w:rPr>
                <w:sz w:val="22"/>
                <w:szCs w:val="22"/>
              </w:rPr>
            </w:pPr>
            <w:r w:rsidRPr="00032DD3">
              <w:rPr>
                <w:sz w:val="22"/>
                <w:szCs w:val="22"/>
              </w:rPr>
              <w:t xml:space="preserve">Mass dispensing of vaccines, antivirals or antibiotics will begin, depending on the infectious disease and the availability of prophylaxis.  </w:t>
            </w:r>
          </w:p>
          <w:p w14:paraId="586D587C" w14:textId="2B3B6D4A" w:rsidR="00FA013D" w:rsidRPr="00032DD3" w:rsidRDefault="00FA013D" w:rsidP="00050DCF">
            <w:pPr>
              <w:pStyle w:val="ListParagraph"/>
              <w:numPr>
                <w:ilvl w:val="0"/>
                <w:numId w:val="20"/>
              </w:numPr>
              <w:jc w:val="both"/>
              <w:rPr>
                <w:sz w:val="22"/>
                <w:szCs w:val="22"/>
              </w:rPr>
            </w:pPr>
            <w:r w:rsidRPr="00032DD3">
              <w:rPr>
                <w:sz w:val="22"/>
                <w:szCs w:val="22"/>
              </w:rPr>
              <w:t xml:space="preserve">The Planning Section will monitor WebEOC to assess the need for SNS assets (both pharmaceutical and ancillary supplies) and coordinate with the Incident Manager and Operations Section Branch Directors to determine allocations </w:t>
            </w:r>
          </w:p>
          <w:p w14:paraId="75E884A1" w14:textId="21DC89B9" w:rsidR="00FA013D" w:rsidRPr="00032DD3" w:rsidRDefault="00FA013D" w:rsidP="00050DCF">
            <w:pPr>
              <w:pStyle w:val="ListParagraph"/>
              <w:numPr>
                <w:ilvl w:val="0"/>
                <w:numId w:val="20"/>
              </w:numPr>
              <w:jc w:val="both"/>
              <w:rPr>
                <w:sz w:val="22"/>
                <w:szCs w:val="22"/>
              </w:rPr>
            </w:pPr>
            <w:r w:rsidRPr="00032DD3">
              <w:rPr>
                <w:sz w:val="22"/>
                <w:szCs w:val="22"/>
              </w:rPr>
              <w:t xml:space="preserve">The Incident Manager will communicate SNS requests to MEMA and </w:t>
            </w:r>
            <w:r w:rsidR="00B64843">
              <w:rPr>
                <w:sz w:val="22"/>
                <w:szCs w:val="22"/>
              </w:rPr>
              <w:t>the ASPR Region 1 REC</w:t>
            </w:r>
            <w:r w:rsidRPr="00032DD3">
              <w:rPr>
                <w:sz w:val="22"/>
                <w:szCs w:val="22"/>
              </w:rPr>
              <w:t xml:space="preserve">, as appropriate </w:t>
            </w:r>
          </w:p>
          <w:p w14:paraId="743510CB" w14:textId="249C4FE2" w:rsidR="00FA013D" w:rsidRPr="00032DD3" w:rsidRDefault="00FA013D" w:rsidP="00050DCF">
            <w:pPr>
              <w:pStyle w:val="ListParagraph"/>
              <w:numPr>
                <w:ilvl w:val="0"/>
                <w:numId w:val="20"/>
              </w:numPr>
              <w:jc w:val="both"/>
              <w:rPr>
                <w:sz w:val="22"/>
                <w:szCs w:val="22"/>
              </w:rPr>
            </w:pPr>
            <w:r w:rsidRPr="00032DD3">
              <w:rPr>
                <w:sz w:val="22"/>
                <w:szCs w:val="22"/>
              </w:rPr>
              <w:t xml:space="preserve">OPEM will work closely with local public health agencies and HMCCs to monitor the activation of EDSs in communities to provide medical countermeasures, where appropriate </w:t>
            </w:r>
          </w:p>
          <w:p w14:paraId="32D222C6" w14:textId="1BB14421" w:rsidR="00FA013D" w:rsidRPr="00032DD3" w:rsidRDefault="00FA013D" w:rsidP="00050DCF">
            <w:pPr>
              <w:pStyle w:val="ListParagraph"/>
              <w:numPr>
                <w:ilvl w:val="1"/>
                <w:numId w:val="20"/>
              </w:numPr>
              <w:jc w:val="both"/>
              <w:rPr>
                <w:sz w:val="22"/>
                <w:szCs w:val="22"/>
              </w:rPr>
            </w:pPr>
            <w:r w:rsidRPr="00032DD3">
              <w:rPr>
                <w:sz w:val="22"/>
                <w:szCs w:val="22"/>
              </w:rPr>
              <w:lastRenderedPageBreak/>
              <w:t xml:space="preserve">The Planning Section will solicit regular updates from communities to the WebEOC Event board to maintain situational awareness </w:t>
            </w:r>
          </w:p>
          <w:p w14:paraId="428CD67A" w14:textId="7A8F7436" w:rsidR="00FA013D" w:rsidRDefault="00FA013D" w:rsidP="00050DCF">
            <w:pPr>
              <w:pStyle w:val="ListParagraph"/>
              <w:numPr>
                <w:ilvl w:val="1"/>
                <w:numId w:val="20"/>
              </w:numPr>
              <w:jc w:val="both"/>
              <w:rPr>
                <w:sz w:val="22"/>
                <w:szCs w:val="22"/>
              </w:rPr>
            </w:pPr>
            <w:r w:rsidRPr="00032DD3">
              <w:rPr>
                <w:sz w:val="22"/>
                <w:szCs w:val="22"/>
              </w:rPr>
              <w:t>OPEM may encourage HMCCs to promote regional EDSs should staffing become an issue at community-based EDSs</w:t>
            </w:r>
          </w:p>
          <w:p w14:paraId="7156D551" w14:textId="0C896C10" w:rsidR="00B64843" w:rsidRPr="00B64843" w:rsidRDefault="00B64843" w:rsidP="00050DCF">
            <w:pPr>
              <w:pStyle w:val="ListParagraph"/>
              <w:numPr>
                <w:ilvl w:val="1"/>
                <w:numId w:val="20"/>
              </w:numPr>
              <w:jc w:val="both"/>
              <w:rPr>
                <w:sz w:val="22"/>
                <w:szCs w:val="22"/>
              </w:rPr>
            </w:pPr>
            <w:r>
              <w:rPr>
                <w:sz w:val="22"/>
                <w:szCs w:val="22"/>
              </w:rPr>
              <w:t>MDPH will p</w:t>
            </w:r>
            <w:r w:rsidRPr="00B64843">
              <w:rPr>
                <w:sz w:val="22"/>
                <w:szCs w:val="22"/>
              </w:rPr>
              <w:t xml:space="preserve">romote </w:t>
            </w:r>
            <w:proofErr w:type="spellStart"/>
            <w:r w:rsidRPr="00B64843">
              <w:rPr>
                <w:sz w:val="22"/>
                <w:szCs w:val="22"/>
              </w:rPr>
              <w:t>MedFinder</w:t>
            </w:r>
            <w:proofErr w:type="spellEnd"/>
            <w:r w:rsidRPr="00B64843">
              <w:rPr>
                <w:sz w:val="22"/>
                <w:szCs w:val="22"/>
              </w:rPr>
              <w:t xml:space="preserve"> which is a free online service for provides and the public to quickly locate nearby pharmacies, clinics or other healthcare facilities with MCMs on hand.  Currently, </w:t>
            </w:r>
            <w:proofErr w:type="spellStart"/>
            <w:r w:rsidRPr="00B64843">
              <w:rPr>
                <w:sz w:val="22"/>
                <w:szCs w:val="22"/>
              </w:rPr>
              <w:t>MedFinder</w:t>
            </w:r>
            <w:proofErr w:type="spellEnd"/>
            <w:r w:rsidRPr="00B64843">
              <w:rPr>
                <w:sz w:val="22"/>
                <w:szCs w:val="22"/>
              </w:rPr>
              <w:t xml:space="preserve"> is focused on influenza medications. See: </w:t>
            </w:r>
            <w:hyperlink r:id="rId43" w:history="1">
              <w:r w:rsidRPr="00B64843">
                <w:rPr>
                  <w:rStyle w:val="Hyperlink"/>
                  <w:sz w:val="22"/>
                  <w:szCs w:val="22"/>
                </w:rPr>
                <w:t>https://www.medfinder.us.</w:t>
              </w:r>
            </w:hyperlink>
          </w:p>
          <w:p w14:paraId="300CEA47" w14:textId="59D32335" w:rsidR="00FA013D" w:rsidRPr="00032DD3" w:rsidRDefault="00FA013D" w:rsidP="00FA013D">
            <w:pPr>
              <w:jc w:val="both"/>
              <w:rPr>
                <w:sz w:val="22"/>
                <w:szCs w:val="22"/>
              </w:rPr>
            </w:pPr>
            <w:r w:rsidRPr="00032DD3">
              <w:rPr>
                <w:sz w:val="22"/>
                <w:szCs w:val="22"/>
              </w:rPr>
              <w:t xml:space="preserve">For additional information on medical countermeasure dispensing, please refer to the Massachusetts Medical Countermeasure Plan </w:t>
            </w:r>
            <w:r w:rsidR="00885D90" w:rsidRPr="00885D90">
              <w:rPr>
                <w:sz w:val="22"/>
                <w:szCs w:val="22"/>
              </w:rPr>
              <w:t>(Authorities and References).</w:t>
            </w:r>
            <w:r w:rsidRPr="00032DD3">
              <w:rPr>
                <w:sz w:val="22"/>
                <w:szCs w:val="22"/>
              </w:rPr>
              <w:t xml:space="preserve"> </w:t>
            </w:r>
          </w:p>
          <w:p w14:paraId="7B0374BC" w14:textId="77777777" w:rsidR="00FF5FCC" w:rsidRPr="00032DD3" w:rsidRDefault="00FF5FCC" w:rsidP="00032DD3">
            <w:pPr>
              <w:pStyle w:val="ListParagraph"/>
              <w:spacing w:line="276" w:lineRule="auto"/>
              <w:ind w:left="266"/>
              <w:rPr>
                <w:sz w:val="22"/>
                <w:szCs w:val="22"/>
              </w:rPr>
            </w:pPr>
          </w:p>
        </w:tc>
      </w:tr>
      <w:tr w:rsidR="00FF5FCC" w:rsidRPr="003A0C9B" w14:paraId="074C3994" w14:textId="77777777" w:rsidTr="00032DD3">
        <w:tc>
          <w:tcPr>
            <w:tcW w:w="1638" w:type="dxa"/>
          </w:tcPr>
          <w:p w14:paraId="4247E3A5" w14:textId="77777777" w:rsidR="00FF5FCC" w:rsidRPr="003A0C9B" w:rsidRDefault="00FF5FCC" w:rsidP="00032DD3">
            <w:pPr>
              <w:spacing w:line="276" w:lineRule="auto"/>
              <w:rPr>
                <w:sz w:val="22"/>
                <w:szCs w:val="22"/>
              </w:rPr>
            </w:pPr>
            <w:r w:rsidRPr="003A0C9B">
              <w:rPr>
                <w:sz w:val="22"/>
                <w:szCs w:val="22"/>
              </w:rPr>
              <w:lastRenderedPageBreak/>
              <w:t>Demobilization</w:t>
            </w:r>
          </w:p>
        </w:tc>
        <w:tc>
          <w:tcPr>
            <w:tcW w:w="7938" w:type="dxa"/>
          </w:tcPr>
          <w:p w14:paraId="7BCF170C" w14:textId="10C62458" w:rsidR="00FA013D" w:rsidRPr="00032DD3" w:rsidRDefault="00FA013D" w:rsidP="00FA013D">
            <w:pPr>
              <w:rPr>
                <w:sz w:val="22"/>
                <w:szCs w:val="22"/>
              </w:rPr>
            </w:pPr>
            <w:r w:rsidRPr="00032DD3">
              <w:rPr>
                <w:sz w:val="22"/>
                <w:szCs w:val="22"/>
              </w:rPr>
              <w:t xml:space="preserve">Following the administration of pharmaceutical or vaccine interventions, the relevant MDPH </w:t>
            </w:r>
            <w:r w:rsidR="00D94DC7">
              <w:rPr>
                <w:sz w:val="22"/>
                <w:szCs w:val="22"/>
              </w:rPr>
              <w:t>division</w:t>
            </w:r>
            <w:r w:rsidRPr="00032DD3">
              <w:rPr>
                <w:sz w:val="22"/>
                <w:szCs w:val="22"/>
              </w:rPr>
              <w:t xml:space="preserve">s will initiate demobilization procedures in order to account for the quantity of therapeutics and/or prophylactics dispensed. </w:t>
            </w:r>
          </w:p>
          <w:p w14:paraId="52B42517" w14:textId="44B4CE4A" w:rsidR="00FA013D" w:rsidRPr="00032DD3" w:rsidRDefault="00FA013D" w:rsidP="00FA013D">
            <w:pPr>
              <w:rPr>
                <w:sz w:val="22"/>
                <w:szCs w:val="22"/>
              </w:rPr>
            </w:pPr>
            <w:r w:rsidRPr="00032DD3">
              <w:rPr>
                <w:sz w:val="22"/>
                <w:szCs w:val="22"/>
              </w:rPr>
              <w:t xml:space="preserve">For a vaccine preventable disease, the Immunization </w:t>
            </w:r>
            <w:r w:rsidR="00B64843">
              <w:rPr>
                <w:sz w:val="22"/>
                <w:szCs w:val="22"/>
              </w:rPr>
              <w:t xml:space="preserve">Division </w:t>
            </w:r>
            <w:r w:rsidRPr="00032DD3">
              <w:rPr>
                <w:sz w:val="22"/>
                <w:szCs w:val="22"/>
              </w:rPr>
              <w:t xml:space="preserve">will begin de-escalation procedures which include but are not limited to compiling and analyzing </w:t>
            </w:r>
            <w:r w:rsidR="00B64843">
              <w:rPr>
                <w:sz w:val="22"/>
                <w:szCs w:val="22"/>
              </w:rPr>
              <w:t>vaccine</w:t>
            </w:r>
            <w:r w:rsidRPr="00032DD3">
              <w:rPr>
                <w:sz w:val="22"/>
                <w:szCs w:val="22"/>
              </w:rPr>
              <w:t xml:space="preserve"> usage/administration data</w:t>
            </w:r>
            <w:r w:rsidR="00B64843">
              <w:rPr>
                <w:sz w:val="22"/>
                <w:szCs w:val="22"/>
              </w:rPr>
              <w:t xml:space="preserve"> as reported to the MIIS</w:t>
            </w:r>
            <w:r w:rsidRPr="00032DD3">
              <w:rPr>
                <w:sz w:val="22"/>
                <w:szCs w:val="22"/>
              </w:rPr>
              <w:t xml:space="preserve">. </w:t>
            </w:r>
          </w:p>
          <w:p w14:paraId="63FFB540" w14:textId="1EAD9BF0" w:rsidR="00FA013D" w:rsidRPr="00032DD3" w:rsidRDefault="00FA013D" w:rsidP="00FA013D">
            <w:pPr>
              <w:rPr>
                <w:sz w:val="22"/>
                <w:szCs w:val="22"/>
              </w:rPr>
            </w:pPr>
            <w:r w:rsidRPr="00032DD3">
              <w:rPr>
                <w:sz w:val="22"/>
                <w:szCs w:val="22"/>
              </w:rPr>
              <w:t xml:space="preserve">For a scenario in which pharmaceuticals are dispensed, local </w:t>
            </w:r>
            <w:proofErr w:type="gramStart"/>
            <w:r w:rsidRPr="00032DD3">
              <w:rPr>
                <w:sz w:val="22"/>
                <w:szCs w:val="22"/>
              </w:rPr>
              <w:t>EDS</w:t>
            </w:r>
            <w:proofErr w:type="gramEnd"/>
            <w:r w:rsidRPr="00032DD3">
              <w:rPr>
                <w:sz w:val="22"/>
                <w:szCs w:val="22"/>
              </w:rPr>
              <w:t xml:space="preserve"> operations are responsible for arranging for the return of federal assets, if appropriate. OPEM will work with local public health to arrange for the proper return of any medical countermeasure materials to the CDC, as appropriate. OPEM will also work with the HMCC </w:t>
            </w:r>
            <w:r w:rsidR="00D94DC7">
              <w:rPr>
                <w:sz w:val="22"/>
                <w:szCs w:val="22"/>
              </w:rPr>
              <w:t>division</w:t>
            </w:r>
            <w:r w:rsidRPr="00032DD3">
              <w:rPr>
                <w:sz w:val="22"/>
                <w:szCs w:val="22"/>
              </w:rPr>
              <w:t xml:space="preserve"> staff to collate data on medical countermeasures administered. </w:t>
            </w:r>
          </w:p>
          <w:p w14:paraId="63D9468B" w14:textId="07465D16" w:rsidR="00FA013D" w:rsidRPr="00032DD3" w:rsidRDefault="00FA013D" w:rsidP="00FA013D">
            <w:pPr>
              <w:jc w:val="both"/>
              <w:rPr>
                <w:sz w:val="22"/>
                <w:szCs w:val="22"/>
              </w:rPr>
            </w:pPr>
            <w:r w:rsidRPr="00032DD3">
              <w:rPr>
                <w:sz w:val="22"/>
                <w:szCs w:val="22"/>
              </w:rPr>
              <w:t xml:space="preserve">For additional information on mass vaccinations, please refer to the </w:t>
            </w:r>
            <w:hyperlink w:anchor="_Appendices" w:history="1">
              <w:r w:rsidRPr="00032DD3">
                <w:rPr>
                  <w:rStyle w:val="Hyperlink"/>
                  <w:sz w:val="22"/>
                  <w:szCs w:val="22"/>
                </w:rPr>
                <w:t>Mass Vaccination Annex</w:t>
              </w:r>
            </w:hyperlink>
            <w:r w:rsidRPr="00032DD3">
              <w:rPr>
                <w:sz w:val="22"/>
                <w:szCs w:val="22"/>
              </w:rPr>
              <w:t xml:space="preserve">. For additional information on pharmaceutical dispensing, please refer to the Massachusetts Medical Countermeasure Plan </w:t>
            </w:r>
            <w:r w:rsidR="00885D90" w:rsidRPr="00885D90">
              <w:rPr>
                <w:sz w:val="22"/>
                <w:szCs w:val="22"/>
              </w:rPr>
              <w:t>(Authorities and References)</w:t>
            </w:r>
            <w:r w:rsidRPr="00032DD3">
              <w:rPr>
                <w:sz w:val="22"/>
                <w:szCs w:val="22"/>
              </w:rPr>
              <w:t xml:space="preserve">. </w:t>
            </w:r>
          </w:p>
          <w:p w14:paraId="5AF515A5" w14:textId="77777777" w:rsidR="00FF5FCC" w:rsidRPr="00032DD3" w:rsidRDefault="00FF5FCC" w:rsidP="00032DD3">
            <w:pPr>
              <w:spacing w:line="276" w:lineRule="auto"/>
              <w:ind w:left="252"/>
              <w:contextualSpacing/>
              <w:rPr>
                <w:sz w:val="22"/>
                <w:szCs w:val="22"/>
              </w:rPr>
            </w:pPr>
          </w:p>
        </w:tc>
      </w:tr>
    </w:tbl>
    <w:p w14:paraId="59169809" w14:textId="77777777" w:rsidR="00FF5FCC" w:rsidRPr="00BE759C" w:rsidRDefault="00FF5FCC" w:rsidP="00BE759C">
      <w:pPr>
        <w:keepNext/>
        <w:keepLines/>
        <w:spacing w:before="200" w:after="0"/>
        <w:ind w:left="360"/>
        <w:jc w:val="both"/>
        <w:outlineLvl w:val="2"/>
        <w:rPr>
          <w:rFonts w:asciiTheme="majorHAnsi" w:eastAsiaTheme="majorEastAsia" w:hAnsiTheme="majorHAnsi" w:cstheme="majorBidi"/>
          <w:b/>
          <w:bCs/>
          <w:color w:val="4F81BD" w:themeColor="accent1"/>
          <w:sz w:val="26"/>
          <w:szCs w:val="26"/>
        </w:rPr>
      </w:pPr>
    </w:p>
    <w:p w14:paraId="1AE15CEF" w14:textId="1AD90329" w:rsidR="00BE759C" w:rsidRDefault="00BE759C" w:rsidP="00BC6A95">
      <w:pPr>
        <w:pStyle w:val="Heading2"/>
        <w:ind w:left="360"/>
      </w:pPr>
      <w:bookmarkStart w:id="565" w:name="_Toc470164591"/>
      <w:bookmarkStart w:id="566" w:name="_Toc473721354"/>
      <w:bookmarkStart w:id="567" w:name="_Toc476815807"/>
      <w:bookmarkStart w:id="568" w:name="_Toc477864068"/>
      <w:bookmarkStart w:id="569" w:name="_Toc477866368"/>
      <w:bookmarkStart w:id="570" w:name="_Toc480546416"/>
      <w:bookmarkStart w:id="571" w:name="_Toc481759055"/>
      <w:bookmarkStart w:id="572" w:name="_Toc482792895"/>
      <w:bookmarkStart w:id="573" w:name="_Toc482793051"/>
      <w:bookmarkStart w:id="574" w:name="_Toc482793365"/>
      <w:bookmarkStart w:id="575" w:name="_Toc356762337"/>
      <w:bookmarkStart w:id="576" w:name="_Toc483566932"/>
      <w:bookmarkStart w:id="577" w:name="_Toc483996071"/>
      <w:bookmarkStart w:id="578" w:name="_Toc484606995"/>
      <w:bookmarkStart w:id="579" w:name="_Toc486238615"/>
      <w:bookmarkStart w:id="580" w:name="_Toc486328980"/>
      <w:bookmarkStart w:id="581" w:name="_Toc486407775"/>
      <w:bookmarkStart w:id="582" w:name="_Toc486492377"/>
      <w:bookmarkStart w:id="583" w:name="_Toc486499873"/>
      <w:bookmarkStart w:id="584" w:name="_Toc486501049"/>
      <w:bookmarkStart w:id="585" w:name="_Toc486516509"/>
      <w:bookmarkStart w:id="586" w:name="_Toc486577764"/>
      <w:bookmarkStart w:id="587" w:name="_Toc486578970"/>
      <w:bookmarkStart w:id="588" w:name="_Toc31623014"/>
      <w:r>
        <w:t>6</w:t>
      </w:r>
      <w:r w:rsidRPr="00BE759C">
        <w:t xml:space="preserve">.7 </w:t>
      </w:r>
      <w:r w:rsidR="003B7C6A">
        <w:t xml:space="preserve">     </w:t>
      </w:r>
      <w:r w:rsidRPr="00BE759C">
        <w:t>Fatality Management</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p w14:paraId="37D2907C" w14:textId="77777777" w:rsidR="00FF5FCC" w:rsidRPr="00BE759C" w:rsidRDefault="00FF5FCC" w:rsidP="00FF5FCC">
      <w:pPr>
        <w:keepNext/>
        <w:keepLines/>
        <w:spacing w:before="200" w:after="0"/>
        <w:ind w:left="360"/>
        <w:jc w:val="both"/>
        <w:outlineLvl w:val="1"/>
        <w:rPr>
          <w:rFonts w:asciiTheme="majorHAnsi" w:eastAsiaTheme="majorEastAsia" w:hAnsiTheme="majorHAnsi" w:cstheme="majorBidi"/>
          <w:b/>
          <w:bCs/>
          <w:color w:val="4F81BD" w:themeColor="accent1"/>
          <w:sz w:val="26"/>
          <w:szCs w:val="26"/>
        </w:rPr>
      </w:pPr>
    </w:p>
    <w:tbl>
      <w:tblPr>
        <w:tblStyle w:val="TableGrid"/>
        <w:tblW w:w="0" w:type="auto"/>
        <w:tblLayout w:type="fixed"/>
        <w:tblLook w:val="04A0" w:firstRow="1" w:lastRow="0" w:firstColumn="1" w:lastColumn="0" w:noHBand="0" w:noVBand="1"/>
      </w:tblPr>
      <w:tblGrid>
        <w:gridCol w:w="1638"/>
        <w:gridCol w:w="7938"/>
      </w:tblGrid>
      <w:tr w:rsidR="00FF5FCC" w:rsidRPr="003A0C9B" w14:paraId="276574E4" w14:textId="77777777" w:rsidTr="00032DD3">
        <w:tc>
          <w:tcPr>
            <w:tcW w:w="1638" w:type="dxa"/>
          </w:tcPr>
          <w:p w14:paraId="572C6C2C" w14:textId="0510C25D" w:rsidR="00FF5FCC" w:rsidRPr="003A0C9B" w:rsidRDefault="00FF5FCC" w:rsidP="00F21535">
            <w:pPr>
              <w:contextualSpacing/>
              <w:rPr>
                <w:sz w:val="22"/>
                <w:szCs w:val="22"/>
              </w:rPr>
            </w:pPr>
            <w:r w:rsidRPr="003A0C9B">
              <w:rPr>
                <w:sz w:val="22"/>
                <w:szCs w:val="22"/>
              </w:rPr>
              <w:t>Preparation</w:t>
            </w:r>
          </w:p>
        </w:tc>
        <w:tc>
          <w:tcPr>
            <w:tcW w:w="7938" w:type="dxa"/>
          </w:tcPr>
          <w:p w14:paraId="5E3EB9A9" w14:textId="18549887" w:rsidR="00FF5FCC" w:rsidRPr="00032DD3" w:rsidRDefault="00F174D9" w:rsidP="00032DD3">
            <w:pPr>
              <w:rPr>
                <w:sz w:val="22"/>
                <w:szCs w:val="22"/>
              </w:rPr>
            </w:pPr>
            <w:r>
              <w:rPr>
                <w:sz w:val="22"/>
                <w:szCs w:val="22"/>
              </w:rPr>
              <w:t>MDPH will be the responsible agency for the mass fatality management response if it is a result of a pandemic or other significant communicable disease outbreak resulting in a large number of deaths.</w:t>
            </w:r>
          </w:p>
        </w:tc>
      </w:tr>
      <w:tr w:rsidR="00FF5FCC" w:rsidRPr="003A0C9B" w14:paraId="0C912091" w14:textId="77777777" w:rsidTr="00032DD3">
        <w:tc>
          <w:tcPr>
            <w:tcW w:w="1638" w:type="dxa"/>
          </w:tcPr>
          <w:p w14:paraId="7A422943" w14:textId="77777777" w:rsidR="00FF5FCC" w:rsidRPr="003A0C9B" w:rsidRDefault="00FF5FCC" w:rsidP="00032DD3">
            <w:pPr>
              <w:spacing w:line="276" w:lineRule="auto"/>
              <w:rPr>
                <w:sz w:val="22"/>
                <w:szCs w:val="22"/>
              </w:rPr>
            </w:pPr>
            <w:r w:rsidRPr="003A0C9B">
              <w:rPr>
                <w:sz w:val="22"/>
                <w:szCs w:val="22"/>
              </w:rPr>
              <w:t>Investigation/</w:t>
            </w:r>
          </w:p>
          <w:p w14:paraId="5735F8C2" w14:textId="77777777" w:rsidR="00FF5FCC" w:rsidRPr="003A0C9B" w:rsidRDefault="00FF5FCC" w:rsidP="00032DD3">
            <w:pPr>
              <w:spacing w:line="276" w:lineRule="auto"/>
              <w:rPr>
                <w:sz w:val="22"/>
                <w:szCs w:val="22"/>
              </w:rPr>
            </w:pPr>
            <w:r w:rsidRPr="003A0C9B">
              <w:rPr>
                <w:sz w:val="22"/>
                <w:szCs w:val="22"/>
              </w:rPr>
              <w:t>Alerting</w:t>
            </w:r>
          </w:p>
        </w:tc>
        <w:tc>
          <w:tcPr>
            <w:tcW w:w="7938" w:type="dxa"/>
          </w:tcPr>
          <w:p w14:paraId="4C950943" w14:textId="0097C816" w:rsidR="00FF5FCC" w:rsidRPr="00032DD3" w:rsidRDefault="00FA013D" w:rsidP="00032DD3">
            <w:pPr>
              <w:rPr>
                <w:sz w:val="22"/>
                <w:szCs w:val="22"/>
              </w:rPr>
            </w:pPr>
            <w:r w:rsidRPr="00032DD3">
              <w:rPr>
                <w:sz w:val="22"/>
                <w:szCs w:val="22"/>
              </w:rPr>
              <w:t>N/A</w:t>
            </w:r>
          </w:p>
        </w:tc>
      </w:tr>
      <w:tr w:rsidR="00FF5FCC" w:rsidRPr="003A0C9B" w14:paraId="1AD0F22F" w14:textId="77777777" w:rsidTr="00032DD3">
        <w:tc>
          <w:tcPr>
            <w:tcW w:w="1638" w:type="dxa"/>
          </w:tcPr>
          <w:p w14:paraId="369B0A42" w14:textId="77777777" w:rsidR="00FF5FCC" w:rsidRPr="003A0C9B" w:rsidRDefault="00FF5FCC" w:rsidP="00032DD3">
            <w:pPr>
              <w:spacing w:line="276" w:lineRule="auto"/>
              <w:rPr>
                <w:sz w:val="22"/>
                <w:szCs w:val="22"/>
              </w:rPr>
            </w:pPr>
            <w:r w:rsidRPr="003A0C9B">
              <w:rPr>
                <w:sz w:val="22"/>
                <w:szCs w:val="22"/>
              </w:rPr>
              <w:t>Recognition</w:t>
            </w:r>
          </w:p>
        </w:tc>
        <w:tc>
          <w:tcPr>
            <w:tcW w:w="7938" w:type="dxa"/>
          </w:tcPr>
          <w:p w14:paraId="74E54690" w14:textId="59E3B567" w:rsidR="00FF5FCC" w:rsidRPr="00032DD3" w:rsidRDefault="00FA013D" w:rsidP="00032DD3">
            <w:pPr>
              <w:rPr>
                <w:sz w:val="22"/>
                <w:szCs w:val="22"/>
              </w:rPr>
            </w:pPr>
            <w:r w:rsidRPr="00032DD3">
              <w:rPr>
                <w:sz w:val="22"/>
                <w:szCs w:val="22"/>
              </w:rPr>
              <w:t>N/A</w:t>
            </w:r>
          </w:p>
        </w:tc>
      </w:tr>
      <w:tr w:rsidR="00FF5FCC" w:rsidRPr="003A0C9B" w14:paraId="084F85DF" w14:textId="77777777" w:rsidTr="00032DD3">
        <w:tc>
          <w:tcPr>
            <w:tcW w:w="1638" w:type="dxa"/>
          </w:tcPr>
          <w:p w14:paraId="5CE7AFE4" w14:textId="77777777" w:rsidR="00FF5FCC" w:rsidRPr="003A0C9B" w:rsidRDefault="00FF5FCC" w:rsidP="00032DD3">
            <w:pPr>
              <w:spacing w:line="276" w:lineRule="auto"/>
              <w:rPr>
                <w:sz w:val="22"/>
                <w:szCs w:val="22"/>
              </w:rPr>
            </w:pPr>
            <w:r w:rsidRPr="003A0C9B">
              <w:rPr>
                <w:sz w:val="22"/>
                <w:szCs w:val="22"/>
              </w:rPr>
              <w:t>Initiation</w:t>
            </w:r>
          </w:p>
        </w:tc>
        <w:tc>
          <w:tcPr>
            <w:tcW w:w="7938" w:type="dxa"/>
          </w:tcPr>
          <w:p w14:paraId="6FCAB4A0" w14:textId="527B720E" w:rsidR="00AE525D" w:rsidRPr="00032DD3" w:rsidRDefault="00AE525D" w:rsidP="00AE525D">
            <w:pPr>
              <w:jc w:val="both"/>
              <w:rPr>
                <w:color w:val="FF0000"/>
                <w:sz w:val="22"/>
                <w:szCs w:val="22"/>
              </w:rPr>
            </w:pPr>
            <w:r w:rsidRPr="00032DD3">
              <w:rPr>
                <w:sz w:val="22"/>
                <w:szCs w:val="22"/>
              </w:rPr>
              <w:t xml:space="preserve">The Incident Manager, in coordination with staff from OPEM and the </w:t>
            </w:r>
            <w:r w:rsidR="00DA5B38">
              <w:rPr>
                <w:sz w:val="22"/>
                <w:szCs w:val="22"/>
              </w:rPr>
              <w:t xml:space="preserve">Division of </w:t>
            </w:r>
            <w:r w:rsidRPr="00032DD3">
              <w:rPr>
                <w:sz w:val="22"/>
                <w:szCs w:val="22"/>
              </w:rPr>
              <w:t>Epidemiology, may convene calls with the Office of the Chief Medical Examiner (OCME) to discuss a potential surge in infectious disease deaths and to ensure that the OCME has the information needed to protect staff from accidental exposures. Topics for discussion may include</w:t>
            </w:r>
            <w:r w:rsidRPr="00032DD3">
              <w:rPr>
                <w:color w:val="FF0000"/>
                <w:sz w:val="22"/>
                <w:szCs w:val="22"/>
              </w:rPr>
              <w:t xml:space="preserve"> </w:t>
            </w:r>
            <w:r w:rsidRPr="00032DD3">
              <w:rPr>
                <w:sz w:val="22"/>
                <w:szCs w:val="22"/>
              </w:rPr>
              <w:t xml:space="preserve">the proper recovery, handling, transportation, tracking, storage and disposal of human remains after an infectious disease emergency response. </w:t>
            </w:r>
          </w:p>
          <w:p w14:paraId="3F53AE39" w14:textId="77777777" w:rsidR="00FF5FCC" w:rsidRPr="00032DD3" w:rsidRDefault="00FF5FCC" w:rsidP="00032DD3">
            <w:pPr>
              <w:pStyle w:val="ListParagraph"/>
              <w:spacing w:line="276" w:lineRule="auto"/>
              <w:ind w:left="266"/>
              <w:rPr>
                <w:sz w:val="22"/>
                <w:szCs w:val="22"/>
              </w:rPr>
            </w:pPr>
          </w:p>
        </w:tc>
      </w:tr>
      <w:tr w:rsidR="00FF5FCC" w:rsidRPr="003A0C9B" w14:paraId="13962873" w14:textId="77777777" w:rsidTr="00032DD3">
        <w:tc>
          <w:tcPr>
            <w:tcW w:w="1638" w:type="dxa"/>
          </w:tcPr>
          <w:p w14:paraId="6DCF6239" w14:textId="77777777" w:rsidR="00FF5FCC" w:rsidRPr="003A0C9B" w:rsidRDefault="00FF5FCC" w:rsidP="00032DD3">
            <w:pPr>
              <w:spacing w:line="276" w:lineRule="auto"/>
              <w:rPr>
                <w:sz w:val="22"/>
                <w:szCs w:val="22"/>
              </w:rPr>
            </w:pPr>
            <w:r w:rsidRPr="003A0C9B">
              <w:rPr>
                <w:sz w:val="22"/>
                <w:szCs w:val="22"/>
              </w:rPr>
              <w:lastRenderedPageBreak/>
              <w:t>Acceleration</w:t>
            </w:r>
          </w:p>
        </w:tc>
        <w:tc>
          <w:tcPr>
            <w:tcW w:w="7938" w:type="dxa"/>
          </w:tcPr>
          <w:p w14:paraId="4427A94E" w14:textId="77777777" w:rsidR="00FA013D" w:rsidRPr="00032DD3" w:rsidRDefault="00FA013D" w:rsidP="00FA013D">
            <w:pPr>
              <w:jc w:val="both"/>
              <w:rPr>
                <w:sz w:val="22"/>
                <w:szCs w:val="22"/>
              </w:rPr>
            </w:pPr>
            <w:r w:rsidRPr="00032DD3">
              <w:rPr>
                <w:sz w:val="22"/>
                <w:szCs w:val="22"/>
              </w:rPr>
              <w:t>The Incident Manager, in consultation with staff from OPEM and BIDLS, will communicate regularly with the OCME to receive updates related to infectious disease deaths, provide guidance on the proper handling of decedents, and plan for the safe disposal of human remains. The Incident Manager will also work with OCME and MEMA to procure sufficient storage space for the recently deceased.</w:t>
            </w:r>
          </w:p>
          <w:p w14:paraId="47F816F9" w14:textId="77777777" w:rsidR="00FF5FCC" w:rsidRPr="00032DD3" w:rsidRDefault="00FF5FCC" w:rsidP="00032DD3">
            <w:pPr>
              <w:pStyle w:val="ListParagraph"/>
              <w:spacing w:line="276" w:lineRule="auto"/>
              <w:ind w:left="266"/>
              <w:rPr>
                <w:sz w:val="22"/>
                <w:szCs w:val="22"/>
              </w:rPr>
            </w:pPr>
          </w:p>
        </w:tc>
      </w:tr>
      <w:tr w:rsidR="00FF5FCC" w:rsidRPr="003A0C9B" w14:paraId="54D4057E" w14:textId="77777777" w:rsidTr="00032DD3">
        <w:tc>
          <w:tcPr>
            <w:tcW w:w="1638" w:type="dxa"/>
          </w:tcPr>
          <w:p w14:paraId="029A7D07" w14:textId="77777777" w:rsidR="00FF5FCC" w:rsidRPr="003A0C9B" w:rsidRDefault="00FF5FCC" w:rsidP="00032DD3">
            <w:pPr>
              <w:spacing w:line="276" w:lineRule="auto"/>
              <w:rPr>
                <w:sz w:val="22"/>
                <w:szCs w:val="22"/>
              </w:rPr>
            </w:pPr>
            <w:r w:rsidRPr="003A0C9B">
              <w:rPr>
                <w:sz w:val="22"/>
                <w:szCs w:val="22"/>
              </w:rPr>
              <w:t>Demobilization</w:t>
            </w:r>
          </w:p>
        </w:tc>
        <w:tc>
          <w:tcPr>
            <w:tcW w:w="7938" w:type="dxa"/>
          </w:tcPr>
          <w:p w14:paraId="7BBB2053" w14:textId="0FB32037" w:rsidR="00FF5FCC" w:rsidRPr="00032DD3" w:rsidRDefault="00FA013D" w:rsidP="00032DD3">
            <w:pPr>
              <w:spacing w:line="276" w:lineRule="auto"/>
              <w:ind w:left="252"/>
              <w:contextualSpacing/>
              <w:rPr>
                <w:sz w:val="22"/>
                <w:szCs w:val="22"/>
              </w:rPr>
            </w:pPr>
            <w:r w:rsidRPr="00032DD3">
              <w:rPr>
                <w:sz w:val="22"/>
                <w:szCs w:val="22"/>
              </w:rPr>
              <w:t>N/A</w:t>
            </w:r>
          </w:p>
        </w:tc>
      </w:tr>
    </w:tbl>
    <w:p w14:paraId="64E38E69" w14:textId="77777777" w:rsidR="00FF5FCC" w:rsidRDefault="00FF5FCC" w:rsidP="00FF5FCC">
      <w:pPr>
        <w:jc w:val="both"/>
      </w:pPr>
    </w:p>
    <w:p w14:paraId="5C0ACA85" w14:textId="125B0C4C" w:rsidR="00FF5FCC" w:rsidRDefault="00FF5FCC" w:rsidP="00BC6A95">
      <w:pPr>
        <w:pStyle w:val="Heading2"/>
        <w:ind w:left="360"/>
      </w:pPr>
      <w:bookmarkStart w:id="589" w:name="_Toc31623015"/>
      <w:r>
        <w:t>6</w:t>
      </w:r>
      <w:r w:rsidRPr="00BE759C">
        <w:t>.</w:t>
      </w:r>
      <w:r>
        <w:t>8</w:t>
      </w:r>
      <w:r w:rsidRPr="00BE759C">
        <w:t xml:space="preserve"> </w:t>
      </w:r>
      <w:r w:rsidR="003B7C6A">
        <w:t xml:space="preserve">     </w:t>
      </w:r>
      <w:r>
        <w:t>Behavioral Health</w:t>
      </w:r>
      <w:bookmarkEnd w:id="589"/>
    </w:p>
    <w:p w14:paraId="13BF458F" w14:textId="77777777" w:rsidR="00FF5FCC" w:rsidRPr="00BE759C" w:rsidRDefault="00FF5FCC" w:rsidP="00FF5FCC">
      <w:pPr>
        <w:keepNext/>
        <w:keepLines/>
        <w:spacing w:before="200" w:after="0"/>
        <w:ind w:left="360"/>
        <w:jc w:val="both"/>
        <w:outlineLvl w:val="1"/>
        <w:rPr>
          <w:rFonts w:asciiTheme="majorHAnsi" w:eastAsiaTheme="majorEastAsia" w:hAnsiTheme="majorHAnsi" w:cstheme="majorBidi"/>
          <w:b/>
          <w:bCs/>
          <w:color w:val="4F81BD" w:themeColor="accent1"/>
          <w:sz w:val="26"/>
          <w:szCs w:val="26"/>
        </w:rPr>
      </w:pPr>
    </w:p>
    <w:tbl>
      <w:tblPr>
        <w:tblStyle w:val="TableGrid"/>
        <w:tblW w:w="0" w:type="auto"/>
        <w:tblLayout w:type="fixed"/>
        <w:tblLook w:val="04A0" w:firstRow="1" w:lastRow="0" w:firstColumn="1" w:lastColumn="0" w:noHBand="0" w:noVBand="1"/>
      </w:tblPr>
      <w:tblGrid>
        <w:gridCol w:w="1638"/>
        <w:gridCol w:w="7938"/>
      </w:tblGrid>
      <w:tr w:rsidR="00FF5FCC" w:rsidRPr="003A0C9B" w14:paraId="3F784444" w14:textId="77777777" w:rsidTr="00032DD3">
        <w:tc>
          <w:tcPr>
            <w:tcW w:w="1638" w:type="dxa"/>
          </w:tcPr>
          <w:p w14:paraId="3D52E58F" w14:textId="7EC8AB79" w:rsidR="00FF5FCC" w:rsidRPr="003A0C9B" w:rsidRDefault="00FF5FCC" w:rsidP="00F21535">
            <w:pPr>
              <w:spacing w:line="276" w:lineRule="auto"/>
              <w:contextualSpacing/>
              <w:rPr>
                <w:sz w:val="22"/>
                <w:szCs w:val="22"/>
              </w:rPr>
            </w:pPr>
            <w:r w:rsidRPr="003A0C9B">
              <w:rPr>
                <w:sz w:val="22"/>
                <w:szCs w:val="22"/>
              </w:rPr>
              <w:t>Preparatio</w:t>
            </w:r>
            <w:r w:rsidR="00F21535">
              <w:rPr>
                <w:sz w:val="22"/>
                <w:szCs w:val="22"/>
              </w:rPr>
              <w:t>n</w:t>
            </w:r>
          </w:p>
        </w:tc>
        <w:tc>
          <w:tcPr>
            <w:tcW w:w="7938" w:type="dxa"/>
          </w:tcPr>
          <w:p w14:paraId="303D6C80" w14:textId="6FAC429C" w:rsidR="00FF5FCC" w:rsidRPr="00032DD3" w:rsidRDefault="00FA013D" w:rsidP="00032DD3">
            <w:pPr>
              <w:rPr>
                <w:sz w:val="22"/>
                <w:szCs w:val="22"/>
              </w:rPr>
            </w:pPr>
            <w:r w:rsidRPr="00032DD3">
              <w:rPr>
                <w:sz w:val="22"/>
                <w:szCs w:val="22"/>
              </w:rPr>
              <w:t>N/A</w:t>
            </w:r>
          </w:p>
        </w:tc>
      </w:tr>
      <w:tr w:rsidR="00FF5FCC" w:rsidRPr="003A0C9B" w14:paraId="2CC2435C" w14:textId="77777777" w:rsidTr="00032DD3">
        <w:tc>
          <w:tcPr>
            <w:tcW w:w="1638" w:type="dxa"/>
          </w:tcPr>
          <w:p w14:paraId="03DFAF69" w14:textId="77777777" w:rsidR="00FF5FCC" w:rsidRPr="003A0C9B" w:rsidRDefault="00FF5FCC" w:rsidP="00032DD3">
            <w:pPr>
              <w:spacing w:line="276" w:lineRule="auto"/>
              <w:rPr>
                <w:sz w:val="22"/>
                <w:szCs w:val="22"/>
              </w:rPr>
            </w:pPr>
            <w:r w:rsidRPr="003A0C9B">
              <w:rPr>
                <w:sz w:val="22"/>
                <w:szCs w:val="22"/>
              </w:rPr>
              <w:t>Investigation/</w:t>
            </w:r>
          </w:p>
          <w:p w14:paraId="3759064B" w14:textId="77777777" w:rsidR="00FF5FCC" w:rsidRPr="003A0C9B" w:rsidRDefault="00FF5FCC" w:rsidP="00032DD3">
            <w:pPr>
              <w:spacing w:line="276" w:lineRule="auto"/>
              <w:rPr>
                <w:sz w:val="22"/>
                <w:szCs w:val="22"/>
              </w:rPr>
            </w:pPr>
            <w:r w:rsidRPr="003A0C9B">
              <w:rPr>
                <w:sz w:val="22"/>
                <w:szCs w:val="22"/>
              </w:rPr>
              <w:t>Alerting</w:t>
            </w:r>
          </w:p>
        </w:tc>
        <w:tc>
          <w:tcPr>
            <w:tcW w:w="7938" w:type="dxa"/>
          </w:tcPr>
          <w:p w14:paraId="6D533918" w14:textId="3E845ED9" w:rsidR="00FF5FCC" w:rsidRPr="00032DD3" w:rsidRDefault="00FA013D" w:rsidP="00032DD3">
            <w:pPr>
              <w:rPr>
                <w:sz w:val="22"/>
                <w:szCs w:val="22"/>
              </w:rPr>
            </w:pPr>
            <w:r w:rsidRPr="00032DD3">
              <w:rPr>
                <w:sz w:val="22"/>
                <w:szCs w:val="22"/>
              </w:rPr>
              <w:t>N/A</w:t>
            </w:r>
          </w:p>
        </w:tc>
      </w:tr>
      <w:tr w:rsidR="00FF5FCC" w:rsidRPr="003A0C9B" w14:paraId="7B54F49E" w14:textId="77777777" w:rsidTr="00032DD3">
        <w:tc>
          <w:tcPr>
            <w:tcW w:w="1638" w:type="dxa"/>
          </w:tcPr>
          <w:p w14:paraId="339EDAA4" w14:textId="77777777" w:rsidR="00FF5FCC" w:rsidRPr="003A0C9B" w:rsidRDefault="00FF5FCC" w:rsidP="00032DD3">
            <w:pPr>
              <w:spacing w:line="276" w:lineRule="auto"/>
              <w:rPr>
                <w:sz w:val="22"/>
                <w:szCs w:val="22"/>
              </w:rPr>
            </w:pPr>
            <w:r w:rsidRPr="003A0C9B">
              <w:rPr>
                <w:sz w:val="22"/>
                <w:szCs w:val="22"/>
              </w:rPr>
              <w:t>Recognition</w:t>
            </w:r>
          </w:p>
        </w:tc>
        <w:tc>
          <w:tcPr>
            <w:tcW w:w="7938" w:type="dxa"/>
          </w:tcPr>
          <w:p w14:paraId="7036A496" w14:textId="26D52041" w:rsidR="00FF5FCC" w:rsidRPr="00032DD3" w:rsidRDefault="00FA013D" w:rsidP="00032DD3">
            <w:pPr>
              <w:rPr>
                <w:sz w:val="22"/>
                <w:szCs w:val="22"/>
              </w:rPr>
            </w:pPr>
            <w:r w:rsidRPr="00032DD3">
              <w:rPr>
                <w:sz w:val="22"/>
                <w:szCs w:val="22"/>
              </w:rPr>
              <w:t>N/A</w:t>
            </w:r>
          </w:p>
        </w:tc>
      </w:tr>
      <w:tr w:rsidR="00FF5FCC" w:rsidRPr="003A0C9B" w14:paraId="1993D847" w14:textId="77777777" w:rsidTr="00032DD3">
        <w:tc>
          <w:tcPr>
            <w:tcW w:w="1638" w:type="dxa"/>
          </w:tcPr>
          <w:p w14:paraId="0539416C" w14:textId="77777777" w:rsidR="00FF5FCC" w:rsidRPr="003A0C9B" w:rsidRDefault="00FF5FCC" w:rsidP="00032DD3">
            <w:pPr>
              <w:spacing w:line="276" w:lineRule="auto"/>
              <w:rPr>
                <w:sz w:val="22"/>
                <w:szCs w:val="22"/>
              </w:rPr>
            </w:pPr>
            <w:r w:rsidRPr="003A0C9B">
              <w:rPr>
                <w:sz w:val="22"/>
                <w:szCs w:val="22"/>
              </w:rPr>
              <w:t>Initiation</w:t>
            </w:r>
          </w:p>
        </w:tc>
        <w:tc>
          <w:tcPr>
            <w:tcW w:w="7938" w:type="dxa"/>
          </w:tcPr>
          <w:p w14:paraId="2D158EB5" w14:textId="77777777" w:rsidR="00FA013D" w:rsidRPr="00032DD3" w:rsidRDefault="00FA013D" w:rsidP="00FA013D">
            <w:pPr>
              <w:jc w:val="both"/>
              <w:rPr>
                <w:sz w:val="22"/>
                <w:szCs w:val="22"/>
              </w:rPr>
            </w:pPr>
            <w:r w:rsidRPr="00032DD3">
              <w:rPr>
                <w:sz w:val="22"/>
                <w:szCs w:val="22"/>
              </w:rPr>
              <w:t xml:space="preserve">Regardless of the scope of the infectious disease event, impacted populations may need behavioral health support to process feelings of being under threat and any issues of morbidity and mortality. To minimize lasting behavioral health implications, DMH will work in conjunction with MDPH to provide crisis support as requested. </w:t>
            </w:r>
          </w:p>
          <w:p w14:paraId="2F107E97" w14:textId="7161C58E" w:rsidR="00FA013D" w:rsidRPr="00032DD3" w:rsidRDefault="00FA013D" w:rsidP="00FA013D">
            <w:pPr>
              <w:jc w:val="both"/>
              <w:rPr>
                <w:sz w:val="22"/>
                <w:szCs w:val="22"/>
              </w:rPr>
            </w:pPr>
            <w:r w:rsidRPr="00032DD3">
              <w:rPr>
                <w:sz w:val="22"/>
                <w:szCs w:val="22"/>
              </w:rPr>
              <w:t xml:space="preserve">For additional information please refer to the Statewide Disaster Behavioral Health Plan </w:t>
            </w:r>
            <w:r w:rsidR="0063626F" w:rsidRPr="0063626F">
              <w:rPr>
                <w:sz w:val="22"/>
                <w:szCs w:val="22"/>
              </w:rPr>
              <w:t>(Authorities and References)</w:t>
            </w:r>
            <w:r w:rsidRPr="00032DD3">
              <w:rPr>
                <w:sz w:val="22"/>
                <w:szCs w:val="22"/>
              </w:rPr>
              <w:t xml:space="preserve">. </w:t>
            </w:r>
          </w:p>
          <w:p w14:paraId="008F6EA1" w14:textId="77777777" w:rsidR="00FF5FCC" w:rsidRPr="00032DD3" w:rsidRDefault="00FF5FCC" w:rsidP="00032DD3">
            <w:pPr>
              <w:pStyle w:val="ListParagraph"/>
              <w:spacing w:line="276" w:lineRule="auto"/>
              <w:ind w:left="266"/>
              <w:rPr>
                <w:sz w:val="22"/>
                <w:szCs w:val="22"/>
              </w:rPr>
            </w:pPr>
          </w:p>
        </w:tc>
      </w:tr>
      <w:tr w:rsidR="00FF5FCC" w:rsidRPr="003A0C9B" w14:paraId="4E173857" w14:textId="77777777" w:rsidTr="00032DD3">
        <w:tc>
          <w:tcPr>
            <w:tcW w:w="1638" w:type="dxa"/>
          </w:tcPr>
          <w:p w14:paraId="57DCE1B3" w14:textId="77777777" w:rsidR="00FF5FCC" w:rsidRPr="003A0C9B" w:rsidRDefault="00FF5FCC" w:rsidP="00032DD3">
            <w:pPr>
              <w:spacing w:line="276" w:lineRule="auto"/>
              <w:rPr>
                <w:sz w:val="22"/>
                <w:szCs w:val="22"/>
              </w:rPr>
            </w:pPr>
            <w:r w:rsidRPr="003A0C9B">
              <w:rPr>
                <w:sz w:val="22"/>
                <w:szCs w:val="22"/>
              </w:rPr>
              <w:t>Acceleration</w:t>
            </w:r>
          </w:p>
        </w:tc>
        <w:tc>
          <w:tcPr>
            <w:tcW w:w="7938" w:type="dxa"/>
          </w:tcPr>
          <w:p w14:paraId="4FCB876D" w14:textId="585F833B" w:rsidR="00FF5FCC" w:rsidRPr="00032DD3" w:rsidRDefault="00032DD3" w:rsidP="00032DD3">
            <w:r w:rsidRPr="00032DD3">
              <w:t>Continue to monitor the behavioral health needs and deploy additional resources as needed. Will also evaluate the need for Critical Incident Stress Management (CISM) for response personnel.</w:t>
            </w:r>
          </w:p>
        </w:tc>
      </w:tr>
      <w:tr w:rsidR="00FF5FCC" w:rsidRPr="003A0C9B" w14:paraId="10401A30" w14:textId="77777777" w:rsidTr="00032DD3">
        <w:tc>
          <w:tcPr>
            <w:tcW w:w="1638" w:type="dxa"/>
          </w:tcPr>
          <w:p w14:paraId="6BD92FFA" w14:textId="77777777" w:rsidR="00FF5FCC" w:rsidRPr="003A0C9B" w:rsidRDefault="00FF5FCC" w:rsidP="00032DD3">
            <w:pPr>
              <w:spacing w:line="276" w:lineRule="auto"/>
              <w:rPr>
                <w:sz w:val="22"/>
                <w:szCs w:val="22"/>
              </w:rPr>
            </w:pPr>
            <w:r w:rsidRPr="003A0C9B">
              <w:rPr>
                <w:sz w:val="22"/>
                <w:szCs w:val="22"/>
              </w:rPr>
              <w:t>Demobilization</w:t>
            </w:r>
          </w:p>
        </w:tc>
        <w:tc>
          <w:tcPr>
            <w:tcW w:w="7938" w:type="dxa"/>
          </w:tcPr>
          <w:p w14:paraId="061289E0" w14:textId="4DBFF3EA" w:rsidR="00FF5FCC" w:rsidRPr="00032DD3" w:rsidRDefault="00032DD3" w:rsidP="00032DD3">
            <w:pPr>
              <w:jc w:val="both"/>
              <w:rPr>
                <w:sz w:val="22"/>
                <w:szCs w:val="22"/>
              </w:rPr>
            </w:pPr>
            <w:r>
              <w:rPr>
                <w:sz w:val="22"/>
                <w:szCs w:val="22"/>
              </w:rPr>
              <w:t xml:space="preserve">Assist as needed to help bring staff and the public back to pre-event </w:t>
            </w:r>
            <w:proofErr w:type="spellStart"/>
            <w:r>
              <w:rPr>
                <w:sz w:val="22"/>
                <w:szCs w:val="22"/>
              </w:rPr>
              <w:t>well being</w:t>
            </w:r>
            <w:proofErr w:type="spellEnd"/>
            <w:r>
              <w:rPr>
                <w:sz w:val="22"/>
                <w:szCs w:val="22"/>
              </w:rPr>
              <w:t xml:space="preserve">. </w:t>
            </w:r>
          </w:p>
        </w:tc>
      </w:tr>
    </w:tbl>
    <w:p w14:paraId="063965AE" w14:textId="77777777" w:rsidR="00FF5FCC" w:rsidRDefault="00FF5FCC" w:rsidP="00FF5FCC">
      <w:pPr>
        <w:jc w:val="both"/>
      </w:pPr>
    </w:p>
    <w:p w14:paraId="05B9B096" w14:textId="77777777" w:rsidR="00BE759C" w:rsidRPr="00BE759C" w:rsidRDefault="00BE759C" w:rsidP="00BE759C">
      <w:pPr>
        <w:keepNext/>
        <w:keepLines/>
        <w:spacing w:before="200" w:after="0"/>
        <w:jc w:val="both"/>
        <w:outlineLvl w:val="3"/>
        <w:rPr>
          <w:rFonts w:asciiTheme="majorHAnsi" w:eastAsiaTheme="majorEastAsia" w:hAnsiTheme="majorHAnsi" w:cstheme="majorBidi"/>
          <w:b/>
          <w:bCs/>
          <w:i/>
          <w:iCs/>
          <w:color w:val="4F81BD" w:themeColor="accent1"/>
        </w:rPr>
      </w:pPr>
    </w:p>
    <w:p w14:paraId="104CE143" w14:textId="77777777" w:rsidR="00DA3237" w:rsidRPr="00DA3237" w:rsidRDefault="00DA3237" w:rsidP="00DA3237">
      <w:pPr>
        <w:sectPr w:rsidR="00DA3237" w:rsidRPr="00DA3237" w:rsidSect="006160F8">
          <w:headerReference w:type="even" r:id="rId44"/>
          <w:headerReference w:type="default" r:id="rId45"/>
          <w:footerReference w:type="default" r:id="rId46"/>
          <w:headerReference w:type="first" r:id="rId47"/>
          <w:pgSz w:w="12240" w:h="15840"/>
          <w:pgMar w:top="1440" w:right="1440" w:bottom="1440" w:left="1440" w:header="720" w:footer="720" w:gutter="0"/>
          <w:cols w:space="720"/>
          <w:docGrid w:linePitch="360"/>
        </w:sectPr>
      </w:pPr>
    </w:p>
    <w:p w14:paraId="4A3084CA" w14:textId="7ED93403" w:rsidR="00BB7699" w:rsidRDefault="00BE759C" w:rsidP="003B7C6A">
      <w:pPr>
        <w:pStyle w:val="Heading1"/>
        <w:numPr>
          <w:ilvl w:val="0"/>
          <w:numId w:val="26"/>
        </w:numPr>
      </w:pPr>
      <w:bookmarkStart w:id="590" w:name="_Toc31623016"/>
      <w:bookmarkStart w:id="591" w:name="_Toc476815735"/>
      <w:r>
        <w:lastRenderedPageBreak/>
        <w:t>Communications</w:t>
      </w:r>
      <w:bookmarkEnd w:id="590"/>
    </w:p>
    <w:p w14:paraId="58854750" w14:textId="6DAD4768" w:rsidR="00BE759C" w:rsidRPr="00DA3237" w:rsidRDefault="00BC6A95" w:rsidP="00BC6A95">
      <w:pPr>
        <w:pStyle w:val="Heading2"/>
        <w:ind w:left="402"/>
      </w:pPr>
      <w:bookmarkStart w:id="592" w:name="_Toc31623017"/>
      <w:bookmarkStart w:id="593" w:name="_Toc481759083"/>
      <w:bookmarkStart w:id="594" w:name="_Toc482792923"/>
      <w:bookmarkStart w:id="595" w:name="_Toc486407797"/>
      <w:bookmarkStart w:id="596" w:name="_Toc486492399"/>
      <w:bookmarkStart w:id="597" w:name="_Toc486516531"/>
      <w:r>
        <w:t xml:space="preserve">7.1 </w:t>
      </w:r>
      <w:r w:rsidR="003B7C6A">
        <w:t xml:space="preserve">     </w:t>
      </w:r>
      <w:r w:rsidR="00BE759C" w:rsidRPr="00DA3237">
        <w:t>Internal Communication</w:t>
      </w:r>
      <w:bookmarkEnd w:id="592"/>
    </w:p>
    <w:p w14:paraId="0C0DBF94" w14:textId="77777777" w:rsidR="00BE759C" w:rsidRPr="00DA3237" w:rsidRDefault="00BE759C" w:rsidP="00BE759C">
      <w:pPr>
        <w:jc w:val="both"/>
      </w:pPr>
      <w:r w:rsidRPr="00DA3237">
        <w:t xml:space="preserve">The Commissioner’s Office will notify senior management of incidents or emergencies using the senior management group on the Health and Homeland Alert Network (HHAN) to send emergency alerts and notifications. MDPH staff that is needed to respond to an emergency will be notified by their supervisor or Office or Bureau Director during regular business hours. If the emergency occurs outside of regular business hours, MDPH staff will be notified via the HHAN notification system or by the Bureau’s/Office’s after-hours notification procedure. </w:t>
      </w:r>
    </w:p>
    <w:p w14:paraId="067B3961" w14:textId="6C8A3D01" w:rsidR="00BE759C" w:rsidRPr="00DA3237" w:rsidRDefault="00BE759C" w:rsidP="00BE759C">
      <w:pPr>
        <w:spacing w:after="240"/>
        <w:rPr>
          <w:rFonts w:ascii="Calibri" w:eastAsia="Calibri" w:hAnsi="Calibri" w:cs="Times New Roman"/>
        </w:rPr>
      </w:pPr>
      <w:r w:rsidRPr="00DA3237">
        <w:rPr>
          <w:rFonts w:ascii="Calibri" w:eastAsia="Calibri" w:hAnsi="Calibri" w:cs="Times New Roman"/>
        </w:rPr>
        <w:t>See below for internal notification procedures.</w:t>
      </w:r>
    </w:p>
    <w:p w14:paraId="405502F3" w14:textId="77777777" w:rsidR="00BE759C" w:rsidRPr="00DA3237" w:rsidRDefault="00BE759C" w:rsidP="00BE759C">
      <w:pPr>
        <w:spacing w:after="120"/>
        <w:rPr>
          <w:rFonts w:ascii="Calibri" w:eastAsia="Calibri" w:hAnsi="Calibri" w:cs="Times New Roman"/>
        </w:rPr>
      </w:pPr>
      <w:r w:rsidRPr="00DA3237">
        <w:rPr>
          <w:rFonts w:ascii="Calibri" w:eastAsia="Calibri" w:hAnsi="Calibri" w:cs="Times New Roman"/>
        </w:rPr>
        <w:t>Notifications will include:</w:t>
      </w:r>
    </w:p>
    <w:p w14:paraId="185EED69" w14:textId="64D354AF" w:rsidR="00BE759C" w:rsidRPr="00DA3237" w:rsidRDefault="00BE759C" w:rsidP="001C1C13">
      <w:pPr>
        <w:numPr>
          <w:ilvl w:val="0"/>
          <w:numId w:val="53"/>
        </w:numPr>
        <w:spacing w:after="0"/>
        <w:rPr>
          <w:rFonts w:ascii="Calibri" w:eastAsia="Calibri" w:hAnsi="Calibri" w:cs="Times New Roman"/>
        </w:rPr>
      </w:pPr>
      <w:r w:rsidRPr="00DA3237">
        <w:rPr>
          <w:rFonts w:ascii="Calibri" w:eastAsia="Calibri" w:hAnsi="Calibri" w:cs="Times New Roman"/>
        </w:rPr>
        <w:t>A brief description of the situation</w:t>
      </w:r>
    </w:p>
    <w:p w14:paraId="0CC6936A" w14:textId="1A649B76" w:rsidR="00BE759C" w:rsidRPr="00DA3237" w:rsidRDefault="00BE759C" w:rsidP="001C1C13">
      <w:pPr>
        <w:numPr>
          <w:ilvl w:val="0"/>
          <w:numId w:val="53"/>
        </w:numPr>
        <w:spacing w:after="0"/>
        <w:rPr>
          <w:rFonts w:ascii="Calibri" w:eastAsia="Calibri" w:hAnsi="Calibri" w:cs="Times New Roman"/>
        </w:rPr>
      </w:pPr>
      <w:r w:rsidRPr="00DA3237">
        <w:rPr>
          <w:rFonts w:ascii="Calibri" w:eastAsia="Calibri" w:hAnsi="Calibri" w:cs="Times New Roman"/>
        </w:rPr>
        <w:t>Security level or sensitivity</w:t>
      </w:r>
    </w:p>
    <w:p w14:paraId="3911FAD0" w14:textId="20ACC833" w:rsidR="00BE759C" w:rsidRPr="00DA3237" w:rsidRDefault="0014460F" w:rsidP="001C1C13">
      <w:pPr>
        <w:numPr>
          <w:ilvl w:val="0"/>
          <w:numId w:val="54"/>
        </w:numPr>
        <w:spacing w:after="0"/>
        <w:rPr>
          <w:rFonts w:ascii="Calibri" w:eastAsia="Calibri" w:hAnsi="Calibri" w:cs="Times New Roman"/>
        </w:rPr>
      </w:pPr>
      <w:r>
        <w:rPr>
          <w:rFonts w:ascii="Calibri" w:eastAsia="Calibri" w:hAnsi="Calibri" w:cs="Times New Roman"/>
        </w:rPr>
        <w:t>DOC</w:t>
      </w:r>
      <w:r w:rsidRPr="00DA3237">
        <w:rPr>
          <w:rFonts w:ascii="Calibri" w:eastAsia="Calibri" w:hAnsi="Calibri" w:cs="Times New Roman"/>
        </w:rPr>
        <w:t xml:space="preserve"> </w:t>
      </w:r>
      <w:r w:rsidR="00BE759C" w:rsidRPr="00DA3237">
        <w:rPr>
          <w:rFonts w:ascii="Calibri" w:eastAsia="Calibri" w:hAnsi="Calibri" w:cs="Times New Roman"/>
        </w:rPr>
        <w:t>Activation Level</w:t>
      </w:r>
    </w:p>
    <w:p w14:paraId="01CFC4F9" w14:textId="1F890733" w:rsidR="00BE759C" w:rsidRPr="00DA3237" w:rsidRDefault="00BE759C" w:rsidP="001C1C13">
      <w:pPr>
        <w:numPr>
          <w:ilvl w:val="0"/>
          <w:numId w:val="54"/>
        </w:numPr>
        <w:spacing w:after="0"/>
        <w:rPr>
          <w:rFonts w:ascii="Calibri" w:eastAsia="Calibri" w:hAnsi="Calibri" w:cs="Times New Roman"/>
        </w:rPr>
      </w:pPr>
      <w:r w:rsidRPr="00DA3237">
        <w:rPr>
          <w:rFonts w:ascii="Calibri" w:eastAsia="Calibri" w:hAnsi="Calibri" w:cs="Times New Roman"/>
        </w:rPr>
        <w:t>The incident management structure to be implemented for this response</w:t>
      </w:r>
    </w:p>
    <w:p w14:paraId="1AC43BE8" w14:textId="66E5EB9E" w:rsidR="00BE759C" w:rsidRPr="00DA3237" w:rsidRDefault="00BE759C" w:rsidP="001C1C13">
      <w:pPr>
        <w:numPr>
          <w:ilvl w:val="0"/>
          <w:numId w:val="54"/>
        </w:numPr>
        <w:spacing w:after="0"/>
        <w:rPr>
          <w:rFonts w:ascii="Calibri" w:eastAsia="Calibri" w:hAnsi="Calibri" w:cs="Times New Roman"/>
        </w:rPr>
      </w:pPr>
      <w:r w:rsidRPr="00DA3237">
        <w:rPr>
          <w:rFonts w:ascii="Calibri" w:eastAsia="Calibri" w:hAnsi="Calibri" w:cs="Times New Roman"/>
        </w:rPr>
        <w:t>Instructions for action (including when and where to report, shift length), if any</w:t>
      </w:r>
    </w:p>
    <w:p w14:paraId="753AF6A4" w14:textId="1D8D002A" w:rsidR="00BE759C" w:rsidRDefault="00BE759C" w:rsidP="001C1C13">
      <w:pPr>
        <w:numPr>
          <w:ilvl w:val="0"/>
          <w:numId w:val="54"/>
        </w:numPr>
        <w:spacing w:after="240"/>
        <w:rPr>
          <w:rFonts w:ascii="Calibri" w:eastAsia="Calibri" w:hAnsi="Calibri" w:cs="Times New Roman"/>
        </w:rPr>
      </w:pPr>
      <w:r w:rsidRPr="00DA3237">
        <w:rPr>
          <w:rFonts w:ascii="Calibri" w:eastAsia="Calibri" w:hAnsi="Calibri" w:cs="Times New Roman"/>
        </w:rPr>
        <w:t>Information regarding further briefings or updates</w:t>
      </w:r>
    </w:p>
    <w:p w14:paraId="1412F157" w14:textId="454C1716" w:rsidR="00BE6747" w:rsidRPr="00DA3237" w:rsidRDefault="00BE6747" w:rsidP="0005080A">
      <w:pPr>
        <w:spacing w:after="240"/>
        <w:jc w:val="both"/>
        <w:rPr>
          <w:rFonts w:ascii="Calibri" w:eastAsia="Calibri" w:hAnsi="Calibri" w:cs="Times New Roman"/>
        </w:rPr>
      </w:pPr>
      <w:r>
        <w:rPr>
          <w:rFonts w:ascii="Calibri" w:eastAsia="Calibri" w:hAnsi="Calibri" w:cs="Times New Roman"/>
        </w:rPr>
        <w:t xml:space="preserve">During an incident, messages, information and guidance may be received by individual Offices or Bureaus within MDPH. </w:t>
      </w:r>
      <w:r w:rsidR="006666A2">
        <w:rPr>
          <w:rFonts w:ascii="Calibri" w:eastAsia="Calibri" w:hAnsi="Calibri" w:cs="Times New Roman"/>
        </w:rPr>
        <w:t xml:space="preserve">Individual Offices or Bureaus can share this information with the IM via </w:t>
      </w:r>
      <w:r w:rsidR="00971F0E">
        <w:rPr>
          <w:rFonts w:ascii="Calibri" w:eastAsia="Calibri" w:hAnsi="Calibri" w:cs="Times New Roman"/>
        </w:rPr>
        <w:t>the regular coordination call or if the information is critical/time sensitive, it should be forwarded to the IM immediately.</w:t>
      </w:r>
      <w:r>
        <w:rPr>
          <w:rFonts w:ascii="Calibri" w:eastAsia="Calibri" w:hAnsi="Calibri" w:cs="Times New Roman"/>
        </w:rPr>
        <w:t xml:space="preserve"> Processes should be put into place early on in the incident to identify how information will be shared, who it will be shared with</w:t>
      </w:r>
      <w:r w:rsidR="00F74C50">
        <w:rPr>
          <w:rFonts w:ascii="Calibri" w:eastAsia="Calibri" w:hAnsi="Calibri" w:cs="Times New Roman"/>
        </w:rPr>
        <w:t>,</w:t>
      </w:r>
      <w:r>
        <w:rPr>
          <w:rFonts w:ascii="Calibri" w:eastAsia="Calibri" w:hAnsi="Calibri" w:cs="Times New Roman"/>
        </w:rPr>
        <w:t xml:space="preserve"> and how it will be vetted by leadership if it needs to be shared with external partners. </w:t>
      </w:r>
    </w:p>
    <w:p w14:paraId="7214EDBB" w14:textId="2B994569" w:rsidR="00BE759C" w:rsidRPr="00DA3237" w:rsidRDefault="00BC6A95" w:rsidP="00BC6A95">
      <w:pPr>
        <w:pStyle w:val="Heading2"/>
        <w:ind w:left="360"/>
      </w:pPr>
      <w:bookmarkStart w:id="598" w:name="_Toc31623018"/>
      <w:r>
        <w:t xml:space="preserve">7.2 </w:t>
      </w:r>
      <w:r w:rsidR="003B7C6A">
        <w:t xml:space="preserve">     </w:t>
      </w:r>
      <w:r w:rsidR="00BE759C" w:rsidRPr="00DA3237">
        <w:t>External Communication</w:t>
      </w:r>
      <w:bookmarkEnd w:id="598"/>
    </w:p>
    <w:p w14:paraId="03FD5116" w14:textId="05423C9D" w:rsidR="00657723" w:rsidRDefault="00657723" w:rsidP="0005080A">
      <w:pPr>
        <w:spacing w:after="120"/>
        <w:jc w:val="both"/>
        <w:rPr>
          <w:rFonts w:ascii="Calibri" w:eastAsia="Calibri" w:hAnsi="Calibri" w:cs="Times New Roman"/>
        </w:rPr>
      </w:pPr>
      <w:r>
        <w:rPr>
          <w:rFonts w:ascii="Calibri" w:eastAsia="Calibri" w:hAnsi="Calibri" w:cs="Times New Roman"/>
        </w:rPr>
        <w:t xml:space="preserve">Soon after the IDER is activated, a PIO should be designated as part of the Incident Management system to help coordinate messaging to external stakeholders and the public. The PIO will also be engaged in providing press releases and </w:t>
      </w:r>
      <w:r w:rsidR="00B079AC">
        <w:rPr>
          <w:rFonts w:ascii="Calibri" w:eastAsia="Calibri" w:hAnsi="Calibri" w:cs="Times New Roman"/>
        </w:rPr>
        <w:t>identifying</w:t>
      </w:r>
      <w:r>
        <w:rPr>
          <w:rFonts w:ascii="Calibri" w:eastAsia="Calibri" w:hAnsi="Calibri" w:cs="Times New Roman"/>
        </w:rPr>
        <w:t xml:space="preserve"> the appropriate personnel for press availability requests.</w:t>
      </w:r>
    </w:p>
    <w:p w14:paraId="7BE35A92" w14:textId="4D9B16E5" w:rsidR="00415BD2" w:rsidRPr="00DA3237" w:rsidRDefault="00B079AC" w:rsidP="00415BD2">
      <w:pPr>
        <w:spacing w:after="120"/>
        <w:rPr>
          <w:rFonts w:ascii="Calibri" w:eastAsia="Calibri" w:hAnsi="Calibri" w:cs="Times New Roman"/>
        </w:rPr>
      </w:pPr>
      <w:r>
        <w:rPr>
          <w:rFonts w:ascii="Calibri" w:eastAsia="Calibri" w:hAnsi="Calibri" w:cs="Times New Roman"/>
        </w:rPr>
        <w:t xml:space="preserve">Upon activation of the IDER, </w:t>
      </w:r>
      <w:r w:rsidR="00415BD2" w:rsidRPr="00DA3237">
        <w:rPr>
          <w:rFonts w:ascii="Calibri" w:eastAsia="Calibri" w:hAnsi="Calibri" w:cs="Times New Roman"/>
        </w:rPr>
        <w:t xml:space="preserve">MDPH may need to communicate with external </w:t>
      </w:r>
      <w:r w:rsidR="009719A2">
        <w:rPr>
          <w:rFonts w:ascii="Calibri" w:eastAsia="Calibri" w:hAnsi="Calibri" w:cs="Times New Roman"/>
        </w:rPr>
        <w:t>stakeholders</w:t>
      </w:r>
      <w:r w:rsidR="009719A2" w:rsidRPr="00DA3237">
        <w:rPr>
          <w:rFonts w:ascii="Calibri" w:eastAsia="Calibri" w:hAnsi="Calibri" w:cs="Times New Roman"/>
        </w:rPr>
        <w:t xml:space="preserve"> </w:t>
      </w:r>
      <w:r w:rsidR="00415BD2" w:rsidRPr="00DA3237">
        <w:rPr>
          <w:rFonts w:ascii="Calibri" w:eastAsia="Calibri" w:hAnsi="Calibri" w:cs="Times New Roman"/>
        </w:rPr>
        <w:t>in order to:</w:t>
      </w:r>
    </w:p>
    <w:p w14:paraId="5C169291" w14:textId="131E79F1" w:rsidR="00415BD2" w:rsidRPr="00DA3237" w:rsidRDefault="00415BD2" w:rsidP="00415BD2">
      <w:pPr>
        <w:numPr>
          <w:ilvl w:val="0"/>
          <w:numId w:val="55"/>
        </w:numPr>
        <w:spacing w:after="0"/>
        <w:rPr>
          <w:rFonts w:ascii="Calibri" w:eastAsia="Calibri" w:hAnsi="Calibri" w:cs="Times New Roman"/>
        </w:rPr>
      </w:pPr>
      <w:r w:rsidRPr="00DA3237">
        <w:rPr>
          <w:rFonts w:ascii="Calibri" w:eastAsia="Calibri" w:hAnsi="Calibri" w:cs="Times New Roman"/>
        </w:rPr>
        <w:t>Provide updates on the status of an event</w:t>
      </w:r>
    </w:p>
    <w:p w14:paraId="6901A45B" w14:textId="1338C8F4" w:rsidR="00415BD2" w:rsidRPr="00DA3237" w:rsidRDefault="00415BD2" w:rsidP="00415BD2">
      <w:pPr>
        <w:numPr>
          <w:ilvl w:val="0"/>
          <w:numId w:val="55"/>
        </w:numPr>
        <w:spacing w:after="0"/>
        <w:rPr>
          <w:rFonts w:ascii="Calibri" w:eastAsia="Calibri" w:hAnsi="Calibri" w:cs="Times New Roman"/>
        </w:rPr>
      </w:pPr>
      <w:r w:rsidRPr="00DA3237">
        <w:rPr>
          <w:rFonts w:ascii="Calibri" w:eastAsia="Calibri" w:hAnsi="Calibri" w:cs="Times New Roman"/>
        </w:rPr>
        <w:t>Request information about potential health threats</w:t>
      </w:r>
    </w:p>
    <w:p w14:paraId="7F0B3589" w14:textId="0481E72D" w:rsidR="00415BD2" w:rsidRPr="00DA3237" w:rsidRDefault="00415BD2" w:rsidP="00415BD2">
      <w:pPr>
        <w:numPr>
          <w:ilvl w:val="0"/>
          <w:numId w:val="55"/>
        </w:numPr>
        <w:spacing w:after="0"/>
        <w:rPr>
          <w:rFonts w:ascii="Calibri" w:eastAsia="Calibri" w:hAnsi="Calibri" w:cs="Times New Roman"/>
        </w:rPr>
      </w:pPr>
      <w:r w:rsidRPr="00DA3237">
        <w:rPr>
          <w:rFonts w:ascii="Calibri" w:eastAsia="Calibri" w:hAnsi="Calibri" w:cs="Times New Roman"/>
        </w:rPr>
        <w:t>Obtain other information about the event</w:t>
      </w:r>
    </w:p>
    <w:p w14:paraId="6C11B9FC" w14:textId="068E551C" w:rsidR="00415BD2" w:rsidRPr="00DA3237" w:rsidRDefault="00415BD2" w:rsidP="00415BD2">
      <w:pPr>
        <w:numPr>
          <w:ilvl w:val="0"/>
          <w:numId w:val="55"/>
        </w:numPr>
        <w:spacing w:after="0"/>
        <w:rPr>
          <w:rFonts w:ascii="Calibri" w:eastAsia="Calibri" w:hAnsi="Calibri" w:cs="Times New Roman"/>
        </w:rPr>
      </w:pPr>
      <w:r w:rsidRPr="00DA3237">
        <w:rPr>
          <w:rFonts w:ascii="Calibri" w:eastAsia="Calibri" w:hAnsi="Calibri" w:cs="Times New Roman"/>
        </w:rPr>
        <w:t>Develop a better understanding of concerns relating to the event</w:t>
      </w:r>
    </w:p>
    <w:p w14:paraId="7F18E411" w14:textId="183B9ACE" w:rsidR="00415BD2" w:rsidRPr="00DA3237" w:rsidRDefault="00415BD2" w:rsidP="00415BD2">
      <w:pPr>
        <w:numPr>
          <w:ilvl w:val="0"/>
          <w:numId w:val="55"/>
        </w:numPr>
        <w:spacing w:after="0"/>
        <w:rPr>
          <w:rFonts w:ascii="Calibri" w:eastAsia="Calibri" w:hAnsi="Calibri" w:cs="Times New Roman"/>
        </w:rPr>
      </w:pPr>
      <w:r w:rsidRPr="00DA3237">
        <w:rPr>
          <w:rFonts w:ascii="Calibri" w:eastAsia="Calibri" w:hAnsi="Calibri" w:cs="Times New Roman"/>
        </w:rPr>
        <w:t xml:space="preserve">Address specific needs relating to the incident </w:t>
      </w:r>
    </w:p>
    <w:p w14:paraId="516135E7" w14:textId="61F4DB59" w:rsidR="00415BD2" w:rsidRPr="00415BD2" w:rsidRDefault="00415BD2" w:rsidP="00415BD2">
      <w:pPr>
        <w:numPr>
          <w:ilvl w:val="0"/>
          <w:numId w:val="49"/>
        </w:numPr>
        <w:contextualSpacing/>
      </w:pPr>
      <w:r w:rsidRPr="00DA3237">
        <w:rPr>
          <w:rFonts w:ascii="Calibri" w:eastAsia="Calibri" w:hAnsi="Calibri" w:cs="Times New Roman"/>
        </w:rPr>
        <w:t>Pr</w:t>
      </w:r>
      <w:r>
        <w:rPr>
          <w:rFonts w:ascii="Calibri" w:eastAsia="Calibri" w:hAnsi="Calibri" w:cs="Times New Roman"/>
        </w:rPr>
        <w:t>ovide</w:t>
      </w:r>
      <w:r w:rsidRPr="00415BD2">
        <w:t xml:space="preserve"> </w:t>
      </w:r>
      <w:r>
        <w:t>r</w:t>
      </w:r>
      <w:r w:rsidRPr="00415BD2">
        <w:t>ationale for priority groups (if applicable)</w:t>
      </w:r>
    </w:p>
    <w:p w14:paraId="195DCC3E" w14:textId="55A66702" w:rsidR="00415BD2" w:rsidRPr="00415BD2" w:rsidRDefault="00415BD2" w:rsidP="00415BD2">
      <w:pPr>
        <w:numPr>
          <w:ilvl w:val="0"/>
          <w:numId w:val="49"/>
        </w:numPr>
        <w:contextualSpacing/>
      </w:pPr>
      <w:r>
        <w:t>Provide notification of c</w:t>
      </w:r>
      <w:r w:rsidRPr="00415BD2">
        <w:t>ontraindications and possible adverse events from the vaccine</w:t>
      </w:r>
    </w:p>
    <w:p w14:paraId="3E711A86" w14:textId="1CB55105" w:rsidR="00415BD2" w:rsidRPr="00415BD2" w:rsidRDefault="009719A2" w:rsidP="00415BD2">
      <w:pPr>
        <w:numPr>
          <w:ilvl w:val="0"/>
          <w:numId w:val="49"/>
        </w:numPr>
        <w:contextualSpacing/>
      </w:pPr>
      <w:r>
        <w:t>Communicate l</w:t>
      </w:r>
      <w:r w:rsidR="00415BD2" w:rsidRPr="00415BD2">
        <w:t>ocation of vaccination clinics</w:t>
      </w:r>
    </w:p>
    <w:p w14:paraId="141362C5" w14:textId="77308E92" w:rsidR="00415BD2" w:rsidRPr="00415BD2" w:rsidRDefault="00415BD2" w:rsidP="00415BD2">
      <w:pPr>
        <w:numPr>
          <w:ilvl w:val="0"/>
          <w:numId w:val="49"/>
        </w:numPr>
        <w:contextualSpacing/>
      </w:pPr>
      <w:r>
        <w:lastRenderedPageBreak/>
        <w:t>Communicate m</w:t>
      </w:r>
      <w:r w:rsidRPr="00415BD2">
        <w:t xml:space="preserve">easures other than vaccine to prevent the spread of the disease </w:t>
      </w:r>
    </w:p>
    <w:p w14:paraId="78F25330" w14:textId="41AE9ED6" w:rsidR="00415BD2" w:rsidRDefault="00415BD2" w:rsidP="00415BD2">
      <w:pPr>
        <w:numPr>
          <w:ilvl w:val="0"/>
          <w:numId w:val="55"/>
        </w:numPr>
        <w:spacing w:after="240"/>
        <w:rPr>
          <w:rFonts w:ascii="Calibri" w:eastAsia="Calibri" w:hAnsi="Calibri" w:cs="Times New Roman"/>
        </w:rPr>
      </w:pPr>
      <w:r>
        <w:rPr>
          <w:rFonts w:ascii="Calibri" w:eastAsia="Calibri" w:hAnsi="Calibri" w:cs="Times New Roman"/>
        </w:rPr>
        <w:t>Pr</w:t>
      </w:r>
      <w:r w:rsidRPr="00DA3237">
        <w:rPr>
          <w:rFonts w:ascii="Calibri" w:eastAsia="Calibri" w:hAnsi="Calibri" w:cs="Times New Roman"/>
        </w:rPr>
        <w:t>ovide recommendations and request that specific actions be taken</w:t>
      </w:r>
    </w:p>
    <w:p w14:paraId="2892F709" w14:textId="77777777" w:rsidR="009719A2" w:rsidRPr="009719A2" w:rsidRDefault="009719A2" w:rsidP="009719A2">
      <w:pPr>
        <w:spacing w:after="240"/>
        <w:rPr>
          <w:rFonts w:ascii="Calibri" w:eastAsia="Calibri" w:hAnsi="Calibri" w:cs="Times New Roman"/>
        </w:rPr>
      </w:pPr>
      <w:r w:rsidRPr="009719A2">
        <w:rPr>
          <w:rFonts w:ascii="Calibri" w:eastAsia="Calibri" w:hAnsi="Calibri" w:cs="Times New Roman"/>
        </w:rPr>
        <w:t>External stakeholders may include but are not limited to the following public, non-profit, and private sectors:</w:t>
      </w:r>
    </w:p>
    <w:p w14:paraId="291BD6F5" w14:textId="77777777" w:rsidR="009719A2" w:rsidRPr="009719A2" w:rsidRDefault="009719A2" w:rsidP="00005155">
      <w:pPr>
        <w:numPr>
          <w:ilvl w:val="0"/>
          <w:numId w:val="99"/>
        </w:numPr>
        <w:spacing w:after="240"/>
        <w:contextualSpacing/>
        <w:rPr>
          <w:rFonts w:ascii="Calibri" w:eastAsia="Calibri" w:hAnsi="Calibri" w:cs="Times New Roman"/>
        </w:rPr>
      </w:pPr>
      <w:r w:rsidRPr="009719A2">
        <w:rPr>
          <w:rFonts w:ascii="Calibri" w:eastAsia="Calibri" w:hAnsi="Calibri" w:cs="Times New Roman"/>
        </w:rPr>
        <w:tab/>
      </w:r>
      <w:r w:rsidRPr="009719A2">
        <w:rPr>
          <w:rFonts w:ascii="Calibri" w:eastAsia="Calibri" w:hAnsi="Calibri" w:cs="Times New Roman"/>
        </w:rPr>
        <w:tab/>
        <w:t>Agriculture/animals</w:t>
      </w:r>
    </w:p>
    <w:p w14:paraId="2C1241CF" w14:textId="77777777" w:rsidR="009719A2" w:rsidRPr="009719A2" w:rsidRDefault="009719A2" w:rsidP="00005155">
      <w:pPr>
        <w:numPr>
          <w:ilvl w:val="0"/>
          <w:numId w:val="99"/>
        </w:numPr>
        <w:spacing w:after="240"/>
        <w:contextualSpacing/>
        <w:rPr>
          <w:rFonts w:ascii="Calibri" w:eastAsia="Calibri" w:hAnsi="Calibri" w:cs="Times New Roman"/>
        </w:rPr>
      </w:pPr>
      <w:r w:rsidRPr="009719A2">
        <w:rPr>
          <w:rFonts w:ascii="Calibri" w:eastAsia="Calibri" w:hAnsi="Calibri" w:cs="Times New Roman"/>
        </w:rPr>
        <w:t>Business/industry</w:t>
      </w:r>
    </w:p>
    <w:p w14:paraId="53735CA4" w14:textId="77777777" w:rsidR="009719A2" w:rsidRPr="009719A2" w:rsidRDefault="009719A2" w:rsidP="00005155">
      <w:pPr>
        <w:numPr>
          <w:ilvl w:val="0"/>
          <w:numId w:val="99"/>
        </w:numPr>
        <w:spacing w:after="240"/>
        <w:contextualSpacing/>
        <w:rPr>
          <w:rFonts w:ascii="Calibri" w:eastAsia="Calibri" w:hAnsi="Calibri" w:cs="Times New Roman"/>
        </w:rPr>
      </w:pPr>
      <w:r w:rsidRPr="009719A2">
        <w:rPr>
          <w:rFonts w:ascii="Calibri" w:eastAsia="Calibri" w:hAnsi="Calibri" w:cs="Times New Roman"/>
        </w:rPr>
        <w:t>Education</w:t>
      </w:r>
    </w:p>
    <w:p w14:paraId="0BB5F37F" w14:textId="77777777" w:rsidR="009719A2" w:rsidRPr="009719A2" w:rsidRDefault="009719A2" w:rsidP="00005155">
      <w:pPr>
        <w:numPr>
          <w:ilvl w:val="0"/>
          <w:numId w:val="99"/>
        </w:numPr>
        <w:spacing w:after="240"/>
        <w:contextualSpacing/>
        <w:rPr>
          <w:rFonts w:ascii="Calibri" w:eastAsia="Calibri" w:hAnsi="Calibri" w:cs="Times New Roman"/>
        </w:rPr>
      </w:pPr>
      <w:r w:rsidRPr="009719A2">
        <w:rPr>
          <w:rFonts w:ascii="Calibri" w:eastAsia="Calibri" w:hAnsi="Calibri" w:cs="Times New Roman"/>
        </w:rPr>
        <w:t>Environmental protection/public works</w:t>
      </w:r>
    </w:p>
    <w:p w14:paraId="5E4B0289" w14:textId="77777777" w:rsidR="009719A2" w:rsidRPr="009719A2" w:rsidRDefault="009719A2" w:rsidP="00005155">
      <w:pPr>
        <w:numPr>
          <w:ilvl w:val="0"/>
          <w:numId w:val="99"/>
        </w:numPr>
        <w:spacing w:after="240"/>
        <w:contextualSpacing/>
        <w:rPr>
          <w:rFonts w:ascii="Calibri" w:eastAsia="Calibri" w:hAnsi="Calibri" w:cs="Times New Roman"/>
        </w:rPr>
      </w:pPr>
      <w:r w:rsidRPr="009719A2">
        <w:rPr>
          <w:rFonts w:ascii="Calibri" w:eastAsia="Calibri" w:hAnsi="Calibri" w:cs="Times New Roman"/>
        </w:rPr>
        <w:t>Fire services</w:t>
      </w:r>
    </w:p>
    <w:p w14:paraId="7EAD32D5" w14:textId="77777777" w:rsidR="009719A2" w:rsidRPr="009719A2" w:rsidRDefault="009719A2" w:rsidP="00005155">
      <w:pPr>
        <w:numPr>
          <w:ilvl w:val="0"/>
          <w:numId w:val="99"/>
        </w:numPr>
        <w:spacing w:after="240"/>
        <w:contextualSpacing/>
        <w:rPr>
          <w:rFonts w:ascii="Calibri" w:eastAsia="Calibri" w:hAnsi="Calibri" w:cs="Times New Roman"/>
        </w:rPr>
      </w:pPr>
      <w:r w:rsidRPr="009719A2">
        <w:rPr>
          <w:rFonts w:ascii="Calibri" w:eastAsia="Calibri" w:hAnsi="Calibri" w:cs="Times New Roman"/>
        </w:rPr>
        <w:t>Law enforcement</w:t>
      </w:r>
    </w:p>
    <w:p w14:paraId="55841940" w14:textId="77777777" w:rsidR="009719A2" w:rsidRPr="009719A2" w:rsidRDefault="009719A2" w:rsidP="00005155">
      <w:pPr>
        <w:numPr>
          <w:ilvl w:val="0"/>
          <w:numId w:val="99"/>
        </w:numPr>
        <w:spacing w:after="240"/>
        <w:contextualSpacing/>
        <w:rPr>
          <w:rFonts w:ascii="Calibri" w:eastAsia="Calibri" w:hAnsi="Calibri" w:cs="Times New Roman"/>
        </w:rPr>
      </w:pPr>
      <w:r w:rsidRPr="009719A2">
        <w:rPr>
          <w:rFonts w:ascii="Calibri" w:eastAsia="Calibri" w:hAnsi="Calibri" w:cs="Times New Roman"/>
        </w:rPr>
        <w:t>Military services</w:t>
      </w:r>
    </w:p>
    <w:p w14:paraId="47C9A077" w14:textId="77777777" w:rsidR="009719A2" w:rsidRPr="009719A2" w:rsidRDefault="009719A2" w:rsidP="00005155">
      <w:pPr>
        <w:numPr>
          <w:ilvl w:val="0"/>
          <w:numId w:val="99"/>
        </w:numPr>
        <w:spacing w:after="240"/>
        <w:contextualSpacing/>
        <w:rPr>
          <w:rFonts w:ascii="Calibri" w:eastAsia="Calibri" w:hAnsi="Calibri" w:cs="Times New Roman"/>
        </w:rPr>
      </w:pPr>
      <w:r w:rsidRPr="009719A2">
        <w:rPr>
          <w:rFonts w:ascii="Calibri" w:eastAsia="Calibri" w:hAnsi="Calibri" w:cs="Times New Roman"/>
        </w:rPr>
        <w:t>Mortuary services</w:t>
      </w:r>
    </w:p>
    <w:p w14:paraId="1D1DC482" w14:textId="77777777" w:rsidR="009719A2" w:rsidRPr="009719A2" w:rsidRDefault="009719A2" w:rsidP="00005155">
      <w:pPr>
        <w:numPr>
          <w:ilvl w:val="0"/>
          <w:numId w:val="99"/>
        </w:numPr>
        <w:spacing w:after="240"/>
        <w:contextualSpacing/>
        <w:rPr>
          <w:rFonts w:ascii="Calibri" w:eastAsia="Calibri" w:hAnsi="Calibri" w:cs="Times New Roman"/>
        </w:rPr>
      </w:pPr>
      <w:r w:rsidRPr="009719A2">
        <w:rPr>
          <w:rFonts w:ascii="Calibri" w:eastAsia="Calibri" w:hAnsi="Calibri" w:cs="Times New Roman"/>
        </w:rPr>
        <w:t>Transportation</w:t>
      </w:r>
    </w:p>
    <w:p w14:paraId="4DE1CE27" w14:textId="77777777" w:rsidR="009719A2" w:rsidRDefault="009719A2" w:rsidP="009719A2">
      <w:pPr>
        <w:spacing w:after="0" w:line="240" w:lineRule="auto"/>
        <w:jc w:val="both"/>
        <w:rPr>
          <w:rFonts w:ascii="Calibri" w:eastAsia="Calibri" w:hAnsi="Calibri" w:cs="Times New Roman"/>
        </w:rPr>
      </w:pPr>
    </w:p>
    <w:p w14:paraId="1A086973" w14:textId="70B7B7B3" w:rsidR="009719A2" w:rsidRPr="009719A2" w:rsidRDefault="009719A2" w:rsidP="009719A2">
      <w:pPr>
        <w:spacing w:after="120"/>
        <w:jc w:val="both"/>
        <w:rPr>
          <w:rFonts w:ascii="Calibri" w:eastAsia="Calibri" w:hAnsi="Calibri" w:cs="Times New Roman"/>
        </w:rPr>
      </w:pPr>
      <w:r w:rsidRPr="009719A2">
        <w:rPr>
          <w:rFonts w:ascii="Calibri" w:eastAsia="Calibri" w:hAnsi="Calibri" w:cs="Times New Roman"/>
        </w:rPr>
        <w:t>Communication vehicles for external</w:t>
      </w:r>
      <w:r w:rsidR="006A7724">
        <w:rPr>
          <w:rFonts w:ascii="Calibri" w:eastAsia="Calibri" w:hAnsi="Calibri" w:cs="Times New Roman"/>
        </w:rPr>
        <w:t xml:space="preserve"> stakeholders</w:t>
      </w:r>
      <w:r w:rsidRPr="009719A2">
        <w:rPr>
          <w:rFonts w:ascii="Calibri" w:eastAsia="Calibri" w:hAnsi="Calibri" w:cs="Times New Roman"/>
        </w:rPr>
        <w:t xml:space="preserve"> include, but are not limited to:</w:t>
      </w:r>
    </w:p>
    <w:p w14:paraId="4FC2196C" w14:textId="77777777" w:rsidR="009719A2" w:rsidRPr="009719A2" w:rsidRDefault="009719A2" w:rsidP="009719A2">
      <w:pPr>
        <w:numPr>
          <w:ilvl w:val="0"/>
          <w:numId w:val="56"/>
        </w:numPr>
        <w:spacing w:after="0"/>
        <w:rPr>
          <w:rFonts w:ascii="Calibri" w:eastAsia="Calibri" w:hAnsi="Calibri" w:cs="Times New Roman"/>
        </w:rPr>
      </w:pPr>
      <w:r w:rsidRPr="009719A2">
        <w:rPr>
          <w:rFonts w:ascii="Calibri" w:eastAsia="Calibri" w:hAnsi="Calibri" w:cs="Times New Roman"/>
        </w:rPr>
        <w:t>HHAN groups</w:t>
      </w:r>
    </w:p>
    <w:p w14:paraId="64562A5C" w14:textId="77777777" w:rsidR="009719A2" w:rsidRPr="009719A2" w:rsidRDefault="009719A2" w:rsidP="009719A2">
      <w:pPr>
        <w:numPr>
          <w:ilvl w:val="0"/>
          <w:numId w:val="56"/>
        </w:numPr>
        <w:spacing w:after="0"/>
        <w:rPr>
          <w:rFonts w:ascii="Calibri" w:eastAsia="Calibri" w:hAnsi="Calibri" w:cs="Times New Roman"/>
        </w:rPr>
      </w:pPr>
      <w:r w:rsidRPr="009719A2">
        <w:rPr>
          <w:rFonts w:ascii="Calibri" w:eastAsia="Calibri" w:hAnsi="Calibri" w:cs="Times New Roman"/>
        </w:rPr>
        <w:t>Internet conferencing and teleconferencing</w:t>
      </w:r>
    </w:p>
    <w:p w14:paraId="58A3FB5D" w14:textId="77777777" w:rsidR="009719A2" w:rsidRPr="009719A2" w:rsidRDefault="009719A2" w:rsidP="009719A2">
      <w:pPr>
        <w:numPr>
          <w:ilvl w:val="0"/>
          <w:numId w:val="56"/>
        </w:numPr>
        <w:spacing w:after="0"/>
        <w:rPr>
          <w:rFonts w:ascii="Calibri" w:eastAsia="Calibri" w:hAnsi="Calibri" w:cs="Times New Roman"/>
        </w:rPr>
      </w:pPr>
      <w:r w:rsidRPr="009719A2">
        <w:rPr>
          <w:rFonts w:ascii="Calibri" w:eastAsia="Calibri" w:hAnsi="Calibri" w:cs="Times New Roman"/>
        </w:rPr>
        <w:t>One-to-one phone contact</w:t>
      </w:r>
    </w:p>
    <w:p w14:paraId="25EF06DD" w14:textId="77777777" w:rsidR="009719A2" w:rsidRPr="009719A2" w:rsidRDefault="009719A2" w:rsidP="009719A2">
      <w:pPr>
        <w:numPr>
          <w:ilvl w:val="0"/>
          <w:numId w:val="56"/>
        </w:numPr>
        <w:spacing w:after="0"/>
        <w:rPr>
          <w:rFonts w:ascii="Calibri" w:eastAsia="Calibri" w:hAnsi="Calibri" w:cs="Times New Roman"/>
        </w:rPr>
      </w:pPr>
      <w:r w:rsidRPr="009719A2">
        <w:rPr>
          <w:rFonts w:ascii="Calibri" w:eastAsia="Calibri" w:hAnsi="Calibri" w:cs="Times New Roman"/>
        </w:rPr>
        <w:t>Group and individual e-mail messages</w:t>
      </w:r>
    </w:p>
    <w:p w14:paraId="5DE70B39" w14:textId="77777777" w:rsidR="009719A2" w:rsidRPr="009719A2" w:rsidRDefault="009719A2" w:rsidP="009719A2">
      <w:pPr>
        <w:numPr>
          <w:ilvl w:val="0"/>
          <w:numId w:val="56"/>
        </w:numPr>
        <w:spacing w:after="0"/>
        <w:rPr>
          <w:rFonts w:ascii="Calibri" w:eastAsia="Calibri" w:hAnsi="Calibri" w:cs="Times New Roman"/>
        </w:rPr>
      </w:pPr>
      <w:r w:rsidRPr="009719A2">
        <w:rPr>
          <w:rFonts w:ascii="Calibri" w:eastAsia="Calibri" w:hAnsi="Calibri" w:cs="Times New Roman"/>
        </w:rPr>
        <w:t>Meetings</w:t>
      </w:r>
    </w:p>
    <w:p w14:paraId="03A679BB" w14:textId="77777777" w:rsidR="009719A2" w:rsidRPr="009719A2" w:rsidRDefault="009719A2" w:rsidP="009719A2">
      <w:pPr>
        <w:numPr>
          <w:ilvl w:val="0"/>
          <w:numId w:val="56"/>
        </w:numPr>
        <w:spacing w:after="0"/>
        <w:rPr>
          <w:rFonts w:ascii="Calibri" w:eastAsia="Calibri" w:hAnsi="Calibri" w:cs="Times New Roman"/>
        </w:rPr>
      </w:pPr>
      <w:r w:rsidRPr="009719A2">
        <w:rPr>
          <w:rFonts w:ascii="Calibri" w:eastAsia="Calibri" w:hAnsi="Calibri" w:cs="Times New Roman"/>
        </w:rPr>
        <w:t>WebEOC</w:t>
      </w:r>
    </w:p>
    <w:p w14:paraId="24989D41" w14:textId="77777777" w:rsidR="009719A2" w:rsidRPr="009719A2" w:rsidRDefault="009719A2" w:rsidP="009719A2">
      <w:pPr>
        <w:numPr>
          <w:ilvl w:val="0"/>
          <w:numId w:val="56"/>
        </w:numPr>
        <w:spacing w:after="240"/>
        <w:contextualSpacing/>
        <w:rPr>
          <w:rFonts w:ascii="Calibri" w:eastAsia="Calibri" w:hAnsi="Calibri" w:cs="Times New Roman"/>
        </w:rPr>
      </w:pPr>
      <w:proofErr w:type="spellStart"/>
      <w:r w:rsidRPr="009719A2">
        <w:rPr>
          <w:rFonts w:ascii="Calibri" w:eastAsia="Calibri" w:hAnsi="Calibri" w:cs="Times New Roman"/>
        </w:rPr>
        <w:t>Listservs</w:t>
      </w:r>
      <w:proofErr w:type="spellEnd"/>
    </w:p>
    <w:p w14:paraId="38AA3CC3" w14:textId="77777777" w:rsidR="009719A2" w:rsidRDefault="009719A2" w:rsidP="009719A2">
      <w:pPr>
        <w:spacing w:after="0" w:line="240" w:lineRule="auto"/>
        <w:rPr>
          <w:rFonts w:ascii="Calibri" w:eastAsia="Calibri" w:hAnsi="Calibri" w:cs="Times New Roman"/>
        </w:rPr>
      </w:pPr>
    </w:p>
    <w:p w14:paraId="0DD5816F" w14:textId="77777777" w:rsidR="009719A2" w:rsidRPr="009719A2" w:rsidRDefault="009719A2" w:rsidP="009719A2">
      <w:pPr>
        <w:spacing w:after="240"/>
        <w:rPr>
          <w:rFonts w:ascii="Calibri" w:eastAsia="Calibri" w:hAnsi="Calibri" w:cs="Times New Roman"/>
        </w:rPr>
      </w:pPr>
      <w:r w:rsidRPr="009719A2">
        <w:rPr>
          <w:rFonts w:ascii="Calibri" w:eastAsia="Calibri" w:hAnsi="Calibri" w:cs="Times New Roman"/>
        </w:rPr>
        <w:t>Timely public information during an emergency can calm people’s fears, manage their expectations, and help persuade them to make important health-related decisions to help ensure their safety. Using health literacy standards to create materials intended for the general public, MDPH may provide information on any of the following regarding an emerging infectious disease incident:</w:t>
      </w:r>
    </w:p>
    <w:p w14:paraId="52D3495A" w14:textId="77777777" w:rsidR="009719A2" w:rsidRPr="009719A2" w:rsidRDefault="009719A2" w:rsidP="00005155">
      <w:pPr>
        <w:numPr>
          <w:ilvl w:val="0"/>
          <w:numId w:val="100"/>
        </w:numPr>
        <w:spacing w:after="240"/>
        <w:contextualSpacing/>
        <w:rPr>
          <w:rFonts w:ascii="Calibri" w:eastAsia="Calibri" w:hAnsi="Calibri" w:cs="Times New Roman"/>
        </w:rPr>
      </w:pPr>
      <w:r w:rsidRPr="009719A2">
        <w:rPr>
          <w:rFonts w:ascii="Calibri" w:eastAsia="Calibri" w:hAnsi="Calibri" w:cs="Times New Roman"/>
        </w:rPr>
        <w:t>Information about the disease (fact sheet)</w:t>
      </w:r>
    </w:p>
    <w:p w14:paraId="0EB1ED39" w14:textId="77777777" w:rsidR="009719A2" w:rsidRPr="009719A2" w:rsidRDefault="009719A2" w:rsidP="00005155">
      <w:pPr>
        <w:numPr>
          <w:ilvl w:val="0"/>
          <w:numId w:val="100"/>
        </w:numPr>
        <w:spacing w:after="240"/>
        <w:contextualSpacing/>
        <w:rPr>
          <w:rFonts w:ascii="Calibri" w:eastAsia="Calibri" w:hAnsi="Calibri" w:cs="Times New Roman"/>
        </w:rPr>
      </w:pPr>
      <w:r w:rsidRPr="009719A2">
        <w:rPr>
          <w:rFonts w:ascii="Calibri" w:eastAsia="Calibri" w:hAnsi="Calibri" w:cs="Times New Roman"/>
        </w:rPr>
        <w:t>Answering FAQs such as:</w:t>
      </w:r>
    </w:p>
    <w:p w14:paraId="5AE649EB" w14:textId="77777777" w:rsidR="009719A2" w:rsidRPr="009719A2" w:rsidRDefault="009719A2" w:rsidP="00005155">
      <w:pPr>
        <w:numPr>
          <w:ilvl w:val="1"/>
          <w:numId w:val="100"/>
        </w:numPr>
        <w:spacing w:after="240"/>
        <w:contextualSpacing/>
        <w:rPr>
          <w:rFonts w:ascii="Calibri" w:eastAsia="Calibri" w:hAnsi="Calibri" w:cs="Times New Roman"/>
        </w:rPr>
      </w:pPr>
      <w:r w:rsidRPr="009719A2">
        <w:rPr>
          <w:rFonts w:ascii="Calibri" w:eastAsia="Calibri" w:hAnsi="Calibri" w:cs="Times New Roman"/>
        </w:rPr>
        <w:t>Who is at risk?</w:t>
      </w:r>
    </w:p>
    <w:p w14:paraId="4FAEAEA3" w14:textId="77777777" w:rsidR="009719A2" w:rsidRPr="009719A2" w:rsidRDefault="009719A2" w:rsidP="00005155">
      <w:pPr>
        <w:numPr>
          <w:ilvl w:val="1"/>
          <w:numId w:val="100"/>
        </w:numPr>
        <w:spacing w:after="240"/>
        <w:contextualSpacing/>
        <w:rPr>
          <w:rFonts w:ascii="Calibri" w:eastAsia="Calibri" w:hAnsi="Calibri" w:cs="Times New Roman"/>
        </w:rPr>
      </w:pPr>
      <w:r w:rsidRPr="009719A2">
        <w:rPr>
          <w:rFonts w:ascii="Calibri" w:eastAsia="Calibri" w:hAnsi="Calibri" w:cs="Times New Roman"/>
        </w:rPr>
        <w:t>What is a close contact?</w:t>
      </w:r>
    </w:p>
    <w:p w14:paraId="7B6E7D20" w14:textId="77777777" w:rsidR="009719A2" w:rsidRPr="009719A2" w:rsidRDefault="009719A2" w:rsidP="00005155">
      <w:pPr>
        <w:numPr>
          <w:ilvl w:val="1"/>
          <w:numId w:val="100"/>
        </w:numPr>
        <w:spacing w:after="240"/>
        <w:contextualSpacing/>
        <w:rPr>
          <w:rFonts w:ascii="Calibri" w:eastAsia="Calibri" w:hAnsi="Calibri" w:cs="Times New Roman"/>
        </w:rPr>
      </w:pPr>
      <w:r w:rsidRPr="009719A2">
        <w:rPr>
          <w:rFonts w:ascii="Calibri" w:eastAsia="Calibri" w:hAnsi="Calibri" w:cs="Times New Roman"/>
        </w:rPr>
        <w:t>What is a confirmed case?</w:t>
      </w:r>
    </w:p>
    <w:p w14:paraId="58C333A1" w14:textId="77777777" w:rsidR="009719A2" w:rsidRPr="009719A2" w:rsidRDefault="009719A2" w:rsidP="00005155">
      <w:pPr>
        <w:numPr>
          <w:ilvl w:val="1"/>
          <w:numId w:val="100"/>
        </w:numPr>
        <w:spacing w:after="240"/>
        <w:contextualSpacing/>
        <w:rPr>
          <w:rFonts w:ascii="Calibri" w:eastAsia="Calibri" w:hAnsi="Calibri" w:cs="Times New Roman"/>
        </w:rPr>
      </w:pPr>
      <w:r w:rsidRPr="009719A2">
        <w:rPr>
          <w:rFonts w:ascii="Calibri" w:eastAsia="Calibri" w:hAnsi="Calibri" w:cs="Times New Roman"/>
        </w:rPr>
        <w:t>How is it spread?</w:t>
      </w:r>
    </w:p>
    <w:p w14:paraId="53A07CD5" w14:textId="77777777" w:rsidR="009719A2" w:rsidRPr="009719A2" w:rsidRDefault="009719A2" w:rsidP="00005155">
      <w:pPr>
        <w:numPr>
          <w:ilvl w:val="1"/>
          <w:numId w:val="100"/>
        </w:numPr>
        <w:spacing w:after="240"/>
        <w:contextualSpacing/>
        <w:rPr>
          <w:rFonts w:ascii="Calibri" w:eastAsia="Calibri" w:hAnsi="Calibri" w:cs="Times New Roman"/>
        </w:rPr>
      </w:pPr>
      <w:r w:rsidRPr="009719A2">
        <w:rPr>
          <w:rFonts w:ascii="Calibri" w:eastAsia="Calibri" w:hAnsi="Calibri" w:cs="Times New Roman"/>
        </w:rPr>
        <w:t>What are the symptoms?</w:t>
      </w:r>
    </w:p>
    <w:p w14:paraId="4EE1CCF2" w14:textId="77777777" w:rsidR="009719A2" w:rsidRPr="009719A2" w:rsidRDefault="009719A2" w:rsidP="00005155">
      <w:pPr>
        <w:numPr>
          <w:ilvl w:val="1"/>
          <w:numId w:val="100"/>
        </w:numPr>
        <w:spacing w:after="240"/>
        <w:contextualSpacing/>
        <w:rPr>
          <w:rFonts w:ascii="Calibri" w:eastAsia="Calibri" w:hAnsi="Calibri" w:cs="Times New Roman"/>
        </w:rPr>
      </w:pPr>
      <w:r w:rsidRPr="009719A2">
        <w:rPr>
          <w:rFonts w:ascii="Calibri" w:eastAsia="Calibri" w:hAnsi="Calibri" w:cs="Times New Roman"/>
        </w:rPr>
        <w:t>How can people protect themselves?</w:t>
      </w:r>
    </w:p>
    <w:p w14:paraId="47804A63" w14:textId="77777777" w:rsidR="009719A2" w:rsidRPr="009719A2" w:rsidRDefault="009719A2" w:rsidP="00005155">
      <w:pPr>
        <w:numPr>
          <w:ilvl w:val="1"/>
          <w:numId w:val="100"/>
        </w:numPr>
        <w:spacing w:after="240"/>
        <w:contextualSpacing/>
        <w:rPr>
          <w:rFonts w:ascii="Calibri" w:eastAsia="Calibri" w:hAnsi="Calibri" w:cs="Times New Roman"/>
        </w:rPr>
      </w:pPr>
      <w:r w:rsidRPr="009719A2">
        <w:rPr>
          <w:rFonts w:ascii="Calibri" w:eastAsia="Calibri" w:hAnsi="Calibri" w:cs="Times New Roman"/>
        </w:rPr>
        <w:t>What is the treatment?</w:t>
      </w:r>
    </w:p>
    <w:p w14:paraId="1FB29614" w14:textId="77777777" w:rsidR="009719A2" w:rsidRPr="009719A2" w:rsidRDefault="009719A2" w:rsidP="00005155">
      <w:pPr>
        <w:numPr>
          <w:ilvl w:val="1"/>
          <w:numId w:val="100"/>
        </w:numPr>
        <w:spacing w:after="240"/>
        <w:contextualSpacing/>
        <w:rPr>
          <w:rFonts w:ascii="Calibri" w:eastAsia="Calibri" w:hAnsi="Calibri" w:cs="Times New Roman"/>
        </w:rPr>
      </w:pPr>
      <w:r w:rsidRPr="009719A2">
        <w:rPr>
          <w:rFonts w:ascii="Calibri" w:eastAsia="Calibri" w:hAnsi="Calibri" w:cs="Times New Roman"/>
        </w:rPr>
        <w:t>Are travel advisories recommended?</w:t>
      </w:r>
    </w:p>
    <w:p w14:paraId="21343623" w14:textId="77777777" w:rsidR="009719A2" w:rsidRPr="009719A2" w:rsidRDefault="009719A2" w:rsidP="00005155">
      <w:pPr>
        <w:numPr>
          <w:ilvl w:val="1"/>
          <w:numId w:val="100"/>
        </w:numPr>
        <w:spacing w:after="240"/>
        <w:contextualSpacing/>
        <w:rPr>
          <w:rFonts w:ascii="Calibri" w:eastAsia="Calibri" w:hAnsi="Calibri" w:cs="Times New Roman"/>
        </w:rPr>
      </w:pPr>
      <w:r w:rsidRPr="009719A2">
        <w:rPr>
          <w:rFonts w:ascii="Calibri" w:eastAsia="Calibri" w:hAnsi="Calibri" w:cs="Times New Roman"/>
        </w:rPr>
        <w:t>Where can I get more/updated information?</w:t>
      </w:r>
    </w:p>
    <w:p w14:paraId="6B0DB162" w14:textId="154DCE93" w:rsidR="009719A2" w:rsidRPr="009719A2" w:rsidRDefault="009719A2" w:rsidP="006A7724">
      <w:pPr>
        <w:spacing w:after="240"/>
        <w:rPr>
          <w:rFonts w:ascii="Calibri" w:eastAsia="Calibri" w:hAnsi="Calibri" w:cs="Times New Roman"/>
        </w:rPr>
      </w:pPr>
      <w:r w:rsidRPr="009719A2">
        <w:rPr>
          <w:rFonts w:ascii="Calibri" w:eastAsia="Calibri" w:hAnsi="Calibri" w:cs="Times New Roman"/>
        </w:rPr>
        <w:lastRenderedPageBreak/>
        <w:t xml:space="preserve">DPH is committed </w:t>
      </w:r>
      <w:r w:rsidR="007C153E">
        <w:rPr>
          <w:rFonts w:ascii="Calibri" w:eastAsia="Calibri" w:hAnsi="Calibri" w:cs="Times New Roman"/>
        </w:rPr>
        <w:t xml:space="preserve">to </w:t>
      </w:r>
      <w:r w:rsidRPr="009719A2">
        <w:rPr>
          <w:rFonts w:ascii="Calibri" w:eastAsia="Calibri" w:hAnsi="Calibri" w:cs="Times New Roman"/>
        </w:rPr>
        <w:t>reducing health disparities by setting standards for materials development that require the use of plain language, relevant visuals, and effective layout and design to ensure information is accessible to the target audience, especially those with limited language proficiency.</w:t>
      </w:r>
    </w:p>
    <w:p w14:paraId="075AE02F" w14:textId="77777777" w:rsidR="009719A2" w:rsidRPr="009719A2" w:rsidRDefault="009719A2" w:rsidP="006A7724">
      <w:pPr>
        <w:spacing w:after="0" w:line="240" w:lineRule="auto"/>
        <w:rPr>
          <w:rFonts w:ascii="Calibri" w:eastAsia="Calibri" w:hAnsi="Calibri" w:cs="Times New Roman"/>
        </w:rPr>
      </w:pPr>
      <w:r w:rsidRPr="009719A2">
        <w:rPr>
          <w:rFonts w:ascii="Calibri" w:eastAsia="Calibri" w:hAnsi="Calibri" w:cs="Times New Roman"/>
        </w:rPr>
        <w:t>The following health literacy standards should inform the development of all materials for the public including but not limited to: consent forms, regulations, brochures, fact sheets, and other health education information, reports and other publications.</w:t>
      </w:r>
    </w:p>
    <w:p w14:paraId="44572DFC" w14:textId="77777777" w:rsidR="009719A2" w:rsidRPr="006A7724" w:rsidRDefault="009719A2" w:rsidP="00005155">
      <w:pPr>
        <w:numPr>
          <w:ilvl w:val="0"/>
          <w:numId w:val="102"/>
        </w:numPr>
        <w:spacing w:after="0" w:line="240" w:lineRule="auto"/>
        <w:contextualSpacing/>
        <w:rPr>
          <w:rFonts w:ascii="Calibri" w:eastAsia="Calibri" w:hAnsi="Calibri" w:cs="Times New Roman"/>
        </w:rPr>
      </w:pPr>
      <w:r w:rsidRPr="006A7724">
        <w:rPr>
          <w:rFonts w:ascii="Calibri" w:eastAsia="Calibri" w:hAnsi="Calibri" w:cs="Times New Roman"/>
        </w:rPr>
        <w:t>Plan for clear health communication</w:t>
      </w:r>
    </w:p>
    <w:p w14:paraId="5F8BFE40" w14:textId="77777777" w:rsidR="009719A2" w:rsidRPr="006A7724" w:rsidRDefault="009719A2" w:rsidP="00005155">
      <w:pPr>
        <w:numPr>
          <w:ilvl w:val="0"/>
          <w:numId w:val="101"/>
        </w:numPr>
        <w:spacing w:after="0" w:line="240" w:lineRule="auto"/>
        <w:contextualSpacing/>
        <w:rPr>
          <w:rFonts w:ascii="Calibri" w:eastAsia="Calibri" w:hAnsi="Calibri" w:cs="Times New Roman"/>
        </w:rPr>
      </w:pPr>
      <w:r w:rsidRPr="006A7724">
        <w:rPr>
          <w:rFonts w:ascii="Calibri" w:eastAsia="Calibri" w:hAnsi="Calibri" w:cs="Times New Roman"/>
        </w:rPr>
        <w:t>Use plain language</w:t>
      </w:r>
    </w:p>
    <w:p w14:paraId="18A5D80F" w14:textId="77777777" w:rsidR="009719A2" w:rsidRPr="006A7724" w:rsidRDefault="009719A2" w:rsidP="00005155">
      <w:pPr>
        <w:numPr>
          <w:ilvl w:val="0"/>
          <w:numId w:val="101"/>
        </w:numPr>
        <w:spacing w:after="0" w:line="240" w:lineRule="auto"/>
        <w:contextualSpacing/>
        <w:rPr>
          <w:rFonts w:ascii="Calibri" w:eastAsia="Calibri" w:hAnsi="Calibri" w:cs="Times New Roman"/>
        </w:rPr>
      </w:pPr>
      <w:r w:rsidRPr="006A7724">
        <w:rPr>
          <w:rFonts w:ascii="Calibri" w:eastAsia="Calibri" w:hAnsi="Calibri" w:cs="Times New Roman"/>
        </w:rPr>
        <w:t>Make messages easier-to-read using layout and design</w:t>
      </w:r>
    </w:p>
    <w:p w14:paraId="2D5E8620" w14:textId="77777777" w:rsidR="009719A2" w:rsidRPr="006A7724" w:rsidRDefault="009719A2" w:rsidP="00005155">
      <w:pPr>
        <w:numPr>
          <w:ilvl w:val="0"/>
          <w:numId w:val="101"/>
        </w:numPr>
        <w:spacing w:after="0" w:line="240" w:lineRule="auto"/>
        <w:contextualSpacing/>
        <w:rPr>
          <w:rFonts w:ascii="Calibri" w:eastAsia="Calibri" w:hAnsi="Calibri" w:cs="Times New Roman"/>
        </w:rPr>
      </w:pPr>
      <w:r w:rsidRPr="006A7724">
        <w:rPr>
          <w:rFonts w:ascii="Calibri" w:eastAsia="Calibri" w:hAnsi="Calibri" w:cs="Times New Roman"/>
        </w:rPr>
        <w:t>Use visuals to help communicate messages</w:t>
      </w:r>
    </w:p>
    <w:p w14:paraId="1E4C48D4" w14:textId="77777777" w:rsidR="009719A2" w:rsidRPr="006A7724" w:rsidRDefault="009719A2" w:rsidP="00005155">
      <w:pPr>
        <w:numPr>
          <w:ilvl w:val="0"/>
          <w:numId w:val="101"/>
        </w:numPr>
        <w:spacing w:after="0" w:line="240" w:lineRule="auto"/>
        <w:contextualSpacing/>
        <w:rPr>
          <w:rFonts w:ascii="Calibri" w:eastAsia="Calibri" w:hAnsi="Calibri" w:cs="Times New Roman"/>
        </w:rPr>
      </w:pPr>
      <w:r w:rsidRPr="006A7724">
        <w:rPr>
          <w:rFonts w:ascii="Calibri" w:eastAsia="Calibri" w:hAnsi="Calibri" w:cs="Times New Roman"/>
        </w:rPr>
        <w:t>Follow CLAS and other translation guidelines</w:t>
      </w:r>
    </w:p>
    <w:p w14:paraId="6F92A044" w14:textId="77777777" w:rsidR="009719A2" w:rsidRPr="009719A2" w:rsidRDefault="009719A2" w:rsidP="009719A2">
      <w:pPr>
        <w:spacing w:after="0" w:line="240" w:lineRule="auto"/>
        <w:rPr>
          <w:rFonts w:ascii="Calibri" w:eastAsia="Calibri" w:hAnsi="Calibri" w:cs="Times New Roman"/>
        </w:rPr>
      </w:pPr>
    </w:p>
    <w:p w14:paraId="671B33D5" w14:textId="77777777" w:rsidR="009719A2" w:rsidRPr="009719A2" w:rsidRDefault="009719A2" w:rsidP="006A7724">
      <w:pPr>
        <w:spacing w:after="240"/>
        <w:rPr>
          <w:rFonts w:ascii="Calibri" w:eastAsia="Calibri" w:hAnsi="Calibri" w:cs="Times New Roman"/>
        </w:rPr>
      </w:pPr>
      <w:r w:rsidRPr="009719A2">
        <w:rPr>
          <w:rFonts w:ascii="Calibri" w:eastAsia="Calibri" w:hAnsi="Calibri" w:cs="Times New Roman"/>
        </w:rPr>
        <w:t xml:space="preserve">Depending on the scope of the emergency and the populations affected, Communications typically will translate public information materials into the five most commonly spoken languages other than English in the Commonwealth: Spanish, Portuguese, Haitian Creole, Vietnamese, and Chinese. During more severe outbreaks, that list of translated languages may expand to include the next top five languages spoken in the Commonwealth. </w:t>
      </w:r>
    </w:p>
    <w:p w14:paraId="19A05836" w14:textId="77777777" w:rsidR="009719A2" w:rsidRPr="009719A2" w:rsidRDefault="009719A2" w:rsidP="006A7724">
      <w:pPr>
        <w:spacing w:after="240"/>
        <w:rPr>
          <w:rFonts w:ascii="Calibri" w:eastAsia="Calibri" w:hAnsi="Calibri" w:cs="Times New Roman"/>
        </w:rPr>
      </w:pPr>
      <w:r w:rsidRPr="009719A2">
        <w:rPr>
          <w:rFonts w:ascii="Calibri" w:eastAsia="Calibri" w:hAnsi="Calibri" w:cs="Times New Roman"/>
        </w:rPr>
        <w:t>Additional consultation with the Office of Health Equity and other subject matter experts may be needed to ensure that information can be provided in culturally and linguistically appropriate formats and is accessible to individuals with who are blind, partially sighted, deaf or hard of hearing.</w:t>
      </w:r>
    </w:p>
    <w:p w14:paraId="2EBFEB5A" w14:textId="77777777" w:rsidR="009719A2" w:rsidRDefault="009719A2" w:rsidP="009719A2">
      <w:pPr>
        <w:spacing w:after="120"/>
        <w:jc w:val="both"/>
        <w:rPr>
          <w:rFonts w:ascii="Calibri" w:eastAsia="Calibri" w:hAnsi="Calibri" w:cs="Times New Roman"/>
        </w:rPr>
      </w:pPr>
      <w:r w:rsidRPr="009719A2">
        <w:rPr>
          <w:rFonts w:ascii="Calibri" w:eastAsia="Calibri" w:hAnsi="Calibri" w:cs="Times New Roman"/>
        </w:rPr>
        <w:t>Once vetted, public information materials will be posted to the MDPH website (which may include the creation of a page/s created specifically for the disease). Communications also will utilize its Twitter account to push information out and direct people to resources for further information (either state or federal resources). The Department may also monitor its own and associated social media accounts which serve as a feedback mechanism with the public to determine what issues or concerns they continue to have, rumors, inaccuracies, or misinformation that may be circulating, and help inform additional public information materials that the Department may create and distribute.</w:t>
      </w:r>
    </w:p>
    <w:p w14:paraId="1263AB75" w14:textId="77777777" w:rsidR="009719A2" w:rsidRDefault="009719A2" w:rsidP="009719A2">
      <w:pPr>
        <w:spacing w:after="0" w:line="240" w:lineRule="auto"/>
        <w:jc w:val="both"/>
        <w:rPr>
          <w:rFonts w:ascii="Calibri" w:eastAsia="Calibri" w:hAnsi="Calibri" w:cs="Times New Roman"/>
        </w:rPr>
      </w:pPr>
    </w:p>
    <w:p w14:paraId="09425ED3" w14:textId="4AC59457" w:rsidR="00415BD2" w:rsidRPr="00415BD2" w:rsidRDefault="00415BD2" w:rsidP="009719A2">
      <w:pPr>
        <w:spacing w:after="120"/>
        <w:jc w:val="both"/>
        <w:rPr>
          <w:rFonts w:ascii="Calibri" w:eastAsia="Calibri" w:hAnsi="Calibri" w:cs="Times New Roman"/>
        </w:rPr>
      </w:pPr>
      <w:r w:rsidRPr="00415BD2">
        <w:rPr>
          <w:rFonts w:ascii="Calibri" w:eastAsia="Calibri" w:hAnsi="Calibri" w:cs="Times New Roman"/>
        </w:rPr>
        <w:t>When formal mechanisms are used to develop and disseminate messages</w:t>
      </w:r>
      <w:r w:rsidR="00BE6747">
        <w:rPr>
          <w:rFonts w:ascii="Calibri" w:eastAsia="Calibri" w:hAnsi="Calibri" w:cs="Times New Roman"/>
        </w:rPr>
        <w:t>, guidance or</w:t>
      </w:r>
      <w:r w:rsidRPr="00415BD2">
        <w:rPr>
          <w:rFonts w:ascii="Calibri" w:eastAsia="Calibri" w:hAnsi="Calibri" w:cs="Times New Roman"/>
        </w:rPr>
        <w:t xml:space="preserve"> information</w:t>
      </w:r>
      <w:r w:rsidR="00657723">
        <w:rPr>
          <w:rFonts w:ascii="Calibri" w:eastAsia="Calibri" w:hAnsi="Calibri" w:cs="Times New Roman"/>
        </w:rPr>
        <w:t xml:space="preserve"> (as noted above)</w:t>
      </w:r>
      <w:r w:rsidRPr="00415BD2">
        <w:rPr>
          <w:rFonts w:ascii="Calibri" w:eastAsia="Calibri" w:hAnsi="Calibri" w:cs="Times New Roman"/>
        </w:rPr>
        <w:t xml:space="preserve"> to </w:t>
      </w:r>
      <w:r w:rsidR="009719A2">
        <w:rPr>
          <w:rFonts w:ascii="Calibri" w:eastAsia="Calibri" w:hAnsi="Calibri" w:cs="Times New Roman"/>
        </w:rPr>
        <w:t>external stakeholders or the general public</w:t>
      </w:r>
      <w:r w:rsidRPr="00415BD2">
        <w:rPr>
          <w:rFonts w:ascii="Calibri" w:eastAsia="Calibri" w:hAnsi="Calibri" w:cs="Times New Roman"/>
        </w:rPr>
        <w:t>, the process is as follows:</w:t>
      </w:r>
    </w:p>
    <w:p w14:paraId="523C7CD9" w14:textId="07D533DE" w:rsidR="00415BD2" w:rsidRPr="00415BD2" w:rsidRDefault="00415BD2" w:rsidP="0005080A">
      <w:pPr>
        <w:numPr>
          <w:ilvl w:val="0"/>
          <w:numId w:val="57"/>
        </w:numPr>
        <w:spacing w:after="0"/>
        <w:jc w:val="both"/>
        <w:rPr>
          <w:rFonts w:ascii="Calibri" w:eastAsia="Calibri" w:hAnsi="Calibri" w:cs="Times New Roman"/>
        </w:rPr>
      </w:pPr>
      <w:r w:rsidRPr="00415BD2">
        <w:rPr>
          <w:rFonts w:ascii="Calibri" w:eastAsia="Calibri" w:hAnsi="Calibri" w:cs="Times New Roman"/>
        </w:rPr>
        <w:t xml:space="preserve">The Planning Section identifies target audiences for communication, based on input or requests from the Planning Chief, the MDPH PIO, or </w:t>
      </w:r>
      <w:r w:rsidR="00D94DC7">
        <w:rPr>
          <w:rFonts w:ascii="Calibri" w:eastAsia="Calibri" w:hAnsi="Calibri" w:cs="Times New Roman"/>
        </w:rPr>
        <w:t>division</w:t>
      </w:r>
      <w:r w:rsidRPr="00415BD2">
        <w:rPr>
          <w:rFonts w:ascii="Calibri" w:eastAsia="Calibri" w:hAnsi="Calibri" w:cs="Times New Roman"/>
        </w:rPr>
        <w:t xml:space="preserve"> staff. Relevant lists are available through the OPEM Duty Officer </w:t>
      </w:r>
      <w:r>
        <w:rPr>
          <w:rFonts w:ascii="Calibri" w:eastAsia="Calibri" w:hAnsi="Calibri" w:cs="Times New Roman"/>
        </w:rPr>
        <w:t>HHAN page</w:t>
      </w:r>
    </w:p>
    <w:p w14:paraId="758E7382" w14:textId="77777777" w:rsidR="00415BD2" w:rsidRPr="00415BD2" w:rsidRDefault="00415BD2" w:rsidP="0005080A">
      <w:pPr>
        <w:numPr>
          <w:ilvl w:val="0"/>
          <w:numId w:val="57"/>
        </w:numPr>
        <w:spacing w:after="0"/>
        <w:jc w:val="both"/>
        <w:rPr>
          <w:rFonts w:ascii="Calibri" w:eastAsia="Calibri" w:hAnsi="Calibri" w:cs="Times New Roman"/>
        </w:rPr>
      </w:pPr>
      <w:r w:rsidRPr="00415BD2">
        <w:rPr>
          <w:rFonts w:ascii="Calibri" w:eastAsia="Calibri" w:hAnsi="Calibri" w:cs="Times New Roman"/>
        </w:rPr>
        <w:t>The MDPH PIO works with the designated SME in the Planning Section to develop or adapt appropriate messages and materials, taking care ensuring that:</w:t>
      </w:r>
    </w:p>
    <w:p w14:paraId="74F24AE5" w14:textId="631054F3" w:rsidR="00415BD2" w:rsidRPr="00415BD2" w:rsidRDefault="00415BD2" w:rsidP="0005080A">
      <w:pPr>
        <w:numPr>
          <w:ilvl w:val="0"/>
          <w:numId w:val="58"/>
        </w:numPr>
        <w:spacing w:after="0"/>
        <w:jc w:val="both"/>
        <w:rPr>
          <w:rFonts w:ascii="Calibri" w:eastAsia="Calibri" w:hAnsi="Calibri" w:cs="Times New Roman"/>
        </w:rPr>
      </w:pPr>
      <w:r w:rsidRPr="00415BD2">
        <w:rPr>
          <w:rFonts w:ascii="Calibri" w:eastAsia="Calibri" w:hAnsi="Calibri" w:cs="Times New Roman"/>
        </w:rPr>
        <w:t>Messages are clear, concise, and provide unambiguous action steps</w:t>
      </w:r>
    </w:p>
    <w:p w14:paraId="0E301906" w14:textId="0497ECFC" w:rsidR="00415BD2" w:rsidRPr="00415BD2" w:rsidRDefault="00415BD2" w:rsidP="0005080A">
      <w:pPr>
        <w:numPr>
          <w:ilvl w:val="0"/>
          <w:numId w:val="58"/>
        </w:numPr>
        <w:spacing w:after="0"/>
        <w:jc w:val="both"/>
        <w:rPr>
          <w:rFonts w:ascii="Calibri" w:eastAsia="Calibri" w:hAnsi="Calibri" w:cs="Times New Roman"/>
        </w:rPr>
      </w:pPr>
      <w:r w:rsidRPr="00415BD2">
        <w:rPr>
          <w:rFonts w:ascii="Calibri" w:eastAsia="Calibri" w:hAnsi="Calibri" w:cs="Times New Roman"/>
        </w:rPr>
        <w:t>Appropriate supporting materials have been identified</w:t>
      </w:r>
    </w:p>
    <w:p w14:paraId="663CA8F5" w14:textId="537454A2" w:rsidR="00415BD2" w:rsidRPr="00415BD2" w:rsidRDefault="00415BD2" w:rsidP="0005080A">
      <w:pPr>
        <w:numPr>
          <w:ilvl w:val="0"/>
          <w:numId w:val="58"/>
        </w:numPr>
        <w:spacing w:after="0"/>
        <w:jc w:val="both"/>
        <w:rPr>
          <w:rFonts w:ascii="Calibri" w:eastAsia="Calibri" w:hAnsi="Calibri" w:cs="Times New Roman"/>
        </w:rPr>
      </w:pPr>
      <w:r w:rsidRPr="00415BD2">
        <w:rPr>
          <w:rFonts w:ascii="Calibri" w:eastAsia="Calibri" w:hAnsi="Calibri" w:cs="Times New Roman"/>
        </w:rPr>
        <w:t xml:space="preserve">Messages convey an appropriate sense of urgency or level of priority </w:t>
      </w:r>
    </w:p>
    <w:p w14:paraId="402ABE88" w14:textId="30DFB7F3" w:rsidR="00415BD2" w:rsidRPr="00415BD2" w:rsidRDefault="00415BD2" w:rsidP="0005080A">
      <w:pPr>
        <w:numPr>
          <w:ilvl w:val="0"/>
          <w:numId w:val="58"/>
        </w:numPr>
        <w:spacing w:after="0"/>
        <w:jc w:val="both"/>
        <w:rPr>
          <w:rFonts w:ascii="Calibri" w:eastAsia="Calibri" w:hAnsi="Calibri" w:cs="Times New Roman"/>
        </w:rPr>
      </w:pPr>
      <w:r w:rsidRPr="00415BD2">
        <w:rPr>
          <w:rFonts w:ascii="Calibri" w:eastAsia="Calibri" w:hAnsi="Calibri" w:cs="Times New Roman"/>
        </w:rPr>
        <w:t>Messages are consistent with any state and federal guidance</w:t>
      </w:r>
    </w:p>
    <w:p w14:paraId="49CF6234" w14:textId="11A0AABD" w:rsidR="00415BD2" w:rsidRDefault="00415BD2" w:rsidP="0005080A">
      <w:pPr>
        <w:numPr>
          <w:ilvl w:val="0"/>
          <w:numId w:val="59"/>
        </w:numPr>
        <w:spacing w:after="0"/>
        <w:jc w:val="both"/>
        <w:rPr>
          <w:rFonts w:ascii="Calibri" w:eastAsia="Calibri" w:hAnsi="Calibri" w:cs="Times New Roman"/>
        </w:rPr>
      </w:pPr>
      <w:r>
        <w:rPr>
          <w:rFonts w:ascii="Calibri" w:eastAsia="Calibri" w:hAnsi="Calibri" w:cs="Times New Roman"/>
        </w:rPr>
        <w:lastRenderedPageBreak/>
        <w:t>The Incident Man</w:t>
      </w:r>
      <w:r w:rsidR="00DA69FE">
        <w:rPr>
          <w:rFonts w:ascii="Calibri" w:eastAsia="Calibri" w:hAnsi="Calibri" w:cs="Times New Roman"/>
        </w:rPr>
        <w:t>a</w:t>
      </w:r>
      <w:r>
        <w:rPr>
          <w:rFonts w:ascii="Calibri" w:eastAsia="Calibri" w:hAnsi="Calibri" w:cs="Times New Roman"/>
        </w:rPr>
        <w:t xml:space="preserve">ger works with the Communications Office to obtain appropriate approvals prior to dissemination of messages and information </w:t>
      </w:r>
    </w:p>
    <w:p w14:paraId="17A01579" w14:textId="5BC2D6BF" w:rsidR="00415BD2" w:rsidRPr="00415BD2" w:rsidRDefault="00415BD2" w:rsidP="0005080A">
      <w:pPr>
        <w:numPr>
          <w:ilvl w:val="0"/>
          <w:numId w:val="59"/>
        </w:numPr>
        <w:spacing w:after="0"/>
        <w:jc w:val="both"/>
        <w:rPr>
          <w:rFonts w:ascii="Calibri" w:eastAsia="Calibri" w:hAnsi="Calibri" w:cs="Times New Roman"/>
        </w:rPr>
      </w:pPr>
      <w:r w:rsidRPr="00415BD2">
        <w:rPr>
          <w:rFonts w:ascii="Calibri" w:eastAsia="Calibri" w:hAnsi="Calibri" w:cs="Times New Roman"/>
        </w:rPr>
        <w:t>Once approval for dissemination is received, the Liaison Officer works</w:t>
      </w:r>
      <w:r>
        <w:rPr>
          <w:rFonts w:ascii="Calibri" w:eastAsia="Calibri" w:hAnsi="Calibri" w:cs="Times New Roman"/>
        </w:rPr>
        <w:t xml:space="preserve"> </w:t>
      </w:r>
      <w:r w:rsidRPr="00415BD2">
        <w:rPr>
          <w:rFonts w:ascii="Calibri" w:eastAsia="Calibri" w:hAnsi="Calibri" w:cs="Times New Roman"/>
        </w:rPr>
        <w:t>with the PIO to identify appropriate vehicles or mechanisms for dissemination of messages and materials to previously identified target audiences</w:t>
      </w:r>
    </w:p>
    <w:p w14:paraId="73648DCF" w14:textId="5CB53F2B" w:rsidR="00415BD2" w:rsidRPr="00415BD2" w:rsidRDefault="00415BD2" w:rsidP="0005080A">
      <w:pPr>
        <w:numPr>
          <w:ilvl w:val="0"/>
          <w:numId w:val="59"/>
        </w:numPr>
        <w:spacing w:after="240"/>
        <w:jc w:val="both"/>
        <w:rPr>
          <w:rFonts w:ascii="Calibri" w:eastAsia="Calibri" w:hAnsi="Calibri" w:cs="Times New Roman"/>
        </w:rPr>
      </w:pPr>
      <w:r w:rsidRPr="00415BD2">
        <w:rPr>
          <w:rFonts w:ascii="Calibri" w:eastAsia="Calibri" w:hAnsi="Calibri" w:cs="Times New Roman"/>
        </w:rPr>
        <w:t>The Liaison Officer provides messages and information to parties with operational responsibility for selected dissemination vehicles and mechanisms for delivery to target audiences</w:t>
      </w:r>
    </w:p>
    <w:p w14:paraId="26F3BD44" w14:textId="77777777" w:rsidR="006A7724" w:rsidRDefault="006A7724" w:rsidP="00415BD2">
      <w:pPr>
        <w:spacing w:after="240"/>
        <w:rPr>
          <w:rFonts w:ascii="Calibri" w:eastAsia="Calibri" w:hAnsi="Calibri" w:cs="Times New Roman"/>
        </w:rPr>
      </w:pPr>
    </w:p>
    <w:p w14:paraId="690F1811" w14:textId="59F4FF51" w:rsidR="00415BD2" w:rsidRPr="00DA3237" w:rsidRDefault="00415BD2" w:rsidP="00415BD2">
      <w:pPr>
        <w:spacing w:after="240"/>
        <w:rPr>
          <w:rFonts w:ascii="Calibri" w:eastAsia="Calibri" w:hAnsi="Calibri" w:cs="Times New Roman"/>
        </w:rPr>
      </w:pPr>
      <w:r>
        <w:rPr>
          <w:rFonts w:ascii="Calibri" w:eastAsia="Calibri" w:hAnsi="Calibri" w:cs="Times New Roman"/>
        </w:rPr>
        <w:t>Additional Tools that may be used</w:t>
      </w:r>
      <w:r w:rsidR="00BE6747">
        <w:rPr>
          <w:rFonts w:ascii="Calibri" w:eastAsia="Calibri" w:hAnsi="Calibri" w:cs="Times New Roman"/>
        </w:rPr>
        <w:t xml:space="preserve"> to communicate with </w:t>
      </w:r>
      <w:r>
        <w:rPr>
          <w:rFonts w:ascii="Calibri" w:eastAsia="Calibri" w:hAnsi="Calibri" w:cs="Times New Roman"/>
        </w:rPr>
        <w:t xml:space="preserve">external </w:t>
      </w:r>
      <w:r w:rsidR="006A7724">
        <w:rPr>
          <w:rFonts w:ascii="Calibri" w:eastAsia="Calibri" w:hAnsi="Calibri" w:cs="Times New Roman"/>
        </w:rPr>
        <w:t xml:space="preserve">stakeholders </w:t>
      </w:r>
      <w:r w:rsidR="00BE6747">
        <w:rPr>
          <w:rFonts w:ascii="Calibri" w:eastAsia="Calibri" w:hAnsi="Calibri" w:cs="Times New Roman"/>
        </w:rPr>
        <w:t xml:space="preserve">and the public </w:t>
      </w:r>
      <w:r>
        <w:rPr>
          <w:rFonts w:ascii="Calibri" w:eastAsia="Calibri" w:hAnsi="Calibri" w:cs="Times New Roman"/>
        </w:rPr>
        <w:t>include:</w:t>
      </w:r>
    </w:p>
    <w:p w14:paraId="014286F0" w14:textId="77777777" w:rsidR="00415BD2" w:rsidRPr="006A7724" w:rsidRDefault="00415BD2" w:rsidP="00BE6747">
      <w:pPr>
        <w:pStyle w:val="Heading5"/>
        <w:rPr>
          <w:b/>
          <w:i/>
        </w:rPr>
      </w:pPr>
      <w:r w:rsidRPr="006A7724">
        <w:rPr>
          <w:b/>
          <w:i/>
        </w:rPr>
        <w:t>Websites</w:t>
      </w:r>
    </w:p>
    <w:p w14:paraId="703F61F4" w14:textId="77777777" w:rsidR="00415BD2" w:rsidRPr="00BE6747" w:rsidRDefault="00415BD2" w:rsidP="00BE6747">
      <w:pPr>
        <w:rPr>
          <w:rFonts w:ascii="Calibri" w:hAnsi="Calibri"/>
        </w:rPr>
      </w:pPr>
      <w:r w:rsidRPr="00BE6747">
        <w:rPr>
          <w:rFonts w:ascii="Calibri" w:hAnsi="Calibri"/>
        </w:rPr>
        <w:t xml:space="preserve">MDPH OPEM website: </w:t>
      </w:r>
      <w:hyperlink r:id="rId48" w:history="1">
        <w:r w:rsidRPr="00BE6747">
          <w:rPr>
            <w:rFonts w:ascii="Calibri" w:hAnsi="Calibri"/>
            <w:u w:val="single"/>
          </w:rPr>
          <w:t>https://www.mass.gov/orgs/office-of-preparedness-and-emergency-management</w:t>
        </w:r>
      </w:hyperlink>
    </w:p>
    <w:p w14:paraId="4A9DB365" w14:textId="77777777" w:rsidR="00415BD2" w:rsidRPr="00BE6747" w:rsidRDefault="00415BD2" w:rsidP="00BE6747">
      <w:pPr>
        <w:rPr>
          <w:rFonts w:ascii="Calibri" w:hAnsi="Calibri"/>
        </w:rPr>
      </w:pPr>
      <w:r w:rsidRPr="00BE6747">
        <w:rPr>
          <w:rFonts w:ascii="Calibri" w:hAnsi="Calibri"/>
        </w:rPr>
        <w:t xml:space="preserve">MDPH BIDLS website: </w:t>
      </w:r>
      <w:hyperlink r:id="rId49" w:history="1">
        <w:r w:rsidRPr="00BE6747">
          <w:rPr>
            <w:rStyle w:val="Hyperlink"/>
            <w:rFonts w:ascii="Calibri" w:hAnsi="Calibri"/>
            <w:color w:val="auto"/>
          </w:rPr>
          <w:t>https://www.mass.gov/orgs/bureau-of-infectious-disease-and-laboratory-sciences</w:t>
        </w:r>
      </w:hyperlink>
      <w:r w:rsidRPr="00BE6747">
        <w:rPr>
          <w:rFonts w:ascii="Calibri" w:hAnsi="Calibri"/>
        </w:rPr>
        <w:t xml:space="preserve"> </w:t>
      </w:r>
    </w:p>
    <w:p w14:paraId="1EF80255" w14:textId="77777777" w:rsidR="00415BD2" w:rsidRPr="00657723" w:rsidRDefault="00415BD2" w:rsidP="00005155">
      <w:pPr>
        <w:pStyle w:val="ListParagraph"/>
        <w:numPr>
          <w:ilvl w:val="0"/>
          <w:numId w:val="95"/>
        </w:numPr>
        <w:jc w:val="both"/>
        <w:rPr>
          <w:rFonts w:ascii="Calibri" w:hAnsi="Calibri"/>
        </w:rPr>
      </w:pPr>
      <w:r w:rsidRPr="00657723">
        <w:rPr>
          <w:rFonts w:ascii="Calibri" w:hAnsi="Calibri"/>
        </w:rPr>
        <w:t>From this website, you can link to disease specific pages, and also to other helpful information regarding vaccination.</w:t>
      </w:r>
    </w:p>
    <w:p w14:paraId="2B7E4C26" w14:textId="77777777" w:rsidR="00415BD2" w:rsidRPr="00657723" w:rsidRDefault="00415BD2" w:rsidP="00005155">
      <w:pPr>
        <w:pStyle w:val="ListParagraph"/>
        <w:numPr>
          <w:ilvl w:val="0"/>
          <w:numId w:val="95"/>
        </w:numPr>
        <w:jc w:val="both"/>
        <w:rPr>
          <w:rFonts w:ascii="Calibri" w:hAnsi="Calibri"/>
        </w:rPr>
      </w:pPr>
      <w:r w:rsidRPr="00657723">
        <w:rPr>
          <w:rFonts w:ascii="Calibri" w:hAnsi="Calibri"/>
        </w:rPr>
        <w:t xml:space="preserve">This web page has links to the CDC, is continually updated, and will be a primary source of information for providers and the public during an outbreak of infectious disease.  </w:t>
      </w:r>
    </w:p>
    <w:p w14:paraId="42D3D689" w14:textId="7E2E680A" w:rsidR="00AD10C8" w:rsidRPr="006160F8" w:rsidRDefault="00AD10C8" w:rsidP="006A7724">
      <w:pPr>
        <w:pStyle w:val="Heading4"/>
        <w:ind w:left="360"/>
      </w:pPr>
      <w:r w:rsidRPr="006160F8">
        <w:t xml:space="preserve">Mass 211/Flu </w:t>
      </w:r>
      <w:proofErr w:type="gramStart"/>
      <w:r w:rsidRPr="006160F8">
        <w:t>On</w:t>
      </w:r>
      <w:proofErr w:type="gramEnd"/>
      <w:r w:rsidRPr="006160F8">
        <w:t xml:space="preserve"> Call  </w:t>
      </w:r>
    </w:p>
    <w:p w14:paraId="53DA1D23" w14:textId="69E201C4" w:rsidR="00AD10C8" w:rsidRDefault="00AD10C8" w:rsidP="00AD10C8">
      <w:pPr>
        <w:contextualSpacing/>
      </w:pPr>
      <w:r w:rsidRPr="00A43406">
        <w:t xml:space="preserve">If needed, MDPH, in collaboration with MEMA, </w:t>
      </w:r>
      <w:r>
        <w:t>may</w:t>
      </w:r>
      <w:r w:rsidRPr="00A43406">
        <w:t xml:space="preserve"> </w:t>
      </w:r>
      <w:r>
        <w:t>activate</w:t>
      </w:r>
      <w:r w:rsidRPr="00A43406">
        <w:t xml:space="preserve"> </w:t>
      </w:r>
      <w:r>
        <w:t xml:space="preserve">Mass </w:t>
      </w:r>
      <w:r w:rsidR="006A7724">
        <w:t xml:space="preserve">211 </w:t>
      </w:r>
      <w:r w:rsidR="006A7724" w:rsidRPr="00A43406">
        <w:t>using</w:t>
      </w:r>
      <w:r w:rsidRPr="00A43406">
        <w:t xml:space="preserve"> MDPH staff and</w:t>
      </w:r>
      <w:r>
        <w:t>/or</w:t>
      </w:r>
      <w:r w:rsidRPr="00A43406">
        <w:t xml:space="preserve"> </w:t>
      </w:r>
      <w:r>
        <w:t xml:space="preserve">existing 211 </w:t>
      </w:r>
      <w:r w:rsidR="006A7724">
        <w:t xml:space="preserve">staff </w:t>
      </w:r>
      <w:r w:rsidR="006A7724" w:rsidRPr="00A43406">
        <w:t>with</w:t>
      </w:r>
      <w:r w:rsidRPr="00A43406">
        <w:t xml:space="preserve"> special training to answers questions about where to get vaccine, care of </w:t>
      </w:r>
      <w:r>
        <w:t>sick</w:t>
      </w:r>
      <w:r w:rsidRPr="00A43406">
        <w:t xml:space="preserve"> patients at home, and prevention </w:t>
      </w:r>
      <w:r>
        <w:t>measures</w:t>
      </w:r>
      <w:r w:rsidRPr="00A43406">
        <w:t>.</w:t>
      </w:r>
      <w:r>
        <w:t xml:space="preserve"> Alternatively, during an influenza pandemic, Flu on Call® may be utilized. </w:t>
      </w:r>
    </w:p>
    <w:p w14:paraId="719C999C" w14:textId="77777777" w:rsidR="00AD10C8" w:rsidRPr="009A178A" w:rsidRDefault="00AD10C8" w:rsidP="00AD10C8">
      <w:pPr>
        <w:contextualSpacing/>
      </w:pPr>
      <w:r w:rsidRPr="009A178A">
        <w:t>Flu on Call® is an effort led by the U.S. Centers for Disease Control and Prevention (CDC), in collaboration with United Way Worldwide, and other partners to establish a national network of telephone help lines, staffed by information specialists and medical professionals, designed to be used during a severe influenza pandemic.</w:t>
      </w:r>
    </w:p>
    <w:bookmarkEnd w:id="591"/>
    <w:bookmarkEnd w:id="593"/>
    <w:bookmarkEnd w:id="594"/>
    <w:bookmarkEnd w:id="595"/>
    <w:bookmarkEnd w:id="596"/>
    <w:bookmarkEnd w:id="597"/>
    <w:p w14:paraId="256F7A77" w14:textId="77777777" w:rsidR="00ED2CD4" w:rsidRDefault="00ED2CD4" w:rsidP="00BB7699">
      <w:pPr>
        <w:contextualSpacing/>
        <w:jc w:val="both"/>
        <w:rPr>
          <w:b/>
        </w:rPr>
        <w:sectPr w:rsidR="00ED2CD4" w:rsidSect="00194809">
          <w:headerReference w:type="even" r:id="rId50"/>
          <w:headerReference w:type="default" r:id="rId51"/>
          <w:footerReference w:type="default" r:id="rId52"/>
          <w:headerReference w:type="first" r:id="rId53"/>
          <w:pgSz w:w="12240" w:h="15840"/>
          <w:pgMar w:top="1440" w:right="1440" w:bottom="1440" w:left="1440" w:header="720" w:footer="720" w:gutter="0"/>
          <w:cols w:space="720"/>
          <w:docGrid w:linePitch="360"/>
        </w:sectPr>
      </w:pPr>
    </w:p>
    <w:p w14:paraId="0BCCD795" w14:textId="1A184AEC" w:rsidR="00695E77" w:rsidRPr="00695E77" w:rsidRDefault="00BE759C" w:rsidP="003B7C6A">
      <w:pPr>
        <w:pStyle w:val="Heading1"/>
        <w:numPr>
          <w:ilvl w:val="0"/>
          <w:numId w:val="26"/>
        </w:numPr>
      </w:pPr>
      <w:bookmarkStart w:id="599" w:name="_Authorities_and_References"/>
      <w:bookmarkStart w:id="600" w:name="_Toc31623019"/>
      <w:bookmarkEnd w:id="599"/>
      <w:r>
        <w:lastRenderedPageBreak/>
        <w:t>Plan Development and Maintenance</w:t>
      </w:r>
      <w:bookmarkEnd w:id="600"/>
    </w:p>
    <w:p w14:paraId="45C01BF1" w14:textId="30FF1288" w:rsidR="00BE759C" w:rsidRPr="00BE759C" w:rsidRDefault="00BE759C" w:rsidP="00BC6A95">
      <w:pPr>
        <w:pStyle w:val="Heading2"/>
        <w:ind w:left="360"/>
      </w:pPr>
      <w:bookmarkStart w:id="601" w:name="_Toc31623020"/>
      <w:r>
        <w:t>8</w:t>
      </w:r>
      <w:r w:rsidRPr="00BE759C">
        <w:t xml:space="preserve">.1 </w:t>
      </w:r>
      <w:r w:rsidR="003B7C6A">
        <w:t xml:space="preserve">     </w:t>
      </w:r>
      <w:r w:rsidRPr="00BE759C">
        <w:t>Revision Process</w:t>
      </w:r>
      <w:bookmarkEnd w:id="601"/>
    </w:p>
    <w:p w14:paraId="75FCB36E" w14:textId="64FA9B11" w:rsidR="00BE759C" w:rsidRPr="00BE759C" w:rsidRDefault="00BE759C" w:rsidP="00BE759C">
      <w:pPr>
        <w:jc w:val="both"/>
      </w:pPr>
      <w:r w:rsidRPr="00BE759C">
        <w:t xml:space="preserve">OPEM will coordinate the ongoing assessment and maintenance of the IDER Plan. The IDER Plan will be reviewed bi-annually, and will revise the plan as needed following any exercise or real event.  Changes or amendments to this plan may also be proposed by the Commissioner’s Office or any Bureau or Office. Proposed changes are submitted to OPEM, who will review submissions for clarity. Suggested changes must be consistent with National Incident Management System (NIMS) policies and procedures. Additionally, all suggested changes should clearly identify the section, sub-section, paragraph, and page number affected. OPEM will track and document any changes to this plan. </w:t>
      </w:r>
    </w:p>
    <w:p w14:paraId="7A7C7CB7" w14:textId="4476BA3B" w:rsidR="00BE759C" w:rsidRPr="00BE759C" w:rsidRDefault="00BE759C" w:rsidP="00BC6A95">
      <w:pPr>
        <w:pStyle w:val="Heading2"/>
        <w:ind w:left="360"/>
      </w:pPr>
      <w:bookmarkStart w:id="602" w:name="_Toc31623021"/>
      <w:r>
        <w:t>8</w:t>
      </w:r>
      <w:r w:rsidRPr="00BE759C">
        <w:t xml:space="preserve">.2 </w:t>
      </w:r>
      <w:r w:rsidR="003B7C6A">
        <w:t xml:space="preserve">     </w:t>
      </w:r>
      <w:r w:rsidRPr="00BE759C">
        <w:t>Debriefing/After Action Reports</w:t>
      </w:r>
      <w:bookmarkEnd w:id="602"/>
    </w:p>
    <w:p w14:paraId="14C97F21" w14:textId="77777777" w:rsidR="00BE759C" w:rsidRPr="00BE759C" w:rsidRDefault="00BE759C" w:rsidP="00BE759C">
      <w:pPr>
        <w:contextualSpacing/>
        <w:jc w:val="both"/>
        <w:rPr>
          <w:b/>
        </w:rPr>
      </w:pPr>
    </w:p>
    <w:p w14:paraId="111ED834" w14:textId="77777777" w:rsidR="00BE759C" w:rsidRPr="00BE759C" w:rsidRDefault="00BE759C" w:rsidP="00BE759C">
      <w:pPr>
        <w:jc w:val="both"/>
      </w:pPr>
      <w:r w:rsidRPr="00BE759C">
        <w:t xml:space="preserve">Debriefing and after action reporting will be needed to document the strengths and areas for improvement that were noted during the response. Debriefing will occur at the multidisciplinary level, such as among agencies staffing the SEOC, and also within specific agencies. Both are crucial to improve policies and procedures as described in state-level and department-level emergency operations plans. </w:t>
      </w:r>
    </w:p>
    <w:p w14:paraId="6758F3BE" w14:textId="77777777" w:rsidR="00BE759C" w:rsidRPr="00BE759C" w:rsidRDefault="00BE759C" w:rsidP="00BE759C">
      <w:pPr>
        <w:jc w:val="both"/>
      </w:pPr>
      <w:r w:rsidRPr="00BE759C">
        <w:t>Recommendations for the various levels of debriefing are as follows:</w:t>
      </w:r>
    </w:p>
    <w:p w14:paraId="5A8BAA58" w14:textId="77777777" w:rsidR="00BE759C" w:rsidRPr="00BE759C" w:rsidRDefault="00BE759C" w:rsidP="00050DCF">
      <w:pPr>
        <w:numPr>
          <w:ilvl w:val="0"/>
          <w:numId w:val="16"/>
        </w:numPr>
        <w:contextualSpacing/>
        <w:jc w:val="both"/>
      </w:pPr>
      <w:r w:rsidRPr="00BE759C">
        <w:t xml:space="preserve">Statewide debriefing, likely held at the SEOC, to include all agencies that staffed the SEOC, if activated </w:t>
      </w:r>
    </w:p>
    <w:p w14:paraId="3B12E882" w14:textId="77777777" w:rsidR="00BE759C" w:rsidRPr="00BE759C" w:rsidRDefault="00BE759C" w:rsidP="00050DCF">
      <w:pPr>
        <w:numPr>
          <w:ilvl w:val="0"/>
          <w:numId w:val="16"/>
        </w:numPr>
        <w:contextualSpacing/>
        <w:jc w:val="both"/>
      </w:pPr>
      <w:r w:rsidRPr="00BE759C">
        <w:t xml:space="preserve">MDPH-wide debriefing, likely held at the Central Office, to include all responding Offices and Bureaus </w:t>
      </w:r>
    </w:p>
    <w:p w14:paraId="5F6E8456" w14:textId="3AF4B5F8" w:rsidR="00BE759C" w:rsidRPr="00BE759C" w:rsidRDefault="00BE759C" w:rsidP="00050DCF">
      <w:pPr>
        <w:numPr>
          <w:ilvl w:val="0"/>
          <w:numId w:val="16"/>
        </w:numPr>
        <w:contextualSpacing/>
        <w:jc w:val="both"/>
      </w:pPr>
      <w:r w:rsidRPr="00BE759C">
        <w:t xml:space="preserve">Office- and Bureau-wide debriefing, to include all responding agencies within the office or bureau (i.e., </w:t>
      </w:r>
      <w:r w:rsidR="00DA5B38">
        <w:t xml:space="preserve">The Division of </w:t>
      </w:r>
      <w:r w:rsidRPr="00BE759C">
        <w:t xml:space="preserve">Epidemiology, Laboratory staff, and the Immunization </w:t>
      </w:r>
      <w:r w:rsidR="00B64843">
        <w:t>Division</w:t>
      </w:r>
      <w:r w:rsidRPr="00BE759C">
        <w:t xml:space="preserve"> would all participate as part of BIDLS)</w:t>
      </w:r>
    </w:p>
    <w:p w14:paraId="2DD7D187" w14:textId="34D84DD6" w:rsidR="00BE759C" w:rsidRPr="00BE759C" w:rsidRDefault="00B64843" w:rsidP="00050DCF">
      <w:pPr>
        <w:numPr>
          <w:ilvl w:val="0"/>
          <w:numId w:val="16"/>
        </w:numPr>
        <w:contextualSpacing/>
        <w:jc w:val="both"/>
      </w:pPr>
      <w:r>
        <w:t>Division</w:t>
      </w:r>
      <w:r w:rsidR="00BE759C" w:rsidRPr="00BE759C">
        <w:t>-speci</w:t>
      </w:r>
      <w:r>
        <w:t>fic debriefing, to include all Division</w:t>
      </w:r>
      <w:r w:rsidR="00BE759C" w:rsidRPr="00BE759C">
        <w:t xml:space="preserve"> leadership and staff.</w:t>
      </w:r>
    </w:p>
    <w:p w14:paraId="644C8035" w14:textId="77777777" w:rsidR="00194809" w:rsidRDefault="00194809" w:rsidP="00BE759C">
      <w:pPr>
        <w:jc w:val="both"/>
      </w:pPr>
    </w:p>
    <w:p w14:paraId="4B8DEC4D" w14:textId="77777777" w:rsidR="00BE759C" w:rsidRPr="00BE759C" w:rsidRDefault="00BE759C" w:rsidP="00BE759C">
      <w:pPr>
        <w:jc w:val="both"/>
      </w:pPr>
      <w:r w:rsidRPr="00BE759C">
        <w:t xml:space="preserve">MDPH may share the results of the after action report(s) with governmental and responding agencies in order to plan for a community-wide recovery. Improvement Plan tasks will be assigned to specific agencies and organizations. OPEM will revise this document in addition to other plans activated for the response in order to incorporate lessons learned to improve future responses. </w:t>
      </w:r>
    </w:p>
    <w:p w14:paraId="1EAF3206" w14:textId="19D34692" w:rsidR="00BE759C" w:rsidRPr="00BE759C" w:rsidRDefault="00BE759C" w:rsidP="00BC6A95">
      <w:pPr>
        <w:pStyle w:val="Heading2"/>
        <w:ind w:left="360"/>
      </w:pPr>
      <w:bookmarkStart w:id="603" w:name="_Toc31623022"/>
      <w:r>
        <w:t>8</w:t>
      </w:r>
      <w:r w:rsidRPr="00BE759C">
        <w:t xml:space="preserve">.3 </w:t>
      </w:r>
      <w:r w:rsidR="003B7C6A">
        <w:t xml:space="preserve">     </w:t>
      </w:r>
      <w:r w:rsidRPr="00BE759C">
        <w:t>Exercises</w:t>
      </w:r>
      <w:bookmarkEnd w:id="603"/>
    </w:p>
    <w:p w14:paraId="421EC0CF" w14:textId="77777777" w:rsidR="00BE759C" w:rsidRPr="00BE759C" w:rsidRDefault="00BE759C" w:rsidP="00BE759C">
      <w:pPr>
        <w:contextualSpacing/>
        <w:jc w:val="both"/>
        <w:rPr>
          <w:b/>
        </w:rPr>
      </w:pPr>
    </w:p>
    <w:p w14:paraId="30D79A9E" w14:textId="44D09326" w:rsidR="00BE759C" w:rsidRPr="00BE759C" w:rsidRDefault="00BE759C" w:rsidP="00BE759C">
      <w:pPr>
        <w:jc w:val="both"/>
      </w:pPr>
      <w:r w:rsidRPr="00BE759C">
        <w:t>The plan shall be exercised annually through, at a minimum, a tabletop exercise of plan protocols, and there may be a functional or full-scale exercise of selected plan components. OPEM will coordinate a debriefing following any exercise or real event, and</w:t>
      </w:r>
      <w:r w:rsidR="00B64843" w:rsidRPr="00BE759C">
        <w:t>, draft</w:t>
      </w:r>
      <w:r w:rsidRPr="00BE759C">
        <w:t xml:space="preserve"> an after action report and improvement plan (AAR/IP) as noted above. </w:t>
      </w:r>
    </w:p>
    <w:p w14:paraId="35C3F974" w14:textId="3B0C80E1" w:rsidR="003A5213" w:rsidRDefault="00BE759C" w:rsidP="003B7C6A">
      <w:pPr>
        <w:pStyle w:val="Heading1"/>
        <w:numPr>
          <w:ilvl w:val="0"/>
          <w:numId w:val="26"/>
        </w:numPr>
      </w:pPr>
      <w:bookmarkStart w:id="604" w:name="_Toc483995604"/>
      <w:bookmarkStart w:id="605" w:name="_Toc483995749"/>
      <w:bookmarkStart w:id="606" w:name="_Toc483996101"/>
      <w:bookmarkStart w:id="607" w:name="_Toc484607025"/>
      <w:bookmarkStart w:id="608" w:name="_Toc486238643"/>
      <w:bookmarkStart w:id="609" w:name="_Toc483995605"/>
      <w:bookmarkStart w:id="610" w:name="_Toc483995750"/>
      <w:bookmarkStart w:id="611" w:name="_Toc483996102"/>
      <w:bookmarkStart w:id="612" w:name="_Toc484607026"/>
      <w:bookmarkStart w:id="613" w:name="_Toc486238644"/>
      <w:bookmarkStart w:id="614" w:name="_Societal_Sectors_Annex"/>
      <w:bookmarkStart w:id="615" w:name="_Toc31623023"/>
      <w:bookmarkEnd w:id="604"/>
      <w:bookmarkEnd w:id="605"/>
      <w:bookmarkEnd w:id="606"/>
      <w:bookmarkEnd w:id="607"/>
      <w:bookmarkEnd w:id="608"/>
      <w:bookmarkEnd w:id="609"/>
      <w:bookmarkEnd w:id="610"/>
      <w:bookmarkEnd w:id="611"/>
      <w:bookmarkEnd w:id="612"/>
      <w:bookmarkEnd w:id="613"/>
      <w:bookmarkEnd w:id="614"/>
      <w:r>
        <w:lastRenderedPageBreak/>
        <w:t>Authorities and References</w:t>
      </w:r>
      <w:bookmarkEnd w:id="615"/>
    </w:p>
    <w:p w14:paraId="240CCF15" w14:textId="77777777" w:rsidR="00BE759C" w:rsidRPr="00AF4499" w:rsidRDefault="00BE759C" w:rsidP="0005080A">
      <w:pPr>
        <w:jc w:val="both"/>
      </w:pPr>
      <w:r>
        <w:t>The</w:t>
      </w:r>
      <w:r w:rsidRPr="00AF4499">
        <w:t xml:space="preserve"> following organizations </w:t>
      </w:r>
      <w:r>
        <w:t>shared infectious disease response resources that were referenced during the development of this document:</w:t>
      </w:r>
    </w:p>
    <w:p w14:paraId="1A7117B9" w14:textId="77777777" w:rsidR="00BE759C" w:rsidRDefault="00BE759C" w:rsidP="0005080A">
      <w:pPr>
        <w:pStyle w:val="ListParagraph"/>
        <w:numPr>
          <w:ilvl w:val="0"/>
          <w:numId w:val="13"/>
        </w:numPr>
        <w:jc w:val="both"/>
      </w:pPr>
      <w:r w:rsidRPr="00AF4499">
        <w:t xml:space="preserve">The City of San Francisco </w:t>
      </w:r>
      <w:r>
        <w:t xml:space="preserve">Department of Public Health, Infectious Disease Emergency Response Plan </w:t>
      </w:r>
    </w:p>
    <w:p w14:paraId="7FA7C56E" w14:textId="77777777" w:rsidR="00BE759C" w:rsidRDefault="00BE759C" w:rsidP="0005080A">
      <w:pPr>
        <w:pStyle w:val="ListParagraph"/>
        <w:numPr>
          <w:ilvl w:val="0"/>
          <w:numId w:val="13"/>
        </w:numPr>
        <w:jc w:val="both"/>
      </w:pPr>
      <w:r>
        <w:t>Centers for Disease Control and Prevention</w:t>
      </w:r>
    </w:p>
    <w:p w14:paraId="624E1A20" w14:textId="77777777" w:rsidR="00BE759C" w:rsidRDefault="00BE759C" w:rsidP="0005080A">
      <w:pPr>
        <w:pStyle w:val="ListParagraph"/>
        <w:numPr>
          <w:ilvl w:val="0"/>
          <w:numId w:val="13"/>
        </w:numPr>
        <w:jc w:val="both"/>
      </w:pPr>
      <w:r>
        <w:t xml:space="preserve">Department of Health and Human Services, Office of the Assistant Secretary for Preparedness and </w:t>
      </w:r>
      <w:r w:rsidRPr="00AF4499">
        <w:t>Response</w:t>
      </w:r>
    </w:p>
    <w:p w14:paraId="694D1F8E" w14:textId="77777777" w:rsidR="00BE759C" w:rsidRDefault="00BE759C" w:rsidP="0005080A">
      <w:pPr>
        <w:pStyle w:val="ListParagraph"/>
        <w:numPr>
          <w:ilvl w:val="0"/>
          <w:numId w:val="13"/>
        </w:numPr>
        <w:jc w:val="both"/>
      </w:pPr>
      <w:r>
        <w:t>World Health Organization</w:t>
      </w:r>
    </w:p>
    <w:p w14:paraId="4EC073EF" w14:textId="77777777" w:rsidR="00BE759C" w:rsidRPr="002A22B9" w:rsidRDefault="00BE759C" w:rsidP="0005080A">
      <w:pPr>
        <w:jc w:val="both"/>
      </w:pPr>
      <w:r>
        <w:t>The following plans are referenced throughout this document:</w:t>
      </w:r>
    </w:p>
    <w:p w14:paraId="482C8080" w14:textId="77777777" w:rsidR="00BE759C" w:rsidRPr="009A6B0D" w:rsidRDefault="00BE759C" w:rsidP="0005080A">
      <w:pPr>
        <w:jc w:val="both"/>
        <w:rPr>
          <w:i/>
        </w:rPr>
      </w:pPr>
      <w:r w:rsidRPr="009A6B0D">
        <w:rPr>
          <w:i/>
        </w:rPr>
        <w:t>State of Massachusetts Plans</w:t>
      </w:r>
    </w:p>
    <w:p w14:paraId="6E4A7ED2" w14:textId="77777777" w:rsidR="00BE759C" w:rsidRDefault="00BE759C" w:rsidP="0005080A">
      <w:pPr>
        <w:pStyle w:val="ListParagraph"/>
        <w:numPr>
          <w:ilvl w:val="0"/>
          <w:numId w:val="61"/>
        </w:numPr>
        <w:jc w:val="both"/>
      </w:pPr>
      <w:r>
        <w:t xml:space="preserve">MA Statewide </w:t>
      </w:r>
      <w:r w:rsidRPr="00B363A1">
        <w:t>Disaster Behavioral Health Plan</w:t>
      </w:r>
    </w:p>
    <w:p w14:paraId="2BFC4C25" w14:textId="77777777" w:rsidR="00BE759C" w:rsidRDefault="00BE759C" w:rsidP="0005080A">
      <w:pPr>
        <w:pStyle w:val="ListParagraph"/>
        <w:numPr>
          <w:ilvl w:val="0"/>
          <w:numId w:val="61"/>
        </w:numPr>
        <w:jc w:val="both"/>
      </w:pPr>
      <w:r>
        <w:t>Massachusetts Department of Public Health (MDPH) All-Hazards Emergency Operations Plan (EOP)</w:t>
      </w:r>
    </w:p>
    <w:p w14:paraId="0901F36C" w14:textId="77777777" w:rsidR="00BE759C" w:rsidRDefault="00BE759C" w:rsidP="0005080A">
      <w:pPr>
        <w:pStyle w:val="ListParagraph"/>
        <w:numPr>
          <w:ilvl w:val="1"/>
          <w:numId w:val="61"/>
        </w:numPr>
        <w:jc w:val="both"/>
      </w:pPr>
      <w:r>
        <w:t>Massachusetts Continuity of Operations Plan</w:t>
      </w:r>
    </w:p>
    <w:p w14:paraId="2AE430C1" w14:textId="77777777" w:rsidR="00BE759C" w:rsidRDefault="00BE759C" w:rsidP="0005080A">
      <w:pPr>
        <w:pStyle w:val="ListParagraph"/>
        <w:numPr>
          <w:ilvl w:val="1"/>
          <w:numId w:val="61"/>
        </w:numPr>
        <w:jc w:val="both"/>
      </w:pPr>
      <w:r>
        <w:t>Massachusetts ESF-8 Annex</w:t>
      </w:r>
    </w:p>
    <w:p w14:paraId="0F2F30A3" w14:textId="77777777" w:rsidR="00BE759C" w:rsidRDefault="00BE759C" w:rsidP="0005080A">
      <w:pPr>
        <w:pStyle w:val="ListParagraph"/>
        <w:numPr>
          <w:ilvl w:val="1"/>
          <w:numId w:val="61"/>
        </w:numPr>
        <w:jc w:val="both"/>
      </w:pPr>
      <w:r>
        <w:t>Massachusetts Medical Countermeasures Plan</w:t>
      </w:r>
    </w:p>
    <w:p w14:paraId="0C3FAF38" w14:textId="1DBD002D" w:rsidR="00BE759C" w:rsidRDefault="00BE759C" w:rsidP="0005080A">
      <w:pPr>
        <w:pStyle w:val="ListParagraph"/>
        <w:numPr>
          <w:ilvl w:val="0"/>
          <w:numId w:val="61"/>
        </w:numPr>
        <w:jc w:val="both"/>
      </w:pPr>
      <w:r>
        <w:t xml:space="preserve">Massachusetts Comprehensive Emergency Management Plan (CEMP) </w:t>
      </w:r>
    </w:p>
    <w:p w14:paraId="4678CBB4" w14:textId="57E85CF3" w:rsidR="00BE759C" w:rsidRDefault="00BE759C" w:rsidP="0005080A">
      <w:pPr>
        <w:pStyle w:val="ListParagraph"/>
        <w:numPr>
          <w:ilvl w:val="0"/>
          <w:numId w:val="61"/>
        </w:numPr>
        <w:jc w:val="both"/>
      </w:pPr>
      <w:r>
        <w:t xml:space="preserve">Commonwealth of Massachusetts Mass Fatality Management Plan </w:t>
      </w:r>
    </w:p>
    <w:p w14:paraId="5848591C" w14:textId="77777777" w:rsidR="00BE759C" w:rsidRDefault="00BE759C" w:rsidP="0005080A">
      <w:pPr>
        <w:jc w:val="both"/>
        <w:rPr>
          <w:i/>
        </w:rPr>
      </w:pPr>
      <w:r w:rsidRPr="009A6B0D">
        <w:rPr>
          <w:i/>
        </w:rPr>
        <w:t>Regional (HMCC) Plans</w:t>
      </w:r>
    </w:p>
    <w:p w14:paraId="6A8F692D" w14:textId="77777777" w:rsidR="00BE759C" w:rsidRDefault="00BE759C" w:rsidP="0005080A">
      <w:pPr>
        <w:pStyle w:val="ListParagraph"/>
        <w:numPr>
          <w:ilvl w:val="0"/>
          <w:numId w:val="62"/>
        </w:numPr>
        <w:jc w:val="both"/>
      </w:pPr>
      <w:r>
        <w:t>Emergency Coordination Plans</w:t>
      </w:r>
    </w:p>
    <w:p w14:paraId="1AC2D3AB" w14:textId="77777777" w:rsidR="00BE759C" w:rsidRDefault="00BE759C" w:rsidP="0005080A">
      <w:pPr>
        <w:pStyle w:val="ListParagraph"/>
        <w:numPr>
          <w:ilvl w:val="1"/>
          <w:numId w:val="62"/>
        </w:numPr>
        <w:jc w:val="both"/>
      </w:pPr>
      <w:r>
        <w:t xml:space="preserve">Disease Surveillance Annex  </w:t>
      </w:r>
    </w:p>
    <w:p w14:paraId="3F3F0550" w14:textId="77777777" w:rsidR="00BE759C" w:rsidRDefault="00BE759C" w:rsidP="0005080A">
      <w:pPr>
        <w:pStyle w:val="ListParagraph"/>
        <w:numPr>
          <w:ilvl w:val="1"/>
          <w:numId w:val="62"/>
        </w:numPr>
        <w:jc w:val="both"/>
      </w:pPr>
      <w:r>
        <w:t>Medical Countermeasures Annex</w:t>
      </w:r>
    </w:p>
    <w:p w14:paraId="6FBB9EC2" w14:textId="77777777" w:rsidR="00BE759C" w:rsidRDefault="00BE759C" w:rsidP="0005080A">
      <w:pPr>
        <w:pStyle w:val="ListParagraph"/>
        <w:numPr>
          <w:ilvl w:val="1"/>
          <w:numId w:val="62"/>
        </w:numPr>
        <w:jc w:val="both"/>
      </w:pPr>
      <w:r>
        <w:t xml:space="preserve">Resource Coordination Annex </w:t>
      </w:r>
    </w:p>
    <w:p w14:paraId="55EB7595" w14:textId="77777777" w:rsidR="00BE759C" w:rsidRDefault="00BE759C" w:rsidP="0005080A">
      <w:pPr>
        <w:jc w:val="both"/>
        <w:rPr>
          <w:i/>
        </w:rPr>
      </w:pPr>
      <w:r w:rsidRPr="009A6B0D">
        <w:rPr>
          <w:i/>
        </w:rPr>
        <w:t>Local Plans</w:t>
      </w:r>
    </w:p>
    <w:p w14:paraId="450AC260" w14:textId="77777777" w:rsidR="00BE759C" w:rsidRDefault="00BE759C" w:rsidP="0005080A">
      <w:pPr>
        <w:pStyle w:val="ListParagraph"/>
        <w:numPr>
          <w:ilvl w:val="0"/>
          <w:numId w:val="62"/>
        </w:numPr>
        <w:jc w:val="both"/>
      </w:pPr>
      <w:r>
        <w:t>Emergency Dispensing Site Plans</w:t>
      </w:r>
    </w:p>
    <w:p w14:paraId="3378AD1F" w14:textId="73A2F828" w:rsidR="007B5BB1" w:rsidRPr="007B5BB1" w:rsidRDefault="007B5BB1" w:rsidP="007B5BB1">
      <w:pPr>
        <w:sectPr w:rsidR="007B5BB1" w:rsidRPr="007B5BB1" w:rsidSect="00194809">
          <w:headerReference w:type="even" r:id="rId54"/>
          <w:headerReference w:type="default" r:id="rId55"/>
          <w:footerReference w:type="default" r:id="rId56"/>
          <w:headerReference w:type="first" r:id="rId57"/>
          <w:pgSz w:w="12240" w:h="15840"/>
          <w:pgMar w:top="1440" w:right="1440" w:bottom="1440" w:left="1440" w:header="720" w:footer="720" w:gutter="0"/>
          <w:cols w:space="720"/>
          <w:docGrid w:linePitch="360"/>
        </w:sectPr>
      </w:pPr>
    </w:p>
    <w:p w14:paraId="37963A94" w14:textId="7A5A0381" w:rsidR="00CE57B2" w:rsidRPr="002D7B70" w:rsidRDefault="00CE57B2" w:rsidP="00FF5FCC">
      <w:pPr>
        <w:pStyle w:val="Heading1"/>
        <w:numPr>
          <w:ilvl w:val="0"/>
          <w:numId w:val="0"/>
        </w:numPr>
        <w:rPr>
          <w:sz w:val="32"/>
          <w:szCs w:val="32"/>
        </w:rPr>
      </w:pPr>
      <w:bookmarkStart w:id="616" w:name="_Toc481759099"/>
      <w:bookmarkStart w:id="617" w:name="_Toc482792939"/>
      <w:bookmarkStart w:id="618" w:name="_Toc31623024"/>
      <w:r>
        <w:lastRenderedPageBreak/>
        <w:t>Appendices</w:t>
      </w:r>
      <w:bookmarkEnd w:id="616"/>
      <w:bookmarkEnd w:id="617"/>
      <w:bookmarkEnd w:id="618"/>
      <w:r>
        <w:t xml:space="preserve"> </w:t>
      </w:r>
      <w:r w:rsidR="002D7B70">
        <w:t xml:space="preserve"> </w:t>
      </w:r>
    </w:p>
    <w:p w14:paraId="19522213" w14:textId="77777777" w:rsidR="00CE57B2" w:rsidRDefault="00CE57B2" w:rsidP="00CE57B2"/>
    <w:p w14:paraId="5B3567BF" w14:textId="77777777" w:rsidR="00695E77" w:rsidRPr="00695E77" w:rsidRDefault="00695E77" w:rsidP="00050DCF">
      <w:pPr>
        <w:pStyle w:val="ListParagraph"/>
        <w:keepNext/>
        <w:keepLines/>
        <w:numPr>
          <w:ilvl w:val="0"/>
          <w:numId w:val="28"/>
        </w:numPr>
        <w:spacing w:before="200" w:after="0"/>
        <w:contextualSpacing w:val="0"/>
        <w:outlineLvl w:val="1"/>
        <w:rPr>
          <w:rFonts w:asciiTheme="majorHAnsi" w:eastAsiaTheme="majorEastAsia" w:hAnsiTheme="majorHAnsi" w:cstheme="majorBidi"/>
          <w:b/>
          <w:bCs/>
          <w:vanish/>
          <w:color w:val="4F81BD" w:themeColor="accent1"/>
          <w:sz w:val="26"/>
          <w:szCs w:val="26"/>
        </w:rPr>
      </w:pPr>
      <w:bookmarkStart w:id="619" w:name="_Toc483566966"/>
      <w:bookmarkStart w:id="620" w:name="_Toc483917414"/>
      <w:bookmarkStart w:id="621" w:name="_Toc483995610"/>
      <w:bookmarkStart w:id="622" w:name="_Toc483995755"/>
      <w:bookmarkStart w:id="623" w:name="_Toc483996107"/>
      <w:bookmarkStart w:id="624" w:name="_Toc484607067"/>
      <w:bookmarkStart w:id="625" w:name="_Toc486238686"/>
      <w:bookmarkStart w:id="626" w:name="_Toc486329044"/>
      <w:bookmarkStart w:id="627" w:name="_Toc486407683"/>
      <w:bookmarkStart w:id="628" w:name="_Toc486407822"/>
      <w:bookmarkStart w:id="629" w:name="_Toc486492434"/>
      <w:bookmarkStart w:id="630" w:name="_Toc486499930"/>
      <w:bookmarkStart w:id="631" w:name="_Toc486501106"/>
      <w:bookmarkStart w:id="632" w:name="_Toc486508853"/>
      <w:bookmarkStart w:id="633" w:name="_Toc486516566"/>
      <w:bookmarkStart w:id="634" w:name="_Toc486577821"/>
      <w:bookmarkStart w:id="635" w:name="_Toc486579027"/>
      <w:bookmarkStart w:id="636" w:name="_Toc8132238"/>
      <w:bookmarkStart w:id="637" w:name="_Toc15548204"/>
      <w:bookmarkStart w:id="638" w:name="_Toc15549164"/>
      <w:bookmarkStart w:id="639" w:name="_Toc15549511"/>
      <w:bookmarkStart w:id="640" w:name="_Toc15549986"/>
      <w:bookmarkStart w:id="641" w:name="_Toc15550053"/>
      <w:bookmarkStart w:id="642" w:name="_Toc15560773"/>
      <w:bookmarkStart w:id="643" w:name="_Toc15882468"/>
      <w:bookmarkStart w:id="644" w:name="_Toc15882529"/>
      <w:bookmarkStart w:id="645" w:name="_Toc16147843"/>
      <w:bookmarkStart w:id="646" w:name="_Toc31350885"/>
      <w:bookmarkStart w:id="647" w:name="_Toc31357438"/>
      <w:bookmarkStart w:id="648" w:name="_Toc31357575"/>
      <w:bookmarkStart w:id="649" w:name="_Toc31358708"/>
      <w:bookmarkStart w:id="650" w:name="_Toc31359072"/>
      <w:bookmarkStart w:id="651" w:name="_Toc31623025"/>
      <w:bookmarkStart w:id="652" w:name="_Toc477863987"/>
      <w:bookmarkStart w:id="653" w:name="_Toc481759100"/>
      <w:bookmarkStart w:id="654" w:name="_Toc482792940"/>
      <w:bookmarkStart w:id="655" w:name="_Toc356762372"/>
      <w:bookmarkStart w:id="656" w:name="_Toc483566968"/>
      <w:bookmarkStart w:id="657" w:name="_Toc483996109"/>
      <w:bookmarkStart w:id="658" w:name="_Toc484607069"/>
      <w:bookmarkStart w:id="659" w:name="_Toc486238688"/>
      <w:bookmarkStart w:id="660" w:name="_Toc486329047"/>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p>
    <w:p w14:paraId="05518885" w14:textId="77777777" w:rsidR="00695E77" w:rsidRPr="00695E77" w:rsidRDefault="00695E77" w:rsidP="00050DCF">
      <w:pPr>
        <w:pStyle w:val="ListParagraph"/>
        <w:keepNext/>
        <w:keepLines/>
        <w:numPr>
          <w:ilvl w:val="0"/>
          <w:numId w:val="28"/>
        </w:numPr>
        <w:spacing w:before="200" w:after="0"/>
        <w:contextualSpacing w:val="0"/>
        <w:outlineLvl w:val="1"/>
        <w:rPr>
          <w:rFonts w:asciiTheme="majorHAnsi" w:eastAsiaTheme="majorEastAsia" w:hAnsiTheme="majorHAnsi" w:cstheme="majorBidi"/>
          <w:b/>
          <w:bCs/>
          <w:vanish/>
          <w:color w:val="4F81BD" w:themeColor="accent1"/>
          <w:sz w:val="26"/>
          <w:szCs w:val="26"/>
        </w:rPr>
      </w:pPr>
      <w:bookmarkStart w:id="661" w:name="_Toc486407684"/>
      <w:bookmarkStart w:id="662" w:name="_Toc486407823"/>
      <w:bookmarkStart w:id="663" w:name="_Toc486492435"/>
      <w:bookmarkStart w:id="664" w:name="_Toc486499931"/>
      <w:bookmarkStart w:id="665" w:name="_Toc486501107"/>
      <w:bookmarkStart w:id="666" w:name="_Toc486508854"/>
      <w:bookmarkStart w:id="667" w:name="_Toc486516567"/>
      <w:bookmarkStart w:id="668" w:name="_Toc486577822"/>
      <w:bookmarkStart w:id="669" w:name="_Toc486579028"/>
      <w:bookmarkStart w:id="670" w:name="_Toc8132239"/>
      <w:bookmarkStart w:id="671" w:name="_Toc15548205"/>
      <w:bookmarkStart w:id="672" w:name="_Toc15549165"/>
      <w:bookmarkStart w:id="673" w:name="_Toc15549512"/>
      <w:bookmarkStart w:id="674" w:name="_Toc15549987"/>
      <w:bookmarkStart w:id="675" w:name="_Toc15550054"/>
      <w:bookmarkStart w:id="676" w:name="_Toc15560774"/>
      <w:bookmarkStart w:id="677" w:name="_Toc15882469"/>
      <w:bookmarkStart w:id="678" w:name="_Toc15882530"/>
      <w:bookmarkStart w:id="679" w:name="_Toc16147844"/>
      <w:bookmarkStart w:id="680" w:name="_Toc31350886"/>
      <w:bookmarkStart w:id="681" w:name="_Toc31357439"/>
      <w:bookmarkStart w:id="682" w:name="_Toc31357576"/>
      <w:bookmarkStart w:id="683" w:name="_Toc31358709"/>
      <w:bookmarkStart w:id="684" w:name="_Toc31359073"/>
      <w:bookmarkStart w:id="685" w:name="_Toc31623026"/>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p>
    <w:p w14:paraId="2554770A" w14:textId="77777777" w:rsidR="00695E77" w:rsidRPr="00695E77" w:rsidRDefault="00695E77" w:rsidP="00050DCF">
      <w:pPr>
        <w:pStyle w:val="ListParagraph"/>
        <w:keepNext/>
        <w:keepLines/>
        <w:numPr>
          <w:ilvl w:val="0"/>
          <w:numId w:val="28"/>
        </w:numPr>
        <w:spacing w:before="200" w:after="0"/>
        <w:contextualSpacing w:val="0"/>
        <w:outlineLvl w:val="1"/>
        <w:rPr>
          <w:rFonts w:asciiTheme="majorHAnsi" w:eastAsiaTheme="majorEastAsia" w:hAnsiTheme="majorHAnsi" w:cstheme="majorBidi"/>
          <w:b/>
          <w:bCs/>
          <w:vanish/>
          <w:color w:val="4F81BD" w:themeColor="accent1"/>
          <w:sz w:val="26"/>
          <w:szCs w:val="26"/>
        </w:rPr>
      </w:pPr>
      <w:bookmarkStart w:id="686" w:name="_Toc486407685"/>
      <w:bookmarkStart w:id="687" w:name="_Toc486407824"/>
      <w:bookmarkStart w:id="688" w:name="_Toc486492436"/>
      <w:bookmarkStart w:id="689" w:name="_Toc486499932"/>
      <w:bookmarkStart w:id="690" w:name="_Toc486501108"/>
      <w:bookmarkStart w:id="691" w:name="_Toc486508855"/>
      <w:bookmarkStart w:id="692" w:name="_Toc486516568"/>
      <w:bookmarkStart w:id="693" w:name="_Toc486577823"/>
      <w:bookmarkStart w:id="694" w:name="_Toc486579029"/>
      <w:bookmarkStart w:id="695" w:name="_Toc8132240"/>
      <w:bookmarkStart w:id="696" w:name="_Toc15548206"/>
      <w:bookmarkStart w:id="697" w:name="_Toc15549166"/>
      <w:bookmarkStart w:id="698" w:name="_Toc15549513"/>
      <w:bookmarkStart w:id="699" w:name="_Toc15549988"/>
      <w:bookmarkStart w:id="700" w:name="_Toc15550055"/>
      <w:bookmarkStart w:id="701" w:name="_Toc15560775"/>
      <w:bookmarkStart w:id="702" w:name="_Toc15882470"/>
      <w:bookmarkStart w:id="703" w:name="_Toc15882531"/>
      <w:bookmarkStart w:id="704" w:name="_Toc16147845"/>
      <w:bookmarkStart w:id="705" w:name="_Toc31350887"/>
      <w:bookmarkStart w:id="706" w:name="_Toc31357440"/>
      <w:bookmarkStart w:id="707" w:name="_Toc31357577"/>
      <w:bookmarkStart w:id="708" w:name="_Toc31358710"/>
      <w:bookmarkStart w:id="709" w:name="_Toc31359074"/>
      <w:bookmarkStart w:id="710" w:name="_Toc31623027"/>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p>
    <w:p w14:paraId="020B966A" w14:textId="77777777" w:rsidR="00695E77" w:rsidRPr="00695E77" w:rsidRDefault="00695E77" w:rsidP="00050DCF">
      <w:pPr>
        <w:pStyle w:val="ListParagraph"/>
        <w:keepNext/>
        <w:keepLines/>
        <w:numPr>
          <w:ilvl w:val="0"/>
          <w:numId w:val="28"/>
        </w:numPr>
        <w:spacing w:before="200" w:after="0"/>
        <w:contextualSpacing w:val="0"/>
        <w:outlineLvl w:val="1"/>
        <w:rPr>
          <w:rFonts w:asciiTheme="majorHAnsi" w:eastAsiaTheme="majorEastAsia" w:hAnsiTheme="majorHAnsi" w:cstheme="majorBidi"/>
          <w:b/>
          <w:bCs/>
          <w:vanish/>
          <w:color w:val="4F81BD" w:themeColor="accent1"/>
          <w:sz w:val="26"/>
          <w:szCs w:val="26"/>
        </w:rPr>
      </w:pPr>
      <w:bookmarkStart w:id="711" w:name="_Toc486407686"/>
      <w:bookmarkStart w:id="712" w:name="_Toc486407825"/>
      <w:bookmarkStart w:id="713" w:name="_Toc486492437"/>
      <w:bookmarkStart w:id="714" w:name="_Toc486499933"/>
      <w:bookmarkStart w:id="715" w:name="_Toc486501109"/>
      <w:bookmarkStart w:id="716" w:name="_Toc486508856"/>
      <w:bookmarkStart w:id="717" w:name="_Toc486516569"/>
      <w:bookmarkStart w:id="718" w:name="_Toc486577824"/>
      <w:bookmarkStart w:id="719" w:name="_Toc486579030"/>
      <w:bookmarkStart w:id="720" w:name="_Toc8132241"/>
      <w:bookmarkStart w:id="721" w:name="_Toc15548207"/>
      <w:bookmarkStart w:id="722" w:name="_Toc15549167"/>
      <w:bookmarkStart w:id="723" w:name="_Toc15549514"/>
      <w:bookmarkStart w:id="724" w:name="_Toc15549989"/>
      <w:bookmarkStart w:id="725" w:name="_Toc15550056"/>
      <w:bookmarkStart w:id="726" w:name="_Toc15560776"/>
      <w:bookmarkStart w:id="727" w:name="_Toc15882471"/>
      <w:bookmarkStart w:id="728" w:name="_Toc15882532"/>
      <w:bookmarkStart w:id="729" w:name="_Toc16147846"/>
      <w:bookmarkStart w:id="730" w:name="_Toc31350888"/>
      <w:bookmarkStart w:id="731" w:name="_Toc31357441"/>
      <w:bookmarkStart w:id="732" w:name="_Toc31357578"/>
      <w:bookmarkStart w:id="733" w:name="_Toc31358711"/>
      <w:bookmarkStart w:id="734" w:name="_Toc31359075"/>
      <w:bookmarkStart w:id="735" w:name="_Toc31623028"/>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p>
    <w:p w14:paraId="7EF1F25D" w14:textId="346782A4" w:rsidR="008B78CC" w:rsidRPr="009A25B6" w:rsidRDefault="00CE57B2" w:rsidP="009A25B6">
      <w:pPr>
        <w:pStyle w:val="Heading4"/>
        <w:rPr>
          <w:sz w:val="24"/>
          <w:szCs w:val="24"/>
        </w:rPr>
      </w:pPr>
      <w:bookmarkStart w:id="736" w:name="_Toc486407826"/>
      <w:bookmarkStart w:id="737" w:name="_Toc486492438"/>
      <w:bookmarkStart w:id="738" w:name="_Toc486499934"/>
      <w:bookmarkStart w:id="739" w:name="_Toc486501110"/>
      <w:bookmarkStart w:id="740" w:name="_Toc486516570"/>
      <w:bookmarkStart w:id="741" w:name="_Toc486577825"/>
      <w:bookmarkStart w:id="742" w:name="_Toc486579031"/>
      <w:r w:rsidRPr="009A25B6">
        <w:rPr>
          <w:sz w:val="24"/>
          <w:szCs w:val="24"/>
        </w:rPr>
        <w:t>Acronyms</w:t>
      </w:r>
      <w:bookmarkStart w:id="743" w:name="_9.2_CDC_Updated"/>
      <w:bookmarkStart w:id="744" w:name="_9.3_List_of"/>
      <w:bookmarkStart w:id="745" w:name="_Toc477863988"/>
      <w:bookmarkEnd w:id="652"/>
      <w:bookmarkEnd w:id="653"/>
      <w:bookmarkEnd w:id="654"/>
      <w:bookmarkEnd w:id="655"/>
      <w:bookmarkEnd w:id="656"/>
      <w:bookmarkEnd w:id="657"/>
      <w:bookmarkEnd w:id="658"/>
      <w:bookmarkEnd w:id="659"/>
      <w:bookmarkEnd w:id="660"/>
      <w:bookmarkEnd w:id="736"/>
      <w:bookmarkEnd w:id="743"/>
      <w:bookmarkEnd w:id="744"/>
      <w:bookmarkEnd w:id="737"/>
      <w:bookmarkEnd w:id="738"/>
      <w:bookmarkEnd w:id="739"/>
      <w:bookmarkEnd w:id="740"/>
      <w:bookmarkEnd w:id="741"/>
      <w:bookmarkEnd w:id="742"/>
    </w:p>
    <w:p w14:paraId="22EBD438" w14:textId="2E3C053D" w:rsidR="00BF1ED8" w:rsidRPr="009A25B6" w:rsidRDefault="00BF1ED8" w:rsidP="009A25B6">
      <w:pPr>
        <w:pStyle w:val="Heading4"/>
        <w:rPr>
          <w:sz w:val="24"/>
          <w:szCs w:val="24"/>
        </w:rPr>
      </w:pPr>
      <w:bookmarkStart w:id="746" w:name="_Toc481759101"/>
      <w:bookmarkStart w:id="747" w:name="_Toc482792941"/>
      <w:bookmarkStart w:id="748" w:name="_Toc356762373"/>
      <w:bookmarkStart w:id="749" w:name="_Toc483566969"/>
      <w:bookmarkStart w:id="750" w:name="_Toc483996110"/>
      <w:bookmarkStart w:id="751" w:name="_Toc484607070"/>
      <w:bookmarkStart w:id="752" w:name="_Toc486238689"/>
      <w:bookmarkStart w:id="753" w:name="_Toc486329048"/>
      <w:bookmarkStart w:id="754" w:name="_Toc486407827"/>
      <w:bookmarkStart w:id="755" w:name="_Toc486492439"/>
      <w:bookmarkStart w:id="756" w:name="_Toc486499935"/>
      <w:bookmarkStart w:id="757" w:name="_Toc486501111"/>
      <w:bookmarkStart w:id="758" w:name="_Toc486516571"/>
      <w:bookmarkStart w:id="759" w:name="_Toc486577826"/>
      <w:bookmarkStart w:id="760" w:name="_Toc486579032"/>
      <w:r w:rsidRPr="009A25B6">
        <w:rPr>
          <w:sz w:val="24"/>
          <w:szCs w:val="24"/>
        </w:rPr>
        <w:t xml:space="preserve">List of </w:t>
      </w:r>
      <w:r w:rsidR="006641BB" w:rsidRPr="009A25B6">
        <w:rPr>
          <w:sz w:val="24"/>
          <w:szCs w:val="24"/>
        </w:rPr>
        <w:t>Infectious D</w:t>
      </w:r>
      <w:r w:rsidR="000F55FD" w:rsidRPr="009A25B6">
        <w:rPr>
          <w:sz w:val="24"/>
          <w:szCs w:val="24"/>
        </w:rPr>
        <w:t>isease</w:t>
      </w:r>
      <w:r w:rsidRPr="009A25B6">
        <w:rPr>
          <w:sz w:val="24"/>
          <w:szCs w:val="24"/>
        </w:rPr>
        <w:t>s Reportable by Law</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p>
    <w:p w14:paraId="514D3F9F" w14:textId="77777777" w:rsidR="00521F49" w:rsidRPr="009A25B6" w:rsidRDefault="007B5BB1" w:rsidP="009A25B6">
      <w:pPr>
        <w:pStyle w:val="Heading4"/>
        <w:rPr>
          <w:sz w:val="24"/>
          <w:szCs w:val="24"/>
        </w:rPr>
      </w:pPr>
      <w:bookmarkStart w:id="761" w:name="_Toc477863991"/>
      <w:bookmarkStart w:id="762" w:name="_Toc486238693"/>
      <w:bookmarkStart w:id="763" w:name="_Toc486329052"/>
      <w:bookmarkStart w:id="764" w:name="_Toc486407830"/>
      <w:bookmarkStart w:id="765" w:name="_Toc486492442"/>
      <w:bookmarkStart w:id="766" w:name="_Toc486499938"/>
      <w:bookmarkStart w:id="767" w:name="_Toc486501114"/>
      <w:bookmarkStart w:id="768" w:name="_Toc486516574"/>
      <w:bookmarkStart w:id="769" w:name="_Toc486577829"/>
      <w:bookmarkStart w:id="770" w:name="_Toc486579035"/>
      <w:bookmarkStart w:id="771" w:name="_Toc481759105"/>
      <w:bookmarkStart w:id="772" w:name="_Toc482792945"/>
      <w:bookmarkStart w:id="773" w:name="_Toc356762377"/>
      <w:bookmarkStart w:id="774" w:name="_Toc483566973"/>
      <w:bookmarkStart w:id="775" w:name="_Toc483996114"/>
      <w:bookmarkStart w:id="776" w:name="_Toc484607074"/>
      <w:r w:rsidRPr="009A25B6">
        <w:rPr>
          <w:sz w:val="24"/>
          <w:szCs w:val="24"/>
        </w:rPr>
        <w:t xml:space="preserve">Infectious Disease </w:t>
      </w:r>
      <w:r w:rsidR="00C05499" w:rsidRPr="009A25B6">
        <w:rPr>
          <w:sz w:val="24"/>
          <w:szCs w:val="24"/>
        </w:rPr>
        <w:t xml:space="preserve">Notification &amp; </w:t>
      </w:r>
      <w:r w:rsidRPr="009A25B6">
        <w:rPr>
          <w:sz w:val="24"/>
          <w:szCs w:val="24"/>
        </w:rPr>
        <w:t>Information Sharing</w:t>
      </w:r>
      <w:r w:rsidR="00C05499" w:rsidRPr="009A25B6">
        <w:rPr>
          <w:sz w:val="24"/>
          <w:szCs w:val="24"/>
        </w:rPr>
        <w:t xml:space="preserve"> Platforms</w:t>
      </w:r>
      <w:bookmarkEnd w:id="761"/>
      <w:bookmarkEnd w:id="762"/>
      <w:bookmarkEnd w:id="763"/>
      <w:bookmarkEnd w:id="764"/>
      <w:bookmarkEnd w:id="765"/>
      <w:bookmarkEnd w:id="766"/>
      <w:bookmarkEnd w:id="767"/>
      <w:bookmarkEnd w:id="768"/>
      <w:bookmarkEnd w:id="769"/>
      <w:bookmarkEnd w:id="770"/>
      <w:r w:rsidRPr="009A25B6">
        <w:rPr>
          <w:sz w:val="24"/>
          <w:szCs w:val="24"/>
        </w:rPr>
        <w:t xml:space="preserve">   </w:t>
      </w:r>
    </w:p>
    <w:p w14:paraId="1943AD2F" w14:textId="77777777" w:rsidR="00D94DC7" w:rsidRDefault="00521F49" w:rsidP="009A25B6">
      <w:pPr>
        <w:pStyle w:val="Heading4"/>
      </w:pPr>
      <w:bookmarkStart w:id="777" w:name="_Toc486329053"/>
      <w:bookmarkStart w:id="778" w:name="_Toc486407831"/>
      <w:bookmarkStart w:id="779" w:name="_Toc486492443"/>
      <w:bookmarkStart w:id="780" w:name="_Toc486499939"/>
      <w:bookmarkStart w:id="781" w:name="_Toc486501115"/>
      <w:bookmarkStart w:id="782" w:name="_Toc486516575"/>
      <w:bookmarkStart w:id="783" w:name="_Toc486577830"/>
      <w:bookmarkStart w:id="784" w:name="_Toc486579036"/>
      <w:r w:rsidRPr="009A25B6">
        <w:rPr>
          <w:sz w:val="24"/>
          <w:szCs w:val="24"/>
        </w:rPr>
        <w:t>CDC Recommendations for Non</w:t>
      </w:r>
      <w:r w:rsidR="003A5C0E" w:rsidRPr="009A25B6">
        <w:rPr>
          <w:sz w:val="24"/>
          <w:szCs w:val="24"/>
        </w:rPr>
        <w:t>-</w:t>
      </w:r>
      <w:r w:rsidRPr="009A25B6">
        <w:rPr>
          <w:sz w:val="24"/>
          <w:szCs w:val="24"/>
        </w:rPr>
        <w:t>pharmaceutical Interventions</w:t>
      </w:r>
      <w:bookmarkEnd w:id="777"/>
      <w:bookmarkEnd w:id="778"/>
      <w:bookmarkEnd w:id="779"/>
      <w:bookmarkEnd w:id="780"/>
      <w:bookmarkEnd w:id="781"/>
      <w:bookmarkEnd w:id="782"/>
      <w:bookmarkEnd w:id="783"/>
      <w:bookmarkEnd w:id="784"/>
      <w:r>
        <w:t xml:space="preserve"> </w:t>
      </w:r>
      <w:r w:rsidR="007B5BB1" w:rsidRPr="008B78CC">
        <w:t xml:space="preserve">   </w:t>
      </w:r>
    </w:p>
    <w:p w14:paraId="13401F2C" w14:textId="146B50F2" w:rsidR="00C05499" w:rsidRPr="00D94DC7" w:rsidRDefault="00D94DC7" w:rsidP="009A25B6">
      <w:pPr>
        <w:pStyle w:val="Heading4"/>
        <w:rPr>
          <w:sz w:val="24"/>
          <w:szCs w:val="24"/>
        </w:rPr>
      </w:pPr>
      <w:r w:rsidRPr="00D94DC7">
        <w:rPr>
          <w:sz w:val="24"/>
          <w:szCs w:val="24"/>
        </w:rPr>
        <w:t>Societal Sectors</w:t>
      </w:r>
      <w:r w:rsidR="007B5BB1" w:rsidRPr="00D94DC7">
        <w:rPr>
          <w:sz w:val="24"/>
          <w:szCs w:val="24"/>
        </w:rPr>
        <w:t xml:space="preserve">  </w:t>
      </w:r>
      <w:bookmarkEnd w:id="771"/>
      <w:bookmarkEnd w:id="772"/>
      <w:bookmarkEnd w:id="773"/>
      <w:bookmarkEnd w:id="774"/>
      <w:bookmarkEnd w:id="775"/>
      <w:bookmarkEnd w:id="776"/>
    </w:p>
    <w:p w14:paraId="5CF24833" w14:textId="77777777" w:rsidR="00C05499" w:rsidRDefault="00C05499" w:rsidP="00C05499"/>
    <w:p w14:paraId="55C8AE15" w14:textId="77777777" w:rsidR="008B78CC" w:rsidRDefault="008B78CC" w:rsidP="005B6CEC">
      <w:pPr>
        <w:pStyle w:val="Heading2"/>
        <w:sectPr w:rsidR="008B78CC" w:rsidSect="00194809">
          <w:headerReference w:type="even" r:id="rId58"/>
          <w:headerReference w:type="default" r:id="rId59"/>
          <w:footerReference w:type="default" r:id="rId60"/>
          <w:headerReference w:type="first" r:id="rId61"/>
          <w:pgSz w:w="12240" w:h="15840"/>
          <w:pgMar w:top="1440" w:right="1440" w:bottom="1440" w:left="1440" w:header="720" w:footer="720" w:gutter="0"/>
          <w:cols w:space="720"/>
          <w:docGrid w:linePitch="360"/>
        </w:sectPr>
      </w:pPr>
      <w:bookmarkStart w:id="785" w:name="_Toc476815912"/>
      <w:bookmarkStart w:id="786" w:name="_Toc477863993"/>
      <w:bookmarkStart w:id="787" w:name="_Toc477864177"/>
      <w:bookmarkStart w:id="788" w:name="_Toc477866417"/>
      <w:r>
        <w:br w:type="page"/>
      </w:r>
    </w:p>
    <w:p w14:paraId="0ECB4881" w14:textId="4FA1B84C" w:rsidR="001911F6" w:rsidRPr="009A25B6" w:rsidRDefault="005B6CEC" w:rsidP="00464B28">
      <w:pPr>
        <w:pStyle w:val="Heading3"/>
      </w:pPr>
      <w:bookmarkStart w:id="789" w:name="_Toc480546471"/>
      <w:bookmarkStart w:id="790" w:name="_Toc481759110"/>
      <w:bookmarkStart w:id="791" w:name="_Toc482792950"/>
      <w:bookmarkStart w:id="792" w:name="_Toc31623029"/>
      <w:r w:rsidRPr="009A25B6">
        <w:lastRenderedPageBreak/>
        <w:t>Acronyms</w:t>
      </w:r>
      <w:bookmarkEnd w:id="785"/>
      <w:bookmarkEnd w:id="786"/>
      <w:bookmarkEnd w:id="787"/>
      <w:bookmarkEnd w:id="788"/>
      <w:bookmarkEnd w:id="789"/>
      <w:bookmarkEnd w:id="790"/>
      <w:bookmarkEnd w:id="791"/>
      <w:bookmarkEnd w:id="792"/>
    </w:p>
    <w:tbl>
      <w:tblPr>
        <w:tblStyle w:val="TableGrid"/>
        <w:tblW w:w="0" w:type="auto"/>
        <w:tblLook w:val="04A0" w:firstRow="1" w:lastRow="0" w:firstColumn="1" w:lastColumn="0" w:noHBand="0" w:noVBand="1"/>
      </w:tblPr>
      <w:tblGrid>
        <w:gridCol w:w="2178"/>
        <w:gridCol w:w="7398"/>
      </w:tblGrid>
      <w:tr w:rsidR="00845782" w14:paraId="3553ED64" w14:textId="77777777" w:rsidTr="005B6CEC">
        <w:tc>
          <w:tcPr>
            <w:tcW w:w="2178" w:type="dxa"/>
          </w:tcPr>
          <w:p w14:paraId="20403053" w14:textId="77777777" w:rsidR="00845782" w:rsidRPr="00FF5FCC" w:rsidRDefault="00845782" w:rsidP="00CE57B2">
            <w:pPr>
              <w:rPr>
                <w:sz w:val="22"/>
                <w:szCs w:val="22"/>
              </w:rPr>
            </w:pPr>
            <w:r w:rsidRPr="00FF5FCC">
              <w:rPr>
                <w:sz w:val="22"/>
                <w:szCs w:val="22"/>
              </w:rPr>
              <w:t>AAR</w:t>
            </w:r>
          </w:p>
        </w:tc>
        <w:tc>
          <w:tcPr>
            <w:tcW w:w="7398" w:type="dxa"/>
          </w:tcPr>
          <w:p w14:paraId="598A9A72" w14:textId="77777777" w:rsidR="00845782" w:rsidRPr="00FF5FCC" w:rsidRDefault="00845782" w:rsidP="00CE57B2">
            <w:pPr>
              <w:rPr>
                <w:sz w:val="22"/>
                <w:szCs w:val="22"/>
              </w:rPr>
            </w:pPr>
            <w:r w:rsidRPr="00FF5FCC">
              <w:rPr>
                <w:sz w:val="22"/>
                <w:szCs w:val="22"/>
              </w:rPr>
              <w:t>After Action Report</w:t>
            </w:r>
          </w:p>
        </w:tc>
      </w:tr>
      <w:tr w:rsidR="005B6CEC" w14:paraId="33A92ACB" w14:textId="77777777" w:rsidTr="005B6CEC">
        <w:tc>
          <w:tcPr>
            <w:tcW w:w="2178" w:type="dxa"/>
          </w:tcPr>
          <w:p w14:paraId="6FC6F755" w14:textId="77777777" w:rsidR="005B6CEC" w:rsidRPr="00FF5FCC" w:rsidRDefault="00845782" w:rsidP="00CE57B2">
            <w:pPr>
              <w:rPr>
                <w:sz w:val="22"/>
                <w:szCs w:val="22"/>
              </w:rPr>
            </w:pPr>
            <w:r w:rsidRPr="00FF5FCC">
              <w:rPr>
                <w:sz w:val="22"/>
                <w:szCs w:val="22"/>
              </w:rPr>
              <w:t>APHL</w:t>
            </w:r>
          </w:p>
        </w:tc>
        <w:tc>
          <w:tcPr>
            <w:tcW w:w="7398" w:type="dxa"/>
          </w:tcPr>
          <w:p w14:paraId="3F0B6832" w14:textId="77777777" w:rsidR="005B6CEC" w:rsidRPr="00FF5FCC" w:rsidRDefault="00845782" w:rsidP="00CE57B2">
            <w:pPr>
              <w:rPr>
                <w:sz w:val="22"/>
                <w:szCs w:val="22"/>
              </w:rPr>
            </w:pPr>
            <w:r w:rsidRPr="00FF5FCC">
              <w:rPr>
                <w:sz w:val="22"/>
                <w:szCs w:val="22"/>
              </w:rPr>
              <w:t>Association of Public Health Laboratories</w:t>
            </w:r>
          </w:p>
        </w:tc>
      </w:tr>
      <w:tr w:rsidR="00F64F40" w14:paraId="413BC0E5" w14:textId="77777777" w:rsidTr="005B6CEC">
        <w:tc>
          <w:tcPr>
            <w:tcW w:w="2178" w:type="dxa"/>
          </w:tcPr>
          <w:p w14:paraId="7BDB8569" w14:textId="77777777" w:rsidR="00F64F40" w:rsidRPr="00FF5FCC" w:rsidRDefault="00F64F40" w:rsidP="00CE57B2">
            <w:pPr>
              <w:rPr>
                <w:sz w:val="22"/>
                <w:szCs w:val="22"/>
              </w:rPr>
            </w:pPr>
            <w:r w:rsidRPr="00FF5FCC">
              <w:rPr>
                <w:sz w:val="22"/>
                <w:szCs w:val="22"/>
              </w:rPr>
              <w:t>BHCSQ</w:t>
            </w:r>
          </w:p>
        </w:tc>
        <w:tc>
          <w:tcPr>
            <w:tcW w:w="7398" w:type="dxa"/>
          </w:tcPr>
          <w:p w14:paraId="2F99FAEA" w14:textId="77777777" w:rsidR="00F64F40" w:rsidRPr="00FF5FCC" w:rsidRDefault="00F64F40" w:rsidP="00CE57B2">
            <w:pPr>
              <w:rPr>
                <w:sz w:val="22"/>
                <w:szCs w:val="22"/>
              </w:rPr>
            </w:pPr>
            <w:r w:rsidRPr="00FF5FCC">
              <w:rPr>
                <w:sz w:val="22"/>
                <w:szCs w:val="22"/>
              </w:rPr>
              <w:t>Bureau of Health Care Safety and Quality</w:t>
            </w:r>
          </w:p>
        </w:tc>
      </w:tr>
      <w:tr w:rsidR="005B6CEC" w14:paraId="4CD55ECA" w14:textId="77777777" w:rsidTr="005B6CEC">
        <w:tc>
          <w:tcPr>
            <w:tcW w:w="2178" w:type="dxa"/>
          </w:tcPr>
          <w:p w14:paraId="2C63DB86" w14:textId="77777777" w:rsidR="005B6CEC" w:rsidRPr="00FF5FCC" w:rsidRDefault="00845782" w:rsidP="00CE57B2">
            <w:pPr>
              <w:rPr>
                <w:sz w:val="22"/>
                <w:szCs w:val="22"/>
              </w:rPr>
            </w:pPr>
            <w:r w:rsidRPr="00FF5FCC">
              <w:rPr>
                <w:sz w:val="22"/>
                <w:szCs w:val="22"/>
              </w:rPr>
              <w:t>BIDLS</w:t>
            </w:r>
          </w:p>
        </w:tc>
        <w:tc>
          <w:tcPr>
            <w:tcW w:w="7398" w:type="dxa"/>
          </w:tcPr>
          <w:p w14:paraId="0DE95E5A" w14:textId="77777777" w:rsidR="005B6CEC" w:rsidRPr="00FF5FCC" w:rsidRDefault="00845782" w:rsidP="00CE57B2">
            <w:pPr>
              <w:rPr>
                <w:sz w:val="22"/>
                <w:szCs w:val="22"/>
              </w:rPr>
            </w:pPr>
            <w:r w:rsidRPr="00FF5FCC">
              <w:rPr>
                <w:sz w:val="22"/>
                <w:szCs w:val="22"/>
              </w:rPr>
              <w:t xml:space="preserve">Bureau of </w:t>
            </w:r>
            <w:r w:rsidR="00F64F40" w:rsidRPr="00FF5FCC">
              <w:rPr>
                <w:sz w:val="22"/>
                <w:szCs w:val="22"/>
              </w:rPr>
              <w:t>Infectious D</w:t>
            </w:r>
            <w:r w:rsidR="000F55FD" w:rsidRPr="00FF5FCC">
              <w:rPr>
                <w:sz w:val="22"/>
                <w:szCs w:val="22"/>
              </w:rPr>
              <w:t>isease</w:t>
            </w:r>
            <w:r w:rsidRPr="00FF5FCC">
              <w:rPr>
                <w:sz w:val="22"/>
                <w:szCs w:val="22"/>
              </w:rPr>
              <w:t xml:space="preserve"> and Laboratory Sciences</w:t>
            </w:r>
          </w:p>
        </w:tc>
      </w:tr>
      <w:tr w:rsidR="005B6CEC" w14:paraId="133651C8" w14:textId="77777777" w:rsidTr="005B6CEC">
        <w:tc>
          <w:tcPr>
            <w:tcW w:w="2178" w:type="dxa"/>
          </w:tcPr>
          <w:p w14:paraId="30A238C9" w14:textId="77777777" w:rsidR="005B6CEC" w:rsidRPr="00FF5FCC" w:rsidRDefault="00845782" w:rsidP="00CE57B2">
            <w:pPr>
              <w:rPr>
                <w:sz w:val="22"/>
                <w:szCs w:val="22"/>
              </w:rPr>
            </w:pPr>
            <w:r w:rsidRPr="00FF5FCC">
              <w:rPr>
                <w:sz w:val="22"/>
                <w:szCs w:val="22"/>
              </w:rPr>
              <w:t>CDC</w:t>
            </w:r>
          </w:p>
        </w:tc>
        <w:tc>
          <w:tcPr>
            <w:tcW w:w="7398" w:type="dxa"/>
          </w:tcPr>
          <w:p w14:paraId="5A6942D8" w14:textId="77777777" w:rsidR="005B6CEC" w:rsidRPr="00FF5FCC" w:rsidRDefault="00845782" w:rsidP="00CE57B2">
            <w:pPr>
              <w:rPr>
                <w:sz w:val="22"/>
                <w:szCs w:val="22"/>
              </w:rPr>
            </w:pPr>
            <w:r w:rsidRPr="00FF5FCC">
              <w:rPr>
                <w:sz w:val="22"/>
                <w:szCs w:val="22"/>
              </w:rPr>
              <w:t>Center for Disease Control and Prevention</w:t>
            </w:r>
          </w:p>
        </w:tc>
      </w:tr>
      <w:tr w:rsidR="00845782" w14:paraId="21DA844F" w14:textId="77777777" w:rsidTr="005B6CEC">
        <w:tc>
          <w:tcPr>
            <w:tcW w:w="2178" w:type="dxa"/>
          </w:tcPr>
          <w:p w14:paraId="25EC1C0E" w14:textId="77777777" w:rsidR="00845782" w:rsidRPr="00FF5FCC" w:rsidRDefault="00845782" w:rsidP="00CE57B2">
            <w:pPr>
              <w:rPr>
                <w:sz w:val="22"/>
                <w:szCs w:val="22"/>
              </w:rPr>
            </w:pPr>
            <w:r w:rsidRPr="00FF5FCC">
              <w:rPr>
                <w:sz w:val="22"/>
                <w:szCs w:val="22"/>
              </w:rPr>
              <w:t>COOP</w:t>
            </w:r>
          </w:p>
        </w:tc>
        <w:tc>
          <w:tcPr>
            <w:tcW w:w="7398" w:type="dxa"/>
          </w:tcPr>
          <w:p w14:paraId="6DFD19FA" w14:textId="77777777" w:rsidR="00845782" w:rsidRPr="00FF5FCC" w:rsidRDefault="00845782" w:rsidP="00CE57B2">
            <w:pPr>
              <w:rPr>
                <w:sz w:val="22"/>
                <w:szCs w:val="22"/>
              </w:rPr>
            </w:pPr>
            <w:r w:rsidRPr="00FF5FCC">
              <w:rPr>
                <w:sz w:val="22"/>
                <w:szCs w:val="22"/>
              </w:rPr>
              <w:t>Continuity of Operations Plan</w:t>
            </w:r>
          </w:p>
        </w:tc>
      </w:tr>
      <w:tr w:rsidR="00286F57" w14:paraId="1A1462D6" w14:textId="77777777" w:rsidTr="005B6CEC">
        <w:tc>
          <w:tcPr>
            <w:tcW w:w="2178" w:type="dxa"/>
          </w:tcPr>
          <w:p w14:paraId="5712812C" w14:textId="77777777" w:rsidR="00286F57" w:rsidRPr="00FF5FCC" w:rsidRDefault="00286F57" w:rsidP="00CE57B2">
            <w:pPr>
              <w:rPr>
                <w:sz w:val="22"/>
                <w:szCs w:val="22"/>
              </w:rPr>
            </w:pPr>
            <w:r w:rsidRPr="00FF5FCC">
              <w:rPr>
                <w:sz w:val="22"/>
                <w:szCs w:val="22"/>
              </w:rPr>
              <w:t>DEP</w:t>
            </w:r>
          </w:p>
        </w:tc>
        <w:tc>
          <w:tcPr>
            <w:tcW w:w="7398" w:type="dxa"/>
          </w:tcPr>
          <w:p w14:paraId="7BF250D8" w14:textId="77777777" w:rsidR="00286F57" w:rsidRPr="00FF5FCC" w:rsidRDefault="00286F57" w:rsidP="00CE57B2">
            <w:pPr>
              <w:rPr>
                <w:sz w:val="22"/>
                <w:szCs w:val="22"/>
              </w:rPr>
            </w:pPr>
            <w:r w:rsidRPr="00FF5FCC">
              <w:rPr>
                <w:sz w:val="22"/>
                <w:szCs w:val="22"/>
              </w:rPr>
              <w:t>Department of Environmental Protection</w:t>
            </w:r>
          </w:p>
        </w:tc>
      </w:tr>
      <w:tr w:rsidR="00845782" w14:paraId="7BFAAECF" w14:textId="77777777" w:rsidTr="005B6CEC">
        <w:tc>
          <w:tcPr>
            <w:tcW w:w="2178" w:type="dxa"/>
          </w:tcPr>
          <w:p w14:paraId="1B2062AB" w14:textId="77777777" w:rsidR="00845782" w:rsidRPr="00FF5FCC" w:rsidRDefault="00845782" w:rsidP="00CE57B2">
            <w:pPr>
              <w:rPr>
                <w:sz w:val="22"/>
                <w:szCs w:val="22"/>
              </w:rPr>
            </w:pPr>
            <w:r w:rsidRPr="00FF5FCC">
              <w:rPr>
                <w:sz w:val="22"/>
                <w:szCs w:val="22"/>
              </w:rPr>
              <w:t>DESE</w:t>
            </w:r>
          </w:p>
        </w:tc>
        <w:tc>
          <w:tcPr>
            <w:tcW w:w="7398" w:type="dxa"/>
          </w:tcPr>
          <w:p w14:paraId="4475F311" w14:textId="77777777" w:rsidR="00845782" w:rsidRPr="00FF5FCC" w:rsidRDefault="00845782" w:rsidP="00CE57B2">
            <w:pPr>
              <w:rPr>
                <w:sz w:val="22"/>
                <w:szCs w:val="22"/>
              </w:rPr>
            </w:pPr>
            <w:r w:rsidRPr="00FF5FCC">
              <w:rPr>
                <w:sz w:val="22"/>
                <w:szCs w:val="22"/>
              </w:rPr>
              <w:t>Department of Elementary and Secondary Education</w:t>
            </w:r>
          </w:p>
        </w:tc>
      </w:tr>
      <w:tr w:rsidR="005B6CEC" w14:paraId="32B7014A" w14:textId="77777777" w:rsidTr="005B6CEC">
        <w:tc>
          <w:tcPr>
            <w:tcW w:w="2178" w:type="dxa"/>
          </w:tcPr>
          <w:p w14:paraId="5B114105" w14:textId="77777777" w:rsidR="005B6CEC" w:rsidRPr="00FF5FCC" w:rsidRDefault="00845782" w:rsidP="00CE57B2">
            <w:pPr>
              <w:rPr>
                <w:sz w:val="22"/>
                <w:szCs w:val="22"/>
              </w:rPr>
            </w:pPr>
            <w:r w:rsidRPr="00FF5FCC">
              <w:rPr>
                <w:sz w:val="22"/>
                <w:szCs w:val="22"/>
              </w:rPr>
              <w:t>DMH</w:t>
            </w:r>
          </w:p>
        </w:tc>
        <w:tc>
          <w:tcPr>
            <w:tcW w:w="7398" w:type="dxa"/>
          </w:tcPr>
          <w:p w14:paraId="3FF8468A" w14:textId="77777777" w:rsidR="005B6CEC" w:rsidRPr="00FF5FCC" w:rsidRDefault="00845782" w:rsidP="00CE57B2">
            <w:pPr>
              <w:rPr>
                <w:sz w:val="22"/>
                <w:szCs w:val="22"/>
              </w:rPr>
            </w:pPr>
            <w:r w:rsidRPr="00FF5FCC">
              <w:rPr>
                <w:sz w:val="22"/>
                <w:szCs w:val="22"/>
              </w:rPr>
              <w:t>Department of Mental Health</w:t>
            </w:r>
          </w:p>
        </w:tc>
      </w:tr>
      <w:tr w:rsidR="00845782" w14:paraId="1E28E015" w14:textId="77777777" w:rsidTr="005B6CEC">
        <w:tc>
          <w:tcPr>
            <w:tcW w:w="2178" w:type="dxa"/>
          </w:tcPr>
          <w:p w14:paraId="31B92F9A" w14:textId="77777777" w:rsidR="00845782" w:rsidRPr="00FF5FCC" w:rsidRDefault="00845782" w:rsidP="00CE57B2">
            <w:pPr>
              <w:rPr>
                <w:sz w:val="22"/>
                <w:szCs w:val="22"/>
              </w:rPr>
            </w:pPr>
            <w:r w:rsidRPr="00FF5FCC">
              <w:rPr>
                <w:sz w:val="22"/>
                <w:szCs w:val="22"/>
              </w:rPr>
              <w:t>DOC</w:t>
            </w:r>
          </w:p>
        </w:tc>
        <w:tc>
          <w:tcPr>
            <w:tcW w:w="7398" w:type="dxa"/>
          </w:tcPr>
          <w:p w14:paraId="2863F7DF" w14:textId="77777777" w:rsidR="00845782" w:rsidRPr="00FF5FCC" w:rsidRDefault="00845782" w:rsidP="00172D92">
            <w:pPr>
              <w:rPr>
                <w:sz w:val="22"/>
                <w:szCs w:val="22"/>
              </w:rPr>
            </w:pPr>
            <w:r w:rsidRPr="00FF5FCC">
              <w:rPr>
                <w:sz w:val="22"/>
                <w:szCs w:val="22"/>
              </w:rPr>
              <w:t xml:space="preserve">Department Operations Center </w:t>
            </w:r>
          </w:p>
        </w:tc>
      </w:tr>
      <w:tr w:rsidR="00172D92" w14:paraId="1725B4E3" w14:textId="77777777" w:rsidTr="005B6CEC">
        <w:tc>
          <w:tcPr>
            <w:tcW w:w="2178" w:type="dxa"/>
          </w:tcPr>
          <w:p w14:paraId="212956B4" w14:textId="77777777" w:rsidR="00172D92" w:rsidRPr="00FF5FCC" w:rsidRDefault="00172D92" w:rsidP="00CE57B2">
            <w:pPr>
              <w:rPr>
                <w:sz w:val="22"/>
                <w:szCs w:val="22"/>
              </w:rPr>
            </w:pPr>
            <w:r w:rsidRPr="00FF5FCC">
              <w:rPr>
                <w:sz w:val="22"/>
                <w:szCs w:val="22"/>
              </w:rPr>
              <w:t>ECP</w:t>
            </w:r>
          </w:p>
        </w:tc>
        <w:tc>
          <w:tcPr>
            <w:tcW w:w="7398" w:type="dxa"/>
          </w:tcPr>
          <w:p w14:paraId="49EFFF65" w14:textId="77777777" w:rsidR="00172D92" w:rsidRPr="00FF5FCC" w:rsidRDefault="00172D92" w:rsidP="00CE57B2">
            <w:pPr>
              <w:rPr>
                <w:sz w:val="22"/>
                <w:szCs w:val="22"/>
              </w:rPr>
            </w:pPr>
            <w:r w:rsidRPr="00FF5FCC">
              <w:rPr>
                <w:sz w:val="22"/>
                <w:szCs w:val="22"/>
              </w:rPr>
              <w:t>Emergency Coordination Plan (HMCC)</w:t>
            </w:r>
          </w:p>
        </w:tc>
      </w:tr>
      <w:tr w:rsidR="000E3E80" w14:paraId="3798E30C" w14:textId="77777777" w:rsidTr="005B6CEC">
        <w:tc>
          <w:tcPr>
            <w:tcW w:w="2178" w:type="dxa"/>
          </w:tcPr>
          <w:p w14:paraId="1C993139" w14:textId="77777777" w:rsidR="000E3E80" w:rsidRPr="00FF5FCC" w:rsidRDefault="000E3E80" w:rsidP="00CE57B2">
            <w:pPr>
              <w:rPr>
                <w:sz w:val="22"/>
                <w:szCs w:val="22"/>
              </w:rPr>
            </w:pPr>
            <w:r w:rsidRPr="00FF5FCC">
              <w:rPr>
                <w:sz w:val="22"/>
                <w:szCs w:val="22"/>
              </w:rPr>
              <w:t>EEC</w:t>
            </w:r>
          </w:p>
        </w:tc>
        <w:tc>
          <w:tcPr>
            <w:tcW w:w="7398" w:type="dxa"/>
          </w:tcPr>
          <w:p w14:paraId="3C02197F" w14:textId="77777777" w:rsidR="000E3E80" w:rsidRPr="00FF5FCC" w:rsidRDefault="000E3E80" w:rsidP="00CE57B2">
            <w:pPr>
              <w:rPr>
                <w:sz w:val="22"/>
                <w:szCs w:val="22"/>
              </w:rPr>
            </w:pPr>
            <w:r w:rsidRPr="00FF5FCC">
              <w:rPr>
                <w:sz w:val="22"/>
                <w:szCs w:val="22"/>
              </w:rPr>
              <w:t>Department of Early Education and Care</w:t>
            </w:r>
          </w:p>
        </w:tc>
      </w:tr>
      <w:tr w:rsidR="00845782" w14:paraId="47E0089F" w14:textId="77777777" w:rsidTr="005B6CEC">
        <w:tc>
          <w:tcPr>
            <w:tcW w:w="2178" w:type="dxa"/>
          </w:tcPr>
          <w:p w14:paraId="7F4B08E4" w14:textId="77777777" w:rsidR="00845782" w:rsidRPr="00FF5FCC" w:rsidRDefault="00845782" w:rsidP="00CE57B2">
            <w:pPr>
              <w:rPr>
                <w:sz w:val="22"/>
                <w:szCs w:val="22"/>
              </w:rPr>
            </w:pPr>
            <w:r w:rsidRPr="00FF5FCC">
              <w:rPr>
                <w:sz w:val="22"/>
                <w:szCs w:val="22"/>
              </w:rPr>
              <w:t>EOC</w:t>
            </w:r>
          </w:p>
        </w:tc>
        <w:tc>
          <w:tcPr>
            <w:tcW w:w="7398" w:type="dxa"/>
          </w:tcPr>
          <w:p w14:paraId="7CA1023E" w14:textId="77777777" w:rsidR="00845782" w:rsidRPr="00FF5FCC" w:rsidRDefault="00845782" w:rsidP="00CE57B2">
            <w:pPr>
              <w:rPr>
                <w:sz w:val="22"/>
                <w:szCs w:val="22"/>
              </w:rPr>
            </w:pPr>
            <w:r w:rsidRPr="00FF5FCC">
              <w:rPr>
                <w:sz w:val="22"/>
                <w:szCs w:val="22"/>
              </w:rPr>
              <w:t>Emergency Operations Center</w:t>
            </w:r>
          </w:p>
        </w:tc>
      </w:tr>
      <w:tr w:rsidR="00845782" w14:paraId="785357D0" w14:textId="77777777" w:rsidTr="005B6CEC">
        <w:tc>
          <w:tcPr>
            <w:tcW w:w="2178" w:type="dxa"/>
          </w:tcPr>
          <w:p w14:paraId="78B79E97" w14:textId="77777777" w:rsidR="00845782" w:rsidRPr="00FF5FCC" w:rsidRDefault="00845782" w:rsidP="00CE57B2">
            <w:pPr>
              <w:rPr>
                <w:sz w:val="22"/>
                <w:szCs w:val="22"/>
              </w:rPr>
            </w:pPr>
            <w:r w:rsidRPr="00FF5FCC">
              <w:rPr>
                <w:sz w:val="22"/>
                <w:szCs w:val="22"/>
              </w:rPr>
              <w:t>EOP</w:t>
            </w:r>
          </w:p>
        </w:tc>
        <w:tc>
          <w:tcPr>
            <w:tcW w:w="7398" w:type="dxa"/>
          </w:tcPr>
          <w:p w14:paraId="374BF719" w14:textId="77777777" w:rsidR="00845782" w:rsidRPr="00FF5FCC" w:rsidRDefault="00845782" w:rsidP="00CE57B2">
            <w:pPr>
              <w:rPr>
                <w:sz w:val="22"/>
                <w:szCs w:val="22"/>
              </w:rPr>
            </w:pPr>
            <w:r w:rsidRPr="00FF5FCC">
              <w:rPr>
                <w:sz w:val="22"/>
                <w:szCs w:val="22"/>
              </w:rPr>
              <w:t>Emergency Operations Plan</w:t>
            </w:r>
          </w:p>
        </w:tc>
      </w:tr>
      <w:tr w:rsidR="00840300" w14:paraId="3068497F" w14:textId="77777777" w:rsidTr="005B6CEC">
        <w:tc>
          <w:tcPr>
            <w:tcW w:w="2178" w:type="dxa"/>
          </w:tcPr>
          <w:p w14:paraId="305CCFAF" w14:textId="77777777" w:rsidR="00840300" w:rsidRPr="00FF5FCC" w:rsidRDefault="00840300" w:rsidP="00CE57B2">
            <w:pPr>
              <w:rPr>
                <w:sz w:val="22"/>
                <w:szCs w:val="22"/>
              </w:rPr>
            </w:pPr>
            <w:r w:rsidRPr="00FF5FCC">
              <w:rPr>
                <w:sz w:val="22"/>
                <w:szCs w:val="22"/>
              </w:rPr>
              <w:t>ESF</w:t>
            </w:r>
          </w:p>
        </w:tc>
        <w:tc>
          <w:tcPr>
            <w:tcW w:w="7398" w:type="dxa"/>
          </w:tcPr>
          <w:p w14:paraId="73982FA2" w14:textId="77777777" w:rsidR="00840300" w:rsidRPr="00FF5FCC" w:rsidRDefault="00840300" w:rsidP="00CE57B2">
            <w:pPr>
              <w:rPr>
                <w:sz w:val="22"/>
                <w:szCs w:val="22"/>
              </w:rPr>
            </w:pPr>
            <w:r w:rsidRPr="00FF5FCC">
              <w:rPr>
                <w:sz w:val="22"/>
                <w:szCs w:val="22"/>
              </w:rPr>
              <w:t>Emergency Support Function</w:t>
            </w:r>
          </w:p>
        </w:tc>
      </w:tr>
      <w:tr w:rsidR="000E3E80" w14:paraId="33C784D8" w14:textId="77777777" w:rsidTr="005B6CEC">
        <w:tc>
          <w:tcPr>
            <w:tcW w:w="2178" w:type="dxa"/>
          </w:tcPr>
          <w:p w14:paraId="2BD8597D" w14:textId="77777777" w:rsidR="000E3E80" w:rsidRPr="00FF5FCC" w:rsidRDefault="000E3E80" w:rsidP="00CE57B2">
            <w:pPr>
              <w:rPr>
                <w:sz w:val="22"/>
                <w:szCs w:val="22"/>
              </w:rPr>
            </w:pPr>
            <w:r w:rsidRPr="00FF5FCC">
              <w:rPr>
                <w:sz w:val="22"/>
                <w:szCs w:val="22"/>
              </w:rPr>
              <w:t>FEMA</w:t>
            </w:r>
          </w:p>
        </w:tc>
        <w:tc>
          <w:tcPr>
            <w:tcW w:w="7398" w:type="dxa"/>
          </w:tcPr>
          <w:p w14:paraId="25EDEDC6" w14:textId="77777777" w:rsidR="000E3E80" w:rsidRPr="00FF5FCC" w:rsidRDefault="000E3E80" w:rsidP="00CE57B2">
            <w:pPr>
              <w:rPr>
                <w:sz w:val="22"/>
                <w:szCs w:val="22"/>
              </w:rPr>
            </w:pPr>
            <w:r w:rsidRPr="00FF5FCC">
              <w:rPr>
                <w:sz w:val="22"/>
                <w:szCs w:val="22"/>
              </w:rPr>
              <w:t>Federal Emergency Management Agency</w:t>
            </w:r>
          </w:p>
        </w:tc>
      </w:tr>
      <w:tr w:rsidR="005B6CEC" w14:paraId="7057D74A" w14:textId="77777777" w:rsidTr="005B6CEC">
        <w:tc>
          <w:tcPr>
            <w:tcW w:w="2178" w:type="dxa"/>
          </w:tcPr>
          <w:p w14:paraId="084029FD" w14:textId="77777777" w:rsidR="005B6CEC" w:rsidRPr="00FF5FCC" w:rsidRDefault="00845782" w:rsidP="00CE57B2">
            <w:pPr>
              <w:rPr>
                <w:sz w:val="22"/>
                <w:szCs w:val="22"/>
              </w:rPr>
            </w:pPr>
            <w:r w:rsidRPr="00FF5FCC">
              <w:rPr>
                <w:sz w:val="22"/>
                <w:szCs w:val="22"/>
              </w:rPr>
              <w:t>ICS</w:t>
            </w:r>
          </w:p>
        </w:tc>
        <w:tc>
          <w:tcPr>
            <w:tcW w:w="7398" w:type="dxa"/>
          </w:tcPr>
          <w:p w14:paraId="20978862" w14:textId="77777777" w:rsidR="005B6CEC" w:rsidRPr="00FF5FCC" w:rsidRDefault="00845782" w:rsidP="00CE57B2">
            <w:pPr>
              <w:rPr>
                <w:sz w:val="22"/>
                <w:szCs w:val="22"/>
              </w:rPr>
            </w:pPr>
            <w:r w:rsidRPr="00FF5FCC">
              <w:rPr>
                <w:sz w:val="22"/>
                <w:szCs w:val="22"/>
              </w:rPr>
              <w:t>Incident Command System</w:t>
            </w:r>
          </w:p>
        </w:tc>
      </w:tr>
      <w:tr w:rsidR="00B4293A" w14:paraId="09A1C3FE" w14:textId="77777777" w:rsidTr="005B6CEC">
        <w:tc>
          <w:tcPr>
            <w:tcW w:w="2178" w:type="dxa"/>
          </w:tcPr>
          <w:p w14:paraId="74EB1ADB" w14:textId="77777777" w:rsidR="00B4293A" w:rsidRPr="00FF5FCC" w:rsidRDefault="00B4293A" w:rsidP="00C22EF5">
            <w:pPr>
              <w:rPr>
                <w:sz w:val="22"/>
                <w:szCs w:val="22"/>
              </w:rPr>
            </w:pPr>
            <w:r w:rsidRPr="00FF5FCC">
              <w:rPr>
                <w:sz w:val="22"/>
                <w:szCs w:val="22"/>
              </w:rPr>
              <w:t>IDER</w:t>
            </w:r>
          </w:p>
        </w:tc>
        <w:tc>
          <w:tcPr>
            <w:tcW w:w="7398" w:type="dxa"/>
          </w:tcPr>
          <w:p w14:paraId="7A722FD4" w14:textId="77777777" w:rsidR="00B4293A" w:rsidRPr="00FF5FCC" w:rsidRDefault="00B4293A" w:rsidP="00C22EF5">
            <w:pPr>
              <w:rPr>
                <w:sz w:val="22"/>
                <w:szCs w:val="22"/>
              </w:rPr>
            </w:pPr>
            <w:r w:rsidRPr="00FF5FCC">
              <w:rPr>
                <w:sz w:val="22"/>
                <w:szCs w:val="22"/>
              </w:rPr>
              <w:t>Infectious Disease Emergency Response</w:t>
            </w:r>
          </w:p>
        </w:tc>
      </w:tr>
      <w:tr w:rsidR="00B4293A" w14:paraId="413407D6" w14:textId="77777777" w:rsidTr="005B6CEC">
        <w:tc>
          <w:tcPr>
            <w:tcW w:w="2178" w:type="dxa"/>
          </w:tcPr>
          <w:p w14:paraId="1DE89103" w14:textId="77777777" w:rsidR="00B4293A" w:rsidRPr="00FF5FCC" w:rsidRDefault="00B4293A" w:rsidP="00C22EF5">
            <w:pPr>
              <w:rPr>
                <w:sz w:val="22"/>
                <w:szCs w:val="22"/>
              </w:rPr>
            </w:pPr>
            <w:r w:rsidRPr="00FF5FCC">
              <w:rPr>
                <w:sz w:val="22"/>
                <w:szCs w:val="22"/>
              </w:rPr>
              <w:t>IP</w:t>
            </w:r>
          </w:p>
        </w:tc>
        <w:tc>
          <w:tcPr>
            <w:tcW w:w="7398" w:type="dxa"/>
          </w:tcPr>
          <w:p w14:paraId="7E0FDA3B" w14:textId="77777777" w:rsidR="00B4293A" w:rsidRPr="00FF5FCC" w:rsidRDefault="00B4293A" w:rsidP="00C22EF5">
            <w:pPr>
              <w:rPr>
                <w:sz w:val="22"/>
                <w:szCs w:val="22"/>
              </w:rPr>
            </w:pPr>
            <w:r w:rsidRPr="00FF5FCC">
              <w:rPr>
                <w:sz w:val="22"/>
                <w:szCs w:val="22"/>
              </w:rPr>
              <w:t xml:space="preserve">Infection </w:t>
            </w:r>
            <w:proofErr w:type="spellStart"/>
            <w:r w:rsidRPr="00FF5FCC">
              <w:rPr>
                <w:sz w:val="22"/>
                <w:szCs w:val="22"/>
              </w:rPr>
              <w:t>Preventionist</w:t>
            </w:r>
            <w:proofErr w:type="spellEnd"/>
          </w:p>
        </w:tc>
      </w:tr>
      <w:tr w:rsidR="00B4293A" w14:paraId="7830A8CE" w14:textId="77777777" w:rsidTr="005B6CEC">
        <w:tc>
          <w:tcPr>
            <w:tcW w:w="2178" w:type="dxa"/>
          </w:tcPr>
          <w:p w14:paraId="041D8712" w14:textId="77777777" w:rsidR="00B4293A" w:rsidRPr="00FF5FCC" w:rsidRDefault="00B4293A" w:rsidP="00C22EF5">
            <w:pPr>
              <w:rPr>
                <w:sz w:val="22"/>
                <w:szCs w:val="22"/>
              </w:rPr>
            </w:pPr>
            <w:r w:rsidRPr="00FF5FCC">
              <w:rPr>
                <w:sz w:val="22"/>
                <w:szCs w:val="22"/>
              </w:rPr>
              <w:t>ISIS</w:t>
            </w:r>
          </w:p>
        </w:tc>
        <w:tc>
          <w:tcPr>
            <w:tcW w:w="7398" w:type="dxa"/>
          </w:tcPr>
          <w:p w14:paraId="7BD36759" w14:textId="77777777" w:rsidR="00B4293A" w:rsidRPr="00FF5FCC" w:rsidRDefault="00B4293A" w:rsidP="00C22EF5">
            <w:pPr>
              <w:rPr>
                <w:sz w:val="22"/>
                <w:szCs w:val="22"/>
              </w:rPr>
            </w:pPr>
            <w:r w:rsidRPr="00FF5FCC">
              <w:rPr>
                <w:sz w:val="22"/>
                <w:szCs w:val="22"/>
              </w:rPr>
              <w:t>Integrated Surveillance and Informatics Services, Office of</w:t>
            </w:r>
          </w:p>
        </w:tc>
      </w:tr>
      <w:tr w:rsidR="00B4293A" w14:paraId="6428F233" w14:textId="77777777" w:rsidTr="005B6CEC">
        <w:tc>
          <w:tcPr>
            <w:tcW w:w="2178" w:type="dxa"/>
          </w:tcPr>
          <w:p w14:paraId="7DC8E131" w14:textId="77777777" w:rsidR="00B4293A" w:rsidRPr="00FF5FCC" w:rsidRDefault="00B4293A" w:rsidP="00CE57B2">
            <w:pPr>
              <w:rPr>
                <w:sz w:val="22"/>
                <w:szCs w:val="22"/>
              </w:rPr>
            </w:pPr>
            <w:r w:rsidRPr="00FF5FCC">
              <w:rPr>
                <w:sz w:val="22"/>
                <w:szCs w:val="22"/>
              </w:rPr>
              <w:t>JIC</w:t>
            </w:r>
          </w:p>
        </w:tc>
        <w:tc>
          <w:tcPr>
            <w:tcW w:w="7398" w:type="dxa"/>
          </w:tcPr>
          <w:p w14:paraId="1E740678" w14:textId="77777777" w:rsidR="00B4293A" w:rsidRPr="00FF5FCC" w:rsidRDefault="00B4293A" w:rsidP="00CE57B2">
            <w:pPr>
              <w:rPr>
                <w:sz w:val="22"/>
                <w:szCs w:val="22"/>
              </w:rPr>
            </w:pPr>
            <w:r w:rsidRPr="00FF5FCC">
              <w:rPr>
                <w:sz w:val="22"/>
                <w:szCs w:val="22"/>
              </w:rPr>
              <w:t>Joint Information Center (ICS)</w:t>
            </w:r>
          </w:p>
        </w:tc>
      </w:tr>
      <w:tr w:rsidR="00B4293A" w14:paraId="6795F621" w14:textId="77777777" w:rsidTr="005B6CEC">
        <w:tc>
          <w:tcPr>
            <w:tcW w:w="2178" w:type="dxa"/>
          </w:tcPr>
          <w:p w14:paraId="11E068BF" w14:textId="77777777" w:rsidR="00B4293A" w:rsidRPr="00FF5FCC" w:rsidRDefault="00B4293A" w:rsidP="00CE57B2">
            <w:pPr>
              <w:rPr>
                <w:sz w:val="22"/>
                <w:szCs w:val="22"/>
              </w:rPr>
            </w:pPr>
            <w:r w:rsidRPr="00FF5FCC">
              <w:rPr>
                <w:sz w:val="22"/>
                <w:szCs w:val="22"/>
              </w:rPr>
              <w:t>HHAN</w:t>
            </w:r>
          </w:p>
        </w:tc>
        <w:tc>
          <w:tcPr>
            <w:tcW w:w="7398" w:type="dxa"/>
          </w:tcPr>
          <w:p w14:paraId="691F0F2C" w14:textId="77777777" w:rsidR="00B4293A" w:rsidRPr="00FF5FCC" w:rsidRDefault="00B4293A" w:rsidP="00CE57B2">
            <w:pPr>
              <w:rPr>
                <w:sz w:val="22"/>
                <w:szCs w:val="22"/>
              </w:rPr>
            </w:pPr>
            <w:r w:rsidRPr="00FF5FCC">
              <w:rPr>
                <w:sz w:val="22"/>
                <w:szCs w:val="22"/>
              </w:rPr>
              <w:t>Health and Homeland Alert Network</w:t>
            </w:r>
          </w:p>
        </w:tc>
      </w:tr>
      <w:tr w:rsidR="00B4293A" w14:paraId="6EA4EA8F" w14:textId="77777777" w:rsidTr="005B6CEC">
        <w:tc>
          <w:tcPr>
            <w:tcW w:w="2178" w:type="dxa"/>
          </w:tcPr>
          <w:p w14:paraId="7F104672" w14:textId="77777777" w:rsidR="00B4293A" w:rsidRPr="00FF5FCC" w:rsidRDefault="00B4293A" w:rsidP="00CE57B2">
            <w:pPr>
              <w:rPr>
                <w:sz w:val="22"/>
                <w:szCs w:val="22"/>
              </w:rPr>
            </w:pPr>
            <w:r w:rsidRPr="00FF5FCC">
              <w:rPr>
                <w:sz w:val="22"/>
                <w:szCs w:val="22"/>
              </w:rPr>
              <w:t>HMCC</w:t>
            </w:r>
          </w:p>
        </w:tc>
        <w:tc>
          <w:tcPr>
            <w:tcW w:w="7398" w:type="dxa"/>
          </w:tcPr>
          <w:p w14:paraId="2E6B8A49" w14:textId="77777777" w:rsidR="00B4293A" w:rsidRPr="00FF5FCC" w:rsidRDefault="00B4293A" w:rsidP="00CE57B2">
            <w:pPr>
              <w:rPr>
                <w:sz w:val="22"/>
                <w:szCs w:val="22"/>
              </w:rPr>
            </w:pPr>
            <w:r w:rsidRPr="00FF5FCC">
              <w:rPr>
                <w:sz w:val="22"/>
                <w:szCs w:val="22"/>
              </w:rPr>
              <w:t xml:space="preserve">Health and Medical Coordinating Coalition </w:t>
            </w:r>
          </w:p>
        </w:tc>
      </w:tr>
      <w:tr w:rsidR="00B4293A" w14:paraId="28BFF446" w14:textId="77777777" w:rsidTr="005B6CEC">
        <w:tc>
          <w:tcPr>
            <w:tcW w:w="2178" w:type="dxa"/>
          </w:tcPr>
          <w:p w14:paraId="47C75A33" w14:textId="77777777" w:rsidR="00B4293A" w:rsidRPr="00FF5FCC" w:rsidRDefault="00B4293A" w:rsidP="00CE57B2">
            <w:pPr>
              <w:rPr>
                <w:sz w:val="22"/>
                <w:szCs w:val="22"/>
              </w:rPr>
            </w:pPr>
            <w:r w:rsidRPr="00FF5FCC">
              <w:rPr>
                <w:sz w:val="22"/>
                <w:szCs w:val="22"/>
              </w:rPr>
              <w:t>LRN</w:t>
            </w:r>
          </w:p>
        </w:tc>
        <w:tc>
          <w:tcPr>
            <w:tcW w:w="7398" w:type="dxa"/>
          </w:tcPr>
          <w:p w14:paraId="45DC1FE2" w14:textId="77777777" w:rsidR="00B4293A" w:rsidRPr="00FF5FCC" w:rsidRDefault="00B4293A" w:rsidP="00CE57B2">
            <w:pPr>
              <w:rPr>
                <w:sz w:val="22"/>
                <w:szCs w:val="22"/>
              </w:rPr>
            </w:pPr>
            <w:r w:rsidRPr="00FF5FCC">
              <w:rPr>
                <w:sz w:val="22"/>
                <w:szCs w:val="22"/>
              </w:rPr>
              <w:t>Laboratory Response Network</w:t>
            </w:r>
          </w:p>
        </w:tc>
      </w:tr>
      <w:tr w:rsidR="00B4293A" w14:paraId="19148843" w14:textId="77777777" w:rsidTr="005B6CEC">
        <w:tc>
          <w:tcPr>
            <w:tcW w:w="2178" w:type="dxa"/>
          </w:tcPr>
          <w:p w14:paraId="670AECBB" w14:textId="77777777" w:rsidR="00B4293A" w:rsidRPr="00FF5FCC" w:rsidRDefault="00B4293A" w:rsidP="00CE57B2">
            <w:pPr>
              <w:rPr>
                <w:sz w:val="22"/>
                <w:szCs w:val="22"/>
              </w:rPr>
            </w:pPr>
            <w:r w:rsidRPr="00FF5FCC">
              <w:rPr>
                <w:sz w:val="22"/>
                <w:szCs w:val="22"/>
              </w:rPr>
              <w:t>MAVEN</w:t>
            </w:r>
          </w:p>
        </w:tc>
        <w:tc>
          <w:tcPr>
            <w:tcW w:w="7398" w:type="dxa"/>
          </w:tcPr>
          <w:p w14:paraId="2928B0D4" w14:textId="77777777" w:rsidR="00B4293A" w:rsidRPr="00FF5FCC" w:rsidRDefault="00B4293A" w:rsidP="00CE57B2">
            <w:pPr>
              <w:rPr>
                <w:sz w:val="22"/>
                <w:szCs w:val="22"/>
              </w:rPr>
            </w:pPr>
            <w:r w:rsidRPr="00FF5FCC">
              <w:rPr>
                <w:sz w:val="22"/>
                <w:szCs w:val="22"/>
              </w:rPr>
              <w:t>Massachusetts Virtual Epidemiological Network</w:t>
            </w:r>
          </w:p>
        </w:tc>
      </w:tr>
      <w:tr w:rsidR="00B4293A" w14:paraId="43748C09" w14:textId="77777777" w:rsidTr="005B6CEC">
        <w:tc>
          <w:tcPr>
            <w:tcW w:w="2178" w:type="dxa"/>
          </w:tcPr>
          <w:p w14:paraId="43BC449C" w14:textId="77777777" w:rsidR="00B4293A" w:rsidRPr="00FF5FCC" w:rsidRDefault="00B4293A" w:rsidP="00CE57B2">
            <w:pPr>
              <w:rPr>
                <w:sz w:val="22"/>
                <w:szCs w:val="22"/>
              </w:rPr>
            </w:pPr>
            <w:r w:rsidRPr="00FF5FCC">
              <w:rPr>
                <w:sz w:val="22"/>
                <w:szCs w:val="22"/>
              </w:rPr>
              <w:t>MDPH</w:t>
            </w:r>
          </w:p>
        </w:tc>
        <w:tc>
          <w:tcPr>
            <w:tcW w:w="7398" w:type="dxa"/>
          </w:tcPr>
          <w:p w14:paraId="28A0FF72" w14:textId="77777777" w:rsidR="00B4293A" w:rsidRPr="00FF5FCC" w:rsidRDefault="00B4293A" w:rsidP="00CE57B2">
            <w:pPr>
              <w:rPr>
                <w:sz w:val="22"/>
                <w:szCs w:val="22"/>
              </w:rPr>
            </w:pPr>
            <w:r w:rsidRPr="00FF5FCC">
              <w:rPr>
                <w:sz w:val="22"/>
                <w:szCs w:val="22"/>
              </w:rPr>
              <w:t>Massachusetts Department of Public Health</w:t>
            </w:r>
          </w:p>
        </w:tc>
      </w:tr>
      <w:tr w:rsidR="00B4293A" w14:paraId="3F8BDE0A" w14:textId="77777777" w:rsidTr="005B6CEC">
        <w:tc>
          <w:tcPr>
            <w:tcW w:w="2178" w:type="dxa"/>
          </w:tcPr>
          <w:p w14:paraId="692D0404" w14:textId="77777777" w:rsidR="00B4293A" w:rsidRPr="00FF5FCC" w:rsidRDefault="00B4293A" w:rsidP="00CE57B2">
            <w:pPr>
              <w:rPr>
                <w:sz w:val="22"/>
                <w:szCs w:val="22"/>
              </w:rPr>
            </w:pPr>
            <w:r w:rsidRPr="00FF5FCC">
              <w:rPr>
                <w:sz w:val="22"/>
                <w:szCs w:val="22"/>
              </w:rPr>
              <w:t>MEMA</w:t>
            </w:r>
          </w:p>
        </w:tc>
        <w:tc>
          <w:tcPr>
            <w:tcW w:w="7398" w:type="dxa"/>
          </w:tcPr>
          <w:p w14:paraId="7F0009FB" w14:textId="77777777" w:rsidR="00B4293A" w:rsidRPr="00FF5FCC" w:rsidRDefault="00B4293A" w:rsidP="00CE57B2">
            <w:pPr>
              <w:rPr>
                <w:sz w:val="22"/>
                <w:szCs w:val="22"/>
              </w:rPr>
            </w:pPr>
            <w:r w:rsidRPr="00FF5FCC">
              <w:rPr>
                <w:sz w:val="22"/>
                <w:szCs w:val="22"/>
              </w:rPr>
              <w:t>Massachusetts Emergency Management Agency</w:t>
            </w:r>
          </w:p>
        </w:tc>
      </w:tr>
      <w:tr w:rsidR="00B4293A" w14:paraId="475B3DAA" w14:textId="77777777" w:rsidTr="005B6CEC">
        <w:tc>
          <w:tcPr>
            <w:tcW w:w="2178" w:type="dxa"/>
          </w:tcPr>
          <w:p w14:paraId="73D20936" w14:textId="77777777" w:rsidR="00B4293A" w:rsidRPr="00FF5FCC" w:rsidRDefault="00B4293A" w:rsidP="00CE57B2">
            <w:pPr>
              <w:rPr>
                <w:sz w:val="22"/>
                <w:szCs w:val="22"/>
              </w:rPr>
            </w:pPr>
            <w:r w:rsidRPr="00FF5FCC">
              <w:rPr>
                <w:sz w:val="22"/>
                <w:szCs w:val="22"/>
              </w:rPr>
              <w:t>MOU</w:t>
            </w:r>
          </w:p>
        </w:tc>
        <w:tc>
          <w:tcPr>
            <w:tcW w:w="7398" w:type="dxa"/>
          </w:tcPr>
          <w:p w14:paraId="5BB845D1" w14:textId="77777777" w:rsidR="00B4293A" w:rsidRPr="00FF5FCC" w:rsidRDefault="00B4293A" w:rsidP="00CE57B2">
            <w:pPr>
              <w:rPr>
                <w:sz w:val="22"/>
                <w:szCs w:val="22"/>
              </w:rPr>
            </w:pPr>
            <w:r w:rsidRPr="00FF5FCC">
              <w:rPr>
                <w:sz w:val="22"/>
                <w:szCs w:val="22"/>
              </w:rPr>
              <w:t>Memoranda of Understanding</w:t>
            </w:r>
          </w:p>
        </w:tc>
      </w:tr>
      <w:tr w:rsidR="00B4293A" w14:paraId="6F8E4DDC" w14:textId="77777777" w:rsidTr="005B6CEC">
        <w:tc>
          <w:tcPr>
            <w:tcW w:w="2178" w:type="dxa"/>
          </w:tcPr>
          <w:p w14:paraId="12597B53" w14:textId="77777777" w:rsidR="00B4293A" w:rsidRPr="00FF5FCC" w:rsidRDefault="00B4293A" w:rsidP="00CE57B2">
            <w:pPr>
              <w:rPr>
                <w:sz w:val="22"/>
                <w:szCs w:val="22"/>
              </w:rPr>
            </w:pPr>
            <w:r w:rsidRPr="00FF5FCC">
              <w:rPr>
                <w:sz w:val="22"/>
                <w:szCs w:val="22"/>
              </w:rPr>
              <w:t>NIMS</w:t>
            </w:r>
          </w:p>
        </w:tc>
        <w:tc>
          <w:tcPr>
            <w:tcW w:w="7398" w:type="dxa"/>
          </w:tcPr>
          <w:p w14:paraId="0DDCED75" w14:textId="77777777" w:rsidR="00B4293A" w:rsidRPr="00FF5FCC" w:rsidRDefault="00B4293A" w:rsidP="00CE57B2">
            <w:pPr>
              <w:rPr>
                <w:sz w:val="22"/>
                <w:szCs w:val="22"/>
              </w:rPr>
            </w:pPr>
            <w:r w:rsidRPr="00FF5FCC">
              <w:rPr>
                <w:sz w:val="22"/>
                <w:szCs w:val="22"/>
              </w:rPr>
              <w:t>National Incident Management System</w:t>
            </w:r>
          </w:p>
        </w:tc>
      </w:tr>
      <w:tr w:rsidR="00B4293A" w14:paraId="4BEB191C" w14:textId="77777777" w:rsidTr="005B6CEC">
        <w:tc>
          <w:tcPr>
            <w:tcW w:w="2178" w:type="dxa"/>
          </w:tcPr>
          <w:p w14:paraId="414DDF24" w14:textId="77777777" w:rsidR="00B4293A" w:rsidRPr="00FF5FCC" w:rsidRDefault="00B4293A" w:rsidP="00CE57B2">
            <w:pPr>
              <w:rPr>
                <w:sz w:val="22"/>
                <w:szCs w:val="22"/>
              </w:rPr>
            </w:pPr>
            <w:r w:rsidRPr="00FF5FCC">
              <w:rPr>
                <w:sz w:val="22"/>
                <w:szCs w:val="22"/>
              </w:rPr>
              <w:t>NIOSH</w:t>
            </w:r>
          </w:p>
        </w:tc>
        <w:tc>
          <w:tcPr>
            <w:tcW w:w="7398" w:type="dxa"/>
          </w:tcPr>
          <w:p w14:paraId="63764968" w14:textId="77777777" w:rsidR="00B4293A" w:rsidRPr="00FF5FCC" w:rsidRDefault="00B4293A" w:rsidP="00CE57B2">
            <w:pPr>
              <w:rPr>
                <w:sz w:val="22"/>
                <w:szCs w:val="22"/>
              </w:rPr>
            </w:pPr>
            <w:r w:rsidRPr="00FF5FCC">
              <w:rPr>
                <w:sz w:val="22"/>
                <w:szCs w:val="22"/>
              </w:rPr>
              <w:t xml:space="preserve">National Institute for Occupational Safety and Health </w:t>
            </w:r>
          </w:p>
        </w:tc>
      </w:tr>
      <w:tr w:rsidR="00B4293A" w14:paraId="3A19CD74" w14:textId="77777777" w:rsidTr="005B6CEC">
        <w:tc>
          <w:tcPr>
            <w:tcW w:w="2178" w:type="dxa"/>
          </w:tcPr>
          <w:p w14:paraId="152F2A74" w14:textId="77777777" w:rsidR="00B4293A" w:rsidRPr="00FF5FCC" w:rsidRDefault="00B4293A" w:rsidP="00CE57B2">
            <w:pPr>
              <w:rPr>
                <w:sz w:val="22"/>
                <w:szCs w:val="22"/>
              </w:rPr>
            </w:pPr>
            <w:r w:rsidRPr="00FF5FCC">
              <w:rPr>
                <w:sz w:val="22"/>
                <w:szCs w:val="22"/>
              </w:rPr>
              <w:t>NPI</w:t>
            </w:r>
          </w:p>
        </w:tc>
        <w:tc>
          <w:tcPr>
            <w:tcW w:w="7398" w:type="dxa"/>
          </w:tcPr>
          <w:p w14:paraId="4D7C7177" w14:textId="77777777" w:rsidR="00B4293A" w:rsidRPr="00FF5FCC" w:rsidRDefault="00B4293A" w:rsidP="00CE57B2">
            <w:pPr>
              <w:rPr>
                <w:sz w:val="22"/>
                <w:szCs w:val="22"/>
              </w:rPr>
            </w:pPr>
            <w:proofErr w:type="spellStart"/>
            <w:r w:rsidRPr="00FF5FCC">
              <w:rPr>
                <w:sz w:val="22"/>
                <w:szCs w:val="22"/>
              </w:rPr>
              <w:t>Nonpharmaceutical</w:t>
            </w:r>
            <w:proofErr w:type="spellEnd"/>
            <w:r w:rsidRPr="00FF5FCC">
              <w:rPr>
                <w:sz w:val="22"/>
                <w:szCs w:val="22"/>
              </w:rPr>
              <w:t xml:space="preserve"> Interventions</w:t>
            </w:r>
          </w:p>
        </w:tc>
      </w:tr>
      <w:tr w:rsidR="00B4293A" w14:paraId="6B9AA6FE" w14:textId="77777777" w:rsidTr="005B6CEC">
        <w:tc>
          <w:tcPr>
            <w:tcW w:w="2178" w:type="dxa"/>
          </w:tcPr>
          <w:p w14:paraId="0AEBB236" w14:textId="77777777" w:rsidR="00B4293A" w:rsidRPr="00FF5FCC" w:rsidRDefault="00B4293A" w:rsidP="00CE57B2">
            <w:pPr>
              <w:rPr>
                <w:sz w:val="22"/>
                <w:szCs w:val="22"/>
              </w:rPr>
            </w:pPr>
            <w:r w:rsidRPr="00FF5FCC">
              <w:rPr>
                <w:sz w:val="22"/>
                <w:szCs w:val="22"/>
              </w:rPr>
              <w:t>OCME</w:t>
            </w:r>
          </w:p>
        </w:tc>
        <w:tc>
          <w:tcPr>
            <w:tcW w:w="7398" w:type="dxa"/>
          </w:tcPr>
          <w:p w14:paraId="0F2077A5" w14:textId="77777777" w:rsidR="00B4293A" w:rsidRPr="00FF5FCC" w:rsidRDefault="00B4293A" w:rsidP="00CE57B2">
            <w:pPr>
              <w:rPr>
                <w:sz w:val="22"/>
                <w:szCs w:val="22"/>
              </w:rPr>
            </w:pPr>
            <w:r w:rsidRPr="00FF5FCC">
              <w:rPr>
                <w:sz w:val="22"/>
                <w:szCs w:val="22"/>
              </w:rPr>
              <w:t>Office of the Chief Medical Examiner</w:t>
            </w:r>
          </w:p>
        </w:tc>
      </w:tr>
      <w:tr w:rsidR="00B4293A" w14:paraId="595009B5" w14:textId="77777777" w:rsidTr="005B6CEC">
        <w:tc>
          <w:tcPr>
            <w:tcW w:w="2178" w:type="dxa"/>
          </w:tcPr>
          <w:p w14:paraId="27054501" w14:textId="77777777" w:rsidR="00B4293A" w:rsidRPr="00FF5FCC" w:rsidRDefault="00B4293A" w:rsidP="00CE57B2">
            <w:pPr>
              <w:rPr>
                <w:sz w:val="22"/>
                <w:szCs w:val="22"/>
              </w:rPr>
            </w:pPr>
            <w:r w:rsidRPr="00FF5FCC">
              <w:rPr>
                <w:sz w:val="22"/>
                <w:szCs w:val="22"/>
              </w:rPr>
              <w:t>OEMS</w:t>
            </w:r>
          </w:p>
        </w:tc>
        <w:tc>
          <w:tcPr>
            <w:tcW w:w="7398" w:type="dxa"/>
          </w:tcPr>
          <w:p w14:paraId="1034EC0B" w14:textId="77777777" w:rsidR="00B4293A" w:rsidRPr="00FF5FCC" w:rsidRDefault="00B4293A" w:rsidP="00CE57B2">
            <w:pPr>
              <w:rPr>
                <w:sz w:val="22"/>
                <w:szCs w:val="22"/>
              </w:rPr>
            </w:pPr>
            <w:r w:rsidRPr="00FF5FCC">
              <w:rPr>
                <w:sz w:val="22"/>
                <w:szCs w:val="22"/>
              </w:rPr>
              <w:t>Office of Emergency Medical Services</w:t>
            </w:r>
          </w:p>
        </w:tc>
      </w:tr>
      <w:tr w:rsidR="003E4ACB" w14:paraId="129811A3" w14:textId="77777777" w:rsidTr="005B6CEC">
        <w:tc>
          <w:tcPr>
            <w:tcW w:w="2178" w:type="dxa"/>
          </w:tcPr>
          <w:p w14:paraId="54D528DB" w14:textId="6EE95568" w:rsidR="003E4ACB" w:rsidRPr="00FF5FCC" w:rsidRDefault="003E4ACB" w:rsidP="00CE57B2">
            <w:pPr>
              <w:rPr>
                <w:sz w:val="22"/>
                <w:szCs w:val="22"/>
              </w:rPr>
            </w:pPr>
            <w:r w:rsidRPr="00FF5FCC">
              <w:rPr>
                <w:sz w:val="22"/>
                <w:szCs w:val="22"/>
              </w:rPr>
              <w:t>OHSP</w:t>
            </w:r>
          </w:p>
        </w:tc>
        <w:tc>
          <w:tcPr>
            <w:tcW w:w="7398" w:type="dxa"/>
          </w:tcPr>
          <w:p w14:paraId="108D2A2F" w14:textId="2DED7796" w:rsidR="003E4ACB" w:rsidRPr="00FF5FCC" w:rsidRDefault="003E4ACB" w:rsidP="00CE57B2">
            <w:pPr>
              <w:rPr>
                <w:sz w:val="22"/>
                <w:szCs w:val="22"/>
              </w:rPr>
            </w:pPr>
            <w:r w:rsidRPr="00FF5FCC">
              <w:rPr>
                <w:sz w:val="22"/>
                <w:szCs w:val="22"/>
              </w:rPr>
              <w:t xml:space="preserve">Occupational Health Surveillance </w:t>
            </w:r>
            <w:r w:rsidR="00D94DC7">
              <w:rPr>
                <w:sz w:val="22"/>
                <w:szCs w:val="22"/>
              </w:rPr>
              <w:t>Division</w:t>
            </w:r>
          </w:p>
        </w:tc>
      </w:tr>
      <w:tr w:rsidR="00B4293A" w14:paraId="7E71FF20" w14:textId="77777777" w:rsidTr="005B6CEC">
        <w:tc>
          <w:tcPr>
            <w:tcW w:w="2178" w:type="dxa"/>
          </w:tcPr>
          <w:p w14:paraId="6E9148EE" w14:textId="77777777" w:rsidR="00B4293A" w:rsidRPr="00FF5FCC" w:rsidRDefault="00B4293A" w:rsidP="00CE57B2">
            <w:pPr>
              <w:rPr>
                <w:sz w:val="22"/>
                <w:szCs w:val="22"/>
              </w:rPr>
            </w:pPr>
            <w:r w:rsidRPr="00FF5FCC">
              <w:rPr>
                <w:sz w:val="22"/>
                <w:szCs w:val="22"/>
              </w:rPr>
              <w:t>OPEM</w:t>
            </w:r>
          </w:p>
        </w:tc>
        <w:tc>
          <w:tcPr>
            <w:tcW w:w="7398" w:type="dxa"/>
          </w:tcPr>
          <w:p w14:paraId="56A7CD0B" w14:textId="77777777" w:rsidR="00B4293A" w:rsidRPr="00FF5FCC" w:rsidRDefault="00B4293A" w:rsidP="00CE57B2">
            <w:pPr>
              <w:rPr>
                <w:sz w:val="22"/>
                <w:szCs w:val="22"/>
              </w:rPr>
            </w:pPr>
            <w:r w:rsidRPr="00FF5FCC">
              <w:rPr>
                <w:sz w:val="22"/>
                <w:szCs w:val="22"/>
              </w:rPr>
              <w:t>Office of Preparedness and Emergency Management</w:t>
            </w:r>
          </w:p>
        </w:tc>
      </w:tr>
      <w:tr w:rsidR="00B4293A" w14:paraId="0E4058A2" w14:textId="77777777" w:rsidTr="005B6CEC">
        <w:tc>
          <w:tcPr>
            <w:tcW w:w="2178" w:type="dxa"/>
          </w:tcPr>
          <w:p w14:paraId="7655708C" w14:textId="77777777" w:rsidR="00B4293A" w:rsidRPr="00FF5FCC" w:rsidRDefault="00B4293A" w:rsidP="00CE57B2">
            <w:pPr>
              <w:rPr>
                <w:sz w:val="22"/>
                <w:szCs w:val="22"/>
              </w:rPr>
            </w:pPr>
            <w:r w:rsidRPr="00FF5FCC">
              <w:rPr>
                <w:sz w:val="22"/>
                <w:szCs w:val="22"/>
              </w:rPr>
              <w:t>PIO</w:t>
            </w:r>
          </w:p>
        </w:tc>
        <w:tc>
          <w:tcPr>
            <w:tcW w:w="7398" w:type="dxa"/>
          </w:tcPr>
          <w:p w14:paraId="46CBA9DD" w14:textId="77777777" w:rsidR="00B4293A" w:rsidRPr="00FF5FCC" w:rsidRDefault="00B4293A" w:rsidP="00CE57B2">
            <w:pPr>
              <w:rPr>
                <w:sz w:val="22"/>
                <w:szCs w:val="22"/>
              </w:rPr>
            </w:pPr>
            <w:r w:rsidRPr="00FF5FCC">
              <w:rPr>
                <w:sz w:val="22"/>
                <w:szCs w:val="22"/>
              </w:rPr>
              <w:t>Public Information Officer (ICS)</w:t>
            </w:r>
          </w:p>
        </w:tc>
      </w:tr>
      <w:tr w:rsidR="00B4293A" w14:paraId="61AD410F" w14:textId="77777777" w:rsidTr="005B6CEC">
        <w:tc>
          <w:tcPr>
            <w:tcW w:w="2178" w:type="dxa"/>
          </w:tcPr>
          <w:p w14:paraId="5594EE0E" w14:textId="77777777" w:rsidR="00B4293A" w:rsidRPr="00FF5FCC" w:rsidRDefault="00B4293A" w:rsidP="00CE57B2">
            <w:pPr>
              <w:rPr>
                <w:sz w:val="22"/>
                <w:szCs w:val="22"/>
              </w:rPr>
            </w:pPr>
            <w:r w:rsidRPr="00FF5FCC">
              <w:rPr>
                <w:sz w:val="22"/>
                <w:szCs w:val="22"/>
              </w:rPr>
              <w:t>PPE</w:t>
            </w:r>
          </w:p>
        </w:tc>
        <w:tc>
          <w:tcPr>
            <w:tcW w:w="7398" w:type="dxa"/>
          </w:tcPr>
          <w:p w14:paraId="4D7D798F" w14:textId="77777777" w:rsidR="00B4293A" w:rsidRPr="00FF5FCC" w:rsidRDefault="00B4293A" w:rsidP="00CE57B2">
            <w:pPr>
              <w:rPr>
                <w:sz w:val="22"/>
                <w:szCs w:val="22"/>
              </w:rPr>
            </w:pPr>
            <w:r w:rsidRPr="00FF5FCC">
              <w:rPr>
                <w:sz w:val="22"/>
                <w:szCs w:val="22"/>
              </w:rPr>
              <w:t>Personal Protective Equipment</w:t>
            </w:r>
          </w:p>
        </w:tc>
      </w:tr>
      <w:tr w:rsidR="00B4293A" w14:paraId="6489171A" w14:textId="77777777" w:rsidTr="005B6CEC">
        <w:tc>
          <w:tcPr>
            <w:tcW w:w="2178" w:type="dxa"/>
          </w:tcPr>
          <w:p w14:paraId="4EA5BBAF" w14:textId="77777777" w:rsidR="00B4293A" w:rsidRPr="00FF5FCC" w:rsidRDefault="00B4293A" w:rsidP="00CE57B2">
            <w:pPr>
              <w:rPr>
                <w:sz w:val="22"/>
                <w:szCs w:val="22"/>
              </w:rPr>
            </w:pPr>
            <w:r w:rsidRPr="00FF5FCC">
              <w:rPr>
                <w:sz w:val="22"/>
                <w:szCs w:val="22"/>
              </w:rPr>
              <w:t>SEOC</w:t>
            </w:r>
          </w:p>
        </w:tc>
        <w:tc>
          <w:tcPr>
            <w:tcW w:w="7398" w:type="dxa"/>
          </w:tcPr>
          <w:p w14:paraId="471DFD3E" w14:textId="77777777" w:rsidR="00B4293A" w:rsidRPr="00FF5FCC" w:rsidRDefault="00B4293A" w:rsidP="00CE57B2">
            <w:pPr>
              <w:rPr>
                <w:sz w:val="22"/>
                <w:szCs w:val="22"/>
              </w:rPr>
            </w:pPr>
            <w:r w:rsidRPr="00FF5FCC">
              <w:rPr>
                <w:sz w:val="22"/>
                <w:szCs w:val="22"/>
              </w:rPr>
              <w:t xml:space="preserve">State Emergency Operations Center </w:t>
            </w:r>
          </w:p>
        </w:tc>
      </w:tr>
      <w:tr w:rsidR="00B4293A" w14:paraId="6BB2E0D9" w14:textId="77777777" w:rsidTr="005B6CEC">
        <w:tc>
          <w:tcPr>
            <w:tcW w:w="2178" w:type="dxa"/>
          </w:tcPr>
          <w:p w14:paraId="7A4829A4" w14:textId="77777777" w:rsidR="00B4293A" w:rsidRPr="00FF5FCC" w:rsidRDefault="00B4293A" w:rsidP="00CE57B2">
            <w:pPr>
              <w:rPr>
                <w:sz w:val="22"/>
                <w:szCs w:val="22"/>
              </w:rPr>
            </w:pPr>
            <w:r w:rsidRPr="00FF5FCC">
              <w:rPr>
                <w:sz w:val="22"/>
                <w:szCs w:val="22"/>
              </w:rPr>
              <w:t>SME</w:t>
            </w:r>
          </w:p>
        </w:tc>
        <w:tc>
          <w:tcPr>
            <w:tcW w:w="7398" w:type="dxa"/>
          </w:tcPr>
          <w:p w14:paraId="3D7279AE" w14:textId="77777777" w:rsidR="00B4293A" w:rsidRPr="00FF5FCC" w:rsidRDefault="00B4293A" w:rsidP="00CE57B2">
            <w:pPr>
              <w:rPr>
                <w:sz w:val="22"/>
                <w:szCs w:val="22"/>
              </w:rPr>
            </w:pPr>
            <w:r w:rsidRPr="00FF5FCC">
              <w:rPr>
                <w:sz w:val="22"/>
                <w:szCs w:val="22"/>
              </w:rPr>
              <w:t>Subject Matter Expert</w:t>
            </w:r>
          </w:p>
        </w:tc>
      </w:tr>
      <w:tr w:rsidR="00B4293A" w14:paraId="693D8A59" w14:textId="77777777" w:rsidTr="005B6CEC">
        <w:tc>
          <w:tcPr>
            <w:tcW w:w="2178" w:type="dxa"/>
          </w:tcPr>
          <w:p w14:paraId="4868E077" w14:textId="77777777" w:rsidR="00B4293A" w:rsidRPr="00FF5FCC" w:rsidRDefault="00B4293A" w:rsidP="00CE57B2">
            <w:pPr>
              <w:rPr>
                <w:sz w:val="22"/>
                <w:szCs w:val="22"/>
              </w:rPr>
            </w:pPr>
            <w:r w:rsidRPr="00FF5FCC">
              <w:rPr>
                <w:sz w:val="22"/>
                <w:szCs w:val="22"/>
              </w:rPr>
              <w:t>SNS</w:t>
            </w:r>
          </w:p>
        </w:tc>
        <w:tc>
          <w:tcPr>
            <w:tcW w:w="7398" w:type="dxa"/>
          </w:tcPr>
          <w:p w14:paraId="7A7803FA" w14:textId="77777777" w:rsidR="00B4293A" w:rsidRPr="00FF5FCC" w:rsidRDefault="00B4293A" w:rsidP="00CE57B2">
            <w:pPr>
              <w:rPr>
                <w:sz w:val="22"/>
                <w:szCs w:val="22"/>
              </w:rPr>
            </w:pPr>
            <w:r w:rsidRPr="00FF5FCC">
              <w:rPr>
                <w:sz w:val="22"/>
                <w:szCs w:val="22"/>
              </w:rPr>
              <w:t>Strategic National Stockpile</w:t>
            </w:r>
          </w:p>
        </w:tc>
      </w:tr>
      <w:tr w:rsidR="00B4293A" w14:paraId="0FC5257C" w14:textId="77777777" w:rsidTr="005B6CEC">
        <w:tc>
          <w:tcPr>
            <w:tcW w:w="2178" w:type="dxa"/>
          </w:tcPr>
          <w:p w14:paraId="654ED2A9" w14:textId="77777777" w:rsidR="00B4293A" w:rsidRPr="00FF5FCC" w:rsidRDefault="00B4293A" w:rsidP="00CE57B2">
            <w:pPr>
              <w:rPr>
                <w:sz w:val="22"/>
                <w:szCs w:val="22"/>
              </w:rPr>
            </w:pPr>
            <w:r w:rsidRPr="00FF5FCC">
              <w:rPr>
                <w:sz w:val="22"/>
                <w:szCs w:val="22"/>
              </w:rPr>
              <w:t>WHO</w:t>
            </w:r>
          </w:p>
        </w:tc>
        <w:tc>
          <w:tcPr>
            <w:tcW w:w="7398" w:type="dxa"/>
          </w:tcPr>
          <w:p w14:paraId="1BF48CAA" w14:textId="77777777" w:rsidR="00B4293A" w:rsidRPr="00FF5FCC" w:rsidRDefault="00B4293A" w:rsidP="00CE57B2">
            <w:pPr>
              <w:rPr>
                <w:sz w:val="22"/>
                <w:szCs w:val="22"/>
              </w:rPr>
            </w:pPr>
            <w:r w:rsidRPr="00FF5FCC">
              <w:rPr>
                <w:sz w:val="22"/>
                <w:szCs w:val="22"/>
              </w:rPr>
              <w:t>World Health Organization</w:t>
            </w:r>
          </w:p>
        </w:tc>
      </w:tr>
    </w:tbl>
    <w:p w14:paraId="2B4CA969" w14:textId="77777777" w:rsidR="00DE0A51" w:rsidRDefault="00DE0A51" w:rsidP="00CE57B2">
      <w:pPr>
        <w:sectPr w:rsidR="00DE0A51" w:rsidSect="00194809">
          <w:headerReference w:type="even" r:id="rId62"/>
          <w:headerReference w:type="default" r:id="rId63"/>
          <w:footerReference w:type="default" r:id="rId64"/>
          <w:headerReference w:type="first" r:id="rId65"/>
          <w:pgSz w:w="12240" w:h="15840"/>
          <w:pgMar w:top="1440" w:right="1440" w:bottom="1440" w:left="1440" w:header="720" w:footer="720" w:gutter="0"/>
          <w:cols w:space="720"/>
          <w:docGrid w:linePitch="360"/>
        </w:sectPr>
      </w:pPr>
    </w:p>
    <w:p w14:paraId="4A345516" w14:textId="58F5AF0D" w:rsidR="000F521B" w:rsidRDefault="000F521B" w:rsidP="00194809">
      <w:pPr>
        <w:pStyle w:val="Heading3"/>
        <w:rPr>
          <w:rFonts w:ascii="Helvetica" w:hAnsi="Helvetica"/>
          <w:color w:val="141414"/>
        </w:rPr>
      </w:pPr>
      <w:bookmarkStart w:id="793" w:name="_Appendix_8.2_List"/>
      <w:bookmarkStart w:id="794" w:name="_Toc31623030"/>
      <w:bookmarkEnd w:id="793"/>
      <w:r w:rsidRPr="006160F8">
        <w:lastRenderedPageBreak/>
        <w:t>Diseases reportable to the Massachusetts Department of Public Health and local boards of health</w:t>
      </w:r>
      <w:r>
        <w:t xml:space="preserve"> by Law</w:t>
      </w:r>
      <w:bookmarkEnd w:id="794"/>
    </w:p>
    <w:p w14:paraId="370BFB36" w14:textId="5B83BE97" w:rsidR="00DE0A51" w:rsidRPr="009A25B6" w:rsidRDefault="00DE0A51" w:rsidP="00464B28">
      <w:pPr>
        <w:pStyle w:val="Heading3"/>
      </w:pPr>
    </w:p>
    <w:p w14:paraId="61B106D4" w14:textId="77777777" w:rsidR="00DE0A51" w:rsidRDefault="00DE0A51" w:rsidP="00DE0A51"/>
    <w:bookmarkStart w:id="795" w:name="_Toc481759112"/>
    <w:bookmarkStart w:id="796" w:name="_Toc482792952"/>
    <w:bookmarkStart w:id="797" w:name="_Toc356762384"/>
    <w:bookmarkStart w:id="798" w:name="_Toc483566980"/>
    <w:bookmarkStart w:id="799" w:name="_Toc483917428"/>
    <w:bookmarkStart w:id="800" w:name="_Toc483996120"/>
    <w:bookmarkStart w:id="801" w:name="_Toc484607080"/>
    <w:bookmarkStart w:id="802" w:name="_Toc486238699"/>
    <w:bookmarkStart w:id="803" w:name="_Toc486329056"/>
    <w:bookmarkStart w:id="804" w:name="_Toc486407834"/>
    <w:bookmarkStart w:id="805" w:name="_Toc486492446"/>
    <w:bookmarkStart w:id="806" w:name="_Toc486499942"/>
    <w:bookmarkStart w:id="807" w:name="_Toc486501118"/>
    <w:bookmarkStart w:id="808" w:name="_Toc486516578"/>
    <w:bookmarkStart w:id="809" w:name="_Toc486577833"/>
    <w:bookmarkStart w:id="810" w:name="_Toc486579039"/>
    <w:p w14:paraId="5F5FE667" w14:textId="7407B040" w:rsidR="00DE0A51" w:rsidRPr="00C21CA9" w:rsidRDefault="00C21CA9" w:rsidP="009A25B6">
      <w:pPr>
        <w:pStyle w:val="Heading4"/>
        <w:rPr>
          <w:rStyle w:val="Hyperlink"/>
          <w:sz w:val="24"/>
          <w:szCs w:val="24"/>
        </w:rPr>
      </w:pPr>
      <w:r>
        <w:rPr>
          <w:sz w:val="24"/>
          <w:szCs w:val="24"/>
        </w:rPr>
        <w:fldChar w:fldCharType="begin"/>
      </w:r>
      <w:r>
        <w:rPr>
          <w:sz w:val="24"/>
          <w:szCs w:val="24"/>
        </w:rPr>
        <w:instrText xml:space="preserve"> HYPERLINK "https://www.mass.gov/doc/list-of-diseases-reportable-by-healthcare-providers/download" </w:instrText>
      </w:r>
      <w:r>
        <w:rPr>
          <w:sz w:val="24"/>
          <w:szCs w:val="24"/>
        </w:rPr>
        <w:fldChar w:fldCharType="separate"/>
      </w:r>
      <w:r w:rsidR="000F521B" w:rsidRPr="00C21CA9">
        <w:rPr>
          <w:rStyle w:val="Hyperlink"/>
          <w:sz w:val="24"/>
          <w:szCs w:val="24"/>
        </w:rPr>
        <w:t xml:space="preserve">List of Diseases Reportable by </w:t>
      </w:r>
      <w:r w:rsidR="00DE0A51" w:rsidRPr="00C21CA9">
        <w:rPr>
          <w:rStyle w:val="Hyperlink"/>
          <w:sz w:val="24"/>
          <w:szCs w:val="24"/>
        </w:rPr>
        <w:t>Healthcare Providers</w:t>
      </w:r>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p>
    <w:bookmarkStart w:id="811" w:name="_Toc481759113"/>
    <w:bookmarkStart w:id="812" w:name="_Toc482792953"/>
    <w:bookmarkStart w:id="813" w:name="_Toc356762385"/>
    <w:bookmarkStart w:id="814" w:name="_Toc483566981"/>
    <w:bookmarkStart w:id="815" w:name="_Toc483917429"/>
    <w:bookmarkStart w:id="816" w:name="_Toc483996121"/>
    <w:bookmarkStart w:id="817" w:name="_Toc484607081"/>
    <w:bookmarkStart w:id="818" w:name="_Toc486238700"/>
    <w:bookmarkStart w:id="819" w:name="_Toc486329057"/>
    <w:bookmarkStart w:id="820" w:name="_Toc486407835"/>
    <w:bookmarkStart w:id="821" w:name="_Toc486492447"/>
    <w:bookmarkStart w:id="822" w:name="_Toc486499943"/>
    <w:bookmarkStart w:id="823" w:name="_Toc486501119"/>
    <w:bookmarkStart w:id="824" w:name="_Toc486516579"/>
    <w:bookmarkStart w:id="825" w:name="_Toc486577834"/>
    <w:bookmarkStart w:id="826" w:name="_Toc486579040"/>
    <w:p w14:paraId="7D16F320" w14:textId="549B8B2D" w:rsidR="00DE0A51" w:rsidRPr="00C21CA9" w:rsidRDefault="00C21CA9" w:rsidP="009A25B6">
      <w:pPr>
        <w:pStyle w:val="Heading4"/>
        <w:rPr>
          <w:rStyle w:val="Hyperlink"/>
          <w:sz w:val="24"/>
          <w:szCs w:val="24"/>
        </w:rPr>
      </w:pPr>
      <w:r>
        <w:rPr>
          <w:sz w:val="24"/>
          <w:szCs w:val="24"/>
        </w:rPr>
        <w:fldChar w:fldCharType="end"/>
      </w:r>
      <w:r>
        <w:rPr>
          <w:sz w:val="24"/>
          <w:szCs w:val="24"/>
        </w:rPr>
        <w:fldChar w:fldCharType="begin"/>
      </w:r>
      <w:r>
        <w:rPr>
          <w:sz w:val="24"/>
          <w:szCs w:val="24"/>
        </w:rPr>
        <w:instrText xml:space="preserve"> HYPERLINK "https://www.mass.gov/doc/list-of-diseases-reportable-by-laboratories/download" </w:instrText>
      </w:r>
      <w:r>
        <w:rPr>
          <w:sz w:val="24"/>
          <w:szCs w:val="24"/>
        </w:rPr>
        <w:fldChar w:fldCharType="separate"/>
      </w:r>
      <w:r w:rsidR="000F521B" w:rsidRPr="00C21CA9">
        <w:rPr>
          <w:rStyle w:val="Hyperlink"/>
          <w:sz w:val="24"/>
          <w:szCs w:val="24"/>
        </w:rPr>
        <w:t xml:space="preserve">List of Diseases Reportable by </w:t>
      </w:r>
      <w:r w:rsidR="00DE0A51" w:rsidRPr="00C21CA9">
        <w:rPr>
          <w:rStyle w:val="Hyperlink"/>
          <w:sz w:val="24"/>
          <w:szCs w:val="24"/>
        </w:rPr>
        <w:t>Clinical Laboratories</w:t>
      </w:r>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p>
    <w:bookmarkStart w:id="827" w:name="_Toc481759114"/>
    <w:bookmarkStart w:id="828" w:name="_Toc482792954"/>
    <w:bookmarkStart w:id="829" w:name="_Toc356762386"/>
    <w:bookmarkStart w:id="830" w:name="_Toc483566982"/>
    <w:bookmarkStart w:id="831" w:name="_Toc483917430"/>
    <w:bookmarkStart w:id="832" w:name="_Toc483996122"/>
    <w:bookmarkStart w:id="833" w:name="_Toc484607082"/>
    <w:bookmarkStart w:id="834" w:name="_Toc486238701"/>
    <w:bookmarkStart w:id="835" w:name="_Toc486329058"/>
    <w:bookmarkStart w:id="836" w:name="_Toc486407836"/>
    <w:bookmarkStart w:id="837" w:name="_Toc486492448"/>
    <w:bookmarkStart w:id="838" w:name="_Toc486499944"/>
    <w:bookmarkStart w:id="839" w:name="_Toc486501120"/>
    <w:bookmarkStart w:id="840" w:name="_Toc486516580"/>
    <w:bookmarkStart w:id="841" w:name="_Toc486577835"/>
    <w:bookmarkStart w:id="842" w:name="_Toc486579041"/>
    <w:p w14:paraId="0C3F292D" w14:textId="7230D773" w:rsidR="001911F6" w:rsidRDefault="00C21CA9" w:rsidP="00CE57B2">
      <w:r>
        <w:rPr>
          <w:rFonts w:asciiTheme="majorHAnsi" w:eastAsiaTheme="majorEastAsia" w:hAnsiTheme="majorHAnsi" w:cstheme="majorBidi"/>
          <w:color w:val="4F81BD" w:themeColor="accent1"/>
          <w:sz w:val="24"/>
          <w:szCs w:val="24"/>
        </w:rPr>
        <w:fldChar w:fldCharType="end"/>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p>
    <w:p w14:paraId="3FEC8A4A" w14:textId="77777777" w:rsidR="000241FC" w:rsidRDefault="000241FC" w:rsidP="00CE57B2">
      <w:r>
        <w:t>For information on these diseases reportable by Law per provider please click on the link below:</w:t>
      </w:r>
    </w:p>
    <w:p w14:paraId="7AC88090" w14:textId="4633F4C4" w:rsidR="000241FC" w:rsidRDefault="009A1FF8" w:rsidP="00CE57B2">
      <w:hyperlink r:id="rId66" w:history="1">
        <w:r w:rsidR="000241FC" w:rsidRPr="000241FC">
          <w:rPr>
            <w:rStyle w:val="Hyperlink"/>
          </w:rPr>
          <w:t>105 CMR 300.00 Reportable diseases, surveillance and isolation and quarantine</w:t>
        </w:r>
      </w:hyperlink>
    </w:p>
    <w:p w14:paraId="6E1B4B22" w14:textId="4AD4960D" w:rsidR="00DB1439" w:rsidRDefault="00DB1439" w:rsidP="00CE57B2">
      <w:r>
        <w:br w:type="page"/>
      </w:r>
    </w:p>
    <w:p w14:paraId="59B88F86" w14:textId="77777777" w:rsidR="00DB1439" w:rsidRDefault="00DB1439" w:rsidP="00CE57B2">
      <w:pPr>
        <w:sectPr w:rsidR="00DB1439" w:rsidSect="00194809">
          <w:headerReference w:type="even" r:id="rId67"/>
          <w:headerReference w:type="default" r:id="rId68"/>
          <w:footerReference w:type="default" r:id="rId69"/>
          <w:headerReference w:type="first" r:id="rId70"/>
          <w:pgSz w:w="12240" w:h="15840"/>
          <w:pgMar w:top="1440" w:right="1440" w:bottom="1440" w:left="1440" w:header="720" w:footer="720" w:gutter="0"/>
          <w:cols w:space="720"/>
          <w:docGrid w:linePitch="360"/>
        </w:sectPr>
      </w:pPr>
    </w:p>
    <w:p w14:paraId="36FF036B" w14:textId="21458BDA" w:rsidR="009E0D74" w:rsidRPr="009A25B6" w:rsidRDefault="009E0D74" w:rsidP="00464B28">
      <w:pPr>
        <w:pStyle w:val="Heading3"/>
      </w:pPr>
      <w:bookmarkStart w:id="843" w:name="_Appendix_8.3_List"/>
      <w:bookmarkStart w:id="844" w:name="_Appendix_8.4_Massachusetts"/>
      <w:bookmarkStart w:id="845" w:name="_Appendix_8.5_Infectious"/>
      <w:bookmarkStart w:id="846" w:name="_Appendix_11.4_Infectious"/>
      <w:bookmarkStart w:id="847" w:name="_Toc481759117"/>
      <w:bookmarkStart w:id="848" w:name="_Toc482792957"/>
      <w:bookmarkStart w:id="849" w:name="_Toc31623031"/>
      <w:bookmarkEnd w:id="843"/>
      <w:bookmarkEnd w:id="844"/>
      <w:bookmarkEnd w:id="845"/>
      <w:bookmarkEnd w:id="846"/>
      <w:r w:rsidRPr="009A25B6">
        <w:lastRenderedPageBreak/>
        <w:t>Infectious Disease Surveillance Systems in Massachusetts</w:t>
      </w:r>
      <w:bookmarkEnd w:id="847"/>
      <w:bookmarkEnd w:id="848"/>
      <w:bookmarkEnd w:id="849"/>
    </w:p>
    <w:p w14:paraId="3CC23E17" w14:textId="7AC8A593" w:rsidR="009E0D74" w:rsidRDefault="00DF2D77" w:rsidP="00334696">
      <w:r>
        <w:t>(Information subject to change without notice and accurate as of January 29</w:t>
      </w:r>
      <w:proofErr w:type="gramStart"/>
      <w:r>
        <w:t>,2020</w:t>
      </w:r>
      <w:proofErr w:type="gramEnd"/>
      <w:r>
        <w:t>)</w:t>
      </w:r>
    </w:p>
    <w:tbl>
      <w:tblPr>
        <w:tblStyle w:val="TableGrid"/>
        <w:tblW w:w="0" w:type="auto"/>
        <w:tblLook w:val="04A0" w:firstRow="1" w:lastRow="0" w:firstColumn="1" w:lastColumn="0" w:noHBand="0" w:noVBand="1"/>
      </w:tblPr>
      <w:tblGrid>
        <w:gridCol w:w="2358"/>
        <w:gridCol w:w="5130"/>
        <w:gridCol w:w="2088"/>
      </w:tblGrid>
      <w:tr w:rsidR="00142747" w:rsidRPr="003A5C0E" w14:paraId="41C8BEEA" w14:textId="77777777" w:rsidTr="00142747">
        <w:tc>
          <w:tcPr>
            <w:tcW w:w="2358" w:type="dxa"/>
            <w:tcBorders>
              <w:top w:val="single" w:sz="4" w:space="0" w:color="auto"/>
              <w:left w:val="single" w:sz="4" w:space="0" w:color="auto"/>
              <w:bottom w:val="single" w:sz="4" w:space="0" w:color="auto"/>
              <w:right w:val="single" w:sz="4" w:space="0" w:color="auto"/>
            </w:tcBorders>
            <w:hideMark/>
          </w:tcPr>
          <w:p w14:paraId="102967DC" w14:textId="77777777" w:rsidR="00142747" w:rsidRPr="003A5C0E" w:rsidRDefault="00142747" w:rsidP="00142747">
            <w:pPr>
              <w:rPr>
                <w:b/>
                <w:sz w:val="22"/>
                <w:szCs w:val="22"/>
              </w:rPr>
            </w:pPr>
            <w:r w:rsidRPr="003A5C0E">
              <w:rPr>
                <w:b/>
                <w:sz w:val="22"/>
                <w:szCs w:val="22"/>
              </w:rPr>
              <w:t>Platform</w:t>
            </w:r>
          </w:p>
        </w:tc>
        <w:tc>
          <w:tcPr>
            <w:tcW w:w="5130" w:type="dxa"/>
            <w:tcBorders>
              <w:top w:val="single" w:sz="4" w:space="0" w:color="auto"/>
              <w:left w:val="single" w:sz="4" w:space="0" w:color="auto"/>
              <w:bottom w:val="single" w:sz="4" w:space="0" w:color="auto"/>
              <w:right w:val="single" w:sz="4" w:space="0" w:color="auto"/>
            </w:tcBorders>
            <w:hideMark/>
          </w:tcPr>
          <w:p w14:paraId="1F82192C" w14:textId="77777777" w:rsidR="00142747" w:rsidRPr="003A5C0E" w:rsidRDefault="00142747" w:rsidP="00142747">
            <w:pPr>
              <w:rPr>
                <w:b/>
                <w:sz w:val="22"/>
                <w:szCs w:val="22"/>
              </w:rPr>
            </w:pPr>
            <w:r w:rsidRPr="003A5C0E">
              <w:rPr>
                <w:b/>
                <w:sz w:val="22"/>
                <w:szCs w:val="22"/>
              </w:rPr>
              <w:t>Description</w:t>
            </w:r>
          </w:p>
        </w:tc>
        <w:tc>
          <w:tcPr>
            <w:tcW w:w="2088" w:type="dxa"/>
            <w:tcBorders>
              <w:top w:val="single" w:sz="4" w:space="0" w:color="auto"/>
              <w:left w:val="single" w:sz="4" w:space="0" w:color="auto"/>
              <w:bottom w:val="single" w:sz="4" w:space="0" w:color="auto"/>
              <w:right w:val="single" w:sz="4" w:space="0" w:color="auto"/>
            </w:tcBorders>
            <w:hideMark/>
          </w:tcPr>
          <w:p w14:paraId="5D0C73F1" w14:textId="77777777" w:rsidR="00142747" w:rsidRPr="003A5C0E" w:rsidRDefault="00142747" w:rsidP="00142747">
            <w:pPr>
              <w:rPr>
                <w:b/>
                <w:sz w:val="22"/>
                <w:szCs w:val="22"/>
              </w:rPr>
            </w:pPr>
            <w:r w:rsidRPr="003A5C0E">
              <w:rPr>
                <w:b/>
                <w:sz w:val="22"/>
                <w:szCs w:val="22"/>
              </w:rPr>
              <w:t>Maintained by</w:t>
            </w:r>
          </w:p>
        </w:tc>
      </w:tr>
      <w:tr w:rsidR="00142747" w:rsidRPr="003A5C0E" w14:paraId="358AC2A0" w14:textId="77777777" w:rsidTr="00142747">
        <w:tc>
          <w:tcPr>
            <w:tcW w:w="957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50F318" w14:textId="77777777" w:rsidR="00142747" w:rsidRPr="003A5C0E" w:rsidRDefault="00142747" w:rsidP="00142747">
            <w:pPr>
              <w:rPr>
                <w:i/>
                <w:sz w:val="22"/>
                <w:szCs w:val="22"/>
              </w:rPr>
            </w:pPr>
            <w:r w:rsidRPr="003A5C0E">
              <w:rPr>
                <w:i/>
                <w:sz w:val="22"/>
                <w:szCs w:val="22"/>
              </w:rPr>
              <w:t>City of Boston</w:t>
            </w:r>
          </w:p>
        </w:tc>
      </w:tr>
      <w:tr w:rsidR="00142747" w:rsidRPr="003A5C0E" w14:paraId="367D42D5" w14:textId="77777777" w:rsidTr="00142747">
        <w:tc>
          <w:tcPr>
            <w:tcW w:w="2358" w:type="dxa"/>
            <w:tcBorders>
              <w:top w:val="single" w:sz="4" w:space="0" w:color="auto"/>
              <w:left w:val="single" w:sz="4" w:space="0" w:color="auto"/>
              <w:bottom w:val="single" w:sz="4" w:space="0" w:color="auto"/>
              <w:right w:val="single" w:sz="4" w:space="0" w:color="auto"/>
            </w:tcBorders>
          </w:tcPr>
          <w:p w14:paraId="275944F9" w14:textId="77777777" w:rsidR="00142747" w:rsidRPr="003A5C0E" w:rsidRDefault="00142747" w:rsidP="00142747">
            <w:pPr>
              <w:rPr>
                <w:bCs/>
                <w:sz w:val="22"/>
                <w:szCs w:val="22"/>
              </w:rPr>
            </w:pPr>
            <w:r w:rsidRPr="003A5C0E">
              <w:rPr>
                <w:sz w:val="22"/>
                <w:szCs w:val="22"/>
              </w:rPr>
              <w:t>Boston Surveillance System (</w:t>
            </w:r>
            <w:proofErr w:type="spellStart"/>
            <w:r w:rsidRPr="003A5C0E">
              <w:rPr>
                <w:sz w:val="22"/>
                <w:szCs w:val="22"/>
              </w:rPr>
              <w:t>BoSS</w:t>
            </w:r>
            <w:proofErr w:type="spellEnd"/>
            <w:r w:rsidRPr="003A5C0E">
              <w:rPr>
                <w:sz w:val="22"/>
                <w:szCs w:val="22"/>
              </w:rPr>
              <w:t>)</w:t>
            </w:r>
          </w:p>
          <w:p w14:paraId="26B7DDEC" w14:textId="77777777" w:rsidR="00142747" w:rsidRPr="003A5C0E" w:rsidRDefault="00142747" w:rsidP="00142747">
            <w:pPr>
              <w:rPr>
                <w:strike/>
                <w:sz w:val="22"/>
                <w:szCs w:val="22"/>
              </w:rPr>
            </w:pPr>
          </w:p>
        </w:tc>
        <w:tc>
          <w:tcPr>
            <w:tcW w:w="5130" w:type="dxa"/>
            <w:tcBorders>
              <w:top w:val="single" w:sz="4" w:space="0" w:color="auto"/>
              <w:left w:val="single" w:sz="4" w:space="0" w:color="auto"/>
              <w:bottom w:val="single" w:sz="4" w:space="0" w:color="auto"/>
              <w:right w:val="single" w:sz="4" w:space="0" w:color="auto"/>
            </w:tcBorders>
          </w:tcPr>
          <w:p w14:paraId="76C97BED" w14:textId="7A2A60FB" w:rsidR="00142747" w:rsidRPr="003A5C0E" w:rsidRDefault="00142747" w:rsidP="00142747">
            <w:pPr>
              <w:rPr>
                <w:bCs/>
                <w:sz w:val="22"/>
                <w:szCs w:val="22"/>
              </w:rPr>
            </w:pPr>
            <w:r w:rsidRPr="003A5C0E">
              <w:rPr>
                <w:bCs/>
                <w:sz w:val="22"/>
                <w:szCs w:val="22"/>
              </w:rPr>
              <w:t xml:space="preserve">The city’s electronic web-based case management system for </w:t>
            </w:r>
            <w:r w:rsidR="0037590A">
              <w:rPr>
                <w:bCs/>
                <w:sz w:val="22"/>
                <w:szCs w:val="22"/>
              </w:rPr>
              <w:t xml:space="preserve">city-wide </w:t>
            </w:r>
            <w:r w:rsidRPr="003A5C0E">
              <w:rPr>
                <w:bCs/>
                <w:sz w:val="22"/>
                <w:szCs w:val="22"/>
              </w:rPr>
              <w:t>infectious disease surveillance</w:t>
            </w:r>
            <w:r w:rsidR="0037590A">
              <w:rPr>
                <w:bCs/>
                <w:sz w:val="22"/>
                <w:szCs w:val="22"/>
              </w:rPr>
              <w:t xml:space="preserve">. </w:t>
            </w:r>
            <w:proofErr w:type="spellStart"/>
            <w:r w:rsidR="0037590A">
              <w:rPr>
                <w:bCs/>
                <w:sz w:val="22"/>
                <w:szCs w:val="22"/>
              </w:rPr>
              <w:t>BoSS</w:t>
            </w:r>
            <w:proofErr w:type="spellEnd"/>
            <w:r w:rsidR="0037590A">
              <w:rPr>
                <w:bCs/>
                <w:sz w:val="22"/>
                <w:szCs w:val="22"/>
              </w:rPr>
              <w:t xml:space="preserve"> provides daily electronic data </w:t>
            </w:r>
            <w:r w:rsidR="00194809">
              <w:rPr>
                <w:bCs/>
                <w:sz w:val="22"/>
                <w:szCs w:val="22"/>
              </w:rPr>
              <w:t xml:space="preserve">to </w:t>
            </w:r>
            <w:r w:rsidR="00194809" w:rsidRPr="003A5C0E">
              <w:rPr>
                <w:bCs/>
                <w:sz w:val="22"/>
                <w:szCs w:val="22"/>
              </w:rPr>
              <w:t>MDPH</w:t>
            </w:r>
            <w:r w:rsidRPr="003A5C0E">
              <w:rPr>
                <w:bCs/>
                <w:sz w:val="22"/>
                <w:szCs w:val="22"/>
              </w:rPr>
              <w:t xml:space="preserve"> MAVEN.   </w:t>
            </w:r>
          </w:p>
          <w:p w14:paraId="2AA42118" w14:textId="77777777" w:rsidR="00142747" w:rsidRPr="003A5C0E" w:rsidRDefault="00142747" w:rsidP="00142747">
            <w:pPr>
              <w:rPr>
                <w:b/>
                <w:bCs/>
                <w:sz w:val="22"/>
                <w:szCs w:val="22"/>
              </w:rPr>
            </w:pPr>
          </w:p>
        </w:tc>
        <w:tc>
          <w:tcPr>
            <w:tcW w:w="2088" w:type="dxa"/>
            <w:vMerge w:val="restart"/>
            <w:tcBorders>
              <w:top w:val="single" w:sz="4" w:space="0" w:color="auto"/>
              <w:left w:val="single" w:sz="4" w:space="0" w:color="auto"/>
              <w:bottom w:val="single" w:sz="4" w:space="0" w:color="auto"/>
              <w:right w:val="single" w:sz="4" w:space="0" w:color="auto"/>
            </w:tcBorders>
          </w:tcPr>
          <w:p w14:paraId="75966211" w14:textId="77777777" w:rsidR="00142747" w:rsidRPr="003A5C0E" w:rsidRDefault="00142747" w:rsidP="00142747">
            <w:pPr>
              <w:rPr>
                <w:sz w:val="22"/>
                <w:szCs w:val="22"/>
              </w:rPr>
            </w:pPr>
            <w:r w:rsidRPr="003A5C0E">
              <w:rPr>
                <w:sz w:val="22"/>
                <w:szCs w:val="22"/>
              </w:rPr>
              <w:t>Boston Public Health Commission – Infectious Disease Bureau</w:t>
            </w:r>
          </w:p>
          <w:p w14:paraId="253D29E7" w14:textId="77777777" w:rsidR="00142747" w:rsidRPr="003A5C0E" w:rsidRDefault="00142747" w:rsidP="00142747">
            <w:pPr>
              <w:rPr>
                <w:sz w:val="22"/>
                <w:szCs w:val="22"/>
              </w:rPr>
            </w:pPr>
          </w:p>
        </w:tc>
      </w:tr>
      <w:tr w:rsidR="00142747" w:rsidRPr="003A5C0E" w14:paraId="417548DE" w14:textId="77777777" w:rsidTr="00142747">
        <w:tc>
          <w:tcPr>
            <w:tcW w:w="2358" w:type="dxa"/>
            <w:tcBorders>
              <w:top w:val="single" w:sz="4" w:space="0" w:color="auto"/>
              <w:left w:val="single" w:sz="4" w:space="0" w:color="auto"/>
              <w:bottom w:val="single" w:sz="4" w:space="0" w:color="auto"/>
              <w:right w:val="single" w:sz="4" w:space="0" w:color="auto"/>
            </w:tcBorders>
            <w:hideMark/>
          </w:tcPr>
          <w:p w14:paraId="7E79BCE4" w14:textId="77777777" w:rsidR="00142747" w:rsidRPr="003A5C0E" w:rsidRDefault="00142747" w:rsidP="00142747">
            <w:pPr>
              <w:rPr>
                <w:bCs/>
                <w:sz w:val="22"/>
                <w:szCs w:val="22"/>
              </w:rPr>
            </w:pPr>
            <w:r w:rsidRPr="003A5C0E">
              <w:rPr>
                <w:sz w:val="22"/>
                <w:szCs w:val="22"/>
              </w:rPr>
              <w:t>Boston Syndromic Surveillance System (B-SYNSS)</w:t>
            </w:r>
          </w:p>
        </w:tc>
        <w:tc>
          <w:tcPr>
            <w:tcW w:w="5130" w:type="dxa"/>
            <w:tcBorders>
              <w:top w:val="single" w:sz="4" w:space="0" w:color="auto"/>
              <w:left w:val="single" w:sz="4" w:space="0" w:color="auto"/>
              <w:bottom w:val="single" w:sz="4" w:space="0" w:color="auto"/>
              <w:right w:val="single" w:sz="4" w:space="0" w:color="auto"/>
            </w:tcBorders>
          </w:tcPr>
          <w:p w14:paraId="1F507D07" w14:textId="77777777" w:rsidR="00142747" w:rsidRPr="003A5C0E" w:rsidRDefault="00142747" w:rsidP="00142747">
            <w:pPr>
              <w:rPr>
                <w:bCs/>
                <w:sz w:val="22"/>
                <w:szCs w:val="22"/>
              </w:rPr>
            </w:pPr>
            <w:r w:rsidRPr="003A5C0E">
              <w:rPr>
                <w:bCs/>
                <w:sz w:val="22"/>
                <w:szCs w:val="22"/>
              </w:rPr>
              <w:t>The city’s secure, web-based surveillance application that performs a daily review of all acute care visits to Boston emergency departments and other select healthcare sites, with the ability to provide enhanced situational awareness during outbreaks and other high profile public events.</w:t>
            </w:r>
          </w:p>
          <w:p w14:paraId="6DD9354E" w14:textId="77777777" w:rsidR="00142747" w:rsidRPr="003A5C0E" w:rsidRDefault="00142747" w:rsidP="00142747">
            <w:pPr>
              <w:rPr>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DEE147" w14:textId="77777777" w:rsidR="00142747" w:rsidRPr="003A5C0E" w:rsidRDefault="00142747" w:rsidP="00142747">
            <w:pPr>
              <w:rPr>
                <w:sz w:val="22"/>
                <w:szCs w:val="22"/>
              </w:rPr>
            </w:pPr>
          </w:p>
        </w:tc>
      </w:tr>
      <w:tr w:rsidR="00142747" w:rsidRPr="003A5C0E" w14:paraId="0849C74D" w14:textId="77777777" w:rsidTr="00142747">
        <w:tc>
          <w:tcPr>
            <w:tcW w:w="957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7951F3" w14:textId="77777777" w:rsidR="00142747" w:rsidRPr="003A5C0E" w:rsidRDefault="00142747" w:rsidP="00142747">
            <w:pPr>
              <w:rPr>
                <w:i/>
                <w:sz w:val="22"/>
                <w:szCs w:val="22"/>
              </w:rPr>
            </w:pPr>
            <w:r w:rsidRPr="003A5C0E">
              <w:rPr>
                <w:i/>
                <w:sz w:val="22"/>
                <w:szCs w:val="22"/>
              </w:rPr>
              <w:t>Statewide</w:t>
            </w:r>
          </w:p>
        </w:tc>
      </w:tr>
      <w:tr w:rsidR="00142747" w:rsidRPr="003A5C0E" w14:paraId="5E485215" w14:textId="77777777" w:rsidTr="00142747">
        <w:tc>
          <w:tcPr>
            <w:tcW w:w="2358" w:type="dxa"/>
            <w:tcBorders>
              <w:top w:val="single" w:sz="4" w:space="0" w:color="auto"/>
              <w:left w:val="single" w:sz="4" w:space="0" w:color="auto"/>
              <w:bottom w:val="single" w:sz="4" w:space="0" w:color="auto"/>
              <w:right w:val="single" w:sz="4" w:space="0" w:color="auto"/>
            </w:tcBorders>
            <w:hideMark/>
          </w:tcPr>
          <w:p w14:paraId="116F774B" w14:textId="5EB7616B" w:rsidR="00142747" w:rsidRPr="003A5C0E" w:rsidRDefault="00142747" w:rsidP="00142747">
            <w:pPr>
              <w:rPr>
                <w:sz w:val="22"/>
                <w:szCs w:val="22"/>
              </w:rPr>
            </w:pPr>
            <w:r w:rsidRPr="003A5C0E">
              <w:rPr>
                <w:bCs/>
                <w:sz w:val="22"/>
                <w:szCs w:val="22"/>
              </w:rPr>
              <w:t xml:space="preserve">MDPH Influenza Surveillance </w:t>
            </w:r>
            <w:r w:rsidR="00D94DC7">
              <w:rPr>
                <w:bCs/>
                <w:sz w:val="22"/>
                <w:szCs w:val="22"/>
              </w:rPr>
              <w:t>Division</w:t>
            </w:r>
          </w:p>
        </w:tc>
        <w:tc>
          <w:tcPr>
            <w:tcW w:w="5130" w:type="dxa"/>
            <w:tcBorders>
              <w:top w:val="single" w:sz="4" w:space="0" w:color="auto"/>
              <w:left w:val="single" w:sz="4" w:space="0" w:color="auto"/>
              <w:bottom w:val="single" w:sz="4" w:space="0" w:color="auto"/>
              <w:right w:val="single" w:sz="4" w:space="0" w:color="auto"/>
            </w:tcBorders>
          </w:tcPr>
          <w:p w14:paraId="7C403310" w14:textId="77777777" w:rsidR="00142747" w:rsidRPr="003A5C0E" w:rsidRDefault="00142747" w:rsidP="00142747">
            <w:pPr>
              <w:rPr>
                <w:sz w:val="22"/>
                <w:szCs w:val="22"/>
              </w:rPr>
            </w:pPr>
            <w:r w:rsidRPr="003A5C0E">
              <w:rPr>
                <w:sz w:val="22"/>
                <w:szCs w:val="22"/>
              </w:rPr>
              <w:t>Influenza surveillance in MA is a year-round activity involving many partners and activities:  a network of volunteer providers and healthcare organizations which report on influenza-like illness; hospitals which report on confirmed influenza hospitalizations; laboratory testing at the MA SPHL and other hospital and commercial labs, with additional testing at CDC; required electronic reporting of positive influenza test results to Integrated Surveillance and Informatics Services (ISIS); and required reporting of both influenza-related pediatric deaths and clusters of influenza-like illness in long-term care settings.  An influenza-like illness activity level is reported weekly throughout flu season to CDC and via the MDPH weekly flu report.</w:t>
            </w:r>
          </w:p>
          <w:p w14:paraId="45F3DD34" w14:textId="77777777" w:rsidR="00142747" w:rsidRPr="003A5C0E" w:rsidRDefault="00142747" w:rsidP="00142747">
            <w:pPr>
              <w:rPr>
                <w:sz w:val="22"/>
                <w:szCs w:val="22"/>
              </w:rPr>
            </w:pPr>
          </w:p>
        </w:tc>
        <w:tc>
          <w:tcPr>
            <w:tcW w:w="2088" w:type="dxa"/>
            <w:tcBorders>
              <w:top w:val="single" w:sz="4" w:space="0" w:color="auto"/>
              <w:left w:val="single" w:sz="4" w:space="0" w:color="auto"/>
              <w:bottom w:val="single" w:sz="4" w:space="0" w:color="auto"/>
              <w:right w:val="single" w:sz="4" w:space="0" w:color="auto"/>
            </w:tcBorders>
            <w:hideMark/>
          </w:tcPr>
          <w:p w14:paraId="3779FF6A" w14:textId="6C55467B" w:rsidR="00142747" w:rsidRPr="003A5C0E" w:rsidRDefault="00142747" w:rsidP="0037590A">
            <w:pPr>
              <w:rPr>
                <w:sz w:val="22"/>
                <w:szCs w:val="22"/>
              </w:rPr>
            </w:pPr>
            <w:r w:rsidRPr="003A5C0E">
              <w:rPr>
                <w:sz w:val="22"/>
                <w:szCs w:val="22"/>
              </w:rPr>
              <w:t xml:space="preserve">MDPH </w:t>
            </w:r>
            <w:r w:rsidR="003A5C0E">
              <w:rPr>
                <w:sz w:val="22"/>
                <w:szCs w:val="22"/>
              </w:rPr>
              <w:t>Division</w:t>
            </w:r>
            <w:r w:rsidR="0037590A">
              <w:rPr>
                <w:sz w:val="22"/>
                <w:szCs w:val="22"/>
              </w:rPr>
              <w:t xml:space="preserve"> of Epidemiology</w:t>
            </w:r>
          </w:p>
        </w:tc>
      </w:tr>
      <w:tr w:rsidR="00142747" w:rsidRPr="003A5C0E" w14:paraId="12320D20" w14:textId="77777777" w:rsidTr="00142747">
        <w:tc>
          <w:tcPr>
            <w:tcW w:w="2358" w:type="dxa"/>
            <w:tcBorders>
              <w:top w:val="single" w:sz="4" w:space="0" w:color="auto"/>
              <w:left w:val="single" w:sz="4" w:space="0" w:color="auto"/>
              <w:bottom w:val="single" w:sz="4" w:space="0" w:color="auto"/>
              <w:right w:val="single" w:sz="4" w:space="0" w:color="auto"/>
            </w:tcBorders>
            <w:hideMark/>
          </w:tcPr>
          <w:p w14:paraId="1781E1E6" w14:textId="77777777" w:rsidR="00142747" w:rsidRPr="003A5C0E" w:rsidRDefault="00142747" w:rsidP="00142747">
            <w:pPr>
              <w:rPr>
                <w:sz w:val="22"/>
                <w:szCs w:val="22"/>
              </w:rPr>
            </w:pPr>
            <w:r w:rsidRPr="003A5C0E">
              <w:rPr>
                <w:sz w:val="22"/>
                <w:szCs w:val="22"/>
              </w:rPr>
              <w:t>Massachusetts Virtual Epidemiological Network (MAVEN)</w:t>
            </w:r>
          </w:p>
        </w:tc>
        <w:tc>
          <w:tcPr>
            <w:tcW w:w="5130" w:type="dxa"/>
            <w:tcBorders>
              <w:top w:val="single" w:sz="4" w:space="0" w:color="auto"/>
              <w:left w:val="single" w:sz="4" w:space="0" w:color="auto"/>
              <w:bottom w:val="single" w:sz="4" w:space="0" w:color="auto"/>
              <w:right w:val="single" w:sz="4" w:space="0" w:color="auto"/>
            </w:tcBorders>
          </w:tcPr>
          <w:p w14:paraId="454A1BB1" w14:textId="665AAB01" w:rsidR="00142747" w:rsidRPr="003A5C0E" w:rsidRDefault="0037590A" w:rsidP="00142747">
            <w:pPr>
              <w:rPr>
                <w:sz w:val="22"/>
                <w:szCs w:val="22"/>
              </w:rPr>
            </w:pPr>
            <w:r>
              <w:rPr>
                <w:sz w:val="22"/>
                <w:szCs w:val="22"/>
              </w:rPr>
              <w:t>The state’s infectious</w:t>
            </w:r>
            <w:r w:rsidR="00142747" w:rsidRPr="003A5C0E">
              <w:rPr>
                <w:sz w:val="22"/>
                <w:szCs w:val="22"/>
              </w:rPr>
              <w:t xml:space="preserve"> disease surveillance and case management </w:t>
            </w:r>
            <w:r>
              <w:rPr>
                <w:sz w:val="22"/>
                <w:szCs w:val="22"/>
              </w:rPr>
              <w:t xml:space="preserve">system </w:t>
            </w:r>
            <w:r w:rsidR="00142747" w:rsidRPr="003A5C0E">
              <w:rPr>
                <w:sz w:val="22"/>
                <w:szCs w:val="22"/>
              </w:rPr>
              <w:t xml:space="preserve"> that </w:t>
            </w:r>
            <w:r>
              <w:rPr>
                <w:sz w:val="22"/>
                <w:szCs w:val="22"/>
              </w:rPr>
              <w:t xml:space="preserve">enables state and local health departments to appropriately collect and share epidemiologic, surveillance and laboratory data efficiently and securely. Its surrounding infrastructure </w:t>
            </w:r>
            <w:r w:rsidR="00142747" w:rsidRPr="003A5C0E">
              <w:rPr>
                <w:sz w:val="22"/>
                <w:szCs w:val="22"/>
              </w:rPr>
              <w:t xml:space="preserve">allows for real-time </w:t>
            </w:r>
            <w:r>
              <w:rPr>
                <w:sz w:val="22"/>
                <w:szCs w:val="22"/>
              </w:rPr>
              <w:t xml:space="preserve">reporting of infectious disease data </w:t>
            </w:r>
            <w:r w:rsidRPr="003A5C0E">
              <w:rPr>
                <w:sz w:val="22"/>
                <w:szCs w:val="22"/>
              </w:rPr>
              <w:t xml:space="preserve"> </w:t>
            </w:r>
            <w:r>
              <w:rPr>
                <w:sz w:val="22"/>
                <w:szCs w:val="22"/>
              </w:rPr>
              <w:t xml:space="preserve"> from clinical and reference </w:t>
            </w:r>
            <w:r w:rsidR="00142747" w:rsidRPr="003A5C0E">
              <w:rPr>
                <w:sz w:val="22"/>
                <w:szCs w:val="22"/>
              </w:rPr>
              <w:t xml:space="preserve">laboratories, </w:t>
            </w:r>
            <w:r>
              <w:rPr>
                <w:sz w:val="22"/>
                <w:szCs w:val="22"/>
              </w:rPr>
              <w:t>the SPHL</w:t>
            </w:r>
            <w:r w:rsidR="00142747" w:rsidRPr="003A5C0E">
              <w:rPr>
                <w:sz w:val="22"/>
                <w:szCs w:val="22"/>
              </w:rPr>
              <w:t xml:space="preserve">, and </w:t>
            </w:r>
            <w:r>
              <w:rPr>
                <w:sz w:val="22"/>
                <w:szCs w:val="22"/>
              </w:rPr>
              <w:t xml:space="preserve">health care providers. </w:t>
            </w:r>
          </w:p>
          <w:p w14:paraId="6CC3E81A" w14:textId="77777777" w:rsidR="00142747" w:rsidRPr="003A5C0E" w:rsidRDefault="00142747" w:rsidP="00142747">
            <w:pPr>
              <w:rPr>
                <w:sz w:val="22"/>
                <w:szCs w:val="22"/>
              </w:rPr>
            </w:pPr>
          </w:p>
        </w:tc>
        <w:tc>
          <w:tcPr>
            <w:tcW w:w="2088" w:type="dxa"/>
            <w:tcBorders>
              <w:top w:val="single" w:sz="4" w:space="0" w:color="auto"/>
              <w:left w:val="single" w:sz="4" w:space="0" w:color="auto"/>
              <w:bottom w:val="single" w:sz="4" w:space="0" w:color="auto"/>
              <w:right w:val="single" w:sz="4" w:space="0" w:color="auto"/>
            </w:tcBorders>
            <w:hideMark/>
          </w:tcPr>
          <w:p w14:paraId="32AC2C73" w14:textId="77777777" w:rsidR="00142747" w:rsidRPr="003A5C0E" w:rsidRDefault="00142747" w:rsidP="00142747">
            <w:pPr>
              <w:rPr>
                <w:sz w:val="22"/>
                <w:szCs w:val="22"/>
              </w:rPr>
            </w:pPr>
            <w:r w:rsidRPr="003A5C0E">
              <w:rPr>
                <w:sz w:val="22"/>
                <w:szCs w:val="22"/>
              </w:rPr>
              <w:t>MDPH Integrated Surveillance and Informatics Services (ISIS)</w:t>
            </w:r>
          </w:p>
        </w:tc>
      </w:tr>
      <w:tr w:rsidR="0037590A" w:rsidRPr="003A5C0E" w14:paraId="0D226711" w14:textId="77777777" w:rsidTr="00142747">
        <w:tc>
          <w:tcPr>
            <w:tcW w:w="2358" w:type="dxa"/>
            <w:tcBorders>
              <w:top w:val="single" w:sz="4" w:space="0" w:color="auto"/>
              <w:left w:val="single" w:sz="4" w:space="0" w:color="auto"/>
              <w:bottom w:val="single" w:sz="4" w:space="0" w:color="auto"/>
              <w:right w:val="single" w:sz="4" w:space="0" w:color="auto"/>
            </w:tcBorders>
          </w:tcPr>
          <w:p w14:paraId="6A23F6DA" w14:textId="275E18CA" w:rsidR="0037590A" w:rsidRPr="003A5C0E" w:rsidRDefault="0037590A" w:rsidP="00142747">
            <w:r w:rsidRPr="00071D8A">
              <w:rPr>
                <w:sz w:val="22"/>
                <w:szCs w:val="22"/>
              </w:rPr>
              <w:t>Health Information Reporting Portal</w:t>
            </w:r>
          </w:p>
        </w:tc>
        <w:tc>
          <w:tcPr>
            <w:tcW w:w="5130" w:type="dxa"/>
            <w:tcBorders>
              <w:top w:val="single" w:sz="4" w:space="0" w:color="auto"/>
              <w:left w:val="single" w:sz="4" w:space="0" w:color="auto"/>
              <w:bottom w:val="single" w:sz="4" w:space="0" w:color="auto"/>
              <w:right w:val="single" w:sz="4" w:space="0" w:color="auto"/>
            </w:tcBorders>
          </w:tcPr>
          <w:p w14:paraId="00C1FAF1" w14:textId="4D41C91B" w:rsidR="0037590A" w:rsidRPr="003A5C0E" w:rsidDel="0037590A" w:rsidRDefault="0037590A" w:rsidP="00142747">
            <w:r w:rsidRPr="00071D8A">
              <w:rPr>
                <w:color w:val="000000"/>
                <w:sz w:val="22"/>
                <w:szCs w:val="22"/>
              </w:rPr>
              <w:t>The portal</w:t>
            </w:r>
            <w:r w:rsidRPr="00071D8A">
              <w:rPr>
                <w:i/>
                <w:color w:val="000000"/>
                <w:sz w:val="22"/>
                <w:szCs w:val="22"/>
              </w:rPr>
              <w:t xml:space="preserve"> </w:t>
            </w:r>
            <w:r w:rsidRPr="00071D8A">
              <w:rPr>
                <w:color w:val="000000"/>
                <w:sz w:val="22"/>
                <w:szCs w:val="22"/>
              </w:rPr>
              <w:t xml:space="preserve">is the conduit for receiving all electronic </w:t>
            </w:r>
            <w:r>
              <w:rPr>
                <w:color w:val="000000"/>
                <w:sz w:val="22"/>
                <w:szCs w:val="22"/>
              </w:rPr>
              <w:t xml:space="preserve">reporting </w:t>
            </w:r>
            <w:r w:rsidRPr="00071D8A">
              <w:rPr>
                <w:color w:val="000000"/>
                <w:sz w:val="22"/>
                <w:szCs w:val="22"/>
              </w:rPr>
              <w:t xml:space="preserve">data feeds for MAVEN; these include </w:t>
            </w:r>
            <w:r>
              <w:rPr>
                <w:color w:val="000000"/>
                <w:sz w:val="22"/>
                <w:szCs w:val="22"/>
              </w:rPr>
              <w:t>electronic laboratory reporting (ELR) from clinical reference laboratories and the MASPL, the city of Boston’s daily transfer from</w:t>
            </w:r>
            <w:r w:rsidRPr="00071D8A">
              <w:rPr>
                <w:color w:val="000000"/>
                <w:sz w:val="22"/>
                <w:szCs w:val="22"/>
              </w:rPr>
              <w:t xml:space="preserve"> </w:t>
            </w:r>
            <w:proofErr w:type="spellStart"/>
            <w:r w:rsidRPr="00071D8A">
              <w:rPr>
                <w:color w:val="000000"/>
                <w:sz w:val="22"/>
                <w:szCs w:val="22"/>
              </w:rPr>
              <w:t>BoSS</w:t>
            </w:r>
            <w:proofErr w:type="spellEnd"/>
            <w:r>
              <w:rPr>
                <w:color w:val="000000"/>
                <w:sz w:val="22"/>
                <w:szCs w:val="22"/>
              </w:rPr>
              <w:t>,</w:t>
            </w:r>
            <w:r w:rsidRPr="00071D8A">
              <w:rPr>
                <w:color w:val="000000"/>
                <w:sz w:val="22"/>
                <w:szCs w:val="22"/>
              </w:rPr>
              <w:t xml:space="preserve"> and </w:t>
            </w:r>
            <w:r>
              <w:rPr>
                <w:color w:val="000000"/>
                <w:sz w:val="22"/>
                <w:szCs w:val="22"/>
              </w:rPr>
              <w:t xml:space="preserve">electronic case </w:t>
            </w:r>
            <w:r>
              <w:rPr>
                <w:color w:val="000000"/>
                <w:sz w:val="22"/>
                <w:szCs w:val="22"/>
              </w:rPr>
              <w:lastRenderedPageBreak/>
              <w:t>reporting (</w:t>
            </w:r>
            <w:proofErr w:type="spellStart"/>
            <w:r>
              <w:rPr>
                <w:color w:val="000000"/>
                <w:sz w:val="22"/>
                <w:szCs w:val="22"/>
              </w:rPr>
              <w:t>eCR</w:t>
            </w:r>
            <w:proofErr w:type="spellEnd"/>
            <w:r>
              <w:rPr>
                <w:color w:val="000000"/>
                <w:sz w:val="22"/>
                <w:szCs w:val="22"/>
              </w:rPr>
              <w:t>) from health care providers via ESP (Electronic Support for Public Health)</w:t>
            </w:r>
            <w:r w:rsidRPr="00071D8A">
              <w:rPr>
                <w:color w:val="000000"/>
                <w:sz w:val="22"/>
                <w:szCs w:val="22"/>
              </w:rPr>
              <w:t>. The portal is also provides electronic testing order and reporting capacity for the MASPHL.</w:t>
            </w:r>
          </w:p>
        </w:tc>
        <w:tc>
          <w:tcPr>
            <w:tcW w:w="2088" w:type="dxa"/>
            <w:tcBorders>
              <w:top w:val="single" w:sz="4" w:space="0" w:color="auto"/>
              <w:left w:val="single" w:sz="4" w:space="0" w:color="auto"/>
              <w:bottom w:val="single" w:sz="4" w:space="0" w:color="auto"/>
              <w:right w:val="single" w:sz="4" w:space="0" w:color="auto"/>
            </w:tcBorders>
          </w:tcPr>
          <w:p w14:paraId="2CC498B0" w14:textId="173090B3" w:rsidR="0037590A" w:rsidRPr="003A5C0E" w:rsidRDefault="0037590A" w:rsidP="00142747">
            <w:r w:rsidRPr="003A5C0E">
              <w:rPr>
                <w:sz w:val="22"/>
                <w:szCs w:val="22"/>
              </w:rPr>
              <w:lastRenderedPageBreak/>
              <w:t>MDPH Integrated Surveillance and Informatics Services (ISIS)</w:t>
            </w:r>
          </w:p>
        </w:tc>
      </w:tr>
      <w:tr w:rsidR="0037590A" w:rsidRPr="003A5C0E" w14:paraId="33E004E8" w14:textId="77777777" w:rsidTr="00142747">
        <w:tc>
          <w:tcPr>
            <w:tcW w:w="2358" w:type="dxa"/>
            <w:tcBorders>
              <w:top w:val="single" w:sz="4" w:space="0" w:color="auto"/>
              <w:left w:val="single" w:sz="4" w:space="0" w:color="auto"/>
              <w:bottom w:val="single" w:sz="4" w:space="0" w:color="auto"/>
              <w:right w:val="single" w:sz="4" w:space="0" w:color="auto"/>
            </w:tcBorders>
          </w:tcPr>
          <w:p w14:paraId="00057C76" w14:textId="191B9341" w:rsidR="0037590A" w:rsidRPr="003A5C0E" w:rsidRDefault="0037590A" w:rsidP="0037590A">
            <w:r w:rsidRPr="008C3A37">
              <w:rPr>
                <w:sz w:val="22"/>
                <w:szCs w:val="22"/>
              </w:rPr>
              <w:lastRenderedPageBreak/>
              <w:t xml:space="preserve">Massachusetts Syndromic Surveillance System (MA </w:t>
            </w:r>
            <w:proofErr w:type="spellStart"/>
            <w:r w:rsidRPr="008C3A37">
              <w:rPr>
                <w:sz w:val="22"/>
                <w:szCs w:val="22"/>
              </w:rPr>
              <w:t>SyS</w:t>
            </w:r>
            <w:proofErr w:type="spellEnd"/>
            <w:r w:rsidRPr="008C3A37">
              <w:rPr>
                <w:sz w:val="22"/>
                <w:szCs w:val="22"/>
              </w:rPr>
              <w:t>)</w:t>
            </w:r>
          </w:p>
        </w:tc>
        <w:tc>
          <w:tcPr>
            <w:tcW w:w="5130" w:type="dxa"/>
            <w:tcBorders>
              <w:top w:val="single" w:sz="4" w:space="0" w:color="auto"/>
              <w:left w:val="single" w:sz="4" w:space="0" w:color="auto"/>
              <w:bottom w:val="single" w:sz="4" w:space="0" w:color="auto"/>
              <w:right w:val="single" w:sz="4" w:space="0" w:color="auto"/>
            </w:tcBorders>
          </w:tcPr>
          <w:p w14:paraId="6D8466B3" w14:textId="08EE5CA9" w:rsidR="0037590A" w:rsidRPr="003A5C0E" w:rsidDel="0037590A" w:rsidRDefault="0037590A" w:rsidP="00142747">
            <w:r w:rsidRPr="008C3A37">
              <w:rPr>
                <w:sz w:val="22"/>
                <w:szCs w:val="22"/>
              </w:rPr>
              <w:t xml:space="preserve">MA </w:t>
            </w:r>
            <w:proofErr w:type="spellStart"/>
            <w:r w:rsidRPr="008C3A37">
              <w:rPr>
                <w:sz w:val="22"/>
                <w:szCs w:val="22"/>
              </w:rPr>
              <w:t>SyS</w:t>
            </w:r>
            <w:proofErr w:type="spellEnd"/>
            <w:r w:rsidRPr="008C3A37">
              <w:rPr>
                <w:sz w:val="22"/>
                <w:szCs w:val="22"/>
              </w:rPr>
              <w:t xml:space="preserve"> is the state’s syndromic surveillance system and currently submits emergency department data from ED and urgent care facilities to the National Syndromic Surveillance System Platform (NSSP).</w:t>
            </w:r>
          </w:p>
        </w:tc>
        <w:tc>
          <w:tcPr>
            <w:tcW w:w="2088" w:type="dxa"/>
            <w:tcBorders>
              <w:top w:val="single" w:sz="4" w:space="0" w:color="auto"/>
              <w:left w:val="single" w:sz="4" w:space="0" w:color="auto"/>
              <w:bottom w:val="single" w:sz="4" w:space="0" w:color="auto"/>
              <w:right w:val="single" w:sz="4" w:space="0" w:color="auto"/>
            </w:tcBorders>
          </w:tcPr>
          <w:p w14:paraId="0B64C4D6" w14:textId="15C24C8C" w:rsidR="0037590A" w:rsidRDefault="0037590A" w:rsidP="00142747">
            <w:r w:rsidRPr="008C3A37">
              <w:rPr>
                <w:sz w:val="22"/>
                <w:szCs w:val="22"/>
              </w:rPr>
              <w:t>MDPH Integrated Surveillance and Informatics Services (ISIS)</w:t>
            </w:r>
          </w:p>
          <w:p w14:paraId="7DB4A246" w14:textId="77777777" w:rsidR="0037590A" w:rsidRPr="0037590A" w:rsidRDefault="0037590A" w:rsidP="006160F8">
            <w:pPr>
              <w:jc w:val="center"/>
            </w:pPr>
          </w:p>
        </w:tc>
      </w:tr>
      <w:tr w:rsidR="00142747" w:rsidRPr="003A5C0E" w14:paraId="2DD99D20" w14:textId="77777777" w:rsidTr="00142747">
        <w:tc>
          <w:tcPr>
            <w:tcW w:w="2358" w:type="dxa"/>
            <w:tcBorders>
              <w:top w:val="single" w:sz="4" w:space="0" w:color="auto"/>
              <w:left w:val="single" w:sz="4" w:space="0" w:color="auto"/>
              <w:bottom w:val="single" w:sz="4" w:space="0" w:color="auto"/>
              <w:right w:val="single" w:sz="4" w:space="0" w:color="auto"/>
            </w:tcBorders>
          </w:tcPr>
          <w:p w14:paraId="1A129DF8" w14:textId="77777777" w:rsidR="00142747" w:rsidRPr="003A5C0E" w:rsidRDefault="00142747" w:rsidP="00142747">
            <w:pPr>
              <w:rPr>
                <w:sz w:val="22"/>
                <w:szCs w:val="22"/>
              </w:rPr>
            </w:pPr>
            <w:proofErr w:type="spellStart"/>
            <w:r w:rsidRPr="003A5C0E">
              <w:rPr>
                <w:sz w:val="22"/>
                <w:szCs w:val="22"/>
              </w:rPr>
              <w:t>CaseMix</w:t>
            </w:r>
            <w:proofErr w:type="spellEnd"/>
            <w:r w:rsidRPr="003A5C0E">
              <w:rPr>
                <w:sz w:val="22"/>
                <w:szCs w:val="22"/>
              </w:rPr>
              <w:t xml:space="preserve"> Dataset</w:t>
            </w:r>
          </w:p>
        </w:tc>
        <w:tc>
          <w:tcPr>
            <w:tcW w:w="5130" w:type="dxa"/>
            <w:tcBorders>
              <w:top w:val="single" w:sz="4" w:space="0" w:color="auto"/>
              <w:left w:val="single" w:sz="4" w:space="0" w:color="auto"/>
              <w:bottom w:val="single" w:sz="4" w:space="0" w:color="auto"/>
              <w:right w:val="single" w:sz="4" w:space="0" w:color="auto"/>
            </w:tcBorders>
          </w:tcPr>
          <w:p w14:paraId="13370452" w14:textId="3F9B213A" w:rsidR="00142747" w:rsidRPr="003A5C0E" w:rsidRDefault="00142747" w:rsidP="00142747">
            <w:pPr>
              <w:rPr>
                <w:sz w:val="22"/>
                <w:szCs w:val="22"/>
              </w:rPr>
            </w:pPr>
            <w:r w:rsidRPr="003A5C0E">
              <w:rPr>
                <w:sz w:val="22"/>
                <w:szCs w:val="22"/>
              </w:rPr>
              <w:t>A secure, electronic database which captures discharge diagnoses from Emergency Department and Urgent Care centers visits in Massachusetts.</w:t>
            </w:r>
          </w:p>
          <w:p w14:paraId="5742F747" w14:textId="77777777" w:rsidR="00142747" w:rsidRPr="003A5C0E" w:rsidRDefault="00142747" w:rsidP="00142747">
            <w:pPr>
              <w:rPr>
                <w:sz w:val="22"/>
                <w:szCs w:val="22"/>
              </w:rPr>
            </w:pPr>
          </w:p>
        </w:tc>
        <w:tc>
          <w:tcPr>
            <w:tcW w:w="2088" w:type="dxa"/>
            <w:tcBorders>
              <w:top w:val="single" w:sz="4" w:space="0" w:color="auto"/>
              <w:left w:val="single" w:sz="4" w:space="0" w:color="auto"/>
              <w:bottom w:val="single" w:sz="4" w:space="0" w:color="auto"/>
              <w:right w:val="single" w:sz="4" w:space="0" w:color="auto"/>
            </w:tcBorders>
          </w:tcPr>
          <w:p w14:paraId="3F1543DF" w14:textId="77777777" w:rsidR="00142747" w:rsidRPr="003A5C0E" w:rsidRDefault="00142747" w:rsidP="00142747">
            <w:pPr>
              <w:rPr>
                <w:sz w:val="22"/>
                <w:szCs w:val="22"/>
              </w:rPr>
            </w:pPr>
            <w:r w:rsidRPr="003A5C0E">
              <w:rPr>
                <w:sz w:val="22"/>
                <w:szCs w:val="22"/>
              </w:rPr>
              <w:t>Center for Health Information Analysis (CHIA)</w:t>
            </w:r>
          </w:p>
        </w:tc>
      </w:tr>
      <w:tr w:rsidR="00142747" w:rsidRPr="003A5C0E" w14:paraId="659F8EF2" w14:textId="77777777" w:rsidTr="00142747">
        <w:tc>
          <w:tcPr>
            <w:tcW w:w="2358" w:type="dxa"/>
            <w:tcBorders>
              <w:top w:val="single" w:sz="4" w:space="0" w:color="auto"/>
              <w:left w:val="single" w:sz="4" w:space="0" w:color="auto"/>
              <w:bottom w:val="single" w:sz="4" w:space="0" w:color="auto"/>
              <w:right w:val="single" w:sz="4" w:space="0" w:color="auto"/>
            </w:tcBorders>
          </w:tcPr>
          <w:p w14:paraId="106DA9AC" w14:textId="3F5F27AB" w:rsidR="00142747" w:rsidRPr="003A5C0E" w:rsidRDefault="00142747" w:rsidP="00142747">
            <w:pPr>
              <w:rPr>
                <w:sz w:val="22"/>
                <w:szCs w:val="22"/>
              </w:rPr>
            </w:pPr>
          </w:p>
        </w:tc>
        <w:tc>
          <w:tcPr>
            <w:tcW w:w="5130" w:type="dxa"/>
            <w:tcBorders>
              <w:top w:val="single" w:sz="4" w:space="0" w:color="auto"/>
              <w:left w:val="single" w:sz="4" w:space="0" w:color="auto"/>
              <w:bottom w:val="single" w:sz="4" w:space="0" w:color="auto"/>
              <w:right w:val="single" w:sz="4" w:space="0" w:color="auto"/>
            </w:tcBorders>
          </w:tcPr>
          <w:p w14:paraId="5A12E52E" w14:textId="77777777" w:rsidR="00142747" w:rsidRPr="003A5C0E" w:rsidRDefault="00142747" w:rsidP="00142747">
            <w:pPr>
              <w:rPr>
                <w:sz w:val="22"/>
                <w:szCs w:val="22"/>
              </w:rPr>
            </w:pPr>
          </w:p>
        </w:tc>
        <w:tc>
          <w:tcPr>
            <w:tcW w:w="2088" w:type="dxa"/>
            <w:tcBorders>
              <w:top w:val="single" w:sz="4" w:space="0" w:color="auto"/>
              <w:left w:val="single" w:sz="4" w:space="0" w:color="auto"/>
              <w:bottom w:val="single" w:sz="4" w:space="0" w:color="auto"/>
              <w:right w:val="single" w:sz="4" w:space="0" w:color="auto"/>
            </w:tcBorders>
          </w:tcPr>
          <w:p w14:paraId="21EEEA4F" w14:textId="41D19093" w:rsidR="00142747" w:rsidRPr="003A5C0E" w:rsidRDefault="00142747" w:rsidP="00142747">
            <w:pPr>
              <w:rPr>
                <w:sz w:val="22"/>
                <w:szCs w:val="22"/>
              </w:rPr>
            </w:pPr>
          </w:p>
        </w:tc>
      </w:tr>
      <w:tr w:rsidR="00142747" w:rsidRPr="003A5C0E" w14:paraId="125AFB18" w14:textId="77777777" w:rsidTr="00142747">
        <w:tc>
          <w:tcPr>
            <w:tcW w:w="2358" w:type="dxa"/>
            <w:tcBorders>
              <w:top w:val="single" w:sz="4" w:space="0" w:color="auto"/>
              <w:left w:val="single" w:sz="4" w:space="0" w:color="auto"/>
              <w:bottom w:val="single" w:sz="4" w:space="0" w:color="auto"/>
              <w:right w:val="single" w:sz="4" w:space="0" w:color="auto"/>
            </w:tcBorders>
          </w:tcPr>
          <w:p w14:paraId="353BC73C" w14:textId="77777777" w:rsidR="00142747" w:rsidRPr="003A5C0E" w:rsidRDefault="00142747" w:rsidP="00142747">
            <w:pPr>
              <w:rPr>
                <w:sz w:val="22"/>
                <w:szCs w:val="22"/>
              </w:rPr>
            </w:pPr>
            <w:r w:rsidRPr="003A5C0E">
              <w:rPr>
                <w:sz w:val="22"/>
                <w:szCs w:val="22"/>
              </w:rPr>
              <w:t>Massachusetts Immunization Information System</w:t>
            </w:r>
          </w:p>
        </w:tc>
        <w:tc>
          <w:tcPr>
            <w:tcW w:w="5130" w:type="dxa"/>
            <w:tcBorders>
              <w:top w:val="single" w:sz="4" w:space="0" w:color="auto"/>
              <w:left w:val="single" w:sz="4" w:space="0" w:color="auto"/>
              <w:bottom w:val="single" w:sz="4" w:space="0" w:color="auto"/>
              <w:right w:val="single" w:sz="4" w:space="0" w:color="auto"/>
            </w:tcBorders>
          </w:tcPr>
          <w:p w14:paraId="5B9C6FD1" w14:textId="77777777" w:rsidR="00142747" w:rsidRPr="003A5C0E" w:rsidRDefault="00142747" w:rsidP="00142747">
            <w:pPr>
              <w:rPr>
                <w:sz w:val="22"/>
                <w:szCs w:val="22"/>
              </w:rPr>
            </w:pPr>
            <w:r w:rsidRPr="003A5C0E">
              <w:rPr>
                <w:sz w:val="22"/>
                <w:szCs w:val="22"/>
              </w:rPr>
              <w:t>A web-based lifespan immunization registry and vaccine management system. The MIIS provides patient and practice level reports to aid in the administration and tracking of immunizations. Additionally, the MIIS provides an online platform to manage and track the approximately 3 million doses of vaccine distributed by the MDPH annually.</w:t>
            </w:r>
          </w:p>
          <w:p w14:paraId="51572329" w14:textId="77777777" w:rsidR="00142747" w:rsidRPr="003A5C0E" w:rsidRDefault="00142747" w:rsidP="00142747">
            <w:pPr>
              <w:rPr>
                <w:sz w:val="22"/>
                <w:szCs w:val="22"/>
              </w:rPr>
            </w:pPr>
          </w:p>
        </w:tc>
        <w:tc>
          <w:tcPr>
            <w:tcW w:w="2088" w:type="dxa"/>
            <w:tcBorders>
              <w:top w:val="single" w:sz="4" w:space="0" w:color="auto"/>
              <w:left w:val="single" w:sz="4" w:space="0" w:color="auto"/>
              <w:bottom w:val="single" w:sz="4" w:space="0" w:color="auto"/>
              <w:right w:val="single" w:sz="4" w:space="0" w:color="auto"/>
            </w:tcBorders>
          </w:tcPr>
          <w:p w14:paraId="16ECB7FC" w14:textId="513B25DF" w:rsidR="00142747" w:rsidRPr="003A5C0E" w:rsidRDefault="00142747" w:rsidP="003A5C0E">
            <w:pPr>
              <w:rPr>
                <w:sz w:val="22"/>
                <w:szCs w:val="22"/>
              </w:rPr>
            </w:pPr>
            <w:r w:rsidRPr="003A5C0E">
              <w:rPr>
                <w:sz w:val="22"/>
                <w:szCs w:val="22"/>
              </w:rPr>
              <w:t xml:space="preserve">MDPH Immunization </w:t>
            </w:r>
            <w:r w:rsidR="003A5C0E">
              <w:rPr>
                <w:sz w:val="22"/>
                <w:szCs w:val="22"/>
              </w:rPr>
              <w:t>Division</w:t>
            </w:r>
          </w:p>
        </w:tc>
      </w:tr>
      <w:tr w:rsidR="00142747" w:rsidRPr="003A5C0E" w14:paraId="29BA1B3F" w14:textId="77777777" w:rsidTr="00142747">
        <w:tc>
          <w:tcPr>
            <w:tcW w:w="2358" w:type="dxa"/>
            <w:tcBorders>
              <w:top w:val="single" w:sz="4" w:space="0" w:color="auto"/>
              <w:left w:val="single" w:sz="4" w:space="0" w:color="auto"/>
              <w:bottom w:val="single" w:sz="4" w:space="0" w:color="auto"/>
              <w:right w:val="single" w:sz="4" w:space="0" w:color="auto"/>
            </w:tcBorders>
          </w:tcPr>
          <w:p w14:paraId="475F7234" w14:textId="774CFCDA" w:rsidR="00142747" w:rsidRPr="003A5C0E" w:rsidRDefault="00142747" w:rsidP="00142747">
            <w:pPr>
              <w:rPr>
                <w:sz w:val="22"/>
                <w:szCs w:val="22"/>
              </w:rPr>
            </w:pPr>
          </w:p>
        </w:tc>
        <w:tc>
          <w:tcPr>
            <w:tcW w:w="5130" w:type="dxa"/>
            <w:tcBorders>
              <w:top w:val="single" w:sz="4" w:space="0" w:color="auto"/>
              <w:left w:val="single" w:sz="4" w:space="0" w:color="auto"/>
              <w:bottom w:val="single" w:sz="4" w:space="0" w:color="auto"/>
              <w:right w:val="single" w:sz="4" w:space="0" w:color="auto"/>
            </w:tcBorders>
          </w:tcPr>
          <w:p w14:paraId="33AD0E5B" w14:textId="77777777" w:rsidR="00142747" w:rsidRPr="003A5C0E" w:rsidRDefault="00142747" w:rsidP="00142747">
            <w:pPr>
              <w:rPr>
                <w:sz w:val="22"/>
                <w:szCs w:val="22"/>
              </w:rPr>
            </w:pPr>
          </w:p>
        </w:tc>
        <w:tc>
          <w:tcPr>
            <w:tcW w:w="2088" w:type="dxa"/>
            <w:tcBorders>
              <w:top w:val="single" w:sz="4" w:space="0" w:color="auto"/>
              <w:left w:val="single" w:sz="4" w:space="0" w:color="auto"/>
              <w:bottom w:val="single" w:sz="4" w:space="0" w:color="auto"/>
              <w:right w:val="single" w:sz="4" w:space="0" w:color="auto"/>
            </w:tcBorders>
          </w:tcPr>
          <w:p w14:paraId="110C8E41" w14:textId="170E7007" w:rsidR="00142747" w:rsidRPr="003A5C0E" w:rsidRDefault="00142747" w:rsidP="003A5C0E">
            <w:pPr>
              <w:rPr>
                <w:sz w:val="22"/>
                <w:szCs w:val="22"/>
              </w:rPr>
            </w:pPr>
          </w:p>
        </w:tc>
      </w:tr>
      <w:tr w:rsidR="00142747" w:rsidRPr="003A5C0E" w14:paraId="0D465D86" w14:textId="77777777" w:rsidTr="00142747">
        <w:trPr>
          <w:trHeight w:val="333"/>
        </w:trPr>
        <w:tc>
          <w:tcPr>
            <w:tcW w:w="957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B40C3D" w14:textId="77777777" w:rsidR="00142747" w:rsidRPr="003A5C0E" w:rsidRDefault="00142747" w:rsidP="00142747">
            <w:pPr>
              <w:shd w:val="clear" w:color="auto" w:fill="D9D9D9" w:themeFill="background1" w:themeFillShade="D9"/>
              <w:rPr>
                <w:i/>
                <w:sz w:val="22"/>
                <w:szCs w:val="22"/>
              </w:rPr>
            </w:pPr>
            <w:r w:rsidRPr="003A5C0E">
              <w:rPr>
                <w:i/>
                <w:sz w:val="22"/>
                <w:szCs w:val="22"/>
              </w:rPr>
              <w:t xml:space="preserve">National </w:t>
            </w:r>
          </w:p>
        </w:tc>
      </w:tr>
      <w:tr w:rsidR="0037590A" w:rsidRPr="003A5C0E" w14:paraId="3936EBB9" w14:textId="77777777" w:rsidTr="00142747">
        <w:tc>
          <w:tcPr>
            <w:tcW w:w="2358" w:type="dxa"/>
            <w:tcBorders>
              <w:top w:val="single" w:sz="4" w:space="0" w:color="auto"/>
              <w:left w:val="single" w:sz="4" w:space="0" w:color="auto"/>
              <w:bottom w:val="single" w:sz="4" w:space="0" w:color="auto"/>
              <w:right w:val="single" w:sz="4" w:space="0" w:color="auto"/>
            </w:tcBorders>
          </w:tcPr>
          <w:p w14:paraId="01A7CB52" w14:textId="4728A0EF" w:rsidR="0037590A" w:rsidRPr="003A5C0E" w:rsidRDefault="0037590A" w:rsidP="00142747">
            <w:r w:rsidRPr="008C3A37">
              <w:t>Nationally Notifiable Disease Surveillance System (NNDSS)</w:t>
            </w:r>
          </w:p>
        </w:tc>
        <w:tc>
          <w:tcPr>
            <w:tcW w:w="5130" w:type="dxa"/>
            <w:tcBorders>
              <w:top w:val="single" w:sz="4" w:space="0" w:color="auto"/>
              <w:left w:val="single" w:sz="4" w:space="0" w:color="auto"/>
              <w:bottom w:val="single" w:sz="4" w:space="0" w:color="auto"/>
              <w:right w:val="single" w:sz="4" w:space="0" w:color="auto"/>
            </w:tcBorders>
          </w:tcPr>
          <w:p w14:paraId="1D2FBF0A" w14:textId="409F2C02" w:rsidR="0037590A" w:rsidRPr="003A5C0E" w:rsidRDefault="0037590A" w:rsidP="00142747">
            <w:r w:rsidRPr="008C3A37">
              <w:t>The national surveillance system for monitoring notifiable conditions</w:t>
            </w:r>
            <w:r>
              <w:rPr>
                <w:sz w:val="22"/>
                <w:szCs w:val="22"/>
              </w:rPr>
              <w:t xml:space="preserve"> reported from state and local health departments</w:t>
            </w:r>
            <w:r w:rsidRPr="008C3A37">
              <w:t xml:space="preserve">. MDPH </w:t>
            </w:r>
            <w:r>
              <w:rPr>
                <w:sz w:val="22"/>
                <w:szCs w:val="22"/>
              </w:rPr>
              <w:t xml:space="preserve">submits data </w:t>
            </w:r>
            <w:r w:rsidRPr="008C3A37">
              <w:t>to NNDSS through a variety of mechanisms.</w:t>
            </w:r>
          </w:p>
        </w:tc>
        <w:tc>
          <w:tcPr>
            <w:tcW w:w="2088" w:type="dxa"/>
            <w:tcBorders>
              <w:top w:val="single" w:sz="4" w:space="0" w:color="auto"/>
              <w:left w:val="single" w:sz="4" w:space="0" w:color="auto"/>
              <w:bottom w:val="single" w:sz="4" w:space="0" w:color="auto"/>
              <w:right w:val="single" w:sz="4" w:space="0" w:color="auto"/>
            </w:tcBorders>
          </w:tcPr>
          <w:p w14:paraId="4BC0A997" w14:textId="5AB3FEDA" w:rsidR="0037590A" w:rsidRPr="003A5C0E" w:rsidRDefault="0037590A" w:rsidP="00142747">
            <w:r w:rsidRPr="008C3A37">
              <w:t>CDC</w:t>
            </w:r>
          </w:p>
        </w:tc>
      </w:tr>
      <w:tr w:rsidR="00142747" w:rsidRPr="003A5C0E" w14:paraId="46BF0DBC" w14:textId="77777777" w:rsidTr="00142747">
        <w:tc>
          <w:tcPr>
            <w:tcW w:w="2358" w:type="dxa"/>
            <w:tcBorders>
              <w:top w:val="single" w:sz="4" w:space="0" w:color="auto"/>
              <w:left w:val="single" w:sz="4" w:space="0" w:color="auto"/>
              <w:bottom w:val="single" w:sz="4" w:space="0" w:color="auto"/>
              <w:right w:val="single" w:sz="4" w:space="0" w:color="auto"/>
            </w:tcBorders>
            <w:hideMark/>
          </w:tcPr>
          <w:p w14:paraId="66478EFF" w14:textId="62DAC076" w:rsidR="00142747" w:rsidRPr="003A5C0E" w:rsidRDefault="00142747" w:rsidP="00142747">
            <w:pPr>
              <w:rPr>
                <w:sz w:val="22"/>
                <w:szCs w:val="22"/>
              </w:rPr>
            </w:pPr>
            <w:r w:rsidRPr="003A5C0E">
              <w:rPr>
                <w:sz w:val="22"/>
                <w:szCs w:val="22"/>
              </w:rPr>
              <w:t xml:space="preserve">National Syndromic Surveillance </w:t>
            </w:r>
            <w:r w:rsidR="00D94DC7">
              <w:rPr>
                <w:sz w:val="22"/>
                <w:szCs w:val="22"/>
              </w:rPr>
              <w:t>Division</w:t>
            </w:r>
            <w:r w:rsidRPr="003A5C0E">
              <w:rPr>
                <w:sz w:val="22"/>
                <w:szCs w:val="22"/>
              </w:rPr>
              <w:t xml:space="preserve"> (NSSP)</w:t>
            </w:r>
          </w:p>
        </w:tc>
        <w:tc>
          <w:tcPr>
            <w:tcW w:w="5130" w:type="dxa"/>
            <w:tcBorders>
              <w:top w:val="single" w:sz="4" w:space="0" w:color="auto"/>
              <w:left w:val="single" w:sz="4" w:space="0" w:color="auto"/>
              <w:bottom w:val="single" w:sz="4" w:space="0" w:color="auto"/>
              <w:right w:val="single" w:sz="4" w:space="0" w:color="auto"/>
            </w:tcBorders>
          </w:tcPr>
          <w:p w14:paraId="6245B0F7" w14:textId="77777777" w:rsidR="00142747" w:rsidRPr="003A5C0E" w:rsidRDefault="00142747" w:rsidP="00142747">
            <w:pPr>
              <w:rPr>
                <w:sz w:val="22"/>
                <w:szCs w:val="22"/>
              </w:rPr>
            </w:pPr>
            <w:r w:rsidRPr="003A5C0E">
              <w:rPr>
                <w:sz w:val="22"/>
                <w:szCs w:val="22"/>
              </w:rPr>
              <w:t xml:space="preserve">A national secure, cloud-based health information system that enables users to rapidly collect, aggregate, evaluate, share and store syndromic data from healthcare organizations across the nation. </w:t>
            </w:r>
          </w:p>
          <w:p w14:paraId="26A2D5E3" w14:textId="77777777" w:rsidR="00142747" w:rsidRPr="003A5C0E" w:rsidRDefault="00142747" w:rsidP="00142747">
            <w:pPr>
              <w:rPr>
                <w:sz w:val="22"/>
                <w:szCs w:val="22"/>
              </w:rPr>
            </w:pPr>
          </w:p>
          <w:p w14:paraId="4FF43D5B" w14:textId="1FEC848D" w:rsidR="00142747" w:rsidRPr="003A5C0E" w:rsidRDefault="0037590A" w:rsidP="00142747">
            <w:pPr>
              <w:rPr>
                <w:sz w:val="22"/>
                <w:szCs w:val="22"/>
              </w:rPr>
            </w:pPr>
            <w:r>
              <w:rPr>
                <w:sz w:val="22"/>
                <w:szCs w:val="22"/>
              </w:rPr>
              <w:t>MA Sys</w:t>
            </w:r>
            <w:r w:rsidRPr="003A5C0E">
              <w:rPr>
                <w:sz w:val="22"/>
                <w:szCs w:val="22"/>
              </w:rPr>
              <w:t xml:space="preserve"> </w:t>
            </w:r>
            <w:r w:rsidR="00142747" w:rsidRPr="003A5C0E">
              <w:rPr>
                <w:sz w:val="22"/>
                <w:szCs w:val="22"/>
              </w:rPr>
              <w:t xml:space="preserve">utilizes the Mass </w:t>
            </w:r>
            <w:proofErr w:type="spellStart"/>
            <w:r w:rsidR="00142747" w:rsidRPr="003A5C0E">
              <w:rPr>
                <w:sz w:val="22"/>
                <w:szCs w:val="22"/>
              </w:rPr>
              <w:t>HIway</w:t>
            </w:r>
            <w:proofErr w:type="spellEnd"/>
            <w:r w:rsidR="00142747" w:rsidRPr="003A5C0E">
              <w:rPr>
                <w:sz w:val="22"/>
                <w:szCs w:val="22"/>
              </w:rPr>
              <w:t xml:space="preserve"> infrastructure to aggregate and send syndromic data to the NSSP.</w:t>
            </w:r>
          </w:p>
          <w:p w14:paraId="67E2A85E" w14:textId="77777777" w:rsidR="00142747" w:rsidRPr="003A5C0E" w:rsidRDefault="00142747" w:rsidP="00142747">
            <w:pPr>
              <w:rPr>
                <w:sz w:val="22"/>
                <w:szCs w:val="22"/>
              </w:rPr>
            </w:pPr>
          </w:p>
        </w:tc>
        <w:tc>
          <w:tcPr>
            <w:tcW w:w="2088" w:type="dxa"/>
            <w:tcBorders>
              <w:top w:val="single" w:sz="4" w:space="0" w:color="auto"/>
              <w:left w:val="single" w:sz="4" w:space="0" w:color="auto"/>
              <w:bottom w:val="single" w:sz="4" w:space="0" w:color="auto"/>
              <w:right w:val="single" w:sz="4" w:space="0" w:color="auto"/>
            </w:tcBorders>
          </w:tcPr>
          <w:p w14:paraId="7D6215F5" w14:textId="77777777" w:rsidR="00142747" w:rsidRPr="003A5C0E" w:rsidRDefault="00142747" w:rsidP="00142747">
            <w:pPr>
              <w:rPr>
                <w:sz w:val="22"/>
                <w:szCs w:val="22"/>
              </w:rPr>
            </w:pPr>
            <w:r w:rsidRPr="003A5C0E">
              <w:rPr>
                <w:sz w:val="22"/>
                <w:szCs w:val="22"/>
              </w:rPr>
              <w:t xml:space="preserve">CDC </w:t>
            </w:r>
          </w:p>
          <w:p w14:paraId="36F142DA" w14:textId="77777777" w:rsidR="00142747" w:rsidRPr="003A5C0E" w:rsidRDefault="00142747" w:rsidP="00142747">
            <w:pPr>
              <w:rPr>
                <w:sz w:val="22"/>
                <w:szCs w:val="22"/>
              </w:rPr>
            </w:pPr>
          </w:p>
          <w:p w14:paraId="609E7FC8" w14:textId="77777777" w:rsidR="00142747" w:rsidRPr="003A5C0E" w:rsidRDefault="00142747" w:rsidP="00142747">
            <w:pPr>
              <w:rPr>
                <w:sz w:val="22"/>
                <w:szCs w:val="22"/>
              </w:rPr>
            </w:pPr>
          </w:p>
          <w:p w14:paraId="3B990CA6" w14:textId="77777777" w:rsidR="00142747" w:rsidRPr="003A5C0E" w:rsidRDefault="00142747" w:rsidP="00142747">
            <w:pPr>
              <w:rPr>
                <w:sz w:val="22"/>
                <w:szCs w:val="22"/>
              </w:rPr>
            </w:pPr>
          </w:p>
          <w:p w14:paraId="798712D8" w14:textId="77777777" w:rsidR="00142747" w:rsidRPr="003A5C0E" w:rsidRDefault="00142747" w:rsidP="00142747">
            <w:pPr>
              <w:rPr>
                <w:sz w:val="22"/>
                <w:szCs w:val="22"/>
              </w:rPr>
            </w:pPr>
          </w:p>
          <w:p w14:paraId="4DEAE0CE" w14:textId="77777777" w:rsidR="00142747" w:rsidRPr="003A5C0E" w:rsidRDefault="00142747" w:rsidP="00142747">
            <w:pPr>
              <w:rPr>
                <w:sz w:val="22"/>
                <w:szCs w:val="22"/>
              </w:rPr>
            </w:pPr>
          </w:p>
        </w:tc>
      </w:tr>
      <w:tr w:rsidR="00142747" w:rsidRPr="003A5C0E" w14:paraId="54946A97" w14:textId="77777777" w:rsidTr="00142747">
        <w:tc>
          <w:tcPr>
            <w:tcW w:w="2358" w:type="dxa"/>
            <w:tcBorders>
              <w:top w:val="single" w:sz="4" w:space="0" w:color="auto"/>
              <w:left w:val="single" w:sz="4" w:space="0" w:color="auto"/>
              <w:bottom w:val="single" w:sz="4" w:space="0" w:color="auto"/>
              <w:right w:val="single" w:sz="4" w:space="0" w:color="auto"/>
            </w:tcBorders>
            <w:hideMark/>
          </w:tcPr>
          <w:p w14:paraId="2A7EC967" w14:textId="5E0C559A" w:rsidR="00142747" w:rsidRPr="003A5C0E" w:rsidRDefault="00D94DC7" w:rsidP="00142747">
            <w:pPr>
              <w:rPr>
                <w:sz w:val="22"/>
                <w:szCs w:val="22"/>
              </w:rPr>
            </w:pPr>
            <w:r>
              <w:rPr>
                <w:sz w:val="22"/>
                <w:szCs w:val="22"/>
              </w:rPr>
              <w:t>Division</w:t>
            </w:r>
            <w:r w:rsidR="00142747" w:rsidRPr="003A5C0E">
              <w:rPr>
                <w:sz w:val="22"/>
                <w:szCs w:val="22"/>
              </w:rPr>
              <w:t xml:space="preserve"> for Monitoring Emerging Diseases (</w:t>
            </w:r>
            <w:proofErr w:type="spellStart"/>
            <w:r w:rsidR="00142747" w:rsidRPr="003A5C0E">
              <w:rPr>
                <w:sz w:val="22"/>
                <w:szCs w:val="22"/>
              </w:rPr>
              <w:t>ProMED</w:t>
            </w:r>
            <w:proofErr w:type="spellEnd"/>
            <w:r w:rsidR="00142747" w:rsidRPr="003A5C0E">
              <w:rPr>
                <w:sz w:val="22"/>
                <w:szCs w:val="22"/>
              </w:rPr>
              <w:t>-Mail)</w:t>
            </w:r>
          </w:p>
        </w:tc>
        <w:tc>
          <w:tcPr>
            <w:tcW w:w="5130" w:type="dxa"/>
            <w:tcBorders>
              <w:top w:val="single" w:sz="4" w:space="0" w:color="auto"/>
              <w:left w:val="single" w:sz="4" w:space="0" w:color="auto"/>
              <w:bottom w:val="single" w:sz="4" w:space="0" w:color="auto"/>
              <w:right w:val="single" w:sz="4" w:space="0" w:color="auto"/>
            </w:tcBorders>
          </w:tcPr>
          <w:p w14:paraId="5D0141AB" w14:textId="77777777" w:rsidR="00142747" w:rsidRPr="003A5C0E" w:rsidRDefault="00142747" w:rsidP="00142747">
            <w:pPr>
              <w:rPr>
                <w:sz w:val="22"/>
                <w:szCs w:val="22"/>
              </w:rPr>
            </w:pPr>
            <w:r w:rsidRPr="003A5C0E">
              <w:rPr>
                <w:sz w:val="22"/>
                <w:szCs w:val="22"/>
              </w:rPr>
              <w:t>A web-based reporting system dedicated to rapid global dissemination of information and real-time discussion on outbreaks of infectious diseases and acute exposures to toxins.</w:t>
            </w:r>
          </w:p>
          <w:p w14:paraId="14412161" w14:textId="77777777" w:rsidR="00142747" w:rsidRPr="003A5C0E" w:rsidRDefault="00142747" w:rsidP="00142747">
            <w:pPr>
              <w:rPr>
                <w:sz w:val="22"/>
                <w:szCs w:val="22"/>
              </w:rPr>
            </w:pPr>
          </w:p>
        </w:tc>
        <w:tc>
          <w:tcPr>
            <w:tcW w:w="2088" w:type="dxa"/>
            <w:tcBorders>
              <w:top w:val="single" w:sz="4" w:space="0" w:color="auto"/>
              <w:left w:val="single" w:sz="4" w:space="0" w:color="auto"/>
              <w:bottom w:val="single" w:sz="4" w:space="0" w:color="auto"/>
              <w:right w:val="single" w:sz="4" w:space="0" w:color="auto"/>
            </w:tcBorders>
          </w:tcPr>
          <w:p w14:paraId="21AA3B11" w14:textId="77777777" w:rsidR="00142747" w:rsidRPr="003A5C0E" w:rsidRDefault="00142747" w:rsidP="00142747">
            <w:pPr>
              <w:rPr>
                <w:sz w:val="22"/>
                <w:szCs w:val="22"/>
              </w:rPr>
            </w:pPr>
            <w:r w:rsidRPr="003A5C0E">
              <w:rPr>
                <w:sz w:val="22"/>
                <w:szCs w:val="22"/>
              </w:rPr>
              <w:t>International Society for Infectious Diseases</w:t>
            </w:r>
          </w:p>
          <w:p w14:paraId="1AA8B0D4" w14:textId="77777777" w:rsidR="00142747" w:rsidRPr="003A5C0E" w:rsidRDefault="00142747" w:rsidP="00142747">
            <w:pPr>
              <w:rPr>
                <w:sz w:val="22"/>
                <w:szCs w:val="22"/>
              </w:rPr>
            </w:pPr>
          </w:p>
        </w:tc>
      </w:tr>
      <w:tr w:rsidR="00142747" w:rsidRPr="003A5C0E" w14:paraId="16508B09" w14:textId="77777777" w:rsidTr="00142747">
        <w:tc>
          <w:tcPr>
            <w:tcW w:w="2358" w:type="dxa"/>
            <w:tcBorders>
              <w:top w:val="single" w:sz="4" w:space="0" w:color="auto"/>
              <w:left w:val="single" w:sz="4" w:space="0" w:color="auto"/>
              <w:bottom w:val="single" w:sz="4" w:space="0" w:color="auto"/>
              <w:right w:val="single" w:sz="4" w:space="0" w:color="auto"/>
            </w:tcBorders>
            <w:hideMark/>
          </w:tcPr>
          <w:p w14:paraId="5CC9F7D3" w14:textId="77777777" w:rsidR="00142747" w:rsidRPr="003A5C0E" w:rsidRDefault="00142747" w:rsidP="00142747">
            <w:pPr>
              <w:rPr>
                <w:sz w:val="22"/>
                <w:szCs w:val="22"/>
              </w:rPr>
            </w:pPr>
            <w:proofErr w:type="spellStart"/>
            <w:r w:rsidRPr="003A5C0E">
              <w:rPr>
                <w:sz w:val="22"/>
                <w:szCs w:val="22"/>
              </w:rPr>
              <w:t>PulseNet</w:t>
            </w:r>
            <w:proofErr w:type="spellEnd"/>
          </w:p>
        </w:tc>
        <w:tc>
          <w:tcPr>
            <w:tcW w:w="5130" w:type="dxa"/>
            <w:tcBorders>
              <w:top w:val="single" w:sz="4" w:space="0" w:color="auto"/>
              <w:left w:val="single" w:sz="4" w:space="0" w:color="auto"/>
              <w:bottom w:val="single" w:sz="4" w:space="0" w:color="auto"/>
              <w:right w:val="single" w:sz="4" w:space="0" w:color="auto"/>
            </w:tcBorders>
          </w:tcPr>
          <w:p w14:paraId="4B3532BE" w14:textId="77777777" w:rsidR="00142747" w:rsidRPr="003A5C0E" w:rsidRDefault="00142747" w:rsidP="00142747">
            <w:pPr>
              <w:rPr>
                <w:sz w:val="22"/>
                <w:szCs w:val="22"/>
              </w:rPr>
            </w:pPr>
            <w:r w:rsidRPr="003A5C0E">
              <w:rPr>
                <w:sz w:val="22"/>
                <w:szCs w:val="22"/>
              </w:rPr>
              <w:t>A national laboratory network that connects foodborne illness cases to detect outbreaks.</w:t>
            </w:r>
          </w:p>
          <w:p w14:paraId="52E87BBD" w14:textId="77777777" w:rsidR="00142747" w:rsidRPr="003A5C0E" w:rsidRDefault="00142747" w:rsidP="00142747">
            <w:pPr>
              <w:rPr>
                <w:sz w:val="22"/>
                <w:szCs w:val="22"/>
              </w:rPr>
            </w:pPr>
          </w:p>
        </w:tc>
        <w:tc>
          <w:tcPr>
            <w:tcW w:w="2088" w:type="dxa"/>
            <w:tcBorders>
              <w:top w:val="single" w:sz="4" w:space="0" w:color="auto"/>
              <w:left w:val="single" w:sz="4" w:space="0" w:color="auto"/>
              <w:bottom w:val="single" w:sz="4" w:space="0" w:color="auto"/>
              <w:right w:val="single" w:sz="4" w:space="0" w:color="auto"/>
            </w:tcBorders>
            <w:hideMark/>
          </w:tcPr>
          <w:p w14:paraId="3BDFDDE6" w14:textId="77777777" w:rsidR="00142747" w:rsidRPr="003A5C0E" w:rsidRDefault="00142747" w:rsidP="00142747">
            <w:pPr>
              <w:rPr>
                <w:sz w:val="22"/>
                <w:szCs w:val="22"/>
              </w:rPr>
            </w:pPr>
            <w:r w:rsidRPr="003A5C0E">
              <w:rPr>
                <w:sz w:val="22"/>
                <w:szCs w:val="22"/>
              </w:rPr>
              <w:t>CDC</w:t>
            </w:r>
          </w:p>
        </w:tc>
      </w:tr>
      <w:tr w:rsidR="00142747" w:rsidRPr="003A5C0E" w14:paraId="6E948782" w14:textId="77777777" w:rsidTr="00142747">
        <w:tc>
          <w:tcPr>
            <w:tcW w:w="2358" w:type="dxa"/>
            <w:tcBorders>
              <w:top w:val="single" w:sz="4" w:space="0" w:color="auto"/>
              <w:left w:val="single" w:sz="4" w:space="0" w:color="auto"/>
              <w:bottom w:val="single" w:sz="4" w:space="0" w:color="auto"/>
              <w:right w:val="single" w:sz="4" w:space="0" w:color="auto"/>
            </w:tcBorders>
          </w:tcPr>
          <w:p w14:paraId="2AF2A0E0" w14:textId="77777777" w:rsidR="00142747" w:rsidRPr="003A5C0E" w:rsidRDefault="00142747" w:rsidP="00142747">
            <w:pPr>
              <w:rPr>
                <w:sz w:val="22"/>
                <w:szCs w:val="22"/>
              </w:rPr>
            </w:pPr>
            <w:proofErr w:type="spellStart"/>
            <w:r w:rsidRPr="003A5C0E">
              <w:rPr>
                <w:sz w:val="22"/>
                <w:szCs w:val="22"/>
              </w:rPr>
              <w:t>CaliciNet</w:t>
            </w:r>
            <w:proofErr w:type="spellEnd"/>
          </w:p>
        </w:tc>
        <w:tc>
          <w:tcPr>
            <w:tcW w:w="5130" w:type="dxa"/>
            <w:tcBorders>
              <w:top w:val="single" w:sz="4" w:space="0" w:color="auto"/>
              <w:left w:val="single" w:sz="4" w:space="0" w:color="auto"/>
              <w:bottom w:val="single" w:sz="4" w:space="0" w:color="auto"/>
              <w:right w:val="single" w:sz="4" w:space="0" w:color="auto"/>
            </w:tcBorders>
          </w:tcPr>
          <w:p w14:paraId="49D60367" w14:textId="77777777" w:rsidR="00142747" w:rsidRPr="003A5C0E" w:rsidRDefault="00142747" w:rsidP="00142747">
            <w:pPr>
              <w:rPr>
                <w:sz w:val="22"/>
                <w:szCs w:val="22"/>
              </w:rPr>
            </w:pPr>
            <w:r w:rsidRPr="003A5C0E">
              <w:rPr>
                <w:sz w:val="22"/>
                <w:szCs w:val="22"/>
              </w:rPr>
              <w:t xml:space="preserve">A national norovirus outbreak surveillance network of federal, state, and local public health laboratories in the United States. CDC launched </w:t>
            </w:r>
            <w:proofErr w:type="spellStart"/>
            <w:r w:rsidRPr="003A5C0E">
              <w:rPr>
                <w:sz w:val="22"/>
                <w:szCs w:val="22"/>
              </w:rPr>
              <w:t>CaliciNet</w:t>
            </w:r>
            <w:proofErr w:type="spellEnd"/>
            <w:r w:rsidRPr="003A5C0E">
              <w:rPr>
                <w:sz w:val="22"/>
                <w:szCs w:val="22"/>
              </w:rPr>
              <w:t xml:space="preserve"> in 2009 to </w:t>
            </w:r>
            <w:r w:rsidRPr="003A5C0E">
              <w:rPr>
                <w:sz w:val="22"/>
                <w:szCs w:val="22"/>
              </w:rPr>
              <w:lastRenderedPageBreak/>
              <w:t>collect information on norovirus strains associated with gastroenteritis outbreaks in the United States.</w:t>
            </w:r>
          </w:p>
          <w:p w14:paraId="39128B97" w14:textId="77777777" w:rsidR="00142747" w:rsidRPr="003A5C0E" w:rsidRDefault="00142747" w:rsidP="00142747">
            <w:pPr>
              <w:rPr>
                <w:sz w:val="22"/>
                <w:szCs w:val="22"/>
              </w:rPr>
            </w:pPr>
          </w:p>
        </w:tc>
        <w:tc>
          <w:tcPr>
            <w:tcW w:w="2088" w:type="dxa"/>
            <w:tcBorders>
              <w:top w:val="single" w:sz="4" w:space="0" w:color="auto"/>
              <w:left w:val="single" w:sz="4" w:space="0" w:color="auto"/>
              <w:bottom w:val="single" w:sz="4" w:space="0" w:color="auto"/>
              <w:right w:val="single" w:sz="4" w:space="0" w:color="auto"/>
            </w:tcBorders>
          </w:tcPr>
          <w:p w14:paraId="1781EE02" w14:textId="77777777" w:rsidR="00142747" w:rsidRPr="003A5C0E" w:rsidRDefault="00142747" w:rsidP="00142747">
            <w:pPr>
              <w:rPr>
                <w:sz w:val="22"/>
                <w:szCs w:val="22"/>
              </w:rPr>
            </w:pPr>
            <w:r w:rsidRPr="003A5C0E">
              <w:rPr>
                <w:sz w:val="22"/>
                <w:szCs w:val="22"/>
              </w:rPr>
              <w:lastRenderedPageBreak/>
              <w:t>CDC</w:t>
            </w:r>
          </w:p>
        </w:tc>
      </w:tr>
      <w:tr w:rsidR="00142747" w:rsidRPr="003A5C0E" w14:paraId="4D007B47" w14:textId="77777777" w:rsidTr="00142747">
        <w:tc>
          <w:tcPr>
            <w:tcW w:w="2358" w:type="dxa"/>
            <w:tcBorders>
              <w:top w:val="single" w:sz="4" w:space="0" w:color="auto"/>
              <w:left w:val="single" w:sz="4" w:space="0" w:color="auto"/>
              <w:bottom w:val="single" w:sz="4" w:space="0" w:color="auto"/>
              <w:right w:val="single" w:sz="4" w:space="0" w:color="auto"/>
            </w:tcBorders>
          </w:tcPr>
          <w:p w14:paraId="531F7CB0" w14:textId="77777777" w:rsidR="00142747" w:rsidRPr="003A5C0E" w:rsidRDefault="00142747" w:rsidP="00142747">
            <w:pPr>
              <w:rPr>
                <w:sz w:val="22"/>
                <w:szCs w:val="22"/>
              </w:rPr>
            </w:pPr>
            <w:r w:rsidRPr="003A5C0E">
              <w:rPr>
                <w:sz w:val="22"/>
                <w:szCs w:val="22"/>
              </w:rPr>
              <w:lastRenderedPageBreak/>
              <w:t>National Healthcare Safety Network</w:t>
            </w:r>
          </w:p>
        </w:tc>
        <w:tc>
          <w:tcPr>
            <w:tcW w:w="5130" w:type="dxa"/>
            <w:tcBorders>
              <w:top w:val="single" w:sz="4" w:space="0" w:color="auto"/>
              <w:left w:val="single" w:sz="4" w:space="0" w:color="auto"/>
              <w:bottom w:val="single" w:sz="4" w:space="0" w:color="auto"/>
              <w:right w:val="single" w:sz="4" w:space="0" w:color="auto"/>
            </w:tcBorders>
          </w:tcPr>
          <w:p w14:paraId="324D6940" w14:textId="77777777" w:rsidR="00142747" w:rsidRPr="003A5C0E" w:rsidRDefault="00142747" w:rsidP="00142747">
            <w:pPr>
              <w:rPr>
                <w:sz w:val="22"/>
                <w:szCs w:val="22"/>
              </w:rPr>
            </w:pPr>
            <w:r w:rsidRPr="003A5C0E">
              <w:rPr>
                <w:sz w:val="22"/>
                <w:szCs w:val="22"/>
              </w:rPr>
              <w:t xml:space="preserve">A national, secure, web-based reporting system which captures data on specific Healthcare Associated Infections (HAI) of concern. It also includes a </w:t>
            </w:r>
            <w:proofErr w:type="spellStart"/>
            <w:r w:rsidRPr="003A5C0E">
              <w:rPr>
                <w:sz w:val="22"/>
                <w:szCs w:val="22"/>
              </w:rPr>
              <w:t>Hemovigilance</w:t>
            </w:r>
            <w:proofErr w:type="spellEnd"/>
            <w:r w:rsidRPr="003A5C0E">
              <w:rPr>
                <w:sz w:val="22"/>
                <w:szCs w:val="22"/>
              </w:rPr>
              <w:t xml:space="preserve"> module which Massachusetts actively utilizes.</w:t>
            </w:r>
          </w:p>
          <w:p w14:paraId="79FF4C84" w14:textId="77777777" w:rsidR="00142747" w:rsidRPr="003A5C0E" w:rsidRDefault="00142747" w:rsidP="00142747">
            <w:pPr>
              <w:rPr>
                <w:sz w:val="22"/>
                <w:szCs w:val="22"/>
              </w:rPr>
            </w:pPr>
          </w:p>
        </w:tc>
        <w:tc>
          <w:tcPr>
            <w:tcW w:w="2088" w:type="dxa"/>
            <w:tcBorders>
              <w:top w:val="single" w:sz="4" w:space="0" w:color="auto"/>
              <w:left w:val="single" w:sz="4" w:space="0" w:color="auto"/>
              <w:bottom w:val="single" w:sz="4" w:space="0" w:color="auto"/>
              <w:right w:val="single" w:sz="4" w:space="0" w:color="auto"/>
            </w:tcBorders>
          </w:tcPr>
          <w:p w14:paraId="52276953" w14:textId="77777777" w:rsidR="00142747" w:rsidRPr="003A5C0E" w:rsidRDefault="00142747" w:rsidP="00142747">
            <w:pPr>
              <w:rPr>
                <w:sz w:val="22"/>
                <w:szCs w:val="22"/>
              </w:rPr>
            </w:pPr>
            <w:r w:rsidRPr="003A5C0E">
              <w:rPr>
                <w:sz w:val="22"/>
                <w:szCs w:val="22"/>
              </w:rPr>
              <w:t>CDC</w:t>
            </w:r>
          </w:p>
        </w:tc>
      </w:tr>
      <w:tr w:rsidR="00142747" w:rsidRPr="003A5C0E" w14:paraId="18211695" w14:textId="77777777" w:rsidTr="00142747">
        <w:tc>
          <w:tcPr>
            <w:tcW w:w="2358" w:type="dxa"/>
            <w:tcBorders>
              <w:top w:val="single" w:sz="4" w:space="0" w:color="auto"/>
              <w:left w:val="single" w:sz="4" w:space="0" w:color="auto"/>
              <w:bottom w:val="single" w:sz="4" w:space="0" w:color="auto"/>
              <w:right w:val="single" w:sz="4" w:space="0" w:color="auto"/>
            </w:tcBorders>
          </w:tcPr>
          <w:p w14:paraId="268642BD" w14:textId="77777777" w:rsidR="00142747" w:rsidRPr="003A5C0E" w:rsidRDefault="00142747" w:rsidP="00142747">
            <w:pPr>
              <w:rPr>
                <w:sz w:val="22"/>
                <w:szCs w:val="22"/>
              </w:rPr>
            </w:pPr>
            <w:r w:rsidRPr="003A5C0E">
              <w:rPr>
                <w:sz w:val="22"/>
                <w:szCs w:val="22"/>
              </w:rPr>
              <w:t>The National Antimicrobial Resistance Monitoring System for Enteric Bacteria (NARMS)</w:t>
            </w:r>
          </w:p>
        </w:tc>
        <w:tc>
          <w:tcPr>
            <w:tcW w:w="5130" w:type="dxa"/>
            <w:tcBorders>
              <w:top w:val="single" w:sz="4" w:space="0" w:color="auto"/>
              <w:left w:val="single" w:sz="4" w:space="0" w:color="auto"/>
              <w:bottom w:val="single" w:sz="4" w:space="0" w:color="auto"/>
              <w:right w:val="single" w:sz="4" w:space="0" w:color="auto"/>
            </w:tcBorders>
          </w:tcPr>
          <w:p w14:paraId="5ECB8621" w14:textId="77777777" w:rsidR="00142747" w:rsidRPr="003A5C0E" w:rsidRDefault="00142747" w:rsidP="00142747">
            <w:pPr>
              <w:rPr>
                <w:sz w:val="22"/>
                <w:szCs w:val="22"/>
              </w:rPr>
            </w:pPr>
            <w:r w:rsidRPr="003A5C0E">
              <w:rPr>
                <w:sz w:val="22"/>
                <w:szCs w:val="22"/>
              </w:rPr>
              <w:t xml:space="preserve">A collaboration among state and local public health departments, CDC, the U.S. Food and Drug Administration (FDA), and the U.S. Department of Agriculture (USDA). This national public health surveillance system tracks changes in the antimicrobial susceptibility of certain enteric (intestinal) bacteria found in ill people (CDC), retail meats (FDA), and food animals (USDA) in the United States. </w:t>
            </w:r>
          </w:p>
          <w:p w14:paraId="07BB0E60" w14:textId="77777777" w:rsidR="00142747" w:rsidRPr="003A5C0E" w:rsidRDefault="00142747" w:rsidP="00142747">
            <w:pPr>
              <w:rPr>
                <w:sz w:val="22"/>
                <w:szCs w:val="22"/>
              </w:rPr>
            </w:pPr>
          </w:p>
        </w:tc>
        <w:tc>
          <w:tcPr>
            <w:tcW w:w="2088" w:type="dxa"/>
            <w:tcBorders>
              <w:top w:val="single" w:sz="4" w:space="0" w:color="auto"/>
              <w:left w:val="single" w:sz="4" w:space="0" w:color="auto"/>
              <w:bottom w:val="single" w:sz="4" w:space="0" w:color="auto"/>
              <w:right w:val="single" w:sz="4" w:space="0" w:color="auto"/>
            </w:tcBorders>
          </w:tcPr>
          <w:p w14:paraId="2E2337D1" w14:textId="77777777" w:rsidR="00142747" w:rsidRPr="003A5C0E" w:rsidRDefault="00142747" w:rsidP="00142747">
            <w:pPr>
              <w:rPr>
                <w:sz w:val="22"/>
                <w:szCs w:val="22"/>
              </w:rPr>
            </w:pPr>
            <w:r w:rsidRPr="003A5C0E">
              <w:rPr>
                <w:sz w:val="22"/>
                <w:szCs w:val="22"/>
              </w:rPr>
              <w:t>CDC</w:t>
            </w:r>
          </w:p>
        </w:tc>
      </w:tr>
      <w:tr w:rsidR="00142747" w:rsidRPr="003A5C0E" w14:paraId="2CC81903" w14:textId="77777777" w:rsidTr="00142747">
        <w:tc>
          <w:tcPr>
            <w:tcW w:w="2358" w:type="dxa"/>
            <w:tcBorders>
              <w:top w:val="single" w:sz="4" w:space="0" w:color="auto"/>
              <w:left w:val="single" w:sz="4" w:space="0" w:color="auto"/>
              <w:bottom w:val="single" w:sz="4" w:space="0" w:color="auto"/>
              <w:right w:val="single" w:sz="4" w:space="0" w:color="auto"/>
            </w:tcBorders>
          </w:tcPr>
          <w:p w14:paraId="486C1ACF" w14:textId="77777777" w:rsidR="00142747" w:rsidRPr="003A5C0E" w:rsidRDefault="00142747" w:rsidP="00142747">
            <w:pPr>
              <w:rPr>
                <w:sz w:val="22"/>
                <w:szCs w:val="22"/>
              </w:rPr>
            </w:pPr>
            <w:r w:rsidRPr="003A5C0E">
              <w:rPr>
                <w:sz w:val="22"/>
                <w:szCs w:val="22"/>
              </w:rPr>
              <w:t>National Outbreak Reporting System (NORS)</w:t>
            </w:r>
          </w:p>
        </w:tc>
        <w:tc>
          <w:tcPr>
            <w:tcW w:w="5130" w:type="dxa"/>
            <w:tcBorders>
              <w:top w:val="single" w:sz="4" w:space="0" w:color="auto"/>
              <w:left w:val="single" w:sz="4" w:space="0" w:color="auto"/>
              <w:bottom w:val="single" w:sz="4" w:space="0" w:color="auto"/>
              <w:right w:val="single" w:sz="4" w:space="0" w:color="auto"/>
            </w:tcBorders>
          </w:tcPr>
          <w:p w14:paraId="764D5861" w14:textId="45B3DF4F" w:rsidR="00142747" w:rsidRPr="003A5C0E" w:rsidRDefault="00142747" w:rsidP="002A22B9">
            <w:pPr>
              <w:rPr>
                <w:sz w:val="22"/>
                <w:szCs w:val="22"/>
              </w:rPr>
            </w:pPr>
            <w:r w:rsidRPr="003A5C0E">
              <w:rPr>
                <w:sz w:val="22"/>
                <w:szCs w:val="22"/>
              </w:rPr>
              <w:t>A web-based platform used by local, state, and territorial health departments in the United States to report all waterborne and foodborne disease outbreaks and enteric disease outbreaks transmitted by contact with environmental sources, infected persons or animals, or unknown modes of transmission to CDC</w:t>
            </w:r>
            <w:r w:rsidR="00563A69" w:rsidRPr="003A5C0E">
              <w:rPr>
                <w:sz w:val="22"/>
                <w:szCs w:val="22"/>
              </w:rPr>
              <w:t>.</w:t>
            </w:r>
          </w:p>
        </w:tc>
        <w:tc>
          <w:tcPr>
            <w:tcW w:w="2088" w:type="dxa"/>
            <w:tcBorders>
              <w:top w:val="single" w:sz="4" w:space="0" w:color="auto"/>
              <w:left w:val="single" w:sz="4" w:space="0" w:color="auto"/>
              <w:bottom w:val="single" w:sz="4" w:space="0" w:color="auto"/>
              <w:right w:val="single" w:sz="4" w:space="0" w:color="auto"/>
            </w:tcBorders>
          </w:tcPr>
          <w:p w14:paraId="104471A2" w14:textId="77777777" w:rsidR="00142747" w:rsidRPr="003A5C0E" w:rsidRDefault="00142747" w:rsidP="00142747">
            <w:pPr>
              <w:rPr>
                <w:sz w:val="22"/>
                <w:szCs w:val="22"/>
              </w:rPr>
            </w:pPr>
            <w:r w:rsidRPr="003A5C0E">
              <w:rPr>
                <w:sz w:val="22"/>
                <w:szCs w:val="22"/>
              </w:rPr>
              <w:t>CDC</w:t>
            </w:r>
          </w:p>
        </w:tc>
      </w:tr>
      <w:tr w:rsidR="00142747" w:rsidRPr="003A5C0E" w14:paraId="3B5BA15C" w14:textId="77777777" w:rsidTr="00142747">
        <w:tc>
          <w:tcPr>
            <w:tcW w:w="2358" w:type="dxa"/>
            <w:tcBorders>
              <w:top w:val="single" w:sz="4" w:space="0" w:color="auto"/>
              <w:left w:val="single" w:sz="4" w:space="0" w:color="auto"/>
              <w:bottom w:val="single" w:sz="4" w:space="0" w:color="auto"/>
              <w:right w:val="single" w:sz="4" w:space="0" w:color="auto"/>
            </w:tcBorders>
          </w:tcPr>
          <w:p w14:paraId="137454AB" w14:textId="77777777" w:rsidR="00142747" w:rsidRPr="003A5C0E" w:rsidRDefault="00142747" w:rsidP="00142747">
            <w:pPr>
              <w:rPr>
                <w:sz w:val="22"/>
                <w:szCs w:val="22"/>
              </w:rPr>
            </w:pPr>
            <w:r w:rsidRPr="003A5C0E">
              <w:rPr>
                <w:sz w:val="22"/>
                <w:szCs w:val="22"/>
              </w:rPr>
              <w:t>SEDRIC</w:t>
            </w:r>
          </w:p>
        </w:tc>
        <w:tc>
          <w:tcPr>
            <w:tcW w:w="5130" w:type="dxa"/>
            <w:tcBorders>
              <w:top w:val="single" w:sz="4" w:space="0" w:color="auto"/>
              <w:left w:val="single" w:sz="4" w:space="0" w:color="auto"/>
              <w:bottom w:val="single" w:sz="4" w:space="0" w:color="auto"/>
              <w:right w:val="single" w:sz="4" w:space="0" w:color="auto"/>
            </w:tcBorders>
          </w:tcPr>
          <w:p w14:paraId="3F0F4539" w14:textId="046B5DF5" w:rsidR="00142747" w:rsidRPr="003A5C0E" w:rsidRDefault="00142747" w:rsidP="00142747">
            <w:pPr>
              <w:rPr>
                <w:sz w:val="22"/>
                <w:szCs w:val="22"/>
              </w:rPr>
            </w:pPr>
            <w:r w:rsidRPr="003A5C0E">
              <w:rPr>
                <w:sz w:val="22"/>
                <w:szCs w:val="22"/>
              </w:rPr>
              <w:t>Used by CDC to collect state-level data on clinical and exposure information on cases in multi-state outbreak investigations</w:t>
            </w:r>
            <w:r w:rsidR="00563A69" w:rsidRPr="003A5C0E">
              <w:rPr>
                <w:sz w:val="22"/>
                <w:szCs w:val="22"/>
              </w:rPr>
              <w:t>.</w:t>
            </w:r>
          </w:p>
          <w:p w14:paraId="70E0F005" w14:textId="77777777" w:rsidR="00142747" w:rsidRPr="003A5C0E" w:rsidRDefault="00142747" w:rsidP="00142747">
            <w:pPr>
              <w:rPr>
                <w:sz w:val="22"/>
                <w:szCs w:val="22"/>
              </w:rPr>
            </w:pPr>
          </w:p>
        </w:tc>
        <w:tc>
          <w:tcPr>
            <w:tcW w:w="2088" w:type="dxa"/>
            <w:tcBorders>
              <w:top w:val="single" w:sz="4" w:space="0" w:color="auto"/>
              <w:left w:val="single" w:sz="4" w:space="0" w:color="auto"/>
              <w:bottom w:val="single" w:sz="4" w:space="0" w:color="auto"/>
              <w:right w:val="single" w:sz="4" w:space="0" w:color="auto"/>
            </w:tcBorders>
          </w:tcPr>
          <w:p w14:paraId="0064F019" w14:textId="77777777" w:rsidR="00142747" w:rsidRPr="003A5C0E" w:rsidRDefault="00142747" w:rsidP="00142747">
            <w:pPr>
              <w:rPr>
                <w:sz w:val="22"/>
                <w:szCs w:val="22"/>
              </w:rPr>
            </w:pPr>
            <w:r w:rsidRPr="003A5C0E">
              <w:rPr>
                <w:sz w:val="22"/>
                <w:szCs w:val="22"/>
              </w:rPr>
              <w:t>CDC</w:t>
            </w:r>
          </w:p>
        </w:tc>
      </w:tr>
    </w:tbl>
    <w:p w14:paraId="4D8CD400" w14:textId="77777777" w:rsidR="00142747" w:rsidRPr="003A5C0E" w:rsidRDefault="00142747" w:rsidP="00334696"/>
    <w:p w14:paraId="62910B55" w14:textId="77777777" w:rsidR="00142747" w:rsidRPr="003A5C0E" w:rsidRDefault="00142747" w:rsidP="00334696"/>
    <w:p w14:paraId="02D4CE9A" w14:textId="77777777" w:rsidR="009E0D74" w:rsidRPr="003A5C0E" w:rsidRDefault="009E0D74" w:rsidP="00334696">
      <w:pPr>
        <w:sectPr w:rsidR="009E0D74" w:rsidRPr="003A5C0E" w:rsidSect="00194809">
          <w:headerReference w:type="even" r:id="rId71"/>
          <w:headerReference w:type="default" r:id="rId72"/>
          <w:footerReference w:type="default" r:id="rId73"/>
          <w:headerReference w:type="first" r:id="rId74"/>
          <w:pgSz w:w="12240" w:h="15840"/>
          <w:pgMar w:top="1440" w:right="1440" w:bottom="1440" w:left="1440" w:header="720" w:footer="720" w:gutter="0"/>
          <w:cols w:space="720"/>
          <w:docGrid w:linePitch="360"/>
        </w:sectPr>
      </w:pPr>
    </w:p>
    <w:p w14:paraId="4E36A562" w14:textId="5A562885" w:rsidR="009E0D74" w:rsidRPr="009A25B6" w:rsidRDefault="009E0D74" w:rsidP="00194809">
      <w:pPr>
        <w:pStyle w:val="Heading3"/>
      </w:pPr>
      <w:bookmarkStart w:id="850" w:name="_Toc481759118"/>
      <w:bookmarkStart w:id="851" w:name="_Toc482792958"/>
      <w:bookmarkStart w:id="852" w:name="_Toc31623032"/>
      <w:r w:rsidRPr="009A25B6">
        <w:lastRenderedPageBreak/>
        <w:t>Infectious Disease Notification and Information Sharing Platforms (Outgoing)</w:t>
      </w:r>
      <w:bookmarkEnd w:id="850"/>
      <w:bookmarkEnd w:id="851"/>
      <w:bookmarkEnd w:id="852"/>
    </w:p>
    <w:p w14:paraId="655A4CDB" w14:textId="77777777" w:rsidR="00294EE2" w:rsidRPr="003A5C0E" w:rsidRDefault="00294EE2" w:rsidP="00294EE2">
      <w:pPr>
        <w:contextualSpacing/>
      </w:pPr>
    </w:p>
    <w:tbl>
      <w:tblPr>
        <w:tblStyle w:val="TableGrid"/>
        <w:tblW w:w="0" w:type="auto"/>
        <w:tblLook w:val="04A0" w:firstRow="1" w:lastRow="0" w:firstColumn="1" w:lastColumn="0" w:noHBand="0" w:noVBand="1"/>
      </w:tblPr>
      <w:tblGrid>
        <w:gridCol w:w="4788"/>
        <w:gridCol w:w="4770"/>
      </w:tblGrid>
      <w:tr w:rsidR="002A22B9" w:rsidRPr="003A5C0E" w14:paraId="49FE55F7" w14:textId="77777777" w:rsidTr="002A22B9">
        <w:tc>
          <w:tcPr>
            <w:tcW w:w="4788" w:type="dxa"/>
            <w:tcBorders>
              <w:bottom w:val="single" w:sz="4" w:space="0" w:color="auto"/>
            </w:tcBorders>
          </w:tcPr>
          <w:p w14:paraId="217373D9" w14:textId="77777777" w:rsidR="002A22B9" w:rsidRPr="003A5C0E" w:rsidRDefault="002A22B9" w:rsidP="00294EE2">
            <w:pPr>
              <w:spacing w:line="276" w:lineRule="auto"/>
              <w:contextualSpacing/>
              <w:rPr>
                <w:b/>
                <w:sz w:val="22"/>
                <w:szCs w:val="22"/>
              </w:rPr>
            </w:pPr>
            <w:r w:rsidRPr="003A5C0E">
              <w:rPr>
                <w:b/>
                <w:sz w:val="22"/>
                <w:szCs w:val="22"/>
              </w:rPr>
              <w:t>Platform</w:t>
            </w:r>
          </w:p>
        </w:tc>
        <w:tc>
          <w:tcPr>
            <w:tcW w:w="4770" w:type="dxa"/>
          </w:tcPr>
          <w:p w14:paraId="65301E1A" w14:textId="2F3121A0" w:rsidR="002A22B9" w:rsidRPr="003A5C0E" w:rsidRDefault="002A22B9" w:rsidP="00294EE2">
            <w:pPr>
              <w:spacing w:line="276" w:lineRule="auto"/>
              <w:contextualSpacing/>
              <w:rPr>
                <w:b/>
                <w:sz w:val="22"/>
                <w:szCs w:val="22"/>
              </w:rPr>
            </w:pPr>
            <w:r w:rsidRPr="003A5C0E">
              <w:rPr>
                <w:b/>
                <w:sz w:val="22"/>
                <w:szCs w:val="22"/>
              </w:rPr>
              <w:t xml:space="preserve">Point of Contact </w:t>
            </w:r>
          </w:p>
        </w:tc>
      </w:tr>
      <w:tr w:rsidR="002A22B9" w:rsidRPr="003A5C0E" w14:paraId="29D662DB" w14:textId="77777777" w:rsidTr="002A22B9">
        <w:tc>
          <w:tcPr>
            <w:tcW w:w="9558" w:type="dxa"/>
            <w:gridSpan w:val="2"/>
            <w:shd w:val="clear" w:color="auto" w:fill="D9D9D9" w:themeFill="background1" w:themeFillShade="D9"/>
          </w:tcPr>
          <w:p w14:paraId="39D1E7DC" w14:textId="05FCFA67" w:rsidR="002A22B9" w:rsidRPr="003A5C0E" w:rsidRDefault="002A22B9" w:rsidP="009E0D74">
            <w:pPr>
              <w:rPr>
                <w:sz w:val="22"/>
                <w:szCs w:val="22"/>
              </w:rPr>
            </w:pPr>
            <w:r w:rsidRPr="003A5C0E">
              <w:rPr>
                <w:i/>
                <w:sz w:val="22"/>
                <w:szCs w:val="22"/>
              </w:rPr>
              <w:t>Local-level</w:t>
            </w:r>
          </w:p>
        </w:tc>
      </w:tr>
      <w:tr w:rsidR="002A22B9" w:rsidRPr="003A5C0E" w14:paraId="6272281C" w14:textId="77777777" w:rsidTr="002A22B9">
        <w:tc>
          <w:tcPr>
            <w:tcW w:w="4788" w:type="dxa"/>
            <w:tcBorders>
              <w:bottom w:val="single" w:sz="4" w:space="0" w:color="auto"/>
            </w:tcBorders>
          </w:tcPr>
          <w:p w14:paraId="209B37FD" w14:textId="77777777" w:rsidR="002A22B9" w:rsidRPr="003A5C0E" w:rsidRDefault="002A22B9" w:rsidP="009E0D74">
            <w:pPr>
              <w:rPr>
                <w:sz w:val="22"/>
                <w:szCs w:val="22"/>
              </w:rPr>
            </w:pPr>
            <w:r w:rsidRPr="003A5C0E">
              <w:rPr>
                <w:sz w:val="22"/>
                <w:szCs w:val="22"/>
              </w:rPr>
              <w:t xml:space="preserve">Reverse 9-1-1, </w:t>
            </w:r>
            <w:proofErr w:type="spellStart"/>
            <w:r w:rsidRPr="003A5C0E">
              <w:rPr>
                <w:sz w:val="22"/>
                <w:szCs w:val="22"/>
              </w:rPr>
              <w:t>CodeRed</w:t>
            </w:r>
            <w:proofErr w:type="spellEnd"/>
            <w:r w:rsidRPr="003A5C0E">
              <w:rPr>
                <w:sz w:val="22"/>
                <w:szCs w:val="22"/>
              </w:rPr>
              <w:t xml:space="preserve">, </w:t>
            </w:r>
            <w:proofErr w:type="spellStart"/>
            <w:r w:rsidRPr="003A5C0E">
              <w:rPr>
                <w:sz w:val="22"/>
                <w:szCs w:val="22"/>
              </w:rPr>
              <w:t>Everbridge</w:t>
            </w:r>
            <w:proofErr w:type="spellEnd"/>
            <w:r w:rsidRPr="003A5C0E">
              <w:rPr>
                <w:sz w:val="22"/>
                <w:szCs w:val="22"/>
              </w:rPr>
              <w:t>, etc.</w:t>
            </w:r>
          </w:p>
          <w:p w14:paraId="7DBFA2DF" w14:textId="77777777" w:rsidR="002A22B9" w:rsidRPr="003A5C0E" w:rsidRDefault="002A22B9" w:rsidP="009E0D74">
            <w:pPr>
              <w:rPr>
                <w:sz w:val="22"/>
                <w:szCs w:val="22"/>
              </w:rPr>
            </w:pPr>
          </w:p>
        </w:tc>
        <w:tc>
          <w:tcPr>
            <w:tcW w:w="4770" w:type="dxa"/>
            <w:tcBorders>
              <w:bottom w:val="single" w:sz="4" w:space="0" w:color="auto"/>
            </w:tcBorders>
          </w:tcPr>
          <w:p w14:paraId="74233272" w14:textId="43D312A1" w:rsidR="002A22B9" w:rsidRPr="003A5C0E" w:rsidRDefault="002A22B9" w:rsidP="002A22B9">
            <w:pPr>
              <w:rPr>
                <w:sz w:val="22"/>
                <w:szCs w:val="22"/>
              </w:rPr>
            </w:pPr>
            <w:r w:rsidRPr="003A5C0E">
              <w:rPr>
                <w:sz w:val="22"/>
                <w:szCs w:val="22"/>
              </w:rPr>
              <w:t>Local Government Officials</w:t>
            </w:r>
          </w:p>
        </w:tc>
      </w:tr>
      <w:tr w:rsidR="002A22B9" w:rsidRPr="003A5C0E" w14:paraId="67EFF20E" w14:textId="77777777" w:rsidTr="002A22B9">
        <w:tc>
          <w:tcPr>
            <w:tcW w:w="9558" w:type="dxa"/>
            <w:gridSpan w:val="2"/>
            <w:shd w:val="clear" w:color="auto" w:fill="D9D9D9" w:themeFill="background1" w:themeFillShade="D9"/>
          </w:tcPr>
          <w:p w14:paraId="3930348D" w14:textId="12731C1A" w:rsidR="002A22B9" w:rsidRPr="003A5C0E" w:rsidRDefault="002A22B9" w:rsidP="009E0D74">
            <w:pPr>
              <w:rPr>
                <w:sz w:val="22"/>
                <w:szCs w:val="22"/>
              </w:rPr>
            </w:pPr>
            <w:r w:rsidRPr="003A5C0E">
              <w:rPr>
                <w:i/>
                <w:sz w:val="22"/>
                <w:szCs w:val="22"/>
              </w:rPr>
              <w:t>State-level</w:t>
            </w:r>
          </w:p>
        </w:tc>
      </w:tr>
      <w:tr w:rsidR="002A22B9" w:rsidRPr="003A5C0E" w14:paraId="6716B7B5" w14:textId="77777777" w:rsidTr="002A22B9">
        <w:tc>
          <w:tcPr>
            <w:tcW w:w="4788" w:type="dxa"/>
          </w:tcPr>
          <w:p w14:paraId="7B25F1FA" w14:textId="77777777" w:rsidR="002A22B9" w:rsidRPr="003A5C0E" w:rsidRDefault="002A22B9" w:rsidP="009E0D74">
            <w:pPr>
              <w:rPr>
                <w:sz w:val="22"/>
                <w:szCs w:val="22"/>
              </w:rPr>
            </w:pPr>
            <w:r w:rsidRPr="003A5C0E">
              <w:rPr>
                <w:sz w:val="22"/>
                <w:szCs w:val="22"/>
              </w:rPr>
              <w:t>Massachusetts Alerts</w:t>
            </w:r>
          </w:p>
        </w:tc>
        <w:tc>
          <w:tcPr>
            <w:tcW w:w="4770" w:type="dxa"/>
          </w:tcPr>
          <w:p w14:paraId="7BC7374E" w14:textId="2418987A" w:rsidR="002A22B9" w:rsidRPr="003A5C0E" w:rsidRDefault="002A22B9" w:rsidP="002A22B9">
            <w:pPr>
              <w:rPr>
                <w:sz w:val="22"/>
                <w:szCs w:val="22"/>
              </w:rPr>
            </w:pPr>
            <w:r w:rsidRPr="003A5C0E">
              <w:rPr>
                <w:sz w:val="22"/>
                <w:szCs w:val="22"/>
              </w:rPr>
              <w:t>MEMA</w:t>
            </w:r>
          </w:p>
        </w:tc>
      </w:tr>
      <w:tr w:rsidR="002A22B9" w:rsidRPr="003A5C0E" w14:paraId="18CB77DE" w14:textId="77777777" w:rsidTr="002A22B9">
        <w:tc>
          <w:tcPr>
            <w:tcW w:w="4788" w:type="dxa"/>
          </w:tcPr>
          <w:p w14:paraId="6D929316" w14:textId="77777777" w:rsidR="002A22B9" w:rsidRPr="003A5C0E" w:rsidRDefault="002A22B9" w:rsidP="009E0D74">
            <w:pPr>
              <w:rPr>
                <w:sz w:val="22"/>
                <w:szCs w:val="22"/>
              </w:rPr>
            </w:pPr>
            <w:r w:rsidRPr="003A5C0E">
              <w:rPr>
                <w:sz w:val="22"/>
                <w:szCs w:val="22"/>
              </w:rPr>
              <w:t>MDPH Health &amp; Homeland Alert Network (HHAN)</w:t>
            </w:r>
          </w:p>
        </w:tc>
        <w:tc>
          <w:tcPr>
            <w:tcW w:w="4770" w:type="dxa"/>
          </w:tcPr>
          <w:p w14:paraId="4540A9CB" w14:textId="5E9E48B3" w:rsidR="002A22B9" w:rsidRPr="003A5C0E" w:rsidRDefault="002A22B9" w:rsidP="002A22B9">
            <w:pPr>
              <w:rPr>
                <w:sz w:val="22"/>
                <w:szCs w:val="22"/>
              </w:rPr>
            </w:pPr>
            <w:r w:rsidRPr="003A5C0E">
              <w:rPr>
                <w:sz w:val="22"/>
                <w:szCs w:val="22"/>
              </w:rPr>
              <w:t>MDPH OPEM Communications Manager, HHAN Administrator</w:t>
            </w:r>
          </w:p>
        </w:tc>
      </w:tr>
      <w:tr w:rsidR="002A22B9" w:rsidRPr="003A5C0E" w14:paraId="45724153" w14:textId="77777777" w:rsidTr="002A22B9">
        <w:tc>
          <w:tcPr>
            <w:tcW w:w="9558" w:type="dxa"/>
            <w:gridSpan w:val="2"/>
            <w:shd w:val="clear" w:color="auto" w:fill="D9D9D9" w:themeFill="background1" w:themeFillShade="D9"/>
          </w:tcPr>
          <w:p w14:paraId="77CC7E80" w14:textId="19E8BF92" w:rsidR="002A22B9" w:rsidRPr="003A5C0E" w:rsidRDefault="002A22B9" w:rsidP="009E0D74">
            <w:pPr>
              <w:rPr>
                <w:sz w:val="22"/>
                <w:szCs w:val="22"/>
              </w:rPr>
            </w:pPr>
            <w:r w:rsidRPr="003A5C0E">
              <w:rPr>
                <w:i/>
                <w:sz w:val="22"/>
                <w:szCs w:val="22"/>
              </w:rPr>
              <w:t>Regional-level</w:t>
            </w:r>
          </w:p>
        </w:tc>
      </w:tr>
      <w:tr w:rsidR="002A22B9" w:rsidRPr="003A5C0E" w14:paraId="76D149EC" w14:textId="77777777" w:rsidTr="002A22B9">
        <w:tc>
          <w:tcPr>
            <w:tcW w:w="4788" w:type="dxa"/>
            <w:tcBorders>
              <w:bottom w:val="single" w:sz="4" w:space="0" w:color="auto"/>
            </w:tcBorders>
          </w:tcPr>
          <w:p w14:paraId="4B40D47C" w14:textId="77777777" w:rsidR="002A22B9" w:rsidRPr="003A5C0E" w:rsidRDefault="002A22B9" w:rsidP="009E0D74">
            <w:pPr>
              <w:rPr>
                <w:sz w:val="22"/>
                <w:szCs w:val="22"/>
              </w:rPr>
            </w:pPr>
            <w:r w:rsidRPr="003A5C0E">
              <w:rPr>
                <w:sz w:val="22"/>
                <w:szCs w:val="22"/>
              </w:rPr>
              <w:t xml:space="preserve">The </w:t>
            </w:r>
            <w:proofErr w:type="spellStart"/>
            <w:r w:rsidRPr="003A5C0E">
              <w:rPr>
                <w:sz w:val="22"/>
                <w:szCs w:val="22"/>
              </w:rPr>
              <w:t>NorthEast</w:t>
            </w:r>
            <w:proofErr w:type="spellEnd"/>
            <w:r w:rsidRPr="003A5C0E">
              <w:rPr>
                <w:sz w:val="22"/>
                <w:szCs w:val="22"/>
              </w:rPr>
              <w:t xml:space="preserve"> Disaster Recovery Information X-Change (NEDRIX) Notify</w:t>
            </w:r>
          </w:p>
        </w:tc>
        <w:tc>
          <w:tcPr>
            <w:tcW w:w="4770" w:type="dxa"/>
            <w:tcBorders>
              <w:bottom w:val="single" w:sz="4" w:space="0" w:color="auto"/>
            </w:tcBorders>
          </w:tcPr>
          <w:p w14:paraId="3DE5454F" w14:textId="5D044AF2" w:rsidR="002A22B9" w:rsidRPr="003A5C0E" w:rsidRDefault="002A22B9" w:rsidP="002A22B9">
            <w:pPr>
              <w:rPr>
                <w:sz w:val="22"/>
                <w:szCs w:val="22"/>
              </w:rPr>
            </w:pPr>
            <w:r w:rsidRPr="003A5C0E">
              <w:rPr>
                <w:sz w:val="22"/>
                <w:szCs w:val="22"/>
              </w:rPr>
              <w:t>NEDRIX volunteers</w:t>
            </w:r>
          </w:p>
        </w:tc>
      </w:tr>
      <w:tr w:rsidR="002A22B9" w:rsidRPr="003A5C0E" w14:paraId="69C890F9" w14:textId="77777777" w:rsidTr="002A22B9">
        <w:tc>
          <w:tcPr>
            <w:tcW w:w="9558" w:type="dxa"/>
            <w:gridSpan w:val="2"/>
            <w:shd w:val="clear" w:color="auto" w:fill="D9D9D9" w:themeFill="background1" w:themeFillShade="D9"/>
          </w:tcPr>
          <w:p w14:paraId="73B12A78" w14:textId="586DE365" w:rsidR="002A22B9" w:rsidRPr="003A5C0E" w:rsidRDefault="002A22B9" w:rsidP="009E0D74">
            <w:pPr>
              <w:rPr>
                <w:sz w:val="22"/>
                <w:szCs w:val="22"/>
              </w:rPr>
            </w:pPr>
            <w:r w:rsidRPr="003A5C0E">
              <w:rPr>
                <w:i/>
                <w:sz w:val="22"/>
                <w:szCs w:val="22"/>
              </w:rPr>
              <w:t>Federal-level</w:t>
            </w:r>
          </w:p>
        </w:tc>
      </w:tr>
      <w:tr w:rsidR="002A22B9" w:rsidRPr="003A5C0E" w14:paraId="36D69AEC" w14:textId="77777777" w:rsidTr="002A22B9">
        <w:tc>
          <w:tcPr>
            <w:tcW w:w="4788" w:type="dxa"/>
          </w:tcPr>
          <w:p w14:paraId="4E6E8A1B" w14:textId="77777777" w:rsidR="002A22B9" w:rsidRPr="003A5C0E" w:rsidRDefault="002A22B9" w:rsidP="009E0D74">
            <w:pPr>
              <w:rPr>
                <w:sz w:val="22"/>
                <w:szCs w:val="22"/>
              </w:rPr>
            </w:pPr>
            <w:r w:rsidRPr="003A5C0E">
              <w:rPr>
                <w:sz w:val="22"/>
                <w:szCs w:val="22"/>
              </w:rPr>
              <w:t>Emergency Alert System (EAS)</w:t>
            </w:r>
          </w:p>
          <w:p w14:paraId="01B50BFF" w14:textId="77777777" w:rsidR="002A22B9" w:rsidRPr="003A5C0E" w:rsidRDefault="002A22B9" w:rsidP="009E0D74">
            <w:pPr>
              <w:rPr>
                <w:sz w:val="22"/>
                <w:szCs w:val="22"/>
              </w:rPr>
            </w:pPr>
          </w:p>
        </w:tc>
        <w:tc>
          <w:tcPr>
            <w:tcW w:w="4770" w:type="dxa"/>
          </w:tcPr>
          <w:p w14:paraId="426B19DF" w14:textId="0E21782F" w:rsidR="002A22B9" w:rsidRPr="003A5C0E" w:rsidRDefault="002A22B9" w:rsidP="002A22B9">
            <w:pPr>
              <w:rPr>
                <w:sz w:val="22"/>
                <w:szCs w:val="22"/>
              </w:rPr>
            </w:pPr>
            <w:r w:rsidRPr="003A5C0E">
              <w:rPr>
                <w:sz w:val="22"/>
                <w:szCs w:val="22"/>
              </w:rPr>
              <w:t>Federal Communications Commission</w:t>
            </w:r>
          </w:p>
        </w:tc>
      </w:tr>
    </w:tbl>
    <w:p w14:paraId="405E63B9" w14:textId="77777777" w:rsidR="00CE472E" w:rsidRDefault="00CE472E" w:rsidP="00CE472E"/>
    <w:p w14:paraId="3BD4D027" w14:textId="77777777" w:rsidR="00521F49" w:rsidRDefault="00521F49" w:rsidP="00CE472E"/>
    <w:p w14:paraId="11F5D4AB" w14:textId="77777777" w:rsidR="00521F49" w:rsidRDefault="00521F49" w:rsidP="00CE472E"/>
    <w:p w14:paraId="114DA7A4" w14:textId="77777777" w:rsidR="00521F49" w:rsidRDefault="00521F49" w:rsidP="00CE472E"/>
    <w:p w14:paraId="5191DE47" w14:textId="77777777" w:rsidR="00FA0CDB" w:rsidRDefault="00FA0CDB" w:rsidP="00CE472E"/>
    <w:p w14:paraId="4E132ABD" w14:textId="77777777" w:rsidR="00FA0CDB" w:rsidRDefault="00FA0CDB" w:rsidP="00CE472E"/>
    <w:p w14:paraId="6B187132" w14:textId="77777777" w:rsidR="00FA0CDB" w:rsidRDefault="00FA0CDB" w:rsidP="00CE472E"/>
    <w:p w14:paraId="686026B0" w14:textId="77777777" w:rsidR="00FA0CDB" w:rsidRDefault="00FA0CDB" w:rsidP="00CE472E"/>
    <w:p w14:paraId="1CAFE92A" w14:textId="77777777" w:rsidR="00FA0CDB" w:rsidRDefault="00FA0CDB" w:rsidP="00CE472E"/>
    <w:p w14:paraId="2713E89A" w14:textId="77777777" w:rsidR="00FA0CDB" w:rsidRDefault="00FA0CDB" w:rsidP="00CE472E"/>
    <w:p w14:paraId="0E4EC15F" w14:textId="77777777" w:rsidR="00FA0CDB" w:rsidRDefault="00FA0CDB" w:rsidP="00CE472E"/>
    <w:p w14:paraId="6EEB1C5C" w14:textId="77777777" w:rsidR="00FA0CDB" w:rsidRDefault="00FA0CDB" w:rsidP="00CE472E"/>
    <w:p w14:paraId="6211FD18" w14:textId="77777777" w:rsidR="00FA0CDB" w:rsidRDefault="00FA0CDB" w:rsidP="00CE472E"/>
    <w:p w14:paraId="783E522A" w14:textId="77777777" w:rsidR="00FA0CDB" w:rsidRDefault="00FA0CDB" w:rsidP="00CE472E"/>
    <w:p w14:paraId="6F791C3C" w14:textId="77777777" w:rsidR="00FA0CDB" w:rsidRDefault="00FA0CDB" w:rsidP="00CE472E"/>
    <w:p w14:paraId="1A5F20EF" w14:textId="77777777" w:rsidR="00FA0CDB" w:rsidRDefault="00FA0CDB" w:rsidP="00CE472E"/>
    <w:p w14:paraId="6F77743E" w14:textId="77777777" w:rsidR="00FA0CDB" w:rsidRDefault="00FA0CDB" w:rsidP="00CE472E"/>
    <w:p w14:paraId="5D912377" w14:textId="1F4BBDE6" w:rsidR="00FA0CDB" w:rsidRDefault="00FA0CDB" w:rsidP="00FA0CDB">
      <w:pPr>
        <w:pStyle w:val="Heading3"/>
      </w:pPr>
      <w:bookmarkStart w:id="853" w:name="_Toc31623033"/>
      <w:r>
        <w:lastRenderedPageBreak/>
        <w:t>Non-Pharmaceutical Interventions Information</w:t>
      </w:r>
      <w:bookmarkEnd w:id="853"/>
    </w:p>
    <w:p w14:paraId="6B0E1D8C" w14:textId="77777777" w:rsidR="00296EE2" w:rsidRDefault="00296EE2" w:rsidP="00296EE2">
      <w:pPr>
        <w:spacing w:after="0" w:line="240" w:lineRule="auto"/>
        <w:jc w:val="center"/>
        <w:rPr>
          <w:b/>
          <w:sz w:val="32"/>
        </w:rPr>
      </w:pPr>
      <w:r>
        <w:rPr>
          <w:b/>
          <w:sz w:val="32"/>
        </w:rPr>
        <w:t xml:space="preserve">  </w:t>
      </w:r>
    </w:p>
    <w:p w14:paraId="45841AC3" w14:textId="1790711C" w:rsidR="00296EE2" w:rsidRPr="00296EE2" w:rsidRDefault="00296EE2" w:rsidP="00296EE2">
      <w:pPr>
        <w:spacing w:after="0" w:line="240" w:lineRule="auto"/>
        <w:jc w:val="center"/>
        <w:rPr>
          <w:sz w:val="24"/>
          <w:szCs w:val="24"/>
        </w:rPr>
      </w:pPr>
      <w:r w:rsidRPr="00296EE2">
        <w:rPr>
          <w:b/>
          <w:sz w:val="24"/>
          <w:szCs w:val="24"/>
        </w:rPr>
        <w:t>Non-Pharmaceutical Interventions (NPI) Matrix</w:t>
      </w:r>
    </w:p>
    <w:p w14:paraId="379614F3" w14:textId="77777777" w:rsidR="00296EE2" w:rsidRDefault="00296EE2" w:rsidP="00296EE2">
      <w:pPr>
        <w:spacing w:after="0" w:line="240" w:lineRule="auto"/>
      </w:pPr>
      <w:r>
        <w:t>The public should take precautions to avoid becoming ill during a public</w:t>
      </w:r>
      <w:r w:rsidRPr="0017127F">
        <w:t xml:space="preserve"> health incident</w:t>
      </w:r>
      <w:r>
        <w:t xml:space="preserve">. Below are some common non-pharmaceutical interventions for different disease transmission modes.  In addition to washing hands with soap and water, social distancing can reduce the spread of infection. Social distancing may include personal actions such as standing 6-feet away from an ill individual, or community actions such as canceling school or mass gatherings. </w:t>
      </w:r>
    </w:p>
    <w:p w14:paraId="01C67B95" w14:textId="77777777" w:rsidR="00296EE2" w:rsidRPr="00296EE2" w:rsidRDefault="00296EE2" w:rsidP="00296EE2">
      <w:pPr>
        <w:spacing w:after="0"/>
      </w:pPr>
    </w:p>
    <w:tbl>
      <w:tblPr>
        <w:tblStyle w:val="TableGrid3"/>
        <w:tblW w:w="0" w:type="auto"/>
        <w:tblLook w:val="04A0" w:firstRow="1" w:lastRow="0" w:firstColumn="1" w:lastColumn="0" w:noHBand="0" w:noVBand="1"/>
      </w:tblPr>
      <w:tblGrid>
        <w:gridCol w:w="3888"/>
        <w:gridCol w:w="5688"/>
      </w:tblGrid>
      <w:tr w:rsidR="00296EE2" w:rsidRPr="00296EE2" w14:paraId="24F6B7F1" w14:textId="77777777" w:rsidTr="009A1FF8">
        <w:tc>
          <w:tcPr>
            <w:tcW w:w="3888" w:type="dxa"/>
          </w:tcPr>
          <w:p w14:paraId="39FF6DBD" w14:textId="77777777" w:rsidR="00296EE2" w:rsidRPr="00296EE2" w:rsidRDefault="00296EE2" w:rsidP="00296EE2">
            <w:pPr>
              <w:tabs>
                <w:tab w:val="left" w:pos="1635"/>
              </w:tabs>
              <w:jc w:val="center"/>
              <w:rPr>
                <w:b/>
                <w:sz w:val="21"/>
                <w:szCs w:val="21"/>
              </w:rPr>
            </w:pPr>
            <w:r w:rsidRPr="00296EE2">
              <w:rPr>
                <w:b/>
                <w:sz w:val="21"/>
                <w:szCs w:val="21"/>
              </w:rPr>
              <w:t>Disease Transmission Modes</w:t>
            </w:r>
          </w:p>
          <w:p w14:paraId="1721CF64" w14:textId="77777777" w:rsidR="00296EE2" w:rsidRPr="00296EE2" w:rsidRDefault="00296EE2" w:rsidP="00296EE2">
            <w:pPr>
              <w:tabs>
                <w:tab w:val="left" w:pos="1635"/>
              </w:tabs>
              <w:jc w:val="center"/>
              <w:rPr>
                <w:b/>
                <w:sz w:val="21"/>
                <w:szCs w:val="21"/>
              </w:rPr>
            </w:pPr>
            <w:r w:rsidRPr="00296EE2">
              <w:rPr>
                <w:b/>
                <w:sz w:val="21"/>
                <w:szCs w:val="21"/>
              </w:rPr>
              <w:t>and Examples</w:t>
            </w:r>
          </w:p>
        </w:tc>
        <w:tc>
          <w:tcPr>
            <w:tcW w:w="5688" w:type="dxa"/>
          </w:tcPr>
          <w:p w14:paraId="071E001B" w14:textId="77777777" w:rsidR="00296EE2" w:rsidRPr="00296EE2" w:rsidRDefault="00296EE2" w:rsidP="00296EE2">
            <w:pPr>
              <w:jc w:val="center"/>
              <w:rPr>
                <w:b/>
                <w:sz w:val="21"/>
                <w:szCs w:val="21"/>
              </w:rPr>
            </w:pPr>
            <w:r w:rsidRPr="00296EE2">
              <w:rPr>
                <w:b/>
                <w:sz w:val="21"/>
                <w:szCs w:val="21"/>
              </w:rPr>
              <w:t>Common Non-Pharmaceutical Interventions</w:t>
            </w:r>
          </w:p>
        </w:tc>
      </w:tr>
      <w:tr w:rsidR="00296EE2" w:rsidRPr="00296EE2" w14:paraId="10A56E88" w14:textId="77777777" w:rsidTr="009A1FF8">
        <w:tc>
          <w:tcPr>
            <w:tcW w:w="3888" w:type="dxa"/>
          </w:tcPr>
          <w:p w14:paraId="27FB71DE" w14:textId="77777777" w:rsidR="00296EE2" w:rsidRPr="00296EE2" w:rsidRDefault="00296EE2" w:rsidP="00296EE2">
            <w:pPr>
              <w:ind w:left="450" w:hanging="450"/>
              <w:rPr>
                <w:sz w:val="21"/>
                <w:szCs w:val="21"/>
                <w:u w:val="single"/>
              </w:rPr>
            </w:pPr>
            <w:r w:rsidRPr="00296EE2">
              <w:rPr>
                <w:sz w:val="21"/>
                <w:szCs w:val="21"/>
                <w:u w:val="single"/>
              </w:rPr>
              <w:t>Airborne</w:t>
            </w:r>
          </w:p>
          <w:p w14:paraId="744C18E7" w14:textId="77777777" w:rsidR="00296EE2" w:rsidRPr="00296EE2" w:rsidRDefault="00296EE2" w:rsidP="00296EE2">
            <w:pPr>
              <w:numPr>
                <w:ilvl w:val="0"/>
                <w:numId w:val="103"/>
              </w:numPr>
              <w:contextualSpacing/>
              <w:rPr>
                <w:sz w:val="21"/>
                <w:szCs w:val="21"/>
              </w:rPr>
            </w:pPr>
            <w:r w:rsidRPr="00296EE2">
              <w:rPr>
                <w:sz w:val="21"/>
                <w:szCs w:val="21"/>
              </w:rPr>
              <w:t>Measles</w:t>
            </w:r>
          </w:p>
          <w:p w14:paraId="26644C28" w14:textId="77777777" w:rsidR="00296EE2" w:rsidRPr="00296EE2" w:rsidRDefault="00296EE2" w:rsidP="00296EE2">
            <w:pPr>
              <w:numPr>
                <w:ilvl w:val="0"/>
                <w:numId w:val="103"/>
              </w:numPr>
              <w:contextualSpacing/>
              <w:rPr>
                <w:sz w:val="21"/>
                <w:szCs w:val="21"/>
              </w:rPr>
            </w:pPr>
            <w:r w:rsidRPr="00296EE2">
              <w:rPr>
                <w:sz w:val="21"/>
                <w:szCs w:val="21"/>
              </w:rPr>
              <w:t>Chicken pox</w:t>
            </w:r>
          </w:p>
          <w:p w14:paraId="70CA6622" w14:textId="77777777" w:rsidR="00296EE2" w:rsidRPr="00296EE2" w:rsidRDefault="00296EE2" w:rsidP="00296EE2">
            <w:pPr>
              <w:numPr>
                <w:ilvl w:val="0"/>
                <w:numId w:val="103"/>
              </w:numPr>
              <w:contextualSpacing/>
              <w:rPr>
                <w:sz w:val="21"/>
                <w:szCs w:val="21"/>
              </w:rPr>
            </w:pPr>
            <w:r w:rsidRPr="00296EE2">
              <w:rPr>
                <w:sz w:val="21"/>
                <w:szCs w:val="21"/>
              </w:rPr>
              <w:t>Tuberculosis</w:t>
            </w:r>
          </w:p>
          <w:p w14:paraId="1FBD0AC2" w14:textId="77777777" w:rsidR="00296EE2" w:rsidRPr="00296EE2" w:rsidRDefault="00296EE2" w:rsidP="00296EE2">
            <w:pPr>
              <w:numPr>
                <w:ilvl w:val="0"/>
                <w:numId w:val="103"/>
              </w:numPr>
              <w:contextualSpacing/>
              <w:rPr>
                <w:sz w:val="21"/>
                <w:szCs w:val="21"/>
              </w:rPr>
            </w:pPr>
            <w:r w:rsidRPr="00296EE2">
              <w:rPr>
                <w:sz w:val="21"/>
                <w:szCs w:val="21"/>
              </w:rPr>
              <w:t>Inhalational anthrax</w:t>
            </w:r>
          </w:p>
        </w:tc>
        <w:tc>
          <w:tcPr>
            <w:tcW w:w="5688" w:type="dxa"/>
          </w:tcPr>
          <w:p w14:paraId="3252773D" w14:textId="77777777" w:rsidR="00296EE2" w:rsidRPr="00296EE2" w:rsidRDefault="00296EE2" w:rsidP="00296EE2">
            <w:pPr>
              <w:numPr>
                <w:ilvl w:val="0"/>
                <w:numId w:val="103"/>
              </w:numPr>
              <w:ind w:left="432"/>
              <w:contextualSpacing/>
              <w:rPr>
                <w:sz w:val="21"/>
                <w:szCs w:val="21"/>
              </w:rPr>
            </w:pPr>
            <w:r w:rsidRPr="00296EE2">
              <w:rPr>
                <w:sz w:val="21"/>
                <w:szCs w:val="21"/>
              </w:rPr>
              <w:t>Wash hands frequently or use hand sanitizer</w:t>
            </w:r>
          </w:p>
          <w:p w14:paraId="20B532EF" w14:textId="77777777" w:rsidR="00296EE2" w:rsidRPr="00296EE2" w:rsidRDefault="00296EE2" w:rsidP="00296EE2">
            <w:pPr>
              <w:numPr>
                <w:ilvl w:val="0"/>
                <w:numId w:val="103"/>
              </w:numPr>
              <w:ind w:left="432"/>
              <w:contextualSpacing/>
              <w:rPr>
                <w:sz w:val="21"/>
                <w:szCs w:val="21"/>
              </w:rPr>
            </w:pPr>
            <w:r w:rsidRPr="00296EE2">
              <w:rPr>
                <w:sz w:val="21"/>
                <w:szCs w:val="21"/>
              </w:rPr>
              <w:t>Avoid people who are ill</w:t>
            </w:r>
          </w:p>
          <w:p w14:paraId="626FB125" w14:textId="77777777" w:rsidR="00296EE2" w:rsidRPr="00296EE2" w:rsidRDefault="00296EE2" w:rsidP="00296EE2">
            <w:pPr>
              <w:numPr>
                <w:ilvl w:val="0"/>
                <w:numId w:val="103"/>
              </w:numPr>
              <w:ind w:left="432"/>
              <w:contextualSpacing/>
              <w:rPr>
                <w:sz w:val="21"/>
                <w:szCs w:val="21"/>
              </w:rPr>
            </w:pPr>
            <w:r w:rsidRPr="00296EE2">
              <w:rPr>
                <w:sz w:val="21"/>
                <w:szCs w:val="21"/>
              </w:rPr>
              <w:t xml:space="preserve">Stay home from work or school if ill </w:t>
            </w:r>
          </w:p>
          <w:p w14:paraId="71EBCCBA" w14:textId="77777777" w:rsidR="00296EE2" w:rsidRPr="00296EE2" w:rsidRDefault="00296EE2" w:rsidP="00296EE2">
            <w:pPr>
              <w:numPr>
                <w:ilvl w:val="0"/>
                <w:numId w:val="103"/>
              </w:numPr>
              <w:ind w:left="432"/>
              <w:contextualSpacing/>
              <w:rPr>
                <w:sz w:val="21"/>
                <w:szCs w:val="21"/>
              </w:rPr>
            </w:pPr>
            <w:r w:rsidRPr="00296EE2">
              <w:rPr>
                <w:sz w:val="21"/>
                <w:szCs w:val="21"/>
              </w:rPr>
              <w:t>Cover coughs and sneezes with tissue or shirt sleeve</w:t>
            </w:r>
          </w:p>
          <w:p w14:paraId="7E19F82C" w14:textId="77777777" w:rsidR="00296EE2" w:rsidRPr="00296EE2" w:rsidRDefault="00296EE2" w:rsidP="00296EE2">
            <w:pPr>
              <w:numPr>
                <w:ilvl w:val="0"/>
                <w:numId w:val="103"/>
              </w:numPr>
              <w:ind w:left="432"/>
              <w:contextualSpacing/>
              <w:rPr>
                <w:sz w:val="21"/>
                <w:szCs w:val="21"/>
              </w:rPr>
            </w:pPr>
            <w:r w:rsidRPr="00296EE2">
              <w:rPr>
                <w:sz w:val="21"/>
                <w:szCs w:val="21"/>
              </w:rPr>
              <w:t>Clean and disinfect high-contact surfaces regularly</w:t>
            </w:r>
          </w:p>
          <w:p w14:paraId="4552B2E2" w14:textId="7D1BC7D2" w:rsidR="00296EE2" w:rsidRPr="00296EE2" w:rsidRDefault="00296EE2" w:rsidP="00296EE2">
            <w:pPr>
              <w:numPr>
                <w:ilvl w:val="0"/>
                <w:numId w:val="103"/>
              </w:numPr>
              <w:ind w:left="432"/>
              <w:contextualSpacing/>
              <w:rPr>
                <w:sz w:val="21"/>
                <w:szCs w:val="21"/>
              </w:rPr>
            </w:pPr>
            <w:r w:rsidRPr="00296EE2">
              <w:rPr>
                <w:sz w:val="21"/>
                <w:szCs w:val="21"/>
              </w:rPr>
              <w:t>Get vaccinated</w:t>
            </w:r>
            <w:r w:rsidR="007C153E">
              <w:rPr>
                <w:sz w:val="21"/>
                <w:szCs w:val="21"/>
              </w:rPr>
              <w:t xml:space="preserve"> (if available)</w:t>
            </w:r>
          </w:p>
        </w:tc>
      </w:tr>
      <w:tr w:rsidR="00296EE2" w:rsidRPr="00296EE2" w14:paraId="370F8F0A" w14:textId="77777777" w:rsidTr="009A1FF8">
        <w:tc>
          <w:tcPr>
            <w:tcW w:w="3888" w:type="dxa"/>
          </w:tcPr>
          <w:p w14:paraId="358E167F" w14:textId="77777777" w:rsidR="00296EE2" w:rsidRPr="00296EE2" w:rsidRDefault="00296EE2" w:rsidP="00296EE2">
            <w:pPr>
              <w:ind w:left="450" w:hanging="450"/>
              <w:rPr>
                <w:sz w:val="21"/>
                <w:szCs w:val="21"/>
                <w:u w:val="single"/>
              </w:rPr>
            </w:pPr>
            <w:r w:rsidRPr="00296EE2">
              <w:rPr>
                <w:sz w:val="21"/>
                <w:szCs w:val="21"/>
                <w:u w:val="single"/>
              </w:rPr>
              <w:t>Contact</w:t>
            </w:r>
          </w:p>
          <w:p w14:paraId="2701DDBB" w14:textId="77777777" w:rsidR="00296EE2" w:rsidRPr="00296EE2" w:rsidRDefault="00296EE2" w:rsidP="00296EE2">
            <w:pPr>
              <w:numPr>
                <w:ilvl w:val="0"/>
                <w:numId w:val="104"/>
              </w:numPr>
              <w:contextualSpacing/>
              <w:rPr>
                <w:sz w:val="21"/>
                <w:szCs w:val="21"/>
              </w:rPr>
            </w:pPr>
            <w:r w:rsidRPr="00296EE2">
              <w:rPr>
                <w:sz w:val="21"/>
                <w:szCs w:val="21"/>
              </w:rPr>
              <w:t>Herpes</w:t>
            </w:r>
          </w:p>
          <w:p w14:paraId="0DA40F60" w14:textId="77777777" w:rsidR="00296EE2" w:rsidRPr="00296EE2" w:rsidRDefault="00296EE2" w:rsidP="00296EE2">
            <w:pPr>
              <w:numPr>
                <w:ilvl w:val="0"/>
                <w:numId w:val="104"/>
              </w:numPr>
              <w:contextualSpacing/>
              <w:rPr>
                <w:sz w:val="21"/>
                <w:szCs w:val="21"/>
              </w:rPr>
            </w:pPr>
            <w:r w:rsidRPr="00296EE2">
              <w:rPr>
                <w:sz w:val="21"/>
                <w:szCs w:val="21"/>
              </w:rPr>
              <w:t>Human Immunodeficiency Virus (HIV)</w:t>
            </w:r>
          </w:p>
          <w:p w14:paraId="69EE9171" w14:textId="77777777" w:rsidR="00296EE2" w:rsidRPr="00296EE2" w:rsidRDefault="00296EE2" w:rsidP="00296EE2">
            <w:pPr>
              <w:numPr>
                <w:ilvl w:val="0"/>
                <w:numId w:val="104"/>
              </w:numPr>
              <w:contextualSpacing/>
              <w:rPr>
                <w:sz w:val="21"/>
                <w:szCs w:val="21"/>
              </w:rPr>
            </w:pPr>
            <w:r w:rsidRPr="00296EE2">
              <w:rPr>
                <w:sz w:val="21"/>
                <w:szCs w:val="21"/>
              </w:rPr>
              <w:t>Conjunctivitis (Pink Eye)</w:t>
            </w:r>
          </w:p>
          <w:p w14:paraId="004E8567" w14:textId="77777777" w:rsidR="00296EE2" w:rsidRPr="00296EE2" w:rsidRDefault="00296EE2" w:rsidP="00296EE2">
            <w:pPr>
              <w:numPr>
                <w:ilvl w:val="0"/>
                <w:numId w:val="104"/>
              </w:numPr>
              <w:contextualSpacing/>
              <w:rPr>
                <w:sz w:val="21"/>
                <w:szCs w:val="21"/>
              </w:rPr>
            </w:pPr>
            <w:r w:rsidRPr="00296EE2">
              <w:rPr>
                <w:sz w:val="21"/>
                <w:szCs w:val="21"/>
              </w:rPr>
              <w:t>Methicillin-resistant Staphylococcus aureus (MRSA)</w:t>
            </w:r>
          </w:p>
          <w:p w14:paraId="5F6082BA" w14:textId="77777777" w:rsidR="00296EE2" w:rsidRPr="00296EE2" w:rsidRDefault="00296EE2" w:rsidP="00296EE2">
            <w:pPr>
              <w:numPr>
                <w:ilvl w:val="0"/>
                <w:numId w:val="104"/>
              </w:numPr>
              <w:contextualSpacing/>
              <w:rPr>
                <w:sz w:val="21"/>
                <w:szCs w:val="21"/>
              </w:rPr>
            </w:pPr>
            <w:r w:rsidRPr="00296EE2">
              <w:rPr>
                <w:sz w:val="21"/>
                <w:szCs w:val="21"/>
              </w:rPr>
              <w:t>Scabies</w:t>
            </w:r>
          </w:p>
        </w:tc>
        <w:tc>
          <w:tcPr>
            <w:tcW w:w="5688" w:type="dxa"/>
          </w:tcPr>
          <w:p w14:paraId="14841043" w14:textId="77777777" w:rsidR="00296EE2" w:rsidRPr="00296EE2" w:rsidRDefault="00296EE2" w:rsidP="00296EE2">
            <w:pPr>
              <w:numPr>
                <w:ilvl w:val="0"/>
                <w:numId w:val="104"/>
              </w:numPr>
              <w:ind w:left="432"/>
              <w:contextualSpacing/>
              <w:rPr>
                <w:sz w:val="21"/>
                <w:szCs w:val="21"/>
              </w:rPr>
            </w:pPr>
            <w:r w:rsidRPr="00296EE2">
              <w:rPr>
                <w:sz w:val="21"/>
                <w:szCs w:val="21"/>
              </w:rPr>
              <w:t>Wash hands frequently or use hand sanitizer</w:t>
            </w:r>
          </w:p>
          <w:p w14:paraId="2970916A" w14:textId="77777777" w:rsidR="00296EE2" w:rsidRPr="00296EE2" w:rsidRDefault="00296EE2" w:rsidP="00296EE2">
            <w:pPr>
              <w:numPr>
                <w:ilvl w:val="0"/>
                <w:numId w:val="104"/>
              </w:numPr>
              <w:ind w:left="432"/>
              <w:contextualSpacing/>
              <w:rPr>
                <w:sz w:val="21"/>
                <w:szCs w:val="21"/>
              </w:rPr>
            </w:pPr>
            <w:r w:rsidRPr="00296EE2">
              <w:rPr>
                <w:sz w:val="21"/>
                <w:szCs w:val="21"/>
              </w:rPr>
              <w:t>Clean and disinfect high-contact surfaces regularly</w:t>
            </w:r>
          </w:p>
          <w:p w14:paraId="5E875663" w14:textId="77777777" w:rsidR="00296EE2" w:rsidRPr="00296EE2" w:rsidRDefault="00296EE2" w:rsidP="00296EE2">
            <w:pPr>
              <w:numPr>
                <w:ilvl w:val="0"/>
                <w:numId w:val="104"/>
              </w:numPr>
              <w:ind w:left="432"/>
              <w:contextualSpacing/>
              <w:rPr>
                <w:sz w:val="21"/>
                <w:szCs w:val="21"/>
              </w:rPr>
            </w:pPr>
            <w:r w:rsidRPr="00296EE2">
              <w:rPr>
                <w:sz w:val="21"/>
                <w:szCs w:val="21"/>
              </w:rPr>
              <w:t>Avoid sharing personal items (e.g. towels)</w:t>
            </w:r>
          </w:p>
          <w:p w14:paraId="090A0DBA" w14:textId="77777777" w:rsidR="00296EE2" w:rsidRPr="00296EE2" w:rsidRDefault="00296EE2" w:rsidP="00296EE2">
            <w:pPr>
              <w:numPr>
                <w:ilvl w:val="0"/>
                <w:numId w:val="112"/>
              </w:numPr>
              <w:ind w:left="432"/>
              <w:contextualSpacing/>
              <w:rPr>
                <w:sz w:val="21"/>
                <w:szCs w:val="21"/>
              </w:rPr>
            </w:pPr>
            <w:r w:rsidRPr="00296EE2">
              <w:rPr>
                <w:sz w:val="21"/>
                <w:szCs w:val="21"/>
              </w:rPr>
              <w:t>Cover cuts and scrapes</w:t>
            </w:r>
          </w:p>
          <w:p w14:paraId="61BD526A" w14:textId="77777777" w:rsidR="00296EE2" w:rsidRPr="00296EE2" w:rsidRDefault="00296EE2" w:rsidP="00296EE2">
            <w:pPr>
              <w:numPr>
                <w:ilvl w:val="0"/>
                <w:numId w:val="112"/>
              </w:numPr>
              <w:ind w:left="432"/>
              <w:contextualSpacing/>
              <w:rPr>
                <w:sz w:val="21"/>
                <w:szCs w:val="21"/>
              </w:rPr>
            </w:pPr>
            <w:r w:rsidRPr="00296EE2">
              <w:rPr>
                <w:sz w:val="21"/>
                <w:szCs w:val="21"/>
              </w:rPr>
              <w:t>Use condoms during sexual activity</w:t>
            </w:r>
          </w:p>
        </w:tc>
      </w:tr>
      <w:tr w:rsidR="00296EE2" w:rsidRPr="00296EE2" w14:paraId="31EB7710" w14:textId="77777777" w:rsidTr="009A1FF8">
        <w:tc>
          <w:tcPr>
            <w:tcW w:w="3888" w:type="dxa"/>
          </w:tcPr>
          <w:p w14:paraId="6AEF4700" w14:textId="77777777" w:rsidR="00296EE2" w:rsidRPr="00296EE2" w:rsidRDefault="00296EE2" w:rsidP="00296EE2">
            <w:pPr>
              <w:ind w:left="450" w:hanging="450"/>
              <w:rPr>
                <w:sz w:val="21"/>
                <w:szCs w:val="21"/>
                <w:u w:val="single"/>
              </w:rPr>
            </w:pPr>
            <w:r w:rsidRPr="00296EE2">
              <w:rPr>
                <w:sz w:val="21"/>
                <w:szCs w:val="21"/>
                <w:u w:val="single"/>
              </w:rPr>
              <w:t>Droplet</w:t>
            </w:r>
          </w:p>
          <w:p w14:paraId="7883B911" w14:textId="77777777" w:rsidR="00296EE2" w:rsidRPr="00296EE2" w:rsidRDefault="00296EE2" w:rsidP="00296EE2">
            <w:pPr>
              <w:numPr>
                <w:ilvl w:val="0"/>
                <w:numId w:val="106"/>
              </w:numPr>
              <w:contextualSpacing/>
              <w:rPr>
                <w:sz w:val="21"/>
                <w:szCs w:val="21"/>
              </w:rPr>
            </w:pPr>
            <w:r w:rsidRPr="00296EE2">
              <w:rPr>
                <w:sz w:val="21"/>
                <w:szCs w:val="21"/>
              </w:rPr>
              <w:t>Common cold</w:t>
            </w:r>
          </w:p>
          <w:p w14:paraId="705FBAEE" w14:textId="77777777" w:rsidR="00296EE2" w:rsidRPr="00296EE2" w:rsidRDefault="00296EE2" w:rsidP="00296EE2">
            <w:pPr>
              <w:numPr>
                <w:ilvl w:val="0"/>
                <w:numId w:val="106"/>
              </w:numPr>
              <w:contextualSpacing/>
              <w:rPr>
                <w:sz w:val="21"/>
                <w:szCs w:val="21"/>
              </w:rPr>
            </w:pPr>
            <w:r w:rsidRPr="00296EE2">
              <w:rPr>
                <w:sz w:val="21"/>
                <w:szCs w:val="21"/>
              </w:rPr>
              <w:t>Influenza</w:t>
            </w:r>
          </w:p>
          <w:p w14:paraId="2393431C" w14:textId="77777777" w:rsidR="00296EE2" w:rsidRPr="00296EE2" w:rsidRDefault="00296EE2" w:rsidP="00296EE2">
            <w:pPr>
              <w:numPr>
                <w:ilvl w:val="0"/>
                <w:numId w:val="106"/>
              </w:numPr>
              <w:contextualSpacing/>
              <w:rPr>
                <w:sz w:val="21"/>
                <w:szCs w:val="21"/>
              </w:rPr>
            </w:pPr>
            <w:r w:rsidRPr="00296EE2">
              <w:rPr>
                <w:sz w:val="21"/>
                <w:szCs w:val="21"/>
              </w:rPr>
              <w:t>Meningococcal diseases</w:t>
            </w:r>
          </w:p>
          <w:p w14:paraId="63824C61" w14:textId="77777777" w:rsidR="00296EE2" w:rsidRPr="00296EE2" w:rsidRDefault="00296EE2" w:rsidP="00296EE2">
            <w:pPr>
              <w:numPr>
                <w:ilvl w:val="0"/>
                <w:numId w:val="106"/>
              </w:numPr>
              <w:contextualSpacing/>
              <w:rPr>
                <w:sz w:val="21"/>
                <w:szCs w:val="21"/>
              </w:rPr>
            </w:pPr>
            <w:r w:rsidRPr="00296EE2">
              <w:rPr>
                <w:sz w:val="21"/>
                <w:szCs w:val="21"/>
              </w:rPr>
              <w:t>Pertussis (Whooping cough)</w:t>
            </w:r>
          </w:p>
        </w:tc>
        <w:tc>
          <w:tcPr>
            <w:tcW w:w="5688" w:type="dxa"/>
          </w:tcPr>
          <w:p w14:paraId="18B922D2" w14:textId="77777777" w:rsidR="00296EE2" w:rsidRPr="00296EE2" w:rsidRDefault="00296EE2" w:rsidP="00296EE2">
            <w:pPr>
              <w:numPr>
                <w:ilvl w:val="0"/>
                <w:numId w:val="105"/>
              </w:numPr>
              <w:ind w:left="432"/>
              <w:contextualSpacing/>
              <w:rPr>
                <w:sz w:val="21"/>
                <w:szCs w:val="21"/>
              </w:rPr>
            </w:pPr>
            <w:r w:rsidRPr="00296EE2">
              <w:rPr>
                <w:sz w:val="21"/>
                <w:szCs w:val="21"/>
              </w:rPr>
              <w:t>Wash hands frequently or use hand sanitizer</w:t>
            </w:r>
          </w:p>
          <w:p w14:paraId="11799641" w14:textId="77777777" w:rsidR="00296EE2" w:rsidRPr="00296EE2" w:rsidRDefault="00296EE2" w:rsidP="00296EE2">
            <w:pPr>
              <w:numPr>
                <w:ilvl w:val="0"/>
                <w:numId w:val="105"/>
              </w:numPr>
              <w:ind w:left="432"/>
              <w:contextualSpacing/>
              <w:rPr>
                <w:sz w:val="21"/>
                <w:szCs w:val="21"/>
              </w:rPr>
            </w:pPr>
            <w:r w:rsidRPr="00296EE2">
              <w:rPr>
                <w:sz w:val="21"/>
                <w:szCs w:val="21"/>
              </w:rPr>
              <w:t xml:space="preserve">Avoid close contact with people who are ill </w:t>
            </w:r>
          </w:p>
          <w:p w14:paraId="0085E56D" w14:textId="77777777" w:rsidR="00296EE2" w:rsidRPr="00296EE2" w:rsidRDefault="00296EE2" w:rsidP="00296EE2">
            <w:pPr>
              <w:numPr>
                <w:ilvl w:val="0"/>
                <w:numId w:val="105"/>
              </w:numPr>
              <w:ind w:left="432"/>
              <w:contextualSpacing/>
              <w:rPr>
                <w:sz w:val="21"/>
                <w:szCs w:val="21"/>
              </w:rPr>
            </w:pPr>
            <w:r w:rsidRPr="00296EE2">
              <w:rPr>
                <w:sz w:val="21"/>
                <w:szCs w:val="21"/>
              </w:rPr>
              <w:t>Use personal protective barriers (e.g. masks)</w:t>
            </w:r>
          </w:p>
          <w:p w14:paraId="2BBF47B6" w14:textId="77777777" w:rsidR="00296EE2" w:rsidRPr="00296EE2" w:rsidRDefault="00296EE2" w:rsidP="00296EE2">
            <w:pPr>
              <w:numPr>
                <w:ilvl w:val="0"/>
                <w:numId w:val="105"/>
              </w:numPr>
              <w:ind w:left="432"/>
              <w:contextualSpacing/>
              <w:rPr>
                <w:sz w:val="21"/>
                <w:szCs w:val="21"/>
              </w:rPr>
            </w:pPr>
            <w:r w:rsidRPr="00296EE2">
              <w:rPr>
                <w:sz w:val="21"/>
                <w:szCs w:val="21"/>
              </w:rPr>
              <w:t>Clean and disinfect high-contact surfaces regularly</w:t>
            </w:r>
          </w:p>
          <w:p w14:paraId="642EE509" w14:textId="77777777" w:rsidR="00296EE2" w:rsidRPr="00296EE2" w:rsidRDefault="00296EE2" w:rsidP="00296EE2">
            <w:pPr>
              <w:numPr>
                <w:ilvl w:val="0"/>
                <w:numId w:val="105"/>
              </w:numPr>
              <w:ind w:left="432"/>
              <w:contextualSpacing/>
              <w:rPr>
                <w:sz w:val="21"/>
                <w:szCs w:val="21"/>
              </w:rPr>
            </w:pPr>
            <w:r w:rsidRPr="00296EE2">
              <w:rPr>
                <w:sz w:val="21"/>
                <w:szCs w:val="21"/>
              </w:rPr>
              <w:t xml:space="preserve">Refrain from sharing food and/or drinks </w:t>
            </w:r>
          </w:p>
          <w:p w14:paraId="76158064" w14:textId="2DCDABAA" w:rsidR="00296EE2" w:rsidRPr="00296EE2" w:rsidRDefault="00296EE2" w:rsidP="00296EE2">
            <w:pPr>
              <w:numPr>
                <w:ilvl w:val="0"/>
                <w:numId w:val="105"/>
              </w:numPr>
              <w:ind w:left="432"/>
              <w:contextualSpacing/>
              <w:rPr>
                <w:sz w:val="21"/>
                <w:szCs w:val="21"/>
              </w:rPr>
            </w:pPr>
            <w:r w:rsidRPr="00296EE2">
              <w:rPr>
                <w:sz w:val="21"/>
                <w:szCs w:val="21"/>
              </w:rPr>
              <w:t>Get vaccinated</w:t>
            </w:r>
            <w:r w:rsidR="007C153E">
              <w:rPr>
                <w:sz w:val="21"/>
                <w:szCs w:val="21"/>
              </w:rPr>
              <w:t xml:space="preserve"> (if available)</w:t>
            </w:r>
            <w:bookmarkStart w:id="854" w:name="_GoBack"/>
            <w:bookmarkEnd w:id="854"/>
          </w:p>
        </w:tc>
      </w:tr>
      <w:tr w:rsidR="00296EE2" w:rsidRPr="00296EE2" w14:paraId="11E51E3F" w14:textId="77777777" w:rsidTr="009A1FF8">
        <w:tc>
          <w:tcPr>
            <w:tcW w:w="3888" w:type="dxa"/>
          </w:tcPr>
          <w:p w14:paraId="31436885" w14:textId="77777777" w:rsidR="00296EE2" w:rsidRPr="00296EE2" w:rsidRDefault="00296EE2" w:rsidP="00296EE2">
            <w:pPr>
              <w:ind w:left="450" w:hanging="450"/>
              <w:rPr>
                <w:sz w:val="21"/>
                <w:szCs w:val="21"/>
                <w:u w:val="single"/>
              </w:rPr>
            </w:pPr>
            <w:r w:rsidRPr="00296EE2">
              <w:rPr>
                <w:sz w:val="21"/>
                <w:szCs w:val="21"/>
                <w:u w:val="single"/>
              </w:rPr>
              <w:t>Foodborne</w:t>
            </w:r>
          </w:p>
          <w:p w14:paraId="020D89A4" w14:textId="77777777" w:rsidR="00296EE2" w:rsidRPr="00296EE2" w:rsidRDefault="00296EE2" w:rsidP="00296EE2">
            <w:pPr>
              <w:numPr>
                <w:ilvl w:val="0"/>
                <w:numId w:val="107"/>
              </w:numPr>
              <w:contextualSpacing/>
              <w:rPr>
                <w:sz w:val="21"/>
                <w:szCs w:val="21"/>
              </w:rPr>
            </w:pPr>
            <w:r w:rsidRPr="00296EE2">
              <w:rPr>
                <w:sz w:val="21"/>
                <w:szCs w:val="21"/>
              </w:rPr>
              <w:t>Giardia</w:t>
            </w:r>
          </w:p>
          <w:p w14:paraId="5C660B74" w14:textId="77777777" w:rsidR="00296EE2" w:rsidRPr="00296EE2" w:rsidRDefault="00296EE2" w:rsidP="00296EE2">
            <w:pPr>
              <w:numPr>
                <w:ilvl w:val="0"/>
                <w:numId w:val="107"/>
              </w:numPr>
              <w:contextualSpacing/>
              <w:rPr>
                <w:sz w:val="21"/>
                <w:szCs w:val="21"/>
              </w:rPr>
            </w:pPr>
            <w:r w:rsidRPr="00296EE2">
              <w:rPr>
                <w:sz w:val="21"/>
                <w:szCs w:val="21"/>
              </w:rPr>
              <w:t>Shiga-producing E. coli</w:t>
            </w:r>
          </w:p>
          <w:p w14:paraId="51D247CB" w14:textId="77777777" w:rsidR="00296EE2" w:rsidRPr="00296EE2" w:rsidRDefault="00296EE2" w:rsidP="00296EE2">
            <w:pPr>
              <w:numPr>
                <w:ilvl w:val="0"/>
                <w:numId w:val="107"/>
              </w:numPr>
              <w:contextualSpacing/>
              <w:rPr>
                <w:sz w:val="21"/>
                <w:szCs w:val="21"/>
              </w:rPr>
            </w:pPr>
            <w:r w:rsidRPr="00296EE2">
              <w:rPr>
                <w:sz w:val="21"/>
                <w:szCs w:val="21"/>
              </w:rPr>
              <w:t>Salmonella</w:t>
            </w:r>
          </w:p>
          <w:p w14:paraId="0B1921BF" w14:textId="77777777" w:rsidR="00296EE2" w:rsidRPr="00296EE2" w:rsidRDefault="00296EE2" w:rsidP="00296EE2">
            <w:pPr>
              <w:numPr>
                <w:ilvl w:val="0"/>
                <w:numId w:val="107"/>
              </w:numPr>
              <w:contextualSpacing/>
              <w:rPr>
                <w:sz w:val="21"/>
                <w:szCs w:val="21"/>
              </w:rPr>
            </w:pPr>
            <w:r w:rsidRPr="00296EE2">
              <w:rPr>
                <w:sz w:val="21"/>
                <w:szCs w:val="21"/>
              </w:rPr>
              <w:t>Listeria</w:t>
            </w:r>
          </w:p>
          <w:p w14:paraId="5E305E8C" w14:textId="77777777" w:rsidR="00296EE2" w:rsidRPr="00296EE2" w:rsidRDefault="00296EE2" w:rsidP="00296EE2">
            <w:pPr>
              <w:numPr>
                <w:ilvl w:val="0"/>
                <w:numId w:val="107"/>
              </w:numPr>
              <w:contextualSpacing/>
              <w:rPr>
                <w:sz w:val="21"/>
                <w:szCs w:val="21"/>
              </w:rPr>
            </w:pPr>
            <w:r w:rsidRPr="00296EE2">
              <w:rPr>
                <w:sz w:val="21"/>
                <w:szCs w:val="21"/>
              </w:rPr>
              <w:t>Hepatitis A</w:t>
            </w:r>
          </w:p>
          <w:p w14:paraId="00A8099D" w14:textId="77777777" w:rsidR="00296EE2" w:rsidRPr="00296EE2" w:rsidRDefault="00296EE2" w:rsidP="00296EE2">
            <w:pPr>
              <w:numPr>
                <w:ilvl w:val="0"/>
                <w:numId w:val="107"/>
              </w:numPr>
              <w:contextualSpacing/>
              <w:rPr>
                <w:sz w:val="21"/>
                <w:szCs w:val="21"/>
              </w:rPr>
            </w:pPr>
            <w:proofErr w:type="spellStart"/>
            <w:r w:rsidRPr="00296EE2">
              <w:rPr>
                <w:sz w:val="21"/>
                <w:szCs w:val="21"/>
              </w:rPr>
              <w:t>Campylobactor</w:t>
            </w:r>
            <w:proofErr w:type="spellEnd"/>
          </w:p>
        </w:tc>
        <w:tc>
          <w:tcPr>
            <w:tcW w:w="5688" w:type="dxa"/>
          </w:tcPr>
          <w:p w14:paraId="49857CF7" w14:textId="77777777" w:rsidR="00296EE2" w:rsidRPr="00296EE2" w:rsidRDefault="00296EE2" w:rsidP="00296EE2">
            <w:pPr>
              <w:numPr>
                <w:ilvl w:val="0"/>
                <w:numId w:val="107"/>
              </w:numPr>
              <w:ind w:left="432"/>
              <w:contextualSpacing/>
              <w:rPr>
                <w:sz w:val="21"/>
                <w:szCs w:val="21"/>
              </w:rPr>
            </w:pPr>
            <w:r w:rsidRPr="00296EE2">
              <w:rPr>
                <w:sz w:val="21"/>
                <w:szCs w:val="21"/>
              </w:rPr>
              <w:t>Wash hands frequently or use hand sanitizer</w:t>
            </w:r>
          </w:p>
          <w:p w14:paraId="2117DAAA" w14:textId="77777777" w:rsidR="00296EE2" w:rsidRPr="00296EE2" w:rsidRDefault="00296EE2" w:rsidP="00296EE2">
            <w:pPr>
              <w:numPr>
                <w:ilvl w:val="0"/>
                <w:numId w:val="107"/>
              </w:numPr>
              <w:ind w:left="432"/>
              <w:contextualSpacing/>
              <w:rPr>
                <w:sz w:val="21"/>
                <w:szCs w:val="21"/>
              </w:rPr>
            </w:pPr>
            <w:r w:rsidRPr="00296EE2">
              <w:rPr>
                <w:sz w:val="21"/>
                <w:szCs w:val="21"/>
              </w:rPr>
              <w:t>Clean food preparation areas and utensils to prevent cross contamination</w:t>
            </w:r>
          </w:p>
          <w:p w14:paraId="2B2C5CEA" w14:textId="77777777" w:rsidR="00296EE2" w:rsidRPr="00296EE2" w:rsidRDefault="00296EE2" w:rsidP="00296EE2">
            <w:pPr>
              <w:numPr>
                <w:ilvl w:val="0"/>
                <w:numId w:val="107"/>
              </w:numPr>
              <w:ind w:left="432"/>
              <w:contextualSpacing/>
              <w:rPr>
                <w:sz w:val="21"/>
                <w:szCs w:val="21"/>
              </w:rPr>
            </w:pPr>
            <w:r w:rsidRPr="00296EE2">
              <w:rPr>
                <w:sz w:val="21"/>
                <w:szCs w:val="21"/>
              </w:rPr>
              <w:t>Cook foods properly</w:t>
            </w:r>
          </w:p>
          <w:p w14:paraId="5FF5367A" w14:textId="77777777" w:rsidR="00296EE2" w:rsidRPr="00296EE2" w:rsidRDefault="00296EE2" w:rsidP="00296EE2">
            <w:pPr>
              <w:numPr>
                <w:ilvl w:val="0"/>
                <w:numId w:val="107"/>
              </w:numPr>
              <w:ind w:left="432"/>
              <w:contextualSpacing/>
              <w:rPr>
                <w:sz w:val="21"/>
                <w:szCs w:val="21"/>
              </w:rPr>
            </w:pPr>
            <w:r w:rsidRPr="00296EE2">
              <w:rPr>
                <w:sz w:val="21"/>
                <w:szCs w:val="21"/>
              </w:rPr>
              <w:t>Store foods at appropriate temperatures</w:t>
            </w:r>
          </w:p>
          <w:p w14:paraId="5D37CC5F" w14:textId="77777777" w:rsidR="00296EE2" w:rsidRPr="00296EE2" w:rsidRDefault="00296EE2" w:rsidP="00296EE2">
            <w:pPr>
              <w:numPr>
                <w:ilvl w:val="0"/>
                <w:numId w:val="107"/>
              </w:numPr>
              <w:ind w:left="432"/>
              <w:contextualSpacing/>
              <w:rPr>
                <w:sz w:val="21"/>
                <w:szCs w:val="21"/>
              </w:rPr>
            </w:pPr>
            <w:r w:rsidRPr="00296EE2">
              <w:rPr>
                <w:sz w:val="21"/>
                <w:szCs w:val="21"/>
              </w:rPr>
              <w:t>Use safe water sources for drinking and food preparation</w:t>
            </w:r>
          </w:p>
          <w:p w14:paraId="40A8417D" w14:textId="77777777" w:rsidR="00296EE2" w:rsidRPr="00296EE2" w:rsidRDefault="00296EE2" w:rsidP="00296EE2">
            <w:pPr>
              <w:numPr>
                <w:ilvl w:val="0"/>
                <w:numId w:val="107"/>
              </w:numPr>
              <w:ind w:left="432"/>
              <w:contextualSpacing/>
              <w:rPr>
                <w:sz w:val="21"/>
                <w:szCs w:val="21"/>
              </w:rPr>
            </w:pPr>
            <w:r w:rsidRPr="00296EE2">
              <w:rPr>
                <w:sz w:val="21"/>
                <w:szCs w:val="21"/>
              </w:rPr>
              <w:t>Do not prepare food for others when ill</w:t>
            </w:r>
          </w:p>
        </w:tc>
      </w:tr>
      <w:tr w:rsidR="00296EE2" w:rsidRPr="00296EE2" w14:paraId="0D102CE8" w14:textId="77777777" w:rsidTr="009A1FF8">
        <w:tc>
          <w:tcPr>
            <w:tcW w:w="3888" w:type="dxa"/>
          </w:tcPr>
          <w:p w14:paraId="1DC61574" w14:textId="77777777" w:rsidR="00296EE2" w:rsidRPr="00296EE2" w:rsidRDefault="00296EE2" w:rsidP="00296EE2">
            <w:pPr>
              <w:ind w:left="450" w:hanging="450"/>
              <w:rPr>
                <w:sz w:val="21"/>
                <w:szCs w:val="21"/>
              </w:rPr>
            </w:pPr>
            <w:proofErr w:type="spellStart"/>
            <w:r w:rsidRPr="00296EE2">
              <w:rPr>
                <w:sz w:val="21"/>
                <w:szCs w:val="21"/>
                <w:u w:val="single"/>
              </w:rPr>
              <w:t>Vectorborne</w:t>
            </w:r>
            <w:proofErr w:type="spellEnd"/>
          </w:p>
          <w:p w14:paraId="5331D051" w14:textId="77777777" w:rsidR="00296EE2" w:rsidRPr="00296EE2" w:rsidRDefault="00296EE2" w:rsidP="00296EE2">
            <w:pPr>
              <w:numPr>
                <w:ilvl w:val="0"/>
                <w:numId w:val="108"/>
              </w:numPr>
              <w:contextualSpacing/>
              <w:rPr>
                <w:sz w:val="21"/>
                <w:szCs w:val="21"/>
              </w:rPr>
            </w:pPr>
            <w:r w:rsidRPr="00296EE2">
              <w:rPr>
                <w:sz w:val="21"/>
                <w:szCs w:val="21"/>
              </w:rPr>
              <w:t>Lyme</w:t>
            </w:r>
          </w:p>
          <w:p w14:paraId="391190B6" w14:textId="77777777" w:rsidR="00296EE2" w:rsidRPr="00296EE2" w:rsidRDefault="00296EE2" w:rsidP="00296EE2">
            <w:pPr>
              <w:numPr>
                <w:ilvl w:val="0"/>
                <w:numId w:val="108"/>
              </w:numPr>
              <w:contextualSpacing/>
              <w:rPr>
                <w:sz w:val="21"/>
                <w:szCs w:val="21"/>
              </w:rPr>
            </w:pPr>
            <w:r w:rsidRPr="00296EE2">
              <w:rPr>
                <w:sz w:val="21"/>
                <w:szCs w:val="21"/>
              </w:rPr>
              <w:t>West Nile virus</w:t>
            </w:r>
          </w:p>
          <w:p w14:paraId="71E9756C" w14:textId="77777777" w:rsidR="00296EE2" w:rsidRPr="00296EE2" w:rsidRDefault="00296EE2" w:rsidP="00296EE2">
            <w:pPr>
              <w:numPr>
                <w:ilvl w:val="0"/>
                <w:numId w:val="108"/>
              </w:numPr>
              <w:contextualSpacing/>
              <w:rPr>
                <w:sz w:val="21"/>
                <w:szCs w:val="21"/>
              </w:rPr>
            </w:pPr>
            <w:r w:rsidRPr="00296EE2">
              <w:rPr>
                <w:sz w:val="21"/>
                <w:szCs w:val="21"/>
              </w:rPr>
              <w:t>Eastern Equine Encephalitis (EEE)</w:t>
            </w:r>
          </w:p>
          <w:p w14:paraId="244AB23D" w14:textId="77777777" w:rsidR="00296EE2" w:rsidRPr="00296EE2" w:rsidRDefault="00296EE2" w:rsidP="00296EE2">
            <w:pPr>
              <w:numPr>
                <w:ilvl w:val="0"/>
                <w:numId w:val="108"/>
              </w:numPr>
              <w:contextualSpacing/>
              <w:rPr>
                <w:sz w:val="21"/>
                <w:szCs w:val="21"/>
              </w:rPr>
            </w:pPr>
            <w:r w:rsidRPr="00296EE2">
              <w:rPr>
                <w:sz w:val="21"/>
                <w:szCs w:val="21"/>
              </w:rPr>
              <w:t>Rabies</w:t>
            </w:r>
          </w:p>
          <w:p w14:paraId="60A48754" w14:textId="77777777" w:rsidR="00296EE2" w:rsidRPr="00296EE2" w:rsidRDefault="00296EE2" w:rsidP="00296EE2">
            <w:pPr>
              <w:numPr>
                <w:ilvl w:val="0"/>
                <w:numId w:val="108"/>
              </w:numPr>
              <w:contextualSpacing/>
              <w:rPr>
                <w:sz w:val="21"/>
                <w:szCs w:val="21"/>
              </w:rPr>
            </w:pPr>
            <w:proofErr w:type="spellStart"/>
            <w:r w:rsidRPr="00296EE2">
              <w:rPr>
                <w:sz w:val="21"/>
                <w:szCs w:val="21"/>
              </w:rPr>
              <w:t>Zika</w:t>
            </w:r>
            <w:proofErr w:type="spellEnd"/>
          </w:p>
        </w:tc>
        <w:tc>
          <w:tcPr>
            <w:tcW w:w="5688" w:type="dxa"/>
          </w:tcPr>
          <w:p w14:paraId="22E8920F" w14:textId="77777777" w:rsidR="00296EE2" w:rsidRPr="00296EE2" w:rsidRDefault="00296EE2" w:rsidP="00296EE2">
            <w:pPr>
              <w:numPr>
                <w:ilvl w:val="0"/>
                <w:numId w:val="108"/>
              </w:numPr>
              <w:ind w:left="432"/>
              <w:contextualSpacing/>
              <w:rPr>
                <w:sz w:val="21"/>
                <w:szCs w:val="21"/>
              </w:rPr>
            </w:pPr>
            <w:r w:rsidRPr="00296EE2">
              <w:rPr>
                <w:sz w:val="21"/>
                <w:szCs w:val="21"/>
              </w:rPr>
              <w:t>Use insect repellants</w:t>
            </w:r>
          </w:p>
          <w:p w14:paraId="4F381C8B" w14:textId="77777777" w:rsidR="00296EE2" w:rsidRPr="00296EE2" w:rsidRDefault="00296EE2" w:rsidP="00296EE2">
            <w:pPr>
              <w:numPr>
                <w:ilvl w:val="0"/>
                <w:numId w:val="108"/>
              </w:numPr>
              <w:ind w:left="432"/>
              <w:contextualSpacing/>
              <w:rPr>
                <w:sz w:val="21"/>
                <w:szCs w:val="21"/>
              </w:rPr>
            </w:pPr>
            <w:r w:rsidRPr="00296EE2">
              <w:rPr>
                <w:sz w:val="21"/>
                <w:szCs w:val="21"/>
              </w:rPr>
              <w:t>Perform tick checks after being in tick-prone areas</w:t>
            </w:r>
          </w:p>
          <w:p w14:paraId="36ABEB32" w14:textId="77777777" w:rsidR="00296EE2" w:rsidRPr="00296EE2" w:rsidRDefault="00296EE2" w:rsidP="00296EE2">
            <w:pPr>
              <w:numPr>
                <w:ilvl w:val="0"/>
                <w:numId w:val="108"/>
              </w:numPr>
              <w:ind w:left="432"/>
              <w:contextualSpacing/>
              <w:rPr>
                <w:sz w:val="21"/>
                <w:szCs w:val="21"/>
              </w:rPr>
            </w:pPr>
            <w:r w:rsidRPr="00296EE2">
              <w:rPr>
                <w:sz w:val="21"/>
                <w:szCs w:val="21"/>
              </w:rPr>
              <w:t>Don’t approach or touch stray/wild animals</w:t>
            </w:r>
          </w:p>
          <w:p w14:paraId="7C6AA9D0" w14:textId="77777777" w:rsidR="00296EE2" w:rsidRPr="00296EE2" w:rsidRDefault="00296EE2" w:rsidP="00296EE2">
            <w:pPr>
              <w:numPr>
                <w:ilvl w:val="0"/>
                <w:numId w:val="108"/>
              </w:numPr>
              <w:ind w:left="432"/>
              <w:contextualSpacing/>
              <w:rPr>
                <w:sz w:val="21"/>
                <w:szCs w:val="21"/>
              </w:rPr>
            </w:pPr>
            <w:r w:rsidRPr="00296EE2">
              <w:rPr>
                <w:sz w:val="21"/>
                <w:szCs w:val="21"/>
              </w:rPr>
              <w:t>Wear long sleeve shirts and pants</w:t>
            </w:r>
          </w:p>
          <w:p w14:paraId="230189CC" w14:textId="77777777" w:rsidR="00296EE2" w:rsidRPr="00296EE2" w:rsidRDefault="00296EE2" w:rsidP="00296EE2">
            <w:pPr>
              <w:numPr>
                <w:ilvl w:val="0"/>
                <w:numId w:val="108"/>
              </w:numPr>
              <w:ind w:left="432"/>
              <w:contextualSpacing/>
              <w:rPr>
                <w:sz w:val="21"/>
                <w:szCs w:val="21"/>
              </w:rPr>
            </w:pPr>
            <w:r w:rsidRPr="00296EE2">
              <w:rPr>
                <w:sz w:val="21"/>
                <w:szCs w:val="21"/>
              </w:rPr>
              <w:t>Shelter indoors during peak mosquito activity</w:t>
            </w:r>
          </w:p>
        </w:tc>
      </w:tr>
    </w:tbl>
    <w:p w14:paraId="409772EF" w14:textId="77777777" w:rsidR="00296EE2" w:rsidRPr="00296EE2" w:rsidRDefault="00296EE2" w:rsidP="00296EE2"/>
    <w:p w14:paraId="3C2D3F0D" w14:textId="77777777" w:rsidR="00FA0CDB" w:rsidRDefault="00FA0CDB" w:rsidP="00CE472E"/>
    <w:p w14:paraId="2535612F" w14:textId="77777777" w:rsidR="00FA0CDB" w:rsidRDefault="00FA0CDB" w:rsidP="00CE472E">
      <w:pPr>
        <w:sectPr w:rsidR="00FA0CDB" w:rsidSect="00194809">
          <w:headerReference w:type="even" r:id="rId75"/>
          <w:headerReference w:type="default" r:id="rId76"/>
          <w:footerReference w:type="default" r:id="rId77"/>
          <w:headerReference w:type="first" r:id="rId78"/>
          <w:pgSz w:w="12240" w:h="15840"/>
          <w:pgMar w:top="1440" w:right="1440" w:bottom="1440" w:left="1440" w:header="720" w:footer="720" w:gutter="0"/>
          <w:cols w:space="720"/>
          <w:docGrid w:linePitch="360"/>
        </w:sectPr>
      </w:pPr>
    </w:p>
    <w:p w14:paraId="3A44FCB6" w14:textId="2075C148" w:rsidR="00521F49" w:rsidRPr="00296EE2" w:rsidRDefault="00521F49" w:rsidP="00FA0CDB">
      <w:pPr>
        <w:rPr>
          <w:b/>
        </w:rPr>
      </w:pPr>
      <w:r w:rsidRPr="00296EE2">
        <w:rPr>
          <w:b/>
        </w:rPr>
        <w:lastRenderedPageBreak/>
        <w:t>CDC Recommendations for Non</w:t>
      </w:r>
      <w:r w:rsidR="003A5C0E" w:rsidRPr="00296EE2">
        <w:rPr>
          <w:b/>
        </w:rPr>
        <w:t>-</w:t>
      </w:r>
      <w:r w:rsidRPr="00296EE2">
        <w:rPr>
          <w:b/>
        </w:rPr>
        <w:t>pharmaceutical Interventions</w:t>
      </w:r>
      <w:r w:rsidR="00FA0CDB" w:rsidRPr="00296EE2">
        <w:rPr>
          <w:b/>
        </w:rPr>
        <w:t xml:space="preserve"> during a Pandemic</w:t>
      </w:r>
      <w:r w:rsidRPr="00296EE2">
        <w:rPr>
          <w:b/>
        </w:rPr>
        <w:t xml:space="preserve"> </w:t>
      </w:r>
      <w:r w:rsidR="002D7B70" w:rsidRPr="00296EE2">
        <w:rPr>
          <w:b/>
        </w:rPr>
        <w:t xml:space="preserve"> </w:t>
      </w:r>
    </w:p>
    <w:p w14:paraId="10419FFF" w14:textId="3251DB66" w:rsidR="003A5C0E" w:rsidRPr="003A5C0E" w:rsidRDefault="003A5C0E" w:rsidP="003A5C0E"/>
    <w:p w14:paraId="039FAE48" w14:textId="50804498" w:rsidR="00521F49" w:rsidRPr="00013921" w:rsidRDefault="00521F49" w:rsidP="00521F49">
      <w:r>
        <w:t xml:space="preserve">The table below, from the 2017 Community Mitigation Guidelines to Prevent Pandemic Influenza – United States, recommends </w:t>
      </w:r>
      <w:proofErr w:type="spellStart"/>
      <w:r>
        <w:t>nonpharmaceutical</w:t>
      </w:r>
      <w:proofErr w:type="spellEnd"/>
      <w:r>
        <w:t xml:space="preserve"> interventions for specific environments based upon pandemic severity. Although developed for influenza pandemics, these recommendations may be suitable for other highly pathogenic infectious diseases. </w:t>
      </w:r>
      <w:proofErr w:type="spellStart"/>
      <w:r>
        <w:t>Nonpharmaceutical</w:t>
      </w:r>
      <w:proofErr w:type="spellEnd"/>
      <w:r>
        <w:t xml:space="preserve"> intervention recommendations tailored for Massachusetts residents and visitors will be made by the Commissioner’s </w:t>
      </w:r>
      <w:r w:rsidR="00E073D4">
        <w:t>Executive Team</w:t>
      </w:r>
      <w:r>
        <w:t>, in consultation with BIDLS leadership.</w:t>
      </w:r>
    </w:p>
    <w:p w14:paraId="1279593C" w14:textId="54610CCA" w:rsidR="00521F49" w:rsidRDefault="00521F49" w:rsidP="00CE472E">
      <w:r>
        <w:rPr>
          <w:noProof/>
        </w:rPr>
        <w:drawing>
          <wp:inline distT="0" distB="0" distL="0" distR="0" wp14:anchorId="2A3491DA" wp14:editId="1CD0D286">
            <wp:extent cx="8229600" cy="436978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9"/>
                    <a:stretch>
                      <a:fillRect/>
                    </a:stretch>
                  </pic:blipFill>
                  <pic:spPr>
                    <a:xfrm>
                      <a:off x="0" y="0"/>
                      <a:ext cx="8229600" cy="4369780"/>
                    </a:xfrm>
                    <a:prstGeom prst="rect">
                      <a:avLst/>
                    </a:prstGeom>
                  </pic:spPr>
                </pic:pic>
              </a:graphicData>
            </a:graphic>
          </wp:inline>
        </w:drawing>
      </w:r>
    </w:p>
    <w:p w14:paraId="526CC8C4" w14:textId="325EDCB3" w:rsidR="00521F49" w:rsidRDefault="00521F49" w:rsidP="00CE472E">
      <w:r>
        <w:rPr>
          <w:noProof/>
        </w:rPr>
        <w:lastRenderedPageBreak/>
        <w:drawing>
          <wp:inline distT="0" distB="0" distL="0" distR="0" wp14:anchorId="7C457C2A" wp14:editId="7D3FB990">
            <wp:extent cx="8229600" cy="248185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0"/>
                    <a:stretch>
                      <a:fillRect/>
                    </a:stretch>
                  </pic:blipFill>
                  <pic:spPr>
                    <a:xfrm>
                      <a:off x="0" y="0"/>
                      <a:ext cx="8229600" cy="2481852"/>
                    </a:xfrm>
                    <a:prstGeom prst="rect">
                      <a:avLst/>
                    </a:prstGeom>
                  </pic:spPr>
                </pic:pic>
              </a:graphicData>
            </a:graphic>
          </wp:inline>
        </w:drawing>
      </w:r>
    </w:p>
    <w:p w14:paraId="7FC07160" w14:textId="3717AB8C" w:rsidR="00521F49" w:rsidRDefault="00521F49" w:rsidP="00CE472E">
      <w:pPr>
        <w:sectPr w:rsidR="00521F49" w:rsidSect="00194809">
          <w:headerReference w:type="even" r:id="rId81"/>
          <w:headerReference w:type="default" r:id="rId82"/>
          <w:footerReference w:type="default" r:id="rId83"/>
          <w:headerReference w:type="first" r:id="rId84"/>
          <w:pgSz w:w="15840" w:h="12240" w:orient="landscape"/>
          <w:pgMar w:top="1440" w:right="1440" w:bottom="1440" w:left="1440" w:header="720" w:footer="720" w:gutter="0"/>
          <w:cols w:space="720"/>
          <w:docGrid w:linePitch="360"/>
        </w:sectPr>
      </w:pPr>
      <w:r>
        <w:rPr>
          <w:noProof/>
        </w:rPr>
        <mc:AlternateContent>
          <mc:Choice Requires="wps">
            <w:drawing>
              <wp:anchor distT="0" distB="0" distL="114300" distR="114300" simplePos="0" relativeHeight="251677696" behindDoc="0" locked="0" layoutInCell="1" allowOverlap="1" wp14:anchorId="221CDA4D" wp14:editId="1DD9A6E0">
                <wp:simplePos x="0" y="0"/>
                <wp:positionH relativeFrom="column">
                  <wp:posOffset>0</wp:posOffset>
                </wp:positionH>
                <wp:positionV relativeFrom="paragraph">
                  <wp:posOffset>81280</wp:posOffset>
                </wp:positionV>
                <wp:extent cx="7172325" cy="68961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2325" cy="689610"/>
                        </a:xfrm>
                        <a:prstGeom prst="rect">
                          <a:avLst/>
                        </a:prstGeom>
                        <a:solidFill>
                          <a:srgbClr val="FFFFFF"/>
                        </a:solidFill>
                        <a:ln w="9525">
                          <a:noFill/>
                          <a:miter lim="800000"/>
                          <a:headEnd/>
                          <a:tailEnd/>
                        </a:ln>
                      </wps:spPr>
                      <wps:txbx>
                        <w:txbxContent>
                          <w:p w14:paraId="14CA7C85" w14:textId="77777777" w:rsidR="009A1FF8" w:rsidRPr="00013921" w:rsidRDefault="009A1FF8" w:rsidP="00521F49">
                            <w:pPr>
                              <w:rPr>
                                <w:sz w:val="16"/>
                                <w:szCs w:val="16"/>
                              </w:rPr>
                            </w:pPr>
                            <w:r w:rsidRPr="00013921">
                              <w:rPr>
                                <w:sz w:val="16"/>
                                <w:szCs w:val="16"/>
                              </w:rPr>
                              <w:t xml:space="preserve">Qualls N, Levitt A, </w:t>
                            </w:r>
                            <w:proofErr w:type="spellStart"/>
                            <w:r w:rsidRPr="00013921">
                              <w:rPr>
                                <w:sz w:val="16"/>
                                <w:szCs w:val="16"/>
                              </w:rPr>
                              <w:t>Kanade</w:t>
                            </w:r>
                            <w:proofErr w:type="spellEnd"/>
                            <w:r w:rsidRPr="00013921">
                              <w:rPr>
                                <w:sz w:val="16"/>
                                <w:szCs w:val="16"/>
                              </w:rPr>
                              <w:t xml:space="preserve"> N, et al. Community Mitigation Guidelines to Prevent Pandemic Influenza — United States, 2017. MMWR </w:t>
                            </w:r>
                            <w:proofErr w:type="spellStart"/>
                            <w:r w:rsidRPr="00013921">
                              <w:rPr>
                                <w:sz w:val="16"/>
                                <w:szCs w:val="16"/>
                              </w:rPr>
                              <w:t>Recomm</w:t>
                            </w:r>
                            <w:proofErr w:type="spellEnd"/>
                            <w:r w:rsidRPr="00013921">
                              <w:rPr>
                                <w:sz w:val="16"/>
                                <w:szCs w:val="16"/>
                              </w:rPr>
                              <w:t xml:space="preserve"> Rep 2017</w:t>
                            </w:r>
                            <w:proofErr w:type="gramStart"/>
                            <w:r w:rsidRPr="00013921">
                              <w:rPr>
                                <w:sz w:val="16"/>
                                <w:szCs w:val="16"/>
                              </w:rPr>
                              <w:t>;66</w:t>
                            </w:r>
                            <w:proofErr w:type="gramEnd"/>
                            <w:r w:rsidRPr="00013921">
                              <w:rPr>
                                <w:sz w:val="16"/>
                                <w:szCs w:val="16"/>
                              </w:rPr>
                              <w:t xml:space="preserve">(No. RR-1):1–34. DOI: </w:t>
                            </w:r>
                            <w:hyperlink r:id="rId85" w:tgtFrame="_self" w:history="1">
                              <w:r w:rsidRPr="00013921">
                                <w:rPr>
                                  <w:rStyle w:val="Hyperlink"/>
                                  <w:sz w:val="16"/>
                                  <w:szCs w:val="16"/>
                                </w:rPr>
                                <w:t>http://dx.doi.org/10.15585/mmwr.rr6601a1</w:t>
                              </w:r>
                            </w:hyperlink>
                            <w:r w:rsidRPr="00013921">
                              <w:rPr>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6.4pt;width:564.75pt;height:54.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" stroked="f">
                <v:textbox>
                  <w:txbxContent>
                    <w:p w14:paraId="14CA7C85" w14:textId="77777777" w:rsidR="009A1FF8" w:rsidRPr="00013921" w:rsidRDefault="009A1FF8" w:rsidP="00521F49">
                      <w:pPr>
                        <w:rPr>
                          <w:sz w:val="16"/>
                          <w:szCs w:val="16"/>
                        </w:rPr>
                      </w:pPr>
                      <w:r w:rsidRPr="00013921">
                        <w:rPr>
                          <w:sz w:val="16"/>
                          <w:szCs w:val="16"/>
                        </w:rPr>
                        <w:t xml:space="preserve">Qualls N, Levitt A, </w:t>
                      </w:r>
                      <w:proofErr w:type="spellStart"/>
                      <w:r w:rsidRPr="00013921">
                        <w:rPr>
                          <w:sz w:val="16"/>
                          <w:szCs w:val="16"/>
                        </w:rPr>
                        <w:t>Kanade</w:t>
                      </w:r>
                      <w:proofErr w:type="spellEnd"/>
                      <w:r w:rsidRPr="00013921">
                        <w:rPr>
                          <w:sz w:val="16"/>
                          <w:szCs w:val="16"/>
                        </w:rPr>
                        <w:t xml:space="preserve"> N, et al. Community Mitigation Guidelines to Prevent Pandemic Influenza — United States, 2017. MMWR </w:t>
                      </w:r>
                      <w:proofErr w:type="spellStart"/>
                      <w:r w:rsidRPr="00013921">
                        <w:rPr>
                          <w:sz w:val="16"/>
                          <w:szCs w:val="16"/>
                        </w:rPr>
                        <w:t>Recomm</w:t>
                      </w:r>
                      <w:proofErr w:type="spellEnd"/>
                      <w:r w:rsidRPr="00013921">
                        <w:rPr>
                          <w:sz w:val="16"/>
                          <w:szCs w:val="16"/>
                        </w:rPr>
                        <w:t xml:space="preserve"> Rep 2017</w:t>
                      </w:r>
                      <w:proofErr w:type="gramStart"/>
                      <w:r w:rsidRPr="00013921">
                        <w:rPr>
                          <w:sz w:val="16"/>
                          <w:szCs w:val="16"/>
                        </w:rPr>
                        <w:t>;66</w:t>
                      </w:r>
                      <w:proofErr w:type="gramEnd"/>
                      <w:r w:rsidRPr="00013921">
                        <w:rPr>
                          <w:sz w:val="16"/>
                          <w:szCs w:val="16"/>
                        </w:rPr>
                        <w:t xml:space="preserve">(No. RR-1):1–34. DOI: </w:t>
                      </w:r>
                      <w:hyperlink r:id="rId86" w:tgtFrame="_self" w:history="1">
                        <w:r w:rsidRPr="00013921">
                          <w:rPr>
                            <w:rStyle w:val="Hyperlink"/>
                            <w:sz w:val="16"/>
                            <w:szCs w:val="16"/>
                          </w:rPr>
                          <w:t>http://dx.doi.org/10.15585/mmwr.rr6601a1</w:t>
                        </w:r>
                      </w:hyperlink>
                      <w:r w:rsidRPr="00013921">
                        <w:rPr>
                          <w:sz w:val="16"/>
                          <w:szCs w:val="16"/>
                        </w:rPr>
                        <w:t>.</w:t>
                      </w:r>
                    </w:p>
                  </w:txbxContent>
                </v:textbox>
              </v:shape>
            </w:pict>
          </mc:Fallback>
        </mc:AlternateContent>
      </w:r>
    </w:p>
    <w:p w14:paraId="3D020F6E" w14:textId="77777777" w:rsidR="00D94DC7" w:rsidRDefault="00D94DC7" w:rsidP="00D94DC7">
      <w:pPr>
        <w:pStyle w:val="Heading3"/>
        <w:jc w:val="center"/>
        <w:rPr>
          <w:sz w:val="28"/>
          <w:szCs w:val="28"/>
        </w:rPr>
      </w:pPr>
      <w:bookmarkStart w:id="855" w:name="_Appendix_8.7_Notification"/>
      <w:bookmarkStart w:id="856" w:name="_Appendix_8.10_IDER"/>
      <w:bookmarkStart w:id="857" w:name="_Appendix_9.9_IDER"/>
      <w:bookmarkStart w:id="858" w:name="_Toc31623034"/>
      <w:bookmarkEnd w:id="855"/>
      <w:bookmarkEnd w:id="856"/>
      <w:bookmarkEnd w:id="857"/>
      <w:r w:rsidRPr="00464B28">
        <w:rPr>
          <w:sz w:val="28"/>
          <w:szCs w:val="28"/>
        </w:rPr>
        <w:lastRenderedPageBreak/>
        <w:t>Societal Sectors A</w:t>
      </w:r>
      <w:r>
        <w:rPr>
          <w:sz w:val="28"/>
          <w:szCs w:val="28"/>
        </w:rPr>
        <w:t>ppendix</w:t>
      </w:r>
      <w:bookmarkEnd w:id="858"/>
    </w:p>
    <w:p w14:paraId="6E152FF8" w14:textId="77777777" w:rsidR="00071606" w:rsidRDefault="00071606" w:rsidP="00071606">
      <w:pPr>
        <w:jc w:val="both"/>
      </w:pPr>
      <w:r w:rsidRPr="004720EA">
        <w:t xml:space="preserve">In the event of an infectious disease emergency that affects the Commonwealth, MDPH will need to work cooperatively with representatives from multiple sectors in society to support a coordinated and effective overall response. The sections below describe actions that may be considered by MDPH to best support partners and associated organizations in affected major sectors of society during each </w:t>
      </w:r>
      <w:r>
        <w:t>interval</w:t>
      </w:r>
      <w:r w:rsidRPr="004720EA">
        <w:t xml:space="preserve"> of an infectious disease emergency response.  A list of example disciplines and organizations with whom MDPH may wish to engage within each societal sector in order to maximize effective cooperation is </w:t>
      </w:r>
      <w:r>
        <w:t>also provided.</w:t>
      </w:r>
    </w:p>
    <w:p w14:paraId="1316B5B2" w14:textId="77777777" w:rsidR="00D94DC7" w:rsidRPr="00F53AFB" w:rsidRDefault="00D94DC7" w:rsidP="00D94DC7">
      <w:pPr>
        <w:pStyle w:val="Heading4"/>
        <w:rPr>
          <w:sz w:val="24"/>
          <w:szCs w:val="24"/>
        </w:rPr>
      </w:pPr>
      <w:r w:rsidRPr="00F53AFB">
        <w:rPr>
          <w:sz w:val="24"/>
          <w:szCs w:val="24"/>
        </w:rPr>
        <w:t>Agriculture/Animals</w:t>
      </w:r>
    </w:p>
    <w:p w14:paraId="6945331F" w14:textId="77777777" w:rsidR="00D94DC7" w:rsidRPr="00C51E6C" w:rsidRDefault="00D94DC7" w:rsidP="00D94DC7">
      <w:pPr>
        <w:spacing w:after="0"/>
        <w:ind w:firstLine="360"/>
        <w:rPr>
          <w:i/>
        </w:rPr>
      </w:pPr>
      <w:r w:rsidRPr="00C51E6C">
        <w:rPr>
          <w:i/>
        </w:rPr>
        <w:t>Public</w:t>
      </w:r>
    </w:p>
    <w:p w14:paraId="1EC714B7" w14:textId="77777777" w:rsidR="00D94DC7" w:rsidRPr="00C51E6C" w:rsidRDefault="00D94DC7" w:rsidP="00D94DC7">
      <w:pPr>
        <w:numPr>
          <w:ilvl w:val="0"/>
          <w:numId w:val="33"/>
        </w:numPr>
        <w:spacing w:after="0"/>
        <w:ind w:left="810" w:hanging="180"/>
        <w:contextualSpacing/>
      </w:pPr>
      <w:r w:rsidRPr="00C51E6C">
        <w:t>Massachusetts Department of Agricultural Resources (MDAR)</w:t>
      </w:r>
    </w:p>
    <w:p w14:paraId="56726BE6" w14:textId="77777777" w:rsidR="00D94DC7" w:rsidRPr="00C51E6C" w:rsidRDefault="00D94DC7" w:rsidP="00D94DC7">
      <w:pPr>
        <w:numPr>
          <w:ilvl w:val="1"/>
          <w:numId w:val="33"/>
        </w:numPr>
        <w:ind w:left="1530"/>
        <w:contextualSpacing/>
      </w:pPr>
      <w:r w:rsidRPr="00C51E6C">
        <w:t>Division of Animal Health</w:t>
      </w:r>
    </w:p>
    <w:p w14:paraId="7EA231F7" w14:textId="77777777" w:rsidR="00D94DC7" w:rsidRPr="00C51E6C" w:rsidRDefault="00D94DC7" w:rsidP="00D94DC7">
      <w:pPr>
        <w:numPr>
          <w:ilvl w:val="0"/>
          <w:numId w:val="33"/>
        </w:numPr>
        <w:ind w:left="810"/>
        <w:contextualSpacing/>
      </w:pPr>
      <w:r w:rsidRPr="00C51E6C">
        <w:t xml:space="preserve">Massachusetts Department of Fish and Game </w:t>
      </w:r>
    </w:p>
    <w:p w14:paraId="2F63C1A6" w14:textId="77777777" w:rsidR="00D94DC7" w:rsidRPr="00C51E6C" w:rsidRDefault="00D94DC7" w:rsidP="00D94DC7">
      <w:pPr>
        <w:numPr>
          <w:ilvl w:val="1"/>
          <w:numId w:val="33"/>
        </w:numPr>
        <w:ind w:left="1530"/>
        <w:contextualSpacing/>
      </w:pPr>
      <w:r w:rsidRPr="00C51E6C">
        <w:t xml:space="preserve">Division of Fisheries and Wildlife </w:t>
      </w:r>
    </w:p>
    <w:p w14:paraId="2108CCF5" w14:textId="77777777" w:rsidR="00D94DC7" w:rsidRPr="00C51E6C" w:rsidRDefault="00D94DC7" w:rsidP="00D94DC7">
      <w:pPr>
        <w:numPr>
          <w:ilvl w:val="0"/>
          <w:numId w:val="33"/>
        </w:numPr>
        <w:ind w:left="810"/>
        <w:contextualSpacing/>
      </w:pPr>
      <w:r w:rsidRPr="00C51E6C">
        <w:t xml:space="preserve">Department of Environmental Protection </w:t>
      </w:r>
    </w:p>
    <w:p w14:paraId="69AB89B3" w14:textId="77777777" w:rsidR="00D94DC7" w:rsidRPr="00C51E6C" w:rsidRDefault="00D94DC7" w:rsidP="00D94DC7">
      <w:pPr>
        <w:numPr>
          <w:ilvl w:val="0"/>
          <w:numId w:val="33"/>
        </w:numPr>
        <w:ind w:left="810"/>
        <w:contextualSpacing/>
      </w:pPr>
      <w:r w:rsidRPr="00C51E6C">
        <w:t>Department of Conservation and Recreation</w:t>
      </w:r>
    </w:p>
    <w:p w14:paraId="74CE88CB" w14:textId="77777777" w:rsidR="00D94DC7" w:rsidRPr="00C51E6C" w:rsidRDefault="00D94DC7" w:rsidP="00D94DC7">
      <w:pPr>
        <w:numPr>
          <w:ilvl w:val="0"/>
          <w:numId w:val="33"/>
        </w:numPr>
        <w:ind w:left="810"/>
        <w:contextualSpacing/>
      </w:pPr>
      <w:r w:rsidRPr="00C51E6C">
        <w:t xml:space="preserve">Massachusetts Environmental Police </w:t>
      </w:r>
    </w:p>
    <w:p w14:paraId="3262BBBF" w14:textId="77777777" w:rsidR="00D94DC7" w:rsidRPr="00C51E6C" w:rsidRDefault="00D94DC7" w:rsidP="00D94DC7">
      <w:pPr>
        <w:spacing w:after="0"/>
        <w:ind w:firstLine="360"/>
        <w:rPr>
          <w:i/>
        </w:rPr>
      </w:pPr>
      <w:r w:rsidRPr="00C51E6C">
        <w:rPr>
          <w:i/>
        </w:rPr>
        <w:t>Non-profit</w:t>
      </w:r>
    </w:p>
    <w:p w14:paraId="10C96CBA" w14:textId="77777777" w:rsidR="00D94DC7" w:rsidRPr="00C51E6C" w:rsidRDefault="00D94DC7" w:rsidP="00D94DC7">
      <w:pPr>
        <w:numPr>
          <w:ilvl w:val="0"/>
          <w:numId w:val="33"/>
        </w:numPr>
        <w:spacing w:after="0"/>
        <w:ind w:left="810"/>
        <w:contextualSpacing/>
      </w:pPr>
      <w:r w:rsidRPr="00C51E6C">
        <w:t>Animal Control Officers Association of Massachusetts</w:t>
      </w:r>
    </w:p>
    <w:p w14:paraId="1A5CC2FC" w14:textId="77777777" w:rsidR="00D94DC7" w:rsidRPr="00C51E6C" w:rsidRDefault="00D94DC7" w:rsidP="00D94DC7">
      <w:pPr>
        <w:numPr>
          <w:ilvl w:val="0"/>
          <w:numId w:val="33"/>
        </w:numPr>
        <w:ind w:left="810"/>
        <w:contextualSpacing/>
      </w:pPr>
      <w:r w:rsidRPr="00C51E6C">
        <w:t>Animal Rescue League of Boston</w:t>
      </w:r>
    </w:p>
    <w:p w14:paraId="73B105DA" w14:textId="77777777" w:rsidR="00D94DC7" w:rsidRPr="00C51E6C" w:rsidRDefault="00D94DC7" w:rsidP="00D94DC7">
      <w:pPr>
        <w:numPr>
          <w:ilvl w:val="0"/>
          <w:numId w:val="33"/>
        </w:numPr>
        <w:ind w:left="810"/>
        <w:contextualSpacing/>
      </w:pPr>
      <w:r w:rsidRPr="00C51E6C">
        <w:t>Massachusetts Farm Bureau Federation</w:t>
      </w:r>
    </w:p>
    <w:p w14:paraId="693A60E6" w14:textId="77777777" w:rsidR="00D94DC7" w:rsidRPr="00C51E6C" w:rsidRDefault="00D94DC7" w:rsidP="00D94DC7">
      <w:pPr>
        <w:numPr>
          <w:ilvl w:val="0"/>
          <w:numId w:val="33"/>
        </w:numPr>
        <w:ind w:left="810"/>
        <w:contextualSpacing/>
      </w:pPr>
      <w:r w:rsidRPr="00C51E6C">
        <w:t>Massachusetts Humane Society</w:t>
      </w:r>
    </w:p>
    <w:p w14:paraId="7FA43630" w14:textId="77777777" w:rsidR="00D94DC7" w:rsidRPr="00C51E6C" w:rsidRDefault="00D94DC7" w:rsidP="00D94DC7">
      <w:pPr>
        <w:numPr>
          <w:ilvl w:val="0"/>
          <w:numId w:val="33"/>
        </w:numPr>
        <w:ind w:left="810"/>
        <w:contextualSpacing/>
      </w:pPr>
      <w:r w:rsidRPr="00C51E6C">
        <w:t>Massachusetts Society for the Prevention of Cruelty to Animals (MSPCA)</w:t>
      </w:r>
    </w:p>
    <w:p w14:paraId="59BFB916" w14:textId="77777777" w:rsidR="00D94DC7" w:rsidRPr="00C51E6C" w:rsidRDefault="00D94DC7" w:rsidP="00D94DC7">
      <w:pPr>
        <w:numPr>
          <w:ilvl w:val="0"/>
          <w:numId w:val="33"/>
        </w:numPr>
        <w:ind w:left="810"/>
        <w:contextualSpacing/>
      </w:pPr>
      <w:r w:rsidRPr="00C51E6C">
        <w:t>Massachusetts Veterinary Medical Association</w:t>
      </w:r>
    </w:p>
    <w:p w14:paraId="2B2C5F2E" w14:textId="77777777" w:rsidR="00D94DC7" w:rsidRPr="00C51E6C" w:rsidRDefault="00D94DC7" w:rsidP="00D94DC7">
      <w:pPr>
        <w:numPr>
          <w:ilvl w:val="0"/>
          <w:numId w:val="33"/>
        </w:numPr>
        <w:ind w:left="810"/>
        <w:contextualSpacing/>
      </w:pPr>
      <w:r w:rsidRPr="00C51E6C">
        <w:t>New England Aquarium</w:t>
      </w:r>
    </w:p>
    <w:p w14:paraId="604C278C" w14:textId="77777777" w:rsidR="00D94DC7" w:rsidRPr="00C51E6C" w:rsidRDefault="00D94DC7" w:rsidP="00D94DC7">
      <w:pPr>
        <w:numPr>
          <w:ilvl w:val="0"/>
          <w:numId w:val="33"/>
        </w:numPr>
        <w:ind w:left="810"/>
        <w:contextualSpacing/>
      </w:pPr>
      <w:r w:rsidRPr="00C51E6C">
        <w:t xml:space="preserve">State of Massachusetts Animal Response Team (SMART)  </w:t>
      </w:r>
    </w:p>
    <w:p w14:paraId="64961CC5" w14:textId="77777777" w:rsidR="00D94DC7" w:rsidRPr="00C51E6C" w:rsidRDefault="00D94DC7" w:rsidP="00D94DC7">
      <w:pPr>
        <w:keepNext/>
        <w:keepLines/>
        <w:spacing w:before="200" w:after="0"/>
        <w:ind w:left="3600"/>
        <w:contextualSpacing/>
        <w:jc w:val="both"/>
        <w:outlineLvl w:val="1"/>
        <w:rPr>
          <w:rFonts w:asciiTheme="majorHAnsi" w:eastAsiaTheme="majorEastAsia" w:hAnsiTheme="majorHAnsi" w:cstheme="majorBidi"/>
          <w:b/>
          <w:bCs/>
          <w:color w:val="4F81BD" w:themeColor="accent1"/>
          <w:sz w:val="26"/>
          <w:szCs w:val="26"/>
        </w:rPr>
      </w:pPr>
    </w:p>
    <w:tbl>
      <w:tblPr>
        <w:tblStyle w:val="TableGrid1"/>
        <w:tblW w:w="0" w:type="auto"/>
        <w:tblLayout w:type="fixed"/>
        <w:tblLook w:val="04A0" w:firstRow="1" w:lastRow="0" w:firstColumn="1" w:lastColumn="0" w:noHBand="0" w:noVBand="1"/>
      </w:tblPr>
      <w:tblGrid>
        <w:gridCol w:w="1728"/>
        <w:gridCol w:w="7848"/>
      </w:tblGrid>
      <w:tr w:rsidR="00D94DC7" w:rsidRPr="00C51E6C" w14:paraId="2111A0D9" w14:textId="77777777" w:rsidTr="00D94DC7">
        <w:tc>
          <w:tcPr>
            <w:tcW w:w="1728" w:type="dxa"/>
          </w:tcPr>
          <w:p w14:paraId="6DDA9585" w14:textId="77777777" w:rsidR="00D94DC7" w:rsidRPr="00C51E6C" w:rsidRDefault="00D94DC7" w:rsidP="00D94DC7">
            <w:pPr>
              <w:contextualSpacing/>
              <w:rPr>
                <w:sz w:val="22"/>
                <w:szCs w:val="22"/>
              </w:rPr>
            </w:pPr>
            <w:r w:rsidRPr="00C51E6C">
              <w:rPr>
                <w:sz w:val="22"/>
                <w:szCs w:val="22"/>
              </w:rPr>
              <w:t>Preparation</w:t>
            </w:r>
          </w:p>
        </w:tc>
        <w:tc>
          <w:tcPr>
            <w:tcW w:w="7848" w:type="dxa"/>
          </w:tcPr>
          <w:p w14:paraId="75A6F4FE" w14:textId="77777777" w:rsidR="00D94DC7" w:rsidRPr="00C51E6C" w:rsidRDefault="00D94DC7" w:rsidP="00D94DC7">
            <w:pPr>
              <w:rPr>
                <w:sz w:val="22"/>
                <w:szCs w:val="22"/>
              </w:rPr>
            </w:pPr>
            <w:r w:rsidRPr="00C51E6C">
              <w:rPr>
                <w:sz w:val="22"/>
                <w:szCs w:val="22"/>
              </w:rPr>
              <w:t>N/A</w:t>
            </w:r>
          </w:p>
        </w:tc>
      </w:tr>
      <w:tr w:rsidR="00D94DC7" w:rsidRPr="00C51E6C" w14:paraId="0E2DFFD6" w14:textId="77777777" w:rsidTr="00D94DC7">
        <w:tc>
          <w:tcPr>
            <w:tcW w:w="1728" w:type="dxa"/>
          </w:tcPr>
          <w:p w14:paraId="3C545FF3" w14:textId="77777777" w:rsidR="00D94DC7" w:rsidRPr="00C51E6C" w:rsidRDefault="00D94DC7" w:rsidP="00D94DC7">
            <w:pPr>
              <w:rPr>
                <w:sz w:val="22"/>
                <w:szCs w:val="22"/>
              </w:rPr>
            </w:pPr>
            <w:r w:rsidRPr="00C51E6C">
              <w:rPr>
                <w:sz w:val="22"/>
                <w:szCs w:val="22"/>
              </w:rPr>
              <w:t>Investigation/</w:t>
            </w:r>
          </w:p>
          <w:p w14:paraId="0BF1D32F" w14:textId="77777777" w:rsidR="00D94DC7" w:rsidRPr="00C51E6C" w:rsidRDefault="00D94DC7" w:rsidP="00D94DC7">
            <w:pPr>
              <w:rPr>
                <w:sz w:val="22"/>
                <w:szCs w:val="22"/>
              </w:rPr>
            </w:pPr>
            <w:r w:rsidRPr="00C51E6C">
              <w:rPr>
                <w:sz w:val="22"/>
                <w:szCs w:val="22"/>
              </w:rPr>
              <w:t>Alerting</w:t>
            </w:r>
          </w:p>
        </w:tc>
        <w:tc>
          <w:tcPr>
            <w:tcW w:w="7848" w:type="dxa"/>
          </w:tcPr>
          <w:p w14:paraId="573F66BF" w14:textId="1010B4E6" w:rsidR="00D94DC7" w:rsidRPr="00C51E6C" w:rsidRDefault="00D94DC7" w:rsidP="00D94DC7">
            <w:pPr>
              <w:numPr>
                <w:ilvl w:val="0"/>
                <w:numId w:val="33"/>
              </w:numPr>
              <w:ind w:left="342" w:hanging="180"/>
              <w:contextualSpacing/>
              <w:rPr>
                <w:sz w:val="22"/>
                <w:szCs w:val="22"/>
              </w:rPr>
            </w:pPr>
            <w:r w:rsidRPr="00C51E6C">
              <w:rPr>
                <w:sz w:val="22"/>
                <w:szCs w:val="22"/>
              </w:rPr>
              <w:t xml:space="preserve">The MDPH State Veterinarian may collaborate with the Chief Veterinary Health Officer at MDAR regarding any reports of a disease with zoonotic potential </w:t>
            </w:r>
          </w:p>
          <w:p w14:paraId="3655A1D4" w14:textId="6BF89087" w:rsidR="00D94DC7" w:rsidRPr="00050DCF" w:rsidRDefault="00D94DC7" w:rsidP="00D94DC7">
            <w:pPr>
              <w:pStyle w:val="ListParagraph"/>
              <w:numPr>
                <w:ilvl w:val="0"/>
                <w:numId w:val="33"/>
              </w:numPr>
              <w:ind w:left="342" w:hanging="180"/>
              <w:rPr>
                <w:sz w:val="22"/>
                <w:szCs w:val="22"/>
              </w:rPr>
            </w:pPr>
            <w:r w:rsidRPr="00050DCF">
              <w:rPr>
                <w:sz w:val="22"/>
                <w:szCs w:val="22"/>
              </w:rPr>
              <w:t xml:space="preserve">The Food Protection </w:t>
            </w:r>
            <w:r>
              <w:rPr>
                <w:sz w:val="22"/>
                <w:szCs w:val="22"/>
              </w:rPr>
              <w:t>Division</w:t>
            </w:r>
            <w:r w:rsidRPr="00050DCF">
              <w:rPr>
                <w:sz w:val="22"/>
                <w:szCs w:val="22"/>
              </w:rPr>
              <w:t xml:space="preserve"> within the Bureau for Environmental Health may provide alerts on food safety issues through the HHAN and through the food recall system, which will facilitate rapid notification and transfer of communications with all partners involved in food safety and defense</w:t>
            </w:r>
          </w:p>
        </w:tc>
      </w:tr>
      <w:tr w:rsidR="00D94DC7" w:rsidRPr="00C51E6C" w14:paraId="0ADAB30C" w14:textId="77777777" w:rsidTr="00D94DC7">
        <w:tc>
          <w:tcPr>
            <w:tcW w:w="1728" w:type="dxa"/>
          </w:tcPr>
          <w:p w14:paraId="15BC629A" w14:textId="77777777" w:rsidR="00D94DC7" w:rsidRPr="00C51E6C" w:rsidRDefault="00D94DC7" w:rsidP="00D94DC7">
            <w:pPr>
              <w:rPr>
                <w:sz w:val="22"/>
                <w:szCs w:val="22"/>
              </w:rPr>
            </w:pPr>
            <w:r w:rsidRPr="00C51E6C">
              <w:rPr>
                <w:sz w:val="22"/>
                <w:szCs w:val="22"/>
              </w:rPr>
              <w:t>Recognition</w:t>
            </w:r>
          </w:p>
        </w:tc>
        <w:tc>
          <w:tcPr>
            <w:tcW w:w="7848" w:type="dxa"/>
          </w:tcPr>
          <w:p w14:paraId="771F67B6" w14:textId="77777777" w:rsidR="00D94DC7" w:rsidRPr="00C51E6C" w:rsidRDefault="00D94DC7" w:rsidP="00D94DC7">
            <w:pPr>
              <w:rPr>
                <w:sz w:val="22"/>
                <w:szCs w:val="22"/>
              </w:rPr>
            </w:pPr>
            <w:r w:rsidRPr="00C51E6C">
              <w:rPr>
                <w:sz w:val="22"/>
                <w:szCs w:val="22"/>
              </w:rPr>
              <w:t>N/A</w:t>
            </w:r>
          </w:p>
        </w:tc>
      </w:tr>
      <w:tr w:rsidR="00D94DC7" w:rsidRPr="00C51E6C" w14:paraId="316BF6DE" w14:textId="77777777" w:rsidTr="00D94DC7">
        <w:tc>
          <w:tcPr>
            <w:tcW w:w="1728" w:type="dxa"/>
          </w:tcPr>
          <w:p w14:paraId="0313857E" w14:textId="77777777" w:rsidR="00D94DC7" w:rsidRPr="00C51E6C" w:rsidRDefault="00D94DC7" w:rsidP="00D94DC7">
            <w:pPr>
              <w:rPr>
                <w:sz w:val="22"/>
                <w:szCs w:val="22"/>
              </w:rPr>
            </w:pPr>
            <w:r w:rsidRPr="00C51E6C">
              <w:rPr>
                <w:sz w:val="22"/>
                <w:szCs w:val="22"/>
              </w:rPr>
              <w:t>Initiation</w:t>
            </w:r>
          </w:p>
        </w:tc>
        <w:tc>
          <w:tcPr>
            <w:tcW w:w="7848" w:type="dxa"/>
          </w:tcPr>
          <w:p w14:paraId="1EF4D3BF" w14:textId="77777777" w:rsidR="00D94DC7" w:rsidRPr="00C51E6C" w:rsidRDefault="00D94DC7" w:rsidP="00D94DC7">
            <w:pPr>
              <w:rPr>
                <w:sz w:val="22"/>
                <w:szCs w:val="22"/>
              </w:rPr>
            </w:pPr>
            <w:r w:rsidRPr="00C51E6C">
              <w:rPr>
                <w:sz w:val="22"/>
                <w:szCs w:val="22"/>
              </w:rPr>
              <w:t>N/A</w:t>
            </w:r>
          </w:p>
        </w:tc>
      </w:tr>
      <w:tr w:rsidR="00D94DC7" w:rsidRPr="00C51E6C" w14:paraId="3D9734ED" w14:textId="77777777" w:rsidTr="00D94DC7">
        <w:tc>
          <w:tcPr>
            <w:tcW w:w="1728" w:type="dxa"/>
          </w:tcPr>
          <w:p w14:paraId="15EA8123" w14:textId="77777777" w:rsidR="00D94DC7" w:rsidRPr="00C51E6C" w:rsidRDefault="00D94DC7" w:rsidP="00D94DC7">
            <w:pPr>
              <w:rPr>
                <w:sz w:val="22"/>
                <w:szCs w:val="22"/>
              </w:rPr>
            </w:pPr>
            <w:r w:rsidRPr="00C51E6C">
              <w:rPr>
                <w:sz w:val="22"/>
                <w:szCs w:val="22"/>
              </w:rPr>
              <w:t>Acceleration</w:t>
            </w:r>
          </w:p>
        </w:tc>
        <w:tc>
          <w:tcPr>
            <w:tcW w:w="7848" w:type="dxa"/>
          </w:tcPr>
          <w:p w14:paraId="6068D110" w14:textId="7816831D" w:rsidR="00D94DC7" w:rsidRPr="00C51E6C" w:rsidRDefault="00D94DC7" w:rsidP="00D94DC7">
            <w:pPr>
              <w:numPr>
                <w:ilvl w:val="0"/>
                <w:numId w:val="71"/>
              </w:numPr>
              <w:ind w:left="356" w:hanging="180"/>
              <w:contextualSpacing/>
              <w:rPr>
                <w:sz w:val="22"/>
                <w:szCs w:val="22"/>
              </w:rPr>
            </w:pPr>
            <w:r w:rsidRPr="00C51E6C">
              <w:rPr>
                <w:sz w:val="22"/>
                <w:szCs w:val="22"/>
              </w:rPr>
              <w:t xml:space="preserve">In the event of an infectious disease emergency impacting animals, MDPH may consider providing support and/or technical assistance upon request to the Division of Animal Health as they request countermeasures from the National Veterinary Stockpile and plan for the receipt, processing and distribution of assets  </w:t>
            </w:r>
          </w:p>
          <w:p w14:paraId="3029393E" w14:textId="12B0E387" w:rsidR="00D94DC7" w:rsidRPr="00C51E6C" w:rsidRDefault="00D94DC7" w:rsidP="00D94DC7">
            <w:pPr>
              <w:numPr>
                <w:ilvl w:val="0"/>
                <w:numId w:val="71"/>
              </w:numPr>
              <w:ind w:left="356" w:hanging="180"/>
              <w:contextualSpacing/>
              <w:rPr>
                <w:sz w:val="22"/>
                <w:szCs w:val="22"/>
              </w:rPr>
            </w:pPr>
            <w:r w:rsidRPr="00C51E6C">
              <w:rPr>
                <w:sz w:val="22"/>
                <w:szCs w:val="22"/>
              </w:rPr>
              <w:t>If the emerging disease is zoonotic in nature, MDPH may coordinate with DEP and the Division of Animal Health on waste management options for the disposal of carcasses and related materials, which would be classified as infectious waste</w:t>
            </w:r>
          </w:p>
          <w:p w14:paraId="3885BE9D" w14:textId="27156C6A" w:rsidR="00D94DC7" w:rsidRPr="00C51E6C" w:rsidRDefault="00D94DC7" w:rsidP="00D94DC7">
            <w:pPr>
              <w:numPr>
                <w:ilvl w:val="0"/>
                <w:numId w:val="71"/>
              </w:numPr>
              <w:ind w:left="356" w:hanging="180"/>
              <w:contextualSpacing/>
              <w:rPr>
                <w:sz w:val="22"/>
                <w:szCs w:val="22"/>
              </w:rPr>
            </w:pPr>
            <w:r w:rsidRPr="00C51E6C">
              <w:rPr>
                <w:sz w:val="22"/>
                <w:szCs w:val="22"/>
              </w:rPr>
              <w:t xml:space="preserve">MDPH may consider consulting with DEP on waste management issues related to </w:t>
            </w:r>
            <w:r w:rsidRPr="00C51E6C">
              <w:rPr>
                <w:sz w:val="22"/>
                <w:szCs w:val="22"/>
              </w:rPr>
              <w:lastRenderedPageBreak/>
              <w:t xml:space="preserve">disposal of contaminated or potentially contaminated materials </w:t>
            </w:r>
          </w:p>
          <w:p w14:paraId="7DEE649F" w14:textId="7BECE516" w:rsidR="00D94DC7" w:rsidRPr="00050DCF" w:rsidRDefault="00D94DC7" w:rsidP="00D94DC7">
            <w:pPr>
              <w:pStyle w:val="ListParagraph"/>
              <w:numPr>
                <w:ilvl w:val="0"/>
                <w:numId w:val="71"/>
              </w:numPr>
              <w:ind w:left="342"/>
              <w:rPr>
                <w:sz w:val="22"/>
                <w:szCs w:val="22"/>
              </w:rPr>
            </w:pPr>
            <w:r w:rsidRPr="00050DCF">
              <w:rPr>
                <w:sz w:val="22"/>
                <w:szCs w:val="22"/>
              </w:rPr>
              <w:t>The Massachusetts Environmental Police and or MSP may assist in designating approved routes for shipment of infectious waste materials</w:t>
            </w:r>
          </w:p>
        </w:tc>
      </w:tr>
      <w:tr w:rsidR="00D94DC7" w:rsidRPr="00C51E6C" w14:paraId="60812E80" w14:textId="77777777" w:rsidTr="00D94DC7">
        <w:tc>
          <w:tcPr>
            <w:tcW w:w="1728" w:type="dxa"/>
          </w:tcPr>
          <w:p w14:paraId="6CD64A07" w14:textId="77777777" w:rsidR="00D94DC7" w:rsidRPr="00C51E6C" w:rsidRDefault="00D94DC7" w:rsidP="00D94DC7">
            <w:pPr>
              <w:rPr>
                <w:sz w:val="22"/>
                <w:szCs w:val="22"/>
              </w:rPr>
            </w:pPr>
            <w:r w:rsidRPr="00C51E6C">
              <w:rPr>
                <w:sz w:val="22"/>
                <w:szCs w:val="22"/>
              </w:rPr>
              <w:lastRenderedPageBreak/>
              <w:t>Demobilization</w:t>
            </w:r>
          </w:p>
        </w:tc>
        <w:tc>
          <w:tcPr>
            <w:tcW w:w="7848" w:type="dxa"/>
          </w:tcPr>
          <w:p w14:paraId="73E2D7E4" w14:textId="77777777" w:rsidR="00D94DC7" w:rsidRPr="00C51E6C" w:rsidRDefault="00D94DC7" w:rsidP="00D94DC7">
            <w:pPr>
              <w:contextualSpacing/>
              <w:rPr>
                <w:sz w:val="22"/>
                <w:szCs w:val="22"/>
              </w:rPr>
            </w:pPr>
            <w:r w:rsidRPr="00C51E6C">
              <w:rPr>
                <w:sz w:val="22"/>
                <w:szCs w:val="22"/>
              </w:rPr>
              <w:t>N/A</w:t>
            </w:r>
          </w:p>
        </w:tc>
      </w:tr>
    </w:tbl>
    <w:p w14:paraId="0344E666" w14:textId="77777777" w:rsidR="00194809" w:rsidRDefault="00194809" w:rsidP="00194809">
      <w:pPr>
        <w:pStyle w:val="Heading4"/>
        <w:spacing w:before="0" w:line="240" w:lineRule="auto"/>
        <w:rPr>
          <w:sz w:val="24"/>
          <w:szCs w:val="24"/>
        </w:rPr>
      </w:pPr>
      <w:bookmarkStart w:id="859" w:name="_Toc486492404"/>
      <w:bookmarkStart w:id="860" w:name="_Toc486499900"/>
      <w:bookmarkStart w:id="861" w:name="_Toc486501076"/>
      <w:bookmarkStart w:id="862" w:name="_Toc486516536"/>
      <w:bookmarkStart w:id="863" w:name="_Toc486577791"/>
      <w:bookmarkStart w:id="864" w:name="_Toc486578997"/>
    </w:p>
    <w:p w14:paraId="31A56F5C" w14:textId="77777777" w:rsidR="00D94DC7" w:rsidRPr="00F53AFB" w:rsidRDefault="00D94DC7" w:rsidP="00D94DC7">
      <w:pPr>
        <w:pStyle w:val="Heading4"/>
        <w:rPr>
          <w:sz w:val="24"/>
          <w:szCs w:val="24"/>
        </w:rPr>
      </w:pPr>
      <w:r w:rsidRPr="00F53AFB">
        <w:rPr>
          <w:sz w:val="24"/>
          <w:szCs w:val="24"/>
        </w:rPr>
        <w:t>Business/Industry</w:t>
      </w:r>
      <w:bookmarkEnd w:id="859"/>
      <w:bookmarkEnd w:id="860"/>
      <w:bookmarkEnd w:id="861"/>
      <w:bookmarkEnd w:id="862"/>
      <w:bookmarkEnd w:id="863"/>
      <w:bookmarkEnd w:id="864"/>
    </w:p>
    <w:p w14:paraId="32ADE3FB" w14:textId="77777777" w:rsidR="00D94DC7" w:rsidRPr="00C51E6C" w:rsidRDefault="00D94DC7" w:rsidP="00D94DC7">
      <w:pPr>
        <w:spacing w:after="0"/>
        <w:ind w:firstLine="360"/>
        <w:rPr>
          <w:i/>
        </w:rPr>
      </w:pPr>
      <w:r w:rsidRPr="00C51E6C">
        <w:rPr>
          <w:i/>
        </w:rPr>
        <w:t>Public</w:t>
      </w:r>
    </w:p>
    <w:p w14:paraId="540FD991" w14:textId="77777777" w:rsidR="00D94DC7" w:rsidRPr="00C51E6C" w:rsidRDefault="00D94DC7" w:rsidP="00D94DC7">
      <w:pPr>
        <w:numPr>
          <w:ilvl w:val="0"/>
          <w:numId w:val="37"/>
        </w:numPr>
        <w:ind w:left="810"/>
        <w:contextualSpacing/>
      </w:pPr>
      <w:r w:rsidRPr="00C51E6C">
        <w:t>Secretary, Labor and Workforce Development</w:t>
      </w:r>
    </w:p>
    <w:p w14:paraId="7F1A7127" w14:textId="77777777" w:rsidR="00D94DC7" w:rsidRPr="00C51E6C" w:rsidRDefault="00D94DC7" w:rsidP="00D94DC7">
      <w:pPr>
        <w:numPr>
          <w:ilvl w:val="0"/>
          <w:numId w:val="37"/>
        </w:numPr>
        <w:spacing w:after="0"/>
        <w:ind w:left="810"/>
        <w:contextualSpacing/>
      </w:pPr>
      <w:r w:rsidRPr="00C51E6C">
        <w:t>Massachusetts Department of Workforce Development</w:t>
      </w:r>
    </w:p>
    <w:p w14:paraId="3473F16F" w14:textId="77777777" w:rsidR="00D94DC7" w:rsidRPr="00C51E6C" w:rsidRDefault="00D94DC7" w:rsidP="00D94DC7">
      <w:pPr>
        <w:spacing w:after="0"/>
        <w:ind w:firstLine="360"/>
        <w:rPr>
          <w:i/>
        </w:rPr>
      </w:pPr>
      <w:r w:rsidRPr="00C51E6C">
        <w:rPr>
          <w:i/>
        </w:rPr>
        <w:t>Private</w:t>
      </w:r>
    </w:p>
    <w:p w14:paraId="5F020A5C" w14:textId="77777777" w:rsidR="00D94DC7" w:rsidRPr="00C51E6C" w:rsidRDefault="00D94DC7" w:rsidP="00D94DC7">
      <w:pPr>
        <w:numPr>
          <w:ilvl w:val="0"/>
          <w:numId w:val="38"/>
        </w:numPr>
        <w:spacing w:after="0"/>
        <w:ind w:left="810"/>
        <w:contextualSpacing/>
      </w:pPr>
      <w:proofErr w:type="spellStart"/>
      <w:r w:rsidRPr="00C51E6C">
        <w:t>NorthEast</w:t>
      </w:r>
      <w:proofErr w:type="spellEnd"/>
      <w:r w:rsidRPr="00C51E6C">
        <w:t xml:space="preserve"> Disaster Recovery Information X-change (NEDRIX)</w:t>
      </w:r>
    </w:p>
    <w:p w14:paraId="6C545FDC" w14:textId="77777777" w:rsidR="00D94DC7" w:rsidRPr="00C51E6C" w:rsidRDefault="00D94DC7" w:rsidP="00D94DC7">
      <w:pPr>
        <w:numPr>
          <w:ilvl w:val="0"/>
          <w:numId w:val="38"/>
        </w:numPr>
        <w:spacing w:after="0"/>
        <w:ind w:left="810"/>
        <w:contextualSpacing/>
      </w:pPr>
      <w:r w:rsidRPr="00C51E6C">
        <w:t>Chambers of Commerce</w:t>
      </w:r>
    </w:p>
    <w:p w14:paraId="7BEE5F19" w14:textId="77777777" w:rsidR="00D94DC7" w:rsidRPr="00C51E6C" w:rsidRDefault="00D94DC7" w:rsidP="00D94DC7">
      <w:pPr>
        <w:keepNext/>
        <w:keepLines/>
        <w:spacing w:before="200" w:after="0"/>
        <w:ind w:left="720"/>
        <w:contextualSpacing/>
        <w:jc w:val="both"/>
        <w:outlineLvl w:val="1"/>
        <w:rPr>
          <w:rFonts w:asciiTheme="majorHAnsi" w:eastAsiaTheme="majorEastAsia" w:hAnsiTheme="majorHAnsi" w:cstheme="majorBidi"/>
          <w:b/>
          <w:bCs/>
          <w:color w:val="4F81BD" w:themeColor="accent1"/>
          <w:sz w:val="26"/>
          <w:szCs w:val="26"/>
        </w:rPr>
      </w:pPr>
    </w:p>
    <w:tbl>
      <w:tblPr>
        <w:tblStyle w:val="TableGrid1"/>
        <w:tblW w:w="0" w:type="auto"/>
        <w:tblLayout w:type="fixed"/>
        <w:tblLook w:val="04A0" w:firstRow="1" w:lastRow="0" w:firstColumn="1" w:lastColumn="0" w:noHBand="0" w:noVBand="1"/>
      </w:tblPr>
      <w:tblGrid>
        <w:gridCol w:w="1728"/>
        <w:gridCol w:w="7848"/>
      </w:tblGrid>
      <w:tr w:rsidR="00D94DC7" w:rsidRPr="00C51E6C" w14:paraId="2A32C128" w14:textId="77777777" w:rsidTr="00D94DC7">
        <w:tc>
          <w:tcPr>
            <w:tcW w:w="1728" w:type="dxa"/>
          </w:tcPr>
          <w:p w14:paraId="02C33CBE" w14:textId="77777777" w:rsidR="00D94DC7" w:rsidRPr="00C51E6C" w:rsidRDefault="00D94DC7" w:rsidP="00D94DC7">
            <w:pPr>
              <w:contextualSpacing/>
              <w:rPr>
                <w:sz w:val="22"/>
                <w:szCs w:val="22"/>
              </w:rPr>
            </w:pPr>
            <w:r w:rsidRPr="00C51E6C">
              <w:rPr>
                <w:sz w:val="22"/>
                <w:szCs w:val="22"/>
              </w:rPr>
              <w:t>Preparation</w:t>
            </w:r>
          </w:p>
        </w:tc>
        <w:tc>
          <w:tcPr>
            <w:tcW w:w="7848" w:type="dxa"/>
          </w:tcPr>
          <w:p w14:paraId="16FE05D7" w14:textId="4A1D813E" w:rsidR="00D94DC7" w:rsidRPr="00050DCF" w:rsidRDefault="00D94DC7" w:rsidP="00D94DC7">
            <w:pPr>
              <w:pStyle w:val="ListParagraph"/>
              <w:numPr>
                <w:ilvl w:val="0"/>
                <w:numId w:val="86"/>
              </w:numPr>
              <w:ind w:left="342" w:hanging="180"/>
              <w:rPr>
                <w:sz w:val="22"/>
                <w:szCs w:val="22"/>
              </w:rPr>
            </w:pPr>
            <w:r w:rsidRPr="00050DCF">
              <w:rPr>
                <w:sz w:val="22"/>
                <w:szCs w:val="22"/>
              </w:rPr>
              <w:t>MDPH may consider providing guidance to local public health departments on how to partner with selected local businesses to establish closed emergency dispensing sites in order for businesses to provide post-exposure prophylaxis when needed in an infectious disease emergency for their employees and families</w:t>
            </w:r>
          </w:p>
        </w:tc>
      </w:tr>
      <w:tr w:rsidR="00D94DC7" w:rsidRPr="00C51E6C" w14:paraId="5B9A96F8" w14:textId="77777777" w:rsidTr="00D94DC7">
        <w:tc>
          <w:tcPr>
            <w:tcW w:w="1728" w:type="dxa"/>
          </w:tcPr>
          <w:p w14:paraId="7828E0E9" w14:textId="77777777" w:rsidR="00D94DC7" w:rsidRPr="00C51E6C" w:rsidRDefault="00D94DC7" w:rsidP="00D94DC7">
            <w:pPr>
              <w:rPr>
                <w:sz w:val="22"/>
                <w:szCs w:val="22"/>
              </w:rPr>
            </w:pPr>
            <w:r w:rsidRPr="00C51E6C">
              <w:rPr>
                <w:sz w:val="22"/>
                <w:szCs w:val="22"/>
              </w:rPr>
              <w:t>Investigation/</w:t>
            </w:r>
          </w:p>
          <w:p w14:paraId="5349527D" w14:textId="77777777" w:rsidR="00D94DC7" w:rsidRPr="00C51E6C" w:rsidRDefault="00D94DC7" w:rsidP="00D94DC7">
            <w:pPr>
              <w:rPr>
                <w:sz w:val="22"/>
                <w:szCs w:val="22"/>
              </w:rPr>
            </w:pPr>
            <w:r w:rsidRPr="00C51E6C">
              <w:rPr>
                <w:sz w:val="22"/>
                <w:szCs w:val="22"/>
              </w:rPr>
              <w:t>Alerting</w:t>
            </w:r>
          </w:p>
        </w:tc>
        <w:tc>
          <w:tcPr>
            <w:tcW w:w="7848" w:type="dxa"/>
          </w:tcPr>
          <w:p w14:paraId="3EEE6B63" w14:textId="77777777" w:rsidR="00D94DC7" w:rsidRPr="00C51E6C" w:rsidRDefault="00D94DC7" w:rsidP="00D94DC7">
            <w:pPr>
              <w:rPr>
                <w:sz w:val="22"/>
                <w:szCs w:val="22"/>
              </w:rPr>
            </w:pPr>
            <w:r w:rsidRPr="00C51E6C">
              <w:rPr>
                <w:sz w:val="22"/>
                <w:szCs w:val="22"/>
              </w:rPr>
              <w:t>N/A</w:t>
            </w:r>
          </w:p>
        </w:tc>
      </w:tr>
      <w:tr w:rsidR="00D94DC7" w:rsidRPr="00C51E6C" w14:paraId="230B1BBA" w14:textId="77777777" w:rsidTr="00D94DC7">
        <w:tc>
          <w:tcPr>
            <w:tcW w:w="1728" w:type="dxa"/>
          </w:tcPr>
          <w:p w14:paraId="549E9869" w14:textId="77777777" w:rsidR="00D94DC7" w:rsidRPr="00C51E6C" w:rsidRDefault="00D94DC7" w:rsidP="00D94DC7">
            <w:pPr>
              <w:rPr>
                <w:sz w:val="22"/>
                <w:szCs w:val="22"/>
              </w:rPr>
            </w:pPr>
            <w:r w:rsidRPr="00C51E6C">
              <w:rPr>
                <w:sz w:val="22"/>
                <w:szCs w:val="22"/>
              </w:rPr>
              <w:t>Recognition</w:t>
            </w:r>
          </w:p>
        </w:tc>
        <w:tc>
          <w:tcPr>
            <w:tcW w:w="7848" w:type="dxa"/>
          </w:tcPr>
          <w:p w14:paraId="6349D8B2" w14:textId="77777777" w:rsidR="00D94DC7" w:rsidRPr="00C51E6C" w:rsidRDefault="00D94DC7" w:rsidP="00D94DC7">
            <w:pPr>
              <w:rPr>
                <w:sz w:val="22"/>
                <w:szCs w:val="22"/>
              </w:rPr>
            </w:pPr>
            <w:r w:rsidRPr="00C51E6C">
              <w:rPr>
                <w:sz w:val="22"/>
                <w:szCs w:val="22"/>
              </w:rPr>
              <w:t>N/A</w:t>
            </w:r>
          </w:p>
        </w:tc>
      </w:tr>
      <w:tr w:rsidR="00D94DC7" w:rsidRPr="00C51E6C" w14:paraId="6A5EF6CA" w14:textId="77777777" w:rsidTr="00D94DC7">
        <w:tc>
          <w:tcPr>
            <w:tcW w:w="1728" w:type="dxa"/>
          </w:tcPr>
          <w:p w14:paraId="7C337A18" w14:textId="77777777" w:rsidR="00D94DC7" w:rsidRPr="00C51E6C" w:rsidRDefault="00D94DC7" w:rsidP="00D94DC7">
            <w:pPr>
              <w:rPr>
                <w:sz w:val="22"/>
                <w:szCs w:val="22"/>
              </w:rPr>
            </w:pPr>
            <w:r w:rsidRPr="00C51E6C">
              <w:rPr>
                <w:sz w:val="22"/>
                <w:szCs w:val="22"/>
              </w:rPr>
              <w:t>Initiation</w:t>
            </w:r>
          </w:p>
        </w:tc>
        <w:tc>
          <w:tcPr>
            <w:tcW w:w="7848" w:type="dxa"/>
          </w:tcPr>
          <w:p w14:paraId="5DDFEE84" w14:textId="7194F918" w:rsidR="00D94DC7" w:rsidRPr="00C51E6C" w:rsidRDefault="00D94DC7" w:rsidP="00D94DC7">
            <w:pPr>
              <w:numPr>
                <w:ilvl w:val="0"/>
                <w:numId w:val="63"/>
              </w:numPr>
              <w:ind w:left="356" w:hanging="180"/>
              <w:contextualSpacing/>
              <w:rPr>
                <w:sz w:val="22"/>
                <w:szCs w:val="22"/>
              </w:rPr>
            </w:pPr>
            <w:r w:rsidRPr="00C51E6C">
              <w:rPr>
                <w:sz w:val="22"/>
                <w:szCs w:val="22"/>
              </w:rPr>
              <w:t>MDPH may consider providing guidance as needed to local public health departments with closed EDS agreements with private sector organizations, as requested</w:t>
            </w:r>
          </w:p>
          <w:p w14:paraId="72CE2B45" w14:textId="0E5A3F00" w:rsidR="00D94DC7" w:rsidRPr="00050DCF" w:rsidRDefault="00D94DC7" w:rsidP="00D94DC7">
            <w:pPr>
              <w:pStyle w:val="ListParagraph"/>
              <w:numPr>
                <w:ilvl w:val="0"/>
                <w:numId w:val="63"/>
              </w:numPr>
              <w:ind w:left="342" w:hanging="180"/>
              <w:rPr>
                <w:sz w:val="22"/>
                <w:szCs w:val="22"/>
              </w:rPr>
            </w:pPr>
            <w:r w:rsidRPr="00050DCF">
              <w:rPr>
                <w:sz w:val="22"/>
                <w:szCs w:val="22"/>
              </w:rPr>
              <w:t>MDPH may consider collaborating with MEMA to offer planning resources to private sector partners regarding continuity of operations if the infectious disease emergency is anticipated to be a prolonged event</w:t>
            </w:r>
          </w:p>
        </w:tc>
      </w:tr>
      <w:tr w:rsidR="00D94DC7" w:rsidRPr="00C51E6C" w14:paraId="6863245D" w14:textId="77777777" w:rsidTr="00D94DC7">
        <w:tc>
          <w:tcPr>
            <w:tcW w:w="1728" w:type="dxa"/>
          </w:tcPr>
          <w:p w14:paraId="582EA5D5" w14:textId="77777777" w:rsidR="00D94DC7" w:rsidRPr="00C51E6C" w:rsidRDefault="00D94DC7" w:rsidP="00D94DC7">
            <w:pPr>
              <w:rPr>
                <w:sz w:val="22"/>
                <w:szCs w:val="22"/>
              </w:rPr>
            </w:pPr>
            <w:r w:rsidRPr="00C51E6C">
              <w:rPr>
                <w:sz w:val="22"/>
                <w:szCs w:val="22"/>
              </w:rPr>
              <w:t>Acceleration</w:t>
            </w:r>
          </w:p>
        </w:tc>
        <w:tc>
          <w:tcPr>
            <w:tcW w:w="7848" w:type="dxa"/>
          </w:tcPr>
          <w:p w14:paraId="109CBF4A" w14:textId="372F9787" w:rsidR="00D94DC7" w:rsidRPr="00050DCF" w:rsidRDefault="00D94DC7" w:rsidP="00D94DC7">
            <w:pPr>
              <w:pStyle w:val="ListParagraph"/>
              <w:numPr>
                <w:ilvl w:val="0"/>
                <w:numId w:val="87"/>
              </w:numPr>
              <w:ind w:left="342" w:hanging="180"/>
              <w:rPr>
                <w:sz w:val="22"/>
                <w:szCs w:val="22"/>
              </w:rPr>
            </w:pPr>
            <w:r w:rsidRPr="00050DCF">
              <w:rPr>
                <w:sz w:val="22"/>
                <w:szCs w:val="22"/>
              </w:rPr>
              <w:t>MDPH will provide recommendations to business sector representatives related to whether social distancing measures are indicated in the workplace</w:t>
            </w:r>
          </w:p>
        </w:tc>
      </w:tr>
      <w:tr w:rsidR="00D94DC7" w:rsidRPr="00C51E6C" w14:paraId="029B6612" w14:textId="77777777" w:rsidTr="00D94DC7">
        <w:tc>
          <w:tcPr>
            <w:tcW w:w="1728" w:type="dxa"/>
          </w:tcPr>
          <w:p w14:paraId="3E77039D" w14:textId="77777777" w:rsidR="00D94DC7" w:rsidRPr="00C51E6C" w:rsidRDefault="00D94DC7" w:rsidP="00D94DC7">
            <w:pPr>
              <w:rPr>
                <w:sz w:val="22"/>
                <w:szCs w:val="22"/>
              </w:rPr>
            </w:pPr>
            <w:r w:rsidRPr="00C51E6C">
              <w:rPr>
                <w:sz w:val="22"/>
                <w:szCs w:val="22"/>
              </w:rPr>
              <w:t>Demobilization</w:t>
            </w:r>
          </w:p>
        </w:tc>
        <w:tc>
          <w:tcPr>
            <w:tcW w:w="7848" w:type="dxa"/>
          </w:tcPr>
          <w:p w14:paraId="76D2733A" w14:textId="77777777" w:rsidR="00D94DC7" w:rsidRPr="00C51E6C" w:rsidRDefault="00D94DC7" w:rsidP="00D94DC7">
            <w:pPr>
              <w:contextualSpacing/>
              <w:rPr>
                <w:sz w:val="22"/>
                <w:szCs w:val="22"/>
              </w:rPr>
            </w:pPr>
            <w:r w:rsidRPr="00C51E6C">
              <w:rPr>
                <w:sz w:val="22"/>
                <w:szCs w:val="22"/>
              </w:rPr>
              <w:t>N/A</w:t>
            </w:r>
          </w:p>
        </w:tc>
      </w:tr>
    </w:tbl>
    <w:p w14:paraId="1EA76688" w14:textId="77777777" w:rsidR="00D94DC7" w:rsidRPr="00C51E6C" w:rsidRDefault="00D94DC7" w:rsidP="00D94DC7"/>
    <w:p w14:paraId="17152669" w14:textId="77777777" w:rsidR="00D94DC7" w:rsidRPr="00F53AFB" w:rsidRDefault="00D94DC7" w:rsidP="00D94DC7">
      <w:pPr>
        <w:pStyle w:val="Heading4"/>
        <w:rPr>
          <w:sz w:val="24"/>
          <w:szCs w:val="24"/>
        </w:rPr>
      </w:pPr>
      <w:bookmarkStart w:id="865" w:name="_Toc486492405"/>
      <w:bookmarkStart w:id="866" w:name="_Toc486499901"/>
      <w:bookmarkStart w:id="867" w:name="_Toc486501077"/>
      <w:bookmarkStart w:id="868" w:name="_Toc486516537"/>
      <w:bookmarkStart w:id="869" w:name="_Toc486577792"/>
      <w:bookmarkStart w:id="870" w:name="_Toc486578998"/>
      <w:r w:rsidRPr="00F53AFB">
        <w:rPr>
          <w:sz w:val="24"/>
          <w:szCs w:val="24"/>
        </w:rPr>
        <w:t>Education</w:t>
      </w:r>
      <w:bookmarkEnd w:id="865"/>
      <w:bookmarkEnd w:id="866"/>
      <w:bookmarkEnd w:id="867"/>
      <w:bookmarkEnd w:id="868"/>
      <w:bookmarkEnd w:id="869"/>
      <w:bookmarkEnd w:id="870"/>
    </w:p>
    <w:p w14:paraId="216F3AB3" w14:textId="77777777" w:rsidR="00D94DC7" w:rsidRPr="00C51E6C" w:rsidRDefault="00D94DC7" w:rsidP="00D94DC7">
      <w:pPr>
        <w:spacing w:after="0"/>
        <w:ind w:firstLine="360"/>
        <w:rPr>
          <w:i/>
        </w:rPr>
      </w:pPr>
      <w:r w:rsidRPr="00C51E6C">
        <w:rPr>
          <w:i/>
        </w:rPr>
        <w:t>Public</w:t>
      </w:r>
    </w:p>
    <w:p w14:paraId="432BB37A" w14:textId="77777777" w:rsidR="00D94DC7" w:rsidRPr="00C51E6C" w:rsidRDefault="00D94DC7" w:rsidP="00D94DC7">
      <w:pPr>
        <w:numPr>
          <w:ilvl w:val="0"/>
          <w:numId w:val="39"/>
        </w:numPr>
        <w:spacing w:after="0"/>
        <w:ind w:left="810"/>
        <w:contextualSpacing/>
      </w:pPr>
      <w:r w:rsidRPr="00C51E6C">
        <w:t>Secretary of Education</w:t>
      </w:r>
    </w:p>
    <w:p w14:paraId="7E912FF9" w14:textId="77777777" w:rsidR="00D94DC7" w:rsidRPr="00C51E6C" w:rsidRDefault="00D94DC7" w:rsidP="00D94DC7">
      <w:pPr>
        <w:numPr>
          <w:ilvl w:val="0"/>
          <w:numId w:val="39"/>
        </w:numPr>
        <w:spacing w:after="0"/>
        <w:ind w:left="810"/>
        <w:contextualSpacing/>
      </w:pPr>
      <w:r w:rsidRPr="00C51E6C">
        <w:t>Massachusetts Department of Early Education and Care (EEC)</w:t>
      </w:r>
    </w:p>
    <w:p w14:paraId="22EA6FCD" w14:textId="77777777" w:rsidR="00D94DC7" w:rsidRPr="00C51E6C" w:rsidRDefault="00D94DC7" w:rsidP="00D94DC7">
      <w:pPr>
        <w:numPr>
          <w:ilvl w:val="0"/>
          <w:numId w:val="39"/>
        </w:numPr>
        <w:spacing w:after="0"/>
        <w:ind w:left="810"/>
        <w:contextualSpacing/>
      </w:pPr>
      <w:r w:rsidRPr="00C51E6C">
        <w:t>Massachusetts Department of Elementary and Secondary Education (DESE)</w:t>
      </w:r>
    </w:p>
    <w:p w14:paraId="16CFC731" w14:textId="77777777" w:rsidR="00D94DC7" w:rsidRPr="00C51E6C" w:rsidRDefault="00D94DC7" w:rsidP="00D94DC7">
      <w:pPr>
        <w:numPr>
          <w:ilvl w:val="0"/>
          <w:numId w:val="39"/>
        </w:numPr>
        <w:spacing w:after="0"/>
        <w:ind w:left="810"/>
        <w:contextualSpacing/>
      </w:pPr>
      <w:r w:rsidRPr="00C51E6C">
        <w:t>Massachusetts Department of Higher Education</w:t>
      </w:r>
    </w:p>
    <w:p w14:paraId="3C1973B9" w14:textId="77777777" w:rsidR="00D94DC7" w:rsidRPr="00C51E6C" w:rsidRDefault="00D94DC7" w:rsidP="00D94DC7">
      <w:pPr>
        <w:numPr>
          <w:ilvl w:val="0"/>
          <w:numId w:val="39"/>
        </w:numPr>
        <w:spacing w:after="0"/>
        <w:ind w:left="810"/>
        <w:contextualSpacing/>
      </w:pPr>
      <w:r w:rsidRPr="00C51E6C">
        <w:t>University of Massachusetts system</w:t>
      </w:r>
    </w:p>
    <w:p w14:paraId="377960A4" w14:textId="77777777" w:rsidR="00D94DC7" w:rsidRPr="00C51E6C" w:rsidRDefault="00D94DC7" w:rsidP="00D94DC7">
      <w:pPr>
        <w:spacing w:after="0"/>
        <w:ind w:firstLine="360"/>
        <w:rPr>
          <w:i/>
        </w:rPr>
      </w:pPr>
      <w:r w:rsidRPr="00C51E6C">
        <w:rPr>
          <w:i/>
        </w:rPr>
        <w:t>Non-profit</w:t>
      </w:r>
    </w:p>
    <w:p w14:paraId="467D44A7" w14:textId="77777777" w:rsidR="00D94DC7" w:rsidRPr="00C51E6C" w:rsidRDefault="00D94DC7" w:rsidP="00D94DC7">
      <w:pPr>
        <w:numPr>
          <w:ilvl w:val="0"/>
          <w:numId w:val="75"/>
        </w:numPr>
        <w:spacing w:after="0"/>
        <w:ind w:left="810"/>
        <w:contextualSpacing/>
      </w:pPr>
      <w:r w:rsidRPr="00C51E6C">
        <w:t>Massachusetts Association of School Superintendents</w:t>
      </w:r>
    </w:p>
    <w:p w14:paraId="4EBF82AC" w14:textId="77777777" w:rsidR="00D94DC7" w:rsidRPr="00C51E6C" w:rsidRDefault="00D94DC7" w:rsidP="00D94DC7">
      <w:pPr>
        <w:spacing w:after="0"/>
        <w:ind w:firstLine="360"/>
        <w:rPr>
          <w:i/>
        </w:rPr>
      </w:pPr>
      <w:r w:rsidRPr="00C51E6C">
        <w:rPr>
          <w:i/>
        </w:rPr>
        <w:t>Private</w:t>
      </w:r>
    </w:p>
    <w:p w14:paraId="2404EFAE" w14:textId="77777777" w:rsidR="00D94DC7" w:rsidRPr="00C51E6C" w:rsidRDefault="00D94DC7" w:rsidP="00D94DC7">
      <w:pPr>
        <w:numPr>
          <w:ilvl w:val="0"/>
          <w:numId w:val="39"/>
        </w:numPr>
        <w:ind w:left="810"/>
        <w:contextualSpacing/>
      </w:pPr>
      <w:r w:rsidRPr="00C51E6C">
        <w:t xml:space="preserve">Residential schools, including colleges and universities </w:t>
      </w:r>
    </w:p>
    <w:p w14:paraId="6C6BAEF7" w14:textId="77777777" w:rsidR="00D94DC7" w:rsidRPr="00C51E6C" w:rsidRDefault="00D94DC7" w:rsidP="00D94DC7">
      <w:pPr>
        <w:numPr>
          <w:ilvl w:val="0"/>
          <w:numId w:val="39"/>
        </w:numPr>
        <w:ind w:left="810"/>
        <w:contextualSpacing/>
      </w:pPr>
      <w:r w:rsidRPr="00C51E6C">
        <w:t>Independent School League</w:t>
      </w:r>
    </w:p>
    <w:p w14:paraId="7A2421E1" w14:textId="77777777" w:rsidR="00D94DC7" w:rsidRPr="00C51E6C" w:rsidRDefault="00D94DC7" w:rsidP="00D94DC7">
      <w:pPr>
        <w:numPr>
          <w:ilvl w:val="0"/>
          <w:numId w:val="39"/>
        </w:numPr>
        <w:ind w:left="810"/>
        <w:contextualSpacing/>
      </w:pPr>
      <w:r w:rsidRPr="00C51E6C">
        <w:t>Religious elementary and secondary education schools</w:t>
      </w:r>
    </w:p>
    <w:p w14:paraId="5734A102" w14:textId="77777777" w:rsidR="00D94DC7" w:rsidRPr="00C51E6C" w:rsidRDefault="00D94DC7" w:rsidP="00D94DC7">
      <w:pPr>
        <w:numPr>
          <w:ilvl w:val="0"/>
          <w:numId w:val="39"/>
        </w:numPr>
        <w:ind w:left="810"/>
        <w:contextualSpacing/>
      </w:pPr>
      <w:r w:rsidRPr="00C51E6C">
        <w:t>Child day care facilities</w:t>
      </w:r>
    </w:p>
    <w:p w14:paraId="1911B5B3" w14:textId="77777777" w:rsidR="00D94DC7" w:rsidRPr="00C51E6C" w:rsidRDefault="00D94DC7" w:rsidP="00D94DC7">
      <w:pPr>
        <w:ind w:left="720"/>
        <w:contextualSpacing/>
      </w:pPr>
    </w:p>
    <w:tbl>
      <w:tblPr>
        <w:tblStyle w:val="TableGrid1"/>
        <w:tblW w:w="0" w:type="auto"/>
        <w:tblLayout w:type="fixed"/>
        <w:tblLook w:val="04A0" w:firstRow="1" w:lastRow="0" w:firstColumn="1" w:lastColumn="0" w:noHBand="0" w:noVBand="1"/>
      </w:tblPr>
      <w:tblGrid>
        <w:gridCol w:w="1728"/>
        <w:gridCol w:w="7848"/>
      </w:tblGrid>
      <w:tr w:rsidR="00D94DC7" w:rsidRPr="00C51E6C" w14:paraId="75081D99" w14:textId="77777777" w:rsidTr="00D94DC7">
        <w:tc>
          <w:tcPr>
            <w:tcW w:w="1728" w:type="dxa"/>
          </w:tcPr>
          <w:p w14:paraId="5774640D" w14:textId="77777777" w:rsidR="00D94DC7" w:rsidRPr="00C51E6C" w:rsidRDefault="00D94DC7" w:rsidP="00D94DC7">
            <w:pPr>
              <w:contextualSpacing/>
              <w:rPr>
                <w:sz w:val="22"/>
                <w:szCs w:val="22"/>
              </w:rPr>
            </w:pPr>
            <w:r w:rsidRPr="00C51E6C">
              <w:rPr>
                <w:sz w:val="22"/>
                <w:szCs w:val="22"/>
              </w:rPr>
              <w:t>Preparation</w:t>
            </w:r>
          </w:p>
        </w:tc>
        <w:tc>
          <w:tcPr>
            <w:tcW w:w="7848" w:type="dxa"/>
          </w:tcPr>
          <w:p w14:paraId="272F2044" w14:textId="37D4D62F" w:rsidR="00D94DC7" w:rsidRPr="00C51E6C" w:rsidRDefault="00D94DC7" w:rsidP="00D94DC7">
            <w:pPr>
              <w:numPr>
                <w:ilvl w:val="0"/>
                <w:numId w:val="13"/>
              </w:numPr>
              <w:ind w:left="342" w:hanging="180"/>
              <w:contextualSpacing/>
              <w:rPr>
                <w:sz w:val="22"/>
                <w:szCs w:val="22"/>
              </w:rPr>
            </w:pPr>
            <w:r>
              <w:rPr>
                <w:sz w:val="22"/>
                <w:szCs w:val="22"/>
              </w:rPr>
              <w:t>The Immunization Division</w:t>
            </w:r>
            <w:r w:rsidRPr="00C51E6C">
              <w:rPr>
                <w:sz w:val="22"/>
                <w:szCs w:val="22"/>
              </w:rPr>
              <w:t xml:space="preserve"> will support school nurses as they monitor immunization requirements and will provide technical assistance as needed </w:t>
            </w:r>
          </w:p>
          <w:p w14:paraId="55F58680" w14:textId="7B298F21" w:rsidR="00D94DC7" w:rsidRPr="00C51E6C" w:rsidRDefault="00D94DC7" w:rsidP="00D94DC7">
            <w:pPr>
              <w:numPr>
                <w:ilvl w:val="0"/>
                <w:numId w:val="13"/>
              </w:numPr>
              <w:ind w:left="342" w:hanging="180"/>
              <w:contextualSpacing/>
              <w:rPr>
                <w:sz w:val="22"/>
                <w:szCs w:val="22"/>
              </w:rPr>
            </w:pPr>
            <w:r w:rsidRPr="00C51E6C">
              <w:rPr>
                <w:sz w:val="22"/>
                <w:szCs w:val="22"/>
              </w:rPr>
              <w:t xml:space="preserve">MDPH will communicate with school nurses and/or school leaders who may become concerned with unusually high levels of absenteeism due to illnesses and may seek guidance from the Director of School Health, who may then refer them to the </w:t>
            </w:r>
            <w:r w:rsidR="00971D52">
              <w:rPr>
                <w:sz w:val="22"/>
                <w:szCs w:val="22"/>
              </w:rPr>
              <w:t xml:space="preserve">Division of </w:t>
            </w:r>
            <w:r w:rsidR="0063626F">
              <w:rPr>
                <w:sz w:val="22"/>
                <w:szCs w:val="22"/>
              </w:rPr>
              <w:t xml:space="preserve">Epidemiology </w:t>
            </w:r>
            <w:r w:rsidR="0063626F" w:rsidRPr="00C51E6C">
              <w:rPr>
                <w:sz w:val="22"/>
                <w:szCs w:val="22"/>
              </w:rPr>
              <w:t>depending</w:t>
            </w:r>
            <w:r w:rsidRPr="00C51E6C">
              <w:rPr>
                <w:sz w:val="22"/>
                <w:szCs w:val="22"/>
              </w:rPr>
              <w:t xml:space="preserve"> on the situation</w:t>
            </w:r>
          </w:p>
          <w:p w14:paraId="4735C660" w14:textId="0464DED3" w:rsidR="00D94DC7" w:rsidRPr="00050DCF" w:rsidRDefault="00D94DC7" w:rsidP="00D94DC7">
            <w:pPr>
              <w:pStyle w:val="ListParagraph"/>
              <w:numPr>
                <w:ilvl w:val="0"/>
                <w:numId w:val="13"/>
              </w:numPr>
              <w:ind w:left="342" w:hanging="180"/>
              <w:rPr>
                <w:sz w:val="22"/>
                <w:szCs w:val="22"/>
              </w:rPr>
            </w:pPr>
            <w:r w:rsidRPr="00050DCF">
              <w:rPr>
                <w:sz w:val="22"/>
                <w:szCs w:val="22"/>
              </w:rPr>
              <w:t>The Director of School Health may encourage schools to ensure that safety plans address the continuation of essential school services during times of high absenteeism; communication with staff and students after school hours, and communication with the media</w:t>
            </w:r>
          </w:p>
        </w:tc>
      </w:tr>
      <w:tr w:rsidR="00D94DC7" w:rsidRPr="00C51E6C" w14:paraId="35E1FF6B" w14:textId="77777777" w:rsidTr="00D94DC7">
        <w:tc>
          <w:tcPr>
            <w:tcW w:w="1728" w:type="dxa"/>
          </w:tcPr>
          <w:p w14:paraId="536476C9" w14:textId="77777777" w:rsidR="00D94DC7" w:rsidRPr="00C51E6C" w:rsidRDefault="00D94DC7" w:rsidP="00D94DC7">
            <w:pPr>
              <w:rPr>
                <w:sz w:val="22"/>
                <w:szCs w:val="22"/>
              </w:rPr>
            </w:pPr>
            <w:r w:rsidRPr="00C51E6C">
              <w:rPr>
                <w:sz w:val="22"/>
                <w:szCs w:val="22"/>
              </w:rPr>
              <w:t>Investigation/</w:t>
            </w:r>
          </w:p>
          <w:p w14:paraId="502DCEC4" w14:textId="77777777" w:rsidR="00D94DC7" w:rsidRPr="00C51E6C" w:rsidRDefault="00D94DC7" w:rsidP="00D94DC7">
            <w:pPr>
              <w:rPr>
                <w:sz w:val="22"/>
                <w:szCs w:val="22"/>
              </w:rPr>
            </w:pPr>
            <w:r w:rsidRPr="00C51E6C">
              <w:rPr>
                <w:sz w:val="22"/>
                <w:szCs w:val="22"/>
              </w:rPr>
              <w:t>Alerting</w:t>
            </w:r>
          </w:p>
        </w:tc>
        <w:tc>
          <w:tcPr>
            <w:tcW w:w="7848" w:type="dxa"/>
          </w:tcPr>
          <w:p w14:paraId="08621591" w14:textId="2CC50578" w:rsidR="00D94DC7" w:rsidRPr="00050DCF" w:rsidRDefault="00D94DC7" w:rsidP="00D94DC7">
            <w:pPr>
              <w:pStyle w:val="ListParagraph"/>
              <w:numPr>
                <w:ilvl w:val="0"/>
                <w:numId w:val="77"/>
              </w:numPr>
              <w:ind w:left="342" w:hanging="180"/>
              <w:rPr>
                <w:sz w:val="22"/>
                <w:szCs w:val="22"/>
              </w:rPr>
            </w:pPr>
            <w:r w:rsidRPr="00050DCF">
              <w:rPr>
                <w:sz w:val="22"/>
                <w:szCs w:val="22"/>
              </w:rPr>
              <w:t>Should school leaders become aware of rumors concerning infectious disease within the school community, MDPH can consider providing fact sheets, other messaging tools, and other public messaging to dispel inaccurate or incomplete information</w:t>
            </w:r>
          </w:p>
        </w:tc>
      </w:tr>
      <w:tr w:rsidR="00D94DC7" w:rsidRPr="00C51E6C" w14:paraId="1263BDC3" w14:textId="77777777" w:rsidTr="00D94DC7">
        <w:tc>
          <w:tcPr>
            <w:tcW w:w="1728" w:type="dxa"/>
          </w:tcPr>
          <w:p w14:paraId="3A107800" w14:textId="77777777" w:rsidR="00D94DC7" w:rsidRPr="00C51E6C" w:rsidRDefault="00D94DC7" w:rsidP="00D94DC7">
            <w:pPr>
              <w:rPr>
                <w:sz w:val="22"/>
                <w:szCs w:val="22"/>
              </w:rPr>
            </w:pPr>
            <w:r w:rsidRPr="00C51E6C">
              <w:rPr>
                <w:sz w:val="22"/>
                <w:szCs w:val="22"/>
              </w:rPr>
              <w:t>Recognition</w:t>
            </w:r>
          </w:p>
        </w:tc>
        <w:tc>
          <w:tcPr>
            <w:tcW w:w="7848" w:type="dxa"/>
          </w:tcPr>
          <w:p w14:paraId="24D86075" w14:textId="1D6F84A4" w:rsidR="00D94DC7" w:rsidRPr="00C51E6C" w:rsidRDefault="00D94DC7" w:rsidP="00D94DC7">
            <w:pPr>
              <w:numPr>
                <w:ilvl w:val="0"/>
                <w:numId w:val="65"/>
              </w:numPr>
              <w:ind w:left="356" w:hanging="180"/>
              <w:contextualSpacing/>
              <w:rPr>
                <w:sz w:val="22"/>
                <w:szCs w:val="22"/>
              </w:rPr>
            </w:pPr>
            <w:r w:rsidRPr="00C51E6C">
              <w:rPr>
                <w:sz w:val="22"/>
                <w:szCs w:val="22"/>
              </w:rPr>
              <w:t>Schools may reach out to MDPH, in collaboration with local public health departments, for guidance regarding PPE purchasing and use for staff</w:t>
            </w:r>
          </w:p>
          <w:p w14:paraId="1BF934C9" w14:textId="5A405C52" w:rsidR="00D94DC7" w:rsidRPr="00C51E6C" w:rsidRDefault="00D94DC7" w:rsidP="00D94DC7">
            <w:pPr>
              <w:numPr>
                <w:ilvl w:val="0"/>
                <w:numId w:val="65"/>
              </w:numPr>
              <w:ind w:left="356" w:hanging="180"/>
              <w:contextualSpacing/>
              <w:rPr>
                <w:sz w:val="22"/>
                <w:szCs w:val="22"/>
              </w:rPr>
            </w:pPr>
            <w:r w:rsidRPr="00C51E6C">
              <w:rPr>
                <w:sz w:val="22"/>
                <w:szCs w:val="22"/>
              </w:rPr>
              <w:t>MDPH may consider encouraging schools to stay up-to-date regarding appropriate PPE guidance and non</w:t>
            </w:r>
            <w:r>
              <w:rPr>
                <w:sz w:val="22"/>
                <w:szCs w:val="22"/>
              </w:rPr>
              <w:t>-</w:t>
            </w:r>
            <w:r w:rsidRPr="00C51E6C">
              <w:rPr>
                <w:sz w:val="22"/>
                <w:szCs w:val="22"/>
              </w:rPr>
              <w:t>pharmaceutical interventions</w:t>
            </w:r>
          </w:p>
          <w:p w14:paraId="426AB30C" w14:textId="7222A056" w:rsidR="00D94DC7" w:rsidRPr="00050DCF" w:rsidRDefault="00D94DC7" w:rsidP="00D94DC7">
            <w:pPr>
              <w:pStyle w:val="ListParagraph"/>
              <w:numPr>
                <w:ilvl w:val="0"/>
                <w:numId w:val="78"/>
              </w:numPr>
              <w:ind w:left="342" w:hanging="180"/>
              <w:rPr>
                <w:sz w:val="22"/>
                <w:szCs w:val="22"/>
              </w:rPr>
            </w:pPr>
            <w:r w:rsidRPr="00050DCF">
              <w:rPr>
                <w:sz w:val="22"/>
                <w:szCs w:val="22"/>
              </w:rPr>
              <w:t>Colleges should monitor students that travel or attend classes from other countries where outbreaks may be occurring</w:t>
            </w:r>
          </w:p>
        </w:tc>
      </w:tr>
      <w:tr w:rsidR="00D94DC7" w:rsidRPr="00C51E6C" w14:paraId="42C6838B" w14:textId="77777777" w:rsidTr="00D94DC7">
        <w:tc>
          <w:tcPr>
            <w:tcW w:w="1728" w:type="dxa"/>
          </w:tcPr>
          <w:p w14:paraId="1773929F" w14:textId="77777777" w:rsidR="00D94DC7" w:rsidRPr="00C51E6C" w:rsidRDefault="00D94DC7" w:rsidP="00D94DC7">
            <w:pPr>
              <w:rPr>
                <w:sz w:val="22"/>
                <w:szCs w:val="22"/>
              </w:rPr>
            </w:pPr>
            <w:r w:rsidRPr="00C51E6C">
              <w:rPr>
                <w:sz w:val="22"/>
                <w:szCs w:val="22"/>
              </w:rPr>
              <w:t>Initiation</w:t>
            </w:r>
          </w:p>
        </w:tc>
        <w:tc>
          <w:tcPr>
            <w:tcW w:w="7848" w:type="dxa"/>
          </w:tcPr>
          <w:p w14:paraId="47CC9AC1" w14:textId="356DE852" w:rsidR="00D94DC7" w:rsidRPr="00C51E6C" w:rsidRDefault="00D94DC7" w:rsidP="00D94DC7">
            <w:pPr>
              <w:numPr>
                <w:ilvl w:val="0"/>
                <w:numId w:val="68"/>
              </w:numPr>
              <w:ind w:left="356" w:hanging="180"/>
              <w:contextualSpacing/>
              <w:rPr>
                <w:sz w:val="22"/>
                <w:szCs w:val="22"/>
              </w:rPr>
            </w:pPr>
            <w:r w:rsidRPr="00C51E6C">
              <w:rPr>
                <w:sz w:val="22"/>
                <w:szCs w:val="22"/>
              </w:rPr>
              <w:t xml:space="preserve">MDPH may consider communicating with school leadership on whether there are any evidence-based recommendations for social distancing measures or not.  MDPH will consider collaborating with school leadership on joint messaging campaigns that support evidence-based policies  </w:t>
            </w:r>
          </w:p>
          <w:p w14:paraId="0F59B269" w14:textId="54766CFA" w:rsidR="00D94DC7" w:rsidRPr="00C51E6C" w:rsidRDefault="00D94DC7" w:rsidP="00D94DC7">
            <w:pPr>
              <w:numPr>
                <w:ilvl w:val="0"/>
                <w:numId w:val="68"/>
              </w:numPr>
              <w:ind w:left="356" w:hanging="180"/>
              <w:contextualSpacing/>
              <w:rPr>
                <w:sz w:val="22"/>
                <w:szCs w:val="22"/>
              </w:rPr>
            </w:pPr>
            <w:r w:rsidRPr="00C51E6C">
              <w:rPr>
                <w:sz w:val="22"/>
                <w:szCs w:val="22"/>
              </w:rPr>
              <w:t xml:space="preserve">School districts may become concerned about students </w:t>
            </w:r>
            <w:r w:rsidR="0063626F" w:rsidRPr="00C51E6C">
              <w:rPr>
                <w:sz w:val="22"/>
                <w:szCs w:val="22"/>
              </w:rPr>
              <w:t>traveling</w:t>
            </w:r>
            <w:r w:rsidRPr="00C51E6C">
              <w:rPr>
                <w:sz w:val="22"/>
                <w:szCs w:val="22"/>
              </w:rPr>
              <w:t xml:space="preserve"> on school trips contracting an infectious disease, and seek guidance from MDPH. MDPH may consider providing technical expertise related to whether screening students upon return from travel to areas with infectious disease activity is warranted, and may offer guidance on other technical questions to school districts as needed</w:t>
            </w:r>
          </w:p>
          <w:p w14:paraId="7F1E26E1" w14:textId="5E3F8ED5" w:rsidR="00D94DC7" w:rsidRPr="00050DCF" w:rsidRDefault="00D94DC7" w:rsidP="00D94DC7">
            <w:pPr>
              <w:pStyle w:val="ListParagraph"/>
              <w:numPr>
                <w:ilvl w:val="0"/>
                <w:numId w:val="79"/>
              </w:numPr>
              <w:ind w:left="342" w:hanging="180"/>
              <w:rPr>
                <w:sz w:val="22"/>
                <w:szCs w:val="22"/>
              </w:rPr>
            </w:pPr>
            <w:r w:rsidRPr="00050DCF">
              <w:rPr>
                <w:sz w:val="22"/>
                <w:szCs w:val="22"/>
              </w:rPr>
              <w:t>Should a need for mass dispensing of treatment or prophylaxis be anticipated, and if the pre-identified emergency dispensing site is anticipated to be located within a school, MDPH may encourage local health departments to coordinate with school leaders and other community partners regarding the timeline and scope of EDS operations</w:t>
            </w:r>
          </w:p>
        </w:tc>
      </w:tr>
      <w:tr w:rsidR="00D94DC7" w:rsidRPr="00C51E6C" w14:paraId="2E296B7B" w14:textId="77777777" w:rsidTr="00D94DC7">
        <w:tc>
          <w:tcPr>
            <w:tcW w:w="1728" w:type="dxa"/>
          </w:tcPr>
          <w:p w14:paraId="54B1446F" w14:textId="77777777" w:rsidR="00D94DC7" w:rsidRPr="00C51E6C" w:rsidRDefault="00D94DC7" w:rsidP="00D94DC7">
            <w:pPr>
              <w:rPr>
                <w:sz w:val="22"/>
                <w:szCs w:val="22"/>
              </w:rPr>
            </w:pPr>
            <w:r w:rsidRPr="00C51E6C">
              <w:rPr>
                <w:sz w:val="22"/>
                <w:szCs w:val="22"/>
              </w:rPr>
              <w:t>Acceleration</w:t>
            </w:r>
          </w:p>
        </w:tc>
        <w:tc>
          <w:tcPr>
            <w:tcW w:w="7848" w:type="dxa"/>
          </w:tcPr>
          <w:p w14:paraId="2F9B4778" w14:textId="47575D51" w:rsidR="00D94DC7" w:rsidRPr="00C51E6C" w:rsidRDefault="00D94DC7" w:rsidP="00D94DC7">
            <w:pPr>
              <w:numPr>
                <w:ilvl w:val="0"/>
                <w:numId w:val="72"/>
              </w:numPr>
              <w:ind w:left="342" w:hanging="180"/>
              <w:contextualSpacing/>
              <w:rPr>
                <w:sz w:val="22"/>
                <w:szCs w:val="22"/>
              </w:rPr>
            </w:pPr>
            <w:r w:rsidRPr="00C51E6C">
              <w:rPr>
                <w:sz w:val="22"/>
                <w:szCs w:val="22"/>
              </w:rPr>
              <w:t>The Commissioner, in conjunction with the state education agency commissioners, may consider discussing the appropriateness and necessity of implementing social distancing measures in schools, depending on the specific characteristics of the outbreak</w:t>
            </w:r>
          </w:p>
          <w:p w14:paraId="731184B5" w14:textId="7DA3C164" w:rsidR="00D94DC7" w:rsidRPr="00C51E6C" w:rsidRDefault="00D94DC7" w:rsidP="00D94DC7">
            <w:pPr>
              <w:numPr>
                <w:ilvl w:val="0"/>
                <w:numId w:val="72"/>
              </w:numPr>
              <w:ind w:left="342" w:hanging="180"/>
              <w:contextualSpacing/>
              <w:rPr>
                <w:sz w:val="22"/>
                <w:szCs w:val="22"/>
              </w:rPr>
            </w:pPr>
            <w:r w:rsidRPr="00C51E6C">
              <w:rPr>
                <w:sz w:val="22"/>
                <w:szCs w:val="22"/>
              </w:rPr>
              <w:t xml:space="preserve">Communications and recommendations regarding the appropriate evidence-based triggers for school closure and indicators for schools to re-open may originate from the Commissioner’s Office and will be shared with the leadership of all appropriate state educational agencies, who may disseminate the recommendations as appropriate to school superintendents or other educational leaders </w:t>
            </w:r>
          </w:p>
          <w:p w14:paraId="021D03DA" w14:textId="0E3F18C9" w:rsidR="00D94DC7" w:rsidRPr="00050DCF" w:rsidRDefault="00D94DC7" w:rsidP="00D94DC7">
            <w:pPr>
              <w:pStyle w:val="ListParagraph"/>
              <w:numPr>
                <w:ilvl w:val="0"/>
                <w:numId w:val="80"/>
              </w:numPr>
              <w:ind w:left="342" w:hanging="180"/>
              <w:rPr>
                <w:sz w:val="22"/>
                <w:szCs w:val="22"/>
              </w:rPr>
            </w:pPr>
            <w:r w:rsidRPr="00050DCF">
              <w:rPr>
                <w:sz w:val="22"/>
                <w:szCs w:val="22"/>
              </w:rPr>
              <w:t>MDPH, DMH and state educational agencies may collaborate to provide age-appropriate behavioral crisis support for schools that have been affected by the infectious disease emergency</w:t>
            </w:r>
          </w:p>
        </w:tc>
      </w:tr>
      <w:tr w:rsidR="00D94DC7" w:rsidRPr="00C51E6C" w14:paraId="7096C4AD" w14:textId="77777777" w:rsidTr="00D94DC7">
        <w:tc>
          <w:tcPr>
            <w:tcW w:w="1728" w:type="dxa"/>
          </w:tcPr>
          <w:p w14:paraId="060D2AC0" w14:textId="77777777" w:rsidR="00D94DC7" w:rsidRPr="00C51E6C" w:rsidRDefault="00D94DC7" w:rsidP="00D94DC7">
            <w:pPr>
              <w:rPr>
                <w:sz w:val="22"/>
                <w:szCs w:val="22"/>
              </w:rPr>
            </w:pPr>
            <w:r w:rsidRPr="00C51E6C">
              <w:rPr>
                <w:sz w:val="22"/>
                <w:szCs w:val="22"/>
              </w:rPr>
              <w:t>Demobilization</w:t>
            </w:r>
          </w:p>
        </w:tc>
        <w:tc>
          <w:tcPr>
            <w:tcW w:w="7848" w:type="dxa"/>
          </w:tcPr>
          <w:p w14:paraId="422DC2CB" w14:textId="77777777" w:rsidR="00D94DC7" w:rsidRPr="00C51E6C" w:rsidRDefault="00D94DC7" w:rsidP="00D94DC7">
            <w:pPr>
              <w:contextualSpacing/>
              <w:rPr>
                <w:sz w:val="22"/>
                <w:szCs w:val="22"/>
              </w:rPr>
            </w:pPr>
            <w:r w:rsidRPr="00C51E6C">
              <w:rPr>
                <w:sz w:val="22"/>
                <w:szCs w:val="22"/>
              </w:rPr>
              <w:t>N/A</w:t>
            </w:r>
          </w:p>
        </w:tc>
      </w:tr>
    </w:tbl>
    <w:p w14:paraId="4B9CE8D5" w14:textId="77777777" w:rsidR="00194809" w:rsidRDefault="00194809" w:rsidP="00194809">
      <w:pPr>
        <w:pStyle w:val="Heading4"/>
        <w:spacing w:before="0" w:line="240" w:lineRule="auto"/>
        <w:rPr>
          <w:sz w:val="24"/>
          <w:szCs w:val="24"/>
        </w:rPr>
      </w:pPr>
      <w:bookmarkStart w:id="871" w:name="_Toc486492406"/>
      <w:bookmarkStart w:id="872" w:name="_Toc486499902"/>
      <w:bookmarkStart w:id="873" w:name="_Toc486501078"/>
      <w:bookmarkStart w:id="874" w:name="_Toc486516538"/>
      <w:bookmarkStart w:id="875" w:name="_Toc486577793"/>
      <w:bookmarkStart w:id="876" w:name="_Toc486578999"/>
    </w:p>
    <w:p w14:paraId="3140D837" w14:textId="77777777" w:rsidR="00D94DC7" w:rsidRPr="00F53AFB" w:rsidRDefault="00D94DC7" w:rsidP="00194809">
      <w:pPr>
        <w:pStyle w:val="Heading4"/>
        <w:spacing w:before="0" w:line="240" w:lineRule="auto"/>
        <w:rPr>
          <w:sz w:val="24"/>
          <w:szCs w:val="24"/>
        </w:rPr>
      </w:pPr>
      <w:r w:rsidRPr="00F53AFB">
        <w:rPr>
          <w:sz w:val="24"/>
          <w:szCs w:val="24"/>
        </w:rPr>
        <w:t>Environmental Protection/Public Works</w:t>
      </w:r>
      <w:bookmarkEnd w:id="871"/>
      <w:bookmarkEnd w:id="872"/>
      <w:bookmarkEnd w:id="873"/>
      <w:bookmarkEnd w:id="874"/>
      <w:bookmarkEnd w:id="875"/>
      <w:bookmarkEnd w:id="876"/>
    </w:p>
    <w:p w14:paraId="1FB37752" w14:textId="77777777" w:rsidR="00D94DC7" w:rsidRPr="00C51E6C" w:rsidRDefault="00D94DC7" w:rsidP="00D94DC7">
      <w:pPr>
        <w:spacing w:after="0"/>
        <w:ind w:firstLine="360"/>
        <w:rPr>
          <w:i/>
        </w:rPr>
      </w:pPr>
      <w:r w:rsidRPr="00C51E6C">
        <w:rPr>
          <w:i/>
        </w:rPr>
        <w:t>Public</w:t>
      </w:r>
    </w:p>
    <w:p w14:paraId="42F54740" w14:textId="77777777" w:rsidR="00D94DC7" w:rsidRPr="00C51E6C" w:rsidRDefault="00D94DC7" w:rsidP="00D94DC7">
      <w:pPr>
        <w:numPr>
          <w:ilvl w:val="0"/>
          <w:numId w:val="40"/>
        </w:numPr>
        <w:spacing w:after="0"/>
        <w:ind w:left="810"/>
        <w:contextualSpacing/>
      </w:pPr>
      <w:r w:rsidRPr="00C51E6C">
        <w:t xml:space="preserve">Massachusetts Executive Office of Energy and Environmental Affairs </w:t>
      </w:r>
    </w:p>
    <w:p w14:paraId="56BB4082" w14:textId="77777777" w:rsidR="00D94DC7" w:rsidRPr="00C51E6C" w:rsidRDefault="00D94DC7" w:rsidP="00D94DC7">
      <w:pPr>
        <w:numPr>
          <w:ilvl w:val="1"/>
          <w:numId w:val="40"/>
        </w:numPr>
        <w:spacing w:after="0"/>
        <w:contextualSpacing/>
      </w:pPr>
      <w:r w:rsidRPr="00C51E6C">
        <w:t>Department of Agricultural Resources</w:t>
      </w:r>
    </w:p>
    <w:p w14:paraId="68A6A865" w14:textId="77777777" w:rsidR="00D94DC7" w:rsidRPr="00C51E6C" w:rsidRDefault="00D94DC7" w:rsidP="00D94DC7">
      <w:pPr>
        <w:numPr>
          <w:ilvl w:val="1"/>
          <w:numId w:val="40"/>
        </w:numPr>
        <w:spacing w:after="0"/>
        <w:contextualSpacing/>
      </w:pPr>
      <w:r w:rsidRPr="00C51E6C">
        <w:t>Department of Conservation and Recreation</w:t>
      </w:r>
    </w:p>
    <w:p w14:paraId="5C971D7B" w14:textId="77777777" w:rsidR="00D94DC7" w:rsidRPr="00C51E6C" w:rsidRDefault="00D94DC7" w:rsidP="00D94DC7">
      <w:pPr>
        <w:numPr>
          <w:ilvl w:val="1"/>
          <w:numId w:val="40"/>
        </w:numPr>
        <w:spacing w:after="0"/>
        <w:contextualSpacing/>
      </w:pPr>
      <w:r w:rsidRPr="00C51E6C">
        <w:t>Department of Environmental Protection</w:t>
      </w:r>
    </w:p>
    <w:p w14:paraId="2C52DC04" w14:textId="77777777" w:rsidR="00D94DC7" w:rsidRPr="00C51E6C" w:rsidRDefault="00D94DC7" w:rsidP="00D94DC7">
      <w:pPr>
        <w:numPr>
          <w:ilvl w:val="1"/>
          <w:numId w:val="40"/>
        </w:numPr>
        <w:spacing w:after="0"/>
        <w:contextualSpacing/>
      </w:pPr>
      <w:r w:rsidRPr="00C51E6C">
        <w:t>Department of Fish and Game</w:t>
      </w:r>
    </w:p>
    <w:p w14:paraId="01CF4140" w14:textId="77777777" w:rsidR="00D94DC7" w:rsidRPr="00C51E6C" w:rsidRDefault="00D94DC7" w:rsidP="00D94DC7">
      <w:pPr>
        <w:numPr>
          <w:ilvl w:val="0"/>
          <w:numId w:val="40"/>
        </w:numPr>
        <w:spacing w:after="0"/>
        <w:ind w:left="810"/>
        <w:contextualSpacing/>
      </w:pPr>
      <w:r w:rsidRPr="00C51E6C">
        <w:t>Massachusetts Water Resources Authority</w:t>
      </w:r>
    </w:p>
    <w:p w14:paraId="0706E5C8" w14:textId="77777777" w:rsidR="00D94DC7" w:rsidRPr="00C51E6C" w:rsidRDefault="00D94DC7" w:rsidP="00D94DC7">
      <w:pPr>
        <w:numPr>
          <w:ilvl w:val="0"/>
          <w:numId w:val="40"/>
        </w:numPr>
        <w:spacing w:after="0"/>
        <w:ind w:left="810"/>
        <w:contextualSpacing/>
      </w:pPr>
      <w:r w:rsidRPr="00C51E6C">
        <w:t>Massachusetts Office of Coastal Zone Management</w:t>
      </w:r>
    </w:p>
    <w:p w14:paraId="2EA9DF9C" w14:textId="77777777" w:rsidR="00D94DC7" w:rsidRPr="00C51E6C" w:rsidRDefault="00D94DC7" w:rsidP="00D94DC7">
      <w:pPr>
        <w:spacing w:after="0"/>
        <w:ind w:firstLine="360"/>
        <w:rPr>
          <w:i/>
        </w:rPr>
      </w:pPr>
      <w:r w:rsidRPr="00C51E6C">
        <w:rPr>
          <w:i/>
        </w:rPr>
        <w:t>Non-profit</w:t>
      </w:r>
    </w:p>
    <w:p w14:paraId="45F425C0" w14:textId="77777777" w:rsidR="00D94DC7" w:rsidRPr="00C51E6C" w:rsidRDefault="00D94DC7" w:rsidP="00D94DC7">
      <w:pPr>
        <w:numPr>
          <w:ilvl w:val="0"/>
          <w:numId w:val="41"/>
        </w:numPr>
        <w:spacing w:after="0"/>
        <w:ind w:left="810"/>
        <w:contextualSpacing/>
      </w:pPr>
      <w:r w:rsidRPr="00C51E6C">
        <w:t>Massachusetts Water Pollution Control Association</w:t>
      </w:r>
    </w:p>
    <w:p w14:paraId="42590949" w14:textId="77777777" w:rsidR="00D94DC7" w:rsidRPr="00C51E6C" w:rsidRDefault="00D94DC7" w:rsidP="00D94DC7">
      <w:pPr>
        <w:numPr>
          <w:ilvl w:val="0"/>
          <w:numId w:val="41"/>
        </w:numPr>
        <w:spacing w:after="0"/>
        <w:ind w:left="810"/>
        <w:contextualSpacing/>
      </w:pPr>
      <w:r w:rsidRPr="00C51E6C">
        <w:t>Massachusetts Water Works Association</w:t>
      </w:r>
    </w:p>
    <w:p w14:paraId="6CC5FF2C" w14:textId="77777777" w:rsidR="00D94DC7" w:rsidRPr="00C51E6C" w:rsidRDefault="00D94DC7" w:rsidP="00D94DC7">
      <w:pPr>
        <w:numPr>
          <w:ilvl w:val="0"/>
          <w:numId w:val="41"/>
        </w:numPr>
        <w:spacing w:after="0"/>
        <w:ind w:left="810"/>
        <w:contextualSpacing/>
      </w:pPr>
      <w:r w:rsidRPr="00C51E6C">
        <w:t>Massachusetts Highway Association</w:t>
      </w:r>
    </w:p>
    <w:p w14:paraId="02DB2A08" w14:textId="77777777" w:rsidR="00D94DC7" w:rsidRPr="00C51E6C" w:rsidRDefault="00D94DC7" w:rsidP="00D94DC7">
      <w:pPr>
        <w:spacing w:after="0"/>
        <w:contextualSpacing/>
      </w:pPr>
    </w:p>
    <w:p w14:paraId="2CE82FBA" w14:textId="77777777" w:rsidR="00D94DC7" w:rsidRPr="00C51E6C" w:rsidRDefault="00D94DC7" w:rsidP="00D94DC7">
      <w:pPr>
        <w:keepNext/>
        <w:keepLines/>
        <w:spacing w:before="200" w:after="0"/>
        <w:ind w:left="360"/>
        <w:jc w:val="both"/>
        <w:outlineLvl w:val="1"/>
        <w:rPr>
          <w:rFonts w:asciiTheme="majorHAnsi" w:eastAsiaTheme="majorEastAsia" w:hAnsiTheme="majorHAnsi" w:cstheme="majorBidi"/>
          <w:b/>
          <w:bCs/>
          <w:color w:val="4F81BD" w:themeColor="accent1"/>
          <w:sz w:val="26"/>
          <w:szCs w:val="26"/>
        </w:rPr>
      </w:pPr>
    </w:p>
    <w:tbl>
      <w:tblPr>
        <w:tblStyle w:val="TableGrid1"/>
        <w:tblW w:w="0" w:type="auto"/>
        <w:tblLayout w:type="fixed"/>
        <w:tblLook w:val="04A0" w:firstRow="1" w:lastRow="0" w:firstColumn="1" w:lastColumn="0" w:noHBand="0" w:noVBand="1"/>
      </w:tblPr>
      <w:tblGrid>
        <w:gridCol w:w="1728"/>
        <w:gridCol w:w="7848"/>
      </w:tblGrid>
      <w:tr w:rsidR="00D94DC7" w:rsidRPr="00C51E6C" w14:paraId="3DB1C1AF" w14:textId="77777777" w:rsidTr="00D94DC7">
        <w:tc>
          <w:tcPr>
            <w:tcW w:w="1728" w:type="dxa"/>
          </w:tcPr>
          <w:p w14:paraId="627BBC9A" w14:textId="77777777" w:rsidR="00D94DC7" w:rsidRPr="00C51E6C" w:rsidRDefault="00D94DC7" w:rsidP="00D94DC7">
            <w:pPr>
              <w:contextualSpacing/>
              <w:rPr>
                <w:sz w:val="22"/>
                <w:szCs w:val="22"/>
              </w:rPr>
            </w:pPr>
            <w:r w:rsidRPr="00C51E6C">
              <w:rPr>
                <w:sz w:val="22"/>
                <w:szCs w:val="22"/>
              </w:rPr>
              <w:t>Preparation</w:t>
            </w:r>
          </w:p>
        </w:tc>
        <w:tc>
          <w:tcPr>
            <w:tcW w:w="7848" w:type="dxa"/>
          </w:tcPr>
          <w:p w14:paraId="3FFF3C1C" w14:textId="77777777" w:rsidR="00D94DC7" w:rsidRPr="00C51E6C" w:rsidRDefault="00D94DC7" w:rsidP="00D94DC7">
            <w:pPr>
              <w:rPr>
                <w:sz w:val="22"/>
                <w:szCs w:val="22"/>
              </w:rPr>
            </w:pPr>
            <w:r w:rsidRPr="00C51E6C">
              <w:rPr>
                <w:sz w:val="22"/>
                <w:szCs w:val="22"/>
              </w:rPr>
              <w:t>N/A</w:t>
            </w:r>
          </w:p>
        </w:tc>
      </w:tr>
      <w:tr w:rsidR="00D94DC7" w:rsidRPr="00C51E6C" w14:paraId="1F142A30" w14:textId="77777777" w:rsidTr="00D94DC7">
        <w:tc>
          <w:tcPr>
            <w:tcW w:w="1728" w:type="dxa"/>
          </w:tcPr>
          <w:p w14:paraId="6760234C" w14:textId="77777777" w:rsidR="00D94DC7" w:rsidRPr="00C51E6C" w:rsidRDefault="00D94DC7" w:rsidP="00D94DC7">
            <w:pPr>
              <w:rPr>
                <w:sz w:val="22"/>
                <w:szCs w:val="22"/>
              </w:rPr>
            </w:pPr>
            <w:r w:rsidRPr="00C51E6C">
              <w:rPr>
                <w:sz w:val="22"/>
                <w:szCs w:val="22"/>
              </w:rPr>
              <w:t>Investigation/</w:t>
            </w:r>
          </w:p>
          <w:p w14:paraId="6E371ACF" w14:textId="77777777" w:rsidR="00D94DC7" w:rsidRPr="00C51E6C" w:rsidRDefault="00D94DC7" w:rsidP="00D94DC7">
            <w:pPr>
              <w:rPr>
                <w:sz w:val="22"/>
                <w:szCs w:val="22"/>
              </w:rPr>
            </w:pPr>
            <w:r w:rsidRPr="00C51E6C">
              <w:rPr>
                <w:sz w:val="22"/>
                <w:szCs w:val="22"/>
              </w:rPr>
              <w:t>Alerting</w:t>
            </w:r>
          </w:p>
        </w:tc>
        <w:tc>
          <w:tcPr>
            <w:tcW w:w="7848" w:type="dxa"/>
          </w:tcPr>
          <w:p w14:paraId="530C6F3C" w14:textId="77777777" w:rsidR="00D94DC7" w:rsidRPr="00C51E6C" w:rsidRDefault="00D94DC7" w:rsidP="00D94DC7">
            <w:pPr>
              <w:rPr>
                <w:sz w:val="22"/>
                <w:szCs w:val="22"/>
              </w:rPr>
            </w:pPr>
            <w:r w:rsidRPr="00C51E6C">
              <w:rPr>
                <w:sz w:val="22"/>
                <w:szCs w:val="22"/>
              </w:rPr>
              <w:t>N/A</w:t>
            </w:r>
          </w:p>
        </w:tc>
      </w:tr>
      <w:tr w:rsidR="00D94DC7" w:rsidRPr="00C51E6C" w14:paraId="67708791" w14:textId="77777777" w:rsidTr="00D94DC7">
        <w:tc>
          <w:tcPr>
            <w:tcW w:w="1728" w:type="dxa"/>
          </w:tcPr>
          <w:p w14:paraId="63A341A9" w14:textId="77777777" w:rsidR="00D94DC7" w:rsidRPr="00C51E6C" w:rsidRDefault="00D94DC7" w:rsidP="00D94DC7">
            <w:pPr>
              <w:rPr>
                <w:sz w:val="22"/>
                <w:szCs w:val="22"/>
              </w:rPr>
            </w:pPr>
            <w:r w:rsidRPr="00C51E6C">
              <w:rPr>
                <w:sz w:val="22"/>
                <w:szCs w:val="22"/>
              </w:rPr>
              <w:t>Recognition</w:t>
            </w:r>
          </w:p>
        </w:tc>
        <w:tc>
          <w:tcPr>
            <w:tcW w:w="7848" w:type="dxa"/>
          </w:tcPr>
          <w:p w14:paraId="091AE284" w14:textId="77777777" w:rsidR="00D94DC7" w:rsidRPr="00C51E6C" w:rsidRDefault="00D94DC7" w:rsidP="00D94DC7">
            <w:pPr>
              <w:rPr>
                <w:sz w:val="22"/>
                <w:szCs w:val="22"/>
              </w:rPr>
            </w:pPr>
            <w:r w:rsidRPr="00C51E6C">
              <w:rPr>
                <w:sz w:val="22"/>
                <w:szCs w:val="22"/>
              </w:rPr>
              <w:t>N/A</w:t>
            </w:r>
          </w:p>
        </w:tc>
      </w:tr>
      <w:tr w:rsidR="00D94DC7" w:rsidRPr="00C51E6C" w14:paraId="3FA2213D" w14:textId="77777777" w:rsidTr="00D94DC7">
        <w:tc>
          <w:tcPr>
            <w:tcW w:w="1728" w:type="dxa"/>
          </w:tcPr>
          <w:p w14:paraId="630DA68E" w14:textId="77777777" w:rsidR="00D94DC7" w:rsidRPr="00C51E6C" w:rsidRDefault="00D94DC7" w:rsidP="00D94DC7">
            <w:pPr>
              <w:rPr>
                <w:sz w:val="22"/>
                <w:szCs w:val="22"/>
              </w:rPr>
            </w:pPr>
            <w:r w:rsidRPr="00C51E6C">
              <w:rPr>
                <w:sz w:val="22"/>
                <w:szCs w:val="22"/>
              </w:rPr>
              <w:t>Initiation</w:t>
            </w:r>
          </w:p>
        </w:tc>
        <w:tc>
          <w:tcPr>
            <w:tcW w:w="7848" w:type="dxa"/>
          </w:tcPr>
          <w:p w14:paraId="1DBB9079" w14:textId="77777777" w:rsidR="00D94DC7" w:rsidRPr="00C51E6C" w:rsidRDefault="00D94DC7" w:rsidP="00D94DC7">
            <w:pPr>
              <w:rPr>
                <w:sz w:val="22"/>
                <w:szCs w:val="22"/>
              </w:rPr>
            </w:pPr>
            <w:r w:rsidRPr="00C51E6C">
              <w:rPr>
                <w:sz w:val="22"/>
                <w:szCs w:val="22"/>
              </w:rPr>
              <w:t>N/A</w:t>
            </w:r>
          </w:p>
        </w:tc>
      </w:tr>
      <w:tr w:rsidR="00D94DC7" w:rsidRPr="00C51E6C" w14:paraId="2AF56AA8" w14:textId="77777777" w:rsidTr="00D94DC7">
        <w:tc>
          <w:tcPr>
            <w:tcW w:w="1728" w:type="dxa"/>
          </w:tcPr>
          <w:p w14:paraId="49E1EC3D" w14:textId="77777777" w:rsidR="00D94DC7" w:rsidRPr="00C51E6C" w:rsidRDefault="00D94DC7" w:rsidP="00D94DC7">
            <w:pPr>
              <w:rPr>
                <w:sz w:val="22"/>
                <w:szCs w:val="22"/>
              </w:rPr>
            </w:pPr>
            <w:r w:rsidRPr="00C51E6C">
              <w:rPr>
                <w:sz w:val="22"/>
                <w:szCs w:val="22"/>
              </w:rPr>
              <w:t>Acceleration</w:t>
            </w:r>
          </w:p>
        </w:tc>
        <w:tc>
          <w:tcPr>
            <w:tcW w:w="7848" w:type="dxa"/>
          </w:tcPr>
          <w:p w14:paraId="7B30BA25" w14:textId="25A68973" w:rsidR="00D94DC7" w:rsidRPr="00C51E6C" w:rsidRDefault="00D94DC7" w:rsidP="00D94DC7">
            <w:pPr>
              <w:numPr>
                <w:ilvl w:val="0"/>
                <w:numId w:val="73"/>
              </w:numPr>
              <w:ind w:left="342" w:hanging="180"/>
              <w:contextualSpacing/>
              <w:rPr>
                <w:sz w:val="22"/>
                <w:szCs w:val="22"/>
              </w:rPr>
            </w:pPr>
            <w:r w:rsidRPr="00C51E6C">
              <w:rPr>
                <w:sz w:val="22"/>
                <w:szCs w:val="22"/>
              </w:rPr>
              <w:t>If the emerging disease is zoonotic, the MDPH may consider coordinating with DEP and the Division of Animal Health on waste management options for the disposal of carcasses and related materials</w:t>
            </w:r>
          </w:p>
          <w:p w14:paraId="1762236A" w14:textId="00F3BDA0" w:rsidR="00D94DC7" w:rsidRPr="00050DCF" w:rsidRDefault="00D94DC7" w:rsidP="00D94DC7">
            <w:pPr>
              <w:pStyle w:val="ListParagraph"/>
              <w:numPr>
                <w:ilvl w:val="0"/>
                <w:numId w:val="81"/>
              </w:numPr>
              <w:ind w:left="342" w:hanging="180"/>
              <w:rPr>
                <w:sz w:val="22"/>
                <w:szCs w:val="22"/>
              </w:rPr>
            </w:pPr>
            <w:r w:rsidRPr="00050DCF">
              <w:rPr>
                <w:sz w:val="22"/>
                <w:szCs w:val="22"/>
              </w:rPr>
              <w:t xml:space="preserve">MDPH will consider providing recommendations regarding enhanced infection control measures in the public spaces that may be relevant to the threat  </w:t>
            </w:r>
          </w:p>
        </w:tc>
      </w:tr>
      <w:tr w:rsidR="00D94DC7" w:rsidRPr="00C51E6C" w14:paraId="2EDCACD2" w14:textId="77777777" w:rsidTr="00D94DC7">
        <w:tc>
          <w:tcPr>
            <w:tcW w:w="1728" w:type="dxa"/>
          </w:tcPr>
          <w:p w14:paraId="24097E02" w14:textId="77777777" w:rsidR="00D94DC7" w:rsidRPr="00C51E6C" w:rsidRDefault="00D94DC7" w:rsidP="00D94DC7">
            <w:pPr>
              <w:rPr>
                <w:sz w:val="22"/>
                <w:szCs w:val="22"/>
              </w:rPr>
            </w:pPr>
            <w:r w:rsidRPr="00C51E6C">
              <w:rPr>
                <w:sz w:val="22"/>
                <w:szCs w:val="22"/>
              </w:rPr>
              <w:t>Demobilization</w:t>
            </w:r>
          </w:p>
        </w:tc>
        <w:tc>
          <w:tcPr>
            <w:tcW w:w="7848" w:type="dxa"/>
          </w:tcPr>
          <w:p w14:paraId="1B33D770" w14:textId="77777777" w:rsidR="00D94DC7" w:rsidRPr="00C51E6C" w:rsidRDefault="00D94DC7" w:rsidP="00D94DC7">
            <w:pPr>
              <w:contextualSpacing/>
              <w:rPr>
                <w:sz w:val="22"/>
                <w:szCs w:val="22"/>
              </w:rPr>
            </w:pPr>
            <w:r w:rsidRPr="00C51E6C">
              <w:rPr>
                <w:sz w:val="22"/>
                <w:szCs w:val="22"/>
              </w:rPr>
              <w:t>N/A</w:t>
            </w:r>
          </w:p>
        </w:tc>
      </w:tr>
    </w:tbl>
    <w:p w14:paraId="5F598A05" w14:textId="77777777" w:rsidR="00D94DC7" w:rsidRDefault="00D94DC7" w:rsidP="00D94DC7">
      <w:pPr>
        <w:keepNext/>
        <w:keepLines/>
        <w:spacing w:before="200" w:after="0"/>
        <w:contextualSpacing/>
        <w:outlineLvl w:val="1"/>
        <w:rPr>
          <w:rFonts w:asciiTheme="majorHAnsi" w:eastAsiaTheme="majorEastAsia" w:hAnsiTheme="majorHAnsi" w:cstheme="majorBidi"/>
          <w:b/>
          <w:bCs/>
          <w:color w:val="4F81BD" w:themeColor="accent1"/>
          <w:sz w:val="26"/>
          <w:szCs w:val="26"/>
        </w:rPr>
      </w:pPr>
      <w:bookmarkStart w:id="877" w:name="_Toc486492407"/>
      <w:bookmarkStart w:id="878" w:name="_Toc486499903"/>
      <w:bookmarkStart w:id="879" w:name="_Toc486501079"/>
      <w:bookmarkStart w:id="880" w:name="_Toc486516539"/>
      <w:bookmarkStart w:id="881" w:name="_Toc486577794"/>
      <w:bookmarkStart w:id="882" w:name="_Toc486579000"/>
    </w:p>
    <w:p w14:paraId="0910BFA1" w14:textId="77777777" w:rsidR="00D94DC7" w:rsidRPr="00F53AFB" w:rsidRDefault="00D94DC7" w:rsidP="00D94DC7">
      <w:pPr>
        <w:pStyle w:val="Heading4"/>
        <w:rPr>
          <w:sz w:val="24"/>
          <w:szCs w:val="24"/>
        </w:rPr>
      </w:pPr>
      <w:r w:rsidRPr="00F53AFB">
        <w:rPr>
          <w:sz w:val="24"/>
          <w:szCs w:val="24"/>
        </w:rPr>
        <w:t>Fire Services</w:t>
      </w:r>
      <w:bookmarkEnd w:id="877"/>
      <w:bookmarkEnd w:id="878"/>
      <w:bookmarkEnd w:id="879"/>
      <w:bookmarkEnd w:id="880"/>
      <w:bookmarkEnd w:id="881"/>
      <w:bookmarkEnd w:id="882"/>
    </w:p>
    <w:p w14:paraId="629446D9" w14:textId="77777777" w:rsidR="00D94DC7" w:rsidRPr="00C51E6C" w:rsidRDefault="00D94DC7" w:rsidP="00D94DC7">
      <w:pPr>
        <w:numPr>
          <w:ilvl w:val="0"/>
          <w:numId w:val="42"/>
        </w:numPr>
        <w:ind w:left="810"/>
        <w:contextualSpacing/>
      </w:pPr>
      <w:r w:rsidRPr="00C51E6C">
        <w:t>Secretary, Executive Office of Public Safety and Security</w:t>
      </w:r>
    </w:p>
    <w:p w14:paraId="6D6ED7FC" w14:textId="77777777" w:rsidR="00D94DC7" w:rsidRPr="00C51E6C" w:rsidRDefault="00D94DC7" w:rsidP="00D94DC7">
      <w:pPr>
        <w:numPr>
          <w:ilvl w:val="0"/>
          <w:numId w:val="42"/>
        </w:numPr>
        <w:ind w:left="810"/>
        <w:contextualSpacing/>
      </w:pPr>
      <w:r w:rsidRPr="00C51E6C">
        <w:t>Department of Fire Services (DFS)</w:t>
      </w:r>
    </w:p>
    <w:p w14:paraId="5060C0A1" w14:textId="77777777" w:rsidR="00D94DC7" w:rsidRPr="00C51E6C" w:rsidRDefault="00D94DC7" w:rsidP="00D94DC7">
      <w:pPr>
        <w:numPr>
          <w:ilvl w:val="0"/>
          <w:numId w:val="42"/>
        </w:numPr>
        <w:ind w:left="810"/>
        <w:contextualSpacing/>
      </w:pPr>
      <w:r w:rsidRPr="00C51E6C">
        <w:t>Fire Chiefs Association of Massachusetts</w:t>
      </w:r>
    </w:p>
    <w:p w14:paraId="2ACAB17D" w14:textId="77777777" w:rsidR="00D94DC7" w:rsidRPr="00C51E6C" w:rsidRDefault="00D94DC7" w:rsidP="00D94DC7">
      <w:pPr>
        <w:numPr>
          <w:ilvl w:val="0"/>
          <w:numId w:val="42"/>
        </w:numPr>
        <w:ind w:left="810"/>
        <w:contextualSpacing/>
      </w:pPr>
      <w:r w:rsidRPr="00C51E6C">
        <w:t>Local fire departments</w:t>
      </w:r>
    </w:p>
    <w:p w14:paraId="3D07C973" w14:textId="77777777" w:rsidR="00D94DC7" w:rsidRPr="00C51E6C" w:rsidRDefault="00D94DC7" w:rsidP="00D94DC7">
      <w:pPr>
        <w:keepNext/>
        <w:keepLines/>
        <w:spacing w:before="200" w:after="0"/>
        <w:ind w:left="1080"/>
        <w:contextualSpacing/>
        <w:jc w:val="both"/>
        <w:outlineLvl w:val="1"/>
        <w:rPr>
          <w:rFonts w:asciiTheme="majorHAnsi" w:eastAsiaTheme="majorEastAsia" w:hAnsiTheme="majorHAnsi" w:cstheme="majorBidi"/>
          <w:b/>
          <w:bCs/>
          <w:color w:val="4F81BD" w:themeColor="accent1"/>
          <w:sz w:val="26"/>
          <w:szCs w:val="26"/>
        </w:rPr>
      </w:pPr>
    </w:p>
    <w:tbl>
      <w:tblPr>
        <w:tblStyle w:val="TableGrid1"/>
        <w:tblW w:w="0" w:type="auto"/>
        <w:tblLayout w:type="fixed"/>
        <w:tblLook w:val="04A0" w:firstRow="1" w:lastRow="0" w:firstColumn="1" w:lastColumn="0" w:noHBand="0" w:noVBand="1"/>
      </w:tblPr>
      <w:tblGrid>
        <w:gridCol w:w="1728"/>
        <w:gridCol w:w="7848"/>
      </w:tblGrid>
      <w:tr w:rsidR="00D94DC7" w:rsidRPr="00C51E6C" w14:paraId="672AF3BB" w14:textId="77777777" w:rsidTr="00D94DC7">
        <w:tc>
          <w:tcPr>
            <w:tcW w:w="1728" w:type="dxa"/>
          </w:tcPr>
          <w:p w14:paraId="6EC80DBA" w14:textId="77777777" w:rsidR="00D94DC7" w:rsidRPr="00C51E6C" w:rsidRDefault="00D94DC7" w:rsidP="00D94DC7">
            <w:pPr>
              <w:contextualSpacing/>
              <w:rPr>
                <w:sz w:val="22"/>
                <w:szCs w:val="22"/>
              </w:rPr>
            </w:pPr>
            <w:r w:rsidRPr="00C51E6C">
              <w:rPr>
                <w:sz w:val="22"/>
                <w:szCs w:val="22"/>
              </w:rPr>
              <w:t>Preparation</w:t>
            </w:r>
          </w:p>
        </w:tc>
        <w:tc>
          <w:tcPr>
            <w:tcW w:w="7848" w:type="dxa"/>
          </w:tcPr>
          <w:p w14:paraId="0BC38751" w14:textId="77777777" w:rsidR="00D94DC7" w:rsidRPr="00C51E6C" w:rsidRDefault="00D94DC7" w:rsidP="00D94DC7">
            <w:pPr>
              <w:rPr>
                <w:sz w:val="22"/>
                <w:szCs w:val="22"/>
              </w:rPr>
            </w:pPr>
            <w:r w:rsidRPr="00C51E6C">
              <w:rPr>
                <w:sz w:val="22"/>
                <w:szCs w:val="22"/>
              </w:rPr>
              <w:t>N/A</w:t>
            </w:r>
          </w:p>
        </w:tc>
      </w:tr>
      <w:tr w:rsidR="00D94DC7" w:rsidRPr="00C51E6C" w14:paraId="1D25C6FB" w14:textId="77777777" w:rsidTr="00D94DC7">
        <w:tc>
          <w:tcPr>
            <w:tcW w:w="1728" w:type="dxa"/>
          </w:tcPr>
          <w:p w14:paraId="75D54DCF" w14:textId="77777777" w:rsidR="00D94DC7" w:rsidRPr="00C51E6C" w:rsidRDefault="00D94DC7" w:rsidP="00D94DC7">
            <w:pPr>
              <w:rPr>
                <w:sz w:val="22"/>
                <w:szCs w:val="22"/>
              </w:rPr>
            </w:pPr>
            <w:r w:rsidRPr="00C51E6C">
              <w:rPr>
                <w:sz w:val="22"/>
                <w:szCs w:val="22"/>
              </w:rPr>
              <w:t>Investigation/</w:t>
            </w:r>
          </w:p>
          <w:p w14:paraId="1316E83A" w14:textId="77777777" w:rsidR="00D94DC7" w:rsidRPr="00C51E6C" w:rsidRDefault="00D94DC7" w:rsidP="00D94DC7">
            <w:pPr>
              <w:rPr>
                <w:sz w:val="22"/>
                <w:szCs w:val="22"/>
              </w:rPr>
            </w:pPr>
            <w:r w:rsidRPr="00C51E6C">
              <w:rPr>
                <w:sz w:val="22"/>
                <w:szCs w:val="22"/>
              </w:rPr>
              <w:t>Alerting</w:t>
            </w:r>
          </w:p>
        </w:tc>
        <w:tc>
          <w:tcPr>
            <w:tcW w:w="7848" w:type="dxa"/>
          </w:tcPr>
          <w:p w14:paraId="70D7AD71" w14:textId="77777777" w:rsidR="00D94DC7" w:rsidRPr="00C51E6C" w:rsidRDefault="00D94DC7" w:rsidP="00D94DC7">
            <w:pPr>
              <w:rPr>
                <w:sz w:val="22"/>
                <w:szCs w:val="22"/>
              </w:rPr>
            </w:pPr>
            <w:r w:rsidRPr="00C51E6C">
              <w:rPr>
                <w:sz w:val="22"/>
                <w:szCs w:val="22"/>
              </w:rPr>
              <w:t>N/A</w:t>
            </w:r>
          </w:p>
        </w:tc>
      </w:tr>
      <w:tr w:rsidR="00D94DC7" w:rsidRPr="00C51E6C" w14:paraId="4DDE996C" w14:textId="77777777" w:rsidTr="00D94DC7">
        <w:tc>
          <w:tcPr>
            <w:tcW w:w="1728" w:type="dxa"/>
          </w:tcPr>
          <w:p w14:paraId="4D4F597C" w14:textId="77777777" w:rsidR="00D94DC7" w:rsidRPr="00C51E6C" w:rsidRDefault="00D94DC7" w:rsidP="00D94DC7">
            <w:pPr>
              <w:rPr>
                <w:sz w:val="22"/>
                <w:szCs w:val="22"/>
              </w:rPr>
            </w:pPr>
            <w:r w:rsidRPr="00C51E6C">
              <w:rPr>
                <w:sz w:val="22"/>
                <w:szCs w:val="22"/>
              </w:rPr>
              <w:t>Recognition</w:t>
            </w:r>
          </w:p>
        </w:tc>
        <w:tc>
          <w:tcPr>
            <w:tcW w:w="7848" w:type="dxa"/>
          </w:tcPr>
          <w:p w14:paraId="7828BCC4" w14:textId="77777777" w:rsidR="00D94DC7" w:rsidRPr="00C51E6C" w:rsidRDefault="00D94DC7" w:rsidP="00D94DC7">
            <w:pPr>
              <w:rPr>
                <w:sz w:val="22"/>
                <w:szCs w:val="22"/>
              </w:rPr>
            </w:pPr>
            <w:r w:rsidRPr="00C51E6C">
              <w:rPr>
                <w:sz w:val="22"/>
                <w:szCs w:val="22"/>
              </w:rPr>
              <w:t>N/A</w:t>
            </w:r>
          </w:p>
        </w:tc>
      </w:tr>
      <w:tr w:rsidR="00D94DC7" w:rsidRPr="00C51E6C" w14:paraId="4EE30DDC" w14:textId="77777777" w:rsidTr="00D94DC7">
        <w:tc>
          <w:tcPr>
            <w:tcW w:w="1728" w:type="dxa"/>
          </w:tcPr>
          <w:p w14:paraId="6FB0A590" w14:textId="77777777" w:rsidR="00D94DC7" w:rsidRPr="00C51E6C" w:rsidRDefault="00D94DC7" w:rsidP="00D94DC7">
            <w:pPr>
              <w:rPr>
                <w:sz w:val="22"/>
                <w:szCs w:val="22"/>
              </w:rPr>
            </w:pPr>
            <w:r w:rsidRPr="00C51E6C">
              <w:rPr>
                <w:sz w:val="22"/>
                <w:szCs w:val="22"/>
              </w:rPr>
              <w:t>Initiation</w:t>
            </w:r>
          </w:p>
        </w:tc>
        <w:tc>
          <w:tcPr>
            <w:tcW w:w="7848" w:type="dxa"/>
          </w:tcPr>
          <w:p w14:paraId="66CC83A4" w14:textId="77777777" w:rsidR="00D94DC7" w:rsidRPr="00C51E6C" w:rsidRDefault="00D94DC7" w:rsidP="00D94DC7">
            <w:pPr>
              <w:rPr>
                <w:sz w:val="22"/>
                <w:szCs w:val="22"/>
              </w:rPr>
            </w:pPr>
            <w:r w:rsidRPr="00C51E6C">
              <w:rPr>
                <w:sz w:val="22"/>
                <w:szCs w:val="22"/>
              </w:rPr>
              <w:t>N/A</w:t>
            </w:r>
          </w:p>
        </w:tc>
      </w:tr>
      <w:tr w:rsidR="00D94DC7" w:rsidRPr="00C51E6C" w14:paraId="6C7ED76A" w14:textId="77777777" w:rsidTr="00D94DC7">
        <w:tc>
          <w:tcPr>
            <w:tcW w:w="1728" w:type="dxa"/>
          </w:tcPr>
          <w:p w14:paraId="77977E3F" w14:textId="77777777" w:rsidR="00D94DC7" w:rsidRPr="00C51E6C" w:rsidRDefault="00D94DC7" w:rsidP="00D94DC7">
            <w:pPr>
              <w:rPr>
                <w:sz w:val="22"/>
                <w:szCs w:val="22"/>
              </w:rPr>
            </w:pPr>
            <w:r w:rsidRPr="00C51E6C">
              <w:rPr>
                <w:sz w:val="22"/>
                <w:szCs w:val="22"/>
              </w:rPr>
              <w:t>Acceleration</w:t>
            </w:r>
          </w:p>
        </w:tc>
        <w:tc>
          <w:tcPr>
            <w:tcW w:w="7848" w:type="dxa"/>
          </w:tcPr>
          <w:p w14:paraId="09D3221D" w14:textId="21BE431F" w:rsidR="00D94DC7" w:rsidRPr="00C51E6C" w:rsidRDefault="00D94DC7" w:rsidP="00D94DC7">
            <w:pPr>
              <w:numPr>
                <w:ilvl w:val="0"/>
                <w:numId w:val="74"/>
              </w:numPr>
              <w:ind w:left="342" w:hanging="180"/>
              <w:contextualSpacing/>
              <w:jc w:val="both"/>
              <w:rPr>
                <w:sz w:val="22"/>
                <w:szCs w:val="22"/>
              </w:rPr>
            </w:pPr>
            <w:r w:rsidRPr="00C51E6C">
              <w:rPr>
                <w:sz w:val="22"/>
                <w:szCs w:val="22"/>
              </w:rPr>
              <w:t>MDPH and EOPSS will monitor the adequacy and use of personal protective measures for first responders and ensure the first responder community receives timely and accurate information about risks and personal protection</w:t>
            </w:r>
          </w:p>
          <w:p w14:paraId="03D06351" w14:textId="1B21C53F" w:rsidR="00D94DC7" w:rsidRPr="00050DCF" w:rsidRDefault="00D94DC7" w:rsidP="00D94DC7">
            <w:pPr>
              <w:pStyle w:val="ListParagraph"/>
              <w:numPr>
                <w:ilvl w:val="0"/>
                <w:numId w:val="82"/>
              </w:numPr>
              <w:ind w:left="342" w:hanging="180"/>
              <w:rPr>
                <w:sz w:val="22"/>
                <w:szCs w:val="22"/>
              </w:rPr>
            </w:pPr>
            <w:r w:rsidRPr="00050DCF">
              <w:rPr>
                <w:sz w:val="22"/>
                <w:szCs w:val="22"/>
              </w:rPr>
              <w:t>MDPH, EOPSS and DMH may consider collaborating to provide crisis support services as needed to support any responders that have been affected by the infectious disease emergency</w:t>
            </w:r>
          </w:p>
        </w:tc>
      </w:tr>
      <w:tr w:rsidR="00D94DC7" w:rsidRPr="00C51E6C" w14:paraId="31C762BC" w14:textId="77777777" w:rsidTr="00D94DC7">
        <w:trPr>
          <w:trHeight w:val="64"/>
        </w:trPr>
        <w:tc>
          <w:tcPr>
            <w:tcW w:w="1728" w:type="dxa"/>
          </w:tcPr>
          <w:p w14:paraId="591AF82A" w14:textId="77777777" w:rsidR="00D94DC7" w:rsidRPr="00C51E6C" w:rsidRDefault="00D94DC7" w:rsidP="00D94DC7">
            <w:pPr>
              <w:rPr>
                <w:sz w:val="22"/>
                <w:szCs w:val="22"/>
              </w:rPr>
            </w:pPr>
            <w:r w:rsidRPr="00C51E6C">
              <w:rPr>
                <w:sz w:val="22"/>
                <w:szCs w:val="22"/>
              </w:rPr>
              <w:lastRenderedPageBreak/>
              <w:t>Demobilization</w:t>
            </w:r>
          </w:p>
        </w:tc>
        <w:tc>
          <w:tcPr>
            <w:tcW w:w="7848" w:type="dxa"/>
          </w:tcPr>
          <w:p w14:paraId="7AAF4A6E" w14:textId="77777777" w:rsidR="00D94DC7" w:rsidRPr="00C51E6C" w:rsidRDefault="00D94DC7" w:rsidP="00D94DC7">
            <w:pPr>
              <w:contextualSpacing/>
              <w:rPr>
                <w:sz w:val="22"/>
                <w:szCs w:val="22"/>
              </w:rPr>
            </w:pPr>
            <w:r w:rsidRPr="00C51E6C">
              <w:rPr>
                <w:sz w:val="22"/>
                <w:szCs w:val="22"/>
              </w:rPr>
              <w:t>N/A</w:t>
            </w:r>
          </w:p>
        </w:tc>
      </w:tr>
    </w:tbl>
    <w:p w14:paraId="49239B0A" w14:textId="77777777" w:rsidR="00D94DC7" w:rsidRPr="00C51E6C" w:rsidRDefault="00D94DC7" w:rsidP="00D94DC7">
      <w:pPr>
        <w:keepNext/>
        <w:keepLines/>
        <w:spacing w:before="200" w:after="0"/>
        <w:contextualSpacing/>
        <w:outlineLvl w:val="1"/>
        <w:rPr>
          <w:rFonts w:asciiTheme="majorHAnsi" w:eastAsiaTheme="majorEastAsia" w:hAnsiTheme="majorHAnsi" w:cstheme="majorBidi"/>
          <w:b/>
          <w:bCs/>
          <w:color w:val="4F81BD" w:themeColor="accent1"/>
          <w:sz w:val="26"/>
          <w:szCs w:val="26"/>
        </w:rPr>
      </w:pPr>
    </w:p>
    <w:p w14:paraId="75FFB92E" w14:textId="77777777" w:rsidR="00D94DC7" w:rsidRPr="00F53AFB" w:rsidRDefault="00D94DC7" w:rsidP="00D94DC7">
      <w:pPr>
        <w:pStyle w:val="Heading4"/>
        <w:rPr>
          <w:sz w:val="24"/>
          <w:szCs w:val="24"/>
        </w:rPr>
      </w:pPr>
      <w:bookmarkStart w:id="883" w:name="_Toc486492408"/>
      <w:bookmarkStart w:id="884" w:name="_Toc486499904"/>
      <w:bookmarkStart w:id="885" w:name="_Toc486501080"/>
      <w:bookmarkStart w:id="886" w:name="_Toc486516540"/>
      <w:bookmarkStart w:id="887" w:name="_Toc486577795"/>
      <w:bookmarkStart w:id="888" w:name="_Toc486579001"/>
      <w:r w:rsidRPr="00F53AFB">
        <w:rPr>
          <w:sz w:val="24"/>
          <w:szCs w:val="24"/>
        </w:rPr>
        <w:t>Law Enforcement</w:t>
      </w:r>
      <w:bookmarkEnd w:id="883"/>
      <w:bookmarkEnd w:id="884"/>
      <w:bookmarkEnd w:id="885"/>
      <w:bookmarkEnd w:id="886"/>
      <w:bookmarkEnd w:id="887"/>
      <w:bookmarkEnd w:id="888"/>
    </w:p>
    <w:p w14:paraId="6E6FFEC9" w14:textId="77777777" w:rsidR="00D94DC7" w:rsidRPr="00C51E6C" w:rsidRDefault="00D94DC7" w:rsidP="00D94DC7">
      <w:pPr>
        <w:numPr>
          <w:ilvl w:val="0"/>
          <w:numId w:val="35"/>
        </w:numPr>
        <w:ind w:left="810"/>
        <w:contextualSpacing/>
      </w:pPr>
      <w:r w:rsidRPr="00C51E6C">
        <w:t>Federal Bureau of Investigation (FBI)</w:t>
      </w:r>
    </w:p>
    <w:p w14:paraId="598E6692" w14:textId="77777777" w:rsidR="00D94DC7" w:rsidRPr="00C51E6C" w:rsidRDefault="00D94DC7" w:rsidP="00D94DC7">
      <w:pPr>
        <w:numPr>
          <w:ilvl w:val="0"/>
          <w:numId w:val="35"/>
        </w:numPr>
        <w:ind w:left="810"/>
        <w:contextualSpacing/>
      </w:pPr>
      <w:r w:rsidRPr="00C51E6C">
        <w:t>Secretary, Executive Office of Public Safety and Security (EOPSS)</w:t>
      </w:r>
    </w:p>
    <w:p w14:paraId="4701CB20" w14:textId="77777777" w:rsidR="00D94DC7" w:rsidRPr="00C51E6C" w:rsidRDefault="00D94DC7" w:rsidP="00D94DC7">
      <w:pPr>
        <w:numPr>
          <w:ilvl w:val="0"/>
          <w:numId w:val="35"/>
        </w:numPr>
        <w:ind w:left="810"/>
        <w:contextualSpacing/>
      </w:pPr>
      <w:r w:rsidRPr="00C51E6C">
        <w:t>Massachusetts State Police (MSP)</w:t>
      </w:r>
    </w:p>
    <w:p w14:paraId="2ADA6D88" w14:textId="77777777" w:rsidR="00D94DC7" w:rsidRPr="00C51E6C" w:rsidRDefault="00D94DC7" w:rsidP="00D94DC7">
      <w:pPr>
        <w:numPr>
          <w:ilvl w:val="0"/>
          <w:numId w:val="35"/>
        </w:numPr>
        <w:ind w:left="810"/>
        <w:contextualSpacing/>
      </w:pPr>
      <w:r w:rsidRPr="00C51E6C">
        <w:t xml:space="preserve">Massachusetts Chiefs of Police Association </w:t>
      </w:r>
    </w:p>
    <w:p w14:paraId="18A8CB42" w14:textId="77777777" w:rsidR="00D94DC7" w:rsidRPr="00C51E6C" w:rsidRDefault="00D94DC7" w:rsidP="00D94DC7">
      <w:pPr>
        <w:numPr>
          <w:ilvl w:val="0"/>
          <w:numId w:val="35"/>
        </w:numPr>
        <w:ind w:left="810"/>
        <w:contextualSpacing/>
      </w:pPr>
      <w:r w:rsidRPr="00C51E6C">
        <w:t>Massachusetts Police Association</w:t>
      </w:r>
    </w:p>
    <w:p w14:paraId="1E8A5614" w14:textId="77777777" w:rsidR="00D94DC7" w:rsidRPr="00C51E6C" w:rsidRDefault="00D94DC7" w:rsidP="00D94DC7">
      <w:pPr>
        <w:numPr>
          <w:ilvl w:val="0"/>
          <w:numId w:val="35"/>
        </w:numPr>
        <w:ind w:left="810"/>
        <w:contextualSpacing/>
      </w:pPr>
      <w:r w:rsidRPr="00C51E6C">
        <w:t>Department of Corrections and County Jails</w:t>
      </w:r>
    </w:p>
    <w:p w14:paraId="3C151276" w14:textId="77777777" w:rsidR="00D94DC7" w:rsidRPr="00C51E6C" w:rsidRDefault="00D94DC7" w:rsidP="00D94DC7">
      <w:pPr>
        <w:numPr>
          <w:ilvl w:val="0"/>
          <w:numId w:val="35"/>
        </w:numPr>
        <w:ind w:left="810"/>
        <w:contextualSpacing/>
      </w:pPr>
      <w:r w:rsidRPr="00C51E6C">
        <w:t xml:space="preserve">Local law enforcement agencies </w:t>
      </w:r>
    </w:p>
    <w:p w14:paraId="0F720080" w14:textId="77777777" w:rsidR="00D94DC7" w:rsidRPr="00C51E6C" w:rsidRDefault="00D94DC7" w:rsidP="00D94DC7">
      <w:pPr>
        <w:ind w:left="720"/>
        <w:contextualSpacing/>
      </w:pPr>
    </w:p>
    <w:tbl>
      <w:tblPr>
        <w:tblStyle w:val="TableGrid1"/>
        <w:tblW w:w="0" w:type="auto"/>
        <w:tblLayout w:type="fixed"/>
        <w:tblLook w:val="04A0" w:firstRow="1" w:lastRow="0" w:firstColumn="1" w:lastColumn="0" w:noHBand="0" w:noVBand="1"/>
      </w:tblPr>
      <w:tblGrid>
        <w:gridCol w:w="1728"/>
        <w:gridCol w:w="7848"/>
      </w:tblGrid>
      <w:tr w:rsidR="00D94DC7" w:rsidRPr="00C51E6C" w14:paraId="07C3DFDE" w14:textId="77777777" w:rsidTr="00D94DC7">
        <w:tc>
          <w:tcPr>
            <w:tcW w:w="1728" w:type="dxa"/>
          </w:tcPr>
          <w:p w14:paraId="2389FADB" w14:textId="77777777" w:rsidR="00D94DC7" w:rsidRPr="00C51E6C" w:rsidRDefault="00D94DC7" w:rsidP="00D94DC7">
            <w:pPr>
              <w:contextualSpacing/>
              <w:rPr>
                <w:sz w:val="22"/>
                <w:szCs w:val="22"/>
              </w:rPr>
            </w:pPr>
            <w:r w:rsidRPr="00C51E6C">
              <w:rPr>
                <w:sz w:val="22"/>
                <w:szCs w:val="22"/>
              </w:rPr>
              <w:t>Preparation</w:t>
            </w:r>
          </w:p>
        </w:tc>
        <w:tc>
          <w:tcPr>
            <w:tcW w:w="7848" w:type="dxa"/>
          </w:tcPr>
          <w:p w14:paraId="7F695A8D" w14:textId="77777777" w:rsidR="00D94DC7" w:rsidRPr="00C51E6C" w:rsidRDefault="00D94DC7" w:rsidP="00D94DC7">
            <w:pPr>
              <w:rPr>
                <w:sz w:val="22"/>
                <w:szCs w:val="22"/>
              </w:rPr>
            </w:pPr>
            <w:r w:rsidRPr="00C51E6C">
              <w:rPr>
                <w:sz w:val="22"/>
                <w:szCs w:val="22"/>
              </w:rPr>
              <w:t>N/A</w:t>
            </w:r>
          </w:p>
        </w:tc>
      </w:tr>
      <w:tr w:rsidR="00D94DC7" w:rsidRPr="00C51E6C" w14:paraId="6CFCC89B" w14:textId="77777777" w:rsidTr="00D94DC7">
        <w:tc>
          <w:tcPr>
            <w:tcW w:w="1728" w:type="dxa"/>
          </w:tcPr>
          <w:p w14:paraId="006FF8E1" w14:textId="77777777" w:rsidR="00D94DC7" w:rsidRPr="00C51E6C" w:rsidRDefault="00D94DC7" w:rsidP="00D94DC7">
            <w:pPr>
              <w:rPr>
                <w:sz w:val="22"/>
                <w:szCs w:val="22"/>
              </w:rPr>
            </w:pPr>
            <w:r w:rsidRPr="00C51E6C">
              <w:rPr>
                <w:sz w:val="22"/>
                <w:szCs w:val="22"/>
              </w:rPr>
              <w:t>Investigation/</w:t>
            </w:r>
          </w:p>
          <w:p w14:paraId="62AB902D" w14:textId="77777777" w:rsidR="00D94DC7" w:rsidRPr="00C51E6C" w:rsidRDefault="00D94DC7" w:rsidP="00D94DC7">
            <w:pPr>
              <w:rPr>
                <w:sz w:val="22"/>
                <w:szCs w:val="22"/>
              </w:rPr>
            </w:pPr>
            <w:r w:rsidRPr="00C51E6C">
              <w:rPr>
                <w:sz w:val="22"/>
                <w:szCs w:val="22"/>
              </w:rPr>
              <w:t>Alerting</w:t>
            </w:r>
          </w:p>
        </w:tc>
        <w:tc>
          <w:tcPr>
            <w:tcW w:w="7848" w:type="dxa"/>
          </w:tcPr>
          <w:p w14:paraId="6AC6F047" w14:textId="77777777" w:rsidR="00D94DC7" w:rsidRPr="00C51E6C" w:rsidRDefault="00D94DC7" w:rsidP="00D94DC7">
            <w:pPr>
              <w:rPr>
                <w:sz w:val="22"/>
                <w:szCs w:val="22"/>
              </w:rPr>
            </w:pPr>
            <w:r w:rsidRPr="00C51E6C">
              <w:rPr>
                <w:sz w:val="22"/>
                <w:szCs w:val="22"/>
              </w:rPr>
              <w:t>N/A</w:t>
            </w:r>
          </w:p>
        </w:tc>
      </w:tr>
      <w:tr w:rsidR="00D94DC7" w:rsidRPr="00C51E6C" w14:paraId="24E34286" w14:textId="77777777" w:rsidTr="00D94DC7">
        <w:tc>
          <w:tcPr>
            <w:tcW w:w="1728" w:type="dxa"/>
          </w:tcPr>
          <w:p w14:paraId="38A8C30B" w14:textId="77777777" w:rsidR="00D94DC7" w:rsidRPr="00C51E6C" w:rsidRDefault="00D94DC7" w:rsidP="00D94DC7">
            <w:pPr>
              <w:rPr>
                <w:sz w:val="22"/>
                <w:szCs w:val="22"/>
              </w:rPr>
            </w:pPr>
            <w:r w:rsidRPr="00C51E6C">
              <w:rPr>
                <w:sz w:val="22"/>
                <w:szCs w:val="22"/>
              </w:rPr>
              <w:t>Recognition</w:t>
            </w:r>
          </w:p>
        </w:tc>
        <w:tc>
          <w:tcPr>
            <w:tcW w:w="7848" w:type="dxa"/>
          </w:tcPr>
          <w:p w14:paraId="3D4F43A7" w14:textId="77777777" w:rsidR="00D94DC7" w:rsidRPr="00C51E6C" w:rsidRDefault="00D94DC7" w:rsidP="00D94DC7">
            <w:pPr>
              <w:rPr>
                <w:sz w:val="22"/>
                <w:szCs w:val="22"/>
              </w:rPr>
            </w:pPr>
            <w:r w:rsidRPr="00C51E6C">
              <w:rPr>
                <w:sz w:val="22"/>
                <w:szCs w:val="22"/>
              </w:rPr>
              <w:t>N/A</w:t>
            </w:r>
          </w:p>
        </w:tc>
      </w:tr>
      <w:tr w:rsidR="00D94DC7" w:rsidRPr="00C51E6C" w14:paraId="58C59912" w14:textId="77777777" w:rsidTr="00D94DC7">
        <w:tc>
          <w:tcPr>
            <w:tcW w:w="1728" w:type="dxa"/>
          </w:tcPr>
          <w:p w14:paraId="3D7BD4E3" w14:textId="77777777" w:rsidR="00D94DC7" w:rsidRPr="00C51E6C" w:rsidRDefault="00D94DC7" w:rsidP="00D94DC7">
            <w:pPr>
              <w:rPr>
                <w:sz w:val="22"/>
                <w:szCs w:val="22"/>
              </w:rPr>
            </w:pPr>
            <w:r w:rsidRPr="00C51E6C">
              <w:rPr>
                <w:sz w:val="22"/>
                <w:szCs w:val="22"/>
              </w:rPr>
              <w:t>Initiation</w:t>
            </w:r>
          </w:p>
        </w:tc>
        <w:tc>
          <w:tcPr>
            <w:tcW w:w="7848" w:type="dxa"/>
          </w:tcPr>
          <w:p w14:paraId="52A2E9DF" w14:textId="7998BDB7" w:rsidR="00D94DC7" w:rsidRPr="00C51E6C" w:rsidRDefault="00D94DC7" w:rsidP="00D94DC7">
            <w:pPr>
              <w:numPr>
                <w:ilvl w:val="0"/>
                <w:numId w:val="69"/>
              </w:numPr>
              <w:ind w:left="356" w:hanging="180"/>
              <w:contextualSpacing/>
              <w:jc w:val="both"/>
              <w:rPr>
                <w:sz w:val="22"/>
                <w:szCs w:val="22"/>
              </w:rPr>
            </w:pPr>
            <w:r w:rsidRPr="00C51E6C">
              <w:rPr>
                <w:sz w:val="22"/>
                <w:szCs w:val="22"/>
              </w:rPr>
              <w:t>MDPH may consider communicating any recommendations related to potential social distancing interventions that may be indicated to MEMA, EOPSS and MSP</w:t>
            </w:r>
          </w:p>
          <w:p w14:paraId="4EF2EEF2" w14:textId="73B30409" w:rsidR="00D94DC7" w:rsidRPr="00050DCF" w:rsidRDefault="00D94DC7" w:rsidP="00D94DC7">
            <w:pPr>
              <w:pStyle w:val="ListParagraph"/>
              <w:numPr>
                <w:ilvl w:val="0"/>
                <w:numId w:val="83"/>
              </w:numPr>
              <w:ind w:left="342" w:hanging="180"/>
              <w:rPr>
                <w:sz w:val="22"/>
                <w:szCs w:val="22"/>
              </w:rPr>
            </w:pPr>
            <w:r w:rsidRPr="00050DCF">
              <w:rPr>
                <w:sz w:val="22"/>
                <w:szCs w:val="22"/>
              </w:rPr>
              <w:t>MDPH may consider coordinating with Department of Environmental Protection (DEP) and/or MSP relating to discussion of any necessary transportation of Category A or other infectious clinical sample and/or waste materials</w:t>
            </w:r>
          </w:p>
        </w:tc>
      </w:tr>
      <w:tr w:rsidR="00D94DC7" w:rsidRPr="00C51E6C" w14:paraId="2BB524C5" w14:textId="77777777" w:rsidTr="00D94DC7">
        <w:tc>
          <w:tcPr>
            <w:tcW w:w="1728" w:type="dxa"/>
          </w:tcPr>
          <w:p w14:paraId="2F8E3B9B" w14:textId="77777777" w:rsidR="00D94DC7" w:rsidRPr="00C51E6C" w:rsidRDefault="00D94DC7" w:rsidP="00D94DC7">
            <w:pPr>
              <w:rPr>
                <w:sz w:val="22"/>
                <w:szCs w:val="22"/>
              </w:rPr>
            </w:pPr>
            <w:r w:rsidRPr="00C51E6C">
              <w:rPr>
                <w:sz w:val="22"/>
                <w:szCs w:val="22"/>
              </w:rPr>
              <w:t>Acceleration</w:t>
            </w:r>
          </w:p>
        </w:tc>
        <w:tc>
          <w:tcPr>
            <w:tcW w:w="7848" w:type="dxa"/>
          </w:tcPr>
          <w:p w14:paraId="7E916AA4" w14:textId="35AEBABE" w:rsidR="00D94DC7" w:rsidRPr="00050DCF" w:rsidRDefault="00D94DC7" w:rsidP="00D94DC7">
            <w:pPr>
              <w:pStyle w:val="ListParagraph"/>
              <w:numPr>
                <w:ilvl w:val="0"/>
                <w:numId w:val="83"/>
              </w:numPr>
              <w:ind w:left="342" w:hanging="180"/>
              <w:rPr>
                <w:sz w:val="22"/>
                <w:szCs w:val="22"/>
              </w:rPr>
            </w:pPr>
            <w:r w:rsidRPr="00050DCF">
              <w:rPr>
                <w:sz w:val="22"/>
                <w:szCs w:val="22"/>
              </w:rPr>
              <w:t>For any incident where there is suspicion of an intentional use of biological agents, MDPH may coordinate actions with the relevant federal, state and local law enforcement agencies.  MDPH, EOPSS and DMH may collaborate to provide crisis support services as needed to support any responders that have been affected by the infectious disease emergency</w:t>
            </w:r>
          </w:p>
        </w:tc>
      </w:tr>
      <w:tr w:rsidR="00D94DC7" w:rsidRPr="00C51E6C" w14:paraId="7F77FAF2" w14:textId="77777777" w:rsidTr="00D94DC7">
        <w:tc>
          <w:tcPr>
            <w:tcW w:w="1728" w:type="dxa"/>
          </w:tcPr>
          <w:p w14:paraId="5F505189" w14:textId="77777777" w:rsidR="00D94DC7" w:rsidRPr="00C51E6C" w:rsidRDefault="00D94DC7" w:rsidP="00D94DC7">
            <w:pPr>
              <w:rPr>
                <w:sz w:val="22"/>
                <w:szCs w:val="22"/>
              </w:rPr>
            </w:pPr>
            <w:r w:rsidRPr="00C51E6C">
              <w:rPr>
                <w:sz w:val="22"/>
                <w:szCs w:val="22"/>
              </w:rPr>
              <w:t>Demobilization</w:t>
            </w:r>
          </w:p>
        </w:tc>
        <w:tc>
          <w:tcPr>
            <w:tcW w:w="7848" w:type="dxa"/>
          </w:tcPr>
          <w:p w14:paraId="2754E8E9" w14:textId="77777777" w:rsidR="00D94DC7" w:rsidRPr="00C51E6C" w:rsidRDefault="00D94DC7" w:rsidP="00D94DC7">
            <w:pPr>
              <w:contextualSpacing/>
              <w:rPr>
                <w:sz w:val="22"/>
                <w:szCs w:val="22"/>
              </w:rPr>
            </w:pPr>
            <w:r w:rsidRPr="00C51E6C">
              <w:rPr>
                <w:sz w:val="22"/>
                <w:szCs w:val="22"/>
              </w:rPr>
              <w:t>N/A</w:t>
            </w:r>
          </w:p>
        </w:tc>
      </w:tr>
    </w:tbl>
    <w:p w14:paraId="38E320FB" w14:textId="77777777" w:rsidR="00D94DC7" w:rsidRPr="00C51E6C" w:rsidRDefault="00D94DC7" w:rsidP="00D94DC7">
      <w:pPr>
        <w:keepNext/>
        <w:keepLines/>
        <w:spacing w:before="200" w:after="0"/>
        <w:contextualSpacing/>
        <w:outlineLvl w:val="1"/>
        <w:rPr>
          <w:rFonts w:asciiTheme="majorHAnsi" w:eastAsiaTheme="majorEastAsia" w:hAnsiTheme="majorHAnsi" w:cstheme="majorBidi"/>
          <w:b/>
          <w:bCs/>
          <w:color w:val="4F81BD" w:themeColor="accent1"/>
          <w:sz w:val="26"/>
          <w:szCs w:val="26"/>
        </w:rPr>
      </w:pPr>
      <w:bookmarkStart w:id="889" w:name="_Toc486492409"/>
      <w:bookmarkStart w:id="890" w:name="_Toc486499905"/>
      <w:bookmarkStart w:id="891" w:name="_Toc486501081"/>
      <w:bookmarkStart w:id="892" w:name="_Toc486516541"/>
      <w:bookmarkStart w:id="893" w:name="_Toc486577796"/>
      <w:bookmarkStart w:id="894" w:name="_Toc486579002"/>
    </w:p>
    <w:p w14:paraId="7C751BD1" w14:textId="77777777" w:rsidR="00D94DC7" w:rsidRPr="00F53AFB" w:rsidRDefault="00D94DC7" w:rsidP="00D94DC7">
      <w:pPr>
        <w:pStyle w:val="Heading4"/>
        <w:rPr>
          <w:sz w:val="24"/>
          <w:szCs w:val="24"/>
        </w:rPr>
      </w:pPr>
      <w:r w:rsidRPr="00F53AFB">
        <w:rPr>
          <w:sz w:val="24"/>
          <w:szCs w:val="24"/>
        </w:rPr>
        <w:t>Military Services</w:t>
      </w:r>
      <w:bookmarkEnd w:id="889"/>
      <w:bookmarkEnd w:id="890"/>
      <w:bookmarkEnd w:id="891"/>
      <w:bookmarkEnd w:id="892"/>
      <w:bookmarkEnd w:id="893"/>
      <w:bookmarkEnd w:id="894"/>
    </w:p>
    <w:p w14:paraId="33B90A93" w14:textId="77777777" w:rsidR="00D94DC7" w:rsidRPr="00C51E6C" w:rsidRDefault="00D94DC7" w:rsidP="00D94DC7">
      <w:pPr>
        <w:numPr>
          <w:ilvl w:val="0"/>
          <w:numId w:val="36"/>
        </w:numPr>
        <w:ind w:left="810"/>
        <w:contextualSpacing/>
      </w:pPr>
      <w:r w:rsidRPr="00C51E6C">
        <w:t xml:space="preserve">Massachusetts National Guard </w:t>
      </w:r>
    </w:p>
    <w:p w14:paraId="5CD78796" w14:textId="77777777" w:rsidR="00D94DC7" w:rsidRPr="00C51E6C" w:rsidRDefault="00D94DC7" w:rsidP="00D94DC7">
      <w:pPr>
        <w:keepNext/>
        <w:keepLines/>
        <w:spacing w:before="200" w:after="0"/>
        <w:ind w:left="360"/>
        <w:jc w:val="both"/>
        <w:outlineLvl w:val="1"/>
        <w:rPr>
          <w:rFonts w:asciiTheme="majorHAnsi" w:eastAsiaTheme="majorEastAsia" w:hAnsiTheme="majorHAnsi" w:cstheme="majorBidi"/>
          <w:b/>
          <w:bCs/>
          <w:color w:val="4F81BD" w:themeColor="accent1"/>
          <w:sz w:val="26"/>
          <w:szCs w:val="26"/>
        </w:rPr>
      </w:pPr>
    </w:p>
    <w:tbl>
      <w:tblPr>
        <w:tblStyle w:val="TableGrid1"/>
        <w:tblW w:w="0" w:type="auto"/>
        <w:tblLayout w:type="fixed"/>
        <w:tblLook w:val="04A0" w:firstRow="1" w:lastRow="0" w:firstColumn="1" w:lastColumn="0" w:noHBand="0" w:noVBand="1"/>
      </w:tblPr>
      <w:tblGrid>
        <w:gridCol w:w="1728"/>
        <w:gridCol w:w="7848"/>
      </w:tblGrid>
      <w:tr w:rsidR="00D94DC7" w:rsidRPr="00C51E6C" w14:paraId="584F6792" w14:textId="77777777" w:rsidTr="00D94DC7">
        <w:tc>
          <w:tcPr>
            <w:tcW w:w="1728" w:type="dxa"/>
          </w:tcPr>
          <w:p w14:paraId="53796BB2" w14:textId="77777777" w:rsidR="00D94DC7" w:rsidRPr="00C51E6C" w:rsidRDefault="00D94DC7" w:rsidP="00D94DC7">
            <w:pPr>
              <w:contextualSpacing/>
              <w:rPr>
                <w:sz w:val="22"/>
                <w:szCs w:val="22"/>
              </w:rPr>
            </w:pPr>
            <w:r w:rsidRPr="00C51E6C">
              <w:rPr>
                <w:sz w:val="22"/>
                <w:szCs w:val="22"/>
              </w:rPr>
              <w:t>Preparation</w:t>
            </w:r>
          </w:p>
        </w:tc>
        <w:tc>
          <w:tcPr>
            <w:tcW w:w="7848" w:type="dxa"/>
          </w:tcPr>
          <w:p w14:paraId="74255C36" w14:textId="77777777" w:rsidR="00D94DC7" w:rsidRPr="00C51E6C" w:rsidRDefault="00D94DC7" w:rsidP="00D94DC7">
            <w:pPr>
              <w:rPr>
                <w:sz w:val="22"/>
                <w:szCs w:val="22"/>
              </w:rPr>
            </w:pPr>
            <w:r w:rsidRPr="00C51E6C">
              <w:rPr>
                <w:sz w:val="22"/>
                <w:szCs w:val="22"/>
              </w:rPr>
              <w:t>N/A</w:t>
            </w:r>
          </w:p>
        </w:tc>
      </w:tr>
      <w:tr w:rsidR="00D94DC7" w:rsidRPr="00C51E6C" w14:paraId="07AB411C" w14:textId="77777777" w:rsidTr="00D94DC7">
        <w:tc>
          <w:tcPr>
            <w:tcW w:w="1728" w:type="dxa"/>
          </w:tcPr>
          <w:p w14:paraId="794531B7" w14:textId="77777777" w:rsidR="00D94DC7" w:rsidRPr="00C51E6C" w:rsidRDefault="00D94DC7" w:rsidP="00D94DC7">
            <w:pPr>
              <w:rPr>
                <w:sz w:val="22"/>
                <w:szCs w:val="22"/>
              </w:rPr>
            </w:pPr>
            <w:r w:rsidRPr="00C51E6C">
              <w:rPr>
                <w:sz w:val="22"/>
                <w:szCs w:val="22"/>
              </w:rPr>
              <w:t>Investigation/</w:t>
            </w:r>
          </w:p>
          <w:p w14:paraId="6E9125F9" w14:textId="77777777" w:rsidR="00D94DC7" w:rsidRPr="00C51E6C" w:rsidRDefault="00D94DC7" w:rsidP="00D94DC7">
            <w:pPr>
              <w:rPr>
                <w:sz w:val="22"/>
                <w:szCs w:val="22"/>
              </w:rPr>
            </w:pPr>
            <w:r w:rsidRPr="00C51E6C">
              <w:rPr>
                <w:sz w:val="22"/>
                <w:szCs w:val="22"/>
              </w:rPr>
              <w:t>Alerting</w:t>
            </w:r>
          </w:p>
        </w:tc>
        <w:tc>
          <w:tcPr>
            <w:tcW w:w="7848" w:type="dxa"/>
          </w:tcPr>
          <w:p w14:paraId="516AC242" w14:textId="0B3ECD0A" w:rsidR="00D94DC7" w:rsidRPr="00050DCF" w:rsidRDefault="00D94DC7" w:rsidP="00D94DC7">
            <w:pPr>
              <w:pStyle w:val="ListParagraph"/>
              <w:numPr>
                <w:ilvl w:val="0"/>
                <w:numId w:val="36"/>
              </w:numPr>
              <w:ind w:left="342" w:hanging="180"/>
              <w:rPr>
                <w:sz w:val="22"/>
                <w:szCs w:val="22"/>
              </w:rPr>
            </w:pPr>
            <w:r w:rsidRPr="00050DCF">
              <w:rPr>
                <w:sz w:val="22"/>
                <w:szCs w:val="22"/>
              </w:rPr>
              <w:t>If an intentional release of a biological agent is suspected, the FBI will be the lead agency for investigation. MDPH will coordinate with the FBI on public health issues pertaining to the infectious disease event.  National Guard assets may be called upon by the Governor to assist with the identification of CBRNE agents and/or substances, assessment of current and projected consequences, and advisement on response measures</w:t>
            </w:r>
          </w:p>
        </w:tc>
      </w:tr>
      <w:tr w:rsidR="00D94DC7" w:rsidRPr="00C51E6C" w14:paraId="265A73D4" w14:textId="77777777" w:rsidTr="00D94DC7">
        <w:tc>
          <w:tcPr>
            <w:tcW w:w="1728" w:type="dxa"/>
          </w:tcPr>
          <w:p w14:paraId="4FED8E90" w14:textId="77777777" w:rsidR="00D94DC7" w:rsidRPr="00C51E6C" w:rsidRDefault="00D94DC7" w:rsidP="00D94DC7">
            <w:pPr>
              <w:rPr>
                <w:sz w:val="22"/>
                <w:szCs w:val="22"/>
              </w:rPr>
            </w:pPr>
            <w:r w:rsidRPr="00C51E6C">
              <w:rPr>
                <w:sz w:val="22"/>
                <w:szCs w:val="22"/>
              </w:rPr>
              <w:t>Recognition</w:t>
            </w:r>
          </w:p>
        </w:tc>
        <w:tc>
          <w:tcPr>
            <w:tcW w:w="7848" w:type="dxa"/>
          </w:tcPr>
          <w:p w14:paraId="6782F769" w14:textId="77777777" w:rsidR="00D94DC7" w:rsidRPr="00C51E6C" w:rsidRDefault="00D94DC7" w:rsidP="00D94DC7">
            <w:pPr>
              <w:rPr>
                <w:sz w:val="22"/>
                <w:szCs w:val="22"/>
              </w:rPr>
            </w:pPr>
            <w:r w:rsidRPr="00C51E6C">
              <w:rPr>
                <w:sz w:val="22"/>
                <w:szCs w:val="22"/>
              </w:rPr>
              <w:t>N/A</w:t>
            </w:r>
          </w:p>
        </w:tc>
      </w:tr>
      <w:tr w:rsidR="00D94DC7" w:rsidRPr="00C51E6C" w14:paraId="0E4D0305" w14:textId="77777777" w:rsidTr="00D94DC7">
        <w:tc>
          <w:tcPr>
            <w:tcW w:w="1728" w:type="dxa"/>
          </w:tcPr>
          <w:p w14:paraId="771A4914" w14:textId="77777777" w:rsidR="00D94DC7" w:rsidRPr="00C51E6C" w:rsidRDefault="00D94DC7" w:rsidP="00D94DC7">
            <w:pPr>
              <w:rPr>
                <w:sz w:val="22"/>
                <w:szCs w:val="22"/>
              </w:rPr>
            </w:pPr>
            <w:r w:rsidRPr="00C51E6C">
              <w:rPr>
                <w:sz w:val="22"/>
                <w:szCs w:val="22"/>
              </w:rPr>
              <w:t>Initiation</w:t>
            </w:r>
          </w:p>
        </w:tc>
        <w:tc>
          <w:tcPr>
            <w:tcW w:w="7848" w:type="dxa"/>
          </w:tcPr>
          <w:p w14:paraId="467285E4" w14:textId="77777777" w:rsidR="00D94DC7" w:rsidRPr="00C51E6C" w:rsidRDefault="00D94DC7" w:rsidP="00D94DC7">
            <w:pPr>
              <w:numPr>
                <w:ilvl w:val="0"/>
                <w:numId w:val="34"/>
              </w:numPr>
              <w:ind w:left="268" w:hanging="180"/>
              <w:contextualSpacing/>
              <w:rPr>
                <w:sz w:val="22"/>
                <w:szCs w:val="22"/>
              </w:rPr>
            </w:pPr>
            <w:r w:rsidRPr="00C51E6C">
              <w:rPr>
                <w:sz w:val="22"/>
                <w:szCs w:val="22"/>
              </w:rPr>
              <w:t>MDPH may consider providing closed EDS guidance as requested to the National Guard in the case that antivirals, antibiotics or antidotes are required and available for dispensing, as appropriate for the infectious disease emergency.</w:t>
            </w:r>
          </w:p>
          <w:p w14:paraId="32875ECF" w14:textId="034CAD16" w:rsidR="00D94DC7" w:rsidRPr="00C51E6C" w:rsidRDefault="00D94DC7" w:rsidP="00D94DC7">
            <w:pPr>
              <w:ind w:left="266"/>
              <w:contextualSpacing/>
              <w:rPr>
                <w:sz w:val="22"/>
                <w:szCs w:val="22"/>
              </w:rPr>
            </w:pPr>
            <w:r w:rsidRPr="00C51E6C">
              <w:rPr>
                <w:sz w:val="22"/>
                <w:szCs w:val="22"/>
              </w:rPr>
              <w:t xml:space="preserve">MDPH may consider coordinating with MEMA, the National Guard, and other security partners to anticipate the need for and logistics surrounding the mass dispensing of pharmaceuticals, </w:t>
            </w:r>
            <w:r w:rsidR="00CB25FE" w:rsidRPr="00C51E6C">
              <w:rPr>
                <w:sz w:val="22"/>
                <w:szCs w:val="22"/>
              </w:rPr>
              <w:t>cancellation</w:t>
            </w:r>
            <w:r w:rsidRPr="00C51E6C">
              <w:rPr>
                <w:sz w:val="22"/>
                <w:szCs w:val="22"/>
              </w:rPr>
              <w:t xml:space="preserve"> of large public gatherings, or other large scale operations relevant to the infectious disease response</w:t>
            </w:r>
          </w:p>
        </w:tc>
      </w:tr>
      <w:tr w:rsidR="00D94DC7" w:rsidRPr="00C51E6C" w14:paraId="0FCFAF53" w14:textId="77777777" w:rsidTr="00D94DC7">
        <w:tc>
          <w:tcPr>
            <w:tcW w:w="1728" w:type="dxa"/>
          </w:tcPr>
          <w:p w14:paraId="3B7985CC" w14:textId="77777777" w:rsidR="00D94DC7" w:rsidRPr="00C51E6C" w:rsidRDefault="00D94DC7" w:rsidP="00D94DC7">
            <w:pPr>
              <w:rPr>
                <w:sz w:val="22"/>
                <w:szCs w:val="22"/>
              </w:rPr>
            </w:pPr>
            <w:r w:rsidRPr="00C51E6C">
              <w:rPr>
                <w:sz w:val="22"/>
                <w:szCs w:val="22"/>
              </w:rPr>
              <w:t>Acceleration</w:t>
            </w:r>
          </w:p>
        </w:tc>
        <w:tc>
          <w:tcPr>
            <w:tcW w:w="7848" w:type="dxa"/>
          </w:tcPr>
          <w:p w14:paraId="400EB8AE" w14:textId="77777777" w:rsidR="00D94DC7" w:rsidRPr="00C51E6C" w:rsidRDefault="00D94DC7" w:rsidP="00D94DC7">
            <w:pPr>
              <w:rPr>
                <w:sz w:val="22"/>
                <w:szCs w:val="22"/>
              </w:rPr>
            </w:pPr>
            <w:r w:rsidRPr="00C51E6C">
              <w:rPr>
                <w:sz w:val="22"/>
                <w:szCs w:val="22"/>
              </w:rPr>
              <w:t>N/A</w:t>
            </w:r>
          </w:p>
        </w:tc>
      </w:tr>
      <w:tr w:rsidR="00D94DC7" w:rsidRPr="00C51E6C" w14:paraId="4072620D" w14:textId="77777777" w:rsidTr="00D94DC7">
        <w:tc>
          <w:tcPr>
            <w:tcW w:w="1728" w:type="dxa"/>
          </w:tcPr>
          <w:p w14:paraId="2D85BAE7" w14:textId="77777777" w:rsidR="00D94DC7" w:rsidRPr="00C51E6C" w:rsidRDefault="00D94DC7" w:rsidP="00D94DC7">
            <w:pPr>
              <w:rPr>
                <w:sz w:val="22"/>
                <w:szCs w:val="22"/>
              </w:rPr>
            </w:pPr>
            <w:r w:rsidRPr="00C51E6C">
              <w:rPr>
                <w:sz w:val="22"/>
                <w:szCs w:val="22"/>
              </w:rPr>
              <w:lastRenderedPageBreak/>
              <w:t>Demobilization</w:t>
            </w:r>
          </w:p>
        </w:tc>
        <w:tc>
          <w:tcPr>
            <w:tcW w:w="7848" w:type="dxa"/>
          </w:tcPr>
          <w:p w14:paraId="7E5FE8C9" w14:textId="77777777" w:rsidR="00D94DC7" w:rsidRPr="00C51E6C" w:rsidRDefault="00D94DC7" w:rsidP="00D94DC7">
            <w:pPr>
              <w:contextualSpacing/>
              <w:rPr>
                <w:sz w:val="22"/>
                <w:szCs w:val="22"/>
              </w:rPr>
            </w:pPr>
            <w:r w:rsidRPr="00C51E6C">
              <w:rPr>
                <w:sz w:val="22"/>
                <w:szCs w:val="22"/>
              </w:rPr>
              <w:t>N/A</w:t>
            </w:r>
          </w:p>
        </w:tc>
      </w:tr>
    </w:tbl>
    <w:p w14:paraId="7F28704C" w14:textId="77777777" w:rsidR="00D94DC7" w:rsidRPr="00C51E6C" w:rsidRDefault="00D94DC7" w:rsidP="00D94DC7">
      <w:pPr>
        <w:keepNext/>
        <w:keepLines/>
        <w:spacing w:before="200" w:after="0"/>
        <w:contextualSpacing/>
        <w:outlineLvl w:val="1"/>
        <w:rPr>
          <w:rFonts w:asciiTheme="majorHAnsi" w:eastAsiaTheme="majorEastAsia" w:hAnsiTheme="majorHAnsi" w:cstheme="majorBidi"/>
          <w:b/>
          <w:bCs/>
          <w:color w:val="4F81BD" w:themeColor="accent1"/>
          <w:sz w:val="26"/>
          <w:szCs w:val="26"/>
        </w:rPr>
      </w:pPr>
      <w:bookmarkStart w:id="895" w:name="_Toc486492410"/>
      <w:bookmarkStart w:id="896" w:name="_Toc486499906"/>
      <w:bookmarkStart w:id="897" w:name="_Toc486501082"/>
      <w:bookmarkStart w:id="898" w:name="_Toc486516542"/>
      <w:bookmarkStart w:id="899" w:name="_Toc486577797"/>
      <w:bookmarkStart w:id="900" w:name="_Toc486579003"/>
    </w:p>
    <w:p w14:paraId="4D69232C" w14:textId="77777777" w:rsidR="00D94DC7" w:rsidRPr="00F53AFB" w:rsidRDefault="00D94DC7" w:rsidP="00D94DC7">
      <w:pPr>
        <w:pStyle w:val="Heading4"/>
        <w:rPr>
          <w:sz w:val="24"/>
          <w:szCs w:val="24"/>
        </w:rPr>
      </w:pPr>
      <w:r w:rsidRPr="00F53AFB">
        <w:rPr>
          <w:sz w:val="24"/>
          <w:szCs w:val="24"/>
        </w:rPr>
        <w:t>Mortuary Services</w:t>
      </w:r>
      <w:bookmarkEnd w:id="895"/>
      <w:bookmarkEnd w:id="896"/>
      <w:bookmarkEnd w:id="897"/>
      <w:bookmarkEnd w:id="898"/>
      <w:bookmarkEnd w:id="899"/>
      <w:bookmarkEnd w:id="900"/>
    </w:p>
    <w:p w14:paraId="557729B9" w14:textId="77777777" w:rsidR="00D94DC7" w:rsidRPr="00C51E6C" w:rsidRDefault="00D94DC7" w:rsidP="00D94DC7">
      <w:pPr>
        <w:numPr>
          <w:ilvl w:val="0"/>
          <w:numId w:val="35"/>
        </w:numPr>
        <w:spacing w:after="0"/>
        <w:ind w:left="810"/>
        <w:contextualSpacing/>
      </w:pPr>
      <w:r w:rsidRPr="00C51E6C">
        <w:t>Office of the Chief Medical Examiner (OCME)</w:t>
      </w:r>
    </w:p>
    <w:p w14:paraId="578876C5" w14:textId="77777777" w:rsidR="00D94DC7" w:rsidRPr="00C51E6C" w:rsidRDefault="00D94DC7" w:rsidP="00D94DC7">
      <w:pPr>
        <w:numPr>
          <w:ilvl w:val="0"/>
          <w:numId w:val="35"/>
        </w:numPr>
        <w:spacing w:after="0"/>
        <w:ind w:left="810"/>
        <w:contextualSpacing/>
      </w:pPr>
      <w:r w:rsidRPr="00C51E6C">
        <w:t>Board of Registration in Embalming and Funeral Directing</w:t>
      </w:r>
    </w:p>
    <w:p w14:paraId="2941583B" w14:textId="77777777" w:rsidR="00D94DC7" w:rsidRPr="00C51E6C" w:rsidRDefault="00D94DC7" w:rsidP="00D94DC7">
      <w:pPr>
        <w:numPr>
          <w:ilvl w:val="0"/>
          <w:numId w:val="35"/>
        </w:numPr>
        <w:spacing w:after="0"/>
        <w:ind w:left="810"/>
        <w:contextualSpacing/>
      </w:pPr>
      <w:r w:rsidRPr="00C51E6C">
        <w:t>Massachusetts Funeral Directors Association</w:t>
      </w:r>
    </w:p>
    <w:p w14:paraId="4AE2A227" w14:textId="77777777" w:rsidR="00D94DC7" w:rsidRPr="00C51E6C" w:rsidRDefault="00D94DC7" w:rsidP="00D94DC7">
      <w:pPr>
        <w:numPr>
          <w:ilvl w:val="0"/>
          <w:numId w:val="35"/>
        </w:numPr>
        <w:spacing w:after="0"/>
        <w:ind w:left="810"/>
        <w:contextualSpacing/>
      </w:pPr>
      <w:r w:rsidRPr="00C51E6C">
        <w:t>Funeral Homes</w:t>
      </w:r>
    </w:p>
    <w:p w14:paraId="7373A062" w14:textId="77777777" w:rsidR="00D94DC7" w:rsidRPr="00C51E6C" w:rsidRDefault="00D94DC7" w:rsidP="00D94DC7">
      <w:pPr>
        <w:numPr>
          <w:ilvl w:val="0"/>
          <w:numId w:val="35"/>
        </w:numPr>
        <w:spacing w:after="0"/>
        <w:ind w:left="810"/>
        <w:contextualSpacing/>
      </w:pPr>
      <w:r w:rsidRPr="00C51E6C">
        <w:t>Morgues</w:t>
      </w:r>
    </w:p>
    <w:p w14:paraId="35DCD739" w14:textId="77777777" w:rsidR="00D94DC7" w:rsidRPr="00C51E6C" w:rsidRDefault="00D94DC7" w:rsidP="00D94DC7">
      <w:pPr>
        <w:keepNext/>
        <w:keepLines/>
        <w:spacing w:before="200" w:after="0"/>
        <w:ind w:left="720"/>
        <w:contextualSpacing/>
        <w:jc w:val="both"/>
        <w:outlineLvl w:val="1"/>
        <w:rPr>
          <w:rFonts w:asciiTheme="majorHAnsi" w:eastAsiaTheme="majorEastAsia" w:hAnsiTheme="majorHAnsi" w:cstheme="majorBidi"/>
          <w:b/>
          <w:bCs/>
          <w:color w:val="4F81BD" w:themeColor="accent1"/>
          <w:sz w:val="26"/>
          <w:szCs w:val="26"/>
        </w:rPr>
      </w:pPr>
    </w:p>
    <w:tbl>
      <w:tblPr>
        <w:tblStyle w:val="TableGrid1"/>
        <w:tblW w:w="0" w:type="auto"/>
        <w:tblLayout w:type="fixed"/>
        <w:tblLook w:val="04A0" w:firstRow="1" w:lastRow="0" w:firstColumn="1" w:lastColumn="0" w:noHBand="0" w:noVBand="1"/>
      </w:tblPr>
      <w:tblGrid>
        <w:gridCol w:w="1728"/>
        <w:gridCol w:w="7848"/>
      </w:tblGrid>
      <w:tr w:rsidR="00D94DC7" w:rsidRPr="00C51E6C" w14:paraId="1B233EB3" w14:textId="77777777" w:rsidTr="00D94DC7">
        <w:tc>
          <w:tcPr>
            <w:tcW w:w="1728" w:type="dxa"/>
          </w:tcPr>
          <w:p w14:paraId="743976B4" w14:textId="77777777" w:rsidR="00D94DC7" w:rsidRPr="00C51E6C" w:rsidRDefault="00D94DC7" w:rsidP="00D94DC7">
            <w:pPr>
              <w:contextualSpacing/>
              <w:rPr>
                <w:sz w:val="22"/>
                <w:szCs w:val="22"/>
              </w:rPr>
            </w:pPr>
            <w:r w:rsidRPr="00C51E6C">
              <w:rPr>
                <w:sz w:val="22"/>
                <w:szCs w:val="22"/>
              </w:rPr>
              <w:t>Preparation</w:t>
            </w:r>
          </w:p>
        </w:tc>
        <w:tc>
          <w:tcPr>
            <w:tcW w:w="7848" w:type="dxa"/>
          </w:tcPr>
          <w:p w14:paraId="5B8BBECA" w14:textId="77777777" w:rsidR="00D94DC7" w:rsidRPr="00C51E6C" w:rsidRDefault="00D94DC7" w:rsidP="00D94DC7">
            <w:pPr>
              <w:rPr>
                <w:sz w:val="22"/>
                <w:szCs w:val="22"/>
              </w:rPr>
            </w:pPr>
            <w:r w:rsidRPr="00C51E6C">
              <w:rPr>
                <w:sz w:val="22"/>
                <w:szCs w:val="22"/>
              </w:rPr>
              <w:t>N/A</w:t>
            </w:r>
          </w:p>
        </w:tc>
      </w:tr>
      <w:tr w:rsidR="00D94DC7" w:rsidRPr="00C51E6C" w14:paraId="553DAAB1" w14:textId="77777777" w:rsidTr="00D94DC7">
        <w:tc>
          <w:tcPr>
            <w:tcW w:w="1728" w:type="dxa"/>
          </w:tcPr>
          <w:p w14:paraId="32292169" w14:textId="77777777" w:rsidR="00D94DC7" w:rsidRPr="00C51E6C" w:rsidRDefault="00D94DC7" w:rsidP="00D94DC7">
            <w:pPr>
              <w:rPr>
                <w:sz w:val="22"/>
                <w:szCs w:val="22"/>
              </w:rPr>
            </w:pPr>
            <w:r w:rsidRPr="00C51E6C">
              <w:rPr>
                <w:sz w:val="22"/>
                <w:szCs w:val="22"/>
              </w:rPr>
              <w:t>Investigation/</w:t>
            </w:r>
          </w:p>
          <w:p w14:paraId="6EF37E73" w14:textId="77777777" w:rsidR="00D94DC7" w:rsidRPr="00C51E6C" w:rsidRDefault="00D94DC7" w:rsidP="00D94DC7">
            <w:pPr>
              <w:rPr>
                <w:sz w:val="22"/>
                <w:szCs w:val="22"/>
              </w:rPr>
            </w:pPr>
            <w:r w:rsidRPr="00C51E6C">
              <w:rPr>
                <w:sz w:val="22"/>
                <w:szCs w:val="22"/>
              </w:rPr>
              <w:t>Alerting</w:t>
            </w:r>
          </w:p>
        </w:tc>
        <w:tc>
          <w:tcPr>
            <w:tcW w:w="7848" w:type="dxa"/>
          </w:tcPr>
          <w:p w14:paraId="0E4702A8" w14:textId="77777777" w:rsidR="00D94DC7" w:rsidRPr="00C51E6C" w:rsidRDefault="00D94DC7" w:rsidP="00D94DC7">
            <w:pPr>
              <w:rPr>
                <w:sz w:val="22"/>
                <w:szCs w:val="22"/>
              </w:rPr>
            </w:pPr>
            <w:r w:rsidRPr="00C51E6C">
              <w:rPr>
                <w:sz w:val="22"/>
                <w:szCs w:val="22"/>
              </w:rPr>
              <w:t>N/A</w:t>
            </w:r>
          </w:p>
        </w:tc>
      </w:tr>
      <w:tr w:rsidR="00D94DC7" w:rsidRPr="00C51E6C" w14:paraId="59BF7888" w14:textId="77777777" w:rsidTr="00D94DC7">
        <w:tc>
          <w:tcPr>
            <w:tcW w:w="1728" w:type="dxa"/>
          </w:tcPr>
          <w:p w14:paraId="39CA22F7" w14:textId="77777777" w:rsidR="00D94DC7" w:rsidRPr="00C51E6C" w:rsidRDefault="00D94DC7" w:rsidP="00D94DC7">
            <w:pPr>
              <w:rPr>
                <w:sz w:val="22"/>
                <w:szCs w:val="22"/>
              </w:rPr>
            </w:pPr>
            <w:r w:rsidRPr="00C51E6C">
              <w:rPr>
                <w:sz w:val="22"/>
                <w:szCs w:val="22"/>
              </w:rPr>
              <w:t>Recognition</w:t>
            </w:r>
          </w:p>
        </w:tc>
        <w:tc>
          <w:tcPr>
            <w:tcW w:w="7848" w:type="dxa"/>
          </w:tcPr>
          <w:p w14:paraId="1AAC2F54" w14:textId="2F98DE2A" w:rsidR="00D94DC7" w:rsidRPr="00C51E6C" w:rsidRDefault="00D94DC7" w:rsidP="00D94DC7">
            <w:pPr>
              <w:numPr>
                <w:ilvl w:val="0"/>
                <w:numId w:val="65"/>
              </w:numPr>
              <w:ind w:left="356" w:hanging="180"/>
              <w:contextualSpacing/>
              <w:rPr>
                <w:sz w:val="22"/>
                <w:szCs w:val="22"/>
              </w:rPr>
            </w:pPr>
            <w:r w:rsidRPr="00C51E6C">
              <w:rPr>
                <w:sz w:val="22"/>
                <w:szCs w:val="22"/>
              </w:rPr>
              <w:t>MDPH may consider providing technical assistance specific to the mortuary services sector, such as environmental infection control and PPE considerations to mitigate the spread of disease</w:t>
            </w:r>
          </w:p>
          <w:p w14:paraId="5AA07BEF" w14:textId="168FBB71" w:rsidR="00D94DC7" w:rsidRPr="00050DCF" w:rsidRDefault="00971D52" w:rsidP="00971D52">
            <w:pPr>
              <w:pStyle w:val="ListParagraph"/>
              <w:numPr>
                <w:ilvl w:val="0"/>
                <w:numId w:val="65"/>
              </w:numPr>
              <w:ind w:left="342" w:hanging="180"/>
              <w:rPr>
                <w:sz w:val="22"/>
                <w:szCs w:val="22"/>
              </w:rPr>
            </w:pPr>
            <w:r>
              <w:rPr>
                <w:sz w:val="22"/>
                <w:szCs w:val="22"/>
              </w:rPr>
              <w:t xml:space="preserve">Division of </w:t>
            </w:r>
            <w:r w:rsidR="00D94DC7" w:rsidRPr="00050DCF">
              <w:rPr>
                <w:sz w:val="22"/>
                <w:szCs w:val="22"/>
              </w:rPr>
              <w:t>Epidemiology staff should consider providing technical assistance and support to the Medical Examiner upon notification of a positive finding on a travel-screening questionnaire</w:t>
            </w:r>
          </w:p>
        </w:tc>
      </w:tr>
      <w:tr w:rsidR="00D94DC7" w:rsidRPr="00C51E6C" w14:paraId="42E5DF76" w14:textId="77777777" w:rsidTr="00D94DC7">
        <w:tc>
          <w:tcPr>
            <w:tcW w:w="1728" w:type="dxa"/>
          </w:tcPr>
          <w:p w14:paraId="217FEB26" w14:textId="77777777" w:rsidR="00D94DC7" w:rsidRPr="00C51E6C" w:rsidRDefault="00D94DC7" w:rsidP="00D94DC7">
            <w:pPr>
              <w:rPr>
                <w:sz w:val="22"/>
                <w:szCs w:val="22"/>
              </w:rPr>
            </w:pPr>
            <w:r w:rsidRPr="00C51E6C">
              <w:rPr>
                <w:sz w:val="22"/>
                <w:szCs w:val="22"/>
              </w:rPr>
              <w:t>Initiation</w:t>
            </w:r>
          </w:p>
        </w:tc>
        <w:tc>
          <w:tcPr>
            <w:tcW w:w="7848" w:type="dxa"/>
          </w:tcPr>
          <w:p w14:paraId="436CE04E" w14:textId="2316A1CA" w:rsidR="00D94DC7" w:rsidRPr="00050DCF" w:rsidRDefault="00D94DC7" w:rsidP="00D94DC7">
            <w:pPr>
              <w:pStyle w:val="ListParagraph"/>
              <w:numPr>
                <w:ilvl w:val="0"/>
                <w:numId w:val="84"/>
              </w:numPr>
              <w:ind w:left="342" w:hanging="180"/>
              <w:rPr>
                <w:sz w:val="22"/>
                <w:szCs w:val="22"/>
              </w:rPr>
            </w:pPr>
            <w:r w:rsidRPr="00050DCF">
              <w:rPr>
                <w:sz w:val="22"/>
                <w:szCs w:val="22"/>
              </w:rPr>
              <w:t>MDPH will consider whether there is a need to provide additional specific technical assistance on issues such as travel and other history screening protocols, environmental infection control, and PPE for the mortuary sector, and will maintain open lines of communication with the OCME regarding death surveillance. The death surveillance contacts at OCME are the Chief Medical Examiner, Chief Medicolegal Investigator, and Chief Administrative Officer</w:t>
            </w:r>
          </w:p>
        </w:tc>
      </w:tr>
      <w:tr w:rsidR="00D94DC7" w:rsidRPr="00C51E6C" w14:paraId="3EF9A5A3" w14:textId="77777777" w:rsidTr="00D94DC7">
        <w:tc>
          <w:tcPr>
            <w:tcW w:w="1728" w:type="dxa"/>
          </w:tcPr>
          <w:p w14:paraId="07BA8484" w14:textId="77777777" w:rsidR="00D94DC7" w:rsidRPr="00C51E6C" w:rsidRDefault="00D94DC7" w:rsidP="00D94DC7">
            <w:pPr>
              <w:rPr>
                <w:sz w:val="22"/>
                <w:szCs w:val="22"/>
              </w:rPr>
            </w:pPr>
            <w:r w:rsidRPr="00C51E6C">
              <w:rPr>
                <w:sz w:val="22"/>
                <w:szCs w:val="22"/>
              </w:rPr>
              <w:t>Acceleration</w:t>
            </w:r>
          </w:p>
        </w:tc>
        <w:tc>
          <w:tcPr>
            <w:tcW w:w="7848" w:type="dxa"/>
          </w:tcPr>
          <w:p w14:paraId="197A7CD8" w14:textId="36497DA7" w:rsidR="00D94DC7" w:rsidRPr="00C51E6C" w:rsidRDefault="00D94DC7" w:rsidP="00D94DC7">
            <w:pPr>
              <w:numPr>
                <w:ilvl w:val="0"/>
                <w:numId w:val="33"/>
              </w:numPr>
              <w:ind w:left="342" w:hanging="180"/>
              <w:contextualSpacing/>
              <w:rPr>
                <w:color w:val="000000" w:themeColor="text1"/>
                <w:sz w:val="22"/>
                <w:szCs w:val="22"/>
              </w:rPr>
            </w:pPr>
            <w:r w:rsidRPr="00C51E6C">
              <w:rPr>
                <w:color w:val="000000" w:themeColor="text1"/>
                <w:sz w:val="22"/>
                <w:szCs w:val="22"/>
              </w:rPr>
              <w:t>MDPH may consider working with the death surveillance contacts at OCME to ensure complete reporting of infectious disease-related deaths</w:t>
            </w:r>
          </w:p>
          <w:p w14:paraId="0B14297D" w14:textId="3C663D25" w:rsidR="00D94DC7" w:rsidRPr="00C51E6C" w:rsidRDefault="00D94DC7" w:rsidP="00D94DC7">
            <w:pPr>
              <w:numPr>
                <w:ilvl w:val="0"/>
                <w:numId w:val="33"/>
              </w:numPr>
              <w:ind w:left="342" w:hanging="180"/>
              <w:contextualSpacing/>
              <w:rPr>
                <w:color w:val="000000" w:themeColor="text1"/>
                <w:sz w:val="22"/>
                <w:szCs w:val="22"/>
              </w:rPr>
            </w:pPr>
            <w:r w:rsidRPr="00C51E6C">
              <w:rPr>
                <w:color w:val="000000" w:themeColor="text1"/>
                <w:sz w:val="22"/>
                <w:szCs w:val="22"/>
              </w:rPr>
              <w:t xml:space="preserve">MDPH may coordinate with OCME to assess the need to activate the Mass Fatality Management Plan or other relevant plans, as appropriate </w:t>
            </w:r>
          </w:p>
          <w:p w14:paraId="1F884AAC" w14:textId="3944873D" w:rsidR="00D94DC7" w:rsidRPr="00C51E6C" w:rsidRDefault="00D94DC7" w:rsidP="00D94DC7">
            <w:pPr>
              <w:numPr>
                <w:ilvl w:val="0"/>
                <w:numId w:val="33"/>
              </w:numPr>
              <w:ind w:left="342" w:hanging="180"/>
              <w:contextualSpacing/>
              <w:rPr>
                <w:color w:val="000000" w:themeColor="text1"/>
                <w:sz w:val="22"/>
                <w:szCs w:val="22"/>
              </w:rPr>
            </w:pPr>
            <w:r w:rsidRPr="00C51E6C">
              <w:rPr>
                <w:color w:val="000000" w:themeColor="text1"/>
                <w:sz w:val="22"/>
                <w:szCs w:val="22"/>
              </w:rPr>
              <w:t>MDPH may consider referring to the EOP pertaining to OCME as a support agency at the ESF8 Desk, particularly to coordinate resources to support disaster mortuary services, including Incident Morgue sites, as needed</w:t>
            </w:r>
          </w:p>
          <w:p w14:paraId="4AA56D0B" w14:textId="1504FDFD" w:rsidR="00D94DC7" w:rsidRPr="00C51E6C" w:rsidRDefault="00D94DC7" w:rsidP="00D94DC7">
            <w:pPr>
              <w:numPr>
                <w:ilvl w:val="0"/>
                <w:numId w:val="33"/>
              </w:numPr>
              <w:ind w:left="342" w:hanging="180"/>
              <w:contextualSpacing/>
              <w:rPr>
                <w:color w:val="000000" w:themeColor="text1"/>
                <w:sz w:val="22"/>
                <w:szCs w:val="22"/>
              </w:rPr>
            </w:pPr>
            <w:r w:rsidRPr="00C51E6C">
              <w:rPr>
                <w:color w:val="000000" w:themeColor="text1"/>
                <w:sz w:val="22"/>
                <w:szCs w:val="22"/>
              </w:rPr>
              <w:t>MDPH may consider coordinating with the OCME to provide information to hospitals regarding notification and transportation of deceased individuals to an Incident Morgue</w:t>
            </w:r>
          </w:p>
          <w:p w14:paraId="4755208D" w14:textId="7B9089AE" w:rsidR="00D94DC7" w:rsidRPr="00C51E6C" w:rsidRDefault="00D94DC7" w:rsidP="00D94DC7">
            <w:pPr>
              <w:numPr>
                <w:ilvl w:val="0"/>
                <w:numId w:val="33"/>
              </w:numPr>
              <w:ind w:left="342" w:hanging="180"/>
              <w:contextualSpacing/>
              <w:jc w:val="both"/>
              <w:rPr>
                <w:color w:val="000000" w:themeColor="text1"/>
                <w:sz w:val="22"/>
                <w:szCs w:val="22"/>
              </w:rPr>
            </w:pPr>
            <w:r w:rsidRPr="00C51E6C">
              <w:rPr>
                <w:color w:val="000000" w:themeColor="text1"/>
                <w:sz w:val="22"/>
                <w:szCs w:val="22"/>
              </w:rPr>
              <w:t>MDPH may consider collaborating with EOPSS and DMH to provide crisis support for OCME staff that may have been impacted by the infectious disease emergency</w:t>
            </w:r>
          </w:p>
          <w:p w14:paraId="27CEAE18" w14:textId="72FECFF2" w:rsidR="00D94DC7" w:rsidRPr="00050DCF" w:rsidRDefault="00D94DC7" w:rsidP="00D94DC7">
            <w:pPr>
              <w:pStyle w:val="ListParagraph"/>
              <w:numPr>
                <w:ilvl w:val="0"/>
                <w:numId w:val="33"/>
              </w:numPr>
              <w:ind w:left="342" w:hanging="180"/>
              <w:rPr>
                <w:sz w:val="22"/>
                <w:szCs w:val="22"/>
              </w:rPr>
            </w:pPr>
            <w:r w:rsidRPr="00050DCF">
              <w:rPr>
                <w:color w:val="000000" w:themeColor="text1"/>
                <w:sz w:val="22"/>
                <w:szCs w:val="22"/>
              </w:rPr>
              <w:t xml:space="preserve">MDPH may consider supporting local public health departments as they work with the </w:t>
            </w:r>
            <w:r w:rsidRPr="00050DCF">
              <w:rPr>
                <w:rFonts w:eastAsia="Times New Roman" w:cs="Tahoma"/>
                <w:color w:val="000000" w:themeColor="text1"/>
                <w:kern w:val="36"/>
                <w:sz w:val="22"/>
                <w:szCs w:val="22"/>
              </w:rPr>
              <w:t>Board of Registration in Embalming and Funeral Directing regarding the processing of death certificates during an infectious disease emergency</w:t>
            </w:r>
          </w:p>
        </w:tc>
      </w:tr>
      <w:tr w:rsidR="00D94DC7" w:rsidRPr="00C51E6C" w14:paraId="3DFA067C" w14:textId="77777777" w:rsidTr="00D94DC7">
        <w:tc>
          <w:tcPr>
            <w:tcW w:w="1728" w:type="dxa"/>
          </w:tcPr>
          <w:p w14:paraId="0A542CAB" w14:textId="77777777" w:rsidR="00D94DC7" w:rsidRPr="00C51E6C" w:rsidRDefault="00D94DC7" w:rsidP="00D94DC7">
            <w:pPr>
              <w:rPr>
                <w:sz w:val="22"/>
                <w:szCs w:val="22"/>
              </w:rPr>
            </w:pPr>
            <w:r w:rsidRPr="00C51E6C">
              <w:rPr>
                <w:sz w:val="22"/>
                <w:szCs w:val="22"/>
              </w:rPr>
              <w:t>Demobilization</w:t>
            </w:r>
          </w:p>
        </w:tc>
        <w:tc>
          <w:tcPr>
            <w:tcW w:w="7848" w:type="dxa"/>
          </w:tcPr>
          <w:p w14:paraId="5A42566A" w14:textId="77777777" w:rsidR="00D94DC7" w:rsidRPr="00C51E6C" w:rsidRDefault="00D94DC7" w:rsidP="00D94DC7">
            <w:pPr>
              <w:contextualSpacing/>
              <w:rPr>
                <w:sz w:val="22"/>
                <w:szCs w:val="22"/>
              </w:rPr>
            </w:pPr>
            <w:r w:rsidRPr="00C51E6C">
              <w:rPr>
                <w:sz w:val="22"/>
                <w:szCs w:val="22"/>
              </w:rPr>
              <w:t>N/A</w:t>
            </w:r>
          </w:p>
        </w:tc>
      </w:tr>
    </w:tbl>
    <w:p w14:paraId="3BD7A50E" w14:textId="77777777" w:rsidR="00D94DC7" w:rsidRPr="00C51E6C" w:rsidRDefault="00D94DC7" w:rsidP="00D94DC7">
      <w:pPr>
        <w:keepNext/>
        <w:keepLines/>
        <w:spacing w:before="200" w:after="0"/>
        <w:contextualSpacing/>
        <w:outlineLvl w:val="1"/>
        <w:rPr>
          <w:rFonts w:asciiTheme="majorHAnsi" w:eastAsiaTheme="majorEastAsia" w:hAnsiTheme="majorHAnsi" w:cstheme="majorBidi"/>
          <w:b/>
          <w:bCs/>
          <w:color w:val="4F81BD" w:themeColor="accent1"/>
          <w:sz w:val="26"/>
          <w:szCs w:val="26"/>
        </w:rPr>
      </w:pPr>
      <w:bookmarkStart w:id="901" w:name="_Toc486492411"/>
      <w:bookmarkStart w:id="902" w:name="_Toc486499907"/>
      <w:bookmarkStart w:id="903" w:name="_Toc486501083"/>
      <w:bookmarkStart w:id="904" w:name="_Toc486516543"/>
      <w:bookmarkStart w:id="905" w:name="_Toc486577798"/>
      <w:bookmarkStart w:id="906" w:name="_Toc486579004"/>
    </w:p>
    <w:p w14:paraId="5AE3D40A" w14:textId="77777777" w:rsidR="00D94DC7" w:rsidRPr="00F53AFB" w:rsidRDefault="00D94DC7" w:rsidP="00D94DC7">
      <w:pPr>
        <w:pStyle w:val="Heading4"/>
        <w:rPr>
          <w:sz w:val="24"/>
          <w:szCs w:val="24"/>
        </w:rPr>
      </w:pPr>
      <w:r w:rsidRPr="00F53AFB">
        <w:rPr>
          <w:sz w:val="24"/>
          <w:szCs w:val="24"/>
        </w:rPr>
        <w:t>Transportation</w:t>
      </w:r>
      <w:bookmarkEnd w:id="901"/>
      <w:bookmarkEnd w:id="902"/>
      <w:bookmarkEnd w:id="903"/>
      <w:bookmarkEnd w:id="904"/>
      <w:bookmarkEnd w:id="905"/>
      <w:bookmarkEnd w:id="906"/>
    </w:p>
    <w:p w14:paraId="714A682F" w14:textId="77777777" w:rsidR="00D94DC7" w:rsidRPr="00C51E6C" w:rsidRDefault="00D94DC7" w:rsidP="00D94DC7">
      <w:pPr>
        <w:numPr>
          <w:ilvl w:val="0"/>
          <w:numId w:val="43"/>
        </w:numPr>
        <w:spacing w:after="0"/>
        <w:ind w:left="810"/>
        <w:contextualSpacing/>
      </w:pPr>
      <w:r w:rsidRPr="00C51E6C">
        <w:t>Massachusetts Department of Transportation (</w:t>
      </w:r>
      <w:proofErr w:type="spellStart"/>
      <w:r w:rsidRPr="00C51E6C">
        <w:t>MassDOT</w:t>
      </w:r>
      <w:proofErr w:type="spellEnd"/>
      <w:r w:rsidRPr="00C51E6C">
        <w:t>)</w:t>
      </w:r>
    </w:p>
    <w:p w14:paraId="4E8BCA22" w14:textId="77777777" w:rsidR="00D94DC7" w:rsidRPr="00C51E6C" w:rsidRDefault="00D94DC7" w:rsidP="00D94DC7">
      <w:pPr>
        <w:numPr>
          <w:ilvl w:val="0"/>
          <w:numId w:val="43"/>
        </w:numPr>
        <w:spacing w:after="0"/>
        <w:ind w:left="810"/>
        <w:contextualSpacing/>
      </w:pPr>
      <w:r w:rsidRPr="00C51E6C">
        <w:t>Massachusetts Bay Transportation Authority (MBTA)</w:t>
      </w:r>
    </w:p>
    <w:p w14:paraId="63D66C51" w14:textId="77777777" w:rsidR="00D94DC7" w:rsidRPr="00C51E6C" w:rsidRDefault="00D94DC7" w:rsidP="00D94DC7">
      <w:pPr>
        <w:numPr>
          <w:ilvl w:val="0"/>
          <w:numId w:val="43"/>
        </w:numPr>
        <w:ind w:left="810"/>
        <w:contextualSpacing/>
      </w:pPr>
      <w:r w:rsidRPr="00C51E6C">
        <w:t>Massachusetts Port Authority (</w:t>
      </w:r>
      <w:proofErr w:type="spellStart"/>
      <w:r w:rsidRPr="00C51E6C">
        <w:t>Massport</w:t>
      </w:r>
      <w:proofErr w:type="spellEnd"/>
      <w:r w:rsidRPr="00C51E6C">
        <w:t xml:space="preserve">) </w:t>
      </w:r>
    </w:p>
    <w:p w14:paraId="340643D5" w14:textId="77777777" w:rsidR="00D94DC7" w:rsidRPr="00C51E6C" w:rsidRDefault="00D94DC7" w:rsidP="00D94DC7">
      <w:pPr>
        <w:keepNext/>
        <w:keepLines/>
        <w:spacing w:before="200" w:after="0"/>
        <w:ind w:left="1080"/>
        <w:contextualSpacing/>
        <w:jc w:val="both"/>
        <w:outlineLvl w:val="1"/>
        <w:rPr>
          <w:rFonts w:asciiTheme="majorHAnsi" w:eastAsiaTheme="majorEastAsia" w:hAnsiTheme="majorHAnsi" w:cstheme="majorBidi"/>
          <w:b/>
          <w:bCs/>
          <w:color w:val="4F81BD" w:themeColor="accent1"/>
          <w:sz w:val="26"/>
          <w:szCs w:val="26"/>
        </w:rPr>
      </w:pPr>
    </w:p>
    <w:tbl>
      <w:tblPr>
        <w:tblStyle w:val="TableGrid1"/>
        <w:tblW w:w="0" w:type="auto"/>
        <w:tblLayout w:type="fixed"/>
        <w:tblLook w:val="04A0" w:firstRow="1" w:lastRow="0" w:firstColumn="1" w:lastColumn="0" w:noHBand="0" w:noVBand="1"/>
      </w:tblPr>
      <w:tblGrid>
        <w:gridCol w:w="1728"/>
        <w:gridCol w:w="7848"/>
      </w:tblGrid>
      <w:tr w:rsidR="00D94DC7" w:rsidRPr="00C51E6C" w14:paraId="6B1DA684" w14:textId="77777777" w:rsidTr="00D94DC7">
        <w:tc>
          <w:tcPr>
            <w:tcW w:w="1728" w:type="dxa"/>
          </w:tcPr>
          <w:p w14:paraId="6F650523" w14:textId="77777777" w:rsidR="00D94DC7" w:rsidRPr="00C51E6C" w:rsidRDefault="00D94DC7" w:rsidP="00D94DC7">
            <w:pPr>
              <w:contextualSpacing/>
              <w:rPr>
                <w:sz w:val="22"/>
                <w:szCs w:val="22"/>
              </w:rPr>
            </w:pPr>
            <w:r w:rsidRPr="00C51E6C">
              <w:rPr>
                <w:sz w:val="22"/>
                <w:szCs w:val="22"/>
              </w:rPr>
              <w:t>Preparation</w:t>
            </w:r>
          </w:p>
        </w:tc>
        <w:tc>
          <w:tcPr>
            <w:tcW w:w="7848" w:type="dxa"/>
          </w:tcPr>
          <w:p w14:paraId="118309DA" w14:textId="77777777" w:rsidR="00D94DC7" w:rsidRPr="00C51E6C" w:rsidRDefault="00D94DC7" w:rsidP="00D94DC7">
            <w:pPr>
              <w:rPr>
                <w:sz w:val="22"/>
                <w:szCs w:val="22"/>
              </w:rPr>
            </w:pPr>
            <w:r w:rsidRPr="00C51E6C">
              <w:rPr>
                <w:sz w:val="22"/>
                <w:szCs w:val="22"/>
              </w:rPr>
              <w:t>N/A</w:t>
            </w:r>
          </w:p>
        </w:tc>
      </w:tr>
      <w:tr w:rsidR="00D94DC7" w:rsidRPr="00C51E6C" w14:paraId="67C3FA03" w14:textId="77777777" w:rsidTr="00D94DC7">
        <w:tc>
          <w:tcPr>
            <w:tcW w:w="1728" w:type="dxa"/>
          </w:tcPr>
          <w:p w14:paraId="6B8A0A3D" w14:textId="77777777" w:rsidR="00D94DC7" w:rsidRPr="00C51E6C" w:rsidRDefault="00D94DC7" w:rsidP="00D94DC7">
            <w:pPr>
              <w:rPr>
                <w:sz w:val="22"/>
                <w:szCs w:val="22"/>
              </w:rPr>
            </w:pPr>
            <w:r w:rsidRPr="00C51E6C">
              <w:rPr>
                <w:sz w:val="22"/>
                <w:szCs w:val="22"/>
              </w:rPr>
              <w:t>Investigation/</w:t>
            </w:r>
          </w:p>
          <w:p w14:paraId="29B7C2C5" w14:textId="77777777" w:rsidR="00D94DC7" w:rsidRPr="00C51E6C" w:rsidRDefault="00D94DC7" w:rsidP="00D94DC7">
            <w:pPr>
              <w:rPr>
                <w:sz w:val="22"/>
                <w:szCs w:val="22"/>
              </w:rPr>
            </w:pPr>
            <w:r w:rsidRPr="00C51E6C">
              <w:rPr>
                <w:sz w:val="22"/>
                <w:szCs w:val="22"/>
              </w:rPr>
              <w:t>Alerting</w:t>
            </w:r>
          </w:p>
        </w:tc>
        <w:tc>
          <w:tcPr>
            <w:tcW w:w="7848" w:type="dxa"/>
          </w:tcPr>
          <w:p w14:paraId="09B7B5BE" w14:textId="77777777" w:rsidR="00D94DC7" w:rsidRPr="00C51E6C" w:rsidRDefault="00D94DC7" w:rsidP="00D94DC7">
            <w:pPr>
              <w:rPr>
                <w:sz w:val="22"/>
                <w:szCs w:val="22"/>
              </w:rPr>
            </w:pPr>
            <w:r w:rsidRPr="00C51E6C">
              <w:rPr>
                <w:sz w:val="22"/>
                <w:szCs w:val="22"/>
              </w:rPr>
              <w:t>N/A</w:t>
            </w:r>
          </w:p>
        </w:tc>
      </w:tr>
      <w:tr w:rsidR="00D94DC7" w:rsidRPr="00C51E6C" w14:paraId="55D530F6" w14:textId="77777777" w:rsidTr="00D94DC7">
        <w:tc>
          <w:tcPr>
            <w:tcW w:w="1728" w:type="dxa"/>
          </w:tcPr>
          <w:p w14:paraId="645B2393" w14:textId="77777777" w:rsidR="00D94DC7" w:rsidRPr="00C51E6C" w:rsidRDefault="00D94DC7" w:rsidP="00D94DC7">
            <w:pPr>
              <w:rPr>
                <w:sz w:val="22"/>
                <w:szCs w:val="22"/>
              </w:rPr>
            </w:pPr>
            <w:r w:rsidRPr="00C51E6C">
              <w:rPr>
                <w:sz w:val="22"/>
                <w:szCs w:val="22"/>
              </w:rPr>
              <w:t>Recognition</w:t>
            </w:r>
          </w:p>
        </w:tc>
        <w:tc>
          <w:tcPr>
            <w:tcW w:w="7848" w:type="dxa"/>
          </w:tcPr>
          <w:p w14:paraId="17709A1E" w14:textId="347C5ACB" w:rsidR="00D94DC7" w:rsidRPr="00050DCF" w:rsidRDefault="00D94DC7" w:rsidP="00D94DC7">
            <w:pPr>
              <w:pStyle w:val="ListParagraph"/>
              <w:numPr>
                <w:ilvl w:val="0"/>
                <w:numId w:val="85"/>
              </w:numPr>
              <w:ind w:left="342" w:hanging="180"/>
              <w:rPr>
                <w:sz w:val="22"/>
                <w:szCs w:val="22"/>
              </w:rPr>
            </w:pPr>
            <w:r w:rsidRPr="00050DCF">
              <w:rPr>
                <w:sz w:val="22"/>
                <w:szCs w:val="22"/>
              </w:rPr>
              <w:t>MDPH may consider providing technical assistance specific to the transportation sector, such as guidance on developing and implementing travel screening tools and infection control protocols</w:t>
            </w:r>
          </w:p>
        </w:tc>
      </w:tr>
      <w:tr w:rsidR="00D94DC7" w:rsidRPr="00C51E6C" w14:paraId="0A89D703" w14:textId="77777777" w:rsidTr="00D94DC7">
        <w:tc>
          <w:tcPr>
            <w:tcW w:w="1728" w:type="dxa"/>
          </w:tcPr>
          <w:p w14:paraId="6EC432D1" w14:textId="77777777" w:rsidR="00D94DC7" w:rsidRPr="00C51E6C" w:rsidRDefault="00D94DC7" w:rsidP="00D94DC7">
            <w:pPr>
              <w:rPr>
                <w:sz w:val="22"/>
                <w:szCs w:val="22"/>
              </w:rPr>
            </w:pPr>
            <w:r w:rsidRPr="00C51E6C">
              <w:rPr>
                <w:sz w:val="22"/>
                <w:szCs w:val="22"/>
              </w:rPr>
              <w:t>Initiation</w:t>
            </w:r>
          </w:p>
        </w:tc>
        <w:tc>
          <w:tcPr>
            <w:tcW w:w="7848" w:type="dxa"/>
          </w:tcPr>
          <w:p w14:paraId="77DE79E1" w14:textId="21B3FC88" w:rsidR="00D94DC7" w:rsidRPr="00C51E6C" w:rsidRDefault="00D94DC7" w:rsidP="00D94DC7">
            <w:pPr>
              <w:numPr>
                <w:ilvl w:val="0"/>
                <w:numId w:val="66"/>
              </w:numPr>
              <w:ind w:left="356" w:hanging="180"/>
              <w:contextualSpacing/>
              <w:rPr>
                <w:sz w:val="22"/>
                <w:szCs w:val="22"/>
              </w:rPr>
            </w:pPr>
            <w:r w:rsidRPr="00C51E6C">
              <w:rPr>
                <w:sz w:val="22"/>
                <w:szCs w:val="22"/>
              </w:rPr>
              <w:t xml:space="preserve">Following the sharing of a case definition and the issuance of CDC guidance, MDPH’s BIDLS may communicate with partners in </w:t>
            </w:r>
            <w:proofErr w:type="spellStart"/>
            <w:r w:rsidRPr="00C51E6C">
              <w:rPr>
                <w:sz w:val="22"/>
                <w:szCs w:val="22"/>
              </w:rPr>
              <w:t>Massport</w:t>
            </w:r>
            <w:proofErr w:type="spellEnd"/>
            <w:r w:rsidRPr="00C51E6C">
              <w:rPr>
                <w:sz w:val="22"/>
                <w:szCs w:val="22"/>
              </w:rPr>
              <w:t xml:space="preserve"> to monitor the number of residents that may be traveling to or from affected areas, in addition to monitoring the volume of visitors arriving to the Commonwealth from affected areas. MDPH’s BIDLS will help to provide appropriate content expertise to inform policy decisions as appropriate</w:t>
            </w:r>
          </w:p>
          <w:p w14:paraId="2CF6939E" w14:textId="10EBBEA2" w:rsidR="00D94DC7" w:rsidRPr="00050DCF" w:rsidRDefault="00D94DC7" w:rsidP="00D94DC7">
            <w:pPr>
              <w:pStyle w:val="ListParagraph"/>
              <w:numPr>
                <w:ilvl w:val="0"/>
                <w:numId w:val="66"/>
              </w:numPr>
              <w:ind w:left="342" w:hanging="180"/>
              <w:rPr>
                <w:sz w:val="22"/>
                <w:szCs w:val="22"/>
              </w:rPr>
            </w:pPr>
            <w:r w:rsidRPr="00050DCF">
              <w:rPr>
                <w:sz w:val="22"/>
                <w:szCs w:val="22"/>
              </w:rPr>
              <w:t>MDPH may consider convening a planning meeting with MA Department of Transportation (MADOT) and/or MSP to discuss whether there are any social distancing measures that may be anticipated that would affect public or commercial transportation in the Commonwealth</w:t>
            </w:r>
          </w:p>
        </w:tc>
      </w:tr>
      <w:tr w:rsidR="00D94DC7" w:rsidRPr="00C51E6C" w14:paraId="51258D1C" w14:textId="77777777" w:rsidTr="00D94DC7">
        <w:tc>
          <w:tcPr>
            <w:tcW w:w="1728" w:type="dxa"/>
          </w:tcPr>
          <w:p w14:paraId="650A53EC" w14:textId="77777777" w:rsidR="00D94DC7" w:rsidRPr="00C51E6C" w:rsidRDefault="00D94DC7" w:rsidP="00D94DC7">
            <w:pPr>
              <w:rPr>
                <w:sz w:val="22"/>
                <w:szCs w:val="22"/>
              </w:rPr>
            </w:pPr>
            <w:r w:rsidRPr="00C51E6C">
              <w:rPr>
                <w:sz w:val="22"/>
                <w:szCs w:val="22"/>
              </w:rPr>
              <w:t>Acceleration</w:t>
            </w:r>
          </w:p>
        </w:tc>
        <w:tc>
          <w:tcPr>
            <w:tcW w:w="7848" w:type="dxa"/>
          </w:tcPr>
          <w:p w14:paraId="584269A9" w14:textId="3EFCFC6E" w:rsidR="00D94DC7" w:rsidRPr="00C51E6C" w:rsidRDefault="00D94DC7" w:rsidP="00D94DC7">
            <w:pPr>
              <w:numPr>
                <w:ilvl w:val="0"/>
                <w:numId w:val="35"/>
              </w:numPr>
              <w:ind w:left="342" w:hanging="180"/>
              <w:contextualSpacing/>
              <w:rPr>
                <w:sz w:val="22"/>
                <w:szCs w:val="22"/>
              </w:rPr>
            </w:pPr>
            <w:r w:rsidRPr="00C51E6C">
              <w:rPr>
                <w:sz w:val="22"/>
                <w:szCs w:val="22"/>
              </w:rPr>
              <w:t>The Commissioner, in conjunction with the EOHHS Secretary and Secretary of Transportation, may assess whether there are any additional social distancing measures that may be needed that would affect public or commercial transportation in the Commonwealth</w:t>
            </w:r>
          </w:p>
          <w:p w14:paraId="06DC6BF0" w14:textId="0A6CEEEA" w:rsidR="00D94DC7" w:rsidRPr="00050DCF" w:rsidRDefault="00D94DC7" w:rsidP="00D94DC7">
            <w:pPr>
              <w:pStyle w:val="ListParagraph"/>
              <w:numPr>
                <w:ilvl w:val="0"/>
                <w:numId w:val="35"/>
              </w:numPr>
              <w:ind w:left="342" w:hanging="180"/>
              <w:rPr>
                <w:sz w:val="22"/>
                <w:szCs w:val="22"/>
              </w:rPr>
            </w:pPr>
            <w:r w:rsidRPr="00050DCF">
              <w:rPr>
                <w:sz w:val="22"/>
                <w:szCs w:val="22"/>
              </w:rPr>
              <w:t>MDPH may continue to provide specific technical assistance on issues such as travel screening protocols, environmental infection control, and social distancing recommendations</w:t>
            </w:r>
          </w:p>
        </w:tc>
      </w:tr>
      <w:tr w:rsidR="00D94DC7" w:rsidRPr="00C51E6C" w14:paraId="464A253F" w14:textId="77777777" w:rsidTr="00D94DC7">
        <w:tc>
          <w:tcPr>
            <w:tcW w:w="1728" w:type="dxa"/>
          </w:tcPr>
          <w:p w14:paraId="28A34A7B" w14:textId="77777777" w:rsidR="00D94DC7" w:rsidRPr="00C51E6C" w:rsidRDefault="00D94DC7" w:rsidP="00D94DC7">
            <w:pPr>
              <w:rPr>
                <w:sz w:val="22"/>
                <w:szCs w:val="22"/>
              </w:rPr>
            </w:pPr>
            <w:r w:rsidRPr="00C51E6C">
              <w:rPr>
                <w:sz w:val="22"/>
                <w:szCs w:val="22"/>
              </w:rPr>
              <w:t>Demobilization</w:t>
            </w:r>
          </w:p>
        </w:tc>
        <w:tc>
          <w:tcPr>
            <w:tcW w:w="7848" w:type="dxa"/>
          </w:tcPr>
          <w:p w14:paraId="1B6D2C53" w14:textId="77777777" w:rsidR="00D94DC7" w:rsidRPr="00C51E6C" w:rsidRDefault="00D94DC7" w:rsidP="00D94DC7">
            <w:pPr>
              <w:contextualSpacing/>
              <w:rPr>
                <w:sz w:val="22"/>
                <w:szCs w:val="22"/>
              </w:rPr>
            </w:pPr>
            <w:r w:rsidRPr="00C51E6C">
              <w:rPr>
                <w:sz w:val="22"/>
                <w:szCs w:val="22"/>
              </w:rPr>
              <w:t>N/A</w:t>
            </w:r>
          </w:p>
        </w:tc>
      </w:tr>
    </w:tbl>
    <w:p w14:paraId="2583CB76" w14:textId="77777777" w:rsidR="00D94DC7" w:rsidRPr="00C51E6C" w:rsidRDefault="00D94DC7" w:rsidP="00D94DC7">
      <w:pPr>
        <w:keepNext/>
        <w:keepLines/>
        <w:spacing w:before="200" w:after="0"/>
        <w:contextualSpacing/>
        <w:outlineLvl w:val="1"/>
        <w:rPr>
          <w:rFonts w:asciiTheme="majorHAnsi" w:eastAsiaTheme="majorEastAsia" w:hAnsiTheme="majorHAnsi" w:cstheme="majorBidi"/>
          <w:b/>
          <w:bCs/>
          <w:color w:val="4F81BD" w:themeColor="accent1"/>
          <w:sz w:val="26"/>
          <w:szCs w:val="26"/>
        </w:rPr>
      </w:pPr>
      <w:bookmarkStart w:id="907" w:name="_Toc486492412"/>
      <w:bookmarkStart w:id="908" w:name="_Toc486499908"/>
      <w:bookmarkStart w:id="909" w:name="_Toc486501084"/>
      <w:bookmarkStart w:id="910" w:name="_Toc486516544"/>
      <w:bookmarkStart w:id="911" w:name="_Toc486577799"/>
      <w:bookmarkStart w:id="912" w:name="_Toc486579005"/>
    </w:p>
    <w:p w14:paraId="336420F4" w14:textId="77777777" w:rsidR="00D94DC7" w:rsidRPr="00F53AFB" w:rsidRDefault="00D94DC7" w:rsidP="00D94DC7">
      <w:pPr>
        <w:pStyle w:val="Heading4"/>
        <w:rPr>
          <w:sz w:val="24"/>
          <w:szCs w:val="24"/>
        </w:rPr>
      </w:pPr>
      <w:r w:rsidRPr="00F53AFB">
        <w:rPr>
          <w:sz w:val="24"/>
          <w:szCs w:val="24"/>
        </w:rPr>
        <w:t>General Considerations – All Sectors</w:t>
      </w:r>
      <w:bookmarkEnd w:id="907"/>
      <w:bookmarkEnd w:id="908"/>
      <w:bookmarkEnd w:id="909"/>
      <w:bookmarkEnd w:id="910"/>
      <w:bookmarkEnd w:id="911"/>
      <w:bookmarkEnd w:id="912"/>
      <w:r w:rsidRPr="00F53AFB">
        <w:rPr>
          <w:sz w:val="24"/>
          <w:szCs w:val="24"/>
        </w:rPr>
        <w:t xml:space="preserve"> </w:t>
      </w:r>
    </w:p>
    <w:p w14:paraId="235100D1" w14:textId="77777777" w:rsidR="00D94DC7" w:rsidRPr="00C51E6C" w:rsidRDefault="00D94DC7" w:rsidP="00D94DC7">
      <w:pPr>
        <w:contextualSpacing/>
      </w:pPr>
    </w:p>
    <w:tbl>
      <w:tblPr>
        <w:tblStyle w:val="TableGrid1"/>
        <w:tblW w:w="0" w:type="auto"/>
        <w:tblLayout w:type="fixed"/>
        <w:tblLook w:val="04A0" w:firstRow="1" w:lastRow="0" w:firstColumn="1" w:lastColumn="0" w:noHBand="0" w:noVBand="1"/>
      </w:tblPr>
      <w:tblGrid>
        <w:gridCol w:w="1728"/>
        <w:gridCol w:w="7848"/>
      </w:tblGrid>
      <w:tr w:rsidR="00D94DC7" w:rsidRPr="00C51E6C" w14:paraId="722745F1" w14:textId="77777777" w:rsidTr="00D94DC7">
        <w:tc>
          <w:tcPr>
            <w:tcW w:w="1728" w:type="dxa"/>
          </w:tcPr>
          <w:p w14:paraId="75991309" w14:textId="77777777" w:rsidR="00D94DC7" w:rsidRPr="00C51E6C" w:rsidRDefault="00D94DC7" w:rsidP="00D94DC7">
            <w:pPr>
              <w:contextualSpacing/>
              <w:rPr>
                <w:sz w:val="22"/>
                <w:szCs w:val="22"/>
              </w:rPr>
            </w:pPr>
            <w:r w:rsidRPr="00C51E6C">
              <w:rPr>
                <w:sz w:val="22"/>
                <w:szCs w:val="22"/>
              </w:rPr>
              <w:t>Preparation</w:t>
            </w:r>
          </w:p>
          <w:p w14:paraId="0C7C3A8E" w14:textId="77777777" w:rsidR="00D94DC7" w:rsidRPr="00C51E6C" w:rsidRDefault="00D94DC7" w:rsidP="00D94DC7">
            <w:pPr>
              <w:contextualSpacing/>
              <w:rPr>
                <w:sz w:val="22"/>
                <w:szCs w:val="22"/>
              </w:rPr>
            </w:pPr>
          </w:p>
        </w:tc>
        <w:tc>
          <w:tcPr>
            <w:tcW w:w="7848" w:type="dxa"/>
          </w:tcPr>
          <w:p w14:paraId="14DF1DD9" w14:textId="10165084" w:rsidR="00D94DC7" w:rsidRPr="00C51E6C" w:rsidRDefault="00D94DC7" w:rsidP="00D94DC7">
            <w:pPr>
              <w:numPr>
                <w:ilvl w:val="0"/>
                <w:numId w:val="32"/>
              </w:numPr>
              <w:ind w:left="342" w:hanging="180"/>
              <w:contextualSpacing/>
              <w:rPr>
                <w:sz w:val="22"/>
                <w:szCs w:val="22"/>
              </w:rPr>
            </w:pPr>
            <w:r w:rsidRPr="00C51E6C">
              <w:rPr>
                <w:sz w:val="22"/>
                <w:szCs w:val="22"/>
              </w:rPr>
              <w:t>MDPH may reach out to, and collaborate with, various societal sector points of contact when developing, revising and exercising emergency response plans for the Commonwealth, as appropriate</w:t>
            </w:r>
          </w:p>
          <w:p w14:paraId="4E88D384" w14:textId="431B92B2" w:rsidR="00D94DC7" w:rsidRPr="00C51E6C" w:rsidRDefault="00D94DC7" w:rsidP="00D94DC7">
            <w:pPr>
              <w:numPr>
                <w:ilvl w:val="0"/>
                <w:numId w:val="32"/>
              </w:numPr>
              <w:ind w:left="356" w:hanging="180"/>
              <w:contextualSpacing/>
              <w:rPr>
                <w:sz w:val="22"/>
                <w:szCs w:val="22"/>
              </w:rPr>
            </w:pPr>
            <w:r w:rsidRPr="00C51E6C">
              <w:rPr>
                <w:sz w:val="22"/>
                <w:szCs w:val="22"/>
              </w:rPr>
              <w:t>MDPH may consider working with various societal sector points of contact to encourage public health campaigns (i.e. flu prevention, hand hygiene, cough etiquette, etc.)</w:t>
            </w:r>
          </w:p>
        </w:tc>
      </w:tr>
      <w:tr w:rsidR="00D94DC7" w:rsidRPr="00C51E6C" w14:paraId="2BB07168" w14:textId="77777777" w:rsidTr="00D94DC7">
        <w:tc>
          <w:tcPr>
            <w:tcW w:w="1728" w:type="dxa"/>
          </w:tcPr>
          <w:p w14:paraId="67B32A55" w14:textId="77777777" w:rsidR="00D94DC7" w:rsidRPr="00C51E6C" w:rsidRDefault="00D94DC7" w:rsidP="00D94DC7">
            <w:pPr>
              <w:rPr>
                <w:sz w:val="22"/>
                <w:szCs w:val="22"/>
              </w:rPr>
            </w:pPr>
            <w:r w:rsidRPr="00C51E6C">
              <w:rPr>
                <w:sz w:val="22"/>
                <w:szCs w:val="22"/>
              </w:rPr>
              <w:t>Investigation/</w:t>
            </w:r>
          </w:p>
          <w:p w14:paraId="5F6BDB6A" w14:textId="77777777" w:rsidR="00D94DC7" w:rsidRPr="00C51E6C" w:rsidRDefault="00D94DC7" w:rsidP="00D94DC7">
            <w:pPr>
              <w:rPr>
                <w:sz w:val="22"/>
                <w:szCs w:val="22"/>
              </w:rPr>
            </w:pPr>
            <w:r w:rsidRPr="00C51E6C">
              <w:rPr>
                <w:sz w:val="22"/>
                <w:szCs w:val="22"/>
              </w:rPr>
              <w:t>Alerting</w:t>
            </w:r>
          </w:p>
        </w:tc>
        <w:tc>
          <w:tcPr>
            <w:tcW w:w="7848" w:type="dxa"/>
          </w:tcPr>
          <w:p w14:paraId="47CD57DC" w14:textId="13D7A017" w:rsidR="00D94DC7" w:rsidRPr="00C51E6C" w:rsidRDefault="00D94DC7" w:rsidP="00D94DC7">
            <w:pPr>
              <w:numPr>
                <w:ilvl w:val="0"/>
                <w:numId w:val="64"/>
              </w:numPr>
              <w:ind w:left="356" w:hanging="180"/>
              <w:contextualSpacing/>
              <w:rPr>
                <w:sz w:val="22"/>
                <w:szCs w:val="22"/>
              </w:rPr>
            </w:pPr>
            <w:r w:rsidRPr="00C51E6C">
              <w:rPr>
                <w:sz w:val="22"/>
                <w:szCs w:val="22"/>
              </w:rPr>
              <w:t>MDPH may consider disseminating alerts with reports on infectious disease activity outside of Massachusetts as appropriate via Clinical Advisories when there are potential implications for Massachusetts residents and travelers</w:t>
            </w:r>
          </w:p>
        </w:tc>
      </w:tr>
      <w:tr w:rsidR="00D94DC7" w:rsidRPr="00C51E6C" w14:paraId="57DE0DBB" w14:textId="77777777" w:rsidTr="00D94DC7">
        <w:tc>
          <w:tcPr>
            <w:tcW w:w="1728" w:type="dxa"/>
          </w:tcPr>
          <w:p w14:paraId="2AFB7E7F" w14:textId="77777777" w:rsidR="00D94DC7" w:rsidRPr="00C51E6C" w:rsidRDefault="00D94DC7" w:rsidP="00D94DC7">
            <w:pPr>
              <w:rPr>
                <w:sz w:val="22"/>
                <w:szCs w:val="22"/>
              </w:rPr>
            </w:pPr>
            <w:r w:rsidRPr="00C51E6C">
              <w:rPr>
                <w:sz w:val="22"/>
                <w:szCs w:val="22"/>
              </w:rPr>
              <w:t>Recognition</w:t>
            </w:r>
          </w:p>
        </w:tc>
        <w:tc>
          <w:tcPr>
            <w:tcW w:w="7848" w:type="dxa"/>
          </w:tcPr>
          <w:p w14:paraId="0D308E34" w14:textId="52255BA2" w:rsidR="00D94DC7" w:rsidRPr="00C51E6C" w:rsidRDefault="00D94DC7" w:rsidP="00D94DC7">
            <w:pPr>
              <w:numPr>
                <w:ilvl w:val="0"/>
                <w:numId w:val="64"/>
              </w:numPr>
              <w:ind w:left="342" w:hanging="180"/>
              <w:contextualSpacing/>
              <w:rPr>
                <w:sz w:val="22"/>
                <w:szCs w:val="22"/>
              </w:rPr>
            </w:pPr>
            <w:r w:rsidRPr="00C51E6C">
              <w:rPr>
                <w:sz w:val="22"/>
                <w:szCs w:val="22"/>
              </w:rPr>
              <w:t>MDPH may consider disseminating alerts of infectious disease activity within Massachusetts and the potential scope of the infectious disease event to their planning partners via Health and Medical Situational Reports and/or Clinical Advisories, in addition to more specific guidance as it becomes available</w:t>
            </w:r>
          </w:p>
          <w:p w14:paraId="1ACC1FFC" w14:textId="7E39486A" w:rsidR="00D94DC7" w:rsidRPr="00C51E6C" w:rsidRDefault="00D94DC7" w:rsidP="00D94DC7">
            <w:pPr>
              <w:numPr>
                <w:ilvl w:val="0"/>
                <w:numId w:val="64"/>
              </w:numPr>
              <w:ind w:left="342" w:hanging="180"/>
              <w:contextualSpacing/>
              <w:rPr>
                <w:sz w:val="22"/>
                <w:szCs w:val="22"/>
              </w:rPr>
            </w:pPr>
            <w:r w:rsidRPr="00C51E6C">
              <w:rPr>
                <w:sz w:val="22"/>
                <w:szCs w:val="22"/>
              </w:rPr>
              <w:t>MDPH may consider offering public education campaign resources as they become available (i.e. symptoms to look for, how to prevent infection) for wide dissemination</w:t>
            </w:r>
          </w:p>
          <w:p w14:paraId="23F3B7C7" w14:textId="769C004B" w:rsidR="00D94DC7" w:rsidRPr="00C51E6C" w:rsidRDefault="00D94DC7" w:rsidP="00D94DC7">
            <w:pPr>
              <w:numPr>
                <w:ilvl w:val="0"/>
                <w:numId w:val="64"/>
              </w:numPr>
              <w:ind w:left="342" w:hanging="180"/>
              <w:contextualSpacing/>
              <w:rPr>
                <w:sz w:val="22"/>
                <w:szCs w:val="22"/>
              </w:rPr>
            </w:pPr>
            <w:r w:rsidRPr="00C51E6C">
              <w:rPr>
                <w:sz w:val="22"/>
                <w:szCs w:val="22"/>
              </w:rPr>
              <w:t>Following State Epidemiologist review, MDPH may disseminate PPE guidance for equipment and training to frontline responders in all sectors</w:t>
            </w:r>
          </w:p>
        </w:tc>
      </w:tr>
      <w:tr w:rsidR="00D94DC7" w:rsidRPr="00C51E6C" w14:paraId="30800635" w14:textId="77777777" w:rsidTr="00D94DC7">
        <w:tc>
          <w:tcPr>
            <w:tcW w:w="1728" w:type="dxa"/>
          </w:tcPr>
          <w:p w14:paraId="7CC1A0DD" w14:textId="77777777" w:rsidR="00D94DC7" w:rsidRPr="00C51E6C" w:rsidRDefault="00D94DC7" w:rsidP="00D94DC7">
            <w:pPr>
              <w:rPr>
                <w:sz w:val="22"/>
                <w:szCs w:val="22"/>
              </w:rPr>
            </w:pPr>
            <w:r w:rsidRPr="00C51E6C">
              <w:rPr>
                <w:sz w:val="22"/>
                <w:szCs w:val="22"/>
              </w:rPr>
              <w:t>Initiation</w:t>
            </w:r>
          </w:p>
        </w:tc>
        <w:tc>
          <w:tcPr>
            <w:tcW w:w="7848" w:type="dxa"/>
          </w:tcPr>
          <w:p w14:paraId="2B4527A3" w14:textId="59C42BC4" w:rsidR="00D94DC7" w:rsidRPr="00C51E6C" w:rsidRDefault="00D94DC7" w:rsidP="00D94DC7">
            <w:pPr>
              <w:numPr>
                <w:ilvl w:val="0"/>
                <w:numId w:val="67"/>
              </w:numPr>
              <w:ind w:left="266" w:hanging="180"/>
              <w:contextualSpacing/>
              <w:rPr>
                <w:sz w:val="22"/>
                <w:szCs w:val="22"/>
              </w:rPr>
            </w:pPr>
            <w:r w:rsidRPr="00C51E6C">
              <w:rPr>
                <w:sz w:val="22"/>
                <w:szCs w:val="22"/>
              </w:rPr>
              <w:t xml:space="preserve">As the scope or nature of the infectious disease emergency changes, MDPH may share these updates with Societal Sector representatives in the form of Health </w:t>
            </w:r>
            <w:r w:rsidRPr="00C51E6C">
              <w:rPr>
                <w:sz w:val="22"/>
                <w:szCs w:val="22"/>
              </w:rPr>
              <w:lastRenderedPageBreak/>
              <w:t>and Medical Situation Reports or conference calls, depending on the urgency of the situation</w:t>
            </w:r>
          </w:p>
          <w:p w14:paraId="170E5A87" w14:textId="55CFD50B" w:rsidR="00D94DC7" w:rsidRPr="00C51E6C" w:rsidRDefault="00D94DC7" w:rsidP="00D94DC7">
            <w:pPr>
              <w:numPr>
                <w:ilvl w:val="0"/>
                <w:numId w:val="67"/>
              </w:numPr>
              <w:ind w:left="266" w:hanging="180"/>
              <w:contextualSpacing/>
              <w:rPr>
                <w:sz w:val="22"/>
                <w:szCs w:val="22"/>
              </w:rPr>
            </w:pPr>
            <w:r w:rsidRPr="00C51E6C">
              <w:rPr>
                <w:sz w:val="22"/>
                <w:szCs w:val="22"/>
              </w:rPr>
              <w:t>MDPH may consider continuing to provide specific technical assistance on issues such as travel screening protocols, environment infection control, and social distancing recommendations, and will raise awareness of disease-specific resources and materials for public consumption</w:t>
            </w:r>
          </w:p>
          <w:p w14:paraId="1CB3BD5E" w14:textId="212CF4D8" w:rsidR="00D94DC7" w:rsidRPr="00C51E6C" w:rsidRDefault="00D94DC7" w:rsidP="00D94DC7">
            <w:pPr>
              <w:numPr>
                <w:ilvl w:val="0"/>
                <w:numId w:val="67"/>
              </w:numPr>
              <w:ind w:left="266" w:hanging="180"/>
              <w:contextualSpacing/>
              <w:rPr>
                <w:sz w:val="22"/>
                <w:szCs w:val="22"/>
              </w:rPr>
            </w:pPr>
            <w:r w:rsidRPr="00C51E6C">
              <w:rPr>
                <w:sz w:val="22"/>
                <w:szCs w:val="22"/>
              </w:rPr>
              <w:t>MDPH may consider collaborating with MEMA to offer guidance to state agencies and other planning partners regarding continuity of operations if the infectious disease emergency is anticipated to be a worsening and/or a prolonged event</w:t>
            </w:r>
          </w:p>
          <w:p w14:paraId="36748E33" w14:textId="54B9C0E2" w:rsidR="00D94DC7" w:rsidRPr="00C51E6C" w:rsidRDefault="00D94DC7" w:rsidP="00D94DC7">
            <w:pPr>
              <w:numPr>
                <w:ilvl w:val="0"/>
                <w:numId w:val="67"/>
              </w:numPr>
              <w:ind w:left="266" w:hanging="180"/>
              <w:contextualSpacing/>
              <w:rPr>
                <w:sz w:val="22"/>
                <w:szCs w:val="22"/>
              </w:rPr>
            </w:pPr>
            <w:r w:rsidRPr="00C51E6C">
              <w:rPr>
                <w:sz w:val="22"/>
                <w:szCs w:val="22"/>
              </w:rPr>
              <w:t>MDPH may consider providing guidance as needed describing any countermeasures that are available and recommended for first responders</w:t>
            </w:r>
          </w:p>
        </w:tc>
      </w:tr>
      <w:tr w:rsidR="00D94DC7" w:rsidRPr="00C51E6C" w14:paraId="6717C0B3" w14:textId="77777777" w:rsidTr="00D94DC7">
        <w:tc>
          <w:tcPr>
            <w:tcW w:w="1728" w:type="dxa"/>
          </w:tcPr>
          <w:p w14:paraId="3A7AE443" w14:textId="77777777" w:rsidR="00D94DC7" w:rsidRPr="00C51E6C" w:rsidRDefault="00D94DC7" w:rsidP="00D94DC7">
            <w:pPr>
              <w:rPr>
                <w:sz w:val="22"/>
                <w:szCs w:val="22"/>
              </w:rPr>
            </w:pPr>
            <w:r w:rsidRPr="00C51E6C">
              <w:rPr>
                <w:sz w:val="22"/>
                <w:szCs w:val="22"/>
              </w:rPr>
              <w:lastRenderedPageBreak/>
              <w:t>Acceleration</w:t>
            </w:r>
          </w:p>
        </w:tc>
        <w:tc>
          <w:tcPr>
            <w:tcW w:w="7848" w:type="dxa"/>
          </w:tcPr>
          <w:p w14:paraId="1793C359" w14:textId="752983B4" w:rsidR="00D94DC7" w:rsidRPr="00C51E6C" w:rsidRDefault="00D94DC7" w:rsidP="00D94DC7">
            <w:pPr>
              <w:numPr>
                <w:ilvl w:val="0"/>
                <w:numId w:val="70"/>
              </w:numPr>
              <w:ind w:left="266" w:hanging="180"/>
              <w:contextualSpacing/>
              <w:rPr>
                <w:sz w:val="22"/>
                <w:szCs w:val="22"/>
              </w:rPr>
            </w:pPr>
            <w:r w:rsidRPr="00C51E6C">
              <w:rPr>
                <w:sz w:val="22"/>
                <w:szCs w:val="22"/>
              </w:rPr>
              <w:t>As the scope or nature of the infectious disease emergency changes, MDPH may consider sharing these updates with societal sector partners in the form of Health and Medical Situation Reports or conference calls, depending on the urgency of the situation</w:t>
            </w:r>
          </w:p>
          <w:p w14:paraId="1AB9DB1E" w14:textId="54AE75EB" w:rsidR="00D94DC7" w:rsidRPr="00C51E6C" w:rsidRDefault="00D94DC7" w:rsidP="00D94DC7">
            <w:pPr>
              <w:numPr>
                <w:ilvl w:val="0"/>
                <w:numId w:val="70"/>
              </w:numPr>
              <w:ind w:left="266" w:hanging="180"/>
              <w:contextualSpacing/>
              <w:rPr>
                <w:sz w:val="22"/>
                <w:szCs w:val="22"/>
              </w:rPr>
            </w:pPr>
            <w:r w:rsidRPr="00C51E6C">
              <w:rPr>
                <w:sz w:val="22"/>
                <w:szCs w:val="22"/>
              </w:rPr>
              <w:t>Upon declaration of a public health emergency by the Governor, the Commissioner, in conjunction with other state government officials, may discuss the implementation of social distancing and community mitigation measures necessary for the containment of the infectious disease, including, but not limited to, deferred travel, school closures, and the suspension of large gatherings. The Commissioner may also issue an order to expand the scope of service to support the response</w:t>
            </w:r>
          </w:p>
        </w:tc>
      </w:tr>
      <w:tr w:rsidR="00D94DC7" w:rsidRPr="00C51E6C" w14:paraId="100575D9" w14:textId="77777777" w:rsidTr="00D94DC7">
        <w:tc>
          <w:tcPr>
            <w:tcW w:w="1728" w:type="dxa"/>
          </w:tcPr>
          <w:p w14:paraId="154872B7" w14:textId="77777777" w:rsidR="00D94DC7" w:rsidRPr="00C51E6C" w:rsidRDefault="00D94DC7" w:rsidP="00D94DC7">
            <w:pPr>
              <w:rPr>
                <w:sz w:val="22"/>
                <w:szCs w:val="22"/>
              </w:rPr>
            </w:pPr>
            <w:r w:rsidRPr="00C51E6C">
              <w:rPr>
                <w:sz w:val="22"/>
                <w:szCs w:val="22"/>
              </w:rPr>
              <w:t>Demobilization</w:t>
            </w:r>
          </w:p>
        </w:tc>
        <w:tc>
          <w:tcPr>
            <w:tcW w:w="7848" w:type="dxa"/>
          </w:tcPr>
          <w:p w14:paraId="1765883C" w14:textId="43EE9701" w:rsidR="00D94DC7" w:rsidRPr="00C51E6C" w:rsidRDefault="00D94DC7" w:rsidP="00D94DC7">
            <w:pPr>
              <w:numPr>
                <w:ilvl w:val="0"/>
                <w:numId w:val="35"/>
              </w:numPr>
              <w:ind w:left="252" w:hanging="180"/>
              <w:contextualSpacing/>
              <w:rPr>
                <w:sz w:val="22"/>
                <w:szCs w:val="22"/>
              </w:rPr>
            </w:pPr>
            <w:r w:rsidRPr="00C51E6C">
              <w:rPr>
                <w:sz w:val="22"/>
                <w:szCs w:val="22"/>
              </w:rPr>
              <w:t xml:space="preserve">MDPH may consider including representatives from societal sectors in any debriefing activities following an infectious disease event, as appropriate </w:t>
            </w:r>
          </w:p>
          <w:p w14:paraId="2D2830A7" w14:textId="3323EB03" w:rsidR="00D94DC7" w:rsidRPr="00C51E6C" w:rsidRDefault="00D94DC7" w:rsidP="00D94DC7">
            <w:pPr>
              <w:numPr>
                <w:ilvl w:val="0"/>
                <w:numId w:val="35"/>
              </w:numPr>
              <w:ind w:left="252" w:hanging="180"/>
              <w:contextualSpacing/>
              <w:rPr>
                <w:sz w:val="22"/>
                <w:szCs w:val="22"/>
              </w:rPr>
            </w:pPr>
            <w:r w:rsidRPr="00C51E6C">
              <w:rPr>
                <w:sz w:val="22"/>
                <w:szCs w:val="22"/>
              </w:rPr>
              <w:t xml:space="preserve">MDPH may consider collecting and documenting the observations, concerns, and other feedback  from response partners and other key stakeholders regarding the infectious disease emergency, in order to have these viewpoints reflected in after action reports </w:t>
            </w:r>
          </w:p>
          <w:p w14:paraId="79DF3BC0" w14:textId="03FBB047" w:rsidR="00D94DC7" w:rsidRPr="00C51E6C" w:rsidRDefault="00D94DC7" w:rsidP="00D94DC7">
            <w:pPr>
              <w:numPr>
                <w:ilvl w:val="0"/>
                <w:numId w:val="35"/>
              </w:numPr>
              <w:ind w:left="252" w:hanging="180"/>
              <w:contextualSpacing/>
              <w:rPr>
                <w:sz w:val="22"/>
                <w:szCs w:val="22"/>
              </w:rPr>
            </w:pPr>
            <w:r w:rsidRPr="00C51E6C">
              <w:rPr>
                <w:sz w:val="22"/>
                <w:szCs w:val="22"/>
              </w:rPr>
              <w:t>MDPH may consider collaborating with MEMA to disseminate information regarding environmental infection control activities, as needed and according to the infectious disease in question</w:t>
            </w:r>
          </w:p>
          <w:p w14:paraId="040420BA" w14:textId="69A653A1" w:rsidR="00D94DC7" w:rsidRPr="00C51E6C" w:rsidRDefault="00D94DC7" w:rsidP="00D94DC7">
            <w:pPr>
              <w:numPr>
                <w:ilvl w:val="0"/>
                <w:numId w:val="35"/>
              </w:numPr>
              <w:ind w:left="252" w:hanging="180"/>
              <w:contextualSpacing/>
              <w:jc w:val="both"/>
              <w:rPr>
                <w:sz w:val="22"/>
                <w:szCs w:val="22"/>
              </w:rPr>
            </w:pPr>
            <w:r w:rsidRPr="00C51E6C">
              <w:rPr>
                <w:sz w:val="22"/>
                <w:szCs w:val="22"/>
              </w:rPr>
              <w:t xml:space="preserve">MDPH, MEMA and DMH may collaborate to provide information to the public on how to access crisis support for those who have been impacted by the infectious disease emergency </w:t>
            </w:r>
          </w:p>
          <w:p w14:paraId="2D68294F" w14:textId="24DDB303" w:rsidR="00D94DC7" w:rsidRPr="00C51E6C" w:rsidRDefault="00D94DC7" w:rsidP="00D94DC7">
            <w:pPr>
              <w:numPr>
                <w:ilvl w:val="0"/>
                <w:numId w:val="35"/>
              </w:numPr>
              <w:ind w:left="252" w:hanging="180"/>
              <w:contextualSpacing/>
              <w:rPr>
                <w:sz w:val="22"/>
                <w:szCs w:val="22"/>
              </w:rPr>
            </w:pPr>
            <w:r w:rsidRPr="00C51E6C">
              <w:rPr>
                <w:sz w:val="22"/>
                <w:szCs w:val="22"/>
              </w:rPr>
              <w:t>MDPH may coordinate with DMH and MEMA and EOPSS to assess whether providers’ and responders’ behavioral health needs are being adequately addressed post-incident</w:t>
            </w:r>
          </w:p>
        </w:tc>
      </w:tr>
    </w:tbl>
    <w:p w14:paraId="11D0BCF1" w14:textId="77777777" w:rsidR="00D94DC7" w:rsidRDefault="00D94DC7" w:rsidP="00D94DC7">
      <w:pPr>
        <w:pStyle w:val="Heading1"/>
        <w:numPr>
          <w:ilvl w:val="0"/>
          <w:numId w:val="0"/>
        </w:numPr>
        <w:spacing w:after="0" w:line="240" w:lineRule="auto"/>
        <w:rPr>
          <w:sz w:val="4"/>
          <w:szCs w:val="4"/>
        </w:rPr>
      </w:pPr>
    </w:p>
    <w:p w14:paraId="4538D628" w14:textId="77777777" w:rsidR="00D94DC7" w:rsidRDefault="00D94DC7" w:rsidP="00D94DC7">
      <w:pPr>
        <w:pStyle w:val="Heading1"/>
        <w:numPr>
          <w:ilvl w:val="0"/>
          <w:numId w:val="0"/>
        </w:numPr>
        <w:spacing w:after="0" w:line="240" w:lineRule="auto"/>
        <w:rPr>
          <w:sz w:val="4"/>
          <w:szCs w:val="4"/>
        </w:rPr>
      </w:pPr>
    </w:p>
    <w:p w14:paraId="307C9CE4" w14:textId="77777777" w:rsidR="00D94DC7" w:rsidRDefault="00D94DC7" w:rsidP="00D94DC7">
      <w:pPr>
        <w:pStyle w:val="Heading1"/>
        <w:numPr>
          <w:ilvl w:val="0"/>
          <w:numId w:val="0"/>
        </w:numPr>
        <w:spacing w:after="0" w:line="240" w:lineRule="auto"/>
        <w:rPr>
          <w:sz w:val="4"/>
          <w:szCs w:val="4"/>
        </w:rPr>
      </w:pPr>
    </w:p>
    <w:p w14:paraId="379BA0EF" w14:textId="77777777" w:rsidR="00D94DC7" w:rsidRDefault="00D94DC7" w:rsidP="00D94DC7">
      <w:pPr>
        <w:pStyle w:val="Heading1"/>
        <w:numPr>
          <w:ilvl w:val="0"/>
          <w:numId w:val="0"/>
        </w:numPr>
        <w:spacing w:after="0" w:line="240" w:lineRule="auto"/>
        <w:rPr>
          <w:sz w:val="4"/>
          <w:szCs w:val="4"/>
        </w:rPr>
      </w:pPr>
    </w:p>
    <w:p w14:paraId="6879BCF3" w14:textId="77777777" w:rsidR="00D94DC7" w:rsidRDefault="00D94DC7" w:rsidP="00D94DC7">
      <w:pPr>
        <w:pStyle w:val="Heading1"/>
        <w:numPr>
          <w:ilvl w:val="0"/>
          <w:numId w:val="0"/>
        </w:numPr>
        <w:spacing w:after="0" w:line="240" w:lineRule="auto"/>
        <w:rPr>
          <w:sz w:val="4"/>
          <w:szCs w:val="4"/>
        </w:rPr>
      </w:pPr>
    </w:p>
    <w:p w14:paraId="2152A519" w14:textId="77777777" w:rsidR="00D94DC7" w:rsidRDefault="00D94DC7" w:rsidP="00D94DC7">
      <w:pPr>
        <w:pStyle w:val="Heading1"/>
        <w:numPr>
          <w:ilvl w:val="0"/>
          <w:numId w:val="0"/>
        </w:numPr>
        <w:spacing w:after="0" w:line="240" w:lineRule="auto"/>
        <w:rPr>
          <w:sz w:val="4"/>
          <w:szCs w:val="4"/>
        </w:rPr>
      </w:pPr>
    </w:p>
    <w:p w14:paraId="7A947C5B" w14:textId="77777777" w:rsidR="00D94DC7" w:rsidRDefault="00D94DC7" w:rsidP="00D94DC7">
      <w:pPr>
        <w:pStyle w:val="Heading1"/>
        <w:numPr>
          <w:ilvl w:val="0"/>
          <w:numId w:val="0"/>
        </w:numPr>
        <w:spacing w:after="0" w:line="240" w:lineRule="auto"/>
        <w:rPr>
          <w:sz w:val="4"/>
          <w:szCs w:val="4"/>
        </w:rPr>
      </w:pPr>
    </w:p>
    <w:p w14:paraId="2D73ABD1" w14:textId="77777777" w:rsidR="00D94DC7" w:rsidRDefault="00D94DC7" w:rsidP="00D94DC7">
      <w:pPr>
        <w:pStyle w:val="Heading1"/>
        <w:numPr>
          <w:ilvl w:val="0"/>
          <w:numId w:val="0"/>
        </w:numPr>
        <w:spacing w:after="0" w:line="240" w:lineRule="auto"/>
        <w:rPr>
          <w:sz w:val="4"/>
          <w:szCs w:val="4"/>
        </w:rPr>
      </w:pPr>
    </w:p>
    <w:p w14:paraId="49933509" w14:textId="77777777" w:rsidR="00D94DC7" w:rsidRDefault="00D94DC7" w:rsidP="00D94DC7">
      <w:pPr>
        <w:pStyle w:val="Heading1"/>
        <w:numPr>
          <w:ilvl w:val="0"/>
          <w:numId w:val="0"/>
        </w:numPr>
        <w:spacing w:after="0" w:line="240" w:lineRule="auto"/>
        <w:rPr>
          <w:sz w:val="4"/>
          <w:szCs w:val="4"/>
        </w:rPr>
      </w:pPr>
    </w:p>
    <w:p w14:paraId="2F667861" w14:textId="77777777" w:rsidR="00D94DC7" w:rsidRDefault="00D94DC7" w:rsidP="00D94DC7">
      <w:pPr>
        <w:pStyle w:val="Heading1"/>
        <w:numPr>
          <w:ilvl w:val="0"/>
          <w:numId w:val="0"/>
        </w:numPr>
        <w:spacing w:after="0" w:line="240" w:lineRule="auto"/>
        <w:rPr>
          <w:sz w:val="4"/>
          <w:szCs w:val="4"/>
        </w:rPr>
      </w:pPr>
    </w:p>
    <w:p w14:paraId="0925007A" w14:textId="77777777" w:rsidR="00D94DC7" w:rsidRDefault="00D94DC7" w:rsidP="00D94DC7">
      <w:pPr>
        <w:pStyle w:val="Heading1"/>
        <w:numPr>
          <w:ilvl w:val="0"/>
          <w:numId w:val="0"/>
        </w:numPr>
        <w:spacing w:after="0" w:line="240" w:lineRule="auto"/>
        <w:rPr>
          <w:sz w:val="4"/>
          <w:szCs w:val="4"/>
        </w:rPr>
      </w:pPr>
    </w:p>
    <w:p w14:paraId="6B8FF6A0" w14:textId="77777777" w:rsidR="00D94DC7" w:rsidRDefault="00D94DC7" w:rsidP="00D94DC7">
      <w:pPr>
        <w:pStyle w:val="Heading1"/>
        <w:numPr>
          <w:ilvl w:val="0"/>
          <w:numId w:val="0"/>
        </w:numPr>
        <w:spacing w:after="0" w:line="240" w:lineRule="auto"/>
        <w:rPr>
          <w:sz w:val="4"/>
          <w:szCs w:val="4"/>
        </w:rPr>
      </w:pPr>
    </w:p>
    <w:p w14:paraId="0CF53BB5" w14:textId="77777777" w:rsidR="00D94DC7" w:rsidRDefault="00D94DC7" w:rsidP="00D94DC7">
      <w:pPr>
        <w:pStyle w:val="Heading1"/>
        <w:numPr>
          <w:ilvl w:val="0"/>
          <w:numId w:val="0"/>
        </w:numPr>
        <w:spacing w:after="0" w:line="240" w:lineRule="auto"/>
        <w:rPr>
          <w:sz w:val="4"/>
          <w:szCs w:val="4"/>
        </w:rPr>
      </w:pPr>
    </w:p>
    <w:p w14:paraId="370051AA" w14:textId="77777777" w:rsidR="00D94DC7" w:rsidRDefault="00D94DC7" w:rsidP="00D94DC7">
      <w:pPr>
        <w:pStyle w:val="Heading1"/>
        <w:numPr>
          <w:ilvl w:val="0"/>
          <w:numId w:val="0"/>
        </w:numPr>
        <w:spacing w:after="0" w:line="240" w:lineRule="auto"/>
        <w:rPr>
          <w:sz w:val="4"/>
          <w:szCs w:val="4"/>
        </w:rPr>
      </w:pPr>
    </w:p>
    <w:p w14:paraId="2249C877" w14:textId="77777777" w:rsidR="00D94DC7" w:rsidRDefault="00D94DC7" w:rsidP="00D94DC7">
      <w:pPr>
        <w:pStyle w:val="Heading1"/>
        <w:numPr>
          <w:ilvl w:val="0"/>
          <w:numId w:val="0"/>
        </w:numPr>
        <w:spacing w:after="0" w:line="240" w:lineRule="auto"/>
        <w:rPr>
          <w:sz w:val="4"/>
          <w:szCs w:val="4"/>
        </w:rPr>
      </w:pPr>
    </w:p>
    <w:p w14:paraId="039C51AE" w14:textId="77777777" w:rsidR="00D94DC7" w:rsidRDefault="00D94DC7" w:rsidP="00D94DC7">
      <w:pPr>
        <w:pStyle w:val="Heading1"/>
        <w:numPr>
          <w:ilvl w:val="0"/>
          <w:numId w:val="0"/>
        </w:numPr>
        <w:spacing w:after="0" w:line="240" w:lineRule="auto"/>
        <w:rPr>
          <w:sz w:val="4"/>
          <w:szCs w:val="4"/>
        </w:rPr>
      </w:pPr>
    </w:p>
    <w:p w14:paraId="662E4CC2" w14:textId="240F9343" w:rsidR="00D94DC7" w:rsidRDefault="00D94DC7" w:rsidP="00D94DC7"/>
    <w:p w14:paraId="57120E79" w14:textId="77777777" w:rsidR="00071606" w:rsidRDefault="00071606" w:rsidP="00D94DC7"/>
    <w:p w14:paraId="6AC22833" w14:textId="77777777" w:rsidR="00071606" w:rsidRDefault="00071606" w:rsidP="00D94DC7"/>
    <w:p w14:paraId="358D0A1D" w14:textId="77777777" w:rsidR="00071606" w:rsidRDefault="00071606" w:rsidP="00D94DC7"/>
    <w:p w14:paraId="7EC9CF5A" w14:textId="77777777" w:rsidR="00071606" w:rsidRPr="00D94DC7" w:rsidRDefault="00071606" w:rsidP="00D94DC7"/>
    <w:p w14:paraId="54A79911" w14:textId="7920C678" w:rsidR="00C51E6C" w:rsidRPr="002D7B70" w:rsidRDefault="00D94DC7" w:rsidP="00D94DC7">
      <w:pPr>
        <w:pStyle w:val="Heading1"/>
        <w:numPr>
          <w:ilvl w:val="0"/>
          <w:numId w:val="0"/>
        </w:numPr>
        <w:spacing w:after="0" w:line="240" w:lineRule="auto"/>
        <w:rPr>
          <w:sz w:val="32"/>
          <w:szCs w:val="32"/>
        </w:rPr>
      </w:pPr>
      <w:bookmarkStart w:id="913" w:name="_Toc31623035"/>
      <w:r>
        <w:lastRenderedPageBreak/>
        <w:t>Annex</w:t>
      </w:r>
      <w:bookmarkEnd w:id="913"/>
      <w:r w:rsidR="00C51E6C">
        <w:t xml:space="preserve"> </w:t>
      </w:r>
    </w:p>
    <w:p w14:paraId="3CA80AE6" w14:textId="77777777" w:rsidR="00C51E6C" w:rsidRDefault="00C51E6C" w:rsidP="00D94DC7">
      <w:pPr>
        <w:spacing w:after="0" w:line="240" w:lineRule="auto"/>
      </w:pPr>
    </w:p>
    <w:p w14:paraId="15B6FEB6" w14:textId="77777777" w:rsidR="00C51E6C" w:rsidRPr="00695E77" w:rsidRDefault="00C51E6C" w:rsidP="00D94DC7">
      <w:pPr>
        <w:pStyle w:val="ListParagraph"/>
        <w:keepNext/>
        <w:keepLines/>
        <w:numPr>
          <w:ilvl w:val="0"/>
          <w:numId w:val="28"/>
        </w:numPr>
        <w:spacing w:before="200" w:after="0" w:line="240" w:lineRule="auto"/>
        <w:contextualSpacing w:val="0"/>
        <w:outlineLvl w:val="1"/>
        <w:rPr>
          <w:rFonts w:asciiTheme="majorHAnsi" w:eastAsiaTheme="majorEastAsia" w:hAnsiTheme="majorHAnsi" w:cstheme="majorBidi"/>
          <w:b/>
          <w:bCs/>
          <w:vanish/>
          <w:color w:val="4F81BD" w:themeColor="accent1"/>
          <w:sz w:val="26"/>
          <w:szCs w:val="26"/>
        </w:rPr>
      </w:pPr>
      <w:bookmarkStart w:id="914" w:name="_Toc15548221"/>
      <w:bookmarkStart w:id="915" w:name="_Toc15549169"/>
      <w:bookmarkStart w:id="916" w:name="_Toc15549520"/>
      <w:bookmarkStart w:id="917" w:name="_Toc15549995"/>
      <w:bookmarkStart w:id="918" w:name="_Toc15550062"/>
      <w:bookmarkStart w:id="919" w:name="_Toc15560782"/>
      <w:bookmarkStart w:id="920" w:name="_Toc15882478"/>
      <w:bookmarkStart w:id="921" w:name="_Toc15882539"/>
      <w:bookmarkStart w:id="922" w:name="_Toc16147853"/>
      <w:bookmarkStart w:id="923" w:name="_Toc31350895"/>
      <w:bookmarkStart w:id="924" w:name="_Toc31357449"/>
      <w:bookmarkStart w:id="925" w:name="_Toc31357586"/>
      <w:bookmarkStart w:id="926" w:name="_Toc31358719"/>
      <w:bookmarkStart w:id="927" w:name="_Toc31359083"/>
      <w:bookmarkStart w:id="928" w:name="_Toc31623036"/>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p>
    <w:p w14:paraId="285647D6" w14:textId="77777777" w:rsidR="00C51E6C" w:rsidRPr="00695E77" w:rsidRDefault="00C51E6C" w:rsidP="00D94DC7">
      <w:pPr>
        <w:pStyle w:val="ListParagraph"/>
        <w:keepNext/>
        <w:keepLines/>
        <w:numPr>
          <w:ilvl w:val="0"/>
          <w:numId w:val="28"/>
        </w:numPr>
        <w:spacing w:before="200" w:after="0" w:line="240" w:lineRule="auto"/>
        <w:contextualSpacing w:val="0"/>
        <w:outlineLvl w:val="1"/>
        <w:rPr>
          <w:rFonts w:asciiTheme="majorHAnsi" w:eastAsiaTheme="majorEastAsia" w:hAnsiTheme="majorHAnsi" w:cstheme="majorBidi"/>
          <w:b/>
          <w:bCs/>
          <w:vanish/>
          <w:color w:val="4F81BD" w:themeColor="accent1"/>
          <w:sz w:val="26"/>
          <w:szCs w:val="26"/>
        </w:rPr>
      </w:pPr>
      <w:bookmarkStart w:id="929" w:name="_Toc15548222"/>
      <w:bookmarkStart w:id="930" w:name="_Toc15549170"/>
      <w:bookmarkStart w:id="931" w:name="_Toc15549521"/>
      <w:bookmarkStart w:id="932" w:name="_Toc15549996"/>
      <w:bookmarkStart w:id="933" w:name="_Toc15550063"/>
      <w:bookmarkStart w:id="934" w:name="_Toc15560783"/>
      <w:bookmarkStart w:id="935" w:name="_Toc15882479"/>
      <w:bookmarkStart w:id="936" w:name="_Toc15882540"/>
      <w:bookmarkStart w:id="937" w:name="_Toc16147854"/>
      <w:bookmarkStart w:id="938" w:name="_Toc31350896"/>
      <w:bookmarkStart w:id="939" w:name="_Toc31357450"/>
      <w:bookmarkStart w:id="940" w:name="_Toc31357587"/>
      <w:bookmarkStart w:id="941" w:name="_Toc31358720"/>
      <w:bookmarkStart w:id="942" w:name="_Toc31359084"/>
      <w:bookmarkStart w:id="943" w:name="_Toc31623037"/>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p>
    <w:p w14:paraId="110EADAB" w14:textId="77777777" w:rsidR="00C51E6C" w:rsidRPr="00695E77" w:rsidRDefault="00C51E6C" w:rsidP="00D94DC7">
      <w:pPr>
        <w:pStyle w:val="ListParagraph"/>
        <w:keepNext/>
        <w:keepLines/>
        <w:numPr>
          <w:ilvl w:val="0"/>
          <w:numId w:val="28"/>
        </w:numPr>
        <w:spacing w:before="200" w:after="0" w:line="240" w:lineRule="auto"/>
        <w:contextualSpacing w:val="0"/>
        <w:outlineLvl w:val="1"/>
        <w:rPr>
          <w:rFonts w:asciiTheme="majorHAnsi" w:eastAsiaTheme="majorEastAsia" w:hAnsiTheme="majorHAnsi" w:cstheme="majorBidi"/>
          <w:b/>
          <w:bCs/>
          <w:vanish/>
          <w:color w:val="4F81BD" w:themeColor="accent1"/>
          <w:sz w:val="26"/>
          <w:szCs w:val="26"/>
        </w:rPr>
      </w:pPr>
      <w:bookmarkStart w:id="944" w:name="_Toc15548223"/>
      <w:bookmarkStart w:id="945" w:name="_Toc15549171"/>
      <w:bookmarkStart w:id="946" w:name="_Toc15549522"/>
      <w:bookmarkStart w:id="947" w:name="_Toc15549997"/>
      <w:bookmarkStart w:id="948" w:name="_Toc15550064"/>
      <w:bookmarkStart w:id="949" w:name="_Toc15560784"/>
      <w:bookmarkStart w:id="950" w:name="_Toc15882480"/>
      <w:bookmarkStart w:id="951" w:name="_Toc15882541"/>
      <w:bookmarkStart w:id="952" w:name="_Toc16147855"/>
      <w:bookmarkStart w:id="953" w:name="_Toc31350897"/>
      <w:bookmarkStart w:id="954" w:name="_Toc31357451"/>
      <w:bookmarkStart w:id="955" w:name="_Toc31357588"/>
      <w:bookmarkStart w:id="956" w:name="_Toc31358721"/>
      <w:bookmarkStart w:id="957" w:name="_Toc31359085"/>
      <w:bookmarkStart w:id="958" w:name="_Toc31623038"/>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p>
    <w:p w14:paraId="7B293330" w14:textId="77777777" w:rsidR="00C51E6C" w:rsidRPr="00695E77" w:rsidRDefault="00C51E6C" w:rsidP="00D94DC7">
      <w:pPr>
        <w:pStyle w:val="ListParagraph"/>
        <w:keepNext/>
        <w:keepLines/>
        <w:numPr>
          <w:ilvl w:val="0"/>
          <w:numId w:val="28"/>
        </w:numPr>
        <w:spacing w:before="200" w:after="0" w:line="240" w:lineRule="auto"/>
        <w:contextualSpacing w:val="0"/>
        <w:outlineLvl w:val="1"/>
        <w:rPr>
          <w:rFonts w:asciiTheme="majorHAnsi" w:eastAsiaTheme="majorEastAsia" w:hAnsiTheme="majorHAnsi" w:cstheme="majorBidi"/>
          <w:b/>
          <w:bCs/>
          <w:vanish/>
          <w:color w:val="4F81BD" w:themeColor="accent1"/>
          <w:sz w:val="26"/>
          <w:szCs w:val="26"/>
        </w:rPr>
      </w:pPr>
      <w:bookmarkStart w:id="959" w:name="_Toc15548224"/>
      <w:bookmarkStart w:id="960" w:name="_Toc15549172"/>
      <w:bookmarkStart w:id="961" w:name="_Toc15549523"/>
      <w:bookmarkStart w:id="962" w:name="_Toc15549998"/>
      <w:bookmarkStart w:id="963" w:name="_Toc15550065"/>
      <w:bookmarkStart w:id="964" w:name="_Toc15560785"/>
      <w:bookmarkStart w:id="965" w:name="_Toc15882481"/>
      <w:bookmarkStart w:id="966" w:name="_Toc15882542"/>
      <w:bookmarkStart w:id="967" w:name="_Toc16147856"/>
      <w:bookmarkStart w:id="968" w:name="_Toc31350898"/>
      <w:bookmarkStart w:id="969" w:name="_Toc31357452"/>
      <w:bookmarkStart w:id="970" w:name="_Toc31357589"/>
      <w:bookmarkStart w:id="971" w:name="_Toc31358722"/>
      <w:bookmarkStart w:id="972" w:name="_Toc31359086"/>
      <w:bookmarkStart w:id="973" w:name="_Toc31623039"/>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p>
    <w:p w14:paraId="769DAFDF" w14:textId="77777777" w:rsidR="00C51E6C" w:rsidRPr="009A25B6" w:rsidRDefault="00C51E6C" w:rsidP="00D94DC7">
      <w:pPr>
        <w:pStyle w:val="Heading4"/>
        <w:spacing w:line="240" w:lineRule="auto"/>
        <w:rPr>
          <w:sz w:val="24"/>
          <w:szCs w:val="24"/>
        </w:rPr>
      </w:pPr>
      <w:r w:rsidRPr="009A25B6">
        <w:rPr>
          <w:sz w:val="24"/>
          <w:szCs w:val="24"/>
        </w:rPr>
        <w:t>Mass Vaccination and Dispensing Annex</w:t>
      </w:r>
    </w:p>
    <w:p w14:paraId="79293481" w14:textId="77777777" w:rsidR="00C51E6C" w:rsidRDefault="00C51E6C" w:rsidP="00C51E6C"/>
    <w:p w14:paraId="5720A5C9" w14:textId="2ED9E9D5" w:rsidR="00C51E6C" w:rsidRDefault="00C51E6C" w:rsidP="00C51E6C">
      <w:r>
        <w:br w:type="page"/>
      </w:r>
      <w:r>
        <w:lastRenderedPageBreak/>
        <w:t xml:space="preserve"> </w:t>
      </w:r>
    </w:p>
    <w:p w14:paraId="7C1A1FE7" w14:textId="629B3ED9" w:rsidR="00C51E6C" w:rsidRPr="00464B28" w:rsidRDefault="00C51E6C" w:rsidP="00464B28">
      <w:pPr>
        <w:pStyle w:val="Heading3"/>
        <w:jc w:val="center"/>
        <w:rPr>
          <w:sz w:val="28"/>
          <w:szCs w:val="28"/>
        </w:rPr>
      </w:pPr>
      <w:bookmarkStart w:id="974" w:name="_Appendices"/>
      <w:bookmarkStart w:id="975" w:name="_Mass_Vaccination_Annex"/>
      <w:bookmarkStart w:id="976" w:name="_Toc481759098"/>
      <w:bookmarkStart w:id="977" w:name="_Toc482792938"/>
      <w:bookmarkStart w:id="978" w:name="_Toc31623040"/>
      <w:bookmarkEnd w:id="974"/>
      <w:bookmarkEnd w:id="975"/>
      <w:r w:rsidRPr="00464B28">
        <w:rPr>
          <w:sz w:val="28"/>
          <w:szCs w:val="28"/>
        </w:rPr>
        <w:t>Mass Vaccination and</w:t>
      </w:r>
      <w:r w:rsidR="00E976FE" w:rsidRPr="00464B28">
        <w:rPr>
          <w:sz w:val="28"/>
          <w:szCs w:val="28"/>
        </w:rPr>
        <w:t xml:space="preserve"> Dispensing</w:t>
      </w:r>
      <w:r w:rsidRPr="00464B28">
        <w:rPr>
          <w:color w:val="FF0000"/>
          <w:sz w:val="28"/>
          <w:szCs w:val="28"/>
        </w:rPr>
        <w:t xml:space="preserve"> </w:t>
      </w:r>
      <w:r w:rsidRPr="00464B28">
        <w:rPr>
          <w:sz w:val="28"/>
          <w:szCs w:val="28"/>
        </w:rPr>
        <w:t>Annex</w:t>
      </w:r>
      <w:bookmarkEnd w:id="976"/>
      <w:bookmarkEnd w:id="977"/>
      <w:bookmarkEnd w:id="978"/>
    </w:p>
    <w:p w14:paraId="4E80E676" w14:textId="77777777" w:rsidR="00464B28" w:rsidRPr="00464B28" w:rsidRDefault="00464B28" w:rsidP="00464B28"/>
    <w:p w14:paraId="1146E924" w14:textId="6F0AEF79" w:rsidR="00C51E6C" w:rsidRPr="005D21F3" w:rsidRDefault="0063626F" w:rsidP="00C51E6C">
      <w:r>
        <w:t>This Annex i</w:t>
      </w:r>
      <w:r w:rsidR="00C51E6C" w:rsidRPr="005D21F3">
        <w:t>ncludes guidance on undertaking a mass vaccination or mass dispensing campaign for the public, depending on the infectious disease threat and response needed.</w:t>
      </w:r>
    </w:p>
    <w:p w14:paraId="686AC618" w14:textId="77777777" w:rsidR="00C51E6C" w:rsidRPr="00F53AFB" w:rsidRDefault="00C51E6C" w:rsidP="00F53AFB">
      <w:pPr>
        <w:pStyle w:val="Heading4"/>
        <w:rPr>
          <w:sz w:val="24"/>
          <w:szCs w:val="24"/>
        </w:rPr>
      </w:pPr>
      <w:r w:rsidRPr="00F53AFB">
        <w:rPr>
          <w:sz w:val="24"/>
          <w:szCs w:val="24"/>
        </w:rPr>
        <w:t xml:space="preserve">Mass Dispensing </w:t>
      </w:r>
    </w:p>
    <w:p w14:paraId="633E7383" w14:textId="735CF1FF" w:rsidR="00C51E6C" w:rsidRPr="005D21F3" w:rsidRDefault="00C51E6C" w:rsidP="00C51E6C">
      <w:r w:rsidRPr="005D21F3">
        <w:t>Mass dispensing includes the dispensing of antibiotics, antivirals or other medical resources to Massachusetts residents, through their local communities. For additional information on Mass Dispensing see the MDPH Medical Countermeasures Plan</w:t>
      </w:r>
      <w:r w:rsidR="00C21CA9">
        <w:t xml:space="preserve"> maintained by DPH OPEM.</w:t>
      </w:r>
      <w:r w:rsidRPr="005D21F3">
        <w:t xml:space="preserve"> </w:t>
      </w:r>
    </w:p>
    <w:p w14:paraId="6DE25EE6" w14:textId="3DC95631" w:rsidR="00C51E6C" w:rsidRPr="005D21F3" w:rsidRDefault="00C51E6C" w:rsidP="005D21F3">
      <w:pPr>
        <w:spacing w:after="0" w:line="240" w:lineRule="auto"/>
      </w:pPr>
      <w:r w:rsidRPr="005D21F3">
        <w:t>Contact Information</w:t>
      </w:r>
      <w:r w:rsidR="005D21F3">
        <w:t>:</w:t>
      </w:r>
    </w:p>
    <w:p w14:paraId="0E1D19B2" w14:textId="77777777" w:rsidR="00C51E6C" w:rsidRPr="005D21F3" w:rsidRDefault="00C51E6C" w:rsidP="005D21F3">
      <w:pPr>
        <w:pStyle w:val="NoSpacing"/>
      </w:pPr>
      <w:r w:rsidRPr="005D21F3">
        <w:t xml:space="preserve">Medical Countermeasures Coordinator </w:t>
      </w:r>
    </w:p>
    <w:p w14:paraId="0D6F84CE" w14:textId="77777777" w:rsidR="00C51E6C" w:rsidRPr="005D21F3" w:rsidRDefault="00C51E6C" w:rsidP="005D21F3">
      <w:pPr>
        <w:pStyle w:val="NoSpacing"/>
      </w:pPr>
      <w:r w:rsidRPr="005D21F3">
        <w:t xml:space="preserve">Office of Preparedness and Emergency Management </w:t>
      </w:r>
    </w:p>
    <w:p w14:paraId="0A467CB9" w14:textId="77777777" w:rsidR="00C51E6C" w:rsidRPr="005D21F3" w:rsidRDefault="00C51E6C" w:rsidP="005D21F3">
      <w:pPr>
        <w:pStyle w:val="NoSpacing"/>
      </w:pPr>
      <w:r w:rsidRPr="005D21F3">
        <w:t xml:space="preserve">Massachusetts Department of Public Health </w:t>
      </w:r>
    </w:p>
    <w:p w14:paraId="70444135" w14:textId="77777777" w:rsidR="00C51E6C" w:rsidRDefault="00C51E6C" w:rsidP="00C51E6C">
      <w:pPr>
        <w:rPr>
          <w:color w:val="FF0000"/>
        </w:rPr>
      </w:pPr>
    </w:p>
    <w:p w14:paraId="058676C8" w14:textId="77777777" w:rsidR="00C51E6C" w:rsidRPr="00F53AFB" w:rsidRDefault="00C51E6C" w:rsidP="00F53AFB">
      <w:pPr>
        <w:pStyle w:val="Heading4"/>
        <w:rPr>
          <w:sz w:val="24"/>
          <w:szCs w:val="24"/>
        </w:rPr>
      </w:pPr>
      <w:r w:rsidRPr="00F53AFB">
        <w:rPr>
          <w:sz w:val="24"/>
          <w:szCs w:val="24"/>
        </w:rPr>
        <w:t>Mass Vaccination</w:t>
      </w:r>
    </w:p>
    <w:p w14:paraId="1287991F" w14:textId="77777777" w:rsidR="00C51E6C" w:rsidRPr="005D21F3" w:rsidRDefault="00C51E6C" w:rsidP="00C51E6C">
      <w:r w:rsidRPr="005D21F3">
        <w:t xml:space="preserve">Mass vaccination occurs when there is a need to vaccinate a sizeable portion of Massachusetts against an infectious disease, such as, but not limited to, pandemic influenza. </w:t>
      </w:r>
    </w:p>
    <w:p w14:paraId="7709F228" w14:textId="6FFC65AC" w:rsidR="00C51E6C" w:rsidRPr="002D2113" w:rsidRDefault="00C51E6C" w:rsidP="005D21F3">
      <w:pPr>
        <w:spacing w:after="0" w:line="240" w:lineRule="auto"/>
      </w:pPr>
      <w:bookmarkStart w:id="979" w:name="_Toc484607047"/>
      <w:bookmarkStart w:id="980" w:name="_Toc486238666"/>
      <w:bookmarkStart w:id="981" w:name="_Toc486329024"/>
      <w:bookmarkStart w:id="982" w:name="_Toc486407802"/>
      <w:bookmarkStart w:id="983" w:name="_Toc486492414"/>
      <w:bookmarkStart w:id="984" w:name="_Toc486499910"/>
      <w:bookmarkStart w:id="985" w:name="_Toc486501086"/>
      <w:bookmarkStart w:id="986" w:name="_Toc486516546"/>
      <w:bookmarkStart w:id="987" w:name="_Toc486577801"/>
      <w:bookmarkStart w:id="988" w:name="_Toc486579007"/>
      <w:r w:rsidRPr="002D2113">
        <w:t>Contact Information</w:t>
      </w:r>
      <w:bookmarkEnd w:id="979"/>
      <w:bookmarkEnd w:id="980"/>
      <w:bookmarkEnd w:id="981"/>
      <w:bookmarkEnd w:id="982"/>
      <w:bookmarkEnd w:id="983"/>
      <w:bookmarkEnd w:id="984"/>
      <w:bookmarkEnd w:id="985"/>
      <w:bookmarkEnd w:id="986"/>
      <w:bookmarkEnd w:id="987"/>
      <w:bookmarkEnd w:id="988"/>
      <w:r w:rsidR="005D21F3">
        <w:t>:</w:t>
      </w:r>
      <w:r>
        <w:t xml:space="preserve"> </w:t>
      </w:r>
    </w:p>
    <w:p w14:paraId="1C6226E5" w14:textId="70681E99" w:rsidR="00C51E6C" w:rsidRPr="00A43406" w:rsidRDefault="00C51E6C" w:rsidP="005D21F3">
      <w:pPr>
        <w:spacing w:after="0" w:line="240" w:lineRule="auto"/>
        <w:contextualSpacing/>
      </w:pPr>
      <w:r w:rsidRPr="00A43406">
        <w:t xml:space="preserve">Director, Immunization </w:t>
      </w:r>
      <w:r w:rsidR="005D21F3">
        <w:t>Division</w:t>
      </w:r>
    </w:p>
    <w:p w14:paraId="7C7AE41F" w14:textId="77777777" w:rsidR="00C51E6C" w:rsidRPr="00A43406" w:rsidRDefault="00C51E6C" w:rsidP="005D21F3">
      <w:pPr>
        <w:spacing w:after="0" w:line="240" w:lineRule="auto"/>
        <w:contextualSpacing/>
      </w:pPr>
      <w:r w:rsidRPr="00A43406">
        <w:t>Massachusetts Department of Public Health</w:t>
      </w:r>
    </w:p>
    <w:p w14:paraId="227794BD" w14:textId="77777777" w:rsidR="00C51E6C" w:rsidRPr="00A43406" w:rsidRDefault="00C51E6C" w:rsidP="005D21F3">
      <w:pPr>
        <w:spacing w:after="0" w:line="240" w:lineRule="auto"/>
        <w:contextualSpacing/>
      </w:pPr>
      <w:r>
        <w:t xml:space="preserve">305 South St., </w:t>
      </w:r>
      <w:r w:rsidRPr="00A43406">
        <w:t>Jamaica Plain, MA  02130</w:t>
      </w:r>
    </w:p>
    <w:p w14:paraId="1C63D444" w14:textId="77777777" w:rsidR="005D21F3" w:rsidRDefault="005D21F3" w:rsidP="005D21F3">
      <w:pPr>
        <w:spacing w:after="0" w:line="240" w:lineRule="auto"/>
      </w:pPr>
      <w:bookmarkStart w:id="989" w:name="_Toc484607048"/>
      <w:bookmarkStart w:id="990" w:name="_Toc486238667"/>
      <w:bookmarkStart w:id="991" w:name="_Toc486329025"/>
      <w:bookmarkStart w:id="992" w:name="_Toc486407803"/>
      <w:bookmarkStart w:id="993" w:name="_Toc486492415"/>
      <w:bookmarkStart w:id="994" w:name="_Toc486499911"/>
      <w:bookmarkStart w:id="995" w:name="_Toc486501087"/>
      <w:bookmarkStart w:id="996" w:name="_Toc486516547"/>
      <w:bookmarkStart w:id="997" w:name="_Toc486577802"/>
      <w:bookmarkStart w:id="998" w:name="_Toc486579008"/>
    </w:p>
    <w:p w14:paraId="54E7882B" w14:textId="77777777" w:rsidR="00C51E6C" w:rsidRPr="002D2113" w:rsidRDefault="00C51E6C" w:rsidP="005D21F3">
      <w:pPr>
        <w:spacing w:after="0" w:line="240" w:lineRule="auto"/>
      </w:pPr>
      <w:r w:rsidRPr="002D2113">
        <w:t>Agencies Involved</w:t>
      </w:r>
      <w:bookmarkEnd w:id="989"/>
      <w:bookmarkEnd w:id="990"/>
      <w:bookmarkEnd w:id="991"/>
      <w:bookmarkEnd w:id="992"/>
      <w:bookmarkEnd w:id="993"/>
      <w:bookmarkEnd w:id="994"/>
      <w:bookmarkEnd w:id="995"/>
      <w:bookmarkEnd w:id="996"/>
      <w:bookmarkEnd w:id="997"/>
      <w:bookmarkEnd w:id="998"/>
    </w:p>
    <w:p w14:paraId="515FC6B7" w14:textId="77777777" w:rsidR="00C51E6C" w:rsidRPr="00A43406" w:rsidRDefault="00C51E6C" w:rsidP="001C1C13">
      <w:pPr>
        <w:pStyle w:val="ListParagraph"/>
        <w:numPr>
          <w:ilvl w:val="0"/>
          <w:numId w:val="88"/>
        </w:numPr>
        <w:spacing w:after="0" w:line="240" w:lineRule="auto"/>
      </w:pPr>
      <w:r w:rsidRPr="00A43406">
        <w:t>Massachusetts Department of Public Health (MDPH)</w:t>
      </w:r>
    </w:p>
    <w:p w14:paraId="6257464D" w14:textId="77777777" w:rsidR="00C51E6C" w:rsidRDefault="00C51E6C" w:rsidP="001C1C13">
      <w:pPr>
        <w:pStyle w:val="ListParagraph"/>
        <w:numPr>
          <w:ilvl w:val="0"/>
          <w:numId w:val="88"/>
        </w:numPr>
        <w:spacing w:after="0" w:line="240" w:lineRule="auto"/>
      </w:pPr>
      <w:r w:rsidRPr="00A43406">
        <w:t>351 Local Public Health Departments</w:t>
      </w:r>
    </w:p>
    <w:p w14:paraId="6B52F226" w14:textId="399CD7E2" w:rsidR="00D62DB6" w:rsidRDefault="00D62DB6" w:rsidP="001C1C13">
      <w:pPr>
        <w:pStyle w:val="ListParagraph"/>
        <w:numPr>
          <w:ilvl w:val="0"/>
          <w:numId w:val="88"/>
        </w:numPr>
        <w:spacing w:after="0" w:line="240" w:lineRule="auto"/>
      </w:pPr>
      <w:r>
        <w:t>Heath care providers including hospitals, PCPs, CHS, pharmacies</w:t>
      </w:r>
    </w:p>
    <w:p w14:paraId="7A04876B" w14:textId="5E3A548F" w:rsidR="00C51E6C" w:rsidRPr="00F53AFB" w:rsidRDefault="00861738" w:rsidP="00F53AFB">
      <w:pPr>
        <w:pStyle w:val="Heading4"/>
        <w:rPr>
          <w:sz w:val="24"/>
          <w:szCs w:val="24"/>
        </w:rPr>
      </w:pPr>
      <w:r w:rsidRPr="00F53AFB">
        <w:rPr>
          <w:sz w:val="24"/>
          <w:szCs w:val="24"/>
        </w:rPr>
        <w:t>Overview</w:t>
      </w:r>
    </w:p>
    <w:p w14:paraId="1ACC1E7E" w14:textId="39D1BA14" w:rsidR="00C51E6C" w:rsidRDefault="00C51E6C" w:rsidP="00C51E6C">
      <w:pPr>
        <w:contextualSpacing/>
      </w:pPr>
      <w:r w:rsidRPr="00A43406">
        <w:t xml:space="preserve">Vaccine will be administered </w:t>
      </w:r>
      <w:r w:rsidR="005D21F3">
        <w:t>in all sites</w:t>
      </w:r>
      <w:r w:rsidRPr="00A43406">
        <w:t xml:space="preserve"> to priority groups determined by the Commissioner of Public Health and based on recommendations from the CDC.  Local health departments/local health coalitions have the responsibility to plan Emergency Dispensing Sites (EDS</w:t>
      </w:r>
      <w:r>
        <w:t>s</w:t>
      </w:r>
      <w:r w:rsidRPr="00A43406">
        <w:t xml:space="preserve">) for administration of vaccine or medications to large groups of people.  </w:t>
      </w:r>
      <w:r w:rsidR="005D21F3" w:rsidRPr="00A43406">
        <w:t xml:space="preserve">Approximately </w:t>
      </w:r>
      <w:r w:rsidR="00D62DB6" w:rsidRPr="00A43406">
        <w:t>5</w:t>
      </w:r>
      <w:r w:rsidR="00D62DB6">
        <w:t>00</w:t>
      </w:r>
      <w:r w:rsidR="00D62DB6" w:rsidRPr="00F77A71">
        <w:t xml:space="preserve"> </w:t>
      </w:r>
      <w:r w:rsidRPr="00F77A71">
        <w:t xml:space="preserve">EDS </w:t>
      </w:r>
      <w:r w:rsidRPr="00A43406">
        <w:t>have been identified by local communities.  MDPH has developed and distributed guidance for local communities on planning and implementing EDS</w:t>
      </w:r>
      <w:r>
        <w:t>s</w:t>
      </w:r>
      <w:r w:rsidRPr="00A43406">
        <w:t>.  In the event of a pandemic, local communities may use elements of their EDS plans to stand up vaccination clinics for priority groups in their communities.   Many communities will use their Medical Reserve Corps (MRCs) to help staff EDS (</w:t>
      </w:r>
      <w:hyperlink r:id="rId87" w:history="1">
        <w:r w:rsidRPr="00A43406">
          <w:rPr>
            <w:rStyle w:val="Hyperlink"/>
          </w:rPr>
          <w:t>http://www.mamedicalreservecorps.org/</w:t>
        </w:r>
      </w:hyperlink>
      <w:r w:rsidRPr="00A43406">
        <w:t>).  Many communities use seasonal flu clinics to exercise their EDS plans.</w:t>
      </w:r>
    </w:p>
    <w:p w14:paraId="4652B770" w14:textId="77777777" w:rsidR="005D21F3" w:rsidRDefault="005D21F3" w:rsidP="00C51E6C">
      <w:pPr>
        <w:contextualSpacing/>
      </w:pPr>
    </w:p>
    <w:p w14:paraId="784691C2" w14:textId="77777777" w:rsidR="005D21F3" w:rsidRPr="005D21F3" w:rsidRDefault="005D21F3" w:rsidP="005D21F3">
      <w:pPr>
        <w:contextualSpacing/>
      </w:pPr>
      <w:r w:rsidRPr="005D21F3">
        <w:t xml:space="preserve">Just-In-Time Training, if needed, will be provided by the BIDLS nursing staff and resources will be posted on the MDPH website. </w:t>
      </w:r>
    </w:p>
    <w:p w14:paraId="23BA7C9A" w14:textId="77777777" w:rsidR="00C51E6C" w:rsidRPr="00A43406" w:rsidRDefault="00C51E6C" w:rsidP="00C51E6C">
      <w:pPr>
        <w:contextualSpacing/>
      </w:pPr>
    </w:p>
    <w:p w14:paraId="444AD598" w14:textId="3DDC6DE1" w:rsidR="00C51E6C" w:rsidRPr="00940C70" w:rsidRDefault="00C51E6C" w:rsidP="00C51E6C">
      <w:pPr>
        <w:contextualSpacing/>
        <w:rPr>
          <w:color w:val="FF0000"/>
        </w:rPr>
      </w:pPr>
      <w:r w:rsidRPr="00A43406">
        <w:lastRenderedPageBreak/>
        <w:t xml:space="preserve">In addition to local </w:t>
      </w:r>
      <w:proofErr w:type="gramStart"/>
      <w:r w:rsidRPr="00A43406">
        <w:t>EDS</w:t>
      </w:r>
      <w:proofErr w:type="gramEnd"/>
      <w:r w:rsidRPr="00A43406">
        <w:t xml:space="preserve"> clinics, vaccine will be distributed to hospitals</w:t>
      </w:r>
      <w:r w:rsidR="00D62DB6">
        <w:t xml:space="preserve"> and long term care facilities</w:t>
      </w:r>
      <w:r w:rsidRPr="00A43406">
        <w:t xml:space="preserve"> for vaccination of personnel and patients, and to residential colleges and universities, prisons and jails, and other large residential facilities that have developed plans to vaccinate their personnel and residents.  Vaccine will also be distributed to health care providers </w:t>
      </w:r>
      <w:r>
        <w:t>in out</w:t>
      </w:r>
      <w:r w:rsidRPr="00A43406">
        <w:t xml:space="preserve">patient settings for vaccination of their prioritized patients. </w:t>
      </w:r>
      <w:r w:rsidRPr="005D21F3">
        <w:t xml:space="preserve">Retail pharmacies will also play a role in providing vaccine to the public.  </w:t>
      </w:r>
    </w:p>
    <w:p w14:paraId="05F10429" w14:textId="77777777" w:rsidR="00C51E6C" w:rsidRPr="00A43406" w:rsidRDefault="00C51E6C" w:rsidP="00C51E6C">
      <w:pPr>
        <w:contextualSpacing/>
      </w:pPr>
    </w:p>
    <w:p w14:paraId="0A394781" w14:textId="77777777" w:rsidR="00C51E6C" w:rsidRDefault="00C51E6C" w:rsidP="00C51E6C">
      <w:pPr>
        <w:contextualSpacing/>
      </w:pPr>
      <w:r w:rsidRPr="00A43406">
        <w:t xml:space="preserve">Local public safety is responsible for security of the vaccine at EDSs and facility security will be </w:t>
      </w:r>
      <w:r>
        <w:t>responsible at hospitals, out</w:t>
      </w:r>
      <w:r w:rsidRPr="00A43406">
        <w:t xml:space="preserve">patient settings, long-term care facilities, and other facilities.  </w:t>
      </w:r>
    </w:p>
    <w:p w14:paraId="5278D297" w14:textId="77777777" w:rsidR="00C51E6C" w:rsidRPr="00A43406" w:rsidRDefault="00C51E6C" w:rsidP="00C51E6C">
      <w:pPr>
        <w:contextualSpacing/>
      </w:pPr>
    </w:p>
    <w:p w14:paraId="0033C393" w14:textId="77777777" w:rsidR="00C51E6C" w:rsidRPr="00A43406" w:rsidRDefault="00C51E6C" w:rsidP="00C51E6C">
      <w:pPr>
        <w:contextualSpacing/>
      </w:pPr>
      <w:r w:rsidRPr="00A43406">
        <w:t xml:space="preserve">The established Vaccine Adverse Event Reporting System (VAERS) system will be used for reporting of adverse events associated with the vaccine.  Data on vaccines will be transmitted to CDC on a weekly basis using Option 2 of the </w:t>
      </w:r>
      <w:r w:rsidRPr="00E435E9">
        <w:t>Countermeasure Response System (CRA).</w:t>
      </w:r>
      <w:r w:rsidRPr="00A43406">
        <w:t xml:space="preserve"> </w:t>
      </w:r>
    </w:p>
    <w:p w14:paraId="5CE29446" w14:textId="77777777" w:rsidR="00C51E6C" w:rsidRPr="00F53AFB" w:rsidRDefault="00C51E6C" w:rsidP="00F53AFB">
      <w:pPr>
        <w:pStyle w:val="Heading4"/>
        <w:rPr>
          <w:sz w:val="24"/>
          <w:szCs w:val="24"/>
        </w:rPr>
      </w:pPr>
      <w:bookmarkStart w:id="999" w:name="_Toc484607051"/>
      <w:bookmarkStart w:id="1000" w:name="_Toc486238670"/>
      <w:bookmarkStart w:id="1001" w:name="_Toc486329028"/>
      <w:bookmarkStart w:id="1002" w:name="_Toc486407806"/>
      <w:bookmarkStart w:id="1003" w:name="_Toc486492418"/>
      <w:bookmarkStart w:id="1004" w:name="_Toc486499914"/>
      <w:bookmarkStart w:id="1005" w:name="_Toc486501090"/>
      <w:bookmarkStart w:id="1006" w:name="_Toc486516550"/>
      <w:bookmarkStart w:id="1007" w:name="_Toc486577805"/>
      <w:bookmarkStart w:id="1008" w:name="_Toc486579011"/>
      <w:r w:rsidRPr="00F53AFB">
        <w:rPr>
          <w:sz w:val="24"/>
          <w:szCs w:val="24"/>
        </w:rPr>
        <w:t>Provider Recruitment</w:t>
      </w:r>
      <w:bookmarkEnd w:id="999"/>
      <w:bookmarkEnd w:id="1000"/>
      <w:bookmarkEnd w:id="1001"/>
      <w:bookmarkEnd w:id="1002"/>
      <w:bookmarkEnd w:id="1003"/>
      <w:bookmarkEnd w:id="1004"/>
      <w:bookmarkEnd w:id="1005"/>
      <w:bookmarkEnd w:id="1006"/>
      <w:bookmarkEnd w:id="1007"/>
      <w:bookmarkEnd w:id="1008"/>
    </w:p>
    <w:p w14:paraId="1BF1935E" w14:textId="4C7017B2" w:rsidR="005D21F3" w:rsidRDefault="005D21F3" w:rsidP="00C51E6C">
      <w:pPr>
        <w:contextualSpacing/>
      </w:pPr>
      <w:r>
        <w:t xml:space="preserve">There are currently close to 3,000 health care provider sites enrolled in the Immunization Division’s vaccine distribution </w:t>
      </w:r>
      <w:r w:rsidR="00D94DC7">
        <w:t>division</w:t>
      </w:r>
      <w:r>
        <w:t xml:space="preserve"> and/or reporting data to the MIIS.  This includes close to 900 pediatric providers enrolled in the VFC </w:t>
      </w:r>
      <w:r w:rsidR="00D94DC7">
        <w:t>division</w:t>
      </w:r>
      <w:r>
        <w:t xml:space="preserve">, all major hospital systems and community health centers, and over 1,000 </w:t>
      </w:r>
      <w:r w:rsidR="00D62DB6">
        <w:t xml:space="preserve">pharmacy </w:t>
      </w:r>
      <w:r>
        <w:t xml:space="preserve">locations.  There are an estimated 1,500 additional immunizing health care providers who are required by law to report their immunizations to the MIIS that are currently not enrolled and reporting data.  Active recruitment of these additional health care providers is ongoing and a streamlined enrollment and registration process will be implemented as needed in the event of a pandemic.  </w:t>
      </w:r>
    </w:p>
    <w:p w14:paraId="7CBA396F" w14:textId="77777777" w:rsidR="00AB6608" w:rsidRPr="00CB25FE" w:rsidRDefault="00AB6608" w:rsidP="00AB6608">
      <w:pPr>
        <w:pStyle w:val="Heading4"/>
      </w:pPr>
      <w:bookmarkStart w:id="1009" w:name="_Toc484607053"/>
      <w:bookmarkStart w:id="1010" w:name="_Toc486238672"/>
      <w:bookmarkStart w:id="1011" w:name="_Toc486329030"/>
      <w:bookmarkStart w:id="1012" w:name="_Toc486407808"/>
      <w:bookmarkStart w:id="1013" w:name="_Toc486492420"/>
      <w:bookmarkStart w:id="1014" w:name="_Toc486499916"/>
      <w:bookmarkStart w:id="1015" w:name="_Toc486501092"/>
      <w:bookmarkStart w:id="1016" w:name="_Toc486516552"/>
      <w:bookmarkStart w:id="1017" w:name="_Toc486577807"/>
      <w:bookmarkStart w:id="1018" w:name="_Toc486579013"/>
      <w:r w:rsidRPr="00CB25FE">
        <w:t xml:space="preserve">Vaccine Allocation and Distribution </w:t>
      </w:r>
    </w:p>
    <w:p w14:paraId="0F3A403A" w14:textId="77777777" w:rsidR="00AB6608" w:rsidRPr="00A43406" w:rsidRDefault="00AB6608" w:rsidP="00AB6608">
      <w:pPr>
        <w:numPr>
          <w:ilvl w:val="0"/>
          <w:numId w:val="44"/>
        </w:numPr>
        <w:contextualSpacing/>
      </w:pPr>
      <w:r w:rsidRPr="00A43406">
        <w:t>Designated Distribution Manager</w:t>
      </w:r>
      <w:r w:rsidRPr="00BD594C">
        <w:t xml:space="preserve">: </w:t>
      </w:r>
      <w:r w:rsidRPr="00ED606D">
        <w:t>MDPH Vaccine Unit Manager</w:t>
      </w:r>
    </w:p>
    <w:p w14:paraId="48BEAFEF" w14:textId="77777777" w:rsidR="00AB6608" w:rsidRPr="00ED606D" w:rsidRDefault="00AB6608" w:rsidP="00AB6608">
      <w:pPr>
        <w:numPr>
          <w:ilvl w:val="0"/>
          <w:numId w:val="44"/>
        </w:numPr>
        <w:contextualSpacing/>
      </w:pPr>
      <w:r w:rsidRPr="00A43406">
        <w:t>All providers must be registered with the MIIS in order to receive</w:t>
      </w:r>
      <w:r>
        <w:t xml:space="preserve"> state-supplied </w:t>
      </w:r>
      <w:r w:rsidRPr="00A43406">
        <w:t>flu vaccine</w:t>
      </w:r>
      <w:r w:rsidRPr="00ED606D">
        <w:t>.  Registration of providers is currently on-going</w:t>
      </w:r>
      <w:r>
        <w:t xml:space="preserve"> and a streamlined process will be implemented to rapidly register any remaining providers as needed in the event of a pandemic.</w:t>
      </w:r>
      <w:r w:rsidRPr="00CE2C26">
        <w:rPr>
          <w:color w:val="FF0000"/>
        </w:rPr>
        <w:t xml:space="preserve"> </w:t>
      </w:r>
    </w:p>
    <w:p w14:paraId="7B7D08A4" w14:textId="77777777" w:rsidR="00C51E6C" w:rsidRPr="00F53AFB" w:rsidRDefault="00C51E6C" w:rsidP="00F53AFB">
      <w:pPr>
        <w:pStyle w:val="Heading4"/>
        <w:rPr>
          <w:sz w:val="24"/>
          <w:szCs w:val="24"/>
        </w:rPr>
      </w:pPr>
      <w:r w:rsidRPr="00F53AFB">
        <w:rPr>
          <w:sz w:val="24"/>
          <w:szCs w:val="24"/>
        </w:rPr>
        <w:t>Vaccine Allocation</w:t>
      </w:r>
      <w:bookmarkEnd w:id="1009"/>
      <w:bookmarkEnd w:id="1010"/>
      <w:bookmarkEnd w:id="1011"/>
      <w:bookmarkEnd w:id="1012"/>
      <w:bookmarkEnd w:id="1013"/>
      <w:bookmarkEnd w:id="1014"/>
      <w:bookmarkEnd w:id="1015"/>
      <w:bookmarkEnd w:id="1016"/>
      <w:bookmarkEnd w:id="1017"/>
      <w:bookmarkEnd w:id="1018"/>
    </w:p>
    <w:p w14:paraId="06C183BA" w14:textId="77777777" w:rsidR="00C51E6C" w:rsidRDefault="00C51E6C" w:rsidP="00861738">
      <w:pPr>
        <w:ind w:firstLine="14"/>
        <w:contextualSpacing/>
      </w:pPr>
      <w:r>
        <w:t>The MDPH Immunization Division</w:t>
      </w:r>
      <w:r w:rsidRPr="00A43406">
        <w:t xml:space="preserve"> is responsible for vaccine allocation.  Vaccine allocation will be based on priority groups as identified by CDC and approved by the MDPH Commissioner’s Office, and by the number and types of providers registered with the MIIS and by the estimated patient volume of the provider practices.</w:t>
      </w:r>
    </w:p>
    <w:p w14:paraId="48E72BB2" w14:textId="77777777" w:rsidR="00C51E6C" w:rsidRPr="00F53AFB" w:rsidRDefault="00C51E6C" w:rsidP="00F53AFB">
      <w:pPr>
        <w:pStyle w:val="Heading4"/>
        <w:rPr>
          <w:sz w:val="24"/>
          <w:szCs w:val="24"/>
        </w:rPr>
      </w:pPr>
      <w:bookmarkStart w:id="1019" w:name="_Toc484607054"/>
      <w:bookmarkStart w:id="1020" w:name="_Toc486238673"/>
      <w:bookmarkStart w:id="1021" w:name="_Toc486329031"/>
      <w:bookmarkStart w:id="1022" w:name="_Toc486407809"/>
      <w:bookmarkStart w:id="1023" w:name="_Toc486492421"/>
      <w:bookmarkStart w:id="1024" w:name="_Toc486499917"/>
      <w:bookmarkStart w:id="1025" w:name="_Toc486501093"/>
      <w:bookmarkStart w:id="1026" w:name="_Toc486516553"/>
      <w:bookmarkStart w:id="1027" w:name="_Toc486577808"/>
      <w:bookmarkStart w:id="1028" w:name="_Toc486579014"/>
      <w:r w:rsidRPr="00F53AFB">
        <w:rPr>
          <w:sz w:val="24"/>
          <w:szCs w:val="24"/>
        </w:rPr>
        <w:t>Vaccine Distribution</w:t>
      </w:r>
      <w:bookmarkEnd w:id="1019"/>
      <w:bookmarkEnd w:id="1020"/>
      <w:bookmarkEnd w:id="1021"/>
      <w:bookmarkEnd w:id="1022"/>
      <w:bookmarkEnd w:id="1023"/>
      <w:bookmarkEnd w:id="1024"/>
      <w:bookmarkEnd w:id="1025"/>
      <w:bookmarkEnd w:id="1026"/>
      <w:bookmarkEnd w:id="1027"/>
      <w:bookmarkEnd w:id="1028"/>
    </w:p>
    <w:p w14:paraId="67841D2F" w14:textId="108C10EB" w:rsidR="00C51E6C" w:rsidRPr="00A43406" w:rsidRDefault="00C51E6C" w:rsidP="001C1C13">
      <w:pPr>
        <w:numPr>
          <w:ilvl w:val="0"/>
          <w:numId w:val="45"/>
        </w:numPr>
        <w:contextualSpacing/>
      </w:pPr>
      <w:r w:rsidRPr="00A43406">
        <w:t>All pandemic vaccine will be distributed by the current centralized distribution vendor (McKesson) for federally contracted vaccines directly to each provider site enrolled in the MIIS that is being allocated vaccine</w:t>
      </w:r>
      <w:r w:rsidR="00D62DB6">
        <w:t xml:space="preserve"> by the MDPH Immunization Division</w:t>
      </w:r>
      <w:r w:rsidRPr="00A43406">
        <w:t xml:space="preserve"> </w:t>
      </w:r>
    </w:p>
    <w:p w14:paraId="526085E4" w14:textId="6871BB72" w:rsidR="00C51E6C" w:rsidRPr="00A43406" w:rsidRDefault="00C51E6C" w:rsidP="001C1C13">
      <w:pPr>
        <w:numPr>
          <w:ilvl w:val="0"/>
          <w:numId w:val="45"/>
        </w:numPr>
        <w:contextualSpacing/>
      </w:pPr>
      <w:r w:rsidRPr="00A43406">
        <w:t xml:space="preserve">MDPH will be notified on a daily basis </w:t>
      </w:r>
      <w:r>
        <w:t>through</w:t>
      </w:r>
      <w:r w:rsidRPr="00A43406">
        <w:t xml:space="preserve"> CDC</w:t>
      </w:r>
      <w:r>
        <w:t>’</w:t>
      </w:r>
      <w:r w:rsidRPr="00A43406">
        <w:t>s daily allocations report about the number of doses and formulations that are available for Massachusetts</w:t>
      </w:r>
    </w:p>
    <w:p w14:paraId="5BFD524B" w14:textId="6E30E777" w:rsidR="00C51E6C" w:rsidRPr="00A43406" w:rsidRDefault="00C51E6C" w:rsidP="001C1C13">
      <w:pPr>
        <w:numPr>
          <w:ilvl w:val="0"/>
          <w:numId w:val="45"/>
        </w:numPr>
        <w:contextualSpacing/>
      </w:pPr>
      <w:r w:rsidRPr="00A43406">
        <w:t xml:space="preserve">Based on the number of doses and formulations available, MDPH will allocate doses directly to provider sites based on the priority groups for vaccination and the quantities of vaccines available at the time.  Allocations will be made as frequently as new allocations are made available  </w:t>
      </w:r>
    </w:p>
    <w:p w14:paraId="204AF89D" w14:textId="652CC560" w:rsidR="00C51E6C" w:rsidRPr="00A43406" w:rsidRDefault="00C51E6C" w:rsidP="001C1C13">
      <w:pPr>
        <w:numPr>
          <w:ilvl w:val="1"/>
          <w:numId w:val="45"/>
        </w:numPr>
        <w:contextualSpacing/>
      </w:pPr>
      <w:r w:rsidRPr="00A43406">
        <w:lastRenderedPageBreak/>
        <w:t xml:space="preserve">The MDPH Vaccine Unit will create the vaccine allocations in an Excel spreadsheet or other electronic format and then upload </w:t>
      </w:r>
      <w:r>
        <w:t>them into the MIIS. T</w:t>
      </w:r>
      <w:r w:rsidRPr="00A43406">
        <w:t>he MIIS will</w:t>
      </w:r>
      <w:r>
        <w:t xml:space="preserve"> then</w:t>
      </w:r>
      <w:r w:rsidRPr="00A43406">
        <w:t xml:space="preserve"> generate a vacc</w:t>
      </w:r>
      <w:r>
        <w:t>ine order file that will</w:t>
      </w:r>
      <w:r w:rsidRPr="00A43406">
        <w:t xml:space="preserve"> be uploaded into CDC’s </w:t>
      </w:r>
      <w:proofErr w:type="spellStart"/>
      <w:r w:rsidRPr="00A43406">
        <w:t>VTrckS</w:t>
      </w:r>
      <w:proofErr w:type="spellEnd"/>
      <w:r>
        <w:t>,</w:t>
      </w:r>
      <w:r w:rsidRPr="00A43406">
        <w:t xml:space="preserve"> which will then generate the vaccine order information that is transmitted to the distributor McKesson</w:t>
      </w:r>
    </w:p>
    <w:p w14:paraId="7730720D" w14:textId="1264CCBD" w:rsidR="00C51E6C" w:rsidRPr="00A43406" w:rsidRDefault="00C51E6C" w:rsidP="001C1C13">
      <w:pPr>
        <w:numPr>
          <w:ilvl w:val="1"/>
          <w:numId w:val="45"/>
        </w:numPr>
        <w:contextualSpacing/>
      </w:pPr>
      <w:r w:rsidRPr="00A43406">
        <w:t xml:space="preserve">An email will be sent to every provider receiving an allocation informing them of the number </w:t>
      </w:r>
      <w:r>
        <w:t xml:space="preserve">of </w:t>
      </w:r>
      <w:r w:rsidRPr="00A43406">
        <w:t>doses and formulations in their allocation</w:t>
      </w:r>
      <w:r>
        <w:t>,</w:t>
      </w:r>
      <w:r w:rsidRPr="00A43406">
        <w:t xml:space="preserve"> and when they can expect to receive them</w:t>
      </w:r>
    </w:p>
    <w:p w14:paraId="189466D1" w14:textId="400F2BE0" w:rsidR="00C51E6C" w:rsidRPr="00A43406" w:rsidRDefault="00C51E6C" w:rsidP="001C1C13">
      <w:pPr>
        <w:numPr>
          <w:ilvl w:val="1"/>
          <w:numId w:val="45"/>
        </w:numPr>
        <w:contextualSpacing/>
      </w:pPr>
      <w:r w:rsidRPr="00A43406">
        <w:t xml:space="preserve">Once vaccine orders have shipped from McKesson, the vaccine order confirmation information will be downloaded from </w:t>
      </w:r>
      <w:proofErr w:type="spellStart"/>
      <w:r w:rsidRPr="00A43406">
        <w:t>VTrckS</w:t>
      </w:r>
      <w:proofErr w:type="spellEnd"/>
      <w:r w:rsidRPr="00A43406">
        <w:t xml:space="preserve"> into the MIIS</w:t>
      </w:r>
      <w:r>
        <w:t>,</w:t>
      </w:r>
      <w:r w:rsidRPr="00A43406">
        <w:t xml:space="preserve"> where the shipment tracking information is made visible to the provider site</w:t>
      </w:r>
    </w:p>
    <w:p w14:paraId="2279D1BF" w14:textId="2BD4CBF4" w:rsidR="00C51E6C" w:rsidRPr="00CF51A7" w:rsidRDefault="00C51E6C" w:rsidP="00CF51A7">
      <w:pPr>
        <w:pStyle w:val="Heading4"/>
        <w:rPr>
          <w:sz w:val="24"/>
          <w:szCs w:val="24"/>
        </w:rPr>
      </w:pPr>
      <w:bookmarkStart w:id="1029" w:name="_Toc484607056"/>
      <w:bookmarkStart w:id="1030" w:name="_Toc486238675"/>
      <w:bookmarkStart w:id="1031" w:name="_Toc486329033"/>
      <w:bookmarkStart w:id="1032" w:name="_Toc486407811"/>
      <w:bookmarkStart w:id="1033" w:name="_Toc486492423"/>
      <w:bookmarkStart w:id="1034" w:name="_Toc486499919"/>
      <w:bookmarkStart w:id="1035" w:name="_Toc486501095"/>
      <w:bookmarkStart w:id="1036" w:name="_Toc486516555"/>
      <w:bookmarkStart w:id="1037" w:name="_Toc486577810"/>
      <w:bookmarkStart w:id="1038" w:name="_Toc486579016"/>
      <w:r w:rsidRPr="00CF51A7">
        <w:rPr>
          <w:rStyle w:val="Heading4Char"/>
          <w:b/>
          <w:sz w:val="24"/>
          <w:szCs w:val="24"/>
        </w:rPr>
        <w:t>Vaccine Administration</w:t>
      </w:r>
      <w:bookmarkEnd w:id="1029"/>
      <w:bookmarkEnd w:id="1030"/>
      <w:bookmarkEnd w:id="1031"/>
      <w:bookmarkEnd w:id="1032"/>
      <w:bookmarkEnd w:id="1033"/>
      <w:bookmarkEnd w:id="1034"/>
      <w:bookmarkEnd w:id="1035"/>
      <w:bookmarkEnd w:id="1036"/>
      <w:bookmarkEnd w:id="1037"/>
      <w:bookmarkEnd w:id="1038"/>
      <w:r w:rsidRPr="00CF51A7">
        <w:rPr>
          <w:rStyle w:val="Heading4Char"/>
          <w:b/>
          <w:sz w:val="24"/>
          <w:szCs w:val="24"/>
        </w:rPr>
        <w:t xml:space="preserve"> and Medication Dispensing</w:t>
      </w:r>
    </w:p>
    <w:p w14:paraId="367043C2" w14:textId="77777777" w:rsidR="00C51E6C" w:rsidRPr="00F53AFB" w:rsidRDefault="00C51E6C" w:rsidP="00F53AFB">
      <w:pPr>
        <w:pStyle w:val="Heading4"/>
        <w:rPr>
          <w:sz w:val="24"/>
          <w:szCs w:val="24"/>
        </w:rPr>
      </w:pPr>
      <w:bookmarkStart w:id="1039" w:name="_Toc484607057"/>
      <w:bookmarkStart w:id="1040" w:name="_Toc486238676"/>
      <w:bookmarkStart w:id="1041" w:name="_Toc486329034"/>
      <w:bookmarkStart w:id="1042" w:name="_Toc486407812"/>
      <w:bookmarkStart w:id="1043" w:name="_Toc486492424"/>
      <w:bookmarkStart w:id="1044" w:name="_Toc486499920"/>
      <w:bookmarkStart w:id="1045" w:name="_Toc486501096"/>
      <w:bookmarkStart w:id="1046" w:name="_Toc486516556"/>
      <w:bookmarkStart w:id="1047" w:name="_Toc486577811"/>
      <w:bookmarkStart w:id="1048" w:name="_Toc486579017"/>
      <w:r w:rsidRPr="00F53AFB">
        <w:rPr>
          <w:sz w:val="24"/>
          <w:szCs w:val="24"/>
        </w:rPr>
        <w:t>Staffing and training requirements</w:t>
      </w:r>
      <w:bookmarkEnd w:id="1039"/>
      <w:bookmarkEnd w:id="1040"/>
      <w:bookmarkEnd w:id="1041"/>
      <w:bookmarkEnd w:id="1042"/>
      <w:bookmarkEnd w:id="1043"/>
      <w:bookmarkEnd w:id="1044"/>
      <w:bookmarkEnd w:id="1045"/>
      <w:bookmarkEnd w:id="1046"/>
      <w:bookmarkEnd w:id="1047"/>
      <w:bookmarkEnd w:id="1048"/>
      <w:r w:rsidRPr="00F53AFB">
        <w:rPr>
          <w:sz w:val="24"/>
          <w:szCs w:val="24"/>
        </w:rPr>
        <w:t xml:space="preserve">  </w:t>
      </w:r>
    </w:p>
    <w:p w14:paraId="0BE44C3C" w14:textId="6A474635" w:rsidR="00C51E6C" w:rsidRDefault="00C51E6C" w:rsidP="00C51E6C">
      <w:pPr>
        <w:contextualSpacing/>
      </w:pPr>
      <w:r w:rsidRPr="00A36534">
        <w:t xml:space="preserve">MDPH </w:t>
      </w:r>
      <w:r w:rsidR="00D62DB6">
        <w:t>maintains</w:t>
      </w:r>
      <w:r w:rsidR="00D62DB6" w:rsidRPr="00A36534">
        <w:t xml:space="preserve"> </w:t>
      </w:r>
      <w:r w:rsidRPr="00A36534">
        <w:t xml:space="preserve">the </w:t>
      </w:r>
      <w:r w:rsidRPr="00A36534">
        <w:rPr>
          <w:i/>
        </w:rPr>
        <w:t xml:space="preserve">Emergency Dispensing Sites (EDS) A GUIDE FOR LOCAL HEALTH ON PLANNING FOR MEDICAL COUNTERMEASURE (MCM) DISPENSING </w:t>
      </w:r>
      <w:r w:rsidRPr="00A36534">
        <w:t>OPERATIONS as a guide for local communities</w:t>
      </w:r>
      <w:r w:rsidRPr="00A36534">
        <w:rPr>
          <w:i/>
          <w:color w:val="C0504D" w:themeColor="accent2"/>
        </w:rPr>
        <w:t xml:space="preserve"> </w:t>
      </w:r>
      <w:r>
        <w:t xml:space="preserve"> </w:t>
      </w:r>
      <w:hyperlink r:id="rId88" w:history="1">
        <w:r w:rsidR="00D62DB6" w:rsidRPr="00A35459">
          <w:rPr>
            <w:color w:val="0000FF"/>
            <w:u w:val="single"/>
          </w:rPr>
          <w:t>https://www.mass.gov/files/documents/2019/08/05/eds-planning-guide-2019.pdf</w:t>
        </w:r>
      </w:hyperlink>
    </w:p>
    <w:p w14:paraId="5362AD90" w14:textId="77777777" w:rsidR="00A36534" w:rsidRDefault="00A36534" w:rsidP="00C51E6C">
      <w:pPr>
        <w:contextualSpacing/>
      </w:pPr>
    </w:p>
    <w:p w14:paraId="2B042537" w14:textId="77777777" w:rsidR="00A36534" w:rsidRPr="00A36534" w:rsidRDefault="00A36534" w:rsidP="00A36534">
      <w:pPr>
        <w:contextualSpacing/>
      </w:pPr>
      <w:r w:rsidRPr="00A36534">
        <w:t>MDPH will develop contracts with mass vaccinators to be utilized by local health and other agencies to facilitate vaccination of the prioritized groups.</w:t>
      </w:r>
    </w:p>
    <w:p w14:paraId="77B9B93C" w14:textId="77777777" w:rsidR="00A36534" w:rsidRDefault="00A36534" w:rsidP="00C51E6C">
      <w:pPr>
        <w:contextualSpacing/>
      </w:pPr>
    </w:p>
    <w:p w14:paraId="504D5CB5" w14:textId="5FCCEB10" w:rsidR="00C51E6C" w:rsidRDefault="00C51E6C" w:rsidP="00C51E6C">
      <w:pPr>
        <w:contextualSpacing/>
      </w:pPr>
      <w:r w:rsidRPr="00A43406">
        <w:t xml:space="preserve">Local </w:t>
      </w:r>
      <w:proofErr w:type="gramStart"/>
      <w:r w:rsidRPr="00A43406">
        <w:t>EDS</w:t>
      </w:r>
      <w:proofErr w:type="gramEnd"/>
      <w:r w:rsidRPr="00A43406">
        <w:t xml:space="preserve"> plans include a list of health care workers and institutions, and non-medical volunteers, who will staff their EDS, as well as a call-down system for their volunteers.  Local </w:t>
      </w:r>
      <w:proofErr w:type="gramStart"/>
      <w:r w:rsidRPr="00A43406">
        <w:t>EDS</w:t>
      </w:r>
      <w:proofErr w:type="gramEnd"/>
      <w:r w:rsidRPr="00A43406">
        <w:t xml:space="preserve"> plans include workforce protection plans for vaccination of all volunteers.  </w:t>
      </w:r>
    </w:p>
    <w:p w14:paraId="42EA6D76" w14:textId="77777777" w:rsidR="00C51E6C" w:rsidRPr="00A43406" w:rsidRDefault="00C51E6C" w:rsidP="00C51E6C">
      <w:pPr>
        <w:contextualSpacing/>
      </w:pPr>
    </w:p>
    <w:p w14:paraId="36761C50" w14:textId="420B789D" w:rsidR="00C51E6C" w:rsidRDefault="00C51E6C" w:rsidP="00C51E6C">
      <w:pPr>
        <w:contextualSpacing/>
      </w:pPr>
      <w:r w:rsidRPr="00A43406">
        <w:t>There are several ways in which non-licensed people could be authorized to administer or dispense necessary medications in a pandemic</w:t>
      </w:r>
      <w:r w:rsidR="00D62DB6">
        <w:t xml:space="preserve"> or emergency</w:t>
      </w:r>
      <w:r w:rsidRPr="00A43406">
        <w:t xml:space="preserve"> situation.</w:t>
      </w:r>
    </w:p>
    <w:p w14:paraId="6C28F7BC" w14:textId="77777777" w:rsidR="00C51E6C" w:rsidRPr="00A43406" w:rsidRDefault="00C51E6C" w:rsidP="00C51E6C">
      <w:pPr>
        <w:contextualSpacing/>
      </w:pPr>
    </w:p>
    <w:p w14:paraId="7AB4DCDB" w14:textId="77777777" w:rsidR="00C51E6C" w:rsidRPr="00A43406" w:rsidRDefault="00C51E6C" w:rsidP="001C1C13">
      <w:pPr>
        <w:numPr>
          <w:ilvl w:val="0"/>
          <w:numId w:val="46"/>
        </w:numPr>
        <w:contextualSpacing/>
      </w:pPr>
      <w:r w:rsidRPr="00A43406">
        <w:t xml:space="preserve">Current Authority:  Pharmacists </w:t>
      </w:r>
    </w:p>
    <w:p w14:paraId="0789BD9D" w14:textId="21131994" w:rsidR="00C51E6C" w:rsidRDefault="00C51E6C" w:rsidP="00C51E6C">
      <w:pPr>
        <w:ind w:left="720"/>
        <w:contextualSpacing/>
      </w:pPr>
      <w:r w:rsidRPr="00A43406">
        <w:t>Under current DPH regulations, registered pharmacists may administer all ACI</w:t>
      </w:r>
      <w:r>
        <w:t xml:space="preserve">P-recommended vaccines to </w:t>
      </w:r>
      <w:r w:rsidRPr="00A36534">
        <w:t xml:space="preserve">people 9 years </w:t>
      </w:r>
      <w:r w:rsidRPr="00A43406">
        <w:t>of age and older, provided that the administration is done pursuant to DPH guidelines which include training, record keeping, etc.  105 CMR 700.004(B</w:t>
      </w:r>
      <w:proofErr w:type="gramStart"/>
      <w:r w:rsidRPr="00A43406">
        <w:t>)(</w:t>
      </w:r>
      <w:proofErr w:type="gramEnd"/>
      <w:r w:rsidRPr="00A43406">
        <w:t>6)</w:t>
      </w:r>
    </w:p>
    <w:p w14:paraId="4A3BF3D8" w14:textId="77777777" w:rsidR="00C51E6C" w:rsidRPr="00A43406" w:rsidRDefault="00C51E6C" w:rsidP="00C51E6C">
      <w:pPr>
        <w:ind w:left="720"/>
        <w:contextualSpacing/>
      </w:pPr>
    </w:p>
    <w:p w14:paraId="79068E11" w14:textId="77777777" w:rsidR="00C51E6C" w:rsidRPr="00A36534" w:rsidRDefault="00C51E6C" w:rsidP="001C1C13">
      <w:pPr>
        <w:pStyle w:val="ListParagraph"/>
        <w:numPr>
          <w:ilvl w:val="0"/>
          <w:numId w:val="46"/>
        </w:numPr>
      </w:pPr>
      <w:r w:rsidRPr="00A36534">
        <w:t>Current Authority: Paramedics/Mobile Integrated Health &amp; Community EMS</w:t>
      </w:r>
    </w:p>
    <w:p w14:paraId="0B8511E6" w14:textId="632F2092" w:rsidR="00C51E6C" w:rsidRPr="00A36534" w:rsidRDefault="00C51E6C" w:rsidP="00C51E6C">
      <w:pPr>
        <w:pStyle w:val="ListParagraph"/>
      </w:pPr>
      <w:r w:rsidRPr="00A36534">
        <w:t xml:space="preserve">For complete information regarding approval of a Community EMS </w:t>
      </w:r>
      <w:r w:rsidR="00D94DC7">
        <w:t>Division</w:t>
      </w:r>
      <w:r w:rsidRPr="00A36534">
        <w:t>, please</w:t>
      </w:r>
    </w:p>
    <w:p w14:paraId="0B0C5171" w14:textId="2E469F04" w:rsidR="00C51E6C" w:rsidRPr="00D74AA7" w:rsidRDefault="00C51E6C" w:rsidP="00C51E6C">
      <w:pPr>
        <w:pStyle w:val="ListParagraph"/>
        <w:rPr>
          <w:color w:val="FF0000"/>
        </w:rPr>
      </w:pPr>
      <w:proofErr w:type="gramStart"/>
      <w:r w:rsidRPr="00A36534">
        <w:t>refer</w:t>
      </w:r>
      <w:proofErr w:type="gramEnd"/>
      <w:r w:rsidRPr="00A36534">
        <w:t xml:space="preserve"> to 105 CMR 173.000 and associated sub-regulatory guidance. Mobile Integrated Health Care (MIH) and Community EMS are new </w:t>
      </w:r>
      <w:r w:rsidR="00D94DC7">
        <w:t>division</w:t>
      </w:r>
      <w:r w:rsidRPr="00A36534">
        <w:t xml:space="preserve">s that utilize mobile resources to deliver care and services to patients in an out‐of‐hospital environment in coordination with healthcare facilities or other healthcare providers. For more information, please see: </w:t>
      </w:r>
      <w:hyperlink r:id="rId89" w:history="1">
        <w:r w:rsidRPr="002F32B8">
          <w:rPr>
            <w:rStyle w:val="Hyperlink"/>
          </w:rPr>
          <w:t>https://www.mass.gov/mobile-integrated-health-care-and-community-ems</w:t>
        </w:r>
      </w:hyperlink>
      <w:r>
        <w:rPr>
          <w:color w:val="FF0000"/>
        </w:rPr>
        <w:t xml:space="preserve"> </w:t>
      </w:r>
    </w:p>
    <w:p w14:paraId="729D07F5" w14:textId="77777777" w:rsidR="00C51E6C" w:rsidRDefault="00C51E6C" w:rsidP="00C51E6C">
      <w:pPr>
        <w:ind w:left="720"/>
        <w:contextualSpacing/>
      </w:pPr>
    </w:p>
    <w:p w14:paraId="0D472CC8" w14:textId="77777777" w:rsidR="00C51E6C" w:rsidRPr="00A43406" w:rsidRDefault="00C51E6C" w:rsidP="001C1C13">
      <w:pPr>
        <w:numPr>
          <w:ilvl w:val="0"/>
          <w:numId w:val="46"/>
        </w:numPr>
        <w:contextualSpacing/>
      </w:pPr>
      <w:r w:rsidRPr="00A43406">
        <w:t>Public Health Emergency</w:t>
      </w:r>
    </w:p>
    <w:p w14:paraId="7E8DA1FC" w14:textId="4B5D4D2C" w:rsidR="00C51E6C" w:rsidRPr="00A43406" w:rsidRDefault="00C51E6C" w:rsidP="00C51E6C">
      <w:pPr>
        <w:ind w:left="720"/>
        <w:contextualSpacing/>
      </w:pPr>
      <w:r w:rsidRPr="00A43406">
        <w:t xml:space="preserve">Under M.G.L. c. 17, § 2A, if the Governor declares that an emergency exists which is detrimental to the public health, the Commissioner may “take such action and incur such liabilities as </w:t>
      </w:r>
      <w:r w:rsidR="00A36534">
        <w:t>she/</w:t>
      </w:r>
      <w:r w:rsidRPr="00A43406">
        <w:t xml:space="preserve">he </w:t>
      </w:r>
      <w:r w:rsidRPr="00A43406">
        <w:lastRenderedPageBreak/>
        <w:t xml:space="preserve">may deem necessary to </w:t>
      </w:r>
      <w:r w:rsidR="00892229">
        <w:t>ensure</w:t>
      </w:r>
      <w:r w:rsidR="00892229" w:rsidRPr="00A43406">
        <w:t xml:space="preserve"> </w:t>
      </w:r>
      <w:r w:rsidRPr="00A43406">
        <w:t>the maintenance of public health and the prevention of disease.”  This authority is very broad and would allow the Commissioner to issue an order specifying what categories of people could administer or dispense medications to others; what training would be required, etc.</w:t>
      </w:r>
    </w:p>
    <w:p w14:paraId="1A8C3CA1" w14:textId="77777777" w:rsidR="00C51E6C" w:rsidRDefault="00C51E6C" w:rsidP="00C51E6C">
      <w:pPr>
        <w:contextualSpacing/>
      </w:pPr>
    </w:p>
    <w:p w14:paraId="10FEBE8A" w14:textId="77777777" w:rsidR="00C51E6C" w:rsidRPr="00A43406" w:rsidRDefault="00C51E6C" w:rsidP="001C1C13">
      <w:pPr>
        <w:numPr>
          <w:ilvl w:val="0"/>
          <w:numId w:val="46"/>
        </w:numPr>
        <w:contextualSpacing/>
      </w:pPr>
      <w:r w:rsidRPr="00A43406">
        <w:t>State of Emergency</w:t>
      </w:r>
    </w:p>
    <w:p w14:paraId="17E063A4" w14:textId="77777777" w:rsidR="00C51E6C" w:rsidRPr="00A43406" w:rsidRDefault="00C51E6C" w:rsidP="00C51E6C">
      <w:pPr>
        <w:ind w:left="720"/>
        <w:contextualSpacing/>
      </w:pPr>
      <w:r w:rsidRPr="00A43406">
        <w:t>The statute that author</w:t>
      </w:r>
      <w:r>
        <w:t>izes the operations of the Massachusetts</w:t>
      </w:r>
      <w:r w:rsidRPr="00A43406">
        <w:t xml:space="preserve"> Emergency Management Agency (MEMA) allows the Governor to declare a state of emergency.  When this occurs, the Governor may exercise “any and all authority over persons and property, necessary or expedient for meeting said state of emergency.”  This authority includes but is not limited to “Variance of the terms and conditions of licenses, permits or certificates of registration issued by the commonwealth or any of its agencies or political subdivisions.”  </w:t>
      </w:r>
      <w:proofErr w:type="gramStart"/>
      <w:r w:rsidRPr="00A43406">
        <w:t>Chapter 639 of the Acts of 1950, 33 App. § 13-7(o).</w:t>
      </w:r>
      <w:proofErr w:type="gramEnd"/>
      <w:r w:rsidRPr="00A43406">
        <w:t xml:space="preserve">  Like the public health emergency authority discussed above, this authority is broad and would allow for a Governor’s order with respect to administration and dispensing of needed medications.  </w:t>
      </w:r>
    </w:p>
    <w:p w14:paraId="165B4433" w14:textId="77777777" w:rsidR="00C51E6C" w:rsidRDefault="00C51E6C" w:rsidP="00C51E6C">
      <w:pPr>
        <w:contextualSpacing/>
      </w:pPr>
    </w:p>
    <w:p w14:paraId="254886E7" w14:textId="77777777" w:rsidR="00C51E6C" w:rsidRPr="00A43406" w:rsidRDefault="00C51E6C" w:rsidP="00C51E6C">
      <w:pPr>
        <w:contextualSpacing/>
      </w:pPr>
      <w:r w:rsidRPr="00A43406">
        <w:t>Personnel who are currently licensed to administer vaccine and/or dispense medication:</w:t>
      </w:r>
    </w:p>
    <w:p w14:paraId="6A6C1280" w14:textId="77777777" w:rsidR="00C51E6C" w:rsidRPr="00A43406" w:rsidRDefault="00C51E6C" w:rsidP="00C51E6C">
      <w:pPr>
        <w:contextualSpacing/>
        <w:sectPr w:rsidR="00C51E6C" w:rsidRPr="00A43406" w:rsidSect="00194809">
          <w:headerReference w:type="even" r:id="rId90"/>
          <w:headerReference w:type="default" r:id="rId91"/>
          <w:footerReference w:type="even" r:id="rId92"/>
          <w:footerReference w:type="default" r:id="rId93"/>
          <w:headerReference w:type="first" r:id="rId94"/>
          <w:pgSz w:w="12240" w:h="15840"/>
          <w:pgMar w:top="720" w:right="1440" w:bottom="720" w:left="1440" w:header="720" w:footer="720" w:gutter="0"/>
          <w:cols w:space="720"/>
          <w:docGrid w:linePitch="360"/>
        </w:sectPr>
      </w:pPr>
    </w:p>
    <w:p w14:paraId="4F0E9662" w14:textId="77777777" w:rsidR="00C51E6C" w:rsidRPr="00A43406" w:rsidRDefault="00C51E6C" w:rsidP="001C1C13">
      <w:pPr>
        <w:numPr>
          <w:ilvl w:val="0"/>
          <w:numId w:val="46"/>
        </w:numPr>
        <w:contextualSpacing/>
      </w:pPr>
      <w:r w:rsidRPr="00A43406">
        <w:lastRenderedPageBreak/>
        <w:t>Physicians</w:t>
      </w:r>
    </w:p>
    <w:p w14:paraId="7DAC1E4A" w14:textId="77777777" w:rsidR="00C51E6C" w:rsidRPr="00A43406" w:rsidRDefault="00C51E6C" w:rsidP="001C1C13">
      <w:pPr>
        <w:numPr>
          <w:ilvl w:val="0"/>
          <w:numId w:val="46"/>
        </w:numPr>
        <w:contextualSpacing/>
      </w:pPr>
      <w:r w:rsidRPr="00A43406">
        <w:t xml:space="preserve">Registered nurses </w:t>
      </w:r>
    </w:p>
    <w:p w14:paraId="4F130447" w14:textId="77777777" w:rsidR="00C51E6C" w:rsidRPr="00A43406" w:rsidRDefault="00C51E6C" w:rsidP="001C1C13">
      <w:pPr>
        <w:numPr>
          <w:ilvl w:val="0"/>
          <w:numId w:val="46"/>
        </w:numPr>
        <w:contextualSpacing/>
      </w:pPr>
      <w:r w:rsidRPr="00A43406">
        <w:t>Nurse practitioners and other advance practice nurses</w:t>
      </w:r>
    </w:p>
    <w:p w14:paraId="2797FA53" w14:textId="77777777" w:rsidR="00C51E6C" w:rsidRPr="00A43406" w:rsidRDefault="00C51E6C" w:rsidP="001C1C13">
      <w:pPr>
        <w:numPr>
          <w:ilvl w:val="0"/>
          <w:numId w:val="46"/>
        </w:numPr>
        <w:contextualSpacing/>
      </w:pPr>
      <w:r w:rsidRPr="00A43406">
        <w:t>Licensed practical nurses</w:t>
      </w:r>
    </w:p>
    <w:p w14:paraId="0C6B1686" w14:textId="77777777" w:rsidR="00C51E6C" w:rsidRPr="00A43406" w:rsidRDefault="00C51E6C" w:rsidP="001C1C13">
      <w:pPr>
        <w:numPr>
          <w:ilvl w:val="0"/>
          <w:numId w:val="46"/>
        </w:numPr>
        <w:contextualSpacing/>
      </w:pPr>
      <w:r w:rsidRPr="00A43406">
        <w:t>Physician assistants</w:t>
      </w:r>
    </w:p>
    <w:p w14:paraId="641686A8" w14:textId="77777777" w:rsidR="00D62DB6" w:rsidRDefault="00D62DB6" w:rsidP="00D62DB6">
      <w:pPr>
        <w:numPr>
          <w:ilvl w:val="0"/>
          <w:numId w:val="46"/>
        </w:numPr>
        <w:contextualSpacing/>
      </w:pPr>
      <w:r>
        <w:t xml:space="preserve">Paramedics </w:t>
      </w:r>
    </w:p>
    <w:p w14:paraId="4F38D384" w14:textId="792C8F5E" w:rsidR="00D62DB6" w:rsidRPr="00A43406" w:rsidRDefault="00D62DB6" w:rsidP="00D62DB6">
      <w:pPr>
        <w:ind w:left="720"/>
        <w:contextualSpacing/>
      </w:pPr>
      <w:r>
        <w:t>P</w:t>
      </w:r>
      <w:r w:rsidRPr="002116E9">
        <w:t>aramedics may administer flu vaccines and other vaccinations designated by the Department to persons 18 years old and over, as authorized by clinical protocols in a Department-approved MIH or Community EMS Program. See 105 CMR 700.003(A) (4) of the Drug Control Program (DCP) regulations.</w:t>
      </w:r>
    </w:p>
    <w:p w14:paraId="52174BCA" w14:textId="77777777" w:rsidR="00D62DB6" w:rsidRDefault="00D62DB6" w:rsidP="00D62DB6">
      <w:pPr>
        <w:numPr>
          <w:ilvl w:val="0"/>
          <w:numId w:val="46"/>
        </w:numPr>
        <w:contextualSpacing/>
      </w:pPr>
      <w:r>
        <w:t>Medical Assistants</w:t>
      </w:r>
    </w:p>
    <w:p w14:paraId="62C3603E" w14:textId="77777777" w:rsidR="00D62DB6" w:rsidRDefault="00D62DB6" w:rsidP="00D62DB6">
      <w:pPr>
        <w:ind w:left="720"/>
        <w:contextualSpacing/>
      </w:pPr>
      <w:r>
        <w:t>Medical assistants who meet the certification requirements to administer immunizations under the direction of a primary care provider (PCP) acting within his or her designated scope of practice.</w:t>
      </w:r>
    </w:p>
    <w:p w14:paraId="1005DB4A" w14:textId="77777777" w:rsidR="00C51E6C" w:rsidRDefault="00C51E6C" w:rsidP="006160F8">
      <w:pPr>
        <w:numPr>
          <w:ilvl w:val="0"/>
          <w:numId w:val="46"/>
        </w:numPr>
        <w:spacing w:after="0" w:line="240" w:lineRule="auto"/>
        <w:contextualSpacing/>
      </w:pPr>
      <w:r w:rsidRPr="00A43406">
        <w:t>Nursing and medical students are authorized to administer vaccine under the direct supervision of licensed practitioner</w:t>
      </w:r>
    </w:p>
    <w:p w14:paraId="63654D26" w14:textId="77777777" w:rsidR="00D62DB6" w:rsidRPr="00D62DB6" w:rsidRDefault="00C51E6C" w:rsidP="008B1AE3">
      <w:pPr>
        <w:pStyle w:val="ListParagraph"/>
        <w:numPr>
          <w:ilvl w:val="0"/>
          <w:numId w:val="98"/>
        </w:numPr>
        <w:spacing w:after="0" w:line="240" w:lineRule="auto"/>
        <w:ind w:left="720"/>
      </w:pPr>
      <w:r w:rsidRPr="00A36534">
        <w:t xml:space="preserve">Pharmacists &amp; Pharmacy interns </w:t>
      </w:r>
      <w:r w:rsidR="00D62DB6">
        <w:t xml:space="preserve"> </w:t>
      </w:r>
      <w:r w:rsidR="00D62DB6" w:rsidRPr="00D62DB6">
        <w:t xml:space="preserve">(Qualified pharmacists and pharmacy interns may administer certain vaccines </w:t>
      </w:r>
      <w:r w:rsidR="00D62DB6" w:rsidRPr="00D62DB6">
        <w:lastRenderedPageBreak/>
        <w:t>to individuals 9 years of age and older as included in the Recommended Immunization Schedules approved by the U.S. Centers for Disease Control and Prevention (CDC). MDPH Drug Control Program regulations (105 CMR 700.004 (B</w:t>
      </w:r>
      <w:proofErr w:type="gramStart"/>
      <w:r w:rsidR="00D62DB6" w:rsidRPr="00D62DB6">
        <w:t>)(</w:t>
      </w:r>
      <w:proofErr w:type="gramEnd"/>
      <w:r w:rsidR="00D62DB6" w:rsidRPr="00D62DB6">
        <w:t>6)) permit pharmacists and pharmacy interns who have completed a duly accredited training course to administer vaccines designated by the Department.</w:t>
      </w:r>
    </w:p>
    <w:p w14:paraId="4BBA58C3" w14:textId="53255CB9" w:rsidR="00C51E6C" w:rsidRPr="00A36534" w:rsidRDefault="00C51E6C" w:rsidP="003F6F2A">
      <w:pPr>
        <w:ind w:left="720"/>
        <w:contextualSpacing/>
      </w:pPr>
      <w:r w:rsidRPr="00A36534">
        <w:t>[Regulations permit pharmacy interns to administer vaccines provided that the pharmacy intern is registered as an intern with the Board, has received standardized training in accordance with Department regulations at 105 CMR 700.004(B</w:t>
      </w:r>
      <w:proofErr w:type="gramStart"/>
      <w:r w:rsidRPr="00A36534">
        <w:t>)(</w:t>
      </w:r>
      <w:proofErr w:type="gramEnd"/>
      <w:r w:rsidRPr="00A36534">
        <w:t>6)(c)1 and the intern is under the direct supervision of a registered pharmacist in accordance with Board of Registration in Pharmacy regulations at 247 CMR 8.01(2)]</w:t>
      </w:r>
    </w:p>
    <w:p w14:paraId="46EC0822" w14:textId="77777777" w:rsidR="00C51E6C" w:rsidRDefault="00C51E6C" w:rsidP="00C51E6C">
      <w:pPr>
        <w:contextualSpacing/>
        <w:rPr>
          <w:color w:val="FF0000"/>
        </w:rPr>
      </w:pPr>
    </w:p>
    <w:p w14:paraId="6800CB47" w14:textId="77777777" w:rsidR="00C51E6C" w:rsidRPr="00A43406" w:rsidRDefault="00C51E6C" w:rsidP="00C51E6C">
      <w:pPr>
        <w:contextualSpacing/>
      </w:pPr>
      <w:r w:rsidRPr="00A43406">
        <w:t>Personnel for whom administering vaccine or dispensing medication would constitute an expanded role:</w:t>
      </w:r>
    </w:p>
    <w:p w14:paraId="01835536" w14:textId="77777777" w:rsidR="00C51E6C" w:rsidRDefault="00C51E6C" w:rsidP="001C1C13">
      <w:pPr>
        <w:numPr>
          <w:ilvl w:val="0"/>
          <w:numId w:val="46"/>
        </w:numPr>
        <w:contextualSpacing/>
      </w:pPr>
      <w:r w:rsidRPr="00A43406">
        <w:t>Eme</w:t>
      </w:r>
      <w:r>
        <w:t>rgency medical technicians (EMTs</w:t>
      </w:r>
      <w:r w:rsidRPr="00A43406">
        <w:t xml:space="preserve">) </w:t>
      </w:r>
    </w:p>
    <w:p w14:paraId="2668BA1B" w14:textId="77777777" w:rsidR="00C51E6C" w:rsidRPr="00A36534" w:rsidRDefault="00C51E6C" w:rsidP="001C1C13">
      <w:pPr>
        <w:numPr>
          <w:ilvl w:val="0"/>
          <w:numId w:val="46"/>
        </w:numPr>
        <w:contextualSpacing/>
      </w:pPr>
      <w:r w:rsidRPr="00A36534">
        <w:t>Dentists</w:t>
      </w:r>
    </w:p>
    <w:p w14:paraId="1AB86E36" w14:textId="77777777" w:rsidR="00C51E6C" w:rsidRPr="00221071" w:rsidRDefault="00C51E6C" w:rsidP="00C51E6C">
      <w:pPr>
        <w:contextualSpacing/>
        <w:rPr>
          <w:color w:val="FF0000"/>
        </w:rPr>
        <w:sectPr w:rsidR="00C51E6C" w:rsidRPr="00221071" w:rsidSect="00E21862">
          <w:type w:val="continuous"/>
          <w:pgSz w:w="12240" w:h="15840"/>
          <w:pgMar w:top="1440" w:right="1440" w:bottom="1440" w:left="1440" w:header="720" w:footer="720" w:gutter="0"/>
          <w:cols w:num="2" w:space="360"/>
          <w:docGrid w:linePitch="360"/>
        </w:sectPr>
      </w:pPr>
    </w:p>
    <w:p w14:paraId="3068C8C6" w14:textId="77777777" w:rsidR="00C51E6C" w:rsidRPr="00F53AFB" w:rsidRDefault="00C51E6C" w:rsidP="00F53AFB">
      <w:pPr>
        <w:pStyle w:val="Heading4"/>
        <w:rPr>
          <w:sz w:val="24"/>
          <w:szCs w:val="24"/>
        </w:rPr>
      </w:pPr>
      <w:bookmarkStart w:id="1049" w:name="_Toc484607058"/>
      <w:bookmarkStart w:id="1050" w:name="_Toc486238677"/>
      <w:bookmarkStart w:id="1051" w:name="_Toc486329035"/>
      <w:bookmarkStart w:id="1052" w:name="_Toc486407813"/>
      <w:bookmarkStart w:id="1053" w:name="_Toc486492425"/>
      <w:bookmarkStart w:id="1054" w:name="_Toc486499921"/>
      <w:bookmarkStart w:id="1055" w:name="_Toc486501097"/>
      <w:bookmarkStart w:id="1056" w:name="_Toc486516557"/>
      <w:bookmarkStart w:id="1057" w:name="_Toc486577812"/>
      <w:bookmarkStart w:id="1058" w:name="_Toc486579018"/>
      <w:r w:rsidRPr="00F53AFB">
        <w:rPr>
          <w:sz w:val="24"/>
          <w:szCs w:val="24"/>
        </w:rPr>
        <w:lastRenderedPageBreak/>
        <w:t>Training for volunteers</w:t>
      </w:r>
      <w:bookmarkEnd w:id="1049"/>
      <w:bookmarkEnd w:id="1050"/>
      <w:bookmarkEnd w:id="1051"/>
      <w:bookmarkEnd w:id="1052"/>
      <w:bookmarkEnd w:id="1053"/>
      <w:bookmarkEnd w:id="1054"/>
      <w:bookmarkEnd w:id="1055"/>
      <w:bookmarkEnd w:id="1056"/>
      <w:bookmarkEnd w:id="1057"/>
      <w:bookmarkEnd w:id="1058"/>
      <w:r w:rsidRPr="00F53AFB">
        <w:rPr>
          <w:sz w:val="24"/>
          <w:szCs w:val="24"/>
        </w:rPr>
        <w:t xml:space="preserve"> </w:t>
      </w:r>
    </w:p>
    <w:p w14:paraId="3EEB2A23" w14:textId="74C8F723" w:rsidR="00C51E6C" w:rsidRPr="00A43406" w:rsidRDefault="00C51E6C" w:rsidP="001C1C13">
      <w:pPr>
        <w:numPr>
          <w:ilvl w:val="0"/>
          <w:numId w:val="47"/>
        </w:numPr>
        <w:contextualSpacing/>
      </w:pPr>
      <w:r w:rsidRPr="00A43406">
        <w:t xml:space="preserve">MDPH will conduct regional and webinar refresher courses in vaccine storage and handling, administration, and documentation for public health nurses, school nurses, </w:t>
      </w:r>
      <w:r>
        <w:t xml:space="preserve">and </w:t>
      </w:r>
      <w:r w:rsidRPr="00A43406">
        <w:t>other community vaccinators, before and during a pandemic event</w:t>
      </w:r>
    </w:p>
    <w:p w14:paraId="5EBC4682" w14:textId="5CBDF8A4" w:rsidR="00C51E6C" w:rsidRPr="00A43406" w:rsidRDefault="00C51E6C" w:rsidP="001C1C13">
      <w:pPr>
        <w:numPr>
          <w:ilvl w:val="0"/>
          <w:numId w:val="47"/>
        </w:numPr>
        <w:contextualSpacing/>
      </w:pPr>
      <w:r w:rsidRPr="00A43406">
        <w:t xml:space="preserve">MDPH provides support and training for locally-based Medical Reserve Corps (MRC) around the state.  The MRCs are involved in EDS exercises conducted by their communities </w:t>
      </w:r>
    </w:p>
    <w:p w14:paraId="77E9DDE3" w14:textId="18D0E8B9" w:rsidR="00C51E6C" w:rsidRPr="00CE2C26" w:rsidRDefault="00C51E6C" w:rsidP="001C1C13">
      <w:pPr>
        <w:numPr>
          <w:ilvl w:val="0"/>
          <w:numId w:val="47"/>
        </w:numPr>
        <w:contextualSpacing/>
        <w:rPr>
          <w:color w:val="FF0000"/>
        </w:rPr>
      </w:pPr>
      <w:r w:rsidRPr="00A36534">
        <w:t xml:space="preserve">MDPH has developed </w:t>
      </w:r>
      <w:r w:rsidRPr="00A36534">
        <w:rPr>
          <w:i/>
        </w:rPr>
        <w:t xml:space="preserve">Guidelines for Vaccination Clinic Operations, </w:t>
      </w:r>
      <w:r w:rsidRPr="00A36534">
        <w:t>which outlines how to hold an offsite mass vaccination clinic. These guidelines, along with other useful resources or helpful links, can be found on the MDPH Vaccine Administration</w:t>
      </w:r>
      <w:r w:rsidR="003F6F2A">
        <w:t xml:space="preserve"> and Clinical Guidance</w:t>
      </w:r>
      <w:r w:rsidRPr="00A36534">
        <w:t xml:space="preserve"> webpage: </w:t>
      </w:r>
      <w:hyperlink r:id="rId95" w:history="1">
        <w:r w:rsidRPr="00A36534">
          <w:rPr>
            <w:rStyle w:val="Hyperlink"/>
            <w:color w:val="0000FF"/>
          </w:rPr>
          <w:t>https://www.mass.gov/service-details/vaccine-administration-and-clinical-guidance</w:t>
        </w:r>
      </w:hyperlink>
      <w:r w:rsidRPr="00A36534">
        <w:rPr>
          <w:color w:val="0000FF"/>
        </w:rPr>
        <w:t>.</w:t>
      </w:r>
      <w:r w:rsidRPr="00CE2C26">
        <w:rPr>
          <w:color w:val="FF0000"/>
        </w:rPr>
        <w:t xml:space="preserve"> </w:t>
      </w:r>
      <w:r w:rsidRPr="00CE2C26">
        <w:rPr>
          <w:i/>
          <w:color w:val="FF0000"/>
        </w:rPr>
        <w:t xml:space="preserve"> </w:t>
      </w:r>
    </w:p>
    <w:p w14:paraId="14153C71" w14:textId="77777777" w:rsidR="00A36534" w:rsidRDefault="00A36534" w:rsidP="00A36534">
      <w:pPr>
        <w:contextualSpacing/>
      </w:pPr>
    </w:p>
    <w:p w14:paraId="12E00C16" w14:textId="57CBF36A" w:rsidR="00A36534" w:rsidRDefault="003F6F2A" w:rsidP="00A36534">
      <w:pPr>
        <w:spacing w:before="231" w:line="288" w:lineRule="exact"/>
        <w:ind w:right="466"/>
        <w:rPr>
          <w:color w:val="0000FF" w:themeColor="hyperlink"/>
          <w:u w:val="single"/>
        </w:rPr>
      </w:pPr>
      <w:r>
        <w:t>V</w:t>
      </w:r>
      <w:r w:rsidR="00A36534" w:rsidRPr="00A36534">
        <w:t xml:space="preserve">accine administration guidance </w:t>
      </w:r>
      <w:r>
        <w:t xml:space="preserve">and materials from CDC </w:t>
      </w:r>
      <w:r w:rsidR="00A36534" w:rsidRPr="00A36534">
        <w:t xml:space="preserve">can be found at:  </w:t>
      </w:r>
      <w:hyperlink r:id="rId96" w:history="1">
        <w:r w:rsidR="00A36534" w:rsidRPr="00A36534">
          <w:rPr>
            <w:color w:val="0000FF" w:themeColor="hyperlink"/>
            <w:u w:val="single"/>
          </w:rPr>
          <w:t>https://www.cdc.gov/vaccines/hcp/admin/admin-protocols.html</w:t>
        </w:r>
      </w:hyperlink>
    </w:p>
    <w:p w14:paraId="388FCF48" w14:textId="77777777" w:rsidR="00E21862" w:rsidRDefault="00E21862" w:rsidP="00E21862">
      <w:pPr>
        <w:spacing w:after="0" w:line="240" w:lineRule="auto"/>
        <w:ind w:right="461"/>
      </w:pPr>
    </w:p>
    <w:p w14:paraId="65F7B9D3" w14:textId="0D3291C3" w:rsidR="00E21862" w:rsidRPr="00E21862" w:rsidRDefault="00E21862" w:rsidP="00E21862">
      <w:pPr>
        <w:spacing w:after="0" w:line="240" w:lineRule="auto"/>
        <w:ind w:right="461"/>
      </w:pPr>
      <w:r w:rsidRPr="00E21862">
        <w:t>Tools to assist satellite, temporary and off-site vaccination clinics were developed by the National Adult and Influenza Immunization Summit in coordination with CDC and can be found at:</w:t>
      </w:r>
    </w:p>
    <w:p w14:paraId="5AA3289C" w14:textId="26ADB8D3" w:rsidR="00A36534" w:rsidRPr="00E21862" w:rsidRDefault="009A1FF8" w:rsidP="00E21862">
      <w:pPr>
        <w:spacing w:after="0" w:line="240" w:lineRule="auto"/>
        <w:ind w:right="461"/>
        <w:rPr>
          <w:spacing w:val="-31"/>
          <w:w w:val="105"/>
        </w:rPr>
      </w:pPr>
      <w:hyperlink r:id="rId97" w:history="1">
        <w:r w:rsidR="003F6F2A" w:rsidRPr="00940515">
          <w:rPr>
            <w:color w:val="0000FF"/>
            <w:u w:val="single"/>
          </w:rPr>
          <w:t>https://www.izsummitpartners.org/naiis-workgroups/influenza-workgroup/off-site-clinic-resources/</w:t>
        </w:r>
      </w:hyperlink>
      <w:r w:rsidR="00A36534" w:rsidRPr="003F6F2A">
        <w:rPr>
          <w:w w:val="105"/>
        </w:rPr>
        <w:t>.</w:t>
      </w:r>
      <w:r w:rsidR="00A36534" w:rsidRPr="003F6F2A">
        <w:rPr>
          <w:spacing w:val="-24"/>
          <w:w w:val="105"/>
        </w:rPr>
        <w:t xml:space="preserve"> </w:t>
      </w:r>
      <w:r w:rsidR="00E21862" w:rsidRPr="003F6F2A">
        <w:rPr>
          <w:spacing w:val="-1"/>
        </w:rPr>
        <w:t>The</w:t>
      </w:r>
      <w:r w:rsidR="00E21862" w:rsidRPr="003F6F2A">
        <w:rPr>
          <w:spacing w:val="10"/>
        </w:rPr>
        <w:t xml:space="preserve"> </w:t>
      </w:r>
      <w:r w:rsidR="00E21862">
        <w:rPr>
          <w:spacing w:val="-1"/>
        </w:rPr>
        <w:t>tools</w:t>
      </w:r>
      <w:r w:rsidR="00A36534" w:rsidRPr="003F6F2A">
        <w:rPr>
          <w:spacing w:val="10"/>
        </w:rPr>
        <w:t xml:space="preserve"> </w:t>
      </w:r>
      <w:r w:rsidR="00A36534" w:rsidRPr="003F6F2A">
        <w:rPr>
          <w:spacing w:val="-2"/>
        </w:rPr>
        <w:t>o</w:t>
      </w:r>
      <w:r w:rsidR="00A36534" w:rsidRPr="003F6F2A">
        <w:rPr>
          <w:spacing w:val="-3"/>
        </w:rPr>
        <w:t>ff</w:t>
      </w:r>
      <w:r w:rsidR="00A36534" w:rsidRPr="003F6F2A">
        <w:rPr>
          <w:spacing w:val="-2"/>
        </w:rPr>
        <w:t>er</w:t>
      </w:r>
      <w:r w:rsidR="00A36534" w:rsidRPr="003F6F2A">
        <w:rPr>
          <w:spacing w:val="11"/>
        </w:rPr>
        <w:t xml:space="preserve"> </w:t>
      </w:r>
      <w:r w:rsidR="00A36534" w:rsidRPr="003F6F2A">
        <w:rPr>
          <w:spacing w:val="-2"/>
        </w:rPr>
        <w:t>step-by</w:t>
      </w:r>
      <w:r w:rsidR="00A36534" w:rsidRPr="003F6F2A">
        <w:rPr>
          <w:spacing w:val="-3"/>
        </w:rPr>
        <w:t>-</w:t>
      </w:r>
      <w:r w:rsidR="00A36534" w:rsidRPr="003F6F2A">
        <w:rPr>
          <w:spacing w:val="-2"/>
        </w:rPr>
        <w:t>step</w:t>
      </w:r>
      <w:r w:rsidR="00A36534" w:rsidRPr="003F6F2A">
        <w:rPr>
          <w:spacing w:val="10"/>
        </w:rPr>
        <w:t xml:space="preserve"> </w:t>
      </w:r>
      <w:r w:rsidR="00A36534" w:rsidRPr="003F6F2A">
        <w:rPr>
          <w:spacing w:val="-1"/>
        </w:rPr>
        <w:t>guidance</w:t>
      </w:r>
      <w:r w:rsidR="00A36534" w:rsidRPr="003F6F2A">
        <w:rPr>
          <w:spacing w:val="11"/>
        </w:rPr>
        <w:t xml:space="preserve"> </w:t>
      </w:r>
      <w:r w:rsidR="00A36534" w:rsidRPr="003F6F2A">
        <w:rPr>
          <w:spacing w:val="-2"/>
        </w:rPr>
        <w:t>for</w:t>
      </w:r>
      <w:r w:rsidR="00A36534" w:rsidRPr="003F6F2A">
        <w:rPr>
          <w:spacing w:val="10"/>
        </w:rPr>
        <w:t xml:space="preserve"> </w:t>
      </w:r>
      <w:r w:rsidR="00A36534" w:rsidRPr="003F6F2A">
        <w:t>activities</w:t>
      </w:r>
      <w:r w:rsidR="00A36534" w:rsidRPr="003F6F2A">
        <w:rPr>
          <w:spacing w:val="11"/>
        </w:rPr>
        <w:t xml:space="preserve"> </w:t>
      </w:r>
      <w:r w:rsidR="00A36534" w:rsidRPr="003F6F2A">
        <w:t>that</w:t>
      </w:r>
      <w:r w:rsidR="00A36534" w:rsidRPr="003F6F2A">
        <w:rPr>
          <w:spacing w:val="10"/>
        </w:rPr>
        <w:t xml:space="preserve"> </w:t>
      </w:r>
      <w:r w:rsidR="00A36534" w:rsidRPr="003F6F2A">
        <w:t>need</w:t>
      </w:r>
      <w:r w:rsidR="00A36534" w:rsidRPr="003F6F2A">
        <w:rPr>
          <w:spacing w:val="11"/>
        </w:rPr>
        <w:t xml:space="preserve"> </w:t>
      </w:r>
      <w:r w:rsidR="00A36534" w:rsidRPr="003F6F2A">
        <w:rPr>
          <w:spacing w:val="-1"/>
        </w:rPr>
        <w:t>to</w:t>
      </w:r>
      <w:r w:rsidR="00A36534" w:rsidRPr="003F6F2A">
        <w:rPr>
          <w:spacing w:val="10"/>
        </w:rPr>
        <w:t xml:space="preserve"> </w:t>
      </w:r>
      <w:r w:rsidR="00A36534" w:rsidRPr="003F6F2A">
        <w:rPr>
          <w:spacing w:val="-1"/>
        </w:rPr>
        <w:t>take</w:t>
      </w:r>
      <w:r w:rsidR="00A36534" w:rsidRPr="003F6F2A">
        <w:rPr>
          <w:spacing w:val="10"/>
        </w:rPr>
        <w:t xml:space="preserve"> </w:t>
      </w:r>
      <w:r w:rsidR="00A36534" w:rsidRPr="003F6F2A">
        <w:rPr>
          <w:spacing w:val="-1"/>
        </w:rPr>
        <w:t>place</w:t>
      </w:r>
      <w:r w:rsidR="00A36534" w:rsidRPr="003F6F2A">
        <w:rPr>
          <w:spacing w:val="11"/>
        </w:rPr>
        <w:t xml:space="preserve"> </w:t>
      </w:r>
      <w:r w:rsidR="00A36534" w:rsidRPr="003F6F2A">
        <w:rPr>
          <w:spacing w:val="-2"/>
        </w:rPr>
        <w:t>before</w:t>
      </w:r>
      <w:r w:rsidR="00A36534" w:rsidRPr="003F6F2A">
        <w:rPr>
          <w:spacing w:val="-3"/>
        </w:rPr>
        <w:t>,</w:t>
      </w:r>
      <w:r w:rsidR="00A36534" w:rsidRPr="003F6F2A">
        <w:rPr>
          <w:spacing w:val="10"/>
        </w:rPr>
        <w:t xml:space="preserve"> </w:t>
      </w:r>
      <w:r w:rsidR="00A36534" w:rsidRPr="003F6F2A">
        <w:t>during,</w:t>
      </w:r>
      <w:r w:rsidR="00A36534" w:rsidRPr="003F6F2A">
        <w:rPr>
          <w:spacing w:val="11"/>
        </w:rPr>
        <w:t xml:space="preserve"> </w:t>
      </w:r>
      <w:r w:rsidR="00A36534" w:rsidRPr="003F6F2A">
        <w:t>and</w:t>
      </w:r>
      <w:r w:rsidR="00A36534" w:rsidRPr="003F6F2A">
        <w:rPr>
          <w:spacing w:val="10"/>
        </w:rPr>
        <w:t xml:space="preserve"> </w:t>
      </w:r>
      <w:r w:rsidR="00A36534" w:rsidRPr="003F6F2A">
        <w:rPr>
          <w:spacing w:val="-2"/>
        </w:rPr>
        <w:t>aft</w:t>
      </w:r>
      <w:r w:rsidR="00A36534" w:rsidRPr="003F6F2A">
        <w:rPr>
          <w:spacing w:val="-1"/>
        </w:rPr>
        <w:t>er</w:t>
      </w:r>
      <w:r w:rsidR="00A36534" w:rsidRPr="003F6F2A">
        <w:rPr>
          <w:spacing w:val="11"/>
        </w:rPr>
        <w:t xml:space="preserve"> </w:t>
      </w:r>
      <w:r w:rsidR="00A36534" w:rsidRPr="003F6F2A">
        <w:t>a</w:t>
      </w:r>
      <w:r w:rsidR="00A36534" w:rsidRPr="003F6F2A">
        <w:rPr>
          <w:spacing w:val="65"/>
          <w:w w:val="98"/>
        </w:rPr>
        <w:t xml:space="preserve"> </w:t>
      </w:r>
      <w:r w:rsidR="00A36534" w:rsidRPr="003F6F2A">
        <w:rPr>
          <w:spacing w:val="-1"/>
        </w:rPr>
        <w:t>vaccination</w:t>
      </w:r>
      <w:r w:rsidR="00A36534" w:rsidRPr="003F6F2A">
        <w:rPr>
          <w:spacing w:val="8"/>
        </w:rPr>
        <w:t xml:space="preserve"> </w:t>
      </w:r>
      <w:r w:rsidR="00A36534" w:rsidRPr="003F6F2A">
        <w:t>clinic</w:t>
      </w:r>
      <w:r w:rsidR="00A36534" w:rsidRPr="003F6F2A">
        <w:rPr>
          <w:spacing w:val="9"/>
        </w:rPr>
        <w:t xml:space="preserve"> </w:t>
      </w:r>
      <w:r w:rsidR="00A36534" w:rsidRPr="003F6F2A">
        <w:rPr>
          <w:spacing w:val="-1"/>
        </w:rPr>
        <w:t>to</w:t>
      </w:r>
      <w:r w:rsidR="00A36534" w:rsidRPr="003F6F2A">
        <w:rPr>
          <w:spacing w:val="8"/>
        </w:rPr>
        <w:t xml:space="preserve"> </w:t>
      </w:r>
      <w:r w:rsidR="00A36534" w:rsidRPr="003F6F2A">
        <w:rPr>
          <w:spacing w:val="-1"/>
        </w:rPr>
        <w:t>ensure</w:t>
      </w:r>
      <w:r w:rsidR="00A36534" w:rsidRPr="003F6F2A">
        <w:rPr>
          <w:spacing w:val="9"/>
        </w:rPr>
        <w:t xml:space="preserve"> </w:t>
      </w:r>
      <w:r w:rsidR="00A36534" w:rsidRPr="003F6F2A">
        <w:rPr>
          <w:spacing w:val="-1"/>
        </w:rPr>
        <w:t>proper</w:t>
      </w:r>
      <w:r w:rsidR="00A36534" w:rsidRPr="003F6F2A">
        <w:rPr>
          <w:spacing w:val="9"/>
        </w:rPr>
        <w:t xml:space="preserve"> </w:t>
      </w:r>
      <w:r w:rsidR="00A36534" w:rsidRPr="003F6F2A">
        <w:rPr>
          <w:spacing w:val="-1"/>
        </w:rPr>
        <w:t>vaccine</w:t>
      </w:r>
      <w:r w:rsidR="00A36534" w:rsidRPr="003F6F2A">
        <w:rPr>
          <w:spacing w:val="8"/>
        </w:rPr>
        <w:t xml:space="preserve"> </w:t>
      </w:r>
      <w:r w:rsidR="003F6F2A">
        <w:rPr>
          <w:spacing w:val="8"/>
        </w:rPr>
        <w:t xml:space="preserve">storage and handling, vaccine </w:t>
      </w:r>
      <w:r w:rsidR="00A36534" w:rsidRPr="003F6F2A">
        <w:rPr>
          <w:spacing w:val="-1"/>
        </w:rPr>
        <w:t>administration</w:t>
      </w:r>
      <w:r w:rsidR="00A36534" w:rsidRPr="003F6F2A">
        <w:rPr>
          <w:spacing w:val="9"/>
        </w:rPr>
        <w:t xml:space="preserve"> </w:t>
      </w:r>
      <w:r w:rsidR="00A36534" w:rsidRPr="003F6F2A">
        <w:t>and</w:t>
      </w:r>
      <w:r w:rsidR="00A36534" w:rsidRPr="003F6F2A">
        <w:rPr>
          <w:spacing w:val="9"/>
        </w:rPr>
        <w:t xml:space="preserve"> </w:t>
      </w:r>
      <w:r w:rsidR="00A36534" w:rsidRPr="003F6F2A">
        <w:t>patient</w:t>
      </w:r>
      <w:r w:rsidR="00A36534" w:rsidRPr="003F6F2A">
        <w:rPr>
          <w:spacing w:val="8"/>
        </w:rPr>
        <w:t xml:space="preserve"> </w:t>
      </w:r>
      <w:r w:rsidR="00A36534" w:rsidRPr="003F6F2A">
        <w:rPr>
          <w:color w:val="231F20"/>
          <w:spacing w:val="-4"/>
        </w:rPr>
        <w:t>safety</w:t>
      </w:r>
      <w:r w:rsidR="00A36534" w:rsidRPr="003F6F2A">
        <w:rPr>
          <w:color w:val="231F20"/>
          <w:spacing w:val="-28"/>
        </w:rPr>
        <w:t>.</w:t>
      </w:r>
      <w:r w:rsidR="00A36534" w:rsidRPr="003F6F2A">
        <w:rPr>
          <w:color w:val="231F20"/>
          <w:w w:val="80"/>
        </w:rPr>
        <w:t xml:space="preserve">  </w:t>
      </w:r>
    </w:p>
    <w:p w14:paraId="7FA4AFB8" w14:textId="7EF8A03D" w:rsidR="00A36534" w:rsidRPr="00A36534" w:rsidRDefault="00A36534" w:rsidP="001C1C13">
      <w:pPr>
        <w:pStyle w:val="ListParagraph"/>
        <w:numPr>
          <w:ilvl w:val="0"/>
          <w:numId w:val="94"/>
        </w:numPr>
        <w:spacing w:before="231" w:line="288" w:lineRule="exact"/>
        <w:ind w:right="466"/>
      </w:pPr>
      <w:r w:rsidRPr="00A36534">
        <w:t>All communities are expected to exercise their EDS plans, provide MDPH with After Action Reports, and use the reports to refine their plans.  Many communities use their annual flu clinics to exercise their plans, including the use of the Incident Command System (ICS).  Many communities include their Medical Reserve Corp (MRC) and Community Emergency Response Team (CERT) volunteers in these exercises</w:t>
      </w:r>
    </w:p>
    <w:p w14:paraId="2A90758B" w14:textId="7F151318" w:rsidR="00C51E6C" w:rsidRPr="00F53AFB" w:rsidRDefault="00C51E6C" w:rsidP="00F53AFB">
      <w:pPr>
        <w:pStyle w:val="Heading4"/>
        <w:rPr>
          <w:sz w:val="24"/>
          <w:szCs w:val="24"/>
        </w:rPr>
      </w:pPr>
      <w:r w:rsidRPr="00F53AFB">
        <w:rPr>
          <w:sz w:val="24"/>
          <w:szCs w:val="24"/>
        </w:rPr>
        <w:t>Protocols, Forms and Information Sh</w:t>
      </w:r>
      <w:r w:rsidR="00A36534" w:rsidRPr="00F53AFB">
        <w:rPr>
          <w:sz w:val="24"/>
          <w:szCs w:val="24"/>
        </w:rPr>
        <w:t>eets for Vaccine Administration</w:t>
      </w:r>
    </w:p>
    <w:p w14:paraId="02FA2AEB" w14:textId="7C16E82C" w:rsidR="00C51E6C" w:rsidRPr="00A43406" w:rsidRDefault="00C51E6C" w:rsidP="00C51E6C">
      <w:pPr>
        <w:contextualSpacing/>
      </w:pPr>
      <w:r w:rsidRPr="00A43406">
        <w:t>MDPH is responsible for making all protocols, forms and information sheets (in multiple languages, as appropriate) used in the EDS</w:t>
      </w:r>
      <w:r>
        <w:t xml:space="preserve"> available on </w:t>
      </w:r>
      <w:r w:rsidRPr="00A36534">
        <w:t xml:space="preserve">MDPH </w:t>
      </w:r>
      <w:r w:rsidR="00A36534" w:rsidRPr="00A36534">
        <w:t xml:space="preserve">website </w:t>
      </w:r>
      <w:r w:rsidRPr="00A43406">
        <w:t xml:space="preserve">and through the Homeland and Health Alert Network (HHAN).   Local </w:t>
      </w:r>
      <w:proofErr w:type="gramStart"/>
      <w:r w:rsidRPr="00A43406">
        <w:t>EDS</w:t>
      </w:r>
      <w:proofErr w:type="gramEnd"/>
      <w:r w:rsidRPr="00A43406">
        <w:t xml:space="preserve"> managers are responsible for downloading and copying the forms for use during the EDS.  Local EDS planning committees are encouraged to have arrangements with copy businesses for large-scale copying of written materials.  A family-based data collection form has been de</w:t>
      </w:r>
      <w:r>
        <w:t xml:space="preserve">veloped for emergency </w:t>
      </w:r>
      <w:r w:rsidRPr="00A43406">
        <w:t>vaccination clinics and is being piloted during emergency clinic exercises.  This form will be used until a clinic data collection form is developed by CDC, and contains information necessary for the EDS sites to call back peop</w:t>
      </w:r>
      <w:r>
        <w:t xml:space="preserve">le for a second dose of vaccine, </w:t>
      </w:r>
      <w:r w:rsidRPr="00A36534">
        <w:t>if needed.</w:t>
      </w:r>
    </w:p>
    <w:p w14:paraId="524D2F8B" w14:textId="77777777" w:rsidR="00C51E6C" w:rsidRPr="00A43406" w:rsidRDefault="00C51E6C" w:rsidP="00C51E6C">
      <w:pPr>
        <w:contextualSpacing/>
      </w:pPr>
    </w:p>
    <w:p w14:paraId="3585BBC2" w14:textId="77777777" w:rsidR="00A36534" w:rsidRDefault="00A36534" w:rsidP="00A36534">
      <w:pPr>
        <w:contextualSpacing/>
      </w:pPr>
      <w:r>
        <w:t>Protocols for administration will include guidance about:</w:t>
      </w:r>
    </w:p>
    <w:p w14:paraId="6680BE9E" w14:textId="23283D3F" w:rsidR="00A36534" w:rsidRDefault="00A36534" w:rsidP="003F6F2A">
      <w:pPr>
        <w:spacing w:after="0" w:line="240" w:lineRule="auto"/>
        <w:ind w:left="720" w:hanging="360"/>
        <w:contextualSpacing/>
      </w:pPr>
      <w:r>
        <w:t>•</w:t>
      </w:r>
      <w:r>
        <w:tab/>
      </w:r>
      <w:r>
        <w:tab/>
      </w:r>
      <w:r>
        <w:tab/>
      </w:r>
      <w:r>
        <w:tab/>
        <w:t xml:space="preserve">Use of standing orders </w:t>
      </w:r>
    </w:p>
    <w:p w14:paraId="741D95A0" w14:textId="77777777" w:rsidR="00A36534" w:rsidRDefault="00A36534" w:rsidP="003F6F2A">
      <w:pPr>
        <w:pStyle w:val="ListParagraph"/>
        <w:numPr>
          <w:ilvl w:val="0"/>
          <w:numId w:val="94"/>
        </w:numPr>
        <w:spacing w:after="0" w:line="240" w:lineRule="auto"/>
      </w:pPr>
      <w:r>
        <w:t>Use of Vaccine Information Statements (VISs)</w:t>
      </w:r>
    </w:p>
    <w:p w14:paraId="2E022059" w14:textId="45EAF6A7" w:rsidR="00A36534" w:rsidRDefault="00A36534" w:rsidP="003F6F2A">
      <w:pPr>
        <w:pStyle w:val="ListParagraph"/>
        <w:numPr>
          <w:ilvl w:val="0"/>
          <w:numId w:val="94"/>
        </w:numPr>
        <w:spacing w:after="0" w:line="240" w:lineRule="auto"/>
      </w:pPr>
      <w:r>
        <w:t>Screening of all patients for contraindications and precautions</w:t>
      </w:r>
    </w:p>
    <w:p w14:paraId="229FCE86" w14:textId="62055057" w:rsidR="00A36534" w:rsidRDefault="00A36534" w:rsidP="003F6F2A">
      <w:pPr>
        <w:spacing w:after="0" w:line="240" w:lineRule="auto"/>
        <w:ind w:left="810" w:hanging="450"/>
        <w:contextualSpacing/>
      </w:pPr>
      <w:r>
        <w:t>•</w:t>
      </w:r>
      <w:r w:rsidR="003F6F2A">
        <w:t xml:space="preserve">     </w:t>
      </w:r>
      <w:r>
        <w:t xml:space="preserve">Providing patients with an immunization record </w:t>
      </w:r>
    </w:p>
    <w:p w14:paraId="673B86D5" w14:textId="77777777" w:rsidR="00E9418E" w:rsidRDefault="00E9418E" w:rsidP="00E9418E">
      <w:pPr>
        <w:ind w:left="810" w:hanging="450"/>
        <w:contextualSpacing/>
      </w:pPr>
    </w:p>
    <w:p w14:paraId="67C2BC80" w14:textId="5AFB6A3F" w:rsidR="00A36534" w:rsidRDefault="00A36534" w:rsidP="00A36534">
      <w:pPr>
        <w:contextualSpacing/>
      </w:pPr>
      <w:r>
        <w:lastRenderedPageBreak/>
        <w:t>Document</w:t>
      </w:r>
      <w:r w:rsidR="00E9418E">
        <w:t>ation of vaccine administration:</w:t>
      </w:r>
      <w:r>
        <w:t xml:space="preserve">  All immunizations must be reported to the MIIS.</w:t>
      </w:r>
    </w:p>
    <w:p w14:paraId="7625CDD9" w14:textId="00E7F41F" w:rsidR="00C51E6C" w:rsidRDefault="00A36534" w:rsidP="00E9418E">
      <w:pPr>
        <w:ind w:left="810" w:hanging="450"/>
        <w:contextualSpacing/>
      </w:pPr>
      <w:r>
        <w:t>•</w:t>
      </w:r>
      <w:r>
        <w:tab/>
        <w:t>If two doses are needed, vaccine providers and employers of critical workforce should have plans in place to provide reminders about the 2nd dose. Methods include: immunization cards, EHR-based reminders, MIIS-based reminders, post cards, automated texts or phone calls</w:t>
      </w:r>
    </w:p>
    <w:p w14:paraId="29740114" w14:textId="77777777" w:rsidR="00E9418E" w:rsidRPr="00F53AFB" w:rsidRDefault="00E9418E" w:rsidP="00F53AFB">
      <w:pPr>
        <w:pStyle w:val="Heading4"/>
        <w:rPr>
          <w:sz w:val="24"/>
          <w:szCs w:val="24"/>
        </w:rPr>
      </w:pPr>
      <w:r w:rsidRPr="00F53AFB">
        <w:rPr>
          <w:sz w:val="24"/>
          <w:szCs w:val="24"/>
        </w:rPr>
        <w:t>Vaccine Safety Monitoring</w:t>
      </w:r>
    </w:p>
    <w:p w14:paraId="22BF0EE2" w14:textId="7E6B8870" w:rsidR="003F6F2A" w:rsidRPr="003F6F2A" w:rsidRDefault="00E9418E" w:rsidP="003F6F2A">
      <w:pPr>
        <w:numPr>
          <w:ilvl w:val="0"/>
          <w:numId w:val="51"/>
        </w:numPr>
        <w:contextualSpacing/>
      </w:pPr>
      <w:r w:rsidRPr="00E9418E">
        <w:t>Vaccine safety:  All vaccines will receive a VIS describing the risks and benefits of the vaccine being administered. VISs in different languages, and other needed vaccine clinic information, can be found at Immunization Action Coalition website:</w:t>
      </w:r>
      <w:r w:rsidRPr="00E9418E">
        <w:rPr>
          <w:color w:val="0000FF"/>
        </w:rPr>
        <w:t xml:space="preserve"> </w:t>
      </w:r>
      <w:hyperlink r:id="rId98" w:history="1">
        <w:r w:rsidR="003F6F2A" w:rsidRPr="003F6F2A">
          <w:rPr>
            <w:color w:val="0000FF"/>
            <w:u w:val="single"/>
          </w:rPr>
          <w:t>https://www.immunize.org/</w:t>
        </w:r>
      </w:hyperlink>
    </w:p>
    <w:p w14:paraId="360367B6" w14:textId="5D8D0CEC" w:rsidR="00E9418E" w:rsidRPr="00E9418E" w:rsidRDefault="00E9418E" w:rsidP="001C1C13">
      <w:pPr>
        <w:numPr>
          <w:ilvl w:val="0"/>
          <w:numId w:val="51"/>
        </w:numPr>
        <w:contextualSpacing/>
      </w:pPr>
      <w:r w:rsidRPr="00E9418E">
        <w:t xml:space="preserve">All adverse events will be reported through the federal Vaccine Adverse Events Reporting System (VAERS).  Providers and the general public can report adverse events by going to the VAERS website </w:t>
      </w:r>
      <w:r w:rsidRPr="00E9418E">
        <w:rPr>
          <w:color w:val="0000FF"/>
        </w:rPr>
        <w:t>(</w:t>
      </w:r>
      <w:hyperlink r:id="rId99" w:history="1">
        <w:r w:rsidRPr="00E9418E">
          <w:rPr>
            <w:color w:val="0000FF"/>
            <w:u w:val="single"/>
          </w:rPr>
          <w:t>https://vaers.hhs.gov/</w:t>
        </w:r>
      </w:hyperlink>
      <w:r w:rsidRPr="00E9418E">
        <w:rPr>
          <w:color w:val="0000FF"/>
        </w:rPr>
        <w:t xml:space="preserve">) </w:t>
      </w:r>
      <w:r w:rsidRPr="00E9418E">
        <w:t>and filling out a report online, or by completing a writeable VAERS PDF form and uploading it to the VAERS website. Additional assistance is available via email at info@vaers.org or by phone at (800) 822-7967</w:t>
      </w:r>
    </w:p>
    <w:p w14:paraId="3BAE8078" w14:textId="07359467" w:rsidR="00E9418E" w:rsidRPr="00E9418E" w:rsidRDefault="00E9418E" w:rsidP="001C1C13">
      <w:pPr>
        <w:numPr>
          <w:ilvl w:val="0"/>
          <w:numId w:val="51"/>
        </w:numPr>
        <w:contextualSpacing/>
      </w:pPr>
      <w:r w:rsidRPr="00E9418E">
        <w:t>Designated Massachusetts VAERS Coordinator: MDPH Immunization Nurse Manager</w:t>
      </w:r>
    </w:p>
    <w:p w14:paraId="30833CC8" w14:textId="2D8AEA1E" w:rsidR="00E9418E" w:rsidRPr="00E9418E" w:rsidRDefault="00E9418E" w:rsidP="001C1C13">
      <w:pPr>
        <w:numPr>
          <w:ilvl w:val="0"/>
          <w:numId w:val="51"/>
        </w:numPr>
        <w:contextualSpacing/>
      </w:pPr>
      <w:r w:rsidRPr="00E9418E">
        <w:t>Contingency plan for emergency use authorization (EUA) provisions: MDPH will follow all EUA protocols for inventory control and record keeping, including signed consent.  All protocols, forms and information sheets relating to the EUA protocol will be provided to all clinics/providers using the EUA vaccine, and will be posted on the MDPH website described above</w:t>
      </w:r>
    </w:p>
    <w:p w14:paraId="6B108093" w14:textId="77777777" w:rsidR="00C51E6C" w:rsidRDefault="00C51E6C" w:rsidP="00C51E6C">
      <w:pPr>
        <w:contextualSpacing/>
      </w:pPr>
    </w:p>
    <w:p w14:paraId="73216CC7" w14:textId="77777777" w:rsidR="00C51E6C" w:rsidRPr="00A43406" w:rsidRDefault="00C51E6C" w:rsidP="00C51E6C">
      <w:pPr>
        <w:contextualSpacing/>
      </w:pPr>
      <w:r w:rsidRPr="00A43406">
        <w:t>Verification of priority group membership at EDS:</w:t>
      </w:r>
    </w:p>
    <w:p w14:paraId="6457055A" w14:textId="45444B4D" w:rsidR="00C51E6C" w:rsidRPr="00A43406" w:rsidRDefault="00C51E6C" w:rsidP="001C1C13">
      <w:pPr>
        <w:numPr>
          <w:ilvl w:val="0"/>
          <w:numId w:val="48"/>
        </w:numPr>
        <w:contextualSpacing/>
      </w:pPr>
      <w:r w:rsidRPr="00A43406">
        <w:t xml:space="preserve">MDPH will update local health departments and all providers on groups eligible for vaccine at any time  </w:t>
      </w:r>
    </w:p>
    <w:p w14:paraId="79753FA8" w14:textId="6809B0F9" w:rsidR="00C51E6C" w:rsidRPr="00A43406" w:rsidRDefault="00C51E6C" w:rsidP="001C1C13">
      <w:pPr>
        <w:numPr>
          <w:ilvl w:val="0"/>
          <w:numId w:val="48"/>
        </w:numPr>
        <w:contextualSpacing/>
      </w:pPr>
      <w:r w:rsidRPr="00A43406">
        <w:t xml:space="preserve">Identifying priority group membership at EDS sites will include asking </w:t>
      </w:r>
      <w:proofErr w:type="spellStart"/>
      <w:r w:rsidRPr="00A43406">
        <w:t>vaccinees</w:t>
      </w:r>
      <w:proofErr w:type="spellEnd"/>
      <w:r w:rsidRPr="00A43406">
        <w:t xml:space="preserve"> about their age, medical, and/or employee status  </w:t>
      </w:r>
    </w:p>
    <w:p w14:paraId="22181ACD" w14:textId="56D71ECA" w:rsidR="00C51E6C" w:rsidRPr="00A43406" w:rsidRDefault="00C51E6C" w:rsidP="001C1C13">
      <w:pPr>
        <w:numPr>
          <w:ilvl w:val="0"/>
          <w:numId w:val="48"/>
        </w:numPr>
        <w:contextualSpacing/>
      </w:pPr>
      <w:r w:rsidRPr="00A43406">
        <w:t>EDS sites will not be required to verify membership in a priority group</w:t>
      </w:r>
    </w:p>
    <w:p w14:paraId="11C8ED3D" w14:textId="15C51F86" w:rsidR="00C51E6C" w:rsidRPr="00A43406" w:rsidRDefault="00C51E6C" w:rsidP="001C1C13">
      <w:pPr>
        <w:numPr>
          <w:ilvl w:val="0"/>
          <w:numId w:val="48"/>
        </w:numPr>
        <w:contextualSpacing/>
      </w:pPr>
      <w:r w:rsidRPr="00A43406">
        <w:t>Rationale for priority groups will be included in public messaging</w:t>
      </w:r>
    </w:p>
    <w:p w14:paraId="6441EA91" w14:textId="77777777" w:rsidR="00C51E6C" w:rsidRPr="00F53AFB" w:rsidRDefault="00C51E6C" w:rsidP="00F53AFB">
      <w:pPr>
        <w:pStyle w:val="Heading4"/>
        <w:rPr>
          <w:sz w:val="24"/>
          <w:szCs w:val="24"/>
        </w:rPr>
      </w:pPr>
      <w:bookmarkStart w:id="1059" w:name="_Toc484607059"/>
      <w:bookmarkStart w:id="1060" w:name="_Toc486238678"/>
      <w:bookmarkStart w:id="1061" w:name="_Toc486329036"/>
      <w:bookmarkStart w:id="1062" w:name="_Toc486407814"/>
      <w:bookmarkStart w:id="1063" w:name="_Toc486492426"/>
      <w:bookmarkStart w:id="1064" w:name="_Toc486499922"/>
      <w:bookmarkStart w:id="1065" w:name="_Toc486501098"/>
      <w:bookmarkStart w:id="1066" w:name="_Toc486516558"/>
      <w:bookmarkStart w:id="1067" w:name="_Toc486577813"/>
      <w:bookmarkStart w:id="1068" w:name="_Toc486579019"/>
      <w:r w:rsidRPr="00F53AFB">
        <w:rPr>
          <w:sz w:val="24"/>
          <w:szCs w:val="24"/>
        </w:rPr>
        <w:t>Communications</w:t>
      </w:r>
      <w:bookmarkEnd w:id="1059"/>
      <w:bookmarkEnd w:id="1060"/>
      <w:bookmarkEnd w:id="1061"/>
      <w:bookmarkEnd w:id="1062"/>
      <w:bookmarkEnd w:id="1063"/>
      <w:bookmarkEnd w:id="1064"/>
      <w:bookmarkEnd w:id="1065"/>
      <w:bookmarkEnd w:id="1066"/>
      <w:bookmarkEnd w:id="1067"/>
      <w:bookmarkEnd w:id="1068"/>
    </w:p>
    <w:p w14:paraId="4FD0995D" w14:textId="77777777" w:rsidR="00C51E6C" w:rsidRPr="00A43406" w:rsidRDefault="00C51E6C" w:rsidP="00C51E6C">
      <w:pPr>
        <w:contextualSpacing/>
      </w:pPr>
      <w:r w:rsidRPr="00E9418E">
        <w:t xml:space="preserve">Please see the Communications Section of this plan for </w:t>
      </w:r>
      <w:r w:rsidRPr="003A0C9B">
        <w:t>details on communication with the public about the following issues:</w:t>
      </w:r>
    </w:p>
    <w:p w14:paraId="109852B7" w14:textId="77777777" w:rsidR="00C51E6C" w:rsidRPr="00A43406" w:rsidRDefault="00C51E6C" w:rsidP="001C1C13">
      <w:pPr>
        <w:numPr>
          <w:ilvl w:val="0"/>
          <w:numId w:val="49"/>
        </w:numPr>
        <w:contextualSpacing/>
      </w:pPr>
      <w:r w:rsidRPr="00A43406">
        <w:t xml:space="preserve">Rationale for priority </w:t>
      </w:r>
      <w:r w:rsidRPr="00E9418E">
        <w:t>groups (if applicable)</w:t>
      </w:r>
    </w:p>
    <w:p w14:paraId="3EA9E65C" w14:textId="77777777" w:rsidR="00C51E6C" w:rsidRPr="00A43406" w:rsidRDefault="00C51E6C" w:rsidP="001C1C13">
      <w:pPr>
        <w:numPr>
          <w:ilvl w:val="0"/>
          <w:numId w:val="49"/>
        </w:numPr>
        <w:contextualSpacing/>
      </w:pPr>
      <w:r w:rsidRPr="00A43406">
        <w:t>Contraindications and possib</w:t>
      </w:r>
      <w:r>
        <w:t>le adverse events from the</w:t>
      </w:r>
      <w:r w:rsidRPr="00A43406">
        <w:t xml:space="preserve"> vaccine</w:t>
      </w:r>
    </w:p>
    <w:p w14:paraId="16F733E3" w14:textId="77777777" w:rsidR="00C51E6C" w:rsidRPr="00A43406" w:rsidRDefault="00C51E6C" w:rsidP="001C1C13">
      <w:pPr>
        <w:numPr>
          <w:ilvl w:val="0"/>
          <w:numId w:val="49"/>
        </w:numPr>
        <w:contextualSpacing/>
      </w:pPr>
      <w:r w:rsidRPr="00A43406">
        <w:t>Location of vaccination clinics</w:t>
      </w:r>
    </w:p>
    <w:p w14:paraId="248E447D" w14:textId="77777777" w:rsidR="00C51E6C" w:rsidRPr="00A43406" w:rsidRDefault="00C51E6C" w:rsidP="001C1C13">
      <w:pPr>
        <w:numPr>
          <w:ilvl w:val="0"/>
          <w:numId w:val="49"/>
        </w:numPr>
        <w:contextualSpacing/>
      </w:pPr>
      <w:r w:rsidRPr="00A43406">
        <w:t xml:space="preserve">Measures other than vaccine to prevent the spread of </w:t>
      </w:r>
      <w:r>
        <w:t xml:space="preserve">the </w:t>
      </w:r>
      <w:r w:rsidRPr="00E9418E">
        <w:t xml:space="preserve">disease </w:t>
      </w:r>
    </w:p>
    <w:p w14:paraId="00E62BA8" w14:textId="77777777" w:rsidR="00C51E6C" w:rsidRPr="00F53AFB" w:rsidRDefault="00C51E6C" w:rsidP="00F53AFB">
      <w:pPr>
        <w:pStyle w:val="Heading4"/>
        <w:rPr>
          <w:sz w:val="24"/>
          <w:szCs w:val="24"/>
        </w:rPr>
      </w:pPr>
      <w:bookmarkStart w:id="1069" w:name="_Toc484607060"/>
      <w:bookmarkStart w:id="1070" w:name="_Toc486238679"/>
      <w:bookmarkStart w:id="1071" w:name="_Toc486329037"/>
      <w:bookmarkStart w:id="1072" w:name="_Toc486407815"/>
      <w:bookmarkStart w:id="1073" w:name="_Toc486492427"/>
      <w:bookmarkStart w:id="1074" w:name="_Toc486499923"/>
      <w:bookmarkStart w:id="1075" w:name="_Toc486501099"/>
      <w:bookmarkStart w:id="1076" w:name="_Toc486516559"/>
      <w:bookmarkStart w:id="1077" w:name="_Toc486577814"/>
      <w:bookmarkStart w:id="1078" w:name="_Toc486579020"/>
      <w:r w:rsidRPr="00F53AFB">
        <w:rPr>
          <w:sz w:val="24"/>
          <w:szCs w:val="24"/>
        </w:rPr>
        <w:t>Websites</w:t>
      </w:r>
      <w:bookmarkEnd w:id="1069"/>
      <w:bookmarkEnd w:id="1070"/>
      <w:bookmarkEnd w:id="1071"/>
      <w:bookmarkEnd w:id="1072"/>
      <w:bookmarkEnd w:id="1073"/>
      <w:bookmarkEnd w:id="1074"/>
      <w:bookmarkEnd w:id="1075"/>
      <w:bookmarkEnd w:id="1076"/>
      <w:bookmarkEnd w:id="1077"/>
      <w:bookmarkEnd w:id="1078"/>
    </w:p>
    <w:p w14:paraId="19258102" w14:textId="77777777" w:rsidR="00C51E6C" w:rsidRPr="00E9418E" w:rsidRDefault="00C51E6C" w:rsidP="001C1C13">
      <w:pPr>
        <w:numPr>
          <w:ilvl w:val="0"/>
          <w:numId w:val="50"/>
        </w:numPr>
        <w:contextualSpacing/>
        <w:rPr>
          <w:color w:val="0000FF"/>
        </w:rPr>
      </w:pPr>
      <w:r w:rsidRPr="00E9418E">
        <w:t xml:space="preserve">MDPH OPEM website: </w:t>
      </w:r>
      <w:hyperlink r:id="rId100" w:history="1">
        <w:r w:rsidRPr="00E9418E">
          <w:rPr>
            <w:color w:val="0000FF"/>
            <w:u w:val="single"/>
          </w:rPr>
          <w:t>https://www.mass.gov/orgs/office-of-preparedness-and-emergency-management</w:t>
        </w:r>
      </w:hyperlink>
    </w:p>
    <w:p w14:paraId="4ED2ED50" w14:textId="77777777" w:rsidR="00C51E6C" w:rsidRPr="00E9418E" w:rsidRDefault="00C51E6C" w:rsidP="001C1C13">
      <w:pPr>
        <w:numPr>
          <w:ilvl w:val="0"/>
          <w:numId w:val="50"/>
        </w:numPr>
        <w:contextualSpacing/>
        <w:rPr>
          <w:color w:val="0000FF"/>
        </w:rPr>
      </w:pPr>
      <w:r w:rsidRPr="00E9418E">
        <w:t xml:space="preserve">MDPH BIDLS website: </w:t>
      </w:r>
      <w:hyperlink r:id="rId101" w:history="1">
        <w:r w:rsidRPr="00E9418E">
          <w:rPr>
            <w:rStyle w:val="Hyperlink"/>
            <w:color w:val="0000FF"/>
          </w:rPr>
          <w:t>https://www.mass.gov/orgs/bureau-of-infectious-disease-and-laboratory-sciences</w:t>
        </w:r>
      </w:hyperlink>
      <w:r w:rsidRPr="00E9418E">
        <w:rPr>
          <w:color w:val="0000FF"/>
        </w:rPr>
        <w:t xml:space="preserve"> </w:t>
      </w:r>
    </w:p>
    <w:p w14:paraId="0CE6F543" w14:textId="46571FFC" w:rsidR="00C51E6C" w:rsidRPr="00E9418E" w:rsidRDefault="00C51E6C" w:rsidP="001C1C13">
      <w:pPr>
        <w:numPr>
          <w:ilvl w:val="1"/>
          <w:numId w:val="50"/>
        </w:numPr>
        <w:contextualSpacing/>
      </w:pPr>
      <w:r w:rsidRPr="00E9418E">
        <w:lastRenderedPageBreak/>
        <w:t>From this website, you can link to disease specific pages, and also to other helpful information regarding vaccination</w:t>
      </w:r>
    </w:p>
    <w:p w14:paraId="135BC962" w14:textId="1772EB41" w:rsidR="00C51E6C" w:rsidRDefault="00C51E6C" w:rsidP="001C1C13">
      <w:pPr>
        <w:pStyle w:val="ListParagraph"/>
        <w:numPr>
          <w:ilvl w:val="1"/>
          <w:numId w:val="50"/>
        </w:numPr>
      </w:pPr>
      <w:r w:rsidRPr="00A43406">
        <w:t xml:space="preserve">This web page has links to the CDC, is continually updated, and will be a primary source of information for providers </w:t>
      </w:r>
      <w:r>
        <w:t xml:space="preserve">and the public </w:t>
      </w:r>
      <w:r w:rsidRPr="00E9418E">
        <w:t xml:space="preserve">during an outbreak of infectious disease  </w:t>
      </w:r>
    </w:p>
    <w:p w14:paraId="7FE2926B" w14:textId="7E5E1CCE" w:rsidR="00E9418E" w:rsidRPr="000C7E57" w:rsidRDefault="00E9418E" w:rsidP="00E9418E">
      <w:pPr>
        <w:keepLines/>
        <w:spacing w:after="0"/>
        <w:ind w:left="388"/>
        <w:rPr>
          <w:rFonts w:cs="Arial"/>
        </w:rPr>
      </w:pPr>
      <w:r w:rsidRPr="00C646B7">
        <w:t>MD</w:t>
      </w:r>
      <w:r w:rsidRPr="004D1BAD">
        <w:rPr>
          <w:rFonts w:cs="Arial"/>
        </w:rPr>
        <w:t>PH urges providers and other agencies to</w:t>
      </w:r>
      <w:r w:rsidRPr="00DA09A9">
        <w:rPr>
          <w:rFonts w:cs="Arial"/>
          <w:i/>
        </w:rPr>
        <w:t xml:space="preserve"> </w:t>
      </w:r>
      <w:hyperlink r:id="rId102" w:history="1">
        <w:r w:rsidRPr="00C646B7">
          <w:rPr>
            <w:i/>
            <w:color w:val="0000FF"/>
            <w:u w:val="single"/>
          </w:rPr>
          <w:t>register their locations</w:t>
        </w:r>
      </w:hyperlink>
      <w:r w:rsidRPr="00C646B7">
        <w:rPr>
          <w:i/>
        </w:rPr>
        <w:t xml:space="preserve"> </w:t>
      </w:r>
      <w:r w:rsidRPr="00C646B7">
        <w:t xml:space="preserve">on the </w:t>
      </w:r>
      <w:r w:rsidRPr="004D1BAD">
        <w:rPr>
          <w:rFonts w:cs="Arial"/>
        </w:rPr>
        <w:t>Health</w:t>
      </w:r>
      <w:r w:rsidRPr="00DA09A9">
        <w:rPr>
          <w:rFonts w:cs="Arial"/>
        </w:rPr>
        <w:t>Map Vaccine Finder site too</w:t>
      </w:r>
      <w:r w:rsidR="003F6F2A">
        <w:rPr>
          <w:rFonts w:cs="Arial"/>
        </w:rPr>
        <w:t xml:space="preserve"> (https://vaccinefinder.org/)</w:t>
      </w:r>
    </w:p>
    <w:p w14:paraId="321806B6" w14:textId="5A87A38C" w:rsidR="00E9418E" w:rsidRPr="00E9418E" w:rsidRDefault="00E9418E" w:rsidP="001C1C13">
      <w:pPr>
        <w:numPr>
          <w:ilvl w:val="0"/>
          <w:numId w:val="50"/>
        </w:numPr>
        <w:contextualSpacing/>
      </w:pPr>
      <w:proofErr w:type="spellStart"/>
      <w:r w:rsidRPr="00E9418E">
        <w:t>MedFinder</w:t>
      </w:r>
      <w:proofErr w:type="spellEnd"/>
      <w:r w:rsidRPr="00E9418E">
        <w:t xml:space="preserve"> is also a free online service for provides and the public to quickly locate nearby pharmacies, clinics or other healthcare facilities with MCMs on hand. Currently, </w:t>
      </w:r>
      <w:proofErr w:type="spellStart"/>
      <w:r w:rsidRPr="00E9418E">
        <w:t>MedFinder</w:t>
      </w:r>
      <w:proofErr w:type="spellEnd"/>
      <w:r w:rsidRPr="00E9418E">
        <w:t xml:space="preserve"> is focused on influenza medications.  For more information see: </w:t>
      </w:r>
      <w:r w:rsidR="003F6F2A" w:rsidRPr="00D4545E">
        <w:rPr>
          <w:color w:val="FF0000"/>
        </w:rPr>
        <w:t>https://medfinder.org/</w:t>
      </w:r>
    </w:p>
    <w:p w14:paraId="4671E582" w14:textId="2EB7D4E3" w:rsidR="00E9418E" w:rsidRDefault="00E9418E" w:rsidP="001C1C13">
      <w:pPr>
        <w:pStyle w:val="ListParagraph"/>
        <w:numPr>
          <w:ilvl w:val="0"/>
          <w:numId w:val="50"/>
        </w:numPr>
      </w:pPr>
      <w:r w:rsidRPr="00A43406">
        <w:t>As part of their EDS plans, local communities also are expected to have plans to provide the people in their jurisdiction with specific informati</w:t>
      </w:r>
      <w:r>
        <w:t xml:space="preserve">on about their public clinics </w:t>
      </w:r>
    </w:p>
    <w:p w14:paraId="47566A46" w14:textId="3E4E7E5C" w:rsidR="00C51E6C" w:rsidRPr="00F53AFB" w:rsidRDefault="003F6F2A" w:rsidP="00F53AFB">
      <w:pPr>
        <w:pStyle w:val="Heading4"/>
        <w:rPr>
          <w:sz w:val="24"/>
          <w:szCs w:val="24"/>
        </w:rPr>
      </w:pPr>
      <w:bookmarkStart w:id="1079" w:name="_Toc484607061"/>
      <w:bookmarkStart w:id="1080" w:name="_Toc486238680"/>
      <w:bookmarkStart w:id="1081" w:name="_Toc486329038"/>
      <w:bookmarkStart w:id="1082" w:name="_Toc486407816"/>
      <w:bookmarkStart w:id="1083" w:name="_Toc486492428"/>
      <w:bookmarkStart w:id="1084" w:name="_Toc486499924"/>
      <w:bookmarkStart w:id="1085" w:name="_Toc486501100"/>
      <w:bookmarkStart w:id="1086" w:name="_Toc486516560"/>
      <w:bookmarkStart w:id="1087" w:name="_Toc486577815"/>
      <w:bookmarkStart w:id="1088" w:name="_Toc486579021"/>
      <w:r>
        <w:rPr>
          <w:sz w:val="24"/>
          <w:szCs w:val="24"/>
        </w:rPr>
        <w:t xml:space="preserve">Mass 211/Flu </w:t>
      </w:r>
      <w:proofErr w:type="gramStart"/>
      <w:r>
        <w:rPr>
          <w:sz w:val="24"/>
          <w:szCs w:val="24"/>
        </w:rPr>
        <w:t>On</w:t>
      </w:r>
      <w:proofErr w:type="gramEnd"/>
      <w:r>
        <w:rPr>
          <w:sz w:val="24"/>
          <w:szCs w:val="24"/>
        </w:rPr>
        <w:t xml:space="preserve"> Call </w:t>
      </w:r>
      <w:bookmarkEnd w:id="1079"/>
      <w:bookmarkEnd w:id="1080"/>
      <w:bookmarkEnd w:id="1081"/>
      <w:bookmarkEnd w:id="1082"/>
      <w:bookmarkEnd w:id="1083"/>
      <w:bookmarkEnd w:id="1084"/>
      <w:bookmarkEnd w:id="1085"/>
      <w:bookmarkEnd w:id="1086"/>
      <w:bookmarkEnd w:id="1087"/>
      <w:bookmarkEnd w:id="1088"/>
      <w:r w:rsidR="00C51E6C" w:rsidRPr="00F53AFB">
        <w:rPr>
          <w:sz w:val="24"/>
          <w:szCs w:val="24"/>
        </w:rPr>
        <w:t xml:space="preserve"> </w:t>
      </w:r>
    </w:p>
    <w:p w14:paraId="5937CD6E" w14:textId="33031E64" w:rsidR="00C51E6C" w:rsidRDefault="00C51E6C" w:rsidP="00C51E6C">
      <w:pPr>
        <w:contextualSpacing/>
      </w:pPr>
      <w:r w:rsidRPr="00A43406">
        <w:t xml:space="preserve">If needed, MDPH, in collaboration with MEMA, </w:t>
      </w:r>
      <w:r w:rsidR="00284E04">
        <w:t>may</w:t>
      </w:r>
      <w:r w:rsidR="00284E04" w:rsidRPr="00A43406">
        <w:t xml:space="preserve"> </w:t>
      </w:r>
      <w:r w:rsidR="00284E04">
        <w:t>activate</w:t>
      </w:r>
      <w:r w:rsidR="00284E04" w:rsidRPr="00A43406">
        <w:t xml:space="preserve"> </w:t>
      </w:r>
      <w:r w:rsidR="00284E04">
        <w:t xml:space="preserve">Mass </w:t>
      </w:r>
      <w:r w:rsidR="00E21862">
        <w:t xml:space="preserve">211 </w:t>
      </w:r>
      <w:r w:rsidR="00E21862" w:rsidRPr="00A43406">
        <w:t>using</w:t>
      </w:r>
      <w:r w:rsidRPr="00A43406">
        <w:t xml:space="preserve"> MDPH staff and</w:t>
      </w:r>
      <w:r w:rsidR="00284E04">
        <w:t>/or</w:t>
      </w:r>
      <w:r w:rsidRPr="00A43406">
        <w:t xml:space="preserve"> </w:t>
      </w:r>
      <w:r w:rsidR="00284E04">
        <w:t>existing</w:t>
      </w:r>
      <w:r w:rsidR="00A86BDD">
        <w:t xml:space="preserve"> 211 </w:t>
      </w:r>
      <w:r w:rsidR="00E21862">
        <w:t xml:space="preserve">staff </w:t>
      </w:r>
      <w:r w:rsidR="00E21862" w:rsidRPr="00A43406">
        <w:t>with</w:t>
      </w:r>
      <w:r w:rsidRPr="00A43406">
        <w:t xml:space="preserve"> special training to answers questions about where to get vaccine, care of </w:t>
      </w:r>
      <w:r w:rsidR="00A86BDD">
        <w:t>sick</w:t>
      </w:r>
      <w:r w:rsidR="00A86BDD" w:rsidRPr="00A43406">
        <w:t xml:space="preserve"> </w:t>
      </w:r>
      <w:r w:rsidRPr="00A43406">
        <w:t xml:space="preserve">patients at home, and prevention </w:t>
      </w:r>
      <w:r w:rsidR="00A86BDD">
        <w:t>measures</w:t>
      </w:r>
      <w:r w:rsidRPr="00A43406">
        <w:t>.</w:t>
      </w:r>
      <w:r w:rsidR="003F6F2A">
        <w:t xml:space="preserve"> Alternatively, during an influenza pandemic, Flu on Call</w:t>
      </w:r>
      <w:r w:rsidR="009A178A">
        <w:t xml:space="preserve">® may be utilized. </w:t>
      </w:r>
    </w:p>
    <w:p w14:paraId="3098940B" w14:textId="77777777" w:rsidR="009A178A" w:rsidRPr="009A178A" w:rsidRDefault="009A178A" w:rsidP="009A178A">
      <w:pPr>
        <w:contextualSpacing/>
      </w:pPr>
      <w:r w:rsidRPr="009A178A">
        <w:t>Flu on Call® is an effort led by the U.S. Centers for Disease Control and Prevention (CDC), in collaboration with United Way Worldwide, and other partners to establish a national network of telephone help lines, staffed by information specialists and medical professionals, designed to be used during a severe influenza pandemic.</w:t>
      </w:r>
    </w:p>
    <w:p w14:paraId="4CD0D22C" w14:textId="77777777" w:rsidR="00C51E6C" w:rsidRPr="00F53AFB" w:rsidRDefault="00C51E6C" w:rsidP="00F53AFB">
      <w:pPr>
        <w:pStyle w:val="Heading4"/>
        <w:rPr>
          <w:sz w:val="24"/>
          <w:szCs w:val="24"/>
        </w:rPr>
      </w:pPr>
      <w:bookmarkStart w:id="1089" w:name="_Toc484607062"/>
      <w:bookmarkStart w:id="1090" w:name="_Toc486238681"/>
      <w:bookmarkStart w:id="1091" w:name="_Toc486329039"/>
      <w:bookmarkStart w:id="1092" w:name="_Toc486407817"/>
      <w:bookmarkStart w:id="1093" w:name="_Toc486492429"/>
      <w:bookmarkStart w:id="1094" w:name="_Toc486499925"/>
      <w:bookmarkStart w:id="1095" w:name="_Toc486501101"/>
      <w:bookmarkStart w:id="1096" w:name="_Toc486516561"/>
      <w:bookmarkStart w:id="1097" w:name="_Toc486577816"/>
      <w:bookmarkStart w:id="1098" w:name="_Toc486579022"/>
      <w:r w:rsidRPr="00F53AFB">
        <w:rPr>
          <w:sz w:val="24"/>
          <w:szCs w:val="24"/>
        </w:rPr>
        <w:t xml:space="preserve">Pictogram Signage and </w:t>
      </w:r>
      <w:bookmarkEnd w:id="1089"/>
      <w:bookmarkEnd w:id="1090"/>
      <w:bookmarkEnd w:id="1091"/>
      <w:bookmarkEnd w:id="1092"/>
      <w:bookmarkEnd w:id="1093"/>
      <w:bookmarkEnd w:id="1094"/>
      <w:bookmarkEnd w:id="1095"/>
      <w:bookmarkEnd w:id="1096"/>
      <w:bookmarkEnd w:id="1097"/>
      <w:bookmarkEnd w:id="1098"/>
      <w:r w:rsidRPr="00F53AFB">
        <w:rPr>
          <w:sz w:val="24"/>
          <w:szCs w:val="24"/>
        </w:rPr>
        <w:t>Show Me Tool</w:t>
      </w:r>
    </w:p>
    <w:p w14:paraId="021BBA54" w14:textId="77777777" w:rsidR="00C51E6C" w:rsidRPr="00A43406" w:rsidRDefault="00C51E6C" w:rsidP="00C51E6C">
      <w:pPr>
        <w:contextualSpacing/>
      </w:pPr>
      <w:r w:rsidRPr="00A43406">
        <w:t>Pictogram signage and a pocket communicator utilizing pictograms have been developed</w:t>
      </w:r>
      <w:r>
        <w:t>.</w:t>
      </w:r>
      <w:r w:rsidRPr="00A43406">
        <w:t xml:space="preserve"> The materials include a series of pictograms designed to promote universal access to emergency dispensing site services. The pictograms represent the clinic stations as well as questions that staff may ask a</w:t>
      </w:r>
      <w:r>
        <w:t xml:space="preserve"> client. The </w:t>
      </w:r>
      <w:r w:rsidRPr="00E9418E">
        <w:t xml:space="preserve">Show Me Tool </w:t>
      </w:r>
      <w:r w:rsidRPr="00A43406">
        <w:t xml:space="preserve">was developed to be used to aid in language identification and pictographic communication of screening and treatment concepts. These materials are available for distribution.  </w:t>
      </w:r>
    </w:p>
    <w:p w14:paraId="7CC7E1E8" w14:textId="77777777" w:rsidR="00C51E6C" w:rsidRPr="00F53AFB" w:rsidRDefault="00C51E6C" w:rsidP="00F53AFB">
      <w:pPr>
        <w:pStyle w:val="Heading4"/>
        <w:rPr>
          <w:sz w:val="24"/>
          <w:szCs w:val="24"/>
        </w:rPr>
      </w:pPr>
      <w:bookmarkStart w:id="1099" w:name="_Toc484607063"/>
      <w:bookmarkStart w:id="1100" w:name="_Toc486238682"/>
      <w:bookmarkStart w:id="1101" w:name="_Toc486329040"/>
      <w:bookmarkStart w:id="1102" w:name="_Toc486407818"/>
      <w:bookmarkStart w:id="1103" w:name="_Toc486492430"/>
      <w:bookmarkStart w:id="1104" w:name="_Toc486499926"/>
      <w:bookmarkStart w:id="1105" w:name="_Toc486501102"/>
      <w:bookmarkStart w:id="1106" w:name="_Toc486516562"/>
      <w:bookmarkStart w:id="1107" w:name="_Toc486577817"/>
      <w:bookmarkStart w:id="1108" w:name="_Toc486579023"/>
      <w:r w:rsidRPr="00F53AFB">
        <w:rPr>
          <w:sz w:val="24"/>
          <w:szCs w:val="24"/>
        </w:rPr>
        <w:t>Special Populations</w:t>
      </w:r>
      <w:bookmarkEnd w:id="1099"/>
      <w:bookmarkEnd w:id="1100"/>
      <w:bookmarkEnd w:id="1101"/>
      <w:bookmarkEnd w:id="1102"/>
      <w:bookmarkEnd w:id="1103"/>
      <w:bookmarkEnd w:id="1104"/>
      <w:bookmarkEnd w:id="1105"/>
      <w:bookmarkEnd w:id="1106"/>
      <w:bookmarkEnd w:id="1107"/>
      <w:bookmarkEnd w:id="1108"/>
    </w:p>
    <w:p w14:paraId="1B3286BC" w14:textId="1C018B49" w:rsidR="00C51E6C" w:rsidRDefault="00C51E6C" w:rsidP="00C51E6C">
      <w:pPr>
        <w:contextualSpacing/>
        <w:rPr>
          <w:color w:val="0000FF"/>
        </w:rPr>
      </w:pPr>
      <w:r w:rsidRPr="00A43406">
        <w:t xml:space="preserve"> Local </w:t>
      </w:r>
      <w:proofErr w:type="gramStart"/>
      <w:r w:rsidRPr="00A43406">
        <w:t>EDS</w:t>
      </w:r>
      <w:proofErr w:type="gramEnd"/>
      <w:r w:rsidRPr="00A43406">
        <w:t xml:space="preserve"> plans include provisions for the vaccination of special populations (e.g., the homebound and homeless, people with disabilities (both physical and cognitive), people who speak limited English or languages other than English, etc.).  MDPH will have required documents translated into at least 6 languages.  These documents</w:t>
      </w:r>
      <w:r>
        <w:t xml:space="preserve"> will be posted on the MDPH </w:t>
      </w:r>
      <w:r w:rsidRPr="00A43406">
        <w:t xml:space="preserve">website.  </w:t>
      </w:r>
      <w:r>
        <w:t xml:space="preserve">Local Boards of Health can also use the </w:t>
      </w:r>
      <w:proofErr w:type="spellStart"/>
      <w:r>
        <w:t>ShowMe</w:t>
      </w:r>
      <w:proofErr w:type="spellEnd"/>
      <w:r>
        <w:t xml:space="preserve"> for Emergencies Tool and app to enhance communication between individuals with communication challenges and public health personnel and volunteers during times of emergencies. </w:t>
      </w:r>
      <w:r w:rsidR="009A178A">
        <w:t xml:space="preserve">The </w:t>
      </w:r>
      <w:proofErr w:type="spellStart"/>
      <w:r w:rsidR="009A178A">
        <w:t>ShowMe</w:t>
      </w:r>
      <w:proofErr w:type="spellEnd"/>
      <w:r w:rsidR="009A178A">
        <w:t xml:space="preserve"> tool is a</w:t>
      </w:r>
      <w:r>
        <w:t xml:space="preserve">vailable at: </w:t>
      </w:r>
      <w:hyperlink r:id="rId103" w:history="1">
        <w:r w:rsidR="0063626F" w:rsidRPr="0063626F">
          <w:rPr>
            <w:rStyle w:val="Hyperlink"/>
          </w:rPr>
          <w:t>https://www.mass.gov/service-details/show-me</w:t>
        </w:r>
      </w:hyperlink>
    </w:p>
    <w:p w14:paraId="75B333F8" w14:textId="77777777" w:rsidR="009A178A" w:rsidRDefault="009A178A" w:rsidP="009A178A">
      <w:pPr>
        <w:contextualSpacing/>
        <w:rPr>
          <w:color w:val="0000FF"/>
        </w:rPr>
      </w:pPr>
    </w:p>
    <w:p w14:paraId="56A1EFAA" w14:textId="472774D2" w:rsidR="009A178A" w:rsidRPr="009A178A" w:rsidRDefault="009A178A" w:rsidP="009A178A">
      <w:pPr>
        <w:contextualSpacing/>
      </w:pPr>
      <w:r w:rsidRPr="00E21862">
        <w:lastRenderedPageBreak/>
        <w:t xml:space="preserve">MDPH’s Emergency Dispensing Sites (EDS): A Guide </w:t>
      </w:r>
      <w:r w:rsidR="00E21862" w:rsidRPr="00E21862">
        <w:t>for</w:t>
      </w:r>
      <w:r w:rsidRPr="00E21862">
        <w:t xml:space="preserve"> Local Health on Planning for Medical Countermeasure (MCM) Dispensing Operations can be found at</w:t>
      </w:r>
      <w:r w:rsidR="00E21862">
        <w:t>:</w:t>
      </w:r>
      <w:r w:rsidRPr="00E21862">
        <w:t xml:space="preserve"> </w:t>
      </w:r>
      <w:hyperlink r:id="rId104" w:history="1">
        <w:r w:rsidRPr="009A178A">
          <w:rPr>
            <w:color w:val="0000FF"/>
            <w:u w:val="single"/>
          </w:rPr>
          <w:t>https://www.mass.gov/files/documents/2019/08/05/eds-planning-guide-2019.pdf</w:t>
        </w:r>
      </w:hyperlink>
    </w:p>
    <w:p w14:paraId="7F04D89F" w14:textId="23A41649" w:rsidR="00AD7417" w:rsidRDefault="00AD7417" w:rsidP="00C51E6C">
      <w:pPr>
        <w:rPr>
          <w:rFonts w:asciiTheme="majorHAnsi" w:eastAsiaTheme="majorEastAsia" w:hAnsiTheme="majorHAnsi" w:cstheme="majorBidi"/>
          <w:b/>
          <w:bCs/>
          <w:color w:val="E36C0A" w:themeColor="accent6" w:themeShade="BF"/>
          <w:sz w:val="36"/>
          <w:szCs w:val="36"/>
        </w:rPr>
      </w:pPr>
    </w:p>
    <w:p w14:paraId="37C84499" w14:textId="78BCE544" w:rsidR="00683E5F" w:rsidRPr="006160F8" w:rsidRDefault="00683E5F" w:rsidP="00683E5F">
      <w:pPr>
        <w:rPr>
          <w:rFonts w:asciiTheme="majorHAnsi" w:eastAsiaTheme="majorEastAsia" w:hAnsiTheme="majorHAnsi" w:cstheme="majorBidi"/>
          <w:b/>
          <w:bCs/>
          <w:i/>
          <w:color w:val="E36C0A" w:themeColor="accent6" w:themeShade="BF"/>
          <w:sz w:val="28"/>
          <w:szCs w:val="28"/>
        </w:rPr>
      </w:pPr>
      <w:r w:rsidRPr="006160F8">
        <w:rPr>
          <w:rFonts w:asciiTheme="majorHAnsi" w:eastAsiaTheme="majorEastAsia" w:hAnsiTheme="majorHAnsi" w:cstheme="majorBidi"/>
          <w:b/>
          <w:bCs/>
          <w:i/>
          <w:color w:val="E36C0A" w:themeColor="accent6" w:themeShade="BF"/>
          <w:sz w:val="28"/>
          <w:szCs w:val="28"/>
        </w:rPr>
        <w:t xml:space="preserve">Pandemic Influenza Specific Information </w:t>
      </w:r>
    </w:p>
    <w:p w14:paraId="78FF5910" w14:textId="77777777" w:rsidR="00EC5B49" w:rsidRPr="00F53AFB" w:rsidRDefault="00EC5B49" w:rsidP="00EC5B49">
      <w:pPr>
        <w:pStyle w:val="Heading4"/>
        <w:rPr>
          <w:color w:val="4F81BD"/>
          <w:sz w:val="24"/>
          <w:szCs w:val="24"/>
        </w:rPr>
      </w:pPr>
      <w:r w:rsidRPr="00F53AFB">
        <w:rPr>
          <w:sz w:val="24"/>
          <w:szCs w:val="24"/>
        </w:rPr>
        <w:t>Pandemic Planning Assumptions</w:t>
      </w:r>
      <w:r w:rsidRPr="00F53AFB">
        <w:rPr>
          <w:color w:val="4F81BD"/>
          <w:sz w:val="24"/>
          <w:szCs w:val="24"/>
        </w:rPr>
        <w:t xml:space="preserve"> </w:t>
      </w:r>
    </w:p>
    <w:p w14:paraId="23632C91" w14:textId="77777777" w:rsidR="00EC5B49" w:rsidRPr="005D21F3" w:rsidRDefault="00EC5B49" w:rsidP="00EC5B49">
      <w:pPr>
        <w:spacing w:after="0" w:line="240" w:lineRule="auto"/>
        <w:rPr>
          <w:b/>
        </w:rPr>
      </w:pPr>
      <w:r w:rsidRPr="005D21F3">
        <w:rPr>
          <w:b/>
        </w:rPr>
        <w:t>Epidemiologic and Clinical Assumptions</w:t>
      </w:r>
    </w:p>
    <w:p w14:paraId="2EB17A7D" w14:textId="5D6ECBC0" w:rsidR="00EC5B49" w:rsidRPr="005D21F3" w:rsidRDefault="00EC5B49" w:rsidP="00EC5B49">
      <w:pPr>
        <w:widowControl w:val="0"/>
        <w:numPr>
          <w:ilvl w:val="0"/>
          <w:numId w:val="92"/>
        </w:numPr>
        <w:spacing w:after="0" w:line="240" w:lineRule="auto"/>
        <w:contextualSpacing/>
      </w:pPr>
      <w:r w:rsidRPr="005D21F3">
        <w:t xml:space="preserve">The seasonality of a pandemic cannot be predicted with certainty </w:t>
      </w:r>
    </w:p>
    <w:p w14:paraId="69B4CFA5" w14:textId="7E8B62EE" w:rsidR="00EC5B49" w:rsidRPr="005D21F3" w:rsidRDefault="00EC5B49" w:rsidP="00EC5B49">
      <w:pPr>
        <w:widowControl w:val="0"/>
        <w:numPr>
          <w:ilvl w:val="0"/>
          <w:numId w:val="92"/>
        </w:numPr>
        <w:spacing w:after="0" w:line="240" w:lineRule="auto"/>
        <w:contextualSpacing/>
      </w:pPr>
      <w:r w:rsidRPr="005D21F3">
        <w:t xml:space="preserve">The novel virus will have the ability to spread rapidly worldwide </w:t>
      </w:r>
    </w:p>
    <w:p w14:paraId="588EDCA9" w14:textId="445F5107" w:rsidR="00EC5B49" w:rsidRPr="005D21F3" w:rsidRDefault="00EC5B49" w:rsidP="00EC5B49">
      <w:pPr>
        <w:widowControl w:val="0"/>
        <w:numPr>
          <w:ilvl w:val="0"/>
          <w:numId w:val="89"/>
        </w:numPr>
        <w:spacing w:after="0" w:line="240" w:lineRule="auto"/>
        <w:contextualSpacing/>
      </w:pPr>
      <w:r w:rsidRPr="005D21F3">
        <w:t xml:space="preserve">If the pandemic is characterized by severe disease, it will have the potential to disrupt national and community infrastructures (including health care, transportation, commerce, utilities, and public safety) due to widespread illness, absenteeism, and death among workers and their families, as well as concern about ongoing exposure to the virus </w:t>
      </w:r>
    </w:p>
    <w:p w14:paraId="7BB41290" w14:textId="17B44A18" w:rsidR="00EC5B49" w:rsidRPr="005D21F3" w:rsidRDefault="00EC5B49" w:rsidP="00EC5B49">
      <w:pPr>
        <w:widowControl w:val="0"/>
        <w:numPr>
          <w:ilvl w:val="0"/>
          <w:numId w:val="89"/>
        </w:numPr>
        <w:spacing w:after="0" w:line="240" w:lineRule="auto"/>
        <w:contextualSpacing/>
      </w:pPr>
      <w:r w:rsidRPr="005D21F3">
        <w:t>During a pandemic, infection in a localized area can last about six to eight weeks. At least two pandemic disease waves will occur. Following the pandemic, the newly circulating virus is likely to become a regularly occurring seasonal influenza</w:t>
      </w:r>
    </w:p>
    <w:p w14:paraId="46390FFB" w14:textId="7A8B384E" w:rsidR="00EC5B49" w:rsidRPr="005D21F3" w:rsidRDefault="00EC5B49" w:rsidP="00EC5B49">
      <w:pPr>
        <w:widowControl w:val="0"/>
        <w:numPr>
          <w:ilvl w:val="0"/>
          <w:numId w:val="89"/>
        </w:numPr>
        <w:spacing w:after="0" w:line="240" w:lineRule="auto"/>
        <w:contextualSpacing/>
      </w:pPr>
      <w:r w:rsidRPr="005D21F3">
        <w:t xml:space="preserve">Near simultaneous clusters likely will occur in many communities across the United States, thereby limiting the ability of any jurisdiction to support and assist other jurisdictions </w:t>
      </w:r>
    </w:p>
    <w:p w14:paraId="1626D8CB" w14:textId="49FC1460" w:rsidR="00EC5B49" w:rsidRPr="005D21F3" w:rsidRDefault="00EC5B49" w:rsidP="00EC5B49">
      <w:pPr>
        <w:widowControl w:val="0"/>
        <w:numPr>
          <w:ilvl w:val="0"/>
          <w:numId w:val="89"/>
        </w:numPr>
        <w:spacing w:after="0" w:line="240" w:lineRule="auto"/>
        <w:contextualSpacing/>
      </w:pPr>
      <w:r w:rsidRPr="005D21F3">
        <w:t xml:space="preserve">Immunity to the novel pandemic influenza subtype will vary based on the strain of the virus, but most people will likely be susceptible, depending on whether a similar strain has circulated in previous seasons </w:t>
      </w:r>
    </w:p>
    <w:p w14:paraId="6B579798" w14:textId="66A69372" w:rsidR="00EC5B49" w:rsidRPr="005D21F3" w:rsidRDefault="00EC5B49" w:rsidP="00EC5B49">
      <w:pPr>
        <w:widowControl w:val="0"/>
        <w:numPr>
          <w:ilvl w:val="0"/>
          <w:numId w:val="89"/>
        </w:numPr>
        <w:spacing w:after="0" w:line="240" w:lineRule="auto"/>
        <w:contextualSpacing/>
      </w:pPr>
      <w:r w:rsidRPr="005D21F3">
        <w:t xml:space="preserve">The clinical disease attack rate could range from 20% to 30% of the overall population. Illness rates will likely vary by age group (and other epidemiologic characteristics) and could create selective pressures on segments of the community, such as nursing homes or schools </w:t>
      </w:r>
    </w:p>
    <w:p w14:paraId="1A5F96BC" w14:textId="1F735DD3" w:rsidR="00EC5B49" w:rsidRPr="005D21F3" w:rsidRDefault="00EC5B49" w:rsidP="00EC5B49">
      <w:pPr>
        <w:widowControl w:val="0"/>
        <w:numPr>
          <w:ilvl w:val="0"/>
          <w:numId w:val="89"/>
        </w:numPr>
        <w:spacing w:after="0" w:line="240" w:lineRule="auto"/>
        <w:contextualSpacing/>
      </w:pPr>
      <w:r w:rsidRPr="005D21F3">
        <w:t>The typical incubation period (the time between acquiring the infection and becoming ill) for influenza averages two days (range is one to four days)</w:t>
      </w:r>
    </w:p>
    <w:p w14:paraId="60266F28" w14:textId="27E3203A" w:rsidR="00EC5B49" w:rsidRPr="005D21F3" w:rsidRDefault="00EC5B49" w:rsidP="00EC5B49">
      <w:pPr>
        <w:widowControl w:val="0"/>
        <w:numPr>
          <w:ilvl w:val="0"/>
          <w:numId w:val="89"/>
        </w:numPr>
        <w:spacing w:after="0" w:line="240" w:lineRule="auto"/>
        <w:contextualSpacing/>
      </w:pPr>
      <w:r w:rsidRPr="005D21F3">
        <w:t>Of those who become ill with influenza, up to 50% will seek outpatient medical care</w:t>
      </w:r>
    </w:p>
    <w:p w14:paraId="3D832899" w14:textId="4F5809DE" w:rsidR="00EC5B49" w:rsidRPr="005D21F3" w:rsidRDefault="00EC5B49" w:rsidP="00EC5B49">
      <w:pPr>
        <w:widowControl w:val="0"/>
        <w:numPr>
          <w:ilvl w:val="0"/>
          <w:numId w:val="89"/>
        </w:numPr>
        <w:spacing w:after="0" w:line="240" w:lineRule="auto"/>
        <w:contextualSpacing/>
      </w:pPr>
      <w:r w:rsidRPr="005D21F3">
        <w:t>The number of hospitalizations and deaths will depend on the severity of the disease and the success of steps to mitigate its transmission. Nonetheless, estimates could differ by as much as a factor of 10 between more and less severe scenarios</w:t>
      </w:r>
    </w:p>
    <w:p w14:paraId="6BB951F7" w14:textId="7F7F5758" w:rsidR="00EC5B49" w:rsidRPr="005D21F3" w:rsidRDefault="00EC5B49" w:rsidP="00EC5B49">
      <w:pPr>
        <w:widowControl w:val="0"/>
        <w:numPr>
          <w:ilvl w:val="0"/>
          <w:numId w:val="90"/>
        </w:numPr>
        <w:spacing w:after="0" w:line="240" w:lineRule="auto"/>
        <w:contextualSpacing/>
      </w:pPr>
      <w:r w:rsidRPr="005D21F3">
        <w:t>Risk groups for severe and fatal infections cannot be predicted with certainty. People who become infected will shed virus and transmit infection for up to one day before the onset of illness. Viral shedding and the risk for transmission will be greatest during the first two days of illness and may persist for five to seven days</w:t>
      </w:r>
    </w:p>
    <w:p w14:paraId="3F8A6F82" w14:textId="5346D908" w:rsidR="00EC5B49" w:rsidRPr="005D21F3" w:rsidRDefault="00EC5B49" w:rsidP="00EC5B49">
      <w:pPr>
        <w:widowControl w:val="0"/>
        <w:numPr>
          <w:ilvl w:val="0"/>
          <w:numId w:val="90"/>
        </w:numPr>
        <w:spacing w:after="0" w:line="240" w:lineRule="auto"/>
        <w:contextualSpacing/>
      </w:pPr>
      <w:r w:rsidRPr="005D21F3">
        <w:t>Children will shed the greatest amount of virus and, therefore, are likely to pose the greatest risk for transmission</w:t>
      </w:r>
    </w:p>
    <w:p w14:paraId="3CE4B4F4" w14:textId="6000F0BB" w:rsidR="00EC5B49" w:rsidRPr="005D21F3" w:rsidRDefault="00EC5B49" w:rsidP="00EC5B49">
      <w:pPr>
        <w:widowControl w:val="0"/>
        <w:numPr>
          <w:ilvl w:val="0"/>
          <w:numId w:val="90"/>
        </w:numPr>
        <w:spacing w:after="0" w:line="240" w:lineRule="auto"/>
        <w:contextualSpacing/>
      </w:pPr>
      <w:r w:rsidRPr="005D21F3">
        <w:t xml:space="preserve"> The most severely ill people with influenza will shed the most virus for the longest period of time</w:t>
      </w:r>
    </w:p>
    <w:p w14:paraId="2CFECF9B" w14:textId="1F201432" w:rsidR="00EC5B49" w:rsidRDefault="00EC5B49" w:rsidP="00EC5B49">
      <w:pPr>
        <w:widowControl w:val="0"/>
        <w:numPr>
          <w:ilvl w:val="0"/>
          <w:numId w:val="90"/>
        </w:numPr>
        <w:spacing w:after="0" w:line="240" w:lineRule="auto"/>
        <w:contextualSpacing/>
      </w:pPr>
      <w:r w:rsidRPr="005D21F3">
        <w:t>One or two secondary infections will occur as a result of transmission from someone who is ill. In contrast, some estates from past pandemics have been higher, with up to three secondary infections per primary case</w:t>
      </w:r>
    </w:p>
    <w:p w14:paraId="096F261C" w14:textId="2CB388F9" w:rsidR="00AB6608" w:rsidRPr="00861738" w:rsidRDefault="00AB6608" w:rsidP="00AB6608">
      <w:pPr>
        <w:numPr>
          <w:ilvl w:val="0"/>
          <w:numId w:val="90"/>
        </w:numPr>
        <w:contextualSpacing/>
      </w:pPr>
      <w:r w:rsidRPr="00861738">
        <w:t xml:space="preserve">In the </w:t>
      </w:r>
      <w:r>
        <w:t>event of influenza</w:t>
      </w:r>
      <w:r w:rsidRPr="00861738">
        <w:t xml:space="preserve"> pandemic, up to 945,000 doses could be available for Massachusetts per week until 80% of the population has received 2 doses </w:t>
      </w:r>
    </w:p>
    <w:p w14:paraId="06ACCE88" w14:textId="77777777" w:rsidR="00AB6608" w:rsidRPr="005D21F3" w:rsidRDefault="00AB6608" w:rsidP="00AB6608">
      <w:pPr>
        <w:widowControl w:val="0"/>
        <w:spacing w:after="0" w:line="240" w:lineRule="auto"/>
        <w:ind w:left="405"/>
        <w:contextualSpacing/>
      </w:pPr>
    </w:p>
    <w:p w14:paraId="466F346A" w14:textId="77777777" w:rsidR="00EC5B49" w:rsidRDefault="00EC5B49" w:rsidP="00EC5B49">
      <w:pPr>
        <w:spacing w:after="0" w:line="240" w:lineRule="auto"/>
        <w:rPr>
          <w:rFonts w:ascii="Calibri"/>
          <w:b/>
          <w:color w:val="231F20"/>
          <w:spacing w:val="-1"/>
        </w:rPr>
      </w:pPr>
    </w:p>
    <w:p w14:paraId="333AAECF" w14:textId="77777777" w:rsidR="00EC5B49" w:rsidRPr="005D21F3" w:rsidRDefault="00EC5B49" w:rsidP="00EC5B49">
      <w:pPr>
        <w:spacing w:after="0" w:line="240" w:lineRule="auto"/>
        <w:rPr>
          <w:rFonts w:ascii="Calibri"/>
          <w:b/>
          <w:color w:val="231F20"/>
          <w:spacing w:val="-1"/>
        </w:rPr>
      </w:pPr>
      <w:r w:rsidRPr="005D21F3">
        <w:rPr>
          <w:rFonts w:ascii="Calibri"/>
          <w:b/>
          <w:color w:val="231F20"/>
          <w:spacing w:val="-1"/>
        </w:rPr>
        <w:lastRenderedPageBreak/>
        <w:t>Vaccine Assumptions</w:t>
      </w:r>
    </w:p>
    <w:p w14:paraId="6D510F0B" w14:textId="7E9A84E1" w:rsidR="00EC5B49" w:rsidRPr="005D21F3" w:rsidRDefault="00EC5B49" w:rsidP="00EC5B49">
      <w:pPr>
        <w:widowControl w:val="0"/>
        <w:numPr>
          <w:ilvl w:val="0"/>
          <w:numId w:val="90"/>
        </w:numPr>
        <w:spacing w:after="0" w:line="240" w:lineRule="auto"/>
        <w:contextualSpacing/>
      </w:pPr>
      <w:r w:rsidRPr="005D21F3">
        <w:t>Delays in availability of vaccines and shortages of antiviral drugs are likely, particularly early in the pandemic</w:t>
      </w:r>
    </w:p>
    <w:p w14:paraId="59BAFCA6" w14:textId="08E8B66F" w:rsidR="00EC5B49" w:rsidRPr="005D21F3" w:rsidRDefault="00EC5B49" w:rsidP="00EC5B49">
      <w:pPr>
        <w:widowControl w:val="0"/>
        <w:numPr>
          <w:ilvl w:val="0"/>
          <w:numId w:val="90"/>
        </w:numPr>
        <w:tabs>
          <w:tab w:val="left" w:pos="1050"/>
        </w:tabs>
        <w:spacing w:before="109" w:after="0" w:line="240" w:lineRule="auto"/>
        <w:ind w:right="880"/>
        <w:contextualSpacing/>
        <w:rPr>
          <w:rFonts w:ascii="Calibri" w:eastAsia="Calibri" w:hAnsi="Calibri" w:cs="Calibri"/>
        </w:rPr>
      </w:pPr>
      <w:r w:rsidRPr="005D21F3">
        <w:rPr>
          <w:rFonts w:ascii="Calibri"/>
          <w:color w:val="231F20"/>
          <w:spacing w:val="-9"/>
        </w:rPr>
        <w:t>T</w:t>
      </w:r>
      <w:r w:rsidRPr="005D21F3">
        <w:rPr>
          <w:rFonts w:ascii="Calibri"/>
          <w:color w:val="231F20"/>
          <w:spacing w:val="-11"/>
        </w:rPr>
        <w:t>w</w:t>
      </w:r>
      <w:r w:rsidRPr="005D21F3">
        <w:rPr>
          <w:rFonts w:ascii="Calibri"/>
          <w:color w:val="231F20"/>
          <w:spacing w:val="-10"/>
        </w:rPr>
        <w:t>o</w:t>
      </w:r>
      <w:r w:rsidRPr="005D21F3">
        <w:rPr>
          <w:rFonts w:ascii="Calibri"/>
          <w:color w:val="231F20"/>
          <w:spacing w:val="17"/>
        </w:rPr>
        <w:t xml:space="preserve"> </w:t>
      </w:r>
      <w:r w:rsidRPr="005D21F3">
        <w:rPr>
          <w:rFonts w:ascii="Calibri"/>
          <w:color w:val="231F20"/>
          <w:spacing w:val="-1"/>
        </w:rPr>
        <w:t>doses</w:t>
      </w:r>
      <w:r w:rsidRPr="005D21F3">
        <w:rPr>
          <w:rFonts w:ascii="Calibri"/>
          <w:color w:val="231F20"/>
          <w:spacing w:val="18"/>
        </w:rPr>
        <w:t xml:space="preserve"> </w:t>
      </w:r>
      <w:r w:rsidRPr="005D21F3">
        <w:rPr>
          <w:rFonts w:ascii="Calibri"/>
          <w:color w:val="231F20"/>
          <w:spacing w:val="-2"/>
        </w:rPr>
        <w:t>of</w:t>
      </w:r>
      <w:r w:rsidRPr="005D21F3">
        <w:rPr>
          <w:rFonts w:ascii="Calibri"/>
          <w:color w:val="231F20"/>
          <w:spacing w:val="18"/>
        </w:rPr>
        <w:t xml:space="preserve"> </w:t>
      </w:r>
      <w:r w:rsidRPr="005D21F3">
        <w:rPr>
          <w:rFonts w:ascii="Calibri"/>
          <w:color w:val="231F20"/>
        </w:rPr>
        <w:t>pandemic</w:t>
      </w:r>
      <w:r w:rsidRPr="005D21F3">
        <w:rPr>
          <w:rFonts w:ascii="Calibri"/>
          <w:color w:val="231F20"/>
          <w:spacing w:val="18"/>
        </w:rPr>
        <w:t xml:space="preserve"> </w:t>
      </w:r>
      <w:r w:rsidRPr="005D21F3">
        <w:rPr>
          <w:rFonts w:ascii="Calibri"/>
          <w:color w:val="231F20"/>
        </w:rPr>
        <w:t>influenza</w:t>
      </w:r>
      <w:r w:rsidRPr="005D21F3">
        <w:rPr>
          <w:rFonts w:ascii="Calibri"/>
          <w:color w:val="231F20"/>
          <w:spacing w:val="18"/>
        </w:rPr>
        <w:t xml:space="preserve"> </w:t>
      </w:r>
      <w:r w:rsidRPr="005D21F3">
        <w:rPr>
          <w:rFonts w:ascii="Calibri"/>
          <w:color w:val="231F20"/>
          <w:spacing w:val="-1"/>
        </w:rPr>
        <w:t>vaccine</w:t>
      </w:r>
      <w:r w:rsidRPr="005D21F3">
        <w:rPr>
          <w:rFonts w:ascii="Calibri"/>
          <w:color w:val="231F20"/>
          <w:spacing w:val="-2"/>
        </w:rPr>
        <w:t>,</w:t>
      </w:r>
      <w:r w:rsidRPr="005D21F3">
        <w:rPr>
          <w:rFonts w:ascii="Calibri"/>
          <w:color w:val="231F20"/>
          <w:spacing w:val="18"/>
        </w:rPr>
        <w:t xml:space="preserve"> </w:t>
      </w:r>
      <w:r w:rsidRPr="005D21F3">
        <w:rPr>
          <w:rFonts w:ascii="Calibri"/>
          <w:color w:val="231F20"/>
          <w:spacing w:val="-1"/>
        </w:rPr>
        <w:t>separated</w:t>
      </w:r>
      <w:r w:rsidRPr="005D21F3">
        <w:rPr>
          <w:rFonts w:ascii="Calibri"/>
          <w:color w:val="231F20"/>
          <w:spacing w:val="18"/>
        </w:rPr>
        <w:t xml:space="preserve"> </w:t>
      </w:r>
      <w:r w:rsidRPr="005D21F3">
        <w:rPr>
          <w:rFonts w:ascii="Calibri"/>
          <w:color w:val="231F20"/>
          <w:spacing w:val="-2"/>
        </w:rPr>
        <w:t>by</w:t>
      </w:r>
      <w:r w:rsidRPr="005D21F3">
        <w:rPr>
          <w:rFonts w:ascii="Calibri"/>
          <w:color w:val="231F20"/>
          <w:spacing w:val="18"/>
        </w:rPr>
        <w:t xml:space="preserve"> </w:t>
      </w:r>
      <w:r w:rsidRPr="005D21F3">
        <w:rPr>
          <w:rFonts w:ascii="Calibri"/>
          <w:color w:val="231F20"/>
        </w:rPr>
        <w:t>21</w:t>
      </w:r>
      <w:r w:rsidRPr="005D21F3">
        <w:rPr>
          <w:rFonts w:ascii="Calibri"/>
          <w:color w:val="231F20"/>
          <w:spacing w:val="18"/>
        </w:rPr>
        <w:t xml:space="preserve"> </w:t>
      </w:r>
      <w:r w:rsidRPr="005D21F3">
        <w:rPr>
          <w:rFonts w:ascii="Calibri"/>
          <w:color w:val="231F20"/>
          <w:spacing w:val="-1"/>
        </w:rPr>
        <w:t>day</w:t>
      </w:r>
      <w:r w:rsidRPr="005D21F3">
        <w:rPr>
          <w:rFonts w:ascii="Calibri"/>
          <w:color w:val="231F20"/>
          <w:spacing w:val="-2"/>
        </w:rPr>
        <w:t>s,</w:t>
      </w:r>
      <w:r w:rsidRPr="005D21F3">
        <w:rPr>
          <w:rFonts w:ascii="Calibri"/>
          <w:color w:val="231F20"/>
          <w:spacing w:val="18"/>
        </w:rPr>
        <w:t xml:space="preserve"> </w:t>
      </w:r>
      <w:r w:rsidRPr="005D21F3">
        <w:rPr>
          <w:rFonts w:ascii="Calibri"/>
          <w:color w:val="231F20"/>
          <w:spacing w:val="-1"/>
        </w:rPr>
        <w:t>may</w:t>
      </w:r>
      <w:r w:rsidRPr="005D21F3">
        <w:rPr>
          <w:rFonts w:ascii="Calibri"/>
          <w:color w:val="231F20"/>
          <w:spacing w:val="18"/>
        </w:rPr>
        <w:t xml:space="preserve"> </w:t>
      </w:r>
      <w:r w:rsidRPr="005D21F3">
        <w:rPr>
          <w:rFonts w:ascii="Calibri"/>
          <w:color w:val="231F20"/>
        </w:rPr>
        <w:t>be</w:t>
      </w:r>
      <w:r w:rsidRPr="005D21F3">
        <w:rPr>
          <w:rFonts w:ascii="Calibri"/>
          <w:color w:val="231F20"/>
          <w:spacing w:val="18"/>
        </w:rPr>
        <w:t xml:space="preserve"> </w:t>
      </w:r>
      <w:r w:rsidRPr="005D21F3">
        <w:rPr>
          <w:rFonts w:ascii="Calibri"/>
          <w:color w:val="231F20"/>
          <w:spacing w:val="-1"/>
        </w:rPr>
        <w:t>recommended</w:t>
      </w:r>
      <w:r w:rsidRPr="005D21F3">
        <w:rPr>
          <w:rFonts w:ascii="Calibri"/>
          <w:color w:val="231F20"/>
          <w:spacing w:val="18"/>
        </w:rPr>
        <w:t xml:space="preserve"> </w:t>
      </w:r>
      <w:r w:rsidRPr="005D21F3">
        <w:rPr>
          <w:rFonts w:ascii="Calibri"/>
          <w:color w:val="231F20"/>
          <w:spacing w:val="-2"/>
        </w:rPr>
        <w:t>for</w:t>
      </w:r>
      <w:r w:rsidRPr="005D21F3">
        <w:rPr>
          <w:rFonts w:ascii="Calibri"/>
          <w:color w:val="231F20"/>
          <w:spacing w:val="18"/>
        </w:rPr>
        <w:t xml:space="preserve"> </w:t>
      </w:r>
      <w:r w:rsidRPr="005D21F3">
        <w:rPr>
          <w:rFonts w:ascii="Calibri"/>
          <w:color w:val="231F20"/>
        </w:rPr>
        <w:t>all</w:t>
      </w:r>
      <w:r w:rsidRPr="005D21F3">
        <w:rPr>
          <w:rFonts w:ascii="Calibri"/>
          <w:color w:val="231F20"/>
          <w:spacing w:val="18"/>
        </w:rPr>
        <w:t xml:space="preserve"> </w:t>
      </w:r>
      <w:r w:rsidRPr="005D21F3">
        <w:rPr>
          <w:rFonts w:ascii="Calibri"/>
          <w:color w:val="231F20"/>
        </w:rPr>
        <w:t>people</w:t>
      </w:r>
      <w:r w:rsidRPr="005D21F3">
        <w:rPr>
          <w:rFonts w:ascii="Calibri"/>
          <w:color w:val="231F20"/>
          <w:spacing w:val="18"/>
        </w:rPr>
        <w:t xml:space="preserve"> </w:t>
      </w:r>
      <w:r w:rsidRPr="005D21F3">
        <w:rPr>
          <w:rFonts w:ascii="Calibri"/>
          <w:color w:val="231F20"/>
        </w:rPr>
        <w:t>ages</w:t>
      </w:r>
      <w:r w:rsidRPr="005D21F3">
        <w:rPr>
          <w:rFonts w:ascii="Calibri"/>
          <w:color w:val="231F20"/>
          <w:spacing w:val="18"/>
        </w:rPr>
        <w:t xml:space="preserve"> </w:t>
      </w:r>
      <w:r w:rsidRPr="005D21F3">
        <w:rPr>
          <w:rFonts w:ascii="Calibri"/>
          <w:color w:val="231F20"/>
        </w:rPr>
        <w:t>6</w:t>
      </w:r>
      <w:r w:rsidRPr="005D21F3">
        <w:rPr>
          <w:rFonts w:ascii="Calibri"/>
          <w:color w:val="231F20"/>
          <w:spacing w:val="39"/>
          <w:w w:val="102"/>
        </w:rPr>
        <w:t xml:space="preserve"> </w:t>
      </w:r>
      <w:r w:rsidRPr="005D21F3">
        <w:rPr>
          <w:rFonts w:ascii="Calibri"/>
          <w:color w:val="231F20"/>
        </w:rPr>
        <w:t>months</w:t>
      </w:r>
      <w:r w:rsidRPr="005D21F3">
        <w:rPr>
          <w:rFonts w:ascii="Calibri"/>
          <w:color w:val="231F20"/>
          <w:spacing w:val="8"/>
        </w:rPr>
        <w:t xml:space="preserve"> </w:t>
      </w:r>
      <w:r w:rsidRPr="005D21F3">
        <w:rPr>
          <w:rFonts w:ascii="Calibri"/>
          <w:color w:val="231F20"/>
        </w:rPr>
        <w:t>and</w:t>
      </w:r>
      <w:r w:rsidRPr="005D21F3">
        <w:rPr>
          <w:rFonts w:ascii="Calibri"/>
          <w:color w:val="231F20"/>
          <w:spacing w:val="9"/>
        </w:rPr>
        <w:t xml:space="preserve"> </w:t>
      </w:r>
      <w:r w:rsidRPr="005D21F3">
        <w:rPr>
          <w:rFonts w:ascii="Calibri"/>
          <w:color w:val="231F20"/>
          <w:spacing w:val="-4"/>
        </w:rPr>
        <w:t>older</w:t>
      </w:r>
    </w:p>
    <w:p w14:paraId="757B5C9F" w14:textId="62AB7C31" w:rsidR="00EC5B49" w:rsidRPr="005D21F3" w:rsidRDefault="00EC5B49" w:rsidP="00EC5B49">
      <w:pPr>
        <w:widowControl w:val="0"/>
        <w:numPr>
          <w:ilvl w:val="0"/>
          <w:numId w:val="90"/>
        </w:numPr>
        <w:tabs>
          <w:tab w:val="left" w:pos="-360"/>
        </w:tabs>
        <w:spacing w:before="61" w:after="0" w:line="240" w:lineRule="auto"/>
        <w:rPr>
          <w:rFonts w:ascii="Calibri" w:eastAsia="Calibri" w:hAnsi="Calibri" w:cs="Calibri"/>
        </w:rPr>
      </w:pPr>
      <w:r w:rsidRPr="005D21F3">
        <w:rPr>
          <w:rFonts w:ascii="Calibri"/>
          <w:color w:val="231F20"/>
          <w:spacing w:val="-1"/>
          <w:w w:val="105"/>
        </w:rPr>
        <w:t>D</w:t>
      </w:r>
      <w:r w:rsidRPr="005D21F3">
        <w:rPr>
          <w:rFonts w:ascii="Calibri"/>
          <w:color w:val="231F20"/>
          <w:spacing w:val="-2"/>
          <w:w w:val="105"/>
        </w:rPr>
        <w:t>emand</w:t>
      </w:r>
      <w:r w:rsidRPr="005D21F3">
        <w:rPr>
          <w:rFonts w:ascii="Calibri"/>
          <w:color w:val="231F20"/>
          <w:spacing w:val="-8"/>
          <w:w w:val="105"/>
        </w:rPr>
        <w:t xml:space="preserve"> </w:t>
      </w:r>
      <w:r w:rsidRPr="005D21F3">
        <w:rPr>
          <w:rFonts w:ascii="Calibri"/>
          <w:color w:val="231F20"/>
          <w:spacing w:val="-2"/>
          <w:w w:val="105"/>
        </w:rPr>
        <w:t>for</w:t>
      </w:r>
      <w:r w:rsidRPr="005D21F3">
        <w:rPr>
          <w:rFonts w:ascii="Calibri"/>
          <w:color w:val="231F20"/>
          <w:spacing w:val="-8"/>
          <w:w w:val="105"/>
        </w:rPr>
        <w:t xml:space="preserve"> </w:t>
      </w:r>
      <w:r w:rsidRPr="005D21F3">
        <w:rPr>
          <w:rFonts w:ascii="Calibri"/>
          <w:color w:val="231F20"/>
          <w:w w:val="105"/>
        </w:rPr>
        <w:t>the</w:t>
      </w:r>
      <w:r w:rsidRPr="005D21F3">
        <w:rPr>
          <w:rFonts w:ascii="Calibri"/>
          <w:color w:val="231F20"/>
          <w:spacing w:val="-8"/>
          <w:w w:val="105"/>
        </w:rPr>
        <w:t xml:space="preserve"> </w:t>
      </w:r>
      <w:r w:rsidRPr="005D21F3">
        <w:rPr>
          <w:rFonts w:ascii="Calibri"/>
          <w:color w:val="231F20"/>
          <w:w w:val="105"/>
        </w:rPr>
        <w:t>pandemic</w:t>
      </w:r>
      <w:r w:rsidRPr="005D21F3">
        <w:rPr>
          <w:rFonts w:ascii="Calibri"/>
          <w:color w:val="231F20"/>
          <w:spacing w:val="-8"/>
          <w:w w:val="105"/>
        </w:rPr>
        <w:t xml:space="preserve"> </w:t>
      </w:r>
      <w:r w:rsidRPr="005D21F3">
        <w:rPr>
          <w:rFonts w:ascii="Calibri"/>
          <w:color w:val="231F20"/>
          <w:w w:val="105"/>
        </w:rPr>
        <w:t>influenza</w:t>
      </w:r>
      <w:r w:rsidRPr="005D21F3">
        <w:rPr>
          <w:rFonts w:ascii="Calibri"/>
          <w:color w:val="231F20"/>
          <w:spacing w:val="-8"/>
          <w:w w:val="105"/>
        </w:rPr>
        <w:t xml:space="preserve"> </w:t>
      </w:r>
      <w:r w:rsidRPr="005D21F3">
        <w:rPr>
          <w:rFonts w:ascii="Calibri"/>
          <w:color w:val="231F20"/>
          <w:spacing w:val="-1"/>
          <w:w w:val="105"/>
        </w:rPr>
        <w:t>vac</w:t>
      </w:r>
      <w:r w:rsidRPr="005D21F3">
        <w:rPr>
          <w:rFonts w:ascii="Calibri"/>
          <w:color w:val="231F20"/>
          <w:spacing w:val="-2"/>
          <w:w w:val="105"/>
        </w:rPr>
        <w:t>cination</w:t>
      </w:r>
      <w:r w:rsidRPr="005D21F3">
        <w:rPr>
          <w:rFonts w:ascii="Calibri"/>
          <w:color w:val="231F20"/>
          <w:spacing w:val="-7"/>
          <w:w w:val="105"/>
        </w:rPr>
        <w:t xml:space="preserve"> </w:t>
      </w:r>
      <w:r w:rsidRPr="005D21F3">
        <w:rPr>
          <w:rFonts w:ascii="Calibri"/>
          <w:color w:val="231F20"/>
          <w:spacing w:val="-2"/>
          <w:w w:val="105"/>
        </w:rPr>
        <w:t>ma</w:t>
      </w:r>
      <w:r w:rsidRPr="005D21F3">
        <w:rPr>
          <w:rFonts w:ascii="Calibri"/>
          <w:color w:val="231F20"/>
          <w:spacing w:val="-1"/>
          <w:w w:val="105"/>
        </w:rPr>
        <w:t>y</w:t>
      </w:r>
      <w:r w:rsidRPr="005D21F3">
        <w:rPr>
          <w:rFonts w:ascii="Calibri"/>
          <w:color w:val="231F20"/>
          <w:spacing w:val="-8"/>
          <w:w w:val="105"/>
        </w:rPr>
        <w:t xml:space="preserve"> </w:t>
      </w:r>
      <w:r w:rsidRPr="005D21F3">
        <w:rPr>
          <w:rFonts w:ascii="Calibri"/>
          <w:color w:val="231F20"/>
          <w:w w:val="105"/>
        </w:rPr>
        <w:t>be</w:t>
      </w:r>
      <w:r w:rsidRPr="005D21F3">
        <w:rPr>
          <w:rFonts w:ascii="Calibri"/>
          <w:color w:val="231F20"/>
          <w:spacing w:val="-8"/>
          <w:w w:val="105"/>
        </w:rPr>
        <w:t xml:space="preserve"> </w:t>
      </w:r>
      <w:r w:rsidRPr="005D21F3">
        <w:rPr>
          <w:rFonts w:ascii="Calibri"/>
          <w:color w:val="231F20"/>
          <w:w w:val="105"/>
        </w:rPr>
        <w:t>high</w:t>
      </w:r>
      <w:r w:rsidRPr="005D21F3">
        <w:rPr>
          <w:rFonts w:ascii="Calibri"/>
          <w:color w:val="231F20"/>
          <w:spacing w:val="-8"/>
          <w:w w:val="105"/>
        </w:rPr>
        <w:t xml:space="preserve"> </w:t>
      </w:r>
      <w:r w:rsidRPr="005D21F3">
        <w:rPr>
          <w:rFonts w:ascii="Calibri"/>
          <w:color w:val="231F20"/>
          <w:spacing w:val="-2"/>
          <w:w w:val="105"/>
        </w:rPr>
        <w:t>thr</w:t>
      </w:r>
      <w:r w:rsidRPr="005D21F3">
        <w:rPr>
          <w:rFonts w:ascii="Calibri"/>
          <w:color w:val="231F20"/>
          <w:spacing w:val="-1"/>
          <w:w w:val="105"/>
        </w:rPr>
        <w:t>oughout</w:t>
      </w:r>
      <w:r w:rsidRPr="005D21F3">
        <w:rPr>
          <w:rFonts w:ascii="Calibri"/>
          <w:color w:val="231F20"/>
          <w:spacing w:val="-8"/>
          <w:w w:val="105"/>
        </w:rPr>
        <w:t xml:space="preserve"> </w:t>
      </w:r>
      <w:r w:rsidRPr="005D21F3">
        <w:rPr>
          <w:rFonts w:ascii="Calibri"/>
          <w:color w:val="231F20"/>
          <w:w w:val="105"/>
        </w:rPr>
        <w:t>the</w:t>
      </w:r>
      <w:r w:rsidRPr="005D21F3">
        <w:rPr>
          <w:rFonts w:ascii="Calibri"/>
          <w:color w:val="231F20"/>
          <w:spacing w:val="-8"/>
          <w:w w:val="105"/>
        </w:rPr>
        <w:t xml:space="preserve"> </w:t>
      </w:r>
      <w:r w:rsidRPr="005D21F3">
        <w:rPr>
          <w:rFonts w:ascii="Calibri"/>
          <w:color w:val="231F20"/>
          <w:spacing w:val="-1"/>
          <w:w w:val="105"/>
        </w:rPr>
        <w:t>response;</w:t>
      </w:r>
      <w:r w:rsidRPr="005D21F3">
        <w:rPr>
          <w:rFonts w:ascii="Calibri"/>
          <w:color w:val="231F20"/>
          <w:spacing w:val="-7"/>
          <w:w w:val="105"/>
        </w:rPr>
        <w:t xml:space="preserve"> </w:t>
      </w:r>
      <w:r w:rsidRPr="005D21F3">
        <w:rPr>
          <w:rFonts w:ascii="Calibri"/>
          <w:color w:val="231F20"/>
          <w:w w:val="105"/>
        </w:rPr>
        <w:t>at</w:t>
      </w:r>
      <w:r w:rsidRPr="005D21F3">
        <w:rPr>
          <w:rFonts w:ascii="Calibri"/>
          <w:color w:val="231F20"/>
          <w:spacing w:val="-8"/>
          <w:w w:val="105"/>
        </w:rPr>
        <w:t xml:space="preserve"> </w:t>
      </w:r>
      <w:r w:rsidRPr="005D21F3">
        <w:rPr>
          <w:rFonts w:ascii="Calibri"/>
          <w:color w:val="231F20"/>
          <w:spacing w:val="-1"/>
          <w:w w:val="105"/>
        </w:rPr>
        <w:t>leas</w:t>
      </w:r>
      <w:r w:rsidRPr="005D21F3">
        <w:rPr>
          <w:rFonts w:ascii="Calibri"/>
          <w:color w:val="231F20"/>
          <w:spacing w:val="-2"/>
          <w:w w:val="105"/>
        </w:rPr>
        <w:t>t</w:t>
      </w:r>
      <w:r w:rsidRPr="005D21F3">
        <w:rPr>
          <w:rFonts w:ascii="Calibri"/>
          <w:color w:val="231F20"/>
          <w:spacing w:val="-8"/>
          <w:w w:val="105"/>
        </w:rPr>
        <w:t xml:space="preserve"> </w:t>
      </w:r>
      <w:r w:rsidRPr="005D21F3">
        <w:rPr>
          <w:rFonts w:ascii="Calibri"/>
          <w:color w:val="231F20"/>
          <w:w w:val="105"/>
        </w:rPr>
        <w:t>80%</w:t>
      </w:r>
      <w:r w:rsidRPr="005D21F3">
        <w:rPr>
          <w:rFonts w:ascii="Calibri"/>
          <w:color w:val="231F20"/>
          <w:spacing w:val="-8"/>
          <w:w w:val="105"/>
        </w:rPr>
        <w:t xml:space="preserve"> </w:t>
      </w:r>
      <w:r w:rsidRPr="005D21F3">
        <w:rPr>
          <w:rFonts w:ascii="Calibri"/>
          <w:color w:val="231F20"/>
          <w:spacing w:val="-3"/>
          <w:w w:val="105"/>
        </w:rPr>
        <w:t>o</w:t>
      </w:r>
      <w:r w:rsidRPr="005D21F3">
        <w:rPr>
          <w:rFonts w:ascii="Calibri"/>
          <w:color w:val="231F20"/>
          <w:spacing w:val="-2"/>
          <w:w w:val="105"/>
        </w:rPr>
        <w:t>f</w:t>
      </w:r>
      <w:r w:rsidRPr="005D21F3">
        <w:rPr>
          <w:rFonts w:ascii="Calibri"/>
          <w:color w:val="231F20"/>
          <w:spacing w:val="-8"/>
          <w:w w:val="105"/>
        </w:rPr>
        <w:t xml:space="preserve"> </w:t>
      </w:r>
      <w:r w:rsidRPr="005D21F3">
        <w:rPr>
          <w:rFonts w:ascii="Calibri"/>
          <w:color w:val="231F20"/>
          <w:w w:val="105"/>
        </w:rPr>
        <w:t>the population</w:t>
      </w:r>
      <w:r w:rsidRPr="005D21F3">
        <w:rPr>
          <w:rFonts w:ascii="Calibri"/>
          <w:color w:val="231F20"/>
          <w:spacing w:val="-19"/>
          <w:w w:val="105"/>
        </w:rPr>
        <w:t xml:space="preserve"> </w:t>
      </w:r>
      <w:r w:rsidRPr="005D21F3">
        <w:rPr>
          <w:rFonts w:ascii="Calibri"/>
          <w:color w:val="231F20"/>
          <w:spacing w:val="-2"/>
          <w:w w:val="105"/>
        </w:rPr>
        <w:t>ma</w:t>
      </w:r>
      <w:r w:rsidRPr="005D21F3">
        <w:rPr>
          <w:rFonts w:ascii="Calibri"/>
          <w:color w:val="231F20"/>
          <w:spacing w:val="-1"/>
          <w:w w:val="105"/>
        </w:rPr>
        <w:t>y</w:t>
      </w:r>
      <w:r w:rsidRPr="005D21F3">
        <w:rPr>
          <w:rFonts w:ascii="Calibri"/>
          <w:color w:val="231F20"/>
          <w:spacing w:val="-18"/>
          <w:w w:val="105"/>
        </w:rPr>
        <w:t xml:space="preserve"> </w:t>
      </w:r>
      <w:r w:rsidRPr="005D21F3">
        <w:rPr>
          <w:rFonts w:ascii="Calibri"/>
          <w:color w:val="231F20"/>
          <w:spacing w:val="-2"/>
          <w:w w:val="105"/>
        </w:rPr>
        <w:t>want</w:t>
      </w:r>
      <w:r w:rsidRPr="005D21F3">
        <w:rPr>
          <w:rFonts w:ascii="Calibri"/>
          <w:color w:val="231F20"/>
          <w:spacing w:val="-18"/>
          <w:w w:val="105"/>
        </w:rPr>
        <w:t xml:space="preserve"> </w:t>
      </w:r>
      <w:r w:rsidRPr="005D21F3">
        <w:rPr>
          <w:rFonts w:ascii="Calibri"/>
          <w:color w:val="231F20"/>
          <w:spacing w:val="-2"/>
          <w:w w:val="105"/>
        </w:rPr>
        <w:t>t</w:t>
      </w:r>
      <w:r w:rsidRPr="005D21F3">
        <w:rPr>
          <w:rFonts w:ascii="Calibri"/>
          <w:color w:val="231F20"/>
          <w:spacing w:val="-1"/>
          <w:w w:val="105"/>
        </w:rPr>
        <w:t>o</w:t>
      </w:r>
      <w:r w:rsidRPr="005D21F3">
        <w:rPr>
          <w:rFonts w:ascii="Calibri"/>
          <w:color w:val="231F20"/>
          <w:spacing w:val="-18"/>
          <w:w w:val="105"/>
        </w:rPr>
        <w:t xml:space="preserve"> </w:t>
      </w:r>
      <w:r w:rsidRPr="005D21F3">
        <w:rPr>
          <w:rFonts w:ascii="Calibri"/>
          <w:color w:val="231F20"/>
          <w:w w:val="105"/>
        </w:rPr>
        <w:t>be</w:t>
      </w:r>
      <w:r w:rsidRPr="005D21F3">
        <w:rPr>
          <w:rFonts w:ascii="Calibri"/>
          <w:color w:val="231F20"/>
          <w:spacing w:val="-19"/>
          <w:w w:val="105"/>
        </w:rPr>
        <w:t xml:space="preserve"> </w:t>
      </w:r>
      <w:r w:rsidRPr="005D21F3">
        <w:rPr>
          <w:rFonts w:ascii="Calibri"/>
          <w:color w:val="231F20"/>
          <w:spacing w:val="-1"/>
          <w:w w:val="105"/>
        </w:rPr>
        <w:t>vaccinated</w:t>
      </w:r>
    </w:p>
    <w:p w14:paraId="189D2451" w14:textId="67C842A8" w:rsidR="00EC5B49" w:rsidRPr="005D21F3" w:rsidRDefault="00EC5B49" w:rsidP="00EC5B49">
      <w:pPr>
        <w:widowControl w:val="0"/>
        <w:numPr>
          <w:ilvl w:val="0"/>
          <w:numId w:val="90"/>
        </w:numPr>
        <w:tabs>
          <w:tab w:val="left" w:pos="-360"/>
        </w:tabs>
        <w:spacing w:before="61" w:after="0" w:line="240" w:lineRule="auto"/>
        <w:rPr>
          <w:rFonts w:ascii="Calibri" w:eastAsia="Calibri" w:hAnsi="Calibri" w:cs="Calibri"/>
        </w:rPr>
      </w:pPr>
      <w:r w:rsidRPr="005D21F3">
        <w:rPr>
          <w:rFonts w:ascii="Calibri"/>
          <w:color w:val="231F20"/>
          <w:spacing w:val="-1"/>
        </w:rPr>
        <w:t>Seasonal</w:t>
      </w:r>
      <w:r w:rsidRPr="005D21F3">
        <w:rPr>
          <w:rFonts w:ascii="Calibri"/>
          <w:color w:val="231F20"/>
          <w:spacing w:val="19"/>
        </w:rPr>
        <w:t xml:space="preserve"> </w:t>
      </w:r>
      <w:r w:rsidRPr="005D21F3">
        <w:rPr>
          <w:rFonts w:ascii="Calibri"/>
          <w:color w:val="231F20"/>
        </w:rPr>
        <w:t>influenza</w:t>
      </w:r>
      <w:r w:rsidRPr="005D21F3">
        <w:rPr>
          <w:rFonts w:ascii="Calibri"/>
          <w:color w:val="231F20"/>
          <w:spacing w:val="20"/>
        </w:rPr>
        <w:t xml:space="preserve"> </w:t>
      </w:r>
      <w:r w:rsidRPr="005D21F3">
        <w:rPr>
          <w:rFonts w:ascii="Calibri"/>
          <w:color w:val="231F20"/>
          <w:spacing w:val="-1"/>
        </w:rPr>
        <w:t>vaccine</w:t>
      </w:r>
      <w:r w:rsidRPr="005D21F3">
        <w:rPr>
          <w:rFonts w:ascii="Calibri"/>
          <w:color w:val="231F20"/>
          <w:spacing w:val="20"/>
        </w:rPr>
        <w:t xml:space="preserve"> </w:t>
      </w:r>
      <w:r w:rsidRPr="005D21F3">
        <w:rPr>
          <w:rFonts w:ascii="Calibri"/>
          <w:color w:val="231F20"/>
          <w:spacing w:val="-1"/>
        </w:rPr>
        <w:t>production</w:t>
      </w:r>
      <w:r w:rsidRPr="005D21F3">
        <w:rPr>
          <w:rFonts w:ascii="Calibri"/>
          <w:color w:val="231F20"/>
          <w:spacing w:val="19"/>
        </w:rPr>
        <w:t xml:space="preserve"> </w:t>
      </w:r>
      <w:r w:rsidRPr="005D21F3">
        <w:rPr>
          <w:rFonts w:ascii="Calibri"/>
          <w:color w:val="231F20"/>
        </w:rPr>
        <w:t>and</w:t>
      </w:r>
      <w:r w:rsidRPr="005D21F3">
        <w:rPr>
          <w:rFonts w:ascii="Calibri"/>
          <w:color w:val="231F20"/>
          <w:spacing w:val="20"/>
        </w:rPr>
        <w:t xml:space="preserve"> </w:t>
      </w:r>
      <w:r w:rsidRPr="005D21F3">
        <w:rPr>
          <w:rFonts w:ascii="Calibri"/>
          <w:color w:val="231F20"/>
        </w:rPr>
        <w:t>campaign</w:t>
      </w:r>
      <w:r w:rsidRPr="005D21F3">
        <w:rPr>
          <w:rFonts w:ascii="Calibri"/>
          <w:color w:val="231F20"/>
          <w:spacing w:val="20"/>
        </w:rPr>
        <w:t xml:space="preserve"> </w:t>
      </w:r>
      <w:r w:rsidRPr="005D21F3">
        <w:rPr>
          <w:rFonts w:ascii="Calibri"/>
          <w:color w:val="231F20"/>
          <w:spacing w:val="-1"/>
        </w:rPr>
        <w:t>may</w:t>
      </w:r>
      <w:r w:rsidRPr="005D21F3">
        <w:rPr>
          <w:rFonts w:ascii="Calibri"/>
          <w:color w:val="231F20"/>
          <w:spacing w:val="20"/>
        </w:rPr>
        <w:t xml:space="preserve"> </w:t>
      </w:r>
      <w:r w:rsidRPr="005D21F3">
        <w:rPr>
          <w:rFonts w:ascii="Calibri"/>
          <w:color w:val="231F20"/>
        </w:rPr>
        <w:t>be</w:t>
      </w:r>
      <w:r w:rsidRPr="005D21F3">
        <w:rPr>
          <w:rFonts w:ascii="Calibri"/>
          <w:color w:val="231F20"/>
          <w:spacing w:val="19"/>
        </w:rPr>
        <w:t xml:space="preserve"> </w:t>
      </w:r>
      <w:r w:rsidRPr="005D21F3">
        <w:rPr>
          <w:rFonts w:ascii="Calibri"/>
          <w:color w:val="231F20"/>
        </w:rPr>
        <w:t>halted,</w:t>
      </w:r>
      <w:r w:rsidRPr="005D21F3">
        <w:rPr>
          <w:rFonts w:ascii="Calibri"/>
          <w:color w:val="231F20"/>
          <w:spacing w:val="20"/>
        </w:rPr>
        <w:t xml:space="preserve"> </w:t>
      </w:r>
      <w:r w:rsidRPr="005D21F3">
        <w:rPr>
          <w:rFonts w:ascii="Calibri"/>
          <w:color w:val="231F20"/>
        </w:rPr>
        <w:t>but</w:t>
      </w:r>
      <w:r w:rsidRPr="005D21F3">
        <w:rPr>
          <w:rFonts w:ascii="Calibri"/>
          <w:color w:val="231F20"/>
          <w:spacing w:val="20"/>
        </w:rPr>
        <w:t xml:space="preserve"> </w:t>
      </w:r>
      <w:r w:rsidRPr="005D21F3">
        <w:rPr>
          <w:rFonts w:ascii="Calibri"/>
          <w:color w:val="231F20"/>
          <w:spacing w:val="-1"/>
        </w:rPr>
        <w:t>other</w:t>
      </w:r>
      <w:r w:rsidRPr="005D21F3">
        <w:rPr>
          <w:rFonts w:ascii="Calibri"/>
          <w:color w:val="231F20"/>
          <w:spacing w:val="20"/>
        </w:rPr>
        <w:t xml:space="preserve"> </w:t>
      </w:r>
      <w:r w:rsidRPr="005D21F3">
        <w:rPr>
          <w:rFonts w:ascii="Calibri"/>
          <w:color w:val="231F20"/>
          <w:spacing w:val="-1"/>
        </w:rPr>
        <w:t>routine</w:t>
      </w:r>
      <w:r w:rsidRPr="005D21F3">
        <w:rPr>
          <w:rFonts w:ascii="Calibri"/>
          <w:color w:val="231F20"/>
          <w:spacing w:val="19"/>
        </w:rPr>
        <w:t xml:space="preserve"> </w:t>
      </w:r>
      <w:r w:rsidRPr="005D21F3">
        <w:rPr>
          <w:rFonts w:ascii="Calibri"/>
          <w:color w:val="231F20"/>
          <w:spacing w:val="-2"/>
        </w:rPr>
        <w:t>imm</w:t>
      </w:r>
      <w:r w:rsidRPr="005D21F3">
        <w:rPr>
          <w:rFonts w:ascii="Calibri"/>
          <w:color w:val="231F20"/>
          <w:spacing w:val="-1"/>
        </w:rPr>
        <w:t>unizations</w:t>
      </w:r>
      <w:r w:rsidRPr="005D21F3">
        <w:rPr>
          <w:rFonts w:ascii="Calibri"/>
          <w:color w:val="231F20"/>
          <w:spacing w:val="20"/>
        </w:rPr>
        <w:t xml:space="preserve"> </w:t>
      </w:r>
      <w:r w:rsidRPr="005D21F3">
        <w:rPr>
          <w:rFonts w:ascii="Calibri"/>
          <w:color w:val="231F20"/>
        </w:rPr>
        <w:t>will</w:t>
      </w:r>
      <w:r w:rsidRPr="005D21F3">
        <w:rPr>
          <w:rFonts w:ascii="Calibri"/>
          <w:color w:val="231F20"/>
          <w:spacing w:val="73"/>
          <w:w w:val="99"/>
        </w:rPr>
        <w:t xml:space="preserve"> </w:t>
      </w:r>
      <w:r w:rsidRPr="005D21F3">
        <w:rPr>
          <w:rFonts w:ascii="Calibri"/>
          <w:color w:val="231F20"/>
          <w:spacing w:val="-1"/>
        </w:rPr>
        <w:t>continue</w:t>
      </w:r>
    </w:p>
    <w:p w14:paraId="5F870846" w14:textId="08B22597" w:rsidR="00EC5B49" w:rsidRPr="005D21F3" w:rsidRDefault="00EC5B49" w:rsidP="00EC5B49">
      <w:pPr>
        <w:widowControl w:val="0"/>
        <w:numPr>
          <w:ilvl w:val="0"/>
          <w:numId w:val="90"/>
        </w:numPr>
        <w:tabs>
          <w:tab w:val="left" w:pos="-450"/>
        </w:tabs>
        <w:spacing w:before="61" w:after="0" w:line="240" w:lineRule="auto"/>
        <w:rPr>
          <w:rFonts w:ascii="Calibri" w:eastAsia="Calibri" w:hAnsi="Calibri" w:cs="Calibri"/>
        </w:rPr>
      </w:pPr>
      <w:r w:rsidRPr="005D21F3">
        <w:rPr>
          <w:rFonts w:ascii="Calibri"/>
          <w:color w:val="231F20"/>
          <w:spacing w:val="-1"/>
        </w:rPr>
        <w:t>Adequate</w:t>
      </w:r>
      <w:r w:rsidRPr="005D21F3">
        <w:rPr>
          <w:rFonts w:ascii="Calibri"/>
          <w:color w:val="231F20"/>
          <w:spacing w:val="25"/>
        </w:rPr>
        <w:t xml:space="preserve"> </w:t>
      </w:r>
      <w:r w:rsidRPr="005D21F3">
        <w:rPr>
          <w:rFonts w:ascii="Calibri"/>
          <w:color w:val="231F20"/>
          <w:spacing w:val="-2"/>
        </w:rPr>
        <w:t>federal</w:t>
      </w:r>
      <w:r w:rsidRPr="005D21F3">
        <w:rPr>
          <w:rFonts w:ascii="Calibri"/>
          <w:color w:val="231F20"/>
          <w:spacing w:val="26"/>
        </w:rPr>
        <w:t xml:space="preserve"> </w:t>
      </w:r>
      <w:r w:rsidRPr="005D21F3">
        <w:rPr>
          <w:rFonts w:ascii="Calibri"/>
          <w:color w:val="231F20"/>
        </w:rPr>
        <w:t>funding</w:t>
      </w:r>
      <w:r w:rsidRPr="005D21F3">
        <w:rPr>
          <w:rFonts w:ascii="Calibri"/>
          <w:color w:val="231F20"/>
          <w:spacing w:val="26"/>
        </w:rPr>
        <w:t xml:space="preserve"> </w:t>
      </w:r>
      <w:r w:rsidRPr="005D21F3">
        <w:rPr>
          <w:rFonts w:ascii="Calibri"/>
          <w:color w:val="231F20"/>
        </w:rPr>
        <w:t>will</w:t>
      </w:r>
      <w:r w:rsidRPr="005D21F3">
        <w:rPr>
          <w:rFonts w:ascii="Calibri"/>
          <w:color w:val="231F20"/>
          <w:spacing w:val="26"/>
        </w:rPr>
        <w:t xml:space="preserve"> </w:t>
      </w:r>
      <w:r w:rsidRPr="005D21F3">
        <w:rPr>
          <w:rFonts w:ascii="Calibri"/>
          <w:color w:val="231F20"/>
        </w:rPr>
        <w:t>be</w:t>
      </w:r>
      <w:r w:rsidRPr="005D21F3">
        <w:rPr>
          <w:rFonts w:ascii="Calibri"/>
          <w:color w:val="231F20"/>
          <w:spacing w:val="25"/>
        </w:rPr>
        <w:t xml:space="preserve"> </w:t>
      </w:r>
      <w:r w:rsidRPr="005D21F3">
        <w:rPr>
          <w:rFonts w:ascii="Calibri"/>
          <w:color w:val="231F20"/>
          <w:spacing w:val="-1"/>
        </w:rPr>
        <w:t>available</w:t>
      </w:r>
      <w:r w:rsidRPr="005D21F3">
        <w:rPr>
          <w:rFonts w:ascii="Calibri"/>
          <w:color w:val="231F20"/>
          <w:spacing w:val="26"/>
        </w:rPr>
        <w:t xml:space="preserve"> </w:t>
      </w:r>
      <w:r w:rsidRPr="005D21F3">
        <w:rPr>
          <w:rFonts w:ascii="Calibri"/>
          <w:color w:val="231F20"/>
          <w:spacing w:val="-1"/>
        </w:rPr>
        <w:t>to</w:t>
      </w:r>
      <w:r w:rsidRPr="005D21F3">
        <w:rPr>
          <w:rFonts w:ascii="Calibri"/>
          <w:color w:val="231F20"/>
          <w:spacing w:val="26"/>
        </w:rPr>
        <w:t xml:space="preserve"> </w:t>
      </w:r>
      <w:r w:rsidRPr="005D21F3">
        <w:rPr>
          <w:rFonts w:ascii="Calibri"/>
          <w:color w:val="231F20"/>
        </w:rPr>
        <w:t>implement</w:t>
      </w:r>
      <w:r w:rsidRPr="005D21F3">
        <w:rPr>
          <w:rFonts w:ascii="Calibri"/>
          <w:color w:val="231F20"/>
          <w:spacing w:val="26"/>
        </w:rPr>
        <w:t xml:space="preserve"> </w:t>
      </w:r>
      <w:r w:rsidRPr="005D21F3">
        <w:rPr>
          <w:rFonts w:ascii="Calibri"/>
          <w:color w:val="231F20"/>
        </w:rPr>
        <w:t>a</w:t>
      </w:r>
      <w:r w:rsidRPr="005D21F3">
        <w:rPr>
          <w:rFonts w:ascii="Calibri"/>
          <w:color w:val="231F20"/>
          <w:spacing w:val="25"/>
        </w:rPr>
        <w:t xml:space="preserve"> </w:t>
      </w:r>
      <w:r w:rsidRPr="005D21F3">
        <w:rPr>
          <w:rFonts w:ascii="Calibri"/>
          <w:color w:val="231F20"/>
          <w:spacing w:val="-1"/>
        </w:rPr>
        <w:t>large-scale</w:t>
      </w:r>
      <w:r w:rsidRPr="005D21F3">
        <w:rPr>
          <w:rFonts w:ascii="Calibri"/>
          <w:color w:val="231F20"/>
          <w:spacing w:val="26"/>
        </w:rPr>
        <w:t xml:space="preserve"> </w:t>
      </w:r>
      <w:r w:rsidRPr="005D21F3">
        <w:rPr>
          <w:rFonts w:ascii="Calibri"/>
          <w:color w:val="231F20"/>
        </w:rPr>
        <w:t>pandemic</w:t>
      </w:r>
      <w:r w:rsidRPr="005D21F3">
        <w:rPr>
          <w:rFonts w:ascii="Calibri"/>
          <w:color w:val="231F20"/>
          <w:spacing w:val="26"/>
        </w:rPr>
        <w:t xml:space="preserve"> </w:t>
      </w:r>
      <w:r w:rsidRPr="005D21F3">
        <w:rPr>
          <w:rFonts w:ascii="Calibri"/>
          <w:color w:val="231F20"/>
          <w:spacing w:val="-1"/>
        </w:rPr>
        <w:t>vaccination</w:t>
      </w:r>
      <w:r w:rsidRPr="005D21F3">
        <w:rPr>
          <w:rFonts w:ascii="Calibri"/>
          <w:color w:val="231F20"/>
          <w:spacing w:val="26"/>
        </w:rPr>
        <w:t xml:space="preserve"> </w:t>
      </w:r>
      <w:r w:rsidRPr="005D21F3">
        <w:rPr>
          <w:rFonts w:ascii="Calibri"/>
          <w:color w:val="231F20"/>
          <w:spacing w:val="-1"/>
        </w:rPr>
        <w:t>response</w:t>
      </w:r>
    </w:p>
    <w:p w14:paraId="5A553EE5" w14:textId="3558BD51" w:rsidR="00EC5B49" w:rsidRPr="005D21F3" w:rsidRDefault="00EC5B49" w:rsidP="00EC5B49">
      <w:pPr>
        <w:widowControl w:val="0"/>
        <w:numPr>
          <w:ilvl w:val="0"/>
          <w:numId w:val="90"/>
        </w:numPr>
        <w:tabs>
          <w:tab w:val="left" w:pos="1050"/>
        </w:tabs>
        <w:spacing w:before="109" w:after="0" w:line="240" w:lineRule="auto"/>
        <w:ind w:right="428"/>
        <w:rPr>
          <w:rFonts w:ascii="Calibri" w:eastAsia="Calibri" w:hAnsi="Calibri" w:cs="Calibri"/>
        </w:rPr>
      </w:pPr>
      <w:r w:rsidRPr="005D21F3">
        <w:t>Mass vaccination clinics will be used more extensively than for H1N1</w:t>
      </w:r>
    </w:p>
    <w:p w14:paraId="135AAC63" w14:textId="28638D64" w:rsidR="00EC5B49" w:rsidRPr="005D21F3" w:rsidRDefault="00EC5B49" w:rsidP="00EC5B49">
      <w:pPr>
        <w:widowControl w:val="0"/>
        <w:numPr>
          <w:ilvl w:val="0"/>
          <w:numId w:val="90"/>
        </w:numPr>
        <w:tabs>
          <w:tab w:val="left" w:pos="1050"/>
        </w:tabs>
        <w:spacing w:before="109" w:after="0" w:line="240" w:lineRule="auto"/>
        <w:ind w:right="880"/>
        <w:rPr>
          <w:rFonts w:ascii="Calibri" w:eastAsia="Calibri" w:hAnsi="Calibri" w:cs="Calibri"/>
        </w:rPr>
      </w:pPr>
      <w:r w:rsidRPr="005D21F3">
        <w:rPr>
          <w:rFonts w:ascii="Calibri"/>
          <w:color w:val="231F20"/>
        </w:rPr>
        <w:t>HHS</w:t>
      </w:r>
      <w:r w:rsidRPr="005D21F3">
        <w:rPr>
          <w:rFonts w:ascii="Calibri"/>
          <w:color w:val="231F20"/>
          <w:spacing w:val="24"/>
        </w:rPr>
        <w:t xml:space="preserve"> </w:t>
      </w:r>
      <w:r w:rsidRPr="005D21F3">
        <w:rPr>
          <w:rFonts w:ascii="Calibri"/>
          <w:color w:val="231F20"/>
        </w:rPr>
        <w:t>will</w:t>
      </w:r>
      <w:r w:rsidRPr="005D21F3">
        <w:rPr>
          <w:rFonts w:ascii="Calibri"/>
          <w:color w:val="231F20"/>
          <w:spacing w:val="24"/>
        </w:rPr>
        <w:t xml:space="preserve"> </w:t>
      </w:r>
      <w:r w:rsidRPr="005D21F3">
        <w:rPr>
          <w:rFonts w:ascii="Calibri"/>
          <w:color w:val="231F20"/>
          <w:spacing w:val="-2"/>
        </w:rPr>
        <w:t>w</w:t>
      </w:r>
      <w:r w:rsidRPr="005D21F3">
        <w:rPr>
          <w:rFonts w:ascii="Calibri"/>
          <w:color w:val="231F20"/>
          <w:spacing w:val="-1"/>
        </w:rPr>
        <w:t>ork</w:t>
      </w:r>
      <w:r w:rsidRPr="005D21F3">
        <w:rPr>
          <w:rFonts w:ascii="Calibri"/>
          <w:color w:val="231F20"/>
          <w:spacing w:val="25"/>
        </w:rPr>
        <w:t xml:space="preserve"> </w:t>
      </w:r>
      <w:r w:rsidRPr="005D21F3">
        <w:rPr>
          <w:rFonts w:ascii="Calibri"/>
          <w:color w:val="231F20"/>
        </w:rPr>
        <w:t>with</w:t>
      </w:r>
      <w:r w:rsidRPr="005D21F3">
        <w:rPr>
          <w:rFonts w:ascii="Calibri"/>
          <w:color w:val="231F20"/>
          <w:spacing w:val="24"/>
        </w:rPr>
        <w:t xml:space="preserve"> </w:t>
      </w:r>
      <w:r w:rsidRPr="005D21F3">
        <w:rPr>
          <w:rFonts w:ascii="Calibri"/>
          <w:color w:val="231F20"/>
          <w:spacing w:val="-1"/>
        </w:rPr>
        <w:t>partner</w:t>
      </w:r>
      <w:r w:rsidRPr="005D21F3">
        <w:rPr>
          <w:rFonts w:ascii="Calibri"/>
          <w:color w:val="231F20"/>
          <w:spacing w:val="-2"/>
        </w:rPr>
        <w:t>s,</w:t>
      </w:r>
      <w:r w:rsidRPr="005D21F3">
        <w:rPr>
          <w:rFonts w:ascii="Calibri"/>
          <w:color w:val="231F20"/>
          <w:spacing w:val="24"/>
        </w:rPr>
        <w:t xml:space="preserve"> </w:t>
      </w:r>
      <w:r w:rsidRPr="005D21F3">
        <w:rPr>
          <w:rFonts w:ascii="Calibri"/>
          <w:color w:val="231F20"/>
        </w:rPr>
        <w:t>including</w:t>
      </w:r>
      <w:r w:rsidRPr="005D21F3">
        <w:rPr>
          <w:rFonts w:ascii="Calibri"/>
          <w:color w:val="231F20"/>
          <w:spacing w:val="25"/>
        </w:rPr>
        <w:t xml:space="preserve"> </w:t>
      </w:r>
      <w:r w:rsidRPr="005D21F3">
        <w:rPr>
          <w:rFonts w:ascii="Calibri"/>
          <w:color w:val="231F20"/>
          <w:spacing w:val="-1"/>
        </w:rPr>
        <w:t>vaccine</w:t>
      </w:r>
      <w:r w:rsidRPr="005D21F3">
        <w:rPr>
          <w:rFonts w:ascii="Calibri"/>
          <w:color w:val="231F20"/>
          <w:spacing w:val="24"/>
        </w:rPr>
        <w:t xml:space="preserve"> </w:t>
      </w:r>
      <w:r w:rsidRPr="005D21F3">
        <w:rPr>
          <w:rFonts w:ascii="Calibri"/>
          <w:color w:val="231F20"/>
          <w:spacing w:val="-1"/>
        </w:rPr>
        <w:t>manufacturer</w:t>
      </w:r>
      <w:r w:rsidRPr="005D21F3">
        <w:rPr>
          <w:rFonts w:ascii="Calibri"/>
          <w:color w:val="231F20"/>
          <w:spacing w:val="-2"/>
        </w:rPr>
        <w:t>s,</w:t>
      </w:r>
      <w:r w:rsidRPr="005D21F3">
        <w:rPr>
          <w:rFonts w:ascii="Calibri"/>
          <w:color w:val="231F20"/>
          <w:spacing w:val="24"/>
        </w:rPr>
        <w:t xml:space="preserve"> </w:t>
      </w:r>
      <w:r w:rsidRPr="005D21F3">
        <w:rPr>
          <w:rFonts w:ascii="Calibri"/>
          <w:color w:val="231F20"/>
          <w:spacing w:val="-1"/>
        </w:rPr>
        <w:t>to</w:t>
      </w:r>
      <w:r w:rsidRPr="005D21F3">
        <w:rPr>
          <w:rFonts w:ascii="Calibri"/>
          <w:color w:val="231F20"/>
          <w:spacing w:val="25"/>
        </w:rPr>
        <w:t xml:space="preserve"> </w:t>
      </w:r>
      <w:r w:rsidRPr="005D21F3">
        <w:rPr>
          <w:rFonts w:ascii="Calibri"/>
          <w:color w:val="231F20"/>
          <w:spacing w:val="-2"/>
        </w:rPr>
        <w:t>develop</w:t>
      </w:r>
      <w:r w:rsidRPr="005D21F3">
        <w:rPr>
          <w:rFonts w:ascii="Calibri"/>
          <w:color w:val="231F20"/>
          <w:spacing w:val="24"/>
        </w:rPr>
        <w:t xml:space="preserve"> </w:t>
      </w:r>
      <w:r w:rsidRPr="005D21F3">
        <w:rPr>
          <w:rFonts w:ascii="Calibri"/>
          <w:color w:val="231F20"/>
        </w:rPr>
        <w:t>pandemic</w:t>
      </w:r>
      <w:r w:rsidRPr="005D21F3">
        <w:rPr>
          <w:rFonts w:ascii="Calibri"/>
          <w:color w:val="231F20"/>
          <w:spacing w:val="25"/>
        </w:rPr>
        <w:t xml:space="preserve"> </w:t>
      </w:r>
      <w:r w:rsidRPr="005D21F3">
        <w:rPr>
          <w:rFonts w:ascii="Calibri"/>
          <w:color w:val="231F20"/>
          <w:spacing w:val="-1"/>
        </w:rPr>
        <w:t>vaccine</w:t>
      </w:r>
      <w:r w:rsidRPr="005D21F3">
        <w:rPr>
          <w:rFonts w:ascii="Calibri"/>
          <w:color w:val="231F20"/>
          <w:spacing w:val="24"/>
        </w:rPr>
        <w:t xml:space="preserve"> </w:t>
      </w:r>
      <w:r w:rsidRPr="005D21F3">
        <w:rPr>
          <w:rFonts w:ascii="Calibri"/>
          <w:color w:val="231F20"/>
          <w:spacing w:val="-1"/>
        </w:rPr>
        <w:t>matched</w:t>
      </w:r>
      <w:r w:rsidRPr="005D21F3">
        <w:rPr>
          <w:rFonts w:ascii="Calibri"/>
          <w:color w:val="231F20"/>
          <w:spacing w:val="24"/>
        </w:rPr>
        <w:t xml:space="preserve"> </w:t>
      </w:r>
      <w:r w:rsidRPr="005D21F3">
        <w:rPr>
          <w:rFonts w:ascii="Calibri"/>
          <w:color w:val="231F20"/>
          <w:spacing w:val="-1"/>
        </w:rPr>
        <w:t>to</w:t>
      </w:r>
      <w:r w:rsidRPr="005D21F3">
        <w:rPr>
          <w:rFonts w:ascii="Calibri"/>
          <w:color w:val="231F20"/>
          <w:spacing w:val="25"/>
        </w:rPr>
        <w:t xml:space="preserve"> </w:t>
      </w:r>
      <w:r w:rsidRPr="005D21F3">
        <w:rPr>
          <w:rFonts w:ascii="Calibri"/>
          <w:color w:val="231F20"/>
        </w:rPr>
        <w:t>the</w:t>
      </w:r>
      <w:r w:rsidRPr="005D21F3">
        <w:rPr>
          <w:rFonts w:ascii="Calibri"/>
          <w:color w:val="231F20"/>
          <w:spacing w:val="51"/>
          <w:w w:val="102"/>
        </w:rPr>
        <w:t xml:space="preserve"> </w:t>
      </w:r>
      <w:r w:rsidRPr="005D21F3">
        <w:rPr>
          <w:rFonts w:ascii="Calibri"/>
          <w:color w:val="231F20"/>
          <w:spacing w:val="-1"/>
        </w:rPr>
        <w:t>emerging</w:t>
      </w:r>
      <w:r w:rsidRPr="005D21F3">
        <w:rPr>
          <w:rFonts w:ascii="Calibri"/>
          <w:color w:val="231F20"/>
          <w:spacing w:val="20"/>
        </w:rPr>
        <w:t xml:space="preserve"> </w:t>
      </w:r>
      <w:r w:rsidRPr="005D21F3">
        <w:rPr>
          <w:rFonts w:ascii="Calibri"/>
          <w:color w:val="231F20"/>
          <w:spacing w:val="-1"/>
        </w:rPr>
        <w:t>circulating</w:t>
      </w:r>
      <w:r w:rsidRPr="005D21F3">
        <w:rPr>
          <w:rFonts w:ascii="Calibri"/>
          <w:color w:val="231F20"/>
          <w:spacing w:val="20"/>
        </w:rPr>
        <w:t xml:space="preserve"> </w:t>
      </w:r>
      <w:r w:rsidRPr="005D21F3">
        <w:rPr>
          <w:rFonts w:ascii="Calibri"/>
          <w:color w:val="231F20"/>
          <w:spacing w:val="-1"/>
        </w:rPr>
        <w:t>strain</w:t>
      </w:r>
      <w:r w:rsidRPr="005D21F3">
        <w:rPr>
          <w:rFonts w:ascii="Calibri"/>
          <w:color w:val="231F20"/>
          <w:spacing w:val="20"/>
        </w:rPr>
        <w:t xml:space="preserve"> </w:t>
      </w:r>
      <w:r w:rsidRPr="005D21F3">
        <w:rPr>
          <w:rFonts w:ascii="Calibri"/>
          <w:color w:val="231F20"/>
          <w:spacing w:val="-2"/>
        </w:rPr>
        <w:t>for</w:t>
      </w:r>
      <w:r w:rsidRPr="005D21F3">
        <w:rPr>
          <w:rFonts w:ascii="Calibri"/>
          <w:color w:val="231F20"/>
          <w:spacing w:val="21"/>
        </w:rPr>
        <w:t xml:space="preserve"> </w:t>
      </w:r>
      <w:r w:rsidRPr="005D21F3">
        <w:rPr>
          <w:rFonts w:ascii="Calibri"/>
          <w:color w:val="231F20"/>
        </w:rPr>
        <w:t>the</w:t>
      </w:r>
      <w:r w:rsidRPr="005D21F3">
        <w:rPr>
          <w:rFonts w:ascii="Calibri"/>
          <w:color w:val="231F20"/>
          <w:spacing w:val="20"/>
        </w:rPr>
        <w:t xml:space="preserve"> </w:t>
      </w:r>
      <w:r w:rsidRPr="005D21F3">
        <w:rPr>
          <w:rFonts w:ascii="Calibri"/>
          <w:color w:val="231F20"/>
          <w:spacing w:val="-1"/>
        </w:rPr>
        <w:t>entire</w:t>
      </w:r>
      <w:r w:rsidRPr="005D21F3">
        <w:rPr>
          <w:rFonts w:ascii="Calibri"/>
          <w:color w:val="231F20"/>
          <w:spacing w:val="20"/>
        </w:rPr>
        <w:t xml:space="preserve"> </w:t>
      </w:r>
      <w:r w:rsidRPr="005D21F3">
        <w:rPr>
          <w:rFonts w:ascii="Calibri"/>
          <w:color w:val="231F20"/>
        </w:rPr>
        <w:t>US</w:t>
      </w:r>
      <w:r w:rsidRPr="005D21F3">
        <w:rPr>
          <w:rFonts w:ascii="Calibri"/>
          <w:color w:val="231F20"/>
          <w:spacing w:val="21"/>
        </w:rPr>
        <w:t xml:space="preserve"> </w:t>
      </w:r>
      <w:r w:rsidRPr="005D21F3">
        <w:rPr>
          <w:rFonts w:ascii="Calibri"/>
          <w:color w:val="231F20"/>
        </w:rPr>
        <w:t>population;</w:t>
      </w:r>
      <w:r w:rsidRPr="005D21F3">
        <w:rPr>
          <w:rFonts w:ascii="Calibri"/>
          <w:color w:val="231F20"/>
          <w:spacing w:val="20"/>
        </w:rPr>
        <w:t xml:space="preserve"> </w:t>
      </w:r>
      <w:r w:rsidRPr="005D21F3">
        <w:rPr>
          <w:rFonts w:ascii="Calibri"/>
          <w:color w:val="231F20"/>
          <w:spacing w:val="-4"/>
        </w:rPr>
        <w:t>ho</w:t>
      </w:r>
      <w:r w:rsidRPr="005D21F3">
        <w:rPr>
          <w:rFonts w:ascii="Calibri"/>
          <w:color w:val="231F20"/>
          <w:spacing w:val="-5"/>
        </w:rPr>
        <w:t>w</w:t>
      </w:r>
      <w:r w:rsidRPr="005D21F3">
        <w:rPr>
          <w:rFonts w:ascii="Calibri"/>
          <w:color w:val="231F20"/>
          <w:spacing w:val="-4"/>
        </w:rPr>
        <w:t>ever</w:t>
      </w:r>
      <w:r w:rsidRPr="005D21F3">
        <w:rPr>
          <w:rFonts w:ascii="Calibri"/>
          <w:color w:val="231F20"/>
          <w:spacing w:val="-5"/>
        </w:rPr>
        <w:t>,</w:t>
      </w:r>
      <w:r w:rsidRPr="005D21F3">
        <w:rPr>
          <w:rFonts w:ascii="Calibri"/>
          <w:color w:val="231F20"/>
          <w:spacing w:val="20"/>
        </w:rPr>
        <w:t xml:space="preserve"> </w:t>
      </w:r>
      <w:r w:rsidRPr="005D21F3">
        <w:rPr>
          <w:rFonts w:ascii="Calibri"/>
          <w:color w:val="231F20"/>
          <w:spacing w:val="-1"/>
        </w:rPr>
        <w:t>there</w:t>
      </w:r>
      <w:r w:rsidRPr="005D21F3">
        <w:rPr>
          <w:rFonts w:ascii="Calibri"/>
          <w:color w:val="231F20"/>
          <w:spacing w:val="21"/>
        </w:rPr>
        <w:t xml:space="preserve"> </w:t>
      </w:r>
      <w:r w:rsidRPr="005D21F3">
        <w:rPr>
          <w:rFonts w:ascii="Calibri"/>
          <w:color w:val="231F20"/>
          <w:spacing w:val="-1"/>
        </w:rPr>
        <w:t>may</w:t>
      </w:r>
      <w:r w:rsidRPr="005D21F3">
        <w:rPr>
          <w:rFonts w:ascii="Calibri"/>
          <w:color w:val="231F20"/>
          <w:spacing w:val="20"/>
        </w:rPr>
        <w:t xml:space="preserve"> </w:t>
      </w:r>
      <w:r w:rsidRPr="005D21F3">
        <w:rPr>
          <w:rFonts w:ascii="Calibri"/>
          <w:color w:val="231F20"/>
        </w:rPr>
        <w:t>be</w:t>
      </w:r>
      <w:r w:rsidRPr="005D21F3">
        <w:rPr>
          <w:rFonts w:ascii="Calibri"/>
          <w:color w:val="231F20"/>
          <w:spacing w:val="20"/>
        </w:rPr>
        <w:t xml:space="preserve"> </w:t>
      </w:r>
      <w:r w:rsidRPr="005D21F3">
        <w:rPr>
          <w:rFonts w:ascii="Calibri"/>
          <w:color w:val="231F20"/>
          <w:spacing w:val="-1"/>
        </w:rPr>
        <w:t>limited</w:t>
      </w:r>
      <w:r w:rsidRPr="005D21F3">
        <w:rPr>
          <w:rFonts w:ascii="Calibri"/>
          <w:color w:val="231F20"/>
          <w:spacing w:val="20"/>
        </w:rPr>
        <w:t xml:space="preserve"> </w:t>
      </w:r>
      <w:r w:rsidRPr="005D21F3">
        <w:rPr>
          <w:rFonts w:ascii="Calibri"/>
          <w:color w:val="231F20"/>
          <w:spacing w:val="-1"/>
        </w:rPr>
        <w:t>early</w:t>
      </w:r>
      <w:r w:rsidRPr="005D21F3">
        <w:rPr>
          <w:rFonts w:ascii="Calibri"/>
          <w:color w:val="231F20"/>
          <w:spacing w:val="21"/>
        </w:rPr>
        <w:t xml:space="preserve"> </w:t>
      </w:r>
      <w:r w:rsidRPr="005D21F3">
        <w:rPr>
          <w:rFonts w:ascii="Calibri"/>
          <w:color w:val="231F20"/>
          <w:spacing w:val="-1"/>
        </w:rPr>
        <w:t>supply</w:t>
      </w:r>
      <w:r w:rsidRPr="005D21F3">
        <w:rPr>
          <w:rFonts w:ascii="Calibri"/>
          <w:color w:val="231F20"/>
          <w:spacing w:val="20"/>
        </w:rPr>
        <w:t xml:space="preserve"> </w:t>
      </w:r>
      <w:r w:rsidRPr="005D21F3">
        <w:rPr>
          <w:rFonts w:ascii="Calibri"/>
          <w:color w:val="231F20"/>
          <w:spacing w:val="-2"/>
        </w:rPr>
        <w:t>of</w:t>
      </w:r>
      <w:r w:rsidRPr="005D21F3">
        <w:rPr>
          <w:rFonts w:ascii="Calibri"/>
          <w:color w:val="231F20"/>
          <w:spacing w:val="20"/>
        </w:rPr>
        <w:t xml:space="preserve"> </w:t>
      </w:r>
      <w:r w:rsidRPr="005D21F3">
        <w:rPr>
          <w:rFonts w:ascii="Calibri"/>
          <w:color w:val="231F20"/>
        </w:rPr>
        <w:t>this</w:t>
      </w:r>
      <w:r w:rsidRPr="005D21F3">
        <w:rPr>
          <w:rFonts w:ascii="Calibri"/>
          <w:color w:val="231F20"/>
          <w:spacing w:val="69"/>
          <w:w w:val="102"/>
        </w:rPr>
        <w:t xml:space="preserve"> </w:t>
      </w:r>
      <w:r w:rsidRPr="005D21F3">
        <w:rPr>
          <w:rFonts w:ascii="Calibri"/>
          <w:color w:val="231F20"/>
          <w:spacing w:val="-1"/>
        </w:rPr>
        <w:t>matched</w:t>
      </w:r>
      <w:r w:rsidRPr="005D21F3">
        <w:rPr>
          <w:rFonts w:ascii="Calibri"/>
          <w:color w:val="231F20"/>
          <w:spacing w:val="26"/>
        </w:rPr>
        <w:t xml:space="preserve"> </w:t>
      </w:r>
      <w:r w:rsidRPr="005D21F3">
        <w:rPr>
          <w:rFonts w:ascii="Calibri"/>
          <w:color w:val="231F20"/>
          <w:spacing w:val="-2"/>
        </w:rPr>
        <w:t>vaccine</w:t>
      </w:r>
    </w:p>
    <w:p w14:paraId="18941999" w14:textId="0E33FB51" w:rsidR="00EC5B49" w:rsidRPr="005D21F3" w:rsidRDefault="00EC5B49" w:rsidP="00EC5B49">
      <w:pPr>
        <w:widowControl w:val="0"/>
        <w:numPr>
          <w:ilvl w:val="0"/>
          <w:numId w:val="90"/>
        </w:numPr>
        <w:tabs>
          <w:tab w:val="left" w:pos="1050"/>
        </w:tabs>
        <w:spacing w:before="109" w:after="0" w:line="240" w:lineRule="auto"/>
        <w:ind w:right="880"/>
        <w:rPr>
          <w:w w:val="105"/>
        </w:rPr>
      </w:pPr>
      <w:r w:rsidRPr="005D21F3">
        <w:rPr>
          <w:rFonts w:ascii="Calibri"/>
          <w:color w:val="231F20"/>
          <w:spacing w:val="-10"/>
        </w:rPr>
        <w:t>Vaccination goals for the critical workforce, high risk groups and the general public will  tailored according to pandemic severity, transmissibility, vaccine supply and be in accordance with the latest guidance from CDC and HHS</w:t>
      </w:r>
    </w:p>
    <w:p w14:paraId="04A6CEF0" w14:textId="7B3CF890" w:rsidR="00EC5B49" w:rsidRPr="005D21F3" w:rsidRDefault="00EC5B49" w:rsidP="00EC5B49">
      <w:pPr>
        <w:widowControl w:val="0"/>
        <w:numPr>
          <w:ilvl w:val="0"/>
          <w:numId w:val="93"/>
        </w:numPr>
        <w:spacing w:before="120" w:after="0" w:line="240" w:lineRule="auto"/>
        <w:ind w:left="403"/>
        <w:rPr>
          <w:rFonts w:ascii="Calibri" w:eastAsia="Calibri" w:hAnsi="Calibri" w:cs="Calibri"/>
        </w:rPr>
      </w:pPr>
      <w:r w:rsidRPr="005D21F3">
        <w:rPr>
          <w:rFonts w:ascii="Calibri" w:eastAsia="Calibri" w:hAnsi="Calibri"/>
          <w:w w:val="105"/>
        </w:rPr>
        <w:t>I</w:t>
      </w:r>
      <w:r w:rsidRPr="005D21F3">
        <w:rPr>
          <w:rFonts w:ascii="Calibri" w:eastAsia="Calibri" w:hAnsi="Calibri"/>
          <w:spacing w:val="-2"/>
          <w:w w:val="105"/>
        </w:rPr>
        <w:t>n</w:t>
      </w:r>
      <w:r w:rsidRPr="005D21F3">
        <w:rPr>
          <w:rFonts w:ascii="Calibri" w:eastAsia="Calibri" w:hAnsi="Calibri"/>
          <w:spacing w:val="-7"/>
          <w:w w:val="105"/>
        </w:rPr>
        <w:t xml:space="preserve"> </w:t>
      </w:r>
      <w:r w:rsidRPr="005D21F3">
        <w:rPr>
          <w:rFonts w:ascii="Calibri" w:eastAsia="Calibri" w:hAnsi="Calibri"/>
          <w:w w:val="105"/>
        </w:rPr>
        <w:t>a</w:t>
      </w:r>
      <w:r w:rsidRPr="005D21F3">
        <w:rPr>
          <w:rFonts w:ascii="Calibri" w:eastAsia="Calibri" w:hAnsi="Calibri"/>
          <w:spacing w:val="-7"/>
          <w:w w:val="105"/>
        </w:rPr>
        <w:t xml:space="preserve"> </w:t>
      </w:r>
      <w:r w:rsidRPr="005D21F3">
        <w:rPr>
          <w:rFonts w:ascii="Calibri" w:eastAsia="Calibri" w:hAnsi="Calibri"/>
          <w:w w:val="105"/>
        </w:rPr>
        <w:t>sc</w:t>
      </w:r>
      <w:r w:rsidRPr="005D21F3">
        <w:rPr>
          <w:rFonts w:ascii="Calibri" w:eastAsia="Calibri" w:hAnsi="Calibri"/>
          <w:spacing w:val="-2"/>
          <w:w w:val="105"/>
        </w:rPr>
        <w:t>enario</w:t>
      </w:r>
      <w:r w:rsidRPr="005D21F3">
        <w:rPr>
          <w:rFonts w:ascii="Calibri" w:eastAsia="Calibri" w:hAnsi="Calibri"/>
          <w:spacing w:val="-6"/>
          <w:w w:val="105"/>
        </w:rPr>
        <w:t xml:space="preserve"> </w:t>
      </w:r>
      <w:r w:rsidRPr="005D21F3">
        <w:rPr>
          <w:rFonts w:ascii="Calibri" w:eastAsia="Calibri" w:hAnsi="Calibri"/>
          <w:spacing w:val="-2"/>
          <w:w w:val="105"/>
        </w:rPr>
        <w:t>wher</w:t>
      </w:r>
      <w:r w:rsidRPr="005D21F3">
        <w:rPr>
          <w:rFonts w:ascii="Calibri" w:eastAsia="Calibri" w:hAnsi="Calibri"/>
          <w:w w:val="105"/>
        </w:rPr>
        <w:t>e</w:t>
      </w:r>
      <w:r w:rsidRPr="005D21F3">
        <w:rPr>
          <w:rFonts w:ascii="Calibri" w:eastAsia="Calibri" w:hAnsi="Calibri"/>
          <w:spacing w:val="-7"/>
          <w:w w:val="105"/>
        </w:rPr>
        <w:t xml:space="preserve"> </w:t>
      </w:r>
      <w:r w:rsidRPr="005D21F3">
        <w:rPr>
          <w:rFonts w:ascii="Calibri" w:eastAsia="Calibri" w:hAnsi="Calibri"/>
          <w:w w:val="105"/>
        </w:rPr>
        <w:t>there</w:t>
      </w:r>
      <w:r w:rsidRPr="005D21F3">
        <w:rPr>
          <w:rFonts w:ascii="Calibri" w:eastAsia="Calibri" w:hAnsi="Calibri"/>
          <w:spacing w:val="-6"/>
          <w:w w:val="105"/>
        </w:rPr>
        <w:t xml:space="preserve"> </w:t>
      </w:r>
      <w:r w:rsidRPr="005D21F3">
        <w:rPr>
          <w:rFonts w:ascii="Calibri" w:eastAsia="Calibri" w:hAnsi="Calibri"/>
          <w:spacing w:val="-2"/>
          <w:w w:val="105"/>
        </w:rPr>
        <w:t>ma</w:t>
      </w:r>
      <w:r w:rsidRPr="005D21F3">
        <w:rPr>
          <w:rFonts w:ascii="Calibri" w:eastAsia="Calibri" w:hAnsi="Calibri"/>
          <w:w w:val="105"/>
        </w:rPr>
        <w:t>y</w:t>
      </w:r>
      <w:r w:rsidRPr="005D21F3">
        <w:rPr>
          <w:rFonts w:ascii="Calibri" w:eastAsia="Calibri" w:hAnsi="Calibri"/>
          <w:spacing w:val="-7"/>
          <w:w w:val="105"/>
        </w:rPr>
        <w:t xml:space="preserve"> </w:t>
      </w:r>
      <w:r w:rsidRPr="005D21F3">
        <w:rPr>
          <w:rFonts w:ascii="Calibri" w:eastAsia="Calibri" w:hAnsi="Calibri"/>
          <w:w w:val="105"/>
        </w:rPr>
        <w:t>be</w:t>
      </w:r>
      <w:r w:rsidRPr="005D21F3">
        <w:rPr>
          <w:rFonts w:ascii="Calibri" w:eastAsia="Calibri" w:hAnsi="Calibri"/>
          <w:spacing w:val="-7"/>
          <w:w w:val="105"/>
        </w:rPr>
        <w:t xml:space="preserve"> </w:t>
      </w:r>
      <w:r w:rsidRPr="005D21F3">
        <w:rPr>
          <w:rFonts w:ascii="Calibri" w:eastAsia="Calibri" w:hAnsi="Calibri"/>
          <w:w w:val="105"/>
        </w:rPr>
        <w:t>initial</w:t>
      </w:r>
      <w:r w:rsidRPr="005D21F3">
        <w:rPr>
          <w:rFonts w:ascii="Calibri" w:eastAsia="Calibri" w:hAnsi="Calibri"/>
          <w:spacing w:val="-6"/>
          <w:w w:val="105"/>
        </w:rPr>
        <w:t xml:space="preserve"> </w:t>
      </w:r>
      <w:r w:rsidRPr="005D21F3">
        <w:rPr>
          <w:rFonts w:ascii="Calibri" w:eastAsia="Calibri" w:hAnsi="Calibri"/>
          <w:spacing w:val="-2"/>
          <w:w w:val="105"/>
        </w:rPr>
        <w:t>limit</w:t>
      </w:r>
      <w:r w:rsidRPr="005D21F3">
        <w:rPr>
          <w:rFonts w:ascii="Calibri" w:eastAsia="Calibri" w:hAnsi="Calibri"/>
          <w:w w:val="105"/>
        </w:rPr>
        <w:t>ed</w:t>
      </w:r>
      <w:r w:rsidRPr="005D21F3">
        <w:rPr>
          <w:rFonts w:ascii="Calibri" w:eastAsia="Calibri" w:hAnsi="Calibri"/>
          <w:spacing w:val="-7"/>
          <w:w w:val="105"/>
        </w:rPr>
        <w:t xml:space="preserve"> </w:t>
      </w:r>
      <w:r w:rsidRPr="005D21F3">
        <w:rPr>
          <w:rFonts w:ascii="Calibri" w:eastAsia="Calibri" w:hAnsi="Calibri"/>
          <w:w w:val="105"/>
        </w:rPr>
        <w:t>supply</w:t>
      </w:r>
      <w:r w:rsidRPr="005D21F3">
        <w:rPr>
          <w:rFonts w:ascii="Calibri" w:eastAsia="Calibri" w:hAnsi="Calibri"/>
          <w:spacing w:val="-6"/>
          <w:w w:val="105"/>
        </w:rPr>
        <w:t xml:space="preserve"> </w:t>
      </w:r>
      <w:r w:rsidRPr="005D21F3">
        <w:rPr>
          <w:rFonts w:ascii="Calibri" w:eastAsia="Calibri" w:hAnsi="Calibri"/>
          <w:spacing w:val="-3"/>
          <w:w w:val="105"/>
        </w:rPr>
        <w:t>o</w:t>
      </w:r>
      <w:r w:rsidRPr="005D21F3">
        <w:rPr>
          <w:rFonts w:ascii="Calibri" w:eastAsia="Calibri" w:hAnsi="Calibri"/>
          <w:spacing w:val="-2"/>
          <w:w w:val="105"/>
        </w:rPr>
        <w:t>f</w:t>
      </w:r>
      <w:r w:rsidRPr="005D21F3">
        <w:rPr>
          <w:rFonts w:ascii="Calibri" w:eastAsia="Calibri" w:hAnsi="Calibri"/>
          <w:spacing w:val="-7"/>
          <w:w w:val="105"/>
        </w:rPr>
        <w:t xml:space="preserve"> </w:t>
      </w:r>
      <w:r w:rsidRPr="005D21F3">
        <w:rPr>
          <w:rFonts w:ascii="Calibri" w:eastAsia="Calibri" w:hAnsi="Calibri"/>
          <w:w w:val="105"/>
        </w:rPr>
        <w:t>vaccine</w:t>
      </w:r>
      <w:r w:rsidRPr="005D21F3">
        <w:rPr>
          <w:rFonts w:ascii="Calibri" w:eastAsia="Calibri" w:hAnsi="Calibri"/>
          <w:spacing w:val="-2"/>
          <w:w w:val="105"/>
        </w:rPr>
        <w:t>,</w:t>
      </w:r>
      <w:r w:rsidRPr="005D21F3">
        <w:rPr>
          <w:rFonts w:ascii="Calibri" w:eastAsia="Calibri" w:hAnsi="Calibri"/>
          <w:spacing w:val="-7"/>
          <w:w w:val="105"/>
        </w:rPr>
        <w:t xml:space="preserve"> </w:t>
      </w:r>
      <w:r w:rsidRPr="005D21F3">
        <w:rPr>
          <w:rFonts w:ascii="Calibri" w:eastAsia="Calibri" w:hAnsi="Calibri"/>
          <w:spacing w:val="-2"/>
          <w:w w:val="105"/>
        </w:rPr>
        <w:t>tar</w:t>
      </w:r>
      <w:r w:rsidRPr="005D21F3">
        <w:rPr>
          <w:rFonts w:ascii="Calibri" w:eastAsia="Calibri" w:hAnsi="Calibri"/>
          <w:w w:val="105"/>
        </w:rPr>
        <w:t>ge</w:t>
      </w:r>
      <w:r w:rsidRPr="005D21F3">
        <w:rPr>
          <w:rFonts w:ascii="Calibri" w:eastAsia="Calibri" w:hAnsi="Calibri"/>
          <w:spacing w:val="-2"/>
          <w:w w:val="105"/>
        </w:rPr>
        <w:t>t</w:t>
      </w:r>
      <w:r w:rsidRPr="005D21F3">
        <w:rPr>
          <w:rFonts w:ascii="Calibri" w:eastAsia="Calibri" w:hAnsi="Calibri"/>
          <w:w w:val="105"/>
        </w:rPr>
        <w:t>ed</w:t>
      </w:r>
      <w:r w:rsidRPr="005D21F3">
        <w:rPr>
          <w:rFonts w:ascii="Calibri" w:eastAsia="Calibri" w:hAnsi="Calibri"/>
          <w:spacing w:val="-6"/>
          <w:w w:val="105"/>
        </w:rPr>
        <w:t xml:space="preserve"> </w:t>
      </w:r>
      <w:r w:rsidRPr="005D21F3">
        <w:rPr>
          <w:rFonts w:ascii="Calibri" w:eastAsia="Calibri" w:hAnsi="Calibri"/>
          <w:w w:val="105"/>
        </w:rPr>
        <w:t>vac</w:t>
      </w:r>
      <w:r w:rsidRPr="005D21F3">
        <w:rPr>
          <w:rFonts w:ascii="Calibri" w:eastAsia="Calibri" w:hAnsi="Calibri"/>
          <w:spacing w:val="-2"/>
          <w:w w:val="105"/>
        </w:rPr>
        <w:t>cination</w:t>
      </w:r>
      <w:r w:rsidRPr="005D21F3">
        <w:rPr>
          <w:rFonts w:ascii="Calibri" w:eastAsia="Calibri" w:hAnsi="Calibri"/>
          <w:spacing w:val="-7"/>
          <w:w w:val="105"/>
        </w:rPr>
        <w:t xml:space="preserve"> </w:t>
      </w:r>
      <w:r w:rsidRPr="005D21F3">
        <w:rPr>
          <w:rFonts w:ascii="Calibri" w:eastAsia="Calibri" w:hAnsi="Calibri"/>
          <w:spacing w:val="-2"/>
          <w:w w:val="105"/>
        </w:rPr>
        <w:t>ma</w:t>
      </w:r>
      <w:r w:rsidRPr="005D21F3">
        <w:rPr>
          <w:rFonts w:ascii="Calibri" w:eastAsia="Calibri" w:hAnsi="Calibri"/>
          <w:w w:val="105"/>
        </w:rPr>
        <w:t>y</w:t>
      </w:r>
      <w:r w:rsidRPr="005D21F3">
        <w:rPr>
          <w:rFonts w:ascii="Calibri" w:eastAsia="Calibri" w:hAnsi="Calibri"/>
          <w:spacing w:val="-6"/>
          <w:w w:val="105"/>
        </w:rPr>
        <w:t xml:space="preserve"> </w:t>
      </w:r>
      <w:r w:rsidRPr="005D21F3">
        <w:rPr>
          <w:rFonts w:ascii="Calibri" w:eastAsia="Calibri" w:hAnsi="Calibri"/>
          <w:w w:val="105"/>
        </w:rPr>
        <w:t>be</w:t>
      </w:r>
      <w:r w:rsidRPr="005D21F3">
        <w:rPr>
          <w:rFonts w:ascii="Calibri" w:eastAsia="Calibri" w:hAnsi="Calibri"/>
          <w:spacing w:val="-7"/>
          <w:w w:val="105"/>
        </w:rPr>
        <w:t xml:space="preserve"> </w:t>
      </w:r>
      <w:r w:rsidRPr="005D21F3">
        <w:rPr>
          <w:rFonts w:ascii="Calibri" w:eastAsia="Calibri" w:hAnsi="Calibri"/>
          <w:w w:val="105"/>
        </w:rPr>
        <w:t>rec</w:t>
      </w:r>
      <w:r w:rsidRPr="005D21F3">
        <w:rPr>
          <w:rFonts w:ascii="Calibri" w:eastAsia="Calibri" w:hAnsi="Calibri"/>
          <w:spacing w:val="-2"/>
          <w:w w:val="105"/>
        </w:rPr>
        <w:t>ommended</w:t>
      </w:r>
      <w:r w:rsidRPr="005D21F3">
        <w:rPr>
          <w:rFonts w:ascii="Calibri" w:eastAsia="Calibri" w:hAnsi="Calibri"/>
          <w:spacing w:val="-7"/>
          <w:w w:val="105"/>
        </w:rPr>
        <w:t xml:space="preserve"> </w:t>
      </w:r>
      <w:r w:rsidRPr="005D21F3">
        <w:rPr>
          <w:rFonts w:ascii="Calibri" w:eastAsia="Calibri" w:hAnsi="Calibri"/>
          <w:spacing w:val="-2"/>
          <w:w w:val="105"/>
        </w:rPr>
        <w:t>for</w:t>
      </w:r>
      <w:r w:rsidRPr="005D21F3">
        <w:rPr>
          <w:rFonts w:ascii="Calibri" w:eastAsia="Calibri" w:hAnsi="Calibri"/>
          <w:spacing w:val="-5"/>
          <w:w w:val="105"/>
        </w:rPr>
        <w:t xml:space="preserve"> </w:t>
      </w:r>
      <w:r w:rsidRPr="005D21F3">
        <w:rPr>
          <w:rFonts w:ascii="Calibri" w:eastAsia="Calibri" w:hAnsi="Calibri"/>
          <w:w w:val="105"/>
        </w:rPr>
        <w:t>the</w:t>
      </w:r>
      <w:r w:rsidRPr="005D21F3">
        <w:rPr>
          <w:rFonts w:ascii="Calibri" w:eastAsia="Calibri" w:hAnsi="Calibri"/>
          <w:spacing w:val="-5"/>
          <w:w w:val="105"/>
        </w:rPr>
        <w:t xml:space="preserve"> </w:t>
      </w:r>
      <w:r w:rsidRPr="005D21F3">
        <w:rPr>
          <w:rFonts w:ascii="Calibri" w:eastAsia="Calibri" w:hAnsi="Calibri"/>
          <w:spacing w:val="-2"/>
          <w:w w:val="105"/>
        </w:rPr>
        <w:t>fir</w:t>
      </w:r>
      <w:r w:rsidRPr="005D21F3">
        <w:rPr>
          <w:rFonts w:ascii="Calibri" w:eastAsia="Calibri" w:hAnsi="Calibri"/>
          <w:w w:val="105"/>
        </w:rPr>
        <w:t>s</w:t>
      </w:r>
      <w:r w:rsidRPr="005D21F3">
        <w:rPr>
          <w:rFonts w:ascii="Calibri" w:eastAsia="Calibri" w:hAnsi="Calibri"/>
          <w:spacing w:val="-2"/>
          <w:w w:val="105"/>
        </w:rPr>
        <w:t>t</w:t>
      </w:r>
      <w:r w:rsidRPr="005D21F3">
        <w:rPr>
          <w:rFonts w:ascii="Calibri" w:eastAsia="Calibri" w:hAnsi="Calibri"/>
          <w:spacing w:val="-6"/>
          <w:w w:val="105"/>
        </w:rPr>
        <w:t xml:space="preserve"> </w:t>
      </w:r>
      <w:r w:rsidRPr="005D21F3">
        <w:rPr>
          <w:rFonts w:ascii="Calibri" w:eastAsia="Calibri" w:hAnsi="Calibri"/>
          <w:w w:val="105"/>
        </w:rPr>
        <w:t>s</w:t>
      </w:r>
      <w:r w:rsidRPr="005D21F3">
        <w:rPr>
          <w:rFonts w:ascii="Calibri" w:eastAsia="Calibri" w:hAnsi="Calibri"/>
          <w:spacing w:val="-2"/>
          <w:w w:val="105"/>
        </w:rPr>
        <w:t>t</w:t>
      </w:r>
      <w:r w:rsidRPr="005D21F3">
        <w:rPr>
          <w:rFonts w:ascii="Calibri" w:eastAsia="Calibri" w:hAnsi="Calibri"/>
          <w:w w:val="105"/>
        </w:rPr>
        <w:t>ages</w:t>
      </w:r>
      <w:r w:rsidRPr="005D21F3">
        <w:rPr>
          <w:rFonts w:ascii="Calibri" w:eastAsia="Calibri" w:hAnsi="Calibri"/>
          <w:spacing w:val="-5"/>
          <w:w w:val="105"/>
        </w:rPr>
        <w:t xml:space="preserve"> </w:t>
      </w:r>
      <w:r w:rsidRPr="005D21F3">
        <w:rPr>
          <w:rFonts w:ascii="Calibri" w:eastAsia="Calibri" w:hAnsi="Calibri"/>
          <w:spacing w:val="-3"/>
          <w:w w:val="105"/>
        </w:rPr>
        <w:t>o</w:t>
      </w:r>
      <w:r w:rsidRPr="005D21F3">
        <w:rPr>
          <w:rFonts w:ascii="Calibri" w:eastAsia="Calibri" w:hAnsi="Calibri"/>
          <w:spacing w:val="-2"/>
          <w:w w:val="105"/>
        </w:rPr>
        <w:t>f</w:t>
      </w:r>
      <w:r w:rsidRPr="005D21F3">
        <w:rPr>
          <w:rFonts w:ascii="Calibri" w:eastAsia="Calibri" w:hAnsi="Calibri"/>
          <w:spacing w:val="-5"/>
          <w:w w:val="105"/>
        </w:rPr>
        <w:t xml:space="preserve"> </w:t>
      </w:r>
      <w:r w:rsidRPr="005D21F3">
        <w:rPr>
          <w:rFonts w:ascii="Calibri" w:eastAsia="Calibri" w:hAnsi="Calibri"/>
          <w:w w:val="105"/>
        </w:rPr>
        <w:t>a</w:t>
      </w:r>
      <w:r w:rsidRPr="005D21F3">
        <w:rPr>
          <w:rFonts w:ascii="Calibri" w:eastAsia="Calibri" w:hAnsi="Calibri"/>
          <w:spacing w:val="-6"/>
          <w:w w:val="105"/>
        </w:rPr>
        <w:t xml:space="preserve"> </w:t>
      </w:r>
      <w:r w:rsidRPr="005D21F3">
        <w:rPr>
          <w:rFonts w:ascii="Calibri" w:eastAsia="Calibri" w:hAnsi="Calibri"/>
          <w:w w:val="105"/>
        </w:rPr>
        <w:t>response</w:t>
      </w:r>
      <w:r w:rsidRPr="005D21F3">
        <w:rPr>
          <w:rFonts w:ascii="Calibri" w:eastAsia="Calibri" w:hAnsi="Calibri"/>
          <w:spacing w:val="-5"/>
          <w:w w:val="105"/>
        </w:rPr>
        <w:t xml:space="preserve"> </w:t>
      </w:r>
      <w:r w:rsidRPr="005D21F3">
        <w:rPr>
          <w:rFonts w:ascii="Calibri" w:eastAsia="Calibri" w:hAnsi="Calibri"/>
          <w:spacing w:val="-2"/>
          <w:w w:val="105"/>
        </w:rPr>
        <w:t>for</w:t>
      </w:r>
      <w:r w:rsidRPr="005D21F3">
        <w:rPr>
          <w:rFonts w:ascii="Calibri" w:eastAsia="Calibri" w:hAnsi="Calibri"/>
          <w:spacing w:val="-5"/>
          <w:w w:val="105"/>
        </w:rPr>
        <w:t xml:space="preserve"> </w:t>
      </w:r>
      <w:r w:rsidRPr="005D21F3">
        <w:rPr>
          <w:rFonts w:ascii="Calibri" w:eastAsia="Calibri" w:hAnsi="Calibri"/>
          <w:w w:val="105"/>
        </w:rPr>
        <w:t>young</w:t>
      </w:r>
      <w:r w:rsidRPr="005D21F3">
        <w:rPr>
          <w:rFonts w:ascii="Calibri" w:eastAsia="Calibri" w:hAnsi="Calibri"/>
          <w:spacing w:val="-6"/>
          <w:w w:val="105"/>
        </w:rPr>
        <w:t xml:space="preserve"> </w:t>
      </w:r>
      <w:r w:rsidRPr="005D21F3">
        <w:rPr>
          <w:rFonts w:ascii="Calibri" w:eastAsia="Calibri" w:hAnsi="Calibri"/>
          <w:w w:val="105"/>
        </w:rPr>
        <w:t>childr</w:t>
      </w:r>
      <w:r w:rsidRPr="005D21F3">
        <w:rPr>
          <w:rFonts w:ascii="Calibri" w:eastAsia="Calibri" w:hAnsi="Calibri"/>
          <w:spacing w:val="-2"/>
          <w:w w:val="105"/>
        </w:rPr>
        <w:t>en,</w:t>
      </w:r>
      <w:r w:rsidRPr="005D21F3">
        <w:rPr>
          <w:rFonts w:ascii="Calibri" w:eastAsia="Calibri" w:hAnsi="Calibri"/>
          <w:spacing w:val="-5"/>
          <w:w w:val="105"/>
        </w:rPr>
        <w:t xml:space="preserve"> </w:t>
      </w:r>
      <w:r w:rsidRPr="005D21F3">
        <w:rPr>
          <w:rFonts w:ascii="Calibri" w:eastAsia="Calibri" w:hAnsi="Calibri"/>
          <w:w w:val="105"/>
        </w:rPr>
        <w:t>pregnant</w:t>
      </w:r>
      <w:r w:rsidRPr="005D21F3">
        <w:rPr>
          <w:rFonts w:ascii="Calibri" w:eastAsia="Calibri" w:hAnsi="Calibri"/>
          <w:spacing w:val="-5"/>
          <w:w w:val="105"/>
        </w:rPr>
        <w:t xml:space="preserve"> </w:t>
      </w:r>
      <w:r w:rsidRPr="005D21F3">
        <w:rPr>
          <w:rFonts w:ascii="Calibri" w:eastAsia="Calibri" w:hAnsi="Calibri"/>
          <w:spacing w:val="-2"/>
          <w:w w:val="105"/>
        </w:rPr>
        <w:t>women,</w:t>
      </w:r>
      <w:r w:rsidRPr="005D21F3">
        <w:rPr>
          <w:rFonts w:ascii="Calibri" w:eastAsia="Calibri" w:hAnsi="Calibri"/>
          <w:spacing w:val="-5"/>
          <w:w w:val="105"/>
        </w:rPr>
        <w:t xml:space="preserve"> </w:t>
      </w:r>
      <w:r w:rsidRPr="005D21F3">
        <w:rPr>
          <w:rFonts w:ascii="Calibri" w:eastAsia="Calibri" w:hAnsi="Calibri"/>
          <w:w w:val="105"/>
        </w:rPr>
        <w:t>high-risk</w:t>
      </w:r>
      <w:r w:rsidRPr="005D21F3">
        <w:rPr>
          <w:rFonts w:ascii="Calibri" w:eastAsia="Calibri" w:hAnsi="Calibri"/>
          <w:spacing w:val="-6"/>
          <w:w w:val="105"/>
        </w:rPr>
        <w:t xml:space="preserve"> </w:t>
      </w:r>
      <w:r w:rsidRPr="005D21F3">
        <w:rPr>
          <w:rFonts w:ascii="Calibri" w:eastAsia="Calibri" w:hAnsi="Calibri"/>
          <w:w w:val="105"/>
        </w:rPr>
        <w:t>adults,</w:t>
      </w:r>
      <w:r w:rsidRPr="005D21F3">
        <w:rPr>
          <w:rFonts w:ascii="Calibri" w:eastAsia="Calibri" w:hAnsi="Calibri"/>
          <w:spacing w:val="-5"/>
          <w:w w:val="105"/>
        </w:rPr>
        <w:t xml:space="preserve"> </w:t>
      </w:r>
      <w:r w:rsidRPr="005D21F3">
        <w:rPr>
          <w:rFonts w:ascii="Calibri" w:eastAsia="Calibri" w:hAnsi="Calibri"/>
          <w:w w:val="105"/>
        </w:rPr>
        <w:t>he</w:t>
      </w:r>
      <w:r w:rsidRPr="005D21F3">
        <w:rPr>
          <w:rFonts w:ascii="Calibri" w:eastAsia="Calibri" w:hAnsi="Calibri"/>
          <w:spacing w:val="-2"/>
          <w:w w:val="105"/>
        </w:rPr>
        <w:t>alth</w:t>
      </w:r>
      <w:r w:rsidRPr="005D21F3">
        <w:rPr>
          <w:rFonts w:ascii="Calibri" w:eastAsia="Calibri" w:hAnsi="Calibri"/>
          <w:spacing w:val="-5"/>
          <w:w w:val="105"/>
        </w:rPr>
        <w:t xml:space="preserve"> </w:t>
      </w:r>
      <w:r w:rsidRPr="005D21F3">
        <w:rPr>
          <w:rFonts w:ascii="Calibri" w:eastAsia="Calibri" w:hAnsi="Calibri"/>
          <w:w w:val="105"/>
        </w:rPr>
        <w:t>care</w:t>
      </w:r>
      <w:r w:rsidRPr="005D21F3">
        <w:rPr>
          <w:rFonts w:ascii="Calibri" w:eastAsia="Calibri" w:hAnsi="Calibri"/>
          <w:spacing w:val="-6"/>
          <w:w w:val="105"/>
        </w:rPr>
        <w:t xml:space="preserve"> </w:t>
      </w:r>
      <w:r w:rsidRPr="005D21F3">
        <w:rPr>
          <w:rFonts w:ascii="Calibri" w:eastAsia="Calibri" w:hAnsi="Calibri"/>
          <w:spacing w:val="-3"/>
          <w:w w:val="105"/>
        </w:rPr>
        <w:t>w</w:t>
      </w:r>
      <w:r w:rsidRPr="005D21F3">
        <w:rPr>
          <w:rFonts w:ascii="Calibri" w:eastAsia="Calibri" w:hAnsi="Calibri"/>
          <w:spacing w:val="-2"/>
          <w:w w:val="105"/>
        </w:rPr>
        <w:t>orker</w:t>
      </w:r>
      <w:r w:rsidRPr="005D21F3">
        <w:rPr>
          <w:rFonts w:ascii="Calibri" w:eastAsia="Calibri" w:hAnsi="Calibri"/>
          <w:spacing w:val="-3"/>
          <w:w w:val="105"/>
        </w:rPr>
        <w:t>s,</w:t>
      </w:r>
      <w:r w:rsidRPr="005D21F3">
        <w:rPr>
          <w:rFonts w:ascii="Calibri" w:eastAsia="Calibri" w:hAnsi="Calibri"/>
          <w:spacing w:val="87"/>
          <w:w w:val="97"/>
        </w:rPr>
        <w:t xml:space="preserve"> </w:t>
      </w:r>
      <w:r w:rsidRPr="005D21F3">
        <w:rPr>
          <w:rFonts w:ascii="Calibri" w:eastAsia="Calibri" w:hAnsi="Calibri"/>
          <w:spacing w:val="-5"/>
          <w:w w:val="105"/>
        </w:rPr>
        <w:t>and</w:t>
      </w:r>
      <w:r w:rsidRPr="005D21F3">
        <w:rPr>
          <w:rFonts w:ascii="Calibri" w:eastAsia="Calibri" w:hAnsi="Calibri"/>
          <w:spacing w:val="-4"/>
          <w:w w:val="105"/>
        </w:rPr>
        <w:t>/</w:t>
      </w:r>
      <w:r w:rsidRPr="005D21F3">
        <w:rPr>
          <w:rFonts w:ascii="Calibri" w:eastAsia="Calibri" w:hAnsi="Calibri"/>
          <w:spacing w:val="-5"/>
          <w:w w:val="105"/>
        </w:rPr>
        <w:t xml:space="preserve">or </w:t>
      </w:r>
      <w:r w:rsidRPr="005D21F3">
        <w:rPr>
          <w:rFonts w:ascii="Calibri" w:eastAsia="Calibri" w:hAnsi="Calibri"/>
          <w:w w:val="105"/>
        </w:rPr>
        <w:t>cert</w:t>
      </w:r>
      <w:r w:rsidRPr="005D21F3">
        <w:rPr>
          <w:rFonts w:ascii="Calibri" w:eastAsia="Calibri" w:hAnsi="Calibri"/>
          <w:spacing w:val="-2"/>
          <w:w w:val="105"/>
        </w:rPr>
        <w:t>ain</w:t>
      </w:r>
      <w:r w:rsidRPr="005D21F3">
        <w:rPr>
          <w:rFonts w:ascii="Calibri" w:eastAsia="Calibri" w:hAnsi="Calibri"/>
          <w:spacing w:val="-5"/>
          <w:w w:val="105"/>
        </w:rPr>
        <w:t xml:space="preserve"> </w:t>
      </w:r>
      <w:r w:rsidRPr="005D21F3">
        <w:rPr>
          <w:rFonts w:ascii="Calibri" w:eastAsia="Calibri" w:hAnsi="Calibri"/>
          <w:w w:val="105"/>
        </w:rPr>
        <w:t>other</w:t>
      </w:r>
      <w:r w:rsidRPr="005D21F3">
        <w:rPr>
          <w:rFonts w:ascii="Calibri" w:eastAsia="Calibri" w:hAnsi="Calibri"/>
          <w:spacing w:val="-4"/>
          <w:w w:val="105"/>
        </w:rPr>
        <w:t xml:space="preserve"> </w:t>
      </w:r>
      <w:r w:rsidRPr="005D21F3">
        <w:rPr>
          <w:rFonts w:ascii="Calibri" w:eastAsia="Calibri" w:hAnsi="Calibri"/>
          <w:w w:val="105"/>
        </w:rPr>
        <w:t>critical</w:t>
      </w:r>
      <w:r w:rsidRPr="005D21F3">
        <w:rPr>
          <w:rFonts w:ascii="Calibri" w:eastAsia="Calibri" w:hAnsi="Calibri"/>
          <w:spacing w:val="-5"/>
          <w:w w:val="105"/>
        </w:rPr>
        <w:t xml:space="preserve"> </w:t>
      </w:r>
      <w:r w:rsidRPr="005D21F3">
        <w:rPr>
          <w:rFonts w:ascii="Calibri" w:eastAsia="Calibri" w:hAnsi="Calibri"/>
          <w:spacing w:val="-3"/>
          <w:w w:val="105"/>
        </w:rPr>
        <w:t>w</w:t>
      </w:r>
      <w:r w:rsidRPr="005D21F3">
        <w:rPr>
          <w:rFonts w:ascii="Calibri" w:eastAsia="Calibri" w:hAnsi="Calibri"/>
          <w:spacing w:val="-2"/>
          <w:w w:val="105"/>
        </w:rPr>
        <w:t>orkforce</w:t>
      </w:r>
      <w:r w:rsidRPr="005D21F3">
        <w:rPr>
          <w:rFonts w:ascii="Calibri" w:eastAsia="Calibri" w:hAnsi="Calibri"/>
          <w:spacing w:val="-5"/>
          <w:w w:val="105"/>
        </w:rPr>
        <w:t xml:space="preserve"> </w:t>
      </w:r>
      <w:r w:rsidRPr="005D21F3">
        <w:rPr>
          <w:rFonts w:ascii="Calibri" w:eastAsia="Calibri" w:hAnsi="Calibri"/>
          <w:w w:val="105"/>
        </w:rPr>
        <w:t>groups</w:t>
      </w:r>
      <w:r w:rsidRPr="005D21F3">
        <w:rPr>
          <w:rFonts w:ascii="Calibri" w:eastAsia="Calibri" w:hAnsi="Calibri"/>
          <w:spacing w:val="-4"/>
          <w:w w:val="105"/>
        </w:rPr>
        <w:t xml:space="preserve"> </w:t>
      </w:r>
      <w:r w:rsidRPr="005D21F3">
        <w:rPr>
          <w:rFonts w:ascii="Calibri" w:eastAsia="Calibri" w:hAnsi="Calibri"/>
          <w:w w:val="105"/>
        </w:rPr>
        <w:t>depending</w:t>
      </w:r>
      <w:r w:rsidRPr="005D21F3">
        <w:rPr>
          <w:rFonts w:ascii="Calibri" w:eastAsia="Calibri" w:hAnsi="Calibri"/>
          <w:spacing w:val="-5"/>
          <w:w w:val="105"/>
        </w:rPr>
        <w:t xml:space="preserve"> </w:t>
      </w:r>
      <w:r w:rsidRPr="005D21F3">
        <w:rPr>
          <w:rFonts w:ascii="Calibri" w:eastAsia="Calibri" w:hAnsi="Calibri"/>
          <w:w w:val="105"/>
        </w:rPr>
        <w:t>on</w:t>
      </w:r>
      <w:r w:rsidRPr="005D21F3">
        <w:rPr>
          <w:rFonts w:ascii="Calibri" w:eastAsia="Calibri" w:hAnsi="Calibri"/>
          <w:spacing w:val="-4"/>
          <w:w w:val="105"/>
        </w:rPr>
        <w:t xml:space="preserve"> </w:t>
      </w:r>
      <w:r w:rsidRPr="005D21F3">
        <w:rPr>
          <w:rFonts w:ascii="Calibri" w:eastAsia="Calibri" w:hAnsi="Calibri"/>
          <w:w w:val="105"/>
        </w:rPr>
        <w:t>supply</w:t>
      </w:r>
      <w:r w:rsidRPr="005D21F3">
        <w:rPr>
          <w:rFonts w:ascii="Calibri" w:eastAsia="Calibri" w:hAnsi="Calibri"/>
          <w:spacing w:val="-5"/>
          <w:w w:val="105"/>
        </w:rPr>
        <w:t xml:space="preserve"> </w:t>
      </w:r>
      <w:r w:rsidRPr="005D21F3">
        <w:rPr>
          <w:rFonts w:ascii="Calibri" w:eastAsia="Calibri" w:hAnsi="Calibri"/>
          <w:w w:val="105"/>
        </w:rPr>
        <w:t>and</w:t>
      </w:r>
      <w:r w:rsidRPr="005D21F3">
        <w:rPr>
          <w:rFonts w:ascii="Calibri" w:eastAsia="Calibri" w:hAnsi="Calibri"/>
          <w:spacing w:val="-5"/>
          <w:w w:val="105"/>
        </w:rPr>
        <w:t xml:space="preserve"> </w:t>
      </w:r>
      <w:r w:rsidRPr="005D21F3">
        <w:rPr>
          <w:rFonts w:ascii="Calibri" w:eastAsia="Calibri" w:hAnsi="Calibri"/>
          <w:spacing w:val="-4"/>
          <w:w w:val="105"/>
        </w:rPr>
        <w:t>se</w:t>
      </w:r>
      <w:r w:rsidRPr="005D21F3">
        <w:rPr>
          <w:rFonts w:ascii="Calibri" w:eastAsia="Calibri" w:hAnsi="Calibri"/>
          <w:spacing w:val="-5"/>
          <w:w w:val="105"/>
        </w:rPr>
        <w:t>verity</w:t>
      </w:r>
    </w:p>
    <w:p w14:paraId="0E5D8430" w14:textId="6D18979B" w:rsidR="00EC5B49" w:rsidRPr="005D21F3" w:rsidRDefault="00EC5B49" w:rsidP="00EC5B49">
      <w:pPr>
        <w:widowControl w:val="0"/>
        <w:numPr>
          <w:ilvl w:val="0"/>
          <w:numId w:val="90"/>
        </w:numPr>
        <w:tabs>
          <w:tab w:val="left" w:pos="1050"/>
        </w:tabs>
        <w:spacing w:before="109" w:after="0" w:line="240" w:lineRule="auto"/>
        <w:ind w:right="535"/>
        <w:rPr>
          <w:rFonts w:ascii="Calibri" w:eastAsia="Calibri" w:hAnsi="Calibri" w:cs="Calibri"/>
        </w:rPr>
      </w:pPr>
      <w:r w:rsidRPr="005D21F3">
        <w:rPr>
          <w:rFonts w:ascii="Calibri"/>
          <w:color w:val="231F20"/>
          <w:spacing w:val="-1"/>
        </w:rPr>
        <w:t>Pandemic</w:t>
      </w:r>
      <w:r w:rsidRPr="005D21F3">
        <w:rPr>
          <w:rFonts w:ascii="Calibri"/>
          <w:color w:val="231F20"/>
          <w:spacing w:val="23"/>
        </w:rPr>
        <w:t xml:space="preserve"> </w:t>
      </w:r>
      <w:r w:rsidRPr="005D21F3">
        <w:rPr>
          <w:rFonts w:ascii="Calibri"/>
          <w:color w:val="231F20"/>
        </w:rPr>
        <w:t>influenza</w:t>
      </w:r>
      <w:r w:rsidRPr="005D21F3">
        <w:rPr>
          <w:rFonts w:ascii="Calibri"/>
          <w:color w:val="231F20"/>
          <w:spacing w:val="23"/>
        </w:rPr>
        <w:t xml:space="preserve"> </w:t>
      </w:r>
      <w:r w:rsidRPr="005D21F3">
        <w:rPr>
          <w:rFonts w:ascii="Calibri"/>
          <w:color w:val="231F20"/>
          <w:spacing w:val="-1"/>
        </w:rPr>
        <w:t>vaccine</w:t>
      </w:r>
      <w:r w:rsidRPr="005D21F3">
        <w:rPr>
          <w:rFonts w:ascii="Calibri"/>
          <w:color w:val="231F20"/>
          <w:spacing w:val="23"/>
        </w:rPr>
        <w:t xml:space="preserve"> </w:t>
      </w:r>
      <w:r w:rsidRPr="005D21F3">
        <w:rPr>
          <w:rFonts w:ascii="Calibri"/>
          <w:color w:val="231F20"/>
        </w:rPr>
        <w:t>and</w:t>
      </w:r>
      <w:r w:rsidRPr="005D21F3">
        <w:rPr>
          <w:rFonts w:ascii="Calibri"/>
          <w:color w:val="231F20"/>
          <w:spacing w:val="24"/>
        </w:rPr>
        <w:t xml:space="preserve"> </w:t>
      </w:r>
      <w:r w:rsidRPr="005D21F3">
        <w:rPr>
          <w:rFonts w:ascii="Calibri"/>
          <w:color w:val="231F20"/>
        </w:rPr>
        <w:t>ancillary</w:t>
      </w:r>
      <w:r w:rsidRPr="005D21F3">
        <w:rPr>
          <w:rFonts w:ascii="Calibri"/>
          <w:color w:val="231F20"/>
          <w:spacing w:val="23"/>
        </w:rPr>
        <w:t xml:space="preserve"> </w:t>
      </w:r>
      <w:r w:rsidRPr="005D21F3">
        <w:rPr>
          <w:rFonts w:ascii="Calibri"/>
          <w:color w:val="231F20"/>
          <w:spacing w:val="-1"/>
        </w:rPr>
        <w:t>supplies,</w:t>
      </w:r>
      <w:r w:rsidRPr="005D21F3">
        <w:rPr>
          <w:rFonts w:ascii="Calibri"/>
          <w:color w:val="231F20"/>
          <w:spacing w:val="23"/>
        </w:rPr>
        <w:t xml:space="preserve"> </w:t>
      </w:r>
      <w:r w:rsidRPr="005D21F3">
        <w:rPr>
          <w:rFonts w:ascii="Calibri"/>
          <w:color w:val="231F20"/>
        </w:rPr>
        <w:t>including</w:t>
      </w:r>
      <w:r w:rsidRPr="005D21F3">
        <w:rPr>
          <w:rFonts w:ascii="Calibri"/>
          <w:color w:val="231F20"/>
          <w:spacing w:val="24"/>
        </w:rPr>
        <w:t xml:space="preserve"> </w:t>
      </w:r>
      <w:r w:rsidRPr="005D21F3">
        <w:rPr>
          <w:rFonts w:ascii="Calibri"/>
          <w:color w:val="231F20"/>
        </w:rPr>
        <w:t>needles</w:t>
      </w:r>
      <w:r w:rsidRPr="005D21F3">
        <w:rPr>
          <w:rFonts w:ascii="Calibri"/>
          <w:color w:val="231F20"/>
          <w:spacing w:val="23"/>
        </w:rPr>
        <w:t xml:space="preserve"> </w:t>
      </w:r>
      <w:r w:rsidRPr="005D21F3">
        <w:rPr>
          <w:rFonts w:ascii="Calibri"/>
          <w:color w:val="231F20"/>
        </w:rPr>
        <w:t>and</w:t>
      </w:r>
      <w:r w:rsidRPr="005D21F3">
        <w:rPr>
          <w:rFonts w:ascii="Calibri"/>
          <w:color w:val="231F20"/>
          <w:spacing w:val="23"/>
        </w:rPr>
        <w:t xml:space="preserve"> </w:t>
      </w:r>
      <w:r w:rsidRPr="005D21F3">
        <w:rPr>
          <w:rFonts w:ascii="Calibri"/>
          <w:color w:val="231F20"/>
          <w:spacing w:val="-1"/>
        </w:rPr>
        <w:t>syringes,</w:t>
      </w:r>
      <w:r w:rsidRPr="005D21F3">
        <w:rPr>
          <w:rFonts w:ascii="Calibri"/>
          <w:color w:val="231F20"/>
          <w:spacing w:val="24"/>
        </w:rPr>
        <w:t xml:space="preserve"> </w:t>
      </w:r>
      <w:r w:rsidRPr="005D21F3">
        <w:rPr>
          <w:rFonts w:ascii="Calibri"/>
          <w:color w:val="231F20"/>
        </w:rPr>
        <w:t>will</w:t>
      </w:r>
      <w:r w:rsidRPr="005D21F3">
        <w:rPr>
          <w:rFonts w:ascii="Calibri"/>
          <w:color w:val="231F20"/>
          <w:spacing w:val="23"/>
        </w:rPr>
        <w:t xml:space="preserve"> </w:t>
      </w:r>
      <w:r w:rsidRPr="005D21F3">
        <w:rPr>
          <w:rFonts w:ascii="Calibri"/>
          <w:color w:val="231F20"/>
        </w:rPr>
        <w:t>be</w:t>
      </w:r>
      <w:r w:rsidRPr="005D21F3">
        <w:rPr>
          <w:rFonts w:ascii="Calibri"/>
          <w:color w:val="231F20"/>
          <w:spacing w:val="23"/>
        </w:rPr>
        <w:t xml:space="preserve"> </w:t>
      </w:r>
      <w:r w:rsidRPr="005D21F3">
        <w:rPr>
          <w:rFonts w:ascii="Calibri"/>
          <w:color w:val="231F20"/>
          <w:spacing w:val="-1"/>
        </w:rPr>
        <w:t>provided</w:t>
      </w:r>
      <w:r w:rsidRPr="005D21F3">
        <w:rPr>
          <w:rFonts w:ascii="Calibri"/>
          <w:color w:val="231F20"/>
          <w:spacing w:val="23"/>
        </w:rPr>
        <w:t xml:space="preserve"> </w:t>
      </w:r>
      <w:r w:rsidRPr="005D21F3">
        <w:rPr>
          <w:rFonts w:ascii="Calibri"/>
          <w:color w:val="231F20"/>
        </w:rPr>
        <w:t>at</w:t>
      </w:r>
      <w:r w:rsidRPr="005D21F3">
        <w:rPr>
          <w:rFonts w:ascii="Calibri"/>
          <w:color w:val="231F20"/>
          <w:spacing w:val="24"/>
        </w:rPr>
        <w:t xml:space="preserve"> </w:t>
      </w:r>
      <w:r w:rsidRPr="005D21F3">
        <w:rPr>
          <w:rFonts w:ascii="Calibri"/>
          <w:color w:val="231F20"/>
        </w:rPr>
        <w:t>no</w:t>
      </w:r>
      <w:r w:rsidRPr="005D21F3">
        <w:rPr>
          <w:rFonts w:ascii="Calibri"/>
          <w:color w:val="231F20"/>
          <w:spacing w:val="23"/>
        </w:rPr>
        <w:t xml:space="preserve"> </w:t>
      </w:r>
      <w:r w:rsidRPr="005D21F3">
        <w:rPr>
          <w:rFonts w:ascii="Calibri"/>
          <w:color w:val="231F20"/>
          <w:spacing w:val="-2"/>
        </w:rPr>
        <w:t>cost</w:t>
      </w:r>
      <w:r w:rsidRPr="005D21F3">
        <w:rPr>
          <w:rFonts w:ascii="Calibri"/>
          <w:color w:val="231F20"/>
          <w:spacing w:val="23"/>
        </w:rPr>
        <w:t xml:space="preserve"> </w:t>
      </w:r>
      <w:r w:rsidRPr="005D21F3">
        <w:rPr>
          <w:rFonts w:ascii="Calibri"/>
          <w:color w:val="231F20"/>
          <w:spacing w:val="-1"/>
        </w:rPr>
        <w:t>to</w:t>
      </w:r>
      <w:r w:rsidRPr="005D21F3">
        <w:rPr>
          <w:rFonts w:ascii="Calibri"/>
          <w:color w:val="231F20"/>
          <w:spacing w:val="43"/>
          <w:w w:val="103"/>
        </w:rPr>
        <w:t xml:space="preserve"> </w:t>
      </w:r>
      <w:r w:rsidRPr="005D21F3">
        <w:rPr>
          <w:rFonts w:ascii="Calibri"/>
          <w:color w:val="231F20"/>
        </w:rPr>
        <w:t>pandemic</w:t>
      </w:r>
      <w:r w:rsidRPr="005D21F3">
        <w:rPr>
          <w:rFonts w:ascii="Calibri"/>
          <w:color w:val="231F20"/>
          <w:spacing w:val="36"/>
        </w:rPr>
        <w:t xml:space="preserve"> </w:t>
      </w:r>
      <w:r w:rsidRPr="005D21F3">
        <w:rPr>
          <w:rFonts w:ascii="Calibri"/>
          <w:color w:val="231F20"/>
          <w:spacing w:val="-1"/>
        </w:rPr>
        <w:t>vaccine</w:t>
      </w:r>
      <w:r w:rsidRPr="005D21F3">
        <w:rPr>
          <w:rFonts w:ascii="Calibri"/>
          <w:color w:val="231F20"/>
          <w:spacing w:val="37"/>
        </w:rPr>
        <w:t xml:space="preserve"> </w:t>
      </w:r>
      <w:r w:rsidRPr="005D21F3">
        <w:rPr>
          <w:rFonts w:ascii="Calibri"/>
          <w:color w:val="231F20"/>
          <w:spacing w:val="-2"/>
        </w:rPr>
        <w:t>providers</w:t>
      </w:r>
    </w:p>
    <w:p w14:paraId="34A4E55A" w14:textId="77777777" w:rsidR="00EC5B49" w:rsidRPr="005D21F3" w:rsidRDefault="00EC5B49" w:rsidP="00EC5B49">
      <w:pPr>
        <w:widowControl w:val="0"/>
        <w:numPr>
          <w:ilvl w:val="0"/>
          <w:numId w:val="90"/>
        </w:numPr>
        <w:tabs>
          <w:tab w:val="left" w:pos="1050"/>
        </w:tabs>
        <w:spacing w:before="109" w:after="0" w:line="240" w:lineRule="auto"/>
        <w:ind w:right="805"/>
        <w:rPr>
          <w:rFonts w:ascii="Calibri" w:eastAsia="Calibri" w:hAnsi="Calibri" w:cs="Calibri"/>
        </w:rPr>
      </w:pPr>
      <w:r w:rsidRPr="005D21F3">
        <w:rPr>
          <w:rFonts w:ascii="Calibri"/>
          <w:color w:val="231F20"/>
          <w:spacing w:val="-2"/>
        </w:rPr>
        <w:t>Most</w:t>
      </w:r>
      <w:r w:rsidRPr="005D21F3">
        <w:rPr>
          <w:rFonts w:ascii="Calibri"/>
          <w:color w:val="231F20"/>
          <w:spacing w:val="19"/>
        </w:rPr>
        <w:t xml:space="preserve"> </w:t>
      </w:r>
      <w:r w:rsidRPr="005D21F3">
        <w:rPr>
          <w:rFonts w:ascii="Calibri"/>
          <w:color w:val="231F20"/>
        </w:rPr>
        <w:t>pandemic</w:t>
      </w:r>
      <w:r w:rsidRPr="005D21F3">
        <w:rPr>
          <w:rFonts w:ascii="Calibri"/>
          <w:color w:val="231F20"/>
          <w:spacing w:val="19"/>
        </w:rPr>
        <w:t xml:space="preserve"> </w:t>
      </w:r>
      <w:r w:rsidRPr="005D21F3">
        <w:rPr>
          <w:rFonts w:ascii="Calibri"/>
          <w:color w:val="231F20"/>
        </w:rPr>
        <w:t>influenza</w:t>
      </w:r>
      <w:r w:rsidRPr="005D21F3">
        <w:rPr>
          <w:rFonts w:ascii="Calibri"/>
          <w:color w:val="231F20"/>
          <w:spacing w:val="19"/>
        </w:rPr>
        <w:t xml:space="preserve"> </w:t>
      </w:r>
      <w:r w:rsidRPr="005D21F3">
        <w:rPr>
          <w:rFonts w:ascii="Calibri"/>
          <w:color w:val="231F20"/>
          <w:spacing w:val="-1"/>
        </w:rPr>
        <w:t>vaccine</w:t>
      </w:r>
      <w:r w:rsidRPr="005D21F3">
        <w:rPr>
          <w:rFonts w:ascii="Calibri"/>
          <w:color w:val="231F20"/>
          <w:spacing w:val="19"/>
        </w:rPr>
        <w:t xml:space="preserve"> </w:t>
      </w:r>
      <w:r w:rsidRPr="005D21F3">
        <w:rPr>
          <w:rFonts w:ascii="Calibri"/>
          <w:color w:val="231F20"/>
        </w:rPr>
        <w:t>will</w:t>
      </w:r>
      <w:r w:rsidRPr="005D21F3">
        <w:rPr>
          <w:rFonts w:ascii="Calibri"/>
          <w:color w:val="231F20"/>
          <w:spacing w:val="19"/>
        </w:rPr>
        <w:t xml:space="preserve"> </w:t>
      </w:r>
      <w:r w:rsidRPr="005D21F3">
        <w:rPr>
          <w:rFonts w:ascii="Calibri"/>
          <w:color w:val="231F20"/>
        </w:rPr>
        <w:t>be</w:t>
      </w:r>
      <w:r w:rsidRPr="005D21F3">
        <w:rPr>
          <w:rFonts w:ascii="Calibri"/>
          <w:color w:val="231F20"/>
          <w:spacing w:val="19"/>
        </w:rPr>
        <w:t xml:space="preserve"> </w:t>
      </w:r>
      <w:r w:rsidRPr="005D21F3">
        <w:rPr>
          <w:rFonts w:ascii="Calibri"/>
          <w:color w:val="231F20"/>
          <w:spacing w:val="-1"/>
        </w:rPr>
        <w:t>inactivated</w:t>
      </w:r>
      <w:r w:rsidRPr="005D21F3">
        <w:rPr>
          <w:rFonts w:ascii="Calibri"/>
          <w:color w:val="231F20"/>
          <w:spacing w:val="-2"/>
        </w:rPr>
        <w:t>,</w:t>
      </w:r>
      <w:r w:rsidRPr="005D21F3">
        <w:rPr>
          <w:rFonts w:ascii="Calibri"/>
          <w:color w:val="231F20"/>
          <w:spacing w:val="20"/>
        </w:rPr>
        <w:t xml:space="preserve"> </w:t>
      </w:r>
      <w:r w:rsidRPr="005D21F3">
        <w:rPr>
          <w:rFonts w:ascii="Calibri"/>
          <w:color w:val="231F20"/>
        </w:rPr>
        <w:t>packaged</w:t>
      </w:r>
      <w:r w:rsidRPr="005D21F3">
        <w:rPr>
          <w:rFonts w:ascii="Calibri"/>
          <w:color w:val="231F20"/>
          <w:spacing w:val="19"/>
        </w:rPr>
        <w:t xml:space="preserve"> </w:t>
      </w:r>
      <w:r w:rsidRPr="005D21F3">
        <w:rPr>
          <w:rFonts w:ascii="Calibri"/>
          <w:color w:val="231F20"/>
        </w:rPr>
        <w:t>in</w:t>
      </w:r>
      <w:r w:rsidRPr="005D21F3">
        <w:rPr>
          <w:rFonts w:ascii="Calibri"/>
          <w:color w:val="231F20"/>
          <w:spacing w:val="19"/>
        </w:rPr>
        <w:t xml:space="preserve"> </w:t>
      </w:r>
      <w:r w:rsidRPr="005D21F3">
        <w:rPr>
          <w:rFonts w:ascii="Calibri"/>
          <w:color w:val="231F20"/>
          <w:spacing w:val="-2"/>
        </w:rPr>
        <w:t>m</w:t>
      </w:r>
      <w:r w:rsidRPr="005D21F3">
        <w:rPr>
          <w:rFonts w:ascii="Calibri"/>
          <w:color w:val="231F20"/>
          <w:spacing w:val="-1"/>
        </w:rPr>
        <w:t>ulti-dose</w:t>
      </w:r>
      <w:r w:rsidRPr="005D21F3">
        <w:rPr>
          <w:rFonts w:ascii="Calibri"/>
          <w:color w:val="231F20"/>
          <w:spacing w:val="19"/>
        </w:rPr>
        <w:t xml:space="preserve"> </w:t>
      </w:r>
      <w:r w:rsidRPr="005D21F3">
        <w:rPr>
          <w:rFonts w:ascii="Calibri"/>
          <w:color w:val="231F20"/>
        </w:rPr>
        <w:t>vials,</w:t>
      </w:r>
      <w:r w:rsidRPr="005D21F3">
        <w:rPr>
          <w:rFonts w:ascii="Calibri"/>
          <w:color w:val="231F20"/>
          <w:spacing w:val="19"/>
        </w:rPr>
        <w:t xml:space="preserve"> </w:t>
      </w:r>
      <w:r w:rsidRPr="005D21F3">
        <w:rPr>
          <w:rFonts w:ascii="Calibri"/>
          <w:color w:val="231F20"/>
        </w:rPr>
        <w:t>and</w:t>
      </w:r>
      <w:r w:rsidRPr="005D21F3">
        <w:rPr>
          <w:rFonts w:ascii="Calibri"/>
          <w:color w:val="231F20"/>
          <w:spacing w:val="19"/>
        </w:rPr>
        <w:t xml:space="preserve"> </w:t>
      </w:r>
      <w:r w:rsidRPr="005D21F3">
        <w:rPr>
          <w:rFonts w:ascii="Calibri"/>
          <w:color w:val="231F20"/>
          <w:spacing w:val="-1"/>
        </w:rPr>
        <w:t>may</w:t>
      </w:r>
      <w:r w:rsidRPr="005D21F3">
        <w:rPr>
          <w:rFonts w:ascii="Calibri"/>
          <w:color w:val="231F20"/>
          <w:spacing w:val="20"/>
        </w:rPr>
        <w:t xml:space="preserve"> </w:t>
      </w:r>
      <w:r w:rsidRPr="005D21F3">
        <w:rPr>
          <w:rFonts w:ascii="Calibri"/>
          <w:color w:val="231F20"/>
          <w:spacing w:val="-1"/>
        </w:rPr>
        <w:t>require</w:t>
      </w:r>
      <w:r w:rsidRPr="005D21F3">
        <w:rPr>
          <w:rFonts w:ascii="Calibri"/>
          <w:color w:val="231F20"/>
          <w:spacing w:val="19"/>
        </w:rPr>
        <w:t xml:space="preserve"> </w:t>
      </w:r>
      <w:r w:rsidRPr="005D21F3">
        <w:rPr>
          <w:rFonts w:ascii="Calibri"/>
          <w:color w:val="231F20"/>
          <w:spacing w:val="-1"/>
        </w:rPr>
        <w:t>adjuvant,</w:t>
      </w:r>
      <w:r w:rsidRPr="005D21F3">
        <w:rPr>
          <w:rFonts w:ascii="Calibri"/>
          <w:color w:val="231F20"/>
          <w:spacing w:val="57"/>
          <w:w w:val="98"/>
        </w:rPr>
        <w:t xml:space="preserve"> </w:t>
      </w:r>
      <w:r w:rsidRPr="005D21F3">
        <w:rPr>
          <w:rFonts w:ascii="Calibri"/>
          <w:color w:val="231F20"/>
        </w:rPr>
        <w:t>which</w:t>
      </w:r>
      <w:r w:rsidRPr="005D21F3">
        <w:rPr>
          <w:rFonts w:ascii="Calibri"/>
          <w:color w:val="231F20"/>
          <w:spacing w:val="15"/>
        </w:rPr>
        <w:t xml:space="preserve"> </w:t>
      </w:r>
      <w:r w:rsidRPr="005D21F3">
        <w:rPr>
          <w:rFonts w:ascii="Calibri"/>
          <w:color w:val="231F20"/>
          <w:spacing w:val="-1"/>
        </w:rPr>
        <w:t>may</w:t>
      </w:r>
      <w:r w:rsidRPr="005D21F3">
        <w:rPr>
          <w:rFonts w:ascii="Calibri"/>
          <w:color w:val="231F20"/>
          <w:spacing w:val="16"/>
        </w:rPr>
        <w:t xml:space="preserve"> </w:t>
      </w:r>
      <w:r w:rsidRPr="005D21F3">
        <w:rPr>
          <w:rFonts w:ascii="Calibri"/>
          <w:color w:val="231F20"/>
        </w:rPr>
        <w:t>need</w:t>
      </w:r>
      <w:r w:rsidRPr="005D21F3">
        <w:rPr>
          <w:rFonts w:ascii="Calibri"/>
          <w:color w:val="231F20"/>
          <w:spacing w:val="15"/>
        </w:rPr>
        <w:t xml:space="preserve"> </w:t>
      </w:r>
      <w:r w:rsidRPr="005D21F3">
        <w:rPr>
          <w:rFonts w:ascii="Calibri"/>
          <w:color w:val="231F20"/>
          <w:spacing w:val="-1"/>
        </w:rPr>
        <w:t>to</w:t>
      </w:r>
      <w:r w:rsidRPr="005D21F3">
        <w:rPr>
          <w:rFonts w:ascii="Calibri"/>
          <w:color w:val="231F20"/>
          <w:spacing w:val="16"/>
        </w:rPr>
        <w:t xml:space="preserve"> </w:t>
      </w:r>
      <w:r w:rsidRPr="005D21F3">
        <w:rPr>
          <w:rFonts w:ascii="Calibri"/>
          <w:color w:val="231F20"/>
        </w:rPr>
        <w:t>be</w:t>
      </w:r>
      <w:r w:rsidRPr="005D21F3">
        <w:rPr>
          <w:rFonts w:ascii="Calibri"/>
          <w:color w:val="231F20"/>
          <w:spacing w:val="16"/>
        </w:rPr>
        <w:t xml:space="preserve"> </w:t>
      </w:r>
      <w:r w:rsidRPr="005D21F3">
        <w:rPr>
          <w:rFonts w:ascii="Calibri"/>
          <w:color w:val="231F20"/>
          <w:spacing w:val="-2"/>
        </w:rPr>
        <w:t>mixed</w:t>
      </w:r>
      <w:r w:rsidRPr="005D21F3">
        <w:rPr>
          <w:rFonts w:ascii="Calibri"/>
          <w:color w:val="231F20"/>
          <w:spacing w:val="15"/>
        </w:rPr>
        <w:t xml:space="preserve"> </w:t>
      </w:r>
      <w:r w:rsidRPr="005D21F3">
        <w:rPr>
          <w:rFonts w:ascii="Calibri"/>
          <w:color w:val="231F20"/>
        </w:rPr>
        <w:t>at</w:t>
      </w:r>
      <w:r w:rsidRPr="005D21F3">
        <w:rPr>
          <w:rFonts w:ascii="Calibri"/>
          <w:color w:val="231F20"/>
          <w:spacing w:val="16"/>
        </w:rPr>
        <w:t xml:space="preserve"> </w:t>
      </w:r>
      <w:r w:rsidRPr="005D21F3">
        <w:rPr>
          <w:rFonts w:ascii="Calibri"/>
          <w:color w:val="231F20"/>
        </w:rPr>
        <w:t>the</w:t>
      </w:r>
      <w:r w:rsidRPr="005D21F3">
        <w:rPr>
          <w:rFonts w:ascii="Calibri"/>
          <w:color w:val="231F20"/>
          <w:spacing w:val="15"/>
        </w:rPr>
        <w:t xml:space="preserve"> </w:t>
      </w:r>
      <w:r w:rsidRPr="005D21F3">
        <w:rPr>
          <w:rFonts w:ascii="Calibri"/>
          <w:color w:val="231F20"/>
        </w:rPr>
        <w:t>point</w:t>
      </w:r>
      <w:r w:rsidRPr="005D21F3">
        <w:rPr>
          <w:rFonts w:ascii="Calibri"/>
          <w:color w:val="231F20"/>
          <w:spacing w:val="16"/>
        </w:rPr>
        <w:t xml:space="preserve"> </w:t>
      </w:r>
      <w:r w:rsidRPr="005D21F3">
        <w:rPr>
          <w:rFonts w:ascii="Calibri"/>
          <w:color w:val="231F20"/>
          <w:spacing w:val="-2"/>
        </w:rPr>
        <w:t>of</w:t>
      </w:r>
      <w:r w:rsidRPr="005D21F3">
        <w:rPr>
          <w:rFonts w:ascii="Calibri"/>
          <w:color w:val="231F20"/>
          <w:spacing w:val="16"/>
        </w:rPr>
        <w:t xml:space="preserve"> </w:t>
      </w:r>
      <w:r w:rsidRPr="005D21F3">
        <w:rPr>
          <w:rFonts w:ascii="Calibri"/>
          <w:color w:val="231F20"/>
          <w:spacing w:val="-1"/>
        </w:rPr>
        <w:t>administration</w:t>
      </w:r>
      <w:r w:rsidRPr="005D21F3">
        <w:rPr>
          <w:rFonts w:ascii="Calibri"/>
          <w:color w:val="231F20"/>
          <w:spacing w:val="15"/>
        </w:rPr>
        <w:t xml:space="preserve"> </w:t>
      </w:r>
      <w:r w:rsidRPr="005D21F3">
        <w:rPr>
          <w:rFonts w:ascii="Calibri"/>
          <w:color w:val="231F20"/>
          <w:spacing w:val="-2"/>
        </w:rPr>
        <w:t>by</w:t>
      </w:r>
      <w:r w:rsidRPr="005D21F3">
        <w:rPr>
          <w:rFonts w:ascii="Calibri"/>
          <w:color w:val="231F20"/>
          <w:spacing w:val="16"/>
        </w:rPr>
        <w:t xml:space="preserve"> </w:t>
      </w:r>
      <w:r w:rsidRPr="005D21F3">
        <w:rPr>
          <w:rFonts w:ascii="Calibri"/>
          <w:color w:val="231F20"/>
          <w:spacing w:val="-1"/>
        </w:rPr>
        <w:t>vaccine</w:t>
      </w:r>
      <w:r w:rsidRPr="005D21F3">
        <w:rPr>
          <w:rFonts w:ascii="Calibri"/>
          <w:color w:val="231F20"/>
          <w:spacing w:val="15"/>
        </w:rPr>
        <w:t xml:space="preserve"> </w:t>
      </w:r>
      <w:r w:rsidRPr="005D21F3">
        <w:rPr>
          <w:rFonts w:ascii="Calibri"/>
          <w:color w:val="231F20"/>
          <w:spacing w:val="-2"/>
        </w:rPr>
        <w:t>providers</w:t>
      </w:r>
      <w:r w:rsidRPr="005D21F3">
        <w:rPr>
          <w:rFonts w:ascii="Calibri"/>
          <w:color w:val="231F20"/>
          <w:spacing w:val="-23"/>
        </w:rPr>
        <w:t xml:space="preserve"> </w:t>
      </w:r>
    </w:p>
    <w:p w14:paraId="34FF8536" w14:textId="637D19B4" w:rsidR="00EC5B49" w:rsidRPr="005D21F3" w:rsidRDefault="00EC5B49" w:rsidP="00EC5B49">
      <w:pPr>
        <w:widowControl w:val="0"/>
        <w:numPr>
          <w:ilvl w:val="0"/>
          <w:numId w:val="90"/>
        </w:numPr>
        <w:tabs>
          <w:tab w:val="left" w:pos="1050"/>
        </w:tabs>
        <w:spacing w:before="109" w:after="0" w:line="240" w:lineRule="auto"/>
        <w:ind w:right="535"/>
        <w:rPr>
          <w:rFonts w:ascii="Calibri" w:eastAsia="Calibri" w:hAnsi="Calibri" w:cs="Calibri"/>
        </w:rPr>
      </w:pPr>
      <w:r w:rsidRPr="005D21F3">
        <w:rPr>
          <w:rFonts w:ascii="Calibri"/>
          <w:color w:val="231F20"/>
          <w:spacing w:val="-2"/>
          <w:w w:val="105"/>
        </w:rPr>
        <w:t>Feder</w:t>
      </w:r>
      <w:r w:rsidRPr="005D21F3">
        <w:rPr>
          <w:rFonts w:ascii="Calibri"/>
          <w:color w:val="231F20"/>
          <w:spacing w:val="-3"/>
          <w:w w:val="105"/>
        </w:rPr>
        <w:t>ally</w:t>
      </w:r>
      <w:r w:rsidRPr="005D21F3">
        <w:rPr>
          <w:rFonts w:ascii="Calibri"/>
          <w:color w:val="231F20"/>
          <w:spacing w:val="-5"/>
          <w:w w:val="105"/>
        </w:rPr>
        <w:t xml:space="preserve"> </w:t>
      </w:r>
      <w:r w:rsidRPr="005D21F3">
        <w:rPr>
          <w:rFonts w:ascii="Calibri"/>
          <w:color w:val="231F20"/>
          <w:spacing w:val="-1"/>
          <w:w w:val="105"/>
        </w:rPr>
        <w:t>supplied</w:t>
      </w:r>
      <w:r w:rsidRPr="005D21F3">
        <w:rPr>
          <w:rFonts w:ascii="Calibri"/>
          <w:color w:val="231F20"/>
          <w:spacing w:val="-5"/>
          <w:w w:val="105"/>
        </w:rPr>
        <w:t xml:space="preserve"> </w:t>
      </w:r>
      <w:r w:rsidRPr="005D21F3">
        <w:rPr>
          <w:rFonts w:ascii="Calibri"/>
          <w:color w:val="231F20"/>
          <w:w w:val="105"/>
        </w:rPr>
        <w:t>pandemic</w:t>
      </w:r>
      <w:r w:rsidRPr="005D21F3">
        <w:rPr>
          <w:rFonts w:ascii="Calibri"/>
          <w:color w:val="231F20"/>
          <w:spacing w:val="-4"/>
          <w:w w:val="105"/>
        </w:rPr>
        <w:t xml:space="preserve"> </w:t>
      </w:r>
      <w:r w:rsidRPr="005D21F3">
        <w:rPr>
          <w:rFonts w:ascii="Calibri"/>
          <w:color w:val="231F20"/>
          <w:w w:val="105"/>
        </w:rPr>
        <w:t>influenza</w:t>
      </w:r>
      <w:r w:rsidRPr="005D21F3">
        <w:rPr>
          <w:rFonts w:ascii="Calibri"/>
          <w:color w:val="231F20"/>
          <w:spacing w:val="-5"/>
          <w:w w:val="105"/>
        </w:rPr>
        <w:t xml:space="preserve"> </w:t>
      </w:r>
      <w:r w:rsidRPr="005D21F3">
        <w:rPr>
          <w:rFonts w:ascii="Calibri"/>
          <w:color w:val="231F20"/>
          <w:spacing w:val="-1"/>
          <w:w w:val="105"/>
        </w:rPr>
        <w:t>vaccine</w:t>
      </w:r>
      <w:r w:rsidRPr="005D21F3">
        <w:rPr>
          <w:rFonts w:ascii="Calibri"/>
          <w:color w:val="231F20"/>
          <w:spacing w:val="-5"/>
          <w:w w:val="105"/>
        </w:rPr>
        <w:t xml:space="preserve"> </w:t>
      </w:r>
      <w:r w:rsidRPr="005D21F3">
        <w:rPr>
          <w:rFonts w:ascii="Calibri"/>
          <w:color w:val="231F20"/>
          <w:spacing w:val="-2"/>
          <w:w w:val="105"/>
        </w:rPr>
        <w:t>ma</w:t>
      </w:r>
      <w:r w:rsidRPr="005D21F3">
        <w:rPr>
          <w:rFonts w:ascii="Calibri"/>
          <w:color w:val="231F20"/>
          <w:spacing w:val="-1"/>
          <w:w w:val="105"/>
        </w:rPr>
        <w:t>y</w:t>
      </w:r>
      <w:r w:rsidRPr="005D21F3">
        <w:rPr>
          <w:rFonts w:ascii="Calibri"/>
          <w:color w:val="231F20"/>
          <w:spacing w:val="-5"/>
          <w:w w:val="105"/>
        </w:rPr>
        <w:t xml:space="preserve"> </w:t>
      </w:r>
      <w:r w:rsidRPr="005D21F3">
        <w:rPr>
          <w:rFonts w:ascii="Calibri"/>
          <w:color w:val="231F20"/>
          <w:w w:val="105"/>
        </w:rPr>
        <w:t>be</w:t>
      </w:r>
      <w:r w:rsidRPr="005D21F3">
        <w:rPr>
          <w:rFonts w:ascii="Calibri"/>
          <w:color w:val="231F20"/>
          <w:spacing w:val="-4"/>
          <w:w w:val="105"/>
        </w:rPr>
        <w:t xml:space="preserve"> </w:t>
      </w:r>
      <w:r w:rsidRPr="005D21F3">
        <w:rPr>
          <w:rFonts w:ascii="Calibri"/>
          <w:color w:val="231F20"/>
          <w:spacing w:val="-1"/>
          <w:w w:val="105"/>
        </w:rPr>
        <w:t>supplied</w:t>
      </w:r>
      <w:r w:rsidRPr="005D21F3">
        <w:rPr>
          <w:rFonts w:ascii="Calibri"/>
          <w:color w:val="231F20"/>
          <w:spacing w:val="-5"/>
          <w:w w:val="105"/>
        </w:rPr>
        <w:t xml:space="preserve"> </w:t>
      </w:r>
      <w:r w:rsidRPr="005D21F3">
        <w:rPr>
          <w:rFonts w:ascii="Calibri"/>
          <w:color w:val="231F20"/>
          <w:w w:val="105"/>
        </w:rPr>
        <w:t>under</w:t>
      </w:r>
      <w:r w:rsidRPr="005D21F3">
        <w:rPr>
          <w:rFonts w:ascii="Calibri"/>
          <w:color w:val="231F20"/>
          <w:spacing w:val="-5"/>
          <w:w w:val="105"/>
        </w:rPr>
        <w:t xml:space="preserve"> </w:t>
      </w:r>
      <w:r w:rsidRPr="005D21F3">
        <w:rPr>
          <w:rFonts w:ascii="Calibri"/>
          <w:color w:val="231F20"/>
          <w:w w:val="105"/>
        </w:rPr>
        <w:t>an</w:t>
      </w:r>
      <w:r w:rsidRPr="005D21F3">
        <w:rPr>
          <w:rFonts w:ascii="Calibri"/>
          <w:color w:val="231F20"/>
          <w:spacing w:val="-4"/>
          <w:w w:val="105"/>
        </w:rPr>
        <w:t xml:space="preserve"> </w:t>
      </w:r>
      <w:r w:rsidRPr="005D21F3">
        <w:rPr>
          <w:rFonts w:ascii="Calibri"/>
          <w:color w:val="231F20"/>
          <w:spacing w:val="-1"/>
          <w:w w:val="105"/>
        </w:rPr>
        <w:t>E</w:t>
      </w:r>
      <w:r w:rsidRPr="005D21F3">
        <w:rPr>
          <w:rFonts w:ascii="Calibri"/>
          <w:color w:val="231F20"/>
          <w:spacing w:val="-2"/>
          <w:w w:val="105"/>
        </w:rPr>
        <w:t>mer</w:t>
      </w:r>
      <w:r w:rsidRPr="005D21F3">
        <w:rPr>
          <w:rFonts w:ascii="Calibri"/>
          <w:color w:val="231F20"/>
          <w:spacing w:val="-1"/>
          <w:w w:val="105"/>
        </w:rPr>
        <w:t>gency</w:t>
      </w:r>
      <w:r w:rsidRPr="005D21F3">
        <w:rPr>
          <w:rFonts w:ascii="Calibri"/>
          <w:color w:val="231F20"/>
          <w:spacing w:val="-5"/>
          <w:w w:val="105"/>
        </w:rPr>
        <w:t xml:space="preserve"> </w:t>
      </w:r>
      <w:r w:rsidRPr="005D21F3">
        <w:rPr>
          <w:rFonts w:ascii="Calibri"/>
          <w:color w:val="231F20"/>
          <w:spacing w:val="-1"/>
          <w:w w:val="105"/>
        </w:rPr>
        <w:t>Use</w:t>
      </w:r>
      <w:r w:rsidRPr="005D21F3">
        <w:rPr>
          <w:rFonts w:ascii="Calibri"/>
          <w:color w:val="231F20"/>
          <w:spacing w:val="-5"/>
          <w:w w:val="105"/>
        </w:rPr>
        <w:t xml:space="preserve"> </w:t>
      </w:r>
      <w:r w:rsidRPr="005D21F3">
        <w:rPr>
          <w:rFonts w:ascii="Calibri"/>
          <w:color w:val="231F20"/>
          <w:spacing w:val="-1"/>
          <w:w w:val="105"/>
        </w:rPr>
        <w:t>A</w:t>
      </w:r>
      <w:r w:rsidRPr="005D21F3">
        <w:rPr>
          <w:rFonts w:ascii="Calibri"/>
          <w:color w:val="231F20"/>
          <w:spacing w:val="-2"/>
          <w:w w:val="105"/>
        </w:rPr>
        <w:t>uthorization</w:t>
      </w:r>
      <w:r w:rsidRPr="005D21F3">
        <w:rPr>
          <w:rFonts w:ascii="Calibri"/>
          <w:color w:val="231F20"/>
          <w:spacing w:val="-4"/>
          <w:w w:val="105"/>
        </w:rPr>
        <w:t xml:space="preserve"> </w:t>
      </w:r>
      <w:r w:rsidRPr="005D21F3">
        <w:rPr>
          <w:rFonts w:ascii="Calibri"/>
          <w:color w:val="231F20"/>
          <w:spacing w:val="-2"/>
          <w:w w:val="105"/>
        </w:rPr>
        <w:t>(EUA)</w:t>
      </w:r>
      <w:r w:rsidRPr="005D21F3">
        <w:rPr>
          <w:rFonts w:ascii="Calibri"/>
          <w:color w:val="231F20"/>
          <w:spacing w:val="-33"/>
          <w:w w:val="105"/>
        </w:rPr>
        <w:t xml:space="preserve"> </w:t>
      </w:r>
      <w:r w:rsidRPr="005D21F3">
        <w:rPr>
          <w:rFonts w:ascii="Calibri"/>
          <w:color w:val="231F20"/>
          <w:spacing w:val="-8"/>
          <w:w w:val="105"/>
          <w:position w:val="7"/>
          <w:sz w:val="13"/>
        </w:rPr>
        <w:t>9</w:t>
      </w:r>
    </w:p>
    <w:p w14:paraId="49A64873" w14:textId="51500D18" w:rsidR="00EC5B49" w:rsidRPr="005D21F3" w:rsidRDefault="00EC5B49" w:rsidP="00EC5B49">
      <w:pPr>
        <w:widowControl w:val="0"/>
        <w:numPr>
          <w:ilvl w:val="0"/>
          <w:numId w:val="90"/>
        </w:numPr>
        <w:tabs>
          <w:tab w:val="left" w:pos="1050"/>
        </w:tabs>
        <w:spacing w:before="109" w:after="0" w:line="240" w:lineRule="auto"/>
        <w:ind w:right="535"/>
        <w:rPr>
          <w:rFonts w:ascii="Calibri" w:eastAsia="Calibri" w:hAnsi="Calibri" w:cs="Calibri"/>
        </w:rPr>
      </w:pPr>
      <w:r w:rsidRPr="005D21F3">
        <w:rPr>
          <w:rFonts w:ascii="Calibri"/>
          <w:color w:val="231F20"/>
          <w:w w:val="110"/>
        </w:rPr>
        <w:t>CDC</w:t>
      </w:r>
      <w:r w:rsidRPr="005D21F3">
        <w:rPr>
          <w:rFonts w:ascii="Calibri"/>
          <w:color w:val="231F20"/>
          <w:spacing w:val="-32"/>
          <w:w w:val="110"/>
        </w:rPr>
        <w:t xml:space="preserve"> </w:t>
      </w:r>
      <w:r w:rsidRPr="005D21F3">
        <w:rPr>
          <w:rFonts w:ascii="Calibri"/>
          <w:color w:val="231F20"/>
          <w:w w:val="110"/>
        </w:rPr>
        <w:t>will</w:t>
      </w:r>
      <w:r w:rsidRPr="005D21F3">
        <w:rPr>
          <w:rFonts w:ascii="Calibri"/>
          <w:color w:val="231F20"/>
          <w:spacing w:val="-32"/>
          <w:w w:val="110"/>
        </w:rPr>
        <w:t xml:space="preserve"> </w:t>
      </w:r>
      <w:r w:rsidRPr="005D21F3">
        <w:rPr>
          <w:rFonts w:ascii="Calibri"/>
          <w:color w:val="231F20"/>
          <w:spacing w:val="-2"/>
          <w:w w:val="110"/>
        </w:rPr>
        <w:t>distribute</w:t>
      </w:r>
      <w:r w:rsidRPr="005D21F3">
        <w:rPr>
          <w:rFonts w:ascii="Calibri"/>
          <w:color w:val="231F20"/>
          <w:spacing w:val="-32"/>
          <w:w w:val="110"/>
        </w:rPr>
        <w:t xml:space="preserve"> </w:t>
      </w:r>
      <w:r w:rsidRPr="005D21F3">
        <w:rPr>
          <w:rFonts w:ascii="Calibri"/>
          <w:color w:val="231F20"/>
          <w:spacing w:val="-2"/>
          <w:w w:val="110"/>
        </w:rPr>
        <w:t>standard</w:t>
      </w:r>
      <w:r w:rsidRPr="005D21F3">
        <w:rPr>
          <w:rFonts w:ascii="Calibri"/>
          <w:color w:val="231F20"/>
          <w:spacing w:val="-32"/>
          <w:w w:val="110"/>
        </w:rPr>
        <w:t xml:space="preserve"> </w:t>
      </w:r>
      <w:r w:rsidRPr="005D21F3">
        <w:rPr>
          <w:rFonts w:ascii="Calibri"/>
          <w:color w:val="231F20"/>
          <w:spacing w:val="-1"/>
          <w:w w:val="110"/>
        </w:rPr>
        <w:t>c</w:t>
      </w:r>
      <w:r w:rsidRPr="005D21F3">
        <w:rPr>
          <w:rFonts w:ascii="Calibri"/>
          <w:color w:val="231F20"/>
          <w:spacing w:val="-2"/>
          <w:w w:val="110"/>
        </w:rPr>
        <w:t>ommunication</w:t>
      </w:r>
      <w:r w:rsidRPr="005D21F3">
        <w:rPr>
          <w:rFonts w:ascii="Calibri"/>
          <w:color w:val="231F20"/>
          <w:spacing w:val="-32"/>
          <w:w w:val="110"/>
        </w:rPr>
        <w:t xml:space="preserve"> </w:t>
      </w:r>
      <w:r w:rsidRPr="005D21F3">
        <w:rPr>
          <w:rFonts w:ascii="Calibri"/>
          <w:color w:val="231F20"/>
          <w:spacing w:val="-2"/>
          <w:w w:val="110"/>
        </w:rPr>
        <w:t>materials</w:t>
      </w:r>
      <w:r w:rsidRPr="005D21F3">
        <w:rPr>
          <w:rFonts w:ascii="Calibri"/>
          <w:color w:val="231F20"/>
          <w:spacing w:val="-31"/>
          <w:w w:val="110"/>
        </w:rPr>
        <w:t xml:space="preserve"> </w:t>
      </w:r>
      <w:r w:rsidRPr="005D21F3">
        <w:rPr>
          <w:rFonts w:ascii="Calibri"/>
          <w:color w:val="231F20"/>
          <w:w w:val="110"/>
        </w:rPr>
        <w:t>on</w:t>
      </w:r>
      <w:r w:rsidRPr="005D21F3">
        <w:rPr>
          <w:rFonts w:ascii="Calibri"/>
          <w:color w:val="231F20"/>
          <w:spacing w:val="-32"/>
          <w:w w:val="110"/>
        </w:rPr>
        <w:t xml:space="preserve"> </w:t>
      </w:r>
      <w:r w:rsidRPr="005D21F3">
        <w:rPr>
          <w:rFonts w:ascii="Calibri"/>
          <w:color w:val="231F20"/>
          <w:w w:val="110"/>
        </w:rPr>
        <w:t>the</w:t>
      </w:r>
      <w:r w:rsidRPr="005D21F3">
        <w:rPr>
          <w:rFonts w:ascii="Calibri"/>
          <w:color w:val="231F20"/>
          <w:spacing w:val="-32"/>
          <w:w w:val="110"/>
        </w:rPr>
        <w:t xml:space="preserve"> </w:t>
      </w:r>
      <w:r w:rsidRPr="005D21F3">
        <w:rPr>
          <w:rFonts w:ascii="Calibri"/>
          <w:color w:val="231F20"/>
          <w:spacing w:val="-2"/>
          <w:w w:val="110"/>
        </w:rPr>
        <w:t>E</w:t>
      </w:r>
      <w:r w:rsidRPr="005D21F3">
        <w:rPr>
          <w:rFonts w:ascii="Calibri"/>
          <w:color w:val="231F20"/>
          <w:spacing w:val="-3"/>
          <w:w w:val="110"/>
        </w:rPr>
        <w:t>U</w:t>
      </w:r>
      <w:r w:rsidRPr="005D21F3">
        <w:rPr>
          <w:rFonts w:ascii="Calibri"/>
          <w:color w:val="231F20"/>
          <w:spacing w:val="-2"/>
          <w:w w:val="110"/>
        </w:rPr>
        <w:t>A</w:t>
      </w:r>
      <w:r w:rsidRPr="005D21F3">
        <w:rPr>
          <w:rFonts w:ascii="Calibri"/>
          <w:color w:val="231F20"/>
          <w:spacing w:val="-32"/>
          <w:w w:val="110"/>
        </w:rPr>
        <w:t xml:space="preserve"> </w:t>
      </w:r>
      <w:r w:rsidRPr="005D21F3">
        <w:rPr>
          <w:rFonts w:ascii="Calibri"/>
          <w:color w:val="231F20"/>
          <w:spacing w:val="-3"/>
          <w:w w:val="110"/>
        </w:rPr>
        <w:t>for</w:t>
      </w:r>
      <w:r w:rsidRPr="005D21F3">
        <w:rPr>
          <w:rFonts w:ascii="Calibri"/>
          <w:color w:val="231F20"/>
          <w:spacing w:val="-32"/>
          <w:w w:val="110"/>
        </w:rPr>
        <w:t xml:space="preserve"> </w:t>
      </w:r>
      <w:r w:rsidRPr="005D21F3">
        <w:rPr>
          <w:rFonts w:ascii="Calibri"/>
          <w:color w:val="231F20"/>
          <w:w w:val="110"/>
        </w:rPr>
        <w:t>the</w:t>
      </w:r>
      <w:r w:rsidRPr="005D21F3">
        <w:rPr>
          <w:rFonts w:ascii="Calibri"/>
          <w:color w:val="231F20"/>
          <w:spacing w:val="-32"/>
          <w:w w:val="110"/>
        </w:rPr>
        <w:t xml:space="preserve"> </w:t>
      </w:r>
      <w:r w:rsidRPr="005D21F3">
        <w:rPr>
          <w:rFonts w:ascii="Calibri"/>
          <w:color w:val="231F20"/>
          <w:spacing w:val="-2"/>
          <w:w w:val="110"/>
        </w:rPr>
        <w:t>general</w:t>
      </w:r>
      <w:r w:rsidRPr="005D21F3">
        <w:rPr>
          <w:rFonts w:ascii="Calibri"/>
          <w:color w:val="231F20"/>
          <w:spacing w:val="-31"/>
          <w:w w:val="110"/>
        </w:rPr>
        <w:t xml:space="preserve"> </w:t>
      </w:r>
      <w:r w:rsidRPr="005D21F3">
        <w:rPr>
          <w:rFonts w:ascii="Calibri"/>
          <w:color w:val="231F20"/>
          <w:w w:val="110"/>
        </w:rPr>
        <w:t>public,</w:t>
      </w:r>
      <w:r w:rsidRPr="005D21F3">
        <w:rPr>
          <w:rFonts w:ascii="Calibri"/>
          <w:color w:val="231F20"/>
          <w:spacing w:val="-32"/>
          <w:w w:val="110"/>
        </w:rPr>
        <w:t xml:space="preserve"> </w:t>
      </w:r>
      <w:r w:rsidRPr="005D21F3">
        <w:rPr>
          <w:rFonts w:ascii="Calibri"/>
          <w:color w:val="231F20"/>
          <w:w w:val="110"/>
        </w:rPr>
        <w:t>similar</w:t>
      </w:r>
      <w:r w:rsidRPr="005D21F3">
        <w:rPr>
          <w:rFonts w:ascii="Calibri"/>
          <w:color w:val="231F20"/>
          <w:spacing w:val="-32"/>
          <w:w w:val="110"/>
        </w:rPr>
        <w:t xml:space="preserve"> </w:t>
      </w:r>
      <w:r w:rsidRPr="005D21F3">
        <w:rPr>
          <w:rFonts w:ascii="Calibri"/>
          <w:color w:val="231F20"/>
          <w:spacing w:val="-2"/>
          <w:w w:val="110"/>
        </w:rPr>
        <w:t>to</w:t>
      </w:r>
      <w:r w:rsidRPr="005D21F3">
        <w:rPr>
          <w:rFonts w:ascii="Calibri"/>
          <w:color w:val="231F20"/>
          <w:spacing w:val="-32"/>
          <w:w w:val="110"/>
        </w:rPr>
        <w:t xml:space="preserve"> </w:t>
      </w:r>
      <w:r w:rsidRPr="005D21F3">
        <w:rPr>
          <w:rFonts w:ascii="Calibri"/>
          <w:color w:val="231F20"/>
          <w:w w:val="110"/>
        </w:rPr>
        <w:t>the</w:t>
      </w:r>
      <w:r w:rsidRPr="005D21F3">
        <w:rPr>
          <w:rFonts w:ascii="Calibri"/>
          <w:color w:val="231F20"/>
          <w:spacing w:val="-32"/>
          <w:w w:val="110"/>
        </w:rPr>
        <w:t xml:space="preserve"> </w:t>
      </w:r>
      <w:r w:rsidRPr="005D21F3">
        <w:rPr>
          <w:rFonts w:ascii="Calibri"/>
          <w:color w:val="231F20"/>
          <w:spacing w:val="-2"/>
          <w:w w:val="110"/>
        </w:rPr>
        <w:t>vaccine</w:t>
      </w:r>
      <w:r w:rsidRPr="005D21F3">
        <w:rPr>
          <w:rFonts w:ascii="Calibri"/>
          <w:color w:val="231F20"/>
          <w:spacing w:val="69"/>
          <w:w w:val="105"/>
        </w:rPr>
        <w:t xml:space="preserve"> </w:t>
      </w:r>
      <w:r w:rsidRPr="005D21F3">
        <w:rPr>
          <w:rFonts w:ascii="Calibri"/>
          <w:color w:val="231F20"/>
          <w:spacing w:val="-2"/>
          <w:w w:val="105"/>
        </w:rPr>
        <w:t>information</w:t>
      </w:r>
      <w:r w:rsidRPr="005D21F3">
        <w:rPr>
          <w:rFonts w:ascii="Calibri"/>
          <w:color w:val="231F20"/>
          <w:spacing w:val="-9"/>
          <w:w w:val="105"/>
        </w:rPr>
        <w:t xml:space="preserve"> </w:t>
      </w:r>
      <w:r w:rsidRPr="005D21F3">
        <w:rPr>
          <w:rFonts w:ascii="Calibri"/>
          <w:color w:val="231F20"/>
          <w:spacing w:val="-1"/>
          <w:w w:val="105"/>
        </w:rPr>
        <w:t>s</w:t>
      </w:r>
      <w:r w:rsidRPr="005D21F3">
        <w:rPr>
          <w:rFonts w:ascii="Calibri"/>
          <w:color w:val="231F20"/>
          <w:spacing w:val="-2"/>
          <w:w w:val="105"/>
        </w:rPr>
        <w:t>tatement</w:t>
      </w:r>
      <w:r w:rsidRPr="005D21F3">
        <w:rPr>
          <w:rFonts w:ascii="Calibri"/>
          <w:color w:val="231F20"/>
          <w:spacing w:val="-8"/>
          <w:w w:val="105"/>
        </w:rPr>
        <w:t xml:space="preserve"> </w:t>
      </w:r>
      <w:r w:rsidRPr="005D21F3">
        <w:rPr>
          <w:rFonts w:ascii="Calibri"/>
          <w:color w:val="231F20"/>
          <w:spacing w:val="-1"/>
          <w:w w:val="105"/>
        </w:rPr>
        <w:t>(VIS</w:t>
      </w:r>
      <w:r w:rsidRPr="005D21F3">
        <w:rPr>
          <w:rFonts w:ascii="Calibri"/>
          <w:color w:val="231F20"/>
          <w:spacing w:val="-2"/>
          <w:w w:val="105"/>
        </w:rPr>
        <w:t>),</w:t>
      </w:r>
      <w:r w:rsidRPr="005D21F3">
        <w:rPr>
          <w:rFonts w:ascii="Calibri"/>
          <w:color w:val="231F20"/>
          <w:spacing w:val="-8"/>
          <w:w w:val="105"/>
        </w:rPr>
        <w:t xml:space="preserve"> </w:t>
      </w:r>
      <w:r w:rsidRPr="005D21F3">
        <w:rPr>
          <w:rFonts w:ascii="Calibri"/>
          <w:color w:val="231F20"/>
          <w:w w:val="105"/>
        </w:rPr>
        <w:t>and</w:t>
      </w:r>
      <w:r w:rsidRPr="005D21F3">
        <w:rPr>
          <w:rFonts w:ascii="Calibri"/>
          <w:color w:val="231F20"/>
          <w:spacing w:val="-8"/>
          <w:w w:val="105"/>
        </w:rPr>
        <w:t xml:space="preserve"> </w:t>
      </w:r>
      <w:r w:rsidRPr="005D21F3">
        <w:rPr>
          <w:rFonts w:ascii="Calibri"/>
          <w:color w:val="231F20"/>
          <w:w w:val="105"/>
        </w:rPr>
        <w:t>specific</w:t>
      </w:r>
      <w:r w:rsidRPr="005D21F3">
        <w:rPr>
          <w:rFonts w:ascii="Calibri"/>
          <w:color w:val="231F20"/>
          <w:spacing w:val="-8"/>
          <w:w w:val="105"/>
        </w:rPr>
        <w:t xml:space="preserve"> </w:t>
      </w:r>
      <w:r w:rsidRPr="005D21F3">
        <w:rPr>
          <w:rFonts w:ascii="Calibri"/>
          <w:color w:val="231F20"/>
          <w:spacing w:val="-1"/>
          <w:w w:val="105"/>
        </w:rPr>
        <w:t>c</w:t>
      </w:r>
      <w:r w:rsidRPr="005D21F3">
        <w:rPr>
          <w:rFonts w:ascii="Calibri"/>
          <w:color w:val="231F20"/>
          <w:spacing w:val="-2"/>
          <w:w w:val="105"/>
        </w:rPr>
        <w:t>ommunication</w:t>
      </w:r>
      <w:r w:rsidRPr="005D21F3">
        <w:rPr>
          <w:rFonts w:ascii="Calibri"/>
          <w:color w:val="231F20"/>
          <w:spacing w:val="-8"/>
          <w:w w:val="105"/>
        </w:rPr>
        <w:t xml:space="preserve"> </w:t>
      </w:r>
      <w:r w:rsidRPr="005D21F3">
        <w:rPr>
          <w:rFonts w:ascii="Calibri"/>
          <w:color w:val="231F20"/>
          <w:spacing w:val="-2"/>
          <w:w w:val="105"/>
        </w:rPr>
        <w:t>t</w:t>
      </w:r>
      <w:r w:rsidRPr="005D21F3">
        <w:rPr>
          <w:rFonts w:ascii="Calibri"/>
          <w:color w:val="231F20"/>
          <w:spacing w:val="-1"/>
          <w:w w:val="105"/>
        </w:rPr>
        <w:t>o</w:t>
      </w:r>
      <w:r w:rsidRPr="005D21F3">
        <w:rPr>
          <w:rFonts w:ascii="Calibri"/>
          <w:color w:val="231F20"/>
          <w:spacing w:val="-8"/>
          <w:w w:val="105"/>
        </w:rPr>
        <w:t xml:space="preserve"> </w:t>
      </w:r>
      <w:r w:rsidRPr="005D21F3">
        <w:rPr>
          <w:rFonts w:ascii="Calibri"/>
          <w:color w:val="231F20"/>
          <w:spacing w:val="-1"/>
          <w:w w:val="105"/>
        </w:rPr>
        <w:t>vaccine</w:t>
      </w:r>
      <w:r w:rsidRPr="005D21F3">
        <w:rPr>
          <w:rFonts w:ascii="Calibri"/>
          <w:color w:val="231F20"/>
          <w:spacing w:val="-9"/>
          <w:w w:val="105"/>
        </w:rPr>
        <w:t xml:space="preserve"> </w:t>
      </w:r>
      <w:r w:rsidRPr="005D21F3">
        <w:rPr>
          <w:rFonts w:ascii="Calibri"/>
          <w:color w:val="231F20"/>
          <w:spacing w:val="-2"/>
          <w:w w:val="105"/>
        </w:rPr>
        <w:t>pr</w:t>
      </w:r>
      <w:r w:rsidRPr="005D21F3">
        <w:rPr>
          <w:rFonts w:ascii="Calibri"/>
          <w:color w:val="231F20"/>
          <w:spacing w:val="-3"/>
          <w:w w:val="105"/>
        </w:rPr>
        <w:t>o</w:t>
      </w:r>
      <w:r w:rsidRPr="005D21F3">
        <w:rPr>
          <w:rFonts w:ascii="Calibri"/>
          <w:color w:val="231F20"/>
          <w:spacing w:val="-2"/>
          <w:w w:val="105"/>
        </w:rPr>
        <w:t>viders</w:t>
      </w:r>
      <w:r w:rsidRPr="005D21F3">
        <w:rPr>
          <w:rFonts w:ascii="Calibri"/>
          <w:color w:val="231F20"/>
          <w:spacing w:val="-8"/>
          <w:w w:val="105"/>
        </w:rPr>
        <w:t xml:space="preserve"> </w:t>
      </w:r>
      <w:r w:rsidRPr="005D21F3">
        <w:rPr>
          <w:rFonts w:ascii="Calibri"/>
          <w:color w:val="231F20"/>
          <w:w w:val="105"/>
        </w:rPr>
        <w:t>on</w:t>
      </w:r>
      <w:r w:rsidRPr="005D21F3">
        <w:rPr>
          <w:rFonts w:ascii="Calibri"/>
          <w:color w:val="231F20"/>
          <w:spacing w:val="-8"/>
          <w:w w:val="105"/>
        </w:rPr>
        <w:t xml:space="preserve"> </w:t>
      </w:r>
      <w:r w:rsidRPr="005D21F3">
        <w:rPr>
          <w:rFonts w:ascii="Calibri"/>
          <w:color w:val="231F20"/>
          <w:w w:val="105"/>
        </w:rPr>
        <w:t>the</w:t>
      </w:r>
      <w:r w:rsidRPr="005D21F3">
        <w:rPr>
          <w:rFonts w:ascii="Calibri"/>
          <w:color w:val="231F20"/>
          <w:spacing w:val="-8"/>
          <w:w w:val="105"/>
        </w:rPr>
        <w:t xml:space="preserve"> </w:t>
      </w:r>
      <w:r w:rsidRPr="005D21F3">
        <w:rPr>
          <w:rFonts w:ascii="Calibri"/>
          <w:color w:val="231F20"/>
          <w:spacing w:val="-1"/>
          <w:w w:val="105"/>
        </w:rPr>
        <w:t>EUA</w:t>
      </w:r>
    </w:p>
    <w:p w14:paraId="0B3649D5" w14:textId="0713317B" w:rsidR="00EC5B49" w:rsidRPr="005D21F3" w:rsidRDefault="00EC5B49" w:rsidP="00EC5B49">
      <w:pPr>
        <w:widowControl w:val="0"/>
        <w:numPr>
          <w:ilvl w:val="0"/>
          <w:numId w:val="90"/>
        </w:numPr>
        <w:tabs>
          <w:tab w:val="left" w:pos="1050"/>
        </w:tabs>
        <w:spacing w:before="109" w:after="0" w:line="240" w:lineRule="auto"/>
        <w:ind w:right="428"/>
        <w:rPr>
          <w:rFonts w:ascii="Calibri" w:eastAsia="Calibri" w:hAnsi="Calibri" w:cs="Calibri"/>
        </w:rPr>
      </w:pPr>
      <w:r w:rsidRPr="005D21F3">
        <w:rPr>
          <w:rFonts w:ascii="Calibri"/>
          <w:color w:val="231F20"/>
          <w:spacing w:val="-1"/>
        </w:rPr>
        <w:t>Public</w:t>
      </w:r>
      <w:r w:rsidRPr="005D21F3">
        <w:rPr>
          <w:rFonts w:ascii="Calibri"/>
          <w:color w:val="231F20"/>
          <w:spacing w:val="19"/>
        </w:rPr>
        <w:t xml:space="preserve"> </w:t>
      </w:r>
      <w:r w:rsidRPr="005D21F3">
        <w:rPr>
          <w:rFonts w:ascii="Calibri"/>
          <w:color w:val="231F20"/>
          <w:spacing w:val="-1"/>
        </w:rPr>
        <w:t>health</w:t>
      </w:r>
      <w:r w:rsidRPr="005D21F3">
        <w:rPr>
          <w:rFonts w:ascii="Calibri"/>
          <w:color w:val="231F20"/>
          <w:spacing w:val="19"/>
        </w:rPr>
        <w:t xml:space="preserve"> </w:t>
      </w:r>
      <w:r>
        <w:rPr>
          <w:rFonts w:ascii="Calibri"/>
          <w:color w:val="231F20"/>
          <w:spacing w:val="-1"/>
        </w:rPr>
        <w:t>division</w:t>
      </w:r>
      <w:r w:rsidRPr="005D21F3">
        <w:rPr>
          <w:rFonts w:ascii="Calibri"/>
          <w:color w:val="231F20"/>
          <w:spacing w:val="-1"/>
        </w:rPr>
        <w:t>s</w:t>
      </w:r>
      <w:r w:rsidRPr="005D21F3">
        <w:rPr>
          <w:rFonts w:ascii="Calibri"/>
          <w:color w:val="231F20"/>
          <w:spacing w:val="20"/>
        </w:rPr>
        <w:t xml:space="preserve"> </w:t>
      </w:r>
      <w:r w:rsidRPr="005D21F3">
        <w:rPr>
          <w:rFonts w:ascii="Calibri"/>
          <w:color w:val="231F20"/>
        </w:rPr>
        <w:t>will</w:t>
      </w:r>
      <w:r w:rsidRPr="005D21F3">
        <w:rPr>
          <w:rFonts w:ascii="Calibri"/>
          <w:color w:val="231F20"/>
          <w:spacing w:val="19"/>
        </w:rPr>
        <w:t xml:space="preserve"> </w:t>
      </w:r>
      <w:r w:rsidRPr="005D21F3">
        <w:rPr>
          <w:rFonts w:ascii="Calibri"/>
          <w:color w:val="231F20"/>
        </w:rPr>
        <w:t>be</w:t>
      </w:r>
      <w:r w:rsidRPr="005D21F3">
        <w:rPr>
          <w:rFonts w:ascii="Calibri"/>
          <w:color w:val="231F20"/>
          <w:spacing w:val="19"/>
        </w:rPr>
        <w:t xml:space="preserve"> </w:t>
      </w:r>
      <w:r w:rsidRPr="005D21F3">
        <w:rPr>
          <w:rFonts w:ascii="Calibri"/>
          <w:color w:val="231F20"/>
          <w:spacing w:val="-1"/>
        </w:rPr>
        <w:t>required</w:t>
      </w:r>
      <w:r w:rsidRPr="005D21F3">
        <w:rPr>
          <w:rFonts w:ascii="Calibri"/>
          <w:color w:val="231F20"/>
          <w:spacing w:val="20"/>
        </w:rPr>
        <w:t xml:space="preserve"> </w:t>
      </w:r>
      <w:r w:rsidRPr="005D21F3">
        <w:rPr>
          <w:rFonts w:ascii="Calibri"/>
          <w:color w:val="231F20"/>
          <w:spacing w:val="-1"/>
        </w:rPr>
        <w:t>to</w:t>
      </w:r>
      <w:r w:rsidRPr="005D21F3">
        <w:rPr>
          <w:rFonts w:ascii="Calibri"/>
          <w:color w:val="231F20"/>
          <w:spacing w:val="19"/>
        </w:rPr>
        <w:t xml:space="preserve"> </w:t>
      </w:r>
      <w:r w:rsidRPr="005D21F3">
        <w:rPr>
          <w:rFonts w:ascii="Calibri"/>
          <w:color w:val="231F20"/>
          <w:spacing w:val="-1"/>
        </w:rPr>
        <w:t>enroll</w:t>
      </w:r>
      <w:r w:rsidRPr="005D21F3">
        <w:rPr>
          <w:rFonts w:ascii="Calibri"/>
          <w:color w:val="231F20"/>
          <w:spacing w:val="20"/>
        </w:rPr>
        <w:t xml:space="preserve"> </w:t>
      </w:r>
      <w:r w:rsidRPr="005D21F3">
        <w:rPr>
          <w:rFonts w:ascii="Calibri"/>
          <w:color w:val="231F20"/>
        </w:rPr>
        <w:t>pandemic</w:t>
      </w:r>
      <w:r w:rsidRPr="005D21F3">
        <w:rPr>
          <w:rFonts w:ascii="Calibri"/>
          <w:color w:val="231F20"/>
          <w:spacing w:val="19"/>
        </w:rPr>
        <w:t xml:space="preserve"> </w:t>
      </w:r>
      <w:r w:rsidRPr="005D21F3">
        <w:rPr>
          <w:rFonts w:ascii="Calibri"/>
          <w:color w:val="231F20"/>
        </w:rPr>
        <w:t>influenza</w:t>
      </w:r>
      <w:r w:rsidRPr="005D21F3">
        <w:rPr>
          <w:rFonts w:ascii="Calibri"/>
          <w:color w:val="231F20"/>
          <w:spacing w:val="19"/>
        </w:rPr>
        <w:t xml:space="preserve"> </w:t>
      </w:r>
      <w:r w:rsidRPr="005D21F3">
        <w:rPr>
          <w:rFonts w:ascii="Calibri"/>
          <w:color w:val="231F20"/>
          <w:spacing w:val="-1"/>
        </w:rPr>
        <w:t>vaccine</w:t>
      </w:r>
      <w:r w:rsidRPr="005D21F3">
        <w:rPr>
          <w:rFonts w:ascii="Calibri"/>
          <w:color w:val="231F20"/>
          <w:spacing w:val="20"/>
        </w:rPr>
        <w:t xml:space="preserve"> </w:t>
      </w:r>
      <w:r w:rsidRPr="005D21F3">
        <w:rPr>
          <w:rFonts w:ascii="Calibri"/>
          <w:color w:val="231F20"/>
          <w:spacing w:val="-2"/>
        </w:rPr>
        <w:t>providers</w:t>
      </w:r>
      <w:r w:rsidRPr="005D21F3">
        <w:rPr>
          <w:rFonts w:ascii="Calibri"/>
          <w:color w:val="231F20"/>
          <w:spacing w:val="19"/>
        </w:rPr>
        <w:t xml:space="preserve"> </w:t>
      </w:r>
      <w:r w:rsidRPr="005D21F3">
        <w:rPr>
          <w:rFonts w:ascii="Calibri"/>
          <w:color w:val="231F20"/>
          <w:spacing w:val="-2"/>
        </w:rPr>
        <w:t>(</w:t>
      </w:r>
      <w:r w:rsidRPr="005D21F3">
        <w:rPr>
          <w:rFonts w:ascii="Calibri"/>
          <w:color w:val="231F20"/>
          <w:spacing w:val="-1"/>
        </w:rPr>
        <w:t>similar</w:t>
      </w:r>
      <w:r w:rsidRPr="005D21F3">
        <w:rPr>
          <w:rFonts w:ascii="Calibri"/>
          <w:color w:val="231F20"/>
          <w:spacing w:val="19"/>
        </w:rPr>
        <w:t xml:space="preserve"> </w:t>
      </w:r>
      <w:r w:rsidRPr="005D21F3">
        <w:rPr>
          <w:rFonts w:ascii="Calibri"/>
          <w:color w:val="231F20"/>
          <w:spacing w:val="-1"/>
        </w:rPr>
        <w:t>to</w:t>
      </w:r>
      <w:r w:rsidRPr="005D21F3">
        <w:rPr>
          <w:rFonts w:ascii="Calibri"/>
          <w:color w:val="231F20"/>
          <w:spacing w:val="20"/>
        </w:rPr>
        <w:t xml:space="preserve"> </w:t>
      </w:r>
      <w:r w:rsidRPr="005D21F3">
        <w:rPr>
          <w:rFonts w:ascii="Calibri"/>
          <w:color w:val="231F20"/>
        </w:rPr>
        <w:t>the</w:t>
      </w:r>
      <w:r w:rsidRPr="005D21F3">
        <w:rPr>
          <w:rFonts w:ascii="Calibri"/>
          <w:color w:val="231F20"/>
          <w:spacing w:val="19"/>
        </w:rPr>
        <w:t xml:space="preserve"> </w:t>
      </w:r>
      <w:r w:rsidRPr="005D21F3">
        <w:rPr>
          <w:rFonts w:ascii="Calibri"/>
          <w:color w:val="231F20"/>
        </w:rPr>
        <w:t>2009</w:t>
      </w:r>
      <w:r w:rsidRPr="005D21F3">
        <w:rPr>
          <w:rFonts w:ascii="Calibri"/>
          <w:color w:val="231F20"/>
          <w:spacing w:val="20"/>
        </w:rPr>
        <w:t xml:space="preserve"> </w:t>
      </w:r>
      <w:r w:rsidRPr="005D21F3">
        <w:rPr>
          <w:rFonts w:ascii="Calibri"/>
          <w:color w:val="231F20"/>
        </w:rPr>
        <w:t>H1N1</w:t>
      </w:r>
      <w:r w:rsidRPr="005D21F3">
        <w:rPr>
          <w:rFonts w:ascii="Calibri"/>
          <w:color w:val="231F20"/>
          <w:spacing w:val="53"/>
          <w:w w:val="88"/>
        </w:rPr>
        <w:t xml:space="preserve"> </w:t>
      </w:r>
      <w:r w:rsidRPr="005D21F3">
        <w:rPr>
          <w:rFonts w:ascii="Calibri"/>
          <w:color w:val="231F20"/>
          <w:spacing w:val="-1"/>
        </w:rPr>
        <w:t>response</w:t>
      </w:r>
      <w:r w:rsidRPr="005D21F3">
        <w:rPr>
          <w:rFonts w:ascii="Calibri"/>
          <w:color w:val="231F20"/>
          <w:spacing w:val="-2"/>
        </w:rPr>
        <w:t>)</w:t>
      </w:r>
      <w:r w:rsidRPr="005D21F3">
        <w:rPr>
          <w:rFonts w:ascii="Calibri"/>
          <w:color w:val="231F20"/>
          <w:spacing w:val="32"/>
        </w:rPr>
        <w:t xml:space="preserve"> </w:t>
      </w:r>
      <w:r w:rsidRPr="005D21F3">
        <w:rPr>
          <w:rFonts w:ascii="Calibri"/>
          <w:color w:val="231F20"/>
        </w:rPr>
        <w:t>using</w:t>
      </w:r>
      <w:r w:rsidRPr="005D21F3">
        <w:rPr>
          <w:rFonts w:ascii="Calibri"/>
          <w:color w:val="231F20"/>
          <w:spacing w:val="33"/>
        </w:rPr>
        <w:t xml:space="preserve"> </w:t>
      </w:r>
      <w:r w:rsidRPr="005D21F3">
        <w:rPr>
          <w:rFonts w:ascii="Calibri"/>
          <w:color w:val="231F20"/>
        </w:rPr>
        <w:t>a</w:t>
      </w:r>
      <w:r w:rsidRPr="005D21F3">
        <w:rPr>
          <w:rFonts w:ascii="Calibri"/>
          <w:color w:val="231F20"/>
          <w:spacing w:val="32"/>
        </w:rPr>
        <w:t xml:space="preserve"> </w:t>
      </w:r>
      <w:r w:rsidRPr="005D21F3">
        <w:rPr>
          <w:rFonts w:ascii="Calibri"/>
          <w:color w:val="231F20"/>
          <w:spacing w:val="-1"/>
        </w:rPr>
        <w:t>template</w:t>
      </w:r>
      <w:r w:rsidRPr="005D21F3">
        <w:rPr>
          <w:rFonts w:ascii="Calibri"/>
          <w:color w:val="231F20"/>
          <w:spacing w:val="33"/>
        </w:rPr>
        <w:t xml:space="preserve"> </w:t>
      </w:r>
      <w:r w:rsidRPr="005D21F3">
        <w:rPr>
          <w:rFonts w:ascii="Calibri"/>
          <w:color w:val="231F20"/>
          <w:spacing w:val="-1"/>
        </w:rPr>
        <w:t>developed</w:t>
      </w:r>
      <w:r w:rsidRPr="005D21F3">
        <w:rPr>
          <w:rFonts w:ascii="Calibri"/>
          <w:color w:val="231F20"/>
          <w:spacing w:val="32"/>
        </w:rPr>
        <w:t xml:space="preserve"> </w:t>
      </w:r>
      <w:r w:rsidRPr="005D21F3">
        <w:rPr>
          <w:rFonts w:ascii="Calibri"/>
          <w:color w:val="231F20"/>
          <w:spacing w:val="-2"/>
        </w:rPr>
        <w:t>by</w:t>
      </w:r>
      <w:r w:rsidRPr="005D21F3">
        <w:rPr>
          <w:rFonts w:ascii="Calibri"/>
          <w:color w:val="231F20"/>
          <w:spacing w:val="33"/>
        </w:rPr>
        <w:t xml:space="preserve"> </w:t>
      </w:r>
      <w:r w:rsidRPr="005D21F3">
        <w:rPr>
          <w:rFonts w:ascii="Calibri"/>
          <w:color w:val="231F20"/>
          <w:w w:val="110"/>
        </w:rPr>
        <w:t>CDC</w:t>
      </w:r>
    </w:p>
    <w:p w14:paraId="3CBB32FE" w14:textId="77777777" w:rsidR="00EC5B49" w:rsidRPr="005D21F3" w:rsidRDefault="00EC5B49" w:rsidP="00EC5B49">
      <w:pPr>
        <w:widowControl w:val="0"/>
        <w:numPr>
          <w:ilvl w:val="0"/>
          <w:numId w:val="90"/>
        </w:numPr>
        <w:tabs>
          <w:tab w:val="left" w:pos="1050"/>
        </w:tabs>
        <w:spacing w:before="109" w:after="0" w:line="240" w:lineRule="auto"/>
        <w:ind w:right="805"/>
        <w:rPr>
          <w:rFonts w:ascii="Calibri" w:eastAsia="Calibri" w:hAnsi="Calibri" w:cs="Calibri"/>
        </w:rPr>
      </w:pPr>
      <w:r w:rsidRPr="005D21F3">
        <w:rPr>
          <w:rFonts w:ascii="Calibri"/>
          <w:color w:val="231F20"/>
          <w:spacing w:val="-1"/>
        </w:rPr>
        <w:t>Pandemic</w:t>
      </w:r>
      <w:r w:rsidRPr="005D21F3">
        <w:rPr>
          <w:rFonts w:ascii="Calibri"/>
          <w:color w:val="231F20"/>
          <w:spacing w:val="18"/>
        </w:rPr>
        <w:t xml:space="preserve"> </w:t>
      </w:r>
      <w:r w:rsidRPr="005D21F3">
        <w:rPr>
          <w:rFonts w:ascii="Calibri"/>
          <w:color w:val="231F20"/>
        </w:rPr>
        <w:t>influenza</w:t>
      </w:r>
      <w:r w:rsidRPr="005D21F3">
        <w:rPr>
          <w:rFonts w:ascii="Calibri"/>
          <w:color w:val="231F20"/>
          <w:spacing w:val="19"/>
        </w:rPr>
        <w:t xml:space="preserve"> </w:t>
      </w:r>
      <w:r w:rsidRPr="005D21F3">
        <w:rPr>
          <w:rFonts w:ascii="Calibri"/>
          <w:color w:val="231F20"/>
          <w:spacing w:val="-1"/>
        </w:rPr>
        <w:t>vaccine</w:t>
      </w:r>
      <w:r w:rsidRPr="005D21F3">
        <w:rPr>
          <w:rFonts w:ascii="Calibri"/>
          <w:color w:val="231F20"/>
          <w:spacing w:val="19"/>
        </w:rPr>
        <w:t xml:space="preserve"> </w:t>
      </w:r>
      <w:r w:rsidRPr="005D21F3">
        <w:rPr>
          <w:rFonts w:ascii="Calibri"/>
          <w:color w:val="231F20"/>
          <w:spacing w:val="-1"/>
        </w:rPr>
        <w:t>distribution,</w:t>
      </w:r>
      <w:r w:rsidRPr="005D21F3">
        <w:rPr>
          <w:rFonts w:ascii="Calibri"/>
          <w:color w:val="231F20"/>
          <w:spacing w:val="19"/>
        </w:rPr>
        <w:t xml:space="preserve"> </w:t>
      </w:r>
      <w:r w:rsidRPr="005D21F3">
        <w:rPr>
          <w:rFonts w:ascii="Calibri"/>
          <w:color w:val="231F20"/>
        </w:rPr>
        <w:t>based</w:t>
      </w:r>
      <w:r w:rsidRPr="005D21F3">
        <w:rPr>
          <w:rFonts w:ascii="Calibri"/>
          <w:color w:val="231F20"/>
          <w:spacing w:val="19"/>
        </w:rPr>
        <w:t xml:space="preserve"> </w:t>
      </w:r>
      <w:r w:rsidRPr="005D21F3">
        <w:rPr>
          <w:rFonts w:ascii="Calibri"/>
          <w:color w:val="231F20"/>
        </w:rPr>
        <w:t>on</w:t>
      </w:r>
      <w:r w:rsidRPr="005D21F3">
        <w:rPr>
          <w:rFonts w:ascii="Calibri"/>
          <w:color w:val="231F20"/>
          <w:spacing w:val="19"/>
        </w:rPr>
        <w:t xml:space="preserve"> </w:t>
      </w:r>
      <w:r w:rsidRPr="005D21F3">
        <w:rPr>
          <w:rFonts w:ascii="Calibri"/>
          <w:color w:val="231F20"/>
          <w:spacing w:val="-1"/>
        </w:rPr>
        <w:t>state</w:t>
      </w:r>
      <w:r w:rsidRPr="005D21F3">
        <w:rPr>
          <w:rFonts w:ascii="Calibri"/>
          <w:color w:val="231F20"/>
          <w:spacing w:val="19"/>
        </w:rPr>
        <w:t xml:space="preserve"> </w:t>
      </w:r>
      <w:r w:rsidRPr="005D21F3">
        <w:rPr>
          <w:rFonts w:ascii="Calibri"/>
          <w:color w:val="231F20"/>
        </w:rPr>
        <w:t>population</w:t>
      </w:r>
      <w:r w:rsidRPr="005D21F3">
        <w:rPr>
          <w:rFonts w:ascii="Calibri"/>
          <w:color w:val="231F20"/>
          <w:spacing w:val="19"/>
        </w:rPr>
        <w:t xml:space="preserve"> </w:t>
      </w:r>
      <w:r w:rsidRPr="005D21F3">
        <w:rPr>
          <w:rFonts w:ascii="Calibri"/>
          <w:color w:val="231F20"/>
        </w:rPr>
        <w:t>or</w:t>
      </w:r>
      <w:r w:rsidRPr="005D21F3">
        <w:rPr>
          <w:rFonts w:ascii="Calibri"/>
          <w:color w:val="231F20"/>
          <w:spacing w:val="19"/>
        </w:rPr>
        <w:t xml:space="preserve"> </w:t>
      </w:r>
      <w:r w:rsidRPr="005D21F3">
        <w:rPr>
          <w:rFonts w:ascii="Calibri"/>
          <w:color w:val="231F20"/>
          <w:spacing w:val="-1"/>
        </w:rPr>
        <w:t>pro-rat</w:t>
      </w:r>
      <w:r w:rsidRPr="005D21F3">
        <w:rPr>
          <w:rFonts w:ascii="Calibri"/>
          <w:color w:val="231F20"/>
          <w:spacing w:val="-2"/>
        </w:rPr>
        <w:t>a,</w:t>
      </w:r>
      <w:r w:rsidRPr="005D21F3">
        <w:rPr>
          <w:rFonts w:ascii="Calibri"/>
          <w:color w:val="231F20"/>
          <w:spacing w:val="19"/>
        </w:rPr>
        <w:t xml:space="preserve"> </w:t>
      </w:r>
      <w:r w:rsidRPr="005D21F3">
        <w:rPr>
          <w:rFonts w:ascii="Calibri"/>
          <w:color w:val="231F20"/>
          <w:spacing w:val="-1"/>
        </w:rPr>
        <w:t>may</w:t>
      </w:r>
      <w:r w:rsidRPr="005D21F3">
        <w:rPr>
          <w:rFonts w:ascii="Calibri"/>
          <w:color w:val="231F20"/>
          <w:spacing w:val="19"/>
        </w:rPr>
        <w:t xml:space="preserve"> </w:t>
      </w:r>
      <w:r w:rsidRPr="005D21F3">
        <w:rPr>
          <w:rFonts w:ascii="Calibri"/>
          <w:color w:val="231F20"/>
        </w:rPr>
        <w:t>begin</w:t>
      </w:r>
      <w:r w:rsidRPr="005D21F3">
        <w:rPr>
          <w:rFonts w:ascii="Calibri"/>
          <w:color w:val="231F20"/>
          <w:spacing w:val="19"/>
        </w:rPr>
        <w:t xml:space="preserve"> </w:t>
      </w:r>
      <w:r w:rsidRPr="005D21F3">
        <w:rPr>
          <w:rFonts w:ascii="Calibri"/>
          <w:color w:val="231F20"/>
        </w:rPr>
        <w:t>as</w:t>
      </w:r>
      <w:r w:rsidRPr="005D21F3">
        <w:rPr>
          <w:rFonts w:ascii="Calibri"/>
          <w:color w:val="231F20"/>
          <w:spacing w:val="19"/>
        </w:rPr>
        <w:t xml:space="preserve"> </w:t>
      </w:r>
      <w:r w:rsidRPr="005D21F3">
        <w:rPr>
          <w:rFonts w:ascii="Calibri"/>
          <w:color w:val="231F20"/>
          <w:spacing w:val="-1"/>
        </w:rPr>
        <w:t>early</w:t>
      </w:r>
      <w:r w:rsidRPr="005D21F3">
        <w:rPr>
          <w:rFonts w:ascii="Calibri"/>
          <w:color w:val="231F20"/>
          <w:spacing w:val="19"/>
        </w:rPr>
        <w:t xml:space="preserve"> </w:t>
      </w:r>
      <w:r w:rsidRPr="005D21F3">
        <w:rPr>
          <w:rFonts w:ascii="Calibri"/>
          <w:color w:val="231F20"/>
        </w:rPr>
        <w:t>as</w:t>
      </w:r>
      <w:r w:rsidRPr="005D21F3">
        <w:rPr>
          <w:rFonts w:ascii="Calibri"/>
          <w:color w:val="231F20"/>
          <w:spacing w:val="19"/>
        </w:rPr>
        <w:t xml:space="preserve"> </w:t>
      </w:r>
      <w:r w:rsidRPr="005D21F3">
        <w:rPr>
          <w:rFonts w:ascii="Calibri"/>
          <w:color w:val="231F20"/>
        </w:rPr>
        <w:t>45</w:t>
      </w:r>
      <w:r w:rsidRPr="005D21F3">
        <w:rPr>
          <w:rFonts w:ascii="Calibri"/>
          <w:color w:val="231F20"/>
          <w:spacing w:val="19"/>
        </w:rPr>
        <w:t xml:space="preserve"> </w:t>
      </w:r>
      <w:r w:rsidRPr="005D21F3">
        <w:rPr>
          <w:rFonts w:ascii="Calibri"/>
          <w:color w:val="231F20"/>
          <w:spacing w:val="-1"/>
        </w:rPr>
        <w:t>days</w:t>
      </w:r>
      <w:r w:rsidRPr="005D21F3">
        <w:rPr>
          <w:rFonts w:ascii="Calibri"/>
          <w:color w:val="231F20"/>
          <w:spacing w:val="49"/>
          <w:w w:val="107"/>
        </w:rPr>
        <w:t xml:space="preserve"> </w:t>
      </w:r>
      <w:r w:rsidRPr="005D21F3">
        <w:rPr>
          <w:rFonts w:ascii="Calibri"/>
          <w:color w:val="231F20"/>
          <w:spacing w:val="-2"/>
        </w:rPr>
        <w:t>aft</w:t>
      </w:r>
      <w:r w:rsidRPr="005D21F3">
        <w:rPr>
          <w:rFonts w:ascii="Calibri"/>
          <w:color w:val="231F20"/>
          <w:spacing w:val="-1"/>
        </w:rPr>
        <w:t>er</w:t>
      </w:r>
      <w:r w:rsidRPr="005D21F3">
        <w:rPr>
          <w:rFonts w:ascii="Calibri"/>
          <w:color w:val="231F20"/>
          <w:spacing w:val="16"/>
        </w:rPr>
        <w:t xml:space="preserve"> </w:t>
      </w:r>
      <w:r w:rsidRPr="005D21F3">
        <w:rPr>
          <w:rFonts w:ascii="Calibri"/>
          <w:color w:val="231F20"/>
        </w:rPr>
        <w:t>the</w:t>
      </w:r>
      <w:r w:rsidRPr="005D21F3">
        <w:rPr>
          <w:rFonts w:ascii="Calibri"/>
          <w:color w:val="231F20"/>
          <w:spacing w:val="17"/>
        </w:rPr>
        <w:t xml:space="preserve"> </w:t>
      </w:r>
      <w:r w:rsidRPr="005D21F3">
        <w:rPr>
          <w:rFonts w:ascii="Calibri"/>
          <w:color w:val="231F20"/>
        </w:rPr>
        <w:t>decision</w:t>
      </w:r>
      <w:r w:rsidRPr="005D21F3">
        <w:rPr>
          <w:rFonts w:ascii="Calibri"/>
          <w:color w:val="231F20"/>
          <w:spacing w:val="16"/>
        </w:rPr>
        <w:t xml:space="preserve"> </w:t>
      </w:r>
      <w:r w:rsidRPr="005D21F3">
        <w:rPr>
          <w:rFonts w:ascii="Calibri"/>
          <w:color w:val="231F20"/>
        </w:rPr>
        <w:t>is</w:t>
      </w:r>
      <w:r w:rsidRPr="005D21F3">
        <w:rPr>
          <w:rFonts w:ascii="Calibri"/>
          <w:color w:val="231F20"/>
          <w:spacing w:val="17"/>
        </w:rPr>
        <w:t xml:space="preserve"> </w:t>
      </w:r>
      <w:r w:rsidRPr="005D21F3">
        <w:rPr>
          <w:rFonts w:ascii="Calibri"/>
          <w:color w:val="231F20"/>
        </w:rPr>
        <w:t>made</w:t>
      </w:r>
      <w:r w:rsidRPr="005D21F3">
        <w:rPr>
          <w:rFonts w:ascii="Calibri"/>
          <w:color w:val="231F20"/>
          <w:spacing w:val="17"/>
        </w:rPr>
        <w:t xml:space="preserve"> </w:t>
      </w:r>
      <w:r w:rsidRPr="005D21F3">
        <w:rPr>
          <w:rFonts w:ascii="Calibri"/>
          <w:color w:val="231F20"/>
          <w:spacing w:val="-1"/>
        </w:rPr>
        <w:t>to</w:t>
      </w:r>
      <w:r w:rsidRPr="005D21F3">
        <w:rPr>
          <w:rFonts w:ascii="Calibri"/>
          <w:color w:val="231F20"/>
          <w:spacing w:val="16"/>
        </w:rPr>
        <w:t xml:space="preserve"> </w:t>
      </w:r>
      <w:r w:rsidRPr="005D21F3">
        <w:rPr>
          <w:rFonts w:ascii="Calibri"/>
          <w:color w:val="231F20"/>
          <w:spacing w:val="-1"/>
        </w:rPr>
        <w:t>make</w:t>
      </w:r>
      <w:r w:rsidRPr="005D21F3">
        <w:rPr>
          <w:rFonts w:ascii="Calibri"/>
          <w:color w:val="231F20"/>
          <w:spacing w:val="17"/>
        </w:rPr>
        <w:t xml:space="preserve"> </w:t>
      </w:r>
      <w:r w:rsidRPr="005D21F3">
        <w:rPr>
          <w:rFonts w:ascii="Calibri"/>
          <w:color w:val="231F20"/>
        </w:rPr>
        <w:t>and</w:t>
      </w:r>
      <w:r w:rsidRPr="005D21F3">
        <w:rPr>
          <w:rFonts w:ascii="Calibri"/>
          <w:color w:val="231F20"/>
          <w:spacing w:val="17"/>
        </w:rPr>
        <w:t xml:space="preserve"> </w:t>
      </w:r>
      <w:r w:rsidRPr="005D21F3">
        <w:rPr>
          <w:rFonts w:ascii="Calibri"/>
          <w:color w:val="231F20"/>
          <w:spacing w:val="-1"/>
        </w:rPr>
        <w:t>distribute</w:t>
      </w:r>
      <w:r w:rsidRPr="005D21F3">
        <w:rPr>
          <w:rFonts w:ascii="Calibri"/>
          <w:color w:val="231F20"/>
          <w:spacing w:val="16"/>
        </w:rPr>
        <w:t xml:space="preserve"> </w:t>
      </w:r>
      <w:r w:rsidRPr="005D21F3">
        <w:rPr>
          <w:rFonts w:ascii="Calibri"/>
          <w:color w:val="231F20"/>
        </w:rPr>
        <w:t>pandemic</w:t>
      </w:r>
      <w:r w:rsidRPr="005D21F3">
        <w:rPr>
          <w:rFonts w:ascii="Calibri"/>
          <w:color w:val="231F20"/>
          <w:spacing w:val="17"/>
        </w:rPr>
        <w:t xml:space="preserve"> </w:t>
      </w:r>
      <w:r w:rsidRPr="005D21F3">
        <w:rPr>
          <w:rFonts w:ascii="Calibri"/>
          <w:color w:val="231F20"/>
        </w:rPr>
        <w:t>influenza</w:t>
      </w:r>
      <w:r w:rsidRPr="005D21F3">
        <w:rPr>
          <w:rFonts w:ascii="Calibri"/>
          <w:color w:val="231F20"/>
          <w:spacing w:val="16"/>
        </w:rPr>
        <w:t xml:space="preserve"> </w:t>
      </w:r>
      <w:r w:rsidRPr="005D21F3">
        <w:rPr>
          <w:rFonts w:ascii="Calibri"/>
          <w:color w:val="231F20"/>
          <w:spacing w:val="-2"/>
        </w:rPr>
        <w:t>vaccine</w:t>
      </w:r>
      <w:r w:rsidRPr="005D21F3">
        <w:rPr>
          <w:rFonts w:ascii="Calibri"/>
          <w:color w:val="231F20"/>
          <w:spacing w:val="-22"/>
        </w:rPr>
        <w:t xml:space="preserve"> </w:t>
      </w:r>
    </w:p>
    <w:p w14:paraId="74A0001B" w14:textId="43B3BC22" w:rsidR="00EC5B49" w:rsidRPr="003356D7" w:rsidRDefault="00EC5B49" w:rsidP="00EC5B49">
      <w:pPr>
        <w:widowControl w:val="0"/>
        <w:numPr>
          <w:ilvl w:val="0"/>
          <w:numId w:val="90"/>
        </w:numPr>
        <w:tabs>
          <w:tab w:val="left" w:pos="1050"/>
        </w:tabs>
        <w:spacing w:before="109" w:after="0" w:line="240" w:lineRule="auto"/>
        <w:ind w:right="428"/>
        <w:rPr>
          <w:rFonts w:ascii="Calibri" w:eastAsia="Calibri" w:hAnsi="Calibri" w:cs="Calibri"/>
        </w:rPr>
      </w:pPr>
      <w:r w:rsidRPr="005D21F3">
        <w:rPr>
          <w:rFonts w:ascii="Calibri" w:eastAsia="Calibri" w:hAnsi="Calibri" w:cs="Calibri"/>
          <w:color w:val="231F20"/>
          <w:spacing w:val="-1"/>
        </w:rPr>
        <w:t>Once</w:t>
      </w:r>
      <w:r w:rsidRPr="005D21F3">
        <w:rPr>
          <w:rFonts w:ascii="Calibri" w:eastAsia="Calibri" w:hAnsi="Calibri" w:cs="Calibri"/>
          <w:color w:val="231F20"/>
          <w:spacing w:val="27"/>
        </w:rPr>
        <w:t xml:space="preserve"> </w:t>
      </w:r>
      <w:r w:rsidRPr="005D21F3">
        <w:rPr>
          <w:rFonts w:ascii="Calibri" w:eastAsia="Calibri" w:hAnsi="Calibri" w:cs="Calibri"/>
          <w:color w:val="231F20"/>
          <w:spacing w:val="-1"/>
        </w:rPr>
        <w:t>developed</w:t>
      </w:r>
      <w:r w:rsidRPr="005D21F3">
        <w:rPr>
          <w:rFonts w:ascii="Calibri" w:eastAsia="Calibri" w:hAnsi="Calibri" w:cs="Calibri"/>
          <w:color w:val="231F20"/>
          <w:spacing w:val="-2"/>
        </w:rPr>
        <w:t>,</w:t>
      </w:r>
      <w:r w:rsidRPr="005D21F3">
        <w:rPr>
          <w:rFonts w:ascii="Calibri" w:eastAsia="Calibri" w:hAnsi="Calibri" w:cs="Calibri"/>
          <w:color w:val="231F20"/>
          <w:spacing w:val="28"/>
        </w:rPr>
        <w:t xml:space="preserve"> </w:t>
      </w:r>
      <w:r w:rsidRPr="005D21F3">
        <w:rPr>
          <w:rFonts w:ascii="Calibri" w:eastAsia="Calibri" w:hAnsi="Calibri" w:cs="Calibri"/>
          <w:color w:val="231F20"/>
        </w:rPr>
        <w:t>pandemic</w:t>
      </w:r>
      <w:r w:rsidRPr="005D21F3">
        <w:rPr>
          <w:rFonts w:ascii="Calibri" w:eastAsia="Calibri" w:hAnsi="Calibri" w:cs="Calibri"/>
          <w:color w:val="231F20"/>
          <w:spacing w:val="28"/>
        </w:rPr>
        <w:t xml:space="preserve"> </w:t>
      </w:r>
      <w:r w:rsidRPr="005D21F3">
        <w:rPr>
          <w:rFonts w:ascii="Calibri" w:eastAsia="Calibri" w:hAnsi="Calibri" w:cs="Calibri"/>
          <w:color w:val="231F20"/>
          <w:spacing w:val="-1"/>
        </w:rPr>
        <w:t>vaccine</w:t>
      </w:r>
      <w:r w:rsidRPr="005D21F3">
        <w:rPr>
          <w:rFonts w:ascii="Calibri" w:eastAsia="Calibri" w:hAnsi="Calibri" w:cs="Calibri"/>
          <w:color w:val="231F20"/>
          <w:spacing w:val="28"/>
        </w:rPr>
        <w:t xml:space="preserve"> </w:t>
      </w:r>
      <w:r w:rsidRPr="005D21F3">
        <w:rPr>
          <w:rFonts w:ascii="Calibri" w:eastAsia="Calibri" w:hAnsi="Calibri" w:cs="Calibri"/>
          <w:color w:val="231F20"/>
          <w:spacing w:val="-1"/>
        </w:rPr>
        <w:t>matched</w:t>
      </w:r>
      <w:r w:rsidRPr="005D21F3">
        <w:rPr>
          <w:rFonts w:ascii="Calibri" w:eastAsia="Calibri" w:hAnsi="Calibri" w:cs="Calibri"/>
          <w:color w:val="231F20"/>
          <w:spacing w:val="28"/>
        </w:rPr>
        <w:t xml:space="preserve"> </w:t>
      </w:r>
      <w:r w:rsidRPr="005D21F3">
        <w:rPr>
          <w:rFonts w:ascii="Calibri" w:eastAsia="Calibri" w:hAnsi="Calibri" w:cs="Calibri"/>
          <w:color w:val="231F20"/>
          <w:spacing w:val="-1"/>
        </w:rPr>
        <w:t>to</w:t>
      </w:r>
      <w:r w:rsidRPr="005D21F3">
        <w:rPr>
          <w:rFonts w:ascii="Calibri" w:eastAsia="Calibri" w:hAnsi="Calibri" w:cs="Calibri"/>
          <w:color w:val="231F20"/>
          <w:spacing w:val="28"/>
        </w:rPr>
        <w:t xml:space="preserve"> </w:t>
      </w:r>
      <w:r w:rsidRPr="005D21F3">
        <w:rPr>
          <w:rFonts w:ascii="Calibri" w:eastAsia="Calibri" w:hAnsi="Calibri" w:cs="Calibri"/>
          <w:color w:val="231F20"/>
        </w:rPr>
        <w:t>the</w:t>
      </w:r>
      <w:r w:rsidRPr="005D21F3">
        <w:rPr>
          <w:rFonts w:ascii="Calibri" w:eastAsia="Calibri" w:hAnsi="Calibri" w:cs="Calibri"/>
          <w:color w:val="231F20"/>
          <w:spacing w:val="27"/>
        </w:rPr>
        <w:t xml:space="preserve"> </w:t>
      </w:r>
      <w:r w:rsidRPr="005D21F3">
        <w:rPr>
          <w:rFonts w:ascii="Calibri" w:eastAsia="Calibri" w:hAnsi="Calibri" w:cs="Calibri"/>
          <w:color w:val="231F20"/>
          <w:spacing w:val="-1"/>
        </w:rPr>
        <w:t>emerging</w:t>
      </w:r>
      <w:r w:rsidRPr="005D21F3">
        <w:rPr>
          <w:rFonts w:ascii="Calibri" w:eastAsia="Calibri" w:hAnsi="Calibri" w:cs="Calibri"/>
          <w:color w:val="231F20"/>
          <w:spacing w:val="28"/>
        </w:rPr>
        <w:t xml:space="preserve"> </w:t>
      </w:r>
      <w:r w:rsidRPr="005D21F3">
        <w:rPr>
          <w:rFonts w:ascii="Calibri" w:eastAsia="Calibri" w:hAnsi="Calibri" w:cs="Calibri"/>
          <w:color w:val="231F20"/>
        </w:rPr>
        <w:t>pandemic</w:t>
      </w:r>
      <w:r w:rsidRPr="005D21F3">
        <w:rPr>
          <w:rFonts w:ascii="Calibri" w:eastAsia="Calibri" w:hAnsi="Calibri" w:cs="Calibri"/>
          <w:color w:val="231F20"/>
          <w:spacing w:val="28"/>
        </w:rPr>
        <w:t xml:space="preserve"> </w:t>
      </w:r>
      <w:r w:rsidRPr="005D21F3">
        <w:rPr>
          <w:rFonts w:ascii="Calibri" w:eastAsia="Calibri" w:hAnsi="Calibri" w:cs="Calibri"/>
          <w:color w:val="231F20"/>
        </w:rPr>
        <w:t>virus</w:t>
      </w:r>
      <w:r w:rsidRPr="005D21F3">
        <w:rPr>
          <w:rFonts w:ascii="Calibri" w:eastAsia="Calibri" w:hAnsi="Calibri" w:cs="Calibri"/>
          <w:color w:val="231F20"/>
          <w:spacing w:val="28"/>
        </w:rPr>
        <w:t xml:space="preserve"> </w:t>
      </w:r>
      <w:r w:rsidRPr="005D21F3">
        <w:rPr>
          <w:rFonts w:ascii="Calibri" w:eastAsia="Calibri" w:hAnsi="Calibri" w:cs="Calibri"/>
          <w:color w:val="231F20"/>
          <w:spacing w:val="-1"/>
        </w:rPr>
        <w:t>strain</w:t>
      </w:r>
      <w:r w:rsidRPr="005D21F3">
        <w:rPr>
          <w:rFonts w:ascii="Calibri" w:eastAsia="Calibri" w:hAnsi="Calibri" w:cs="Calibri"/>
          <w:color w:val="231F20"/>
          <w:spacing w:val="28"/>
        </w:rPr>
        <w:t xml:space="preserve"> </w:t>
      </w:r>
      <w:r w:rsidRPr="005D21F3">
        <w:rPr>
          <w:rFonts w:ascii="Calibri" w:eastAsia="Calibri" w:hAnsi="Calibri" w:cs="Calibri"/>
          <w:color w:val="231F20"/>
          <w:spacing w:val="-1"/>
        </w:rPr>
        <w:t>may</w:t>
      </w:r>
      <w:r w:rsidRPr="005D21F3">
        <w:rPr>
          <w:rFonts w:ascii="Calibri" w:eastAsia="Calibri" w:hAnsi="Calibri" w:cs="Calibri"/>
          <w:color w:val="231F20"/>
          <w:spacing w:val="28"/>
        </w:rPr>
        <w:t xml:space="preserve"> </w:t>
      </w:r>
      <w:r w:rsidRPr="005D21F3">
        <w:rPr>
          <w:rFonts w:ascii="Calibri" w:eastAsia="Calibri" w:hAnsi="Calibri" w:cs="Calibri"/>
          <w:color w:val="231F20"/>
          <w:spacing w:val="-1"/>
        </w:rPr>
        <w:t>become</w:t>
      </w:r>
      <w:r w:rsidRPr="005D21F3">
        <w:rPr>
          <w:rFonts w:ascii="Calibri" w:eastAsia="Calibri" w:hAnsi="Calibri" w:cs="Calibri"/>
          <w:color w:val="231F20"/>
          <w:spacing w:val="28"/>
        </w:rPr>
        <w:t xml:space="preserve"> </w:t>
      </w:r>
      <w:r w:rsidRPr="005D21F3">
        <w:rPr>
          <w:rFonts w:ascii="Calibri" w:eastAsia="Calibri" w:hAnsi="Calibri" w:cs="Calibri"/>
          <w:color w:val="231F20"/>
          <w:spacing w:val="-1"/>
        </w:rPr>
        <w:t>available</w:t>
      </w:r>
      <w:r w:rsidRPr="005D21F3">
        <w:rPr>
          <w:rFonts w:ascii="Calibri" w:eastAsia="Calibri" w:hAnsi="Calibri" w:cs="Calibri"/>
          <w:color w:val="231F20"/>
          <w:spacing w:val="27"/>
        </w:rPr>
        <w:t xml:space="preserve"> </w:t>
      </w:r>
      <w:r w:rsidRPr="005D21F3">
        <w:rPr>
          <w:rFonts w:ascii="Calibri" w:eastAsia="Calibri" w:hAnsi="Calibri" w:cs="Calibri"/>
          <w:color w:val="231F20"/>
          <w:spacing w:val="-2"/>
        </w:rPr>
        <w:t>for</w:t>
      </w:r>
      <w:r w:rsidRPr="005D21F3">
        <w:rPr>
          <w:rFonts w:ascii="Calibri" w:eastAsia="Calibri" w:hAnsi="Calibri" w:cs="Calibri"/>
          <w:color w:val="231F20"/>
          <w:spacing w:val="57"/>
          <w:w w:val="104"/>
        </w:rPr>
        <w:t xml:space="preserve"> </w:t>
      </w:r>
      <w:r w:rsidRPr="005D21F3">
        <w:rPr>
          <w:rFonts w:ascii="Calibri" w:eastAsia="Calibri" w:hAnsi="Calibri" w:cs="Calibri"/>
          <w:color w:val="231F20"/>
          <w:spacing w:val="-1"/>
        </w:rPr>
        <w:t>approximately</w:t>
      </w:r>
      <w:r w:rsidRPr="005D21F3">
        <w:rPr>
          <w:rFonts w:ascii="Calibri" w:eastAsia="Calibri" w:hAnsi="Calibri" w:cs="Calibri"/>
          <w:color w:val="231F20"/>
          <w:spacing w:val="9"/>
        </w:rPr>
        <w:t xml:space="preserve"> </w:t>
      </w:r>
      <w:r w:rsidRPr="005D21F3">
        <w:rPr>
          <w:rFonts w:ascii="Calibri" w:eastAsia="Calibri" w:hAnsi="Calibri" w:cs="Calibri"/>
          <w:color w:val="231F20"/>
          <w:spacing w:val="-3"/>
        </w:rPr>
        <w:t>10–15</w:t>
      </w:r>
      <w:r w:rsidRPr="005D21F3">
        <w:rPr>
          <w:rFonts w:ascii="Calibri" w:eastAsia="Calibri" w:hAnsi="Calibri" w:cs="Calibri"/>
          <w:color w:val="231F20"/>
          <w:spacing w:val="-2"/>
        </w:rPr>
        <w:t>%</w:t>
      </w:r>
      <w:r w:rsidRPr="005D21F3">
        <w:rPr>
          <w:rFonts w:ascii="Calibri" w:eastAsia="Calibri" w:hAnsi="Calibri" w:cs="Calibri"/>
          <w:color w:val="231F20"/>
          <w:spacing w:val="9"/>
        </w:rPr>
        <w:t xml:space="preserve"> </w:t>
      </w:r>
      <w:r w:rsidRPr="005D21F3">
        <w:rPr>
          <w:rFonts w:ascii="Calibri" w:eastAsia="Calibri" w:hAnsi="Calibri" w:cs="Calibri"/>
          <w:color w:val="231F20"/>
          <w:spacing w:val="-2"/>
        </w:rPr>
        <w:t>of</w:t>
      </w:r>
      <w:r w:rsidRPr="005D21F3">
        <w:rPr>
          <w:rFonts w:ascii="Calibri" w:eastAsia="Calibri" w:hAnsi="Calibri" w:cs="Calibri"/>
          <w:color w:val="231F20"/>
          <w:spacing w:val="9"/>
        </w:rPr>
        <w:t xml:space="preserve"> </w:t>
      </w:r>
      <w:r w:rsidRPr="005D21F3">
        <w:rPr>
          <w:rFonts w:ascii="Calibri" w:eastAsia="Calibri" w:hAnsi="Calibri" w:cs="Calibri"/>
          <w:color w:val="231F20"/>
        </w:rPr>
        <w:t>the</w:t>
      </w:r>
      <w:r w:rsidRPr="005D21F3">
        <w:rPr>
          <w:rFonts w:ascii="Calibri" w:eastAsia="Calibri" w:hAnsi="Calibri" w:cs="Calibri"/>
          <w:color w:val="231F20"/>
          <w:spacing w:val="9"/>
        </w:rPr>
        <w:t xml:space="preserve"> </w:t>
      </w:r>
      <w:r w:rsidRPr="005D21F3">
        <w:rPr>
          <w:rFonts w:ascii="Calibri" w:eastAsia="Calibri" w:hAnsi="Calibri" w:cs="Calibri"/>
          <w:color w:val="231F20"/>
          <w:spacing w:val="-2"/>
        </w:rPr>
        <w:t>U</w:t>
      </w:r>
      <w:r w:rsidRPr="005D21F3">
        <w:rPr>
          <w:rFonts w:ascii="Calibri" w:eastAsia="Calibri" w:hAnsi="Calibri" w:cs="Calibri"/>
          <w:color w:val="231F20"/>
          <w:spacing w:val="-25"/>
        </w:rPr>
        <w:t xml:space="preserve"> </w:t>
      </w:r>
      <w:r w:rsidRPr="005D21F3">
        <w:rPr>
          <w:rFonts w:ascii="Calibri" w:eastAsia="Calibri" w:hAnsi="Calibri" w:cs="Calibri"/>
          <w:color w:val="231F20"/>
        </w:rPr>
        <w:t>.S</w:t>
      </w:r>
      <w:r w:rsidRPr="005D21F3">
        <w:rPr>
          <w:rFonts w:ascii="Calibri" w:eastAsia="Calibri" w:hAnsi="Calibri" w:cs="Calibri"/>
          <w:color w:val="231F20"/>
          <w:spacing w:val="-26"/>
        </w:rPr>
        <w:t>. p</w:t>
      </w:r>
      <w:r w:rsidRPr="005D21F3">
        <w:rPr>
          <w:rFonts w:ascii="Calibri" w:eastAsia="Calibri" w:hAnsi="Calibri" w:cs="Calibri"/>
          <w:color w:val="231F20"/>
        </w:rPr>
        <w:t>opulation</w:t>
      </w:r>
      <w:r w:rsidRPr="005D21F3">
        <w:rPr>
          <w:rFonts w:ascii="Calibri" w:eastAsia="Calibri" w:hAnsi="Calibri" w:cs="Calibri"/>
          <w:color w:val="231F20"/>
          <w:spacing w:val="9"/>
        </w:rPr>
        <w:t xml:space="preserve"> </w:t>
      </w:r>
      <w:r w:rsidRPr="005D21F3">
        <w:rPr>
          <w:rFonts w:ascii="Calibri" w:eastAsia="Calibri" w:hAnsi="Calibri" w:cs="Calibri"/>
          <w:color w:val="231F20"/>
        </w:rPr>
        <w:t>per</w:t>
      </w:r>
      <w:r w:rsidRPr="005D21F3">
        <w:rPr>
          <w:rFonts w:ascii="Calibri" w:eastAsia="Calibri" w:hAnsi="Calibri" w:cs="Calibri"/>
          <w:color w:val="231F20"/>
          <w:spacing w:val="9"/>
        </w:rPr>
        <w:t xml:space="preserve"> </w:t>
      </w:r>
      <w:r w:rsidRPr="005D21F3">
        <w:rPr>
          <w:rFonts w:ascii="Calibri" w:eastAsia="Calibri" w:hAnsi="Calibri" w:cs="Calibri"/>
          <w:color w:val="231F20"/>
          <w:spacing w:val="-2"/>
        </w:rPr>
        <w:t>w</w:t>
      </w:r>
      <w:r w:rsidRPr="005D21F3">
        <w:rPr>
          <w:rFonts w:ascii="Calibri" w:eastAsia="Calibri" w:hAnsi="Calibri" w:cs="Calibri"/>
          <w:color w:val="231F20"/>
          <w:spacing w:val="-1"/>
        </w:rPr>
        <w:t>eek</w:t>
      </w:r>
      <w:r w:rsidRPr="005D21F3">
        <w:rPr>
          <w:rFonts w:ascii="Calibri" w:eastAsia="Calibri" w:hAnsi="Calibri" w:cs="Calibri"/>
          <w:color w:val="231F20"/>
          <w:spacing w:val="9"/>
        </w:rPr>
        <w:t xml:space="preserve"> </w:t>
      </w:r>
      <w:r w:rsidRPr="005D21F3">
        <w:rPr>
          <w:rFonts w:ascii="Calibri" w:eastAsia="Calibri" w:hAnsi="Calibri" w:cs="Calibri"/>
          <w:color w:val="231F20"/>
          <w:spacing w:val="-2"/>
        </w:rPr>
        <w:t>for</w:t>
      </w:r>
      <w:r w:rsidRPr="005D21F3">
        <w:rPr>
          <w:rFonts w:ascii="Calibri" w:eastAsia="Calibri" w:hAnsi="Calibri" w:cs="Calibri"/>
          <w:color w:val="231F20"/>
          <w:spacing w:val="10"/>
        </w:rPr>
        <w:t xml:space="preserve"> </w:t>
      </w:r>
      <w:r w:rsidRPr="005D21F3">
        <w:rPr>
          <w:rFonts w:ascii="Calibri" w:eastAsia="Calibri" w:hAnsi="Calibri" w:cs="Calibri"/>
          <w:color w:val="231F20"/>
          <w:spacing w:val="-1"/>
        </w:rPr>
        <w:t>distribution</w:t>
      </w:r>
      <w:r w:rsidRPr="005D21F3">
        <w:rPr>
          <w:rFonts w:ascii="Calibri" w:eastAsia="Calibri" w:hAnsi="Calibri" w:cs="Calibri"/>
          <w:color w:val="231F20"/>
          <w:spacing w:val="9"/>
        </w:rPr>
        <w:t xml:space="preserve"> </w:t>
      </w:r>
      <w:r w:rsidRPr="005D21F3">
        <w:rPr>
          <w:rFonts w:ascii="Calibri" w:eastAsia="Calibri" w:hAnsi="Calibri" w:cs="Calibri"/>
          <w:color w:val="231F20"/>
          <w:spacing w:val="-1"/>
        </w:rPr>
        <w:t>to</w:t>
      </w:r>
      <w:r w:rsidRPr="005D21F3">
        <w:rPr>
          <w:rFonts w:ascii="Calibri" w:eastAsia="Calibri" w:hAnsi="Calibri" w:cs="Calibri"/>
          <w:color w:val="231F20"/>
          <w:spacing w:val="9"/>
        </w:rPr>
        <w:t xml:space="preserve"> </w:t>
      </w:r>
      <w:r w:rsidRPr="005D21F3">
        <w:rPr>
          <w:rFonts w:ascii="Calibri" w:eastAsia="Calibri" w:hAnsi="Calibri" w:cs="Calibri"/>
          <w:color w:val="231F20"/>
          <w:spacing w:val="-1"/>
        </w:rPr>
        <w:t>enrolled</w:t>
      </w:r>
      <w:r w:rsidRPr="005D21F3">
        <w:rPr>
          <w:rFonts w:ascii="Calibri" w:eastAsia="Calibri" w:hAnsi="Calibri" w:cs="Calibri"/>
          <w:color w:val="231F20"/>
          <w:spacing w:val="9"/>
        </w:rPr>
        <w:t xml:space="preserve"> </w:t>
      </w:r>
      <w:r w:rsidRPr="005D21F3">
        <w:rPr>
          <w:rFonts w:ascii="Calibri" w:eastAsia="Calibri" w:hAnsi="Calibri" w:cs="Calibri"/>
          <w:color w:val="231F20"/>
          <w:spacing w:val="-1"/>
        </w:rPr>
        <w:t>vaccine</w:t>
      </w:r>
      <w:r w:rsidRPr="005D21F3">
        <w:rPr>
          <w:rFonts w:ascii="Calibri" w:eastAsia="Calibri" w:hAnsi="Calibri" w:cs="Calibri"/>
          <w:color w:val="231F20"/>
          <w:spacing w:val="9"/>
        </w:rPr>
        <w:t xml:space="preserve"> </w:t>
      </w:r>
      <w:r w:rsidRPr="005D21F3">
        <w:rPr>
          <w:rFonts w:ascii="Calibri" w:eastAsia="Calibri" w:hAnsi="Calibri" w:cs="Calibri"/>
          <w:color w:val="231F20"/>
          <w:spacing w:val="-2"/>
        </w:rPr>
        <w:t>providers</w:t>
      </w:r>
      <w:r w:rsidRPr="005D21F3">
        <w:rPr>
          <w:rFonts w:ascii="Calibri" w:eastAsia="Calibri" w:hAnsi="Calibri" w:cs="Calibri"/>
          <w:color w:val="231F20"/>
          <w:spacing w:val="10"/>
        </w:rPr>
        <w:t xml:space="preserve"> </w:t>
      </w:r>
      <w:r w:rsidRPr="005D21F3">
        <w:rPr>
          <w:rFonts w:ascii="Calibri" w:eastAsia="Calibri" w:hAnsi="Calibri" w:cs="Calibri"/>
          <w:color w:val="231F20"/>
        </w:rPr>
        <w:t>(</w:t>
      </w:r>
      <w:proofErr w:type="spellStart"/>
      <w:r w:rsidRPr="005D21F3">
        <w:rPr>
          <w:rFonts w:ascii="Calibri" w:eastAsia="Calibri" w:hAnsi="Calibri" w:cs="Calibri"/>
          <w:color w:val="231F20"/>
        </w:rPr>
        <w:t>i</w:t>
      </w:r>
      <w:proofErr w:type="spellEnd"/>
      <w:r w:rsidRPr="005D21F3">
        <w:rPr>
          <w:rFonts w:ascii="Calibri" w:eastAsia="Calibri" w:hAnsi="Calibri" w:cs="Calibri"/>
          <w:color w:val="231F20"/>
          <w:spacing w:val="-26"/>
        </w:rPr>
        <w:t xml:space="preserve"> </w:t>
      </w:r>
      <w:r w:rsidRPr="005D21F3">
        <w:rPr>
          <w:rFonts w:ascii="Calibri" w:eastAsia="Calibri" w:hAnsi="Calibri" w:cs="Calibri"/>
          <w:color w:val="231F20"/>
          <w:spacing w:val="-12"/>
        </w:rPr>
        <w:t>.</w:t>
      </w:r>
      <w:r w:rsidRPr="005D21F3">
        <w:rPr>
          <w:rFonts w:ascii="Calibri" w:eastAsia="Calibri" w:hAnsi="Calibri" w:cs="Calibri"/>
          <w:color w:val="231F20"/>
          <w:spacing w:val="-5"/>
        </w:rPr>
        <w:t>e</w:t>
      </w:r>
      <w:r w:rsidRPr="005D21F3">
        <w:rPr>
          <w:rFonts w:ascii="Calibri" w:eastAsia="Calibri" w:hAnsi="Calibri" w:cs="Calibri"/>
          <w:color w:val="231F20"/>
          <w:spacing w:val="-26"/>
        </w:rPr>
        <w:t xml:space="preserve"> </w:t>
      </w:r>
      <w:r w:rsidRPr="005D21F3">
        <w:rPr>
          <w:rFonts w:ascii="Calibri" w:eastAsia="Calibri" w:hAnsi="Calibri" w:cs="Calibri"/>
          <w:color w:val="231F20"/>
          <w:w w:val="85"/>
        </w:rPr>
        <w:t>.,</w:t>
      </w:r>
      <w:r w:rsidRPr="005D21F3">
        <w:rPr>
          <w:rFonts w:ascii="Calibri" w:eastAsia="Calibri" w:hAnsi="Calibri" w:cs="Calibri"/>
          <w:color w:val="231F20"/>
          <w:spacing w:val="17"/>
          <w:w w:val="85"/>
        </w:rPr>
        <w:t xml:space="preserve"> </w:t>
      </w:r>
      <w:r w:rsidRPr="005D21F3">
        <w:rPr>
          <w:rFonts w:ascii="Calibri" w:eastAsia="Calibri" w:hAnsi="Calibri" w:cs="Calibri"/>
          <w:color w:val="231F20"/>
          <w:spacing w:val="-1"/>
        </w:rPr>
        <w:t>30</w:t>
      </w:r>
      <w:r w:rsidRPr="005D21F3">
        <w:rPr>
          <w:rFonts w:ascii="Calibri" w:eastAsia="Calibri" w:hAnsi="Calibri" w:cs="Calibri"/>
          <w:color w:val="231F20"/>
          <w:spacing w:val="-2"/>
        </w:rPr>
        <w:t>–</w:t>
      </w:r>
      <w:r w:rsidRPr="005D21F3">
        <w:rPr>
          <w:rFonts w:ascii="Calibri" w:eastAsia="Calibri" w:hAnsi="Calibri" w:cs="Calibri"/>
          <w:color w:val="231F20"/>
          <w:spacing w:val="-1"/>
        </w:rPr>
        <w:t>45M</w:t>
      </w:r>
      <w:r w:rsidRPr="005D21F3">
        <w:rPr>
          <w:rFonts w:ascii="Calibri" w:eastAsia="Calibri" w:hAnsi="Calibri" w:cs="Calibri"/>
          <w:color w:val="231F20"/>
          <w:spacing w:val="69"/>
        </w:rPr>
        <w:t xml:space="preserve"> </w:t>
      </w:r>
      <w:r w:rsidRPr="005D21F3">
        <w:rPr>
          <w:rFonts w:ascii="Calibri" w:eastAsia="Calibri" w:hAnsi="Calibri" w:cs="Calibri"/>
          <w:color w:val="231F20"/>
          <w:spacing w:val="-1"/>
        </w:rPr>
        <w:t>vaccines</w:t>
      </w:r>
      <w:r w:rsidRPr="005D21F3">
        <w:rPr>
          <w:rFonts w:ascii="Calibri" w:eastAsia="Calibri" w:hAnsi="Calibri" w:cs="Calibri"/>
          <w:color w:val="231F20"/>
          <w:spacing w:val="20"/>
        </w:rPr>
        <w:t xml:space="preserve"> </w:t>
      </w:r>
      <w:r w:rsidRPr="005D21F3">
        <w:rPr>
          <w:rFonts w:ascii="Calibri" w:eastAsia="Calibri" w:hAnsi="Calibri" w:cs="Calibri"/>
          <w:color w:val="231F20"/>
          <w:spacing w:val="-1"/>
        </w:rPr>
        <w:t>may</w:t>
      </w:r>
      <w:r w:rsidRPr="005D21F3">
        <w:rPr>
          <w:rFonts w:ascii="Calibri" w:eastAsia="Calibri" w:hAnsi="Calibri" w:cs="Calibri"/>
          <w:color w:val="231F20"/>
          <w:spacing w:val="21"/>
        </w:rPr>
        <w:t xml:space="preserve"> </w:t>
      </w:r>
      <w:r w:rsidRPr="005D21F3">
        <w:rPr>
          <w:rFonts w:ascii="Calibri" w:eastAsia="Calibri" w:hAnsi="Calibri" w:cs="Calibri"/>
          <w:color w:val="231F20"/>
        </w:rPr>
        <w:t>be</w:t>
      </w:r>
      <w:r w:rsidRPr="005D21F3">
        <w:rPr>
          <w:rFonts w:ascii="Calibri" w:eastAsia="Calibri" w:hAnsi="Calibri" w:cs="Calibri"/>
          <w:color w:val="231F20"/>
          <w:spacing w:val="20"/>
        </w:rPr>
        <w:t xml:space="preserve"> </w:t>
      </w:r>
      <w:r w:rsidRPr="005D21F3">
        <w:rPr>
          <w:rFonts w:ascii="Calibri" w:eastAsia="Calibri" w:hAnsi="Calibri" w:cs="Calibri"/>
          <w:color w:val="231F20"/>
          <w:spacing w:val="-1"/>
        </w:rPr>
        <w:t>available</w:t>
      </w:r>
      <w:r w:rsidRPr="005D21F3">
        <w:rPr>
          <w:rFonts w:ascii="Calibri" w:eastAsia="Calibri" w:hAnsi="Calibri" w:cs="Calibri"/>
          <w:color w:val="231F20"/>
          <w:spacing w:val="21"/>
        </w:rPr>
        <w:t xml:space="preserve"> </w:t>
      </w:r>
      <w:r w:rsidRPr="005D21F3">
        <w:rPr>
          <w:rFonts w:ascii="Calibri" w:eastAsia="Calibri" w:hAnsi="Calibri" w:cs="Calibri"/>
          <w:color w:val="231F20"/>
        </w:rPr>
        <w:t>nationally</w:t>
      </w:r>
      <w:r w:rsidRPr="005D21F3">
        <w:rPr>
          <w:rFonts w:ascii="Calibri" w:eastAsia="Calibri" w:hAnsi="Calibri" w:cs="Calibri"/>
          <w:color w:val="231F20"/>
          <w:spacing w:val="21"/>
        </w:rPr>
        <w:t xml:space="preserve"> </w:t>
      </w:r>
      <w:r w:rsidRPr="005D21F3">
        <w:rPr>
          <w:rFonts w:ascii="Calibri" w:eastAsia="Calibri" w:hAnsi="Calibri" w:cs="Calibri"/>
          <w:color w:val="231F20"/>
        </w:rPr>
        <w:t>per</w:t>
      </w:r>
      <w:r w:rsidRPr="005D21F3">
        <w:rPr>
          <w:rFonts w:ascii="Calibri" w:eastAsia="Calibri" w:hAnsi="Calibri" w:cs="Calibri"/>
          <w:color w:val="231F20"/>
          <w:spacing w:val="20"/>
        </w:rPr>
        <w:t xml:space="preserve"> </w:t>
      </w:r>
      <w:r w:rsidRPr="005D21F3">
        <w:rPr>
          <w:rFonts w:ascii="Calibri" w:eastAsia="Calibri" w:hAnsi="Calibri" w:cs="Calibri"/>
          <w:color w:val="231F20"/>
          <w:spacing w:val="-2"/>
        </w:rPr>
        <w:t>w</w:t>
      </w:r>
      <w:r w:rsidRPr="005D21F3">
        <w:rPr>
          <w:rFonts w:ascii="Calibri" w:eastAsia="Calibri" w:hAnsi="Calibri" w:cs="Calibri"/>
          <w:color w:val="231F20"/>
          <w:spacing w:val="-1"/>
        </w:rPr>
        <w:t>eek</w:t>
      </w:r>
      <w:r w:rsidRPr="005D21F3">
        <w:rPr>
          <w:rFonts w:ascii="Calibri" w:eastAsia="Calibri" w:hAnsi="Calibri" w:cs="Calibri"/>
          <w:color w:val="231F20"/>
          <w:spacing w:val="21"/>
        </w:rPr>
        <w:t xml:space="preserve"> </w:t>
      </w:r>
      <w:r w:rsidRPr="005D21F3">
        <w:rPr>
          <w:rFonts w:ascii="Calibri" w:eastAsia="Calibri" w:hAnsi="Calibri" w:cs="Calibri"/>
          <w:color w:val="231F20"/>
          <w:spacing w:val="-1"/>
        </w:rPr>
        <w:t>once</w:t>
      </w:r>
      <w:r w:rsidRPr="005D21F3">
        <w:rPr>
          <w:rFonts w:ascii="Calibri" w:eastAsia="Calibri" w:hAnsi="Calibri" w:cs="Calibri"/>
          <w:color w:val="231F20"/>
          <w:spacing w:val="21"/>
        </w:rPr>
        <w:t xml:space="preserve"> </w:t>
      </w:r>
      <w:r w:rsidRPr="005D21F3">
        <w:rPr>
          <w:rFonts w:ascii="Calibri" w:eastAsia="Calibri" w:hAnsi="Calibri" w:cs="Calibri"/>
          <w:color w:val="231F20"/>
        </w:rPr>
        <w:t>pandemic</w:t>
      </w:r>
      <w:r w:rsidRPr="005D21F3">
        <w:rPr>
          <w:rFonts w:ascii="Calibri" w:eastAsia="Calibri" w:hAnsi="Calibri" w:cs="Calibri"/>
          <w:color w:val="231F20"/>
          <w:spacing w:val="20"/>
        </w:rPr>
        <w:t xml:space="preserve"> </w:t>
      </w:r>
      <w:r w:rsidRPr="005D21F3">
        <w:rPr>
          <w:rFonts w:ascii="Calibri" w:eastAsia="Calibri" w:hAnsi="Calibri" w:cs="Calibri"/>
          <w:color w:val="231F20"/>
          <w:spacing w:val="-1"/>
        </w:rPr>
        <w:t>vaccine</w:t>
      </w:r>
      <w:r w:rsidRPr="005D21F3">
        <w:rPr>
          <w:rFonts w:ascii="Calibri" w:eastAsia="Calibri" w:hAnsi="Calibri" w:cs="Calibri"/>
          <w:color w:val="231F20"/>
          <w:spacing w:val="21"/>
        </w:rPr>
        <w:t xml:space="preserve"> </w:t>
      </w:r>
      <w:r w:rsidRPr="005D21F3">
        <w:rPr>
          <w:rFonts w:ascii="Calibri" w:eastAsia="Calibri" w:hAnsi="Calibri" w:cs="Calibri"/>
          <w:color w:val="231F20"/>
        </w:rPr>
        <w:t>is</w:t>
      </w:r>
      <w:r w:rsidRPr="005D21F3">
        <w:rPr>
          <w:rFonts w:ascii="Calibri" w:eastAsia="Calibri" w:hAnsi="Calibri" w:cs="Calibri"/>
          <w:color w:val="231F20"/>
          <w:spacing w:val="21"/>
        </w:rPr>
        <w:t xml:space="preserve"> </w:t>
      </w:r>
      <w:r w:rsidRPr="005D21F3">
        <w:rPr>
          <w:rFonts w:ascii="Calibri" w:eastAsia="Calibri" w:hAnsi="Calibri" w:cs="Calibri"/>
          <w:color w:val="231F20"/>
          <w:spacing w:val="-1"/>
        </w:rPr>
        <w:t>available</w:t>
      </w:r>
      <w:r w:rsidRPr="005D21F3">
        <w:rPr>
          <w:rFonts w:ascii="Calibri" w:eastAsia="Calibri" w:hAnsi="Calibri" w:cs="Calibri"/>
          <w:color w:val="231F20"/>
          <w:spacing w:val="20"/>
        </w:rPr>
        <w:t xml:space="preserve"> </w:t>
      </w:r>
      <w:r w:rsidRPr="005D21F3">
        <w:rPr>
          <w:rFonts w:ascii="Calibri" w:eastAsia="Calibri" w:hAnsi="Calibri" w:cs="Calibri"/>
          <w:color w:val="231F20"/>
          <w:spacing w:val="-2"/>
        </w:rPr>
        <w:t>for</w:t>
      </w:r>
      <w:r w:rsidRPr="005D21F3">
        <w:rPr>
          <w:rFonts w:ascii="Calibri" w:eastAsia="Calibri" w:hAnsi="Calibri" w:cs="Calibri"/>
          <w:color w:val="231F20"/>
          <w:spacing w:val="21"/>
        </w:rPr>
        <w:t xml:space="preserve"> </w:t>
      </w:r>
      <w:r w:rsidRPr="005D21F3">
        <w:rPr>
          <w:rFonts w:ascii="Calibri" w:eastAsia="Calibri" w:hAnsi="Calibri" w:cs="Calibri"/>
          <w:color w:val="231F20"/>
          <w:spacing w:val="-1"/>
        </w:rPr>
        <w:t>distribution</w:t>
      </w:r>
      <w:r w:rsidRPr="005D21F3">
        <w:rPr>
          <w:rFonts w:ascii="Calibri" w:eastAsia="Calibri" w:hAnsi="Calibri" w:cs="Calibri"/>
          <w:color w:val="231F20"/>
          <w:spacing w:val="-2"/>
        </w:rPr>
        <w:t>)</w:t>
      </w:r>
      <w:r w:rsidRPr="005D21F3">
        <w:rPr>
          <w:rFonts w:ascii="Calibri" w:eastAsia="Calibri" w:hAnsi="Calibri" w:cs="Calibri"/>
          <w:color w:val="231F20"/>
          <w:spacing w:val="-21"/>
        </w:rPr>
        <w:t xml:space="preserve"> </w:t>
      </w:r>
    </w:p>
    <w:p w14:paraId="614530ED" w14:textId="77777777" w:rsidR="003356D7" w:rsidRPr="005D21F3" w:rsidRDefault="003356D7" w:rsidP="003356D7">
      <w:pPr>
        <w:widowControl w:val="0"/>
        <w:tabs>
          <w:tab w:val="left" w:pos="1050"/>
        </w:tabs>
        <w:spacing w:before="109" w:after="0" w:line="240" w:lineRule="auto"/>
        <w:ind w:left="405" w:right="428"/>
        <w:rPr>
          <w:rFonts w:ascii="Calibri" w:eastAsia="Calibri" w:hAnsi="Calibri" w:cs="Calibri"/>
        </w:rPr>
      </w:pPr>
    </w:p>
    <w:p w14:paraId="3930F0BD" w14:textId="3672E65D" w:rsidR="00EC5B49" w:rsidRPr="005D21F3" w:rsidRDefault="00EC5B49" w:rsidP="00EC5B49">
      <w:pPr>
        <w:widowControl w:val="0"/>
        <w:numPr>
          <w:ilvl w:val="0"/>
          <w:numId w:val="90"/>
        </w:numPr>
        <w:spacing w:after="0" w:line="240" w:lineRule="auto"/>
        <w:rPr>
          <w:rFonts w:ascii="Calibri" w:eastAsia="Calibri" w:hAnsi="Calibri" w:cs="Calibri"/>
        </w:rPr>
      </w:pPr>
      <w:r w:rsidRPr="005D21F3">
        <w:rPr>
          <w:rFonts w:ascii="Calibri" w:eastAsia="Calibri" w:hAnsi="Calibri"/>
          <w:w w:val="105"/>
        </w:rPr>
        <w:lastRenderedPageBreak/>
        <w:t>HHS has</w:t>
      </w:r>
      <w:r w:rsidRPr="005D21F3">
        <w:rPr>
          <w:rFonts w:ascii="Calibri" w:eastAsia="Calibri" w:hAnsi="Calibri"/>
          <w:spacing w:val="-3"/>
          <w:w w:val="105"/>
        </w:rPr>
        <w:t xml:space="preserve"> </w:t>
      </w:r>
      <w:r w:rsidRPr="005D21F3">
        <w:rPr>
          <w:rFonts w:ascii="Calibri" w:eastAsia="Calibri" w:hAnsi="Calibri"/>
          <w:w w:val="105"/>
        </w:rPr>
        <w:t>s</w:t>
      </w:r>
      <w:r w:rsidRPr="005D21F3">
        <w:rPr>
          <w:rFonts w:ascii="Calibri" w:eastAsia="Calibri" w:hAnsi="Calibri"/>
          <w:spacing w:val="-2"/>
          <w:w w:val="105"/>
        </w:rPr>
        <w:t>t</w:t>
      </w:r>
      <w:r w:rsidRPr="005D21F3">
        <w:rPr>
          <w:rFonts w:ascii="Calibri" w:eastAsia="Calibri" w:hAnsi="Calibri"/>
          <w:w w:val="105"/>
        </w:rPr>
        <w:t>ockpiled</w:t>
      </w:r>
      <w:r w:rsidRPr="005D21F3">
        <w:rPr>
          <w:rFonts w:ascii="Calibri" w:eastAsia="Calibri" w:hAnsi="Calibri"/>
          <w:spacing w:val="-3"/>
          <w:w w:val="105"/>
        </w:rPr>
        <w:t xml:space="preserve"> </w:t>
      </w:r>
      <w:r w:rsidRPr="005D21F3">
        <w:rPr>
          <w:rFonts w:ascii="Calibri" w:eastAsia="Calibri" w:hAnsi="Calibri"/>
          <w:w w:val="105"/>
        </w:rPr>
        <w:t>a</w:t>
      </w:r>
      <w:r w:rsidRPr="005D21F3">
        <w:rPr>
          <w:rFonts w:ascii="Calibri" w:eastAsia="Calibri" w:hAnsi="Calibri"/>
          <w:spacing w:val="-3"/>
          <w:w w:val="105"/>
        </w:rPr>
        <w:t xml:space="preserve"> </w:t>
      </w:r>
      <w:r w:rsidRPr="005D21F3">
        <w:rPr>
          <w:rFonts w:ascii="Calibri" w:eastAsia="Calibri" w:hAnsi="Calibri"/>
          <w:w w:val="105"/>
        </w:rPr>
        <w:t>very</w:t>
      </w:r>
      <w:r w:rsidRPr="005D21F3">
        <w:rPr>
          <w:rFonts w:ascii="Calibri" w:eastAsia="Calibri" w:hAnsi="Calibri"/>
          <w:spacing w:val="-3"/>
          <w:w w:val="105"/>
        </w:rPr>
        <w:t xml:space="preserve"> </w:t>
      </w:r>
      <w:r w:rsidRPr="005D21F3">
        <w:rPr>
          <w:rFonts w:ascii="Calibri" w:eastAsia="Calibri" w:hAnsi="Calibri"/>
          <w:spacing w:val="-2"/>
          <w:w w:val="105"/>
        </w:rPr>
        <w:t>limit</w:t>
      </w:r>
      <w:r w:rsidRPr="005D21F3">
        <w:rPr>
          <w:rFonts w:ascii="Calibri" w:eastAsia="Calibri" w:hAnsi="Calibri"/>
          <w:w w:val="105"/>
        </w:rPr>
        <w:t>ed</w:t>
      </w:r>
      <w:r w:rsidRPr="005D21F3">
        <w:rPr>
          <w:rFonts w:ascii="Calibri" w:eastAsia="Calibri" w:hAnsi="Calibri"/>
          <w:spacing w:val="-3"/>
          <w:w w:val="105"/>
        </w:rPr>
        <w:t xml:space="preserve"> </w:t>
      </w:r>
      <w:r w:rsidRPr="005D21F3">
        <w:rPr>
          <w:rFonts w:ascii="Calibri" w:eastAsia="Calibri" w:hAnsi="Calibri"/>
          <w:w w:val="105"/>
        </w:rPr>
        <w:t>supply</w:t>
      </w:r>
      <w:r w:rsidRPr="005D21F3">
        <w:rPr>
          <w:rFonts w:ascii="Calibri" w:eastAsia="Calibri" w:hAnsi="Calibri"/>
          <w:spacing w:val="-3"/>
          <w:w w:val="105"/>
        </w:rPr>
        <w:t xml:space="preserve"> o</w:t>
      </w:r>
      <w:r w:rsidRPr="005D21F3">
        <w:rPr>
          <w:rFonts w:ascii="Calibri" w:eastAsia="Calibri" w:hAnsi="Calibri"/>
          <w:spacing w:val="-2"/>
          <w:w w:val="105"/>
        </w:rPr>
        <w:t>f</w:t>
      </w:r>
      <w:r w:rsidRPr="005D21F3">
        <w:rPr>
          <w:rFonts w:ascii="Calibri" w:eastAsia="Calibri" w:hAnsi="Calibri"/>
          <w:spacing w:val="-3"/>
          <w:w w:val="105"/>
        </w:rPr>
        <w:t xml:space="preserve"> </w:t>
      </w:r>
      <w:r w:rsidRPr="005D21F3">
        <w:rPr>
          <w:rFonts w:ascii="Calibri" w:eastAsia="Calibri" w:hAnsi="Calibri"/>
          <w:w w:val="105"/>
        </w:rPr>
        <w:t>vaccine</w:t>
      </w:r>
      <w:r w:rsidRPr="005D21F3">
        <w:rPr>
          <w:rFonts w:ascii="Calibri" w:eastAsia="Calibri" w:hAnsi="Calibri"/>
          <w:spacing w:val="-3"/>
          <w:w w:val="105"/>
        </w:rPr>
        <w:t xml:space="preserve"> </w:t>
      </w:r>
      <w:r w:rsidRPr="005D21F3">
        <w:rPr>
          <w:rFonts w:ascii="Calibri" w:eastAsia="Calibri" w:hAnsi="Calibri"/>
          <w:w w:val="105"/>
        </w:rPr>
        <w:t>agains</w:t>
      </w:r>
      <w:r w:rsidRPr="005D21F3">
        <w:rPr>
          <w:rFonts w:ascii="Calibri" w:eastAsia="Calibri" w:hAnsi="Calibri"/>
          <w:spacing w:val="-2"/>
          <w:w w:val="105"/>
        </w:rPr>
        <w:t>t</w:t>
      </w:r>
      <w:r w:rsidRPr="005D21F3">
        <w:rPr>
          <w:rFonts w:ascii="Calibri" w:eastAsia="Calibri" w:hAnsi="Calibri"/>
          <w:spacing w:val="-3"/>
          <w:w w:val="105"/>
        </w:rPr>
        <w:t xml:space="preserve"> </w:t>
      </w:r>
      <w:r w:rsidRPr="005D21F3">
        <w:rPr>
          <w:rFonts w:ascii="Calibri" w:eastAsia="Calibri" w:hAnsi="Calibri"/>
          <w:w w:val="105"/>
        </w:rPr>
        <w:t>influenza</w:t>
      </w:r>
      <w:r w:rsidRPr="005D21F3">
        <w:rPr>
          <w:rFonts w:ascii="Calibri" w:eastAsia="Calibri" w:hAnsi="Calibri"/>
          <w:spacing w:val="-3"/>
          <w:w w:val="105"/>
        </w:rPr>
        <w:t xml:space="preserve"> </w:t>
      </w:r>
      <w:proofErr w:type="gramStart"/>
      <w:r w:rsidRPr="005D21F3">
        <w:rPr>
          <w:rFonts w:ascii="Calibri" w:eastAsia="Calibri" w:hAnsi="Calibri"/>
          <w:w w:val="105"/>
        </w:rPr>
        <w:t>A</w:t>
      </w:r>
      <w:proofErr w:type="gramEnd"/>
      <w:r w:rsidRPr="005D21F3">
        <w:rPr>
          <w:rFonts w:ascii="Calibri" w:eastAsia="Calibri" w:hAnsi="Calibri"/>
          <w:spacing w:val="-3"/>
          <w:w w:val="105"/>
        </w:rPr>
        <w:t xml:space="preserve"> </w:t>
      </w:r>
      <w:r w:rsidRPr="005D21F3">
        <w:rPr>
          <w:rFonts w:ascii="Calibri" w:eastAsia="Calibri" w:hAnsi="Calibri"/>
          <w:w w:val="105"/>
        </w:rPr>
        <w:t>viruses</w:t>
      </w:r>
      <w:r w:rsidRPr="005D21F3">
        <w:rPr>
          <w:rFonts w:ascii="Calibri" w:eastAsia="Calibri" w:hAnsi="Calibri"/>
          <w:spacing w:val="-4"/>
          <w:w w:val="105"/>
        </w:rPr>
        <w:t xml:space="preserve"> </w:t>
      </w:r>
      <w:r w:rsidRPr="005D21F3">
        <w:rPr>
          <w:rFonts w:ascii="Calibri" w:eastAsia="Calibri" w:hAnsi="Calibri"/>
          <w:w w:val="105"/>
        </w:rPr>
        <w:t>predicted</w:t>
      </w:r>
      <w:r w:rsidRPr="005D21F3">
        <w:rPr>
          <w:rFonts w:ascii="Calibri" w:eastAsia="Calibri" w:hAnsi="Calibri"/>
          <w:spacing w:val="-3"/>
          <w:w w:val="105"/>
        </w:rPr>
        <w:t xml:space="preserve"> </w:t>
      </w:r>
      <w:r w:rsidRPr="005D21F3">
        <w:rPr>
          <w:rFonts w:ascii="Calibri" w:eastAsia="Calibri" w:hAnsi="Calibri"/>
          <w:spacing w:val="-2"/>
          <w:w w:val="105"/>
        </w:rPr>
        <w:t>t</w:t>
      </w:r>
      <w:r w:rsidRPr="005D21F3">
        <w:rPr>
          <w:rFonts w:ascii="Calibri" w:eastAsia="Calibri" w:hAnsi="Calibri"/>
          <w:w w:val="105"/>
        </w:rPr>
        <w:t>o</w:t>
      </w:r>
      <w:r w:rsidRPr="005D21F3">
        <w:rPr>
          <w:rFonts w:ascii="Calibri" w:eastAsia="Calibri" w:hAnsi="Calibri"/>
          <w:spacing w:val="-3"/>
          <w:w w:val="105"/>
        </w:rPr>
        <w:t xml:space="preserve"> ha</w:t>
      </w:r>
      <w:r w:rsidRPr="005D21F3">
        <w:rPr>
          <w:rFonts w:ascii="Calibri" w:eastAsia="Calibri" w:hAnsi="Calibri"/>
          <w:spacing w:val="-2"/>
          <w:w w:val="105"/>
        </w:rPr>
        <w:t>ve</w:t>
      </w:r>
      <w:r w:rsidRPr="005D21F3">
        <w:rPr>
          <w:rFonts w:ascii="Calibri" w:eastAsia="Calibri" w:hAnsi="Calibri"/>
          <w:spacing w:val="-3"/>
          <w:w w:val="105"/>
        </w:rPr>
        <w:t xml:space="preserve"> </w:t>
      </w:r>
      <w:r w:rsidRPr="005D21F3">
        <w:rPr>
          <w:rFonts w:ascii="Calibri" w:eastAsia="Calibri" w:hAnsi="Calibri"/>
          <w:w w:val="105"/>
        </w:rPr>
        <w:t>pandemic</w:t>
      </w:r>
      <w:r w:rsidRPr="005D21F3">
        <w:rPr>
          <w:rFonts w:ascii="Calibri" w:eastAsia="Calibri" w:hAnsi="Calibri"/>
          <w:spacing w:val="59"/>
          <w:w w:val="103"/>
        </w:rPr>
        <w:t xml:space="preserve"> </w:t>
      </w:r>
      <w:r w:rsidRPr="005D21F3">
        <w:rPr>
          <w:rFonts w:ascii="Calibri" w:eastAsia="Calibri" w:hAnsi="Calibri"/>
          <w:w w:val="105"/>
        </w:rPr>
        <w:t>potential</w:t>
      </w:r>
      <w:r w:rsidRPr="005D21F3">
        <w:rPr>
          <w:rFonts w:ascii="Calibri" w:eastAsia="Calibri" w:hAnsi="Calibri"/>
          <w:spacing w:val="-35"/>
          <w:w w:val="105"/>
        </w:rPr>
        <w:t xml:space="preserve">. </w:t>
      </w:r>
      <w:r w:rsidRPr="005D21F3">
        <w:rPr>
          <w:rFonts w:ascii="Calibri" w:eastAsia="Calibri" w:hAnsi="Calibri"/>
          <w:w w:val="105"/>
        </w:rPr>
        <w:t>During</w:t>
      </w:r>
      <w:r w:rsidRPr="005D21F3">
        <w:rPr>
          <w:rFonts w:ascii="Calibri" w:eastAsia="Calibri" w:hAnsi="Calibri"/>
          <w:spacing w:val="-9"/>
          <w:w w:val="105"/>
        </w:rPr>
        <w:t xml:space="preserve"> </w:t>
      </w:r>
      <w:r w:rsidRPr="005D21F3">
        <w:rPr>
          <w:rFonts w:ascii="Calibri" w:eastAsia="Calibri" w:hAnsi="Calibri"/>
          <w:w w:val="105"/>
        </w:rPr>
        <w:t>the</w:t>
      </w:r>
      <w:r w:rsidRPr="005D21F3">
        <w:rPr>
          <w:rFonts w:ascii="Calibri" w:eastAsia="Calibri" w:hAnsi="Calibri"/>
          <w:spacing w:val="-9"/>
          <w:w w:val="105"/>
        </w:rPr>
        <w:t xml:space="preserve"> </w:t>
      </w:r>
      <w:r w:rsidRPr="005D21F3">
        <w:rPr>
          <w:rFonts w:ascii="Calibri" w:eastAsia="Calibri" w:hAnsi="Calibri"/>
          <w:w w:val="105"/>
        </w:rPr>
        <w:t>e</w:t>
      </w:r>
      <w:r w:rsidRPr="005D21F3">
        <w:rPr>
          <w:rFonts w:ascii="Calibri" w:eastAsia="Calibri" w:hAnsi="Calibri"/>
          <w:spacing w:val="-2"/>
          <w:w w:val="105"/>
        </w:rPr>
        <w:t>arly</w:t>
      </w:r>
      <w:r w:rsidRPr="005D21F3">
        <w:rPr>
          <w:rFonts w:ascii="Calibri" w:eastAsia="Calibri" w:hAnsi="Calibri"/>
          <w:spacing w:val="-9"/>
          <w:w w:val="105"/>
        </w:rPr>
        <w:t xml:space="preserve"> </w:t>
      </w:r>
      <w:r w:rsidRPr="005D21F3">
        <w:rPr>
          <w:rFonts w:ascii="Calibri" w:eastAsia="Calibri" w:hAnsi="Calibri"/>
          <w:w w:val="105"/>
        </w:rPr>
        <w:t>s</w:t>
      </w:r>
      <w:r w:rsidRPr="005D21F3">
        <w:rPr>
          <w:rFonts w:ascii="Calibri" w:eastAsia="Calibri" w:hAnsi="Calibri"/>
          <w:spacing w:val="-2"/>
          <w:w w:val="105"/>
        </w:rPr>
        <w:t>t</w:t>
      </w:r>
      <w:r w:rsidRPr="005D21F3">
        <w:rPr>
          <w:rFonts w:ascii="Calibri" w:eastAsia="Calibri" w:hAnsi="Calibri"/>
          <w:w w:val="105"/>
        </w:rPr>
        <w:t>ages</w:t>
      </w:r>
      <w:r w:rsidRPr="005D21F3">
        <w:rPr>
          <w:rFonts w:ascii="Calibri" w:eastAsia="Calibri" w:hAnsi="Calibri"/>
          <w:spacing w:val="-10"/>
          <w:w w:val="105"/>
        </w:rPr>
        <w:t xml:space="preserve"> </w:t>
      </w:r>
      <w:r w:rsidRPr="005D21F3">
        <w:rPr>
          <w:rFonts w:ascii="Calibri" w:eastAsia="Calibri" w:hAnsi="Calibri"/>
          <w:spacing w:val="-3"/>
          <w:w w:val="105"/>
        </w:rPr>
        <w:t>o</w:t>
      </w:r>
      <w:r w:rsidRPr="005D21F3">
        <w:rPr>
          <w:rFonts w:ascii="Calibri" w:eastAsia="Calibri" w:hAnsi="Calibri"/>
          <w:spacing w:val="-2"/>
          <w:w w:val="105"/>
        </w:rPr>
        <w:t>f</w:t>
      </w:r>
      <w:r w:rsidRPr="005D21F3">
        <w:rPr>
          <w:rFonts w:ascii="Calibri" w:eastAsia="Calibri" w:hAnsi="Calibri"/>
          <w:spacing w:val="-9"/>
          <w:w w:val="105"/>
        </w:rPr>
        <w:t xml:space="preserve"> </w:t>
      </w:r>
      <w:r w:rsidRPr="005D21F3">
        <w:rPr>
          <w:rFonts w:ascii="Calibri" w:eastAsia="Calibri" w:hAnsi="Calibri"/>
          <w:w w:val="105"/>
        </w:rPr>
        <w:t>an</w:t>
      </w:r>
      <w:r w:rsidRPr="005D21F3">
        <w:rPr>
          <w:rFonts w:ascii="Calibri" w:eastAsia="Calibri" w:hAnsi="Calibri"/>
          <w:spacing w:val="-9"/>
          <w:w w:val="105"/>
        </w:rPr>
        <w:t xml:space="preserve"> </w:t>
      </w:r>
      <w:r w:rsidRPr="005D21F3">
        <w:rPr>
          <w:rFonts w:ascii="Calibri" w:eastAsia="Calibri" w:hAnsi="Calibri"/>
          <w:w w:val="105"/>
        </w:rPr>
        <w:t>influenza</w:t>
      </w:r>
      <w:r w:rsidRPr="005D21F3">
        <w:rPr>
          <w:rFonts w:ascii="Calibri" w:eastAsia="Calibri" w:hAnsi="Calibri"/>
          <w:spacing w:val="-10"/>
          <w:w w:val="105"/>
        </w:rPr>
        <w:t xml:space="preserve"> </w:t>
      </w:r>
      <w:r w:rsidRPr="005D21F3">
        <w:rPr>
          <w:rFonts w:ascii="Calibri" w:eastAsia="Calibri" w:hAnsi="Calibri"/>
          <w:w w:val="105"/>
        </w:rPr>
        <w:t>pandemic</w:t>
      </w:r>
      <w:r w:rsidRPr="005D21F3">
        <w:rPr>
          <w:rFonts w:ascii="Calibri" w:eastAsia="Calibri" w:hAnsi="Calibri"/>
          <w:spacing w:val="-9"/>
          <w:w w:val="105"/>
        </w:rPr>
        <w:t xml:space="preserve"> </w:t>
      </w:r>
      <w:r w:rsidRPr="005D21F3">
        <w:rPr>
          <w:rFonts w:ascii="Calibri" w:eastAsia="Calibri" w:hAnsi="Calibri"/>
          <w:w w:val="105"/>
        </w:rPr>
        <w:t>response</w:t>
      </w:r>
      <w:r w:rsidRPr="005D21F3">
        <w:rPr>
          <w:rFonts w:ascii="Calibri" w:eastAsia="Calibri" w:hAnsi="Calibri"/>
          <w:spacing w:val="-2"/>
          <w:w w:val="105"/>
        </w:rPr>
        <w:t>,</w:t>
      </w:r>
      <w:r w:rsidRPr="005D21F3">
        <w:rPr>
          <w:rFonts w:ascii="Calibri" w:eastAsia="Calibri" w:hAnsi="Calibri"/>
          <w:spacing w:val="-9"/>
          <w:w w:val="105"/>
        </w:rPr>
        <w:t xml:space="preserve"> </w:t>
      </w:r>
      <w:r w:rsidRPr="005D21F3">
        <w:rPr>
          <w:rFonts w:ascii="Calibri" w:eastAsia="Calibri" w:hAnsi="Calibri"/>
          <w:w w:val="105"/>
        </w:rPr>
        <w:t>this</w:t>
      </w:r>
      <w:r w:rsidRPr="005D21F3">
        <w:rPr>
          <w:rFonts w:ascii="Calibri" w:eastAsia="Calibri" w:hAnsi="Calibri"/>
          <w:spacing w:val="-9"/>
          <w:w w:val="105"/>
        </w:rPr>
        <w:t xml:space="preserve"> </w:t>
      </w:r>
      <w:r w:rsidRPr="005D21F3">
        <w:rPr>
          <w:rFonts w:ascii="Calibri" w:eastAsia="Calibri" w:hAnsi="Calibri"/>
          <w:w w:val="105"/>
        </w:rPr>
        <w:t>s</w:t>
      </w:r>
      <w:r w:rsidRPr="005D21F3">
        <w:rPr>
          <w:rFonts w:ascii="Calibri" w:eastAsia="Calibri" w:hAnsi="Calibri"/>
          <w:spacing w:val="-2"/>
          <w:w w:val="105"/>
        </w:rPr>
        <w:t>t</w:t>
      </w:r>
      <w:r w:rsidRPr="005D21F3">
        <w:rPr>
          <w:rFonts w:ascii="Calibri" w:eastAsia="Calibri" w:hAnsi="Calibri"/>
          <w:w w:val="105"/>
        </w:rPr>
        <w:t>ockpiled</w:t>
      </w:r>
      <w:r w:rsidRPr="005D21F3">
        <w:rPr>
          <w:rFonts w:ascii="Calibri" w:eastAsia="Calibri" w:hAnsi="Calibri"/>
          <w:spacing w:val="-10"/>
          <w:w w:val="105"/>
        </w:rPr>
        <w:t xml:space="preserve"> </w:t>
      </w:r>
      <w:r w:rsidRPr="005D21F3">
        <w:rPr>
          <w:rFonts w:ascii="Calibri" w:eastAsia="Calibri" w:hAnsi="Calibri"/>
          <w:w w:val="105"/>
        </w:rPr>
        <w:t>vaccine</w:t>
      </w:r>
      <w:r w:rsidRPr="005D21F3">
        <w:rPr>
          <w:rFonts w:ascii="Calibri" w:eastAsia="Calibri" w:hAnsi="Calibri"/>
          <w:spacing w:val="-9"/>
          <w:w w:val="105"/>
        </w:rPr>
        <w:t xml:space="preserve"> </w:t>
      </w:r>
      <w:r w:rsidRPr="005D21F3">
        <w:rPr>
          <w:rFonts w:ascii="Calibri" w:eastAsia="Calibri" w:hAnsi="Calibri"/>
          <w:spacing w:val="-2"/>
          <w:w w:val="105"/>
        </w:rPr>
        <w:t>ma</w:t>
      </w:r>
      <w:r w:rsidRPr="005D21F3">
        <w:rPr>
          <w:rFonts w:ascii="Calibri" w:eastAsia="Calibri" w:hAnsi="Calibri"/>
          <w:w w:val="105"/>
        </w:rPr>
        <w:t>y</w:t>
      </w:r>
      <w:r w:rsidRPr="005D21F3">
        <w:rPr>
          <w:rFonts w:ascii="Calibri" w:eastAsia="Calibri" w:hAnsi="Calibri"/>
          <w:spacing w:val="-9"/>
          <w:w w:val="105"/>
        </w:rPr>
        <w:t xml:space="preserve"> </w:t>
      </w:r>
      <w:r w:rsidRPr="005D21F3">
        <w:rPr>
          <w:rFonts w:ascii="Calibri" w:eastAsia="Calibri" w:hAnsi="Calibri"/>
          <w:w w:val="105"/>
        </w:rPr>
        <w:t>be</w:t>
      </w:r>
      <w:r w:rsidRPr="005D21F3">
        <w:rPr>
          <w:rFonts w:ascii="Calibri" w:eastAsia="Calibri" w:hAnsi="Calibri"/>
          <w:spacing w:val="-9"/>
          <w:w w:val="105"/>
        </w:rPr>
        <w:t xml:space="preserve"> </w:t>
      </w:r>
      <w:r w:rsidRPr="005D21F3">
        <w:rPr>
          <w:rFonts w:ascii="Calibri" w:eastAsia="Calibri" w:hAnsi="Calibri"/>
          <w:w w:val="105"/>
        </w:rPr>
        <w:t>de</w:t>
      </w:r>
      <w:r w:rsidRPr="005D21F3">
        <w:rPr>
          <w:rFonts w:ascii="Calibri" w:eastAsia="Calibri" w:hAnsi="Calibri"/>
          <w:spacing w:val="-2"/>
          <w:w w:val="105"/>
        </w:rPr>
        <w:t>termined</w:t>
      </w:r>
      <w:r w:rsidRPr="005D21F3">
        <w:rPr>
          <w:rFonts w:ascii="Calibri" w:eastAsia="Calibri" w:hAnsi="Calibri"/>
          <w:spacing w:val="63"/>
          <w:w w:val="102"/>
        </w:rPr>
        <w:t xml:space="preserve"> </w:t>
      </w:r>
      <w:r w:rsidRPr="005D21F3">
        <w:rPr>
          <w:rFonts w:ascii="Calibri" w:eastAsia="Calibri" w:hAnsi="Calibri"/>
          <w:spacing w:val="-2"/>
          <w:w w:val="105"/>
        </w:rPr>
        <w:t>t</w:t>
      </w:r>
      <w:r w:rsidRPr="005D21F3">
        <w:rPr>
          <w:rFonts w:ascii="Calibri" w:eastAsia="Calibri" w:hAnsi="Calibri"/>
          <w:w w:val="105"/>
        </w:rPr>
        <w:t>o</w:t>
      </w:r>
      <w:r w:rsidRPr="005D21F3">
        <w:rPr>
          <w:rFonts w:ascii="Calibri" w:eastAsia="Calibri" w:hAnsi="Calibri"/>
          <w:spacing w:val="-8"/>
          <w:w w:val="105"/>
        </w:rPr>
        <w:t xml:space="preserve"> </w:t>
      </w:r>
      <w:r w:rsidRPr="005D21F3">
        <w:rPr>
          <w:rFonts w:ascii="Calibri" w:eastAsia="Calibri" w:hAnsi="Calibri"/>
          <w:w w:val="105"/>
        </w:rPr>
        <w:t>be</w:t>
      </w:r>
      <w:r w:rsidRPr="005D21F3">
        <w:rPr>
          <w:rFonts w:ascii="Calibri" w:eastAsia="Calibri" w:hAnsi="Calibri"/>
          <w:spacing w:val="-8"/>
          <w:w w:val="105"/>
        </w:rPr>
        <w:t xml:space="preserve"> </w:t>
      </w:r>
      <w:r w:rsidRPr="005D21F3">
        <w:rPr>
          <w:rFonts w:ascii="Calibri" w:eastAsia="Calibri" w:hAnsi="Calibri"/>
          <w:w w:val="105"/>
        </w:rPr>
        <w:t>use</w:t>
      </w:r>
      <w:r w:rsidRPr="005D21F3">
        <w:rPr>
          <w:rFonts w:ascii="Calibri" w:eastAsia="Calibri" w:hAnsi="Calibri"/>
          <w:spacing w:val="-2"/>
          <w:w w:val="105"/>
        </w:rPr>
        <w:t>ful</w:t>
      </w:r>
      <w:r w:rsidRPr="005D21F3">
        <w:rPr>
          <w:rFonts w:ascii="Calibri" w:eastAsia="Calibri" w:hAnsi="Calibri"/>
          <w:spacing w:val="-8"/>
          <w:w w:val="105"/>
        </w:rPr>
        <w:t xml:space="preserve"> </w:t>
      </w:r>
      <w:r w:rsidRPr="005D21F3">
        <w:rPr>
          <w:rFonts w:ascii="Calibri" w:eastAsia="Calibri" w:hAnsi="Calibri"/>
          <w:w w:val="105"/>
        </w:rPr>
        <w:t>agains</w:t>
      </w:r>
      <w:r w:rsidRPr="005D21F3">
        <w:rPr>
          <w:rFonts w:ascii="Calibri" w:eastAsia="Calibri" w:hAnsi="Calibri"/>
          <w:spacing w:val="-2"/>
          <w:w w:val="105"/>
        </w:rPr>
        <w:t>t</w:t>
      </w:r>
      <w:r w:rsidRPr="005D21F3">
        <w:rPr>
          <w:rFonts w:ascii="Calibri" w:eastAsia="Calibri" w:hAnsi="Calibri"/>
          <w:spacing w:val="-8"/>
          <w:w w:val="105"/>
        </w:rPr>
        <w:t xml:space="preserve"> </w:t>
      </w:r>
      <w:r w:rsidRPr="005D21F3">
        <w:rPr>
          <w:rFonts w:ascii="Calibri" w:eastAsia="Calibri" w:hAnsi="Calibri"/>
          <w:w w:val="105"/>
        </w:rPr>
        <w:t>the</w:t>
      </w:r>
      <w:r w:rsidRPr="005D21F3">
        <w:rPr>
          <w:rFonts w:ascii="Calibri" w:eastAsia="Calibri" w:hAnsi="Calibri"/>
          <w:spacing w:val="-8"/>
          <w:w w:val="105"/>
        </w:rPr>
        <w:t xml:space="preserve"> </w:t>
      </w:r>
      <w:r w:rsidRPr="005D21F3">
        <w:rPr>
          <w:rFonts w:ascii="Calibri" w:eastAsia="Calibri" w:hAnsi="Calibri"/>
          <w:spacing w:val="-2"/>
          <w:w w:val="105"/>
        </w:rPr>
        <w:t>emer</w:t>
      </w:r>
      <w:r w:rsidRPr="005D21F3">
        <w:rPr>
          <w:rFonts w:ascii="Calibri" w:eastAsia="Calibri" w:hAnsi="Calibri"/>
          <w:w w:val="105"/>
        </w:rPr>
        <w:t>ging</w:t>
      </w:r>
      <w:r w:rsidRPr="005D21F3">
        <w:rPr>
          <w:rFonts w:ascii="Calibri" w:eastAsia="Calibri" w:hAnsi="Calibri"/>
          <w:spacing w:val="-8"/>
          <w:w w:val="105"/>
        </w:rPr>
        <w:t xml:space="preserve"> </w:t>
      </w:r>
      <w:r w:rsidRPr="005D21F3">
        <w:rPr>
          <w:rFonts w:ascii="Calibri" w:eastAsia="Calibri" w:hAnsi="Calibri"/>
          <w:w w:val="105"/>
        </w:rPr>
        <w:t>pandemic</w:t>
      </w:r>
      <w:r w:rsidRPr="005D21F3">
        <w:rPr>
          <w:rFonts w:ascii="Calibri" w:eastAsia="Calibri" w:hAnsi="Calibri"/>
          <w:spacing w:val="-8"/>
          <w:w w:val="105"/>
        </w:rPr>
        <w:t xml:space="preserve"> </w:t>
      </w:r>
      <w:r w:rsidRPr="005D21F3">
        <w:rPr>
          <w:rFonts w:ascii="Calibri" w:eastAsia="Calibri" w:hAnsi="Calibri"/>
          <w:w w:val="105"/>
        </w:rPr>
        <w:t>virus</w:t>
      </w:r>
      <w:r w:rsidRPr="005D21F3">
        <w:rPr>
          <w:rFonts w:ascii="Calibri" w:eastAsia="Calibri" w:hAnsi="Calibri"/>
          <w:spacing w:val="-8"/>
          <w:w w:val="105"/>
        </w:rPr>
        <w:t xml:space="preserve"> </w:t>
      </w:r>
      <w:r w:rsidRPr="005D21F3">
        <w:rPr>
          <w:rFonts w:ascii="Calibri" w:eastAsia="Calibri" w:hAnsi="Calibri"/>
          <w:w w:val="105"/>
        </w:rPr>
        <w:t>and</w:t>
      </w:r>
      <w:r w:rsidRPr="005D21F3">
        <w:rPr>
          <w:rFonts w:ascii="Calibri" w:eastAsia="Calibri" w:hAnsi="Calibri"/>
          <w:spacing w:val="-7"/>
          <w:w w:val="105"/>
        </w:rPr>
        <w:t xml:space="preserve"> </w:t>
      </w:r>
      <w:r w:rsidRPr="005D21F3">
        <w:rPr>
          <w:rFonts w:ascii="Calibri" w:eastAsia="Calibri" w:hAnsi="Calibri"/>
          <w:spacing w:val="-2"/>
          <w:w w:val="105"/>
        </w:rPr>
        <w:t>ma</w:t>
      </w:r>
      <w:r w:rsidRPr="005D21F3">
        <w:rPr>
          <w:rFonts w:ascii="Calibri" w:eastAsia="Calibri" w:hAnsi="Calibri"/>
          <w:w w:val="105"/>
        </w:rPr>
        <w:t>y</w:t>
      </w:r>
      <w:r w:rsidRPr="005D21F3">
        <w:rPr>
          <w:rFonts w:ascii="Calibri" w:eastAsia="Calibri" w:hAnsi="Calibri"/>
          <w:spacing w:val="-8"/>
          <w:w w:val="105"/>
        </w:rPr>
        <w:t xml:space="preserve"> </w:t>
      </w:r>
      <w:r w:rsidRPr="005D21F3">
        <w:rPr>
          <w:rFonts w:ascii="Calibri" w:eastAsia="Calibri" w:hAnsi="Calibri"/>
          <w:w w:val="105"/>
        </w:rPr>
        <w:t>be</w:t>
      </w:r>
      <w:r w:rsidRPr="005D21F3">
        <w:rPr>
          <w:rFonts w:ascii="Calibri" w:eastAsia="Calibri" w:hAnsi="Calibri"/>
          <w:spacing w:val="-8"/>
          <w:w w:val="105"/>
        </w:rPr>
        <w:t xml:space="preserve"> </w:t>
      </w:r>
      <w:r w:rsidRPr="005D21F3">
        <w:rPr>
          <w:rFonts w:ascii="Calibri" w:eastAsia="Calibri" w:hAnsi="Calibri"/>
          <w:w w:val="105"/>
        </w:rPr>
        <w:t>distributed</w:t>
      </w:r>
    </w:p>
    <w:p w14:paraId="25904FEA" w14:textId="70FC57B2" w:rsidR="00EC5B49" w:rsidRPr="003356D7" w:rsidRDefault="00EC5B49" w:rsidP="00EC5B49">
      <w:pPr>
        <w:widowControl w:val="0"/>
        <w:numPr>
          <w:ilvl w:val="0"/>
          <w:numId w:val="90"/>
        </w:numPr>
        <w:spacing w:before="80" w:after="0" w:line="240" w:lineRule="auto"/>
        <w:ind w:left="403"/>
        <w:rPr>
          <w:rFonts w:ascii="Calibri" w:eastAsia="Calibri" w:hAnsi="Calibri" w:cs="Calibri"/>
        </w:rPr>
      </w:pPr>
      <w:r w:rsidRPr="005D21F3">
        <w:rPr>
          <w:rFonts w:ascii="Calibri" w:eastAsia="Calibri" w:hAnsi="Calibri"/>
        </w:rPr>
        <w:t xml:space="preserve">All influenza vaccine will be administered according to the priorities set by the Commissioner of Public Health, pursuant to MGL Chapter 111, Section </w:t>
      </w:r>
      <w:proofErr w:type="gramStart"/>
      <w:r w:rsidRPr="005D21F3">
        <w:rPr>
          <w:rFonts w:ascii="Calibri" w:eastAsia="Calibri" w:hAnsi="Calibri"/>
        </w:rPr>
        <w:t>5A.,</w:t>
      </w:r>
      <w:proofErr w:type="gramEnd"/>
      <w:r w:rsidRPr="005D21F3">
        <w:rPr>
          <w:rFonts w:ascii="Calibri" w:eastAsia="Calibri" w:hAnsi="Calibri"/>
        </w:rPr>
        <w:t xml:space="preserve"> and based on the priority groups recommendation of</w:t>
      </w:r>
      <w:r w:rsidRPr="005D21F3">
        <w:rPr>
          <w:rFonts w:ascii="Calibri" w:eastAsia="Calibri" w:hAnsi="Calibri"/>
          <w:sz w:val="24"/>
          <w:szCs w:val="24"/>
        </w:rPr>
        <w:t xml:space="preserve"> the U.S. Department of Health and Human Services (DHHS).  This list may change on short notice depending upon the epidemiologic and clinical features of the pandemic disease</w:t>
      </w:r>
    </w:p>
    <w:p w14:paraId="383CC368" w14:textId="77777777" w:rsidR="003356D7" w:rsidRPr="003356D7" w:rsidRDefault="003356D7" w:rsidP="003356D7">
      <w:pPr>
        <w:widowControl w:val="0"/>
        <w:spacing w:before="80" w:after="0" w:line="240" w:lineRule="auto"/>
        <w:ind w:left="403"/>
        <w:rPr>
          <w:rFonts w:ascii="Calibri" w:eastAsia="Calibri" w:hAnsi="Calibri" w:cs="Calibri"/>
          <w:sz w:val="6"/>
          <w:szCs w:val="6"/>
        </w:rPr>
      </w:pPr>
    </w:p>
    <w:p w14:paraId="29C23FEC" w14:textId="77777777" w:rsidR="003356D7" w:rsidRDefault="00EC5B49" w:rsidP="00EC5B49">
      <w:pPr>
        <w:widowControl w:val="0"/>
        <w:numPr>
          <w:ilvl w:val="0"/>
          <w:numId w:val="91"/>
        </w:numPr>
        <w:spacing w:before="109" w:after="0" w:line="240" w:lineRule="auto"/>
        <w:contextualSpacing/>
      </w:pPr>
      <w:r w:rsidRPr="005D21F3">
        <w:t>Pandemic vaccine will be distributed to sites administering it to priority groups and the general public. These sites include (but are not limited to) provider sites, occupational health sites, hospitals, pharmacies emergency dispensing sites (EDS) and other mass vaccination sites as described below</w:t>
      </w:r>
    </w:p>
    <w:p w14:paraId="2C5681E6" w14:textId="1C1B1854" w:rsidR="00EC5B49" w:rsidRPr="003356D7" w:rsidRDefault="00EC5B49" w:rsidP="003356D7">
      <w:pPr>
        <w:widowControl w:val="0"/>
        <w:spacing w:before="109" w:after="0" w:line="240" w:lineRule="auto"/>
        <w:ind w:left="405"/>
        <w:contextualSpacing/>
        <w:rPr>
          <w:sz w:val="10"/>
          <w:szCs w:val="10"/>
        </w:rPr>
      </w:pPr>
      <w:r w:rsidRPr="005D21F3">
        <w:t xml:space="preserve"> </w:t>
      </w:r>
    </w:p>
    <w:p w14:paraId="30278893" w14:textId="77777777" w:rsidR="003356D7" w:rsidRDefault="00EC5B49" w:rsidP="00EC5B49">
      <w:pPr>
        <w:widowControl w:val="0"/>
        <w:numPr>
          <w:ilvl w:val="0"/>
          <w:numId w:val="91"/>
        </w:numPr>
        <w:spacing w:before="109" w:after="0" w:line="240" w:lineRule="auto"/>
        <w:contextualSpacing/>
      </w:pPr>
      <w:r w:rsidRPr="005D21F3">
        <w:t>Local health departments/local health coalitions have plans in place to administer vaccine to essential personnel and residents based on the established priority groups</w:t>
      </w:r>
    </w:p>
    <w:p w14:paraId="0DC22FBF" w14:textId="77AF3263" w:rsidR="00EC5B49" w:rsidRPr="003356D7" w:rsidRDefault="00EC5B49" w:rsidP="003356D7">
      <w:pPr>
        <w:widowControl w:val="0"/>
        <w:spacing w:before="109" w:after="0" w:line="240" w:lineRule="auto"/>
        <w:ind w:left="405"/>
        <w:contextualSpacing/>
        <w:rPr>
          <w:sz w:val="10"/>
          <w:szCs w:val="10"/>
        </w:rPr>
      </w:pPr>
      <w:r w:rsidRPr="005D21F3">
        <w:t xml:space="preserve">  </w:t>
      </w:r>
    </w:p>
    <w:p w14:paraId="6DAE6808" w14:textId="30E5ABFA" w:rsidR="00EC5B49" w:rsidRPr="005D21F3" w:rsidRDefault="00EC5B49" w:rsidP="00EC5B49">
      <w:pPr>
        <w:widowControl w:val="0"/>
        <w:numPr>
          <w:ilvl w:val="0"/>
          <w:numId w:val="91"/>
        </w:numPr>
        <w:spacing w:before="109" w:after="0" w:line="240" w:lineRule="auto"/>
        <w:contextualSpacing/>
      </w:pPr>
      <w:r w:rsidRPr="005D21F3">
        <w:t>The current Vaccine Adverse Event Reporting System (VAERS) system will be used to monitor vaccine safety</w:t>
      </w:r>
    </w:p>
    <w:p w14:paraId="56D9FD35" w14:textId="77777777" w:rsidR="00EC5B49" w:rsidRDefault="00EC5B49" w:rsidP="00EC5B49">
      <w:pPr>
        <w:spacing w:after="0"/>
        <w:ind w:left="14"/>
        <w:rPr>
          <w:rFonts w:ascii="Calibri" w:eastAsia="Calibri" w:hAnsi="Calibri" w:cs="Calibri"/>
          <w:b/>
        </w:rPr>
      </w:pPr>
    </w:p>
    <w:p w14:paraId="378CCDF0" w14:textId="77777777" w:rsidR="00CB25FE" w:rsidRDefault="00CB25FE" w:rsidP="00EC5B49">
      <w:pPr>
        <w:spacing w:after="0"/>
        <w:ind w:left="14"/>
        <w:rPr>
          <w:rFonts w:ascii="Calibri" w:eastAsia="Calibri" w:hAnsi="Calibri" w:cs="Calibri"/>
          <w:b/>
        </w:rPr>
      </w:pPr>
    </w:p>
    <w:p w14:paraId="03D3AF4D" w14:textId="1E6CCCDF" w:rsidR="00EC5B49" w:rsidRPr="005D21F3" w:rsidRDefault="00EC5B49" w:rsidP="00EC5B49">
      <w:pPr>
        <w:spacing w:after="0"/>
        <w:ind w:left="14"/>
        <w:rPr>
          <w:b/>
        </w:rPr>
      </w:pPr>
      <w:r w:rsidRPr="005D21F3">
        <w:rPr>
          <w:rFonts w:ascii="Calibri" w:eastAsia="Calibri" w:hAnsi="Calibri" w:cs="Calibri"/>
          <w:b/>
        </w:rPr>
        <w:t>Source</w:t>
      </w:r>
      <w:r>
        <w:rPr>
          <w:rFonts w:ascii="Calibri" w:eastAsia="Calibri" w:hAnsi="Calibri" w:cs="Calibri"/>
          <w:b/>
        </w:rPr>
        <w:t>s</w:t>
      </w:r>
      <w:r w:rsidR="00E21862" w:rsidRPr="005D21F3">
        <w:rPr>
          <w:rFonts w:ascii="Calibri" w:eastAsia="Calibri" w:hAnsi="Calibri" w:cs="Calibri"/>
          <w:b/>
        </w:rPr>
        <w:t xml:space="preserve">: </w:t>
      </w:r>
      <w:r w:rsidRPr="005D21F3">
        <w:rPr>
          <w:rFonts w:ascii="Calibri" w:eastAsia="Calibri" w:hAnsi="Calibri" w:cs="Calibri"/>
        </w:rPr>
        <w:br/>
      </w:r>
      <w:r w:rsidRPr="005D21F3">
        <w:t>Epidemiologic and Clinical Assumptions:</w:t>
      </w:r>
      <w:r w:rsidRPr="005D21F3">
        <w:rPr>
          <w:b/>
        </w:rPr>
        <w:t xml:space="preserve"> </w:t>
      </w:r>
    </w:p>
    <w:p w14:paraId="6AF8D6AA" w14:textId="77777777" w:rsidR="00EC5B49" w:rsidRPr="005D21F3" w:rsidRDefault="00EC5B49" w:rsidP="00EC5B49">
      <w:pPr>
        <w:spacing w:after="0"/>
        <w:ind w:left="14"/>
        <w:rPr>
          <w:rFonts w:ascii="Calibri" w:eastAsia="Calibri" w:hAnsi="Calibri" w:cs="Calibri"/>
        </w:rPr>
      </w:pPr>
      <w:proofErr w:type="gramStart"/>
      <w:r w:rsidRPr="005D21F3">
        <w:rPr>
          <w:rFonts w:ascii="Calibri" w:eastAsia="Calibri" w:hAnsi="Calibri" w:cs="Calibri"/>
        </w:rPr>
        <w:t>Pandemic Influenza Plan.</w:t>
      </w:r>
      <w:proofErr w:type="gramEnd"/>
      <w:r w:rsidRPr="005D21F3">
        <w:rPr>
          <w:rFonts w:ascii="Calibri" w:eastAsia="Calibri" w:hAnsi="Calibri" w:cs="Calibri"/>
        </w:rPr>
        <w:t xml:space="preserve"> 2017 Update. DHHS, CDC. p. 43-44</w:t>
      </w:r>
    </w:p>
    <w:p w14:paraId="675032B7" w14:textId="77777777" w:rsidR="00EC5B49" w:rsidRPr="005D21F3" w:rsidRDefault="009A1FF8" w:rsidP="00EC5B49">
      <w:pPr>
        <w:widowControl w:val="0"/>
        <w:tabs>
          <w:tab w:val="left" w:pos="1080"/>
        </w:tabs>
        <w:spacing w:after="0" w:line="240" w:lineRule="auto"/>
        <w:ind w:left="14" w:right="432"/>
        <w:rPr>
          <w:rFonts w:ascii="Calibri" w:eastAsia="Calibri" w:hAnsi="Calibri" w:cs="Calibri"/>
        </w:rPr>
      </w:pPr>
      <w:hyperlink r:id="rId105" w:history="1">
        <w:r w:rsidR="00EC5B49" w:rsidRPr="005D21F3">
          <w:rPr>
            <w:rFonts w:ascii="Calibri" w:eastAsia="Calibri" w:hAnsi="Calibri" w:cs="Calibri"/>
            <w:color w:val="0000FF" w:themeColor="hyperlink"/>
            <w:u w:val="single"/>
          </w:rPr>
          <w:t>https://www.cdc.gov/flu/pandemic-resources/pdf/pan-flu-report-2017v2.pdf</w:t>
        </w:r>
      </w:hyperlink>
    </w:p>
    <w:p w14:paraId="0AB6732C" w14:textId="77777777" w:rsidR="00EC5B49" w:rsidRPr="005D21F3" w:rsidRDefault="00EC5B49" w:rsidP="00EC5B49">
      <w:pPr>
        <w:widowControl w:val="0"/>
        <w:tabs>
          <w:tab w:val="left" w:pos="1050"/>
        </w:tabs>
        <w:spacing w:after="0" w:line="240" w:lineRule="auto"/>
        <w:ind w:left="14" w:right="432"/>
        <w:rPr>
          <w:rFonts w:ascii="Calibri" w:eastAsia="Calibri" w:hAnsi="Calibri" w:cs="Calibri"/>
        </w:rPr>
      </w:pPr>
      <w:r w:rsidRPr="005D21F3">
        <w:rPr>
          <w:rFonts w:ascii="Calibri" w:eastAsia="Calibri" w:hAnsi="Calibri" w:cs="Calibri"/>
        </w:rPr>
        <w:t xml:space="preserve">Vaccine Assumptions: </w:t>
      </w:r>
    </w:p>
    <w:p w14:paraId="146D068D" w14:textId="77777777" w:rsidR="00EC5B49" w:rsidRPr="005D21F3" w:rsidRDefault="00EC5B49" w:rsidP="00EC5B49">
      <w:pPr>
        <w:widowControl w:val="0"/>
        <w:spacing w:after="0" w:line="240" w:lineRule="auto"/>
        <w:ind w:left="14"/>
      </w:pPr>
      <w:proofErr w:type="gramStart"/>
      <w:r w:rsidRPr="005D21F3">
        <w:rPr>
          <w:rFonts w:ascii="Calibri" w:eastAsia="Calibri" w:hAnsi="Calibri" w:cs="Calibri"/>
        </w:rPr>
        <w:t>Roadmap to Implementing Pandemic Influenza Vaccination of Critical Workforce – Guidance for State and Local Planners 2019.</w:t>
      </w:r>
      <w:proofErr w:type="gramEnd"/>
      <w:r w:rsidRPr="005D21F3">
        <w:rPr>
          <w:rFonts w:ascii="Calibri" w:eastAsia="Calibri" w:hAnsi="Calibri" w:cs="Calibri"/>
        </w:rPr>
        <w:t xml:space="preserve">  </w:t>
      </w:r>
      <w:proofErr w:type="gramStart"/>
      <w:r w:rsidRPr="005D21F3">
        <w:rPr>
          <w:rFonts w:ascii="Calibri" w:eastAsia="Calibri" w:hAnsi="Calibri" w:cs="Calibri"/>
        </w:rPr>
        <w:t>CDC and HHS.</w:t>
      </w:r>
      <w:proofErr w:type="gramEnd"/>
      <w:r w:rsidRPr="005D21F3">
        <w:rPr>
          <w:rFonts w:ascii="Calibri" w:eastAsia="Calibri" w:hAnsi="Calibri" w:cs="Calibri"/>
        </w:rPr>
        <w:t xml:space="preserve"> See page 9 </w:t>
      </w:r>
      <w:hyperlink r:id="rId106" w:history="1">
        <w:r w:rsidRPr="005D21F3">
          <w:rPr>
            <w:color w:val="0000FF" w:themeColor="hyperlink"/>
            <w:u w:val="single"/>
          </w:rPr>
          <w:t>https://www.cdc.gov/flu/pandemic-resources/pdf/roadmap_panflu.pdf</w:t>
        </w:r>
      </w:hyperlink>
    </w:p>
    <w:p w14:paraId="3FEDAD7E" w14:textId="77777777" w:rsidR="00CB25FE" w:rsidRPr="00CB25FE" w:rsidRDefault="00CB25FE" w:rsidP="00CB25FE">
      <w:pPr>
        <w:keepNext/>
        <w:keepLines/>
        <w:spacing w:before="200" w:after="0"/>
        <w:outlineLvl w:val="3"/>
        <w:rPr>
          <w:rFonts w:asciiTheme="majorHAnsi" w:eastAsiaTheme="majorEastAsia" w:hAnsiTheme="majorHAnsi" w:cstheme="majorBidi"/>
          <w:b/>
          <w:bCs/>
          <w:i/>
          <w:iCs/>
          <w:color w:val="4F81BD" w:themeColor="accent1"/>
          <w:sz w:val="24"/>
          <w:szCs w:val="24"/>
        </w:rPr>
      </w:pPr>
      <w:r w:rsidRPr="00CB25FE">
        <w:rPr>
          <w:rFonts w:asciiTheme="majorHAnsi" w:eastAsiaTheme="majorEastAsia" w:hAnsiTheme="majorHAnsi" w:cstheme="majorBidi"/>
          <w:b/>
          <w:bCs/>
          <w:i/>
          <w:iCs/>
          <w:color w:val="4F81BD" w:themeColor="accent1"/>
          <w:sz w:val="24"/>
          <w:szCs w:val="24"/>
        </w:rPr>
        <w:t>Vaccination of Priority Groups</w:t>
      </w:r>
    </w:p>
    <w:p w14:paraId="1C258D6C" w14:textId="3380D693" w:rsidR="00CB25FE" w:rsidRPr="00CB25FE" w:rsidRDefault="00CB25FE" w:rsidP="00CB25FE">
      <w:pPr>
        <w:contextualSpacing/>
      </w:pPr>
      <w:r w:rsidRPr="00CB25FE">
        <w:t>The table</w:t>
      </w:r>
      <w:r>
        <w:t>s</w:t>
      </w:r>
      <w:r w:rsidRPr="00CB25FE">
        <w:t xml:space="preserve"> below list the priority groups for influenza vaccine during a severe pandemic. The numbers in each group are rough estimates derived through extrapolation of national estimates as listed in the 2018 Interim Updated Planning Guidance on Allocating and Targeting Pandemic Influenza Vaccine.   (</w:t>
      </w:r>
      <w:hyperlink r:id="rId107" w:history="1">
        <w:r w:rsidRPr="00CB25FE">
          <w:rPr>
            <w:u w:val="single"/>
          </w:rPr>
          <w:t>https://www.cdc.gov/flu/pandemic-resources/pdf/2018-Influenza-Guidance.pdf</w:t>
        </w:r>
      </w:hyperlink>
      <w:r w:rsidRPr="00CB25FE">
        <w:t>- please see this document for a more detailed definition of each group). Another source is the CDC document Roadmap to Implementing Pandemic Influenza Vaccination of Critical Workforce (</w:t>
      </w:r>
      <w:hyperlink r:id="rId108" w:history="1">
        <w:r w:rsidRPr="00CB25FE">
          <w:rPr>
            <w:color w:val="0000FF" w:themeColor="hyperlink"/>
            <w:u w:val="single"/>
          </w:rPr>
          <w:t>https://www.cdc.gov/flu/pandemic-resources/pdf/roadmap_panflu.pdf</w:t>
        </w:r>
      </w:hyperlink>
      <w:r w:rsidRPr="00CB25FE">
        <w:t>)</w:t>
      </w:r>
    </w:p>
    <w:p w14:paraId="67AF291F" w14:textId="77777777" w:rsidR="00CB25FE" w:rsidRPr="00CB25FE" w:rsidRDefault="00CB25FE" w:rsidP="00CB25FE">
      <w:pPr>
        <w:contextualSpacing/>
      </w:pPr>
    </w:p>
    <w:p w14:paraId="45C96FA4" w14:textId="77777777" w:rsidR="00CB25FE" w:rsidRPr="00CB25FE" w:rsidRDefault="00CB25FE" w:rsidP="00CB25FE">
      <w:pPr>
        <w:contextualSpacing/>
      </w:pPr>
      <w:r w:rsidRPr="00CB25FE">
        <w:t xml:space="preserve">All public and private employers of essential personnel (health care workers, public health and public safety workers, and utility, transportation and telecommunications/IT workers) are responsible for developing continuity of operations plan and prioritizing their personnel for vaccination.  </w:t>
      </w:r>
    </w:p>
    <w:p w14:paraId="299DF64A" w14:textId="77777777" w:rsidR="00CB25FE" w:rsidRDefault="00CB25FE" w:rsidP="00EC5B49">
      <w:pPr>
        <w:rPr>
          <w:noProof/>
        </w:rPr>
      </w:pPr>
    </w:p>
    <w:p w14:paraId="25806406" w14:textId="77777777" w:rsidR="00EC5B49" w:rsidRDefault="00EC5B49" w:rsidP="00EC5B49">
      <w:pPr>
        <w:rPr>
          <w:noProof/>
        </w:rPr>
      </w:pPr>
      <w:r>
        <w:rPr>
          <w:noProof/>
        </w:rPr>
        <w:lastRenderedPageBreak/>
        <mc:AlternateContent>
          <mc:Choice Requires="wps">
            <w:drawing>
              <wp:anchor distT="0" distB="0" distL="114300" distR="114300" simplePos="0" relativeHeight="251684864" behindDoc="0" locked="0" layoutInCell="1" allowOverlap="1" wp14:anchorId="3E43F6EE" wp14:editId="5064D7F6">
                <wp:simplePos x="0" y="0"/>
                <wp:positionH relativeFrom="column">
                  <wp:posOffset>-104140</wp:posOffset>
                </wp:positionH>
                <wp:positionV relativeFrom="paragraph">
                  <wp:posOffset>7434700</wp:posOffset>
                </wp:positionV>
                <wp:extent cx="6271260" cy="84518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845185"/>
                        </a:xfrm>
                        <a:prstGeom prst="rect">
                          <a:avLst/>
                        </a:prstGeom>
                        <a:solidFill>
                          <a:srgbClr val="FFFFFF"/>
                        </a:solidFill>
                        <a:ln w="9525">
                          <a:noFill/>
                          <a:miter lim="800000"/>
                          <a:headEnd/>
                          <a:tailEnd/>
                        </a:ln>
                      </wps:spPr>
                      <wps:txbx>
                        <w:txbxContent>
                          <w:p w14:paraId="6942C56F" w14:textId="77777777" w:rsidR="009A1FF8" w:rsidRDefault="009A1FF8" w:rsidP="00EC5B49">
                            <w:pPr>
                              <w:rPr>
                                <w:color w:val="FF0000"/>
                              </w:rPr>
                            </w:pPr>
                          </w:p>
                          <w:p w14:paraId="419D2B0F" w14:textId="77777777" w:rsidR="009A1FF8" w:rsidRDefault="009A1FF8" w:rsidP="00EC5B49">
                            <w:pPr>
                              <w:rPr>
                                <w:color w:val="FF0000"/>
                              </w:rPr>
                            </w:pPr>
                          </w:p>
                          <w:p w14:paraId="4589C254" w14:textId="77777777" w:rsidR="009A1FF8" w:rsidRDefault="009A1FF8" w:rsidP="00EC5B49">
                            <w:pPr>
                              <w:rPr>
                                <w:color w:val="FF0000"/>
                              </w:rPr>
                            </w:pPr>
                          </w:p>
                          <w:p w14:paraId="50F0EF39" w14:textId="77777777" w:rsidR="009A1FF8" w:rsidRDefault="009A1FF8" w:rsidP="00EC5B49">
                            <w:pPr>
                              <w:rPr>
                                <w:color w:val="FF0000"/>
                              </w:rPr>
                            </w:pPr>
                          </w:p>
                          <w:p w14:paraId="46164E53" w14:textId="77777777" w:rsidR="009A1FF8" w:rsidRDefault="009A1FF8" w:rsidP="00EC5B49">
                            <w:pPr>
                              <w:rPr>
                                <w:color w:val="FF0000"/>
                              </w:rPr>
                            </w:pPr>
                          </w:p>
                          <w:p w14:paraId="60C7A037" w14:textId="77777777" w:rsidR="009A1FF8" w:rsidRDefault="009A1FF8" w:rsidP="00EC5B49">
                            <w:pPr>
                              <w:rPr>
                                <w:color w:val="FF0000"/>
                              </w:rPr>
                            </w:pPr>
                          </w:p>
                          <w:p w14:paraId="655A448E" w14:textId="77777777" w:rsidR="009A1FF8" w:rsidRDefault="009A1FF8" w:rsidP="00EC5B49">
                            <w:pPr>
                              <w:rPr>
                                <w:color w:val="FF0000"/>
                              </w:rPr>
                            </w:pPr>
                          </w:p>
                          <w:p w14:paraId="5304EEFA" w14:textId="77777777" w:rsidR="009A1FF8" w:rsidRPr="00940C70" w:rsidRDefault="009A1FF8" w:rsidP="00EC5B49">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8.2pt;margin-top:585.4pt;width:493.8pt;height:66.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" stroked="f">
                <v:textbox>
                  <w:txbxContent>
                    <w:p w14:paraId="6942C56F" w14:textId="77777777" w:rsidR="009A1FF8" w:rsidRDefault="009A1FF8" w:rsidP="00EC5B49">
                      <w:pPr>
                        <w:rPr>
                          <w:color w:val="FF0000"/>
                        </w:rPr>
                      </w:pPr>
                    </w:p>
                    <w:p w14:paraId="419D2B0F" w14:textId="77777777" w:rsidR="009A1FF8" w:rsidRDefault="009A1FF8" w:rsidP="00EC5B49">
                      <w:pPr>
                        <w:rPr>
                          <w:color w:val="FF0000"/>
                        </w:rPr>
                      </w:pPr>
                    </w:p>
                    <w:p w14:paraId="4589C254" w14:textId="77777777" w:rsidR="009A1FF8" w:rsidRDefault="009A1FF8" w:rsidP="00EC5B49">
                      <w:pPr>
                        <w:rPr>
                          <w:color w:val="FF0000"/>
                        </w:rPr>
                      </w:pPr>
                    </w:p>
                    <w:p w14:paraId="50F0EF39" w14:textId="77777777" w:rsidR="009A1FF8" w:rsidRDefault="009A1FF8" w:rsidP="00EC5B49">
                      <w:pPr>
                        <w:rPr>
                          <w:color w:val="FF0000"/>
                        </w:rPr>
                      </w:pPr>
                    </w:p>
                    <w:p w14:paraId="46164E53" w14:textId="77777777" w:rsidR="009A1FF8" w:rsidRDefault="009A1FF8" w:rsidP="00EC5B49">
                      <w:pPr>
                        <w:rPr>
                          <w:color w:val="FF0000"/>
                        </w:rPr>
                      </w:pPr>
                    </w:p>
                    <w:p w14:paraId="60C7A037" w14:textId="77777777" w:rsidR="009A1FF8" w:rsidRDefault="009A1FF8" w:rsidP="00EC5B49">
                      <w:pPr>
                        <w:rPr>
                          <w:color w:val="FF0000"/>
                        </w:rPr>
                      </w:pPr>
                    </w:p>
                    <w:p w14:paraId="655A448E" w14:textId="77777777" w:rsidR="009A1FF8" w:rsidRDefault="009A1FF8" w:rsidP="00EC5B49">
                      <w:pPr>
                        <w:rPr>
                          <w:color w:val="FF0000"/>
                        </w:rPr>
                      </w:pPr>
                    </w:p>
                    <w:p w14:paraId="5304EEFA" w14:textId="77777777" w:rsidR="009A1FF8" w:rsidRPr="00940C70" w:rsidRDefault="009A1FF8" w:rsidP="00EC5B49">
                      <w:pPr>
                        <w:rPr>
                          <w:color w:val="FF0000"/>
                        </w:rPr>
                      </w:pPr>
                    </w:p>
                  </w:txbxContent>
                </v:textbox>
              </v:shape>
            </w:pict>
          </mc:Fallback>
        </mc:AlternateContent>
      </w:r>
      <w:r>
        <w:rPr>
          <w:noProof/>
        </w:rPr>
        <w:drawing>
          <wp:inline distT="0" distB="0" distL="0" distR="0" wp14:anchorId="47BDC77E" wp14:editId="569AFF6B">
            <wp:extent cx="5943524" cy="7332452"/>
            <wp:effectExtent l="0" t="0" r="635"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5943600" cy="7332545"/>
                    </a:xfrm>
                    <a:prstGeom prst="rect">
                      <a:avLst/>
                    </a:prstGeom>
                    <a:noFill/>
                    <a:ln>
                      <a:noFill/>
                    </a:ln>
                  </pic:spPr>
                </pic:pic>
              </a:graphicData>
            </a:graphic>
          </wp:inline>
        </w:drawing>
      </w:r>
    </w:p>
    <w:p w14:paraId="5BD557DD" w14:textId="77777777" w:rsidR="00EC5B49" w:rsidRPr="00F23CC2" w:rsidRDefault="00EC5B49" w:rsidP="006160F8">
      <w:pPr>
        <w:jc w:val="center"/>
        <w:rPr>
          <w:b/>
          <w:sz w:val="32"/>
          <w:szCs w:val="32"/>
        </w:rPr>
      </w:pPr>
      <w:r w:rsidRPr="00F23CC2">
        <w:rPr>
          <w:b/>
          <w:sz w:val="32"/>
          <w:szCs w:val="32"/>
        </w:rPr>
        <w:t>L</w:t>
      </w:r>
      <w:r>
        <w:rPr>
          <w:b/>
          <w:sz w:val="32"/>
          <w:szCs w:val="32"/>
        </w:rPr>
        <w:t>ow Severity Influenza Pandemic</w:t>
      </w:r>
    </w:p>
    <w:p w14:paraId="229894ED" w14:textId="77777777" w:rsidR="00EC5B49" w:rsidRDefault="00EC5B49" w:rsidP="00EC5B49">
      <w:pPr>
        <w:rPr>
          <w:b/>
        </w:rPr>
      </w:pPr>
    </w:p>
    <w:p w14:paraId="57C94B0E" w14:textId="77777777" w:rsidR="00AB6608" w:rsidRPr="00AB6608" w:rsidRDefault="00AB6608" w:rsidP="00AB6608">
      <w:pPr>
        <w:tabs>
          <w:tab w:val="center" w:pos="4680"/>
          <w:tab w:val="right" w:pos="9360"/>
        </w:tabs>
        <w:spacing w:after="0" w:line="240" w:lineRule="auto"/>
        <w:jc w:val="center"/>
        <w:rPr>
          <w:b/>
          <w:sz w:val="32"/>
          <w:szCs w:val="32"/>
        </w:rPr>
      </w:pPr>
      <w:r w:rsidRPr="00AB6608">
        <w:rPr>
          <w:b/>
          <w:sz w:val="32"/>
          <w:szCs w:val="32"/>
        </w:rPr>
        <w:lastRenderedPageBreak/>
        <w:t>Low Severity Influenza Pandemic</w:t>
      </w:r>
    </w:p>
    <w:p w14:paraId="52960131" w14:textId="77777777" w:rsidR="00EC5B49" w:rsidRPr="00A36534" w:rsidRDefault="00EC5B49" w:rsidP="00EC5B49">
      <w:pPr>
        <w:tabs>
          <w:tab w:val="center" w:pos="4680"/>
          <w:tab w:val="right" w:pos="9360"/>
        </w:tabs>
        <w:spacing w:after="0" w:line="240" w:lineRule="auto"/>
        <w:jc w:val="center"/>
      </w:pPr>
      <w:r w:rsidRPr="00A36534">
        <w:t>MA % of US Population = 2.1097%</w:t>
      </w:r>
    </w:p>
    <w:p w14:paraId="5FB89E60" w14:textId="77777777" w:rsidR="00EC5B49" w:rsidRDefault="00EC5B49" w:rsidP="00EC5B49">
      <w:pPr>
        <w:tabs>
          <w:tab w:val="center" w:pos="4680"/>
          <w:tab w:val="right" w:pos="9360"/>
        </w:tabs>
        <w:spacing w:after="0" w:line="240" w:lineRule="auto"/>
        <w:jc w:val="center"/>
      </w:pPr>
      <w:r w:rsidRPr="00A36534">
        <w:t>US Census = 327,167,434      MA Census = 6,902,149</w:t>
      </w:r>
      <w:r w:rsidRPr="000408E4">
        <w:rPr>
          <w:noProof/>
        </w:rPr>
        <w:drawing>
          <wp:inline distT="0" distB="0" distL="0" distR="0" wp14:anchorId="13459320" wp14:editId="6F29F1A3">
            <wp:extent cx="6081115" cy="631453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6081634" cy="6315075"/>
                    </a:xfrm>
                    <a:prstGeom prst="rect">
                      <a:avLst/>
                    </a:prstGeom>
                    <a:noFill/>
                    <a:ln>
                      <a:noFill/>
                    </a:ln>
                  </pic:spPr>
                </pic:pic>
              </a:graphicData>
            </a:graphic>
          </wp:inline>
        </w:drawing>
      </w:r>
    </w:p>
    <w:p w14:paraId="1C25A9A5" w14:textId="77777777" w:rsidR="00EC5B49" w:rsidRDefault="00EC5B49" w:rsidP="00EC5B49">
      <w:pPr>
        <w:tabs>
          <w:tab w:val="center" w:pos="4680"/>
          <w:tab w:val="right" w:pos="9360"/>
        </w:tabs>
        <w:spacing w:after="0" w:line="240" w:lineRule="auto"/>
        <w:rPr>
          <w:b/>
          <w:sz w:val="28"/>
          <w:szCs w:val="28"/>
        </w:rPr>
      </w:pPr>
    </w:p>
    <w:p w14:paraId="49436E79" w14:textId="77777777" w:rsidR="00EC5B49" w:rsidRDefault="00EC5B49" w:rsidP="00EC5B49">
      <w:pPr>
        <w:tabs>
          <w:tab w:val="center" w:pos="4680"/>
          <w:tab w:val="right" w:pos="9360"/>
        </w:tabs>
        <w:spacing w:after="0" w:line="240" w:lineRule="auto"/>
        <w:rPr>
          <w:b/>
          <w:sz w:val="28"/>
          <w:szCs w:val="28"/>
        </w:rPr>
      </w:pPr>
    </w:p>
    <w:p w14:paraId="7700A21E" w14:textId="77777777" w:rsidR="00AB6608" w:rsidRDefault="00AB6608" w:rsidP="006160F8">
      <w:pPr>
        <w:tabs>
          <w:tab w:val="center" w:pos="4680"/>
          <w:tab w:val="right" w:pos="9360"/>
        </w:tabs>
        <w:spacing w:after="0" w:line="240" w:lineRule="auto"/>
        <w:jc w:val="center"/>
        <w:rPr>
          <w:b/>
          <w:sz w:val="28"/>
          <w:szCs w:val="28"/>
        </w:rPr>
      </w:pPr>
    </w:p>
    <w:p w14:paraId="6E584445" w14:textId="77777777" w:rsidR="00AB6608" w:rsidRDefault="00AB6608" w:rsidP="006160F8">
      <w:pPr>
        <w:tabs>
          <w:tab w:val="center" w:pos="4680"/>
          <w:tab w:val="right" w:pos="9360"/>
        </w:tabs>
        <w:spacing w:after="0" w:line="240" w:lineRule="auto"/>
        <w:jc w:val="center"/>
        <w:rPr>
          <w:b/>
          <w:sz w:val="28"/>
          <w:szCs w:val="28"/>
        </w:rPr>
      </w:pPr>
    </w:p>
    <w:p w14:paraId="4B3FF025" w14:textId="77777777" w:rsidR="00AB6608" w:rsidRDefault="00AB6608" w:rsidP="006160F8">
      <w:pPr>
        <w:tabs>
          <w:tab w:val="center" w:pos="4680"/>
          <w:tab w:val="right" w:pos="9360"/>
        </w:tabs>
        <w:spacing w:after="0" w:line="240" w:lineRule="auto"/>
        <w:jc w:val="center"/>
        <w:rPr>
          <w:b/>
          <w:sz w:val="28"/>
          <w:szCs w:val="28"/>
        </w:rPr>
      </w:pPr>
    </w:p>
    <w:p w14:paraId="6EEC96A0" w14:textId="77777777" w:rsidR="00AB6608" w:rsidRDefault="00AB6608" w:rsidP="006160F8">
      <w:pPr>
        <w:tabs>
          <w:tab w:val="center" w:pos="4680"/>
          <w:tab w:val="right" w:pos="9360"/>
        </w:tabs>
        <w:spacing w:after="0" w:line="240" w:lineRule="auto"/>
        <w:jc w:val="center"/>
        <w:rPr>
          <w:b/>
          <w:sz w:val="28"/>
          <w:szCs w:val="28"/>
        </w:rPr>
      </w:pPr>
    </w:p>
    <w:p w14:paraId="60513046" w14:textId="77777777" w:rsidR="00AB6608" w:rsidRDefault="00EC5B49" w:rsidP="006160F8">
      <w:pPr>
        <w:tabs>
          <w:tab w:val="center" w:pos="4680"/>
          <w:tab w:val="right" w:pos="9360"/>
        </w:tabs>
        <w:spacing w:after="0" w:line="240" w:lineRule="auto"/>
        <w:jc w:val="center"/>
        <w:rPr>
          <w:b/>
          <w:sz w:val="28"/>
          <w:szCs w:val="28"/>
        </w:rPr>
      </w:pPr>
      <w:r w:rsidRPr="00F23CC2">
        <w:rPr>
          <w:b/>
          <w:sz w:val="28"/>
          <w:szCs w:val="28"/>
        </w:rPr>
        <w:lastRenderedPageBreak/>
        <w:t>M</w:t>
      </w:r>
      <w:r>
        <w:rPr>
          <w:b/>
          <w:sz w:val="28"/>
          <w:szCs w:val="28"/>
        </w:rPr>
        <w:t>oderate Severity Influenza Pandemic</w:t>
      </w:r>
    </w:p>
    <w:p w14:paraId="22A726D3" w14:textId="25B5E59E" w:rsidR="00EC5B49" w:rsidRPr="00A36534" w:rsidRDefault="00EC5B49" w:rsidP="006160F8">
      <w:pPr>
        <w:tabs>
          <w:tab w:val="center" w:pos="4680"/>
          <w:tab w:val="right" w:pos="9360"/>
        </w:tabs>
        <w:spacing w:after="0" w:line="240" w:lineRule="auto"/>
        <w:jc w:val="center"/>
      </w:pPr>
      <w:r>
        <w:rPr>
          <w:b/>
          <w:sz w:val="28"/>
          <w:szCs w:val="28"/>
        </w:rPr>
        <w:t xml:space="preserve"> </w:t>
      </w:r>
      <w:r w:rsidRPr="00A36534">
        <w:t>MA % of US Population = 2.1097%</w:t>
      </w:r>
    </w:p>
    <w:p w14:paraId="01892C45" w14:textId="77777777" w:rsidR="00EC5B49" w:rsidRDefault="00EC5B49" w:rsidP="00EC5B49">
      <w:pPr>
        <w:jc w:val="center"/>
      </w:pPr>
      <w:r w:rsidRPr="00A36534">
        <w:t>US Census = 327,167,434      MA Census = 6,902,149</w:t>
      </w:r>
    </w:p>
    <w:p w14:paraId="06740EB7" w14:textId="77777777" w:rsidR="00EC5B49" w:rsidRPr="00F23CC2" w:rsidRDefault="00EC5B49" w:rsidP="00EC5B49">
      <w:pPr>
        <w:jc w:val="center"/>
        <w:rPr>
          <w:sz w:val="20"/>
          <w:szCs w:val="20"/>
        </w:rPr>
      </w:pPr>
      <w:r w:rsidRPr="0072163D">
        <w:rPr>
          <w:noProof/>
        </w:rPr>
        <w:drawing>
          <wp:inline distT="0" distB="0" distL="0" distR="0" wp14:anchorId="2D652613" wp14:editId="1C727098">
            <wp:extent cx="5943600" cy="5960853"/>
            <wp:effectExtent l="0" t="0" r="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5943600" cy="5960853"/>
                    </a:xfrm>
                    <a:prstGeom prst="rect">
                      <a:avLst/>
                    </a:prstGeom>
                    <a:noFill/>
                    <a:ln>
                      <a:noFill/>
                    </a:ln>
                  </pic:spPr>
                </pic:pic>
              </a:graphicData>
            </a:graphic>
          </wp:inline>
        </w:drawing>
      </w:r>
    </w:p>
    <w:p w14:paraId="48A0A017" w14:textId="77777777" w:rsidR="00EC5B49" w:rsidRDefault="00EC5B49" w:rsidP="00EC5B49">
      <w:pPr>
        <w:pStyle w:val="Heading2"/>
        <w:contextualSpacing/>
      </w:pPr>
    </w:p>
    <w:p w14:paraId="788D807A" w14:textId="77777777" w:rsidR="00EC5B49" w:rsidRDefault="00EC5B49" w:rsidP="00EC5B49">
      <w:pPr>
        <w:jc w:val="center"/>
      </w:pPr>
    </w:p>
    <w:p w14:paraId="6786CB98" w14:textId="77777777" w:rsidR="00EC5B49" w:rsidRDefault="00EC5B49" w:rsidP="00EC5B49">
      <w:pPr>
        <w:jc w:val="center"/>
      </w:pPr>
    </w:p>
    <w:p w14:paraId="393D690D" w14:textId="77777777" w:rsidR="00EC5B49" w:rsidRDefault="00EC5B49" w:rsidP="00EC5B49">
      <w:pPr>
        <w:jc w:val="center"/>
      </w:pPr>
    </w:p>
    <w:p w14:paraId="03F3E19B" w14:textId="77777777" w:rsidR="00EC5B49" w:rsidRDefault="00EC5B49" w:rsidP="00EC5B49">
      <w:pPr>
        <w:jc w:val="center"/>
      </w:pPr>
    </w:p>
    <w:p w14:paraId="19DAB83A" w14:textId="77777777" w:rsidR="00EC5B49" w:rsidRDefault="00EC5B49" w:rsidP="00EC5B49">
      <w:pPr>
        <w:tabs>
          <w:tab w:val="center" w:pos="4680"/>
          <w:tab w:val="right" w:pos="9360"/>
        </w:tabs>
        <w:spacing w:after="0" w:line="240" w:lineRule="auto"/>
        <w:jc w:val="center"/>
        <w:rPr>
          <w:b/>
          <w:sz w:val="28"/>
          <w:szCs w:val="28"/>
        </w:rPr>
      </w:pPr>
      <w:r>
        <w:rPr>
          <w:b/>
          <w:sz w:val="28"/>
          <w:szCs w:val="28"/>
        </w:rPr>
        <w:lastRenderedPageBreak/>
        <w:t xml:space="preserve">Severe Influenza Pandemic </w:t>
      </w:r>
    </w:p>
    <w:p w14:paraId="76DA43A9" w14:textId="77777777" w:rsidR="00EC5B49" w:rsidRPr="00A36534" w:rsidRDefault="00EC5B49" w:rsidP="00EC5B49">
      <w:pPr>
        <w:tabs>
          <w:tab w:val="center" w:pos="4680"/>
          <w:tab w:val="right" w:pos="9360"/>
        </w:tabs>
        <w:spacing w:after="0" w:line="240" w:lineRule="auto"/>
        <w:jc w:val="center"/>
      </w:pPr>
      <w:r w:rsidRPr="00A36534">
        <w:t>MA % of US Population = 2.1097%</w:t>
      </w:r>
    </w:p>
    <w:p w14:paraId="2E62AC3F" w14:textId="77777777" w:rsidR="00EC5B49" w:rsidRDefault="00EC5B49" w:rsidP="00EC5B49">
      <w:pPr>
        <w:jc w:val="center"/>
      </w:pPr>
      <w:r w:rsidRPr="00A36534">
        <w:t>US Census = 327,167,434      MA Census = 6,902,149</w:t>
      </w:r>
    </w:p>
    <w:p w14:paraId="1A76BE7C" w14:textId="77777777" w:rsidR="00EC5B49" w:rsidRDefault="00EC5B49" w:rsidP="00EC5B49">
      <w:pPr>
        <w:jc w:val="center"/>
      </w:pPr>
      <w:r w:rsidRPr="0021726D">
        <w:rPr>
          <w:noProof/>
        </w:rPr>
        <w:drawing>
          <wp:inline distT="0" distB="0" distL="0" distR="0" wp14:anchorId="19194956" wp14:editId="7A1F2EBF">
            <wp:extent cx="5943600" cy="6090249"/>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5943600" cy="6090249"/>
                    </a:xfrm>
                    <a:prstGeom prst="rect">
                      <a:avLst/>
                    </a:prstGeom>
                    <a:noFill/>
                    <a:ln>
                      <a:noFill/>
                    </a:ln>
                  </pic:spPr>
                </pic:pic>
              </a:graphicData>
            </a:graphic>
          </wp:inline>
        </w:drawing>
      </w:r>
    </w:p>
    <w:p w14:paraId="58766D78" w14:textId="77777777" w:rsidR="00EC5B49" w:rsidRDefault="00EC5B49" w:rsidP="00EC5B49">
      <w:pPr>
        <w:jc w:val="center"/>
      </w:pPr>
    </w:p>
    <w:p w14:paraId="525266F0" w14:textId="77777777" w:rsidR="00EC5B49" w:rsidRDefault="00EC5B49" w:rsidP="00EC5B49">
      <w:pPr>
        <w:jc w:val="center"/>
      </w:pPr>
    </w:p>
    <w:p w14:paraId="77552840" w14:textId="77777777" w:rsidR="00AB6608" w:rsidRDefault="00AB6608" w:rsidP="00EC5B49">
      <w:pPr>
        <w:jc w:val="center"/>
      </w:pPr>
    </w:p>
    <w:p w14:paraId="31D45CE9" w14:textId="77777777" w:rsidR="00AB6608" w:rsidRDefault="00AB6608" w:rsidP="00EC5B49">
      <w:pPr>
        <w:jc w:val="center"/>
      </w:pPr>
    </w:p>
    <w:p w14:paraId="5A5CBD66" w14:textId="0EC26D93" w:rsidR="002F251F" w:rsidRPr="00F53AFB" w:rsidRDefault="002F251F" w:rsidP="002F251F">
      <w:pPr>
        <w:pStyle w:val="Heading4"/>
        <w:rPr>
          <w:sz w:val="24"/>
          <w:szCs w:val="24"/>
        </w:rPr>
      </w:pPr>
      <w:r w:rsidRPr="00F53AFB">
        <w:rPr>
          <w:sz w:val="24"/>
          <w:szCs w:val="24"/>
        </w:rPr>
        <w:lastRenderedPageBreak/>
        <w:t>References</w:t>
      </w:r>
    </w:p>
    <w:p w14:paraId="32DAE166" w14:textId="77777777" w:rsidR="002F251F" w:rsidRPr="00A43406" w:rsidRDefault="002F251F" w:rsidP="002F251F">
      <w:pPr>
        <w:contextualSpacing/>
      </w:pPr>
    </w:p>
    <w:p w14:paraId="1205DCC0" w14:textId="77777777" w:rsidR="002F251F" w:rsidRPr="00AD7417" w:rsidRDefault="002F251F" w:rsidP="002F251F">
      <w:pPr>
        <w:rPr>
          <w:color w:val="0000FF"/>
        </w:rPr>
      </w:pPr>
      <w:r w:rsidRPr="00AD7417">
        <w:t xml:space="preserve">CDC Interim Updated Planning Guidance on Allocating and Targeting Pandemic Influenza Vaccine </w:t>
      </w:r>
      <w:proofErr w:type="gramStart"/>
      <w:r w:rsidRPr="00AD7417">
        <w:t>During</w:t>
      </w:r>
      <w:proofErr w:type="gramEnd"/>
      <w:r w:rsidRPr="00AD7417">
        <w:t xml:space="preserve"> an Influenza Pandemic, October 2018:  </w:t>
      </w:r>
      <w:hyperlink r:id="rId113" w:history="1">
        <w:r w:rsidRPr="00AD7417">
          <w:rPr>
            <w:color w:val="0000FF"/>
            <w:u w:val="single"/>
          </w:rPr>
          <w:t>https://www.cdc.gov/flu/pandemic-resources/pdf/2018-Influenza-Guidance.pdf</w:t>
        </w:r>
      </w:hyperlink>
      <w:r w:rsidRPr="00AD7417">
        <w:rPr>
          <w:color w:val="0000FF"/>
        </w:rPr>
        <w:t xml:space="preserve"> </w:t>
      </w:r>
    </w:p>
    <w:p w14:paraId="400B0944" w14:textId="77777777" w:rsidR="002F251F" w:rsidRPr="00AD7417" w:rsidRDefault="002F251F" w:rsidP="002F251F">
      <w:pPr>
        <w:widowControl w:val="0"/>
        <w:tabs>
          <w:tab w:val="left" w:pos="1050"/>
        </w:tabs>
        <w:spacing w:after="0" w:line="240" w:lineRule="auto"/>
        <w:ind w:right="432"/>
      </w:pPr>
      <w:r w:rsidRPr="00AD7417">
        <w:t xml:space="preserve">CDC Roadmap to Implementing Pandemic Influenza Vaccination of Critical Workforce </w:t>
      </w:r>
    </w:p>
    <w:p w14:paraId="026F5A90" w14:textId="77777777" w:rsidR="002F251F" w:rsidRPr="00AD7417" w:rsidRDefault="009A1FF8" w:rsidP="002F251F">
      <w:pPr>
        <w:contextualSpacing/>
      </w:pPr>
      <w:hyperlink r:id="rId114" w:history="1">
        <w:r w:rsidR="002F251F" w:rsidRPr="00AD7417">
          <w:rPr>
            <w:color w:val="0000FF" w:themeColor="hyperlink"/>
            <w:u w:val="single"/>
          </w:rPr>
          <w:t>https://www.cdc.gov/flu/pandemic-resources/pdf/roadmap_panflu.pdf</w:t>
        </w:r>
      </w:hyperlink>
    </w:p>
    <w:p w14:paraId="04F1E629" w14:textId="77777777" w:rsidR="002F251F" w:rsidRPr="00AD7417" w:rsidRDefault="002F251F" w:rsidP="002F251F">
      <w:pPr>
        <w:widowControl w:val="0"/>
        <w:tabs>
          <w:tab w:val="left" w:pos="1050"/>
        </w:tabs>
        <w:spacing w:after="0" w:line="240" w:lineRule="auto"/>
        <w:ind w:right="432"/>
      </w:pPr>
    </w:p>
    <w:p w14:paraId="4F176DF1" w14:textId="77777777" w:rsidR="002F251F" w:rsidRPr="00AD7417" w:rsidRDefault="002F251F" w:rsidP="002F251F">
      <w:pPr>
        <w:widowControl w:val="0"/>
        <w:tabs>
          <w:tab w:val="left" w:pos="1050"/>
        </w:tabs>
        <w:spacing w:after="0" w:line="240" w:lineRule="auto"/>
        <w:ind w:right="432"/>
      </w:pPr>
      <w:r w:rsidRPr="00AD7417">
        <w:t>Pandemic Influenza Vaccine Targeting Checklist, Planning Activities for State and Local Health Departments</w:t>
      </w:r>
    </w:p>
    <w:p w14:paraId="50E1861D" w14:textId="77777777" w:rsidR="002F251F" w:rsidRPr="00AD7417" w:rsidRDefault="009A1FF8" w:rsidP="002F251F">
      <w:pPr>
        <w:rPr>
          <w:color w:val="FF0000"/>
        </w:rPr>
      </w:pPr>
      <w:hyperlink r:id="rId115" w:history="1">
        <w:r w:rsidR="002F251F" w:rsidRPr="00AD7417">
          <w:rPr>
            <w:rFonts w:ascii="Calibri" w:eastAsia="Calibri" w:hAnsi="Calibri" w:cs="Calibri"/>
            <w:color w:val="0000FF" w:themeColor="hyperlink"/>
            <w:u w:val="single"/>
          </w:rPr>
          <w:t>https://www.cdc.gov/flu/pandemic-resources/pdf/2018-Influenza-Checklist.pdf</w:t>
        </w:r>
      </w:hyperlink>
    </w:p>
    <w:p w14:paraId="76E2F3B4" w14:textId="77777777" w:rsidR="002F251F" w:rsidRPr="00AD7417" w:rsidRDefault="002F251F" w:rsidP="002F251F">
      <w:pPr>
        <w:rPr>
          <w:color w:val="0000FF"/>
        </w:rPr>
      </w:pPr>
      <w:r w:rsidRPr="00AD7417">
        <w:t xml:space="preserve">CDC Pandemic Influenza Plan, 2017 Update: </w:t>
      </w:r>
      <w:hyperlink r:id="rId116" w:history="1">
        <w:r w:rsidRPr="00AD7417">
          <w:rPr>
            <w:color w:val="0000FF"/>
            <w:u w:val="single"/>
          </w:rPr>
          <w:t>https://www.cdc.gov/flu/pandemic-resources/pdf/pan-flu-report-2017v2.pdf</w:t>
        </w:r>
      </w:hyperlink>
    </w:p>
    <w:p w14:paraId="6CE9DA21" w14:textId="77777777" w:rsidR="00EC5B49" w:rsidRPr="006160F8" w:rsidRDefault="00EC5B49" w:rsidP="00C51E6C">
      <w:pPr>
        <w:rPr>
          <w:rFonts w:asciiTheme="majorHAnsi" w:eastAsiaTheme="majorEastAsia" w:hAnsiTheme="majorHAnsi" w:cstheme="majorBidi"/>
          <w:b/>
          <w:bCs/>
          <w:i/>
          <w:color w:val="E36C0A" w:themeColor="accent6" w:themeShade="BF"/>
          <w:sz w:val="36"/>
          <w:szCs w:val="36"/>
        </w:rPr>
      </w:pPr>
    </w:p>
    <w:p w14:paraId="77F757A6" w14:textId="77777777" w:rsidR="00AD7417" w:rsidRDefault="00AD7417" w:rsidP="00C51E6C">
      <w:pPr>
        <w:rPr>
          <w:rFonts w:ascii="Franklin Gothic Medium Cond" w:eastAsiaTheme="majorEastAsia" w:hAnsi="Franklin Gothic Medium Cond" w:cstheme="majorBidi"/>
          <w:b/>
          <w:bCs/>
          <w:color w:val="E36C0A" w:themeColor="accent6" w:themeShade="BF"/>
          <w:sz w:val="52"/>
          <w:szCs w:val="28"/>
        </w:rPr>
      </w:pPr>
    </w:p>
    <w:p w14:paraId="66EA804D" w14:textId="77777777" w:rsidR="00AD7417" w:rsidRDefault="00AD7417" w:rsidP="00C51E6C">
      <w:pPr>
        <w:rPr>
          <w:rFonts w:ascii="Franklin Gothic Medium Cond" w:eastAsiaTheme="majorEastAsia" w:hAnsi="Franklin Gothic Medium Cond" w:cstheme="majorBidi"/>
          <w:b/>
          <w:bCs/>
          <w:color w:val="E36C0A" w:themeColor="accent6" w:themeShade="BF"/>
          <w:sz w:val="52"/>
          <w:szCs w:val="28"/>
        </w:rPr>
      </w:pPr>
    </w:p>
    <w:p w14:paraId="4D48F3B2" w14:textId="77777777" w:rsidR="00AD7417" w:rsidRDefault="00AD7417" w:rsidP="00C51E6C">
      <w:pPr>
        <w:rPr>
          <w:rFonts w:ascii="Franklin Gothic Medium Cond" w:eastAsiaTheme="majorEastAsia" w:hAnsi="Franklin Gothic Medium Cond" w:cstheme="majorBidi"/>
          <w:b/>
          <w:bCs/>
          <w:color w:val="E36C0A" w:themeColor="accent6" w:themeShade="BF"/>
          <w:sz w:val="52"/>
          <w:szCs w:val="28"/>
        </w:rPr>
      </w:pPr>
    </w:p>
    <w:p w14:paraId="02B9D8D2" w14:textId="77777777" w:rsidR="00AD7417" w:rsidRDefault="00AD7417" w:rsidP="00C51E6C">
      <w:pPr>
        <w:rPr>
          <w:rFonts w:ascii="Franklin Gothic Medium Cond" w:eastAsiaTheme="majorEastAsia" w:hAnsi="Franklin Gothic Medium Cond" w:cstheme="majorBidi"/>
          <w:b/>
          <w:bCs/>
          <w:color w:val="E36C0A" w:themeColor="accent6" w:themeShade="BF"/>
          <w:sz w:val="52"/>
          <w:szCs w:val="28"/>
        </w:rPr>
      </w:pPr>
    </w:p>
    <w:p w14:paraId="2EBFAC02" w14:textId="77777777" w:rsidR="00AD7417" w:rsidRDefault="00AD7417" w:rsidP="00C51E6C">
      <w:pPr>
        <w:rPr>
          <w:rFonts w:ascii="Franklin Gothic Medium Cond" w:eastAsiaTheme="majorEastAsia" w:hAnsi="Franklin Gothic Medium Cond" w:cstheme="majorBidi"/>
          <w:b/>
          <w:bCs/>
          <w:color w:val="E36C0A" w:themeColor="accent6" w:themeShade="BF"/>
          <w:sz w:val="52"/>
          <w:szCs w:val="28"/>
        </w:rPr>
      </w:pPr>
    </w:p>
    <w:p w14:paraId="2E41A57A" w14:textId="77777777" w:rsidR="00B73DC5" w:rsidRDefault="00B73DC5" w:rsidP="00334696"/>
    <w:p w14:paraId="2776169C" w14:textId="77777777" w:rsidR="00B73DC5" w:rsidRDefault="00B73DC5" w:rsidP="00334696"/>
    <w:p w14:paraId="44971C4E" w14:textId="77777777" w:rsidR="00C538EC" w:rsidRDefault="00C538EC" w:rsidP="00B73DC5">
      <w:pPr>
        <w:jc w:val="center"/>
      </w:pPr>
    </w:p>
    <w:p w14:paraId="7425AC82" w14:textId="77777777" w:rsidR="00C538EC" w:rsidRDefault="00C538EC" w:rsidP="00B73DC5">
      <w:pPr>
        <w:jc w:val="center"/>
      </w:pPr>
    </w:p>
    <w:p w14:paraId="6457DEB3" w14:textId="77777777" w:rsidR="00C538EC" w:rsidRDefault="00C538EC" w:rsidP="00B73DC5">
      <w:pPr>
        <w:jc w:val="center"/>
      </w:pPr>
    </w:p>
    <w:p w14:paraId="4BA1585F" w14:textId="77777777" w:rsidR="00C51E6C" w:rsidRDefault="00C51E6C" w:rsidP="00B73DC5">
      <w:pPr>
        <w:jc w:val="center"/>
      </w:pPr>
    </w:p>
    <w:p w14:paraId="07C81C97" w14:textId="77777777" w:rsidR="00C51E6C" w:rsidRDefault="00C51E6C" w:rsidP="00B73DC5">
      <w:pPr>
        <w:jc w:val="center"/>
      </w:pPr>
    </w:p>
    <w:p w14:paraId="22FD8BCC" w14:textId="77777777" w:rsidR="00C51E6C" w:rsidRDefault="00C51E6C" w:rsidP="00B73DC5">
      <w:pPr>
        <w:jc w:val="center"/>
      </w:pPr>
    </w:p>
    <w:p w14:paraId="73E8DAC3" w14:textId="77777777" w:rsidR="00C51E6C" w:rsidRDefault="00C51E6C" w:rsidP="00B73DC5">
      <w:pPr>
        <w:jc w:val="center"/>
      </w:pPr>
    </w:p>
    <w:p w14:paraId="471D59E2" w14:textId="77777777" w:rsidR="00C51E6C" w:rsidRDefault="00C51E6C" w:rsidP="00B73DC5">
      <w:pPr>
        <w:jc w:val="center"/>
      </w:pPr>
    </w:p>
    <w:p w14:paraId="784E179D" w14:textId="66ECE409" w:rsidR="00B73DC5" w:rsidRPr="00334696" w:rsidRDefault="00B73DC5" w:rsidP="00B73DC5">
      <w:pPr>
        <w:jc w:val="center"/>
      </w:pPr>
      <w:r>
        <w:t xml:space="preserve">This page is to remain blank. </w:t>
      </w:r>
    </w:p>
    <w:sectPr w:rsidR="00B73DC5" w:rsidRPr="00334696" w:rsidSect="00E21862">
      <w:headerReference w:type="even" r:id="rId117"/>
      <w:headerReference w:type="default" r:id="rId118"/>
      <w:footerReference w:type="default" r:id="rId119"/>
      <w:headerReference w:type="first" r:id="rId120"/>
      <w:pgSz w:w="12240" w:h="15840" w:code="1"/>
      <w:pgMar w:top="1440" w:right="135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610FB14" w15:done="0"/>
  <w15:commentEx w15:paraId="316D7AAE" w15:done="1"/>
  <w15:commentEx w15:paraId="612E6E89" w15:done="1"/>
  <w15:commentEx w15:paraId="20BF5F97" w15:done="1"/>
  <w15:commentEx w15:paraId="0F300374" w15:done="1"/>
  <w15:commentEx w15:paraId="05698D8B" w15:done="1"/>
  <w15:commentEx w15:paraId="3FE6E5BA" w15:done="1"/>
  <w15:commentEx w15:paraId="33D27E07" w15:done="1"/>
  <w15:commentEx w15:paraId="54C7B241" w15:done="1"/>
  <w15:commentEx w15:paraId="73229C90" w15:done="1"/>
  <w15:commentEx w15:paraId="59FF46BD" w15:done="0"/>
  <w15:commentEx w15:paraId="74F1233A" w15:done="0"/>
  <w15:commentEx w15:paraId="13E966D7" w15:done="0"/>
  <w15:commentEx w15:paraId="7E76028A" w15:done="0"/>
  <w15:commentEx w15:paraId="053F40DB" w15:done="0"/>
  <w15:commentEx w15:paraId="393340E0" w15:done="0"/>
  <w15:commentEx w15:paraId="53D9D78F" w15:done="0"/>
  <w15:commentEx w15:paraId="35A0FF1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10FB14" w16cid:durableId="21DBC4F8"/>
  <w16cid:commentId w16cid:paraId="316D7AAE" w16cid:durableId="21DBC4F9"/>
  <w16cid:commentId w16cid:paraId="612E6E89" w16cid:durableId="21DBC4FA"/>
  <w16cid:commentId w16cid:paraId="20BF5F97" w16cid:durableId="21DBC4FB"/>
  <w16cid:commentId w16cid:paraId="0F300374" w16cid:durableId="21DBC4FC"/>
  <w16cid:commentId w16cid:paraId="05698D8B" w16cid:durableId="21DBC4FD"/>
  <w16cid:commentId w16cid:paraId="3FE6E5BA" w16cid:durableId="21DBC4FE"/>
  <w16cid:commentId w16cid:paraId="33D27E07" w16cid:durableId="21DBC4FF"/>
  <w16cid:commentId w16cid:paraId="54C7B241" w16cid:durableId="21DBC500"/>
  <w16cid:commentId w16cid:paraId="73229C90" w16cid:durableId="21DBC501"/>
  <w16cid:commentId w16cid:paraId="59FF46BD" w16cid:durableId="21DBC502"/>
  <w16cid:commentId w16cid:paraId="74F1233A" w16cid:durableId="21DBC503"/>
  <w16cid:commentId w16cid:paraId="13E966D7" w16cid:durableId="21DBC504"/>
  <w16cid:commentId w16cid:paraId="7E76028A" w16cid:durableId="21DBC505"/>
  <w16cid:commentId w16cid:paraId="053F40DB" w16cid:durableId="21DBC506"/>
  <w16cid:commentId w16cid:paraId="393340E0" w16cid:durableId="21DBC507"/>
  <w16cid:commentId w16cid:paraId="53D9D78F" w16cid:durableId="21DBC508"/>
  <w16cid:commentId w16cid:paraId="35A0FF1A" w16cid:durableId="21DBF81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DC2009" w14:textId="77777777" w:rsidR="009A1FF8" w:rsidRDefault="009A1FF8" w:rsidP="003A5213">
      <w:pPr>
        <w:spacing w:after="0" w:line="240" w:lineRule="auto"/>
      </w:pPr>
      <w:r>
        <w:separator/>
      </w:r>
    </w:p>
  </w:endnote>
  <w:endnote w:type="continuationSeparator" w:id="0">
    <w:p w14:paraId="7E469617" w14:textId="77777777" w:rsidR="009A1FF8" w:rsidRDefault="009A1FF8" w:rsidP="003A5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Lucida Grande">
    <w:charset w:val="00"/>
    <w:family w:val="auto"/>
    <w:pitch w:val="variable"/>
    <w:sig w:usb0="E1000AEF" w:usb1="5000A1FF" w:usb2="00000000" w:usb3="00000000" w:csb0="000001BF" w:csb1="00000000"/>
  </w:font>
  <w:font w:name="Univers LT Std 47 Cn Lt">
    <w:altName w:val="Calibri"/>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42758" w14:textId="77777777" w:rsidR="009A1FF8" w:rsidRDefault="009A1FF8">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6212115"/>
      <w:docPartObj>
        <w:docPartGallery w:val="Page Numbers (Bottom of Page)"/>
        <w:docPartUnique/>
      </w:docPartObj>
    </w:sdtPr>
    <w:sdtEndPr>
      <w:rPr>
        <w:noProof/>
      </w:rPr>
    </w:sdtEndPr>
    <w:sdtContent>
      <w:p w14:paraId="4BF7D6E9" w14:textId="77777777" w:rsidR="009A1FF8" w:rsidRDefault="009A1FF8">
        <w:pPr>
          <w:pStyle w:val="Footer"/>
          <w:jc w:val="center"/>
        </w:pPr>
        <w:r>
          <w:fldChar w:fldCharType="begin"/>
        </w:r>
        <w:r>
          <w:instrText xml:space="preserve"> PAGE   \* MERGEFORMAT </w:instrText>
        </w:r>
        <w:r>
          <w:fldChar w:fldCharType="separate"/>
        </w:r>
        <w:r w:rsidR="007C153E">
          <w:rPr>
            <w:noProof/>
          </w:rPr>
          <w:t>38</w:t>
        </w:r>
        <w:r>
          <w:rPr>
            <w:noProof/>
          </w:rPr>
          <w:fldChar w:fldCharType="end"/>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0467110"/>
      <w:docPartObj>
        <w:docPartGallery w:val="Page Numbers (Bottom of Page)"/>
        <w:docPartUnique/>
      </w:docPartObj>
    </w:sdtPr>
    <w:sdtEndPr>
      <w:rPr>
        <w:noProof/>
      </w:rPr>
    </w:sdtEndPr>
    <w:sdtContent>
      <w:p w14:paraId="13A114BB" w14:textId="77777777" w:rsidR="009A1FF8" w:rsidRDefault="009A1FF8">
        <w:pPr>
          <w:pStyle w:val="Footer"/>
          <w:jc w:val="center"/>
        </w:pPr>
        <w:r>
          <w:fldChar w:fldCharType="begin"/>
        </w:r>
        <w:r>
          <w:instrText xml:space="preserve"> PAGE   \* MERGEFORMAT </w:instrText>
        </w:r>
        <w:r>
          <w:fldChar w:fldCharType="separate"/>
        </w:r>
        <w:r w:rsidR="007C153E">
          <w:rPr>
            <w:noProof/>
          </w:rPr>
          <w:t>40</w:t>
        </w:r>
        <w:r>
          <w:rPr>
            <w:noProof/>
          </w:rPr>
          <w:fldChar w:fldCharType="end"/>
        </w:r>
      </w:p>
    </w:sdtContent>
  </w:sdt>
  <w:p w14:paraId="25A4F325" w14:textId="57E868B2" w:rsidR="009A1FF8" w:rsidRDefault="009A1FF8">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7126426"/>
      <w:docPartObj>
        <w:docPartGallery w:val="Page Numbers (Bottom of Page)"/>
        <w:docPartUnique/>
      </w:docPartObj>
    </w:sdtPr>
    <w:sdtEndPr>
      <w:rPr>
        <w:noProof/>
      </w:rPr>
    </w:sdtEndPr>
    <w:sdtContent>
      <w:p w14:paraId="0C47CB75" w14:textId="77777777" w:rsidR="009A1FF8" w:rsidRDefault="009A1FF8">
        <w:pPr>
          <w:pStyle w:val="Footer"/>
          <w:jc w:val="center"/>
        </w:pPr>
        <w:r>
          <w:fldChar w:fldCharType="begin"/>
        </w:r>
        <w:r>
          <w:instrText xml:space="preserve"> PAGE   \* MERGEFORMAT </w:instrText>
        </w:r>
        <w:r>
          <w:fldChar w:fldCharType="separate"/>
        </w:r>
        <w:r w:rsidR="007C153E">
          <w:rPr>
            <w:noProof/>
          </w:rPr>
          <w:t>41</w:t>
        </w:r>
        <w:r>
          <w:rPr>
            <w:noProof/>
          </w:rPr>
          <w:fldChar w:fldCharType="end"/>
        </w:r>
      </w:p>
    </w:sdtContent>
  </w:sdt>
  <w:p w14:paraId="3954FAC1" w14:textId="77777777" w:rsidR="009A1FF8" w:rsidRDefault="009A1FF8">
    <w:pPr>
      <w:pStyle w:val="Footer"/>
    </w:pPr>
    <w:r>
      <w:t>Appendices</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096053"/>
      <w:docPartObj>
        <w:docPartGallery w:val="Page Numbers (Bottom of Page)"/>
        <w:docPartUnique/>
      </w:docPartObj>
    </w:sdtPr>
    <w:sdtEndPr>
      <w:rPr>
        <w:noProof/>
      </w:rPr>
    </w:sdtEndPr>
    <w:sdtContent>
      <w:p w14:paraId="70ADAC95" w14:textId="77777777" w:rsidR="009A1FF8" w:rsidRDefault="009A1FF8">
        <w:pPr>
          <w:pStyle w:val="Footer"/>
          <w:jc w:val="center"/>
        </w:pPr>
        <w:r>
          <w:fldChar w:fldCharType="begin"/>
        </w:r>
        <w:r>
          <w:instrText xml:space="preserve"> PAGE   \* MERGEFORMAT </w:instrText>
        </w:r>
        <w:r>
          <w:fldChar w:fldCharType="separate"/>
        </w:r>
        <w:r w:rsidR="007C153E">
          <w:rPr>
            <w:noProof/>
          </w:rPr>
          <w:t>42</w:t>
        </w:r>
        <w:r>
          <w:rPr>
            <w:noProof/>
          </w:rPr>
          <w:fldChar w:fldCharType="end"/>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8643391"/>
      <w:docPartObj>
        <w:docPartGallery w:val="Page Numbers (Bottom of Page)"/>
        <w:docPartUnique/>
      </w:docPartObj>
    </w:sdtPr>
    <w:sdtEndPr>
      <w:rPr>
        <w:noProof/>
      </w:rPr>
    </w:sdtEndPr>
    <w:sdtContent>
      <w:p w14:paraId="0842CC32" w14:textId="77777777" w:rsidR="009A1FF8" w:rsidRDefault="009A1FF8">
        <w:pPr>
          <w:pStyle w:val="Footer"/>
          <w:jc w:val="center"/>
        </w:pPr>
        <w:r>
          <w:fldChar w:fldCharType="begin"/>
        </w:r>
        <w:r>
          <w:instrText xml:space="preserve"> PAGE   \* MERGEFORMAT </w:instrText>
        </w:r>
        <w:r>
          <w:fldChar w:fldCharType="separate"/>
        </w:r>
        <w:r w:rsidR="007C153E">
          <w:rPr>
            <w:noProof/>
          </w:rPr>
          <w:t>43</w:t>
        </w:r>
        <w:r>
          <w:rPr>
            <w:noProof/>
          </w:rPr>
          <w:fldChar w:fldCharType="end"/>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7409179"/>
      <w:docPartObj>
        <w:docPartGallery w:val="Page Numbers (Bottom of Page)"/>
        <w:docPartUnique/>
      </w:docPartObj>
    </w:sdtPr>
    <w:sdtEndPr>
      <w:rPr>
        <w:noProof/>
      </w:rPr>
    </w:sdtEndPr>
    <w:sdtContent>
      <w:p w14:paraId="0EC8EC8B" w14:textId="77777777" w:rsidR="009A1FF8" w:rsidRDefault="009A1FF8">
        <w:pPr>
          <w:pStyle w:val="Footer"/>
          <w:jc w:val="center"/>
        </w:pPr>
        <w:r>
          <w:fldChar w:fldCharType="begin"/>
        </w:r>
        <w:r>
          <w:instrText xml:space="preserve"> PAGE   \* MERGEFORMAT </w:instrText>
        </w:r>
        <w:r>
          <w:fldChar w:fldCharType="separate"/>
        </w:r>
        <w:r w:rsidR="007C153E">
          <w:rPr>
            <w:noProof/>
          </w:rPr>
          <w:t>46</w:t>
        </w:r>
        <w:r>
          <w:rPr>
            <w:noProof/>
          </w:rPr>
          <w:fldChar w:fldCharType="end"/>
        </w:r>
      </w:p>
    </w:sdtContent>
  </w:sdt>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6118430"/>
      <w:docPartObj>
        <w:docPartGallery w:val="Page Numbers (Bottom of Page)"/>
        <w:docPartUnique/>
      </w:docPartObj>
    </w:sdtPr>
    <w:sdtEndPr>
      <w:rPr>
        <w:noProof/>
      </w:rPr>
    </w:sdtEndPr>
    <w:sdtContent>
      <w:p w14:paraId="21A17A83" w14:textId="77777777" w:rsidR="009A1FF8" w:rsidRDefault="009A1FF8">
        <w:pPr>
          <w:pStyle w:val="Footer"/>
          <w:jc w:val="center"/>
        </w:pPr>
        <w:r>
          <w:fldChar w:fldCharType="begin"/>
        </w:r>
        <w:r>
          <w:instrText xml:space="preserve"> PAGE   \* MERGEFORMAT </w:instrText>
        </w:r>
        <w:r>
          <w:fldChar w:fldCharType="separate"/>
        </w:r>
        <w:r w:rsidR="007C153E">
          <w:rPr>
            <w:noProof/>
          </w:rPr>
          <w:t>48</w:t>
        </w:r>
        <w:r>
          <w:rPr>
            <w:noProof/>
          </w:rPr>
          <w:fldChar w:fldCharType="end"/>
        </w:r>
      </w:p>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3138268"/>
      <w:docPartObj>
        <w:docPartGallery w:val="Page Numbers (Bottom of Page)"/>
        <w:docPartUnique/>
      </w:docPartObj>
    </w:sdtPr>
    <w:sdtEndPr>
      <w:rPr>
        <w:noProof/>
      </w:rPr>
    </w:sdtEndPr>
    <w:sdtContent>
      <w:p w14:paraId="29F0AF3A" w14:textId="77777777" w:rsidR="009A1FF8" w:rsidRDefault="009A1FF8">
        <w:pPr>
          <w:pStyle w:val="Footer"/>
          <w:jc w:val="center"/>
        </w:pPr>
        <w:r>
          <w:fldChar w:fldCharType="begin"/>
        </w:r>
        <w:r>
          <w:instrText xml:space="preserve"> PAGE   \* MERGEFORMAT </w:instrText>
        </w:r>
        <w:r>
          <w:fldChar w:fldCharType="separate"/>
        </w:r>
        <w:r w:rsidR="007C153E">
          <w:rPr>
            <w:noProof/>
          </w:rPr>
          <w:t>50</w:t>
        </w:r>
        <w:r>
          <w:rPr>
            <w:noProof/>
          </w:rPr>
          <w:fldChar w:fldCharType="end"/>
        </w:r>
      </w:p>
    </w:sdtContent>
  </w:sdt>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EC2DA" w14:textId="77777777" w:rsidR="009A1FF8" w:rsidRDefault="009A1FF8" w:rsidP="006862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25F764" w14:textId="77777777" w:rsidR="009A1FF8" w:rsidRDefault="009A1FF8" w:rsidP="006862ED">
    <w:pPr>
      <w:pStyle w:val="Footer"/>
      <w:ind w:right="360"/>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C3F19" w14:textId="77777777" w:rsidR="009A1FF8" w:rsidRDefault="009A1FF8" w:rsidP="00403A2F">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7C153E">
      <w:rPr>
        <w:rStyle w:val="PageNumber"/>
        <w:noProof/>
      </w:rPr>
      <w:t>63</w:t>
    </w:r>
    <w:r>
      <w:rPr>
        <w:rStyle w:val="PageNumber"/>
      </w:rPr>
      <w:fldChar w:fldCharType="end"/>
    </w:r>
  </w:p>
  <w:p w14:paraId="042D4A19" w14:textId="03F82CCE" w:rsidR="009A1FF8" w:rsidRDefault="009A1FF8" w:rsidP="0005080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1413141"/>
      <w:docPartObj>
        <w:docPartGallery w:val="Page Numbers (Bottom of Page)"/>
        <w:docPartUnique/>
      </w:docPartObj>
    </w:sdtPr>
    <w:sdtEndPr>
      <w:rPr>
        <w:noProof/>
      </w:rPr>
    </w:sdtEndPr>
    <w:sdtContent>
      <w:p w14:paraId="65CBEE27" w14:textId="77777777" w:rsidR="009A1FF8" w:rsidRDefault="009A1FF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7C3711" w14:textId="77777777" w:rsidR="009A1FF8" w:rsidRDefault="009A1FF8">
    <w:pPr>
      <w:pStyle w:val="Footer"/>
    </w:pPr>
    <w:r>
      <w:t>Promulgation Document</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1572375"/>
      <w:docPartObj>
        <w:docPartGallery w:val="Page Numbers (Bottom of Page)"/>
        <w:docPartUnique/>
      </w:docPartObj>
    </w:sdtPr>
    <w:sdtEndPr>
      <w:rPr>
        <w:noProof/>
      </w:rPr>
    </w:sdtEndPr>
    <w:sdtContent>
      <w:p w14:paraId="49F6B746" w14:textId="77777777" w:rsidR="009A1FF8" w:rsidRDefault="009A1FF8">
        <w:pPr>
          <w:pStyle w:val="Footer"/>
          <w:jc w:val="center"/>
        </w:pPr>
        <w:r>
          <w:fldChar w:fldCharType="begin"/>
        </w:r>
        <w:r>
          <w:instrText xml:space="preserve"> PAGE   \* MERGEFORMAT </w:instrText>
        </w:r>
        <w:r>
          <w:fldChar w:fldCharType="separate"/>
        </w:r>
        <w:r w:rsidR="007C153E">
          <w:rPr>
            <w:noProof/>
          </w:rPr>
          <w:t>75</w:t>
        </w:r>
        <w:r>
          <w:rPr>
            <w:noProof/>
          </w:rPr>
          <w:fldChar w:fldCharType="end"/>
        </w:r>
      </w:p>
    </w:sdtContent>
  </w:sdt>
  <w:p w14:paraId="18E1D292" w14:textId="2A57F239" w:rsidR="009A1FF8" w:rsidRDefault="009A1F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9BAD6" w14:textId="77777777" w:rsidR="009A1FF8" w:rsidRDefault="009A1FF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982387"/>
      <w:docPartObj>
        <w:docPartGallery w:val="Page Numbers (Bottom of Page)"/>
        <w:docPartUnique/>
      </w:docPartObj>
    </w:sdtPr>
    <w:sdtEndPr>
      <w:rPr>
        <w:noProof/>
      </w:rPr>
    </w:sdtEndPr>
    <w:sdtContent>
      <w:p w14:paraId="1C67799B" w14:textId="77777777" w:rsidR="009A1FF8" w:rsidRDefault="009A1FF8">
        <w:pPr>
          <w:pStyle w:val="Footer"/>
          <w:jc w:val="center"/>
        </w:pPr>
        <w:r>
          <w:fldChar w:fldCharType="begin"/>
        </w:r>
        <w:r>
          <w:instrText xml:space="preserve"> PAGE   \* MERGEFORMAT </w:instrText>
        </w:r>
        <w:r>
          <w:fldChar w:fldCharType="separate"/>
        </w:r>
        <w:r w:rsidR="007C153E">
          <w:rPr>
            <w:noProof/>
          </w:rPr>
          <w:t>3</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1222497"/>
      <w:docPartObj>
        <w:docPartGallery w:val="Page Numbers (Bottom of Page)"/>
        <w:docPartUnique/>
      </w:docPartObj>
    </w:sdtPr>
    <w:sdtEndPr>
      <w:rPr>
        <w:noProof/>
      </w:rPr>
    </w:sdtEndPr>
    <w:sdtContent>
      <w:p w14:paraId="1EA57A47" w14:textId="77777777" w:rsidR="009A1FF8" w:rsidRDefault="009A1FF8">
        <w:pPr>
          <w:pStyle w:val="Footer"/>
          <w:jc w:val="center"/>
        </w:pPr>
        <w:r>
          <w:fldChar w:fldCharType="begin"/>
        </w:r>
        <w:r>
          <w:instrText xml:space="preserve"> PAGE   \* MERGEFORMAT </w:instrText>
        </w:r>
        <w:r>
          <w:fldChar w:fldCharType="separate"/>
        </w:r>
        <w:r w:rsidR="007C153E">
          <w:rPr>
            <w:noProof/>
          </w:rPr>
          <w:t>5</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2452989"/>
      <w:docPartObj>
        <w:docPartGallery w:val="Page Numbers (Bottom of Page)"/>
        <w:docPartUnique/>
      </w:docPartObj>
    </w:sdtPr>
    <w:sdtEndPr>
      <w:rPr>
        <w:noProof/>
      </w:rPr>
    </w:sdtEndPr>
    <w:sdtContent>
      <w:p w14:paraId="38F9D784" w14:textId="77777777" w:rsidR="009A1FF8" w:rsidRDefault="009A1FF8">
        <w:pPr>
          <w:pStyle w:val="Footer"/>
          <w:jc w:val="center"/>
        </w:pPr>
        <w:r>
          <w:fldChar w:fldCharType="begin"/>
        </w:r>
        <w:r>
          <w:instrText xml:space="preserve"> PAGE   \* MERGEFORMAT </w:instrText>
        </w:r>
        <w:r>
          <w:fldChar w:fldCharType="separate"/>
        </w:r>
        <w:r w:rsidR="007C153E">
          <w:rPr>
            <w:noProof/>
          </w:rPr>
          <w:t>7</w:t>
        </w:r>
        <w:r>
          <w:rPr>
            <w:noProof/>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8531857"/>
      <w:docPartObj>
        <w:docPartGallery w:val="Page Numbers (Bottom of Page)"/>
        <w:docPartUnique/>
      </w:docPartObj>
    </w:sdtPr>
    <w:sdtEndPr>
      <w:rPr>
        <w:noProof/>
      </w:rPr>
    </w:sdtEndPr>
    <w:sdtContent>
      <w:p w14:paraId="3B4F76C7" w14:textId="77777777" w:rsidR="009A1FF8" w:rsidRDefault="009A1FF8">
        <w:pPr>
          <w:pStyle w:val="Footer"/>
          <w:jc w:val="center"/>
        </w:pPr>
        <w:r>
          <w:fldChar w:fldCharType="begin"/>
        </w:r>
        <w:r>
          <w:instrText xml:space="preserve"> PAGE   \* MERGEFORMAT </w:instrText>
        </w:r>
        <w:r>
          <w:fldChar w:fldCharType="separate"/>
        </w:r>
        <w:r w:rsidR="007C153E">
          <w:rPr>
            <w:noProof/>
          </w:rPr>
          <w:t>14</w:t>
        </w:r>
        <w:r>
          <w:rPr>
            <w:noProof/>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2111682"/>
      <w:docPartObj>
        <w:docPartGallery w:val="Page Numbers (Bottom of Page)"/>
        <w:docPartUnique/>
      </w:docPartObj>
    </w:sdtPr>
    <w:sdtEndPr>
      <w:rPr>
        <w:noProof/>
      </w:rPr>
    </w:sdtEndPr>
    <w:sdtContent>
      <w:p w14:paraId="14D3B130" w14:textId="77777777" w:rsidR="009A1FF8" w:rsidRDefault="009A1FF8">
        <w:pPr>
          <w:pStyle w:val="Footer"/>
          <w:jc w:val="center"/>
        </w:pPr>
        <w:r>
          <w:fldChar w:fldCharType="begin"/>
        </w:r>
        <w:r>
          <w:instrText xml:space="preserve"> PAGE   \* MERGEFORMAT </w:instrText>
        </w:r>
        <w:r>
          <w:fldChar w:fldCharType="separate"/>
        </w:r>
        <w:r w:rsidR="007C153E">
          <w:rPr>
            <w:noProof/>
          </w:rPr>
          <w:t>19</w:t>
        </w:r>
        <w:r>
          <w:rPr>
            <w:noProof/>
          </w:rP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1724460"/>
      <w:docPartObj>
        <w:docPartGallery w:val="Page Numbers (Bottom of Page)"/>
        <w:docPartUnique/>
      </w:docPartObj>
    </w:sdtPr>
    <w:sdtEndPr>
      <w:rPr>
        <w:noProof/>
      </w:rPr>
    </w:sdtEndPr>
    <w:sdtContent>
      <w:p w14:paraId="706A7CC3" w14:textId="77777777" w:rsidR="009A1FF8" w:rsidRDefault="009A1FF8">
        <w:pPr>
          <w:pStyle w:val="Footer"/>
          <w:jc w:val="center"/>
        </w:pPr>
        <w:r>
          <w:fldChar w:fldCharType="begin"/>
        </w:r>
        <w:r>
          <w:instrText xml:space="preserve"> PAGE   \* MERGEFORMAT </w:instrText>
        </w:r>
        <w:r>
          <w:fldChar w:fldCharType="separate"/>
        </w:r>
        <w:r w:rsidR="007C153E">
          <w:rPr>
            <w:noProof/>
          </w:rPr>
          <w:t>34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EFDF5C" w14:textId="77777777" w:rsidR="009A1FF8" w:rsidRDefault="009A1FF8" w:rsidP="003A5213">
      <w:pPr>
        <w:spacing w:after="0" w:line="240" w:lineRule="auto"/>
      </w:pPr>
      <w:r>
        <w:separator/>
      </w:r>
    </w:p>
  </w:footnote>
  <w:footnote w:type="continuationSeparator" w:id="0">
    <w:p w14:paraId="027748FF" w14:textId="77777777" w:rsidR="009A1FF8" w:rsidRDefault="009A1FF8" w:rsidP="003A52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F58C9" w14:textId="41243EA4" w:rsidR="009A1FF8" w:rsidRDefault="009A1FF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51629" w14:textId="779D84DA" w:rsidR="009A1FF8" w:rsidRDefault="009A1FF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85959" w14:textId="70FEA204" w:rsidR="009A1FF8" w:rsidRDefault="009A1FF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2AD1D" w14:textId="5C31A541" w:rsidR="009A1FF8" w:rsidRDefault="009A1FF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72100" w14:textId="082E3BF4" w:rsidR="009A1FF8" w:rsidRDefault="009A1FF8">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BFB91" w14:textId="70BEB36A" w:rsidR="009A1FF8" w:rsidRDefault="009A1FF8">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A45A7" w14:textId="739A7959" w:rsidR="009A1FF8" w:rsidRDefault="009A1FF8">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9BE9F" w14:textId="1847FD25" w:rsidR="009A1FF8" w:rsidRDefault="009A1FF8">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85328" w14:textId="1CC72BBE" w:rsidR="009A1FF8" w:rsidRDefault="009A1FF8">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E0442" w14:textId="5EF5D70D" w:rsidR="009A1FF8" w:rsidRDefault="009A1FF8">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94D6C" w14:textId="4E077BCF" w:rsidR="009A1FF8" w:rsidRDefault="009A1F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3F1376" w14:textId="2683E0D6" w:rsidR="009A1FF8" w:rsidRDefault="009A1FF8">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9FAF9" w14:textId="10259589" w:rsidR="009A1FF8" w:rsidRDefault="009A1FF8">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CA449" w14:textId="1FE5CD73" w:rsidR="009A1FF8" w:rsidRDefault="009A1FF8">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2D747" w14:textId="7C25D1CA" w:rsidR="009A1FF8" w:rsidRDefault="009A1FF8">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AEF0C" w14:textId="51EE2612" w:rsidR="009A1FF8" w:rsidRDefault="009A1FF8">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F6BC3" w14:textId="0CE65A60" w:rsidR="009A1FF8" w:rsidRDefault="009A1FF8">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76DF4" w14:textId="412DEEE8" w:rsidR="009A1FF8" w:rsidRDefault="009A1FF8">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D205A" w14:textId="1A3316AC" w:rsidR="009A1FF8" w:rsidRDefault="009A1FF8">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E5E4B" w14:textId="38376BC3" w:rsidR="009A1FF8" w:rsidRDefault="009A1FF8">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892EDE" w14:textId="61454C7F" w:rsidR="009A1FF8" w:rsidRDefault="009A1FF8">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D0227" w14:textId="3A947F1A" w:rsidR="009A1FF8" w:rsidRDefault="009A1F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93B64" w14:textId="1DCF9F70" w:rsidR="009A1FF8" w:rsidRDefault="009A1FF8">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AAD46" w14:textId="34F9768A" w:rsidR="009A1FF8" w:rsidRDefault="009A1FF8">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2853C" w14:textId="4B133C86" w:rsidR="009A1FF8" w:rsidRDefault="009A1FF8">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D0277" w14:textId="3C05B486" w:rsidR="009A1FF8" w:rsidRDefault="009A1FF8">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6FAC6" w14:textId="6DDCCF8D" w:rsidR="009A1FF8" w:rsidRDefault="009A1FF8">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E5108" w14:textId="7D42190B" w:rsidR="009A1FF8" w:rsidRDefault="009A1FF8">
    <w:pPr>
      <w:pStyle w:val="Heade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378DE" w14:textId="6BC7B7F9" w:rsidR="009A1FF8" w:rsidRDefault="009A1FF8">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26EB5" w14:textId="41EB5C56" w:rsidR="009A1FF8" w:rsidRDefault="009A1FF8">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92425" w14:textId="0F1465B2" w:rsidR="009A1FF8" w:rsidRDefault="009A1FF8">
    <w:pPr>
      <w:pStyle w:val="Head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7E9E3" w14:textId="1C8E22C0" w:rsidR="009A1FF8" w:rsidRDefault="009A1FF8">
    <w:pPr>
      <w:pStyle w:val="Heade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A032B" w14:textId="67E9CAC2" w:rsidR="009A1FF8" w:rsidRDefault="009A1FF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7F629" w14:textId="5DC31600" w:rsidR="009A1FF8" w:rsidRDefault="009A1FF8">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B7E41" w14:textId="5C86CA72" w:rsidR="009A1FF8" w:rsidRDefault="009A1FF8">
    <w:pPr>
      <w:pStyle w:val="Heade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3C8DD" w14:textId="3A1150F4" w:rsidR="009A1FF8" w:rsidRDefault="009A1FF8">
    <w:pPr>
      <w:pStyle w:val="Heade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1F250" w14:textId="13D7E55D" w:rsidR="009A1FF8" w:rsidRDefault="009A1FF8">
    <w:pPr>
      <w:pStyle w:val="Heade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6C81F" w14:textId="61CFAE58" w:rsidR="009A1FF8" w:rsidRDefault="009A1FF8">
    <w:pPr>
      <w:pStyle w:val="Heade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C1A97" w14:textId="7760590E" w:rsidR="009A1FF8" w:rsidRDefault="009A1FF8">
    <w:pPr>
      <w:pStyle w:val="Heade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B0F46" w14:textId="455B7CCD" w:rsidR="009A1FF8" w:rsidRDefault="009A1FF8">
    <w:pPr>
      <w:pStyle w:val="Heade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3C7D6" w14:textId="70A4DEA0" w:rsidR="009A1FF8" w:rsidRDefault="009A1FF8">
    <w:pPr>
      <w:pStyle w:val="Heade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644A5" w14:textId="7FFDA6D8" w:rsidR="009A1FF8" w:rsidRDefault="009A1FF8">
    <w:pPr>
      <w:pStyle w:val="Heade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91419" w14:textId="46456E4A" w:rsidR="009A1FF8" w:rsidRDefault="009A1FF8">
    <w:pPr>
      <w:pStyle w:val="Heade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52772" w14:textId="4FF52F21" w:rsidR="009A1FF8" w:rsidRDefault="009A1FF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8BA6A" w14:textId="202FE268" w:rsidR="009A1FF8" w:rsidRDefault="009A1FF8">
    <w:pPr>
      <w:pStyle w:val="Heade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9749A" w14:textId="0C1DF289" w:rsidR="009A1FF8" w:rsidRDefault="009A1FF8">
    <w:pPr>
      <w:pStyle w:val="Heade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B5C82" w14:textId="40F69D16" w:rsidR="009A1FF8" w:rsidRDefault="009A1FF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F9258" w14:textId="2C55419E" w:rsidR="009A1FF8" w:rsidRDefault="009A1FF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3C5A8" w14:textId="66F01244" w:rsidR="009A1FF8" w:rsidRDefault="009A1FF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420F1" w14:textId="22F99764" w:rsidR="009A1FF8" w:rsidRDefault="009A1FF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89BC1" w14:textId="680D728A" w:rsidR="009A1FF8" w:rsidRDefault="009A1F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46EF"/>
    <w:multiLevelType w:val="multilevel"/>
    <w:tmpl w:val="3AE49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7338E9"/>
    <w:multiLevelType w:val="hybridMultilevel"/>
    <w:tmpl w:val="A4BEA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A133D1"/>
    <w:multiLevelType w:val="hybridMultilevel"/>
    <w:tmpl w:val="CF58E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35D2BA4"/>
    <w:multiLevelType w:val="hybridMultilevel"/>
    <w:tmpl w:val="313E7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216C93"/>
    <w:multiLevelType w:val="hybridMultilevel"/>
    <w:tmpl w:val="3424C274"/>
    <w:lvl w:ilvl="0" w:tplc="04090001">
      <w:start w:val="1"/>
      <w:numFmt w:val="bullet"/>
      <w:lvlText w:val=""/>
      <w:lvlJc w:val="left"/>
      <w:pPr>
        <w:ind w:left="986" w:hanging="360"/>
      </w:pPr>
      <w:rPr>
        <w:rFonts w:ascii="Symbol" w:hAnsi="Symbol" w:hint="default"/>
      </w:rPr>
    </w:lvl>
    <w:lvl w:ilvl="1" w:tplc="04090003" w:tentative="1">
      <w:start w:val="1"/>
      <w:numFmt w:val="bullet"/>
      <w:lvlText w:val="o"/>
      <w:lvlJc w:val="left"/>
      <w:pPr>
        <w:ind w:left="1706" w:hanging="360"/>
      </w:pPr>
      <w:rPr>
        <w:rFonts w:ascii="Courier New" w:hAnsi="Courier New" w:cs="Courier New" w:hint="default"/>
      </w:rPr>
    </w:lvl>
    <w:lvl w:ilvl="2" w:tplc="04090005" w:tentative="1">
      <w:start w:val="1"/>
      <w:numFmt w:val="bullet"/>
      <w:lvlText w:val=""/>
      <w:lvlJc w:val="left"/>
      <w:pPr>
        <w:ind w:left="2426" w:hanging="360"/>
      </w:pPr>
      <w:rPr>
        <w:rFonts w:ascii="Wingdings" w:hAnsi="Wingdings" w:hint="default"/>
      </w:rPr>
    </w:lvl>
    <w:lvl w:ilvl="3" w:tplc="04090001" w:tentative="1">
      <w:start w:val="1"/>
      <w:numFmt w:val="bullet"/>
      <w:lvlText w:val=""/>
      <w:lvlJc w:val="left"/>
      <w:pPr>
        <w:ind w:left="3146" w:hanging="360"/>
      </w:pPr>
      <w:rPr>
        <w:rFonts w:ascii="Symbol" w:hAnsi="Symbol" w:hint="default"/>
      </w:rPr>
    </w:lvl>
    <w:lvl w:ilvl="4" w:tplc="04090003" w:tentative="1">
      <w:start w:val="1"/>
      <w:numFmt w:val="bullet"/>
      <w:lvlText w:val="o"/>
      <w:lvlJc w:val="left"/>
      <w:pPr>
        <w:ind w:left="3866" w:hanging="360"/>
      </w:pPr>
      <w:rPr>
        <w:rFonts w:ascii="Courier New" w:hAnsi="Courier New" w:cs="Courier New" w:hint="default"/>
      </w:rPr>
    </w:lvl>
    <w:lvl w:ilvl="5" w:tplc="04090005" w:tentative="1">
      <w:start w:val="1"/>
      <w:numFmt w:val="bullet"/>
      <w:lvlText w:val=""/>
      <w:lvlJc w:val="left"/>
      <w:pPr>
        <w:ind w:left="4586" w:hanging="360"/>
      </w:pPr>
      <w:rPr>
        <w:rFonts w:ascii="Wingdings" w:hAnsi="Wingdings" w:hint="default"/>
      </w:rPr>
    </w:lvl>
    <w:lvl w:ilvl="6" w:tplc="04090001" w:tentative="1">
      <w:start w:val="1"/>
      <w:numFmt w:val="bullet"/>
      <w:lvlText w:val=""/>
      <w:lvlJc w:val="left"/>
      <w:pPr>
        <w:ind w:left="5306" w:hanging="360"/>
      </w:pPr>
      <w:rPr>
        <w:rFonts w:ascii="Symbol" w:hAnsi="Symbol" w:hint="default"/>
      </w:rPr>
    </w:lvl>
    <w:lvl w:ilvl="7" w:tplc="04090003" w:tentative="1">
      <w:start w:val="1"/>
      <w:numFmt w:val="bullet"/>
      <w:lvlText w:val="o"/>
      <w:lvlJc w:val="left"/>
      <w:pPr>
        <w:ind w:left="6026" w:hanging="360"/>
      </w:pPr>
      <w:rPr>
        <w:rFonts w:ascii="Courier New" w:hAnsi="Courier New" w:cs="Courier New" w:hint="default"/>
      </w:rPr>
    </w:lvl>
    <w:lvl w:ilvl="8" w:tplc="04090005" w:tentative="1">
      <w:start w:val="1"/>
      <w:numFmt w:val="bullet"/>
      <w:lvlText w:val=""/>
      <w:lvlJc w:val="left"/>
      <w:pPr>
        <w:ind w:left="6746" w:hanging="360"/>
      </w:pPr>
      <w:rPr>
        <w:rFonts w:ascii="Wingdings" w:hAnsi="Wingdings" w:hint="default"/>
      </w:rPr>
    </w:lvl>
  </w:abstractNum>
  <w:abstractNum w:abstractNumId="5">
    <w:nsid w:val="061C1464"/>
    <w:multiLevelType w:val="hybridMultilevel"/>
    <w:tmpl w:val="DCB00BE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nsid w:val="07864660"/>
    <w:multiLevelType w:val="hybridMultilevel"/>
    <w:tmpl w:val="3FEA4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A8606D"/>
    <w:multiLevelType w:val="hybridMultilevel"/>
    <w:tmpl w:val="F5CAE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5007A5"/>
    <w:multiLevelType w:val="multilevel"/>
    <w:tmpl w:val="9A4A82DE"/>
    <w:lvl w:ilvl="0">
      <w:start w:val="3"/>
      <w:numFmt w:val="decimal"/>
      <w:lvlText w:val="%1."/>
      <w:lvlJc w:val="left"/>
      <w:pPr>
        <w:ind w:left="54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0D576E0B"/>
    <w:multiLevelType w:val="hybridMultilevel"/>
    <w:tmpl w:val="0E4CF2C0"/>
    <w:lvl w:ilvl="0" w:tplc="04090001">
      <w:start w:val="1"/>
      <w:numFmt w:val="bullet"/>
      <w:lvlText w:val=""/>
      <w:lvlJc w:val="left"/>
      <w:pPr>
        <w:ind w:left="986" w:hanging="360"/>
      </w:pPr>
      <w:rPr>
        <w:rFonts w:ascii="Symbol" w:hAnsi="Symbol" w:hint="default"/>
      </w:rPr>
    </w:lvl>
    <w:lvl w:ilvl="1" w:tplc="04090003" w:tentative="1">
      <w:start w:val="1"/>
      <w:numFmt w:val="bullet"/>
      <w:lvlText w:val="o"/>
      <w:lvlJc w:val="left"/>
      <w:pPr>
        <w:ind w:left="1706" w:hanging="360"/>
      </w:pPr>
      <w:rPr>
        <w:rFonts w:ascii="Courier New" w:hAnsi="Courier New" w:cs="Courier New" w:hint="default"/>
      </w:rPr>
    </w:lvl>
    <w:lvl w:ilvl="2" w:tplc="04090005" w:tentative="1">
      <w:start w:val="1"/>
      <w:numFmt w:val="bullet"/>
      <w:lvlText w:val=""/>
      <w:lvlJc w:val="left"/>
      <w:pPr>
        <w:ind w:left="2426" w:hanging="360"/>
      </w:pPr>
      <w:rPr>
        <w:rFonts w:ascii="Wingdings" w:hAnsi="Wingdings" w:hint="default"/>
      </w:rPr>
    </w:lvl>
    <w:lvl w:ilvl="3" w:tplc="04090001" w:tentative="1">
      <w:start w:val="1"/>
      <w:numFmt w:val="bullet"/>
      <w:lvlText w:val=""/>
      <w:lvlJc w:val="left"/>
      <w:pPr>
        <w:ind w:left="3146" w:hanging="360"/>
      </w:pPr>
      <w:rPr>
        <w:rFonts w:ascii="Symbol" w:hAnsi="Symbol" w:hint="default"/>
      </w:rPr>
    </w:lvl>
    <w:lvl w:ilvl="4" w:tplc="04090003" w:tentative="1">
      <w:start w:val="1"/>
      <w:numFmt w:val="bullet"/>
      <w:lvlText w:val="o"/>
      <w:lvlJc w:val="left"/>
      <w:pPr>
        <w:ind w:left="3866" w:hanging="360"/>
      </w:pPr>
      <w:rPr>
        <w:rFonts w:ascii="Courier New" w:hAnsi="Courier New" w:cs="Courier New" w:hint="default"/>
      </w:rPr>
    </w:lvl>
    <w:lvl w:ilvl="5" w:tplc="04090005" w:tentative="1">
      <w:start w:val="1"/>
      <w:numFmt w:val="bullet"/>
      <w:lvlText w:val=""/>
      <w:lvlJc w:val="left"/>
      <w:pPr>
        <w:ind w:left="4586" w:hanging="360"/>
      </w:pPr>
      <w:rPr>
        <w:rFonts w:ascii="Wingdings" w:hAnsi="Wingdings" w:hint="default"/>
      </w:rPr>
    </w:lvl>
    <w:lvl w:ilvl="6" w:tplc="04090001" w:tentative="1">
      <w:start w:val="1"/>
      <w:numFmt w:val="bullet"/>
      <w:lvlText w:val=""/>
      <w:lvlJc w:val="left"/>
      <w:pPr>
        <w:ind w:left="5306" w:hanging="360"/>
      </w:pPr>
      <w:rPr>
        <w:rFonts w:ascii="Symbol" w:hAnsi="Symbol" w:hint="default"/>
      </w:rPr>
    </w:lvl>
    <w:lvl w:ilvl="7" w:tplc="04090003" w:tentative="1">
      <w:start w:val="1"/>
      <w:numFmt w:val="bullet"/>
      <w:lvlText w:val="o"/>
      <w:lvlJc w:val="left"/>
      <w:pPr>
        <w:ind w:left="6026" w:hanging="360"/>
      </w:pPr>
      <w:rPr>
        <w:rFonts w:ascii="Courier New" w:hAnsi="Courier New" w:cs="Courier New" w:hint="default"/>
      </w:rPr>
    </w:lvl>
    <w:lvl w:ilvl="8" w:tplc="04090005" w:tentative="1">
      <w:start w:val="1"/>
      <w:numFmt w:val="bullet"/>
      <w:lvlText w:val=""/>
      <w:lvlJc w:val="left"/>
      <w:pPr>
        <w:ind w:left="6746" w:hanging="360"/>
      </w:pPr>
      <w:rPr>
        <w:rFonts w:ascii="Wingdings" w:hAnsi="Wingdings" w:hint="default"/>
      </w:rPr>
    </w:lvl>
  </w:abstractNum>
  <w:abstractNum w:abstractNumId="10">
    <w:nsid w:val="0DA65C64"/>
    <w:multiLevelType w:val="hybridMultilevel"/>
    <w:tmpl w:val="6D663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F3C2302"/>
    <w:multiLevelType w:val="multilevel"/>
    <w:tmpl w:val="581823FE"/>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0083165"/>
    <w:multiLevelType w:val="multilevel"/>
    <w:tmpl w:val="3AE49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0AB2E5D"/>
    <w:multiLevelType w:val="hybridMultilevel"/>
    <w:tmpl w:val="D088A204"/>
    <w:lvl w:ilvl="0" w:tplc="04090001">
      <w:start w:val="1"/>
      <w:numFmt w:val="bullet"/>
      <w:lvlText w:val=""/>
      <w:lvlJc w:val="left"/>
      <w:pPr>
        <w:ind w:left="986" w:hanging="360"/>
      </w:pPr>
      <w:rPr>
        <w:rFonts w:ascii="Symbol" w:hAnsi="Symbol" w:hint="default"/>
      </w:rPr>
    </w:lvl>
    <w:lvl w:ilvl="1" w:tplc="04090003" w:tentative="1">
      <w:start w:val="1"/>
      <w:numFmt w:val="bullet"/>
      <w:lvlText w:val="o"/>
      <w:lvlJc w:val="left"/>
      <w:pPr>
        <w:ind w:left="1706" w:hanging="360"/>
      </w:pPr>
      <w:rPr>
        <w:rFonts w:ascii="Courier New" w:hAnsi="Courier New" w:cs="Courier New" w:hint="default"/>
      </w:rPr>
    </w:lvl>
    <w:lvl w:ilvl="2" w:tplc="04090005" w:tentative="1">
      <w:start w:val="1"/>
      <w:numFmt w:val="bullet"/>
      <w:lvlText w:val=""/>
      <w:lvlJc w:val="left"/>
      <w:pPr>
        <w:ind w:left="2426" w:hanging="360"/>
      </w:pPr>
      <w:rPr>
        <w:rFonts w:ascii="Wingdings" w:hAnsi="Wingdings" w:hint="default"/>
      </w:rPr>
    </w:lvl>
    <w:lvl w:ilvl="3" w:tplc="04090001" w:tentative="1">
      <w:start w:val="1"/>
      <w:numFmt w:val="bullet"/>
      <w:lvlText w:val=""/>
      <w:lvlJc w:val="left"/>
      <w:pPr>
        <w:ind w:left="3146" w:hanging="360"/>
      </w:pPr>
      <w:rPr>
        <w:rFonts w:ascii="Symbol" w:hAnsi="Symbol" w:hint="default"/>
      </w:rPr>
    </w:lvl>
    <w:lvl w:ilvl="4" w:tplc="04090003" w:tentative="1">
      <w:start w:val="1"/>
      <w:numFmt w:val="bullet"/>
      <w:lvlText w:val="o"/>
      <w:lvlJc w:val="left"/>
      <w:pPr>
        <w:ind w:left="3866" w:hanging="360"/>
      </w:pPr>
      <w:rPr>
        <w:rFonts w:ascii="Courier New" w:hAnsi="Courier New" w:cs="Courier New" w:hint="default"/>
      </w:rPr>
    </w:lvl>
    <w:lvl w:ilvl="5" w:tplc="04090005" w:tentative="1">
      <w:start w:val="1"/>
      <w:numFmt w:val="bullet"/>
      <w:lvlText w:val=""/>
      <w:lvlJc w:val="left"/>
      <w:pPr>
        <w:ind w:left="4586" w:hanging="360"/>
      </w:pPr>
      <w:rPr>
        <w:rFonts w:ascii="Wingdings" w:hAnsi="Wingdings" w:hint="default"/>
      </w:rPr>
    </w:lvl>
    <w:lvl w:ilvl="6" w:tplc="04090001" w:tentative="1">
      <w:start w:val="1"/>
      <w:numFmt w:val="bullet"/>
      <w:lvlText w:val=""/>
      <w:lvlJc w:val="left"/>
      <w:pPr>
        <w:ind w:left="5306" w:hanging="360"/>
      </w:pPr>
      <w:rPr>
        <w:rFonts w:ascii="Symbol" w:hAnsi="Symbol" w:hint="default"/>
      </w:rPr>
    </w:lvl>
    <w:lvl w:ilvl="7" w:tplc="04090003" w:tentative="1">
      <w:start w:val="1"/>
      <w:numFmt w:val="bullet"/>
      <w:lvlText w:val="o"/>
      <w:lvlJc w:val="left"/>
      <w:pPr>
        <w:ind w:left="6026" w:hanging="360"/>
      </w:pPr>
      <w:rPr>
        <w:rFonts w:ascii="Courier New" w:hAnsi="Courier New" w:cs="Courier New" w:hint="default"/>
      </w:rPr>
    </w:lvl>
    <w:lvl w:ilvl="8" w:tplc="04090005" w:tentative="1">
      <w:start w:val="1"/>
      <w:numFmt w:val="bullet"/>
      <w:lvlText w:val=""/>
      <w:lvlJc w:val="left"/>
      <w:pPr>
        <w:ind w:left="6746" w:hanging="360"/>
      </w:pPr>
      <w:rPr>
        <w:rFonts w:ascii="Wingdings" w:hAnsi="Wingdings" w:hint="default"/>
      </w:rPr>
    </w:lvl>
  </w:abstractNum>
  <w:abstractNum w:abstractNumId="14">
    <w:nsid w:val="11AC35E5"/>
    <w:multiLevelType w:val="hybridMultilevel"/>
    <w:tmpl w:val="9B64C6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2700F84"/>
    <w:multiLevelType w:val="hybridMultilevel"/>
    <w:tmpl w:val="6AD0370C"/>
    <w:lvl w:ilvl="0" w:tplc="46E41E8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3F554B6"/>
    <w:multiLevelType w:val="multilevel"/>
    <w:tmpl w:val="B6F0B45A"/>
    <w:lvl w:ilvl="0">
      <w:start w:val="1"/>
      <w:numFmt w:val="decimal"/>
      <w:pStyle w:val="Heading1"/>
      <w:lvlText w:val="%1."/>
      <w:lvlJc w:val="left"/>
      <w:pPr>
        <w:ind w:left="72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14662FDD"/>
    <w:multiLevelType w:val="hybridMultilevel"/>
    <w:tmpl w:val="121C2F4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8">
    <w:nsid w:val="14EA1506"/>
    <w:multiLevelType w:val="hybridMultilevel"/>
    <w:tmpl w:val="7C346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53F4EB8"/>
    <w:multiLevelType w:val="hybridMultilevel"/>
    <w:tmpl w:val="7ECCF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59224CB"/>
    <w:multiLevelType w:val="hybridMultilevel"/>
    <w:tmpl w:val="8592C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8593F1C"/>
    <w:multiLevelType w:val="hybridMultilevel"/>
    <w:tmpl w:val="C0BE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96E53A7"/>
    <w:multiLevelType w:val="hybridMultilevel"/>
    <w:tmpl w:val="F3B4F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BA13058"/>
    <w:multiLevelType w:val="hybridMultilevel"/>
    <w:tmpl w:val="6C14D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CE40710"/>
    <w:multiLevelType w:val="hybridMultilevel"/>
    <w:tmpl w:val="5A76D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EAA1DE0"/>
    <w:multiLevelType w:val="hybridMultilevel"/>
    <w:tmpl w:val="37B8F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201B5157"/>
    <w:multiLevelType w:val="hybridMultilevel"/>
    <w:tmpl w:val="918C10CC"/>
    <w:lvl w:ilvl="0" w:tplc="04090001">
      <w:start w:val="1"/>
      <w:numFmt w:val="bullet"/>
      <w:lvlText w:val=""/>
      <w:lvlJc w:val="left"/>
      <w:pPr>
        <w:ind w:left="986" w:hanging="360"/>
      </w:pPr>
      <w:rPr>
        <w:rFonts w:ascii="Symbol" w:hAnsi="Symbol" w:hint="default"/>
      </w:rPr>
    </w:lvl>
    <w:lvl w:ilvl="1" w:tplc="04090003" w:tentative="1">
      <w:start w:val="1"/>
      <w:numFmt w:val="bullet"/>
      <w:lvlText w:val="o"/>
      <w:lvlJc w:val="left"/>
      <w:pPr>
        <w:ind w:left="1706" w:hanging="360"/>
      </w:pPr>
      <w:rPr>
        <w:rFonts w:ascii="Courier New" w:hAnsi="Courier New" w:cs="Courier New" w:hint="default"/>
      </w:rPr>
    </w:lvl>
    <w:lvl w:ilvl="2" w:tplc="04090005" w:tentative="1">
      <w:start w:val="1"/>
      <w:numFmt w:val="bullet"/>
      <w:lvlText w:val=""/>
      <w:lvlJc w:val="left"/>
      <w:pPr>
        <w:ind w:left="2426" w:hanging="360"/>
      </w:pPr>
      <w:rPr>
        <w:rFonts w:ascii="Wingdings" w:hAnsi="Wingdings" w:hint="default"/>
      </w:rPr>
    </w:lvl>
    <w:lvl w:ilvl="3" w:tplc="04090001" w:tentative="1">
      <w:start w:val="1"/>
      <w:numFmt w:val="bullet"/>
      <w:lvlText w:val=""/>
      <w:lvlJc w:val="left"/>
      <w:pPr>
        <w:ind w:left="3146" w:hanging="360"/>
      </w:pPr>
      <w:rPr>
        <w:rFonts w:ascii="Symbol" w:hAnsi="Symbol" w:hint="default"/>
      </w:rPr>
    </w:lvl>
    <w:lvl w:ilvl="4" w:tplc="04090003" w:tentative="1">
      <w:start w:val="1"/>
      <w:numFmt w:val="bullet"/>
      <w:lvlText w:val="o"/>
      <w:lvlJc w:val="left"/>
      <w:pPr>
        <w:ind w:left="3866" w:hanging="360"/>
      </w:pPr>
      <w:rPr>
        <w:rFonts w:ascii="Courier New" w:hAnsi="Courier New" w:cs="Courier New" w:hint="default"/>
      </w:rPr>
    </w:lvl>
    <w:lvl w:ilvl="5" w:tplc="04090005" w:tentative="1">
      <w:start w:val="1"/>
      <w:numFmt w:val="bullet"/>
      <w:lvlText w:val=""/>
      <w:lvlJc w:val="left"/>
      <w:pPr>
        <w:ind w:left="4586" w:hanging="360"/>
      </w:pPr>
      <w:rPr>
        <w:rFonts w:ascii="Wingdings" w:hAnsi="Wingdings" w:hint="default"/>
      </w:rPr>
    </w:lvl>
    <w:lvl w:ilvl="6" w:tplc="04090001" w:tentative="1">
      <w:start w:val="1"/>
      <w:numFmt w:val="bullet"/>
      <w:lvlText w:val=""/>
      <w:lvlJc w:val="left"/>
      <w:pPr>
        <w:ind w:left="5306" w:hanging="360"/>
      </w:pPr>
      <w:rPr>
        <w:rFonts w:ascii="Symbol" w:hAnsi="Symbol" w:hint="default"/>
      </w:rPr>
    </w:lvl>
    <w:lvl w:ilvl="7" w:tplc="04090003" w:tentative="1">
      <w:start w:val="1"/>
      <w:numFmt w:val="bullet"/>
      <w:lvlText w:val="o"/>
      <w:lvlJc w:val="left"/>
      <w:pPr>
        <w:ind w:left="6026" w:hanging="360"/>
      </w:pPr>
      <w:rPr>
        <w:rFonts w:ascii="Courier New" w:hAnsi="Courier New" w:cs="Courier New" w:hint="default"/>
      </w:rPr>
    </w:lvl>
    <w:lvl w:ilvl="8" w:tplc="04090005" w:tentative="1">
      <w:start w:val="1"/>
      <w:numFmt w:val="bullet"/>
      <w:lvlText w:val=""/>
      <w:lvlJc w:val="left"/>
      <w:pPr>
        <w:ind w:left="6746" w:hanging="360"/>
      </w:pPr>
      <w:rPr>
        <w:rFonts w:ascii="Wingdings" w:hAnsi="Wingdings" w:hint="default"/>
      </w:rPr>
    </w:lvl>
  </w:abstractNum>
  <w:abstractNum w:abstractNumId="27">
    <w:nsid w:val="20A80405"/>
    <w:multiLevelType w:val="hybridMultilevel"/>
    <w:tmpl w:val="CEB23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25B301F"/>
    <w:multiLevelType w:val="hybridMultilevel"/>
    <w:tmpl w:val="52EED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31212B7"/>
    <w:multiLevelType w:val="hybridMultilevel"/>
    <w:tmpl w:val="6F00D26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0">
    <w:nsid w:val="289A60F4"/>
    <w:multiLevelType w:val="multilevel"/>
    <w:tmpl w:val="3AE49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91F3BC3"/>
    <w:multiLevelType w:val="hybridMultilevel"/>
    <w:tmpl w:val="C3CE6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9654EC7"/>
    <w:multiLevelType w:val="hybridMultilevel"/>
    <w:tmpl w:val="E5047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A540996"/>
    <w:multiLevelType w:val="hybridMultilevel"/>
    <w:tmpl w:val="CF9ABEC2"/>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34">
    <w:nsid w:val="2B910C39"/>
    <w:multiLevelType w:val="hybridMultilevel"/>
    <w:tmpl w:val="77F8D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C1F52BC"/>
    <w:multiLevelType w:val="hybridMultilevel"/>
    <w:tmpl w:val="619612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2CA872E4"/>
    <w:multiLevelType w:val="hybridMultilevel"/>
    <w:tmpl w:val="EE18BC6A"/>
    <w:lvl w:ilvl="0" w:tplc="04090001">
      <w:start w:val="1"/>
      <w:numFmt w:val="bullet"/>
      <w:lvlText w:val=""/>
      <w:lvlJc w:val="left"/>
      <w:pPr>
        <w:ind w:left="986" w:hanging="360"/>
      </w:pPr>
      <w:rPr>
        <w:rFonts w:ascii="Symbol" w:hAnsi="Symbol" w:hint="default"/>
      </w:rPr>
    </w:lvl>
    <w:lvl w:ilvl="1" w:tplc="04090003" w:tentative="1">
      <w:start w:val="1"/>
      <w:numFmt w:val="bullet"/>
      <w:lvlText w:val="o"/>
      <w:lvlJc w:val="left"/>
      <w:pPr>
        <w:ind w:left="1706" w:hanging="360"/>
      </w:pPr>
      <w:rPr>
        <w:rFonts w:ascii="Courier New" w:hAnsi="Courier New" w:cs="Courier New" w:hint="default"/>
      </w:rPr>
    </w:lvl>
    <w:lvl w:ilvl="2" w:tplc="04090005" w:tentative="1">
      <w:start w:val="1"/>
      <w:numFmt w:val="bullet"/>
      <w:lvlText w:val=""/>
      <w:lvlJc w:val="left"/>
      <w:pPr>
        <w:ind w:left="2426" w:hanging="360"/>
      </w:pPr>
      <w:rPr>
        <w:rFonts w:ascii="Wingdings" w:hAnsi="Wingdings" w:hint="default"/>
      </w:rPr>
    </w:lvl>
    <w:lvl w:ilvl="3" w:tplc="04090001" w:tentative="1">
      <w:start w:val="1"/>
      <w:numFmt w:val="bullet"/>
      <w:lvlText w:val=""/>
      <w:lvlJc w:val="left"/>
      <w:pPr>
        <w:ind w:left="3146" w:hanging="360"/>
      </w:pPr>
      <w:rPr>
        <w:rFonts w:ascii="Symbol" w:hAnsi="Symbol" w:hint="default"/>
      </w:rPr>
    </w:lvl>
    <w:lvl w:ilvl="4" w:tplc="04090003" w:tentative="1">
      <w:start w:val="1"/>
      <w:numFmt w:val="bullet"/>
      <w:lvlText w:val="o"/>
      <w:lvlJc w:val="left"/>
      <w:pPr>
        <w:ind w:left="3866" w:hanging="360"/>
      </w:pPr>
      <w:rPr>
        <w:rFonts w:ascii="Courier New" w:hAnsi="Courier New" w:cs="Courier New" w:hint="default"/>
      </w:rPr>
    </w:lvl>
    <w:lvl w:ilvl="5" w:tplc="04090005" w:tentative="1">
      <w:start w:val="1"/>
      <w:numFmt w:val="bullet"/>
      <w:lvlText w:val=""/>
      <w:lvlJc w:val="left"/>
      <w:pPr>
        <w:ind w:left="4586" w:hanging="360"/>
      </w:pPr>
      <w:rPr>
        <w:rFonts w:ascii="Wingdings" w:hAnsi="Wingdings" w:hint="default"/>
      </w:rPr>
    </w:lvl>
    <w:lvl w:ilvl="6" w:tplc="04090001" w:tentative="1">
      <w:start w:val="1"/>
      <w:numFmt w:val="bullet"/>
      <w:lvlText w:val=""/>
      <w:lvlJc w:val="left"/>
      <w:pPr>
        <w:ind w:left="5306" w:hanging="360"/>
      </w:pPr>
      <w:rPr>
        <w:rFonts w:ascii="Symbol" w:hAnsi="Symbol" w:hint="default"/>
      </w:rPr>
    </w:lvl>
    <w:lvl w:ilvl="7" w:tplc="04090003" w:tentative="1">
      <w:start w:val="1"/>
      <w:numFmt w:val="bullet"/>
      <w:lvlText w:val="o"/>
      <w:lvlJc w:val="left"/>
      <w:pPr>
        <w:ind w:left="6026" w:hanging="360"/>
      </w:pPr>
      <w:rPr>
        <w:rFonts w:ascii="Courier New" w:hAnsi="Courier New" w:cs="Courier New" w:hint="default"/>
      </w:rPr>
    </w:lvl>
    <w:lvl w:ilvl="8" w:tplc="04090005" w:tentative="1">
      <w:start w:val="1"/>
      <w:numFmt w:val="bullet"/>
      <w:lvlText w:val=""/>
      <w:lvlJc w:val="left"/>
      <w:pPr>
        <w:ind w:left="6746" w:hanging="360"/>
      </w:pPr>
      <w:rPr>
        <w:rFonts w:ascii="Wingdings" w:hAnsi="Wingdings" w:hint="default"/>
      </w:rPr>
    </w:lvl>
  </w:abstractNum>
  <w:abstractNum w:abstractNumId="37">
    <w:nsid w:val="2D9E5109"/>
    <w:multiLevelType w:val="hybridMultilevel"/>
    <w:tmpl w:val="2962EF44"/>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8">
    <w:nsid w:val="2DB4122E"/>
    <w:multiLevelType w:val="hybridMultilevel"/>
    <w:tmpl w:val="50CAC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DFD6F9E"/>
    <w:multiLevelType w:val="hybridMultilevel"/>
    <w:tmpl w:val="DF58C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EF94C4C"/>
    <w:multiLevelType w:val="hybridMultilevel"/>
    <w:tmpl w:val="DBA83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FCD051D"/>
    <w:multiLevelType w:val="hybridMultilevel"/>
    <w:tmpl w:val="F6942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1B11F97"/>
    <w:multiLevelType w:val="hybridMultilevel"/>
    <w:tmpl w:val="8D72D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36E4B69"/>
    <w:multiLevelType w:val="hybridMultilevel"/>
    <w:tmpl w:val="2BD86316"/>
    <w:lvl w:ilvl="0" w:tplc="DDE0943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4527676"/>
    <w:multiLevelType w:val="multilevel"/>
    <w:tmpl w:val="3AE49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51C26C6"/>
    <w:multiLevelType w:val="multilevel"/>
    <w:tmpl w:val="3AE49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5217E86"/>
    <w:multiLevelType w:val="hybridMultilevel"/>
    <w:tmpl w:val="4184C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5721D98"/>
    <w:multiLevelType w:val="hybridMultilevel"/>
    <w:tmpl w:val="2ABCF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nsid w:val="36B33072"/>
    <w:multiLevelType w:val="hybridMultilevel"/>
    <w:tmpl w:val="9C9A3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nsid w:val="37100F12"/>
    <w:multiLevelType w:val="hybridMultilevel"/>
    <w:tmpl w:val="EDF46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nsid w:val="39537069"/>
    <w:multiLevelType w:val="hybridMultilevel"/>
    <w:tmpl w:val="D4542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A8136DF"/>
    <w:multiLevelType w:val="hybridMultilevel"/>
    <w:tmpl w:val="B1D02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A8A7DD3"/>
    <w:multiLevelType w:val="hybridMultilevel"/>
    <w:tmpl w:val="8F82E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B556D78"/>
    <w:multiLevelType w:val="hybridMultilevel"/>
    <w:tmpl w:val="4BDCC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C331FEB"/>
    <w:multiLevelType w:val="multilevel"/>
    <w:tmpl w:val="3AE49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3C430D7D"/>
    <w:multiLevelType w:val="hybridMultilevel"/>
    <w:tmpl w:val="2E7CD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C8F7E9C"/>
    <w:multiLevelType w:val="hybridMultilevel"/>
    <w:tmpl w:val="BF489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CB642F9"/>
    <w:multiLevelType w:val="multilevel"/>
    <w:tmpl w:val="3AE49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3DEC4391"/>
    <w:multiLevelType w:val="hybridMultilevel"/>
    <w:tmpl w:val="60CE3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18B2313"/>
    <w:multiLevelType w:val="hybridMultilevel"/>
    <w:tmpl w:val="C2EA2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3857887"/>
    <w:multiLevelType w:val="hybridMultilevel"/>
    <w:tmpl w:val="25ACA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3A54CC3"/>
    <w:multiLevelType w:val="hybridMultilevel"/>
    <w:tmpl w:val="1F324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3E55DFD"/>
    <w:multiLevelType w:val="hybridMultilevel"/>
    <w:tmpl w:val="35F2E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65B4664"/>
    <w:multiLevelType w:val="hybridMultilevel"/>
    <w:tmpl w:val="64BCF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6A57750"/>
    <w:multiLevelType w:val="multilevel"/>
    <w:tmpl w:val="3AE49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486D5149"/>
    <w:multiLevelType w:val="hybridMultilevel"/>
    <w:tmpl w:val="51BAC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87D190A"/>
    <w:multiLevelType w:val="hybridMultilevel"/>
    <w:tmpl w:val="BC045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49980976"/>
    <w:multiLevelType w:val="hybridMultilevel"/>
    <w:tmpl w:val="6A500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4B333646"/>
    <w:multiLevelType w:val="hybridMultilevel"/>
    <w:tmpl w:val="F86CD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4B390AAC"/>
    <w:multiLevelType w:val="hybridMultilevel"/>
    <w:tmpl w:val="08BC9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BE567DF"/>
    <w:multiLevelType w:val="hybridMultilevel"/>
    <w:tmpl w:val="3626A67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1">
    <w:nsid w:val="4C16374B"/>
    <w:multiLevelType w:val="hybridMultilevel"/>
    <w:tmpl w:val="E722A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E805223"/>
    <w:multiLevelType w:val="hybridMultilevel"/>
    <w:tmpl w:val="23C49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1253D7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nsid w:val="52293709"/>
    <w:multiLevelType w:val="hybridMultilevel"/>
    <w:tmpl w:val="0F3AA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2DE5993"/>
    <w:multiLevelType w:val="hybridMultilevel"/>
    <w:tmpl w:val="2E84F7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nsid w:val="53966F03"/>
    <w:multiLevelType w:val="hybridMultilevel"/>
    <w:tmpl w:val="4E6E6616"/>
    <w:lvl w:ilvl="0" w:tplc="04090001">
      <w:start w:val="1"/>
      <w:numFmt w:val="bullet"/>
      <w:lvlText w:val=""/>
      <w:lvlJc w:val="left"/>
      <w:pPr>
        <w:ind w:left="986" w:hanging="360"/>
      </w:pPr>
      <w:rPr>
        <w:rFonts w:ascii="Symbol" w:hAnsi="Symbol" w:hint="default"/>
      </w:rPr>
    </w:lvl>
    <w:lvl w:ilvl="1" w:tplc="04090003" w:tentative="1">
      <w:start w:val="1"/>
      <w:numFmt w:val="bullet"/>
      <w:lvlText w:val="o"/>
      <w:lvlJc w:val="left"/>
      <w:pPr>
        <w:ind w:left="1706" w:hanging="360"/>
      </w:pPr>
      <w:rPr>
        <w:rFonts w:ascii="Courier New" w:hAnsi="Courier New" w:cs="Courier New" w:hint="default"/>
      </w:rPr>
    </w:lvl>
    <w:lvl w:ilvl="2" w:tplc="04090005" w:tentative="1">
      <w:start w:val="1"/>
      <w:numFmt w:val="bullet"/>
      <w:lvlText w:val=""/>
      <w:lvlJc w:val="left"/>
      <w:pPr>
        <w:ind w:left="2426" w:hanging="360"/>
      </w:pPr>
      <w:rPr>
        <w:rFonts w:ascii="Wingdings" w:hAnsi="Wingdings" w:hint="default"/>
      </w:rPr>
    </w:lvl>
    <w:lvl w:ilvl="3" w:tplc="04090001" w:tentative="1">
      <w:start w:val="1"/>
      <w:numFmt w:val="bullet"/>
      <w:lvlText w:val=""/>
      <w:lvlJc w:val="left"/>
      <w:pPr>
        <w:ind w:left="3146" w:hanging="360"/>
      </w:pPr>
      <w:rPr>
        <w:rFonts w:ascii="Symbol" w:hAnsi="Symbol" w:hint="default"/>
      </w:rPr>
    </w:lvl>
    <w:lvl w:ilvl="4" w:tplc="04090003" w:tentative="1">
      <w:start w:val="1"/>
      <w:numFmt w:val="bullet"/>
      <w:lvlText w:val="o"/>
      <w:lvlJc w:val="left"/>
      <w:pPr>
        <w:ind w:left="3866" w:hanging="360"/>
      </w:pPr>
      <w:rPr>
        <w:rFonts w:ascii="Courier New" w:hAnsi="Courier New" w:cs="Courier New" w:hint="default"/>
      </w:rPr>
    </w:lvl>
    <w:lvl w:ilvl="5" w:tplc="04090005" w:tentative="1">
      <w:start w:val="1"/>
      <w:numFmt w:val="bullet"/>
      <w:lvlText w:val=""/>
      <w:lvlJc w:val="left"/>
      <w:pPr>
        <w:ind w:left="4586" w:hanging="360"/>
      </w:pPr>
      <w:rPr>
        <w:rFonts w:ascii="Wingdings" w:hAnsi="Wingdings" w:hint="default"/>
      </w:rPr>
    </w:lvl>
    <w:lvl w:ilvl="6" w:tplc="04090001" w:tentative="1">
      <w:start w:val="1"/>
      <w:numFmt w:val="bullet"/>
      <w:lvlText w:val=""/>
      <w:lvlJc w:val="left"/>
      <w:pPr>
        <w:ind w:left="5306" w:hanging="360"/>
      </w:pPr>
      <w:rPr>
        <w:rFonts w:ascii="Symbol" w:hAnsi="Symbol" w:hint="default"/>
      </w:rPr>
    </w:lvl>
    <w:lvl w:ilvl="7" w:tplc="04090003" w:tentative="1">
      <w:start w:val="1"/>
      <w:numFmt w:val="bullet"/>
      <w:lvlText w:val="o"/>
      <w:lvlJc w:val="left"/>
      <w:pPr>
        <w:ind w:left="6026" w:hanging="360"/>
      </w:pPr>
      <w:rPr>
        <w:rFonts w:ascii="Courier New" w:hAnsi="Courier New" w:cs="Courier New" w:hint="default"/>
      </w:rPr>
    </w:lvl>
    <w:lvl w:ilvl="8" w:tplc="04090005" w:tentative="1">
      <w:start w:val="1"/>
      <w:numFmt w:val="bullet"/>
      <w:lvlText w:val=""/>
      <w:lvlJc w:val="left"/>
      <w:pPr>
        <w:ind w:left="6746" w:hanging="360"/>
      </w:pPr>
      <w:rPr>
        <w:rFonts w:ascii="Wingdings" w:hAnsi="Wingdings" w:hint="default"/>
      </w:rPr>
    </w:lvl>
  </w:abstractNum>
  <w:abstractNum w:abstractNumId="77">
    <w:nsid w:val="553D5ACB"/>
    <w:multiLevelType w:val="hybridMultilevel"/>
    <w:tmpl w:val="D9CABB46"/>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78">
    <w:nsid w:val="586C0200"/>
    <w:multiLevelType w:val="hybridMultilevel"/>
    <w:tmpl w:val="F44C8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9">
    <w:nsid w:val="58FE506B"/>
    <w:multiLevelType w:val="hybridMultilevel"/>
    <w:tmpl w:val="9B72FF2A"/>
    <w:lvl w:ilvl="0" w:tplc="78A25FB0">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nsid w:val="5B5068BF"/>
    <w:multiLevelType w:val="hybridMultilevel"/>
    <w:tmpl w:val="8EA25D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nsid w:val="5BDB372F"/>
    <w:multiLevelType w:val="hybridMultilevel"/>
    <w:tmpl w:val="56602C6E"/>
    <w:lvl w:ilvl="0" w:tplc="78A25FB0">
      <w:numFmt w:val="bullet"/>
      <w:lvlText w:val="•"/>
      <w:lvlJc w:val="left"/>
      <w:pPr>
        <w:ind w:left="405" w:hanging="360"/>
      </w:pPr>
      <w:rPr>
        <w:rFonts w:ascii="Calibri" w:eastAsiaTheme="minorHAnsi" w:hAnsi="Calibri" w:cstheme="minorBidi"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2">
    <w:nsid w:val="5BEB1FC1"/>
    <w:multiLevelType w:val="hybridMultilevel"/>
    <w:tmpl w:val="B5C24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3">
    <w:nsid w:val="5C6C57F3"/>
    <w:multiLevelType w:val="hybridMultilevel"/>
    <w:tmpl w:val="F06ABD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nsid w:val="5C796A48"/>
    <w:multiLevelType w:val="hybridMultilevel"/>
    <w:tmpl w:val="D0E8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5C9C0924"/>
    <w:multiLevelType w:val="multilevel"/>
    <w:tmpl w:val="C2B8B2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6">
    <w:nsid w:val="5E17678B"/>
    <w:multiLevelType w:val="multilevel"/>
    <w:tmpl w:val="DED07680"/>
    <w:lvl w:ilvl="0">
      <w:start w:val="2"/>
      <w:numFmt w:val="decimal"/>
      <w:lvlText w:val="%1"/>
      <w:lvlJc w:val="left"/>
      <w:pPr>
        <w:ind w:left="360" w:hanging="360"/>
      </w:pPr>
      <w:rPr>
        <w:rFonts w:hint="default"/>
      </w:rPr>
    </w:lvl>
    <w:lvl w:ilvl="1">
      <w:start w:val="1"/>
      <w:numFmt w:val="decimal"/>
      <w:lvlText w:val="%1.%2"/>
      <w:lvlJc w:val="left"/>
      <w:pPr>
        <w:ind w:left="1512" w:hanging="720"/>
      </w:pPr>
      <w:rPr>
        <w:rFonts w:hint="default"/>
        <w:b/>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87">
    <w:nsid w:val="5E53507E"/>
    <w:multiLevelType w:val="hybridMultilevel"/>
    <w:tmpl w:val="7FC63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5F15721C"/>
    <w:multiLevelType w:val="hybridMultilevel"/>
    <w:tmpl w:val="B5725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0015279"/>
    <w:multiLevelType w:val="hybridMultilevel"/>
    <w:tmpl w:val="CC14A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6199015D"/>
    <w:multiLevelType w:val="hybridMultilevel"/>
    <w:tmpl w:val="14B24C6A"/>
    <w:lvl w:ilvl="0" w:tplc="04090001">
      <w:start w:val="1"/>
      <w:numFmt w:val="bullet"/>
      <w:lvlText w:val=""/>
      <w:lvlJc w:val="left"/>
      <w:pPr>
        <w:ind w:left="842" w:hanging="360"/>
      </w:pPr>
      <w:rPr>
        <w:rFonts w:ascii="Symbol" w:hAnsi="Symbol"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91">
    <w:nsid w:val="621C27E6"/>
    <w:multiLevelType w:val="hybridMultilevel"/>
    <w:tmpl w:val="C11AAA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nsid w:val="636A384E"/>
    <w:multiLevelType w:val="hybridMultilevel"/>
    <w:tmpl w:val="AD923B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3">
    <w:nsid w:val="63F87222"/>
    <w:multiLevelType w:val="hybridMultilevel"/>
    <w:tmpl w:val="BA1C5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65C76157"/>
    <w:multiLevelType w:val="hybridMultilevel"/>
    <w:tmpl w:val="50680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66BC74A2"/>
    <w:multiLevelType w:val="multilevel"/>
    <w:tmpl w:val="76588E74"/>
    <w:lvl w:ilvl="0">
      <w:start w:val="4"/>
      <w:numFmt w:val="decimal"/>
      <w:lvlText w:val="%1"/>
      <w:lvlJc w:val="left"/>
      <w:pPr>
        <w:ind w:left="360" w:hanging="360"/>
      </w:pPr>
      <w:rPr>
        <w:rFonts w:hint="default"/>
      </w:rPr>
    </w:lvl>
    <w:lvl w:ilvl="1">
      <w:start w:val="1"/>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96">
    <w:nsid w:val="685F41C7"/>
    <w:multiLevelType w:val="hybridMultilevel"/>
    <w:tmpl w:val="68E6C07C"/>
    <w:lvl w:ilvl="0" w:tplc="04090001">
      <w:start w:val="1"/>
      <w:numFmt w:val="bullet"/>
      <w:lvlText w:val=""/>
      <w:lvlJc w:val="left"/>
      <w:pPr>
        <w:ind w:left="986" w:hanging="360"/>
      </w:pPr>
      <w:rPr>
        <w:rFonts w:ascii="Symbol" w:hAnsi="Symbol" w:hint="default"/>
      </w:rPr>
    </w:lvl>
    <w:lvl w:ilvl="1" w:tplc="04090003" w:tentative="1">
      <w:start w:val="1"/>
      <w:numFmt w:val="bullet"/>
      <w:lvlText w:val="o"/>
      <w:lvlJc w:val="left"/>
      <w:pPr>
        <w:ind w:left="1706" w:hanging="360"/>
      </w:pPr>
      <w:rPr>
        <w:rFonts w:ascii="Courier New" w:hAnsi="Courier New" w:cs="Courier New" w:hint="default"/>
      </w:rPr>
    </w:lvl>
    <w:lvl w:ilvl="2" w:tplc="04090005" w:tentative="1">
      <w:start w:val="1"/>
      <w:numFmt w:val="bullet"/>
      <w:lvlText w:val=""/>
      <w:lvlJc w:val="left"/>
      <w:pPr>
        <w:ind w:left="2426" w:hanging="360"/>
      </w:pPr>
      <w:rPr>
        <w:rFonts w:ascii="Wingdings" w:hAnsi="Wingdings" w:hint="default"/>
      </w:rPr>
    </w:lvl>
    <w:lvl w:ilvl="3" w:tplc="04090001" w:tentative="1">
      <w:start w:val="1"/>
      <w:numFmt w:val="bullet"/>
      <w:lvlText w:val=""/>
      <w:lvlJc w:val="left"/>
      <w:pPr>
        <w:ind w:left="3146" w:hanging="360"/>
      </w:pPr>
      <w:rPr>
        <w:rFonts w:ascii="Symbol" w:hAnsi="Symbol" w:hint="default"/>
      </w:rPr>
    </w:lvl>
    <w:lvl w:ilvl="4" w:tplc="04090003" w:tentative="1">
      <w:start w:val="1"/>
      <w:numFmt w:val="bullet"/>
      <w:lvlText w:val="o"/>
      <w:lvlJc w:val="left"/>
      <w:pPr>
        <w:ind w:left="3866" w:hanging="360"/>
      </w:pPr>
      <w:rPr>
        <w:rFonts w:ascii="Courier New" w:hAnsi="Courier New" w:cs="Courier New" w:hint="default"/>
      </w:rPr>
    </w:lvl>
    <w:lvl w:ilvl="5" w:tplc="04090005" w:tentative="1">
      <w:start w:val="1"/>
      <w:numFmt w:val="bullet"/>
      <w:lvlText w:val=""/>
      <w:lvlJc w:val="left"/>
      <w:pPr>
        <w:ind w:left="4586" w:hanging="360"/>
      </w:pPr>
      <w:rPr>
        <w:rFonts w:ascii="Wingdings" w:hAnsi="Wingdings" w:hint="default"/>
      </w:rPr>
    </w:lvl>
    <w:lvl w:ilvl="6" w:tplc="04090001" w:tentative="1">
      <w:start w:val="1"/>
      <w:numFmt w:val="bullet"/>
      <w:lvlText w:val=""/>
      <w:lvlJc w:val="left"/>
      <w:pPr>
        <w:ind w:left="5306" w:hanging="360"/>
      </w:pPr>
      <w:rPr>
        <w:rFonts w:ascii="Symbol" w:hAnsi="Symbol" w:hint="default"/>
      </w:rPr>
    </w:lvl>
    <w:lvl w:ilvl="7" w:tplc="04090003" w:tentative="1">
      <w:start w:val="1"/>
      <w:numFmt w:val="bullet"/>
      <w:lvlText w:val="o"/>
      <w:lvlJc w:val="left"/>
      <w:pPr>
        <w:ind w:left="6026" w:hanging="360"/>
      </w:pPr>
      <w:rPr>
        <w:rFonts w:ascii="Courier New" w:hAnsi="Courier New" w:cs="Courier New" w:hint="default"/>
      </w:rPr>
    </w:lvl>
    <w:lvl w:ilvl="8" w:tplc="04090005" w:tentative="1">
      <w:start w:val="1"/>
      <w:numFmt w:val="bullet"/>
      <w:lvlText w:val=""/>
      <w:lvlJc w:val="left"/>
      <w:pPr>
        <w:ind w:left="6746" w:hanging="360"/>
      </w:pPr>
      <w:rPr>
        <w:rFonts w:ascii="Wingdings" w:hAnsi="Wingdings" w:hint="default"/>
      </w:rPr>
    </w:lvl>
  </w:abstractNum>
  <w:abstractNum w:abstractNumId="97">
    <w:nsid w:val="68C816FA"/>
    <w:multiLevelType w:val="multilevel"/>
    <w:tmpl w:val="993E6F8C"/>
    <w:lvl w:ilvl="0">
      <w:start w:val="1"/>
      <w:numFmt w:val="bullet"/>
      <w:lvlText w:val=""/>
      <w:lvlJc w:val="left"/>
      <w:pPr>
        <w:tabs>
          <w:tab w:val="num" w:pos="1080"/>
        </w:tabs>
        <w:ind w:left="1080" w:hanging="360"/>
      </w:pPr>
      <w:rPr>
        <w:rFonts w:ascii="Symbol" w:hAnsi="Symbol" w:hint="default"/>
        <w:sz w:val="20"/>
      </w:rPr>
    </w:lvl>
    <w:lvl w:ilvl="1">
      <w:start w:val="9"/>
      <w:numFmt w:val="decimal"/>
      <w:lvlText w:val="%2."/>
      <w:lvlJc w:val="left"/>
      <w:pPr>
        <w:ind w:left="2160" w:hanging="720"/>
      </w:pPr>
      <w:rPr>
        <w:rFonts w:hint="default"/>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8">
    <w:nsid w:val="6A5B78CC"/>
    <w:multiLevelType w:val="hybridMultilevel"/>
    <w:tmpl w:val="62945B86"/>
    <w:lvl w:ilvl="0" w:tplc="9BB4B034">
      <w:start w:val="1"/>
      <w:numFmt w:val="bullet"/>
      <w:lvlText w:val=""/>
      <w:lvlJc w:val="left"/>
      <w:pPr>
        <w:ind w:left="765" w:hanging="360"/>
      </w:pPr>
      <w:rPr>
        <w:rFonts w:ascii="Symbol" w:hAnsi="Symbol" w:hint="default"/>
        <w:color w:val="auto"/>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9">
    <w:nsid w:val="6AEB7E4D"/>
    <w:multiLevelType w:val="hybridMultilevel"/>
    <w:tmpl w:val="58AAC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0">
    <w:nsid w:val="6C391E78"/>
    <w:multiLevelType w:val="hybridMultilevel"/>
    <w:tmpl w:val="3A80A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74B213E1"/>
    <w:multiLevelType w:val="hybridMultilevel"/>
    <w:tmpl w:val="8DB6E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4CD4063"/>
    <w:multiLevelType w:val="hybridMultilevel"/>
    <w:tmpl w:val="C7DA7F4C"/>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start w:val="1"/>
      <w:numFmt w:val="bullet"/>
      <w:lvlText w:val=""/>
      <w:lvlJc w:val="left"/>
      <w:pPr>
        <w:ind w:left="3606" w:hanging="360"/>
      </w:pPr>
      <w:rPr>
        <w:rFonts w:ascii="Symbol" w:hAnsi="Symbol" w:hint="default"/>
      </w:rPr>
    </w:lvl>
    <w:lvl w:ilvl="4" w:tplc="04090003">
      <w:start w:val="1"/>
      <w:numFmt w:val="bullet"/>
      <w:lvlText w:val="o"/>
      <w:lvlJc w:val="left"/>
      <w:pPr>
        <w:ind w:left="4326" w:hanging="360"/>
      </w:pPr>
      <w:rPr>
        <w:rFonts w:ascii="Courier New" w:hAnsi="Courier New" w:cs="Courier New" w:hint="default"/>
      </w:rPr>
    </w:lvl>
    <w:lvl w:ilvl="5" w:tplc="04090005">
      <w:start w:val="1"/>
      <w:numFmt w:val="bullet"/>
      <w:lvlText w:val=""/>
      <w:lvlJc w:val="left"/>
      <w:pPr>
        <w:ind w:left="5046" w:hanging="360"/>
      </w:pPr>
      <w:rPr>
        <w:rFonts w:ascii="Wingdings" w:hAnsi="Wingdings" w:hint="default"/>
      </w:rPr>
    </w:lvl>
    <w:lvl w:ilvl="6" w:tplc="04090001">
      <w:start w:val="1"/>
      <w:numFmt w:val="bullet"/>
      <w:lvlText w:val=""/>
      <w:lvlJc w:val="left"/>
      <w:pPr>
        <w:ind w:left="5766" w:hanging="360"/>
      </w:pPr>
      <w:rPr>
        <w:rFonts w:ascii="Symbol" w:hAnsi="Symbol" w:hint="default"/>
      </w:rPr>
    </w:lvl>
    <w:lvl w:ilvl="7" w:tplc="04090003">
      <w:start w:val="1"/>
      <w:numFmt w:val="bullet"/>
      <w:lvlText w:val="o"/>
      <w:lvlJc w:val="left"/>
      <w:pPr>
        <w:ind w:left="6486" w:hanging="360"/>
      </w:pPr>
      <w:rPr>
        <w:rFonts w:ascii="Courier New" w:hAnsi="Courier New" w:cs="Courier New" w:hint="default"/>
      </w:rPr>
    </w:lvl>
    <w:lvl w:ilvl="8" w:tplc="04090005">
      <w:start w:val="1"/>
      <w:numFmt w:val="bullet"/>
      <w:lvlText w:val=""/>
      <w:lvlJc w:val="left"/>
      <w:pPr>
        <w:ind w:left="7206" w:hanging="360"/>
      </w:pPr>
      <w:rPr>
        <w:rFonts w:ascii="Wingdings" w:hAnsi="Wingdings" w:hint="default"/>
      </w:rPr>
    </w:lvl>
  </w:abstractNum>
  <w:abstractNum w:abstractNumId="103">
    <w:nsid w:val="75D82329"/>
    <w:multiLevelType w:val="hybridMultilevel"/>
    <w:tmpl w:val="4B9C2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9EE7620"/>
    <w:multiLevelType w:val="hybridMultilevel"/>
    <w:tmpl w:val="EF7AA2C2"/>
    <w:lvl w:ilvl="0" w:tplc="78A25FB0">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5">
    <w:nsid w:val="7BAB2E0F"/>
    <w:multiLevelType w:val="hybridMultilevel"/>
    <w:tmpl w:val="5CB05450"/>
    <w:lvl w:ilvl="0" w:tplc="04090001">
      <w:start w:val="1"/>
      <w:numFmt w:val="bullet"/>
      <w:lvlText w:val=""/>
      <w:lvlJc w:val="left"/>
      <w:pPr>
        <w:ind w:left="405" w:hanging="360"/>
      </w:pPr>
      <w:rPr>
        <w:rFonts w:ascii="Symbol" w:hAnsi="Symbo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6">
    <w:nsid w:val="7C8557BB"/>
    <w:multiLevelType w:val="hybridMultilevel"/>
    <w:tmpl w:val="F37A4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7CEF33CF"/>
    <w:multiLevelType w:val="hybridMultilevel"/>
    <w:tmpl w:val="C9AEC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7E5D0C10"/>
    <w:multiLevelType w:val="hybridMultilevel"/>
    <w:tmpl w:val="D8328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7F6C2C4D"/>
    <w:multiLevelType w:val="hybridMultilevel"/>
    <w:tmpl w:val="EEEA4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3"/>
  </w:num>
  <w:num w:numId="2">
    <w:abstractNumId w:val="62"/>
  </w:num>
  <w:num w:numId="3">
    <w:abstractNumId w:val="58"/>
  </w:num>
  <w:num w:numId="4">
    <w:abstractNumId w:val="69"/>
  </w:num>
  <w:num w:numId="5">
    <w:abstractNumId w:val="23"/>
  </w:num>
  <w:num w:numId="6">
    <w:abstractNumId w:val="89"/>
  </w:num>
  <w:num w:numId="7">
    <w:abstractNumId w:val="103"/>
  </w:num>
  <w:num w:numId="8">
    <w:abstractNumId w:val="65"/>
  </w:num>
  <w:num w:numId="9">
    <w:abstractNumId w:val="61"/>
  </w:num>
  <w:num w:numId="10">
    <w:abstractNumId w:val="32"/>
  </w:num>
  <w:num w:numId="11">
    <w:abstractNumId w:val="6"/>
  </w:num>
  <w:num w:numId="12">
    <w:abstractNumId w:val="106"/>
  </w:num>
  <w:num w:numId="13">
    <w:abstractNumId w:val="52"/>
  </w:num>
  <w:num w:numId="14">
    <w:abstractNumId w:val="24"/>
  </w:num>
  <w:num w:numId="15">
    <w:abstractNumId w:val="39"/>
  </w:num>
  <w:num w:numId="16">
    <w:abstractNumId w:val="20"/>
  </w:num>
  <w:num w:numId="17">
    <w:abstractNumId w:val="31"/>
  </w:num>
  <w:num w:numId="18">
    <w:abstractNumId w:val="74"/>
  </w:num>
  <w:num w:numId="19">
    <w:abstractNumId w:val="21"/>
  </w:num>
  <w:num w:numId="20">
    <w:abstractNumId w:val="109"/>
  </w:num>
  <w:num w:numId="21">
    <w:abstractNumId w:val="107"/>
  </w:num>
  <w:num w:numId="22">
    <w:abstractNumId w:val="98"/>
  </w:num>
  <w:num w:numId="23">
    <w:abstractNumId w:val="66"/>
  </w:num>
  <w:num w:numId="24">
    <w:abstractNumId w:val="93"/>
  </w:num>
  <w:num w:numId="25">
    <w:abstractNumId w:val="17"/>
  </w:num>
  <w:num w:numId="26">
    <w:abstractNumId w:val="8"/>
  </w:num>
  <w:num w:numId="27">
    <w:abstractNumId w:val="50"/>
  </w:num>
  <w:num w:numId="28">
    <w:abstractNumId w:val="11"/>
  </w:num>
  <w:num w:numId="29">
    <w:abstractNumId w:val="86"/>
  </w:num>
  <w:num w:numId="30">
    <w:abstractNumId w:val="77"/>
  </w:num>
  <w:num w:numId="31">
    <w:abstractNumId w:val="75"/>
  </w:num>
  <w:num w:numId="32">
    <w:abstractNumId w:val="25"/>
  </w:num>
  <w:num w:numId="33">
    <w:abstractNumId w:val="33"/>
  </w:num>
  <w:num w:numId="34">
    <w:abstractNumId w:val="99"/>
  </w:num>
  <w:num w:numId="35">
    <w:abstractNumId w:val="78"/>
  </w:num>
  <w:num w:numId="36">
    <w:abstractNumId w:val="2"/>
  </w:num>
  <w:num w:numId="37">
    <w:abstractNumId w:val="48"/>
  </w:num>
  <w:num w:numId="38">
    <w:abstractNumId w:val="82"/>
  </w:num>
  <w:num w:numId="39">
    <w:abstractNumId w:val="102"/>
  </w:num>
  <w:num w:numId="40">
    <w:abstractNumId w:val="49"/>
  </w:num>
  <w:num w:numId="41">
    <w:abstractNumId w:val="47"/>
  </w:num>
  <w:num w:numId="42">
    <w:abstractNumId w:val="92"/>
  </w:num>
  <w:num w:numId="43">
    <w:abstractNumId w:val="37"/>
  </w:num>
  <w:num w:numId="44">
    <w:abstractNumId w:val="18"/>
  </w:num>
  <w:num w:numId="45">
    <w:abstractNumId w:val="63"/>
  </w:num>
  <w:num w:numId="46">
    <w:abstractNumId w:val="87"/>
  </w:num>
  <w:num w:numId="47">
    <w:abstractNumId w:val="15"/>
  </w:num>
  <w:num w:numId="48">
    <w:abstractNumId w:val="42"/>
  </w:num>
  <w:num w:numId="49">
    <w:abstractNumId w:val="56"/>
  </w:num>
  <w:num w:numId="50">
    <w:abstractNumId w:val="43"/>
  </w:num>
  <w:num w:numId="51">
    <w:abstractNumId w:val="40"/>
  </w:num>
  <w:num w:numId="52">
    <w:abstractNumId w:val="30"/>
  </w:num>
  <w:num w:numId="53">
    <w:abstractNumId w:val="45"/>
  </w:num>
  <w:num w:numId="54">
    <w:abstractNumId w:val="54"/>
  </w:num>
  <w:num w:numId="55">
    <w:abstractNumId w:val="0"/>
  </w:num>
  <w:num w:numId="56">
    <w:abstractNumId w:val="12"/>
  </w:num>
  <w:num w:numId="57">
    <w:abstractNumId w:val="44"/>
  </w:num>
  <w:num w:numId="58">
    <w:abstractNumId w:val="97"/>
  </w:num>
  <w:num w:numId="59">
    <w:abstractNumId w:val="57"/>
  </w:num>
  <w:num w:numId="60">
    <w:abstractNumId w:val="95"/>
  </w:num>
  <w:num w:numId="61">
    <w:abstractNumId w:val="108"/>
  </w:num>
  <w:num w:numId="62">
    <w:abstractNumId w:val="27"/>
  </w:num>
  <w:num w:numId="63">
    <w:abstractNumId w:val="53"/>
  </w:num>
  <w:num w:numId="64">
    <w:abstractNumId w:val="84"/>
  </w:num>
  <w:num w:numId="65">
    <w:abstractNumId w:val="72"/>
  </w:num>
  <w:num w:numId="66">
    <w:abstractNumId w:val="94"/>
  </w:num>
  <w:num w:numId="67">
    <w:abstractNumId w:val="46"/>
  </w:num>
  <w:num w:numId="68">
    <w:abstractNumId w:val="55"/>
  </w:num>
  <w:num w:numId="69">
    <w:abstractNumId w:val="51"/>
  </w:num>
  <w:num w:numId="70">
    <w:abstractNumId w:val="38"/>
  </w:num>
  <w:num w:numId="71">
    <w:abstractNumId w:val="34"/>
  </w:num>
  <w:num w:numId="72">
    <w:abstractNumId w:val="70"/>
  </w:num>
  <w:num w:numId="73">
    <w:abstractNumId w:val="5"/>
  </w:num>
  <w:num w:numId="74">
    <w:abstractNumId w:val="29"/>
  </w:num>
  <w:num w:numId="75">
    <w:abstractNumId w:val="35"/>
  </w:num>
  <w:num w:numId="76">
    <w:abstractNumId w:val="16"/>
  </w:num>
  <w:num w:numId="77">
    <w:abstractNumId w:val="100"/>
  </w:num>
  <w:num w:numId="78">
    <w:abstractNumId w:val="67"/>
  </w:num>
  <w:num w:numId="79">
    <w:abstractNumId w:val="36"/>
  </w:num>
  <w:num w:numId="80">
    <w:abstractNumId w:val="26"/>
  </w:num>
  <w:num w:numId="81">
    <w:abstractNumId w:val="76"/>
  </w:num>
  <w:num w:numId="82">
    <w:abstractNumId w:val="96"/>
  </w:num>
  <w:num w:numId="83">
    <w:abstractNumId w:val="9"/>
  </w:num>
  <w:num w:numId="84">
    <w:abstractNumId w:val="13"/>
  </w:num>
  <w:num w:numId="85">
    <w:abstractNumId w:val="71"/>
  </w:num>
  <w:num w:numId="86">
    <w:abstractNumId w:val="101"/>
  </w:num>
  <w:num w:numId="87">
    <w:abstractNumId w:val="4"/>
  </w:num>
  <w:num w:numId="88">
    <w:abstractNumId w:val="60"/>
  </w:num>
  <w:num w:numId="89">
    <w:abstractNumId w:val="83"/>
  </w:num>
  <w:num w:numId="90">
    <w:abstractNumId w:val="81"/>
  </w:num>
  <w:num w:numId="91">
    <w:abstractNumId w:val="104"/>
  </w:num>
  <w:num w:numId="92">
    <w:abstractNumId w:val="79"/>
  </w:num>
  <w:num w:numId="93">
    <w:abstractNumId w:val="105"/>
  </w:num>
  <w:num w:numId="94">
    <w:abstractNumId w:val="3"/>
  </w:num>
  <w:num w:numId="95">
    <w:abstractNumId w:val="7"/>
  </w:num>
  <w:num w:numId="96">
    <w:abstractNumId w:val="59"/>
  </w:num>
  <w:num w:numId="97">
    <w:abstractNumId w:val="10"/>
  </w:num>
  <w:num w:numId="98">
    <w:abstractNumId w:val="91"/>
  </w:num>
  <w:num w:numId="99">
    <w:abstractNumId w:val="90"/>
  </w:num>
  <w:num w:numId="100">
    <w:abstractNumId w:val="64"/>
  </w:num>
  <w:num w:numId="101">
    <w:abstractNumId w:val="14"/>
  </w:num>
  <w:num w:numId="102">
    <w:abstractNumId w:val="80"/>
  </w:num>
  <w:num w:numId="103">
    <w:abstractNumId w:val="28"/>
  </w:num>
  <w:num w:numId="104">
    <w:abstractNumId w:val="41"/>
  </w:num>
  <w:num w:numId="105">
    <w:abstractNumId w:val="22"/>
  </w:num>
  <w:num w:numId="106">
    <w:abstractNumId w:val="88"/>
  </w:num>
  <w:num w:numId="107">
    <w:abstractNumId w:val="68"/>
  </w:num>
  <w:num w:numId="108">
    <w:abstractNumId w:val="1"/>
  </w:num>
  <w:num w:numId="109">
    <w:abstractNumId w:val="85"/>
  </w:num>
  <w:num w:numId="11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9"/>
  </w:num>
  <w:numIdMacAtCleanup w:val="10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cLeod, Tavish (DPH)">
    <w15:presenceInfo w15:providerId="AD" w15:userId="S::Tavish.MacLeod@MassMail.State.MA.US::5b7a38dc-f18e-4161-af3d-3a0e9e267a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14"/>
  <w:characterSpacingControl w:val="doNotCompress"/>
  <w:hdrShapeDefaults>
    <o:shapedefaults v:ext="edit" spidmax="902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213"/>
    <w:rsid w:val="00000258"/>
    <w:rsid w:val="00000E09"/>
    <w:rsid w:val="0000113C"/>
    <w:rsid w:val="0000176B"/>
    <w:rsid w:val="00001EA0"/>
    <w:rsid w:val="0000511F"/>
    <w:rsid w:val="00005155"/>
    <w:rsid w:val="00006227"/>
    <w:rsid w:val="0001404D"/>
    <w:rsid w:val="00016638"/>
    <w:rsid w:val="00022B6D"/>
    <w:rsid w:val="0002306A"/>
    <w:rsid w:val="000235A7"/>
    <w:rsid w:val="000241FC"/>
    <w:rsid w:val="00025473"/>
    <w:rsid w:val="000272C1"/>
    <w:rsid w:val="00031362"/>
    <w:rsid w:val="0003173E"/>
    <w:rsid w:val="00032DD3"/>
    <w:rsid w:val="000336B3"/>
    <w:rsid w:val="0003487E"/>
    <w:rsid w:val="00034B53"/>
    <w:rsid w:val="00035995"/>
    <w:rsid w:val="00035DCB"/>
    <w:rsid w:val="00036885"/>
    <w:rsid w:val="00036D1F"/>
    <w:rsid w:val="000370B9"/>
    <w:rsid w:val="000370FB"/>
    <w:rsid w:val="000374BE"/>
    <w:rsid w:val="0004504F"/>
    <w:rsid w:val="00046F2D"/>
    <w:rsid w:val="00046FDE"/>
    <w:rsid w:val="000471D8"/>
    <w:rsid w:val="0005080A"/>
    <w:rsid w:val="00050B82"/>
    <w:rsid w:val="00050DCF"/>
    <w:rsid w:val="00051265"/>
    <w:rsid w:val="00052ABD"/>
    <w:rsid w:val="00052C69"/>
    <w:rsid w:val="00052F03"/>
    <w:rsid w:val="00053B47"/>
    <w:rsid w:val="00054E27"/>
    <w:rsid w:val="00055DA5"/>
    <w:rsid w:val="00061A35"/>
    <w:rsid w:val="0006226E"/>
    <w:rsid w:val="00066B7A"/>
    <w:rsid w:val="000676AC"/>
    <w:rsid w:val="00067DD6"/>
    <w:rsid w:val="000713B6"/>
    <w:rsid w:val="00071606"/>
    <w:rsid w:val="000720D4"/>
    <w:rsid w:val="0007398D"/>
    <w:rsid w:val="00075839"/>
    <w:rsid w:val="0008560B"/>
    <w:rsid w:val="000857D8"/>
    <w:rsid w:val="00085A1D"/>
    <w:rsid w:val="000942D0"/>
    <w:rsid w:val="000965F7"/>
    <w:rsid w:val="00096CDC"/>
    <w:rsid w:val="000A0E7E"/>
    <w:rsid w:val="000A20F1"/>
    <w:rsid w:val="000A21FE"/>
    <w:rsid w:val="000A33AB"/>
    <w:rsid w:val="000A429A"/>
    <w:rsid w:val="000A442C"/>
    <w:rsid w:val="000A482E"/>
    <w:rsid w:val="000A6757"/>
    <w:rsid w:val="000B1678"/>
    <w:rsid w:val="000B23B5"/>
    <w:rsid w:val="000B2762"/>
    <w:rsid w:val="000B3992"/>
    <w:rsid w:val="000B48C5"/>
    <w:rsid w:val="000B595D"/>
    <w:rsid w:val="000C0D3A"/>
    <w:rsid w:val="000C1037"/>
    <w:rsid w:val="000C1B78"/>
    <w:rsid w:val="000C25BF"/>
    <w:rsid w:val="000C39B5"/>
    <w:rsid w:val="000C46C3"/>
    <w:rsid w:val="000C49F2"/>
    <w:rsid w:val="000C5EA6"/>
    <w:rsid w:val="000C7C1F"/>
    <w:rsid w:val="000D154C"/>
    <w:rsid w:val="000D156A"/>
    <w:rsid w:val="000D4224"/>
    <w:rsid w:val="000D48B9"/>
    <w:rsid w:val="000D65BB"/>
    <w:rsid w:val="000D6E67"/>
    <w:rsid w:val="000E0996"/>
    <w:rsid w:val="000E22A2"/>
    <w:rsid w:val="000E395B"/>
    <w:rsid w:val="000E3E80"/>
    <w:rsid w:val="000E5603"/>
    <w:rsid w:val="000E581B"/>
    <w:rsid w:val="000E615D"/>
    <w:rsid w:val="000F11D6"/>
    <w:rsid w:val="000F1CE3"/>
    <w:rsid w:val="000F4E86"/>
    <w:rsid w:val="000F521B"/>
    <w:rsid w:val="000F55FD"/>
    <w:rsid w:val="000F6C6F"/>
    <w:rsid w:val="000F6D7E"/>
    <w:rsid w:val="000F7A96"/>
    <w:rsid w:val="0010017A"/>
    <w:rsid w:val="00101D82"/>
    <w:rsid w:val="0011157F"/>
    <w:rsid w:val="00111F7C"/>
    <w:rsid w:val="001161E9"/>
    <w:rsid w:val="00122B0E"/>
    <w:rsid w:val="0012309B"/>
    <w:rsid w:val="001251E0"/>
    <w:rsid w:val="00127F3D"/>
    <w:rsid w:val="00132E35"/>
    <w:rsid w:val="00132F6F"/>
    <w:rsid w:val="0013461D"/>
    <w:rsid w:val="00140EED"/>
    <w:rsid w:val="00142747"/>
    <w:rsid w:val="0014460F"/>
    <w:rsid w:val="0014469A"/>
    <w:rsid w:val="001465D3"/>
    <w:rsid w:val="00147115"/>
    <w:rsid w:val="00147267"/>
    <w:rsid w:val="00147554"/>
    <w:rsid w:val="00150107"/>
    <w:rsid w:val="001503A9"/>
    <w:rsid w:val="00151BE4"/>
    <w:rsid w:val="00151D89"/>
    <w:rsid w:val="00152581"/>
    <w:rsid w:val="00152615"/>
    <w:rsid w:val="0015647E"/>
    <w:rsid w:val="001567CB"/>
    <w:rsid w:val="00165635"/>
    <w:rsid w:val="00166F39"/>
    <w:rsid w:val="00172D92"/>
    <w:rsid w:val="001731B3"/>
    <w:rsid w:val="00174569"/>
    <w:rsid w:val="00174E83"/>
    <w:rsid w:val="00175EEF"/>
    <w:rsid w:val="00176DBA"/>
    <w:rsid w:val="00180BE7"/>
    <w:rsid w:val="00181C97"/>
    <w:rsid w:val="00181DD7"/>
    <w:rsid w:val="00184772"/>
    <w:rsid w:val="00184938"/>
    <w:rsid w:val="00186313"/>
    <w:rsid w:val="0019002B"/>
    <w:rsid w:val="0019089F"/>
    <w:rsid w:val="001911F6"/>
    <w:rsid w:val="001926A2"/>
    <w:rsid w:val="00193304"/>
    <w:rsid w:val="00194809"/>
    <w:rsid w:val="001A042B"/>
    <w:rsid w:val="001A07DF"/>
    <w:rsid w:val="001A11C2"/>
    <w:rsid w:val="001A1613"/>
    <w:rsid w:val="001A165A"/>
    <w:rsid w:val="001A1C63"/>
    <w:rsid w:val="001A2DC0"/>
    <w:rsid w:val="001A436A"/>
    <w:rsid w:val="001A6194"/>
    <w:rsid w:val="001B1200"/>
    <w:rsid w:val="001B1BE6"/>
    <w:rsid w:val="001B1D00"/>
    <w:rsid w:val="001B3367"/>
    <w:rsid w:val="001B3FB5"/>
    <w:rsid w:val="001B4908"/>
    <w:rsid w:val="001B500B"/>
    <w:rsid w:val="001B7204"/>
    <w:rsid w:val="001C1C13"/>
    <w:rsid w:val="001C29D2"/>
    <w:rsid w:val="001C44EF"/>
    <w:rsid w:val="001D5862"/>
    <w:rsid w:val="001E3C5A"/>
    <w:rsid w:val="001E45C7"/>
    <w:rsid w:val="001E7407"/>
    <w:rsid w:val="001F03AA"/>
    <w:rsid w:val="001F085C"/>
    <w:rsid w:val="001F0B57"/>
    <w:rsid w:val="001F2DC3"/>
    <w:rsid w:val="001F4008"/>
    <w:rsid w:val="001F51E5"/>
    <w:rsid w:val="001F5334"/>
    <w:rsid w:val="001F578D"/>
    <w:rsid w:val="00200D0E"/>
    <w:rsid w:val="00202682"/>
    <w:rsid w:val="00204556"/>
    <w:rsid w:val="0020719D"/>
    <w:rsid w:val="00210613"/>
    <w:rsid w:val="00212382"/>
    <w:rsid w:val="00213059"/>
    <w:rsid w:val="002135B2"/>
    <w:rsid w:val="0021364A"/>
    <w:rsid w:val="002155BF"/>
    <w:rsid w:val="0021705D"/>
    <w:rsid w:val="00221071"/>
    <w:rsid w:val="0022298F"/>
    <w:rsid w:val="00231BB8"/>
    <w:rsid w:val="00233126"/>
    <w:rsid w:val="002354E7"/>
    <w:rsid w:val="002356C7"/>
    <w:rsid w:val="00235F57"/>
    <w:rsid w:val="00236B45"/>
    <w:rsid w:val="002374BF"/>
    <w:rsid w:val="00241018"/>
    <w:rsid w:val="00241DFD"/>
    <w:rsid w:val="002438D7"/>
    <w:rsid w:val="00243E1B"/>
    <w:rsid w:val="00246306"/>
    <w:rsid w:val="00251F3C"/>
    <w:rsid w:val="0025349C"/>
    <w:rsid w:val="002539BC"/>
    <w:rsid w:val="002551C2"/>
    <w:rsid w:val="00257363"/>
    <w:rsid w:val="0025782C"/>
    <w:rsid w:val="002675D4"/>
    <w:rsid w:val="00267856"/>
    <w:rsid w:val="002723FD"/>
    <w:rsid w:val="00273E03"/>
    <w:rsid w:val="002753D9"/>
    <w:rsid w:val="002757B7"/>
    <w:rsid w:val="002768F3"/>
    <w:rsid w:val="002844BA"/>
    <w:rsid w:val="00284C2B"/>
    <w:rsid w:val="00284E04"/>
    <w:rsid w:val="00286F57"/>
    <w:rsid w:val="00291D44"/>
    <w:rsid w:val="00294EE2"/>
    <w:rsid w:val="00295A8D"/>
    <w:rsid w:val="0029665B"/>
    <w:rsid w:val="00296EE2"/>
    <w:rsid w:val="0029733D"/>
    <w:rsid w:val="002A00FE"/>
    <w:rsid w:val="002A0326"/>
    <w:rsid w:val="002A09B7"/>
    <w:rsid w:val="002A123F"/>
    <w:rsid w:val="002A1ED9"/>
    <w:rsid w:val="002A22B9"/>
    <w:rsid w:val="002A26DB"/>
    <w:rsid w:val="002A2DD7"/>
    <w:rsid w:val="002A2E5D"/>
    <w:rsid w:val="002A5A23"/>
    <w:rsid w:val="002A5FD7"/>
    <w:rsid w:val="002A6D97"/>
    <w:rsid w:val="002A7BEC"/>
    <w:rsid w:val="002B00EA"/>
    <w:rsid w:val="002B0612"/>
    <w:rsid w:val="002B0E7C"/>
    <w:rsid w:val="002B1633"/>
    <w:rsid w:val="002B1950"/>
    <w:rsid w:val="002B19C7"/>
    <w:rsid w:val="002B3BA6"/>
    <w:rsid w:val="002B5138"/>
    <w:rsid w:val="002B6944"/>
    <w:rsid w:val="002B6CC3"/>
    <w:rsid w:val="002C102D"/>
    <w:rsid w:val="002C2BA7"/>
    <w:rsid w:val="002C7099"/>
    <w:rsid w:val="002D1B8D"/>
    <w:rsid w:val="002D241C"/>
    <w:rsid w:val="002D65FC"/>
    <w:rsid w:val="002D7205"/>
    <w:rsid w:val="002D734A"/>
    <w:rsid w:val="002D7B70"/>
    <w:rsid w:val="002E0182"/>
    <w:rsid w:val="002E09F8"/>
    <w:rsid w:val="002E2697"/>
    <w:rsid w:val="002E2E57"/>
    <w:rsid w:val="002E36EE"/>
    <w:rsid w:val="002E3901"/>
    <w:rsid w:val="002E4110"/>
    <w:rsid w:val="002E46CD"/>
    <w:rsid w:val="002E60C0"/>
    <w:rsid w:val="002E721E"/>
    <w:rsid w:val="002F0F44"/>
    <w:rsid w:val="002F22D2"/>
    <w:rsid w:val="002F251F"/>
    <w:rsid w:val="002F2A85"/>
    <w:rsid w:val="002F53BF"/>
    <w:rsid w:val="002F6502"/>
    <w:rsid w:val="002F6C73"/>
    <w:rsid w:val="003002E9"/>
    <w:rsid w:val="00301587"/>
    <w:rsid w:val="003057C5"/>
    <w:rsid w:val="00306013"/>
    <w:rsid w:val="00306572"/>
    <w:rsid w:val="00307A87"/>
    <w:rsid w:val="0031584B"/>
    <w:rsid w:val="00316F2E"/>
    <w:rsid w:val="00317B58"/>
    <w:rsid w:val="00317F2E"/>
    <w:rsid w:val="003234A0"/>
    <w:rsid w:val="0032357E"/>
    <w:rsid w:val="003241B2"/>
    <w:rsid w:val="00324D4F"/>
    <w:rsid w:val="00325766"/>
    <w:rsid w:val="00326094"/>
    <w:rsid w:val="00326115"/>
    <w:rsid w:val="00327831"/>
    <w:rsid w:val="00327D41"/>
    <w:rsid w:val="00331A0E"/>
    <w:rsid w:val="003322FF"/>
    <w:rsid w:val="00333C95"/>
    <w:rsid w:val="00334696"/>
    <w:rsid w:val="003356D7"/>
    <w:rsid w:val="00335800"/>
    <w:rsid w:val="00337B45"/>
    <w:rsid w:val="00341920"/>
    <w:rsid w:val="00343EE5"/>
    <w:rsid w:val="00344147"/>
    <w:rsid w:val="003467D2"/>
    <w:rsid w:val="00347022"/>
    <w:rsid w:val="0035207F"/>
    <w:rsid w:val="00352A26"/>
    <w:rsid w:val="003553B7"/>
    <w:rsid w:val="00355453"/>
    <w:rsid w:val="00356B46"/>
    <w:rsid w:val="003623B8"/>
    <w:rsid w:val="0036292E"/>
    <w:rsid w:val="00363AC0"/>
    <w:rsid w:val="003658AB"/>
    <w:rsid w:val="003677DD"/>
    <w:rsid w:val="003712E0"/>
    <w:rsid w:val="003725BB"/>
    <w:rsid w:val="00372610"/>
    <w:rsid w:val="0037436B"/>
    <w:rsid w:val="003745D5"/>
    <w:rsid w:val="00375214"/>
    <w:rsid w:val="0037590A"/>
    <w:rsid w:val="00375B0C"/>
    <w:rsid w:val="00375BCC"/>
    <w:rsid w:val="00376AF8"/>
    <w:rsid w:val="003773A5"/>
    <w:rsid w:val="00377418"/>
    <w:rsid w:val="003820DC"/>
    <w:rsid w:val="0039019D"/>
    <w:rsid w:val="0039031C"/>
    <w:rsid w:val="00391336"/>
    <w:rsid w:val="00391C72"/>
    <w:rsid w:val="00393F8B"/>
    <w:rsid w:val="003A0C9B"/>
    <w:rsid w:val="003A5213"/>
    <w:rsid w:val="003A5C0E"/>
    <w:rsid w:val="003A5E83"/>
    <w:rsid w:val="003A7788"/>
    <w:rsid w:val="003B0492"/>
    <w:rsid w:val="003B1277"/>
    <w:rsid w:val="003B1B04"/>
    <w:rsid w:val="003B7407"/>
    <w:rsid w:val="003B769A"/>
    <w:rsid w:val="003B7C6A"/>
    <w:rsid w:val="003C3678"/>
    <w:rsid w:val="003D2768"/>
    <w:rsid w:val="003D27EB"/>
    <w:rsid w:val="003D3067"/>
    <w:rsid w:val="003D4479"/>
    <w:rsid w:val="003D5A7E"/>
    <w:rsid w:val="003E06DE"/>
    <w:rsid w:val="003E2456"/>
    <w:rsid w:val="003E4ACB"/>
    <w:rsid w:val="003E5E00"/>
    <w:rsid w:val="003E7299"/>
    <w:rsid w:val="003E76B7"/>
    <w:rsid w:val="003F07FC"/>
    <w:rsid w:val="003F2F62"/>
    <w:rsid w:val="003F3294"/>
    <w:rsid w:val="003F3B90"/>
    <w:rsid w:val="003F3C8E"/>
    <w:rsid w:val="003F5058"/>
    <w:rsid w:val="003F5A5B"/>
    <w:rsid w:val="003F6F1D"/>
    <w:rsid w:val="003F6F2A"/>
    <w:rsid w:val="0040053A"/>
    <w:rsid w:val="0040125E"/>
    <w:rsid w:val="0040272C"/>
    <w:rsid w:val="00403A2F"/>
    <w:rsid w:val="00404434"/>
    <w:rsid w:val="00404A78"/>
    <w:rsid w:val="00406CE1"/>
    <w:rsid w:val="004070A3"/>
    <w:rsid w:val="004072E9"/>
    <w:rsid w:val="00407CB1"/>
    <w:rsid w:val="00411A61"/>
    <w:rsid w:val="0041349E"/>
    <w:rsid w:val="00415538"/>
    <w:rsid w:val="00415616"/>
    <w:rsid w:val="00415BD2"/>
    <w:rsid w:val="0041636E"/>
    <w:rsid w:val="00416C4A"/>
    <w:rsid w:val="0042012D"/>
    <w:rsid w:val="0042324F"/>
    <w:rsid w:val="004239CC"/>
    <w:rsid w:val="00423D09"/>
    <w:rsid w:val="00424257"/>
    <w:rsid w:val="0042427D"/>
    <w:rsid w:val="004248EC"/>
    <w:rsid w:val="00424C95"/>
    <w:rsid w:val="00425DAA"/>
    <w:rsid w:val="00427291"/>
    <w:rsid w:val="004279FC"/>
    <w:rsid w:val="00430001"/>
    <w:rsid w:val="004331CF"/>
    <w:rsid w:val="00433F51"/>
    <w:rsid w:val="0043423F"/>
    <w:rsid w:val="004362CF"/>
    <w:rsid w:val="0043780F"/>
    <w:rsid w:val="004414DA"/>
    <w:rsid w:val="00445A5E"/>
    <w:rsid w:val="004473F1"/>
    <w:rsid w:val="00447F5F"/>
    <w:rsid w:val="004509DD"/>
    <w:rsid w:val="004518EB"/>
    <w:rsid w:val="00451FE3"/>
    <w:rsid w:val="00452255"/>
    <w:rsid w:val="0045647E"/>
    <w:rsid w:val="004568CB"/>
    <w:rsid w:val="004571EA"/>
    <w:rsid w:val="00460384"/>
    <w:rsid w:val="00464B28"/>
    <w:rsid w:val="004651FE"/>
    <w:rsid w:val="00465BA1"/>
    <w:rsid w:val="00465DF0"/>
    <w:rsid w:val="00472331"/>
    <w:rsid w:val="004728ED"/>
    <w:rsid w:val="00474C69"/>
    <w:rsid w:val="00476729"/>
    <w:rsid w:val="0048098C"/>
    <w:rsid w:val="00480B12"/>
    <w:rsid w:val="004812C8"/>
    <w:rsid w:val="00481829"/>
    <w:rsid w:val="004830A4"/>
    <w:rsid w:val="004858D4"/>
    <w:rsid w:val="00486C27"/>
    <w:rsid w:val="004914F9"/>
    <w:rsid w:val="00493450"/>
    <w:rsid w:val="00495150"/>
    <w:rsid w:val="00495B50"/>
    <w:rsid w:val="00495B81"/>
    <w:rsid w:val="00496335"/>
    <w:rsid w:val="00497310"/>
    <w:rsid w:val="004A2F1A"/>
    <w:rsid w:val="004A3B61"/>
    <w:rsid w:val="004A4807"/>
    <w:rsid w:val="004A60A3"/>
    <w:rsid w:val="004A7A50"/>
    <w:rsid w:val="004B2D68"/>
    <w:rsid w:val="004B41AA"/>
    <w:rsid w:val="004B4831"/>
    <w:rsid w:val="004B7C46"/>
    <w:rsid w:val="004C27DA"/>
    <w:rsid w:val="004C3FC2"/>
    <w:rsid w:val="004C4B65"/>
    <w:rsid w:val="004C59C8"/>
    <w:rsid w:val="004C6278"/>
    <w:rsid w:val="004C6E44"/>
    <w:rsid w:val="004D16FA"/>
    <w:rsid w:val="004D1839"/>
    <w:rsid w:val="004D1AEF"/>
    <w:rsid w:val="004D43BC"/>
    <w:rsid w:val="004D4629"/>
    <w:rsid w:val="004D578C"/>
    <w:rsid w:val="004D73F2"/>
    <w:rsid w:val="004D7C0E"/>
    <w:rsid w:val="004E359F"/>
    <w:rsid w:val="004E3FEC"/>
    <w:rsid w:val="004E4096"/>
    <w:rsid w:val="004E56BE"/>
    <w:rsid w:val="004E7CE0"/>
    <w:rsid w:val="004F01F3"/>
    <w:rsid w:val="004F10FE"/>
    <w:rsid w:val="004F1D81"/>
    <w:rsid w:val="004F1F86"/>
    <w:rsid w:val="004F24C3"/>
    <w:rsid w:val="004F24D6"/>
    <w:rsid w:val="004F40AA"/>
    <w:rsid w:val="004F4DC5"/>
    <w:rsid w:val="004F515B"/>
    <w:rsid w:val="00502497"/>
    <w:rsid w:val="00502E71"/>
    <w:rsid w:val="005065F9"/>
    <w:rsid w:val="00507A0C"/>
    <w:rsid w:val="0051207E"/>
    <w:rsid w:val="005139A3"/>
    <w:rsid w:val="0051631B"/>
    <w:rsid w:val="0051709E"/>
    <w:rsid w:val="00521F49"/>
    <w:rsid w:val="00527574"/>
    <w:rsid w:val="00527675"/>
    <w:rsid w:val="00531575"/>
    <w:rsid w:val="005344BE"/>
    <w:rsid w:val="005345CA"/>
    <w:rsid w:val="00537132"/>
    <w:rsid w:val="00537F0B"/>
    <w:rsid w:val="00541032"/>
    <w:rsid w:val="00541C87"/>
    <w:rsid w:val="005425CE"/>
    <w:rsid w:val="00545BBE"/>
    <w:rsid w:val="00546877"/>
    <w:rsid w:val="00546F7F"/>
    <w:rsid w:val="005473E4"/>
    <w:rsid w:val="00551E71"/>
    <w:rsid w:val="0055354E"/>
    <w:rsid w:val="005540C8"/>
    <w:rsid w:val="00554480"/>
    <w:rsid w:val="0055636F"/>
    <w:rsid w:val="00557AC8"/>
    <w:rsid w:val="00561294"/>
    <w:rsid w:val="005635E5"/>
    <w:rsid w:val="005637D1"/>
    <w:rsid w:val="005638D0"/>
    <w:rsid w:val="00563A69"/>
    <w:rsid w:val="00564068"/>
    <w:rsid w:val="00564767"/>
    <w:rsid w:val="005654CE"/>
    <w:rsid w:val="00565E95"/>
    <w:rsid w:val="0056606C"/>
    <w:rsid w:val="00566E18"/>
    <w:rsid w:val="00566F3E"/>
    <w:rsid w:val="005704CD"/>
    <w:rsid w:val="00573EC3"/>
    <w:rsid w:val="005744FC"/>
    <w:rsid w:val="00574F38"/>
    <w:rsid w:val="00577680"/>
    <w:rsid w:val="005822F4"/>
    <w:rsid w:val="00582954"/>
    <w:rsid w:val="00584A6A"/>
    <w:rsid w:val="0058623F"/>
    <w:rsid w:val="00586F46"/>
    <w:rsid w:val="0059164C"/>
    <w:rsid w:val="0059616D"/>
    <w:rsid w:val="00597689"/>
    <w:rsid w:val="00597705"/>
    <w:rsid w:val="005A05EE"/>
    <w:rsid w:val="005A1018"/>
    <w:rsid w:val="005A253A"/>
    <w:rsid w:val="005A27C3"/>
    <w:rsid w:val="005A3504"/>
    <w:rsid w:val="005A3B93"/>
    <w:rsid w:val="005A777E"/>
    <w:rsid w:val="005B4797"/>
    <w:rsid w:val="005B5716"/>
    <w:rsid w:val="005B5E50"/>
    <w:rsid w:val="005B68E3"/>
    <w:rsid w:val="005B6B4A"/>
    <w:rsid w:val="005B6CEC"/>
    <w:rsid w:val="005C0AE8"/>
    <w:rsid w:val="005C2629"/>
    <w:rsid w:val="005C495C"/>
    <w:rsid w:val="005C4AE1"/>
    <w:rsid w:val="005C570C"/>
    <w:rsid w:val="005C6BF7"/>
    <w:rsid w:val="005C6F95"/>
    <w:rsid w:val="005D1409"/>
    <w:rsid w:val="005D21F3"/>
    <w:rsid w:val="005D2545"/>
    <w:rsid w:val="005D354D"/>
    <w:rsid w:val="005D3C0A"/>
    <w:rsid w:val="005D50A2"/>
    <w:rsid w:val="005D52E5"/>
    <w:rsid w:val="005E7941"/>
    <w:rsid w:val="005F1BED"/>
    <w:rsid w:val="005F2C38"/>
    <w:rsid w:val="005F2F5E"/>
    <w:rsid w:val="005F3F9B"/>
    <w:rsid w:val="005F5E45"/>
    <w:rsid w:val="006007FD"/>
    <w:rsid w:val="00601020"/>
    <w:rsid w:val="00605B4E"/>
    <w:rsid w:val="00607688"/>
    <w:rsid w:val="00612403"/>
    <w:rsid w:val="0061249E"/>
    <w:rsid w:val="006127BE"/>
    <w:rsid w:val="00612EEE"/>
    <w:rsid w:val="00614581"/>
    <w:rsid w:val="006159DC"/>
    <w:rsid w:val="006160F8"/>
    <w:rsid w:val="00620C91"/>
    <w:rsid w:val="00622087"/>
    <w:rsid w:val="00630D1C"/>
    <w:rsid w:val="006313FA"/>
    <w:rsid w:val="00631AA0"/>
    <w:rsid w:val="00633721"/>
    <w:rsid w:val="0063626F"/>
    <w:rsid w:val="006410F0"/>
    <w:rsid w:val="00643B50"/>
    <w:rsid w:val="006440A5"/>
    <w:rsid w:val="006452AB"/>
    <w:rsid w:val="00647A22"/>
    <w:rsid w:val="00647F5E"/>
    <w:rsid w:val="006563D8"/>
    <w:rsid w:val="00657723"/>
    <w:rsid w:val="0066021A"/>
    <w:rsid w:val="006604A5"/>
    <w:rsid w:val="00661A50"/>
    <w:rsid w:val="00663085"/>
    <w:rsid w:val="006636CA"/>
    <w:rsid w:val="006641BB"/>
    <w:rsid w:val="00664547"/>
    <w:rsid w:val="0066639C"/>
    <w:rsid w:val="006666A2"/>
    <w:rsid w:val="006667E3"/>
    <w:rsid w:val="0066728E"/>
    <w:rsid w:val="006708D4"/>
    <w:rsid w:val="00672843"/>
    <w:rsid w:val="00673DC0"/>
    <w:rsid w:val="00675CB2"/>
    <w:rsid w:val="00677C48"/>
    <w:rsid w:val="0068006A"/>
    <w:rsid w:val="006805A8"/>
    <w:rsid w:val="006806A9"/>
    <w:rsid w:val="00683295"/>
    <w:rsid w:val="006834BF"/>
    <w:rsid w:val="00683E5F"/>
    <w:rsid w:val="00685294"/>
    <w:rsid w:val="00685E45"/>
    <w:rsid w:val="006862ED"/>
    <w:rsid w:val="006866D8"/>
    <w:rsid w:val="00686B1B"/>
    <w:rsid w:val="0068777C"/>
    <w:rsid w:val="00690C49"/>
    <w:rsid w:val="0069286E"/>
    <w:rsid w:val="00693589"/>
    <w:rsid w:val="00693A65"/>
    <w:rsid w:val="00694605"/>
    <w:rsid w:val="00695E77"/>
    <w:rsid w:val="006A02DE"/>
    <w:rsid w:val="006A0ABC"/>
    <w:rsid w:val="006A11C1"/>
    <w:rsid w:val="006A49FF"/>
    <w:rsid w:val="006A5528"/>
    <w:rsid w:val="006A55BC"/>
    <w:rsid w:val="006A594A"/>
    <w:rsid w:val="006A61AE"/>
    <w:rsid w:val="006A62BE"/>
    <w:rsid w:val="006A7724"/>
    <w:rsid w:val="006B12B9"/>
    <w:rsid w:val="006B2A4B"/>
    <w:rsid w:val="006B5083"/>
    <w:rsid w:val="006B50C4"/>
    <w:rsid w:val="006B6374"/>
    <w:rsid w:val="006B67DA"/>
    <w:rsid w:val="006B6948"/>
    <w:rsid w:val="006C1FB1"/>
    <w:rsid w:val="006C264A"/>
    <w:rsid w:val="006C7941"/>
    <w:rsid w:val="006D024D"/>
    <w:rsid w:val="006D154A"/>
    <w:rsid w:val="006D1A5E"/>
    <w:rsid w:val="006D2E15"/>
    <w:rsid w:val="006D4AD6"/>
    <w:rsid w:val="006D4CD1"/>
    <w:rsid w:val="006D5BD3"/>
    <w:rsid w:val="006D635D"/>
    <w:rsid w:val="006E1448"/>
    <w:rsid w:val="006E16E7"/>
    <w:rsid w:val="006E5ECA"/>
    <w:rsid w:val="006E7F0E"/>
    <w:rsid w:val="006F0E94"/>
    <w:rsid w:val="006F2AA9"/>
    <w:rsid w:val="006F73F0"/>
    <w:rsid w:val="00701271"/>
    <w:rsid w:val="007039FE"/>
    <w:rsid w:val="00704522"/>
    <w:rsid w:val="00705927"/>
    <w:rsid w:val="007102CC"/>
    <w:rsid w:val="0071098A"/>
    <w:rsid w:val="00710D9E"/>
    <w:rsid w:val="00712F19"/>
    <w:rsid w:val="00713B22"/>
    <w:rsid w:val="00714611"/>
    <w:rsid w:val="007157CF"/>
    <w:rsid w:val="00715FD4"/>
    <w:rsid w:val="00717301"/>
    <w:rsid w:val="007173E5"/>
    <w:rsid w:val="00717955"/>
    <w:rsid w:val="00717BFF"/>
    <w:rsid w:val="00720C6E"/>
    <w:rsid w:val="007260C9"/>
    <w:rsid w:val="0072631A"/>
    <w:rsid w:val="007273C2"/>
    <w:rsid w:val="00733DE9"/>
    <w:rsid w:val="00734FD9"/>
    <w:rsid w:val="007372EF"/>
    <w:rsid w:val="00742128"/>
    <w:rsid w:val="007432FC"/>
    <w:rsid w:val="00744F58"/>
    <w:rsid w:val="00744F88"/>
    <w:rsid w:val="00744FC1"/>
    <w:rsid w:val="00746DDA"/>
    <w:rsid w:val="00750D8A"/>
    <w:rsid w:val="00751B55"/>
    <w:rsid w:val="007524DC"/>
    <w:rsid w:val="00752770"/>
    <w:rsid w:val="00752DF9"/>
    <w:rsid w:val="00753A54"/>
    <w:rsid w:val="0075409E"/>
    <w:rsid w:val="00754599"/>
    <w:rsid w:val="0075730A"/>
    <w:rsid w:val="00757465"/>
    <w:rsid w:val="007578B6"/>
    <w:rsid w:val="00757F68"/>
    <w:rsid w:val="007602A8"/>
    <w:rsid w:val="0076096B"/>
    <w:rsid w:val="0076123B"/>
    <w:rsid w:val="00762548"/>
    <w:rsid w:val="007642E0"/>
    <w:rsid w:val="0077261B"/>
    <w:rsid w:val="0077600B"/>
    <w:rsid w:val="00777E36"/>
    <w:rsid w:val="00781898"/>
    <w:rsid w:val="00782B72"/>
    <w:rsid w:val="00792BCA"/>
    <w:rsid w:val="007945A7"/>
    <w:rsid w:val="00795D57"/>
    <w:rsid w:val="007967A7"/>
    <w:rsid w:val="00796B00"/>
    <w:rsid w:val="007A023C"/>
    <w:rsid w:val="007A080B"/>
    <w:rsid w:val="007A2D94"/>
    <w:rsid w:val="007A411B"/>
    <w:rsid w:val="007A4E3B"/>
    <w:rsid w:val="007A5829"/>
    <w:rsid w:val="007A59A5"/>
    <w:rsid w:val="007A74FF"/>
    <w:rsid w:val="007B3BB2"/>
    <w:rsid w:val="007B440A"/>
    <w:rsid w:val="007B5BB1"/>
    <w:rsid w:val="007B61B1"/>
    <w:rsid w:val="007B7C0C"/>
    <w:rsid w:val="007C046C"/>
    <w:rsid w:val="007C153E"/>
    <w:rsid w:val="007C1B16"/>
    <w:rsid w:val="007C1B1B"/>
    <w:rsid w:val="007C2951"/>
    <w:rsid w:val="007C3E86"/>
    <w:rsid w:val="007C400F"/>
    <w:rsid w:val="007C4179"/>
    <w:rsid w:val="007C5218"/>
    <w:rsid w:val="007D0ACC"/>
    <w:rsid w:val="007D147C"/>
    <w:rsid w:val="007D6872"/>
    <w:rsid w:val="007D70ED"/>
    <w:rsid w:val="007D7E36"/>
    <w:rsid w:val="007E057E"/>
    <w:rsid w:val="007E44F5"/>
    <w:rsid w:val="007E4530"/>
    <w:rsid w:val="007E52B0"/>
    <w:rsid w:val="007E5393"/>
    <w:rsid w:val="007E576F"/>
    <w:rsid w:val="007E5E90"/>
    <w:rsid w:val="007F006C"/>
    <w:rsid w:val="007F00A0"/>
    <w:rsid w:val="007F0D5D"/>
    <w:rsid w:val="007F14A7"/>
    <w:rsid w:val="007F1A94"/>
    <w:rsid w:val="007F61E3"/>
    <w:rsid w:val="007F7288"/>
    <w:rsid w:val="00800765"/>
    <w:rsid w:val="00804835"/>
    <w:rsid w:val="00804CAB"/>
    <w:rsid w:val="00805D03"/>
    <w:rsid w:val="0080685D"/>
    <w:rsid w:val="008076FA"/>
    <w:rsid w:val="00807964"/>
    <w:rsid w:val="008079F0"/>
    <w:rsid w:val="00813C28"/>
    <w:rsid w:val="00814728"/>
    <w:rsid w:val="008156B1"/>
    <w:rsid w:val="00824ABA"/>
    <w:rsid w:val="00824DB5"/>
    <w:rsid w:val="00830396"/>
    <w:rsid w:val="00830DFB"/>
    <w:rsid w:val="00833019"/>
    <w:rsid w:val="008331AC"/>
    <w:rsid w:val="00834214"/>
    <w:rsid w:val="0083607D"/>
    <w:rsid w:val="00837E5D"/>
    <w:rsid w:val="00837FF1"/>
    <w:rsid w:val="008402B1"/>
    <w:rsid w:val="00840300"/>
    <w:rsid w:val="00840FA1"/>
    <w:rsid w:val="00841770"/>
    <w:rsid w:val="008435BC"/>
    <w:rsid w:val="00844A36"/>
    <w:rsid w:val="0084572D"/>
    <w:rsid w:val="00845782"/>
    <w:rsid w:val="008461FB"/>
    <w:rsid w:val="008463E9"/>
    <w:rsid w:val="00847222"/>
    <w:rsid w:val="00847333"/>
    <w:rsid w:val="00850F09"/>
    <w:rsid w:val="00852E6C"/>
    <w:rsid w:val="00853654"/>
    <w:rsid w:val="00856233"/>
    <w:rsid w:val="008563A8"/>
    <w:rsid w:val="00856833"/>
    <w:rsid w:val="00856ADB"/>
    <w:rsid w:val="00856F4A"/>
    <w:rsid w:val="00860799"/>
    <w:rsid w:val="008613A1"/>
    <w:rsid w:val="00861738"/>
    <w:rsid w:val="0086257C"/>
    <w:rsid w:val="008669A8"/>
    <w:rsid w:val="0086789E"/>
    <w:rsid w:val="00867D49"/>
    <w:rsid w:val="00872E54"/>
    <w:rsid w:val="0087395A"/>
    <w:rsid w:val="00877688"/>
    <w:rsid w:val="00877997"/>
    <w:rsid w:val="00883C93"/>
    <w:rsid w:val="008842E5"/>
    <w:rsid w:val="0088582A"/>
    <w:rsid w:val="00885D90"/>
    <w:rsid w:val="00886727"/>
    <w:rsid w:val="0088772B"/>
    <w:rsid w:val="00890FEF"/>
    <w:rsid w:val="00892229"/>
    <w:rsid w:val="00893727"/>
    <w:rsid w:val="00895423"/>
    <w:rsid w:val="0089583A"/>
    <w:rsid w:val="00895858"/>
    <w:rsid w:val="008959B2"/>
    <w:rsid w:val="00897EE9"/>
    <w:rsid w:val="008A0022"/>
    <w:rsid w:val="008A26A5"/>
    <w:rsid w:val="008A373F"/>
    <w:rsid w:val="008A4924"/>
    <w:rsid w:val="008A4E99"/>
    <w:rsid w:val="008A54F0"/>
    <w:rsid w:val="008A5F6C"/>
    <w:rsid w:val="008A6BD4"/>
    <w:rsid w:val="008B1AE3"/>
    <w:rsid w:val="008B2CED"/>
    <w:rsid w:val="008B3333"/>
    <w:rsid w:val="008B5BF8"/>
    <w:rsid w:val="008B6231"/>
    <w:rsid w:val="008B78CC"/>
    <w:rsid w:val="008B7969"/>
    <w:rsid w:val="008C082D"/>
    <w:rsid w:val="008C1AD1"/>
    <w:rsid w:val="008C1B7C"/>
    <w:rsid w:val="008C1F88"/>
    <w:rsid w:val="008C2DAD"/>
    <w:rsid w:val="008C4333"/>
    <w:rsid w:val="008C552B"/>
    <w:rsid w:val="008C72E9"/>
    <w:rsid w:val="008C7F31"/>
    <w:rsid w:val="008D01D2"/>
    <w:rsid w:val="008D0574"/>
    <w:rsid w:val="008D18D5"/>
    <w:rsid w:val="008D2934"/>
    <w:rsid w:val="008D3D80"/>
    <w:rsid w:val="008D3DCE"/>
    <w:rsid w:val="008D4D65"/>
    <w:rsid w:val="008D5C56"/>
    <w:rsid w:val="008D678A"/>
    <w:rsid w:val="008D67D7"/>
    <w:rsid w:val="008E3631"/>
    <w:rsid w:val="008E4270"/>
    <w:rsid w:val="008E4902"/>
    <w:rsid w:val="008E559F"/>
    <w:rsid w:val="008E6005"/>
    <w:rsid w:val="008E720C"/>
    <w:rsid w:val="008F3B13"/>
    <w:rsid w:val="008F3B25"/>
    <w:rsid w:val="008F4E73"/>
    <w:rsid w:val="008F6BDC"/>
    <w:rsid w:val="0090024C"/>
    <w:rsid w:val="009033BD"/>
    <w:rsid w:val="00905ADF"/>
    <w:rsid w:val="00910142"/>
    <w:rsid w:val="009107EB"/>
    <w:rsid w:val="00914BF3"/>
    <w:rsid w:val="00916544"/>
    <w:rsid w:val="009178FE"/>
    <w:rsid w:val="00917F55"/>
    <w:rsid w:val="00921668"/>
    <w:rsid w:val="00923688"/>
    <w:rsid w:val="00924412"/>
    <w:rsid w:val="00925D39"/>
    <w:rsid w:val="00927A59"/>
    <w:rsid w:val="0093080A"/>
    <w:rsid w:val="00932C76"/>
    <w:rsid w:val="00940B28"/>
    <w:rsid w:val="00940C70"/>
    <w:rsid w:val="009411D9"/>
    <w:rsid w:val="00943C54"/>
    <w:rsid w:val="00943C63"/>
    <w:rsid w:val="00943FE9"/>
    <w:rsid w:val="009456FF"/>
    <w:rsid w:val="00951303"/>
    <w:rsid w:val="00952124"/>
    <w:rsid w:val="00952AC7"/>
    <w:rsid w:val="00952FC0"/>
    <w:rsid w:val="00954BFE"/>
    <w:rsid w:val="009555AC"/>
    <w:rsid w:val="009556D6"/>
    <w:rsid w:val="00955BE4"/>
    <w:rsid w:val="009576C6"/>
    <w:rsid w:val="00960348"/>
    <w:rsid w:val="0096146B"/>
    <w:rsid w:val="009618E5"/>
    <w:rsid w:val="0096320A"/>
    <w:rsid w:val="00963BD9"/>
    <w:rsid w:val="00964A43"/>
    <w:rsid w:val="00965A05"/>
    <w:rsid w:val="00971504"/>
    <w:rsid w:val="009719A2"/>
    <w:rsid w:val="00971D52"/>
    <w:rsid w:val="00971F0E"/>
    <w:rsid w:val="00974769"/>
    <w:rsid w:val="00974F19"/>
    <w:rsid w:val="00975E74"/>
    <w:rsid w:val="00980F0B"/>
    <w:rsid w:val="009839DE"/>
    <w:rsid w:val="00985542"/>
    <w:rsid w:val="00986F4F"/>
    <w:rsid w:val="00987F84"/>
    <w:rsid w:val="00990BD9"/>
    <w:rsid w:val="009956C3"/>
    <w:rsid w:val="009A0D29"/>
    <w:rsid w:val="009A0D9A"/>
    <w:rsid w:val="009A178A"/>
    <w:rsid w:val="009A19E3"/>
    <w:rsid w:val="009A1FF8"/>
    <w:rsid w:val="009A25B6"/>
    <w:rsid w:val="009A46D8"/>
    <w:rsid w:val="009A4FBC"/>
    <w:rsid w:val="009A59B2"/>
    <w:rsid w:val="009A6B0D"/>
    <w:rsid w:val="009B11D7"/>
    <w:rsid w:val="009B150F"/>
    <w:rsid w:val="009B1F1B"/>
    <w:rsid w:val="009B1FA4"/>
    <w:rsid w:val="009B3D8F"/>
    <w:rsid w:val="009B51CF"/>
    <w:rsid w:val="009B5855"/>
    <w:rsid w:val="009B641B"/>
    <w:rsid w:val="009B6BB7"/>
    <w:rsid w:val="009C12BD"/>
    <w:rsid w:val="009C1D6C"/>
    <w:rsid w:val="009C24E0"/>
    <w:rsid w:val="009C4904"/>
    <w:rsid w:val="009C4F0D"/>
    <w:rsid w:val="009C5203"/>
    <w:rsid w:val="009C603C"/>
    <w:rsid w:val="009C6B55"/>
    <w:rsid w:val="009C704E"/>
    <w:rsid w:val="009D06FD"/>
    <w:rsid w:val="009D349E"/>
    <w:rsid w:val="009D6B11"/>
    <w:rsid w:val="009D70D7"/>
    <w:rsid w:val="009D7372"/>
    <w:rsid w:val="009E0D74"/>
    <w:rsid w:val="009E13F7"/>
    <w:rsid w:val="009E1991"/>
    <w:rsid w:val="009E26DB"/>
    <w:rsid w:val="009E30F6"/>
    <w:rsid w:val="009E55DB"/>
    <w:rsid w:val="009E6B15"/>
    <w:rsid w:val="009E6D02"/>
    <w:rsid w:val="009F46C3"/>
    <w:rsid w:val="009F6CE6"/>
    <w:rsid w:val="009F78E7"/>
    <w:rsid w:val="00A02881"/>
    <w:rsid w:val="00A042C6"/>
    <w:rsid w:val="00A058A1"/>
    <w:rsid w:val="00A060B7"/>
    <w:rsid w:val="00A07B7B"/>
    <w:rsid w:val="00A136FB"/>
    <w:rsid w:val="00A14FC5"/>
    <w:rsid w:val="00A152AA"/>
    <w:rsid w:val="00A161BF"/>
    <w:rsid w:val="00A20B30"/>
    <w:rsid w:val="00A24978"/>
    <w:rsid w:val="00A24C96"/>
    <w:rsid w:val="00A270C6"/>
    <w:rsid w:val="00A27AE0"/>
    <w:rsid w:val="00A27B12"/>
    <w:rsid w:val="00A3124E"/>
    <w:rsid w:val="00A33773"/>
    <w:rsid w:val="00A3636D"/>
    <w:rsid w:val="00A36534"/>
    <w:rsid w:val="00A402DC"/>
    <w:rsid w:val="00A40FAA"/>
    <w:rsid w:val="00A41180"/>
    <w:rsid w:val="00A41780"/>
    <w:rsid w:val="00A41C6C"/>
    <w:rsid w:val="00A42B29"/>
    <w:rsid w:val="00A44C44"/>
    <w:rsid w:val="00A44FD2"/>
    <w:rsid w:val="00A45FEE"/>
    <w:rsid w:val="00A527B9"/>
    <w:rsid w:val="00A55607"/>
    <w:rsid w:val="00A559F3"/>
    <w:rsid w:val="00A569A4"/>
    <w:rsid w:val="00A608D9"/>
    <w:rsid w:val="00A60B6A"/>
    <w:rsid w:val="00A633AD"/>
    <w:rsid w:val="00A65B43"/>
    <w:rsid w:val="00A66FA9"/>
    <w:rsid w:val="00A67D46"/>
    <w:rsid w:val="00A717F7"/>
    <w:rsid w:val="00A72FCB"/>
    <w:rsid w:val="00A763AA"/>
    <w:rsid w:val="00A7715F"/>
    <w:rsid w:val="00A77F23"/>
    <w:rsid w:val="00A80015"/>
    <w:rsid w:val="00A80B12"/>
    <w:rsid w:val="00A810C6"/>
    <w:rsid w:val="00A81E1C"/>
    <w:rsid w:val="00A827B3"/>
    <w:rsid w:val="00A82E9D"/>
    <w:rsid w:val="00A83740"/>
    <w:rsid w:val="00A83A45"/>
    <w:rsid w:val="00A8428E"/>
    <w:rsid w:val="00A856C7"/>
    <w:rsid w:val="00A85EB6"/>
    <w:rsid w:val="00A8680E"/>
    <w:rsid w:val="00A86BDD"/>
    <w:rsid w:val="00A9115F"/>
    <w:rsid w:val="00A9185B"/>
    <w:rsid w:val="00A9246A"/>
    <w:rsid w:val="00A9590C"/>
    <w:rsid w:val="00A967FC"/>
    <w:rsid w:val="00A96CB2"/>
    <w:rsid w:val="00AA36CD"/>
    <w:rsid w:val="00AA37EB"/>
    <w:rsid w:val="00AA5E34"/>
    <w:rsid w:val="00AB03DA"/>
    <w:rsid w:val="00AB0F3D"/>
    <w:rsid w:val="00AB268B"/>
    <w:rsid w:val="00AB3583"/>
    <w:rsid w:val="00AB3E20"/>
    <w:rsid w:val="00AB6608"/>
    <w:rsid w:val="00AB7A58"/>
    <w:rsid w:val="00AC0923"/>
    <w:rsid w:val="00AC0A83"/>
    <w:rsid w:val="00AC189A"/>
    <w:rsid w:val="00AC5616"/>
    <w:rsid w:val="00AD10C8"/>
    <w:rsid w:val="00AD24CA"/>
    <w:rsid w:val="00AD2B57"/>
    <w:rsid w:val="00AD3C1A"/>
    <w:rsid w:val="00AD5B79"/>
    <w:rsid w:val="00AD66E8"/>
    <w:rsid w:val="00AD7417"/>
    <w:rsid w:val="00AE2C77"/>
    <w:rsid w:val="00AE525D"/>
    <w:rsid w:val="00AE5461"/>
    <w:rsid w:val="00AE5F73"/>
    <w:rsid w:val="00AF2EDE"/>
    <w:rsid w:val="00AF3081"/>
    <w:rsid w:val="00AF3EF4"/>
    <w:rsid w:val="00AF43BE"/>
    <w:rsid w:val="00AF6C09"/>
    <w:rsid w:val="00AF7B71"/>
    <w:rsid w:val="00AF7FDC"/>
    <w:rsid w:val="00B0298A"/>
    <w:rsid w:val="00B02F58"/>
    <w:rsid w:val="00B0330E"/>
    <w:rsid w:val="00B054CB"/>
    <w:rsid w:val="00B0743E"/>
    <w:rsid w:val="00B079AC"/>
    <w:rsid w:val="00B10632"/>
    <w:rsid w:val="00B16C8A"/>
    <w:rsid w:val="00B178DC"/>
    <w:rsid w:val="00B21F80"/>
    <w:rsid w:val="00B23995"/>
    <w:rsid w:val="00B23BFB"/>
    <w:rsid w:val="00B24073"/>
    <w:rsid w:val="00B25D38"/>
    <w:rsid w:val="00B27ED3"/>
    <w:rsid w:val="00B302FF"/>
    <w:rsid w:val="00B342C6"/>
    <w:rsid w:val="00B36057"/>
    <w:rsid w:val="00B37A08"/>
    <w:rsid w:val="00B37DC5"/>
    <w:rsid w:val="00B4293A"/>
    <w:rsid w:val="00B42EE4"/>
    <w:rsid w:val="00B439A8"/>
    <w:rsid w:val="00B45540"/>
    <w:rsid w:val="00B50C0A"/>
    <w:rsid w:val="00B5210C"/>
    <w:rsid w:val="00B52A6F"/>
    <w:rsid w:val="00B5363E"/>
    <w:rsid w:val="00B570A3"/>
    <w:rsid w:val="00B57DD2"/>
    <w:rsid w:val="00B57EFF"/>
    <w:rsid w:val="00B60037"/>
    <w:rsid w:val="00B6279F"/>
    <w:rsid w:val="00B64843"/>
    <w:rsid w:val="00B702E2"/>
    <w:rsid w:val="00B708CC"/>
    <w:rsid w:val="00B70A90"/>
    <w:rsid w:val="00B72D6A"/>
    <w:rsid w:val="00B73DC5"/>
    <w:rsid w:val="00B74125"/>
    <w:rsid w:val="00B75D85"/>
    <w:rsid w:val="00B77071"/>
    <w:rsid w:val="00B77162"/>
    <w:rsid w:val="00B77618"/>
    <w:rsid w:val="00B8047A"/>
    <w:rsid w:val="00B83E9A"/>
    <w:rsid w:val="00B84336"/>
    <w:rsid w:val="00B84E74"/>
    <w:rsid w:val="00B86293"/>
    <w:rsid w:val="00B86578"/>
    <w:rsid w:val="00B86A33"/>
    <w:rsid w:val="00B87CBA"/>
    <w:rsid w:val="00B87DEE"/>
    <w:rsid w:val="00B91460"/>
    <w:rsid w:val="00B916D0"/>
    <w:rsid w:val="00B933A3"/>
    <w:rsid w:val="00B9499B"/>
    <w:rsid w:val="00B953FB"/>
    <w:rsid w:val="00B96C18"/>
    <w:rsid w:val="00B96E0F"/>
    <w:rsid w:val="00B97DE8"/>
    <w:rsid w:val="00BA2E68"/>
    <w:rsid w:val="00BA39EB"/>
    <w:rsid w:val="00BA3DDA"/>
    <w:rsid w:val="00BA3EB9"/>
    <w:rsid w:val="00BA5B27"/>
    <w:rsid w:val="00BA5F41"/>
    <w:rsid w:val="00BB2A67"/>
    <w:rsid w:val="00BB3E39"/>
    <w:rsid w:val="00BB47BA"/>
    <w:rsid w:val="00BB5E5D"/>
    <w:rsid w:val="00BB7699"/>
    <w:rsid w:val="00BC1057"/>
    <w:rsid w:val="00BC28F1"/>
    <w:rsid w:val="00BC41F9"/>
    <w:rsid w:val="00BC589B"/>
    <w:rsid w:val="00BC5E75"/>
    <w:rsid w:val="00BC66BB"/>
    <w:rsid w:val="00BC6A95"/>
    <w:rsid w:val="00BD0730"/>
    <w:rsid w:val="00BD2416"/>
    <w:rsid w:val="00BD2F55"/>
    <w:rsid w:val="00BD4A41"/>
    <w:rsid w:val="00BD4BD7"/>
    <w:rsid w:val="00BE0F87"/>
    <w:rsid w:val="00BE2059"/>
    <w:rsid w:val="00BE46EE"/>
    <w:rsid w:val="00BE6747"/>
    <w:rsid w:val="00BE67B3"/>
    <w:rsid w:val="00BE7576"/>
    <w:rsid w:val="00BE759C"/>
    <w:rsid w:val="00BF0052"/>
    <w:rsid w:val="00BF00F1"/>
    <w:rsid w:val="00BF09FF"/>
    <w:rsid w:val="00BF1ED8"/>
    <w:rsid w:val="00BF479D"/>
    <w:rsid w:val="00BF5C9A"/>
    <w:rsid w:val="00BF6579"/>
    <w:rsid w:val="00BF69E2"/>
    <w:rsid w:val="00C0186E"/>
    <w:rsid w:val="00C02D2E"/>
    <w:rsid w:val="00C044BC"/>
    <w:rsid w:val="00C05499"/>
    <w:rsid w:val="00C100F8"/>
    <w:rsid w:val="00C1031E"/>
    <w:rsid w:val="00C104E4"/>
    <w:rsid w:val="00C10880"/>
    <w:rsid w:val="00C112E4"/>
    <w:rsid w:val="00C12737"/>
    <w:rsid w:val="00C12FDC"/>
    <w:rsid w:val="00C14DC4"/>
    <w:rsid w:val="00C20CB5"/>
    <w:rsid w:val="00C21CA9"/>
    <w:rsid w:val="00C22EF5"/>
    <w:rsid w:val="00C25AB3"/>
    <w:rsid w:val="00C262D8"/>
    <w:rsid w:val="00C27092"/>
    <w:rsid w:val="00C30064"/>
    <w:rsid w:val="00C30082"/>
    <w:rsid w:val="00C30BB6"/>
    <w:rsid w:val="00C31334"/>
    <w:rsid w:val="00C32145"/>
    <w:rsid w:val="00C33E12"/>
    <w:rsid w:val="00C359AB"/>
    <w:rsid w:val="00C35FBF"/>
    <w:rsid w:val="00C37098"/>
    <w:rsid w:val="00C37600"/>
    <w:rsid w:val="00C432C9"/>
    <w:rsid w:val="00C438C1"/>
    <w:rsid w:val="00C43AD0"/>
    <w:rsid w:val="00C43AF1"/>
    <w:rsid w:val="00C44015"/>
    <w:rsid w:val="00C47B27"/>
    <w:rsid w:val="00C51E6C"/>
    <w:rsid w:val="00C524E4"/>
    <w:rsid w:val="00C528D5"/>
    <w:rsid w:val="00C52DB0"/>
    <w:rsid w:val="00C52F5C"/>
    <w:rsid w:val="00C537E3"/>
    <w:rsid w:val="00C538EC"/>
    <w:rsid w:val="00C61B8E"/>
    <w:rsid w:val="00C6432C"/>
    <w:rsid w:val="00C6609B"/>
    <w:rsid w:val="00C66F90"/>
    <w:rsid w:val="00C67F93"/>
    <w:rsid w:val="00C71562"/>
    <w:rsid w:val="00C722CC"/>
    <w:rsid w:val="00C73FC7"/>
    <w:rsid w:val="00C763D8"/>
    <w:rsid w:val="00C766B8"/>
    <w:rsid w:val="00C77193"/>
    <w:rsid w:val="00C77EF7"/>
    <w:rsid w:val="00C82647"/>
    <w:rsid w:val="00C82CC3"/>
    <w:rsid w:val="00C84E7B"/>
    <w:rsid w:val="00C85AE5"/>
    <w:rsid w:val="00C86A39"/>
    <w:rsid w:val="00C86E96"/>
    <w:rsid w:val="00C87BA2"/>
    <w:rsid w:val="00C906A5"/>
    <w:rsid w:val="00C92238"/>
    <w:rsid w:val="00C92309"/>
    <w:rsid w:val="00C9388D"/>
    <w:rsid w:val="00CA05F6"/>
    <w:rsid w:val="00CA249E"/>
    <w:rsid w:val="00CA2D1E"/>
    <w:rsid w:val="00CA3013"/>
    <w:rsid w:val="00CA3D99"/>
    <w:rsid w:val="00CA4EBD"/>
    <w:rsid w:val="00CB0C13"/>
    <w:rsid w:val="00CB25FE"/>
    <w:rsid w:val="00CB26B3"/>
    <w:rsid w:val="00CB4D1B"/>
    <w:rsid w:val="00CB7762"/>
    <w:rsid w:val="00CC0C00"/>
    <w:rsid w:val="00CC1ADB"/>
    <w:rsid w:val="00CC24DE"/>
    <w:rsid w:val="00CC77D7"/>
    <w:rsid w:val="00CD4412"/>
    <w:rsid w:val="00CD4493"/>
    <w:rsid w:val="00CD462B"/>
    <w:rsid w:val="00CD5375"/>
    <w:rsid w:val="00CD7747"/>
    <w:rsid w:val="00CE045E"/>
    <w:rsid w:val="00CE0490"/>
    <w:rsid w:val="00CE1ED4"/>
    <w:rsid w:val="00CE2AD6"/>
    <w:rsid w:val="00CE2C26"/>
    <w:rsid w:val="00CE421C"/>
    <w:rsid w:val="00CE472E"/>
    <w:rsid w:val="00CE54F6"/>
    <w:rsid w:val="00CE57B2"/>
    <w:rsid w:val="00CE5C61"/>
    <w:rsid w:val="00CE5C94"/>
    <w:rsid w:val="00CF2E7F"/>
    <w:rsid w:val="00CF3969"/>
    <w:rsid w:val="00CF444E"/>
    <w:rsid w:val="00CF4AFD"/>
    <w:rsid w:val="00CF51A7"/>
    <w:rsid w:val="00CF55AE"/>
    <w:rsid w:val="00CF7844"/>
    <w:rsid w:val="00D021CE"/>
    <w:rsid w:val="00D02D74"/>
    <w:rsid w:val="00D1045B"/>
    <w:rsid w:val="00D10ABC"/>
    <w:rsid w:val="00D11E91"/>
    <w:rsid w:val="00D12BD3"/>
    <w:rsid w:val="00D13824"/>
    <w:rsid w:val="00D13E4A"/>
    <w:rsid w:val="00D15272"/>
    <w:rsid w:val="00D15587"/>
    <w:rsid w:val="00D158C2"/>
    <w:rsid w:val="00D15DC7"/>
    <w:rsid w:val="00D207D6"/>
    <w:rsid w:val="00D20D63"/>
    <w:rsid w:val="00D23798"/>
    <w:rsid w:val="00D23E9D"/>
    <w:rsid w:val="00D27415"/>
    <w:rsid w:val="00D30ED5"/>
    <w:rsid w:val="00D31724"/>
    <w:rsid w:val="00D347F9"/>
    <w:rsid w:val="00D3586C"/>
    <w:rsid w:val="00D37E6E"/>
    <w:rsid w:val="00D42D9F"/>
    <w:rsid w:val="00D4653D"/>
    <w:rsid w:val="00D46E8F"/>
    <w:rsid w:val="00D50B4F"/>
    <w:rsid w:val="00D522D9"/>
    <w:rsid w:val="00D53225"/>
    <w:rsid w:val="00D53FC6"/>
    <w:rsid w:val="00D56142"/>
    <w:rsid w:val="00D61C0A"/>
    <w:rsid w:val="00D62DB6"/>
    <w:rsid w:val="00D65C96"/>
    <w:rsid w:val="00D664FB"/>
    <w:rsid w:val="00D668E5"/>
    <w:rsid w:val="00D66902"/>
    <w:rsid w:val="00D701E0"/>
    <w:rsid w:val="00D702F0"/>
    <w:rsid w:val="00D712AB"/>
    <w:rsid w:val="00D71997"/>
    <w:rsid w:val="00D71D80"/>
    <w:rsid w:val="00D73696"/>
    <w:rsid w:val="00D73A31"/>
    <w:rsid w:val="00D74AA7"/>
    <w:rsid w:val="00D74D6A"/>
    <w:rsid w:val="00D74D8A"/>
    <w:rsid w:val="00D7793D"/>
    <w:rsid w:val="00D80982"/>
    <w:rsid w:val="00D838B0"/>
    <w:rsid w:val="00D8718E"/>
    <w:rsid w:val="00D902C4"/>
    <w:rsid w:val="00D9081B"/>
    <w:rsid w:val="00D911DC"/>
    <w:rsid w:val="00D91869"/>
    <w:rsid w:val="00D922AB"/>
    <w:rsid w:val="00D93C50"/>
    <w:rsid w:val="00D9496C"/>
    <w:rsid w:val="00D94DC7"/>
    <w:rsid w:val="00D95E0E"/>
    <w:rsid w:val="00DA3237"/>
    <w:rsid w:val="00DA3442"/>
    <w:rsid w:val="00DA3E3A"/>
    <w:rsid w:val="00DA4393"/>
    <w:rsid w:val="00DA4C79"/>
    <w:rsid w:val="00DA5B38"/>
    <w:rsid w:val="00DA69FE"/>
    <w:rsid w:val="00DB131D"/>
    <w:rsid w:val="00DB1439"/>
    <w:rsid w:val="00DB3F30"/>
    <w:rsid w:val="00DB4747"/>
    <w:rsid w:val="00DB5AB0"/>
    <w:rsid w:val="00DB63B1"/>
    <w:rsid w:val="00DC64F4"/>
    <w:rsid w:val="00DD252B"/>
    <w:rsid w:val="00DD3002"/>
    <w:rsid w:val="00DD5D25"/>
    <w:rsid w:val="00DD5D9D"/>
    <w:rsid w:val="00DE0069"/>
    <w:rsid w:val="00DE0A51"/>
    <w:rsid w:val="00DE0A9F"/>
    <w:rsid w:val="00DE17DD"/>
    <w:rsid w:val="00DE32B5"/>
    <w:rsid w:val="00DE5549"/>
    <w:rsid w:val="00DE633C"/>
    <w:rsid w:val="00DE6C78"/>
    <w:rsid w:val="00DF00A0"/>
    <w:rsid w:val="00DF09A6"/>
    <w:rsid w:val="00DF281D"/>
    <w:rsid w:val="00DF2D77"/>
    <w:rsid w:val="00DF51A3"/>
    <w:rsid w:val="00DF5F85"/>
    <w:rsid w:val="00DF710F"/>
    <w:rsid w:val="00E03FAA"/>
    <w:rsid w:val="00E073D4"/>
    <w:rsid w:val="00E10161"/>
    <w:rsid w:val="00E10C2D"/>
    <w:rsid w:val="00E12909"/>
    <w:rsid w:val="00E12A2D"/>
    <w:rsid w:val="00E14857"/>
    <w:rsid w:val="00E15ED5"/>
    <w:rsid w:val="00E1727E"/>
    <w:rsid w:val="00E177ED"/>
    <w:rsid w:val="00E21862"/>
    <w:rsid w:val="00E23AE3"/>
    <w:rsid w:val="00E257CC"/>
    <w:rsid w:val="00E33E04"/>
    <w:rsid w:val="00E34799"/>
    <w:rsid w:val="00E35F07"/>
    <w:rsid w:val="00E37320"/>
    <w:rsid w:val="00E428DA"/>
    <w:rsid w:val="00E42FC5"/>
    <w:rsid w:val="00E44034"/>
    <w:rsid w:val="00E44055"/>
    <w:rsid w:val="00E469D4"/>
    <w:rsid w:val="00E47D90"/>
    <w:rsid w:val="00E50D81"/>
    <w:rsid w:val="00E51386"/>
    <w:rsid w:val="00E529CB"/>
    <w:rsid w:val="00E547EA"/>
    <w:rsid w:val="00E55261"/>
    <w:rsid w:val="00E5563B"/>
    <w:rsid w:val="00E62A3D"/>
    <w:rsid w:val="00E70289"/>
    <w:rsid w:val="00E72200"/>
    <w:rsid w:val="00E734E4"/>
    <w:rsid w:val="00E74440"/>
    <w:rsid w:val="00E7535B"/>
    <w:rsid w:val="00E7549F"/>
    <w:rsid w:val="00E7624A"/>
    <w:rsid w:val="00E77C71"/>
    <w:rsid w:val="00E814B4"/>
    <w:rsid w:val="00E86234"/>
    <w:rsid w:val="00E87F71"/>
    <w:rsid w:val="00E900A3"/>
    <w:rsid w:val="00E93B92"/>
    <w:rsid w:val="00E9418E"/>
    <w:rsid w:val="00E976FE"/>
    <w:rsid w:val="00EA3135"/>
    <w:rsid w:val="00EA42EF"/>
    <w:rsid w:val="00EA4B8C"/>
    <w:rsid w:val="00EB058F"/>
    <w:rsid w:val="00EB09B0"/>
    <w:rsid w:val="00EB2981"/>
    <w:rsid w:val="00EB546C"/>
    <w:rsid w:val="00EB55AF"/>
    <w:rsid w:val="00EB6658"/>
    <w:rsid w:val="00EB6D32"/>
    <w:rsid w:val="00EB6D64"/>
    <w:rsid w:val="00EC1A3C"/>
    <w:rsid w:val="00EC2E65"/>
    <w:rsid w:val="00EC5B49"/>
    <w:rsid w:val="00ED0F41"/>
    <w:rsid w:val="00ED1DF1"/>
    <w:rsid w:val="00ED29A4"/>
    <w:rsid w:val="00ED2BC9"/>
    <w:rsid w:val="00ED2CD4"/>
    <w:rsid w:val="00ED5320"/>
    <w:rsid w:val="00ED5B14"/>
    <w:rsid w:val="00ED606D"/>
    <w:rsid w:val="00ED68EA"/>
    <w:rsid w:val="00EE23A6"/>
    <w:rsid w:val="00EE3334"/>
    <w:rsid w:val="00EE3E25"/>
    <w:rsid w:val="00EE60D4"/>
    <w:rsid w:val="00EE7B07"/>
    <w:rsid w:val="00EF0FAB"/>
    <w:rsid w:val="00EF5E2B"/>
    <w:rsid w:val="00EF6F35"/>
    <w:rsid w:val="00F0158B"/>
    <w:rsid w:val="00F01BF4"/>
    <w:rsid w:val="00F01C48"/>
    <w:rsid w:val="00F03DA3"/>
    <w:rsid w:val="00F12589"/>
    <w:rsid w:val="00F12C03"/>
    <w:rsid w:val="00F170DF"/>
    <w:rsid w:val="00F174D9"/>
    <w:rsid w:val="00F176C0"/>
    <w:rsid w:val="00F20A6A"/>
    <w:rsid w:val="00F21535"/>
    <w:rsid w:val="00F224CA"/>
    <w:rsid w:val="00F22673"/>
    <w:rsid w:val="00F249CD"/>
    <w:rsid w:val="00F249D2"/>
    <w:rsid w:val="00F2769C"/>
    <w:rsid w:val="00F3001B"/>
    <w:rsid w:val="00F30247"/>
    <w:rsid w:val="00F30829"/>
    <w:rsid w:val="00F30E98"/>
    <w:rsid w:val="00F30EAA"/>
    <w:rsid w:val="00F310F3"/>
    <w:rsid w:val="00F338BE"/>
    <w:rsid w:val="00F3656A"/>
    <w:rsid w:val="00F401F2"/>
    <w:rsid w:val="00F424B6"/>
    <w:rsid w:val="00F439F5"/>
    <w:rsid w:val="00F44BE8"/>
    <w:rsid w:val="00F45A38"/>
    <w:rsid w:val="00F50093"/>
    <w:rsid w:val="00F5253A"/>
    <w:rsid w:val="00F53AFB"/>
    <w:rsid w:val="00F56AE8"/>
    <w:rsid w:val="00F60B64"/>
    <w:rsid w:val="00F61FBA"/>
    <w:rsid w:val="00F62664"/>
    <w:rsid w:val="00F64F40"/>
    <w:rsid w:val="00F72415"/>
    <w:rsid w:val="00F73CE8"/>
    <w:rsid w:val="00F74377"/>
    <w:rsid w:val="00F74C50"/>
    <w:rsid w:val="00F74CBC"/>
    <w:rsid w:val="00F779D2"/>
    <w:rsid w:val="00F77A71"/>
    <w:rsid w:val="00F8183C"/>
    <w:rsid w:val="00F826F7"/>
    <w:rsid w:val="00F84951"/>
    <w:rsid w:val="00F84A3F"/>
    <w:rsid w:val="00F85BCD"/>
    <w:rsid w:val="00F860FC"/>
    <w:rsid w:val="00F91737"/>
    <w:rsid w:val="00F9418D"/>
    <w:rsid w:val="00F959BC"/>
    <w:rsid w:val="00F960A4"/>
    <w:rsid w:val="00F97196"/>
    <w:rsid w:val="00FA013D"/>
    <w:rsid w:val="00FA0CDB"/>
    <w:rsid w:val="00FA2389"/>
    <w:rsid w:val="00FA362C"/>
    <w:rsid w:val="00FA55D2"/>
    <w:rsid w:val="00FB06E4"/>
    <w:rsid w:val="00FB0884"/>
    <w:rsid w:val="00FB08E0"/>
    <w:rsid w:val="00FB2C0D"/>
    <w:rsid w:val="00FB3859"/>
    <w:rsid w:val="00FB49C9"/>
    <w:rsid w:val="00FB5833"/>
    <w:rsid w:val="00FB62A9"/>
    <w:rsid w:val="00FC0EA2"/>
    <w:rsid w:val="00FC5081"/>
    <w:rsid w:val="00FC7780"/>
    <w:rsid w:val="00FD15AA"/>
    <w:rsid w:val="00FD1F31"/>
    <w:rsid w:val="00FD2FA8"/>
    <w:rsid w:val="00FD3CF4"/>
    <w:rsid w:val="00FD4038"/>
    <w:rsid w:val="00FD53F5"/>
    <w:rsid w:val="00FE4DA3"/>
    <w:rsid w:val="00FE5206"/>
    <w:rsid w:val="00FE786E"/>
    <w:rsid w:val="00FF0030"/>
    <w:rsid w:val="00FF0348"/>
    <w:rsid w:val="00FF035E"/>
    <w:rsid w:val="00FF21F9"/>
    <w:rsid w:val="00FF4344"/>
    <w:rsid w:val="00FF5F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0221"/>
    <o:shapelayout v:ext="edit">
      <o:idmap v:ext="edit" data="1"/>
    </o:shapelayout>
  </w:shapeDefaults>
  <w:decimalSymbol w:val="."/>
  <w:listSeparator w:val=","/>
  <w14:docId w14:val="1A6EA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BD2"/>
  </w:style>
  <w:style w:type="paragraph" w:styleId="Heading1">
    <w:name w:val="heading 1"/>
    <w:basedOn w:val="Normal"/>
    <w:next w:val="Normal"/>
    <w:link w:val="Heading1Char"/>
    <w:uiPriority w:val="9"/>
    <w:qFormat/>
    <w:rsid w:val="005B6B4A"/>
    <w:pPr>
      <w:keepNext/>
      <w:keepLines/>
      <w:numPr>
        <w:numId w:val="76"/>
      </w:numPr>
      <w:spacing w:after="240"/>
      <w:outlineLvl w:val="0"/>
    </w:pPr>
    <w:rPr>
      <w:rFonts w:ascii="Franklin Gothic Medium Cond" w:eastAsiaTheme="majorEastAsia" w:hAnsi="Franklin Gothic Medium Cond" w:cstheme="majorBidi"/>
      <w:b/>
      <w:bCs/>
      <w:color w:val="E36C0A" w:themeColor="accent6" w:themeShade="BF"/>
      <w:sz w:val="52"/>
      <w:szCs w:val="28"/>
    </w:rPr>
  </w:style>
  <w:style w:type="paragraph" w:styleId="Heading2">
    <w:name w:val="heading 2"/>
    <w:basedOn w:val="Normal"/>
    <w:next w:val="Normal"/>
    <w:link w:val="Heading2Char"/>
    <w:uiPriority w:val="9"/>
    <w:unhideWhenUsed/>
    <w:qFormat/>
    <w:rsid w:val="003A52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E16E7"/>
    <w:pPr>
      <w:keepNext/>
      <w:keepLines/>
      <w:spacing w:before="200" w:after="0"/>
      <w:outlineLvl w:val="2"/>
    </w:pPr>
    <w:rPr>
      <w:rFonts w:asciiTheme="majorHAnsi" w:eastAsiaTheme="majorEastAsia" w:hAnsiTheme="majorHAnsi" w:cstheme="majorBidi"/>
      <w:b/>
      <w:bCs/>
      <w:color w:val="4F81BD" w:themeColor="accent1"/>
      <w:sz w:val="24"/>
    </w:rPr>
  </w:style>
  <w:style w:type="paragraph" w:styleId="Heading4">
    <w:name w:val="heading 4"/>
    <w:basedOn w:val="Normal"/>
    <w:next w:val="Normal"/>
    <w:link w:val="Heading4Char"/>
    <w:uiPriority w:val="9"/>
    <w:unhideWhenUsed/>
    <w:qFormat/>
    <w:rsid w:val="00BF1ED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E16E7"/>
    <w:pPr>
      <w:keepNext/>
      <w:keepLines/>
      <w:spacing w:before="200" w:after="0"/>
      <w:ind w:left="294"/>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unhideWhenUsed/>
    <w:qFormat/>
    <w:rsid w:val="006E16E7"/>
    <w:pPr>
      <w:keepNext/>
      <w:keepLines/>
      <w:spacing w:before="200" w:after="0"/>
      <w:ind w:left="574"/>
      <w:outlineLvl w:val="5"/>
    </w:pPr>
    <w:rPr>
      <w:rFonts w:asciiTheme="majorHAnsi" w:eastAsiaTheme="majorEastAsia" w:hAnsiTheme="majorHAnsi" w:cstheme="majorBidi"/>
      <w:b/>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6B4A"/>
    <w:rPr>
      <w:rFonts w:ascii="Franklin Gothic Medium Cond" w:eastAsiaTheme="majorEastAsia" w:hAnsi="Franklin Gothic Medium Cond" w:cstheme="majorBidi"/>
      <w:b/>
      <w:bCs/>
      <w:color w:val="E36C0A" w:themeColor="accent6" w:themeShade="BF"/>
      <w:sz w:val="52"/>
      <w:szCs w:val="28"/>
    </w:rPr>
  </w:style>
  <w:style w:type="character" w:customStyle="1" w:styleId="Heading2Char">
    <w:name w:val="Heading 2 Char"/>
    <w:basedOn w:val="DefaultParagraphFont"/>
    <w:link w:val="Heading2"/>
    <w:uiPriority w:val="9"/>
    <w:rsid w:val="003A521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E16E7"/>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rsid w:val="00BF1ED8"/>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3A5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213"/>
    <w:rPr>
      <w:rFonts w:ascii="Tahoma" w:hAnsi="Tahoma" w:cs="Tahoma"/>
      <w:sz w:val="16"/>
      <w:szCs w:val="16"/>
    </w:rPr>
  </w:style>
  <w:style w:type="paragraph" w:styleId="NoSpacing">
    <w:name w:val="No Spacing"/>
    <w:link w:val="NoSpacingChar"/>
    <w:uiPriority w:val="1"/>
    <w:qFormat/>
    <w:rsid w:val="003A5213"/>
    <w:pPr>
      <w:spacing w:after="0" w:line="240" w:lineRule="auto"/>
    </w:pPr>
  </w:style>
  <w:style w:type="paragraph" w:styleId="Header">
    <w:name w:val="header"/>
    <w:basedOn w:val="Normal"/>
    <w:link w:val="HeaderChar"/>
    <w:unhideWhenUsed/>
    <w:rsid w:val="003A52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213"/>
  </w:style>
  <w:style w:type="paragraph" w:styleId="Footer">
    <w:name w:val="footer"/>
    <w:basedOn w:val="Normal"/>
    <w:link w:val="FooterChar"/>
    <w:unhideWhenUsed/>
    <w:rsid w:val="003A52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213"/>
  </w:style>
  <w:style w:type="paragraph" w:styleId="TOCHeading">
    <w:name w:val="TOC Heading"/>
    <w:basedOn w:val="Heading1"/>
    <w:next w:val="Normal"/>
    <w:uiPriority w:val="39"/>
    <w:unhideWhenUsed/>
    <w:qFormat/>
    <w:rsid w:val="003A5213"/>
    <w:pPr>
      <w:outlineLvl w:val="9"/>
    </w:pPr>
    <w:rPr>
      <w:lang w:eastAsia="ja-JP"/>
    </w:rPr>
  </w:style>
  <w:style w:type="paragraph" w:styleId="TOC1">
    <w:name w:val="toc 1"/>
    <w:basedOn w:val="Normal"/>
    <w:next w:val="Normal"/>
    <w:autoRedefine/>
    <w:uiPriority w:val="39"/>
    <w:unhideWhenUsed/>
    <w:rsid w:val="00564068"/>
    <w:pPr>
      <w:tabs>
        <w:tab w:val="left" w:pos="440"/>
        <w:tab w:val="right" w:leader="dot" w:pos="9350"/>
      </w:tabs>
      <w:spacing w:after="100"/>
    </w:pPr>
  </w:style>
  <w:style w:type="paragraph" w:styleId="TOC2">
    <w:name w:val="toc 2"/>
    <w:basedOn w:val="Normal"/>
    <w:next w:val="Normal"/>
    <w:autoRedefine/>
    <w:uiPriority w:val="39"/>
    <w:unhideWhenUsed/>
    <w:rsid w:val="00A65B43"/>
    <w:pPr>
      <w:tabs>
        <w:tab w:val="left" w:pos="900"/>
        <w:tab w:val="right" w:leader="dot" w:pos="9350"/>
      </w:tabs>
      <w:spacing w:after="100"/>
      <w:ind w:left="220"/>
    </w:pPr>
    <w:rPr>
      <w:noProof/>
    </w:rPr>
  </w:style>
  <w:style w:type="character" w:styleId="Hyperlink">
    <w:name w:val="Hyperlink"/>
    <w:basedOn w:val="DefaultParagraphFont"/>
    <w:uiPriority w:val="99"/>
    <w:unhideWhenUsed/>
    <w:rsid w:val="003A5213"/>
    <w:rPr>
      <w:color w:val="0000FF" w:themeColor="hyperlink"/>
      <w:u w:val="single"/>
    </w:rPr>
  </w:style>
  <w:style w:type="paragraph" w:styleId="ListParagraph">
    <w:name w:val="List Paragraph"/>
    <w:basedOn w:val="Normal"/>
    <w:link w:val="ListParagraphChar"/>
    <w:uiPriority w:val="34"/>
    <w:qFormat/>
    <w:rsid w:val="00E900A3"/>
    <w:pPr>
      <w:ind w:left="720"/>
      <w:contextualSpacing/>
    </w:pPr>
  </w:style>
  <w:style w:type="table" w:styleId="TableGrid">
    <w:name w:val="Table Grid"/>
    <w:basedOn w:val="TableNormal"/>
    <w:uiPriority w:val="59"/>
    <w:rsid w:val="009A46D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425DAA"/>
    <w:pPr>
      <w:spacing w:after="100"/>
      <w:ind w:left="440"/>
    </w:pPr>
  </w:style>
  <w:style w:type="character" w:styleId="FollowedHyperlink">
    <w:name w:val="FollowedHyperlink"/>
    <w:basedOn w:val="DefaultParagraphFont"/>
    <w:uiPriority w:val="99"/>
    <w:semiHidden/>
    <w:unhideWhenUsed/>
    <w:rsid w:val="00F439F5"/>
    <w:rPr>
      <w:color w:val="800080" w:themeColor="followedHyperlink"/>
      <w:u w:val="single"/>
    </w:rPr>
  </w:style>
  <w:style w:type="table" w:styleId="LightShading-Accent4">
    <w:name w:val="Light Shading Accent 4"/>
    <w:basedOn w:val="TableNormal"/>
    <w:uiPriority w:val="60"/>
    <w:rsid w:val="00A402DC"/>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CommentReference">
    <w:name w:val="annotation reference"/>
    <w:basedOn w:val="DefaultParagraphFont"/>
    <w:uiPriority w:val="99"/>
    <w:semiHidden/>
    <w:unhideWhenUsed/>
    <w:rsid w:val="00BF6579"/>
    <w:rPr>
      <w:sz w:val="16"/>
      <w:szCs w:val="16"/>
    </w:rPr>
  </w:style>
  <w:style w:type="paragraph" w:styleId="CommentText">
    <w:name w:val="annotation text"/>
    <w:basedOn w:val="Normal"/>
    <w:link w:val="CommentTextChar"/>
    <w:uiPriority w:val="99"/>
    <w:unhideWhenUsed/>
    <w:rsid w:val="00BF6579"/>
    <w:pPr>
      <w:spacing w:line="240" w:lineRule="auto"/>
    </w:pPr>
    <w:rPr>
      <w:sz w:val="20"/>
      <w:szCs w:val="20"/>
    </w:rPr>
  </w:style>
  <w:style w:type="character" w:customStyle="1" w:styleId="CommentTextChar">
    <w:name w:val="Comment Text Char"/>
    <w:basedOn w:val="DefaultParagraphFont"/>
    <w:link w:val="CommentText"/>
    <w:uiPriority w:val="99"/>
    <w:rsid w:val="00BF6579"/>
    <w:rPr>
      <w:sz w:val="20"/>
      <w:szCs w:val="20"/>
    </w:rPr>
  </w:style>
  <w:style w:type="paragraph" w:styleId="CommentSubject">
    <w:name w:val="annotation subject"/>
    <w:basedOn w:val="CommentText"/>
    <w:next w:val="CommentText"/>
    <w:link w:val="CommentSubjectChar"/>
    <w:uiPriority w:val="99"/>
    <w:semiHidden/>
    <w:unhideWhenUsed/>
    <w:rsid w:val="00BF6579"/>
    <w:rPr>
      <w:b/>
      <w:bCs/>
    </w:rPr>
  </w:style>
  <w:style w:type="character" w:customStyle="1" w:styleId="CommentSubjectChar">
    <w:name w:val="Comment Subject Char"/>
    <w:basedOn w:val="CommentTextChar"/>
    <w:link w:val="CommentSubject"/>
    <w:uiPriority w:val="99"/>
    <w:semiHidden/>
    <w:rsid w:val="00BF6579"/>
    <w:rPr>
      <w:b/>
      <w:bCs/>
      <w:sz w:val="20"/>
      <w:szCs w:val="20"/>
    </w:rPr>
  </w:style>
  <w:style w:type="paragraph" w:styleId="TOC4">
    <w:name w:val="toc 4"/>
    <w:basedOn w:val="Normal"/>
    <w:next w:val="Normal"/>
    <w:autoRedefine/>
    <w:uiPriority w:val="39"/>
    <w:unhideWhenUsed/>
    <w:rsid w:val="00267856"/>
    <w:pPr>
      <w:spacing w:after="100"/>
      <w:ind w:left="660"/>
    </w:pPr>
    <w:rPr>
      <w:rFonts w:eastAsiaTheme="minorEastAsia"/>
    </w:rPr>
  </w:style>
  <w:style w:type="paragraph" w:styleId="TOC5">
    <w:name w:val="toc 5"/>
    <w:basedOn w:val="Normal"/>
    <w:next w:val="Normal"/>
    <w:autoRedefine/>
    <w:uiPriority w:val="39"/>
    <w:unhideWhenUsed/>
    <w:rsid w:val="00267856"/>
    <w:pPr>
      <w:spacing w:after="100"/>
      <w:ind w:left="880"/>
    </w:pPr>
    <w:rPr>
      <w:rFonts w:eastAsiaTheme="minorEastAsia"/>
    </w:rPr>
  </w:style>
  <w:style w:type="paragraph" w:styleId="TOC6">
    <w:name w:val="toc 6"/>
    <w:basedOn w:val="Normal"/>
    <w:next w:val="Normal"/>
    <w:autoRedefine/>
    <w:uiPriority w:val="39"/>
    <w:unhideWhenUsed/>
    <w:rsid w:val="00267856"/>
    <w:pPr>
      <w:spacing w:after="100"/>
      <w:ind w:left="1100"/>
    </w:pPr>
    <w:rPr>
      <w:rFonts w:eastAsiaTheme="minorEastAsia"/>
    </w:rPr>
  </w:style>
  <w:style w:type="paragraph" w:styleId="TOC7">
    <w:name w:val="toc 7"/>
    <w:basedOn w:val="Normal"/>
    <w:next w:val="Normal"/>
    <w:autoRedefine/>
    <w:uiPriority w:val="39"/>
    <w:unhideWhenUsed/>
    <w:rsid w:val="00267856"/>
    <w:pPr>
      <w:spacing w:after="100"/>
      <w:ind w:left="1320"/>
    </w:pPr>
    <w:rPr>
      <w:rFonts w:eastAsiaTheme="minorEastAsia"/>
    </w:rPr>
  </w:style>
  <w:style w:type="paragraph" w:styleId="TOC8">
    <w:name w:val="toc 8"/>
    <w:basedOn w:val="Normal"/>
    <w:next w:val="Normal"/>
    <w:autoRedefine/>
    <w:uiPriority w:val="39"/>
    <w:unhideWhenUsed/>
    <w:rsid w:val="00267856"/>
    <w:pPr>
      <w:spacing w:after="100"/>
      <w:ind w:left="1540"/>
    </w:pPr>
    <w:rPr>
      <w:rFonts w:eastAsiaTheme="minorEastAsia"/>
    </w:rPr>
  </w:style>
  <w:style w:type="paragraph" w:styleId="TOC9">
    <w:name w:val="toc 9"/>
    <w:basedOn w:val="Normal"/>
    <w:next w:val="Normal"/>
    <w:autoRedefine/>
    <w:uiPriority w:val="39"/>
    <w:unhideWhenUsed/>
    <w:rsid w:val="00267856"/>
    <w:pPr>
      <w:spacing w:after="100"/>
      <w:ind w:left="1760"/>
    </w:pPr>
    <w:rPr>
      <w:rFonts w:eastAsiaTheme="minorEastAsia"/>
    </w:rPr>
  </w:style>
  <w:style w:type="table" w:styleId="LightShading">
    <w:name w:val="Light Shading"/>
    <w:basedOn w:val="TableNormal"/>
    <w:uiPriority w:val="60"/>
    <w:rsid w:val="006D2E1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6D2E1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
    <w:name w:val="Light List"/>
    <w:basedOn w:val="TableNormal"/>
    <w:uiPriority w:val="61"/>
    <w:rsid w:val="006D2E1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2">
    <w:name w:val="Light Shading Accent 2"/>
    <w:basedOn w:val="TableNormal"/>
    <w:uiPriority w:val="60"/>
    <w:rsid w:val="009B6BB7"/>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9B6BB7"/>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MediumShading1-Accent11">
    <w:name w:val="Medium Shading 1 - Accent 11"/>
    <w:uiPriority w:val="99"/>
    <w:rsid w:val="00E734E4"/>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leheading">
    <w:name w:val="table heading"/>
    <w:basedOn w:val="Normal"/>
    <w:autoRedefine/>
    <w:uiPriority w:val="99"/>
    <w:rsid w:val="00E734E4"/>
    <w:pPr>
      <w:framePr w:hSpace="180" w:wrap="around" w:vAnchor="page" w:hAnchor="margin" w:y="2676"/>
      <w:spacing w:before="200" w:after="0" w:line="240" w:lineRule="auto"/>
    </w:pPr>
    <w:rPr>
      <w:rFonts w:ascii="Book Antiqua" w:eastAsia="Times New Roman" w:hAnsi="Book Antiqua" w:cs="Arial"/>
      <w:b/>
      <w:sz w:val="20"/>
      <w:szCs w:val="24"/>
    </w:rPr>
  </w:style>
  <w:style w:type="paragraph" w:styleId="FootnoteText">
    <w:name w:val="footnote text"/>
    <w:basedOn w:val="Normal"/>
    <w:link w:val="FootnoteTextChar"/>
    <w:uiPriority w:val="99"/>
    <w:unhideWhenUsed/>
    <w:rsid w:val="004A60A3"/>
    <w:pPr>
      <w:spacing w:after="0" w:line="240" w:lineRule="auto"/>
    </w:pPr>
    <w:rPr>
      <w:sz w:val="24"/>
      <w:szCs w:val="24"/>
    </w:rPr>
  </w:style>
  <w:style w:type="character" w:customStyle="1" w:styleId="FootnoteTextChar">
    <w:name w:val="Footnote Text Char"/>
    <w:basedOn w:val="DefaultParagraphFont"/>
    <w:link w:val="FootnoteText"/>
    <w:uiPriority w:val="99"/>
    <w:rsid w:val="004A60A3"/>
    <w:rPr>
      <w:sz w:val="24"/>
      <w:szCs w:val="24"/>
    </w:rPr>
  </w:style>
  <w:style w:type="character" w:styleId="FootnoteReference">
    <w:name w:val="footnote reference"/>
    <w:basedOn w:val="DefaultParagraphFont"/>
    <w:uiPriority w:val="99"/>
    <w:unhideWhenUsed/>
    <w:rsid w:val="004A60A3"/>
    <w:rPr>
      <w:vertAlign w:val="superscript"/>
    </w:rPr>
  </w:style>
  <w:style w:type="paragraph" w:customStyle="1" w:styleId="Default">
    <w:name w:val="Default"/>
    <w:rsid w:val="004F10FE"/>
    <w:pPr>
      <w:autoSpaceDE w:val="0"/>
      <w:autoSpaceDN w:val="0"/>
      <w:adjustRightInd w:val="0"/>
      <w:spacing w:after="0" w:line="240" w:lineRule="auto"/>
    </w:pPr>
    <w:rPr>
      <w:rFonts w:ascii="Book Antiqua" w:hAnsi="Book Antiqua" w:cs="Book Antiqua"/>
      <w:color w:val="000000"/>
      <w:sz w:val="24"/>
      <w:szCs w:val="24"/>
    </w:rPr>
  </w:style>
  <w:style w:type="character" w:customStyle="1" w:styleId="reference">
    <w:name w:val="reference"/>
    <w:basedOn w:val="DefaultParagraphFont"/>
    <w:rsid w:val="005D354D"/>
  </w:style>
  <w:style w:type="character" w:customStyle="1" w:styleId="refauthors">
    <w:name w:val="refauthors"/>
    <w:basedOn w:val="DefaultParagraphFont"/>
    <w:rsid w:val="005D354D"/>
  </w:style>
  <w:style w:type="character" w:customStyle="1" w:styleId="reftitle">
    <w:name w:val="reftitle"/>
    <w:basedOn w:val="DefaultParagraphFont"/>
    <w:rsid w:val="005D354D"/>
  </w:style>
  <w:style w:type="character" w:customStyle="1" w:styleId="refseriestitle">
    <w:name w:val="refseriestitle"/>
    <w:basedOn w:val="DefaultParagraphFont"/>
    <w:rsid w:val="005D354D"/>
  </w:style>
  <w:style w:type="character" w:customStyle="1" w:styleId="refseriesdate">
    <w:name w:val="refseriesdate"/>
    <w:basedOn w:val="DefaultParagraphFont"/>
    <w:rsid w:val="005D354D"/>
  </w:style>
  <w:style w:type="character" w:customStyle="1" w:styleId="refseriesvolume">
    <w:name w:val="refseriesvolume"/>
    <w:basedOn w:val="DefaultParagraphFont"/>
    <w:rsid w:val="005D354D"/>
  </w:style>
  <w:style w:type="character" w:customStyle="1" w:styleId="refpages">
    <w:name w:val="refpages"/>
    <w:basedOn w:val="DefaultParagraphFont"/>
    <w:rsid w:val="005D354D"/>
  </w:style>
  <w:style w:type="paragraph" w:styleId="Revision">
    <w:name w:val="Revision"/>
    <w:hidden/>
    <w:uiPriority w:val="99"/>
    <w:semiHidden/>
    <w:rsid w:val="001503A9"/>
    <w:pPr>
      <w:spacing w:after="0" w:line="240" w:lineRule="auto"/>
    </w:pPr>
  </w:style>
  <w:style w:type="paragraph" w:styleId="DocumentMap">
    <w:name w:val="Document Map"/>
    <w:basedOn w:val="Normal"/>
    <w:link w:val="DocumentMapChar"/>
    <w:uiPriority w:val="99"/>
    <w:semiHidden/>
    <w:unhideWhenUsed/>
    <w:rsid w:val="00D42D9F"/>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D42D9F"/>
    <w:rPr>
      <w:rFonts w:ascii="Lucida Grande" w:hAnsi="Lucida Grande" w:cs="Lucida Grande"/>
      <w:sz w:val="24"/>
      <w:szCs w:val="24"/>
    </w:rPr>
  </w:style>
  <w:style w:type="character" w:customStyle="1" w:styleId="NoSpacingChar">
    <w:name w:val="No Spacing Char"/>
    <w:basedOn w:val="DefaultParagraphFont"/>
    <w:link w:val="NoSpacing"/>
    <w:uiPriority w:val="1"/>
    <w:rsid w:val="00FB62A9"/>
  </w:style>
  <w:style w:type="paragraph" w:customStyle="1" w:styleId="NoSpacing1">
    <w:name w:val="No Spacing1"/>
    <w:uiPriority w:val="1"/>
    <w:qFormat/>
    <w:rsid w:val="00334696"/>
    <w:pPr>
      <w:spacing w:after="0" w:line="240" w:lineRule="auto"/>
    </w:pPr>
    <w:rPr>
      <w:rFonts w:ascii="Calibri" w:eastAsia="Calibri" w:hAnsi="Calibri" w:cs="Times New Roman"/>
    </w:rPr>
  </w:style>
  <w:style w:type="character" w:styleId="PageNumber">
    <w:name w:val="page number"/>
    <w:basedOn w:val="DefaultParagraphFont"/>
    <w:rsid w:val="00294EE2"/>
  </w:style>
  <w:style w:type="character" w:customStyle="1" w:styleId="Heading5Char">
    <w:name w:val="Heading 5 Char"/>
    <w:basedOn w:val="DefaultParagraphFont"/>
    <w:link w:val="Heading5"/>
    <w:uiPriority w:val="9"/>
    <w:rsid w:val="006E16E7"/>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rsid w:val="006E16E7"/>
    <w:rPr>
      <w:rFonts w:asciiTheme="majorHAnsi" w:eastAsiaTheme="majorEastAsia" w:hAnsiTheme="majorHAnsi" w:cstheme="majorBidi"/>
      <w:b/>
      <w:i/>
      <w:iCs/>
      <w:color w:val="4F81BD" w:themeColor="accent1"/>
    </w:rPr>
  </w:style>
  <w:style w:type="table" w:customStyle="1" w:styleId="TableGrid1">
    <w:name w:val="Table Grid1"/>
    <w:basedOn w:val="TableNormal"/>
    <w:next w:val="TableGrid"/>
    <w:uiPriority w:val="59"/>
    <w:rsid w:val="00C51E6C"/>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E9418E"/>
  </w:style>
  <w:style w:type="character" w:styleId="LineNumber">
    <w:name w:val="line number"/>
    <w:basedOn w:val="DefaultParagraphFont"/>
    <w:uiPriority w:val="99"/>
    <w:semiHidden/>
    <w:unhideWhenUsed/>
    <w:rsid w:val="00B5363E"/>
  </w:style>
  <w:style w:type="character" w:customStyle="1" w:styleId="UnresolvedMention">
    <w:name w:val="Unresolved Mention"/>
    <w:basedOn w:val="DefaultParagraphFont"/>
    <w:uiPriority w:val="99"/>
    <w:semiHidden/>
    <w:unhideWhenUsed/>
    <w:rsid w:val="0059616D"/>
    <w:rPr>
      <w:color w:val="605E5C"/>
      <w:shd w:val="clear" w:color="auto" w:fill="E1DFDD"/>
    </w:rPr>
  </w:style>
  <w:style w:type="table" w:customStyle="1" w:styleId="TableGrid2">
    <w:name w:val="Table Grid2"/>
    <w:basedOn w:val="TableNormal"/>
    <w:next w:val="TableGrid"/>
    <w:uiPriority w:val="59"/>
    <w:rsid w:val="00FA0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96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BD2"/>
  </w:style>
  <w:style w:type="paragraph" w:styleId="Heading1">
    <w:name w:val="heading 1"/>
    <w:basedOn w:val="Normal"/>
    <w:next w:val="Normal"/>
    <w:link w:val="Heading1Char"/>
    <w:uiPriority w:val="9"/>
    <w:qFormat/>
    <w:rsid w:val="005B6B4A"/>
    <w:pPr>
      <w:keepNext/>
      <w:keepLines/>
      <w:numPr>
        <w:numId w:val="76"/>
      </w:numPr>
      <w:spacing w:after="240"/>
      <w:outlineLvl w:val="0"/>
    </w:pPr>
    <w:rPr>
      <w:rFonts w:ascii="Franklin Gothic Medium Cond" w:eastAsiaTheme="majorEastAsia" w:hAnsi="Franklin Gothic Medium Cond" w:cstheme="majorBidi"/>
      <w:b/>
      <w:bCs/>
      <w:color w:val="E36C0A" w:themeColor="accent6" w:themeShade="BF"/>
      <w:sz w:val="52"/>
      <w:szCs w:val="28"/>
    </w:rPr>
  </w:style>
  <w:style w:type="paragraph" w:styleId="Heading2">
    <w:name w:val="heading 2"/>
    <w:basedOn w:val="Normal"/>
    <w:next w:val="Normal"/>
    <w:link w:val="Heading2Char"/>
    <w:uiPriority w:val="9"/>
    <w:unhideWhenUsed/>
    <w:qFormat/>
    <w:rsid w:val="003A52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E16E7"/>
    <w:pPr>
      <w:keepNext/>
      <w:keepLines/>
      <w:spacing w:before="200" w:after="0"/>
      <w:outlineLvl w:val="2"/>
    </w:pPr>
    <w:rPr>
      <w:rFonts w:asciiTheme="majorHAnsi" w:eastAsiaTheme="majorEastAsia" w:hAnsiTheme="majorHAnsi" w:cstheme="majorBidi"/>
      <w:b/>
      <w:bCs/>
      <w:color w:val="4F81BD" w:themeColor="accent1"/>
      <w:sz w:val="24"/>
    </w:rPr>
  </w:style>
  <w:style w:type="paragraph" w:styleId="Heading4">
    <w:name w:val="heading 4"/>
    <w:basedOn w:val="Normal"/>
    <w:next w:val="Normal"/>
    <w:link w:val="Heading4Char"/>
    <w:uiPriority w:val="9"/>
    <w:unhideWhenUsed/>
    <w:qFormat/>
    <w:rsid w:val="00BF1ED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E16E7"/>
    <w:pPr>
      <w:keepNext/>
      <w:keepLines/>
      <w:spacing w:before="200" w:after="0"/>
      <w:ind w:left="294"/>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unhideWhenUsed/>
    <w:qFormat/>
    <w:rsid w:val="006E16E7"/>
    <w:pPr>
      <w:keepNext/>
      <w:keepLines/>
      <w:spacing w:before="200" w:after="0"/>
      <w:ind w:left="574"/>
      <w:outlineLvl w:val="5"/>
    </w:pPr>
    <w:rPr>
      <w:rFonts w:asciiTheme="majorHAnsi" w:eastAsiaTheme="majorEastAsia" w:hAnsiTheme="majorHAnsi" w:cstheme="majorBidi"/>
      <w:b/>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6B4A"/>
    <w:rPr>
      <w:rFonts w:ascii="Franklin Gothic Medium Cond" w:eastAsiaTheme="majorEastAsia" w:hAnsi="Franklin Gothic Medium Cond" w:cstheme="majorBidi"/>
      <w:b/>
      <w:bCs/>
      <w:color w:val="E36C0A" w:themeColor="accent6" w:themeShade="BF"/>
      <w:sz w:val="52"/>
      <w:szCs w:val="28"/>
    </w:rPr>
  </w:style>
  <w:style w:type="character" w:customStyle="1" w:styleId="Heading2Char">
    <w:name w:val="Heading 2 Char"/>
    <w:basedOn w:val="DefaultParagraphFont"/>
    <w:link w:val="Heading2"/>
    <w:uiPriority w:val="9"/>
    <w:rsid w:val="003A521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E16E7"/>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rsid w:val="00BF1ED8"/>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3A5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213"/>
    <w:rPr>
      <w:rFonts w:ascii="Tahoma" w:hAnsi="Tahoma" w:cs="Tahoma"/>
      <w:sz w:val="16"/>
      <w:szCs w:val="16"/>
    </w:rPr>
  </w:style>
  <w:style w:type="paragraph" w:styleId="NoSpacing">
    <w:name w:val="No Spacing"/>
    <w:link w:val="NoSpacingChar"/>
    <w:uiPriority w:val="1"/>
    <w:qFormat/>
    <w:rsid w:val="003A5213"/>
    <w:pPr>
      <w:spacing w:after="0" w:line="240" w:lineRule="auto"/>
    </w:pPr>
  </w:style>
  <w:style w:type="paragraph" w:styleId="Header">
    <w:name w:val="header"/>
    <w:basedOn w:val="Normal"/>
    <w:link w:val="HeaderChar"/>
    <w:unhideWhenUsed/>
    <w:rsid w:val="003A52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213"/>
  </w:style>
  <w:style w:type="paragraph" w:styleId="Footer">
    <w:name w:val="footer"/>
    <w:basedOn w:val="Normal"/>
    <w:link w:val="FooterChar"/>
    <w:unhideWhenUsed/>
    <w:rsid w:val="003A52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213"/>
  </w:style>
  <w:style w:type="paragraph" w:styleId="TOCHeading">
    <w:name w:val="TOC Heading"/>
    <w:basedOn w:val="Heading1"/>
    <w:next w:val="Normal"/>
    <w:uiPriority w:val="39"/>
    <w:unhideWhenUsed/>
    <w:qFormat/>
    <w:rsid w:val="003A5213"/>
    <w:pPr>
      <w:outlineLvl w:val="9"/>
    </w:pPr>
    <w:rPr>
      <w:lang w:eastAsia="ja-JP"/>
    </w:rPr>
  </w:style>
  <w:style w:type="paragraph" w:styleId="TOC1">
    <w:name w:val="toc 1"/>
    <w:basedOn w:val="Normal"/>
    <w:next w:val="Normal"/>
    <w:autoRedefine/>
    <w:uiPriority w:val="39"/>
    <w:unhideWhenUsed/>
    <w:rsid w:val="00564068"/>
    <w:pPr>
      <w:tabs>
        <w:tab w:val="left" w:pos="440"/>
        <w:tab w:val="right" w:leader="dot" w:pos="9350"/>
      </w:tabs>
      <w:spacing w:after="100"/>
    </w:pPr>
  </w:style>
  <w:style w:type="paragraph" w:styleId="TOC2">
    <w:name w:val="toc 2"/>
    <w:basedOn w:val="Normal"/>
    <w:next w:val="Normal"/>
    <w:autoRedefine/>
    <w:uiPriority w:val="39"/>
    <w:unhideWhenUsed/>
    <w:rsid w:val="00A65B43"/>
    <w:pPr>
      <w:tabs>
        <w:tab w:val="left" w:pos="900"/>
        <w:tab w:val="right" w:leader="dot" w:pos="9350"/>
      </w:tabs>
      <w:spacing w:after="100"/>
      <w:ind w:left="220"/>
    </w:pPr>
    <w:rPr>
      <w:noProof/>
    </w:rPr>
  </w:style>
  <w:style w:type="character" w:styleId="Hyperlink">
    <w:name w:val="Hyperlink"/>
    <w:basedOn w:val="DefaultParagraphFont"/>
    <w:uiPriority w:val="99"/>
    <w:unhideWhenUsed/>
    <w:rsid w:val="003A5213"/>
    <w:rPr>
      <w:color w:val="0000FF" w:themeColor="hyperlink"/>
      <w:u w:val="single"/>
    </w:rPr>
  </w:style>
  <w:style w:type="paragraph" w:styleId="ListParagraph">
    <w:name w:val="List Paragraph"/>
    <w:basedOn w:val="Normal"/>
    <w:link w:val="ListParagraphChar"/>
    <w:uiPriority w:val="34"/>
    <w:qFormat/>
    <w:rsid w:val="00E900A3"/>
    <w:pPr>
      <w:ind w:left="720"/>
      <w:contextualSpacing/>
    </w:pPr>
  </w:style>
  <w:style w:type="table" w:styleId="TableGrid">
    <w:name w:val="Table Grid"/>
    <w:basedOn w:val="TableNormal"/>
    <w:uiPriority w:val="59"/>
    <w:rsid w:val="009A46D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425DAA"/>
    <w:pPr>
      <w:spacing w:after="100"/>
      <w:ind w:left="440"/>
    </w:pPr>
  </w:style>
  <w:style w:type="character" w:styleId="FollowedHyperlink">
    <w:name w:val="FollowedHyperlink"/>
    <w:basedOn w:val="DefaultParagraphFont"/>
    <w:uiPriority w:val="99"/>
    <w:semiHidden/>
    <w:unhideWhenUsed/>
    <w:rsid w:val="00F439F5"/>
    <w:rPr>
      <w:color w:val="800080" w:themeColor="followedHyperlink"/>
      <w:u w:val="single"/>
    </w:rPr>
  </w:style>
  <w:style w:type="table" w:styleId="LightShading-Accent4">
    <w:name w:val="Light Shading Accent 4"/>
    <w:basedOn w:val="TableNormal"/>
    <w:uiPriority w:val="60"/>
    <w:rsid w:val="00A402DC"/>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CommentReference">
    <w:name w:val="annotation reference"/>
    <w:basedOn w:val="DefaultParagraphFont"/>
    <w:uiPriority w:val="99"/>
    <w:semiHidden/>
    <w:unhideWhenUsed/>
    <w:rsid w:val="00BF6579"/>
    <w:rPr>
      <w:sz w:val="16"/>
      <w:szCs w:val="16"/>
    </w:rPr>
  </w:style>
  <w:style w:type="paragraph" w:styleId="CommentText">
    <w:name w:val="annotation text"/>
    <w:basedOn w:val="Normal"/>
    <w:link w:val="CommentTextChar"/>
    <w:uiPriority w:val="99"/>
    <w:unhideWhenUsed/>
    <w:rsid w:val="00BF6579"/>
    <w:pPr>
      <w:spacing w:line="240" w:lineRule="auto"/>
    </w:pPr>
    <w:rPr>
      <w:sz w:val="20"/>
      <w:szCs w:val="20"/>
    </w:rPr>
  </w:style>
  <w:style w:type="character" w:customStyle="1" w:styleId="CommentTextChar">
    <w:name w:val="Comment Text Char"/>
    <w:basedOn w:val="DefaultParagraphFont"/>
    <w:link w:val="CommentText"/>
    <w:uiPriority w:val="99"/>
    <w:rsid w:val="00BF6579"/>
    <w:rPr>
      <w:sz w:val="20"/>
      <w:szCs w:val="20"/>
    </w:rPr>
  </w:style>
  <w:style w:type="paragraph" w:styleId="CommentSubject">
    <w:name w:val="annotation subject"/>
    <w:basedOn w:val="CommentText"/>
    <w:next w:val="CommentText"/>
    <w:link w:val="CommentSubjectChar"/>
    <w:uiPriority w:val="99"/>
    <w:semiHidden/>
    <w:unhideWhenUsed/>
    <w:rsid w:val="00BF6579"/>
    <w:rPr>
      <w:b/>
      <w:bCs/>
    </w:rPr>
  </w:style>
  <w:style w:type="character" w:customStyle="1" w:styleId="CommentSubjectChar">
    <w:name w:val="Comment Subject Char"/>
    <w:basedOn w:val="CommentTextChar"/>
    <w:link w:val="CommentSubject"/>
    <w:uiPriority w:val="99"/>
    <w:semiHidden/>
    <w:rsid w:val="00BF6579"/>
    <w:rPr>
      <w:b/>
      <w:bCs/>
      <w:sz w:val="20"/>
      <w:szCs w:val="20"/>
    </w:rPr>
  </w:style>
  <w:style w:type="paragraph" w:styleId="TOC4">
    <w:name w:val="toc 4"/>
    <w:basedOn w:val="Normal"/>
    <w:next w:val="Normal"/>
    <w:autoRedefine/>
    <w:uiPriority w:val="39"/>
    <w:unhideWhenUsed/>
    <w:rsid w:val="00267856"/>
    <w:pPr>
      <w:spacing w:after="100"/>
      <w:ind w:left="660"/>
    </w:pPr>
    <w:rPr>
      <w:rFonts w:eastAsiaTheme="minorEastAsia"/>
    </w:rPr>
  </w:style>
  <w:style w:type="paragraph" w:styleId="TOC5">
    <w:name w:val="toc 5"/>
    <w:basedOn w:val="Normal"/>
    <w:next w:val="Normal"/>
    <w:autoRedefine/>
    <w:uiPriority w:val="39"/>
    <w:unhideWhenUsed/>
    <w:rsid w:val="00267856"/>
    <w:pPr>
      <w:spacing w:after="100"/>
      <w:ind w:left="880"/>
    </w:pPr>
    <w:rPr>
      <w:rFonts w:eastAsiaTheme="minorEastAsia"/>
    </w:rPr>
  </w:style>
  <w:style w:type="paragraph" w:styleId="TOC6">
    <w:name w:val="toc 6"/>
    <w:basedOn w:val="Normal"/>
    <w:next w:val="Normal"/>
    <w:autoRedefine/>
    <w:uiPriority w:val="39"/>
    <w:unhideWhenUsed/>
    <w:rsid w:val="00267856"/>
    <w:pPr>
      <w:spacing w:after="100"/>
      <w:ind w:left="1100"/>
    </w:pPr>
    <w:rPr>
      <w:rFonts w:eastAsiaTheme="minorEastAsia"/>
    </w:rPr>
  </w:style>
  <w:style w:type="paragraph" w:styleId="TOC7">
    <w:name w:val="toc 7"/>
    <w:basedOn w:val="Normal"/>
    <w:next w:val="Normal"/>
    <w:autoRedefine/>
    <w:uiPriority w:val="39"/>
    <w:unhideWhenUsed/>
    <w:rsid w:val="00267856"/>
    <w:pPr>
      <w:spacing w:after="100"/>
      <w:ind w:left="1320"/>
    </w:pPr>
    <w:rPr>
      <w:rFonts w:eastAsiaTheme="minorEastAsia"/>
    </w:rPr>
  </w:style>
  <w:style w:type="paragraph" w:styleId="TOC8">
    <w:name w:val="toc 8"/>
    <w:basedOn w:val="Normal"/>
    <w:next w:val="Normal"/>
    <w:autoRedefine/>
    <w:uiPriority w:val="39"/>
    <w:unhideWhenUsed/>
    <w:rsid w:val="00267856"/>
    <w:pPr>
      <w:spacing w:after="100"/>
      <w:ind w:left="1540"/>
    </w:pPr>
    <w:rPr>
      <w:rFonts w:eastAsiaTheme="minorEastAsia"/>
    </w:rPr>
  </w:style>
  <w:style w:type="paragraph" w:styleId="TOC9">
    <w:name w:val="toc 9"/>
    <w:basedOn w:val="Normal"/>
    <w:next w:val="Normal"/>
    <w:autoRedefine/>
    <w:uiPriority w:val="39"/>
    <w:unhideWhenUsed/>
    <w:rsid w:val="00267856"/>
    <w:pPr>
      <w:spacing w:after="100"/>
      <w:ind w:left="1760"/>
    </w:pPr>
    <w:rPr>
      <w:rFonts w:eastAsiaTheme="minorEastAsia"/>
    </w:rPr>
  </w:style>
  <w:style w:type="table" w:styleId="LightShading">
    <w:name w:val="Light Shading"/>
    <w:basedOn w:val="TableNormal"/>
    <w:uiPriority w:val="60"/>
    <w:rsid w:val="006D2E1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6D2E1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
    <w:name w:val="Light List"/>
    <w:basedOn w:val="TableNormal"/>
    <w:uiPriority w:val="61"/>
    <w:rsid w:val="006D2E1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2">
    <w:name w:val="Light Shading Accent 2"/>
    <w:basedOn w:val="TableNormal"/>
    <w:uiPriority w:val="60"/>
    <w:rsid w:val="009B6BB7"/>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9B6BB7"/>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MediumShading1-Accent11">
    <w:name w:val="Medium Shading 1 - Accent 11"/>
    <w:uiPriority w:val="99"/>
    <w:rsid w:val="00E734E4"/>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leheading">
    <w:name w:val="table heading"/>
    <w:basedOn w:val="Normal"/>
    <w:autoRedefine/>
    <w:uiPriority w:val="99"/>
    <w:rsid w:val="00E734E4"/>
    <w:pPr>
      <w:framePr w:hSpace="180" w:wrap="around" w:vAnchor="page" w:hAnchor="margin" w:y="2676"/>
      <w:spacing w:before="200" w:after="0" w:line="240" w:lineRule="auto"/>
    </w:pPr>
    <w:rPr>
      <w:rFonts w:ascii="Book Antiqua" w:eastAsia="Times New Roman" w:hAnsi="Book Antiqua" w:cs="Arial"/>
      <w:b/>
      <w:sz w:val="20"/>
      <w:szCs w:val="24"/>
    </w:rPr>
  </w:style>
  <w:style w:type="paragraph" w:styleId="FootnoteText">
    <w:name w:val="footnote text"/>
    <w:basedOn w:val="Normal"/>
    <w:link w:val="FootnoteTextChar"/>
    <w:uiPriority w:val="99"/>
    <w:unhideWhenUsed/>
    <w:rsid w:val="004A60A3"/>
    <w:pPr>
      <w:spacing w:after="0" w:line="240" w:lineRule="auto"/>
    </w:pPr>
    <w:rPr>
      <w:sz w:val="24"/>
      <w:szCs w:val="24"/>
    </w:rPr>
  </w:style>
  <w:style w:type="character" w:customStyle="1" w:styleId="FootnoteTextChar">
    <w:name w:val="Footnote Text Char"/>
    <w:basedOn w:val="DefaultParagraphFont"/>
    <w:link w:val="FootnoteText"/>
    <w:uiPriority w:val="99"/>
    <w:rsid w:val="004A60A3"/>
    <w:rPr>
      <w:sz w:val="24"/>
      <w:szCs w:val="24"/>
    </w:rPr>
  </w:style>
  <w:style w:type="character" w:styleId="FootnoteReference">
    <w:name w:val="footnote reference"/>
    <w:basedOn w:val="DefaultParagraphFont"/>
    <w:uiPriority w:val="99"/>
    <w:unhideWhenUsed/>
    <w:rsid w:val="004A60A3"/>
    <w:rPr>
      <w:vertAlign w:val="superscript"/>
    </w:rPr>
  </w:style>
  <w:style w:type="paragraph" w:customStyle="1" w:styleId="Default">
    <w:name w:val="Default"/>
    <w:rsid w:val="004F10FE"/>
    <w:pPr>
      <w:autoSpaceDE w:val="0"/>
      <w:autoSpaceDN w:val="0"/>
      <w:adjustRightInd w:val="0"/>
      <w:spacing w:after="0" w:line="240" w:lineRule="auto"/>
    </w:pPr>
    <w:rPr>
      <w:rFonts w:ascii="Book Antiqua" w:hAnsi="Book Antiqua" w:cs="Book Antiqua"/>
      <w:color w:val="000000"/>
      <w:sz w:val="24"/>
      <w:szCs w:val="24"/>
    </w:rPr>
  </w:style>
  <w:style w:type="character" w:customStyle="1" w:styleId="reference">
    <w:name w:val="reference"/>
    <w:basedOn w:val="DefaultParagraphFont"/>
    <w:rsid w:val="005D354D"/>
  </w:style>
  <w:style w:type="character" w:customStyle="1" w:styleId="refauthors">
    <w:name w:val="refauthors"/>
    <w:basedOn w:val="DefaultParagraphFont"/>
    <w:rsid w:val="005D354D"/>
  </w:style>
  <w:style w:type="character" w:customStyle="1" w:styleId="reftitle">
    <w:name w:val="reftitle"/>
    <w:basedOn w:val="DefaultParagraphFont"/>
    <w:rsid w:val="005D354D"/>
  </w:style>
  <w:style w:type="character" w:customStyle="1" w:styleId="refseriestitle">
    <w:name w:val="refseriestitle"/>
    <w:basedOn w:val="DefaultParagraphFont"/>
    <w:rsid w:val="005D354D"/>
  </w:style>
  <w:style w:type="character" w:customStyle="1" w:styleId="refseriesdate">
    <w:name w:val="refseriesdate"/>
    <w:basedOn w:val="DefaultParagraphFont"/>
    <w:rsid w:val="005D354D"/>
  </w:style>
  <w:style w:type="character" w:customStyle="1" w:styleId="refseriesvolume">
    <w:name w:val="refseriesvolume"/>
    <w:basedOn w:val="DefaultParagraphFont"/>
    <w:rsid w:val="005D354D"/>
  </w:style>
  <w:style w:type="character" w:customStyle="1" w:styleId="refpages">
    <w:name w:val="refpages"/>
    <w:basedOn w:val="DefaultParagraphFont"/>
    <w:rsid w:val="005D354D"/>
  </w:style>
  <w:style w:type="paragraph" w:styleId="Revision">
    <w:name w:val="Revision"/>
    <w:hidden/>
    <w:uiPriority w:val="99"/>
    <w:semiHidden/>
    <w:rsid w:val="001503A9"/>
    <w:pPr>
      <w:spacing w:after="0" w:line="240" w:lineRule="auto"/>
    </w:pPr>
  </w:style>
  <w:style w:type="paragraph" w:styleId="DocumentMap">
    <w:name w:val="Document Map"/>
    <w:basedOn w:val="Normal"/>
    <w:link w:val="DocumentMapChar"/>
    <w:uiPriority w:val="99"/>
    <w:semiHidden/>
    <w:unhideWhenUsed/>
    <w:rsid w:val="00D42D9F"/>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D42D9F"/>
    <w:rPr>
      <w:rFonts w:ascii="Lucida Grande" w:hAnsi="Lucida Grande" w:cs="Lucida Grande"/>
      <w:sz w:val="24"/>
      <w:szCs w:val="24"/>
    </w:rPr>
  </w:style>
  <w:style w:type="character" w:customStyle="1" w:styleId="NoSpacingChar">
    <w:name w:val="No Spacing Char"/>
    <w:basedOn w:val="DefaultParagraphFont"/>
    <w:link w:val="NoSpacing"/>
    <w:uiPriority w:val="1"/>
    <w:rsid w:val="00FB62A9"/>
  </w:style>
  <w:style w:type="paragraph" w:customStyle="1" w:styleId="NoSpacing1">
    <w:name w:val="No Spacing1"/>
    <w:uiPriority w:val="1"/>
    <w:qFormat/>
    <w:rsid w:val="00334696"/>
    <w:pPr>
      <w:spacing w:after="0" w:line="240" w:lineRule="auto"/>
    </w:pPr>
    <w:rPr>
      <w:rFonts w:ascii="Calibri" w:eastAsia="Calibri" w:hAnsi="Calibri" w:cs="Times New Roman"/>
    </w:rPr>
  </w:style>
  <w:style w:type="character" w:styleId="PageNumber">
    <w:name w:val="page number"/>
    <w:basedOn w:val="DefaultParagraphFont"/>
    <w:rsid w:val="00294EE2"/>
  </w:style>
  <w:style w:type="character" w:customStyle="1" w:styleId="Heading5Char">
    <w:name w:val="Heading 5 Char"/>
    <w:basedOn w:val="DefaultParagraphFont"/>
    <w:link w:val="Heading5"/>
    <w:uiPriority w:val="9"/>
    <w:rsid w:val="006E16E7"/>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rsid w:val="006E16E7"/>
    <w:rPr>
      <w:rFonts w:asciiTheme="majorHAnsi" w:eastAsiaTheme="majorEastAsia" w:hAnsiTheme="majorHAnsi" w:cstheme="majorBidi"/>
      <w:b/>
      <w:i/>
      <w:iCs/>
      <w:color w:val="4F81BD" w:themeColor="accent1"/>
    </w:rPr>
  </w:style>
  <w:style w:type="table" w:customStyle="1" w:styleId="TableGrid1">
    <w:name w:val="Table Grid1"/>
    <w:basedOn w:val="TableNormal"/>
    <w:next w:val="TableGrid"/>
    <w:uiPriority w:val="59"/>
    <w:rsid w:val="00C51E6C"/>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E9418E"/>
  </w:style>
  <w:style w:type="character" w:styleId="LineNumber">
    <w:name w:val="line number"/>
    <w:basedOn w:val="DefaultParagraphFont"/>
    <w:uiPriority w:val="99"/>
    <w:semiHidden/>
    <w:unhideWhenUsed/>
    <w:rsid w:val="00B5363E"/>
  </w:style>
  <w:style w:type="character" w:customStyle="1" w:styleId="UnresolvedMention">
    <w:name w:val="Unresolved Mention"/>
    <w:basedOn w:val="DefaultParagraphFont"/>
    <w:uiPriority w:val="99"/>
    <w:semiHidden/>
    <w:unhideWhenUsed/>
    <w:rsid w:val="0059616D"/>
    <w:rPr>
      <w:color w:val="605E5C"/>
      <w:shd w:val="clear" w:color="auto" w:fill="E1DFDD"/>
    </w:rPr>
  </w:style>
  <w:style w:type="table" w:customStyle="1" w:styleId="TableGrid2">
    <w:name w:val="Table Grid2"/>
    <w:basedOn w:val="TableNormal"/>
    <w:next w:val="TableGrid"/>
    <w:uiPriority w:val="59"/>
    <w:rsid w:val="00FA0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96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78591">
      <w:bodyDiv w:val="1"/>
      <w:marLeft w:val="0"/>
      <w:marRight w:val="0"/>
      <w:marTop w:val="0"/>
      <w:marBottom w:val="0"/>
      <w:divBdr>
        <w:top w:val="none" w:sz="0" w:space="0" w:color="auto"/>
        <w:left w:val="none" w:sz="0" w:space="0" w:color="auto"/>
        <w:bottom w:val="none" w:sz="0" w:space="0" w:color="auto"/>
        <w:right w:val="none" w:sz="0" w:space="0" w:color="auto"/>
      </w:divBdr>
    </w:div>
    <w:div w:id="86197233">
      <w:bodyDiv w:val="1"/>
      <w:marLeft w:val="0"/>
      <w:marRight w:val="0"/>
      <w:marTop w:val="0"/>
      <w:marBottom w:val="0"/>
      <w:divBdr>
        <w:top w:val="none" w:sz="0" w:space="0" w:color="auto"/>
        <w:left w:val="none" w:sz="0" w:space="0" w:color="auto"/>
        <w:bottom w:val="none" w:sz="0" w:space="0" w:color="auto"/>
        <w:right w:val="none" w:sz="0" w:space="0" w:color="auto"/>
      </w:divBdr>
      <w:divsChild>
        <w:div w:id="705105561">
          <w:marLeft w:val="0"/>
          <w:marRight w:val="0"/>
          <w:marTop w:val="0"/>
          <w:marBottom w:val="0"/>
          <w:divBdr>
            <w:top w:val="none" w:sz="0" w:space="0" w:color="auto"/>
            <w:left w:val="none" w:sz="0" w:space="0" w:color="auto"/>
            <w:bottom w:val="none" w:sz="0" w:space="0" w:color="auto"/>
            <w:right w:val="none" w:sz="0" w:space="0" w:color="auto"/>
          </w:divBdr>
          <w:divsChild>
            <w:div w:id="352466045">
              <w:marLeft w:val="0"/>
              <w:marRight w:val="0"/>
              <w:marTop w:val="0"/>
              <w:marBottom w:val="0"/>
              <w:divBdr>
                <w:top w:val="none" w:sz="0" w:space="0" w:color="auto"/>
                <w:left w:val="none" w:sz="0" w:space="0" w:color="auto"/>
                <w:bottom w:val="none" w:sz="0" w:space="0" w:color="auto"/>
                <w:right w:val="none" w:sz="0" w:space="0" w:color="auto"/>
              </w:divBdr>
              <w:divsChild>
                <w:div w:id="1923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20887">
      <w:bodyDiv w:val="1"/>
      <w:marLeft w:val="0"/>
      <w:marRight w:val="0"/>
      <w:marTop w:val="0"/>
      <w:marBottom w:val="0"/>
      <w:divBdr>
        <w:top w:val="none" w:sz="0" w:space="0" w:color="auto"/>
        <w:left w:val="none" w:sz="0" w:space="0" w:color="auto"/>
        <w:bottom w:val="none" w:sz="0" w:space="0" w:color="auto"/>
        <w:right w:val="none" w:sz="0" w:space="0" w:color="auto"/>
      </w:divBdr>
    </w:div>
    <w:div w:id="132529174">
      <w:bodyDiv w:val="1"/>
      <w:marLeft w:val="0"/>
      <w:marRight w:val="0"/>
      <w:marTop w:val="0"/>
      <w:marBottom w:val="0"/>
      <w:divBdr>
        <w:top w:val="none" w:sz="0" w:space="0" w:color="auto"/>
        <w:left w:val="none" w:sz="0" w:space="0" w:color="auto"/>
        <w:bottom w:val="none" w:sz="0" w:space="0" w:color="auto"/>
        <w:right w:val="none" w:sz="0" w:space="0" w:color="auto"/>
      </w:divBdr>
      <w:divsChild>
        <w:div w:id="69886897">
          <w:marLeft w:val="0"/>
          <w:marRight w:val="0"/>
          <w:marTop w:val="0"/>
          <w:marBottom w:val="0"/>
          <w:divBdr>
            <w:top w:val="none" w:sz="0" w:space="0" w:color="auto"/>
            <w:left w:val="none" w:sz="0" w:space="0" w:color="auto"/>
            <w:bottom w:val="none" w:sz="0" w:space="0" w:color="auto"/>
            <w:right w:val="none" w:sz="0" w:space="0" w:color="auto"/>
          </w:divBdr>
        </w:div>
        <w:div w:id="306933785">
          <w:marLeft w:val="0"/>
          <w:marRight w:val="0"/>
          <w:marTop w:val="0"/>
          <w:marBottom w:val="0"/>
          <w:divBdr>
            <w:top w:val="none" w:sz="0" w:space="0" w:color="auto"/>
            <w:left w:val="none" w:sz="0" w:space="0" w:color="auto"/>
            <w:bottom w:val="none" w:sz="0" w:space="0" w:color="auto"/>
            <w:right w:val="none" w:sz="0" w:space="0" w:color="auto"/>
          </w:divBdr>
        </w:div>
        <w:div w:id="660079545">
          <w:marLeft w:val="0"/>
          <w:marRight w:val="0"/>
          <w:marTop w:val="0"/>
          <w:marBottom w:val="0"/>
          <w:divBdr>
            <w:top w:val="none" w:sz="0" w:space="0" w:color="auto"/>
            <w:left w:val="none" w:sz="0" w:space="0" w:color="auto"/>
            <w:bottom w:val="none" w:sz="0" w:space="0" w:color="auto"/>
            <w:right w:val="none" w:sz="0" w:space="0" w:color="auto"/>
          </w:divBdr>
        </w:div>
        <w:div w:id="714547816">
          <w:marLeft w:val="0"/>
          <w:marRight w:val="0"/>
          <w:marTop w:val="0"/>
          <w:marBottom w:val="0"/>
          <w:divBdr>
            <w:top w:val="none" w:sz="0" w:space="0" w:color="auto"/>
            <w:left w:val="none" w:sz="0" w:space="0" w:color="auto"/>
            <w:bottom w:val="none" w:sz="0" w:space="0" w:color="auto"/>
            <w:right w:val="none" w:sz="0" w:space="0" w:color="auto"/>
          </w:divBdr>
        </w:div>
        <w:div w:id="1560702750">
          <w:marLeft w:val="0"/>
          <w:marRight w:val="0"/>
          <w:marTop w:val="0"/>
          <w:marBottom w:val="0"/>
          <w:divBdr>
            <w:top w:val="none" w:sz="0" w:space="0" w:color="auto"/>
            <w:left w:val="none" w:sz="0" w:space="0" w:color="auto"/>
            <w:bottom w:val="none" w:sz="0" w:space="0" w:color="auto"/>
            <w:right w:val="none" w:sz="0" w:space="0" w:color="auto"/>
          </w:divBdr>
        </w:div>
      </w:divsChild>
    </w:div>
    <w:div w:id="188570138">
      <w:bodyDiv w:val="1"/>
      <w:marLeft w:val="0"/>
      <w:marRight w:val="0"/>
      <w:marTop w:val="0"/>
      <w:marBottom w:val="0"/>
      <w:divBdr>
        <w:top w:val="none" w:sz="0" w:space="0" w:color="auto"/>
        <w:left w:val="none" w:sz="0" w:space="0" w:color="auto"/>
        <w:bottom w:val="none" w:sz="0" w:space="0" w:color="auto"/>
        <w:right w:val="none" w:sz="0" w:space="0" w:color="auto"/>
      </w:divBdr>
    </w:div>
    <w:div w:id="198979529">
      <w:bodyDiv w:val="1"/>
      <w:marLeft w:val="0"/>
      <w:marRight w:val="0"/>
      <w:marTop w:val="0"/>
      <w:marBottom w:val="0"/>
      <w:divBdr>
        <w:top w:val="none" w:sz="0" w:space="0" w:color="auto"/>
        <w:left w:val="none" w:sz="0" w:space="0" w:color="auto"/>
        <w:bottom w:val="none" w:sz="0" w:space="0" w:color="auto"/>
        <w:right w:val="none" w:sz="0" w:space="0" w:color="auto"/>
      </w:divBdr>
    </w:div>
    <w:div w:id="225915839">
      <w:bodyDiv w:val="1"/>
      <w:marLeft w:val="0"/>
      <w:marRight w:val="0"/>
      <w:marTop w:val="0"/>
      <w:marBottom w:val="0"/>
      <w:divBdr>
        <w:top w:val="none" w:sz="0" w:space="0" w:color="auto"/>
        <w:left w:val="none" w:sz="0" w:space="0" w:color="auto"/>
        <w:bottom w:val="none" w:sz="0" w:space="0" w:color="auto"/>
        <w:right w:val="none" w:sz="0" w:space="0" w:color="auto"/>
      </w:divBdr>
    </w:div>
    <w:div w:id="496187053">
      <w:bodyDiv w:val="1"/>
      <w:marLeft w:val="0"/>
      <w:marRight w:val="0"/>
      <w:marTop w:val="0"/>
      <w:marBottom w:val="0"/>
      <w:divBdr>
        <w:top w:val="none" w:sz="0" w:space="0" w:color="auto"/>
        <w:left w:val="none" w:sz="0" w:space="0" w:color="auto"/>
        <w:bottom w:val="none" w:sz="0" w:space="0" w:color="auto"/>
        <w:right w:val="none" w:sz="0" w:space="0" w:color="auto"/>
      </w:divBdr>
      <w:divsChild>
        <w:div w:id="1777410635">
          <w:marLeft w:val="1267"/>
          <w:marRight w:val="0"/>
          <w:marTop w:val="120"/>
          <w:marBottom w:val="120"/>
          <w:divBdr>
            <w:top w:val="none" w:sz="0" w:space="0" w:color="auto"/>
            <w:left w:val="none" w:sz="0" w:space="0" w:color="auto"/>
            <w:bottom w:val="none" w:sz="0" w:space="0" w:color="auto"/>
            <w:right w:val="none" w:sz="0" w:space="0" w:color="auto"/>
          </w:divBdr>
        </w:div>
      </w:divsChild>
    </w:div>
    <w:div w:id="646978995">
      <w:bodyDiv w:val="1"/>
      <w:marLeft w:val="0"/>
      <w:marRight w:val="0"/>
      <w:marTop w:val="0"/>
      <w:marBottom w:val="0"/>
      <w:divBdr>
        <w:top w:val="none" w:sz="0" w:space="0" w:color="auto"/>
        <w:left w:val="none" w:sz="0" w:space="0" w:color="auto"/>
        <w:bottom w:val="none" w:sz="0" w:space="0" w:color="auto"/>
        <w:right w:val="none" w:sz="0" w:space="0" w:color="auto"/>
      </w:divBdr>
    </w:div>
    <w:div w:id="1257060376">
      <w:bodyDiv w:val="1"/>
      <w:marLeft w:val="0"/>
      <w:marRight w:val="0"/>
      <w:marTop w:val="0"/>
      <w:marBottom w:val="0"/>
      <w:divBdr>
        <w:top w:val="none" w:sz="0" w:space="0" w:color="auto"/>
        <w:left w:val="none" w:sz="0" w:space="0" w:color="auto"/>
        <w:bottom w:val="none" w:sz="0" w:space="0" w:color="auto"/>
        <w:right w:val="none" w:sz="0" w:space="0" w:color="auto"/>
      </w:divBdr>
    </w:div>
    <w:div w:id="1699509067">
      <w:bodyDiv w:val="1"/>
      <w:marLeft w:val="0"/>
      <w:marRight w:val="0"/>
      <w:marTop w:val="0"/>
      <w:marBottom w:val="0"/>
      <w:divBdr>
        <w:top w:val="none" w:sz="0" w:space="0" w:color="auto"/>
        <w:left w:val="none" w:sz="0" w:space="0" w:color="auto"/>
        <w:bottom w:val="none" w:sz="0" w:space="0" w:color="auto"/>
        <w:right w:val="none" w:sz="0" w:space="0" w:color="auto"/>
      </w:divBdr>
      <w:divsChild>
        <w:div w:id="398944930">
          <w:marLeft w:val="0"/>
          <w:marRight w:val="0"/>
          <w:marTop w:val="0"/>
          <w:marBottom w:val="0"/>
          <w:divBdr>
            <w:top w:val="none" w:sz="0" w:space="0" w:color="auto"/>
            <w:left w:val="none" w:sz="0" w:space="0" w:color="auto"/>
            <w:bottom w:val="none" w:sz="0" w:space="0" w:color="auto"/>
            <w:right w:val="none" w:sz="0" w:space="0" w:color="auto"/>
          </w:divBdr>
          <w:divsChild>
            <w:div w:id="607811039">
              <w:marLeft w:val="0"/>
              <w:marRight w:val="0"/>
              <w:marTop w:val="0"/>
              <w:marBottom w:val="0"/>
              <w:divBdr>
                <w:top w:val="none" w:sz="0" w:space="0" w:color="auto"/>
                <w:left w:val="none" w:sz="0" w:space="0" w:color="auto"/>
                <w:bottom w:val="none" w:sz="0" w:space="0" w:color="auto"/>
                <w:right w:val="none" w:sz="0" w:space="0" w:color="auto"/>
              </w:divBdr>
              <w:divsChild>
                <w:div w:id="21123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156168">
      <w:bodyDiv w:val="1"/>
      <w:marLeft w:val="0"/>
      <w:marRight w:val="0"/>
      <w:marTop w:val="0"/>
      <w:marBottom w:val="0"/>
      <w:divBdr>
        <w:top w:val="none" w:sz="0" w:space="0" w:color="auto"/>
        <w:left w:val="none" w:sz="0" w:space="0" w:color="auto"/>
        <w:bottom w:val="none" w:sz="0" w:space="0" w:color="auto"/>
        <w:right w:val="none" w:sz="0" w:space="0" w:color="auto"/>
      </w:divBdr>
    </w:div>
    <w:div w:id="1857232622">
      <w:bodyDiv w:val="1"/>
      <w:marLeft w:val="0"/>
      <w:marRight w:val="0"/>
      <w:marTop w:val="0"/>
      <w:marBottom w:val="0"/>
      <w:divBdr>
        <w:top w:val="none" w:sz="0" w:space="0" w:color="auto"/>
        <w:left w:val="none" w:sz="0" w:space="0" w:color="auto"/>
        <w:bottom w:val="none" w:sz="0" w:space="0" w:color="auto"/>
        <w:right w:val="none" w:sz="0" w:space="0" w:color="auto"/>
      </w:divBdr>
      <w:divsChild>
        <w:div w:id="910047399">
          <w:marLeft w:val="0"/>
          <w:marRight w:val="0"/>
          <w:marTop w:val="0"/>
          <w:marBottom w:val="0"/>
          <w:divBdr>
            <w:top w:val="none" w:sz="0" w:space="0" w:color="auto"/>
            <w:left w:val="none" w:sz="0" w:space="0" w:color="auto"/>
            <w:bottom w:val="none" w:sz="0" w:space="0" w:color="auto"/>
            <w:right w:val="none" w:sz="0" w:space="0" w:color="auto"/>
          </w:divBdr>
          <w:divsChild>
            <w:div w:id="385640660">
              <w:marLeft w:val="0"/>
              <w:marRight w:val="0"/>
              <w:marTop w:val="0"/>
              <w:marBottom w:val="0"/>
              <w:divBdr>
                <w:top w:val="none" w:sz="0" w:space="0" w:color="auto"/>
                <w:left w:val="none" w:sz="0" w:space="0" w:color="auto"/>
                <w:bottom w:val="none" w:sz="0" w:space="0" w:color="auto"/>
                <w:right w:val="none" w:sz="0" w:space="0" w:color="auto"/>
              </w:divBdr>
              <w:divsChild>
                <w:div w:id="7876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768834">
      <w:bodyDiv w:val="1"/>
      <w:marLeft w:val="0"/>
      <w:marRight w:val="0"/>
      <w:marTop w:val="0"/>
      <w:marBottom w:val="0"/>
      <w:divBdr>
        <w:top w:val="none" w:sz="0" w:space="0" w:color="auto"/>
        <w:left w:val="none" w:sz="0" w:space="0" w:color="auto"/>
        <w:bottom w:val="none" w:sz="0" w:space="0" w:color="auto"/>
        <w:right w:val="none" w:sz="0" w:space="0" w:color="auto"/>
      </w:divBdr>
    </w:div>
    <w:div w:id="2125952203">
      <w:bodyDiv w:val="1"/>
      <w:marLeft w:val="0"/>
      <w:marRight w:val="0"/>
      <w:marTop w:val="0"/>
      <w:marBottom w:val="0"/>
      <w:divBdr>
        <w:top w:val="none" w:sz="0" w:space="0" w:color="auto"/>
        <w:left w:val="none" w:sz="0" w:space="0" w:color="auto"/>
        <w:bottom w:val="none" w:sz="0" w:space="0" w:color="auto"/>
        <w:right w:val="none" w:sz="0" w:space="0" w:color="auto"/>
      </w:divBdr>
    </w:div>
    <w:div w:id="214415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117" Type="http://schemas.openxmlformats.org/officeDocument/2006/relationships/header" Target="header49.xml"/><Relationship Id="rId21" Type="http://schemas.openxmlformats.org/officeDocument/2006/relationships/header" Target="header5.xml"/><Relationship Id="rId42" Type="http://schemas.openxmlformats.org/officeDocument/2006/relationships/hyperlink" Target="https://www.cdc.gov/nonpharmaceutical-interventions/index.html" TargetMode="External"/><Relationship Id="rId47" Type="http://schemas.openxmlformats.org/officeDocument/2006/relationships/header" Target="header21.xml"/><Relationship Id="rId63" Type="http://schemas.openxmlformats.org/officeDocument/2006/relationships/header" Target="header32.xml"/><Relationship Id="rId68" Type="http://schemas.openxmlformats.org/officeDocument/2006/relationships/header" Target="header35.xml"/><Relationship Id="rId84" Type="http://schemas.openxmlformats.org/officeDocument/2006/relationships/header" Target="header45.xml"/><Relationship Id="rId89" Type="http://schemas.openxmlformats.org/officeDocument/2006/relationships/hyperlink" Target="https://www.mass.gov/mobile-integrated-health-care-and-community-ems" TargetMode="External"/><Relationship Id="rId112" Type="http://schemas.openxmlformats.org/officeDocument/2006/relationships/image" Target="media/image11.emf"/><Relationship Id="rId16" Type="http://schemas.openxmlformats.org/officeDocument/2006/relationships/footer" Target="footer1.xml"/><Relationship Id="rId107" Type="http://schemas.openxmlformats.org/officeDocument/2006/relationships/hyperlink" Target="https://www.cdc.gov/flu/pandemic-resources/pdf/2018-Influenza-Guidance.pdf" TargetMode="External"/><Relationship Id="rId11" Type="http://schemas.openxmlformats.org/officeDocument/2006/relationships/image" Target="media/image3.jpg"/><Relationship Id="rId32" Type="http://schemas.openxmlformats.org/officeDocument/2006/relationships/header" Target="header12.xml"/><Relationship Id="rId37" Type="http://schemas.openxmlformats.org/officeDocument/2006/relationships/header" Target="header16.xml"/><Relationship Id="rId53" Type="http://schemas.openxmlformats.org/officeDocument/2006/relationships/header" Target="header24.xml"/><Relationship Id="rId58" Type="http://schemas.openxmlformats.org/officeDocument/2006/relationships/header" Target="header28.xml"/><Relationship Id="rId74" Type="http://schemas.openxmlformats.org/officeDocument/2006/relationships/header" Target="header39.xml"/><Relationship Id="rId79" Type="http://schemas.openxmlformats.org/officeDocument/2006/relationships/image" Target="media/image6.png"/><Relationship Id="rId102" Type="http://schemas.openxmlformats.org/officeDocument/2006/relationships/hyperlink" Target="http://flushot.healthmap.org/admin/signup/" TargetMode="External"/><Relationship Id="rId123" Type="http://schemas.microsoft.com/office/2011/relationships/commentsExtended" Target="commentsExtended.xml"/><Relationship Id="rId5" Type="http://schemas.openxmlformats.org/officeDocument/2006/relationships/settings" Target="settings.xml"/><Relationship Id="rId61" Type="http://schemas.openxmlformats.org/officeDocument/2006/relationships/header" Target="header30.xml"/><Relationship Id="rId82" Type="http://schemas.openxmlformats.org/officeDocument/2006/relationships/header" Target="header44.xml"/><Relationship Id="rId90" Type="http://schemas.openxmlformats.org/officeDocument/2006/relationships/header" Target="header46.xml"/><Relationship Id="rId95" Type="http://schemas.openxmlformats.org/officeDocument/2006/relationships/hyperlink" Target="https://www.mass.gov/service-details/vaccine-administration-and-clinical-guidance" TargetMode="External"/><Relationship Id="rId19" Type="http://schemas.openxmlformats.org/officeDocument/2006/relationships/footer" Target="footer3.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footer" Target="footer7.xml"/><Relationship Id="rId43" Type="http://schemas.openxmlformats.org/officeDocument/2006/relationships/hyperlink" Target="https://www.medfinder.us./" TargetMode="External"/><Relationship Id="rId48" Type="http://schemas.openxmlformats.org/officeDocument/2006/relationships/hyperlink" Target="https://www.mass.gov/orgs/office-of-preparedness-and-emergency-management" TargetMode="External"/><Relationship Id="rId56" Type="http://schemas.openxmlformats.org/officeDocument/2006/relationships/footer" Target="footer11.xml"/><Relationship Id="rId64" Type="http://schemas.openxmlformats.org/officeDocument/2006/relationships/footer" Target="footer13.xml"/><Relationship Id="rId69" Type="http://schemas.openxmlformats.org/officeDocument/2006/relationships/footer" Target="footer14.xml"/><Relationship Id="rId77" Type="http://schemas.openxmlformats.org/officeDocument/2006/relationships/footer" Target="footer16.xml"/><Relationship Id="rId100" Type="http://schemas.openxmlformats.org/officeDocument/2006/relationships/hyperlink" Target="https://www.mass.gov/orgs/office-of-preparedness-and-emergency-management" TargetMode="External"/><Relationship Id="rId105" Type="http://schemas.openxmlformats.org/officeDocument/2006/relationships/hyperlink" Target="https://www.cdc.gov/flu/pandemic-resources/pdf/pan-flu-report-2017v2.pdf" TargetMode="External"/><Relationship Id="rId113" Type="http://schemas.openxmlformats.org/officeDocument/2006/relationships/hyperlink" Target="https://www.cdc.gov/flu/pandemic-resources/pdf/2018-Influenza-Guidance.pdf" TargetMode="External"/><Relationship Id="rId118" Type="http://schemas.openxmlformats.org/officeDocument/2006/relationships/header" Target="header50.xml"/><Relationship Id="rId8" Type="http://schemas.openxmlformats.org/officeDocument/2006/relationships/endnotes" Target="endnotes.xml"/><Relationship Id="rId51" Type="http://schemas.openxmlformats.org/officeDocument/2006/relationships/header" Target="header23.xml"/><Relationship Id="rId72" Type="http://schemas.openxmlformats.org/officeDocument/2006/relationships/header" Target="header38.xml"/><Relationship Id="rId80" Type="http://schemas.openxmlformats.org/officeDocument/2006/relationships/image" Target="media/image7.png"/><Relationship Id="rId85" Type="http://schemas.openxmlformats.org/officeDocument/2006/relationships/hyperlink" Target="http://dx.doi.org/10.15585/mmwr.rr6601a1" TargetMode="External"/><Relationship Id="rId93" Type="http://schemas.openxmlformats.org/officeDocument/2006/relationships/footer" Target="footer19.xml"/><Relationship Id="rId98" Type="http://schemas.openxmlformats.org/officeDocument/2006/relationships/hyperlink" Target="https://www.immunize.org/" TargetMode="External"/><Relationship Id="rId12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footer" Target="footer2.xml"/><Relationship Id="rId25" Type="http://schemas.openxmlformats.org/officeDocument/2006/relationships/header" Target="header8.xml"/><Relationship Id="rId33" Type="http://schemas.openxmlformats.org/officeDocument/2006/relationships/header" Target="header13.xml"/><Relationship Id="rId38" Type="http://schemas.openxmlformats.org/officeDocument/2006/relationships/header" Target="header17.xml"/><Relationship Id="rId46" Type="http://schemas.openxmlformats.org/officeDocument/2006/relationships/footer" Target="footer9.xml"/><Relationship Id="rId59" Type="http://schemas.openxmlformats.org/officeDocument/2006/relationships/header" Target="header29.xml"/><Relationship Id="rId67" Type="http://schemas.openxmlformats.org/officeDocument/2006/relationships/header" Target="header34.xml"/><Relationship Id="rId103" Type="http://schemas.openxmlformats.org/officeDocument/2006/relationships/hyperlink" Target="https://www.mass.gov/service-details/show-me" TargetMode="External"/><Relationship Id="rId108" Type="http://schemas.openxmlformats.org/officeDocument/2006/relationships/hyperlink" Target="https://www.cdc.gov/flu/pandemic-resources/pdf/roadmap_panflu.pdf" TargetMode="External"/><Relationship Id="rId116" Type="http://schemas.openxmlformats.org/officeDocument/2006/relationships/hyperlink" Target="https://www.cdc.gov/flu/pandemic-resources/pdf/pan-flu-report-2017v2.pdf" TargetMode="External"/><Relationship Id="rId124" Type="http://schemas.microsoft.com/office/2016/09/relationships/commentsIds" Target="commentsIds.xml"/><Relationship Id="rId20" Type="http://schemas.openxmlformats.org/officeDocument/2006/relationships/header" Target="header4.xml"/><Relationship Id="rId41" Type="http://schemas.openxmlformats.org/officeDocument/2006/relationships/hyperlink" Target="https://www.mass.gov/regulations/105-CMR-30000-reportable-diseases-surveillance-and-isolation-and-quarantine" TargetMode="External"/><Relationship Id="rId54" Type="http://schemas.openxmlformats.org/officeDocument/2006/relationships/header" Target="header25.xml"/><Relationship Id="rId62" Type="http://schemas.openxmlformats.org/officeDocument/2006/relationships/header" Target="header31.xml"/><Relationship Id="rId70" Type="http://schemas.openxmlformats.org/officeDocument/2006/relationships/header" Target="header36.xml"/><Relationship Id="rId75" Type="http://schemas.openxmlformats.org/officeDocument/2006/relationships/header" Target="header40.xml"/><Relationship Id="rId83" Type="http://schemas.openxmlformats.org/officeDocument/2006/relationships/footer" Target="footer17.xml"/><Relationship Id="rId88" Type="http://schemas.openxmlformats.org/officeDocument/2006/relationships/hyperlink" Target="https://www.mass.gov/files/documents/2019/08/05/eds-planning-guide-2019.pdf" TargetMode="External"/><Relationship Id="rId91" Type="http://schemas.openxmlformats.org/officeDocument/2006/relationships/header" Target="header47.xml"/><Relationship Id="rId96" Type="http://schemas.openxmlformats.org/officeDocument/2006/relationships/hyperlink" Target="https://www.cdc.gov/vaccines/hcp/admin/admin-protocols.html" TargetMode="External"/><Relationship Id="rId111"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hyperlink" Target="https://malegislature.gov/Laws/GeneralLaws/PartI/TitleXVI/Chapter111/Section7" TargetMode="External"/><Relationship Id="rId36" Type="http://schemas.openxmlformats.org/officeDocument/2006/relationships/header" Target="header15.xml"/><Relationship Id="rId49" Type="http://schemas.openxmlformats.org/officeDocument/2006/relationships/hyperlink" Target="https://www.mass.gov/orgs/bureau-of-infectious-disease-and-laboratory-sciences" TargetMode="External"/><Relationship Id="rId57" Type="http://schemas.openxmlformats.org/officeDocument/2006/relationships/header" Target="header27.xml"/><Relationship Id="rId106" Type="http://schemas.openxmlformats.org/officeDocument/2006/relationships/hyperlink" Target="https://www.cdc.gov/flu/pandemic-resources/pdf/roadmap_panflu.pdf" TargetMode="External"/><Relationship Id="rId114" Type="http://schemas.openxmlformats.org/officeDocument/2006/relationships/hyperlink" Target="https://www.cdc.gov/flu/pandemic-resources/pdf/roadmap_panflu.pdf" TargetMode="External"/><Relationship Id="rId119" Type="http://schemas.openxmlformats.org/officeDocument/2006/relationships/footer" Target="footer20.xml"/><Relationship Id="rId10" Type="http://schemas.openxmlformats.org/officeDocument/2006/relationships/image" Target="media/image2.jpeg"/><Relationship Id="rId31" Type="http://schemas.openxmlformats.org/officeDocument/2006/relationships/footer" Target="footer6.xml"/><Relationship Id="rId44" Type="http://schemas.openxmlformats.org/officeDocument/2006/relationships/header" Target="header19.xml"/><Relationship Id="rId52" Type="http://schemas.openxmlformats.org/officeDocument/2006/relationships/footer" Target="footer10.xml"/><Relationship Id="rId60" Type="http://schemas.openxmlformats.org/officeDocument/2006/relationships/footer" Target="footer12.xml"/><Relationship Id="rId65" Type="http://schemas.openxmlformats.org/officeDocument/2006/relationships/header" Target="header33.xml"/><Relationship Id="rId73" Type="http://schemas.openxmlformats.org/officeDocument/2006/relationships/footer" Target="footer15.xml"/><Relationship Id="rId78" Type="http://schemas.openxmlformats.org/officeDocument/2006/relationships/header" Target="header42.xml"/><Relationship Id="rId81" Type="http://schemas.openxmlformats.org/officeDocument/2006/relationships/header" Target="header43.xml"/><Relationship Id="rId86" Type="http://schemas.openxmlformats.org/officeDocument/2006/relationships/hyperlink" Target="http://dx.doi.org/10.15585/mmwr.rr6601a1" TargetMode="External"/><Relationship Id="rId94" Type="http://schemas.openxmlformats.org/officeDocument/2006/relationships/header" Target="header48.xml"/><Relationship Id="rId99" Type="http://schemas.openxmlformats.org/officeDocument/2006/relationships/hyperlink" Target="https://vaers.hhs.gov/" TargetMode="External"/><Relationship Id="rId101" Type="http://schemas.openxmlformats.org/officeDocument/2006/relationships/hyperlink" Target="https://www.mass.gov/orgs/bureau-of-infectious-disease-and-laboratory-sciences" TargetMode="External"/><Relationship Id="rId12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gif"/><Relationship Id="rId13" Type="http://schemas.openxmlformats.org/officeDocument/2006/relationships/image" Target="media/image5.jpg"/><Relationship Id="rId18" Type="http://schemas.openxmlformats.org/officeDocument/2006/relationships/header" Target="header3.xml"/><Relationship Id="rId39" Type="http://schemas.openxmlformats.org/officeDocument/2006/relationships/footer" Target="footer8.xml"/><Relationship Id="rId109" Type="http://schemas.openxmlformats.org/officeDocument/2006/relationships/image" Target="media/image8.png"/><Relationship Id="rId34" Type="http://schemas.openxmlformats.org/officeDocument/2006/relationships/header" Target="header14.xml"/><Relationship Id="rId50" Type="http://schemas.openxmlformats.org/officeDocument/2006/relationships/header" Target="header22.xml"/><Relationship Id="rId55" Type="http://schemas.openxmlformats.org/officeDocument/2006/relationships/header" Target="header26.xml"/><Relationship Id="rId76" Type="http://schemas.openxmlformats.org/officeDocument/2006/relationships/header" Target="header41.xml"/><Relationship Id="rId97" Type="http://schemas.openxmlformats.org/officeDocument/2006/relationships/hyperlink" Target="https://www.izsummitpartners.org/naiis-workgroups/influenza-workgroup/off-site-clinic-resources/" TargetMode="External"/><Relationship Id="rId104" Type="http://schemas.openxmlformats.org/officeDocument/2006/relationships/hyperlink" Target="https://www.mass.gov/files/documents/2019/08/05/eds-planning-guide-2019.pdf" TargetMode="External"/><Relationship Id="rId120" Type="http://schemas.openxmlformats.org/officeDocument/2006/relationships/header" Target="header51.xml"/><Relationship Id="rId125" Type="http://schemas.microsoft.com/office/2011/relationships/people" Target="people.xml"/><Relationship Id="rId7" Type="http://schemas.openxmlformats.org/officeDocument/2006/relationships/footnotes" Target="footnotes.xml"/><Relationship Id="rId71" Type="http://schemas.openxmlformats.org/officeDocument/2006/relationships/header" Target="header37.xml"/><Relationship Id="rId92" Type="http://schemas.openxmlformats.org/officeDocument/2006/relationships/footer" Target="footer18.xml"/><Relationship Id="rId2" Type="http://schemas.openxmlformats.org/officeDocument/2006/relationships/numbering" Target="numbering.xml"/><Relationship Id="rId29" Type="http://schemas.openxmlformats.org/officeDocument/2006/relationships/header" Target="header10.xml"/><Relationship Id="rId24" Type="http://schemas.openxmlformats.org/officeDocument/2006/relationships/header" Target="header7.xml"/><Relationship Id="rId40" Type="http://schemas.openxmlformats.org/officeDocument/2006/relationships/header" Target="header18.xml"/><Relationship Id="rId45" Type="http://schemas.openxmlformats.org/officeDocument/2006/relationships/header" Target="header20.xml"/><Relationship Id="rId66" Type="http://schemas.openxmlformats.org/officeDocument/2006/relationships/hyperlink" Target="https://www.mass.gov/regulations/105-CMR-30000-reportable-diseases-surveillance-and-isolation-and-quarantine" TargetMode="External"/><Relationship Id="rId87" Type="http://schemas.openxmlformats.org/officeDocument/2006/relationships/hyperlink" Target="http://www.mamedicalreservecorps.org/" TargetMode="External"/><Relationship Id="rId110" Type="http://schemas.openxmlformats.org/officeDocument/2006/relationships/image" Target="media/image9.emf"/><Relationship Id="rId115" Type="http://schemas.openxmlformats.org/officeDocument/2006/relationships/hyperlink" Target="https://www.cdc.gov/flu/pandemic-resources/pdf/2018-Influenza-Checkli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69E5D-DF4C-49BF-A753-D8065813F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75</Pages>
  <Words>23052</Words>
  <Characters>131402</Characters>
  <Application>Microsoft Office Word</Application>
  <DocSecurity>4</DocSecurity>
  <Lines>1095</Lines>
  <Paragraphs>308</Paragraphs>
  <ScaleCrop>false</ScaleCrop>
  <HeadingPairs>
    <vt:vector size="2" baseType="variant">
      <vt:variant>
        <vt:lpstr>Title</vt:lpstr>
      </vt:variant>
      <vt:variant>
        <vt:i4>1</vt:i4>
      </vt:variant>
    </vt:vector>
  </HeadingPairs>
  <TitlesOfParts>
    <vt:vector size="1" baseType="lpstr">
      <vt:lpstr/>
    </vt:vector>
  </TitlesOfParts>
  <Company>Harvard School of Public Health</Company>
  <LinksUpToDate>false</LinksUpToDate>
  <CharactersWithSpaces>154146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MacLeod, Tavish (DPH)</dc:creator>
  <cp:lastModifiedBy> milesky</cp:lastModifiedBy>
  <cp:revision>2</cp:revision>
  <cp:lastPrinted>2020-02-24T17:25:00Z</cp:lastPrinted>
  <dcterms:created xsi:type="dcterms:W3CDTF">2020-02-24T19:11:00Z</dcterms:created>
  <dcterms:modified xsi:type="dcterms:W3CDTF">2020-02-24T19:11:00Z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