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649B8A" w14:textId="77777777" w:rsidR="0049064D" w:rsidRPr="000E56C9" w:rsidRDefault="0049064D" w:rsidP="0000373B">
      <w:pPr>
        <w:keepNext/>
        <w:keepLines/>
        <w:spacing w:before="240" w:after="0" w:line="240" w:lineRule="auto"/>
        <w:jc w:val="center"/>
        <w:outlineLvl w:val="0"/>
        <w:rPr>
          <w:rFonts w:ascii="Arial" w:eastAsiaTheme="majorEastAsia" w:hAnsi="Arial" w:cs="Arial"/>
          <w:b/>
          <w:bCs/>
          <w:color w:val="055994"/>
        </w:rPr>
      </w:pPr>
      <w:r w:rsidRPr="000E56C9">
        <w:rPr>
          <w:rFonts w:ascii="Arial" w:eastAsiaTheme="majorEastAsia" w:hAnsi="Arial" w:cs="Arial"/>
          <w:b/>
          <w:bCs/>
          <w:color w:val="055994"/>
        </w:rPr>
        <w:t>MDPH Recommended Steps for Collecting Gonorrhea Culture</w:t>
      </w:r>
    </w:p>
    <w:p w14:paraId="01AFFBC4" w14:textId="77777777" w:rsidR="0049064D" w:rsidRPr="000E56C9" w:rsidRDefault="0049064D" w:rsidP="0000373B">
      <w:pPr>
        <w:spacing w:line="240" w:lineRule="auto"/>
        <w:rPr>
          <w:rFonts w:ascii="Arial" w:hAnsi="Arial" w:cs="Arial"/>
        </w:rPr>
      </w:pPr>
    </w:p>
    <w:p w14:paraId="575A40C7" w14:textId="77777777" w:rsidR="0049064D" w:rsidRPr="000E56C9" w:rsidRDefault="0049064D" w:rsidP="0000373B">
      <w:pPr>
        <w:spacing w:line="240" w:lineRule="auto"/>
        <w:rPr>
          <w:rFonts w:ascii="Arial" w:hAnsi="Arial" w:cs="Arial"/>
        </w:rPr>
      </w:pPr>
      <w:r w:rsidRPr="000E56C9">
        <w:rPr>
          <w:rFonts w:ascii="Arial" w:hAnsi="Arial" w:cs="Arial"/>
          <w:b/>
          <w:bCs/>
        </w:rPr>
        <w:t>Background</w:t>
      </w:r>
      <w:r w:rsidRPr="000E56C9">
        <w:rPr>
          <w:rFonts w:ascii="Arial" w:hAnsi="Arial" w:cs="Arial"/>
        </w:rPr>
        <w:t xml:space="preserve">: In most clinical settings, screening for </w:t>
      </w:r>
      <w:r w:rsidRPr="000E56C9">
        <w:rPr>
          <w:rFonts w:ascii="Arial" w:hAnsi="Arial" w:cs="Arial"/>
          <w:i/>
          <w:iCs/>
        </w:rPr>
        <w:t>Neisseria gonorrhoeae</w:t>
      </w:r>
      <w:r w:rsidRPr="000E56C9">
        <w:rPr>
          <w:rFonts w:ascii="Arial" w:hAnsi="Arial" w:cs="Arial"/>
        </w:rPr>
        <w:t xml:space="preserve"> (NG) is done by nucleic acid amplification testing (NAAT), together with NAAT for </w:t>
      </w:r>
      <w:r w:rsidRPr="000E56C9">
        <w:rPr>
          <w:rFonts w:ascii="Arial" w:hAnsi="Arial" w:cs="Arial"/>
          <w:i/>
          <w:iCs/>
        </w:rPr>
        <w:t xml:space="preserve">Chlamydia trachomatis </w:t>
      </w:r>
      <w:r w:rsidRPr="000E56C9">
        <w:rPr>
          <w:rFonts w:ascii="Arial" w:hAnsi="Arial" w:cs="Arial"/>
        </w:rPr>
        <w:t>(CT). This testing is sensitive and remains the recommended method for NG screening.</w:t>
      </w:r>
    </w:p>
    <w:p w14:paraId="3C740370" w14:textId="657863D2" w:rsidR="0049064D" w:rsidRPr="000E56C9" w:rsidRDefault="0049064D" w:rsidP="0000373B">
      <w:pPr>
        <w:spacing w:line="240" w:lineRule="auto"/>
        <w:rPr>
          <w:rFonts w:ascii="Arial" w:hAnsi="Arial" w:cs="Arial"/>
        </w:rPr>
      </w:pPr>
      <w:r w:rsidRPr="000E56C9">
        <w:rPr>
          <w:rFonts w:ascii="Arial" w:hAnsi="Arial" w:cs="Arial"/>
        </w:rPr>
        <w:t xml:space="preserve">Recently, due to a concerning strain of gonorrhea found in Massachusetts, MDPH is now recommending culture </w:t>
      </w:r>
      <w:r w:rsidRPr="000E56C9">
        <w:rPr>
          <w:rFonts w:ascii="Arial" w:hAnsi="Arial" w:cs="Arial"/>
          <w:b/>
          <w:bCs/>
          <w:i/>
          <w:iCs/>
        </w:rPr>
        <w:t>in addition</w:t>
      </w:r>
      <w:r w:rsidRPr="000E56C9">
        <w:rPr>
          <w:rFonts w:ascii="Arial" w:hAnsi="Arial" w:cs="Arial"/>
        </w:rPr>
        <w:t xml:space="preserve"> to NAAT for symptomatic individuals.</w:t>
      </w:r>
      <w:r w:rsidRPr="000E56C9">
        <w:rPr>
          <w:rStyle w:val="FootnoteReference"/>
          <w:rFonts w:ascii="Arial" w:hAnsi="Arial" w:cs="Arial"/>
        </w:rPr>
        <w:footnoteReference w:id="1"/>
      </w:r>
      <w:r w:rsidRPr="000E56C9">
        <w:rPr>
          <w:rFonts w:ascii="Arial" w:hAnsi="Arial" w:cs="Arial"/>
        </w:rPr>
        <w:t xml:space="preserve"> This guide is to aid clinicians in culture collection but does not replace instructions provided by a clinician’s healthcare organization or laboratory.</w:t>
      </w:r>
    </w:p>
    <w:p w14:paraId="49B4B4CE" w14:textId="02342CC6" w:rsidR="0049064D" w:rsidRPr="000E56C9" w:rsidRDefault="0049064D" w:rsidP="0000373B">
      <w:pPr>
        <w:numPr>
          <w:ilvl w:val="0"/>
          <w:numId w:val="2"/>
        </w:numPr>
        <w:spacing w:line="240" w:lineRule="auto"/>
        <w:ind w:left="360"/>
        <w:contextualSpacing/>
        <w:rPr>
          <w:rFonts w:ascii="Arial" w:hAnsi="Arial" w:cs="Arial"/>
          <w:b/>
          <w:bCs/>
        </w:rPr>
      </w:pPr>
      <w:r w:rsidRPr="000E56C9">
        <w:rPr>
          <w:rFonts w:ascii="Arial" w:hAnsi="Arial" w:cs="Arial"/>
          <w:b/>
          <w:bCs/>
        </w:rPr>
        <w:t>Contact your microbiology lab or lab liaison to confirm which collection kit or supplies should be used for gonorrhea culture collection.</w:t>
      </w:r>
    </w:p>
    <w:p w14:paraId="26A65184" w14:textId="77777777" w:rsidR="008B229D" w:rsidRPr="000E56C9" w:rsidRDefault="008B229D" w:rsidP="0000373B">
      <w:pPr>
        <w:spacing w:line="240" w:lineRule="auto"/>
        <w:ind w:left="360"/>
        <w:contextualSpacing/>
        <w:rPr>
          <w:rFonts w:ascii="Arial" w:hAnsi="Arial" w:cs="Arial"/>
          <w:b/>
          <w:bCs/>
        </w:rPr>
      </w:pPr>
    </w:p>
    <w:p w14:paraId="348929DD" w14:textId="77777777" w:rsidR="0049064D" w:rsidRPr="000E56C9" w:rsidRDefault="0049064D" w:rsidP="0000373B">
      <w:pPr>
        <w:spacing w:line="240" w:lineRule="auto"/>
        <w:rPr>
          <w:rFonts w:ascii="Arial" w:hAnsi="Arial" w:cs="Arial"/>
        </w:rPr>
      </w:pPr>
      <w:r w:rsidRPr="000E56C9">
        <w:rPr>
          <w:rFonts w:ascii="Arial" w:hAnsi="Arial" w:cs="Arial"/>
        </w:rPr>
        <w:t>For example, a non-nutritive swab transport system may be used for culture collection (</w:t>
      </w:r>
      <w:proofErr w:type="gramStart"/>
      <w:r w:rsidRPr="000E56C9">
        <w:rPr>
          <w:rFonts w:ascii="Arial" w:hAnsi="Arial" w:cs="Arial"/>
        </w:rPr>
        <w:t>e.g.</w:t>
      </w:r>
      <w:proofErr w:type="gramEnd"/>
      <w:r w:rsidRPr="000E56C9">
        <w:rPr>
          <w:rFonts w:ascii="Arial" w:hAnsi="Arial" w:cs="Arial"/>
        </w:rPr>
        <w:t xml:space="preserve"> Amies agar gel or liquid). These swabs may maintain gonococcal viability for up to 24 hours in ambient temperatures.</w:t>
      </w:r>
    </w:p>
    <w:p w14:paraId="0D17D3C3" w14:textId="77777777" w:rsidR="0049064D" w:rsidRPr="000E56C9" w:rsidRDefault="0049064D" w:rsidP="0000373B">
      <w:pPr>
        <w:spacing w:line="240" w:lineRule="auto"/>
        <w:rPr>
          <w:rFonts w:ascii="Arial" w:hAnsi="Arial" w:cs="Arial"/>
        </w:rPr>
      </w:pPr>
      <w:r w:rsidRPr="000E56C9">
        <w:rPr>
          <w:rFonts w:ascii="Arial" w:hAnsi="Arial" w:cs="Arial"/>
          <w:b/>
          <w:bCs/>
        </w:rPr>
        <w:t>Important note:</w:t>
      </w:r>
      <w:r w:rsidRPr="000E56C9">
        <w:rPr>
          <w:rFonts w:ascii="Arial" w:hAnsi="Arial" w:cs="Arial"/>
        </w:rPr>
        <w:t xml:space="preserve"> Do not use NG/CT NAAT collection kits for culture. Sample preservative found in NAAT collection kits is different than the transport media used for culture collection.</w:t>
      </w:r>
    </w:p>
    <w:p w14:paraId="66239676" w14:textId="11CD64DD" w:rsidR="0049064D" w:rsidRPr="000E56C9" w:rsidRDefault="0049064D" w:rsidP="0000373B">
      <w:pPr>
        <w:numPr>
          <w:ilvl w:val="0"/>
          <w:numId w:val="2"/>
        </w:numPr>
        <w:spacing w:line="240" w:lineRule="auto"/>
        <w:ind w:left="360"/>
        <w:contextualSpacing/>
        <w:rPr>
          <w:rFonts w:ascii="Arial" w:hAnsi="Arial" w:cs="Arial"/>
          <w:b/>
          <w:bCs/>
        </w:rPr>
      </w:pPr>
      <w:r w:rsidRPr="000E56C9">
        <w:rPr>
          <w:rFonts w:ascii="Arial" w:hAnsi="Arial" w:cs="Arial"/>
          <w:b/>
          <w:bCs/>
        </w:rPr>
        <w:t xml:space="preserve">Collect samples from patients suspected of having gonorrhea. </w:t>
      </w:r>
    </w:p>
    <w:p w14:paraId="0FA32E4E" w14:textId="77777777" w:rsidR="008B229D" w:rsidRPr="000E56C9" w:rsidRDefault="008B229D" w:rsidP="0000373B">
      <w:pPr>
        <w:spacing w:line="240" w:lineRule="auto"/>
        <w:ind w:left="360"/>
        <w:contextualSpacing/>
        <w:rPr>
          <w:rFonts w:ascii="Arial" w:hAnsi="Arial" w:cs="Arial"/>
          <w:b/>
          <w:bCs/>
        </w:rPr>
      </w:pPr>
    </w:p>
    <w:p w14:paraId="7E5016AA" w14:textId="7059BF98" w:rsidR="0049064D" w:rsidRPr="000E56C9" w:rsidRDefault="0049064D" w:rsidP="0000373B">
      <w:pPr>
        <w:spacing w:line="240" w:lineRule="auto"/>
        <w:rPr>
          <w:rFonts w:ascii="Arial" w:hAnsi="Arial" w:cs="Arial"/>
        </w:rPr>
      </w:pPr>
      <w:r w:rsidRPr="000E56C9">
        <w:rPr>
          <w:rFonts w:ascii="Arial" w:hAnsi="Arial" w:cs="Arial"/>
        </w:rPr>
        <w:t>Gonorrhea can cause infection at urogenital sites</w:t>
      </w:r>
      <w:r w:rsidR="00D76BED" w:rsidRPr="000E56C9">
        <w:rPr>
          <w:rFonts w:ascii="Arial" w:hAnsi="Arial" w:cs="Arial"/>
        </w:rPr>
        <w:t xml:space="preserve"> </w:t>
      </w:r>
      <w:r w:rsidRPr="000E56C9">
        <w:rPr>
          <w:rFonts w:ascii="Arial" w:hAnsi="Arial" w:cs="Arial"/>
        </w:rPr>
        <w:t>as well as extragenital sites</w:t>
      </w:r>
      <w:r w:rsidR="00D76BED" w:rsidRPr="000E56C9">
        <w:rPr>
          <w:rFonts w:ascii="Arial" w:hAnsi="Arial" w:cs="Arial"/>
        </w:rPr>
        <w:t xml:space="preserve">. </w:t>
      </w:r>
      <w:r w:rsidRPr="000E56C9">
        <w:rPr>
          <w:rFonts w:ascii="Arial" w:hAnsi="Arial" w:cs="Arial"/>
        </w:rPr>
        <w:t xml:space="preserve">NG/CT NAAT should be collected for all sexually exposed sites. </w:t>
      </w:r>
    </w:p>
    <w:p w14:paraId="618263E1" w14:textId="370D5E23" w:rsidR="0049064D" w:rsidRPr="000E56C9" w:rsidRDefault="0049064D" w:rsidP="0000373B">
      <w:pPr>
        <w:spacing w:line="240" w:lineRule="auto"/>
        <w:rPr>
          <w:rFonts w:ascii="Arial" w:hAnsi="Arial" w:cs="Arial"/>
        </w:rPr>
      </w:pPr>
      <w:r w:rsidRPr="000E56C9">
        <w:rPr>
          <w:rFonts w:ascii="Arial" w:hAnsi="Arial" w:cs="Arial"/>
        </w:rPr>
        <w:t xml:space="preserve">If patient is symptomatic, collect </w:t>
      </w:r>
      <w:r w:rsidRPr="000E56C9">
        <w:rPr>
          <w:rFonts w:ascii="Arial" w:hAnsi="Arial" w:cs="Arial"/>
          <w:u w:val="single"/>
        </w:rPr>
        <w:t>two swabs</w:t>
      </w:r>
      <w:r w:rsidRPr="000E56C9">
        <w:rPr>
          <w:rFonts w:ascii="Arial" w:hAnsi="Arial" w:cs="Arial"/>
        </w:rPr>
        <w:t xml:space="preserve"> for every symptomatic site – one for NAAT and one for culture – using swabs usually provided in the collection kits. While certain NAAT collection platforms are approved for self-collection, culture is only approved for collection by a clinician. </w:t>
      </w:r>
    </w:p>
    <w:p w14:paraId="623E8CC6" w14:textId="77777777" w:rsidR="0049064D" w:rsidRPr="000E56C9" w:rsidRDefault="0049064D" w:rsidP="0000373B">
      <w:pPr>
        <w:spacing w:line="240" w:lineRule="auto"/>
        <w:rPr>
          <w:rFonts w:ascii="Arial" w:hAnsi="Arial" w:cs="Arial"/>
        </w:rPr>
      </w:pPr>
      <w:r w:rsidRPr="000E56C9">
        <w:rPr>
          <w:rFonts w:ascii="Arial" w:hAnsi="Arial" w:cs="Arial"/>
        </w:rPr>
        <w:t>Yield from gonococcal culture may be improved by:</w:t>
      </w:r>
    </w:p>
    <w:p w14:paraId="62257F7B" w14:textId="7F5D80AD" w:rsidR="00733F09" w:rsidRPr="00733F09" w:rsidRDefault="0049064D" w:rsidP="0000373B">
      <w:pPr>
        <w:numPr>
          <w:ilvl w:val="0"/>
          <w:numId w:val="3"/>
        </w:numPr>
        <w:spacing w:line="240" w:lineRule="auto"/>
        <w:contextualSpacing/>
        <w:rPr>
          <w:rFonts w:ascii="Arial" w:hAnsi="Arial" w:cs="Arial"/>
        </w:rPr>
      </w:pPr>
      <w:r w:rsidRPr="000E56C9">
        <w:rPr>
          <w:rFonts w:ascii="Arial" w:hAnsi="Arial" w:cs="Arial"/>
        </w:rPr>
        <w:t xml:space="preserve">obtaining the gonorrhea culture swab </w:t>
      </w:r>
      <w:r w:rsidRPr="000E56C9">
        <w:rPr>
          <w:rFonts w:ascii="Arial" w:hAnsi="Arial" w:cs="Arial"/>
          <w:i/>
          <w:iCs/>
        </w:rPr>
        <w:t>first.</w:t>
      </w:r>
      <w:r w:rsidRPr="000E56C9">
        <w:rPr>
          <w:rFonts w:ascii="Arial" w:hAnsi="Arial" w:cs="Arial"/>
        </w:rPr>
        <w:t xml:space="preserve"> In practice, this may not be feasible, or you may choose to collect swabs simultaneously for NAAT and culture. </w:t>
      </w:r>
      <w:r w:rsidR="0000373B">
        <w:rPr>
          <w:rFonts w:ascii="Arial" w:hAnsi="Arial" w:cs="Arial"/>
        </w:rPr>
        <w:br/>
      </w:r>
    </w:p>
    <w:p w14:paraId="0D9636F5" w14:textId="7235285D" w:rsidR="0049064D" w:rsidRPr="000E56C9" w:rsidRDefault="0049064D" w:rsidP="0000373B">
      <w:pPr>
        <w:numPr>
          <w:ilvl w:val="0"/>
          <w:numId w:val="3"/>
        </w:numPr>
        <w:spacing w:line="240" w:lineRule="auto"/>
        <w:contextualSpacing/>
        <w:rPr>
          <w:rFonts w:ascii="Arial" w:hAnsi="Arial" w:cs="Arial"/>
        </w:rPr>
      </w:pPr>
      <w:r w:rsidRPr="000E56C9">
        <w:rPr>
          <w:rFonts w:ascii="Arial" w:hAnsi="Arial" w:cs="Arial"/>
        </w:rPr>
        <w:t xml:space="preserve">increasing the contact time between the swab and the mucosal surface being sampled. You may need a minimum of 10-15 seconds of contact, similar to the way NAAT is collected. </w:t>
      </w:r>
    </w:p>
    <w:p w14:paraId="7C5A6BFF" w14:textId="77777777" w:rsidR="008B229D" w:rsidRPr="000E56C9" w:rsidRDefault="008B229D" w:rsidP="0000373B">
      <w:pPr>
        <w:spacing w:line="240" w:lineRule="auto"/>
        <w:ind w:left="720"/>
        <w:contextualSpacing/>
        <w:rPr>
          <w:rFonts w:ascii="Arial" w:hAnsi="Arial" w:cs="Arial"/>
        </w:rPr>
      </w:pPr>
    </w:p>
    <w:p w14:paraId="56C711D8" w14:textId="77777777" w:rsidR="0049064D" w:rsidRPr="000E56C9" w:rsidRDefault="0049064D" w:rsidP="0000373B">
      <w:pPr>
        <w:spacing w:line="240" w:lineRule="auto"/>
        <w:rPr>
          <w:rFonts w:ascii="Arial" w:hAnsi="Arial" w:cs="Arial"/>
          <w:b/>
          <w:bCs/>
        </w:rPr>
      </w:pPr>
      <w:r w:rsidRPr="000E56C9">
        <w:rPr>
          <w:rFonts w:ascii="Arial" w:hAnsi="Arial" w:cs="Arial"/>
          <w:b/>
          <w:bCs/>
        </w:rPr>
        <w:t xml:space="preserve">Important note: </w:t>
      </w:r>
      <w:r w:rsidRPr="000E56C9">
        <w:rPr>
          <w:rFonts w:ascii="Arial" w:hAnsi="Arial" w:cs="Arial"/>
        </w:rPr>
        <w:t xml:space="preserve"> If a patient has urinary symptoms involving the penis, a urethral meatal swab for culture can be performed on the verge of the urethral opening (tip of the penis) or from urethral discharge. Gonorrhea can also be cultured from urine if the specimen is received and processed promptly (within hours of collection). </w:t>
      </w:r>
      <w:r w:rsidRPr="000E56C9">
        <w:rPr>
          <w:rFonts w:ascii="Arial" w:hAnsi="Arial" w:cs="Arial"/>
          <w:i/>
          <w:iCs/>
        </w:rPr>
        <w:t>Rule out gonorrhea, in addition to other pathogens</w:t>
      </w:r>
      <w:r w:rsidRPr="000E56C9">
        <w:rPr>
          <w:rFonts w:ascii="Arial" w:hAnsi="Arial" w:cs="Arial"/>
        </w:rPr>
        <w:t xml:space="preserve"> should be specified on the urine culture lab order. </w:t>
      </w:r>
    </w:p>
    <w:p w14:paraId="2E047831" w14:textId="33EE0B5A" w:rsidR="0049064D" w:rsidRPr="000E56C9" w:rsidRDefault="0049064D" w:rsidP="0000373B">
      <w:pPr>
        <w:numPr>
          <w:ilvl w:val="0"/>
          <w:numId w:val="2"/>
        </w:numPr>
        <w:spacing w:line="240" w:lineRule="auto"/>
        <w:ind w:left="360"/>
        <w:contextualSpacing/>
        <w:rPr>
          <w:rFonts w:ascii="Arial" w:hAnsi="Arial" w:cs="Arial"/>
          <w:b/>
          <w:bCs/>
        </w:rPr>
      </w:pPr>
      <w:r w:rsidRPr="000E56C9">
        <w:rPr>
          <w:rFonts w:ascii="Arial" w:hAnsi="Arial" w:cs="Arial"/>
          <w:b/>
          <w:bCs/>
        </w:rPr>
        <w:t xml:space="preserve">Ensure culture samples arrive to the microbiology lab as soon as possible, within 24 hours. </w:t>
      </w:r>
    </w:p>
    <w:p w14:paraId="4E363CF5" w14:textId="77777777" w:rsidR="008B229D" w:rsidRPr="000E56C9" w:rsidRDefault="008B229D" w:rsidP="0000373B">
      <w:pPr>
        <w:spacing w:line="240" w:lineRule="auto"/>
        <w:ind w:left="360"/>
        <w:contextualSpacing/>
        <w:rPr>
          <w:rFonts w:ascii="Arial" w:hAnsi="Arial" w:cs="Arial"/>
          <w:b/>
          <w:bCs/>
        </w:rPr>
      </w:pPr>
    </w:p>
    <w:p w14:paraId="7C83B8C7" w14:textId="56F2CE67" w:rsidR="0049064D" w:rsidRPr="000E56C9" w:rsidRDefault="0049064D" w:rsidP="0000373B">
      <w:pPr>
        <w:spacing w:line="240" w:lineRule="auto"/>
        <w:rPr>
          <w:rFonts w:ascii="Arial" w:hAnsi="Arial" w:cs="Arial"/>
        </w:rPr>
      </w:pPr>
      <w:r w:rsidRPr="000E56C9">
        <w:rPr>
          <w:rFonts w:ascii="Arial" w:hAnsi="Arial" w:cs="Arial"/>
        </w:rPr>
        <w:t xml:space="preserve">Yield may be improved the sooner the specimen is received. </w:t>
      </w:r>
      <w:r w:rsidR="00CD2790">
        <w:rPr>
          <w:rFonts w:ascii="Arial" w:hAnsi="Arial" w:cs="Arial"/>
        </w:rPr>
        <w:t>Arrange</w:t>
      </w:r>
      <w:r w:rsidRPr="000E56C9">
        <w:rPr>
          <w:rFonts w:ascii="Arial" w:hAnsi="Arial" w:cs="Arial"/>
        </w:rPr>
        <w:t xml:space="preserve"> an extra lab pick up</w:t>
      </w:r>
      <w:r w:rsidR="002444C5">
        <w:rPr>
          <w:rFonts w:ascii="Arial" w:hAnsi="Arial" w:cs="Arial"/>
        </w:rPr>
        <w:t xml:space="preserve"> as needed</w:t>
      </w:r>
      <w:r w:rsidRPr="000E56C9">
        <w:rPr>
          <w:rFonts w:ascii="Arial" w:hAnsi="Arial" w:cs="Arial"/>
        </w:rPr>
        <w:t xml:space="preserve">. </w:t>
      </w:r>
    </w:p>
    <w:p w14:paraId="7C4E317C" w14:textId="069FB840" w:rsidR="009A0E1D" w:rsidRPr="000E56C9" w:rsidRDefault="0049064D" w:rsidP="0000373B">
      <w:pPr>
        <w:spacing w:line="240" w:lineRule="auto"/>
        <w:rPr>
          <w:rFonts w:ascii="Arial" w:hAnsi="Arial" w:cs="Arial"/>
        </w:rPr>
      </w:pPr>
      <w:r w:rsidRPr="000E56C9">
        <w:rPr>
          <w:rFonts w:ascii="Arial" w:hAnsi="Arial" w:cs="Arial"/>
          <w:b/>
          <w:bCs/>
        </w:rPr>
        <w:t>Important note:</w:t>
      </w:r>
      <w:r w:rsidRPr="000E56C9">
        <w:rPr>
          <w:rFonts w:ascii="Arial" w:hAnsi="Arial" w:cs="Arial"/>
        </w:rPr>
        <w:t xml:space="preserve"> Do not refrigerate gonorrhea culture samples – samples are best kept at room temperature before and during transport to the lab and should not be left outside in cold weather pending pick up. </w:t>
      </w:r>
    </w:p>
    <w:sectPr w:rsidR="009A0E1D" w:rsidRPr="000E56C9" w:rsidSect="0049064D">
      <w:footerReference w:type="default" r:id="rId8"/>
      <w:pgSz w:w="12240" w:h="15840"/>
      <w:pgMar w:top="720" w:right="1008" w:bottom="720" w:left="1008"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7C5D8" w14:textId="77777777" w:rsidR="00FA333E" w:rsidRDefault="00FA333E" w:rsidP="0049064D">
      <w:pPr>
        <w:spacing w:after="0" w:line="240" w:lineRule="auto"/>
      </w:pPr>
      <w:r>
        <w:separator/>
      </w:r>
    </w:p>
  </w:endnote>
  <w:endnote w:type="continuationSeparator" w:id="0">
    <w:p w14:paraId="1885E655" w14:textId="77777777" w:rsidR="00FA333E" w:rsidRDefault="00FA333E" w:rsidP="004906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TC Franklin Gothic Std Bk Cd">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401A8" w14:textId="392F700C" w:rsidR="00D33B38" w:rsidRPr="00B0225B" w:rsidRDefault="0033755C" w:rsidP="00F92FFF">
    <w:pPr>
      <w:pStyle w:val="Footer"/>
      <w:rPr>
        <w:rFonts w:ascii="Arial" w:hAnsi="Arial" w:cs="Arial"/>
        <w:sz w:val="18"/>
        <w:szCs w:val="18"/>
      </w:rPr>
    </w:pPr>
    <w:r>
      <w:rPr>
        <w:rFonts w:ascii="Arial" w:hAnsi="Arial" w:cs="Arial"/>
        <w:sz w:val="18"/>
        <w:szCs w:val="18"/>
      </w:rPr>
      <w:br/>
    </w:r>
    <w:r w:rsidR="0049064D" w:rsidRPr="00B0225B">
      <w:rPr>
        <w:rFonts w:ascii="Arial" w:hAnsi="Arial" w:cs="Arial"/>
        <w:sz w:val="18"/>
        <w:szCs w:val="18"/>
      </w:rPr>
      <w:t>Massachusetts Department of Public Health</w:t>
    </w:r>
  </w:p>
  <w:p w14:paraId="171A88E6" w14:textId="5F0B5C0B" w:rsidR="003545E5" w:rsidRPr="00B0225B" w:rsidRDefault="00FA333E" w:rsidP="00F92FFF">
    <w:pPr>
      <w:pStyle w:val="Footer"/>
      <w:rPr>
        <w:rFonts w:ascii="Arial" w:hAnsi="Arial" w:cs="Arial"/>
        <w:sz w:val="18"/>
        <w:szCs w:val="18"/>
      </w:rPr>
    </w:pPr>
    <w:hyperlink r:id="rId1" w:history="1">
      <w:r w:rsidR="00F92FFF" w:rsidRPr="00B0225B">
        <w:rPr>
          <w:rStyle w:val="Hyperlink"/>
          <w:rFonts w:ascii="Arial" w:hAnsi="Arial" w:cs="Arial"/>
          <w:sz w:val="18"/>
          <w:szCs w:val="18"/>
        </w:rPr>
        <w:t>www.mass.gov/sexually-transmitted-diseases-std</w:t>
      </w:r>
    </w:hyperlink>
  </w:p>
  <w:p w14:paraId="395C98C8" w14:textId="17E4162B" w:rsidR="004E4ED6" w:rsidRPr="00B0225B" w:rsidRDefault="00F92FFF" w:rsidP="00477555">
    <w:pPr>
      <w:pStyle w:val="Footer"/>
      <w:rPr>
        <w:rFonts w:ascii="Arial" w:hAnsi="Arial" w:cs="Arial"/>
        <w:sz w:val="18"/>
        <w:szCs w:val="18"/>
      </w:rPr>
    </w:pPr>
    <w:r w:rsidRPr="00B0225B">
      <w:rPr>
        <w:rFonts w:ascii="Arial" w:hAnsi="Arial" w:cs="Arial"/>
        <w:sz w:val="18"/>
        <w:szCs w:val="18"/>
      </w:rPr>
      <w:t xml:space="preserve">Version 4/2023        </w:t>
    </w:r>
  </w:p>
  <w:p w14:paraId="0143DF1E" w14:textId="77777777" w:rsidR="0049064D" w:rsidRPr="00477555" w:rsidRDefault="0049064D">
    <w:pPr>
      <w:pStyle w:val="Footer"/>
      <w:rPr>
        <w:rFonts w:ascii="ITC Franklin Gothic Std Bk Cd" w:hAnsi="ITC Franklin Gothic Std Bk Cd"/>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4775D1" w14:textId="77777777" w:rsidR="00FA333E" w:rsidRDefault="00FA333E" w:rsidP="0049064D">
      <w:pPr>
        <w:spacing w:after="0" w:line="240" w:lineRule="auto"/>
      </w:pPr>
      <w:r>
        <w:separator/>
      </w:r>
    </w:p>
  </w:footnote>
  <w:footnote w:type="continuationSeparator" w:id="0">
    <w:p w14:paraId="68738DAA" w14:textId="77777777" w:rsidR="00FA333E" w:rsidRDefault="00FA333E" w:rsidP="0049064D">
      <w:pPr>
        <w:spacing w:after="0" w:line="240" w:lineRule="auto"/>
      </w:pPr>
      <w:r>
        <w:continuationSeparator/>
      </w:r>
    </w:p>
  </w:footnote>
  <w:footnote w:id="1">
    <w:p w14:paraId="5E29DAE4" w14:textId="127F2C0C" w:rsidR="00477555" w:rsidRPr="00622242" w:rsidRDefault="0049064D">
      <w:pPr>
        <w:pStyle w:val="FootnoteText"/>
        <w:rPr>
          <w:rFonts w:ascii="Arial" w:hAnsi="Arial" w:cs="Arial"/>
          <w:color w:val="0000FF"/>
          <w:sz w:val="18"/>
          <w:szCs w:val="18"/>
          <w:u w:val="single"/>
        </w:rPr>
      </w:pPr>
      <w:r w:rsidRPr="00622242">
        <w:rPr>
          <w:rStyle w:val="FootnoteReference"/>
          <w:rFonts w:ascii="Arial" w:hAnsi="Arial" w:cs="Arial"/>
          <w:sz w:val="18"/>
          <w:szCs w:val="18"/>
        </w:rPr>
        <w:footnoteRef/>
      </w:r>
      <w:r w:rsidRPr="00622242">
        <w:rPr>
          <w:rFonts w:ascii="Arial" w:hAnsi="Arial" w:cs="Arial"/>
          <w:sz w:val="18"/>
          <w:szCs w:val="18"/>
        </w:rPr>
        <w:t xml:space="preserve"> MDPH Clinical Alert: Multi-drug Non-susceptible Gonorrhea in Massachusetts. </w:t>
      </w:r>
      <w:hyperlink r:id="rId1" w:tgtFrame="_blank" w:tooltip="https://www.mass.gov/news/department-of-public-health-announces-first-cases-of-concerning-gonorrhea-strain" w:history="1">
        <w:r w:rsidRPr="00622242">
          <w:rPr>
            <w:rFonts w:ascii="Arial" w:hAnsi="Arial" w:cs="Arial"/>
            <w:color w:val="0000FF"/>
            <w:sz w:val="18"/>
            <w:szCs w:val="18"/>
            <w:u w:val="single"/>
          </w:rPr>
          <w:t>https://www.mass.gov/news/department-of-public-health-announces-first-cases-of-concerning-gonorrhea-strain</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8003D"/>
    <w:multiLevelType w:val="hybridMultilevel"/>
    <w:tmpl w:val="3560F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B9499F"/>
    <w:multiLevelType w:val="hybridMultilevel"/>
    <w:tmpl w:val="1AD249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CF9739F"/>
    <w:multiLevelType w:val="hybridMultilevel"/>
    <w:tmpl w:val="F99A11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64D"/>
    <w:rsid w:val="0000373B"/>
    <w:rsid w:val="00041673"/>
    <w:rsid w:val="000D27E2"/>
    <w:rsid w:val="000E56C9"/>
    <w:rsid w:val="00113ADF"/>
    <w:rsid w:val="001156E1"/>
    <w:rsid w:val="002444C5"/>
    <w:rsid w:val="002A246E"/>
    <w:rsid w:val="0033755C"/>
    <w:rsid w:val="003545E5"/>
    <w:rsid w:val="00381A04"/>
    <w:rsid w:val="00477555"/>
    <w:rsid w:val="0049064D"/>
    <w:rsid w:val="004E4ED6"/>
    <w:rsid w:val="005C294D"/>
    <w:rsid w:val="00622242"/>
    <w:rsid w:val="00733F09"/>
    <w:rsid w:val="007477AF"/>
    <w:rsid w:val="007721EA"/>
    <w:rsid w:val="00853BD8"/>
    <w:rsid w:val="00870ED1"/>
    <w:rsid w:val="008B229D"/>
    <w:rsid w:val="0090687A"/>
    <w:rsid w:val="009E0064"/>
    <w:rsid w:val="009E7371"/>
    <w:rsid w:val="00A91343"/>
    <w:rsid w:val="00B0225B"/>
    <w:rsid w:val="00B12CDC"/>
    <w:rsid w:val="00B831C0"/>
    <w:rsid w:val="00CD2790"/>
    <w:rsid w:val="00D33B38"/>
    <w:rsid w:val="00D76BED"/>
    <w:rsid w:val="00DD5A93"/>
    <w:rsid w:val="00E31EA7"/>
    <w:rsid w:val="00E80BBD"/>
    <w:rsid w:val="00F82526"/>
    <w:rsid w:val="00F92FFF"/>
    <w:rsid w:val="00FA33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08BC8E"/>
  <w15:chartTrackingRefBased/>
  <w15:docId w15:val="{35D37526-2544-41D5-AEB3-22A11823C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49064D"/>
    <w:pPr>
      <w:spacing w:line="240" w:lineRule="auto"/>
    </w:pPr>
    <w:rPr>
      <w:sz w:val="20"/>
      <w:szCs w:val="20"/>
    </w:rPr>
  </w:style>
  <w:style w:type="character" w:customStyle="1" w:styleId="CommentTextChar">
    <w:name w:val="Comment Text Char"/>
    <w:basedOn w:val="DefaultParagraphFont"/>
    <w:link w:val="CommentText"/>
    <w:uiPriority w:val="99"/>
    <w:rsid w:val="0049064D"/>
    <w:rPr>
      <w:sz w:val="20"/>
      <w:szCs w:val="20"/>
    </w:rPr>
  </w:style>
  <w:style w:type="character" w:styleId="CommentReference">
    <w:name w:val="annotation reference"/>
    <w:basedOn w:val="DefaultParagraphFont"/>
    <w:uiPriority w:val="99"/>
    <w:semiHidden/>
    <w:unhideWhenUsed/>
    <w:rsid w:val="0049064D"/>
    <w:rPr>
      <w:sz w:val="16"/>
      <w:szCs w:val="16"/>
    </w:rPr>
  </w:style>
  <w:style w:type="paragraph" w:styleId="FootnoteText">
    <w:name w:val="footnote text"/>
    <w:basedOn w:val="Normal"/>
    <w:link w:val="FootnoteTextChar"/>
    <w:uiPriority w:val="99"/>
    <w:semiHidden/>
    <w:unhideWhenUsed/>
    <w:rsid w:val="0049064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9064D"/>
    <w:rPr>
      <w:sz w:val="20"/>
      <w:szCs w:val="20"/>
    </w:rPr>
  </w:style>
  <w:style w:type="character" w:styleId="FootnoteReference">
    <w:name w:val="footnote reference"/>
    <w:basedOn w:val="DefaultParagraphFont"/>
    <w:uiPriority w:val="99"/>
    <w:semiHidden/>
    <w:unhideWhenUsed/>
    <w:rsid w:val="0049064D"/>
    <w:rPr>
      <w:vertAlign w:val="superscript"/>
    </w:rPr>
  </w:style>
  <w:style w:type="paragraph" w:styleId="EndnoteText">
    <w:name w:val="endnote text"/>
    <w:basedOn w:val="Normal"/>
    <w:link w:val="EndnoteTextChar"/>
    <w:uiPriority w:val="99"/>
    <w:semiHidden/>
    <w:unhideWhenUsed/>
    <w:rsid w:val="0049064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9064D"/>
    <w:rPr>
      <w:sz w:val="20"/>
      <w:szCs w:val="20"/>
    </w:rPr>
  </w:style>
  <w:style w:type="character" w:styleId="EndnoteReference">
    <w:name w:val="endnote reference"/>
    <w:basedOn w:val="DefaultParagraphFont"/>
    <w:uiPriority w:val="99"/>
    <w:semiHidden/>
    <w:unhideWhenUsed/>
    <w:rsid w:val="0049064D"/>
    <w:rPr>
      <w:vertAlign w:val="superscript"/>
    </w:rPr>
  </w:style>
  <w:style w:type="paragraph" w:styleId="Header">
    <w:name w:val="header"/>
    <w:basedOn w:val="Normal"/>
    <w:link w:val="HeaderChar"/>
    <w:uiPriority w:val="99"/>
    <w:unhideWhenUsed/>
    <w:rsid w:val="004906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064D"/>
  </w:style>
  <w:style w:type="paragraph" w:styleId="Footer">
    <w:name w:val="footer"/>
    <w:basedOn w:val="Normal"/>
    <w:link w:val="FooterChar"/>
    <w:uiPriority w:val="99"/>
    <w:unhideWhenUsed/>
    <w:rsid w:val="004906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064D"/>
  </w:style>
  <w:style w:type="character" w:styleId="Hyperlink">
    <w:name w:val="Hyperlink"/>
    <w:basedOn w:val="DefaultParagraphFont"/>
    <w:uiPriority w:val="99"/>
    <w:unhideWhenUsed/>
    <w:rsid w:val="004E4ED6"/>
    <w:rPr>
      <w:color w:val="0563C1" w:themeColor="hyperlink"/>
      <w:u w:val="single"/>
    </w:rPr>
  </w:style>
  <w:style w:type="character" w:styleId="UnresolvedMention">
    <w:name w:val="Unresolved Mention"/>
    <w:basedOn w:val="DefaultParagraphFont"/>
    <w:uiPriority w:val="99"/>
    <w:semiHidden/>
    <w:unhideWhenUsed/>
    <w:rsid w:val="004E4E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mass.gov/sexually-transmitted-diseases-std"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mass.gov/news/department-of-public-health-announces-first-cases-of-concerning-gonorrhea-stra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0F45F9-D1A3-4E80-9A60-2CFE45C43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430</Words>
  <Characters>2455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Nichols, Kaitlin (DPH)</dc:creator>
  <cp:keywords/>
  <dc:description/>
  <cp:lastModifiedBy>Nichols, Kaitlin (DPH)</cp:lastModifiedBy>
  <cp:revision>3</cp:revision>
  <cp:lastPrinted>2023-04-20T15:15:00Z</cp:lastPrinted>
  <dcterms:created xsi:type="dcterms:W3CDTF">2023-04-21T14:57:00Z</dcterms:created>
  <dcterms:modified xsi:type="dcterms:W3CDTF">2023-04-21T14:59:00Z</dcterms:modified>
</cp:coreProperties>
</file>