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97223" w14:textId="77777777" w:rsidR="00BA67D5" w:rsidRDefault="00BA67D5" w:rsidP="00BA67D5">
      <w:pPr>
        <w:jc w:val="center"/>
        <w:rPr>
          <w:b/>
          <w:bCs/>
        </w:rPr>
      </w:pPr>
      <w:r w:rsidRPr="00DC21DD">
        <w:rPr>
          <w:b/>
          <w:bCs/>
        </w:rPr>
        <w:t>Massachusetts Department of Public Health (DPH)</w:t>
      </w:r>
      <w:r w:rsidRPr="00DC21DD">
        <w:rPr>
          <w:b/>
          <w:bCs/>
        </w:rPr>
        <w:br/>
        <w:t>Guidance on Use of the Measles, Mumps, Rubella, Varicella (MMRV) Vaccine in Children Under the Age of Four Years</w:t>
      </w:r>
    </w:p>
    <w:p w14:paraId="28CC6CAD" w14:textId="77777777" w:rsidR="00BA67D5" w:rsidRDefault="00BA67D5" w:rsidP="00BA67D5">
      <w:pPr>
        <w:jc w:val="center"/>
      </w:pPr>
      <w:r>
        <w:rPr>
          <w:b/>
          <w:bCs/>
        </w:rPr>
        <w:t>October 2025</w:t>
      </w:r>
    </w:p>
    <w:p w14:paraId="4571F905" w14:textId="77777777" w:rsidR="00BA67D5" w:rsidRDefault="00BA67D5" w:rsidP="00BA67D5">
      <w:pPr>
        <w:spacing w:after="0"/>
      </w:pPr>
    </w:p>
    <w:p w14:paraId="2CFAD070" w14:textId="2216FF6D" w:rsidR="00FE100B" w:rsidRPr="00FE100B" w:rsidRDefault="00BA67D5" w:rsidP="00FE100B">
      <w:pPr>
        <w:spacing w:after="0"/>
      </w:pPr>
      <w:r>
        <w:t xml:space="preserve">This document provides guidance from the Massachusetts Department of Public Health (DPH) regarding </w:t>
      </w:r>
      <w:r w:rsidR="0085082E">
        <w:t>vaccination</w:t>
      </w:r>
      <w:r w:rsidR="00A740B9">
        <w:t xml:space="preserve"> against</w:t>
      </w:r>
      <w:r>
        <w:t xml:space="preserve"> measles, mumps, rubella, </w:t>
      </w:r>
      <w:r w:rsidR="0085082E">
        <w:t xml:space="preserve">and </w:t>
      </w:r>
      <w:r>
        <w:t xml:space="preserve">varicella, following the recent recommendations </w:t>
      </w:r>
      <w:r w:rsidR="0085082E">
        <w:t>issued by</w:t>
      </w:r>
      <w:r>
        <w:t xml:space="preserve"> the Advisory Committee on Immunization Practices (ACIP) on September 18</w:t>
      </w:r>
      <w:r w:rsidR="0085082E">
        <w:t>–</w:t>
      </w:r>
      <w:r>
        <w:t xml:space="preserve">19, 2025. </w:t>
      </w:r>
      <w:r w:rsidR="00FE100B">
        <w:t xml:space="preserve">This guidance was developed </w:t>
      </w:r>
      <w:r w:rsidR="00C906D2">
        <w:t xml:space="preserve">through </w:t>
      </w:r>
      <w:r w:rsidR="00FE100B">
        <w:t>review</w:t>
      </w:r>
      <w:r w:rsidR="00C906D2">
        <w:t xml:space="preserve"> of </w:t>
      </w:r>
      <w:r w:rsidR="000E0500">
        <w:t xml:space="preserve">available </w:t>
      </w:r>
      <w:r w:rsidR="00FE100B">
        <w:t>data, consult</w:t>
      </w:r>
      <w:r w:rsidR="00BC20F6">
        <w:t>ation</w:t>
      </w:r>
      <w:r w:rsidR="00FE100B">
        <w:t xml:space="preserve"> with professional societies (including </w:t>
      </w:r>
      <w:r w:rsidR="00BC20F6">
        <w:t xml:space="preserve">the </w:t>
      </w:r>
      <w:r w:rsidR="00FE100B">
        <w:t>A</w:t>
      </w:r>
      <w:r w:rsidR="006D6BBB">
        <w:t xml:space="preserve">merican </w:t>
      </w:r>
      <w:r w:rsidR="00FE100B">
        <w:t>A</w:t>
      </w:r>
      <w:r w:rsidR="003162AF">
        <w:t xml:space="preserve">cademy </w:t>
      </w:r>
      <w:r w:rsidR="009408DC">
        <w:t xml:space="preserve">of </w:t>
      </w:r>
      <w:r w:rsidR="00FE100B">
        <w:t>P</w:t>
      </w:r>
      <w:r w:rsidR="009408DC">
        <w:t>ediatrics</w:t>
      </w:r>
      <w:r w:rsidR="00FE100B">
        <w:t>), review</w:t>
      </w:r>
      <w:r w:rsidR="00BC20F6">
        <w:t xml:space="preserve"> of</w:t>
      </w:r>
      <w:r w:rsidR="00CF4702">
        <w:t xml:space="preserve"> </w:t>
      </w:r>
      <w:r w:rsidR="00FE100B">
        <w:t>the ACIP materials and recommendations, and collaboration with regional public health agencies</w:t>
      </w:r>
      <w:r w:rsidR="35EF76CC">
        <w:t xml:space="preserve"> (</w:t>
      </w:r>
      <w:hyperlink r:id="rId5" w:history="1">
        <w:r w:rsidR="35EF76CC" w:rsidRPr="005A7E44">
          <w:rPr>
            <w:rStyle w:val="Hyperlink"/>
          </w:rPr>
          <w:t>see Northeast Public Health Collaborative statement</w:t>
        </w:r>
      </w:hyperlink>
      <w:r w:rsidR="35EF76CC">
        <w:t>)</w:t>
      </w:r>
      <w:r w:rsidR="00FE100B">
        <w:t>.</w:t>
      </w:r>
    </w:p>
    <w:p w14:paraId="68293D2A" w14:textId="40F91FCD" w:rsidR="00BA67D5" w:rsidRDefault="00BA67D5" w:rsidP="00BA67D5">
      <w:pPr>
        <w:spacing w:after="0"/>
      </w:pPr>
    </w:p>
    <w:p w14:paraId="111C5EE2" w14:textId="0E57310E" w:rsidR="00BA67D5" w:rsidRDefault="003030CE" w:rsidP="00BA67D5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09D785" wp14:editId="17563274">
                <wp:simplePos x="0" y="0"/>
                <wp:positionH relativeFrom="column">
                  <wp:posOffset>-234950</wp:posOffset>
                </wp:positionH>
                <wp:positionV relativeFrom="paragraph">
                  <wp:posOffset>50800</wp:posOffset>
                </wp:positionV>
                <wp:extent cx="6280150" cy="3117850"/>
                <wp:effectExtent l="0" t="0" r="25400" b="25400"/>
                <wp:wrapNone/>
                <wp:docPr id="146131214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0" cy="3117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4330F2C4">
              <v:roundrect id="Rectangle: Rounded Corners 3" style="position:absolute;margin-left:-18.5pt;margin-top:4pt;width:494.5pt;height:24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30e13 [484]" strokeweight="1.5pt" arcsize="10923f" w14:anchorId="760608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eMPZQIAACQFAAAOAAAAZHJzL2Uyb0RvYy54bWysVE1v2zAMvQ/YfxB0X2xn/ciCOkXQosOA&#10;oA3aDj2rslQbkEWNUuJkv36U7DhFW+ww7CKLIvlIPT/q4nLXGrZV6BuwJS8mOWfKSqga+1Lyn483&#10;X2ac+SBsJQxYVfK98vxy8fnTRefmago1mEohIxDr550reR2Cm2eZl7VqhZ+AU5acGrAVgUx8ySoU&#10;HaG3Jpvm+VnWAVYOQSrv6fS6d/JFwtdayXCntVeBmZJTbyGtmNbnuGaLCzF/QeHqRg5tiH/oohWN&#10;paIj1LUIgm2weQfVNhLBgw4TCW0GWjdSpTvQbYr8zW0eauFUuguR491Ik/9/sPJ2++DWSDR0zs89&#10;beMtdhrb+KX+2C6RtR/JUrvAJB2eTWd5cUqcSvJ9LYrzGRmEkx3THfrwXUHL4qbkCBtb3dMvSUyJ&#10;7cqHPv4QF0tauGmMiefHhtIu7I2KAcbeK82ailqYJqCkFXVlkG0F/WUhpbKh6F21qFR/TK3mh/7G&#10;jNRtAozImgqP2ANA1OF77L7tIT6mqiS1MTn/W2N98piRKoMNY3LbWMCPAAzdaqjcxx9I6qmJLD1D&#10;tV8jQ+iF7p28aYj7lfBhLZCUTf+LpjXc0aINdCWHYcdZDfj7o/MYT4IjL2cdTUrJ/a+NQMWZ+WFJ&#10;it+Kk5M4Wsk4OT2fkoGvPc+vPXbTXgH9poLeBSfTNsYHc9hqhPaJhnoZq5JLWEm1Sy4DHoyr0E8w&#10;PQtSLZcpjMbJibCyD05G8MhqlNXj7kmgGwQYSLu3cJgqMX8jwT42ZlpYbgLoJunzyOvAN41iEs7w&#10;bMRZf22nqOPjtvgDAAD//wMAUEsDBBQABgAIAAAAIQBSqeaO3QAAAAkBAAAPAAAAZHJzL2Rvd25y&#10;ZXYueG1sTI9BT8MwDIXvSPyHyEjctoTBoC11J4QEF04roF2zxmsqmqRKsq38e8wJTrb1np6/V29m&#10;N4oTxTQEj3CzVCDId8EMvkf4eH9ZFCBS1t7oMXhC+KYEm+byotaVCWe/pVObe8EhPlUaweY8VVKm&#10;zpLTaRkm8qwdQnQ68xl7aaI+c7gb5Uqpe+n04PmD1RM9W+q+2qNDKD+tbHfrYqvya38odrGNb9Qi&#10;Xl/NT48gMs35zwy/+IwODTPtw9GbJEaExe0Dd8kIBQ/Wy/WKlz3CXVkqkE0t/zdofgAAAP//AwBQ&#10;SwECLQAUAAYACAAAACEAtoM4kv4AAADhAQAAEwAAAAAAAAAAAAAAAAAAAAAAW0NvbnRlbnRfVHlw&#10;ZXNdLnhtbFBLAQItABQABgAIAAAAIQA4/SH/1gAAAJQBAAALAAAAAAAAAAAAAAAAAC8BAABfcmVs&#10;cy8ucmVsc1BLAQItABQABgAIAAAAIQDcAeMPZQIAACQFAAAOAAAAAAAAAAAAAAAAAC4CAABkcnMv&#10;ZTJvRG9jLnhtbFBLAQItABQABgAIAAAAIQBSqeaO3QAAAAkBAAAPAAAAAAAAAAAAAAAAAL8EAABk&#10;cnMvZG93bnJldi54bWxQSwUGAAAAAAQABADzAAAAyQUAAAAA&#10;">
                <v:stroke joinstyle="miter"/>
              </v:roundrect>
            </w:pict>
          </mc:Fallback>
        </mc:AlternateContent>
      </w:r>
    </w:p>
    <w:p w14:paraId="0870C9CA" w14:textId="77777777" w:rsidR="00BA67D5" w:rsidRDefault="00BA67D5" w:rsidP="00BA67D5">
      <w:pPr>
        <w:spacing w:after="0"/>
      </w:pPr>
      <w:r>
        <w:t>There are two options to</w:t>
      </w:r>
      <w:r w:rsidRPr="00AD3806">
        <w:t xml:space="preserve"> protect</w:t>
      </w:r>
      <w:r>
        <w:t xml:space="preserve"> children</w:t>
      </w:r>
      <w:r w:rsidRPr="00AD3806">
        <w:t xml:space="preserve"> against measles, mumps, rubella, and varicella</w:t>
      </w:r>
      <w:r>
        <w:t xml:space="preserve">:  </w:t>
      </w:r>
    </w:p>
    <w:p w14:paraId="69F9FB02" w14:textId="77777777" w:rsidR="00BA67D5" w:rsidRDefault="00BA67D5" w:rsidP="00BA67D5">
      <w:pPr>
        <w:pStyle w:val="ListParagraph"/>
        <w:numPr>
          <w:ilvl w:val="0"/>
          <w:numId w:val="4"/>
        </w:numPr>
        <w:spacing w:after="0"/>
      </w:pPr>
      <w:r>
        <w:t>Trivalent MMR vaccine and varicella vaccine administered separately</w:t>
      </w:r>
    </w:p>
    <w:p w14:paraId="361F7782" w14:textId="77777777" w:rsidR="00BA67D5" w:rsidRDefault="00BA67D5" w:rsidP="00BA67D5">
      <w:pPr>
        <w:pStyle w:val="ListParagraph"/>
        <w:numPr>
          <w:ilvl w:val="0"/>
          <w:numId w:val="4"/>
        </w:numPr>
        <w:spacing w:after="0"/>
      </w:pPr>
      <w:r>
        <w:t>Q</w:t>
      </w:r>
      <w:r w:rsidRPr="00D57AEA">
        <w:t>uadrivalent</w:t>
      </w:r>
      <w:r>
        <w:t xml:space="preserve"> MMRV vaccine</w:t>
      </w:r>
    </w:p>
    <w:p w14:paraId="703892C3" w14:textId="77777777" w:rsidR="00BA67D5" w:rsidRDefault="00BA67D5" w:rsidP="00BA67D5">
      <w:pPr>
        <w:spacing w:after="0"/>
      </w:pPr>
      <w:r>
        <w:t>The two options are c</w:t>
      </w:r>
      <w:r w:rsidRPr="00AD3806">
        <w:t>onsidered equivalent in terms of protection against disease</w:t>
      </w:r>
      <w:r>
        <w:t xml:space="preserve">.  </w:t>
      </w:r>
    </w:p>
    <w:p w14:paraId="45632931" w14:textId="77777777" w:rsidR="00BA67D5" w:rsidRDefault="00BA67D5" w:rsidP="00BA67D5">
      <w:pPr>
        <w:spacing w:after="0"/>
      </w:pPr>
    </w:p>
    <w:p w14:paraId="08301B70" w14:textId="5A76C1B5" w:rsidR="00BA67D5" w:rsidRDefault="00BA67D5" w:rsidP="00BA67D5">
      <w:pPr>
        <w:spacing w:after="0"/>
      </w:pPr>
      <w:r>
        <w:t>DPH recommends the following for routine childhood vaccination against measles, mumps, rubella, and varicella:</w:t>
      </w:r>
    </w:p>
    <w:p w14:paraId="38995AF9" w14:textId="77777777" w:rsidR="00BA67D5" w:rsidRDefault="00BA67D5" w:rsidP="00BA67D5">
      <w:pPr>
        <w:pStyle w:val="ListParagraph"/>
        <w:numPr>
          <w:ilvl w:val="0"/>
          <w:numId w:val="3"/>
        </w:numPr>
        <w:spacing w:after="0"/>
      </w:pPr>
      <w:r>
        <w:t>2-dose series at age 12-15 months; and at age 4-6 years</w:t>
      </w:r>
    </w:p>
    <w:p w14:paraId="6E43E0A4" w14:textId="77777777" w:rsidR="00BA67D5" w:rsidRDefault="00BA67D5" w:rsidP="00BA67D5">
      <w:pPr>
        <w:pStyle w:val="ListParagraph"/>
        <w:numPr>
          <w:ilvl w:val="0"/>
          <w:numId w:val="3"/>
        </w:numPr>
        <w:spacing w:after="0"/>
      </w:pPr>
      <w:r>
        <w:t>MMR vaccine or MMRV vaccine may be administered</w:t>
      </w:r>
    </w:p>
    <w:p w14:paraId="3D0DD9C8" w14:textId="77777777" w:rsidR="00BA67D5" w:rsidRPr="00DC21DD" w:rsidRDefault="00BA67D5" w:rsidP="00BA67D5">
      <w:pPr>
        <w:spacing w:after="0"/>
        <w:ind w:left="720"/>
        <w:rPr>
          <w:i/>
          <w:iCs/>
        </w:rPr>
      </w:pPr>
      <w:r w:rsidRPr="00DC21DD">
        <w:rPr>
          <w:i/>
          <w:iCs/>
        </w:rPr>
        <w:t xml:space="preserve">Note: for dose 1 in children age 12-47 months, it is </w:t>
      </w:r>
      <w:r>
        <w:rPr>
          <w:i/>
          <w:iCs/>
        </w:rPr>
        <w:t>preferable</w:t>
      </w:r>
      <w:r w:rsidRPr="00DC21DD">
        <w:rPr>
          <w:i/>
          <w:iCs/>
        </w:rPr>
        <w:t xml:space="preserve"> to administer MMR and varicella vaccines separately. </w:t>
      </w:r>
      <w:r>
        <w:rPr>
          <w:i/>
          <w:iCs/>
        </w:rPr>
        <w:t xml:space="preserve">Quadrivalent </w:t>
      </w:r>
      <w:r w:rsidRPr="00DC21DD">
        <w:rPr>
          <w:i/>
          <w:iCs/>
        </w:rPr>
        <w:t xml:space="preserve">MMRV </w:t>
      </w:r>
      <w:r>
        <w:rPr>
          <w:i/>
          <w:iCs/>
        </w:rPr>
        <w:t xml:space="preserve">vaccine </w:t>
      </w:r>
      <w:r w:rsidRPr="00DC21DD">
        <w:rPr>
          <w:i/>
          <w:iCs/>
        </w:rPr>
        <w:t xml:space="preserve">may be used if parents or caregivers express a </w:t>
      </w:r>
      <w:r w:rsidRPr="00931B1C">
        <w:rPr>
          <w:i/>
          <w:iCs/>
        </w:rPr>
        <w:t>preference for the MMRV vaccine to reduce the number of injections</w:t>
      </w:r>
      <w:r>
        <w:rPr>
          <w:i/>
          <w:iCs/>
        </w:rPr>
        <w:t>.</w:t>
      </w:r>
    </w:p>
    <w:p w14:paraId="57689E34" w14:textId="77777777" w:rsidR="00BA67D5" w:rsidRDefault="00BA67D5" w:rsidP="00BA67D5">
      <w:pPr>
        <w:spacing w:after="0"/>
      </w:pPr>
    </w:p>
    <w:p w14:paraId="4CDA8634" w14:textId="77777777" w:rsidR="00955696" w:rsidRDefault="00955696" w:rsidP="00BA67D5">
      <w:pPr>
        <w:spacing w:after="0"/>
      </w:pPr>
    </w:p>
    <w:p w14:paraId="638A14D8" w14:textId="7648FDF8" w:rsidR="00BA67D5" w:rsidRDefault="00BA67D5" w:rsidP="00BA67D5">
      <w:pPr>
        <w:spacing w:after="0"/>
      </w:pPr>
      <w:r w:rsidRPr="00D57AEA">
        <w:t xml:space="preserve">There are two options for protecting children against measles, mumps, rubella, and varicella:  </w:t>
      </w:r>
      <w:r>
        <w:t>administering</w:t>
      </w:r>
      <w:r w:rsidRPr="00D57AEA">
        <w:t xml:space="preserve"> the varicella vaccine and the trivalent measles, mumps, and rubella (MMR) vaccine</w:t>
      </w:r>
      <w:r w:rsidR="004C2672">
        <w:t>, separately,</w:t>
      </w:r>
      <w:r w:rsidRPr="00D57AEA">
        <w:t xml:space="preserve"> or </w:t>
      </w:r>
      <w:r>
        <w:t>administering</w:t>
      </w:r>
      <w:r w:rsidRPr="00D57AEA">
        <w:t xml:space="preserve"> the quadrivalent measles, mumps, rubella, and varicella (MMRV) vaccine. </w:t>
      </w:r>
      <w:r>
        <w:t xml:space="preserve"> Vaccination for </w:t>
      </w:r>
      <w:r w:rsidRPr="00D57AEA">
        <w:t>measles, mumps, rubella, and varicella</w:t>
      </w:r>
      <w:r w:rsidRPr="00B11228">
        <w:t xml:space="preserve"> </w:t>
      </w:r>
      <w:r>
        <w:t xml:space="preserve">is provided in a </w:t>
      </w:r>
      <w:r w:rsidR="00955696" w:rsidRPr="00B11228">
        <w:t>two-dose</w:t>
      </w:r>
      <w:r>
        <w:t xml:space="preserve"> series</w:t>
      </w:r>
      <w:r w:rsidRPr="00B11228">
        <w:t>, starting with the first dose at age 12 through 15 months and the second dose at age 4 through 6 years</w:t>
      </w:r>
      <w:r>
        <w:t xml:space="preserve">. </w:t>
      </w:r>
      <w:r w:rsidRPr="00D57AEA">
        <w:t xml:space="preserve"> </w:t>
      </w:r>
      <w:r w:rsidRPr="00AE0642">
        <w:t xml:space="preserve">The MMRV vaccine </w:t>
      </w:r>
      <w:r>
        <w:t xml:space="preserve">that is </w:t>
      </w:r>
      <w:r w:rsidRPr="00AE0642">
        <w:t>available in the U.S. (</w:t>
      </w:r>
      <w:proofErr w:type="spellStart"/>
      <w:r w:rsidRPr="00AE0642">
        <w:t>ProQuad</w:t>
      </w:r>
      <w:proofErr w:type="spellEnd"/>
      <w:r w:rsidRPr="00AE0642">
        <w:t>, Merck) was licensed by FDA</w:t>
      </w:r>
      <w:r>
        <w:t xml:space="preserve"> in 2005 for children </w:t>
      </w:r>
      <w:r w:rsidRPr="00D66749">
        <w:t>aged 12 months–12 years</w:t>
      </w:r>
      <w:r>
        <w:t xml:space="preserve">.  </w:t>
      </w:r>
      <w:r w:rsidRPr="00D66749">
        <w:t xml:space="preserve"> </w:t>
      </w:r>
      <w:r>
        <w:t>P</w:t>
      </w:r>
      <w:r w:rsidRPr="00D76D6E">
        <w:t>ost-licensure monitoring</w:t>
      </w:r>
      <w:r>
        <w:t xml:space="preserve"> demonstrated a safety signal for </w:t>
      </w:r>
      <w:r w:rsidRPr="00D76D6E">
        <w:t xml:space="preserve">increased risk of febrile </w:t>
      </w:r>
      <w:r w:rsidRPr="00D76D6E">
        <w:lastRenderedPageBreak/>
        <w:t>seizures</w:t>
      </w:r>
      <w:r w:rsidR="004C2672">
        <w:t xml:space="preserve"> for children 12 to 15 months of age</w:t>
      </w:r>
      <w:r w:rsidRPr="00D76D6E">
        <w:t xml:space="preserve"> after </w:t>
      </w:r>
      <w:r>
        <w:t>MMRV vaccine compared with MMR vaccine and varicella vaccine administered separately (MMR+V)</w:t>
      </w:r>
      <w:r w:rsidRPr="00EA21BC">
        <w:t xml:space="preserve"> </w:t>
      </w:r>
      <w:r>
        <w:t>when providing the first dose of measles, mumps, rubella and varicella vaccination. Subsequent studies consistently demonstrated that d</w:t>
      </w:r>
      <w:r w:rsidRPr="002F33C7">
        <w:t xml:space="preserve">uring the </w:t>
      </w:r>
      <w:r>
        <w:t>first 1 to 2</w:t>
      </w:r>
      <w:r w:rsidRPr="002F33C7">
        <w:t xml:space="preserve"> weeks after</w:t>
      </w:r>
      <w:r>
        <w:t xml:space="preserve"> first dose </w:t>
      </w:r>
      <w:r w:rsidRPr="002F33C7">
        <w:t>vaccination</w:t>
      </w:r>
      <w:r>
        <w:t xml:space="preserve"> at 12 to 15 months of age, there is</w:t>
      </w:r>
      <w:r w:rsidRPr="002F33C7">
        <w:t xml:space="preserve"> a</w:t>
      </w:r>
      <w:r>
        <w:t xml:space="preserve"> small </w:t>
      </w:r>
      <w:r w:rsidRPr="002F33C7">
        <w:t xml:space="preserve">increased risk for febrile seizures after MMRV </w:t>
      </w:r>
      <w:r>
        <w:t xml:space="preserve">vaccination </w:t>
      </w:r>
      <w:r w:rsidRPr="002F33C7">
        <w:t>compared with MMR+V</w:t>
      </w:r>
      <w:r>
        <w:t xml:space="preserve"> vaccination (approximately </w:t>
      </w:r>
      <w:r w:rsidRPr="00DC27CF">
        <w:t>one additional febrile seizure per 2,300-2,600 young children immunized with MMRV for their first dose compared</w:t>
      </w:r>
      <w:r>
        <w:t xml:space="preserve"> to</w:t>
      </w:r>
      <w:r w:rsidRPr="00DC27CF">
        <w:t xml:space="preserve"> </w:t>
      </w:r>
      <w:r>
        <w:t xml:space="preserve">MMR+V). Febrile seizures are common in young children and are typically associated with fevers caused by infections, </w:t>
      </w:r>
      <w:r w:rsidR="0087240D">
        <w:t xml:space="preserve">and </w:t>
      </w:r>
      <w:r>
        <w:t xml:space="preserve">less commonly can be associated with fevers occurring after vaccine administration. Febrile seizures are of short duration and are associated with excellent prognosis.  </w:t>
      </w:r>
      <w:r w:rsidRPr="00591CD3">
        <w:t>There is no increased risk of febrile seizures after vaccination with MMRV</w:t>
      </w:r>
      <w:r>
        <w:t xml:space="preserve"> </w:t>
      </w:r>
      <w:r w:rsidRPr="00591CD3">
        <w:t>vaccine</w:t>
      </w:r>
      <w:r>
        <w:t xml:space="preserve"> compared to MMR+V</w:t>
      </w:r>
      <w:r w:rsidRPr="00591CD3">
        <w:t xml:space="preserve"> </w:t>
      </w:r>
      <w:r>
        <w:t>vaccines for the second dose for</w:t>
      </w:r>
      <w:r w:rsidRPr="00591CD3">
        <w:t xml:space="preserve"> children aged 4 through 6 years</w:t>
      </w:r>
      <w:r>
        <w:t>.  Therefore, because of the small increased risk of febrile seizure seen after first dose MMRV vaccine, in 2009,</w:t>
      </w:r>
      <w:r w:rsidRPr="00E23B91" w:rsidDel="0087240D">
        <w:t xml:space="preserve"> </w:t>
      </w:r>
      <w:r>
        <w:t>ACIP</w:t>
      </w:r>
      <w:r w:rsidRPr="00E23B91">
        <w:t xml:space="preserve"> </w:t>
      </w:r>
      <w:r>
        <w:t>recommended</w:t>
      </w:r>
      <w:r w:rsidRPr="00E23B91">
        <w:t xml:space="preserve"> MMR</w:t>
      </w:r>
      <w:r>
        <w:t>+V vaccines, administered separately, as the</w:t>
      </w:r>
      <w:r w:rsidRPr="00E23B91">
        <w:t xml:space="preserve"> preferred </w:t>
      </w:r>
      <w:r>
        <w:t xml:space="preserve">option </w:t>
      </w:r>
      <w:r w:rsidRPr="00E23B91">
        <w:t>for the first dose</w:t>
      </w:r>
      <w:r>
        <w:t xml:space="preserve"> regimen at age 12 to 15 months, </w:t>
      </w:r>
      <w:r w:rsidRPr="00C00A10">
        <w:t>unless the parent or caregiver expresse</w:t>
      </w:r>
      <w:r>
        <w:t>d</w:t>
      </w:r>
      <w:r w:rsidRPr="00C00A10">
        <w:t xml:space="preserve"> a preference for the MMRV vaccine</w:t>
      </w:r>
      <w:r w:rsidRPr="00E23B91">
        <w:t xml:space="preserve"> to reduce the number of injections. </w:t>
      </w:r>
      <w:r>
        <w:t>P</w:t>
      </w:r>
      <w:r w:rsidRPr="00B96823">
        <w:t>roviders who consider</w:t>
      </w:r>
      <w:r>
        <w:t>ed</w:t>
      </w:r>
      <w:r w:rsidRPr="00B96823">
        <w:t xml:space="preserve"> administering the MMRV vaccine </w:t>
      </w:r>
      <w:r>
        <w:t>for the first dose were recommended to</w:t>
      </w:r>
      <w:r w:rsidRPr="00B96823">
        <w:t xml:space="preserve"> discuss the benefits and risks of both vaccination options with the parents or caregivers.</w:t>
      </w:r>
      <w:r>
        <w:t xml:space="preserve"> As a result of this guidance, the </w:t>
      </w:r>
      <w:r w:rsidRPr="00C845FB">
        <w:t xml:space="preserve">MMRV vaccine </w:t>
      </w:r>
      <w:r>
        <w:t xml:space="preserve">currently </w:t>
      </w:r>
      <w:r w:rsidRPr="00C845FB">
        <w:t xml:space="preserve">accounts for </w:t>
      </w:r>
      <w:r>
        <w:t>only 6</w:t>
      </w:r>
      <w:r w:rsidRPr="00C845FB">
        <w:t>%</w:t>
      </w:r>
      <w:r>
        <w:t xml:space="preserve"> </w:t>
      </w:r>
      <w:r w:rsidRPr="00C845FB">
        <w:t>of first dose measles, mumps, rubella, and varicella vaccination among children aged 1</w:t>
      </w:r>
      <w:r>
        <w:t>2</w:t>
      </w:r>
      <w:r w:rsidRPr="00C845FB">
        <w:t>-35 months</w:t>
      </w:r>
      <w:r>
        <w:t>,</w:t>
      </w:r>
      <w:r w:rsidRPr="00C845FB">
        <w:t xml:space="preserve"> </w:t>
      </w:r>
      <w:r>
        <w:t>but</w:t>
      </w:r>
      <w:r w:rsidRPr="00C845FB">
        <w:t xml:space="preserve"> 75% of second dose</w:t>
      </w:r>
      <w:r>
        <w:t xml:space="preserve"> </w:t>
      </w:r>
      <w:r w:rsidRPr="00C845FB">
        <w:t>vaccination among children aged 4-6 years</w:t>
      </w:r>
      <w:r>
        <w:t xml:space="preserve"> living in Massachusetts.  </w:t>
      </w:r>
    </w:p>
    <w:p w14:paraId="434E8826" w14:textId="77777777" w:rsidR="00BA67D5" w:rsidRDefault="00BA67D5" w:rsidP="00BA67D5">
      <w:pPr>
        <w:spacing w:after="0"/>
      </w:pPr>
    </w:p>
    <w:p w14:paraId="36C9DFF0" w14:textId="0F8FD734" w:rsidR="00BA67D5" w:rsidRDefault="00BA67D5" w:rsidP="00BA67D5">
      <w:pPr>
        <w:spacing w:after="0"/>
      </w:pPr>
      <w:r>
        <w:t xml:space="preserve">At the September 2025 meeting, ACIP </w:t>
      </w:r>
      <w:r w:rsidRPr="009759B2">
        <w:t xml:space="preserve">voted that children under 4 years should </w:t>
      </w:r>
      <w:r>
        <w:t xml:space="preserve">always </w:t>
      </w:r>
      <w:r w:rsidRPr="009759B2">
        <w:t>receive separate MMR and varicella vaccines and not the combined MMRV vaccine. </w:t>
      </w:r>
      <w:r>
        <w:t>DPH examined the data presented at this meeting very carefully.  There</w:t>
      </w:r>
      <w:r w:rsidDel="0087240D">
        <w:t xml:space="preserve"> </w:t>
      </w:r>
      <w:r w:rsidR="0087240D">
        <w:t xml:space="preserve">were </w:t>
      </w:r>
      <w:r>
        <w:t xml:space="preserve">no new data presented to ACIP at the meeting that warranted </w:t>
      </w:r>
      <w:r w:rsidRPr="00320302">
        <w:t>revisiting</w:t>
      </w:r>
      <w:r>
        <w:t xml:space="preserve"> and changing the previous ACIP recommendations.  Therefore, DPH </w:t>
      </w:r>
      <w:r w:rsidRPr="005663BA">
        <w:t xml:space="preserve">continues to recommend giving families </w:t>
      </w:r>
      <w:r>
        <w:t xml:space="preserve">and providers </w:t>
      </w:r>
      <w:r w:rsidRPr="005663BA">
        <w:t>a choice of vaccines to protect toddlers against measles,</w:t>
      </w:r>
      <w:r>
        <w:t xml:space="preserve"> mumps, rubella and varicella.  DPH’s guidance is aligned with the recommendations previously outlined by ACIP in 2009:  separate </w:t>
      </w:r>
      <w:r w:rsidRPr="00D36116">
        <w:t>MMR</w:t>
      </w:r>
      <w:r>
        <w:t xml:space="preserve">+V </w:t>
      </w:r>
      <w:r w:rsidRPr="00D36116">
        <w:t>vaccine</w:t>
      </w:r>
      <w:r>
        <w:t>s</w:t>
      </w:r>
      <w:r w:rsidRPr="00D36116">
        <w:t xml:space="preserve"> </w:t>
      </w:r>
      <w:r>
        <w:t xml:space="preserve">should </w:t>
      </w:r>
      <w:r w:rsidRPr="00D36116">
        <w:t xml:space="preserve">be administered for the first dose </w:t>
      </w:r>
      <w:r>
        <w:t>for children aged</w:t>
      </w:r>
      <w:r w:rsidRPr="00D36116">
        <w:t xml:space="preserve"> </w:t>
      </w:r>
      <w:r>
        <w:t>12 to 47 months, unless caregivers express a preference for MMRV vaccine. If preferred, the MMRV vaccine may be administered as the first dose to children 12 to 47 months.</w:t>
      </w:r>
    </w:p>
    <w:p w14:paraId="79A0D49F" w14:textId="77777777" w:rsidR="00BA67D5" w:rsidRDefault="00BA67D5" w:rsidP="00BA67D5">
      <w:pPr>
        <w:spacing w:after="0"/>
      </w:pPr>
      <w:r>
        <w:t xml:space="preserve"> </w:t>
      </w:r>
    </w:p>
    <w:p w14:paraId="2A09E12F" w14:textId="77777777" w:rsidR="00BA67D5" w:rsidRDefault="00BA67D5" w:rsidP="00BA67D5"/>
    <w:p w14:paraId="553A0C73" w14:textId="2C50BEB1" w:rsidR="0086252F" w:rsidRDefault="0086252F" w:rsidP="00AE0642">
      <w:pPr>
        <w:spacing w:after="0"/>
      </w:pPr>
    </w:p>
    <w:sectPr w:rsidR="00862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51B37"/>
    <w:multiLevelType w:val="multilevel"/>
    <w:tmpl w:val="A552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4756D6"/>
    <w:multiLevelType w:val="hybridMultilevel"/>
    <w:tmpl w:val="CB1A4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93204"/>
    <w:multiLevelType w:val="hybridMultilevel"/>
    <w:tmpl w:val="F3442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36E53"/>
    <w:multiLevelType w:val="hybridMultilevel"/>
    <w:tmpl w:val="60762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265156">
    <w:abstractNumId w:val="1"/>
  </w:num>
  <w:num w:numId="2" w16cid:durableId="1004865970">
    <w:abstractNumId w:val="0"/>
  </w:num>
  <w:num w:numId="3" w16cid:durableId="1579361843">
    <w:abstractNumId w:val="2"/>
  </w:num>
  <w:num w:numId="4" w16cid:durableId="1942100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42"/>
    <w:rsid w:val="00002362"/>
    <w:rsid w:val="00010F42"/>
    <w:rsid w:val="00012131"/>
    <w:rsid w:val="00015FB2"/>
    <w:rsid w:val="000172DE"/>
    <w:rsid w:val="000339DE"/>
    <w:rsid w:val="00045666"/>
    <w:rsid w:val="00050B03"/>
    <w:rsid w:val="00081467"/>
    <w:rsid w:val="00086630"/>
    <w:rsid w:val="0009190E"/>
    <w:rsid w:val="000924B4"/>
    <w:rsid w:val="00096D24"/>
    <w:rsid w:val="000A5A40"/>
    <w:rsid w:val="000C32B1"/>
    <w:rsid w:val="000D71F8"/>
    <w:rsid w:val="000E0279"/>
    <w:rsid w:val="000E0500"/>
    <w:rsid w:val="000E3FC0"/>
    <w:rsid w:val="000F5E72"/>
    <w:rsid w:val="001067FE"/>
    <w:rsid w:val="00116E8F"/>
    <w:rsid w:val="00126E9C"/>
    <w:rsid w:val="00154BA5"/>
    <w:rsid w:val="0017732E"/>
    <w:rsid w:val="00184BD0"/>
    <w:rsid w:val="001A5C02"/>
    <w:rsid w:val="001D1E9C"/>
    <w:rsid w:val="001D66ED"/>
    <w:rsid w:val="001E6A5A"/>
    <w:rsid w:val="001F1A2F"/>
    <w:rsid w:val="001F57DB"/>
    <w:rsid w:val="00214EDA"/>
    <w:rsid w:val="002176C7"/>
    <w:rsid w:val="00225B37"/>
    <w:rsid w:val="002301E9"/>
    <w:rsid w:val="00252864"/>
    <w:rsid w:val="00260C3A"/>
    <w:rsid w:val="00274103"/>
    <w:rsid w:val="00276874"/>
    <w:rsid w:val="002942CB"/>
    <w:rsid w:val="002C5E45"/>
    <w:rsid w:val="002D59DB"/>
    <w:rsid w:val="002E2441"/>
    <w:rsid w:val="002F33C7"/>
    <w:rsid w:val="00300683"/>
    <w:rsid w:val="003030CE"/>
    <w:rsid w:val="0030700C"/>
    <w:rsid w:val="003162AF"/>
    <w:rsid w:val="00320302"/>
    <w:rsid w:val="003456CB"/>
    <w:rsid w:val="00350194"/>
    <w:rsid w:val="00355DB1"/>
    <w:rsid w:val="00365A47"/>
    <w:rsid w:val="00372D33"/>
    <w:rsid w:val="003A08E9"/>
    <w:rsid w:val="003A1570"/>
    <w:rsid w:val="003B4A7F"/>
    <w:rsid w:val="003C5D4C"/>
    <w:rsid w:val="003C706A"/>
    <w:rsid w:val="003C710F"/>
    <w:rsid w:val="00405E5F"/>
    <w:rsid w:val="004111DB"/>
    <w:rsid w:val="004114BE"/>
    <w:rsid w:val="00422708"/>
    <w:rsid w:val="00423D21"/>
    <w:rsid w:val="00425530"/>
    <w:rsid w:val="00432232"/>
    <w:rsid w:val="00443A1B"/>
    <w:rsid w:val="004672D4"/>
    <w:rsid w:val="004678A8"/>
    <w:rsid w:val="00482E6A"/>
    <w:rsid w:val="004C1E33"/>
    <w:rsid w:val="004C2672"/>
    <w:rsid w:val="004C2DDA"/>
    <w:rsid w:val="004D1AE3"/>
    <w:rsid w:val="004D2C61"/>
    <w:rsid w:val="004D2E94"/>
    <w:rsid w:val="004F6ABF"/>
    <w:rsid w:val="00505B67"/>
    <w:rsid w:val="005165D1"/>
    <w:rsid w:val="00524124"/>
    <w:rsid w:val="00525747"/>
    <w:rsid w:val="00555F11"/>
    <w:rsid w:val="00561C54"/>
    <w:rsid w:val="0056217E"/>
    <w:rsid w:val="005663BA"/>
    <w:rsid w:val="00591CD3"/>
    <w:rsid w:val="005A7E44"/>
    <w:rsid w:val="00631C97"/>
    <w:rsid w:val="00635B7F"/>
    <w:rsid w:val="00637A21"/>
    <w:rsid w:val="006503CD"/>
    <w:rsid w:val="0065514F"/>
    <w:rsid w:val="0066443A"/>
    <w:rsid w:val="006A4966"/>
    <w:rsid w:val="006B0495"/>
    <w:rsid w:val="006C6AEE"/>
    <w:rsid w:val="006D6BBB"/>
    <w:rsid w:val="007117E5"/>
    <w:rsid w:val="00713D16"/>
    <w:rsid w:val="00721D72"/>
    <w:rsid w:val="00722FE5"/>
    <w:rsid w:val="00725C36"/>
    <w:rsid w:val="007329A4"/>
    <w:rsid w:val="00733C8E"/>
    <w:rsid w:val="007405C6"/>
    <w:rsid w:val="00773038"/>
    <w:rsid w:val="00782D83"/>
    <w:rsid w:val="00794D53"/>
    <w:rsid w:val="007B38AD"/>
    <w:rsid w:val="007C0DB5"/>
    <w:rsid w:val="007C1681"/>
    <w:rsid w:val="007C7F4E"/>
    <w:rsid w:val="007D0402"/>
    <w:rsid w:val="007D13E6"/>
    <w:rsid w:val="007D59B6"/>
    <w:rsid w:val="007E4B2E"/>
    <w:rsid w:val="00812050"/>
    <w:rsid w:val="0084140E"/>
    <w:rsid w:val="00842C26"/>
    <w:rsid w:val="0085082E"/>
    <w:rsid w:val="00856A0D"/>
    <w:rsid w:val="00860509"/>
    <w:rsid w:val="0086252F"/>
    <w:rsid w:val="008650C7"/>
    <w:rsid w:val="00866D0D"/>
    <w:rsid w:val="0087240D"/>
    <w:rsid w:val="008A2E27"/>
    <w:rsid w:val="008B66C4"/>
    <w:rsid w:val="008D2CC3"/>
    <w:rsid w:val="008E2CE3"/>
    <w:rsid w:val="008F32EF"/>
    <w:rsid w:val="00902003"/>
    <w:rsid w:val="00910061"/>
    <w:rsid w:val="00911C31"/>
    <w:rsid w:val="009153C9"/>
    <w:rsid w:val="0092072C"/>
    <w:rsid w:val="00931B1C"/>
    <w:rsid w:val="00936C0E"/>
    <w:rsid w:val="009408DC"/>
    <w:rsid w:val="009428EA"/>
    <w:rsid w:val="00955696"/>
    <w:rsid w:val="009649C9"/>
    <w:rsid w:val="00965391"/>
    <w:rsid w:val="009759B2"/>
    <w:rsid w:val="009C0211"/>
    <w:rsid w:val="009E1F34"/>
    <w:rsid w:val="009E225D"/>
    <w:rsid w:val="009E6722"/>
    <w:rsid w:val="009F0F07"/>
    <w:rsid w:val="00A20C1A"/>
    <w:rsid w:val="00A31B48"/>
    <w:rsid w:val="00A53FA5"/>
    <w:rsid w:val="00A740B9"/>
    <w:rsid w:val="00A74E6E"/>
    <w:rsid w:val="00A80E16"/>
    <w:rsid w:val="00A94364"/>
    <w:rsid w:val="00A953E4"/>
    <w:rsid w:val="00AA6A1D"/>
    <w:rsid w:val="00AB0384"/>
    <w:rsid w:val="00AC0608"/>
    <w:rsid w:val="00AC6874"/>
    <w:rsid w:val="00AD4B46"/>
    <w:rsid w:val="00AD6419"/>
    <w:rsid w:val="00AD675B"/>
    <w:rsid w:val="00AE0642"/>
    <w:rsid w:val="00AE4F79"/>
    <w:rsid w:val="00AE70E5"/>
    <w:rsid w:val="00B046B3"/>
    <w:rsid w:val="00B20B32"/>
    <w:rsid w:val="00B21F46"/>
    <w:rsid w:val="00B224AA"/>
    <w:rsid w:val="00B416D3"/>
    <w:rsid w:val="00B416ED"/>
    <w:rsid w:val="00B612D9"/>
    <w:rsid w:val="00B67241"/>
    <w:rsid w:val="00B766A9"/>
    <w:rsid w:val="00B77C27"/>
    <w:rsid w:val="00B82D5A"/>
    <w:rsid w:val="00B96823"/>
    <w:rsid w:val="00B96C94"/>
    <w:rsid w:val="00BA67D5"/>
    <w:rsid w:val="00BC03FB"/>
    <w:rsid w:val="00BC20F6"/>
    <w:rsid w:val="00BD4BBF"/>
    <w:rsid w:val="00BD71A8"/>
    <w:rsid w:val="00BE1BDB"/>
    <w:rsid w:val="00BE2090"/>
    <w:rsid w:val="00BE40D7"/>
    <w:rsid w:val="00BE78AA"/>
    <w:rsid w:val="00BF3E0B"/>
    <w:rsid w:val="00C00A10"/>
    <w:rsid w:val="00C07BFD"/>
    <w:rsid w:val="00C573A3"/>
    <w:rsid w:val="00C67D71"/>
    <w:rsid w:val="00C73C1F"/>
    <w:rsid w:val="00C816B7"/>
    <w:rsid w:val="00C841ED"/>
    <w:rsid w:val="00C845FB"/>
    <w:rsid w:val="00C906D2"/>
    <w:rsid w:val="00C92F48"/>
    <w:rsid w:val="00CA017F"/>
    <w:rsid w:val="00CA90BC"/>
    <w:rsid w:val="00CB01C4"/>
    <w:rsid w:val="00CB16D0"/>
    <w:rsid w:val="00CB454A"/>
    <w:rsid w:val="00CC123F"/>
    <w:rsid w:val="00CD285A"/>
    <w:rsid w:val="00CF4702"/>
    <w:rsid w:val="00CF7677"/>
    <w:rsid w:val="00D00FEF"/>
    <w:rsid w:val="00D13B59"/>
    <w:rsid w:val="00D36116"/>
    <w:rsid w:val="00D433C3"/>
    <w:rsid w:val="00D57F7B"/>
    <w:rsid w:val="00D66749"/>
    <w:rsid w:val="00D76D6E"/>
    <w:rsid w:val="00D84409"/>
    <w:rsid w:val="00D86524"/>
    <w:rsid w:val="00D90B07"/>
    <w:rsid w:val="00DA31B0"/>
    <w:rsid w:val="00DB62C6"/>
    <w:rsid w:val="00DC21DD"/>
    <w:rsid w:val="00DC27CF"/>
    <w:rsid w:val="00E03C47"/>
    <w:rsid w:val="00E077B4"/>
    <w:rsid w:val="00E15FFE"/>
    <w:rsid w:val="00E23B91"/>
    <w:rsid w:val="00E35A28"/>
    <w:rsid w:val="00E441C0"/>
    <w:rsid w:val="00E51F0F"/>
    <w:rsid w:val="00E54E7F"/>
    <w:rsid w:val="00E579A3"/>
    <w:rsid w:val="00E6537F"/>
    <w:rsid w:val="00E742E4"/>
    <w:rsid w:val="00E90A9D"/>
    <w:rsid w:val="00EA02F7"/>
    <w:rsid w:val="00EA7473"/>
    <w:rsid w:val="00EB4385"/>
    <w:rsid w:val="00EC2AB4"/>
    <w:rsid w:val="00ED1968"/>
    <w:rsid w:val="00ED28AE"/>
    <w:rsid w:val="00EF1F8F"/>
    <w:rsid w:val="00F11697"/>
    <w:rsid w:val="00F30C64"/>
    <w:rsid w:val="00F311B1"/>
    <w:rsid w:val="00F316DF"/>
    <w:rsid w:val="00F41F56"/>
    <w:rsid w:val="00F55821"/>
    <w:rsid w:val="00F61213"/>
    <w:rsid w:val="00F74502"/>
    <w:rsid w:val="00F80BD7"/>
    <w:rsid w:val="00F95B9F"/>
    <w:rsid w:val="00FA64F6"/>
    <w:rsid w:val="00FA6C68"/>
    <w:rsid w:val="00FB07AC"/>
    <w:rsid w:val="00FB4C5E"/>
    <w:rsid w:val="00FC4DE8"/>
    <w:rsid w:val="00FC50DC"/>
    <w:rsid w:val="00FD5B39"/>
    <w:rsid w:val="00FE100B"/>
    <w:rsid w:val="00FF4AF2"/>
    <w:rsid w:val="00FF59B7"/>
    <w:rsid w:val="012A698C"/>
    <w:rsid w:val="0306895E"/>
    <w:rsid w:val="04399DF1"/>
    <w:rsid w:val="0466ACF9"/>
    <w:rsid w:val="05FA3AE1"/>
    <w:rsid w:val="063D987A"/>
    <w:rsid w:val="07BB239B"/>
    <w:rsid w:val="0B8702B0"/>
    <w:rsid w:val="0C2C06DE"/>
    <w:rsid w:val="0D6031B1"/>
    <w:rsid w:val="0E8201C0"/>
    <w:rsid w:val="0F73FD18"/>
    <w:rsid w:val="108B515A"/>
    <w:rsid w:val="10A9FD99"/>
    <w:rsid w:val="11160EAE"/>
    <w:rsid w:val="123000EC"/>
    <w:rsid w:val="13AD374C"/>
    <w:rsid w:val="15567CF3"/>
    <w:rsid w:val="15D3593B"/>
    <w:rsid w:val="18CCB4AE"/>
    <w:rsid w:val="1AD9DE35"/>
    <w:rsid w:val="1AED38DC"/>
    <w:rsid w:val="1C091EBF"/>
    <w:rsid w:val="1CD84738"/>
    <w:rsid w:val="1CFF8F38"/>
    <w:rsid w:val="1E906FB1"/>
    <w:rsid w:val="229AA597"/>
    <w:rsid w:val="265BB2FF"/>
    <w:rsid w:val="286CB64F"/>
    <w:rsid w:val="28873BC3"/>
    <w:rsid w:val="29A02F22"/>
    <w:rsid w:val="2AE2FC01"/>
    <w:rsid w:val="2B7F9368"/>
    <w:rsid w:val="2E22ED6F"/>
    <w:rsid w:val="2F9C792A"/>
    <w:rsid w:val="2FB1E14E"/>
    <w:rsid w:val="307B35CB"/>
    <w:rsid w:val="31F270DC"/>
    <w:rsid w:val="324D4E7B"/>
    <w:rsid w:val="3564AEB6"/>
    <w:rsid w:val="358D9579"/>
    <w:rsid w:val="35EF76CC"/>
    <w:rsid w:val="3929EDAD"/>
    <w:rsid w:val="3A612619"/>
    <w:rsid w:val="3A8010A7"/>
    <w:rsid w:val="3A99DE6B"/>
    <w:rsid w:val="3B38A778"/>
    <w:rsid w:val="3BC25F71"/>
    <w:rsid w:val="3D9F4A0C"/>
    <w:rsid w:val="3EC4DE14"/>
    <w:rsid w:val="3F95A357"/>
    <w:rsid w:val="4031B03C"/>
    <w:rsid w:val="405EAD4E"/>
    <w:rsid w:val="44765427"/>
    <w:rsid w:val="462866FC"/>
    <w:rsid w:val="466C0B9E"/>
    <w:rsid w:val="46CF20E2"/>
    <w:rsid w:val="47B32950"/>
    <w:rsid w:val="48EB8BFD"/>
    <w:rsid w:val="49150413"/>
    <w:rsid w:val="492B1E45"/>
    <w:rsid w:val="49E5D6BB"/>
    <w:rsid w:val="4AA417BD"/>
    <w:rsid w:val="4BC97A40"/>
    <w:rsid w:val="4C21C7F9"/>
    <w:rsid w:val="4C740F4A"/>
    <w:rsid w:val="4C741A10"/>
    <w:rsid w:val="4CC57878"/>
    <w:rsid w:val="4D0CFF62"/>
    <w:rsid w:val="4E05F226"/>
    <w:rsid w:val="4EAB4158"/>
    <w:rsid w:val="5294E5C5"/>
    <w:rsid w:val="54ADAEBA"/>
    <w:rsid w:val="560D004D"/>
    <w:rsid w:val="5652313F"/>
    <w:rsid w:val="574645A6"/>
    <w:rsid w:val="589675AB"/>
    <w:rsid w:val="59631823"/>
    <w:rsid w:val="5A46ED3F"/>
    <w:rsid w:val="5A4E5ED9"/>
    <w:rsid w:val="5AF8B8E5"/>
    <w:rsid w:val="5CCAEF0E"/>
    <w:rsid w:val="5E641CD5"/>
    <w:rsid w:val="5EB70CB6"/>
    <w:rsid w:val="5F968464"/>
    <w:rsid w:val="60467518"/>
    <w:rsid w:val="604D00F9"/>
    <w:rsid w:val="66B23B92"/>
    <w:rsid w:val="6714D4E8"/>
    <w:rsid w:val="68C4B03D"/>
    <w:rsid w:val="6AD318BC"/>
    <w:rsid w:val="6BF42DE6"/>
    <w:rsid w:val="6CA1608B"/>
    <w:rsid w:val="7135226D"/>
    <w:rsid w:val="71CB2108"/>
    <w:rsid w:val="71EB5247"/>
    <w:rsid w:val="753510F0"/>
    <w:rsid w:val="76E6CE81"/>
    <w:rsid w:val="7752893F"/>
    <w:rsid w:val="77CC3DE6"/>
    <w:rsid w:val="780F2510"/>
    <w:rsid w:val="78C320BC"/>
    <w:rsid w:val="78CDE6E6"/>
    <w:rsid w:val="7BB033D1"/>
    <w:rsid w:val="7CBC59F3"/>
    <w:rsid w:val="7CD3BEEE"/>
    <w:rsid w:val="7D83686D"/>
    <w:rsid w:val="7E351B22"/>
    <w:rsid w:val="7EA84C46"/>
    <w:rsid w:val="7F2F222B"/>
    <w:rsid w:val="7F5AB344"/>
    <w:rsid w:val="7FAB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809A1"/>
  <w15:chartTrackingRefBased/>
  <w15:docId w15:val="{72845685-FE82-4E7E-A023-64CA3F03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AB4"/>
  </w:style>
  <w:style w:type="paragraph" w:styleId="Heading1">
    <w:name w:val="heading 1"/>
    <w:basedOn w:val="Normal"/>
    <w:next w:val="Normal"/>
    <w:link w:val="Heading1Char"/>
    <w:uiPriority w:val="9"/>
    <w:qFormat/>
    <w:rsid w:val="00AE0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6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6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6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6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6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6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6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6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6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6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64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441C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E6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6A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6A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A5A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EA02F7"/>
  </w:style>
  <w:style w:type="character" w:styleId="Hyperlink">
    <w:name w:val="Hyperlink"/>
    <w:basedOn w:val="DefaultParagraphFont"/>
    <w:uiPriority w:val="99"/>
    <w:unhideWhenUsed/>
    <w:rsid w:val="005A7E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ss.gov/doc/northeast-public-health-collaborative-response-to-the-september-acip-meeting/downlo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Fowler, Angela G (DPH)</dc:creator>
  <cp:keywords/>
  <dc:description/>
  <cp:lastModifiedBy>Harrison, Deborah (EHS)</cp:lastModifiedBy>
  <cp:revision>2</cp:revision>
  <dcterms:created xsi:type="dcterms:W3CDTF">2025-11-03T17:48:00Z</dcterms:created>
  <dcterms:modified xsi:type="dcterms:W3CDTF">2025-11-03T17:48:00Z</dcterms:modified>
</cp:coreProperties>
</file>