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8CAA5" w14:textId="75F9E180" w:rsidR="003A725D" w:rsidRDefault="003A725D" w:rsidP="003F336C">
      <w:pPr>
        <w:spacing w:after="0"/>
        <w:jc w:val="center"/>
        <w:rPr>
          <w:b/>
          <w:bCs/>
        </w:rPr>
      </w:pPr>
      <w:r>
        <w:rPr>
          <w:b/>
          <w:bCs/>
        </w:rPr>
        <w:t>Medical Necessity Commission Motions</w:t>
      </w:r>
    </w:p>
    <w:p w14:paraId="06C74942" w14:textId="2E908BB8" w:rsidR="00232F7F" w:rsidRDefault="003F336C" w:rsidP="00D573C4">
      <w:pPr>
        <w:spacing w:after="0"/>
        <w:jc w:val="center"/>
        <w:rPr>
          <w:b/>
          <w:bCs/>
        </w:rPr>
      </w:pPr>
      <w:r>
        <w:rPr>
          <w:b/>
          <w:bCs/>
        </w:rPr>
        <w:t>2/1/24</w:t>
      </w:r>
    </w:p>
    <w:p w14:paraId="120F40BB" w14:textId="77777777" w:rsidR="00364E99" w:rsidRPr="00364E99" w:rsidRDefault="007E7473" w:rsidP="000E1D96">
      <w:pPr>
        <w:spacing w:after="0" w:line="240" w:lineRule="auto"/>
        <w:rPr>
          <w:b/>
          <w:bCs/>
          <w:u w:val="single"/>
        </w:rPr>
      </w:pPr>
      <w:r w:rsidRPr="00364E99">
        <w:rPr>
          <w:b/>
          <w:bCs/>
          <w:u w:val="single"/>
        </w:rPr>
        <w:t>Motion 1</w:t>
      </w:r>
    </w:p>
    <w:p w14:paraId="28E32291" w14:textId="173FEADB" w:rsidR="00232F7F" w:rsidRPr="00364E99" w:rsidRDefault="00893D9D" w:rsidP="000E1D96">
      <w:pPr>
        <w:spacing w:after="0" w:line="240" w:lineRule="auto"/>
        <w:rPr>
          <w:u w:val="single"/>
        </w:rPr>
      </w:pPr>
      <w:r>
        <w:t xml:space="preserve">Commission member </w:t>
      </w:r>
      <w:r w:rsidR="00232F7F">
        <w:t xml:space="preserve">Rohn Friedman introduced a motion, seconded by commission member Joseph Shrand, to include in the Commission’s report a recommendation that the Legislature require </w:t>
      </w:r>
      <w:r w:rsidR="00280177">
        <w:t xml:space="preserve">minimum </w:t>
      </w:r>
      <w:r w:rsidR="00232F7F">
        <w:t xml:space="preserve">standardized behavioral health medical necessity criteria, uniform across payers, to the maximum degree possible. </w:t>
      </w:r>
      <w:r w:rsidR="006D4E76" w:rsidRPr="00271F1F">
        <w:rPr>
          <w:i/>
          <w:iCs/>
        </w:rPr>
        <w:t>(</w:t>
      </w:r>
      <w:proofErr w:type="gramStart"/>
      <w:r w:rsidR="00364E99" w:rsidRPr="00271F1F">
        <w:rPr>
          <w:i/>
          <w:iCs/>
        </w:rPr>
        <w:t>introduced</w:t>
      </w:r>
      <w:proofErr w:type="gramEnd"/>
      <w:r w:rsidR="00364E99" w:rsidRPr="00271F1F">
        <w:rPr>
          <w:i/>
          <w:iCs/>
        </w:rPr>
        <w:t xml:space="preserve"> 10/</w:t>
      </w:r>
      <w:r w:rsidR="007422B4" w:rsidRPr="00271F1F">
        <w:rPr>
          <w:i/>
          <w:iCs/>
        </w:rPr>
        <w:t>20/23</w:t>
      </w:r>
      <w:r w:rsidR="002B11E4" w:rsidRPr="00271F1F">
        <w:rPr>
          <w:i/>
          <w:iCs/>
        </w:rPr>
        <w:t>,</w:t>
      </w:r>
      <w:r w:rsidR="007422B4" w:rsidRPr="00271F1F">
        <w:rPr>
          <w:i/>
          <w:iCs/>
        </w:rPr>
        <w:t xml:space="preserve"> </w:t>
      </w:r>
      <w:r w:rsidR="00ED0C11" w:rsidRPr="00271F1F">
        <w:rPr>
          <w:i/>
          <w:iCs/>
        </w:rPr>
        <w:t>a</w:t>
      </w:r>
      <w:r w:rsidR="006D4E76" w:rsidRPr="00271F1F">
        <w:rPr>
          <w:i/>
          <w:iCs/>
        </w:rPr>
        <w:t>mended 11/17/23 to include “minimum</w:t>
      </w:r>
      <w:r w:rsidR="00414093" w:rsidRPr="00271F1F">
        <w:rPr>
          <w:i/>
          <w:iCs/>
        </w:rPr>
        <w:t>”)</w:t>
      </w:r>
      <w:r w:rsidR="00232F7F">
        <w:t xml:space="preserve"> </w:t>
      </w:r>
    </w:p>
    <w:p w14:paraId="2D800E85" w14:textId="77777777" w:rsidR="007E7473" w:rsidRDefault="007E7473" w:rsidP="000E1D96">
      <w:pPr>
        <w:pStyle w:val="ListParagraph"/>
        <w:spacing w:after="0" w:line="240" w:lineRule="auto"/>
        <w:ind w:left="1800"/>
      </w:pPr>
    </w:p>
    <w:p w14:paraId="08348A91" w14:textId="77777777" w:rsidR="000E1D96" w:rsidRDefault="000E1D96" w:rsidP="000E1D96">
      <w:pPr>
        <w:pStyle w:val="ListParagraph"/>
        <w:spacing w:after="0" w:line="240" w:lineRule="auto"/>
        <w:ind w:left="1800"/>
      </w:pPr>
    </w:p>
    <w:p w14:paraId="62D287BD" w14:textId="3FF330FB" w:rsidR="00271F1F" w:rsidRPr="00271F1F" w:rsidRDefault="00271F1F" w:rsidP="000E1D96">
      <w:pPr>
        <w:spacing w:after="0" w:line="240" w:lineRule="auto"/>
        <w:rPr>
          <w:b/>
          <w:bCs/>
          <w:u w:val="single"/>
        </w:rPr>
      </w:pPr>
      <w:r>
        <w:rPr>
          <w:b/>
          <w:bCs/>
          <w:u w:val="single"/>
        </w:rPr>
        <w:t>Motion 2</w:t>
      </w:r>
    </w:p>
    <w:p w14:paraId="2CB1EC1E" w14:textId="06FC2708" w:rsidR="00232F7F" w:rsidRDefault="00232F7F" w:rsidP="000E1D96">
      <w:pPr>
        <w:spacing w:after="0" w:line="240" w:lineRule="auto"/>
        <w:rPr>
          <w:i/>
          <w:iCs/>
        </w:rPr>
      </w:pPr>
      <w:r>
        <w:t xml:space="preserve">Commission member Joseph Shrand further proposed the commission’s report include a recommendation </w:t>
      </w:r>
      <w:r w:rsidRPr="00271F1F">
        <w:rPr>
          <w:rFonts w:cstheme="minorHAnsi"/>
        </w:rPr>
        <w:t>that a common medical necessity criterion can be established with the contribution of clinicians, patient advocates, those with lived experience, and insurance companies. Such medical necessity criteria shall be drawn from curated current medically necessity criteria from insurance companies, addressing health care services or supplies needed to diagnose or treat an illness, injury, condition, disease, or its symptoms and that meet accepted standards of medicine, and integrated with any novel contributions from the members of the medical necessity committee.</w:t>
      </w:r>
      <w:r w:rsidR="00271F1F" w:rsidRPr="00271F1F">
        <w:t xml:space="preserve"> </w:t>
      </w:r>
      <w:r w:rsidR="00271F1F" w:rsidRPr="00271F1F">
        <w:rPr>
          <w:i/>
          <w:iCs/>
        </w:rPr>
        <w:t>(</w:t>
      </w:r>
      <w:proofErr w:type="gramStart"/>
      <w:r w:rsidR="00271F1F" w:rsidRPr="00271F1F">
        <w:rPr>
          <w:i/>
          <w:iCs/>
        </w:rPr>
        <w:t>introduced</w:t>
      </w:r>
      <w:proofErr w:type="gramEnd"/>
      <w:r w:rsidR="00271F1F" w:rsidRPr="00271F1F">
        <w:rPr>
          <w:i/>
          <w:iCs/>
        </w:rPr>
        <w:t xml:space="preserve"> 10/20/23)</w:t>
      </w:r>
    </w:p>
    <w:p w14:paraId="61F7B589" w14:textId="77777777" w:rsidR="003F6725" w:rsidRDefault="003F6725" w:rsidP="000E1D96">
      <w:pPr>
        <w:spacing w:after="0" w:line="240" w:lineRule="auto"/>
      </w:pPr>
    </w:p>
    <w:p w14:paraId="214D5EF7" w14:textId="77777777" w:rsidR="000E1D96" w:rsidRDefault="000E1D96" w:rsidP="000E1D96">
      <w:pPr>
        <w:spacing w:after="0" w:line="240" w:lineRule="auto"/>
        <w:rPr>
          <w:b/>
          <w:bCs/>
          <w:u w:val="single"/>
        </w:rPr>
      </w:pPr>
    </w:p>
    <w:p w14:paraId="14240BA5" w14:textId="5A8E5485" w:rsidR="00893D9D" w:rsidRDefault="006E6480" w:rsidP="000E1D96">
      <w:pPr>
        <w:spacing w:after="0" w:line="240" w:lineRule="auto"/>
        <w:rPr>
          <w:b/>
          <w:bCs/>
          <w:u w:val="single"/>
        </w:rPr>
      </w:pPr>
      <w:r>
        <w:rPr>
          <w:b/>
          <w:bCs/>
          <w:u w:val="single"/>
        </w:rPr>
        <w:t>Motion 3</w:t>
      </w:r>
    </w:p>
    <w:p w14:paraId="66B33361" w14:textId="2D668F21" w:rsidR="001373A7" w:rsidRPr="001373A7" w:rsidRDefault="001373A7" w:rsidP="000E1D96">
      <w:pPr>
        <w:spacing w:after="0" w:line="240" w:lineRule="auto"/>
        <w:rPr>
          <w:b/>
          <w:bCs/>
          <w:u w:val="single"/>
        </w:rPr>
      </w:pPr>
      <w:r w:rsidRPr="001373A7">
        <w:rPr>
          <w:kern w:val="0"/>
          <w14:ligatures w14:val="none"/>
        </w:rPr>
        <w:t xml:space="preserve">Commission member Sarah </w:t>
      </w:r>
      <w:proofErr w:type="spellStart"/>
      <w:r w:rsidRPr="001373A7">
        <w:rPr>
          <w:rFonts w:ascii="Calibri" w:eastAsia="Calibri" w:hAnsi="Calibri" w:cs="Calibri"/>
          <w:kern w:val="0"/>
          <w14:ligatures w14:val="none"/>
        </w:rPr>
        <w:t>Chiaramida</w:t>
      </w:r>
      <w:proofErr w:type="spellEnd"/>
      <w:r w:rsidRPr="001373A7">
        <w:rPr>
          <w:kern w:val="0"/>
          <w14:ligatures w14:val="none"/>
        </w:rPr>
        <w:t xml:space="preserve"> moved</w:t>
      </w:r>
      <w:r w:rsidR="006705AD">
        <w:rPr>
          <w:kern w:val="0"/>
          <w14:ligatures w14:val="none"/>
        </w:rPr>
        <w:t xml:space="preserve"> </w:t>
      </w:r>
      <w:r w:rsidRPr="001373A7">
        <w:rPr>
          <w:kern w:val="0"/>
          <w14:ligatures w14:val="none"/>
        </w:rPr>
        <w:t xml:space="preserve">to further amend </w:t>
      </w:r>
      <w:r w:rsidR="00957283">
        <w:rPr>
          <w:kern w:val="0"/>
          <w14:ligatures w14:val="none"/>
        </w:rPr>
        <w:t>M</w:t>
      </w:r>
      <w:r w:rsidRPr="001373A7">
        <w:rPr>
          <w:kern w:val="0"/>
          <w14:ligatures w14:val="none"/>
        </w:rPr>
        <w:t>otion</w:t>
      </w:r>
      <w:r w:rsidR="00957283">
        <w:rPr>
          <w:kern w:val="0"/>
          <w14:ligatures w14:val="none"/>
        </w:rPr>
        <w:t xml:space="preserve"> 1</w:t>
      </w:r>
      <w:r w:rsidR="000B1D9C">
        <w:rPr>
          <w:kern w:val="0"/>
          <w14:ligatures w14:val="none"/>
        </w:rPr>
        <w:t>, seconded by Commission Member Matt Veno,</w:t>
      </w:r>
      <w:r w:rsidR="00957283">
        <w:rPr>
          <w:kern w:val="0"/>
          <w14:ligatures w14:val="none"/>
        </w:rPr>
        <w:t xml:space="preserve"> to include</w:t>
      </w:r>
      <w:r w:rsidR="00082532">
        <w:rPr>
          <w:kern w:val="0"/>
          <w14:ligatures w14:val="none"/>
        </w:rPr>
        <w:t xml:space="preserve"> in the Commission’s report </w:t>
      </w:r>
      <w:r w:rsidR="000E1D96">
        <w:rPr>
          <w:kern w:val="0"/>
          <w14:ligatures w14:val="none"/>
        </w:rPr>
        <w:t>the following recommendations</w:t>
      </w:r>
      <w:r w:rsidRPr="001373A7">
        <w:rPr>
          <w:rFonts w:ascii="Calibri" w:eastAsia="Calibri" w:hAnsi="Calibri" w:cs="Calibri"/>
          <w:kern w:val="0"/>
          <w14:ligatures w14:val="none"/>
        </w:rPr>
        <w:t>:</w:t>
      </w:r>
    </w:p>
    <w:p w14:paraId="03C6FD6A" w14:textId="77777777" w:rsidR="001373A7" w:rsidRPr="001373A7" w:rsidRDefault="001373A7" w:rsidP="000E1D96">
      <w:pPr>
        <w:numPr>
          <w:ilvl w:val="0"/>
          <w:numId w:val="2"/>
        </w:numPr>
        <w:tabs>
          <w:tab w:val="left" w:pos="1980"/>
        </w:tabs>
        <w:spacing w:after="0" w:line="240" w:lineRule="auto"/>
        <w:ind w:left="360"/>
        <w:rPr>
          <w:rFonts w:ascii="Calibri" w:eastAsia="Times New Roman" w:hAnsi="Calibri" w:cs="Calibri"/>
          <w:kern w:val="0"/>
          <w14:ligatures w14:val="none"/>
        </w:rPr>
      </w:pPr>
      <w:r w:rsidRPr="001373A7">
        <w:rPr>
          <w:rFonts w:ascii="Calibri" w:eastAsia="Times New Roman" w:hAnsi="Calibri" w:cs="Calibri"/>
          <w:kern w:val="0"/>
          <w14:ligatures w14:val="none"/>
        </w:rPr>
        <w:t xml:space="preserve">Like physical health care, it should be the goal of the behavioral health care delivery system to provide evidence-based, equitable, consistent, and high-quality </w:t>
      </w:r>
      <w:proofErr w:type="gramStart"/>
      <w:r w:rsidRPr="001373A7">
        <w:rPr>
          <w:rFonts w:ascii="Calibri" w:eastAsia="Times New Roman" w:hAnsi="Calibri" w:cs="Calibri"/>
          <w:kern w:val="0"/>
          <w14:ligatures w14:val="none"/>
        </w:rPr>
        <w:t>care;</w:t>
      </w:r>
      <w:proofErr w:type="gramEnd"/>
    </w:p>
    <w:p w14:paraId="03F47193" w14:textId="77777777" w:rsidR="001373A7" w:rsidRPr="001373A7" w:rsidRDefault="001373A7" w:rsidP="000E1D96">
      <w:pPr>
        <w:numPr>
          <w:ilvl w:val="0"/>
          <w:numId w:val="2"/>
        </w:numPr>
        <w:tabs>
          <w:tab w:val="left" w:pos="1980"/>
        </w:tabs>
        <w:spacing w:after="0" w:line="240" w:lineRule="auto"/>
        <w:ind w:left="360"/>
        <w:rPr>
          <w:rFonts w:ascii="Calibri" w:eastAsia="Times New Roman" w:hAnsi="Calibri" w:cs="Calibri"/>
          <w:kern w:val="0"/>
          <w14:ligatures w14:val="none"/>
        </w:rPr>
      </w:pPr>
      <w:r w:rsidRPr="001373A7">
        <w:rPr>
          <w:rFonts w:ascii="Calibri" w:eastAsia="Times New Roman" w:hAnsi="Calibri" w:cs="Calibri"/>
          <w:kern w:val="0"/>
          <w14:ligatures w14:val="none"/>
        </w:rPr>
        <w:t xml:space="preserve">To achieve the goal of consistent, equitable, and evidence-based delivery of behavioral health care, medical necessity criteria should be adopted across the delivery system by payers and </w:t>
      </w:r>
      <w:proofErr w:type="gramStart"/>
      <w:r w:rsidRPr="001373A7">
        <w:rPr>
          <w:rFonts w:ascii="Calibri" w:eastAsia="Times New Roman" w:hAnsi="Calibri" w:cs="Calibri"/>
          <w:kern w:val="0"/>
          <w14:ligatures w14:val="none"/>
        </w:rPr>
        <w:t>providers;</w:t>
      </w:r>
      <w:proofErr w:type="gramEnd"/>
    </w:p>
    <w:p w14:paraId="53B5D25E" w14:textId="77777777" w:rsidR="001373A7" w:rsidRPr="001373A7" w:rsidRDefault="001373A7" w:rsidP="000E1D96">
      <w:pPr>
        <w:numPr>
          <w:ilvl w:val="0"/>
          <w:numId w:val="2"/>
        </w:numPr>
        <w:tabs>
          <w:tab w:val="left" w:pos="1980"/>
        </w:tabs>
        <w:spacing w:after="0" w:line="240" w:lineRule="auto"/>
        <w:ind w:left="360"/>
        <w:rPr>
          <w:rFonts w:ascii="Calibri" w:eastAsia="Times New Roman" w:hAnsi="Calibri" w:cs="Calibri"/>
          <w:kern w:val="0"/>
          <w14:ligatures w14:val="none"/>
        </w:rPr>
      </w:pPr>
      <w:r w:rsidRPr="001373A7">
        <w:rPr>
          <w:rFonts w:ascii="Calibri" w:eastAsia="Times New Roman" w:hAnsi="Calibri" w:cs="Calibri"/>
          <w:kern w:val="0"/>
          <w14:ligatures w14:val="none"/>
        </w:rPr>
        <w:t xml:space="preserve">Health plans and providers shall utilize nationally- based criteria for medical necessity for behavioral health care services, where available; and </w:t>
      </w:r>
    </w:p>
    <w:p w14:paraId="0154424F" w14:textId="2284807D" w:rsidR="001373A7" w:rsidRPr="001373A7" w:rsidRDefault="001373A7" w:rsidP="000E1D96">
      <w:pPr>
        <w:numPr>
          <w:ilvl w:val="0"/>
          <w:numId w:val="2"/>
        </w:numPr>
        <w:tabs>
          <w:tab w:val="left" w:pos="1980"/>
        </w:tabs>
        <w:spacing w:after="0" w:line="240" w:lineRule="auto"/>
        <w:ind w:left="360"/>
        <w:rPr>
          <w:rFonts w:ascii="Calibri" w:eastAsia="Times New Roman" w:hAnsi="Calibri" w:cs="Calibri"/>
          <w:kern w:val="0"/>
          <w14:ligatures w14:val="none"/>
        </w:rPr>
      </w:pPr>
      <w:r w:rsidRPr="001373A7">
        <w:rPr>
          <w:rFonts w:ascii="Calibri" w:eastAsia="Times New Roman" w:hAnsi="Calibri" w:cs="Calibri"/>
          <w:kern w:val="0"/>
          <w14:ligatures w14:val="none"/>
        </w:rPr>
        <w:t>Such criteria should be reviewed annually, with input from local practitioners, to ensure that they conform to local evidenced-based practice.</w:t>
      </w:r>
      <w:r w:rsidR="005B7923" w:rsidRPr="005B7923">
        <w:rPr>
          <w:i/>
          <w:iCs/>
        </w:rPr>
        <w:t xml:space="preserve"> </w:t>
      </w:r>
      <w:r w:rsidR="005B7923">
        <w:rPr>
          <w:i/>
          <w:iCs/>
        </w:rPr>
        <w:t xml:space="preserve"> </w:t>
      </w:r>
      <w:r w:rsidR="005B7923" w:rsidRPr="00271F1F">
        <w:rPr>
          <w:i/>
          <w:iCs/>
        </w:rPr>
        <w:t>(</w:t>
      </w:r>
      <w:proofErr w:type="gramStart"/>
      <w:r w:rsidR="005B7923" w:rsidRPr="00271F1F">
        <w:rPr>
          <w:i/>
          <w:iCs/>
        </w:rPr>
        <w:t>introduced</w:t>
      </w:r>
      <w:proofErr w:type="gramEnd"/>
      <w:r w:rsidR="005B7923" w:rsidRPr="00271F1F">
        <w:rPr>
          <w:i/>
          <w:iCs/>
        </w:rPr>
        <w:t xml:space="preserve"> 1/</w:t>
      </w:r>
      <w:r w:rsidR="005B7923">
        <w:rPr>
          <w:i/>
          <w:iCs/>
        </w:rPr>
        <w:t>19</w:t>
      </w:r>
      <w:r w:rsidR="005B7923" w:rsidRPr="00271F1F">
        <w:rPr>
          <w:i/>
          <w:iCs/>
        </w:rPr>
        <w:t>/23)</w:t>
      </w:r>
    </w:p>
    <w:p w14:paraId="304B1715" w14:textId="77777777" w:rsidR="003A725D" w:rsidRDefault="003A725D" w:rsidP="000E1D96">
      <w:pPr>
        <w:pBdr>
          <w:bottom w:val="single" w:sz="12" w:space="1" w:color="auto"/>
        </w:pBdr>
        <w:spacing w:after="0" w:line="240" w:lineRule="auto"/>
        <w:ind w:left="360"/>
        <w:rPr>
          <w:b/>
          <w:bCs/>
        </w:rPr>
      </w:pPr>
    </w:p>
    <w:p w14:paraId="50D467DD" w14:textId="77777777" w:rsidR="002C5606" w:rsidRDefault="002C5606" w:rsidP="000E1D96">
      <w:pPr>
        <w:spacing w:after="0" w:line="240" w:lineRule="auto"/>
        <w:rPr>
          <w:b/>
          <w:bCs/>
        </w:rPr>
      </w:pPr>
    </w:p>
    <w:p w14:paraId="7A98E7DE" w14:textId="77777777" w:rsidR="002C5606" w:rsidRDefault="002C5606" w:rsidP="000E1D96">
      <w:pPr>
        <w:spacing w:after="0" w:line="240" w:lineRule="auto"/>
        <w:rPr>
          <w:b/>
          <w:bCs/>
        </w:rPr>
      </w:pPr>
    </w:p>
    <w:p w14:paraId="5705B765" w14:textId="0E4CE723" w:rsidR="002C5606" w:rsidRDefault="002C5606" w:rsidP="000E1D96">
      <w:pPr>
        <w:spacing w:after="0" w:line="240" w:lineRule="auto"/>
        <w:rPr>
          <w:b/>
          <w:bCs/>
          <w:u w:val="single"/>
        </w:rPr>
      </w:pPr>
      <w:r w:rsidRPr="005B7923">
        <w:rPr>
          <w:b/>
          <w:bCs/>
          <w:u w:val="single"/>
        </w:rPr>
        <w:t>Proposed Compromise Language</w:t>
      </w:r>
      <w:r w:rsidR="005B7923" w:rsidRPr="005B7923">
        <w:rPr>
          <w:b/>
          <w:bCs/>
          <w:u w:val="single"/>
        </w:rPr>
        <w:t xml:space="preserve"> </w:t>
      </w:r>
    </w:p>
    <w:p w14:paraId="2B971176" w14:textId="77777777" w:rsidR="00D573C4" w:rsidRDefault="00D573C4" w:rsidP="00D573C4">
      <w:pPr>
        <w:tabs>
          <w:tab w:val="left" w:pos="1980"/>
        </w:tabs>
      </w:pPr>
      <w:r>
        <w:t>Commission member Jospeh Shrand recommended the following combined language:</w:t>
      </w:r>
    </w:p>
    <w:p w14:paraId="5D85976F" w14:textId="77777777" w:rsidR="00D573C4" w:rsidRDefault="00D573C4" w:rsidP="00D573C4">
      <w:pPr>
        <w:pStyle w:val="ListParagraph"/>
        <w:numPr>
          <w:ilvl w:val="1"/>
          <w:numId w:val="4"/>
        </w:numPr>
        <w:tabs>
          <w:tab w:val="left" w:pos="1980"/>
        </w:tabs>
        <w:ind w:left="360"/>
      </w:pPr>
      <w:r>
        <w:t xml:space="preserve">Like physical health care, it should be the goal of the behavioral health care delivery system to provide evidence-based, equitable, consistent, and high-quality </w:t>
      </w:r>
      <w:proofErr w:type="gramStart"/>
      <w:r>
        <w:t>care;</w:t>
      </w:r>
      <w:proofErr w:type="gramEnd"/>
      <w:r>
        <w:t xml:space="preserve"> </w:t>
      </w:r>
    </w:p>
    <w:p w14:paraId="690F66AC" w14:textId="77777777" w:rsidR="00D573C4" w:rsidRDefault="00D573C4" w:rsidP="00D573C4">
      <w:pPr>
        <w:pStyle w:val="ListParagraph"/>
        <w:numPr>
          <w:ilvl w:val="1"/>
          <w:numId w:val="4"/>
        </w:numPr>
        <w:tabs>
          <w:tab w:val="left" w:pos="1980"/>
        </w:tabs>
        <w:ind w:left="360"/>
      </w:pPr>
      <w:r>
        <w:t xml:space="preserve">To achieve the goal of consistent, equitable, and evidence-based delivery of behavioral health care, medical necessity criteria should be adopted across the delivery system by payers and </w:t>
      </w:r>
      <w:proofErr w:type="gramStart"/>
      <w:r>
        <w:t>providers;</w:t>
      </w:r>
      <w:proofErr w:type="gramEnd"/>
    </w:p>
    <w:p w14:paraId="0EE2BD2A" w14:textId="77777777" w:rsidR="00D573C4" w:rsidRDefault="00D573C4" w:rsidP="00D573C4">
      <w:pPr>
        <w:pStyle w:val="ListParagraph"/>
        <w:numPr>
          <w:ilvl w:val="1"/>
          <w:numId w:val="4"/>
        </w:numPr>
        <w:tabs>
          <w:tab w:val="left" w:pos="1980"/>
        </w:tabs>
        <w:ind w:left="360"/>
      </w:pPr>
      <w:r>
        <w:t xml:space="preserve">That the Legislature require minimum standardized behavioral health medical necessity criteria, uniform across payers, to the maximum degree </w:t>
      </w:r>
      <w:proofErr w:type="gramStart"/>
      <w:r>
        <w:t>possible;</w:t>
      </w:r>
      <w:proofErr w:type="gramEnd"/>
      <w:r>
        <w:t xml:space="preserve"> </w:t>
      </w:r>
    </w:p>
    <w:p w14:paraId="2B7F9E38" w14:textId="77777777" w:rsidR="00D573C4" w:rsidRDefault="00D573C4" w:rsidP="00D573C4">
      <w:pPr>
        <w:pStyle w:val="ListParagraph"/>
        <w:numPr>
          <w:ilvl w:val="1"/>
          <w:numId w:val="4"/>
        </w:numPr>
        <w:tabs>
          <w:tab w:val="left" w:pos="1980"/>
        </w:tabs>
        <w:ind w:left="360"/>
      </w:pPr>
      <w:r>
        <w:t xml:space="preserve">Health plans and providers shall utilize nationally- based criteria for medical necessity for behavioral health care services, where available; and </w:t>
      </w:r>
    </w:p>
    <w:p w14:paraId="0DEBFB54" w14:textId="4EC7E676" w:rsidR="005B7923" w:rsidRPr="005B7923" w:rsidRDefault="00D573C4" w:rsidP="00D573C4">
      <w:pPr>
        <w:pStyle w:val="ListParagraph"/>
        <w:numPr>
          <w:ilvl w:val="1"/>
          <w:numId w:val="4"/>
        </w:numPr>
        <w:tabs>
          <w:tab w:val="left" w:pos="1980"/>
        </w:tabs>
        <w:ind w:left="360"/>
      </w:pPr>
      <w:r>
        <w:t>Such criteria should be reviewed annually, with input from local practitioners, to ensure that they conform to local evidenced-based practice.</w:t>
      </w:r>
      <w:r w:rsidR="009F57E0">
        <w:t xml:space="preserve">  (</w:t>
      </w:r>
      <w:proofErr w:type="gramStart"/>
      <w:r w:rsidR="009F57E0" w:rsidRPr="00324005">
        <w:rPr>
          <w:i/>
          <w:iCs/>
        </w:rPr>
        <w:t>introduced</w:t>
      </w:r>
      <w:proofErr w:type="gramEnd"/>
      <w:r w:rsidR="009F57E0" w:rsidRPr="00324005">
        <w:rPr>
          <w:i/>
          <w:iCs/>
        </w:rPr>
        <w:t xml:space="preserve"> </w:t>
      </w:r>
      <w:r w:rsidR="00324005" w:rsidRPr="00324005">
        <w:rPr>
          <w:i/>
          <w:iCs/>
        </w:rPr>
        <w:t>1/19/23 during mtg</w:t>
      </w:r>
      <w:r w:rsidR="00324005">
        <w:t>)</w:t>
      </w:r>
    </w:p>
    <w:sectPr w:rsidR="005B7923" w:rsidRPr="005B7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51A06"/>
    <w:multiLevelType w:val="hybridMultilevel"/>
    <w:tmpl w:val="9A809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5C3092"/>
    <w:multiLevelType w:val="hybridMultilevel"/>
    <w:tmpl w:val="8C1CA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32CF7"/>
    <w:multiLevelType w:val="hybridMultilevel"/>
    <w:tmpl w:val="BC56B5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24D7D5F"/>
    <w:multiLevelType w:val="hybridMultilevel"/>
    <w:tmpl w:val="DDF6DC0E"/>
    <w:lvl w:ilvl="0" w:tplc="90C09568">
      <w:start w:val="1"/>
      <w:numFmt w:val="decimal"/>
      <w:lvlText w:val="%1)"/>
      <w:lvlJc w:val="left"/>
      <w:pPr>
        <w:tabs>
          <w:tab w:val="num" w:pos="720"/>
        </w:tabs>
        <w:ind w:left="720" w:hanging="360"/>
      </w:pPr>
    </w:lvl>
    <w:lvl w:ilvl="1" w:tplc="2EB069B2">
      <w:start w:val="1"/>
      <w:numFmt w:val="decimal"/>
      <w:lvlText w:val="%2)"/>
      <w:lvlJc w:val="left"/>
      <w:pPr>
        <w:tabs>
          <w:tab w:val="num" w:pos="1440"/>
        </w:tabs>
        <w:ind w:left="1440" w:hanging="360"/>
      </w:pPr>
    </w:lvl>
    <w:lvl w:ilvl="2" w:tplc="55680BDC">
      <w:start w:val="1"/>
      <w:numFmt w:val="decimal"/>
      <w:lvlText w:val="%3)"/>
      <w:lvlJc w:val="left"/>
      <w:pPr>
        <w:tabs>
          <w:tab w:val="num" w:pos="2160"/>
        </w:tabs>
        <w:ind w:left="2160" w:hanging="360"/>
      </w:pPr>
    </w:lvl>
    <w:lvl w:ilvl="3" w:tplc="4C76CC30">
      <w:start w:val="1"/>
      <w:numFmt w:val="decimal"/>
      <w:lvlText w:val="%4)"/>
      <w:lvlJc w:val="left"/>
      <w:pPr>
        <w:tabs>
          <w:tab w:val="num" w:pos="2880"/>
        </w:tabs>
        <w:ind w:left="2880" w:hanging="360"/>
      </w:pPr>
    </w:lvl>
    <w:lvl w:ilvl="4" w:tplc="DB086BFA">
      <w:start w:val="1"/>
      <w:numFmt w:val="decimal"/>
      <w:lvlText w:val="%5)"/>
      <w:lvlJc w:val="left"/>
      <w:pPr>
        <w:tabs>
          <w:tab w:val="num" w:pos="3600"/>
        </w:tabs>
        <w:ind w:left="3600" w:hanging="360"/>
      </w:pPr>
    </w:lvl>
    <w:lvl w:ilvl="5" w:tplc="D55E364C">
      <w:start w:val="1"/>
      <w:numFmt w:val="decimal"/>
      <w:lvlText w:val="%6)"/>
      <w:lvlJc w:val="left"/>
      <w:pPr>
        <w:tabs>
          <w:tab w:val="num" w:pos="4320"/>
        </w:tabs>
        <w:ind w:left="4320" w:hanging="360"/>
      </w:pPr>
    </w:lvl>
    <w:lvl w:ilvl="6" w:tplc="5A12EB92">
      <w:start w:val="1"/>
      <w:numFmt w:val="decimal"/>
      <w:lvlText w:val="%7)"/>
      <w:lvlJc w:val="left"/>
      <w:pPr>
        <w:tabs>
          <w:tab w:val="num" w:pos="5040"/>
        </w:tabs>
        <w:ind w:left="5040" w:hanging="360"/>
      </w:pPr>
    </w:lvl>
    <w:lvl w:ilvl="7" w:tplc="F2043580">
      <w:start w:val="1"/>
      <w:numFmt w:val="decimal"/>
      <w:lvlText w:val="%8)"/>
      <w:lvlJc w:val="left"/>
      <w:pPr>
        <w:tabs>
          <w:tab w:val="num" w:pos="5760"/>
        </w:tabs>
        <w:ind w:left="5760" w:hanging="360"/>
      </w:pPr>
    </w:lvl>
    <w:lvl w:ilvl="8" w:tplc="EDF431D0">
      <w:start w:val="1"/>
      <w:numFmt w:val="decimal"/>
      <w:lvlText w:val="%9)"/>
      <w:lvlJc w:val="left"/>
      <w:pPr>
        <w:tabs>
          <w:tab w:val="num" w:pos="6480"/>
        </w:tabs>
        <w:ind w:left="6480" w:hanging="360"/>
      </w:pPr>
    </w:lvl>
  </w:abstractNum>
  <w:num w:numId="1" w16cid:durableId="1085999694">
    <w:abstractNumId w:val="1"/>
  </w:num>
  <w:num w:numId="2" w16cid:durableId="1321930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30992">
    <w:abstractNumId w:val="0"/>
  </w:num>
  <w:num w:numId="4" w16cid:durableId="1728912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5D"/>
    <w:rsid w:val="00082532"/>
    <w:rsid w:val="000B1D9C"/>
    <w:rsid w:val="000E1D96"/>
    <w:rsid w:val="001373A7"/>
    <w:rsid w:val="00232F7F"/>
    <w:rsid w:val="00271F1F"/>
    <w:rsid w:val="00280177"/>
    <w:rsid w:val="002B11E4"/>
    <w:rsid w:val="002C5606"/>
    <w:rsid w:val="00310A46"/>
    <w:rsid w:val="00324005"/>
    <w:rsid w:val="00364E99"/>
    <w:rsid w:val="003A725D"/>
    <w:rsid w:val="003F336C"/>
    <w:rsid w:val="003F6725"/>
    <w:rsid w:val="00414093"/>
    <w:rsid w:val="00592DC3"/>
    <w:rsid w:val="005B7923"/>
    <w:rsid w:val="006705AD"/>
    <w:rsid w:val="006D4E76"/>
    <w:rsid w:val="006E6480"/>
    <w:rsid w:val="007422B4"/>
    <w:rsid w:val="007E7473"/>
    <w:rsid w:val="00893D9D"/>
    <w:rsid w:val="0095400D"/>
    <w:rsid w:val="00957283"/>
    <w:rsid w:val="009B61E9"/>
    <w:rsid w:val="009E7966"/>
    <w:rsid w:val="009F57E0"/>
    <w:rsid w:val="00D573C4"/>
    <w:rsid w:val="00D819E2"/>
    <w:rsid w:val="00E2295F"/>
    <w:rsid w:val="00ED0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A3E6"/>
  <w15:chartTrackingRefBased/>
  <w15:docId w15:val="{BC44B3C0-D169-4A9A-B101-5AEB0892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F7F"/>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Tallman, Jay (DMH)</cp:lastModifiedBy>
  <cp:revision>34</cp:revision>
  <dcterms:created xsi:type="dcterms:W3CDTF">2024-02-01T16:40:00Z</dcterms:created>
  <dcterms:modified xsi:type="dcterms:W3CDTF">2024-03-12T12:57:00Z</dcterms:modified>
</cp:coreProperties>
</file>