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545" w:tblpY="-495"/>
        <w:tblW w:w="11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05"/>
      </w:tblGrid>
      <w:tr w:rsidR="00E67BA9" w14:paraId="6B3F0B32" w14:textId="77777777" w:rsidTr="006C42EA">
        <w:tc>
          <w:tcPr>
            <w:tcW w:w="5760" w:type="dxa"/>
            <w:vAlign w:val="center"/>
          </w:tcPr>
          <w:p w14:paraId="601C8D25" w14:textId="77777777" w:rsidR="00E67BA9" w:rsidRDefault="00E67BA9" w:rsidP="006C42EA">
            <w:pPr>
              <w:ind w:left="270"/>
              <w:rPr>
                <w:b/>
                <w:bCs/>
                <w:color w:val="000080"/>
                <w:sz w:val="32"/>
                <w:szCs w:val="32"/>
              </w:rPr>
            </w:pPr>
            <w:bookmarkStart w:id="0" w:name="_Hlk94098710"/>
            <w:bookmarkEnd w:id="0"/>
            <w:r w:rsidRPr="006A064B">
              <w:rPr>
                <w:noProof/>
                <w:sz w:val="20"/>
                <w:szCs w:val="20"/>
              </w:rPr>
              <w:drawing>
                <wp:inline distT="0" distB="0" distL="0" distR="0" wp14:anchorId="6C9D5E45" wp14:editId="6C36667D">
                  <wp:extent cx="1028700" cy="508000"/>
                  <wp:effectExtent l="0" t="0" r="0" b="6350"/>
                  <wp:docPr id="5" name="Picture 5" descr="MassHealt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assHealt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5" w:type="dxa"/>
            <w:vAlign w:val="center"/>
          </w:tcPr>
          <w:p w14:paraId="425FAB65" w14:textId="77777777" w:rsidR="00E67BA9" w:rsidRDefault="00E67BA9" w:rsidP="006C42EA">
            <w:pPr>
              <w:ind w:right="270"/>
              <w:jc w:val="right"/>
              <w:rPr>
                <w:b/>
                <w:bCs/>
                <w:color w:val="000080"/>
                <w:sz w:val="32"/>
                <w:szCs w:val="32"/>
              </w:rPr>
            </w:pPr>
            <w:r>
              <w:rPr>
                <w:b/>
                <w:bCs/>
                <w:noProof/>
                <w:color w:val="000080"/>
                <w:sz w:val="32"/>
                <w:szCs w:val="32"/>
              </w:rPr>
              <w:drawing>
                <wp:inline distT="0" distB="0" distL="0" distR="0" wp14:anchorId="7E06B920" wp14:editId="62F8FA3B">
                  <wp:extent cx="809625" cy="771525"/>
                  <wp:effectExtent l="0" t="0" r="9525" b="9525"/>
                  <wp:docPr id="1" name="Picture 1" descr="Massachusetts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ssachusetts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49F99" w14:textId="09E638C5" w:rsidR="007E70C9" w:rsidRDefault="007E70C9" w:rsidP="007E70C9">
      <w:pPr>
        <w:rPr>
          <w:rFonts w:asciiTheme="minorHAnsi" w:hAnsiTheme="minorHAnsi" w:cs="Arial"/>
          <w:b/>
          <w:color w:val="000080"/>
          <w:sz w:val="20"/>
          <w:szCs w:val="20"/>
        </w:rPr>
      </w:pPr>
    </w:p>
    <w:p w14:paraId="0E539C60" w14:textId="18873DF7" w:rsidR="00E245F9" w:rsidRPr="00E67BA9" w:rsidRDefault="00E245F9" w:rsidP="00E67BA9">
      <w:pPr>
        <w:pStyle w:val="Heading1"/>
      </w:pPr>
      <w:r w:rsidRPr="00E67BA9">
        <w:t>Medicare Savings Program Expansion</w:t>
      </w:r>
      <w:r w:rsidR="001F21E3" w:rsidRPr="00E67BA9">
        <w:t xml:space="preserve"> – FY23 H.2 Budget Proposal</w:t>
      </w:r>
    </w:p>
    <w:p w14:paraId="7935A043" w14:textId="3C57109E" w:rsidR="006E7EFC" w:rsidRDefault="00E9168D" w:rsidP="006E7EFC">
      <w:pPr>
        <w:jc w:val="center"/>
        <w:rPr>
          <w:i/>
          <w:color w:val="000080"/>
          <w:sz w:val="22"/>
          <w:szCs w:val="22"/>
        </w:rPr>
      </w:pPr>
      <w:r w:rsidRPr="00076819">
        <w:rPr>
          <w:i/>
          <w:color w:val="000080"/>
          <w:sz w:val="22"/>
          <w:szCs w:val="22"/>
        </w:rPr>
        <w:t>January</w:t>
      </w:r>
      <w:r w:rsidR="00135DA3">
        <w:rPr>
          <w:i/>
          <w:color w:val="000080"/>
          <w:sz w:val="22"/>
          <w:szCs w:val="22"/>
        </w:rPr>
        <w:t xml:space="preserve"> </w:t>
      </w:r>
      <w:r w:rsidR="001F488A" w:rsidRPr="00076819">
        <w:rPr>
          <w:i/>
          <w:color w:val="000080"/>
          <w:sz w:val="22"/>
          <w:szCs w:val="22"/>
        </w:rPr>
        <w:t>20</w:t>
      </w:r>
      <w:r w:rsidR="008D7844">
        <w:rPr>
          <w:i/>
          <w:color w:val="000080"/>
          <w:sz w:val="22"/>
          <w:szCs w:val="22"/>
        </w:rPr>
        <w:t>22</w:t>
      </w:r>
      <w:r w:rsidR="006E7EFC" w:rsidRPr="00076819">
        <w:rPr>
          <w:i/>
          <w:color w:val="000080"/>
          <w:sz w:val="22"/>
          <w:szCs w:val="22"/>
        </w:rPr>
        <w:br/>
      </w:r>
      <w:r w:rsidR="00E67BA9" w:rsidRPr="00076819">
        <w:rPr>
          <w:b/>
          <w:noProof/>
          <w:sz w:val="22"/>
          <w:szCs w:val="22"/>
          <w:u w:val="single"/>
        </w:rPr>
        <mc:AlternateContent>
          <mc:Choice Requires="wps">
            <w:drawing>
              <wp:inline distT="0" distB="0" distL="0" distR="0" wp14:anchorId="5D62D626" wp14:editId="34DDCEE6">
                <wp:extent cx="6858000" cy="3333"/>
                <wp:effectExtent l="0" t="38100" r="38100" b="53975"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3333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804FDF" id="Line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" strokecolor="#a50021" strokeweight="6pt">
                <w10:anchorlock/>
              </v:line>
            </w:pict>
          </mc:Fallback>
        </mc:AlternateContent>
      </w:r>
    </w:p>
    <w:p w14:paraId="732546AD" w14:textId="77777777" w:rsidR="00E67BA9" w:rsidRPr="00076819" w:rsidRDefault="00E67BA9" w:rsidP="006E7EFC">
      <w:pPr>
        <w:jc w:val="center"/>
        <w:rPr>
          <w:rFonts w:asciiTheme="minorHAnsi" w:hAnsiTheme="minorHAnsi" w:cs="Arial"/>
          <w:i/>
          <w:color w:val="000080"/>
          <w:sz w:val="22"/>
          <w:szCs w:val="22"/>
        </w:rPr>
      </w:pPr>
    </w:p>
    <w:p w14:paraId="252F3605" w14:textId="3179D0DB" w:rsidR="00137942" w:rsidRPr="00CF6816" w:rsidRDefault="00137942" w:rsidP="00321516">
      <w:pPr>
        <w:spacing w:line="276" w:lineRule="auto"/>
        <w:rPr>
          <w:b/>
        </w:rPr>
      </w:pPr>
      <w:r w:rsidRPr="00CF6816">
        <w:rPr>
          <w:b/>
        </w:rPr>
        <w:t>The Baker-</w:t>
      </w:r>
      <w:proofErr w:type="spellStart"/>
      <w:r w:rsidRPr="00CF6816">
        <w:rPr>
          <w:b/>
        </w:rPr>
        <w:t>Polito</w:t>
      </w:r>
      <w:proofErr w:type="spellEnd"/>
      <w:r w:rsidRPr="00CF6816">
        <w:rPr>
          <w:b/>
        </w:rPr>
        <w:t xml:space="preserve"> Administration’s FY2</w:t>
      </w:r>
      <w:r w:rsidR="008D7844">
        <w:rPr>
          <w:b/>
        </w:rPr>
        <w:t>3</w:t>
      </w:r>
      <w:r w:rsidRPr="00CF6816">
        <w:rPr>
          <w:b/>
        </w:rPr>
        <w:t xml:space="preserve"> budget proposes to</w:t>
      </w:r>
      <w:r w:rsidR="00135DA3">
        <w:rPr>
          <w:b/>
        </w:rPr>
        <w:t xml:space="preserve"> further </w:t>
      </w:r>
      <w:r w:rsidRPr="00CF6816">
        <w:rPr>
          <w:b/>
        </w:rPr>
        <w:t xml:space="preserve">expand eligibility for </w:t>
      </w:r>
      <w:r w:rsidR="00ED01A9" w:rsidRPr="00CF6816">
        <w:rPr>
          <w:b/>
        </w:rPr>
        <w:t xml:space="preserve">the </w:t>
      </w:r>
      <w:r w:rsidRPr="00CF6816">
        <w:rPr>
          <w:b/>
        </w:rPr>
        <w:t>Medicare Savings Program</w:t>
      </w:r>
      <w:r w:rsidR="00D14FC1" w:rsidRPr="00CF6816">
        <w:rPr>
          <w:b/>
        </w:rPr>
        <w:t xml:space="preserve"> </w:t>
      </w:r>
      <w:r w:rsidR="003D3B8C">
        <w:rPr>
          <w:b/>
        </w:rPr>
        <w:t>and</w:t>
      </w:r>
      <w:r w:rsidR="003D3B8C" w:rsidRPr="00CF6816">
        <w:rPr>
          <w:b/>
        </w:rPr>
        <w:t xml:space="preserve"> </w:t>
      </w:r>
      <w:r w:rsidR="006E608D" w:rsidRPr="00CF6816">
        <w:rPr>
          <w:b/>
        </w:rPr>
        <w:t xml:space="preserve">bring </w:t>
      </w:r>
      <w:r w:rsidRPr="00CF6816">
        <w:rPr>
          <w:b/>
        </w:rPr>
        <w:t>more than $</w:t>
      </w:r>
      <w:r w:rsidR="00044395">
        <w:rPr>
          <w:b/>
        </w:rPr>
        <w:t>2</w:t>
      </w:r>
      <w:r w:rsidRPr="00CF6816">
        <w:rPr>
          <w:b/>
        </w:rPr>
        <w:t>00</w:t>
      </w:r>
      <w:r w:rsidR="003D3B8C">
        <w:rPr>
          <w:b/>
        </w:rPr>
        <w:t xml:space="preserve"> million</w:t>
      </w:r>
      <w:r w:rsidRPr="00CF6816">
        <w:rPr>
          <w:b/>
        </w:rPr>
        <w:t xml:space="preserve"> in federal subsidies </w:t>
      </w:r>
      <w:r w:rsidR="00D14FC1" w:rsidRPr="00CF6816">
        <w:rPr>
          <w:b/>
        </w:rPr>
        <w:t xml:space="preserve">directly to </w:t>
      </w:r>
      <w:r w:rsidR="00222F72" w:rsidRPr="00CF6816">
        <w:rPr>
          <w:b/>
        </w:rPr>
        <w:t>~</w:t>
      </w:r>
      <w:r w:rsidR="002A1EC8">
        <w:rPr>
          <w:b/>
        </w:rPr>
        <w:t>35</w:t>
      </w:r>
      <w:r w:rsidR="00D14FC1" w:rsidRPr="00CF6816">
        <w:rPr>
          <w:b/>
        </w:rPr>
        <w:t>,000 low</w:t>
      </w:r>
      <w:r w:rsidR="003F227D">
        <w:rPr>
          <w:b/>
        </w:rPr>
        <w:t>-</w:t>
      </w:r>
      <w:r w:rsidR="00D14FC1" w:rsidRPr="00CF6816">
        <w:rPr>
          <w:b/>
        </w:rPr>
        <w:t xml:space="preserve">income </w:t>
      </w:r>
      <w:r w:rsidR="00941BCC">
        <w:rPr>
          <w:b/>
        </w:rPr>
        <w:t>older adults</w:t>
      </w:r>
      <w:r w:rsidR="002A1EC8">
        <w:rPr>
          <w:b/>
        </w:rPr>
        <w:t xml:space="preserve"> (age 65 and over)</w:t>
      </w:r>
      <w:r w:rsidR="00941BCC">
        <w:rPr>
          <w:b/>
        </w:rPr>
        <w:t xml:space="preserve"> </w:t>
      </w:r>
      <w:r w:rsidR="00D14FC1" w:rsidRPr="00CF6816">
        <w:rPr>
          <w:b/>
        </w:rPr>
        <w:t xml:space="preserve">to </w:t>
      </w:r>
      <w:r w:rsidRPr="00CF6816">
        <w:rPr>
          <w:b/>
        </w:rPr>
        <w:t>significantly reduc</w:t>
      </w:r>
      <w:r w:rsidR="00D14FC1" w:rsidRPr="00CF6816">
        <w:rPr>
          <w:b/>
        </w:rPr>
        <w:t>e their</w:t>
      </w:r>
      <w:r w:rsidRPr="00CF6816">
        <w:rPr>
          <w:b/>
        </w:rPr>
        <w:t xml:space="preserve"> health care costs</w:t>
      </w:r>
    </w:p>
    <w:p w14:paraId="54C94DAF" w14:textId="77777777" w:rsidR="00137942" w:rsidRPr="00CF6816" w:rsidRDefault="00137942" w:rsidP="00321516">
      <w:pPr>
        <w:spacing w:line="276" w:lineRule="auto"/>
        <w:rPr>
          <w:b/>
        </w:rPr>
      </w:pPr>
    </w:p>
    <w:p w14:paraId="55ADF01A" w14:textId="463763F7" w:rsidR="0031448E" w:rsidRPr="00CF6816" w:rsidRDefault="00ED01A9" w:rsidP="00321516">
      <w:pPr>
        <w:spacing w:line="276" w:lineRule="auto"/>
        <w:rPr>
          <w:b/>
        </w:rPr>
      </w:pPr>
      <w:r w:rsidRPr="00CF6816">
        <w:rPr>
          <w:b/>
        </w:rPr>
        <w:t xml:space="preserve">The </w:t>
      </w:r>
      <w:r w:rsidR="00F8625F" w:rsidRPr="00CF6816">
        <w:rPr>
          <w:b/>
        </w:rPr>
        <w:t>Medicare Savings Program (MSP) help</w:t>
      </w:r>
      <w:r w:rsidR="00B71175" w:rsidRPr="00CF6816">
        <w:rPr>
          <w:b/>
        </w:rPr>
        <w:t>s</w:t>
      </w:r>
      <w:r w:rsidR="00F8625F" w:rsidRPr="00CF6816">
        <w:rPr>
          <w:b/>
        </w:rPr>
        <w:t xml:space="preserve"> </w:t>
      </w:r>
      <w:r w:rsidR="00F8625F" w:rsidRPr="00CF6816">
        <w:rPr>
          <w:b/>
          <w:bCs/>
        </w:rPr>
        <w:t xml:space="preserve">low-income </w:t>
      </w:r>
      <w:r w:rsidR="00941BCC">
        <w:rPr>
          <w:b/>
          <w:bCs/>
        </w:rPr>
        <w:t>older adults</w:t>
      </w:r>
      <w:r w:rsidR="00941BCC" w:rsidRPr="00CF6816">
        <w:rPr>
          <w:b/>
          <w:bCs/>
        </w:rPr>
        <w:t xml:space="preserve"> </w:t>
      </w:r>
      <w:r w:rsidR="00F8625F" w:rsidRPr="00CF6816">
        <w:rPr>
          <w:b/>
          <w:bCs/>
        </w:rPr>
        <w:t>pay for</w:t>
      </w:r>
      <w:r w:rsidR="007B7E8A" w:rsidRPr="00CF6816">
        <w:rPr>
          <w:b/>
          <w:bCs/>
        </w:rPr>
        <w:t xml:space="preserve"> </w:t>
      </w:r>
      <w:r w:rsidR="0087364F" w:rsidRPr="00CF6816">
        <w:rPr>
          <w:b/>
          <w:bCs/>
        </w:rPr>
        <w:t xml:space="preserve">their </w:t>
      </w:r>
      <w:r w:rsidR="00AF69FF" w:rsidRPr="00CF6816">
        <w:rPr>
          <w:b/>
          <w:bCs/>
        </w:rPr>
        <w:t>health care</w:t>
      </w:r>
      <w:r w:rsidR="009B4099" w:rsidRPr="00CF6816">
        <w:rPr>
          <w:b/>
          <w:bCs/>
        </w:rPr>
        <w:t xml:space="preserve"> costs</w:t>
      </w:r>
    </w:p>
    <w:p w14:paraId="0CE10518" w14:textId="5602D9E3" w:rsidR="004C37C8" w:rsidRPr="00CF6816" w:rsidRDefault="004C37C8" w:rsidP="0032151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816">
        <w:rPr>
          <w:rFonts w:ascii="Times New Roman" w:hAnsi="Times New Roman" w:cs="Times New Roman"/>
          <w:color w:val="auto"/>
          <w:sz w:val="24"/>
          <w:szCs w:val="24"/>
        </w:rPr>
        <w:t xml:space="preserve">Under the MSP, MassHealth and the federal government share the cost of assisting </w:t>
      </w:r>
      <w:r w:rsidR="00941BCC">
        <w:rPr>
          <w:rFonts w:ascii="Times New Roman" w:hAnsi="Times New Roman" w:cs="Times New Roman"/>
          <w:color w:val="auto"/>
          <w:sz w:val="24"/>
          <w:szCs w:val="24"/>
        </w:rPr>
        <w:t>older adults</w:t>
      </w:r>
      <w:r w:rsidR="00941BCC" w:rsidRPr="00CF68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6816">
        <w:rPr>
          <w:rFonts w:ascii="Times New Roman" w:hAnsi="Times New Roman" w:cs="Times New Roman"/>
          <w:color w:val="auto"/>
          <w:sz w:val="24"/>
          <w:szCs w:val="24"/>
        </w:rPr>
        <w:t>with premium</w:t>
      </w:r>
      <w:r w:rsidR="00D21E9E" w:rsidRPr="00CF6816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CF6816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D435CE" w:rsidRPr="00CF6816">
        <w:rPr>
          <w:rFonts w:ascii="Times New Roman" w:hAnsi="Times New Roman" w:cs="Times New Roman"/>
          <w:color w:val="auto"/>
          <w:sz w:val="24"/>
          <w:szCs w:val="24"/>
        </w:rPr>
        <w:t>out-of-</w:t>
      </w:r>
      <w:r w:rsidR="00FA735B" w:rsidRPr="00CF6816">
        <w:rPr>
          <w:rFonts w:ascii="Times New Roman" w:hAnsi="Times New Roman" w:cs="Times New Roman"/>
          <w:color w:val="auto"/>
          <w:sz w:val="24"/>
          <w:szCs w:val="24"/>
        </w:rPr>
        <w:t>pocket costs</w:t>
      </w:r>
      <w:r w:rsidRPr="00CF6816">
        <w:rPr>
          <w:rFonts w:ascii="Times New Roman" w:hAnsi="Times New Roman" w:cs="Times New Roman"/>
          <w:color w:val="auto"/>
          <w:sz w:val="24"/>
          <w:szCs w:val="24"/>
        </w:rPr>
        <w:t xml:space="preserve"> in Medicare Parts A and B</w:t>
      </w:r>
      <w:r w:rsidR="00422C62" w:rsidRPr="00CF681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F6816">
        <w:rPr>
          <w:rFonts w:ascii="Times New Roman" w:hAnsi="Times New Roman" w:cs="Times New Roman"/>
          <w:color w:val="auto"/>
          <w:sz w:val="24"/>
          <w:szCs w:val="24"/>
        </w:rPr>
        <w:t xml:space="preserve"> which cover hospital and medical services</w:t>
      </w:r>
    </w:p>
    <w:p w14:paraId="2F8D0F8F" w14:textId="466DCD87" w:rsidR="00AD7478" w:rsidRDefault="00F8625F" w:rsidP="0032151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F6816">
        <w:rPr>
          <w:rFonts w:ascii="Times New Roman" w:hAnsi="Times New Roman" w:cs="Times New Roman"/>
          <w:color w:val="auto"/>
          <w:sz w:val="24"/>
          <w:szCs w:val="24"/>
        </w:rPr>
        <w:t xml:space="preserve">MSP participants automatically qualify for federal subsidies </w:t>
      </w:r>
      <w:r w:rsidR="00137942" w:rsidRPr="00CF6816">
        <w:rPr>
          <w:rFonts w:ascii="Times New Roman" w:hAnsi="Times New Roman" w:cs="Times New Roman"/>
          <w:color w:val="auto"/>
          <w:sz w:val="24"/>
          <w:szCs w:val="24"/>
        </w:rPr>
        <w:t xml:space="preserve">for </w:t>
      </w:r>
      <w:r w:rsidRPr="00CF6816">
        <w:rPr>
          <w:rFonts w:ascii="Times New Roman" w:hAnsi="Times New Roman" w:cs="Times New Roman"/>
          <w:color w:val="auto"/>
          <w:sz w:val="24"/>
          <w:szCs w:val="24"/>
        </w:rPr>
        <w:t>Medicare Part D drug coverage</w:t>
      </w:r>
      <w:r w:rsidR="00137942" w:rsidRPr="00CF6816">
        <w:rPr>
          <w:rFonts w:ascii="Times New Roman" w:hAnsi="Times New Roman" w:cs="Times New Roman"/>
          <w:color w:val="auto"/>
          <w:sz w:val="24"/>
          <w:szCs w:val="24"/>
        </w:rPr>
        <w:t xml:space="preserve">, which eliminate premiums, deductibles, and most cost-sharing (including </w:t>
      </w:r>
      <w:r w:rsidR="00137942">
        <w:rPr>
          <w:rFonts w:ascii="Times New Roman" w:hAnsi="Times New Roman" w:cs="Times New Roman"/>
          <w:color w:val="auto"/>
          <w:sz w:val="24"/>
          <w:szCs w:val="24"/>
        </w:rPr>
        <w:t xml:space="preserve">elimination of the “donut hole”) for low-income </w:t>
      </w:r>
      <w:r w:rsidR="00941BCC">
        <w:rPr>
          <w:rFonts w:ascii="Times New Roman" w:hAnsi="Times New Roman" w:cs="Times New Roman"/>
          <w:color w:val="auto"/>
          <w:sz w:val="24"/>
          <w:szCs w:val="24"/>
        </w:rPr>
        <w:t>older adults</w:t>
      </w:r>
    </w:p>
    <w:p w14:paraId="50587F6D" w14:textId="7D729BBE" w:rsidR="008D7844" w:rsidRPr="0031448E" w:rsidRDefault="008D7844" w:rsidP="0032151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On January 1, 2020, the Baker-Polito Administration expanded eligibility for the MSP program from 135% </w:t>
      </w:r>
      <w:r w:rsidR="003D3B8C">
        <w:rPr>
          <w:rFonts w:ascii="Times New Roman" w:hAnsi="Times New Roman" w:cs="Times New Roman"/>
          <w:color w:val="auto"/>
          <w:sz w:val="24"/>
          <w:szCs w:val="24"/>
        </w:rPr>
        <w:t>of the federal poverty level (</w:t>
      </w:r>
      <w:r>
        <w:rPr>
          <w:rFonts w:ascii="Times New Roman" w:hAnsi="Times New Roman" w:cs="Times New Roman"/>
          <w:color w:val="auto"/>
          <w:sz w:val="24"/>
          <w:szCs w:val="24"/>
        </w:rPr>
        <w:t>FPL</w:t>
      </w:r>
      <w:r w:rsidR="003D3B8C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to 165% FPL and doubled the asset limit</w:t>
      </w:r>
    </w:p>
    <w:p w14:paraId="519AB05F" w14:textId="77777777" w:rsidR="00F8625F" w:rsidRPr="0087364F" w:rsidRDefault="00F8625F" w:rsidP="00321516">
      <w:pPr>
        <w:pStyle w:val="ListParagraph"/>
        <w:spacing w:line="276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</w:p>
    <w:p w14:paraId="5759C9B9" w14:textId="30CDB0D9" w:rsidR="00022E49" w:rsidRDefault="00D81A21" w:rsidP="00321516">
      <w:pPr>
        <w:spacing w:line="276" w:lineRule="auto"/>
        <w:rPr>
          <w:bCs/>
        </w:rPr>
      </w:pPr>
      <w:r>
        <w:rPr>
          <w:b/>
        </w:rPr>
        <w:t xml:space="preserve">The Baker-Polito Administration </w:t>
      </w:r>
      <w:r w:rsidR="00137942">
        <w:rPr>
          <w:b/>
        </w:rPr>
        <w:t>is</w:t>
      </w:r>
      <w:r w:rsidR="00135DA3">
        <w:rPr>
          <w:b/>
        </w:rPr>
        <w:t xml:space="preserve"> proposing to</w:t>
      </w:r>
      <w:r w:rsidR="00137942">
        <w:rPr>
          <w:b/>
        </w:rPr>
        <w:t xml:space="preserve"> </w:t>
      </w:r>
      <w:r w:rsidR="00B86686">
        <w:rPr>
          <w:b/>
        </w:rPr>
        <w:t xml:space="preserve">further </w:t>
      </w:r>
      <w:r w:rsidR="00137942">
        <w:rPr>
          <w:b/>
        </w:rPr>
        <w:t xml:space="preserve">expand </w:t>
      </w:r>
      <w:r w:rsidR="000620EB">
        <w:rPr>
          <w:b/>
        </w:rPr>
        <w:t xml:space="preserve">income </w:t>
      </w:r>
      <w:r w:rsidR="00137942">
        <w:rPr>
          <w:b/>
        </w:rPr>
        <w:t>eligibility for the MSP program from 1</w:t>
      </w:r>
      <w:r w:rsidR="008D7844">
        <w:rPr>
          <w:b/>
        </w:rPr>
        <w:t>6</w:t>
      </w:r>
      <w:r w:rsidR="00137942">
        <w:rPr>
          <w:b/>
        </w:rPr>
        <w:t xml:space="preserve">5% FPL to </w:t>
      </w:r>
      <w:r w:rsidR="008D7844">
        <w:rPr>
          <w:b/>
        </w:rPr>
        <w:t>200</w:t>
      </w:r>
      <w:r w:rsidR="00137942">
        <w:rPr>
          <w:b/>
        </w:rPr>
        <w:t>% FPL</w:t>
      </w:r>
      <w:r w:rsidR="00A50EE9">
        <w:rPr>
          <w:b/>
        </w:rPr>
        <w:t xml:space="preserve"> </w:t>
      </w:r>
      <w:r w:rsidR="00B86686">
        <w:rPr>
          <w:b/>
        </w:rPr>
        <w:t>effective January 1, 2023</w:t>
      </w:r>
    </w:p>
    <w:p w14:paraId="75B0FA19" w14:textId="77777777" w:rsidR="00321516" w:rsidRPr="00321516" w:rsidRDefault="00321516" w:rsidP="00321516">
      <w:pPr>
        <w:spacing w:line="276" w:lineRule="auto"/>
        <w:rPr>
          <w:bCs/>
        </w:rPr>
      </w:pPr>
    </w:p>
    <w:p w14:paraId="08D767A2" w14:textId="39D6492F" w:rsidR="00040520" w:rsidRPr="00262B66" w:rsidRDefault="00817805" w:rsidP="00321516">
      <w:pPr>
        <w:pStyle w:val="ListParagraph"/>
        <w:spacing w:line="276" w:lineRule="auto"/>
        <w:ind w:left="0" w:firstLine="0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The proposed expansion would</w:t>
      </w:r>
      <w:r w:rsidRPr="008178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205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significantly </w:t>
      </w:r>
      <w:r w:rsidRPr="008178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reduce </w:t>
      </w:r>
      <w:r w:rsidR="00B86686">
        <w:rPr>
          <w:rFonts w:ascii="Times New Roman" w:hAnsi="Times New Roman" w:cs="Times New Roman"/>
          <w:b/>
          <w:color w:val="auto"/>
          <w:sz w:val="24"/>
          <w:szCs w:val="24"/>
        </w:rPr>
        <w:t>health care</w:t>
      </w:r>
      <w:r w:rsidRPr="008178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costs for </w:t>
      </w:r>
      <w:r w:rsidR="00BF5832">
        <w:rPr>
          <w:rFonts w:ascii="Times New Roman" w:hAnsi="Times New Roman" w:cs="Times New Roman"/>
          <w:color w:val="auto"/>
          <w:sz w:val="24"/>
          <w:szCs w:val="24"/>
        </w:rPr>
        <w:t>~</w:t>
      </w:r>
      <w:r w:rsidR="002A1EC8">
        <w:rPr>
          <w:rFonts w:ascii="Times New Roman" w:hAnsi="Times New Roman" w:cs="Times New Roman"/>
          <w:b/>
          <w:bCs/>
          <w:color w:val="auto"/>
          <w:sz w:val="24"/>
          <w:szCs w:val="24"/>
        </w:rPr>
        <w:t>35</w:t>
      </w:r>
      <w:r w:rsidRPr="008178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,000 </w:t>
      </w:r>
      <w:r w:rsidR="00941BCC">
        <w:rPr>
          <w:rFonts w:ascii="Times New Roman" w:hAnsi="Times New Roman" w:cs="Times New Roman"/>
          <w:b/>
          <w:bCs/>
          <w:color w:val="auto"/>
          <w:sz w:val="24"/>
          <w:szCs w:val="24"/>
        </w:rPr>
        <w:t>older adults</w:t>
      </w:r>
      <w:r w:rsidR="0087434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="00AB165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providing </w:t>
      </w:r>
      <w:r w:rsidR="00AB165A" w:rsidRPr="008178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thousands of dollars </w:t>
      </w:r>
      <w:r w:rsidR="0073207F">
        <w:rPr>
          <w:rFonts w:ascii="Times New Roman" w:hAnsi="Times New Roman" w:cs="Times New Roman"/>
          <w:b/>
          <w:color w:val="auto"/>
          <w:sz w:val="24"/>
          <w:szCs w:val="24"/>
        </w:rPr>
        <w:t>in</w:t>
      </w:r>
      <w:r w:rsidR="00013E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E539A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  <w:r w:rsidR="00AB165A">
        <w:rPr>
          <w:rFonts w:ascii="Times New Roman" w:hAnsi="Times New Roman" w:cs="Times New Roman"/>
          <w:b/>
          <w:color w:val="auto"/>
          <w:sz w:val="24"/>
          <w:szCs w:val="24"/>
        </w:rPr>
        <w:t>ut-of-pocket savings</w:t>
      </w:r>
      <w:r w:rsidR="00AB165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F723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annually </w:t>
      </w:r>
      <w:r w:rsidR="00D81A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per individual </w:t>
      </w:r>
      <w:r w:rsidR="007320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on average </w:t>
      </w:r>
      <w:r w:rsidR="00AB165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to </w:t>
      </w:r>
      <w:r w:rsidR="0087434B">
        <w:rPr>
          <w:rFonts w:ascii="Times New Roman" w:hAnsi="Times New Roman" w:cs="Times New Roman"/>
          <w:b/>
          <w:bCs/>
          <w:color w:val="auto"/>
          <w:sz w:val="24"/>
          <w:szCs w:val="24"/>
        </w:rPr>
        <w:t>promot</w:t>
      </w:r>
      <w:r w:rsidR="00AB165A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="003512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economic security</w:t>
      </w:r>
      <w:r w:rsidR="00D726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726F8" w:rsidRPr="00D726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and </w:t>
      </w:r>
      <w:r w:rsidR="00D81A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protect the most vulnerable older adults from Medicare premium increases </w:t>
      </w:r>
      <w:r w:rsidR="00D726F8" w:rsidRPr="00D726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(Medicare premiums are increasing 14% </w:t>
      </w:r>
      <w:r w:rsidR="00D726F8" w:rsidRPr="00135DA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in CY2022)</w:t>
      </w:r>
    </w:p>
    <w:p w14:paraId="70CB3968" w14:textId="01C17C41" w:rsidR="00321516" w:rsidRDefault="00321516" w:rsidP="00490F8A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40F39">
        <w:rPr>
          <w:rFonts w:ascii="Times New Roman" w:hAnsi="Times New Roman" w:cs="Times New Roman"/>
          <w:b/>
          <w:bCs/>
          <w:color w:val="auto"/>
          <w:sz w:val="24"/>
          <w:szCs w:val="24"/>
        </w:rPr>
        <w:t>~</w:t>
      </w:r>
      <w:r w:rsidR="002A1EC8">
        <w:rPr>
          <w:rFonts w:ascii="Times New Roman" w:hAnsi="Times New Roman" w:cs="Times New Roman"/>
          <w:b/>
          <w:bCs/>
          <w:color w:val="auto"/>
          <w:sz w:val="24"/>
          <w:szCs w:val="24"/>
        </w:rPr>
        <w:t>35</w:t>
      </w:r>
      <w:r w:rsidRPr="00140F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,000 </w:t>
      </w:r>
      <w:r w:rsidR="00941BCC" w:rsidRPr="00140F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older adults </w:t>
      </w:r>
      <w:r w:rsidRPr="00140F39">
        <w:rPr>
          <w:rFonts w:ascii="Times New Roman" w:hAnsi="Times New Roman" w:cs="Times New Roman"/>
          <w:b/>
          <w:bCs/>
          <w:color w:val="auto"/>
          <w:sz w:val="24"/>
          <w:szCs w:val="24"/>
        </w:rPr>
        <w:t>will be newly eligible for Medicare Part D federal subsidies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81A21">
        <w:rPr>
          <w:rFonts w:ascii="Times New Roman" w:hAnsi="Times New Roman" w:cs="Times New Roman"/>
          <w:color w:val="auto"/>
          <w:sz w:val="24"/>
          <w:szCs w:val="24"/>
        </w:rPr>
        <w:t xml:space="preserve">significantly </w:t>
      </w:r>
      <w:r>
        <w:rPr>
          <w:rFonts w:ascii="Times New Roman" w:hAnsi="Times New Roman" w:cs="Times New Roman"/>
          <w:color w:val="auto"/>
          <w:sz w:val="24"/>
          <w:szCs w:val="24"/>
        </w:rPr>
        <w:t>reducing annual out-of-pocket prescription drug costs, in addition to receiving MassHealth support for the Medicare premiums and/or cost sharing</w:t>
      </w:r>
    </w:p>
    <w:p w14:paraId="13ABBB96" w14:textId="2EBB4B04" w:rsidR="00321516" w:rsidRPr="00321516" w:rsidRDefault="00490F8A" w:rsidP="00321516">
      <w:pPr>
        <w:pStyle w:val="ListParagraph"/>
        <w:numPr>
          <w:ilvl w:val="1"/>
          <w:numId w:val="6"/>
        </w:numPr>
        <w:spacing w:after="20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40F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 additional </w:t>
      </w:r>
      <w:r w:rsidR="00321516" w:rsidRPr="00140F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~15,000 older adults currently with MSP will receive </w:t>
      </w:r>
      <w:r w:rsidRPr="00140F39">
        <w:rPr>
          <w:rFonts w:ascii="Times New Roman" w:hAnsi="Times New Roman" w:cs="Times New Roman"/>
          <w:b/>
          <w:bCs/>
          <w:color w:val="auto"/>
          <w:sz w:val="24"/>
          <w:szCs w:val="24"/>
        </w:rPr>
        <w:t>increased</w:t>
      </w:r>
      <w:r w:rsidR="00321516" w:rsidRPr="00140F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support</w:t>
      </w:r>
      <w:r w:rsidR="00321516">
        <w:rPr>
          <w:rFonts w:ascii="Times New Roman" w:hAnsi="Times New Roman" w:cs="Times New Roman"/>
          <w:color w:val="auto"/>
          <w:sz w:val="24"/>
          <w:szCs w:val="24"/>
        </w:rPr>
        <w:t xml:space="preserve"> for their Medicare premiums and/or cost sharing</w:t>
      </w:r>
    </w:p>
    <w:p w14:paraId="4AAF5D76" w14:textId="33B16666" w:rsidR="001F6C09" w:rsidRDefault="00B71175" w:rsidP="0032151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For example, a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 79</w:t>
      </w:r>
      <w:r w:rsidR="00135DA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>year</w:t>
      </w:r>
      <w:r w:rsidR="00135DA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old with </w:t>
      </w:r>
      <w:r w:rsidR="00044395">
        <w:rPr>
          <w:rFonts w:ascii="Times New Roman" w:hAnsi="Times New Roman" w:cs="Times New Roman"/>
          <w:color w:val="auto"/>
          <w:sz w:val="24"/>
          <w:szCs w:val="24"/>
        </w:rPr>
        <w:t>$22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,000 in </w:t>
      </w:r>
      <w:r w:rsidR="00E71E78">
        <w:rPr>
          <w:rFonts w:ascii="Times New Roman" w:hAnsi="Times New Roman" w:cs="Times New Roman"/>
          <w:color w:val="auto"/>
          <w:sz w:val="24"/>
          <w:szCs w:val="24"/>
        </w:rPr>
        <w:t>social security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 income per year </w:t>
      </w:r>
      <w:r w:rsidR="001F6C09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ould see a drop in annual out-of-pocket </w:t>
      </w:r>
      <w:r w:rsidR="00E71E78">
        <w:rPr>
          <w:rFonts w:ascii="Times New Roman" w:hAnsi="Times New Roman" w:cs="Times New Roman"/>
          <w:color w:val="auto"/>
          <w:sz w:val="24"/>
          <w:szCs w:val="24"/>
        </w:rPr>
        <w:t xml:space="preserve">health care 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>costs from approximately $</w:t>
      </w:r>
      <w:r w:rsidR="0004439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4439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>00 to $</w:t>
      </w:r>
      <w:r w:rsidR="00044395">
        <w:rPr>
          <w:rFonts w:ascii="Times New Roman" w:hAnsi="Times New Roman" w:cs="Times New Roman"/>
          <w:color w:val="auto"/>
          <w:sz w:val="24"/>
          <w:szCs w:val="24"/>
        </w:rPr>
        <w:t>450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, or from </w:t>
      </w:r>
      <w:r w:rsidR="00044395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% to </w:t>
      </w:r>
      <w:r w:rsidR="0004439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% of </w:t>
      </w:r>
      <w:r w:rsidR="00044395">
        <w:rPr>
          <w:rFonts w:ascii="Times New Roman" w:hAnsi="Times New Roman" w:cs="Times New Roman"/>
          <w:color w:val="auto"/>
          <w:sz w:val="24"/>
          <w:szCs w:val="24"/>
        </w:rPr>
        <w:t>total</w:t>
      </w:r>
      <w:r w:rsidR="001F6C09" w:rsidRPr="008C39AB">
        <w:rPr>
          <w:rFonts w:ascii="Times New Roman" w:hAnsi="Times New Roman" w:cs="Times New Roman"/>
          <w:color w:val="auto"/>
          <w:sz w:val="24"/>
          <w:szCs w:val="24"/>
        </w:rPr>
        <w:t xml:space="preserve"> income</w:t>
      </w:r>
    </w:p>
    <w:p w14:paraId="6CB2F0F3" w14:textId="77777777" w:rsidR="00D6507C" w:rsidRPr="008C39AB" w:rsidRDefault="00D6507C" w:rsidP="00321516">
      <w:pPr>
        <w:pStyle w:val="ListParagraph"/>
        <w:spacing w:line="276" w:lineRule="auto"/>
        <w:ind w:left="288"/>
        <w:rPr>
          <w:rFonts w:ascii="Times New Roman" w:hAnsi="Times New Roman" w:cs="Times New Roman"/>
          <w:color w:val="auto"/>
          <w:sz w:val="24"/>
          <w:szCs w:val="24"/>
        </w:rPr>
      </w:pPr>
    </w:p>
    <w:p w14:paraId="5714186A" w14:textId="37B21F5C" w:rsidR="00022E49" w:rsidRPr="00262B66" w:rsidRDefault="007967F5" w:rsidP="00321516">
      <w:pPr>
        <w:spacing w:line="276" w:lineRule="auto"/>
        <w:rPr>
          <w:b/>
        </w:rPr>
      </w:pPr>
      <w:r>
        <w:rPr>
          <w:b/>
        </w:rPr>
        <w:t>The proposal generates over $</w:t>
      </w:r>
      <w:r w:rsidR="00044395">
        <w:rPr>
          <w:b/>
        </w:rPr>
        <w:t>2</w:t>
      </w:r>
      <w:r>
        <w:rPr>
          <w:b/>
        </w:rPr>
        <w:t>00 million in federal subsidies</w:t>
      </w:r>
      <w:r w:rsidR="00ED01A9">
        <w:rPr>
          <w:b/>
        </w:rPr>
        <w:t xml:space="preserve"> </w:t>
      </w:r>
      <w:r w:rsidR="00A17636">
        <w:rPr>
          <w:b/>
        </w:rPr>
        <w:t xml:space="preserve">that will flow </w:t>
      </w:r>
      <w:r w:rsidR="00ED01A9">
        <w:rPr>
          <w:b/>
        </w:rPr>
        <w:t>directly</w:t>
      </w:r>
      <w:r>
        <w:rPr>
          <w:b/>
        </w:rPr>
        <w:t xml:space="preserve"> to </w:t>
      </w:r>
      <w:r w:rsidR="00182C54">
        <w:rPr>
          <w:b/>
        </w:rPr>
        <w:t>reduce prescription drug costs for</w:t>
      </w:r>
      <w:r w:rsidR="00D81A21">
        <w:rPr>
          <w:b/>
        </w:rPr>
        <w:t xml:space="preserve"> </w:t>
      </w:r>
      <w:r>
        <w:rPr>
          <w:b/>
        </w:rPr>
        <w:t>low</w:t>
      </w:r>
      <w:r w:rsidR="00135DA3">
        <w:rPr>
          <w:b/>
        </w:rPr>
        <w:t>-</w:t>
      </w:r>
      <w:r>
        <w:rPr>
          <w:b/>
        </w:rPr>
        <w:t xml:space="preserve"> income </w:t>
      </w:r>
      <w:r w:rsidR="00941BCC">
        <w:rPr>
          <w:b/>
        </w:rPr>
        <w:t>older adults</w:t>
      </w:r>
      <w:r w:rsidR="0088073D">
        <w:rPr>
          <w:b/>
        </w:rPr>
        <w:t>,</w:t>
      </w:r>
      <w:r>
        <w:rPr>
          <w:b/>
        </w:rPr>
        <w:t xml:space="preserve"> with a </w:t>
      </w:r>
      <w:r w:rsidR="00ED01A9">
        <w:rPr>
          <w:b/>
        </w:rPr>
        <w:t xml:space="preserve">new </w:t>
      </w:r>
      <w:r>
        <w:rPr>
          <w:b/>
        </w:rPr>
        <w:t>state investment of $</w:t>
      </w:r>
      <w:r w:rsidR="00044395">
        <w:rPr>
          <w:b/>
        </w:rPr>
        <w:t>41</w:t>
      </w:r>
      <w:r w:rsidR="003D3B8C">
        <w:rPr>
          <w:b/>
        </w:rPr>
        <w:t xml:space="preserve"> million</w:t>
      </w:r>
      <w:r>
        <w:rPr>
          <w:b/>
        </w:rPr>
        <w:t xml:space="preserve"> net annually ($</w:t>
      </w:r>
      <w:r w:rsidR="00044395">
        <w:rPr>
          <w:b/>
        </w:rPr>
        <w:t>21</w:t>
      </w:r>
      <w:r w:rsidR="003D3B8C">
        <w:rPr>
          <w:b/>
        </w:rPr>
        <w:t xml:space="preserve"> million</w:t>
      </w:r>
      <w:r>
        <w:rPr>
          <w:b/>
        </w:rPr>
        <w:t xml:space="preserve"> in FY2</w:t>
      </w:r>
      <w:r w:rsidR="00044395">
        <w:rPr>
          <w:b/>
        </w:rPr>
        <w:t>3</w:t>
      </w:r>
      <w:r>
        <w:rPr>
          <w:b/>
        </w:rPr>
        <w:t>)</w:t>
      </w:r>
    </w:p>
    <w:p w14:paraId="60BD3676" w14:textId="46543742" w:rsidR="00F8625F" w:rsidRDefault="00182C54" w:rsidP="007E70C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By expanding eligibility for the MSP program, Massachusetts will enable more low-income older adults to automatically qualify for </w:t>
      </w:r>
      <w:r w:rsidR="00B07032">
        <w:rPr>
          <w:rFonts w:ascii="Times New Roman" w:hAnsi="Times New Roman" w:cs="Times New Roman"/>
          <w:color w:val="auto"/>
          <w:sz w:val="24"/>
          <w:szCs w:val="24"/>
        </w:rPr>
        <w:t xml:space="preserve">approximately $200 million in </w:t>
      </w:r>
      <w:r>
        <w:rPr>
          <w:rFonts w:ascii="Times New Roman" w:hAnsi="Times New Roman" w:cs="Times New Roman"/>
          <w:color w:val="auto"/>
          <w:sz w:val="24"/>
          <w:szCs w:val="24"/>
        </w:rPr>
        <w:t>federal Medicare Part D subsidies</w:t>
      </w:r>
    </w:p>
    <w:p w14:paraId="349399A8" w14:textId="77777777" w:rsidR="007E70C9" w:rsidRPr="007E70C9" w:rsidRDefault="007E70C9" w:rsidP="007E70C9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168F683" w14:textId="4295804F" w:rsidR="00F8625F" w:rsidRPr="005E0288" w:rsidRDefault="00EF0C0A" w:rsidP="00321516">
      <w:pPr>
        <w:spacing w:line="276" w:lineRule="auto"/>
        <w:rPr>
          <w:b/>
        </w:rPr>
      </w:pPr>
      <w:r>
        <w:rPr>
          <w:b/>
        </w:rPr>
        <w:t>The i</w:t>
      </w:r>
      <w:r w:rsidRPr="00EF0C0A">
        <w:rPr>
          <w:b/>
        </w:rPr>
        <w:t>ncrease</w:t>
      </w:r>
      <w:r>
        <w:rPr>
          <w:b/>
        </w:rPr>
        <w:t>d state investment</w:t>
      </w:r>
      <w:r w:rsidRPr="00EF0C0A">
        <w:rPr>
          <w:b/>
        </w:rPr>
        <w:t xml:space="preserve"> in MSP </w:t>
      </w:r>
      <w:r>
        <w:rPr>
          <w:b/>
        </w:rPr>
        <w:t>will continue to be</w:t>
      </w:r>
      <w:r w:rsidRPr="00EF0C0A">
        <w:rPr>
          <w:b/>
        </w:rPr>
        <w:t xml:space="preserve"> partially offset by savings to </w:t>
      </w:r>
      <w:r>
        <w:rPr>
          <w:b/>
        </w:rPr>
        <w:t xml:space="preserve">the </w:t>
      </w:r>
      <w:r w:rsidR="00941BCC">
        <w:rPr>
          <w:b/>
        </w:rPr>
        <w:t xml:space="preserve">Executive Office of </w:t>
      </w:r>
      <w:r>
        <w:rPr>
          <w:b/>
        </w:rPr>
        <w:t xml:space="preserve">Elder Affairs </w:t>
      </w:r>
      <w:r w:rsidRPr="00EF0C0A">
        <w:rPr>
          <w:b/>
        </w:rPr>
        <w:t>Prescription Advantage Program and Health Safety Net (HSN)</w:t>
      </w:r>
      <w:r>
        <w:rPr>
          <w:b/>
        </w:rPr>
        <w:t>,</w:t>
      </w:r>
      <w:r w:rsidRPr="00EF0C0A">
        <w:rPr>
          <w:b/>
        </w:rPr>
        <w:t xml:space="preserve"> up to the amount of savings realized in these programs</w:t>
      </w:r>
    </w:p>
    <w:sectPr w:rsidR="00F8625F" w:rsidRPr="005E0288" w:rsidSect="00E67BA9">
      <w:pgSz w:w="12240" w:h="15840"/>
      <w:pgMar w:top="720" w:right="720" w:bottom="720" w:left="720" w:header="1152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0A08" w14:textId="77777777" w:rsidR="003570AE" w:rsidRDefault="003570AE" w:rsidP="00135DA3">
      <w:r>
        <w:separator/>
      </w:r>
    </w:p>
  </w:endnote>
  <w:endnote w:type="continuationSeparator" w:id="0">
    <w:p w14:paraId="1837068C" w14:textId="77777777" w:rsidR="003570AE" w:rsidRDefault="003570AE" w:rsidP="0013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1512" w14:textId="77777777" w:rsidR="003570AE" w:rsidRDefault="003570AE" w:rsidP="00135DA3">
      <w:r>
        <w:separator/>
      </w:r>
    </w:p>
  </w:footnote>
  <w:footnote w:type="continuationSeparator" w:id="0">
    <w:p w14:paraId="36A1EEE2" w14:textId="77777777" w:rsidR="003570AE" w:rsidRDefault="003570AE" w:rsidP="0013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9B4"/>
    <w:multiLevelType w:val="hybridMultilevel"/>
    <w:tmpl w:val="184ED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917045"/>
    <w:multiLevelType w:val="hybridMultilevel"/>
    <w:tmpl w:val="ABBA8A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04E02"/>
    <w:multiLevelType w:val="hybridMultilevel"/>
    <w:tmpl w:val="C638EF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F1035A"/>
    <w:multiLevelType w:val="hybridMultilevel"/>
    <w:tmpl w:val="D1C2B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05CAC"/>
    <w:multiLevelType w:val="hybridMultilevel"/>
    <w:tmpl w:val="8BA01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26A61"/>
    <w:multiLevelType w:val="hybridMultilevel"/>
    <w:tmpl w:val="B8041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7068D"/>
    <w:multiLevelType w:val="hybridMultilevel"/>
    <w:tmpl w:val="737E4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B02267"/>
    <w:multiLevelType w:val="hybridMultilevel"/>
    <w:tmpl w:val="F546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FC"/>
    <w:rsid w:val="00004D5F"/>
    <w:rsid w:val="00013B57"/>
    <w:rsid w:val="00013E5E"/>
    <w:rsid w:val="0002065C"/>
    <w:rsid w:val="000211C3"/>
    <w:rsid w:val="00022E49"/>
    <w:rsid w:val="00040520"/>
    <w:rsid w:val="00043089"/>
    <w:rsid w:val="00044395"/>
    <w:rsid w:val="000620EB"/>
    <w:rsid w:val="00076819"/>
    <w:rsid w:val="000774B3"/>
    <w:rsid w:val="000914E7"/>
    <w:rsid w:val="00093BD6"/>
    <w:rsid w:val="000C2063"/>
    <w:rsid w:val="000C3D2D"/>
    <w:rsid w:val="000C5BD3"/>
    <w:rsid w:val="000D4CA1"/>
    <w:rsid w:val="000E233A"/>
    <w:rsid w:val="001005CE"/>
    <w:rsid w:val="0012055C"/>
    <w:rsid w:val="00132B84"/>
    <w:rsid w:val="001342BB"/>
    <w:rsid w:val="00135DA3"/>
    <w:rsid w:val="00137942"/>
    <w:rsid w:val="00140F39"/>
    <w:rsid w:val="00156B98"/>
    <w:rsid w:val="00157DD9"/>
    <w:rsid w:val="0016197B"/>
    <w:rsid w:val="001804A6"/>
    <w:rsid w:val="00182302"/>
    <w:rsid w:val="001828F2"/>
    <w:rsid w:val="00182C54"/>
    <w:rsid w:val="00184C19"/>
    <w:rsid w:val="00186CA3"/>
    <w:rsid w:val="001931C0"/>
    <w:rsid w:val="001A2AC9"/>
    <w:rsid w:val="001A54FF"/>
    <w:rsid w:val="001B2019"/>
    <w:rsid w:val="001D610F"/>
    <w:rsid w:val="001E539A"/>
    <w:rsid w:val="001E669D"/>
    <w:rsid w:val="001F21E3"/>
    <w:rsid w:val="001F38B5"/>
    <w:rsid w:val="001F444E"/>
    <w:rsid w:val="001F488A"/>
    <w:rsid w:val="001F550E"/>
    <w:rsid w:val="001F6C09"/>
    <w:rsid w:val="00211150"/>
    <w:rsid w:val="002221A2"/>
    <w:rsid w:val="00222F72"/>
    <w:rsid w:val="00233E1E"/>
    <w:rsid w:val="00243860"/>
    <w:rsid w:val="002462ED"/>
    <w:rsid w:val="0025064E"/>
    <w:rsid w:val="002522FF"/>
    <w:rsid w:val="00254870"/>
    <w:rsid w:val="00262B66"/>
    <w:rsid w:val="00266A8D"/>
    <w:rsid w:val="002761BA"/>
    <w:rsid w:val="00290F5B"/>
    <w:rsid w:val="002958C6"/>
    <w:rsid w:val="002960D8"/>
    <w:rsid w:val="002A1406"/>
    <w:rsid w:val="002A1EC8"/>
    <w:rsid w:val="002A41F7"/>
    <w:rsid w:val="002A5B3A"/>
    <w:rsid w:val="002A75AA"/>
    <w:rsid w:val="002B1EE5"/>
    <w:rsid w:val="002C0D5D"/>
    <w:rsid w:val="002C71EE"/>
    <w:rsid w:val="002D5D7E"/>
    <w:rsid w:val="002D67F5"/>
    <w:rsid w:val="002E34B9"/>
    <w:rsid w:val="002E399E"/>
    <w:rsid w:val="002F0E21"/>
    <w:rsid w:val="002F124C"/>
    <w:rsid w:val="002F7231"/>
    <w:rsid w:val="003073A0"/>
    <w:rsid w:val="0031448E"/>
    <w:rsid w:val="003151D8"/>
    <w:rsid w:val="00321516"/>
    <w:rsid w:val="00323E3F"/>
    <w:rsid w:val="0032739D"/>
    <w:rsid w:val="00333093"/>
    <w:rsid w:val="0033452D"/>
    <w:rsid w:val="0035127D"/>
    <w:rsid w:val="003538AB"/>
    <w:rsid w:val="003570AE"/>
    <w:rsid w:val="003640B1"/>
    <w:rsid w:val="0037375A"/>
    <w:rsid w:val="003A6B3A"/>
    <w:rsid w:val="003D3B8C"/>
    <w:rsid w:val="003F227D"/>
    <w:rsid w:val="00410E71"/>
    <w:rsid w:val="004157DF"/>
    <w:rsid w:val="00417183"/>
    <w:rsid w:val="00417360"/>
    <w:rsid w:val="00422C62"/>
    <w:rsid w:val="004249D2"/>
    <w:rsid w:val="0042548E"/>
    <w:rsid w:val="004501FB"/>
    <w:rsid w:val="00455C1A"/>
    <w:rsid w:val="0047542C"/>
    <w:rsid w:val="00490F8A"/>
    <w:rsid w:val="0049195C"/>
    <w:rsid w:val="00492523"/>
    <w:rsid w:val="00496B2B"/>
    <w:rsid w:val="004C37C8"/>
    <w:rsid w:val="004D16A2"/>
    <w:rsid w:val="004D4695"/>
    <w:rsid w:val="004E5A76"/>
    <w:rsid w:val="004F01DD"/>
    <w:rsid w:val="00503C06"/>
    <w:rsid w:val="00505AFD"/>
    <w:rsid w:val="005200A5"/>
    <w:rsid w:val="00522FEC"/>
    <w:rsid w:val="00525C52"/>
    <w:rsid w:val="00527C36"/>
    <w:rsid w:val="00535A74"/>
    <w:rsid w:val="00542ECC"/>
    <w:rsid w:val="00546B85"/>
    <w:rsid w:val="00547A20"/>
    <w:rsid w:val="00562181"/>
    <w:rsid w:val="00565C89"/>
    <w:rsid w:val="00572663"/>
    <w:rsid w:val="0058507E"/>
    <w:rsid w:val="005905D9"/>
    <w:rsid w:val="00596D40"/>
    <w:rsid w:val="005A19FB"/>
    <w:rsid w:val="005C1231"/>
    <w:rsid w:val="005D417B"/>
    <w:rsid w:val="005E0288"/>
    <w:rsid w:val="005E07AA"/>
    <w:rsid w:val="005E1EE4"/>
    <w:rsid w:val="005F2F15"/>
    <w:rsid w:val="0062356D"/>
    <w:rsid w:val="00625E33"/>
    <w:rsid w:val="00642DB2"/>
    <w:rsid w:val="00664A5B"/>
    <w:rsid w:val="00667A81"/>
    <w:rsid w:val="00673072"/>
    <w:rsid w:val="0068319F"/>
    <w:rsid w:val="006972DA"/>
    <w:rsid w:val="00697DB4"/>
    <w:rsid w:val="006A7E72"/>
    <w:rsid w:val="006B1A8C"/>
    <w:rsid w:val="006E608D"/>
    <w:rsid w:val="006E7EFC"/>
    <w:rsid w:val="006F780B"/>
    <w:rsid w:val="007079DC"/>
    <w:rsid w:val="00711BEA"/>
    <w:rsid w:val="00712BCB"/>
    <w:rsid w:val="00716DAA"/>
    <w:rsid w:val="0073207F"/>
    <w:rsid w:val="00746FC7"/>
    <w:rsid w:val="00755DB2"/>
    <w:rsid w:val="00760154"/>
    <w:rsid w:val="007719F2"/>
    <w:rsid w:val="00775957"/>
    <w:rsid w:val="007965DA"/>
    <w:rsid w:val="007967F5"/>
    <w:rsid w:val="007A5CAE"/>
    <w:rsid w:val="007B7E8A"/>
    <w:rsid w:val="007C67BC"/>
    <w:rsid w:val="007E70C9"/>
    <w:rsid w:val="00802AFB"/>
    <w:rsid w:val="00815EBD"/>
    <w:rsid w:val="008173FB"/>
    <w:rsid w:val="00817805"/>
    <w:rsid w:val="00845BE9"/>
    <w:rsid w:val="00853AE7"/>
    <w:rsid w:val="0086220F"/>
    <w:rsid w:val="00862580"/>
    <w:rsid w:val="0087364F"/>
    <w:rsid w:val="0087434B"/>
    <w:rsid w:val="0088073D"/>
    <w:rsid w:val="0088360A"/>
    <w:rsid w:val="008916F5"/>
    <w:rsid w:val="008A1B97"/>
    <w:rsid w:val="008A776F"/>
    <w:rsid w:val="008B1E5F"/>
    <w:rsid w:val="008B2F70"/>
    <w:rsid w:val="008C39AB"/>
    <w:rsid w:val="008D1154"/>
    <w:rsid w:val="008D6B60"/>
    <w:rsid w:val="008D7844"/>
    <w:rsid w:val="008E4445"/>
    <w:rsid w:val="008F091E"/>
    <w:rsid w:val="0090097D"/>
    <w:rsid w:val="00912075"/>
    <w:rsid w:val="00912E7F"/>
    <w:rsid w:val="00912F02"/>
    <w:rsid w:val="00926279"/>
    <w:rsid w:val="009408CD"/>
    <w:rsid w:val="00941BCC"/>
    <w:rsid w:val="009432CA"/>
    <w:rsid w:val="00947C0D"/>
    <w:rsid w:val="00947D9D"/>
    <w:rsid w:val="00957991"/>
    <w:rsid w:val="00960B57"/>
    <w:rsid w:val="00964AD8"/>
    <w:rsid w:val="00977F08"/>
    <w:rsid w:val="00987B44"/>
    <w:rsid w:val="00987B6D"/>
    <w:rsid w:val="00992CD6"/>
    <w:rsid w:val="0099381D"/>
    <w:rsid w:val="009A7DF8"/>
    <w:rsid w:val="009B17F7"/>
    <w:rsid w:val="009B24D4"/>
    <w:rsid w:val="009B24F6"/>
    <w:rsid w:val="009B328C"/>
    <w:rsid w:val="009B4099"/>
    <w:rsid w:val="009C0575"/>
    <w:rsid w:val="009E1095"/>
    <w:rsid w:val="009F3D55"/>
    <w:rsid w:val="009F4C28"/>
    <w:rsid w:val="009F53C1"/>
    <w:rsid w:val="00A17636"/>
    <w:rsid w:val="00A40C2E"/>
    <w:rsid w:val="00A50EE9"/>
    <w:rsid w:val="00A53126"/>
    <w:rsid w:val="00A61676"/>
    <w:rsid w:val="00A61E83"/>
    <w:rsid w:val="00A7568A"/>
    <w:rsid w:val="00A81FC8"/>
    <w:rsid w:val="00A8427E"/>
    <w:rsid w:val="00A9381D"/>
    <w:rsid w:val="00A96D24"/>
    <w:rsid w:val="00A97819"/>
    <w:rsid w:val="00AB165A"/>
    <w:rsid w:val="00AB2A42"/>
    <w:rsid w:val="00AB30FD"/>
    <w:rsid w:val="00AC441C"/>
    <w:rsid w:val="00AD7478"/>
    <w:rsid w:val="00AE33C3"/>
    <w:rsid w:val="00AF38FD"/>
    <w:rsid w:val="00AF698C"/>
    <w:rsid w:val="00AF69FF"/>
    <w:rsid w:val="00B00E9A"/>
    <w:rsid w:val="00B01955"/>
    <w:rsid w:val="00B01EF8"/>
    <w:rsid w:val="00B07032"/>
    <w:rsid w:val="00B35579"/>
    <w:rsid w:val="00B35D09"/>
    <w:rsid w:val="00B375CE"/>
    <w:rsid w:val="00B415DE"/>
    <w:rsid w:val="00B4323A"/>
    <w:rsid w:val="00B47988"/>
    <w:rsid w:val="00B50F6D"/>
    <w:rsid w:val="00B54158"/>
    <w:rsid w:val="00B60188"/>
    <w:rsid w:val="00B65543"/>
    <w:rsid w:val="00B71175"/>
    <w:rsid w:val="00B7117F"/>
    <w:rsid w:val="00B801A4"/>
    <w:rsid w:val="00B86686"/>
    <w:rsid w:val="00B86931"/>
    <w:rsid w:val="00B978B5"/>
    <w:rsid w:val="00BB1680"/>
    <w:rsid w:val="00BB3FEA"/>
    <w:rsid w:val="00BC0095"/>
    <w:rsid w:val="00BC7959"/>
    <w:rsid w:val="00BD2DA6"/>
    <w:rsid w:val="00BD4660"/>
    <w:rsid w:val="00BF5832"/>
    <w:rsid w:val="00C01ADB"/>
    <w:rsid w:val="00C118D3"/>
    <w:rsid w:val="00C123DF"/>
    <w:rsid w:val="00C21169"/>
    <w:rsid w:val="00C24075"/>
    <w:rsid w:val="00C32ED9"/>
    <w:rsid w:val="00C65228"/>
    <w:rsid w:val="00C70C7C"/>
    <w:rsid w:val="00C75DEE"/>
    <w:rsid w:val="00C804C8"/>
    <w:rsid w:val="00C90748"/>
    <w:rsid w:val="00CE5CBD"/>
    <w:rsid w:val="00CF6816"/>
    <w:rsid w:val="00CF6D8F"/>
    <w:rsid w:val="00D14FC1"/>
    <w:rsid w:val="00D16591"/>
    <w:rsid w:val="00D21E9E"/>
    <w:rsid w:val="00D253DA"/>
    <w:rsid w:val="00D27956"/>
    <w:rsid w:val="00D306A8"/>
    <w:rsid w:val="00D435CE"/>
    <w:rsid w:val="00D45917"/>
    <w:rsid w:val="00D57558"/>
    <w:rsid w:val="00D6507C"/>
    <w:rsid w:val="00D65C89"/>
    <w:rsid w:val="00D726F8"/>
    <w:rsid w:val="00D81A21"/>
    <w:rsid w:val="00D950C8"/>
    <w:rsid w:val="00DB4AFE"/>
    <w:rsid w:val="00DC021C"/>
    <w:rsid w:val="00DD0849"/>
    <w:rsid w:val="00DD707C"/>
    <w:rsid w:val="00DE1150"/>
    <w:rsid w:val="00DE3DDA"/>
    <w:rsid w:val="00DF379A"/>
    <w:rsid w:val="00E16B52"/>
    <w:rsid w:val="00E17BDB"/>
    <w:rsid w:val="00E215DE"/>
    <w:rsid w:val="00E245F9"/>
    <w:rsid w:val="00E304E3"/>
    <w:rsid w:val="00E30519"/>
    <w:rsid w:val="00E32156"/>
    <w:rsid w:val="00E33E3E"/>
    <w:rsid w:val="00E4773E"/>
    <w:rsid w:val="00E539D8"/>
    <w:rsid w:val="00E6181C"/>
    <w:rsid w:val="00E66225"/>
    <w:rsid w:val="00E67BA9"/>
    <w:rsid w:val="00E70BD3"/>
    <w:rsid w:val="00E71E78"/>
    <w:rsid w:val="00E739E7"/>
    <w:rsid w:val="00E911B1"/>
    <w:rsid w:val="00E9168D"/>
    <w:rsid w:val="00EA2170"/>
    <w:rsid w:val="00EA6730"/>
    <w:rsid w:val="00EB4589"/>
    <w:rsid w:val="00EB7D28"/>
    <w:rsid w:val="00ED01A9"/>
    <w:rsid w:val="00EE0FB9"/>
    <w:rsid w:val="00EF0C0A"/>
    <w:rsid w:val="00EF3A39"/>
    <w:rsid w:val="00EF4013"/>
    <w:rsid w:val="00EF47F5"/>
    <w:rsid w:val="00F01937"/>
    <w:rsid w:val="00F10D85"/>
    <w:rsid w:val="00F22251"/>
    <w:rsid w:val="00F2241A"/>
    <w:rsid w:val="00F36DE7"/>
    <w:rsid w:val="00F534C6"/>
    <w:rsid w:val="00F5432C"/>
    <w:rsid w:val="00F622DC"/>
    <w:rsid w:val="00F66F56"/>
    <w:rsid w:val="00F77E3F"/>
    <w:rsid w:val="00F83013"/>
    <w:rsid w:val="00F8625F"/>
    <w:rsid w:val="00F93A26"/>
    <w:rsid w:val="00FA735B"/>
    <w:rsid w:val="00FB40D5"/>
    <w:rsid w:val="00FC0313"/>
    <w:rsid w:val="00FD4A51"/>
    <w:rsid w:val="00FE5B0B"/>
    <w:rsid w:val="00FE6AD5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B6CE"/>
  <w15:docId w15:val="{B1ABFA89-A73E-4F30-BEFC-FFB839DD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BA9"/>
    <w:pPr>
      <w:spacing w:after="120"/>
      <w:jc w:val="center"/>
      <w:outlineLvl w:val="0"/>
    </w:pPr>
    <w:rPr>
      <w:b/>
      <w:color w:val="000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BA9"/>
    <w:rPr>
      <w:rFonts w:ascii="Times New Roman" w:eastAsia="Times New Roman" w:hAnsi="Times New Roman" w:cs="Times New Roman"/>
      <w:b/>
      <w:color w:val="00008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EFC"/>
    <w:pPr>
      <w:numPr>
        <w:ilvl w:val="1"/>
      </w:numPr>
      <w:spacing w:line="324" w:lineRule="auto"/>
      <w:ind w:firstLine="288"/>
    </w:pPr>
    <w:rPr>
      <w:rFonts w:asciiTheme="minorHAnsi" w:eastAsiaTheme="majorEastAsia" w:hAnsiTheme="minorHAnsi" w:cstheme="majorBidi"/>
      <w:iCs/>
      <w:caps/>
      <w:color w:val="1F497D" w:themeColor="text2"/>
      <w:sz w:val="32"/>
      <w:lang w:eastAsia="ko-KR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6E7EFC"/>
    <w:rPr>
      <w:rFonts w:eastAsiaTheme="majorEastAsia" w:cstheme="majorBidi"/>
      <w:iCs/>
      <w:caps/>
      <w:color w:val="1F497D" w:themeColor="text2"/>
      <w:sz w:val="32"/>
      <w:szCs w:val="24"/>
      <w:lang w:eastAsia="ko-KR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E7EFC"/>
    <w:pPr>
      <w:contextualSpacing/>
    </w:pPr>
    <w:rPr>
      <w:rFonts w:asciiTheme="majorHAnsi" w:eastAsiaTheme="majorEastAsia" w:hAnsiTheme="majorHAnsi" w:cstheme="majorBidi"/>
      <w:caps/>
      <w:color w:val="17365D" w:themeColor="text2" w:themeShade="BF"/>
      <w:kern w:val="28"/>
      <w:sz w:val="80"/>
      <w:szCs w:val="52"/>
      <w:lang w:eastAsia="ko-KR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6E7EFC"/>
    <w:rPr>
      <w:rFonts w:asciiTheme="majorHAnsi" w:eastAsiaTheme="majorEastAsia" w:hAnsiTheme="majorHAnsi" w:cstheme="majorBidi"/>
      <w:caps/>
      <w:color w:val="17365D" w:themeColor="text2" w:themeShade="BF"/>
      <w:kern w:val="28"/>
      <w:sz w:val="80"/>
      <w:szCs w:val="52"/>
      <w:lang w:eastAsia="ko-KR"/>
      <w14:ligatures w14:val="standard"/>
      <w14:numForm w14:val="oldStyle"/>
    </w:rPr>
  </w:style>
  <w:style w:type="paragraph" w:styleId="ListParagraph">
    <w:name w:val="List Paragraph"/>
    <w:basedOn w:val="Normal"/>
    <w:uiPriority w:val="34"/>
    <w:qFormat/>
    <w:rsid w:val="006E7EFC"/>
    <w:pPr>
      <w:ind w:left="720" w:hanging="288"/>
      <w:contextualSpacing/>
    </w:pPr>
    <w:rPr>
      <w:rFonts w:asciiTheme="minorHAnsi" w:eastAsiaTheme="minorHAnsi" w:hAnsiTheme="minorHAnsi" w:cstheme="minorBidi"/>
      <w:color w:val="17365D" w:themeColor="text2" w:themeShade="BF"/>
      <w:sz w:val="19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F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D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5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A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3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B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B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E707-4115-0441-B1E8-A5C03437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Snook, Elissa (EHS)</dc:creator>
  <cp:lastModifiedBy>MacLachlan, Jamison B (EHS)</cp:lastModifiedBy>
  <cp:revision>2</cp:revision>
  <cp:lastPrinted>2019-01-18T20:34:00Z</cp:lastPrinted>
  <dcterms:created xsi:type="dcterms:W3CDTF">2022-01-26T19:16:00Z</dcterms:created>
  <dcterms:modified xsi:type="dcterms:W3CDTF">2022-01-26T19:16:00Z</dcterms:modified>
</cp:coreProperties>
</file>