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634A" w14:textId="708EBBB9" w:rsidR="002E4B0D" w:rsidRPr="00E35083" w:rsidRDefault="002E4B0D" w:rsidP="00BC18DD">
      <w:pPr>
        <w:pStyle w:val="Heading1"/>
      </w:pPr>
      <w:r w:rsidRPr="00E35083">
        <w:t>Informações úteis sobre</w:t>
      </w:r>
      <w:r w:rsidRPr="00E35083">
        <w:br/>
        <w:t>Programas de Economia de Custos do Medicare (MSPs)</w:t>
      </w:r>
    </w:p>
    <w:p w14:paraId="06795D54" w14:textId="7DC5E0AA" w:rsidR="002E4B0D" w:rsidRPr="00E35083" w:rsidRDefault="002E4B0D" w:rsidP="002E4B0D">
      <w:pPr>
        <w:tabs>
          <w:tab w:val="left" w:pos="180"/>
          <w:tab w:val="left" w:pos="3690"/>
        </w:tabs>
        <w:spacing w:before="240"/>
        <w:ind w:left="180" w:right="133"/>
        <w:rPr>
          <w:sz w:val="28"/>
          <w:szCs w:val="28"/>
        </w:rPr>
      </w:pPr>
      <w:r w:rsidRPr="00E35083">
        <w:rPr>
          <w:sz w:val="24"/>
        </w:rPr>
        <w:t xml:space="preserve">Bem-vindos aos Programas de Economia de Custos do Medicare (MSPs!) Os MSPs não são planos de seguro. Eles são programas operados pelo MassHealth que podem ajudar a reduzir os seus custos com o Medicare. Há dois níveis de benefícios baseados na sua renda e no Nível de Pobreza em Escala Federal (FPL) , conforme mostrado na tabela. Os níveis dos programas são conhecidos por suas iniciais: </w:t>
      </w:r>
      <w:r w:rsidRPr="00E35083">
        <w:rPr>
          <w:b/>
          <w:bCs/>
        </w:rPr>
        <w:t>QMB</w:t>
      </w:r>
      <w:r w:rsidRPr="00E35083">
        <w:t xml:space="preserve"> (Beneficiários Qualificados do Medicare), e </w:t>
      </w:r>
      <w:r w:rsidRPr="00E35083">
        <w:rPr>
          <w:b/>
          <w:bCs/>
        </w:rPr>
        <w:t>SLMB</w:t>
      </w:r>
      <w:r w:rsidRPr="00E35083">
        <w:t xml:space="preserve"> (Beneficiários Especificados de Baixa Renda do Medicare), ou </w:t>
      </w:r>
      <w:r w:rsidRPr="00E35083">
        <w:rPr>
          <w:b/>
          <w:bCs/>
        </w:rPr>
        <w:t>QI</w:t>
      </w:r>
      <w:r w:rsidRPr="00E35083">
        <w:t xml:space="preserve"> (Indivíduo Qualificado).</w:t>
      </w:r>
    </w:p>
    <w:tbl>
      <w:tblPr>
        <w:tblW w:w="5449" w:type="dxa"/>
        <w:tblInd w:w="126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067"/>
        <w:gridCol w:w="2382"/>
      </w:tblGrid>
      <w:tr w:rsidR="00B763E5" w:rsidRPr="00E35083" w14:paraId="50C42CDF" w14:textId="77777777" w:rsidTr="00B763E5">
        <w:trPr>
          <w:trHeight w:val="287"/>
        </w:trPr>
        <w:tc>
          <w:tcPr>
            <w:tcW w:w="3067" w:type="dxa"/>
            <w:shd w:val="clear" w:color="auto" w:fill="FFFFFF"/>
            <w:tcMar>
              <w:top w:w="0" w:type="dxa"/>
              <w:left w:w="108" w:type="dxa"/>
              <w:bottom w:w="0" w:type="dxa"/>
              <w:right w:w="108" w:type="dxa"/>
            </w:tcMar>
            <w:vAlign w:val="bottom"/>
            <w:hideMark/>
          </w:tcPr>
          <w:p w14:paraId="11D0EA61" w14:textId="0A6E9CB6" w:rsidR="00B763E5" w:rsidRPr="00E35083" w:rsidRDefault="00B763E5" w:rsidP="00653A6C">
            <w:pPr>
              <w:pStyle w:val="xmsonormal"/>
              <w:spacing w:after="120" w:line="276" w:lineRule="auto"/>
              <w:jc w:val="center"/>
            </w:pPr>
            <w:r w:rsidRPr="00E35083">
              <w:rPr>
                <w:b/>
                <w:color w:val="000000"/>
              </w:rPr>
              <w:t>Se s</w:t>
            </w:r>
            <w:r w:rsidRPr="00E35083">
              <w:rPr>
                <w:b/>
              </w:rPr>
              <w:t>ua</w:t>
            </w:r>
            <w:r w:rsidRPr="00E35083">
              <w:rPr>
                <w:b/>
                <w:color w:val="000000"/>
              </w:rPr>
              <w:t xml:space="preserve"> renda mensal estiver*</w:t>
            </w:r>
          </w:p>
        </w:tc>
        <w:tc>
          <w:tcPr>
            <w:tcW w:w="2382" w:type="dxa"/>
            <w:tcBorders>
              <w:right w:val="single" w:sz="8" w:space="0" w:color="auto"/>
            </w:tcBorders>
            <w:shd w:val="clear" w:color="auto" w:fill="FFFFFF"/>
            <w:tcMar>
              <w:top w:w="0" w:type="dxa"/>
              <w:left w:w="108" w:type="dxa"/>
              <w:bottom w:w="0" w:type="dxa"/>
              <w:right w:w="108" w:type="dxa"/>
            </w:tcMar>
            <w:vAlign w:val="bottom"/>
            <w:hideMark/>
          </w:tcPr>
          <w:p w14:paraId="16BC4C34" w14:textId="77777777" w:rsidR="00B763E5" w:rsidRPr="00E35083" w:rsidRDefault="00B763E5" w:rsidP="00653A6C">
            <w:pPr>
              <w:pStyle w:val="xmsonormal"/>
              <w:spacing w:after="120" w:line="276" w:lineRule="auto"/>
              <w:jc w:val="center"/>
            </w:pPr>
            <w:r w:rsidRPr="00E35083">
              <w:rPr>
                <w:b/>
                <w:color w:val="000000"/>
              </w:rPr>
              <w:t>Talvez possa obter</w:t>
            </w:r>
          </w:p>
        </w:tc>
      </w:tr>
      <w:tr w:rsidR="00B763E5" w:rsidRPr="00E35083" w14:paraId="26F973A9" w14:textId="77777777" w:rsidTr="00B763E5">
        <w:trPr>
          <w:trHeight w:val="287"/>
        </w:trPr>
        <w:tc>
          <w:tcPr>
            <w:tcW w:w="3067" w:type="dxa"/>
            <w:shd w:val="clear" w:color="auto" w:fill="FFFFFF"/>
            <w:tcMar>
              <w:top w:w="0" w:type="dxa"/>
              <w:left w:w="108" w:type="dxa"/>
              <w:bottom w:w="0" w:type="dxa"/>
              <w:right w:w="108" w:type="dxa"/>
            </w:tcMar>
            <w:vAlign w:val="bottom"/>
            <w:hideMark/>
          </w:tcPr>
          <w:p w14:paraId="6F56D1AB" w14:textId="42F3DCCE" w:rsidR="00B763E5" w:rsidRPr="00E35083" w:rsidRDefault="00B763E5" w:rsidP="00BA4A76">
            <w:pPr>
              <w:pStyle w:val="xmsonormal"/>
              <w:spacing w:after="120" w:line="276" w:lineRule="auto"/>
              <w:jc w:val="center"/>
            </w:pPr>
            <w:r w:rsidRPr="00E35083">
              <w:t>Abaixo ou for igual a 190% do FPL</w:t>
            </w:r>
          </w:p>
        </w:tc>
        <w:tc>
          <w:tcPr>
            <w:tcW w:w="2382" w:type="dxa"/>
            <w:tcBorders>
              <w:right w:val="single" w:sz="8" w:space="0" w:color="auto"/>
            </w:tcBorders>
            <w:shd w:val="clear" w:color="auto" w:fill="FFFFFF"/>
            <w:tcMar>
              <w:top w:w="0" w:type="dxa"/>
              <w:left w:w="108" w:type="dxa"/>
              <w:bottom w:w="0" w:type="dxa"/>
              <w:right w:w="108" w:type="dxa"/>
            </w:tcMar>
            <w:vAlign w:val="bottom"/>
            <w:hideMark/>
          </w:tcPr>
          <w:p w14:paraId="70B69184" w14:textId="77777777" w:rsidR="00B763E5" w:rsidRPr="00E35083" w:rsidRDefault="00B763E5" w:rsidP="00BA4A76">
            <w:pPr>
              <w:pStyle w:val="xmsonormal"/>
              <w:spacing w:after="120" w:line="276" w:lineRule="auto"/>
              <w:jc w:val="center"/>
            </w:pPr>
            <w:r w:rsidRPr="00E35083">
              <w:t>QMB</w:t>
            </w:r>
          </w:p>
        </w:tc>
      </w:tr>
      <w:tr w:rsidR="00B763E5" w:rsidRPr="00E35083" w14:paraId="47DB892D" w14:textId="77777777" w:rsidTr="00B763E5">
        <w:trPr>
          <w:trHeight w:val="287"/>
        </w:trPr>
        <w:tc>
          <w:tcPr>
            <w:tcW w:w="3067" w:type="dxa"/>
            <w:shd w:val="clear" w:color="auto" w:fill="FFFFFF"/>
            <w:tcMar>
              <w:top w:w="0" w:type="dxa"/>
              <w:left w:w="108" w:type="dxa"/>
              <w:bottom w:w="0" w:type="dxa"/>
              <w:right w:w="108" w:type="dxa"/>
            </w:tcMar>
            <w:vAlign w:val="bottom"/>
          </w:tcPr>
          <w:p w14:paraId="2E8AAB57" w14:textId="314CCD0D" w:rsidR="00B763E5" w:rsidRPr="00E35083" w:rsidRDefault="00B763E5" w:rsidP="00422E3A">
            <w:pPr>
              <w:pStyle w:val="xmsonormal"/>
              <w:spacing w:after="120" w:line="276" w:lineRule="auto"/>
              <w:jc w:val="center"/>
            </w:pPr>
            <w:r w:rsidRPr="00E35083">
              <w:t>Entre acima de 190% do FPL e for mais baixa ou igual a 225% do FPL</w:t>
            </w:r>
          </w:p>
        </w:tc>
        <w:tc>
          <w:tcPr>
            <w:tcW w:w="2382" w:type="dxa"/>
            <w:tcBorders>
              <w:right w:val="single" w:sz="8" w:space="0" w:color="auto"/>
            </w:tcBorders>
            <w:shd w:val="clear" w:color="auto" w:fill="FFFFFF"/>
            <w:tcMar>
              <w:top w:w="0" w:type="dxa"/>
              <w:left w:w="108" w:type="dxa"/>
              <w:bottom w:w="0" w:type="dxa"/>
              <w:right w:w="108" w:type="dxa"/>
            </w:tcMar>
            <w:vAlign w:val="bottom"/>
          </w:tcPr>
          <w:p w14:paraId="18DBEB38" w14:textId="3D4F7778" w:rsidR="00B763E5" w:rsidRPr="00E35083" w:rsidRDefault="00B763E5" w:rsidP="00BA4A76">
            <w:pPr>
              <w:pStyle w:val="xmsonormal"/>
              <w:spacing w:after="120" w:line="276" w:lineRule="auto"/>
              <w:jc w:val="center"/>
            </w:pPr>
            <w:r w:rsidRPr="00E35083">
              <w:t>SLMB/QI</w:t>
            </w:r>
          </w:p>
        </w:tc>
      </w:tr>
    </w:tbl>
    <w:p w14:paraId="5D6AD312" w14:textId="3E406E9D" w:rsidR="00CA2898" w:rsidRPr="00E35083" w:rsidRDefault="00CA2898" w:rsidP="00A006FB">
      <w:pPr>
        <w:ind w:left="288" w:hanging="288"/>
        <w:rPr>
          <w:sz w:val="20"/>
          <w:szCs w:val="20"/>
        </w:rPr>
      </w:pPr>
      <w:r w:rsidRPr="00E35083">
        <w:rPr>
          <w:sz w:val="20"/>
        </w:rPr>
        <w:t>*</w:t>
      </w:r>
      <w:r w:rsidRPr="00E35083">
        <w:rPr>
          <w:sz w:val="20"/>
        </w:rPr>
        <w:tab/>
        <w:t xml:space="preserve">Os limites de renda mudam ano a ano no dia 1º de março. Os limites atuais do FPL encontram-se no nosso site </w:t>
      </w:r>
      <w:hyperlink r:id="rId8" w:history="1">
        <w:r w:rsidRPr="00E35083">
          <w:rPr>
            <w:rStyle w:val="Hyperlink"/>
            <w:sz w:val="20"/>
          </w:rPr>
          <w:t>www.mass.gov/info-details/program-financial-guidelines-for-certain-masshealth-applicants-and-members</w:t>
        </w:r>
      </w:hyperlink>
      <w:r w:rsidRPr="00E35083">
        <w:rPr>
          <w:sz w:val="20"/>
        </w:rPr>
        <w:t>.</w:t>
      </w:r>
    </w:p>
    <w:p w14:paraId="11462E2E" w14:textId="2B48DE88" w:rsidR="00967EA0" w:rsidRPr="00E35083" w:rsidRDefault="00967EA0" w:rsidP="000C3508">
      <w:pPr>
        <w:pStyle w:val="Heading2"/>
      </w:pPr>
      <w:r w:rsidRPr="00E35083">
        <w:t>Benefícios do QMB e SLMB/QI</w:t>
      </w:r>
    </w:p>
    <w:p w14:paraId="7D8A1BD9" w14:textId="4E4138EB" w:rsidR="00653A6C" w:rsidRPr="00E35083" w:rsidRDefault="00A763F7" w:rsidP="00975201">
      <w:pPr>
        <w:spacing w:after="0"/>
      </w:pPr>
      <w:r w:rsidRPr="00E35083">
        <w:t>O nível de benefícios que você pode obter depende da sua renda e do seu FPL. Esta tabela mostra como esses programas podem ajudar você.</w:t>
      </w:r>
    </w:p>
    <w:p w14:paraId="3EA94667" w14:textId="77777777" w:rsidR="00A763F7" w:rsidRPr="00E35083" w:rsidRDefault="00A763F7" w:rsidP="001B200E">
      <w:pPr>
        <w:spacing w:after="0"/>
        <w:ind w:left="288" w:hanging="288"/>
      </w:pPr>
    </w:p>
    <w:tbl>
      <w:tblPr>
        <w:tblW w:w="76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51"/>
        <w:gridCol w:w="2551"/>
        <w:gridCol w:w="2551"/>
      </w:tblGrid>
      <w:tr w:rsidR="002F462F" w:rsidRPr="00E35083" w14:paraId="598C9D0B" w14:textId="77777777" w:rsidTr="003B5CE1">
        <w:trPr>
          <w:trHeight w:val="287"/>
        </w:trPr>
        <w:tc>
          <w:tcPr>
            <w:tcW w:w="2551" w:type="dxa"/>
            <w:shd w:val="clear" w:color="auto" w:fill="FFFFFF"/>
            <w:tcMar>
              <w:top w:w="0" w:type="dxa"/>
              <w:left w:w="108" w:type="dxa"/>
              <w:bottom w:w="0" w:type="dxa"/>
              <w:right w:w="108" w:type="dxa"/>
            </w:tcMar>
            <w:vAlign w:val="bottom"/>
            <w:hideMark/>
          </w:tcPr>
          <w:p w14:paraId="6FFA105A" w14:textId="1A0136A4" w:rsidR="002E4B0D" w:rsidRPr="00E35083" w:rsidRDefault="002E4B0D" w:rsidP="00653A6C">
            <w:pPr>
              <w:pStyle w:val="xmsonormal"/>
              <w:spacing w:after="120" w:line="276" w:lineRule="auto"/>
              <w:jc w:val="center"/>
            </w:pPr>
            <w:r w:rsidRPr="00E35083">
              <w:rPr>
                <w:b/>
                <w:color w:val="000000"/>
              </w:rPr>
              <w:t>Benefícios</w:t>
            </w:r>
          </w:p>
        </w:tc>
        <w:tc>
          <w:tcPr>
            <w:tcW w:w="2551" w:type="dxa"/>
            <w:shd w:val="clear" w:color="auto" w:fill="FFFFFF"/>
            <w:tcMar>
              <w:top w:w="0" w:type="dxa"/>
              <w:left w:w="108" w:type="dxa"/>
              <w:bottom w:w="0" w:type="dxa"/>
              <w:right w:w="108" w:type="dxa"/>
            </w:tcMar>
            <w:vAlign w:val="bottom"/>
            <w:hideMark/>
          </w:tcPr>
          <w:p w14:paraId="67522ED9" w14:textId="77777777" w:rsidR="002E4B0D" w:rsidRPr="00E35083" w:rsidRDefault="002E4B0D" w:rsidP="00653A6C">
            <w:pPr>
              <w:pStyle w:val="xmsonormal"/>
              <w:spacing w:after="120" w:line="276" w:lineRule="auto"/>
              <w:jc w:val="center"/>
            </w:pPr>
            <w:r w:rsidRPr="00E35083">
              <w:rPr>
                <w:b/>
                <w:color w:val="000000"/>
              </w:rPr>
              <w:t>QMB</w:t>
            </w:r>
          </w:p>
        </w:tc>
        <w:tc>
          <w:tcPr>
            <w:tcW w:w="2551" w:type="dxa"/>
            <w:shd w:val="clear" w:color="auto" w:fill="FFFFFF"/>
            <w:tcMar>
              <w:top w:w="0" w:type="dxa"/>
              <w:left w:w="108" w:type="dxa"/>
              <w:bottom w:w="0" w:type="dxa"/>
              <w:right w:w="108" w:type="dxa"/>
            </w:tcMar>
            <w:vAlign w:val="bottom"/>
            <w:hideMark/>
          </w:tcPr>
          <w:p w14:paraId="56DC393C" w14:textId="1FDE6F1A" w:rsidR="002E4B0D" w:rsidRPr="00E35083" w:rsidRDefault="002E4B0D" w:rsidP="00653A6C">
            <w:pPr>
              <w:pStyle w:val="xmsonormal"/>
              <w:spacing w:after="120" w:line="276" w:lineRule="auto"/>
              <w:jc w:val="center"/>
            </w:pPr>
            <w:r w:rsidRPr="00E35083">
              <w:rPr>
                <w:b/>
                <w:color w:val="000000"/>
              </w:rPr>
              <w:t>SLMB/QI</w:t>
            </w:r>
          </w:p>
        </w:tc>
      </w:tr>
      <w:tr w:rsidR="002F462F" w:rsidRPr="00E35083" w14:paraId="22210996" w14:textId="77777777" w:rsidTr="003B5CE1">
        <w:trPr>
          <w:trHeight w:val="560"/>
        </w:trPr>
        <w:tc>
          <w:tcPr>
            <w:tcW w:w="2551" w:type="dxa"/>
            <w:shd w:val="clear" w:color="auto" w:fill="FFFFFF"/>
            <w:tcMar>
              <w:top w:w="0" w:type="dxa"/>
              <w:left w:w="108" w:type="dxa"/>
              <w:bottom w:w="0" w:type="dxa"/>
              <w:right w:w="108" w:type="dxa"/>
            </w:tcMar>
            <w:vAlign w:val="bottom"/>
            <w:hideMark/>
          </w:tcPr>
          <w:p w14:paraId="02719E92" w14:textId="766AE260" w:rsidR="002E4B0D" w:rsidRPr="00E35083" w:rsidRDefault="002E4B0D" w:rsidP="00BC18DD">
            <w:pPr>
              <w:pStyle w:val="xmsonormal"/>
              <w:spacing w:after="120" w:line="276" w:lineRule="auto"/>
              <w:rPr>
                <w:rFonts w:asciiTheme="minorHAnsi" w:hAnsiTheme="minorHAnsi" w:cstheme="minorHAnsi"/>
              </w:rPr>
            </w:pPr>
            <w:r w:rsidRPr="00E35083">
              <w:rPr>
                <w:rFonts w:asciiTheme="minorHAnsi" w:hAnsiTheme="minorHAnsi"/>
                <w:color w:val="000000"/>
              </w:rPr>
              <w:t>Paga o prêmio do seu Medicare Parte A</w:t>
            </w:r>
          </w:p>
        </w:tc>
        <w:tc>
          <w:tcPr>
            <w:tcW w:w="2551" w:type="dxa"/>
            <w:shd w:val="clear" w:color="auto" w:fill="FFFFFF"/>
            <w:tcMar>
              <w:top w:w="0" w:type="dxa"/>
              <w:left w:w="108" w:type="dxa"/>
              <w:bottom w:w="0" w:type="dxa"/>
              <w:right w:w="108" w:type="dxa"/>
            </w:tcMar>
            <w:vAlign w:val="bottom"/>
            <w:hideMark/>
          </w:tcPr>
          <w:p w14:paraId="5BDCE5E8" w14:textId="77777777" w:rsidR="002E4B0D" w:rsidRPr="00E35083" w:rsidRDefault="002E4B0D" w:rsidP="00653A6C">
            <w:pPr>
              <w:pStyle w:val="xmsonormal"/>
              <w:spacing w:after="120" w:line="276" w:lineRule="auto"/>
              <w:jc w:val="center"/>
            </w:pPr>
            <w:r w:rsidRPr="00E35083">
              <w:rPr>
                <w:b/>
                <w:color w:val="000000"/>
              </w:rPr>
              <w:drawing>
                <wp:inline distT="0" distB="0" distL="0" distR="0" wp14:anchorId="72F0E4C4" wp14:editId="1E852BFD">
                  <wp:extent cx="219075" cy="342900"/>
                  <wp:effectExtent l="0" t="0" r="9525" b="0"/>
                  <wp:docPr id="1904988685" name="Picture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446CEF31" w14:textId="588076C2" w:rsidR="002E4B0D" w:rsidRPr="00E35083" w:rsidRDefault="002E4B0D" w:rsidP="00653A6C">
            <w:pPr>
              <w:pStyle w:val="xmsonormal"/>
              <w:spacing w:after="120" w:line="276" w:lineRule="auto"/>
              <w:jc w:val="center"/>
            </w:pPr>
          </w:p>
        </w:tc>
      </w:tr>
      <w:tr w:rsidR="002F462F" w:rsidRPr="00E35083" w14:paraId="2B2AF0A9" w14:textId="77777777" w:rsidTr="003B5CE1">
        <w:trPr>
          <w:trHeight w:val="569"/>
        </w:trPr>
        <w:tc>
          <w:tcPr>
            <w:tcW w:w="2551" w:type="dxa"/>
            <w:shd w:val="clear" w:color="auto" w:fill="FFFFFF"/>
            <w:tcMar>
              <w:top w:w="0" w:type="dxa"/>
              <w:left w:w="108" w:type="dxa"/>
              <w:bottom w:w="0" w:type="dxa"/>
              <w:right w:w="108" w:type="dxa"/>
            </w:tcMar>
            <w:vAlign w:val="bottom"/>
          </w:tcPr>
          <w:p w14:paraId="1AB1926D" w14:textId="4427ABEA" w:rsidR="002E4B0D" w:rsidRPr="00E35083" w:rsidRDefault="002E4B0D" w:rsidP="00BC18DD">
            <w:pPr>
              <w:keepNext/>
              <w:keepLines/>
              <w:spacing w:after="120"/>
              <w:rPr>
                <w:rFonts w:cstheme="minorHAnsi"/>
                <w:color w:val="000000"/>
              </w:rPr>
            </w:pPr>
            <w:r w:rsidRPr="00E35083">
              <w:rPr>
                <w:color w:val="000000" w:themeColor="text1"/>
              </w:rPr>
              <w:t>Paga o prêmio do seu Medicare Parte B</w:t>
            </w:r>
          </w:p>
        </w:tc>
        <w:tc>
          <w:tcPr>
            <w:tcW w:w="2551" w:type="dxa"/>
            <w:shd w:val="clear" w:color="auto" w:fill="FFFFFF"/>
            <w:tcMar>
              <w:top w:w="0" w:type="dxa"/>
              <w:left w:w="108" w:type="dxa"/>
              <w:bottom w:w="0" w:type="dxa"/>
              <w:right w:w="108" w:type="dxa"/>
            </w:tcMar>
            <w:vAlign w:val="bottom"/>
          </w:tcPr>
          <w:p w14:paraId="294B2030" w14:textId="47A943D1" w:rsidR="002E4B0D" w:rsidRPr="00E35083" w:rsidRDefault="002E4B0D" w:rsidP="00653A6C">
            <w:pPr>
              <w:pStyle w:val="xmsonormal"/>
              <w:spacing w:after="120" w:line="276" w:lineRule="auto"/>
              <w:jc w:val="center"/>
              <w:rPr>
                <w:b/>
                <w:bCs/>
                <w:color w:val="000000"/>
              </w:rPr>
            </w:pPr>
            <w:r w:rsidRPr="00E35083">
              <w:rPr>
                <w:b/>
                <w:color w:val="000000"/>
              </w:rPr>
              <w:drawing>
                <wp:inline distT="0" distB="0" distL="0" distR="0" wp14:anchorId="439B7906" wp14:editId="3E7EBBB0">
                  <wp:extent cx="219075" cy="342900"/>
                  <wp:effectExtent l="0" t="0" r="9525" b="0"/>
                  <wp:docPr id="1340411459" name="Picture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tcPr>
          <w:p w14:paraId="421E9AF1" w14:textId="23F21186" w:rsidR="002E4B0D" w:rsidRPr="00E35083" w:rsidRDefault="002E4B0D" w:rsidP="00653A6C">
            <w:pPr>
              <w:pStyle w:val="xmsonormal"/>
              <w:spacing w:after="120" w:line="276" w:lineRule="auto"/>
              <w:jc w:val="center"/>
              <w:rPr>
                <w:b/>
                <w:bCs/>
                <w:color w:val="000000"/>
              </w:rPr>
            </w:pPr>
            <w:r w:rsidRPr="00E35083">
              <w:rPr>
                <w:b/>
              </w:rPr>
              <w:drawing>
                <wp:inline distT="0" distB="0" distL="0" distR="0" wp14:anchorId="1897063E" wp14:editId="74D733B7">
                  <wp:extent cx="219075" cy="342900"/>
                  <wp:effectExtent l="0" t="0" r="9525" b="0"/>
                  <wp:docPr id="1705202379" name="Picture 170520237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2F462F" w:rsidRPr="00E35083" w14:paraId="63B5B021" w14:textId="77777777" w:rsidTr="003B5CE1">
        <w:trPr>
          <w:trHeight w:val="287"/>
        </w:trPr>
        <w:tc>
          <w:tcPr>
            <w:tcW w:w="2551" w:type="dxa"/>
            <w:shd w:val="clear" w:color="auto" w:fill="FFFFFF"/>
            <w:tcMar>
              <w:top w:w="0" w:type="dxa"/>
              <w:left w:w="108" w:type="dxa"/>
              <w:bottom w:w="0" w:type="dxa"/>
              <w:right w:w="108" w:type="dxa"/>
            </w:tcMar>
            <w:vAlign w:val="bottom"/>
          </w:tcPr>
          <w:p w14:paraId="295F4675" w14:textId="778A1762" w:rsidR="002E4B0D" w:rsidRPr="00E35083" w:rsidRDefault="002E4B0D" w:rsidP="00BC18DD">
            <w:pPr>
              <w:keepNext/>
              <w:keepLines/>
              <w:spacing w:after="120"/>
              <w:rPr>
                <w:rFonts w:cstheme="minorHAnsi"/>
                <w:color w:val="000000" w:themeColor="text1"/>
              </w:rPr>
            </w:pPr>
            <w:r w:rsidRPr="00E35083">
              <w:rPr>
                <w:color w:val="000000" w:themeColor="text1"/>
              </w:rPr>
              <w:t>Incluem a cobertura do Health Safety Net (HSN) nos hospitais de cuidados agudos e Centros de Saúde Comunitários (CHCs)</w:t>
            </w:r>
          </w:p>
        </w:tc>
        <w:tc>
          <w:tcPr>
            <w:tcW w:w="2551" w:type="dxa"/>
            <w:shd w:val="clear" w:color="auto" w:fill="FFFFFF"/>
            <w:tcMar>
              <w:top w:w="0" w:type="dxa"/>
              <w:left w:w="108" w:type="dxa"/>
              <w:bottom w:w="0" w:type="dxa"/>
              <w:right w:w="108" w:type="dxa"/>
            </w:tcMar>
            <w:vAlign w:val="bottom"/>
          </w:tcPr>
          <w:p w14:paraId="471EBFC9" w14:textId="2590F46D" w:rsidR="002E4B0D" w:rsidRPr="00E35083" w:rsidRDefault="002E4B0D" w:rsidP="00653A6C">
            <w:pPr>
              <w:pStyle w:val="xmsonormal"/>
              <w:spacing w:after="120" w:line="276" w:lineRule="auto"/>
              <w:jc w:val="center"/>
              <w:rPr>
                <w:b/>
                <w:bCs/>
                <w:color w:val="000000"/>
              </w:rPr>
            </w:pPr>
            <w:r w:rsidRPr="00E35083">
              <w:rPr>
                <w:b/>
                <w:color w:val="000000"/>
              </w:rPr>
              <w:drawing>
                <wp:inline distT="0" distB="0" distL="0" distR="0" wp14:anchorId="44FDCAAC" wp14:editId="5755077E">
                  <wp:extent cx="219075" cy="342900"/>
                  <wp:effectExtent l="0" t="0" r="9525" b="0"/>
                  <wp:docPr id="1848815216" name="Picture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tcPr>
          <w:p w14:paraId="01B04E3A" w14:textId="5358E8A9" w:rsidR="002E4B0D" w:rsidRPr="00E35083" w:rsidRDefault="002E4B0D" w:rsidP="00653A6C">
            <w:pPr>
              <w:pStyle w:val="xmsonormal"/>
              <w:spacing w:after="120" w:line="276" w:lineRule="auto"/>
              <w:jc w:val="center"/>
              <w:rPr>
                <w:b/>
                <w:bCs/>
                <w:color w:val="000000"/>
              </w:rPr>
            </w:pPr>
            <w:r w:rsidRPr="00E35083">
              <w:rPr>
                <w:b/>
              </w:rPr>
              <w:drawing>
                <wp:inline distT="0" distB="0" distL="0" distR="0" wp14:anchorId="14E282B9" wp14:editId="50BDB930">
                  <wp:extent cx="219075" cy="342900"/>
                  <wp:effectExtent l="0" t="0" r="9525" b="0"/>
                  <wp:docPr id="1564141091" name="Picture 15641410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2F462F" w:rsidRPr="00E35083" w14:paraId="025BFB24" w14:textId="77777777" w:rsidTr="003B5CE1">
        <w:trPr>
          <w:trHeight w:val="58"/>
        </w:trPr>
        <w:tc>
          <w:tcPr>
            <w:tcW w:w="2551" w:type="dxa"/>
            <w:shd w:val="clear" w:color="auto" w:fill="FFFFFF"/>
            <w:tcMar>
              <w:top w:w="0" w:type="dxa"/>
              <w:left w:w="108" w:type="dxa"/>
              <w:bottom w:w="0" w:type="dxa"/>
              <w:right w:w="108" w:type="dxa"/>
            </w:tcMar>
            <w:vAlign w:val="bottom"/>
            <w:hideMark/>
          </w:tcPr>
          <w:p w14:paraId="4C32D082" w14:textId="36C4EDDA" w:rsidR="002E4B0D" w:rsidRPr="00E35083" w:rsidRDefault="002E4B0D" w:rsidP="00BC18DD">
            <w:pPr>
              <w:pStyle w:val="xmsonormal"/>
              <w:spacing w:after="120" w:line="276" w:lineRule="auto"/>
              <w:rPr>
                <w:rFonts w:asciiTheme="minorHAnsi" w:hAnsiTheme="minorHAnsi" w:cstheme="minorHAnsi"/>
              </w:rPr>
            </w:pPr>
            <w:r w:rsidRPr="00E35083">
              <w:rPr>
                <w:rFonts w:asciiTheme="minorHAnsi" w:hAnsiTheme="minorHAnsi"/>
                <w:color w:val="000000" w:themeColor="text1"/>
              </w:rPr>
              <w:t xml:space="preserve">Ajuda nos custos de medicamentos receitados, inscrevendo você automaticamente </w:t>
            </w:r>
            <w:r w:rsidRPr="00E35083">
              <w:rPr>
                <w:rFonts w:asciiTheme="minorHAnsi" w:hAnsiTheme="minorHAnsi"/>
                <w:color w:val="000000" w:themeColor="text1"/>
              </w:rPr>
              <w:lastRenderedPageBreak/>
              <w:t>no Extra Help do Medicare Parte D</w:t>
            </w:r>
          </w:p>
        </w:tc>
        <w:tc>
          <w:tcPr>
            <w:tcW w:w="2551" w:type="dxa"/>
            <w:shd w:val="clear" w:color="auto" w:fill="FFFFFF"/>
            <w:tcMar>
              <w:top w:w="0" w:type="dxa"/>
              <w:left w:w="108" w:type="dxa"/>
              <w:bottom w:w="0" w:type="dxa"/>
              <w:right w:w="108" w:type="dxa"/>
            </w:tcMar>
            <w:vAlign w:val="bottom"/>
            <w:hideMark/>
          </w:tcPr>
          <w:p w14:paraId="5475F8FF" w14:textId="77777777" w:rsidR="002E4B0D" w:rsidRPr="00E35083" w:rsidRDefault="002E4B0D" w:rsidP="00653A6C">
            <w:pPr>
              <w:pStyle w:val="xmsonormal"/>
              <w:spacing w:after="120" w:line="276" w:lineRule="auto"/>
              <w:jc w:val="center"/>
            </w:pPr>
            <w:r w:rsidRPr="00E35083">
              <w:rPr>
                <w:b/>
                <w:color w:val="000000"/>
              </w:rPr>
              <w:lastRenderedPageBreak/>
              <w:drawing>
                <wp:inline distT="0" distB="0" distL="0" distR="0" wp14:anchorId="772578B4" wp14:editId="739494D0">
                  <wp:extent cx="219075" cy="342900"/>
                  <wp:effectExtent l="0" t="0" r="9525" b="0"/>
                  <wp:docPr id="178805288" name="Picture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4CDE2C72" w14:textId="77777777" w:rsidR="002E4B0D" w:rsidRPr="00E35083" w:rsidRDefault="002E4B0D" w:rsidP="00653A6C">
            <w:pPr>
              <w:pStyle w:val="xmsonormal"/>
              <w:spacing w:after="120" w:line="276" w:lineRule="auto"/>
              <w:jc w:val="center"/>
            </w:pPr>
            <w:r w:rsidRPr="00E35083">
              <w:rPr>
                <w:b/>
                <w:color w:val="000000"/>
              </w:rPr>
              <w:drawing>
                <wp:inline distT="0" distB="0" distL="0" distR="0" wp14:anchorId="261DE07B" wp14:editId="63399E55">
                  <wp:extent cx="219075" cy="342900"/>
                  <wp:effectExtent l="0" t="0" r="9525" b="0"/>
                  <wp:docPr id="1483098830" name="Picture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2F462F" w:rsidRPr="00E35083" w14:paraId="2A4B584A" w14:textId="77777777" w:rsidTr="003B5CE1">
        <w:trPr>
          <w:trHeight w:val="1487"/>
        </w:trPr>
        <w:tc>
          <w:tcPr>
            <w:tcW w:w="2551" w:type="dxa"/>
            <w:shd w:val="clear" w:color="auto" w:fill="FFFFFF"/>
            <w:tcMar>
              <w:top w:w="0" w:type="dxa"/>
              <w:left w:w="108" w:type="dxa"/>
              <w:bottom w:w="0" w:type="dxa"/>
              <w:right w:w="108" w:type="dxa"/>
            </w:tcMar>
            <w:vAlign w:val="bottom"/>
          </w:tcPr>
          <w:p w14:paraId="1DBE52DF" w14:textId="3C36AAF4" w:rsidR="002E4B0D" w:rsidRPr="00E35083" w:rsidRDefault="00C83D1D" w:rsidP="00BC18DD">
            <w:pPr>
              <w:pStyle w:val="Heading3"/>
              <w:spacing w:before="0" w:after="120" w:line="276" w:lineRule="auto"/>
              <w:rPr>
                <w:rFonts w:asciiTheme="minorHAnsi" w:eastAsia="Times New Roman" w:hAnsiTheme="minorHAnsi" w:cstheme="minorHAnsi"/>
                <w:smallCaps/>
                <w:color w:val="000000"/>
                <w:sz w:val="22"/>
                <w:szCs w:val="22"/>
              </w:rPr>
            </w:pPr>
            <w:r w:rsidRPr="00E35083">
              <w:rPr>
                <w:rFonts w:asciiTheme="minorHAnsi" w:hAnsiTheme="minorHAnsi"/>
                <w:color w:val="000000" w:themeColor="text1"/>
                <w:sz w:val="22"/>
              </w:rPr>
              <w:t>Paga todos os custos dos serviços cobertos pelo Medicare Parte A e Parte B, como como franquias, cosseguro e copagamentos do Medicare</w:t>
            </w:r>
          </w:p>
        </w:tc>
        <w:tc>
          <w:tcPr>
            <w:tcW w:w="2551" w:type="dxa"/>
            <w:shd w:val="clear" w:color="auto" w:fill="FFFFFF"/>
            <w:tcMar>
              <w:top w:w="0" w:type="dxa"/>
              <w:left w:w="108" w:type="dxa"/>
              <w:bottom w:w="0" w:type="dxa"/>
              <w:right w:w="108" w:type="dxa"/>
            </w:tcMar>
            <w:vAlign w:val="bottom"/>
          </w:tcPr>
          <w:p w14:paraId="297DF0BC" w14:textId="1C731733" w:rsidR="002E4B0D" w:rsidRPr="00E35083" w:rsidRDefault="002E4B0D" w:rsidP="00653A6C">
            <w:pPr>
              <w:pStyle w:val="xmsonormal"/>
              <w:spacing w:after="120" w:line="276" w:lineRule="auto"/>
              <w:jc w:val="center"/>
            </w:pPr>
            <w:r w:rsidRPr="00E35083">
              <w:rPr>
                <w:b/>
              </w:rPr>
              <w:drawing>
                <wp:inline distT="0" distB="0" distL="0" distR="0" wp14:anchorId="064DB781" wp14:editId="6E857746">
                  <wp:extent cx="219075" cy="342900"/>
                  <wp:effectExtent l="0" t="0" r="9525" b="0"/>
                  <wp:docPr id="474935492" name="Picture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5F891DDC" w14:textId="2E5C0363" w:rsidR="002E4B0D" w:rsidRPr="00E35083" w:rsidRDefault="002E4B0D" w:rsidP="00653A6C">
            <w:pPr>
              <w:pStyle w:val="xmsonormal"/>
              <w:spacing w:after="120" w:line="276" w:lineRule="auto"/>
              <w:jc w:val="center"/>
            </w:pPr>
          </w:p>
        </w:tc>
      </w:tr>
      <w:tr w:rsidR="002F462F" w:rsidRPr="00E35083" w14:paraId="3A246F7E" w14:textId="77777777" w:rsidTr="007C078B">
        <w:trPr>
          <w:trHeight w:val="1799"/>
        </w:trPr>
        <w:tc>
          <w:tcPr>
            <w:tcW w:w="2551" w:type="dxa"/>
            <w:shd w:val="clear" w:color="auto" w:fill="FFFFFF"/>
            <w:tcMar>
              <w:top w:w="0" w:type="dxa"/>
              <w:left w:w="108" w:type="dxa"/>
              <w:bottom w:w="0" w:type="dxa"/>
              <w:right w:w="108" w:type="dxa"/>
            </w:tcMar>
            <w:hideMark/>
          </w:tcPr>
          <w:p w14:paraId="5D1E0FB0" w14:textId="77777777" w:rsidR="002E4B0D" w:rsidRPr="00E35083" w:rsidRDefault="002E4B0D" w:rsidP="007C078B">
            <w:pPr>
              <w:spacing w:after="120"/>
              <w:rPr>
                <w:rFonts w:cstheme="minorHAnsi"/>
              </w:rPr>
            </w:pPr>
            <w:r w:rsidRPr="00E35083">
              <w:t>Cartão do MassHealth</w:t>
            </w:r>
          </w:p>
          <w:p w14:paraId="7C6A2096" w14:textId="1A259889" w:rsidR="00AA3226" w:rsidRPr="00E35083" w:rsidRDefault="002F462F" w:rsidP="00BC18DD">
            <w:pPr>
              <w:spacing w:after="120"/>
              <w:rPr>
                <w:rFonts w:cstheme="minorHAnsi"/>
              </w:rPr>
            </w:pPr>
            <w:r w:rsidRPr="00E35083">
              <w:drawing>
                <wp:inline distT="0" distB="0" distL="0" distR="0" wp14:anchorId="4858C17D" wp14:editId="3AC14B55">
                  <wp:extent cx="1323975" cy="1785291"/>
                  <wp:effectExtent l="0" t="0" r="0" b="5715"/>
                  <wp:docPr id="1898651208" name="Picture 1" descr="Images of the MassHealth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51208" name="Picture 1" descr="Images of the MassHealth card"/>
                          <pic:cNvPicPr/>
                        </pic:nvPicPr>
                        <pic:blipFill>
                          <a:blip r:embed="rId11">
                            <a:extLst>
                              <a:ext uri="{28A0092B-C50C-407E-A947-70E740481C1C}">
                                <a14:useLocalDpi xmlns:a14="http://schemas.microsoft.com/office/drawing/2010/main" val="0"/>
                              </a:ext>
                            </a:extLst>
                          </a:blip>
                          <a:stretch>
                            <a:fillRect/>
                          </a:stretch>
                        </pic:blipFill>
                        <pic:spPr>
                          <a:xfrm>
                            <a:off x="0" y="0"/>
                            <a:ext cx="1333060" cy="1797541"/>
                          </a:xfrm>
                          <a:prstGeom prst="rect">
                            <a:avLst/>
                          </a:prstGeom>
                        </pic:spPr>
                      </pic:pic>
                    </a:graphicData>
                  </a:graphic>
                </wp:inline>
              </w:drawing>
            </w:r>
          </w:p>
        </w:tc>
        <w:tc>
          <w:tcPr>
            <w:tcW w:w="2551" w:type="dxa"/>
            <w:shd w:val="clear" w:color="auto" w:fill="FFFFFF"/>
            <w:tcMar>
              <w:top w:w="0" w:type="dxa"/>
              <w:left w:w="108" w:type="dxa"/>
              <w:bottom w:w="0" w:type="dxa"/>
              <w:right w:w="108" w:type="dxa"/>
            </w:tcMar>
            <w:vAlign w:val="bottom"/>
            <w:hideMark/>
          </w:tcPr>
          <w:p w14:paraId="43960A5F" w14:textId="77777777" w:rsidR="002E4B0D" w:rsidRPr="00E35083" w:rsidRDefault="002E4B0D" w:rsidP="00653A6C">
            <w:pPr>
              <w:pStyle w:val="Heading3"/>
              <w:spacing w:before="0" w:after="120" w:line="276" w:lineRule="auto"/>
              <w:jc w:val="center"/>
              <w:rPr>
                <w:rFonts w:eastAsia="Times New Roman"/>
                <w:sz w:val="22"/>
                <w:szCs w:val="22"/>
              </w:rPr>
            </w:pPr>
            <w:r w:rsidRPr="00E35083">
              <w:rPr>
                <w:b/>
                <w:sz w:val="22"/>
              </w:rPr>
              <w:drawing>
                <wp:inline distT="0" distB="0" distL="0" distR="0" wp14:anchorId="2C3FD5C9" wp14:editId="27F94854">
                  <wp:extent cx="219075" cy="342900"/>
                  <wp:effectExtent l="0" t="0" r="9525" b="0"/>
                  <wp:docPr id="807941111" name="Picture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p w14:paraId="41599BC1" w14:textId="77777777" w:rsidR="00C83D1D" w:rsidRPr="00E35083" w:rsidRDefault="00C83D1D" w:rsidP="00653A6C">
            <w:pPr>
              <w:spacing w:after="120"/>
              <w:jc w:val="center"/>
            </w:pPr>
            <w:r w:rsidRPr="00E35083">
              <w:t>Mostre seus cartões do Medicare e MassHealth para que os provedores saibam que você está no programa QMB.</w:t>
            </w:r>
          </w:p>
          <w:p w14:paraId="0E7102B9" w14:textId="30EC41F2" w:rsidR="00AA3226" w:rsidRPr="00E35083" w:rsidRDefault="00AA3226" w:rsidP="00653A6C">
            <w:pPr>
              <w:spacing w:after="120"/>
              <w:jc w:val="center"/>
            </w:pPr>
          </w:p>
        </w:tc>
        <w:tc>
          <w:tcPr>
            <w:tcW w:w="2551" w:type="dxa"/>
            <w:shd w:val="clear" w:color="auto" w:fill="FFFFFF"/>
            <w:tcMar>
              <w:top w:w="0" w:type="dxa"/>
              <w:left w:w="108" w:type="dxa"/>
              <w:bottom w:w="0" w:type="dxa"/>
              <w:right w:w="108" w:type="dxa"/>
            </w:tcMar>
            <w:vAlign w:val="bottom"/>
            <w:hideMark/>
          </w:tcPr>
          <w:p w14:paraId="208219CC" w14:textId="1965623A" w:rsidR="002E4B0D" w:rsidRPr="00E35083" w:rsidRDefault="002E4B0D" w:rsidP="00653A6C">
            <w:pPr>
              <w:pStyle w:val="Heading3"/>
              <w:spacing w:before="0" w:after="120" w:line="276" w:lineRule="auto"/>
              <w:jc w:val="center"/>
              <w:rPr>
                <w:rFonts w:eastAsia="Times New Roman"/>
                <w:sz w:val="22"/>
                <w:szCs w:val="22"/>
              </w:rPr>
            </w:pPr>
          </w:p>
        </w:tc>
      </w:tr>
    </w:tbl>
    <w:p w14:paraId="0DC79074" w14:textId="77777777" w:rsidR="00C15003" w:rsidRPr="00E35083" w:rsidRDefault="00C15003" w:rsidP="001B200E">
      <w:pPr>
        <w:spacing w:after="120"/>
      </w:pPr>
    </w:p>
    <w:p w14:paraId="45555BC5" w14:textId="34AE613C" w:rsidR="00AD158D" w:rsidRPr="00E35083" w:rsidRDefault="00C83D1D" w:rsidP="000C3508">
      <w:pPr>
        <w:pStyle w:val="Heading2"/>
      </w:pPr>
      <w:r w:rsidRPr="00E35083">
        <w:t>O que é a HSN (Health Safety Net)?</w:t>
      </w:r>
    </w:p>
    <w:p w14:paraId="49D6259F" w14:textId="72872DFE" w:rsidR="00C83D1D" w:rsidRPr="00E35083" w:rsidRDefault="00C83D1D" w:rsidP="00C83D1D">
      <w:pPr>
        <w:spacing w:after="0"/>
        <w:rPr>
          <w:rFonts w:cstheme="minorHAnsi"/>
          <w:color w:val="000000" w:themeColor="text1"/>
        </w:rPr>
      </w:pPr>
      <w:r w:rsidRPr="00E35083">
        <w:rPr>
          <w:color w:val="000000" w:themeColor="text1"/>
        </w:rPr>
        <w:t xml:space="preserve">A HSN paga alguns serviços de saúde prestados por hospitais de cuidados agudos ou Centros de Saúde Comunitários (CHCs) a certos pacientes de baixa renda, sem seguro e subssegurados. Se você se qualifica para um programa MSP e recebe cuidados de um hospital ou CHC, a HSN pode ser o segundo pagador de copagamentos ou franquias cobradas pelo hospital ou CHC. Isso significa ser possível que a HSN cubra alguns custos depois que o Medicare receber a cobrança. Também é possível que a HSN pague pelos serviços que o Medicare não cobre, caso você receba cuidados em um hospital ou CHC. </w:t>
      </w:r>
    </w:p>
    <w:p w14:paraId="376E1AB5" w14:textId="77777777" w:rsidR="00C83D1D" w:rsidRPr="00E35083" w:rsidRDefault="00C83D1D" w:rsidP="00C83D1D">
      <w:pPr>
        <w:spacing w:after="0"/>
        <w:rPr>
          <w:rFonts w:cstheme="minorHAnsi"/>
          <w:color w:val="000000" w:themeColor="text1"/>
        </w:rPr>
      </w:pPr>
    </w:p>
    <w:p w14:paraId="16035258" w14:textId="258DDC27" w:rsidR="00C83D1D" w:rsidRPr="00E35083" w:rsidRDefault="00C83D1D" w:rsidP="00C83D1D">
      <w:pPr>
        <w:spacing w:after="0"/>
        <w:rPr>
          <w:rFonts w:cstheme="minorHAnsi"/>
          <w:color w:val="000000" w:themeColor="text1"/>
        </w:rPr>
      </w:pPr>
      <w:r w:rsidRPr="00E35083">
        <w:rPr>
          <w:color w:val="000000" w:themeColor="text1"/>
        </w:rPr>
        <w:t>A Health Safety Net não emite cartão para membros.</w:t>
      </w:r>
    </w:p>
    <w:p w14:paraId="187AC37A" w14:textId="77777777" w:rsidR="00C83D1D" w:rsidRPr="00E35083" w:rsidRDefault="00C83D1D" w:rsidP="00C83D1D">
      <w:pPr>
        <w:pStyle w:val="NormalWeb"/>
        <w:spacing w:before="0" w:beforeAutospacing="0" w:after="0" w:afterAutospacing="0"/>
        <w:rPr>
          <w:rFonts w:asciiTheme="minorHAnsi" w:hAnsiTheme="minorHAnsi" w:cstheme="minorHAnsi"/>
          <w:b/>
          <w:bCs/>
          <w:color w:val="000000" w:themeColor="text1"/>
          <w:sz w:val="22"/>
          <w:szCs w:val="22"/>
        </w:rPr>
      </w:pPr>
    </w:p>
    <w:p w14:paraId="24A26B69" w14:textId="19C8A1DD" w:rsidR="00AD158D" w:rsidRPr="00E35083" w:rsidRDefault="00C83D1D" w:rsidP="000C3508">
      <w:pPr>
        <w:pStyle w:val="Heading2"/>
      </w:pPr>
      <w:r w:rsidRPr="00E35083">
        <w:t>O que é Extra Help?</w:t>
      </w:r>
    </w:p>
    <w:p w14:paraId="671F813C" w14:textId="0FD2C9C7" w:rsidR="00C83D1D" w:rsidRPr="00E35083" w:rsidRDefault="00C83D1D" w:rsidP="00BC18DD">
      <w:r w:rsidRPr="00E35083">
        <w:t>Extra Help é um programa do Medicare que ajuda pessoas com renda e recursos limitados a pagar prêmios, franquias, cosseguro e outros custos da cobertura de medicamentos do Medicare (Parte D). Extra Help também limita os valores de copagamento dos seus medicamentos receitados. As pessoas podem se inscrever no Medicare Parte D a qualquer momento do ano, sem penalidade por inscrição tardia.</w:t>
      </w:r>
    </w:p>
    <w:p w14:paraId="6653FCB7" w14:textId="77777777" w:rsidR="00026F6A" w:rsidRPr="00E35083" w:rsidRDefault="00026F6A" w:rsidP="00C83D1D">
      <w:pPr>
        <w:pStyle w:val="NormalWeb"/>
        <w:spacing w:before="0" w:beforeAutospacing="0" w:after="0" w:afterAutospacing="0"/>
        <w:rPr>
          <w:rFonts w:asciiTheme="minorHAnsi" w:hAnsiTheme="minorHAnsi" w:cstheme="minorHAnsi"/>
          <w:color w:val="000000" w:themeColor="text1"/>
          <w:sz w:val="22"/>
          <w:szCs w:val="22"/>
        </w:rPr>
      </w:pPr>
    </w:p>
    <w:p w14:paraId="6B661250" w14:textId="1DAD801F" w:rsidR="00026F6A" w:rsidRPr="00E35083" w:rsidRDefault="00026F6A" w:rsidP="00BC18DD">
      <w:pPr>
        <w:pStyle w:val="Heading2"/>
      </w:pPr>
      <w:r w:rsidRPr="00E35083">
        <w:lastRenderedPageBreak/>
        <w:t>Verificação da cobertura do Medicare</w:t>
      </w:r>
    </w:p>
    <w:p w14:paraId="001F7CCE" w14:textId="46FC70AB" w:rsidR="00026F6A" w:rsidRPr="00E35083" w:rsidRDefault="00026F6A" w:rsidP="00026F6A">
      <w:pPr>
        <w:ind w:right="244"/>
      </w:pPr>
      <w:r w:rsidRPr="00E35083">
        <w:t xml:space="preserve">Suas necessidades de cobertura do Medicare podem ter mudado. Quer saber se você pode economizar mais na sua cobertura ou se qualifica para benefícios adicionais? </w:t>
      </w:r>
      <w:r w:rsidRPr="00986D7F">
        <w:rPr>
          <w:lang w:val="en-US"/>
        </w:rPr>
        <w:t xml:space="preserve">O programa SHINE (Serving the Health Insurance Needs of Everyone) pode ajudar! </w:t>
      </w:r>
      <w:r w:rsidRPr="00E35083">
        <w:t>O programa SHINE fornece gratuitamente informações de seguro de saúde para todos os beneficiários do Medicare.</w:t>
      </w:r>
    </w:p>
    <w:p w14:paraId="7D209660" w14:textId="33BD529C" w:rsidR="00026F6A" w:rsidRPr="00E35083" w:rsidRDefault="00026F6A" w:rsidP="00A748FA">
      <w:pPr>
        <w:ind w:right="60"/>
        <w:rPr>
          <w:rFonts w:cstheme="minorHAnsi"/>
          <w:color w:val="000000" w:themeColor="text1"/>
        </w:rPr>
      </w:pPr>
      <w:r w:rsidRPr="00E35083">
        <w:rPr>
          <w:b/>
        </w:rPr>
        <w:t>Agende uma consulta com um conselheiro do S</w:t>
      </w:r>
      <w:r w:rsidRPr="00E35083">
        <w:rPr>
          <w:b/>
          <w:color w:val="000000" w:themeColor="text1"/>
        </w:rPr>
        <w:t>HINE</w:t>
      </w:r>
      <w:r w:rsidRPr="00E35083">
        <w:rPr>
          <w:b/>
        </w:rPr>
        <w:t>.</w:t>
      </w:r>
      <w:r w:rsidRPr="00E35083">
        <w:rPr>
          <w:b/>
          <w:color w:val="000000" w:themeColor="text1"/>
        </w:rPr>
        <w:t xml:space="preserve"> </w:t>
      </w:r>
      <w:r w:rsidRPr="00E35083">
        <w:rPr>
          <w:color w:val="000000" w:themeColor="text1"/>
        </w:rPr>
        <w:t>Eles podem</w:t>
      </w:r>
      <w:r w:rsidRPr="00E35083">
        <w:rPr>
          <w:b/>
          <w:color w:val="000000" w:themeColor="text1"/>
        </w:rPr>
        <w:t xml:space="preserve"> </w:t>
      </w:r>
      <w:r w:rsidRPr="00E35083">
        <w:rPr>
          <w:color w:val="000000" w:themeColor="text1"/>
        </w:rPr>
        <w:t>responder às suas perguntas sobre coberturas e benefícios, e ajudar você a entender suas opções e a tomar decisões.</w:t>
      </w:r>
    </w:p>
    <w:p w14:paraId="12171B16" w14:textId="1FA5D0F4" w:rsidR="00026F6A" w:rsidRPr="00E35083" w:rsidRDefault="00026F6A" w:rsidP="00A748FA">
      <w:pPr>
        <w:keepNext/>
        <w:spacing w:after="0"/>
        <w:ind w:right="60"/>
        <w:rPr>
          <w:rStyle w:val="Hyperlink"/>
          <w:color w:val="auto"/>
          <w:u w:val="none"/>
        </w:rPr>
      </w:pPr>
      <w:r w:rsidRPr="00E35083">
        <w:rPr>
          <w:b/>
          <w:color w:val="000000" w:themeColor="text1"/>
        </w:rPr>
        <w:t xml:space="preserve">Para encontrar um conselheiro do SHINE perto de você, </w:t>
      </w:r>
      <w:r w:rsidRPr="00E35083">
        <w:rPr>
          <w:color w:val="000000" w:themeColor="text1"/>
        </w:rPr>
        <w:t>ligue para MassOptions pelo telefone (800) 243-4636, ou a</w:t>
      </w:r>
      <w:r w:rsidRPr="00E35083">
        <w:t xml:space="preserve">cesse </w:t>
      </w:r>
      <w:hyperlink r:id="rId12" w:history="1">
        <w:r w:rsidRPr="00E35083">
          <w:rPr>
            <w:rStyle w:val="Hyperlink"/>
            <w:color w:val="000000" w:themeColor="text1"/>
          </w:rPr>
          <w:t>mass.gov/info-details/find-a-shine-counselor</w:t>
        </w:r>
      </w:hyperlink>
      <w:r w:rsidRPr="00E35083">
        <w:rPr>
          <w:rStyle w:val="Hyperlink"/>
          <w:color w:val="000000" w:themeColor="text1"/>
          <w:u w:val="none"/>
        </w:rPr>
        <w:t>.</w:t>
      </w:r>
    </w:p>
    <w:p w14:paraId="1B76E566" w14:textId="77777777" w:rsidR="00026F6A" w:rsidRPr="00E35083" w:rsidRDefault="00026F6A" w:rsidP="00026F6A">
      <w:pPr>
        <w:spacing w:after="0"/>
        <w:ind w:right="60"/>
      </w:pPr>
    </w:p>
    <w:p w14:paraId="7BD8796F" w14:textId="738BDEBE" w:rsidR="00CA2898" w:rsidRPr="00E35083" w:rsidRDefault="00CA2898" w:rsidP="00BC18DD">
      <w:pPr>
        <w:pStyle w:val="Heading2"/>
        <w:jc w:val="center"/>
      </w:pPr>
      <w:r w:rsidRPr="00E35083">
        <w:t>CONHEÇA SEUS DIREITOS:</w:t>
      </w:r>
    </w:p>
    <w:p w14:paraId="3E91A8B8" w14:textId="7692500B" w:rsidR="00CA2898" w:rsidRPr="00E35083" w:rsidRDefault="00CA2898" w:rsidP="00CA2898">
      <w:pPr>
        <w:jc w:val="center"/>
        <w:rPr>
          <w:color w:val="2E74B5" w:themeColor="accent5" w:themeShade="BF"/>
        </w:rPr>
      </w:pPr>
      <w:r w:rsidRPr="00E35083">
        <w:rPr>
          <w:color w:val="2E74B5" w:themeColor="accent5" w:themeShade="BF"/>
        </w:rPr>
        <w:t>Proteções de cobrança do programa QMB</w:t>
      </w:r>
    </w:p>
    <w:p w14:paraId="670A7628" w14:textId="12A6650F" w:rsidR="00CA2898" w:rsidRPr="00E35083" w:rsidRDefault="00CA2898" w:rsidP="002E4B0D">
      <w:r w:rsidRPr="00E35083">
        <w:t>Se você estiver inscrito no programa QMB, a lei proíbe que os provedores do Medicare cobrem de você por serviços ou itens cobertos pelo Medicare. Isso significa que</w:t>
      </w:r>
    </w:p>
    <w:p w14:paraId="29AB9E14" w14:textId="5D7B32A6" w:rsidR="00CA2898" w:rsidRPr="00E35083" w:rsidRDefault="00CA2898" w:rsidP="00CA2898">
      <w:pPr>
        <w:pStyle w:val="ListParagraph"/>
        <w:numPr>
          <w:ilvl w:val="0"/>
          <w:numId w:val="3"/>
        </w:numPr>
      </w:pPr>
      <w:r w:rsidRPr="00E35083">
        <w:t>Você não deve fazer copagamentos para consultas ou exames médicos cobertos pelo Medicare.</w:t>
      </w:r>
    </w:p>
    <w:p w14:paraId="777A4822" w14:textId="5A530509" w:rsidR="00CA2898" w:rsidRPr="00E35083" w:rsidRDefault="00CA2898" w:rsidP="00CA2898">
      <w:pPr>
        <w:pStyle w:val="ListParagraph"/>
        <w:numPr>
          <w:ilvl w:val="0"/>
          <w:numId w:val="3"/>
        </w:numPr>
      </w:pPr>
      <w:r w:rsidRPr="00E35083">
        <w:t>Você não deve receber contas dos médicos ou hospitais cobertos pelo Medicare.</w:t>
      </w:r>
    </w:p>
    <w:p w14:paraId="353372F5" w14:textId="73A3D266" w:rsidR="00CA2898" w:rsidRPr="00E35083" w:rsidRDefault="00CA2898" w:rsidP="00CA2898">
      <w:r w:rsidRPr="00E35083">
        <w:t>O que acontece se eu estiver inscrito(a) no QMB e receber uma cobrança?</w:t>
      </w:r>
    </w:p>
    <w:p w14:paraId="1130D012" w14:textId="113D09DC" w:rsidR="00CA2898" w:rsidRPr="00E35083" w:rsidRDefault="00CA2898" w:rsidP="00CA2898">
      <w:pPr>
        <w:pStyle w:val="ListParagraph"/>
        <w:numPr>
          <w:ilvl w:val="0"/>
          <w:numId w:val="4"/>
        </w:numPr>
      </w:pPr>
      <w:r w:rsidRPr="00E35083">
        <w:t>Se você receber uma cobrança ou pedirem que faça um copagamento por um serviço coberto pelo Medicare, informe ao seu provedor ou cobrador de dívidas que você está inscrito no QMB do Programa de Economia de Custos do Medicare e que não pode receber cobranças por franquias, cosseguro ou copagamentos. Mostre seus cartões do Medicare e MassHealth para que os provedores saibam que você está no QMB do Programa de Economia de Custos do Medicare. O provedor pode consultar o Medicare sobre como receber o pagamento.</w:t>
      </w:r>
    </w:p>
    <w:p w14:paraId="74EE6099" w14:textId="128B886A" w:rsidR="00CA2898" w:rsidRPr="00E35083" w:rsidRDefault="00CA2898" w:rsidP="00CA2898">
      <w:pPr>
        <w:pStyle w:val="ListParagraph"/>
        <w:numPr>
          <w:ilvl w:val="0"/>
          <w:numId w:val="4"/>
        </w:numPr>
      </w:pPr>
      <w:r w:rsidRPr="00E35083">
        <w:t>Se você já pagou uma conta por serviços ou itens coberto pelo Medicare, você tem direito a um reembolso. Entre em contato com seu médico ou provedor para saber como ser reembolsado.</w:t>
      </w:r>
    </w:p>
    <w:p w14:paraId="0E72F716" w14:textId="418551BB" w:rsidR="00CA2898" w:rsidRPr="00E35083" w:rsidRDefault="00CA2898" w:rsidP="00CA2898">
      <w:pPr>
        <w:pStyle w:val="ListParagraph"/>
        <w:numPr>
          <w:ilvl w:val="0"/>
          <w:numId w:val="4"/>
        </w:numPr>
      </w:pPr>
      <w:r w:rsidRPr="00E35083">
        <w:t>Se você aderiu ao Plano Medicare Advantage, entre em contato com o plano para que suspendam as cobranças.</w:t>
      </w:r>
    </w:p>
    <w:p w14:paraId="69484A8E" w14:textId="3DF51857" w:rsidR="00CA2898" w:rsidRPr="00E35083" w:rsidRDefault="00CA2898" w:rsidP="00CC7019">
      <w:pPr>
        <w:pStyle w:val="ListParagraph"/>
        <w:numPr>
          <w:ilvl w:val="0"/>
          <w:numId w:val="4"/>
        </w:numPr>
      </w:pPr>
      <w:r w:rsidRPr="00E35083">
        <w:t>Se o seu provedor não parar de enviar cobranças, ligue para o Medicare: 1-800-MEDICARE/(800) 633-4227, TTY: (877) 486-2048.</w:t>
      </w:r>
    </w:p>
    <w:p w14:paraId="03579F20" w14:textId="77777777" w:rsidR="00A454E6" w:rsidRPr="00E35083" w:rsidRDefault="00A454E6" w:rsidP="00A454E6">
      <w:pPr>
        <w:spacing w:after="0"/>
        <w:ind w:right="60"/>
        <w:rPr>
          <w:rFonts w:cstheme="minorHAnsi"/>
          <w:b/>
          <w:bCs/>
          <w:color w:val="000000" w:themeColor="text1"/>
        </w:rPr>
      </w:pPr>
      <w:r w:rsidRPr="00E35083">
        <w:rPr>
          <w:b/>
          <w:color w:val="000000" w:themeColor="text1"/>
        </w:rPr>
        <w:t>Precisa de mais ajuda?</w:t>
      </w:r>
    </w:p>
    <w:p w14:paraId="53803031" w14:textId="0D465231" w:rsidR="00A454E6" w:rsidRPr="00E35083" w:rsidRDefault="00A454E6" w:rsidP="00A748FA">
      <w:pPr>
        <w:pStyle w:val="ListParagraph"/>
        <w:numPr>
          <w:ilvl w:val="0"/>
          <w:numId w:val="7"/>
        </w:numPr>
        <w:spacing w:after="0"/>
        <w:ind w:right="60"/>
        <w:rPr>
          <w:rFonts w:eastAsia="Calibri" w:cstheme="minorHAnsi"/>
          <w:color w:val="000000" w:themeColor="text1"/>
        </w:rPr>
      </w:pPr>
      <w:r w:rsidRPr="00E35083">
        <w:t xml:space="preserve">Ligue para nós pelo telefone (800) 841-2900, TDD/TTY: 711. </w:t>
      </w:r>
      <w:r w:rsidRPr="00E35083">
        <w:rPr>
          <w:color w:val="000000" w:themeColor="text1"/>
        </w:rPr>
        <w:t>De segunda a sexta-feira das 8:00 a.m. às 5:00 p.m.</w:t>
      </w:r>
    </w:p>
    <w:p w14:paraId="75FEC96B" w14:textId="5DCBD008" w:rsidR="00A454E6" w:rsidRPr="00E35083" w:rsidRDefault="00AA7C09" w:rsidP="00A748FA">
      <w:pPr>
        <w:pStyle w:val="ListParagraph"/>
        <w:numPr>
          <w:ilvl w:val="0"/>
          <w:numId w:val="7"/>
        </w:numPr>
        <w:spacing w:after="0"/>
        <w:ind w:right="60"/>
        <w:rPr>
          <w:rFonts w:eastAsia="Calibri" w:cstheme="minorHAnsi"/>
          <w:color w:val="000000" w:themeColor="text1"/>
        </w:rPr>
      </w:pPr>
      <w:r w:rsidRPr="00E35083">
        <w:t xml:space="preserve">Ou marque uma consulta no </w:t>
      </w:r>
      <w:hyperlink r:id="rId13" w:history="1">
        <w:r w:rsidRPr="00E35083">
          <w:rPr>
            <w:rStyle w:val="Hyperlink"/>
          </w:rPr>
          <w:t>mass.gov/MassHealthAppointment</w:t>
        </w:r>
      </w:hyperlink>
      <w:r w:rsidRPr="00E35083">
        <w:rPr>
          <w:color w:val="000000" w:themeColor="text1"/>
        </w:rPr>
        <w:t>.</w:t>
      </w:r>
    </w:p>
    <w:p w14:paraId="23FEEAE7" w14:textId="7BE91298" w:rsidR="003146FF" w:rsidRPr="00526936" w:rsidRDefault="00AA7C09" w:rsidP="003146FF">
      <w:pPr>
        <w:pStyle w:val="ListParagraph"/>
        <w:numPr>
          <w:ilvl w:val="0"/>
          <w:numId w:val="7"/>
        </w:numPr>
        <w:spacing w:after="0" w:line="240" w:lineRule="auto"/>
        <w:rPr>
          <w:rFonts w:eastAsia="Calibri" w:cstheme="minorHAnsi"/>
          <w:color w:val="000000" w:themeColor="text1"/>
        </w:rPr>
      </w:pPr>
      <w:r w:rsidRPr="00E35083">
        <w:rPr>
          <w:color w:val="000000" w:themeColor="text1"/>
        </w:rPr>
        <w:t xml:space="preserve">Visite um Centro de Inscrições do MassHealth (MassHealth Enrollment Center - MEC). Os MECs estão abertos para consultas limitadas sem hora marcada, de segunda a sexta-feira, das 8:45 a.m. às 5:00 p.m. </w:t>
      </w:r>
    </w:p>
    <w:sectPr w:rsidR="003146FF" w:rsidRPr="0052693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566B" w14:textId="77777777" w:rsidR="005E011C" w:rsidRPr="00E35083" w:rsidRDefault="005E011C" w:rsidP="000C73F2">
      <w:pPr>
        <w:spacing w:after="0" w:line="240" w:lineRule="auto"/>
      </w:pPr>
      <w:r w:rsidRPr="00E35083">
        <w:separator/>
      </w:r>
    </w:p>
  </w:endnote>
  <w:endnote w:type="continuationSeparator" w:id="0">
    <w:p w14:paraId="195D799A" w14:textId="77777777" w:rsidR="005E011C" w:rsidRPr="00E35083" w:rsidRDefault="005E011C" w:rsidP="000C73F2">
      <w:pPr>
        <w:spacing w:after="0" w:line="240" w:lineRule="auto"/>
      </w:pPr>
      <w:r w:rsidRPr="00E35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539E" w14:textId="67BDE85B" w:rsidR="000C73F2" w:rsidRPr="00E35083" w:rsidRDefault="000C73F2">
    <w:pPr>
      <w:pStyle w:val="Footer"/>
      <w:rPr>
        <w:sz w:val="18"/>
        <w:szCs w:val="18"/>
      </w:rPr>
    </w:pPr>
    <w:r w:rsidRPr="00E35083">
      <w:rPr>
        <w:sz w:val="18"/>
      </w:rPr>
      <w:t>MSP-Info-</w:t>
    </w:r>
    <w:r w:rsidR="00D95507" w:rsidRPr="00E35083">
      <w:rPr>
        <w:sz w:val="18"/>
      </w:rPr>
      <w:t>PT-BR</w:t>
    </w:r>
    <w:r w:rsidRPr="00E35083">
      <w:rPr>
        <w:sz w:val="18"/>
      </w:rPr>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5FCF" w14:textId="77777777" w:rsidR="005E011C" w:rsidRPr="00E35083" w:rsidRDefault="005E011C" w:rsidP="000C73F2">
      <w:pPr>
        <w:spacing w:after="0" w:line="240" w:lineRule="auto"/>
      </w:pPr>
      <w:r w:rsidRPr="00E35083">
        <w:separator/>
      </w:r>
    </w:p>
  </w:footnote>
  <w:footnote w:type="continuationSeparator" w:id="0">
    <w:p w14:paraId="73D5D26C" w14:textId="77777777" w:rsidR="005E011C" w:rsidRPr="00E35083" w:rsidRDefault="005E011C" w:rsidP="000C73F2">
      <w:pPr>
        <w:spacing w:after="0" w:line="240" w:lineRule="auto"/>
      </w:pPr>
      <w:r w:rsidRPr="00E3508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041"/>
    <w:multiLevelType w:val="hybridMultilevel"/>
    <w:tmpl w:val="87100984"/>
    <w:lvl w:ilvl="0" w:tplc="832EE266">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10078"/>
    <w:multiLevelType w:val="hybridMultilevel"/>
    <w:tmpl w:val="6910EF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D261D0"/>
    <w:multiLevelType w:val="hybridMultilevel"/>
    <w:tmpl w:val="C046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2B00"/>
    <w:multiLevelType w:val="hybridMultilevel"/>
    <w:tmpl w:val="BF4A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06998"/>
    <w:multiLevelType w:val="hybridMultilevel"/>
    <w:tmpl w:val="7F00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03D79"/>
    <w:multiLevelType w:val="hybridMultilevel"/>
    <w:tmpl w:val="262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25A9C"/>
    <w:multiLevelType w:val="hybridMultilevel"/>
    <w:tmpl w:val="C7C6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877025">
    <w:abstractNumId w:val="5"/>
  </w:num>
  <w:num w:numId="2" w16cid:durableId="1765761345">
    <w:abstractNumId w:val="4"/>
  </w:num>
  <w:num w:numId="3" w16cid:durableId="814570689">
    <w:abstractNumId w:val="3"/>
  </w:num>
  <w:num w:numId="4" w16cid:durableId="1539200084">
    <w:abstractNumId w:val="2"/>
  </w:num>
  <w:num w:numId="5" w16cid:durableId="1646739650">
    <w:abstractNumId w:val="1"/>
  </w:num>
  <w:num w:numId="6" w16cid:durableId="1704473803">
    <w:abstractNumId w:val="0"/>
  </w:num>
  <w:num w:numId="7" w16cid:durableId="792944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0D"/>
    <w:rsid w:val="0001691F"/>
    <w:rsid w:val="00026F6A"/>
    <w:rsid w:val="00027F5D"/>
    <w:rsid w:val="000325A7"/>
    <w:rsid w:val="00066955"/>
    <w:rsid w:val="000C3508"/>
    <w:rsid w:val="000C73F2"/>
    <w:rsid w:val="000E4FC3"/>
    <w:rsid w:val="00100040"/>
    <w:rsid w:val="001073E5"/>
    <w:rsid w:val="00111595"/>
    <w:rsid w:val="0011713E"/>
    <w:rsid w:val="00130978"/>
    <w:rsid w:val="00164EBA"/>
    <w:rsid w:val="001A2DD0"/>
    <w:rsid w:val="001B0753"/>
    <w:rsid w:val="001B200E"/>
    <w:rsid w:val="00233D4F"/>
    <w:rsid w:val="00236378"/>
    <w:rsid w:val="002C1E95"/>
    <w:rsid w:val="002D14F3"/>
    <w:rsid w:val="002D6CEA"/>
    <w:rsid w:val="002E4B0D"/>
    <w:rsid w:val="002F462F"/>
    <w:rsid w:val="003146FF"/>
    <w:rsid w:val="003150C9"/>
    <w:rsid w:val="00322EB4"/>
    <w:rsid w:val="003447B8"/>
    <w:rsid w:val="00384437"/>
    <w:rsid w:val="003A36D6"/>
    <w:rsid w:val="003B5CE1"/>
    <w:rsid w:val="003E431B"/>
    <w:rsid w:val="003E6031"/>
    <w:rsid w:val="003F37F3"/>
    <w:rsid w:val="003F6284"/>
    <w:rsid w:val="00422E3A"/>
    <w:rsid w:val="00434194"/>
    <w:rsid w:val="00467CA3"/>
    <w:rsid w:val="004773E5"/>
    <w:rsid w:val="00477F22"/>
    <w:rsid w:val="004B6A68"/>
    <w:rsid w:val="004F18E2"/>
    <w:rsid w:val="00506108"/>
    <w:rsid w:val="005164B0"/>
    <w:rsid w:val="00521083"/>
    <w:rsid w:val="00526936"/>
    <w:rsid w:val="0053784D"/>
    <w:rsid w:val="00570A1F"/>
    <w:rsid w:val="005B345F"/>
    <w:rsid w:val="005E011C"/>
    <w:rsid w:val="00614350"/>
    <w:rsid w:val="006206D3"/>
    <w:rsid w:val="00653A6C"/>
    <w:rsid w:val="006552AD"/>
    <w:rsid w:val="00660A4E"/>
    <w:rsid w:val="006614D9"/>
    <w:rsid w:val="00673328"/>
    <w:rsid w:val="006B030D"/>
    <w:rsid w:val="006C1C70"/>
    <w:rsid w:val="00755013"/>
    <w:rsid w:val="0078052D"/>
    <w:rsid w:val="007A6852"/>
    <w:rsid w:val="007C078B"/>
    <w:rsid w:val="00813FB1"/>
    <w:rsid w:val="00860DFF"/>
    <w:rsid w:val="008621C2"/>
    <w:rsid w:val="008A6213"/>
    <w:rsid w:val="008D20BA"/>
    <w:rsid w:val="008D3D86"/>
    <w:rsid w:val="008D7E8C"/>
    <w:rsid w:val="00913A93"/>
    <w:rsid w:val="00926825"/>
    <w:rsid w:val="00934F61"/>
    <w:rsid w:val="00944786"/>
    <w:rsid w:val="00953A2C"/>
    <w:rsid w:val="00960F82"/>
    <w:rsid w:val="00967EA0"/>
    <w:rsid w:val="009722C1"/>
    <w:rsid w:val="00975201"/>
    <w:rsid w:val="00986D7F"/>
    <w:rsid w:val="00993D91"/>
    <w:rsid w:val="009F4698"/>
    <w:rsid w:val="00A006FB"/>
    <w:rsid w:val="00A12E3D"/>
    <w:rsid w:val="00A454E6"/>
    <w:rsid w:val="00A51D18"/>
    <w:rsid w:val="00A748FA"/>
    <w:rsid w:val="00A763F7"/>
    <w:rsid w:val="00A90C65"/>
    <w:rsid w:val="00AA3226"/>
    <w:rsid w:val="00AA7C09"/>
    <w:rsid w:val="00AC66A4"/>
    <w:rsid w:val="00AD158D"/>
    <w:rsid w:val="00AF0E43"/>
    <w:rsid w:val="00AF3175"/>
    <w:rsid w:val="00B35AF4"/>
    <w:rsid w:val="00B542BB"/>
    <w:rsid w:val="00B5501B"/>
    <w:rsid w:val="00B607C9"/>
    <w:rsid w:val="00B763E5"/>
    <w:rsid w:val="00B9646F"/>
    <w:rsid w:val="00BA1F7C"/>
    <w:rsid w:val="00BA20A6"/>
    <w:rsid w:val="00BA4A76"/>
    <w:rsid w:val="00BB3C7C"/>
    <w:rsid w:val="00BC18DD"/>
    <w:rsid w:val="00BD2665"/>
    <w:rsid w:val="00BF1BAA"/>
    <w:rsid w:val="00C0208F"/>
    <w:rsid w:val="00C15003"/>
    <w:rsid w:val="00C25F69"/>
    <w:rsid w:val="00C4752A"/>
    <w:rsid w:val="00C73776"/>
    <w:rsid w:val="00C750B4"/>
    <w:rsid w:val="00C76B72"/>
    <w:rsid w:val="00C83D1D"/>
    <w:rsid w:val="00C96D28"/>
    <w:rsid w:val="00CA2898"/>
    <w:rsid w:val="00CB1BF7"/>
    <w:rsid w:val="00CC7019"/>
    <w:rsid w:val="00CF08C3"/>
    <w:rsid w:val="00CF2658"/>
    <w:rsid w:val="00D328FA"/>
    <w:rsid w:val="00D4392A"/>
    <w:rsid w:val="00D439AE"/>
    <w:rsid w:val="00D95507"/>
    <w:rsid w:val="00DA2EB8"/>
    <w:rsid w:val="00DC19D8"/>
    <w:rsid w:val="00E35083"/>
    <w:rsid w:val="00E73D8E"/>
    <w:rsid w:val="00EB05A7"/>
    <w:rsid w:val="00EC2CBF"/>
    <w:rsid w:val="00EE621C"/>
    <w:rsid w:val="00EF3902"/>
    <w:rsid w:val="00F131F0"/>
    <w:rsid w:val="00F32906"/>
    <w:rsid w:val="00F4266F"/>
    <w:rsid w:val="00F55ABD"/>
    <w:rsid w:val="00F66F60"/>
    <w:rsid w:val="00F82079"/>
    <w:rsid w:val="00F86255"/>
    <w:rsid w:val="00F868F0"/>
    <w:rsid w:val="00FA75AF"/>
    <w:rsid w:val="00FC2860"/>
    <w:rsid w:val="00FC4256"/>
    <w:rsid w:val="00FD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C5B0"/>
  <w15:chartTrackingRefBased/>
  <w15:docId w15:val="{A87F5FA2-6B76-4E71-829C-D22FC020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0D"/>
    <w:rPr>
      <w:noProof/>
      <w:kern w:val="0"/>
      <w14:ligatures w14:val="none"/>
    </w:rPr>
  </w:style>
  <w:style w:type="paragraph" w:styleId="Heading1">
    <w:name w:val="heading 1"/>
    <w:basedOn w:val="Normal"/>
    <w:next w:val="Normal"/>
    <w:link w:val="Heading1Char"/>
    <w:uiPriority w:val="9"/>
    <w:qFormat/>
    <w:rsid w:val="00AD158D"/>
    <w:pPr>
      <w:spacing w:after="0"/>
      <w:jc w:val="center"/>
      <w:outlineLvl w:val="0"/>
    </w:pPr>
    <w:rPr>
      <w:b/>
      <w:bCs/>
      <w:color w:val="1F3864" w:themeColor="accent1" w:themeShade="80"/>
      <w:sz w:val="36"/>
      <w:szCs w:val="36"/>
    </w:rPr>
  </w:style>
  <w:style w:type="paragraph" w:styleId="Heading2">
    <w:name w:val="heading 2"/>
    <w:basedOn w:val="Normal"/>
    <w:next w:val="Normal"/>
    <w:link w:val="Heading2Char"/>
    <w:uiPriority w:val="9"/>
    <w:unhideWhenUsed/>
    <w:qFormat/>
    <w:rsid w:val="000C3508"/>
    <w:pPr>
      <w:keepNext/>
      <w:keepLines/>
      <w:spacing w:before="40" w:after="0"/>
      <w:outlineLvl w:val="1"/>
    </w:pPr>
    <w:rPr>
      <w:rFonts w:eastAsiaTheme="majorEastAsia" w:cstheme="minorHAnsi"/>
      <w:b/>
      <w:bCs/>
      <w:color w:val="2F5496" w:themeColor="accent1" w:themeShade="BF"/>
      <w:sz w:val="26"/>
      <w:szCs w:val="26"/>
    </w:rPr>
  </w:style>
  <w:style w:type="paragraph" w:styleId="Heading3">
    <w:name w:val="heading 3"/>
    <w:basedOn w:val="Normal"/>
    <w:next w:val="Normal"/>
    <w:link w:val="Heading3Char"/>
    <w:uiPriority w:val="9"/>
    <w:unhideWhenUsed/>
    <w:qFormat/>
    <w:rsid w:val="002E4B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2E4B0D"/>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Alpha List Paragraph Char"/>
    <w:link w:val="ListParagraph"/>
    <w:uiPriority w:val="34"/>
    <w:qFormat/>
    <w:locked/>
    <w:rsid w:val="002E4B0D"/>
    <w:rPr>
      <w:rFonts w:ascii="Calibri" w:eastAsia="Times New Roman" w:hAnsi="Calibri" w:cs="Times New Roman"/>
      <w:kern w:val="0"/>
      <w14:ligatures w14:val="none"/>
    </w:rPr>
  </w:style>
  <w:style w:type="paragraph" w:customStyle="1" w:styleId="xmsonormal">
    <w:name w:val="x_msonormal"/>
    <w:basedOn w:val="Normal"/>
    <w:rsid w:val="002E4B0D"/>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2E4B0D"/>
    <w:rPr>
      <w:rFonts w:asciiTheme="majorHAnsi" w:eastAsiaTheme="majorEastAsia" w:hAnsiTheme="majorHAnsi" w:cstheme="majorBidi"/>
      <w:color w:val="1F3763" w:themeColor="accent1" w:themeShade="7F"/>
      <w:kern w:val="0"/>
      <w:sz w:val="24"/>
      <w:szCs w:val="24"/>
      <w14:ligatures w14:val="none"/>
    </w:rPr>
  </w:style>
  <w:style w:type="character" w:customStyle="1" w:styleId="xmsosubtlereference">
    <w:name w:val="x_msosubtlereference"/>
    <w:basedOn w:val="DefaultParagraphFont"/>
    <w:rsid w:val="002E4B0D"/>
    <w:rPr>
      <w:smallCaps/>
      <w:color w:val="5A5A5A"/>
    </w:rPr>
  </w:style>
  <w:style w:type="character" w:styleId="Hyperlink">
    <w:name w:val="Hyperlink"/>
    <w:basedOn w:val="DefaultParagraphFont"/>
    <w:uiPriority w:val="99"/>
    <w:unhideWhenUsed/>
    <w:rsid w:val="003146FF"/>
    <w:rPr>
      <w:color w:val="0563C1" w:themeColor="hyperlink"/>
      <w:u w:val="single"/>
    </w:rPr>
  </w:style>
  <w:style w:type="character" w:customStyle="1" w:styleId="Heading2Char">
    <w:name w:val="Heading 2 Char"/>
    <w:basedOn w:val="DefaultParagraphFont"/>
    <w:link w:val="Heading2"/>
    <w:uiPriority w:val="9"/>
    <w:rsid w:val="000C3508"/>
    <w:rPr>
      <w:rFonts w:eastAsiaTheme="majorEastAsia" w:cstheme="minorHAnsi"/>
      <w:b/>
      <w:bCs/>
      <w:color w:val="2F5496" w:themeColor="accent1" w:themeShade="BF"/>
      <w:kern w:val="0"/>
      <w:sz w:val="26"/>
      <w:szCs w:val="26"/>
      <w14:ligatures w14:val="none"/>
    </w:rPr>
  </w:style>
  <w:style w:type="paragraph" w:styleId="NormalWeb">
    <w:name w:val="Normal (Web)"/>
    <w:basedOn w:val="Normal"/>
    <w:uiPriority w:val="99"/>
    <w:unhideWhenUsed/>
    <w:rsid w:val="00C83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5013"/>
    <w:rPr>
      <w:sz w:val="16"/>
      <w:szCs w:val="16"/>
    </w:rPr>
  </w:style>
  <w:style w:type="paragraph" w:styleId="CommentText">
    <w:name w:val="annotation text"/>
    <w:basedOn w:val="Normal"/>
    <w:link w:val="CommentTextChar"/>
    <w:uiPriority w:val="99"/>
    <w:unhideWhenUsed/>
    <w:rsid w:val="00755013"/>
    <w:pPr>
      <w:spacing w:line="240" w:lineRule="auto"/>
    </w:pPr>
    <w:rPr>
      <w:sz w:val="20"/>
      <w:szCs w:val="20"/>
    </w:rPr>
  </w:style>
  <w:style w:type="character" w:customStyle="1" w:styleId="CommentTextChar">
    <w:name w:val="Comment Text Char"/>
    <w:basedOn w:val="DefaultParagraphFont"/>
    <w:link w:val="CommentText"/>
    <w:uiPriority w:val="99"/>
    <w:rsid w:val="0075501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5013"/>
    <w:rPr>
      <w:b/>
      <w:bCs/>
    </w:rPr>
  </w:style>
  <w:style w:type="character" w:customStyle="1" w:styleId="CommentSubjectChar">
    <w:name w:val="Comment Subject Char"/>
    <w:basedOn w:val="CommentTextChar"/>
    <w:link w:val="CommentSubject"/>
    <w:uiPriority w:val="99"/>
    <w:semiHidden/>
    <w:rsid w:val="00755013"/>
    <w:rPr>
      <w:b/>
      <w:bCs/>
      <w:kern w:val="0"/>
      <w:sz w:val="20"/>
      <w:szCs w:val="20"/>
      <w14:ligatures w14:val="none"/>
    </w:rPr>
  </w:style>
  <w:style w:type="paragraph" w:styleId="Revision">
    <w:name w:val="Revision"/>
    <w:hidden/>
    <w:uiPriority w:val="99"/>
    <w:semiHidden/>
    <w:rsid w:val="00755013"/>
    <w:pPr>
      <w:spacing w:after="0" w:line="240" w:lineRule="auto"/>
    </w:pPr>
    <w:rPr>
      <w:kern w:val="0"/>
      <w14:ligatures w14:val="none"/>
    </w:rPr>
  </w:style>
  <w:style w:type="character" w:customStyle="1" w:styleId="Heading1Char">
    <w:name w:val="Heading 1 Char"/>
    <w:basedOn w:val="DefaultParagraphFont"/>
    <w:link w:val="Heading1"/>
    <w:uiPriority w:val="9"/>
    <w:rsid w:val="00AD158D"/>
    <w:rPr>
      <w:b/>
      <w:bCs/>
      <w:color w:val="1F3864" w:themeColor="accent1" w:themeShade="80"/>
      <w:kern w:val="0"/>
      <w:sz w:val="36"/>
      <w:szCs w:val="36"/>
      <w14:ligatures w14:val="none"/>
    </w:rPr>
  </w:style>
  <w:style w:type="character" w:styleId="UnresolvedMention">
    <w:name w:val="Unresolved Mention"/>
    <w:basedOn w:val="DefaultParagraphFont"/>
    <w:uiPriority w:val="99"/>
    <w:semiHidden/>
    <w:unhideWhenUsed/>
    <w:rsid w:val="0001691F"/>
    <w:rPr>
      <w:color w:val="605E5C"/>
      <w:shd w:val="clear" w:color="auto" w:fill="E1DFDD"/>
    </w:rPr>
  </w:style>
  <w:style w:type="character" w:styleId="FollowedHyperlink">
    <w:name w:val="FollowedHyperlink"/>
    <w:basedOn w:val="DefaultParagraphFont"/>
    <w:uiPriority w:val="99"/>
    <w:semiHidden/>
    <w:unhideWhenUsed/>
    <w:rsid w:val="009F4698"/>
    <w:rPr>
      <w:color w:val="954F72" w:themeColor="followedHyperlink"/>
      <w:u w:val="single"/>
    </w:rPr>
  </w:style>
  <w:style w:type="paragraph" w:styleId="Header">
    <w:name w:val="header"/>
    <w:basedOn w:val="Normal"/>
    <w:link w:val="HeaderChar"/>
    <w:uiPriority w:val="99"/>
    <w:unhideWhenUsed/>
    <w:rsid w:val="000C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F2"/>
    <w:rPr>
      <w:kern w:val="0"/>
      <w14:ligatures w14:val="none"/>
    </w:rPr>
  </w:style>
  <w:style w:type="paragraph" w:styleId="Footer">
    <w:name w:val="footer"/>
    <w:basedOn w:val="Normal"/>
    <w:link w:val="FooterChar"/>
    <w:uiPriority w:val="99"/>
    <w:unhideWhenUsed/>
    <w:rsid w:val="000C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mass.gov/MassHealthAppoin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find-a-shine-counsel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A326B.BED8A7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02AE-BCB8-4D81-BD89-7C72E31DCE0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198</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Kathleen (EHS)</dc:creator>
  <cp:keywords/>
  <dc:description/>
  <cp:lastModifiedBy>Chaineda Sterling</cp:lastModifiedBy>
  <cp:revision>18</cp:revision>
  <dcterms:created xsi:type="dcterms:W3CDTF">2025-04-03T15:55:00Z</dcterms:created>
  <dcterms:modified xsi:type="dcterms:W3CDTF">2025-05-20T18:40:00Z</dcterms:modified>
</cp:coreProperties>
</file>