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2A6CB" w14:textId="77777777" w:rsidR="002E4B0D" w:rsidRPr="00126733" w:rsidRDefault="00854620" w:rsidP="00BC18DD">
      <w:pPr>
        <w:pStyle w:val="Heading1"/>
        <w:rPr>
          <w:lang w:val="es-419"/>
        </w:rPr>
      </w:pPr>
      <w:r w:rsidRPr="00126733">
        <w:rPr>
          <w:rFonts w:ascii="Calibri" w:eastAsia="Calibri" w:hAnsi="Calibri" w:cs="Times New Roman"/>
          <w:color w:val="1F3864"/>
          <w:lang w:val="es-419"/>
        </w:rPr>
        <w:t xml:space="preserve">Información útil sobre los </w:t>
      </w:r>
      <w:r w:rsidRPr="00126733">
        <w:rPr>
          <w:rFonts w:ascii="Calibri" w:eastAsia="Calibri" w:hAnsi="Calibri" w:cs="Times New Roman"/>
          <w:color w:val="1F3864"/>
          <w:lang w:val="es-419"/>
        </w:rPr>
        <w:br/>
        <w:t>Programas de Ahorros de Medicare (MSP)</w:t>
      </w:r>
    </w:p>
    <w:p w14:paraId="6565A68A" w14:textId="02934893" w:rsidR="002E4B0D" w:rsidRPr="00126733" w:rsidRDefault="00854620" w:rsidP="002E4B0D">
      <w:pPr>
        <w:tabs>
          <w:tab w:val="left" w:pos="180"/>
          <w:tab w:val="left" w:pos="3690"/>
        </w:tabs>
        <w:spacing w:before="240"/>
        <w:ind w:left="180" w:right="133"/>
        <w:rPr>
          <w:sz w:val="28"/>
          <w:szCs w:val="28"/>
          <w:lang w:val="es-419"/>
        </w:rPr>
      </w:pPr>
      <w:r w:rsidRPr="00126733">
        <w:rPr>
          <w:rFonts w:ascii="Calibri" w:eastAsia="Calibri" w:hAnsi="Calibri" w:cs="Times New Roman"/>
          <w:sz w:val="24"/>
          <w:szCs w:val="24"/>
          <w:lang w:val="es-419"/>
        </w:rPr>
        <w:t xml:space="preserve">¡Bienvenido a los Programas de Ahorros de Medicare (MSP)! Los MSP no son planes de seguro. Son programas administrados por MassHealth que pueden ayudarlo a reducir sus costos de </w:t>
      </w:r>
      <w:r w:rsidRPr="00126733">
        <w:rPr>
          <w:rFonts w:ascii="Calibri" w:eastAsia="Calibri" w:hAnsi="Calibri" w:cs="Times New Roman"/>
          <w:sz w:val="24"/>
          <w:szCs w:val="24"/>
          <w:lang w:val="es-419"/>
        </w:rPr>
        <w:t>Medicare. Hay dos niveles de beneficios según sus ingresos y el Nivel Federal de Pobreza (FPL), tal como se muestra en la tabla</w:t>
      </w:r>
      <w:r w:rsidR="003416B6" w:rsidRPr="00126733">
        <w:rPr>
          <w:rFonts w:ascii="Calibri" w:eastAsia="Calibri" w:hAnsi="Calibri" w:cs="Times New Roman"/>
          <w:sz w:val="24"/>
          <w:szCs w:val="24"/>
          <w:lang w:val="es-419"/>
        </w:rPr>
        <w:t>.</w:t>
      </w:r>
      <w:r w:rsidRPr="00126733">
        <w:rPr>
          <w:rFonts w:ascii="Calibri" w:eastAsia="Calibri" w:hAnsi="Calibri" w:cs="Times New Roman"/>
          <w:sz w:val="24"/>
          <w:szCs w:val="24"/>
          <w:lang w:val="es-419"/>
        </w:rPr>
        <w:t xml:space="preserve"> Estos niveles de los programas se conocen por sus iniciales: </w:t>
      </w:r>
      <w:r w:rsidRPr="00126733">
        <w:rPr>
          <w:rFonts w:ascii="Calibri" w:eastAsia="Calibri" w:hAnsi="Calibri" w:cs="Times New Roman"/>
          <w:b/>
          <w:bCs/>
          <w:color w:val="000000"/>
          <w:sz w:val="24"/>
          <w:szCs w:val="24"/>
          <w:lang w:val="es-419"/>
        </w:rPr>
        <w:t>QMB</w:t>
      </w:r>
      <w:r w:rsidRPr="00126733">
        <w:rPr>
          <w:rFonts w:ascii="Calibri" w:eastAsia="Calibri" w:hAnsi="Calibri" w:cs="Times New Roman"/>
          <w:color w:val="000000"/>
          <w:sz w:val="24"/>
          <w:szCs w:val="24"/>
          <w:lang w:val="es-419"/>
        </w:rPr>
        <w:t xml:space="preserve"> </w:t>
      </w:r>
      <w:r w:rsidRPr="00126733">
        <w:rPr>
          <w:rFonts w:ascii="Calibri" w:eastAsia="Calibri" w:hAnsi="Calibri" w:cs="Times New Roman"/>
          <w:color w:val="000000"/>
          <w:sz w:val="24"/>
          <w:szCs w:val="24"/>
          <w:lang w:val="es-419"/>
        </w:rPr>
        <w:t xml:space="preserve">(Medicare para los Beneficiarios Calificados), </w:t>
      </w:r>
      <w:r w:rsidRPr="00126733">
        <w:rPr>
          <w:rFonts w:ascii="Calibri" w:eastAsia="Calibri" w:hAnsi="Calibri" w:cs="Times New Roman"/>
          <w:sz w:val="24"/>
          <w:szCs w:val="24"/>
          <w:lang w:val="es-419"/>
        </w:rPr>
        <w:t>y</w:t>
      </w:r>
      <w:r w:rsidRPr="00126733">
        <w:rPr>
          <w:rFonts w:ascii="Calibri" w:eastAsia="Calibri" w:hAnsi="Calibri" w:cs="Times New Roman"/>
          <w:sz w:val="24"/>
          <w:szCs w:val="24"/>
          <w:lang w:val="es-419"/>
        </w:rPr>
        <w:t xml:space="preserve"> </w:t>
      </w:r>
      <w:r w:rsidRPr="00126733">
        <w:rPr>
          <w:rFonts w:ascii="Calibri" w:eastAsia="Calibri" w:hAnsi="Calibri" w:cs="Times New Roman"/>
          <w:b/>
          <w:bCs/>
          <w:color w:val="000000"/>
          <w:sz w:val="24"/>
          <w:szCs w:val="24"/>
          <w:lang w:val="es-419"/>
        </w:rPr>
        <w:t>SLMB</w:t>
      </w:r>
      <w:r w:rsidRPr="00126733">
        <w:rPr>
          <w:rFonts w:ascii="Calibri" w:eastAsia="Calibri" w:hAnsi="Calibri" w:cs="Times New Roman"/>
          <w:color w:val="000000"/>
          <w:sz w:val="24"/>
          <w:szCs w:val="24"/>
          <w:lang w:val="es-419"/>
        </w:rPr>
        <w:t xml:space="preserve"> </w:t>
      </w:r>
      <w:r w:rsidRPr="00126733">
        <w:rPr>
          <w:rFonts w:ascii="Calibri" w:eastAsia="Calibri" w:hAnsi="Calibri" w:cs="Times New Roman"/>
          <w:sz w:val="24"/>
          <w:szCs w:val="24"/>
          <w:lang w:val="es-419"/>
        </w:rPr>
        <w:t>(Medicare para los Beneficiarios de Bajos Ingresos) o</w:t>
      </w:r>
      <w:r w:rsidRPr="00126733">
        <w:rPr>
          <w:rFonts w:ascii="Calibri" w:eastAsia="Calibri" w:hAnsi="Calibri" w:cs="Times New Roman"/>
          <w:sz w:val="24"/>
          <w:szCs w:val="24"/>
          <w:lang w:val="es-419"/>
        </w:rPr>
        <w:t xml:space="preserve"> </w:t>
      </w:r>
      <w:r w:rsidRPr="00126733">
        <w:rPr>
          <w:rFonts w:ascii="Calibri" w:eastAsia="Calibri" w:hAnsi="Calibri" w:cs="Times New Roman"/>
          <w:b/>
          <w:bCs/>
          <w:color w:val="000000"/>
          <w:sz w:val="24"/>
          <w:szCs w:val="24"/>
          <w:lang w:val="es-419"/>
        </w:rPr>
        <w:t>QI</w:t>
      </w:r>
      <w:r w:rsidRPr="00126733">
        <w:rPr>
          <w:rFonts w:ascii="Calibri" w:eastAsia="Calibri" w:hAnsi="Calibri" w:cs="Times New Roman"/>
          <w:color w:val="000000"/>
          <w:sz w:val="24"/>
          <w:szCs w:val="24"/>
          <w:lang w:val="es-419"/>
        </w:rPr>
        <w:t xml:space="preserve"> </w:t>
      </w:r>
      <w:r w:rsidRPr="00126733">
        <w:rPr>
          <w:rFonts w:ascii="Calibri" w:eastAsia="Calibri" w:hAnsi="Calibri" w:cs="Times New Roman"/>
          <w:color w:val="000000"/>
          <w:sz w:val="24"/>
          <w:szCs w:val="24"/>
          <w:lang w:val="es-419"/>
        </w:rPr>
        <w:t>(Medicare para los Individuos Calificados)</w:t>
      </w:r>
      <w:r w:rsidRPr="00126733">
        <w:rPr>
          <w:rFonts w:ascii="Calibri" w:eastAsia="Calibri" w:hAnsi="Calibri" w:cs="Times New Roman"/>
          <w:sz w:val="28"/>
          <w:szCs w:val="28"/>
          <w:lang w:val="es-419"/>
        </w:rPr>
        <w:t>.</w:t>
      </w:r>
    </w:p>
    <w:tbl>
      <w:tblPr>
        <w:tblW w:w="6558" w:type="dxa"/>
        <w:tblInd w:w="1262"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588"/>
        <w:gridCol w:w="2970"/>
      </w:tblGrid>
      <w:tr w:rsidR="006B32C3" w:rsidRPr="00126733" w14:paraId="1B8390D5" w14:textId="77777777" w:rsidTr="00391DF8">
        <w:trPr>
          <w:trHeight w:val="287"/>
        </w:trPr>
        <w:tc>
          <w:tcPr>
            <w:tcW w:w="3588" w:type="dxa"/>
            <w:shd w:val="clear" w:color="auto" w:fill="FFFFFF"/>
            <w:tcMar>
              <w:top w:w="0" w:type="dxa"/>
              <w:left w:w="108" w:type="dxa"/>
              <w:bottom w:w="0" w:type="dxa"/>
              <w:right w:w="108" w:type="dxa"/>
            </w:tcMar>
            <w:vAlign w:val="bottom"/>
            <w:hideMark/>
          </w:tcPr>
          <w:p w14:paraId="07B2F273" w14:textId="475231B0" w:rsidR="00B763E5" w:rsidRPr="00126733" w:rsidRDefault="00854620" w:rsidP="00653A6C">
            <w:pPr>
              <w:pStyle w:val="xmsonormal"/>
              <w:spacing w:after="120" w:line="276" w:lineRule="auto"/>
              <w:jc w:val="center"/>
              <w:rPr>
                <w:lang w:val="es-419"/>
              </w:rPr>
            </w:pPr>
            <w:r w:rsidRPr="00126733">
              <w:rPr>
                <w:rFonts w:eastAsia="Calibri"/>
                <w:b/>
                <w:bCs/>
                <w:color w:val="000000"/>
                <w:lang w:val="es-419"/>
              </w:rPr>
              <w:t xml:space="preserve">Si </w:t>
            </w:r>
            <w:r w:rsidRPr="00126733">
              <w:rPr>
                <w:rFonts w:eastAsia="Calibri"/>
                <w:b/>
                <w:bCs/>
                <w:lang w:val="es-419"/>
              </w:rPr>
              <w:t>sus</w:t>
            </w:r>
            <w:r w:rsidRPr="00126733">
              <w:rPr>
                <w:rFonts w:eastAsia="Calibri"/>
                <w:b/>
                <w:bCs/>
                <w:color w:val="000000"/>
                <w:lang w:val="es-419"/>
              </w:rPr>
              <w:t xml:space="preserve"> ingresos mensuales </w:t>
            </w:r>
            <w:r w:rsidR="00DF62E5" w:rsidRPr="00126733">
              <w:rPr>
                <w:rFonts w:eastAsia="Calibri"/>
                <w:b/>
                <w:bCs/>
                <w:color w:val="000000"/>
                <w:lang w:val="es-419"/>
              </w:rPr>
              <w:t>son</w:t>
            </w:r>
            <w:r w:rsidRPr="00126733">
              <w:rPr>
                <w:rFonts w:eastAsia="Calibri"/>
                <w:b/>
                <w:bCs/>
                <w:color w:val="000000"/>
                <w:lang w:val="es-419"/>
              </w:rPr>
              <w:t>*</w:t>
            </w:r>
          </w:p>
        </w:tc>
        <w:tc>
          <w:tcPr>
            <w:tcW w:w="2970" w:type="dxa"/>
            <w:tcBorders>
              <w:right w:val="single" w:sz="8" w:space="0" w:color="auto"/>
            </w:tcBorders>
            <w:shd w:val="clear" w:color="auto" w:fill="FFFFFF"/>
            <w:tcMar>
              <w:top w:w="0" w:type="dxa"/>
              <w:left w:w="108" w:type="dxa"/>
              <w:bottom w:w="0" w:type="dxa"/>
              <w:right w:w="108" w:type="dxa"/>
            </w:tcMar>
            <w:vAlign w:val="bottom"/>
            <w:hideMark/>
          </w:tcPr>
          <w:p w14:paraId="770BD1FB" w14:textId="77777777" w:rsidR="00B763E5" w:rsidRPr="00126733" w:rsidRDefault="00854620" w:rsidP="00653A6C">
            <w:pPr>
              <w:pStyle w:val="xmsonormal"/>
              <w:spacing w:after="120" w:line="276" w:lineRule="auto"/>
              <w:jc w:val="center"/>
              <w:rPr>
                <w:lang w:val="es-419"/>
              </w:rPr>
            </w:pPr>
            <w:r w:rsidRPr="00126733">
              <w:rPr>
                <w:rFonts w:eastAsia="Calibri"/>
                <w:b/>
                <w:bCs/>
                <w:color w:val="000000"/>
                <w:lang w:val="es-419"/>
              </w:rPr>
              <w:t>Puede obtener</w:t>
            </w:r>
          </w:p>
        </w:tc>
      </w:tr>
      <w:tr w:rsidR="006B32C3" w:rsidRPr="00126733" w14:paraId="615EA2DC" w14:textId="77777777" w:rsidTr="00391DF8">
        <w:trPr>
          <w:trHeight w:val="287"/>
        </w:trPr>
        <w:tc>
          <w:tcPr>
            <w:tcW w:w="3588" w:type="dxa"/>
            <w:shd w:val="clear" w:color="auto" w:fill="FFFFFF"/>
            <w:tcMar>
              <w:top w:w="0" w:type="dxa"/>
              <w:left w:w="108" w:type="dxa"/>
              <w:bottom w:w="0" w:type="dxa"/>
              <w:right w:w="108" w:type="dxa"/>
            </w:tcMar>
            <w:vAlign w:val="bottom"/>
            <w:hideMark/>
          </w:tcPr>
          <w:p w14:paraId="2157FE97" w14:textId="54673EF1" w:rsidR="00B763E5" w:rsidRPr="00126733" w:rsidRDefault="00DF62E5" w:rsidP="00BA4A76">
            <w:pPr>
              <w:pStyle w:val="xmsonormal"/>
              <w:spacing w:after="120" w:line="276" w:lineRule="auto"/>
              <w:jc w:val="center"/>
              <w:rPr>
                <w:lang w:val="es-419"/>
              </w:rPr>
            </w:pPr>
            <w:r w:rsidRPr="00126733">
              <w:rPr>
                <w:rFonts w:eastAsia="Calibri"/>
                <w:lang w:val="es-419"/>
              </w:rPr>
              <w:t>Inferiores o iguales al 190</w:t>
            </w:r>
            <w:r w:rsidR="003416B6" w:rsidRPr="00126733">
              <w:rPr>
                <w:rFonts w:eastAsia="Calibri"/>
                <w:lang w:val="es-419"/>
              </w:rPr>
              <w:t> </w:t>
            </w:r>
            <w:r w:rsidRPr="00126733">
              <w:rPr>
                <w:rFonts w:eastAsia="Calibri"/>
                <w:lang w:val="es-419"/>
              </w:rPr>
              <w:t>% del FPL</w:t>
            </w:r>
          </w:p>
        </w:tc>
        <w:tc>
          <w:tcPr>
            <w:tcW w:w="2970" w:type="dxa"/>
            <w:tcBorders>
              <w:right w:val="single" w:sz="8" w:space="0" w:color="auto"/>
            </w:tcBorders>
            <w:shd w:val="clear" w:color="auto" w:fill="FFFFFF"/>
            <w:tcMar>
              <w:top w:w="0" w:type="dxa"/>
              <w:left w:w="108" w:type="dxa"/>
              <w:bottom w:w="0" w:type="dxa"/>
              <w:right w:w="108" w:type="dxa"/>
            </w:tcMar>
            <w:vAlign w:val="bottom"/>
            <w:hideMark/>
          </w:tcPr>
          <w:p w14:paraId="47CEBE12" w14:textId="77777777" w:rsidR="00B763E5" w:rsidRPr="00126733" w:rsidRDefault="00854620" w:rsidP="00BA4A76">
            <w:pPr>
              <w:pStyle w:val="xmsonormal"/>
              <w:spacing w:after="120" w:line="276" w:lineRule="auto"/>
              <w:jc w:val="center"/>
              <w:rPr>
                <w:lang w:val="es-419"/>
              </w:rPr>
            </w:pPr>
            <w:r w:rsidRPr="00126733">
              <w:rPr>
                <w:rFonts w:eastAsia="Calibri"/>
                <w:lang w:val="es-419"/>
              </w:rPr>
              <w:t>QMB</w:t>
            </w:r>
          </w:p>
        </w:tc>
      </w:tr>
      <w:tr w:rsidR="006B32C3" w:rsidRPr="00126733" w14:paraId="26E9CC1B" w14:textId="77777777" w:rsidTr="00391DF8">
        <w:trPr>
          <w:trHeight w:val="287"/>
        </w:trPr>
        <w:tc>
          <w:tcPr>
            <w:tcW w:w="3588" w:type="dxa"/>
            <w:shd w:val="clear" w:color="auto" w:fill="FFFFFF"/>
            <w:tcMar>
              <w:top w:w="0" w:type="dxa"/>
              <w:left w:w="108" w:type="dxa"/>
              <w:bottom w:w="0" w:type="dxa"/>
              <w:right w:w="108" w:type="dxa"/>
            </w:tcMar>
            <w:vAlign w:val="bottom"/>
          </w:tcPr>
          <w:p w14:paraId="069AC876" w14:textId="0B1CEEEB" w:rsidR="00B763E5" w:rsidRPr="00126733" w:rsidRDefault="00DF62E5" w:rsidP="00422E3A">
            <w:pPr>
              <w:pStyle w:val="xmsonormal"/>
              <w:spacing w:after="120" w:line="276" w:lineRule="auto"/>
              <w:jc w:val="center"/>
              <w:rPr>
                <w:lang w:val="es-419"/>
              </w:rPr>
            </w:pPr>
            <w:r w:rsidRPr="00126733">
              <w:rPr>
                <w:rFonts w:eastAsia="Calibri"/>
                <w:lang w:val="es-419"/>
              </w:rPr>
              <w:t>Superiores al 190</w:t>
            </w:r>
            <w:r w:rsidR="003416B6" w:rsidRPr="00126733">
              <w:rPr>
                <w:rFonts w:eastAsia="Calibri"/>
                <w:lang w:val="es-419"/>
              </w:rPr>
              <w:t> </w:t>
            </w:r>
            <w:r w:rsidRPr="00126733">
              <w:rPr>
                <w:rFonts w:eastAsia="Calibri"/>
                <w:lang w:val="es-419"/>
              </w:rPr>
              <w:t>% del FPL, e inferiores o iguales al 225 % del FPL</w:t>
            </w:r>
          </w:p>
        </w:tc>
        <w:tc>
          <w:tcPr>
            <w:tcW w:w="2970" w:type="dxa"/>
            <w:tcBorders>
              <w:right w:val="single" w:sz="8" w:space="0" w:color="auto"/>
            </w:tcBorders>
            <w:shd w:val="clear" w:color="auto" w:fill="FFFFFF"/>
            <w:tcMar>
              <w:top w:w="0" w:type="dxa"/>
              <w:left w:w="108" w:type="dxa"/>
              <w:bottom w:w="0" w:type="dxa"/>
              <w:right w:w="108" w:type="dxa"/>
            </w:tcMar>
            <w:vAlign w:val="bottom"/>
          </w:tcPr>
          <w:p w14:paraId="7B0917FA" w14:textId="77777777" w:rsidR="00B763E5" w:rsidRPr="00126733" w:rsidRDefault="00854620" w:rsidP="00BA4A76">
            <w:pPr>
              <w:pStyle w:val="xmsonormal"/>
              <w:spacing w:after="120" w:line="276" w:lineRule="auto"/>
              <w:jc w:val="center"/>
              <w:rPr>
                <w:lang w:val="es-419"/>
              </w:rPr>
            </w:pPr>
            <w:r w:rsidRPr="00126733">
              <w:rPr>
                <w:rFonts w:eastAsia="Calibri"/>
                <w:lang w:val="es-419"/>
              </w:rPr>
              <w:t>SLMB/QI</w:t>
            </w:r>
          </w:p>
        </w:tc>
      </w:tr>
    </w:tbl>
    <w:p w14:paraId="7247EC11" w14:textId="77777777" w:rsidR="00CA2898" w:rsidRPr="00126733" w:rsidRDefault="00854620" w:rsidP="00A006FB">
      <w:pPr>
        <w:ind w:left="288" w:hanging="288"/>
        <w:rPr>
          <w:sz w:val="20"/>
          <w:szCs w:val="20"/>
          <w:lang w:val="es-419"/>
        </w:rPr>
      </w:pPr>
      <w:r w:rsidRPr="00126733">
        <w:rPr>
          <w:rFonts w:ascii="Calibri" w:eastAsia="Calibri" w:hAnsi="Calibri" w:cs="Times New Roman"/>
          <w:sz w:val="20"/>
          <w:szCs w:val="20"/>
          <w:lang w:val="es-419"/>
        </w:rPr>
        <w:t>*</w:t>
      </w:r>
      <w:r w:rsidRPr="00126733">
        <w:rPr>
          <w:rFonts w:ascii="Calibri" w:eastAsia="Calibri" w:hAnsi="Calibri" w:cs="Times New Roman"/>
          <w:sz w:val="20"/>
          <w:szCs w:val="20"/>
          <w:lang w:val="es-419"/>
        </w:rPr>
        <w:tab/>
        <w:t xml:space="preserve">Los topes de ingresos cambian todos los años el 1 de marzo. Puede encontrar los límites actuales del FPL en nuestro sitio web en </w:t>
      </w:r>
      <w:hyperlink r:id="rId8" w:history="1">
        <w:r w:rsidR="00CA2898" w:rsidRPr="00126733">
          <w:rPr>
            <w:rFonts w:ascii="Calibri" w:eastAsia="Calibri" w:hAnsi="Calibri" w:cs="Times New Roman"/>
            <w:color w:val="0563C1"/>
            <w:sz w:val="20"/>
            <w:szCs w:val="20"/>
            <w:u w:val="single"/>
            <w:lang w:val="es-419"/>
          </w:rPr>
          <w:t>www.mass.gov/info-details/program-financial-guidelines-for-certain-masshealth-applicants-and-members</w:t>
        </w:r>
      </w:hyperlink>
      <w:r w:rsidRPr="00126733">
        <w:rPr>
          <w:rFonts w:ascii="Calibri" w:eastAsia="Calibri" w:hAnsi="Calibri" w:cs="Times New Roman"/>
          <w:sz w:val="20"/>
          <w:szCs w:val="20"/>
          <w:lang w:val="es-419"/>
        </w:rPr>
        <w:t>.</w:t>
      </w:r>
    </w:p>
    <w:p w14:paraId="4C383439" w14:textId="77777777" w:rsidR="00967EA0" w:rsidRPr="00126733" w:rsidRDefault="00854620" w:rsidP="000C3508">
      <w:pPr>
        <w:pStyle w:val="Heading2"/>
        <w:rPr>
          <w:lang w:val="es-419"/>
        </w:rPr>
      </w:pPr>
      <w:r w:rsidRPr="00126733">
        <w:rPr>
          <w:rFonts w:ascii="Calibri" w:eastAsia="Calibri" w:hAnsi="Calibri" w:cs="Calibri"/>
          <w:color w:val="2F5496"/>
          <w:lang w:val="es-419"/>
        </w:rPr>
        <w:t>Beneficios de los QMB y SLMB/QI</w:t>
      </w:r>
    </w:p>
    <w:p w14:paraId="233845DA" w14:textId="77777777" w:rsidR="00653A6C" w:rsidRPr="00126733" w:rsidRDefault="00854620" w:rsidP="00975201">
      <w:pPr>
        <w:spacing w:after="0"/>
        <w:rPr>
          <w:lang w:val="es-419"/>
        </w:rPr>
      </w:pPr>
      <w:r w:rsidRPr="00126733">
        <w:rPr>
          <w:rFonts w:ascii="Calibri" w:eastAsia="Calibri" w:hAnsi="Calibri" w:cs="Times New Roman"/>
          <w:lang w:val="es-419"/>
        </w:rPr>
        <w:t>El nivel de los beneficios que puede obtener depende de sus ingresos y del FPL. Esta tabla muestra qué pueden hacer por usted estos programas.</w:t>
      </w:r>
    </w:p>
    <w:p w14:paraId="40DC7930" w14:textId="77777777" w:rsidR="00A763F7" w:rsidRPr="00126733" w:rsidRDefault="00A763F7" w:rsidP="001B200E">
      <w:pPr>
        <w:spacing w:after="0"/>
        <w:ind w:left="288" w:hanging="288"/>
        <w:rPr>
          <w:lang w:val="es-419"/>
        </w:rPr>
      </w:pPr>
    </w:p>
    <w:tbl>
      <w:tblPr>
        <w:tblW w:w="93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034"/>
        <w:gridCol w:w="2158"/>
        <w:gridCol w:w="2158"/>
      </w:tblGrid>
      <w:tr w:rsidR="00391DF8" w:rsidRPr="00126733" w14:paraId="7A8485FB" w14:textId="77777777" w:rsidTr="00391DF8">
        <w:trPr>
          <w:cantSplit/>
        </w:trPr>
        <w:tc>
          <w:tcPr>
            <w:tcW w:w="5040" w:type="dxa"/>
            <w:shd w:val="clear" w:color="auto" w:fill="FFFFFF"/>
            <w:tcMar>
              <w:top w:w="0" w:type="dxa"/>
              <w:left w:w="108" w:type="dxa"/>
              <w:bottom w:w="0" w:type="dxa"/>
              <w:right w:w="108" w:type="dxa"/>
            </w:tcMar>
            <w:hideMark/>
          </w:tcPr>
          <w:p w14:paraId="6521FABB" w14:textId="77777777" w:rsidR="002E4B0D" w:rsidRPr="00126733" w:rsidRDefault="00854620" w:rsidP="00513F54">
            <w:pPr>
              <w:pStyle w:val="xmsonormal"/>
              <w:spacing w:after="120" w:line="276" w:lineRule="auto"/>
              <w:jc w:val="center"/>
              <w:rPr>
                <w:lang w:val="es-419"/>
              </w:rPr>
            </w:pPr>
            <w:r w:rsidRPr="00126733">
              <w:rPr>
                <w:rFonts w:eastAsia="Calibri"/>
                <w:b/>
                <w:bCs/>
                <w:color w:val="000000"/>
                <w:lang w:val="es-419"/>
              </w:rPr>
              <w:t>Beneficios</w:t>
            </w:r>
          </w:p>
        </w:tc>
        <w:tc>
          <w:tcPr>
            <w:tcW w:w="2160" w:type="dxa"/>
            <w:shd w:val="clear" w:color="auto" w:fill="FFFFFF"/>
            <w:tcMar>
              <w:top w:w="0" w:type="dxa"/>
              <w:left w:w="108" w:type="dxa"/>
              <w:bottom w:w="0" w:type="dxa"/>
              <w:right w:w="108" w:type="dxa"/>
            </w:tcMar>
            <w:hideMark/>
          </w:tcPr>
          <w:p w14:paraId="639CBF08" w14:textId="77777777" w:rsidR="002E4B0D" w:rsidRPr="00126733" w:rsidRDefault="00854620" w:rsidP="00513F54">
            <w:pPr>
              <w:pStyle w:val="xmsonormal"/>
              <w:spacing w:after="120" w:line="276" w:lineRule="auto"/>
              <w:jc w:val="center"/>
              <w:rPr>
                <w:lang w:val="es-419"/>
              </w:rPr>
            </w:pPr>
            <w:r w:rsidRPr="00126733">
              <w:rPr>
                <w:rFonts w:eastAsia="Calibri"/>
                <w:b/>
                <w:bCs/>
                <w:color w:val="000000"/>
                <w:lang w:val="es-419"/>
              </w:rPr>
              <w:t>QMB</w:t>
            </w:r>
          </w:p>
        </w:tc>
        <w:tc>
          <w:tcPr>
            <w:tcW w:w="2160" w:type="dxa"/>
            <w:shd w:val="clear" w:color="auto" w:fill="FFFFFF"/>
            <w:tcMar>
              <w:top w:w="0" w:type="dxa"/>
              <w:left w:w="108" w:type="dxa"/>
              <w:bottom w:w="0" w:type="dxa"/>
              <w:right w:w="108" w:type="dxa"/>
            </w:tcMar>
            <w:hideMark/>
          </w:tcPr>
          <w:p w14:paraId="0F5993B7" w14:textId="77777777" w:rsidR="002E4B0D" w:rsidRPr="00126733" w:rsidRDefault="00854620" w:rsidP="00513F54">
            <w:pPr>
              <w:pStyle w:val="xmsonormal"/>
              <w:spacing w:after="120" w:line="276" w:lineRule="auto"/>
              <w:jc w:val="center"/>
              <w:rPr>
                <w:lang w:val="es-419"/>
              </w:rPr>
            </w:pPr>
            <w:r w:rsidRPr="00126733">
              <w:rPr>
                <w:rFonts w:eastAsia="Calibri"/>
                <w:b/>
                <w:bCs/>
                <w:color w:val="000000"/>
                <w:lang w:val="es-419"/>
              </w:rPr>
              <w:t>SLMB/QI</w:t>
            </w:r>
          </w:p>
        </w:tc>
      </w:tr>
      <w:tr w:rsidR="006B32C3" w:rsidRPr="00126733" w14:paraId="620E89CF" w14:textId="77777777" w:rsidTr="00854620">
        <w:trPr>
          <w:cantSplit/>
          <w:trHeight w:val="583"/>
        </w:trPr>
        <w:tc>
          <w:tcPr>
            <w:tcW w:w="5040" w:type="dxa"/>
            <w:shd w:val="clear" w:color="auto" w:fill="FFFFFF"/>
            <w:tcMar>
              <w:top w:w="0" w:type="dxa"/>
              <w:left w:w="108" w:type="dxa"/>
              <w:bottom w:w="0" w:type="dxa"/>
              <w:right w:w="108" w:type="dxa"/>
            </w:tcMar>
            <w:vAlign w:val="center"/>
            <w:hideMark/>
          </w:tcPr>
          <w:p w14:paraId="4914D85B" w14:textId="77777777" w:rsidR="002E4B0D" w:rsidRPr="00126733" w:rsidRDefault="00854620" w:rsidP="00513F54">
            <w:pPr>
              <w:pStyle w:val="xmsonormal"/>
              <w:spacing w:after="120" w:line="276" w:lineRule="auto"/>
              <w:rPr>
                <w:rFonts w:asciiTheme="minorHAnsi" w:hAnsiTheme="minorHAnsi" w:cstheme="minorHAnsi"/>
                <w:lang w:val="es-419"/>
              </w:rPr>
            </w:pPr>
            <w:r w:rsidRPr="00126733">
              <w:rPr>
                <w:rFonts w:eastAsia="Calibri"/>
                <w:color w:val="000000"/>
                <w:lang w:val="es-419"/>
              </w:rPr>
              <w:t>Paga la prima de la Parte A de Medicare.</w:t>
            </w:r>
          </w:p>
        </w:tc>
        <w:tc>
          <w:tcPr>
            <w:tcW w:w="2160" w:type="dxa"/>
            <w:shd w:val="clear" w:color="auto" w:fill="FFFFFF"/>
            <w:tcMar>
              <w:top w:w="0" w:type="dxa"/>
              <w:left w:w="108" w:type="dxa"/>
              <w:bottom w:w="0" w:type="dxa"/>
              <w:right w:w="108" w:type="dxa"/>
            </w:tcMar>
            <w:vAlign w:val="bottom"/>
            <w:hideMark/>
          </w:tcPr>
          <w:p w14:paraId="3FBD03BC" w14:textId="77777777" w:rsidR="002E4B0D" w:rsidRPr="00126733" w:rsidRDefault="00854620" w:rsidP="00653A6C">
            <w:pPr>
              <w:pStyle w:val="xmsonormal"/>
              <w:spacing w:after="120" w:line="276" w:lineRule="auto"/>
              <w:jc w:val="center"/>
              <w:rPr>
                <w:lang w:val="es-419"/>
              </w:rPr>
            </w:pPr>
            <w:r w:rsidRPr="00126733">
              <w:rPr>
                <w:b/>
                <w:bCs/>
                <w:color w:val="000000"/>
                <w:lang w:val="es-419"/>
              </w:rPr>
              <w:drawing>
                <wp:inline distT="0" distB="0" distL="0" distR="0" wp14:anchorId="2AD20026" wp14:editId="555C8B1E">
                  <wp:extent cx="219075" cy="342900"/>
                  <wp:effectExtent l="0" t="0" r="9525" b="0"/>
                  <wp:docPr id="1904988685" name="Picture 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988685" name="Picture 1" descr="Checkmark with solid fill"/>
                          <pic:cNvPicPr>
                            <a:picLocks noChangeAspect="1" noChangeArrowheads="1"/>
                          </pic:cNvPicPr>
                        </pic:nvPicPr>
                        <pic:blipFill>
                          <a:blip r:embed="rId9" r:link="rId10" cstate="print">
                            <a:extLst>
                              <a:ext uri="{28A0092B-C50C-407E-A947-70E740481C1C}">
                                <a14:useLocalDpi xmlns:a14="http://schemas.microsoft.com/office/drawing/2010/main" val="0"/>
                              </a:ext>
                            </a:extLst>
                          </a:blip>
                          <a:stretch>
                            <a:fillRect/>
                          </a:stretch>
                        </pic:blipFill>
                        <pic:spPr bwMode="auto">
                          <a:xfrm>
                            <a:off x="0" y="0"/>
                            <a:ext cx="219075" cy="342900"/>
                          </a:xfrm>
                          <a:prstGeom prst="rect">
                            <a:avLst/>
                          </a:prstGeom>
                          <a:noFill/>
                          <a:ln>
                            <a:noFill/>
                          </a:ln>
                        </pic:spPr>
                      </pic:pic>
                    </a:graphicData>
                  </a:graphic>
                </wp:inline>
              </w:drawing>
            </w:r>
          </w:p>
        </w:tc>
        <w:tc>
          <w:tcPr>
            <w:tcW w:w="2160" w:type="dxa"/>
            <w:shd w:val="clear" w:color="auto" w:fill="FFFFFF"/>
            <w:tcMar>
              <w:top w:w="0" w:type="dxa"/>
              <w:left w:w="108" w:type="dxa"/>
              <w:bottom w:w="0" w:type="dxa"/>
              <w:right w:w="108" w:type="dxa"/>
            </w:tcMar>
            <w:vAlign w:val="bottom"/>
            <w:hideMark/>
          </w:tcPr>
          <w:p w14:paraId="5145139F" w14:textId="77777777" w:rsidR="002E4B0D" w:rsidRPr="00126733" w:rsidRDefault="002E4B0D" w:rsidP="00653A6C">
            <w:pPr>
              <w:pStyle w:val="xmsonormal"/>
              <w:spacing w:after="120" w:line="276" w:lineRule="auto"/>
              <w:jc w:val="center"/>
              <w:rPr>
                <w:lang w:val="es-419"/>
              </w:rPr>
            </w:pPr>
          </w:p>
        </w:tc>
      </w:tr>
      <w:tr w:rsidR="006B32C3" w:rsidRPr="00126733" w14:paraId="21CC714B" w14:textId="77777777" w:rsidTr="00854620">
        <w:trPr>
          <w:cantSplit/>
          <w:trHeight w:val="493"/>
        </w:trPr>
        <w:tc>
          <w:tcPr>
            <w:tcW w:w="5040" w:type="dxa"/>
            <w:shd w:val="clear" w:color="auto" w:fill="FFFFFF"/>
            <w:tcMar>
              <w:top w:w="0" w:type="dxa"/>
              <w:left w:w="108" w:type="dxa"/>
              <w:bottom w:w="0" w:type="dxa"/>
              <w:right w:w="108" w:type="dxa"/>
            </w:tcMar>
            <w:vAlign w:val="center"/>
          </w:tcPr>
          <w:p w14:paraId="62C9BC3D" w14:textId="77777777" w:rsidR="002E4B0D" w:rsidRPr="00126733" w:rsidRDefault="00854620" w:rsidP="00513F54">
            <w:pPr>
              <w:keepNext/>
              <w:keepLines/>
              <w:spacing w:after="120"/>
              <w:rPr>
                <w:rFonts w:cstheme="minorHAnsi"/>
                <w:color w:val="000000"/>
                <w:lang w:val="es-419"/>
              </w:rPr>
            </w:pPr>
            <w:r w:rsidRPr="00126733">
              <w:rPr>
                <w:rFonts w:ascii="Calibri" w:eastAsia="Calibri" w:hAnsi="Calibri" w:cs="Calibri"/>
                <w:color w:val="000000"/>
                <w:lang w:val="es-419"/>
              </w:rPr>
              <w:t>Paga la prima de la Parte B de Medicare.</w:t>
            </w:r>
          </w:p>
        </w:tc>
        <w:tc>
          <w:tcPr>
            <w:tcW w:w="2160" w:type="dxa"/>
            <w:shd w:val="clear" w:color="auto" w:fill="FFFFFF"/>
            <w:tcMar>
              <w:top w:w="0" w:type="dxa"/>
              <w:left w:w="108" w:type="dxa"/>
              <w:bottom w:w="0" w:type="dxa"/>
              <w:right w:w="108" w:type="dxa"/>
            </w:tcMar>
            <w:vAlign w:val="bottom"/>
          </w:tcPr>
          <w:p w14:paraId="70475B88" w14:textId="77777777" w:rsidR="002E4B0D" w:rsidRPr="00126733" w:rsidRDefault="00854620" w:rsidP="00653A6C">
            <w:pPr>
              <w:pStyle w:val="xmsonormal"/>
              <w:spacing w:after="120" w:line="276" w:lineRule="auto"/>
              <w:jc w:val="center"/>
              <w:rPr>
                <w:b/>
                <w:bCs/>
                <w:color w:val="000000"/>
                <w:lang w:val="es-419"/>
              </w:rPr>
            </w:pPr>
            <w:r w:rsidRPr="00126733">
              <w:rPr>
                <w:b/>
                <w:bCs/>
                <w:color w:val="000000"/>
                <w:lang w:val="es-419"/>
              </w:rPr>
              <w:drawing>
                <wp:inline distT="0" distB="0" distL="0" distR="0" wp14:anchorId="5A51EB84" wp14:editId="13C51D31">
                  <wp:extent cx="219075" cy="342900"/>
                  <wp:effectExtent l="0" t="0" r="9525" b="0"/>
                  <wp:docPr id="1340411459" name="Picture 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411459" name="Picture 13" descr="Checkmark with solid fill"/>
                          <pic:cNvPicPr>
                            <a:picLocks noChangeAspect="1" noChangeArrowheads="1"/>
                          </pic:cNvPicPr>
                        </pic:nvPicPr>
                        <pic:blipFill>
                          <a:blip r:embed="rId9" r:link="rId10" cstate="print">
                            <a:extLst>
                              <a:ext uri="{28A0092B-C50C-407E-A947-70E740481C1C}">
                                <a14:useLocalDpi xmlns:a14="http://schemas.microsoft.com/office/drawing/2010/main" val="0"/>
                              </a:ext>
                            </a:extLst>
                          </a:blip>
                          <a:stretch>
                            <a:fillRect/>
                          </a:stretch>
                        </pic:blipFill>
                        <pic:spPr bwMode="auto">
                          <a:xfrm>
                            <a:off x="0" y="0"/>
                            <a:ext cx="219075" cy="342900"/>
                          </a:xfrm>
                          <a:prstGeom prst="rect">
                            <a:avLst/>
                          </a:prstGeom>
                          <a:noFill/>
                          <a:ln>
                            <a:noFill/>
                          </a:ln>
                        </pic:spPr>
                      </pic:pic>
                    </a:graphicData>
                  </a:graphic>
                </wp:inline>
              </w:drawing>
            </w:r>
          </w:p>
        </w:tc>
        <w:tc>
          <w:tcPr>
            <w:tcW w:w="2160" w:type="dxa"/>
            <w:shd w:val="clear" w:color="auto" w:fill="FFFFFF"/>
            <w:tcMar>
              <w:top w:w="0" w:type="dxa"/>
              <w:left w:w="108" w:type="dxa"/>
              <w:bottom w:w="0" w:type="dxa"/>
              <w:right w:w="108" w:type="dxa"/>
            </w:tcMar>
            <w:vAlign w:val="bottom"/>
          </w:tcPr>
          <w:p w14:paraId="7C8F5568" w14:textId="77777777" w:rsidR="002E4B0D" w:rsidRPr="00126733" w:rsidRDefault="00854620" w:rsidP="00653A6C">
            <w:pPr>
              <w:pStyle w:val="xmsonormal"/>
              <w:spacing w:after="120" w:line="276" w:lineRule="auto"/>
              <w:jc w:val="center"/>
              <w:rPr>
                <w:b/>
                <w:bCs/>
                <w:color w:val="000000"/>
                <w:lang w:val="es-419"/>
              </w:rPr>
            </w:pPr>
            <w:r w:rsidRPr="00126733">
              <w:rPr>
                <w:rFonts w:eastAsia="Times New Roman"/>
                <w:b/>
                <w:bCs/>
                <w:lang w:val="es-419"/>
              </w:rPr>
              <w:drawing>
                <wp:inline distT="0" distB="0" distL="0" distR="0" wp14:anchorId="0BFDAC68" wp14:editId="1DCBCFD3">
                  <wp:extent cx="219075" cy="342900"/>
                  <wp:effectExtent l="0" t="0" r="9525" b="0"/>
                  <wp:docPr id="1705202379" name="Picture 170520237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202379" name="Picture 17" descr="Checkmark with solid fill"/>
                          <pic:cNvPicPr>
                            <a:picLocks noChangeAspect="1" noChangeArrowheads="1"/>
                          </pic:cNvPicPr>
                        </pic:nvPicPr>
                        <pic:blipFill>
                          <a:blip r:embed="rId9" r:link="rId10" cstate="print">
                            <a:extLst>
                              <a:ext uri="{28A0092B-C50C-407E-A947-70E740481C1C}">
                                <a14:useLocalDpi xmlns:a14="http://schemas.microsoft.com/office/drawing/2010/main" val="0"/>
                              </a:ext>
                            </a:extLst>
                          </a:blip>
                          <a:stretch>
                            <a:fillRect/>
                          </a:stretch>
                        </pic:blipFill>
                        <pic:spPr bwMode="auto">
                          <a:xfrm>
                            <a:off x="0" y="0"/>
                            <a:ext cx="219075" cy="342900"/>
                          </a:xfrm>
                          <a:prstGeom prst="rect">
                            <a:avLst/>
                          </a:prstGeom>
                          <a:noFill/>
                          <a:ln>
                            <a:noFill/>
                          </a:ln>
                        </pic:spPr>
                      </pic:pic>
                    </a:graphicData>
                  </a:graphic>
                </wp:inline>
              </w:drawing>
            </w:r>
          </w:p>
        </w:tc>
      </w:tr>
      <w:tr w:rsidR="006B32C3" w:rsidRPr="00126733" w14:paraId="052D3698" w14:textId="77777777" w:rsidTr="00854620">
        <w:trPr>
          <w:cantSplit/>
          <w:trHeight w:val="853"/>
        </w:trPr>
        <w:tc>
          <w:tcPr>
            <w:tcW w:w="5040" w:type="dxa"/>
            <w:shd w:val="clear" w:color="auto" w:fill="FFFFFF"/>
            <w:tcMar>
              <w:top w:w="0" w:type="dxa"/>
              <w:left w:w="108" w:type="dxa"/>
              <w:bottom w:w="0" w:type="dxa"/>
              <w:right w:w="108" w:type="dxa"/>
            </w:tcMar>
          </w:tcPr>
          <w:p w14:paraId="3B22FD1F" w14:textId="7D119FAF" w:rsidR="002E4B0D" w:rsidRPr="00126733" w:rsidRDefault="00513F54" w:rsidP="009D09CA">
            <w:pPr>
              <w:keepNext/>
              <w:keepLines/>
              <w:spacing w:after="120"/>
              <w:rPr>
                <w:rFonts w:cstheme="minorHAnsi"/>
                <w:color w:val="000000" w:themeColor="text1"/>
                <w:lang w:val="es-419"/>
              </w:rPr>
            </w:pPr>
            <w:r w:rsidRPr="00126733">
              <w:rPr>
                <w:rFonts w:ascii="Calibri" w:eastAsia="Calibri" w:hAnsi="Calibri" w:cs="Calibri"/>
                <w:color w:val="000000"/>
                <w:lang w:val="es-419"/>
              </w:rPr>
              <w:t>Tiene</w:t>
            </w:r>
            <w:r w:rsidR="00854620" w:rsidRPr="00126733">
              <w:rPr>
                <w:rFonts w:ascii="Calibri" w:eastAsia="Calibri" w:hAnsi="Calibri" w:cs="Calibri"/>
                <w:color w:val="000000"/>
                <w:lang w:val="es-419"/>
              </w:rPr>
              <w:t xml:space="preserve"> cobertura de Health Safety Net (HSN) en hospitales de </w:t>
            </w:r>
            <w:r w:rsidR="00854620" w:rsidRPr="00126733">
              <w:rPr>
                <w:rFonts w:ascii="Calibri" w:eastAsia="Calibri" w:hAnsi="Calibri" w:cs="Calibri"/>
                <w:color w:val="000000"/>
                <w:lang w:val="es-419"/>
              </w:rPr>
              <w:t>enfermedades agudas y en centros de salud comunitarios (CHC).</w:t>
            </w:r>
          </w:p>
        </w:tc>
        <w:tc>
          <w:tcPr>
            <w:tcW w:w="2160" w:type="dxa"/>
            <w:shd w:val="clear" w:color="auto" w:fill="FFFFFF"/>
            <w:tcMar>
              <w:top w:w="0" w:type="dxa"/>
              <w:left w:w="108" w:type="dxa"/>
              <w:bottom w:w="0" w:type="dxa"/>
              <w:right w:w="108" w:type="dxa"/>
            </w:tcMar>
            <w:vAlign w:val="bottom"/>
          </w:tcPr>
          <w:p w14:paraId="485574EA" w14:textId="77777777" w:rsidR="002E4B0D" w:rsidRPr="00126733" w:rsidRDefault="00854620" w:rsidP="00653A6C">
            <w:pPr>
              <w:pStyle w:val="xmsonormal"/>
              <w:spacing w:after="120" w:line="276" w:lineRule="auto"/>
              <w:jc w:val="center"/>
              <w:rPr>
                <w:b/>
                <w:bCs/>
                <w:color w:val="000000"/>
                <w:lang w:val="es-419"/>
              </w:rPr>
            </w:pPr>
            <w:r w:rsidRPr="00126733">
              <w:rPr>
                <w:b/>
                <w:bCs/>
                <w:color w:val="000000"/>
                <w:lang w:val="es-419"/>
              </w:rPr>
              <w:drawing>
                <wp:inline distT="0" distB="0" distL="0" distR="0" wp14:anchorId="2EF0946A" wp14:editId="5E7A7A47">
                  <wp:extent cx="219075" cy="342900"/>
                  <wp:effectExtent l="0" t="0" r="9525" b="0"/>
                  <wp:docPr id="1848815216" name="Picture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815216" name="Picture 14" descr="Checkmark with solid fill"/>
                          <pic:cNvPicPr>
                            <a:picLocks noChangeAspect="1" noChangeArrowheads="1"/>
                          </pic:cNvPicPr>
                        </pic:nvPicPr>
                        <pic:blipFill>
                          <a:blip r:embed="rId9" r:link="rId10" cstate="print">
                            <a:extLst>
                              <a:ext uri="{28A0092B-C50C-407E-A947-70E740481C1C}">
                                <a14:useLocalDpi xmlns:a14="http://schemas.microsoft.com/office/drawing/2010/main" val="0"/>
                              </a:ext>
                            </a:extLst>
                          </a:blip>
                          <a:stretch>
                            <a:fillRect/>
                          </a:stretch>
                        </pic:blipFill>
                        <pic:spPr bwMode="auto">
                          <a:xfrm>
                            <a:off x="0" y="0"/>
                            <a:ext cx="219075" cy="342900"/>
                          </a:xfrm>
                          <a:prstGeom prst="rect">
                            <a:avLst/>
                          </a:prstGeom>
                          <a:noFill/>
                          <a:ln>
                            <a:noFill/>
                          </a:ln>
                        </pic:spPr>
                      </pic:pic>
                    </a:graphicData>
                  </a:graphic>
                </wp:inline>
              </w:drawing>
            </w:r>
          </w:p>
        </w:tc>
        <w:tc>
          <w:tcPr>
            <w:tcW w:w="2160" w:type="dxa"/>
            <w:shd w:val="clear" w:color="auto" w:fill="FFFFFF"/>
            <w:tcMar>
              <w:top w:w="0" w:type="dxa"/>
              <w:left w:w="108" w:type="dxa"/>
              <w:bottom w:w="0" w:type="dxa"/>
              <w:right w:w="108" w:type="dxa"/>
            </w:tcMar>
            <w:vAlign w:val="bottom"/>
          </w:tcPr>
          <w:p w14:paraId="11730901" w14:textId="77777777" w:rsidR="002E4B0D" w:rsidRPr="00126733" w:rsidRDefault="00854620" w:rsidP="00653A6C">
            <w:pPr>
              <w:pStyle w:val="xmsonormal"/>
              <w:spacing w:after="120" w:line="276" w:lineRule="auto"/>
              <w:jc w:val="center"/>
              <w:rPr>
                <w:b/>
                <w:bCs/>
                <w:color w:val="000000"/>
                <w:lang w:val="es-419"/>
              </w:rPr>
            </w:pPr>
            <w:r w:rsidRPr="00126733">
              <w:rPr>
                <w:rFonts w:eastAsia="Times New Roman"/>
                <w:b/>
                <w:bCs/>
                <w:lang w:val="es-419"/>
              </w:rPr>
              <w:drawing>
                <wp:inline distT="0" distB="0" distL="0" distR="0" wp14:anchorId="1BB1D27B" wp14:editId="0FE4869D">
                  <wp:extent cx="219075" cy="342900"/>
                  <wp:effectExtent l="0" t="0" r="9525" b="0"/>
                  <wp:docPr id="1564141091" name="Picture 156414109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141091" name="Picture 17" descr="Checkmark with solid fill"/>
                          <pic:cNvPicPr>
                            <a:picLocks noChangeAspect="1" noChangeArrowheads="1"/>
                          </pic:cNvPicPr>
                        </pic:nvPicPr>
                        <pic:blipFill>
                          <a:blip r:embed="rId9" r:link="rId10" cstate="print">
                            <a:extLst>
                              <a:ext uri="{28A0092B-C50C-407E-A947-70E740481C1C}">
                                <a14:useLocalDpi xmlns:a14="http://schemas.microsoft.com/office/drawing/2010/main" val="0"/>
                              </a:ext>
                            </a:extLst>
                          </a:blip>
                          <a:stretch>
                            <a:fillRect/>
                          </a:stretch>
                        </pic:blipFill>
                        <pic:spPr bwMode="auto">
                          <a:xfrm>
                            <a:off x="0" y="0"/>
                            <a:ext cx="219075" cy="342900"/>
                          </a:xfrm>
                          <a:prstGeom prst="rect">
                            <a:avLst/>
                          </a:prstGeom>
                          <a:noFill/>
                          <a:ln>
                            <a:noFill/>
                          </a:ln>
                        </pic:spPr>
                      </pic:pic>
                    </a:graphicData>
                  </a:graphic>
                </wp:inline>
              </w:drawing>
            </w:r>
          </w:p>
        </w:tc>
      </w:tr>
      <w:tr w:rsidR="006B32C3" w:rsidRPr="00126733" w14:paraId="251DAD46" w14:textId="77777777" w:rsidTr="00391DF8">
        <w:trPr>
          <w:cantSplit/>
        </w:trPr>
        <w:tc>
          <w:tcPr>
            <w:tcW w:w="5040" w:type="dxa"/>
            <w:shd w:val="clear" w:color="auto" w:fill="FFFFFF"/>
            <w:tcMar>
              <w:top w:w="0" w:type="dxa"/>
              <w:left w:w="108" w:type="dxa"/>
              <w:bottom w:w="0" w:type="dxa"/>
              <w:right w:w="108" w:type="dxa"/>
            </w:tcMar>
            <w:hideMark/>
          </w:tcPr>
          <w:p w14:paraId="329426C8" w14:textId="77777777" w:rsidR="002E4B0D" w:rsidRPr="00126733" w:rsidRDefault="00854620" w:rsidP="009D09CA">
            <w:pPr>
              <w:pStyle w:val="xmsonormal"/>
              <w:spacing w:after="120" w:line="276" w:lineRule="auto"/>
              <w:rPr>
                <w:rFonts w:asciiTheme="minorHAnsi" w:hAnsiTheme="minorHAnsi" w:cstheme="minorHAnsi"/>
                <w:lang w:val="es-419"/>
              </w:rPr>
            </w:pPr>
            <w:r w:rsidRPr="00126733">
              <w:rPr>
                <w:rFonts w:eastAsia="Calibri"/>
                <w:color w:val="000000"/>
                <w:lang w:val="es-419"/>
              </w:rPr>
              <w:t>Lo ayuda con los costos de los medicamentos con receta inscribiéndolo automáticamente en Ayuda Adicional de la Parte D de Medicare.</w:t>
            </w:r>
          </w:p>
        </w:tc>
        <w:tc>
          <w:tcPr>
            <w:tcW w:w="2160" w:type="dxa"/>
            <w:shd w:val="clear" w:color="auto" w:fill="FFFFFF"/>
            <w:tcMar>
              <w:top w:w="0" w:type="dxa"/>
              <w:left w:w="108" w:type="dxa"/>
              <w:bottom w:w="0" w:type="dxa"/>
              <w:right w:w="108" w:type="dxa"/>
            </w:tcMar>
            <w:vAlign w:val="bottom"/>
            <w:hideMark/>
          </w:tcPr>
          <w:p w14:paraId="78A09E05" w14:textId="77777777" w:rsidR="002E4B0D" w:rsidRPr="00126733" w:rsidRDefault="00854620" w:rsidP="00653A6C">
            <w:pPr>
              <w:pStyle w:val="xmsonormal"/>
              <w:spacing w:after="120" w:line="276" w:lineRule="auto"/>
              <w:jc w:val="center"/>
              <w:rPr>
                <w:lang w:val="es-419"/>
              </w:rPr>
            </w:pPr>
            <w:r w:rsidRPr="00126733">
              <w:rPr>
                <w:b/>
                <w:bCs/>
                <w:color w:val="000000"/>
                <w:lang w:val="es-419"/>
              </w:rPr>
              <w:drawing>
                <wp:inline distT="0" distB="0" distL="0" distR="0" wp14:anchorId="4D0CE4EA" wp14:editId="02B6C179">
                  <wp:extent cx="219075" cy="342900"/>
                  <wp:effectExtent l="0" t="0" r="9525" b="0"/>
                  <wp:docPr id="178805288" name="Picture 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05288" name="Picture 11" descr="Checkmark with solid fill"/>
                          <pic:cNvPicPr>
                            <a:picLocks noChangeAspect="1" noChangeArrowheads="1"/>
                          </pic:cNvPicPr>
                        </pic:nvPicPr>
                        <pic:blipFill>
                          <a:blip r:embed="rId9" r:link="rId10" cstate="print">
                            <a:extLst>
                              <a:ext uri="{28A0092B-C50C-407E-A947-70E740481C1C}">
                                <a14:useLocalDpi xmlns:a14="http://schemas.microsoft.com/office/drawing/2010/main" val="0"/>
                              </a:ext>
                            </a:extLst>
                          </a:blip>
                          <a:stretch>
                            <a:fillRect/>
                          </a:stretch>
                        </pic:blipFill>
                        <pic:spPr bwMode="auto">
                          <a:xfrm>
                            <a:off x="0" y="0"/>
                            <a:ext cx="219075" cy="342900"/>
                          </a:xfrm>
                          <a:prstGeom prst="rect">
                            <a:avLst/>
                          </a:prstGeom>
                          <a:noFill/>
                          <a:ln>
                            <a:noFill/>
                          </a:ln>
                        </pic:spPr>
                      </pic:pic>
                    </a:graphicData>
                  </a:graphic>
                </wp:inline>
              </w:drawing>
            </w:r>
          </w:p>
        </w:tc>
        <w:tc>
          <w:tcPr>
            <w:tcW w:w="2160" w:type="dxa"/>
            <w:shd w:val="clear" w:color="auto" w:fill="FFFFFF"/>
            <w:tcMar>
              <w:top w:w="0" w:type="dxa"/>
              <w:left w:w="108" w:type="dxa"/>
              <w:bottom w:w="0" w:type="dxa"/>
              <w:right w:w="108" w:type="dxa"/>
            </w:tcMar>
            <w:vAlign w:val="bottom"/>
            <w:hideMark/>
          </w:tcPr>
          <w:p w14:paraId="44DB1E14" w14:textId="77777777" w:rsidR="002E4B0D" w:rsidRPr="00126733" w:rsidRDefault="00854620" w:rsidP="00653A6C">
            <w:pPr>
              <w:pStyle w:val="xmsonormal"/>
              <w:spacing w:after="120" w:line="276" w:lineRule="auto"/>
              <w:jc w:val="center"/>
              <w:rPr>
                <w:lang w:val="es-419"/>
              </w:rPr>
            </w:pPr>
            <w:r w:rsidRPr="00126733">
              <w:rPr>
                <w:b/>
                <w:bCs/>
                <w:color w:val="000000"/>
                <w:lang w:val="es-419"/>
              </w:rPr>
              <w:drawing>
                <wp:inline distT="0" distB="0" distL="0" distR="0" wp14:anchorId="3828F7FA" wp14:editId="16BE146E">
                  <wp:extent cx="219075" cy="342900"/>
                  <wp:effectExtent l="0" t="0" r="9525" b="0"/>
                  <wp:docPr id="1483098830" name="Picture 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98830" name="Picture 12" descr="Checkmark with solid fill"/>
                          <pic:cNvPicPr>
                            <a:picLocks noChangeAspect="1" noChangeArrowheads="1"/>
                          </pic:cNvPicPr>
                        </pic:nvPicPr>
                        <pic:blipFill>
                          <a:blip r:embed="rId9" r:link="rId10" cstate="print">
                            <a:extLst>
                              <a:ext uri="{28A0092B-C50C-407E-A947-70E740481C1C}">
                                <a14:useLocalDpi xmlns:a14="http://schemas.microsoft.com/office/drawing/2010/main" val="0"/>
                              </a:ext>
                            </a:extLst>
                          </a:blip>
                          <a:stretch>
                            <a:fillRect/>
                          </a:stretch>
                        </pic:blipFill>
                        <pic:spPr bwMode="auto">
                          <a:xfrm>
                            <a:off x="0" y="0"/>
                            <a:ext cx="219075" cy="342900"/>
                          </a:xfrm>
                          <a:prstGeom prst="rect">
                            <a:avLst/>
                          </a:prstGeom>
                          <a:noFill/>
                          <a:ln>
                            <a:noFill/>
                          </a:ln>
                        </pic:spPr>
                      </pic:pic>
                    </a:graphicData>
                  </a:graphic>
                </wp:inline>
              </w:drawing>
            </w:r>
          </w:p>
        </w:tc>
      </w:tr>
      <w:tr w:rsidR="006B32C3" w:rsidRPr="00126733" w14:paraId="34DBD6CB" w14:textId="77777777" w:rsidTr="00854620">
        <w:trPr>
          <w:cantSplit/>
          <w:trHeight w:val="880"/>
        </w:trPr>
        <w:tc>
          <w:tcPr>
            <w:tcW w:w="5040" w:type="dxa"/>
            <w:shd w:val="clear" w:color="auto" w:fill="FFFFFF"/>
            <w:tcMar>
              <w:top w:w="0" w:type="dxa"/>
              <w:left w:w="108" w:type="dxa"/>
              <w:bottom w:w="0" w:type="dxa"/>
              <w:right w:w="108" w:type="dxa"/>
            </w:tcMar>
          </w:tcPr>
          <w:p w14:paraId="7E8D1F42" w14:textId="77777777" w:rsidR="002E4B0D" w:rsidRPr="00126733" w:rsidRDefault="00854620" w:rsidP="009D09CA">
            <w:pPr>
              <w:pStyle w:val="Heading3"/>
              <w:spacing w:before="0" w:after="120" w:line="276" w:lineRule="auto"/>
              <w:rPr>
                <w:rFonts w:asciiTheme="minorHAnsi" w:eastAsia="Times New Roman" w:hAnsiTheme="minorHAnsi" w:cstheme="minorHAnsi"/>
                <w:smallCaps/>
                <w:color w:val="000000"/>
                <w:sz w:val="22"/>
                <w:szCs w:val="22"/>
                <w:lang w:val="es-419"/>
              </w:rPr>
            </w:pPr>
            <w:r w:rsidRPr="00126733">
              <w:rPr>
                <w:rFonts w:ascii="Calibri" w:eastAsia="Calibri" w:hAnsi="Calibri" w:cs="Calibri"/>
                <w:color w:val="000000"/>
                <w:sz w:val="22"/>
                <w:szCs w:val="22"/>
                <w:lang w:val="es-419"/>
              </w:rPr>
              <w:lastRenderedPageBreak/>
              <w:t xml:space="preserve">Paga todos los costos de los servicios </w:t>
            </w:r>
            <w:r w:rsidRPr="00126733">
              <w:rPr>
                <w:rFonts w:ascii="Calibri" w:eastAsia="Calibri" w:hAnsi="Calibri" w:cs="Calibri"/>
                <w:color w:val="000000"/>
                <w:sz w:val="22"/>
                <w:szCs w:val="22"/>
                <w:lang w:val="es-419"/>
              </w:rPr>
              <w:t>cubiertos por la Parte A y la Parte B de Medicare, como los deducibles, coseguro y copagos de Medicare.</w:t>
            </w:r>
          </w:p>
        </w:tc>
        <w:tc>
          <w:tcPr>
            <w:tcW w:w="2160" w:type="dxa"/>
            <w:shd w:val="clear" w:color="auto" w:fill="FFFFFF"/>
            <w:tcMar>
              <w:top w:w="0" w:type="dxa"/>
              <w:left w:w="108" w:type="dxa"/>
              <w:bottom w:w="0" w:type="dxa"/>
              <w:right w:w="108" w:type="dxa"/>
            </w:tcMar>
            <w:vAlign w:val="bottom"/>
          </w:tcPr>
          <w:p w14:paraId="06F51619" w14:textId="77777777" w:rsidR="002E4B0D" w:rsidRPr="00126733" w:rsidRDefault="00854620" w:rsidP="00653A6C">
            <w:pPr>
              <w:pStyle w:val="xmsonormal"/>
              <w:spacing w:after="120" w:line="276" w:lineRule="auto"/>
              <w:jc w:val="center"/>
              <w:rPr>
                <w:lang w:val="es-419"/>
              </w:rPr>
            </w:pPr>
            <w:r w:rsidRPr="00126733">
              <w:rPr>
                <w:rFonts w:eastAsia="Times New Roman"/>
                <w:b/>
                <w:bCs/>
                <w:lang w:val="es-419"/>
              </w:rPr>
              <w:drawing>
                <wp:inline distT="0" distB="0" distL="0" distR="0" wp14:anchorId="15228BF1" wp14:editId="695F5711">
                  <wp:extent cx="219075" cy="342900"/>
                  <wp:effectExtent l="0" t="0" r="9525" b="0"/>
                  <wp:docPr id="474935492" name="Picture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935492" name="Picture 17" descr="Checkmark with solid fill"/>
                          <pic:cNvPicPr>
                            <a:picLocks noChangeAspect="1" noChangeArrowheads="1"/>
                          </pic:cNvPicPr>
                        </pic:nvPicPr>
                        <pic:blipFill>
                          <a:blip r:embed="rId9" r:link="rId10" cstate="print">
                            <a:extLst>
                              <a:ext uri="{28A0092B-C50C-407E-A947-70E740481C1C}">
                                <a14:useLocalDpi xmlns:a14="http://schemas.microsoft.com/office/drawing/2010/main" val="0"/>
                              </a:ext>
                            </a:extLst>
                          </a:blip>
                          <a:stretch>
                            <a:fillRect/>
                          </a:stretch>
                        </pic:blipFill>
                        <pic:spPr bwMode="auto">
                          <a:xfrm>
                            <a:off x="0" y="0"/>
                            <a:ext cx="219075" cy="342900"/>
                          </a:xfrm>
                          <a:prstGeom prst="rect">
                            <a:avLst/>
                          </a:prstGeom>
                          <a:noFill/>
                          <a:ln>
                            <a:noFill/>
                          </a:ln>
                        </pic:spPr>
                      </pic:pic>
                    </a:graphicData>
                  </a:graphic>
                </wp:inline>
              </w:drawing>
            </w:r>
          </w:p>
        </w:tc>
        <w:tc>
          <w:tcPr>
            <w:tcW w:w="2160" w:type="dxa"/>
            <w:shd w:val="clear" w:color="auto" w:fill="FFFFFF"/>
            <w:tcMar>
              <w:top w:w="0" w:type="dxa"/>
              <w:left w:w="108" w:type="dxa"/>
              <w:bottom w:w="0" w:type="dxa"/>
              <w:right w:w="108" w:type="dxa"/>
            </w:tcMar>
            <w:vAlign w:val="bottom"/>
            <w:hideMark/>
          </w:tcPr>
          <w:p w14:paraId="035D7EF3" w14:textId="77777777" w:rsidR="002E4B0D" w:rsidRPr="00126733" w:rsidRDefault="002E4B0D" w:rsidP="00653A6C">
            <w:pPr>
              <w:pStyle w:val="xmsonormal"/>
              <w:spacing w:after="120" w:line="276" w:lineRule="auto"/>
              <w:jc w:val="center"/>
              <w:rPr>
                <w:lang w:val="es-419"/>
              </w:rPr>
            </w:pPr>
          </w:p>
        </w:tc>
      </w:tr>
      <w:tr w:rsidR="006B32C3" w:rsidRPr="00126733" w14:paraId="1B2A8F8B" w14:textId="77777777" w:rsidTr="00391DF8">
        <w:trPr>
          <w:cantSplit/>
        </w:trPr>
        <w:tc>
          <w:tcPr>
            <w:tcW w:w="5040" w:type="dxa"/>
            <w:shd w:val="clear" w:color="auto" w:fill="FFFFFF"/>
            <w:tcMar>
              <w:top w:w="0" w:type="dxa"/>
              <w:left w:w="108" w:type="dxa"/>
              <w:bottom w:w="0" w:type="dxa"/>
              <w:right w:w="108" w:type="dxa"/>
            </w:tcMar>
            <w:hideMark/>
          </w:tcPr>
          <w:p w14:paraId="70CBEB28" w14:textId="77777777" w:rsidR="002E4B0D" w:rsidRPr="00126733" w:rsidRDefault="00854620" w:rsidP="009D09CA">
            <w:pPr>
              <w:spacing w:after="120"/>
              <w:rPr>
                <w:rFonts w:cstheme="minorHAnsi"/>
                <w:lang w:val="es-419"/>
              </w:rPr>
            </w:pPr>
            <w:r w:rsidRPr="00126733">
              <w:rPr>
                <w:rFonts w:ascii="Calibri" w:eastAsia="Calibri" w:hAnsi="Calibri" w:cs="Calibri"/>
                <w:lang w:val="es-419"/>
              </w:rPr>
              <w:t>Tarjeta de MassHealth</w:t>
            </w:r>
          </w:p>
          <w:p w14:paraId="5A094D53" w14:textId="77777777" w:rsidR="00AA3226" w:rsidRPr="00126733" w:rsidRDefault="00854620" w:rsidP="009D09CA">
            <w:pPr>
              <w:spacing w:after="120"/>
              <w:rPr>
                <w:rFonts w:cstheme="minorHAnsi"/>
                <w:lang w:val="es-419"/>
              </w:rPr>
            </w:pPr>
            <w:r w:rsidRPr="00126733">
              <w:rPr>
                <w:rFonts w:cstheme="minorHAnsi"/>
                <w:lang w:val="es-419"/>
                <w14:ligatures w14:val="standardContextual"/>
              </w:rPr>
              <w:drawing>
                <wp:inline distT="0" distB="0" distL="0" distR="0" wp14:anchorId="099C2210" wp14:editId="45D36F18">
                  <wp:extent cx="1323975" cy="1785291"/>
                  <wp:effectExtent l="0" t="0" r="0" b="5715"/>
                  <wp:docPr id="1898651208" name="Picture 1" descr="Images of the MassHealth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651208" name="Picture 1" descr="Images of the MassHealth card"/>
                          <pic:cNvPicPr/>
                        </pic:nvPicPr>
                        <pic:blipFill>
                          <a:blip r:embed="rId11">
                            <a:extLst>
                              <a:ext uri="{28A0092B-C50C-407E-A947-70E740481C1C}">
                                <a14:useLocalDpi xmlns:a14="http://schemas.microsoft.com/office/drawing/2010/main" val="0"/>
                              </a:ext>
                            </a:extLst>
                          </a:blip>
                          <a:stretch>
                            <a:fillRect/>
                          </a:stretch>
                        </pic:blipFill>
                        <pic:spPr>
                          <a:xfrm>
                            <a:off x="0" y="0"/>
                            <a:ext cx="1333060" cy="1797541"/>
                          </a:xfrm>
                          <a:prstGeom prst="rect">
                            <a:avLst/>
                          </a:prstGeom>
                        </pic:spPr>
                      </pic:pic>
                    </a:graphicData>
                  </a:graphic>
                </wp:inline>
              </w:drawing>
            </w:r>
          </w:p>
        </w:tc>
        <w:tc>
          <w:tcPr>
            <w:tcW w:w="2160" w:type="dxa"/>
            <w:shd w:val="clear" w:color="auto" w:fill="FFFFFF"/>
            <w:tcMar>
              <w:top w:w="0" w:type="dxa"/>
              <w:left w:w="108" w:type="dxa"/>
              <w:bottom w:w="0" w:type="dxa"/>
              <w:right w:w="108" w:type="dxa"/>
            </w:tcMar>
            <w:vAlign w:val="bottom"/>
            <w:hideMark/>
          </w:tcPr>
          <w:p w14:paraId="31E8434B" w14:textId="77777777" w:rsidR="002E4B0D" w:rsidRPr="00126733" w:rsidRDefault="00854620" w:rsidP="00653A6C">
            <w:pPr>
              <w:pStyle w:val="Heading3"/>
              <w:spacing w:before="0" w:after="120" w:line="276" w:lineRule="auto"/>
              <w:jc w:val="center"/>
              <w:rPr>
                <w:rFonts w:eastAsia="Times New Roman"/>
                <w:color w:val="auto"/>
                <w:sz w:val="22"/>
                <w:szCs w:val="22"/>
                <w:lang w:val="es-419"/>
              </w:rPr>
            </w:pPr>
            <w:r w:rsidRPr="00126733">
              <w:rPr>
                <w:rFonts w:eastAsia="Times New Roman"/>
                <w:b/>
                <w:bCs/>
                <w:color w:val="auto"/>
                <w:sz w:val="22"/>
                <w:szCs w:val="22"/>
                <w:lang w:val="es-419"/>
              </w:rPr>
              <w:drawing>
                <wp:inline distT="0" distB="0" distL="0" distR="0" wp14:anchorId="5B59B6CC" wp14:editId="1BC68A1A">
                  <wp:extent cx="219075" cy="342900"/>
                  <wp:effectExtent l="0" t="0" r="9525" b="0"/>
                  <wp:docPr id="807941111" name="Picture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41111" name="Picture 15" descr="Checkmark with solid fill"/>
                          <pic:cNvPicPr>
                            <a:picLocks noChangeAspect="1" noChangeArrowheads="1"/>
                          </pic:cNvPicPr>
                        </pic:nvPicPr>
                        <pic:blipFill>
                          <a:blip r:embed="rId9" r:link="rId10" cstate="print">
                            <a:extLst>
                              <a:ext uri="{28A0092B-C50C-407E-A947-70E740481C1C}">
                                <a14:useLocalDpi xmlns:a14="http://schemas.microsoft.com/office/drawing/2010/main" val="0"/>
                              </a:ext>
                            </a:extLst>
                          </a:blip>
                          <a:stretch>
                            <a:fillRect/>
                          </a:stretch>
                        </pic:blipFill>
                        <pic:spPr bwMode="auto">
                          <a:xfrm>
                            <a:off x="0" y="0"/>
                            <a:ext cx="219075" cy="342900"/>
                          </a:xfrm>
                          <a:prstGeom prst="rect">
                            <a:avLst/>
                          </a:prstGeom>
                          <a:noFill/>
                          <a:ln>
                            <a:noFill/>
                          </a:ln>
                        </pic:spPr>
                      </pic:pic>
                    </a:graphicData>
                  </a:graphic>
                </wp:inline>
              </w:drawing>
            </w:r>
          </w:p>
          <w:p w14:paraId="366A5B6E" w14:textId="77777777" w:rsidR="00C83D1D" w:rsidRPr="00126733" w:rsidRDefault="00854620" w:rsidP="00653A6C">
            <w:pPr>
              <w:spacing w:after="120"/>
              <w:jc w:val="center"/>
              <w:rPr>
                <w:lang w:val="es-419"/>
              </w:rPr>
            </w:pPr>
            <w:r w:rsidRPr="00126733">
              <w:rPr>
                <w:rFonts w:ascii="Calibri" w:eastAsia="Calibri" w:hAnsi="Calibri" w:cs="Times New Roman"/>
                <w:lang w:val="es-419"/>
              </w:rPr>
              <w:t>Muestre sus tarjetas de Medicare y de MassHealth para que los proveedores sepan que usted está en el programa QMB.</w:t>
            </w:r>
          </w:p>
          <w:p w14:paraId="294253DE" w14:textId="77777777" w:rsidR="00AA3226" w:rsidRPr="00126733" w:rsidRDefault="00AA3226" w:rsidP="00653A6C">
            <w:pPr>
              <w:spacing w:after="120"/>
              <w:jc w:val="center"/>
              <w:rPr>
                <w:lang w:val="es-419"/>
              </w:rPr>
            </w:pPr>
          </w:p>
        </w:tc>
        <w:tc>
          <w:tcPr>
            <w:tcW w:w="2160" w:type="dxa"/>
            <w:shd w:val="clear" w:color="auto" w:fill="FFFFFF"/>
            <w:tcMar>
              <w:top w:w="0" w:type="dxa"/>
              <w:left w:w="108" w:type="dxa"/>
              <w:bottom w:w="0" w:type="dxa"/>
              <w:right w:w="108" w:type="dxa"/>
            </w:tcMar>
            <w:vAlign w:val="bottom"/>
            <w:hideMark/>
          </w:tcPr>
          <w:p w14:paraId="70983B5F" w14:textId="77777777" w:rsidR="002E4B0D" w:rsidRPr="00126733" w:rsidRDefault="002E4B0D" w:rsidP="00653A6C">
            <w:pPr>
              <w:pStyle w:val="Heading3"/>
              <w:spacing w:before="0" w:after="120" w:line="276" w:lineRule="auto"/>
              <w:jc w:val="center"/>
              <w:rPr>
                <w:rFonts w:eastAsia="Times New Roman"/>
                <w:sz w:val="22"/>
                <w:szCs w:val="22"/>
                <w:lang w:val="es-419"/>
              </w:rPr>
            </w:pPr>
          </w:p>
        </w:tc>
      </w:tr>
    </w:tbl>
    <w:p w14:paraId="4AD18DDA" w14:textId="77777777" w:rsidR="00C15003" w:rsidRPr="00126733" w:rsidRDefault="00C15003" w:rsidP="001B200E">
      <w:pPr>
        <w:spacing w:after="120"/>
        <w:rPr>
          <w:lang w:val="es-419"/>
        </w:rPr>
      </w:pPr>
    </w:p>
    <w:p w14:paraId="643BD389" w14:textId="77777777" w:rsidR="00AD158D" w:rsidRPr="00126733" w:rsidRDefault="00854620" w:rsidP="000C3508">
      <w:pPr>
        <w:pStyle w:val="Heading2"/>
        <w:rPr>
          <w:lang w:val="es-419"/>
        </w:rPr>
      </w:pPr>
      <w:r w:rsidRPr="00126733">
        <w:rPr>
          <w:rFonts w:ascii="Calibri" w:eastAsia="Calibri" w:hAnsi="Calibri" w:cs="Calibri"/>
          <w:color w:val="2F5496"/>
          <w:lang w:val="es-419"/>
        </w:rPr>
        <w:t>¿Qué es HSN?</w:t>
      </w:r>
    </w:p>
    <w:p w14:paraId="662F2BD3" w14:textId="5BAD2600" w:rsidR="00C83D1D" w:rsidRPr="00126733" w:rsidRDefault="00854620" w:rsidP="00C83D1D">
      <w:pPr>
        <w:spacing w:after="0"/>
        <w:rPr>
          <w:rFonts w:cstheme="minorHAnsi"/>
          <w:color w:val="000000" w:themeColor="text1"/>
          <w:lang w:val="es-419"/>
        </w:rPr>
      </w:pPr>
      <w:r w:rsidRPr="00126733">
        <w:rPr>
          <w:rFonts w:ascii="Calibri" w:eastAsia="Calibri" w:hAnsi="Calibri" w:cs="Calibri"/>
          <w:color w:val="000000"/>
          <w:lang w:val="es-419"/>
        </w:rPr>
        <w:t>HSN, o Health Safety Net, paga algunos de los servicios de atención de salud que proveen los hospitales de enfermedades agudas o los CHC a determinados pacientes con bajos ingresos, sin seguro o con seguro insuficiente. Si usted es elegible para obtener un MSP y recibe atención en un hospital o CHC, HSN puede ser un pagador secundario para los copagos o los deducibles que facture el hospital o CHC. Esto significa que HSN puede pagar algunos costos después de que se haya facturado Medicare. HSN</w:t>
      </w:r>
      <w:r w:rsidRPr="00126733">
        <w:rPr>
          <w:rFonts w:ascii="Calibri" w:eastAsia="Calibri" w:hAnsi="Calibri" w:cs="Calibri"/>
          <w:color w:val="000000"/>
          <w:lang w:val="es-419"/>
        </w:rPr>
        <w:t xml:space="preserve"> </w:t>
      </w:r>
      <w:r w:rsidRPr="00126733">
        <w:rPr>
          <w:rFonts w:ascii="Calibri" w:eastAsia="Calibri" w:hAnsi="Calibri" w:cs="Calibri"/>
          <w:color w:val="000000"/>
          <w:lang w:val="es-419"/>
        </w:rPr>
        <w:t>puede pagar también por servicios que Medicare no cubre si usted recibe atención en un hospital o CHC.</w:t>
      </w:r>
    </w:p>
    <w:p w14:paraId="3AB11D90" w14:textId="77777777" w:rsidR="00C83D1D" w:rsidRPr="00126733" w:rsidRDefault="00C83D1D" w:rsidP="00C83D1D">
      <w:pPr>
        <w:spacing w:after="0"/>
        <w:rPr>
          <w:rFonts w:cstheme="minorHAnsi"/>
          <w:color w:val="000000" w:themeColor="text1"/>
          <w:lang w:val="es-419"/>
        </w:rPr>
      </w:pPr>
    </w:p>
    <w:p w14:paraId="37C7E3F9" w14:textId="77777777" w:rsidR="00C83D1D" w:rsidRPr="00126733" w:rsidRDefault="00854620" w:rsidP="00C83D1D">
      <w:pPr>
        <w:spacing w:after="0"/>
        <w:rPr>
          <w:rFonts w:cstheme="minorHAnsi"/>
          <w:color w:val="000000" w:themeColor="text1"/>
          <w:lang w:val="es-419"/>
        </w:rPr>
      </w:pPr>
      <w:r w:rsidRPr="00126733">
        <w:rPr>
          <w:rFonts w:ascii="Calibri" w:eastAsia="Calibri" w:hAnsi="Calibri" w:cs="Calibri"/>
          <w:color w:val="000000"/>
          <w:lang w:val="es-419"/>
        </w:rPr>
        <w:t>No hay tarjeta de afiliado para Health Safety Net.</w:t>
      </w:r>
    </w:p>
    <w:p w14:paraId="0A8185F3" w14:textId="77777777" w:rsidR="00C83D1D" w:rsidRPr="00126733" w:rsidRDefault="00C83D1D" w:rsidP="00C83D1D">
      <w:pPr>
        <w:pStyle w:val="NormalWeb"/>
        <w:spacing w:before="0" w:beforeAutospacing="0" w:after="0" w:afterAutospacing="0"/>
        <w:rPr>
          <w:rFonts w:asciiTheme="minorHAnsi" w:hAnsiTheme="minorHAnsi" w:cstheme="minorHAnsi"/>
          <w:b/>
          <w:bCs/>
          <w:color w:val="000000" w:themeColor="text1"/>
          <w:sz w:val="22"/>
          <w:szCs w:val="22"/>
          <w:lang w:val="es-419"/>
        </w:rPr>
      </w:pPr>
    </w:p>
    <w:p w14:paraId="25FC817D" w14:textId="77777777" w:rsidR="00AD158D" w:rsidRPr="00126733" w:rsidRDefault="00854620" w:rsidP="000C3508">
      <w:pPr>
        <w:pStyle w:val="Heading2"/>
        <w:rPr>
          <w:lang w:val="es-419"/>
        </w:rPr>
      </w:pPr>
      <w:r w:rsidRPr="00126733">
        <w:rPr>
          <w:rFonts w:ascii="Calibri" w:eastAsia="Calibri" w:hAnsi="Calibri" w:cs="Calibri"/>
          <w:color w:val="2F5496"/>
          <w:lang w:val="es-419"/>
        </w:rPr>
        <w:t>¿Qué es Ayuda Adicional?</w:t>
      </w:r>
    </w:p>
    <w:p w14:paraId="63005374" w14:textId="77777777" w:rsidR="00C83D1D" w:rsidRPr="00126733" w:rsidRDefault="00854620" w:rsidP="00BC18DD">
      <w:pPr>
        <w:rPr>
          <w:lang w:val="es-419"/>
        </w:rPr>
      </w:pPr>
      <w:r w:rsidRPr="00126733">
        <w:rPr>
          <w:rFonts w:ascii="Calibri" w:eastAsia="Calibri" w:hAnsi="Calibri" w:cs="Times New Roman"/>
          <w:lang w:val="es-419"/>
        </w:rPr>
        <w:t xml:space="preserve">Ayuda Adicional </w:t>
      </w:r>
      <w:r w:rsidRPr="00126733">
        <w:rPr>
          <w:rFonts w:ascii="Calibri" w:eastAsia="Calibri" w:hAnsi="Calibri" w:cs="Times New Roman"/>
          <w:i/>
          <w:iCs/>
          <w:lang w:val="es-419"/>
        </w:rPr>
        <w:t>(Extra Help)</w:t>
      </w:r>
      <w:r w:rsidRPr="00126733">
        <w:rPr>
          <w:rFonts w:ascii="Calibri" w:eastAsia="Calibri" w:hAnsi="Calibri" w:cs="Times New Roman"/>
          <w:lang w:val="es-419"/>
        </w:rPr>
        <w:t xml:space="preserve"> es un programa de Medicare que ayuda a las personas que tienen ingresos y recursos limitados a pagar las primas, los deducibles, coseguros y otros costos de la cobertura de medicamentos de Medicare (Parte D). Ayuda Adicional también limita las cantidades de los copagos de los medicamentos con receta. Las personas pueden inscribirse en la Parte D de Medicare en cualquier momento del año, sin penalidades por inscripción tardía.</w:t>
      </w:r>
    </w:p>
    <w:p w14:paraId="1E8E6814" w14:textId="77777777" w:rsidR="00026F6A" w:rsidRPr="00126733" w:rsidRDefault="00026F6A" w:rsidP="00C83D1D">
      <w:pPr>
        <w:pStyle w:val="NormalWeb"/>
        <w:spacing w:before="0" w:beforeAutospacing="0" w:after="0" w:afterAutospacing="0"/>
        <w:rPr>
          <w:rFonts w:asciiTheme="minorHAnsi" w:hAnsiTheme="minorHAnsi" w:cstheme="minorHAnsi"/>
          <w:color w:val="000000" w:themeColor="text1"/>
          <w:sz w:val="22"/>
          <w:szCs w:val="22"/>
          <w:lang w:val="es-419"/>
        </w:rPr>
      </w:pPr>
    </w:p>
    <w:p w14:paraId="583B800F" w14:textId="77777777" w:rsidR="00026F6A" w:rsidRPr="00126733" w:rsidRDefault="00854620" w:rsidP="00BC18DD">
      <w:pPr>
        <w:pStyle w:val="Heading2"/>
        <w:rPr>
          <w:lang w:val="es-419"/>
        </w:rPr>
      </w:pPr>
      <w:r w:rsidRPr="00126733">
        <w:rPr>
          <w:rFonts w:ascii="Calibri" w:eastAsia="Calibri" w:hAnsi="Calibri" w:cs="Calibri"/>
          <w:color w:val="2F5496"/>
          <w:lang w:val="es-419"/>
        </w:rPr>
        <w:t>Obtenga una revisión de la cobertura de Medicare</w:t>
      </w:r>
    </w:p>
    <w:p w14:paraId="7DACB382" w14:textId="77777777" w:rsidR="00026F6A" w:rsidRPr="00126733" w:rsidRDefault="00854620" w:rsidP="00026F6A">
      <w:pPr>
        <w:ind w:right="244"/>
        <w:rPr>
          <w:lang w:val="es-419"/>
        </w:rPr>
      </w:pPr>
      <w:r w:rsidRPr="00126733">
        <w:rPr>
          <w:rFonts w:ascii="Calibri" w:eastAsia="Calibri" w:hAnsi="Calibri" w:cs="Times New Roman"/>
          <w:lang w:val="es-419"/>
        </w:rPr>
        <w:t>Las necesidades de su cobertura de Medicare pueden haber cambiado. ¿Quiere saber si puede ahorrar más dinero en su cobertura o si califica para beneficios adicionales? ¡El programa Atención de Necesidades de Seguro de Salud de Todos (SHINE, Serving the Health Insurance Needs of Everyone) puede ayudarlo! El programa SHINE da información gratuita sobre seguros de salud a todos los beneficiarios de Medicare.</w:t>
      </w:r>
    </w:p>
    <w:p w14:paraId="656F904A" w14:textId="157D86DB" w:rsidR="00026F6A" w:rsidRPr="00126733" w:rsidRDefault="00854620" w:rsidP="00A748FA">
      <w:pPr>
        <w:ind w:right="60"/>
        <w:rPr>
          <w:rFonts w:cstheme="minorHAnsi"/>
          <w:color w:val="000000" w:themeColor="text1"/>
          <w:lang w:val="es-419"/>
        </w:rPr>
      </w:pPr>
      <w:r w:rsidRPr="00126733">
        <w:rPr>
          <w:rFonts w:ascii="Calibri" w:eastAsia="Calibri" w:hAnsi="Calibri" w:cs="Times New Roman"/>
          <w:b/>
          <w:bCs/>
          <w:lang w:val="es-419"/>
        </w:rPr>
        <w:t>Programe una cita con un Asesor de S</w:t>
      </w:r>
      <w:r w:rsidRPr="00126733">
        <w:rPr>
          <w:rFonts w:ascii="Calibri" w:eastAsia="Calibri" w:hAnsi="Calibri" w:cs="Calibri"/>
          <w:b/>
          <w:bCs/>
          <w:color w:val="000000"/>
          <w:lang w:val="es-419"/>
        </w:rPr>
        <w:t>HINE.</w:t>
      </w:r>
      <w:r w:rsidR="003416B6" w:rsidRPr="00126733">
        <w:rPr>
          <w:rFonts w:ascii="Calibri" w:eastAsia="Calibri" w:hAnsi="Calibri" w:cs="Calibri"/>
          <w:b/>
          <w:bCs/>
          <w:color w:val="000000"/>
          <w:lang w:val="es-419"/>
        </w:rPr>
        <w:t xml:space="preserve"> </w:t>
      </w:r>
      <w:r w:rsidRPr="00126733">
        <w:rPr>
          <w:rFonts w:ascii="Calibri" w:eastAsia="Calibri" w:hAnsi="Calibri" w:cs="Calibri"/>
          <w:color w:val="000000"/>
          <w:lang w:val="es-419"/>
        </w:rPr>
        <w:t>Puede responder</w:t>
      </w:r>
      <w:r w:rsidRPr="00126733">
        <w:rPr>
          <w:rFonts w:ascii="Calibri" w:eastAsia="Calibri" w:hAnsi="Calibri" w:cs="Calibri"/>
          <w:b/>
          <w:bCs/>
          <w:color w:val="000000"/>
          <w:lang w:val="es-419"/>
        </w:rPr>
        <w:t xml:space="preserve"> </w:t>
      </w:r>
      <w:r w:rsidRPr="00126733">
        <w:rPr>
          <w:rFonts w:ascii="Calibri" w:eastAsia="Calibri" w:hAnsi="Calibri" w:cs="Calibri"/>
          <w:color w:val="000000"/>
          <w:lang w:val="es-419"/>
        </w:rPr>
        <w:t xml:space="preserve">preguntas sobre su cobertura y los </w:t>
      </w:r>
      <w:r w:rsidRPr="00126733">
        <w:rPr>
          <w:rFonts w:ascii="Calibri" w:eastAsia="Calibri" w:hAnsi="Calibri" w:cs="Calibri"/>
          <w:color w:val="000000"/>
          <w:lang w:val="es-419"/>
        </w:rPr>
        <w:t>beneficios, y ayudarlo a entender sus opciones y a tomar decisiones.</w:t>
      </w:r>
    </w:p>
    <w:p w14:paraId="03FF4FB6" w14:textId="77777777" w:rsidR="00026F6A" w:rsidRPr="00126733" w:rsidRDefault="00854620" w:rsidP="00A748FA">
      <w:pPr>
        <w:keepNext/>
        <w:spacing w:after="0"/>
        <w:ind w:right="60"/>
        <w:rPr>
          <w:rStyle w:val="Hyperlink"/>
          <w:color w:val="auto"/>
          <w:u w:val="none"/>
          <w:lang w:val="es-419"/>
        </w:rPr>
      </w:pPr>
      <w:r w:rsidRPr="00126733">
        <w:rPr>
          <w:rFonts w:ascii="Calibri" w:eastAsia="Calibri" w:hAnsi="Calibri" w:cs="Calibri"/>
          <w:b/>
          <w:bCs/>
          <w:color w:val="000000"/>
          <w:lang w:val="es-419"/>
        </w:rPr>
        <w:lastRenderedPageBreak/>
        <w:t>Para hallar a un asesor de SHINE cerca de usted,</w:t>
      </w:r>
      <w:r w:rsidRPr="00854620">
        <w:rPr>
          <w:rFonts w:ascii="Calibri" w:eastAsia="Calibri" w:hAnsi="Calibri" w:cs="Calibri"/>
          <w:color w:val="000000"/>
          <w:lang w:val="es-419"/>
        </w:rPr>
        <w:t xml:space="preserve"> </w:t>
      </w:r>
      <w:r w:rsidRPr="00126733">
        <w:rPr>
          <w:rFonts w:ascii="Calibri" w:eastAsia="Calibri" w:hAnsi="Calibri" w:cs="Calibri"/>
          <w:color w:val="000000"/>
          <w:lang w:val="es-419"/>
        </w:rPr>
        <w:t>llame a MassOptions al (800) 243-4636 o v</w:t>
      </w:r>
      <w:r w:rsidRPr="00126733">
        <w:rPr>
          <w:rFonts w:ascii="Calibri" w:eastAsia="Calibri" w:hAnsi="Calibri" w:cs="Times New Roman"/>
          <w:lang w:val="es-419"/>
        </w:rPr>
        <w:t xml:space="preserve">isite </w:t>
      </w:r>
      <w:hyperlink r:id="rId12" w:history="1">
        <w:r w:rsidR="00026F6A" w:rsidRPr="00126733">
          <w:rPr>
            <w:rFonts w:ascii="Calibri" w:eastAsia="Calibri" w:hAnsi="Calibri" w:cs="Calibri"/>
            <w:color w:val="000000"/>
            <w:u w:val="single"/>
            <w:lang w:val="es-419"/>
          </w:rPr>
          <w:t>mass.gov/info-details/find-a-shine-counselor</w:t>
        </w:r>
      </w:hyperlink>
      <w:r w:rsidRPr="00126733">
        <w:rPr>
          <w:rFonts w:ascii="Calibri" w:eastAsia="Calibri" w:hAnsi="Calibri" w:cs="Calibri"/>
          <w:color w:val="000000"/>
          <w:lang w:val="es-419"/>
        </w:rPr>
        <w:t>.</w:t>
      </w:r>
    </w:p>
    <w:p w14:paraId="74A1B103" w14:textId="77777777" w:rsidR="00026F6A" w:rsidRPr="00126733" w:rsidRDefault="00026F6A" w:rsidP="00026F6A">
      <w:pPr>
        <w:spacing w:after="0"/>
        <w:ind w:right="60"/>
        <w:rPr>
          <w:lang w:val="es-419"/>
        </w:rPr>
      </w:pPr>
    </w:p>
    <w:p w14:paraId="7A10AD42" w14:textId="77777777" w:rsidR="00CA2898" w:rsidRPr="00126733" w:rsidRDefault="00854620" w:rsidP="00BC18DD">
      <w:pPr>
        <w:pStyle w:val="Heading2"/>
        <w:jc w:val="center"/>
        <w:rPr>
          <w:lang w:val="es-419"/>
        </w:rPr>
      </w:pPr>
      <w:r w:rsidRPr="00126733">
        <w:rPr>
          <w:rFonts w:ascii="Calibri" w:eastAsia="Calibri" w:hAnsi="Calibri" w:cs="Calibri"/>
          <w:color w:val="2F5496"/>
          <w:lang w:val="es-419"/>
        </w:rPr>
        <w:t>CONOZCA SUS DERECHOS:</w:t>
      </w:r>
    </w:p>
    <w:p w14:paraId="6CD3AFD7" w14:textId="77777777" w:rsidR="00CA2898" w:rsidRPr="00126733" w:rsidRDefault="00854620" w:rsidP="00CA2898">
      <w:pPr>
        <w:jc w:val="center"/>
        <w:rPr>
          <w:color w:val="2E74B5" w:themeColor="accent5" w:themeShade="BF"/>
          <w:lang w:val="es-419"/>
        </w:rPr>
      </w:pPr>
      <w:r w:rsidRPr="00126733">
        <w:rPr>
          <w:rFonts w:ascii="Calibri" w:eastAsia="Calibri" w:hAnsi="Calibri" w:cs="Times New Roman"/>
          <w:color w:val="2E74B5"/>
          <w:lang w:val="es-419"/>
        </w:rPr>
        <w:t>Protecciones de facturación del programa QMB</w:t>
      </w:r>
    </w:p>
    <w:p w14:paraId="100DB67B" w14:textId="77777777" w:rsidR="00CA2898" w:rsidRPr="00126733" w:rsidRDefault="00854620" w:rsidP="002E4B0D">
      <w:pPr>
        <w:rPr>
          <w:lang w:val="es-419"/>
        </w:rPr>
      </w:pPr>
      <w:r w:rsidRPr="00126733">
        <w:rPr>
          <w:rFonts w:ascii="Calibri" w:eastAsia="Calibri" w:hAnsi="Calibri" w:cs="Times New Roman"/>
          <w:lang w:val="es-419"/>
        </w:rPr>
        <w:t xml:space="preserve">Si usted está inscrito en el programa QMB, es ilegal que los proveedores de Medicare le facturen cualquier servicio o </w:t>
      </w:r>
      <w:r w:rsidRPr="00126733">
        <w:rPr>
          <w:rFonts w:ascii="Calibri" w:eastAsia="Calibri" w:hAnsi="Calibri" w:cs="Times New Roman"/>
          <w:lang w:val="es-419"/>
        </w:rPr>
        <w:t>artículo que cubra Medicare. Esto significa que</w:t>
      </w:r>
    </w:p>
    <w:p w14:paraId="791E4B65" w14:textId="77777777" w:rsidR="00CA2898" w:rsidRPr="00126733" w:rsidRDefault="00854620" w:rsidP="00CA2898">
      <w:pPr>
        <w:pStyle w:val="ListParagraph"/>
        <w:numPr>
          <w:ilvl w:val="0"/>
          <w:numId w:val="3"/>
        </w:numPr>
        <w:rPr>
          <w:lang w:val="es-419"/>
        </w:rPr>
      </w:pPr>
      <w:r w:rsidRPr="00126733">
        <w:rPr>
          <w:rFonts w:eastAsia="Calibri"/>
          <w:lang w:val="es-419"/>
        </w:rPr>
        <w:t>No debería pagar ningún copago por una visita al médico ni los exámenes que cubre Medicare.</w:t>
      </w:r>
    </w:p>
    <w:p w14:paraId="1A3F632C" w14:textId="77777777" w:rsidR="00CA2898" w:rsidRPr="00126733" w:rsidRDefault="00854620" w:rsidP="00CA2898">
      <w:pPr>
        <w:pStyle w:val="ListParagraph"/>
        <w:numPr>
          <w:ilvl w:val="0"/>
          <w:numId w:val="3"/>
        </w:numPr>
        <w:rPr>
          <w:lang w:val="es-419"/>
        </w:rPr>
      </w:pPr>
      <w:r w:rsidRPr="00126733">
        <w:rPr>
          <w:rFonts w:eastAsia="Calibri"/>
          <w:lang w:val="es-419"/>
        </w:rPr>
        <w:t>No debería recibir una factura de los médicos u hospitales que cubre Medicare.</w:t>
      </w:r>
    </w:p>
    <w:p w14:paraId="0CCC3DAB" w14:textId="77777777" w:rsidR="00CA2898" w:rsidRPr="00126733" w:rsidRDefault="00854620" w:rsidP="00CA2898">
      <w:pPr>
        <w:rPr>
          <w:lang w:val="es-419"/>
        </w:rPr>
      </w:pPr>
      <w:r w:rsidRPr="00126733">
        <w:rPr>
          <w:rFonts w:ascii="Calibri" w:eastAsia="Calibri" w:hAnsi="Calibri" w:cs="Times New Roman"/>
          <w:lang w:val="es-419"/>
        </w:rPr>
        <w:t>¿Qué pasa si estoy inscrito en QMB y recibo una factura?</w:t>
      </w:r>
    </w:p>
    <w:p w14:paraId="126682D2" w14:textId="0BAB2EC4" w:rsidR="00CA2898" w:rsidRPr="00126733" w:rsidRDefault="00854620" w:rsidP="00CA2898">
      <w:pPr>
        <w:pStyle w:val="ListParagraph"/>
        <w:numPr>
          <w:ilvl w:val="0"/>
          <w:numId w:val="4"/>
        </w:numPr>
        <w:rPr>
          <w:lang w:val="es-419"/>
        </w:rPr>
      </w:pPr>
      <w:r w:rsidRPr="00126733">
        <w:rPr>
          <w:rFonts w:eastAsia="Calibri"/>
          <w:lang w:val="es-419"/>
        </w:rPr>
        <w:t>Si usted recibe una factura o le piden que pague un copago por un servicio que cubre Medicare, dígale a su proveedor o cobrador que está en el Programa de Ahorros QMB de Medicare y que no le pueden cobrar por deducibles, coseguros o copagos de Medicare. Muestre sus tarjetas de Medicare y de MassHealth para que los proveedores sepan que usted está en el Programa de Ahorros QMB de Medicare. El proveedor puede comunicarse con Medicare para preguntar sobre cómo recibir el pago.</w:t>
      </w:r>
    </w:p>
    <w:p w14:paraId="01B56086" w14:textId="77777777" w:rsidR="00CA2898" w:rsidRPr="00126733" w:rsidRDefault="00854620" w:rsidP="00CA2898">
      <w:pPr>
        <w:pStyle w:val="ListParagraph"/>
        <w:numPr>
          <w:ilvl w:val="0"/>
          <w:numId w:val="4"/>
        </w:numPr>
        <w:rPr>
          <w:lang w:val="es-419"/>
        </w:rPr>
      </w:pPr>
      <w:r w:rsidRPr="00126733">
        <w:rPr>
          <w:rFonts w:eastAsia="Calibri"/>
          <w:lang w:val="es-419"/>
        </w:rPr>
        <w:t>Si usted ya pagó una factura por los servicios o los artículos que cubre Medicare, tiene derecho a un reembolso. Comuníquese con su médico o proveedor para saber cómo recibir un reembolso.</w:t>
      </w:r>
    </w:p>
    <w:p w14:paraId="2644AAEE" w14:textId="31108B52" w:rsidR="00CA2898" w:rsidRPr="00126733" w:rsidRDefault="00854620" w:rsidP="00CA2898">
      <w:pPr>
        <w:pStyle w:val="ListParagraph"/>
        <w:numPr>
          <w:ilvl w:val="0"/>
          <w:numId w:val="4"/>
        </w:numPr>
        <w:rPr>
          <w:lang w:val="es-419"/>
        </w:rPr>
      </w:pPr>
      <w:r w:rsidRPr="00126733">
        <w:rPr>
          <w:rFonts w:eastAsia="Calibri"/>
          <w:lang w:val="es-419"/>
        </w:rPr>
        <w:t xml:space="preserve">Si </w:t>
      </w:r>
      <w:r w:rsidR="003416B6" w:rsidRPr="00126733">
        <w:rPr>
          <w:rFonts w:eastAsia="Calibri"/>
          <w:lang w:val="es-419"/>
        </w:rPr>
        <w:t xml:space="preserve">usted </w:t>
      </w:r>
      <w:r w:rsidRPr="00126733">
        <w:rPr>
          <w:rFonts w:eastAsia="Calibri"/>
          <w:lang w:val="es-419"/>
        </w:rPr>
        <w:t>se inscribió en un plan de Medicare Advantage, comuníquese con el plan y pídales que suspendan los cargos.</w:t>
      </w:r>
    </w:p>
    <w:p w14:paraId="335E336C" w14:textId="20081C41" w:rsidR="00CA2898" w:rsidRPr="00126733" w:rsidRDefault="00854620" w:rsidP="00CC7019">
      <w:pPr>
        <w:pStyle w:val="ListParagraph"/>
        <w:numPr>
          <w:ilvl w:val="0"/>
          <w:numId w:val="4"/>
        </w:numPr>
        <w:rPr>
          <w:lang w:val="es-419"/>
        </w:rPr>
      </w:pPr>
      <w:r w:rsidRPr="00126733">
        <w:rPr>
          <w:rFonts w:eastAsia="Calibri"/>
          <w:lang w:val="es-419"/>
        </w:rPr>
        <w:t xml:space="preserve">Si su proveedor sigue facturándole, llame a Medicare al </w:t>
      </w:r>
      <w:r w:rsidRPr="00126733">
        <w:rPr>
          <w:rFonts w:eastAsia="Calibri"/>
          <w:lang w:val="es-419"/>
        </w:rPr>
        <w:t>(800)</w:t>
      </w:r>
      <w:r w:rsidR="003416B6" w:rsidRPr="00126733">
        <w:rPr>
          <w:rFonts w:eastAsia="Calibri"/>
          <w:lang w:val="es-419"/>
        </w:rPr>
        <w:t> </w:t>
      </w:r>
      <w:r w:rsidRPr="00126733">
        <w:rPr>
          <w:rFonts w:eastAsia="Calibri"/>
          <w:lang w:val="es-419"/>
        </w:rPr>
        <w:t>633-4227</w:t>
      </w:r>
      <w:r w:rsidR="008B1213" w:rsidRPr="00126733">
        <w:rPr>
          <w:rFonts w:eastAsia="Calibri"/>
          <w:lang w:val="es-419"/>
        </w:rPr>
        <w:t>/</w:t>
      </w:r>
      <w:r w:rsidR="008B1213" w:rsidRPr="00126733">
        <w:rPr>
          <w:rFonts w:eastAsia="Calibri"/>
          <w:lang w:val="es-419"/>
        </w:rPr>
        <w:t>1-800-MEDICARE</w:t>
      </w:r>
      <w:r w:rsidRPr="00126733">
        <w:rPr>
          <w:rFonts w:eastAsia="Calibri"/>
          <w:lang w:val="es-419"/>
        </w:rPr>
        <w:t>, TTY:</w:t>
      </w:r>
      <w:r w:rsidR="008B1213" w:rsidRPr="00126733">
        <w:rPr>
          <w:rFonts w:eastAsia="Calibri"/>
          <w:lang w:val="es-419"/>
        </w:rPr>
        <w:t> </w:t>
      </w:r>
      <w:r w:rsidRPr="00126733">
        <w:rPr>
          <w:rFonts w:eastAsia="Calibri"/>
          <w:lang w:val="es-419"/>
        </w:rPr>
        <w:t>(877) 486-2048.</w:t>
      </w:r>
    </w:p>
    <w:p w14:paraId="3FE7813D" w14:textId="77777777" w:rsidR="00A454E6" w:rsidRPr="00126733" w:rsidRDefault="00854620" w:rsidP="00A454E6">
      <w:pPr>
        <w:spacing w:after="0"/>
        <w:ind w:right="60"/>
        <w:rPr>
          <w:rFonts w:cstheme="minorHAnsi"/>
          <w:b/>
          <w:bCs/>
          <w:color w:val="000000" w:themeColor="text1"/>
          <w:lang w:val="es-419"/>
        </w:rPr>
      </w:pPr>
      <w:r w:rsidRPr="00126733">
        <w:rPr>
          <w:rFonts w:ascii="Calibri" w:eastAsia="Calibri" w:hAnsi="Calibri" w:cs="Calibri"/>
          <w:b/>
          <w:bCs/>
          <w:color w:val="000000"/>
          <w:lang w:val="es-419"/>
        </w:rPr>
        <w:t>¿Necesita más ayuda?</w:t>
      </w:r>
    </w:p>
    <w:p w14:paraId="2F55D42F" w14:textId="16EA4EB1" w:rsidR="00A454E6" w:rsidRPr="00126733" w:rsidRDefault="00854620" w:rsidP="00A748FA">
      <w:pPr>
        <w:pStyle w:val="ListParagraph"/>
        <w:numPr>
          <w:ilvl w:val="0"/>
          <w:numId w:val="7"/>
        </w:numPr>
        <w:spacing w:after="0"/>
        <w:ind w:right="60"/>
        <w:rPr>
          <w:rFonts w:eastAsia="Calibri" w:cstheme="minorHAnsi"/>
          <w:color w:val="000000" w:themeColor="text1"/>
          <w:lang w:val="es-419"/>
        </w:rPr>
      </w:pPr>
      <w:r w:rsidRPr="00126733">
        <w:rPr>
          <w:rFonts w:eastAsia="Calibri"/>
          <w:lang w:val="es-419"/>
        </w:rPr>
        <w:t>Llámenos al (800)</w:t>
      </w:r>
      <w:r w:rsidR="003416B6" w:rsidRPr="00126733">
        <w:rPr>
          <w:rFonts w:eastAsia="Calibri"/>
          <w:lang w:val="es-419"/>
        </w:rPr>
        <w:t> </w:t>
      </w:r>
      <w:r w:rsidRPr="00126733">
        <w:rPr>
          <w:rFonts w:eastAsia="Calibri"/>
          <w:lang w:val="es-419"/>
        </w:rPr>
        <w:t xml:space="preserve">841-2900, TDD/TTY: 711, </w:t>
      </w:r>
      <w:r w:rsidRPr="00126733">
        <w:rPr>
          <w:rFonts w:eastAsia="Calibri" w:cs="Calibri"/>
          <w:color w:val="000000"/>
          <w:lang w:val="es-419"/>
        </w:rPr>
        <w:t>de lunes a viernes, de 8:00 a.</w:t>
      </w:r>
      <w:r w:rsidR="003416B6" w:rsidRPr="00126733">
        <w:rPr>
          <w:rFonts w:eastAsia="Calibri" w:cs="Calibri"/>
          <w:color w:val="000000"/>
          <w:lang w:val="es-419"/>
        </w:rPr>
        <w:t> </w:t>
      </w:r>
      <w:r w:rsidRPr="00126733">
        <w:rPr>
          <w:rFonts w:eastAsia="Calibri" w:cs="Calibri"/>
          <w:color w:val="000000"/>
          <w:lang w:val="es-419"/>
        </w:rPr>
        <w:t>m. a 5:00 p.</w:t>
      </w:r>
      <w:r w:rsidR="003416B6" w:rsidRPr="00126733">
        <w:rPr>
          <w:rFonts w:eastAsia="Calibri" w:cs="Calibri"/>
          <w:color w:val="000000"/>
          <w:lang w:val="es-419"/>
        </w:rPr>
        <w:t> </w:t>
      </w:r>
      <w:r w:rsidRPr="00126733">
        <w:rPr>
          <w:rFonts w:eastAsia="Calibri" w:cs="Calibri"/>
          <w:color w:val="000000"/>
          <w:lang w:val="es-419"/>
        </w:rPr>
        <w:t>m.</w:t>
      </w:r>
    </w:p>
    <w:p w14:paraId="0AB9CC72" w14:textId="77777777" w:rsidR="00A454E6" w:rsidRPr="00126733" w:rsidRDefault="00854620" w:rsidP="00A748FA">
      <w:pPr>
        <w:pStyle w:val="ListParagraph"/>
        <w:numPr>
          <w:ilvl w:val="0"/>
          <w:numId w:val="7"/>
        </w:numPr>
        <w:spacing w:after="0"/>
        <w:ind w:right="60"/>
        <w:rPr>
          <w:rFonts w:eastAsia="Calibri" w:cstheme="minorHAnsi"/>
          <w:color w:val="000000" w:themeColor="text1"/>
          <w:lang w:val="es-419"/>
        </w:rPr>
      </w:pPr>
      <w:r w:rsidRPr="00126733">
        <w:rPr>
          <w:rFonts w:eastAsia="Calibri"/>
          <w:lang w:val="es-419"/>
        </w:rPr>
        <w:t xml:space="preserve">Programe una cita en </w:t>
      </w:r>
      <w:hyperlink r:id="rId13" w:history="1">
        <w:r w:rsidR="00A454E6" w:rsidRPr="00126733">
          <w:rPr>
            <w:rFonts w:eastAsia="Calibri"/>
            <w:color w:val="0563C1"/>
            <w:u w:val="single"/>
            <w:lang w:val="es-419"/>
          </w:rPr>
          <w:t>mass.gov/MassHealthAppointment</w:t>
        </w:r>
      </w:hyperlink>
      <w:r w:rsidRPr="00126733">
        <w:rPr>
          <w:rFonts w:eastAsia="Calibri" w:cs="Calibri"/>
          <w:color w:val="000000"/>
          <w:lang w:val="es-419"/>
        </w:rPr>
        <w:t>.</w:t>
      </w:r>
    </w:p>
    <w:p w14:paraId="14E4DBD4" w14:textId="51744DC9" w:rsidR="003146FF" w:rsidRPr="00126733" w:rsidRDefault="00854620" w:rsidP="003146FF">
      <w:pPr>
        <w:pStyle w:val="ListParagraph"/>
        <w:numPr>
          <w:ilvl w:val="0"/>
          <w:numId w:val="7"/>
        </w:numPr>
        <w:spacing w:after="0" w:line="240" w:lineRule="auto"/>
        <w:rPr>
          <w:rFonts w:eastAsia="Calibri" w:cstheme="minorHAnsi"/>
          <w:color w:val="000000" w:themeColor="text1"/>
          <w:lang w:val="es-419"/>
        </w:rPr>
      </w:pPr>
      <w:r w:rsidRPr="00126733">
        <w:rPr>
          <w:rFonts w:eastAsia="Calibri" w:cs="Calibri"/>
          <w:color w:val="000000"/>
          <w:lang w:val="es-419"/>
        </w:rPr>
        <w:t>Visite un Centro de Inscripción de MassHealth (MEC)</w:t>
      </w:r>
      <w:r w:rsidR="003416B6" w:rsidRPr="00126733">
        <w:rPr>
          <w:rFonts w:eastAsia="Calibri" w:cs="Calibri"/>
          <w:color w:val="000000"/>
          <w:lang w:val="es-419"/>
        </w:rPr>
        <w:t>.</w:t>
      </w:r>
      <w:r w:rsidRPr="00126733">
        <w:rPr>
          <w:rFonts w:eastAsia="Calibri" w:cs="Calibri"/>
          <w:color w:val="000000"/>
          <w:lang w:val="es-419"/>
        </w:rPr>
        <w:t xml:space="preserve"> Los MEC están abiertos para visitas sin cita previa </w:t>
      </w:r>
      <w:r w:rsidR="004625F0" w:rsidRPr="00126733">
        <w:rPr>
          <w:rFonts w:eastAsia="Calibri" w:cs="Calibri"/>
          <w:color w:val="000000"/>
          <w:lang w:val="es-419"/>
        </w:rPr>
        <w:t xml:space="preserve">limitadas </w:t>
      </w:r>
      <w:r w:rsidRPr="00126733">
        <w:rPr>
          <w:rFonts w:eastAsia="Calibri" w:cs="Calibri"/>
          <w:color w:val="000000"/>
          <w:lang w:val="es-419"/>
        </w:rPr>
        <w:t>de lunes a viernes</w:t>
      </w:r>
      <w:r w:rsidR="00641081" w:rsidRPr="00126733">
        <w:rPr>
          <w:rFonts w:eastAsia="Calibri" w:cs="Calibri"/>
          <w:color w:val="000000"/>
          <w:lang w:val="es-419"/>
        </w:rPr>
        <w:t>,</w:t>
      </w:r>
      <w:r w:rsidRPr="00126733">
        <w:rPr>
          <w:rFonts w:eastAsia="Calibri" w:cs="Calibri"/>
          <w:color w:val="000000"/>
          <w:lang w:val="es-419"/>
        </w:rPr>
        <w:t xml:space="preserve"> de 8:45 a.</w:t>
      </w:r>
      <w:r w:rsidR="003416B6" w:rsidRPr="00126733">
        <w:rPr>
          <w:rFonts w:eastAsia="Calibri" w:cs="Calibri"/>
          <w:color w:val="000000"/>
          <w:lang w:val="es-419"/>
        </w:rPr>
        <w:t> </w:t>
      </w:r>
      <w:r w:rsidRPr="00126733">
        <w:rPr>
          <w:rFonts w:eastAsia="Calibri" w:cs="Calibri"/>
          <w:color w:val="000000"/>
          <w:lang w:val="es-419"/>
        </w:rPr>
        <w:t>m. a 5:00 p.</w:t>
      </w:r>
      <w:r w:rsidR="003416B6" w:rsidRPr="00126733">
        <w:rPr>
          <w:rFonts w:eastAsia="Calibri" w:cs="Calibri"/>
          <w:color w:val="000000"/>
          <w:lang w:val="es-419"/>
        </w:rPr>
        <w:t> </w:t>
      </w:r>
      <w:r w:rsidRPr="00126733">
        <w:rPr>
          <w:rFonts w:eastAsia="Calibri" w:cs="Calibri"/>
          <w:color w:val="000000"/>
          <w:lang w:val="es-419"/>
        </w:rPr>
        <w:t>m.</w:t>
      </w:r>
    </w:p>
    <w:sectPr w:rsidR="003146FF" w:rsidRPr="0012673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35903" w14:textId="77777777" w:rsidR="006A038A" w:rsidRDefault="006A038A">
      <w:pPr>
        <w:spacing w:after="0" w:line="240" w:lineRule="auto"/>
      </w:pPr>
      <w:r>
        <w:separator/>
      </w:r>
    </w:p>
  </w:endnote>
  <w:endnote w:type="continuationSeparator" w:id="0">
    <w:p w14:paraId="48F261CC" w14:textId="77777777" w:rsidR="006A038A" w:rsidRDefault="006A0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F0E72" w14:textId="77777777" w:rsidR="000C73F2" w:rsidRPr="000C73F2" w:rsidRDefault="00854620">
    <w:pPr>
      <w:pStyle w:val="Footer"/>
      <w:rPr>
        <w:sz w:val="18"/>
        <w:szCs w:val="18"/>
      </w:rPr>
    </w:pPr>
    <w:r>
      <w:rPr>
        <w:rFonts w:ascii="Calibri" w:eastAsia="Calibri" w:hAnsi="Calibri" w:cs="Times New Roman"/>
        <w:sz w:val="18"/>
        <w:szCs w:val="18"/>
        <w:lang w:val="es-ES_tradnl"/>
      </w:rPr>
      <w:t>MSP-Info-ES_2025-05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C2B27" w14:textId="77777777" w:rsidR="006A038A" w:rsidRDefault="006A038A">
      <w:pPr>
        <w:spacing w:after="0" w:line="240" w:lineRule="auto"/>
      </w:pPr>
      <w:r>
        <w:separator/>
      </w:r>
    </w:p>
  </w:footnote>
  <w:footnote w:type="continuationSeparator" w:id="0">
    <w:p w14:paraId="49256130" w14:textId="77777777" w:rsidR="006A038A" w:rsidRDefault="006A0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C4041"/>
    <w:multiLevelType w:val="hybridMultilevel"/>
    <w:tmpl w:val="87100984"/>
    <w:lvl w:ilvl="0" w:tplc="EC16B8B8">
      <w:start w:val="1"/>
      <w:numFmt w:val="bullet"/>
      <w:lvlText w:val=""/>
      <w:lvlJc w:val="left"/>
      <w:pPr>
        <w:ind w:left="720" w:hanging="360"/>
      </w:pPr>
      <w:rPr>
        <w:rFonts w:ascii="Symbol" w:hAnsi="Symbol" w:hint="default"/>
        <w:sz w:val="26"/>
        <w:szCs w:val="26"/>
      </w:rPr>
    </w:lvl>
    <w:lvl w:ilvl="1" w:tplc="03E024AE" w:tentative="1">
      <w:start w:val="1"/>
      <w:numFmt w:val="bullet"/>
      <w:lvlText w:val="o"/>
      <w:lvlJc w:val="left"/>
      <w:pPr>
        <w:ind w:left="1440" w:hanging="360"/>
      </w:pPr>
      <w:rPr>
        <w:rFonts w:ascii="Courier New" w:hAnsi="Courier New" w:cs="Courier New" w:hint="default"/>
      </w:rPr>
    </w:lvl>
    <w:lvl w:ilvl="2" w:tplc="AA668ACA" w:tentative="1">
      <w:start w:val="1"/>
      <w:numFmt w:val="bullet"/>
      <w:lvlText w:val=""/>
      <w:lvlJc w:val="left"/>
      <w:pPr>
        <w:ind w:left="2160" w:hanging="360"/>
      </w:pPr>
      <w:rPr>
        <w:rFonts w:ascii="Wingdings" w:hAnsi="Wingdings" w:hint="default"/>
      </w:rPr>
    </w:lvl>
    <w:lvl w:ilvl="3" w:tplc="CF627766" w:tentative="1">
      <w:start w:val="1"/>
      <w:numFmt w:val="bullet"/>
      <w:lvlText w:val=""/>
      <w:lvlJc w:val="left"/>
      <w:pPr>
        <w:ind w:left="2880" w:hanging="360"/>
      </w:pPr>
      <w:rPr>
        <w:rFonts w:ascii="Symbol" w:hAnsi="Symbol" w:hint="default"/>
      </w:rPr>
    </w:lvl>
    <w:lvl w:ilvl="4" w:tplc="278444F0" w:tentative="1">
      <w:start w:val="1"/>
      <w:numFmt w:val="bullet"/>
      <w:lvlText w:val="o"/>
      <w:lvlJc w:val="left"/>
      <w:pPr>
        <w:ind w:left="3600" w:hanging="360"/>
      </w:pPr>
      <w:rPr>
        <w:rFonts w:ascii="Courier New" w:hAnsi="Courier New" w:cs="Courier New" w:hint="default"/>
      </w:rPr>
    </w:lvl>
    <w:lvl w:ilvl="5" w:tplc="37D65CD2" w:tentative="1">
      <w:start w:val="1"/>
      <w:numFmt w:val="bullet"/>
      <w:lvlText w:val=""/>
      <w:lvlJc w:val="left"/>
      <w:pPr>
        <w:ind w:left="4320" w:hanging="360"/>
      </w:pPr>
      <w:rPr>
        <w:rFonts w:ascii="Wingdings" w:hAnsi="Wingdings" w:hint="default"/>
      </w:rPr>
    </w:lvl>
    <w:lvl w:ilvl="6" w:tplc="59DCBC9A" w:tentative="1">
      <w:start w:val="1"/>
      <w:numFmt w:val="bullet"/>
      <w:lvlText w:val=""/>
      <w:lvlJc w:val="left"/>
      <w:pPr>
        <w:ind w:left="5040" w:hanging="360"/>
      </w:pPr>
      <w:rPr>
        <w:rFonts w:ascii="Symbol" w:hAnsi="Symbol" w:hint="default"/>
      </w:rPr>
    </w:lvl>
    <w:lvl w:ilvl="7" w:tplc="05CA8710" w:tentative="1">
      <w:start w:val="1"/>
      <w:numFmt w:val="bullet"/>
      <w:lvlText w:val="o"/>
      <w:lvlJc w:val="left"/>
      <w:pPr>
        <w:ind w:left="5760" w:hanging="360"/>
      </w:pPr>
      <w:rPr>
        <w:rFonts w:ascii="Courier New" w:hAnsi="Courier New" w:cs="Courier New" w:hint="default"/>
      </w:rPr>
    </w:lvl>
    <w:lvl w:ilvl="8" w:tplc="078036BC" w:tentative="1">
      <w:start w:val="1"/>
      <w:numFmt w:val="bullet"/>
      <w:lvlText w:val=""/>
      <w:lvlJc w:val="left"/>
      <w:pPr>
        <w:ind w:left="6480" w:hanging="360"/>
      </w:pPr>
      <w:rPr>
        <w:rFonts w:ascii="Wingdings" w:hAnsi="Wingdings" w:hint="default"/>
      </w:rPr>
    </w:lvl>
  </w:abstractNum>
  <w:abstractNum w:abstractNumId="1" w15:restartNumberingAfterBreak="0">
    <w:nsid w:val="20010078"/>
    <w:multiLevelType w:val="hybridMultilevel"/>
    <w:tmpl w:val="6910EF5A"/>
    <w:lvl w:ilvl="0" w:tplc="99F0F3FE">
      <w:start w:val="1"/>
      <w:numFmt w:val="bullet"/>
      <w:lvlText w:val=""/>
      <w:lvlJc w:val="left"/>
      <w:pPr>
        <w:ind w:left="900" w:hanging="360"/>
      </w:pPr>
      <w:rPr>
        <w:rFonts w:ascii="Symbol" w:hAnsi="Symbol" w:hint="default"/>
      </w:rPr>
    </w:lvl>
    <w:lvl w:ilvl="1" w:tplc="DB0C0AEE" w:tentative="1">
      <w:start w:val="1"/>
      <w:numFmt w:val="bullet"/>
      <w:lvlText w:val="o"/>
      <w:lvlJc w:val="left"/>
      <w:pPr>
        <w:ind w:left="1620" w:hanging="360"/>
      </w:pPr>
      <w:rPr>
        <w:rFonts w:ascii="Courier New" w:hAnsi="Courier New" w:cs="Courier New" w:hint="default"/>
      </w:rPr>
    </w:lvl>
    <w:lvl w:ilvl="2" w:tplc="8EE08882" w:tentative="1">
      <w:start w:val="1"/>
      <w:numFmt w:val="bullet"/>
      <w:lvlText w:val=""/>
      <w:lvlJc w:val="left"/>
      <w:pPr>
        <w:ind w:left="2340" w:hanging="360"/>
      </w:pPr>
      <w:rPr>
        <w:rFonts w:ascii="Wingdings" w:hAnsi="Wingdings" w:hint="default"/>
      </w:rPr>
    </w:lvl>
    <w:lvl w:ilvl="3" w:tplc="6436033A" w:tentative="1">
      <w:start w:val="1"/>
      <w:numFmt w:val="bullet"/>
      <w:lvlText w:val=""/>
      <w:lvlJc w:val="left"/>
      <w:pPr>
        <w:ind w:left="3060" w:hanging="360"/>
      </w:pPr>
      <w:rPr>
        <w:rFonts w:ascii="Symbol" w:hAnsi="Symbol" w:hint="default"/>
      </w:rPr>
    </w:lvl>
    <w:lvl w:ilvl="4" w:tplc="4B36BB4C" w:tentative="1">
      <w:start w:val="1"/>
      <w:numFmt w:val="bullet"/>
      <w:lvlText w:val="o"/>
      <w:lvlJc w:val="left"/>
      <w:pPr>
        <w:ind w:left="3780" w:hanging="360"/>
      </w:pPr>
      <w:rPr>
        <w:rFonts w:ascii="Courier New" w:hAnsi="Courier New" w:cs="Courier New" w:hint="default"/>
      </w:rPr>
    </w:lvl>
    <w:lvl w:ilvl="5" w:tplc="FDB6C664" w:tentative="1">
      <w:start w:val="1"/>
      <w:numFmt w:val="bullet"/>
      <w:lvlText w:val=""/>
      <w:lvlJc w:val="left"/>
      <w:pPr>
        <w:ind w:left="4500" w:hanging="360"/>
      </w:pPr>
      <w:rPr>
        <w:rFonts w:ascii="Wingdings" w:hAnsi="Wingdings" w:hint="default"/>
      </w:rPr>
    </w:lvl>
    <w:lvl w:ilvl="6" w:tplc="6BE481F2" w:tentative="1">
      <w:start w:val="1"/>
      <w:numFmt w:val="bullet"/>
      <w:lvlText w:val=""/>
      <w:lvlJc w:val="left"/>
      <w:pPr>
        <w:ind w:left="5220" w:hanging="360"/>
      </w:pPr>
      <w:rPr>
        <w:rFonts w:ascii="Symbol" w:hAnsi="Symbol" w:hint="default"/>
      </w:rPr>
    </w:lvl>
    <w:lvl w:ilvl="7" w:tplc="8FB48662" w:tentative="1">
      <w:start w:val="1"/>
      <w:numFmt w:val="bullet"/>
      <w:lvlText w:val="o"/>
      <w:lvlJc w:val="left"/>
      <w:pPr>
        <w:ind w:left="5940" w:hanging="360"/>
      </w:pPr>
      <w:rPr>
        <w:rFonts w:ascii="Courier New" w:hAnsi="Courier New" w:cs="Courier New" w:hint="default"/>
      </w:rPr>
    </w:lvl>
    <w:lvl w:ilvl="8" w:tplc="F6F2327A" w:tentative="1">
      <w:start w:val="1"/>
      <w:numFmt w:val="bullet"/>
      <w:lvlText w:val=""/>
      <w:lvlJc w:val="left"/>
      <w:pPr>
        <w:ind w:left="6660" w:hanging="360"/>
      </w:pPr>
      <w:rPr>
        <w:rFonts w:ascii="Wingdings" w:hAnsi="Wingdings" w:hint="default"/>
      </w:rPr>
    </w:lvl>
  </w:abstractNum>
  <w:abstractNum w:abstractNumId="2" w15:restartNumberingAfterBreak="0">
    <w:nsid w:val="20D261D0"/>
    <w:multiLevelType w:val="hybridMultilevel"/>
    <w:tmpl w:val="C046F996"/>
    <w:lvl w:ilvl="0" w:tplc="D86C38DA">
      <w:start w:val="1"/>
      <w:numFmt w:val="decimal"/>
      <w:lvlText w:val="%1."/>
      <w:lvlJc w:val="left"/>
      <w:pPr>
        <w:ind w:left="720" w:hanging="360"/>
      </w:pPr>
      <w:rPr>
        <w:rFonts w:hint="default"/>
      </w:rPr>
    </w:lvl>
    <w:lvl w:ilvl="1" w:tplc="95B4A4DE" w:tentative="1">
      <w:start w:val="1"/>
      <w:numFmt w:val="lowerLetter"/>
      <w:lvlText w:val="%2."/>
      <w:lvlJc w:val="left"/>
      <w:pPr>
        <w:ind w:left="1440" w:hanging="360"/>
      </w:pPr>
    </w:lvl>
    <w:lvl w:ilvl="2" w:tplc="8CBA23E2" w:tentative="1">
      <w:start w:val="1"/>
      <w:numFmt w:val="lowerRoman"/>
      <w:lvlText w:val="%3."/>
      <w:lvlJc w:val="right"/>
      <w:pPr>
        <w:ind w:left="2160" w:hanging="180"/>
      </w:pPr>
    </w:lvl>
    <w:lvl w:ilvl="3" w:tplc="F6129750" w:tentative="1">
      <w:start w:val="1"/>
      <w:numFmt w:val="decimal"/>
      <w:lvlText w:val="%4."/>
      <w:lvlJc w:val="left"/>
      <w:pPr>
        <w:ind w:left="2880" w:hanging="360"/>
      </w:pPr>
    </w:lvl>
    <w:lvl w:ilvl="4" w:tplc="489AAF20" w:tentative="1">
      <w:start w:val="1"/>
      <w:numFmt w:val="lowerLetter"/>
      <w:lvlText w:val="%5."/>
      <w:lvlJc w:val="left"/>
      <w:pPr>
        <w:ind w:left="3600" w:hanging="360"/>
      </w:pPr>
    </w:lvl>
    <w:lvl w:ilvl="5" w:tplc="D1A06CBE" w:tentative="1">
      <w:start w:val="1"/>
      <w:numFmt w:val="lowerRoman"/>
      <w:lvlText w:val="%6."/>
      <w:lvlJc w:val="right"/>
      <w:pPr>
        <w:ind w:left="4320" w:hanging="180"/>
      </w:pPr>
    </w:lvl>
    <w:lvl w:ilvl="6" w:tplc="0CEC402C" w:tentative="1">
      <w:start w:val="1"/>
      <w:numFmt w:val="decimal"/>
      <w:lvlText w:val="%7."/>
      <w:lvlJc w:val="left"/>
      <w:pPr>
        <w:ind w:left="5040" w:hanging="360"/>
      </w:pPr>
    </w:lvl>
    <w:lvl w:ilvl="7" w:tplc="3FF06CD8" w:tentative="1">
      <w:start w:val="1"/>
      <w:numFmt w:val="lowerLetter"/>
      <w:lvlText w:val="%8."/>
      <w:lvlJc w:val="left"/>
      <w:pPr>
        <w:ind w:left="5760" w:hanging="360"/>
      </w:pPr>
    </w:lvl>
    <w:lvl w:ilvl="8" w:tplc="2CFC1F42" w:tentative="1">
      <w:start w:val="1"/>
      <w:numFmt w:val="lowerRoman"/>
      <w:lvlText w:val="%9."/>
      <w:lvlJc w:val="right"/>
      <w:pPr>
        <w:ind w:left="6480" w:hanging="180"/>
      </w:pPr>
    </w:lvl>
  </w:abstractNum>
  <w:abstractNum w:abstractNumId="3" w15:restartNumberingAfterBreak="0">
    <w:nsid w:val="312C2B00"/>
    <w:multiLevelType w:val="hybridMultilevel"/>
    <w:tmpl w:val="BF4A0260"/>
    <w:lvl w:ilvl="0" w:tplc="D38C5B08">
      <w:start w:val="1"/>
      <w:numFmt w:val="bullet"/>
      <w:lvlText w:val=""/>
      <w:lvlJc w:val="left"/>
      <w:pPr>
        <w:ind w:left="720" w:hanging="360"/>
      </w:pPr>
      <w:rPr>
        <w:rFonts w:ascii="Symbol" w:hAnsi="Symbol" w:hint="default"/>
      </w:rPr>
    </w:lvl>
    <w:lvl w:ilvl="1" w:tplc="CE006E4A" w:tentative="1">
      <w:start w:val="1"/>
      <w:numFmt w:val="bullet"/>
      <w:lvlText w:val="o"/>
      <w:lvlJc w:val="left"/>
      <w:pPr>
        <w:ind w:left="1440" w:hanging="360"/>
      </w:pPr>
      <w:rPr>
        <w:rFonts w:ascii="Courier New" w:hAnsi="Courier New" w:cs="Courier New" w:hint="default"/>
      </w:rPr>
    </w:lvl>
    <w:lvl w:ilvl="2" w:tplc="992EE88E" w:tentative="1">
      <w:start w:val="1"/>
      <w:numFmt w:val="bullet"/>
      <w:lvlText w:val=""/>
      <w:lvlJc w:val="left"/>
      <w:pPr>
        <w:ind w:left="2160" w:hanging="360"/>
      </w:pPr>
      <w:rPr>
        <w:rFonts w:ascii="Wingdings" w:hAnsi="Wingdings" w:hint="default"/>
      </w:rPr>
    </w:lvl>
    <w:lvl w:ilvl="3" w:tplc="0D0A8048" w:tentative="1">
      <w:start w:val="1"/>
      <w:numFmt w:val="bullet"/>
      <w:lvlText w:val=""/>
      <w:lvlJc w:val="left"/>
      <w:pPr>
        <w:ind w:left="2880" w:hanging="360"/>
      </w:pPr>
      <w:rPr>
        <w:rFonts w:ascii="Symbol" w:hAnsi="Symbol" w:hint="default"/>
      </w:rPr>
    </w:lvl>
    <w:lvl w:ilvl="4" w:tplc="C960F4DA" w:tentative="1">
      <w:start w:val="1"/>
      <w:numFmt w:val="bullet"/>
      <w:lvlText w:val="o"/>
      <w:lvlJc w:val="left"/>
      <w:pPr>
        <w:ind w:left="3600" w:hanging="360"/>
      </w:pPr>
      <w:rPr>
        <w:rFonts w:ascii="Courier New" w:hAnsi="Courier New" w:cs="Courier New" w:hint="default"/>
      </w:rPr>
    </w:lvl>
    <w:lvl w:ilvl="5" w:tplc="F404EAC8" w:tentative="1">
      <w:start w:val="1"/>
      <w:numFmt w:val="bullet"/>
      <w:lvlText w:val=""/>
      <w:lvlJc w:val="left"/>
      <w:pPr>
        <w:ind w:left="4320" w:hanging="360"/>
      </w:pPr>
      <w:rPr>
        <w:rFonts w:ascii="Wingdings" w:hAnsi="Wingdings" w:hint="default"/>
      </w:rPr>
    </w:lvl>
    <w:lvl w:ilvl="6" w:tplc="90B4CF4A" w:tentative="1">
      <w:start w:val="1"/>
      <w:numFmt w:val="bullet"/>
      <w:lvlText w:val=""/>
      <w:lvlJc w:val="left"/>
      <w:pPr>
        <w:ind w:left="5040" w:hanging="360"/>
      </w:pPr>
      <w:rPr>
        <w:rFonts w:ascii="Symbol" w:hAnsi="Symbol" w:hint="default"/>
      </w:rPr>
    </w:lvl>
    <w:lvl w:ilvl="7" w:tplc="E90CEF0C" w:tentative="1">
      <w:start w:val="1"/>
      <w:numFmt w:val="bullet"/>
      <w:lvlText w:val="o"/>
      <w:lvlJc w:val="left"/>
      <w:pPr>
        <w:ind w:left="5760" w:hanging="360"/>
      </w:pPr>
      <w:rPr>
        <w:rFonts w:ascii="Courier New" w:hAnsi="Courier New" w:cs="Courier New" w:hint="default"/>
      </w:rPr>
    </w:lvl>
    <w:lvl w:ilvl="8" w:tplc="441E9566" w:tentative="1">
      <w:start w:val="1"/>
      <w:numFmt w:val="bullet"/>
      <w:lvlText w:val=""/>
      <w:lvlJc w:val="left"/>
      <w:pPr>
        <w:ind w:left="6480" w:hanging="360"/>
      </w:pPr>
      <w:rPr>
        <w:rFonts w:ascii="Wingdings" w:hAnsi="Wingdings" w:hint="default"/>
      </w:rPr>
    </w:lvl>
  </w:abstractNum>
  <w:abstractNum w:abstractNumId="4" w15:restartNumberingAfterBreak="0">
    <w:nsid w:val="36A06998"/>
    <w:multiLevelType w:val="hybridMultilevel"/>
    <w:tmpl w:val="7F00AECE"/>
    <w:lvl w:ilvl="0" w:tplc="DEE21FD2">
      <w:start w:val="1"/>
      <w:numFmt w:val="bullet"/>
      <w:lvlText w:val=""/>
      <w:lvlJc w:val="left"/>
      <w:pPr>
        <w:ind w:left="720" w:hanging="360"/>
      </w:pPr>
      <w:rPr>
        <w:rFonts w:ascii="Symbol" w:hAnsi="Symbol" w:hint="default"/>
      </w:rPr>
    </w:lvl>
    <w:lvl w:ilvl="1" w:tplc="3124910A" w:tentative="1">
      <w:start w:val="1"/>
      <w:numFmt w:val="bullet"/>
      <w:lvlText w:val="o"/>
      <w:lvlJc w:val="left"/>
      <w:pPr>
        <w:ind w:left="1440" w:hanging="360"/>
      </w:pPr>
      <w:rPr>
        <w:rFonts w:ascii="Courier New" w:hAnsi="Courier New" w:cs="Courier New" w:hint="default"/>
      </w:rPr>
    </w:lvl>
    <w:lvl w:ilvl="2" w:tplc="B4F6BF02" w:tentative="1">
      <w:start w:val="1"/>
      <w:numFmt w:val="bullet"/>
      <w:lvlText w:val=""/>
      <w:lvlJc w:val="left"/>
      <w:pPr>
        <w:ind w:left="2160" w:hanging="360"/>
      </w:pPr>
      <w:rPr>
        <w:rFonts w:ascii="Wingdings" w:hAnsi="Wingdings" w:hint="default"/>
      </w:rPr>
    </w:lvl>
    <w:lvl w:ilvl="3" w:tplc="3E4417B6" w:tentative="1">
      <w:start w:val="1"/>
      <w:numFmt w:val="bullet"/>
      <w:lvlText w:val=""/>
      <w:lvlJc w:val="left"/>
      <w:pPr>
        <w:ind w:left="2880" w:hanging="360"/>
      </w:pPr>
      <w:rPr>
        <w:rFonts w:ascii="Symbol" w:hAnsi="Symbol" w:hint="default"/>
      </w:rPr>
    </w:lvl>
    <w:lvl w:ilvl="4" w:tplc="F46A2924" w:tentative="1">
      <w:start w:val="1"/>
      <w:numFmt w:val="bullet"/>
      <w:lvlText w:val="o"/>
      <w:lvlJc w:val="left"/>
      <w:pPr>
        <w:ind w:left="3600" w:hanging="360"/>
      </w:pPr>
      <w:rPr>
        <w:rFonts w:ascii="Courier New" w:hAnsi="Courier New" w:cs="Courier New" w:hint="default"/>
      </w:rPr>
    </w:lvl>
    <w:lvl w:ilvl="5" w:tplc="C3726B38" w:tentative="1">
      <w:start w:val="1"/>
      <w:numFmt w:val="bullet"/>
      <w:lvlText w:val=""/>
      <w:lvlJc w:val="left"/>
      <w:pPr>
        <w:ind w:left="4320" w:hanging="360"/>
      </w:pPr>
      <w:rPr>
        <w:rFonts w:ascii="Wingdings" w:hAnsi="Wingdings" w:hint="default"/>
      </w:rPr>
    </w:lvl>
    <w:lvl w:ilvl="6" w:tplc="ABE4F246" w:tentative="1">
      <w:start w:val="1"/>
      <w:numFmt w:val="bullet"/>
      <w:lvlText w:val=""/>
      <w:lvlJc w:val="left"/>
      <w:pPr>
        <w:ind w:left="5040" w:hanging="360"/>
      </w:pPr>
      <w:rPr>
        <w:rFonts w:ascii="Symbol" w:hAnsi="Symbol" w:hint="default"/>
      </w:rPr>
    </w:lvl>
    <w:lvl w:ilvl="7" w:tplc="1396A43A" w:tentative="1">
      <w:start w:val="1"/>
      <w:numFmt w:val="bullet"/>
      <w:lvlText w:val="o"/>
      <w:lvlJc w:val="left"/>
      <w:pPr>
        <w:ind w:left="5760" w:hanging="360"/>
      </w:pPr>
      <w:rPr>
        <w:rFonts w:ascii="Courier New" w:hAnsi="Courier New" w:cs="Courier New" w:hint="default"/>
      </w:rPr>
    </w:lvl>
    <w:lvl w:ilvl="8" w:tplc="B9986DB6" w:tentative="1">
      <w:start w:val="1"/>
      <w:numFmt w:val="bullet"/>
      <w:lvlText w:val=""/>
      <w:lvlJc w:val="left"/>
      <w:pPr>
        <w:ind w:left="6480" w:hanging="360"/>
      </w:pPr>
      <w:rPr>
        <w:rFonts w:ascii="Wingdings" w:hAnsi="Wingdings" w:hint="default"/>
      </w:rPr>
    </w:lvl>
  </w:abstractNum>
  <w:abstractNum w:abstractNumId="5" w15:restartNumberingAfterBreak="0">
    <w:nsid w:val="40303D79"/>
    <w:multiLevelType w:val="hybridMultilevel"/>
    <w:tmpl w:val="2628574E"/>
    <w:lvl w:ilvl="0" w:tplc="C142BB6A">
      <w:start w:val="1"/>
      <w:numFmt w:val="bullet"/>
      <w:lvlText w:val=""/>
      <w:lvlJc w:val="left"/>
      <w:pPr>
        <w:ind w:left="720" w:hanging="360"/>
      </w:pPr>
      <w:rPr>
        <w:rFonts w:ascii="Symbol" w:hAnsi="Symbol" w:hint="default"/>
      </w:rPr>
    </w:lvl>
    <w:lvl w:ilvl="1" w:tplc="4A7E149E" w:tentative="1">
      <w:start w:val="1"/>
      <w:numFmt w:val="bullet"/>
      <w:lvlText w:val="o"/>
      <w:lvlJc w:val="left"/>
      <w:pPr>
        <w:ind w:left="1440" w:hanging="360"/>
      </w:pPr>
      <w:rPr>
        <w:rFonts w:ascii="Courier New" w:hAnsi="Courier New" w:cs="Courier New" w:hint="default"/>
      </w:rPr>
    </w:lvl>
    <w:lvl w:ilvl="2" w:tplc="623627C8" w:tentative="1">
      <w:start w:val="1"/>
      <w:numFmt w:val="bullet"/>
      <w:lvlText w:val=""/>
      <w:lvlJc w:val="left"/>
      <w:pPr>
        <w:ind w:left="2160" w:hanging="360"/>
      </w:pPr>
      <w:rPr>
        <w:rFonts w:ascii="Wingdings" w:hAnsi="Wingdings" w:hint="default"/>
      </w:rPr>
    </w:lvl>
    <w:lvl w:ilvl="3" w:tplc="AB9AB49E" w:tentative="1">
      <w:start w:val="1"/>
      <w:numFmt w:val="bullet"/>
      <w:lvlText w:val=""/>
      <w:lvlJc w:val="left"/>
      <w:pPr>
        <w:ind w:left="2880" w:hanging="360"/>
      </w:pPr>
      <w:rPr>
        <w:rFonts w:ascii="Symbol" w:hAnsi="Symbol" w:hint="default"/>
      </w:rPr>
    </w:lvl>
    <w:lvl w:ilvl="4" w:tplc="8B769650" w:tentative="1">
      <w:start w:val="1"/>
      <w:numFmt w:val="bullet"/>
      <w:lvlText w:val="o"/>
      <w:lvlJc w:val="left"/>
      <w:pPr>
        <w:ind w:left="3600" w:hanging="360"/>
      </w:pPr>
      <w:rPr>
        <w:rFonts w:ascii="Courier New" w:hAnsi="Courier New" w:cs="Courier New" w:hint="default"/>
      </w:rPr>
    </w:lvl>
    <w:lvl w:ilvl="5" w:tplc="14AA3BA4" w:tentative="1">
      <w:start w:val="1"/>
      <w:numFmt w:val="bullet"/>
      <w:lvlText w:val=""/>
      <w:lvlJc w:val="left"/>
      <w:pPr>
        <w:ind w:left="4320" w:hanging="360"/>
      </w:pPr>
      <w:rPr>
        <w:rFonts w:ascii="Wingdings" w:hAnsi="Wingdings" w:hint="default"/>
      </w:rPr>
    </w:lvl>
    <w:lvl w:ilvl="6" w:tplc="700CDC72" w:tentative="1">
      <w:start w:val="1"/>
      <w:numFmt w:val="bullet"/>
      <w:lvlText w:val=""/>
      <w:lvlJc w:val="left"/>
      <w:pPr>
        <w:ind w:left="5040" w:hanging="360"/>
      </w:pPr>
      <w:rPr>
        <w:rFonts w:ascii="Symbol" w:hAnsi="Symbol" w:hint="default"/>
      </w:rPr>
    </w:lvl>
    <w:lvl w:ilvl="7" w:tplc="9A7051BC" w:tentative="1">
      <w:start w:val="1"/>
      <w:numFmt w:val="bullet"/>
      <w:lvlText w:val="o"/>
      <w:lvlJc w:val="left"/>
      <w:pPr>
        <w:ind w:left="5760" w:hanging="360"/>
      </w:pPr>
      <w:rPr>
        <w:rFonts w:ascii="Courier New" w:hAnsi="Courier New" w:cs="Courier New" w:hint="default"/>
      </w:rPr>
    </w:lvl>
    <w:lvl w:ilvl="8" w:tplc="EC840D0E" w:tentative="1">
      <w:start w:val="1"/>
      <w:numFmt w:val="bullet"/>
      <w:lvlText w:val=""/>
      <w:lvlJc w:val="left"/>
      <w:pPr>
        <w:ind w:left="6480" w:hanging="360"/>
      </w:pPr>
      <w:rPr>
        <w:rFonts w:ascii="Wingdings" w:hAnsi="Wingdings" w:hint="default"/>
      </w:rPr>
    </w:lvl>
  </w:abstractNum>
  <w:abstractNum w:abstractNumId="6" w15:restartNumberingAfterBreak="0">
    <w:nsid w:val="61925A9C"/>
    <w:multiLevelType w:val="hybridMultilevel"/>
    <w:tmpl w:val="C7C66942"/>
    <w:lvl w:ilvl="0" w:tplc="6838856E">
      <w:start w:val="1"/>
      <w:numFmt w:val="bullet"/>
      <w:lvlText w:val=""/>
      <w:lvlJc w:val="left"/>
      <w:pPr>
        <w:ind w:left="720" w:hanging="360"/>
      </w:pPr>
      <w:rPr>
        <w:rFonts w:ascii="Symbol" w:hAnsi="Symbol" w:hint="default"/>
      </w:rPr>
    </w:lvl>
    <w:lvl w:ilvl="1" w:tplc="2F0EAE38" w:tentative="1">
      <w:start w:val="1"/>
      <w:numFmt w:val="bullet"/>
      <w:lvlText w:val="o"/>
      <w:lvlJc w:val="left"/>
      <w:pPr>
        <w:ind w:left="1440" w:hanging="360"/>
      </w:pPr>
      <w:rPr>
        <w:rFonts w:ascii="Courier New" w:hAnsi="Courier New" w:cs="Courier New" w:hint="default"/>
      </w:rPr>
    </w:lvl>
    <w:lvl w:ilvl="2" w:tplc="35EC26D0" w:tentative="1">
      <w:start w:val="1"/>
      <w:numFmt w:val="bullet"/>
      <w:lvlText w:val=""/>
      <w:lvlJc w:val="left"/>
      <w:pPr>
        <w:ind w:left="2160" w:hanging="360"/>
      </w:pPr>
      <w:rPr>
        <w:rFonts w:ascii="Wingdings" w:hAnsi="Wingdings" w:hint="default"/>
      </w:rPr>
    </w:lvl>
    <w:lvl w:ilvl="3" w:tplc="8168E4BA" w:tentative="1">
      <w:start w:val="1"/>
      <w:numFmt w:val="bullet"/>
      <w:lvlText w:val=""/>
      <w:lvlJc w:val="left"/>
      <w:pPr>
        <w:ind w:left="2880" w:hanging="360"/>
      </w:pPr>
      <w:rPr>
        <w:rFonts w:ascii="Symbol" w:hAnsi="Symbol" w:hint="default"/>
      </w:rPr>
    </w:lvl>
    <w:lvl w:ilvl="4" w:tplc="440289CC" w:tentative="1">
      <w:start w:val="1"/>
      <w:numFmt w:val="bullet"/>
      <w:lvlText w:val="o"/>
      <w:lvlJc w:val="left"/>
      <w:pPr>
        <w:ind w:left="3600" w:hanging="360"/>
      </w:pPr>
      <w:rPr>
        <w:rFonts w:ascii="Courier New" w:hAnsi="Courier New" w:cs="Courier New" w:hint="default"/>
      </w:rPr>
    </w:lvl>
    <w:lvl w:ilvl="5" w:tplc="CB90F408" w:tentative="1">
      <w:start w:val="1"/>
      <w:numFmt w:val="bullet"/>
      <w:lvlText w:val=""/>
      <w:lvlJc w:val="left"/>
      <w:pPr>
        <w:ind w:left="4320" w:hanging="360"/>
      </w:pPr>
      <w:rPr>
        <w:rFonts w:ascii="Wingdings" w:hAnsi="Wingdings" w:hint="default"/>
      </w:rPr>
    </w:lvl>
    <w:lvl w:ilvl="6" w:tplc="A05C509E" w:tentative="1">
      <w:start w:val="1"/>
      <w:numFmt w:val="bullet"/>
      <w:lvlText w:val=""/>
      <w:lvlJc w:val="left"/>
      <w:pPr>
        <w:ind w:left="5040" w:hanging="360"/>
      </w:pPr>
      <w:rPr>
        <w:rFonts w:ascii="Symbol" w:hAnsi="Symbol" w:hint="default"/>
      </w:rPr>
    </w:lvl>
    <w:lvl w:ilvl="7" w:tplc="4AAC2B18" w:tentative="1">
      <w:start w:val="1"/>
      <w:numFmt w:val="bullet"/>
      <w:lvlText w:val="o"/>
      <w:lvlJc w:val="left"/>
      <w:pPr>
        <w:ind w:left="5760" w:hanging="360"/>
      </w:pPr>
      <w:rPr>
        <w:rFonts w:ascii="Courier New" w:hAnsi="Courier New" w:cs="Courier New" w:hint="default"/>
      </w:rPr>
    </w:lvl>
    <w:lvl w:ilvl="8" w:tplc="8984EE98" w:tentative="1">
      <w:start w:val="1"/>
      <w:numFmt w:val="bullet"/>
      <w:lvlText w:val=""/>
      <w:lvlJc w:val="left"/>
      <w:pPr>
        <w:ind w:left="6480" w:hanging="360"/>
      </w:pPr>
      <w:rPr>
        <w:rFonts w:ascii="Wingdings" w:hAnsi="Wingdings" w:hint="default"/>
      </w:rPr>
    </w:lvl>
  </w:abstractNum>
  <w:num w:numId="1" w16cid:durableId="2012877025">
    <w:abstractNumId w:val="5"/>
  </w:num>
  <w:num w:numId="2" w16cid:durableId="1765761345">
    <w:abstractNumId w:val="4"/>
  </w:num>
  <w:num w:numId="3" w16cid:durableId="814570689">
    <w:abstractNumId w:val="3"/>
  </w:num>
  <w:num w:numId="4" w16cid:durableId="1539200084">
    <w:abstractNumId w:val="2"/>
  </w:num>
  <w:num w:numId="5" w16cid:durableId="1646739650">
    <w:abstractNumId w:val="1"/>
  </w:num>
  <w:num w:numId="6" w16cid:durableId="1704473803">
    <w:abstractNumId w:val="0"/>
  </w:num>
  <w:num w:numId="7" w16cid:durableId="7929449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B0D"/>
    <w:rsid w:val="00007128"/>
    <w:rsid w:val="0001691F"/>
    <w:rsid w:val="00026F6A"/>
    <w:rsid w:val="00027F5D"/>
    <w:rsid w:val="000325A7"/>
    <w:rsid w:val="00066955"/>
    <w:rsid w:val="000C3508"/>
    <w:rsid w:val="000C73F2"/>
    <w:rsid w:val="000E4FC3"/>
    <w:rsid w:val="00100040"/>
    <w:rsid w:val="001073E5"/>
    <w:rsid w:val="00111595"/>
    <w:rsid w:val="0011713E"/>
    <w:rsid w:val="00126733"/>
    <w:rsid w:val="00130978"/>
    <w:rsid w:val="00164EBA"/>
    <w:rsid w:val="001A2DD0"/>
    <w:rsid w:val="001B0753"/>
    <w:rsid w:val="001B200E"/>
    <w:rsid w:val="00233D4F"/>
    <w:rsid w:val="00236378"/>
    <w:rsid w:val="002C1E95"/>
    <w:rsid w:val="002D14F3"/>
    <w:rsid w:val="002D6CEA"/>
    <w:rsid w:val="002E4B0D"/>
    <w:rsid w:val="002F462F"/>
    <w:rsid w:val="003146FF"/>
    <w:rsid w:val="003150C9"/>
    <w:rsid w:val="00322EB4"/>
    <w:rsid w:val="003416B6"/>
    <w:rsid w:val="003447B8"/>
    <w:rsid w:val="00384437"/>
    <w:rsid w:val="00391DF8"/>
    <w:rsid w:val="003A36D6"/>
    <w:rsid w:val="003B5CE1"/>
    <w:rsid w:val="003E431B"/>
    <w:rsid w:val="003E6031"/>
    <w:rsid w:val="003F37F3"/>
    <w:rsid w:val="003F6284"/>
    <w:rsid w:val="00422E3A"/>
    <w:rsid w:val="00434194"/>
    <w:rsid w:val="004625F0"/>
    <w:rsid w:val="00467CA3"/>
    <w:rsid w:val="004773E5"/>
    <w:rsid w:val="00477F22"/>
    <w:rsid w:val="004B6A68"/>
    <w:rsid w:val="004F18E2"/>
    <w:rsid w:val="00506108"/>
    <w:rsid w:val="00513F54"/>
    <w:rsid w:val="005164B0"/>
    <w:rsid w:val="00521083"/>
    <w:rsid w:val="00526936"/>
    <w:rsid w:val="0053784D"/>
    <w:rsid w:val="00570A1F"/>
    <w:rsid w:val="005B345F"/>
    <w:rsid w:val="005E011C"/>
    <w:rsid w:val="00614350"/>
    <w:rsid w:val="006206D3"/>
    <w:rsid w:val="00641081"/>
    <w:rsid w:val="00653A6C"/>
    <w:rsid w:val="006552AD"/>
    <w:rsid w:val="00660A4E"/>
    <w:rsid w:val="006614D9"/>
    <w:rsid w:val="00673328"/>
    <w:rsid w:val="006A038A"/>
    <w:rsid w:val="006B030D"/>
    <w:rsid w:val="006B32C3"/>
    <w:rsid w:val="006C1C70"/>
    <w:rsid w:val="006D4F90"/>
    <w:rsid w:val="00755013"/>
    <w:rsid w:val="0078052D"/>
    <w:rsid w:val="007938EE"/>
    <w:rsid w:val="007A6852"/>
    <w:rsid w:val="007C078B"/>
    <w:rsid w:val="00813FB1"/>
    <w:rsid w:val="00814D44"/>
    <w:rsid w:val="00854620"/>
    <w:rsid w:val="00860DFF"/>
    <w:rsid w:val="008621C2"/>
    <w:rsid w:val="008A0C0B"/>
    <w:rsid w:val="008A6213"/>
    <w:rsid w:val="008B1213"/>
    <w:rsid w:val="008D20BA"/>
    <w:rsid w:val="008D3D86"/>
    <w:rsid w:val="008D7E8C"/>
    <w:rsid w:val="008F677E"/>
    <w:rsid w:val="00913A93"/>
    <w:rsid w:val="00926825"/>
    <w:rsid w:val="00933385"/>
    <w:rsid w:val="00934F61"/>
    <w:rsid w:val="00944786"/>
    <w:rsid w:val="00953A2C"/>
    <w:rsid w:val="00960F82"/>
    <w:rsid w:val="00967EA0"/>
    <w:rsid w:val="009722C1"/>
    <w:rsid w:val="00975201"/>
    <w:rsid w:val="00993D91"/>
    <w:rsid w:val="009D09CA"/>
    <w:rsid w:val="009F4698"/>
    <w:rsid w:val="00A006FB"/>
    <w:rsid w:val="00A12E3D"/>
    <w:rsid w:val="00A454E6"/>
    <w:rsid w:val="00A51D18"/>
    <w:rsid w:val="00A748FA"/>
    <w:rsid w:val="00A763F7"/>
    <w:rsid w:val="00A90C65"/>
    <w:rsid w:val="00AA3226"/>
    <w:rsid w:val="00AA7C09"/>
    <w:rsid w:val="00AC66A4"/>
    <w:rsid w:val="00AD158D"/>
    <w:rsid w:val="00AF0E43"/>
    <w:rsid w:val="00AF3175"/>
    <w:rsid w:val="00B35AF4"/>
    <w:rsid w:val="00B542BB"/>
    <w:rsid w:val="00B5501B"/>
    <w:rsid w:val="00B607C9"/>
    <w:rsid w:val="00B763E5"/>
    <w:rsid w:val="00B9646F"/>
    <w:rsid w:val="00BA1F7C"/>
    <w:rsid w:val="00BA20A6"/>
    <w:rsid w:val="00BA4A76"/>
    <w:rsid w:val="00BB301F"/>
    <w:rsid w:val="00BB3C7C"/>
    <w:rsid w:val="00BC18DD"/>
    <w:rsid w:val="00BD2665"/>
    <w:rsid w:val="00BF1BAA"/>
    <w:rsid w:val="00C0208F"/>
    <w:rsid w:val="00C15003"/>
    <w:rsid w:val="00C25F69"/>
    <w:rsid w:val="00C4752A"/>
    <w:rsid w:val="00C73776"/>
    <w:rsid w:val="00C750B4"/>
    <w:rsid w:val="00C76B72"/>
    <w:rsid w:val="00C83D1D"/>
    <w:rsid w:val="00C96D28"/>
    <w:rsid w:val="00CA2898"/>
    <w:rsid w:val="00CB1BF7"/>
    <w:rsid w:val="00CC7019"/>
    <w:rsid w:val="00CF2658"/>
    <w:rsid w:val="00D328FA"/>
    <w:rsid w:val="00D4392A"/>
    <w:rsid w:val="00D439AE"/>
    <w:rsid w:val="00DA2EB8"/>
    <w:rsid w:val="00DC19D8"/>
    <w:rsid w:val="00DD5368"/>
    <w:rsid w:val="00DF62E5"/>
    <w:rsid w:val="00E73D8E"/>
    <w:rsid w:val="00EB05A7"/>
    <w:rsid w:val="00EC1E51"/>
    <w:rsid w:val="00EC2CBF"/>
    <w:rsid w:val="00EF3902"/>
    <w:rsid w:val="00F131F0"/>
    <w:rsid w:val="00F32906"/>
    <w:rsid w:val="00F4266F"/>
    <w:rsid w:val="00F55ABD"/>
    <w:rsid w:val="00F66F60"/>
    <w:rsid w:val="00F7146A"/>
    <w:rsid w:val="00F82079"/>
    <w:rsid w:val="00F86255"/>
    <w:rsid w:val="00F868F0"/>
    <w:rsid w:val="00FA75AF"/>
    <w:rsid w:val="00FC2860"/>
    <w:rsid w:val="00FC4256"/>
    <w:rsid w:val="00FD3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AA804"/>
  <w15:chartTrackingRefBased/>
  <w15:docId w15:val="{A87F5FA2-6B76-4E71-829C-D22FC020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B0D"/>
    <w:rPr>
      <w:kern w:val="0"/>
      <w14:ligatures w14:val="none"/>
    </w:rPr>
  </w:style>
  <w:style w:type="paragraph" w:styleId="Heading1">
    <w:name w:val="heading 1"/>
    <w:basedOn w:val="Normal"/>
    <w:next w:val="Normal"/>
    <w:link w:val="Heading1Char"/>
    <w:uiPriority w:val="9"/>
    <w:qFormat/>
    <w:rsid w:val="00AD158D"/>
    <w:pPr>
      <w:spacing w:after="0"/>
      <w:jc w:val="center"/>
      <w:outlineLvl w:val="0"/>
    </w:pPr>
    <w:rPr>
      <w:b/>
      <w:bCs/>
      <w:color w:val="1F3864" w:themeColor="accent1" w:themeShade="80"/>
      <w:sz w:val="36"/>
      <w:szCs w:val="36"/>
    </w:rPr>
  </w:style>
  <w:style w:type="paragraph" w:styleId="Heading2">
    <w:name w:val="heading 2"/>
    <w:basedOn w:val="Normal"/>
    <w:next w:val="Normal"/>
    <w:link w:val="Heading2Char"/>
    <w:uiPriority w:val="9"/>
    <w:unhideWhenUsed/>
    <w:qFormat/>
    <w:rsid w:val="000C3508"/>
    <w:pPr>
      <w:keepNext/>
      <w:keepLines/>
      <w:spacing w:before="40" w:after="0"/>
      <w:outlineLvl w:val="1"/>
    </w:pPr>
    <w:rPr>
      <w:rFonts w:eastAsiaTheme="majorEastAsia" w:cstheme="minorHAnsi"/>
      <w:b/>
      <w:bCs/>
      <w:color w:val="2F5496" w:themeColor="accent1" w:themeShade="BF"/>
      <w:sz w:val="26"/>
      <w:szCs w:val="26"/>
    </w:rPr>
  </w:style>
  <w:style w:type="paragraph" w:styleId="Heading3">
    <w:name w:val="heading 3"/>
    <w:basedOn w:val="Normal"/>
    <w:next w:val="Normal"/>
    <w:link w:val="Heading3Char"/>
    <w:uiPriority w:val="9"/>
    <w:unhideWhenUsed/>
    <w:qFormat/>
    <w:rsid w:val="002E4B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lpha List Paragraph"/>
    <w:basedOn w:val="Normal"/>
    <w:link w:val="ListParagraphChar"/>
    <w:uiPriority w:val="34"/>
    <w:qFormat/>
    <w:rsid w:val="002E4B0D"/>
    <w:pPr>
      <w:spacing w:after="200" w:line="276" w:lineRule="auto"/>
      <w:ind w:left="720"/>
      <w:contextualSpacing/>
    </w:pPr>
    <w:rPr>
      <w:rFonts w:ascii="Calibri" w:eastAsia="Times New Roman" w:hAnsi="Calibri" w:cs="Times New Roman"/>
    </w:rPr>
  </w:style>
  <w:style w:type="character" w:customStyle="1" w:styleId="ListParagraphChar">
    <w:name w:val="List Paragraph Char"/>
    <w:aliases w:val="Alpha List Paragraph Char"/>
    <w:link w:val="ListParagraph"/>
    <w:uiPriority w:val="34"/>
    <w:qFormat/>
    <w:locked/>
    <w:rsid w:val="002E4B0D"/>
    <w:rPr>
      <w:rFonts w:ascii="Calibri" w:eastAsia="Times New Roman" w:hAnsi="Calibri" w:cs="Times New Roman"/>
      <w:kern w:val="0"/>
      <w14:ligatures w14:val="none"/>
    </w:rPr>
  </w:style>
  <w:style w:type="paragraph" w:customStyle="1" w:styleId="xmsonormal">
    <w:name w:val="x_msonormal"/>
    <w:basedOn w:val="Normal"/>
    <w:rsid w:val="002E4B0D"/>
    <w:pPr>
      <w:spacing w:after="0" w:line="240" w:lineRule="auto"/>
    </w:pPr>
    <w:rPr>
      <w:rFonts w:ascii="Calibri" w:hAnsi="Calibri" w:cs="Calibri"/>
    </w:rPr>
  </w:style>
  <w:style w:type="character" w:customStyle="1" w:styleId="Heading3Char">
    <w:name w:val="Heading 3 Char"/>
    <w:basedOn w:val="DefaultParagraphFont"/>
    <w:link w:val="Heading3"/>
    <w:uiPriority w:val="9"/>
    <w:rsid w:val="002E4B0D"/>
    <w:rPr>
      <w:rFonts w:asciiTheme="majorHAnsi" w:eastAsiaTheme="majorEastAsia" w:hAnsiTheme="majorHAnsi" w:cstheme="majorBidi"/>
      <w:color w:val="1F3763" w:themeColor="accent1" w:themeShade="7F"/>
      <w:kern w:val="0"/>
      <w:sz w:val="24"/>
      <w:szCs w:val="24"/>
      <w14:ligatures w14:val="none"/>
    </w:rPr>
  </w:style>
  <w:style w:type="character" w:customStyle="1" w:styleId="xmsosubtlereference">
    <w:name w:val="x_msosubtlereference"/>
    <w:basedOn w:val="DefaultParagraphFont"/>
    <w:rsid w:val="002E4B0D"/>
    <w:rPr>
      <w:smallCaps/>
      <w:color w:val="5A5A5A"/>
    </w:rPr>
  </w:style>
  <w:style w:type="character" w:styleId="Hyperlink">
    <w:name w:val="Hyperlink"/>
    <w:basedOn w:val="DefaultParagraphFont"/>
    <w:uiPriority w:val="99"/>
    <w:unhideWhenUsed/>
    <w:rsid w:val="003146FF"/>
    <w:rPr>
      <w:color w:val="0563C1" w:themeColor="hyperlink"/>
      <w:u w:val="single"/>
    </w:rPr>
  </w:style>
  <w:style w:type="character" w:customStyle="1" w:styleId="Heading2Char">
    <w:name w:val="Heading 2 Char"/>
    <w:basedOn w:val="DefaultParagraphFont"/>
    <w:link w:val="Heading2"/>
    <w:uiPriority w:val="9"/>
    <w:rsid w:val="000C3508"/>
    <w:rPr>
      <w:rFonts w:eastAsiaTheme="majorEastAsia" w:cstheme="minorHAnsi"/>
      <w:b/>
      <w:bCs/>
      <w:color w:val="2F5496" w:themeColor="accent1" w:themeShade="BF"/>
      <w:kern w:val="0"/>
      <w:sz w:val="26"/>
      <w:szCs w:val="26"/>
      <w14:ligatures w14:val="none"/>
    </w:rPr>
  </w:style>
  <w:style w:type="paragraph" w:styleId="NormalWeb">
    <w:name w:val="Normal (Web)"/>
    <w:basedOn w:val="Normal"/>
    <w:uiPriority w:val="99"/>
    <w:unhideWhenUsed/>
    <w:rsid w:val="00C83D1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55013"/>
    <w:rPr>
      <w:sz w:val="16"/>
      <w:szCs w:val="16"/>
    </w:rPr>
  </w:style>
  <w:style w:type="paragraph" w:styleId="CommentText">
    <w:name w:val="annotation text"/>
    <w:basedOn w:val="Normal"/>
    <w:link w:val="CommentTextChar"/>
    <w:uiPriority w:val="99"/>
    <w:unhideWhenUsed/>
    <w:rsid w:val="00755013"/>
    <w:pPr>
      <w:spacing w:line="240" w:lineRule="auto"/>
    </w:pPr>
    <w:rPr>
      <w:sz w:val="20"/>
      <w:szCs w:val="20"/>
    </w:rPr>
  </w:style>
  <w:style w:type="character" w:customStyle="1" w:styleId="CommentTextChar">
    <w:name w:val="Comment Text Char"/>
    <w:basedOn w:val="DefaultParagraphFont"/>
    <w:link w:val="CommentText"/>
    <w:uiPriority w:val="99"/>
    <w:rsid w:val="0075501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55013"/>
    <w:rPr>
      <w:b/>
      <w:bCs/>
    </w:rPr>
  </w:style>
  <w:style w:type="character" w:customStyle="1" w:styleId="CommentSubjectChar">
    <w:name w:val="Comment Subject Char"/>
    <w:basedOn w:val="CommentTextChar"/>
    <w:link w:val="CommentSubject"/>
    <w:uiPriority w:val="99"/>
    <w:semiHidden/>
    <w:rsid w:val="00755013"/>
    <w:rPr>
      <w:b/>
      <w:bCs/>
      <w:kern w:val="0"/>
      <w:sz w:val="20"/>
      <w:szCs w:val="20"/>
      <w14:ligatures w14:val="none"/>
    </w:rPr>
  </w:style>
  <w:style w:type="paragraph" w:styleId="Revision">
    <w:name w:val="Revision"/>
    <w:hidden/>
    <w:uiPriority w:val="99"/>
    <w:semiHidden/>
    <w:rsid w:val="00755013"/>
    <w:pPr>
      <w:spacing w:after="0" w:line="240" w:lineRule="auto"/>
    </w:pPr>
    <w:rPr>
      <w:kern w:val="0"/>
      <w14:ligatures w14:val="none"/>
    </w:rPr>
  </w:style>
  <w:style w:type="character" w:customStyle="1" w:styleId="Heading1Char">
    <w:name w:val="Heading 1 Char"/>
    <w:basedOn w:val="DefaultParagraphFont"/>
    <w:link w:val="Heading1"/>
    <w:uiPriority w:val="9"/>
    <w:rsid w:val="00AD158D"/>
    <w:rPr>
      <w:b/>
      <w:bCs/>
      <w:color w:val="1F3864" w:themeColor="accent1" w:themeShade="80"/>
      <w:kern w:val="0"/>
      <w:sz w:val="36"/>
      <w:szCs w:val="36"/>
      <w14:ligatures w14:val="none"/>
    </w:rPr>
  </w:style>
  <w:style w:type="character" w:styleId="UnresolvedMention">
    <w:name w:val="Unresolved Mention"/>
    <w:basedOn w:val="DefaultParagraphFont"/>
    <w:uiPriority w:val="99"/>
    <w:semiHidden/>
    <w:unhideWhenUsed/>
    <w:rsid w:val="0001691F"/>
    <w:rPr>
      <w:color w:val="605E5C"/>
      <w:shd w:val="clear" w:color="auto" w:fill="E1DFDD"/>
    </w:rPr>
  </w:style>
  <w:style w:type="character" w:styleId="FollowedHyperlink">
    <w:name w:val="FollowedHyperlink"/>
    <w:basedOn w:val="DefaultParagraphFont"/>
    <w:uiPriority w:val="99"/>
    <w:semiHidden/>
    <w:unhideWhenUsed/>
    <w:rsid w:val="009F4698"/>
    <w:rPr>
      <w:color w:val="954F72" w:themeColor="followedHyperlink"/>
      <w:u w:val="single"/>
    </w:rPr>
  </w:style>
  <w:style w:type="paragraph" w:styleId="Header">
    <w:name w:val="header"/>
    <w:basedOn w:val="Normal"/>
    <w:link w:val="HeaderChar"/>
    <w:uiPriority w:val="99"/>
    <w:unhideWhenUsed/>
    <w:rsid w:val="000C7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3F2"/>
    <w:rPr>
      <w:kern w:val="0"/>
      <w14:ligatures w14:val="none"/>
    </w:rPr>
  </w:style>
  <w:style w:type="paragraph" w:styleId="Footer">
    <w:name w:val="footer"/>
    <w:basedOn w:val="Normal"/>
    <w:link w:val="FooterChar"/>
    <w:uiPriority w:val="99"/>
    <w:unhideWhenUsed/>
    <w:rsid w:val="000C7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3F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program-financial-guidelines-for-certain-masshealth-applicants-and-members" TargetMode="External"/><Relationship Id="rId13" Type="http://schemas.openxmlformats.org/officeDocument/2006/relationships/hyperlink" Target="http://mass.gov/MassHealthAppoint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info-details/find-a-shine-counselo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image001.png@01DA326B.BED8A71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902AE-BCB8-4D81-BD89-7C72E31DCE0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889</Words>
  <Characters>4795</Characters>
  <Application>Microsoft Office Word</Application>
  <DocSecurity>0</DocSecurity>
  <Lines>39</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Commonwealth of Massachusetts</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Racine, Kathleen (EHS)</dc:creator>
  <cp:lastModifiedBy>Erika Schulz</cp:lastModifiedBy>
  <cp:revision>5</cp:revision>
  <dcterms:created xsi:type="dcterms:W3CDTF">2025-05-16T19:58:00Z</dcterms:created>
  <dcterms:modified xsi:type="dcterms:W3CDTF">2025-05-16T20:03:00Z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4b03fe4f-99bd-431d-b61b-af14331aa6b9</vt:lpwstr>
  </property>
</Properties>
</file>