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74076" w14:textId="77777777" w:rsidR="00E36013" w:rsidRPr="00694CBA" w:rsidRDefault="00E36013" w:rsidP="00E36013">
      <w:pPr>
        <w:spacing w:after="0" w:line="240" w:lineRule="auto"/>
        <w:jc w:val="center"/>
        <w:rPr>
          <w:rFonts w:cstheme="minorHAnsi"/>
          <w:sz w:val="24"/>
          <w:szCs w:val="24"/>
        </w:rPr>
      </w:pPr>
      <w:r w:rsidRPr="00694CBA">
        <w:rPr>
          <w:rFonts w:cstheme="minorHAnsi"/>
          <w:sz w:val="24"/>
          <w:szCs w:val="24"/>
        </w:rPr>
        <w:t xml:space="preserve">Massachusetts Autism Commission </w:t>
      </w:r>
    </w:p>
    <w:p w14:paraId="75F0CB40" w14:textId="77777777" w:rsidR="00E36013" w:rsidRPr="00694CBA" w:rsidRDefault="00E36013" w:rsidP="00E36013">
      <w:pPr>
        <w:spacing w:after="0" w:line="240" w:lineRule="auto"/>
        <w:jc w:val="center"/>
        <w:rPr>
          <w:rFonts w:cstheme="minorHAnsi"/>
          <w:sz w:val="24"/>
          <w:szCs w:val="24"/>
        </w:rPr>
      </w:pPr>
      <w:r w:rsidRPr="00694CBA">
        <w:rPr>
          <w:rFonts w:cstheme="minorHAnsi"/>
          <w:sz w:val="24"/>
          <w:szCs w:val="24"/>
        </w:rPr>
        <w:t>Meeting Minutes</w:t>
      </w:r>
    </w:p>
    <w:p w14:paraId="31B25508" w14:textId="692A7544" w:rsidR="00E36013" w:rsidRPr="00694CBA" w:rsidRDefault="007646C7" w:rsidP="00E36013">
      <w:pPr>
        <w:spacing w:after="0" w:line="240" w:lineRule="auto"/>
        <w:jc w:val="center"/>
        <w:rPr>
          <w:rFonts w:cstheme="minorHAnsi"/>
          <w:sz w:val="24"/>
          <w:szCs w:val="24"/>
        </w:rPr>
      </w:pPr>
      <w:r>
        <w:rPr>
          <w:rFonts w:cstheme="minorHAnsi"/>
          <w:sz w:val="24"/>
          <w:szCs w:val="24"/>
        </w:rPr>
        <w:t>December 12, 2023</w:t>
      </w:r>
      <w:r w:rsidR="00E36013">
        <w:rPr>
          <w:rFonts w:cstheme="minorHAnsi"/>
          <w:sz w:val="24"/>
          <w:szCs w:val="24"/>
        </w:rPr>
        <w:t xml:space="preserve">, </w:t>
      </w:r>
      <w:r>
        <w:rPr>
          <w:rFonts w:cstheme="minorHAnsi"/>
          <w:sz w:val="24"/>
          <w:szCs w:val="24"/>
        </w:rPr>
        <w:t>1</w:t>
      </w:r>
      <w:r w:rsidR="00E36013" w:rsidRPr="00694CBA">
        <w:rPr>
          <w:rFonts w:cstheme="minorHAnsi"/>
          <w:sz w:val="24"/>
          <w:szCs w:val="24"/>
        </w:rPr>
        <w:t xml:space="preserve">:00 p.m.– </w:t>
      </w:r>
      <w:r>
        <w:rPr>
          <w:rFonts w:cstheme="minorHAnsi"/>
          <w:sz w:val="24"/>
          <w:szCs w:val="24"/>
        </w:rPr>
        <w:t>2:3</w:t>
      </w:r>
      <w:r w:rsidR="00E36013" w:rsidRPr="00694CBA">
        <w:rPr>
          <w:rFonts w:cstheme="minorHAnsi"/>
          <w:sz w:val="24"/>
          <w:szCs w:val="24"/>
        </w:rPr>
        <w:t>0 p.m.</w:t>
      </w:r>
    </w:p>
    <w:p w14:paraId="2174D446" w14:textId="77777777" w:rsidR="00E36013" w:rsidRPr="00694CBA" w:rsidRDefault="00E36013" w:rsidP="00E36013">
      <w:pPr>
        <w:tabs>
          <w:tab w:val="center" w:pos="4680"/>
          <w:tab w:val="left" w:pos="5560"/>
        </w:tabs>
        <w:spacing w:after="0" w:line="240" w:lineRule="auto"/>
        <w:jc w:val="center"/>
        <w:rPr>
          <w:rFonts w:cstheme="minorHAnsi"/>
          <w:sz w:val="24"/>
          <w:szCs w:val="24"/>
        </w:rPr>
      </w:pPr>
      <w:r w:rsidRPr="00694CBA">
        <w:rPr>
          <w:rFonts w:cstheme="minorHAnsi"/>
          <w:sz w:val="24"/>
          <w:szCs w:val="24"/>
        </w:rPr>
        <w:t>Via Zoom</w:t>
      </w:r>
    </w:p>
    <w:p w14:paraId="1A003608" w14:textId="77777777" w:rsidR="00E36013" w:rsidRPr="00694CBA" w:rsidRDefault="00E36013" w:rsidP="00E36013">
      <w:pPr>
        <w:spacing w:after="0" w:line="240" w:lineRule="auto"/>
        <w:jc w:val="center"/>
        <w:rPr>
          <w:rFonts w:cstheme="minorHAnsi"/>
          <w:sz w:val="24"/>
          <w:szCs w:val="24"/>
        </w:rPr>
      </w:pPr>
    </w:p>
    <w:p w14:paraId="15259804" w14:textId="5C334258" w:rsidR="00E36013" w:rsidRDefault="00E36013" w:rsidP="00E36013">
      <w:pPr>
        <w:spacing w:after="0" w:line="240" w:lineRule="auto"/>
        <w:rPr>
          <w:rFonts w:cstheme="minorHAnsi"/>
          <w:sz w:val="24"/>
          <w:szCs w:val="24"/>
        </w:rPr>
      </w:pPr>
      <w:r w:rsidRPr="00694CBA">
        <w:rPr>
          <w:rFonts w:cstheme="minorHAnsi"/>
          <w:sz w:val="24"/>
          <w:szCs w:val="24"/>
          <w:u w:val="single"/>
        </w:rPr>
        <w:t>Autism Commission Members Present</w:t>
      </w:r>
      <w:r w:rsidRPr="00694CBA">
        <w:rPr>
          <w:rFonts w:cstheme="minorHAnsi"/>
          <w:sz w:val="24"/>
          <w:szCs w:val="24"/>
        </w:rPr>
        <w:t xml:space="preserve">:  </w:t>
      </w:r>
      <w:r>
        <w:rPr>
          <w:rFonts w:cstheme="minorHAnsi"/>
          <w:sz w:val="24"/>
          <w:szCs w:val="24"/>
        </w:rPr>
        <w:t xml:space="preserve">Undersecretary Mary McGeown, Michelle Harris </w:t>
      </w:r>
      <w:r w:rsidRPr="00694CBA">
        <w:rPr>
          <w:rFonts w:cstheme="minorHAnsi"/>
          <w:sz w:val="24"/>
          <w:szCs w:val="24"/>
        </w:rPr>
        <w:t xml:space="preserve">(DDS), Carolyn Kain (EHS), </w:t>
      </w:r>
      <w:r>
        <w:rPr>
          <w:rFonts w:cstheme="minorHAnsi"/>
          <w:sz w:val="24"/>
          <w:szCs w:val="24"/>
        </w:rPr>
        <w:t xml:space="preserve">Jane Ryder (DDS), Emily Camizzi for </w:t>
      </w:r>
      <w:r w:rsidRPr="00694CBA">
        <w:rPr>
          <w:rFonts w:cstheme="minorHAnsi"/>
          <w:sz w:val="24"/>
          <w:szCs w:val="24"/>
        </w:rPr>
        <w:t xml:space="preserve">Rep. Christine Barber (HOU), </w:t>
      </w:r>
      <w:r>
        <w:rPr>
          <w:rFonts w:cstheme="minorHAnsi"/>
          <w:sz w:val="24"/>
          <w:szCs w:val="24"/>
        </w:rPr>
        <w:t xml:space="preserve"> Mia-</w:t>
      </w:r>
      <w:proofErr w:type="spellStart"/>
      <w:r>
        <w:rPr>
          <w:rFonts w:cstheme="minorHAnsi"/>
          <w:sz w:val="24"/>
          <w:szCs w:val="24"/>
        </w:rPr>
        <w:t>Haita</w:t>
      </w:r>
      <w:proofErr w:type="spellEnd"/>
      <w:r>
        <w:rPr>
          <w:rFonts w:cstheme="minorHAnsi"/>
          <w:sz w:val="24"/>
          <w:szCs w:val="24"/>
        </w:rPr>
        <w:t xml:space="preserve"> James</w:t>
      </w:r>
      <w:r w:rsidRPr="00694CBA">
        <w:rPr>
          <w:rFonts w:cstheme="minorHAnsi"/>
          <w:sz w:val="24"/>
          <w:szCs w:val="24"/>
        </w:rPr>
        <w:t xml:space="preserve"> (EHS), Kathy Sanders (DMH), </w:t>
      </w:r>
      <w:r>
        <w:rPr>
          <w:rFonts w:cstheme="minorHAnsi"/>
          <w:sz w:val="24"/>
          <w:szCs w:val="24"/>
        </w:rPr>
        <w:t xml:space="preserve">Toni Wolf (MRC), </w:t>
      </w:r>
      <w:r w:rsidRPr="00694CBA">
        <w:rPr>
          <w:rFonts w:cstheme="minorHAnsi"/>
          <w:sz w:val="24"/>
          <w:szCs w:val="24"/>
        </w:rPr>
        <w:t xml:space="preserve">Christine Hubbard, Russell Johnston (DESE), Bronia Clifton (DHCD), </w:t>
      </w:r>
      <w:r>
        <w:rPr>
          <w:rFonts w:cstheme="minorHAnsi"/>
          <w:sz w:val="24"/>
          <w:szCs w:val="24"/>
        </w:rPr>
        <w:t>Amy Kershaw (EEC), Emily White</w:t>
      </w:r>
      <w:r w:rsidR="00C325C6">
        <w:rPr>
          <w:rFonts w:cstheme="minorHAnsi"/>
          <w:sz w:val="24"/>
          <w:szCs w:val="24"/>
        </w:rPr>
        <w:t xml:space="preserve"> </w:t>
      </w:r>
      <w:r>
        <w:rPr>
          <w:rFonts w:cstheme="minorHAnsi"/>
          <w:sz w:val="24"/>
          <w:szCs w:val="24"/>
        </w:rPr>
        <w:t xml:space="preserve">(DPH), Sacha Stadhard (LWD), Heidi Gold (EOE), Karen Wylie (EOEA), </w:t>
      </w:r>
      <w:r w:rsidR="00527FBA">
        <w:rPr>
          <w:rFonts w:cstheme="minorHAnsi"/>
          <w:sz w:val="24"/>
          <w:szCs w:val="24"/>
        </w:rPr>
        <w:t>Johanna Wake</w:t>
      </w:r>
      <w:r w:rsidR="005D3945">
        <w:rPr>
          <w:rFonts w:cstheme="minorHAnsi"/>
          <w:sz w:val="24"/>
          <w:szCs w:val="24"/>
        </w:rPr>
        <w:t xml:space="preserve">lin </w:t>
      </w:r>
      <w:r w:rsidR="0079413B">
        <w:rPr>
          <w:rFonts w:cstheme="minorHAnsi"/>
          <w:sz w:val="24"/>
          <w:szCs w:val="24"/>
        </w:rPr>
        <w:t>for Sen. Joan Lovely (SEN)</w:t>
      </w:r>
      <w:r w:rsidR="00A06580">
        <w:rPr>
          <w:rFonts w:cstheme="minorHAnsi"/>
          <w:sz w:val="24"/>
          <w:szCs w:val="24"/>
        </w:rPr>
        <w:t xml:space="preserve">, </w:t>
      </w:r>
      <w:r>
        <w:rPr>
          <w:rFonts w:cstheme="minorHAnsi"/>
          <w:sz w:val="24"/>
          <w:szCs w:val="24"/>
        </w:rPr>
        <w:t xml:space="preserve">Jo Ann Simons, </w:t>
      </w:r>
      <w:r w:rsidR="00C325C6">
        <w:rPr>
          <w:rFonts w:cstheme="minorHAnsi"/>
          <w:sz w:val="24"/>
          <w:szCs w:val="24"/>
        </w:rPr>
        <w:t xml:space="preserve">Mary Price (DHE) </w:t>
      </w:r>
      <w:r w:rsidRPr="00694CBA">
        <w:rPr>
          <w:rFonts w:cstheme="minorHAnsi"/>
          <w:sz w:val="24"/>
          <w:szCs w:val="24"/>
        </w:rPr>
        <w:t>Michele Brait,</w:t>
      </w:r>
      <w:r>
        <w:rPr>
          <w:rFonts w:cstheme="minorHAnsi"/>
          <w:sz w:val="24"/>
          <w:szCs w:val="24"/>
        </w:rPr>
        <w:t xml:space="preserve"> </w:t>
      </w:r>
      <w:r w:rsidRPr="00694CBA">
        <w:rPr>
          <w:rFonts w:cstheme="minorHAnsi"/>
          <w:sz w:val="24"/>
          <w:szCs w:val="24"/>
        </w:rPr>
        <w:t xml:space="preserve">Katherine Canada (DCF), </w:t>
      </w:r>
      <w:r w:rsidR="003A290E">
        <w:rPr>
          <w:rFonts w:cstheme="minorHAnsi"/>
          <w:sz w:val="24"/>
          <w:szCs w:val="24"/>
        </w:rPr>
        <w:t>La</w:t>
      </w:r>
      <w:r>
        <w:rPr>
          <w:rFonts w:cstheme="minorHAnsi"/>
          <w:sz w:val="24"/>
          <w:szCs w:val="24"/>
        </w:rPr>
        <w:t xml:space="preserve">urie </w:t>
      </w:r>
      <w:r w:rsidR="00FA4295">
        <w:rPr>
          <w:rFonts w:cstheme="minorHAnsi"/>
          <w:sz w:val="24"/>
          <w:szCs w:val="24"/>
        </w:rPr>
        <w:t>Anastopoulos</w:t>
      </w:r>
      <w:r>
        <w:rPr>
          <w:rFonts w:cstheme="minorHAnsi"/>
          <w:sz w:val="24"/>
          <w:szCs w:val="24"/>
        </w:rPr>
        <w:t>, Julia Landau, Janet Barbieri and Amy Weinstock</w:t>
      </w:r>
      <w:r w:rsidR="0071090F">
        <w:rPr>
          <w:rFonts w:cstheme="minorHAnsi"/>
          <w:sz w:val="24"/>
          <w:szCs w:val="24"/>
        </w:rPr>
        <w:t xml:space="preserve"> </w:t>
      </w:r>
    </w:p>
    <w:p w14:paraId="5E459363" w14:textId="77777777" w:rsidR="00E36013" w:rsidRDefault="00E36013" w:rsidP="00E36013">
      <w:pPr>
        <w:spacing w:after="0" w:line="240" w:lineRule="auto"/>
        <w:rPr>
          <w:rFonts w:cstheme="minorHAnsi"/>
          <w:sz w:val="24"/>
          <w:szCs w:val="24"/>
        </w:rPr>
      </w:pPr>
    </w:p>
    <w:p w14:paraId="2E34372D" w14:textId="4738D065" w:rsidR="00E36013" w:rsidRPr="00694CBA" w:rsidRDefault="00E36013" w:rsidP="00E36013">
      <w:pPr>
        <w:spacing w:after="0" w:line="240" w:lineRule="auto"/>
        <w:rPr>
          <w:rFonts w:cstheme="minorHAnsi"/>
          <w:sz w:val="24"/>
          <w:szCs w:val="24"/>
        </w:rPr>
      </w:pPr>
      <w:r w:rsidRPr="00C77EC2">
        <w:rPr>
          <w:rFonts w:cstheme="minorHAnsi"/>
          <w:b/>
          <w:bCs/>
          <w:sz w:val="24"/>
          <w:szCs w:val="24"/>
          <w:u w:val="single"/>
        </w:rPr>
        <w:t>Guests:</w:t>
      </w:r>
      <w:r>
        <w:rPr>
          <w:rFonts w:cstheme="minorHAnsi"/>
          <w:sz w:val="24"/>
          <w:szCs w:val="24"/>
        </w:rPr>
        <w:t xml:space="preserve">   </w:t>
      </w:r>
      <w:r w:rsidR="001640E8">
        <w:rPr>
          <w:rFonts w:cstheme="minorHAnsi"/>
          <w:sz w:val="24"/>
          <w:szCs w:val="24"/>
        </w:rPr>
        <w:t xml:space="preserve">Jared Ramos </w:t>
      </w:r>
      <w:r>
        <w:rPr>
          <w:rFonts w:cstheme="minorHAnsi"/>
          <w:sz w:val="24"/>
          <w:szCs w:val="24"/>
        </w:rPr>
        <w:t>(DDS)</w:t>
      </w:r>
      <w:r w:rsidR="001F086C">
        <w:rPr>
          <w:rFonts w:cstheme="minorHAnsi"/>
          <w:sz w:val="24"/>
          <w:szCs w:val="24"/>
        </w:rPr>
        <w:t xml:space="preserve">, DesNeiges Harkness </w:t>
      </w:r>
      <w:r>
        <w:rPr>
          <w:rFonts w:cstheme="minorHAnsi"/>
          <w:sz w:val="24"/>
          <w:szCs w:val="24"/>
        </w:rPr>
        <w:t>and Chris Peltier (DDS)</w:t>
      </w:r>
      <w:r w:rsidR="00781516">
        <w:rPr>
          <w:rFonts w:cstheme="minorHAnsi"/>
          <w:sz w:val="24"/>
          <w:szCs w:val="24"/>
        </w:rPr>
        <w:t>,</w:t>
      </w:r>
      <w:r w:rsidR="00781516" w:rsidRPr="00781516">
        <w:rPr>
          <w:rFonts w:cstheme="minorHAnsi"/>
          <w:sz w:val="24"/>
          <w:szCs w:val="24"/>
        </w:rPr>
        <w:t xml:space="preserve"> </w:t>
      </w:r>
      <w:r w:rsidR="00781516">
        <w:rPr>
          <w:rFonts w:cstheme="minorHAnsi"/>
          <w:sz w:val="24"/>
          <w:szCs w:val="24"/>
        </w:rPr>
        <w:t>Josh Greenberg (DMH)</w:t>
      </w:r>
    </w:p>
    <w:p w14:paraId="243576A4" w14:textId="77777777" w:rsidR="00E36013" w:rsidRDefault="00E36013" w:rsidP="00E36013">
      <w:pPr>
        <w:spacing w:after="0" w:line="240" w:lineRule="auto"/>
        <w:rPr>
          <w:rFonts w:cstheme="minorHAnsi"/>
          <w:sz w:val="24"/>
          <w:szCs w:val="24"/>
          <w:u w:val="single"/>
        </w:rPr>
      </w:pPr>
    </w:p>
    <w:p w14:paraId="32153B62" w14:textId="77777777" w:rsidR="00E36013" w:rsidRPr="00694CBA" w:rsidRDefault="00E36013" w:rsidP="00E36013">
      <w:pPr>
        <w:spacing w:after="0" w:line="240" w:lineRule="auto"/>
        <w:rPr>
          <w:rFonts w:cstheme="minorHAnsi"/>
          <w:sz w:val="24"/>
          <w:szCs w:val="24"/>
        </w:rPr>
      </w:pPr>
      <w:r w:rsidRPr="00694CBA">
        <w:rPr>
          <w:rFonts w:cstheme="minorHAnsi"/>
          <w:sz w:val="24"/>
          <w:szCs w:val="24"/>
          <w:u w:val="single"/>
        </w:rPr>
        <w:t>Meeting Minutes</w:t>
      </w:r>
      <w:r w:rsidRPr="00694CBA">
        <w:rPr>
          <w:rFonts w:cstheme="minorHAnsi"/>
          <w:sz w:val="24"/>
          <w:szCs w:val="24"/>
        </w:rPr>
        <w:t>:  Dianne Lescinskas (EHS)</w:t>
      </w:r>
    </w:p>
    <w:p w14:paraId="7393F537" w14:textId="77777777" w:rsidR="00E36013" w:rsidRPr="00694CBA" w:rsidRDefault="00E36013" w:rsidP="00E36013">
      <w:pPr>
        <w:spacing w:after="0" w:line="240" w:lineRule="auto"/>
        <w:rPr>
          <w:rFonts w:cstheme="minorHAnsi"/>
          <w:sz w:val="24"/>
          <w:szCs w:val="24"/>
        </w:rPr>
      </w:pPr>
    </w:p>
    <w:p w14:paraId="0E333E49" w14:textId="5F7BD332" w:rsidR="00E36013" w:rsidRDefault="00E36013" w:rsidP="00E36013">
      <w:pPr>
        <w:rPr>
          <w:rFonts w:cstheme="minorHAnsi"/>
          <w:sz w:val="24"/>
          <w:szCs w:val="24"/>
          <w:u w:val="single"/>
        </w:rPr>
      </w:pPr>
      <w:r>
        <w:rPr>
          <w:rFonts w:cstheme="minorHAnsi"/>
          <w:sz w:val="24"/>
          <w:szCs w:val="24"/>
          <w:u w:val="single"/>
        </w:rPr>
        <w:t xml:space="preserve">Welcome and </w:t>
      </w:r>
      <w:r w:rsidRPr="00D7240B">
        <w:rPr>
          <w:rFonts w:cstheme="minorHAnsi"/>
          <w:sz w:val="24"/>
          <w:szCs w:val="24"/>
          <w:u w:val="single"/>
        </w:rPr>
        <w:t xml:space="preserve">Approval of the Minutes from </w:t>
      </w:r>
      <w:r w:rsidR="00477549">
        <w:rPr>
          <w:rFonts w:cstheme="minorHAnsi"/>
          <w:sz w:val="24"/>
          <w:szCs w:val="24"/>
          <w:u w:val="single"/>
        </w:rPr>
        <w:t>November 28, 2023</w:t>
      </w:r>
    </w:p>
    <w:p w14:paraId="5EE9415F" w14:textId="33895C74" w:rsidR="00E36013" w:rsidRDefault="00E36013" w:rsidP="00E36013">
      <w:pPr>
        <w:rPr>
          <w:rFonts w:cstheme="minorHAnsi"/>
          <w:sz w:val="24"/>
          <w:szCs w:val="24"/>
        </w:rPr>
      </w:pPr>
      <w:r>
        <w:rPr>
          <w:rFonts w:cstheme="minorHAnsi"/>
          <w:sz w:val="24"/>
          <w:szCs w:val="24"/>
        </w:rPr>
        <w:t xml:space="preserve">Undersecretary Mary McGeown called the meeting to order and </w:t>
      </w:r>
      <w:r w:rsidR="00A3765C">
        <w:rPr>
          <w:rFonts w:cstheme="minorHAnsi"/>
          <w:sz w:val="24"/>
          <w:szCs w:val="24"/>
        </w:rPr>
        <w:t>welcomed the members of the Autism Commission</w:t>
      </w:r>
      <w:r w:rsidR="0021502A">
        <w:rPr>
          <w:rFonts w:cstheme="minorHAnsi"/>
          <w:sz w:val="24"/>
          <w:szCs w:val="24"/>
        </w:rPr>
        <w:t>.</w:t>
      </w:r>
    </w:p>
    <w:p w14:paraId="357DC4F6" w14:textId="1EC67FEA" w:rsidR="00E36013" w:rsidRDefault="00E36013" w:rsidP="00E36013">
      <w:pPr>
        <w:rPr>
          <w:rFonts w:cstheme="minorHAnsi"/>
          <w:sz w:val="24"/>
          <w:szCs w:val="24"/>
        </w:rPr>
      </w:pPr>
      <w:r>
        <w:rPr>
          <w:rFonts w:cstheme="minorHAnsi"/>
          <w:sz w:val="24"/>
          <w:szCs w:val="24"/>
        </w:rPr>
        <w:t xml:space="preserve">Ms. Kain asked for a motion to approve the meeting minutes from the Autism Commission meeting on </w:t>
      </w:r>
      <w:r w:rsidR="00477549">
        <w:rPr>
          <w:rFonts w:cstheme="minorHAnsi"/>
          <w:sz w:val="24"/>
          <w:szCs w:val="24"/>
        </w:rPr>
        <w:t>November</w:t>
      </w:r>
      <w:r>
        <w:rPr>
          <w:rFonts w:cstheme="minorHAnsi"/>
          <w:sz w:val="24"/>
          <w:szCs w:val="24"/>
        </w:rPr>
        <w:t xml:space="preserve"> </w:t>
      </w:r>
      <w:r w:rsidR="00477549">
        <w:rPr>
          <w:rFonts w:cstheme="minorHAnsi"/>
          <w:sz w:val="24"/>
          <w:szCs w:val="24"/>
        </w:rPr>
        <w:t>2</w:t>
      </w:r>
      <w:r>
        <w:rPr>
          <w:rFonts w:cstheme="minorHAnsi"/>
          <w:sz w:val="24"/>
          <w:szCs w:val="24"/>
        </w:rPr>
        <w:t xml:space="preserve">8, 2023.  Ms. </w:t>
      </w:r>
      <w:r w:rsidR="0021502A">
        <w:rPr>
          <w:rFonts w:cstheme="minorHAnsi"/>
          <w:sz w:val="24"/>
          <w:szCs w:val="24"/>
        </w:rPr>
        <w:t>Kershaw</w:t>
      </w:r>
      <w:r>
        <w:rPr>
          <w:rFonts w:cstheme="minorHAnsi"/>
          <w:sz w:val="24"/>
          <w:szCs w:val="24"/>
        </w:rPr>
        <w:t xml:space="preserve"> made a motion to approve the minutes and </w:t>
      </w:r>
      <w:r w:rsidR="0021502A">
        <w:rPr>
          <w:rFonts w:cstheme="minorHAnsi"/>
          <w:sz w:val="24"/>
          <w:szCs w:val="24"/>
        </w:rPr>
        <w:t>Ms. Hubbard</w:t>
      </w:r>
      <w:r>
        <w:rPr>
          <w:rFonts w:cstheme="minorHAnsi"/>
          <w:sz w:val="24"/>
          <w:szCs w:val="24"/>
        </w:rPr>
        <w:t xml:space="preserve"> seconded the motion. Ms. Kain asked if there were any questions or comments on the minutes and seeing none, </w:t>
      </w:r>
      <w:r w:rsidRPr="00694CBA">
        <w:rPr>
          <w:rFonts w:cstheme="minorHAnsi"/>
          <w:sz w:val="24"/>
          <w:szCs w:val="24"/>
        </w:rPr>
        <w:t>a roll call was done</w:t>
      </w:r>
      <w:r>
        <w:rPr>
          <w:rFonts w:cstheme="minorHAnsi"/>
          <w:sz w:val="24"/>
          <w:szCs w:val="24"/>
        </w:rPr>
        <w:t xml:space="preserve">. </w:t>
      </w:r>
      <w:r w:rsidRPr="00694CBA">
        <w:rPr>
          <w:rFonts w:cstheme="minorHAnsi"/>
          <w:sz w:val="24"/>
          <w:szCs w:val="24"/>
        </w:rPr>
        <w:t xml:space="preserve"> </w:t>
      </w:r>
      <w:r w:rsidR="000460F1">
        <w:rPr>
          <w:rFonts w:cstheme="minorHAnsi"/>
          <w:sz w:val="24"/>
          <w:szCs w:val="24"/>
        </w:rPr>
        <w:t xml:space="preserve">Commissioner Ryder abstained. </w:t>
      </w:r>
      <w:r>
        <w:rPr>
          <w:rFonts w:cstheme="minorHAnsi"/>
          <w:sz w:val="24"/>
          <w:szCs w:val="24"/>
        </w:rPr>
        <w:t>The m</w:t>
      </w:r>
      <w:r w:rsidRPr="00694CBA">
        <w:rPr>
          <w:rFonts w:cstheme="minorHAnsi"/>
          <w:sz w:val="24"/>
          <w:szCs w:val="24"/>
        </w:rPr>
        <w:t xml:space="preserve">inutes from </w:t>
      </w:r>
      <w:r w:rsidR="003B00CB">
        <w:rPr>
          <w:rFonts w:cstheme="minorHAnsi"/>
          <w:sz w:val="24"/>
          <w:szCs w:val="24"/>
        </w:rPr>
        <w:t>November 2</w:t>
      </w:r>
      <w:r>
        <w:rPr>
          <w:rFonts w:cstheme="minorHAnsi"/>
          <w:sz w:val="24"/>
          <w:szCs w:val="24"/>
        </w:rPr>
        <w:t>8</w:t>
      </w:r>
      <w:r w:rsidRPr="00C35F5F">
        <w:rPr>
          <w:rFonts w:cstheme="minorHAnsi"/>
          <w:sz w:val="24"/>
          <w:szCs w:val="24"/>
          <w:vertAlign w:val="superscript"/>
        </w:rPr>
        <w:t>th</w:t>
      </w:r>
      <w:r>
        <w:rPr>
          <w:rFonts w:cstheme="minorHAnsi"/>
          <w:sz w:val="24"/>
          <w:szCs w:val="24"/>
        </w:rPr>
        <w:t>, 2023,</w:t>
      </w:r>
      <w:r w:rsidRPr="00694CBA">
        <w:rPr>
          <w:rFonts w:cstheme="minorHAnsi"/>
          <w:sz w:val="24"/>
          <w:szCs w:val="24"/>
        </w:rPr>
        <w:t xml:space="preserve"> were approved</w:t>
      </w:r>
      <w:r>
        <w:rPr>
          <w:rFonts w:cstheme="minorHAnsi"/>
          <w:sz w:val="24"/>
          <w:szCs w:val="24"/>
        </w:rPr>
        <w:t>.</w:t>
      </w:r>
    </w:p>
    <w:p w14:paraId="14333BCF" w14:textId="551B1981" w:rsidR="0034635C" w:rsidRPr="001640E8" w:rsidRDefault="0034635C" w:rsidP="00E36013">
      <w:pPr>
        <w:rPr>
          <w:rFonts w:cstheme="minorHAnsi"/>
          <w:b/>
          <w:bCs/>
          <w:sz w:val="24"/>
          <w:szCs w:val="24"/>
          <w:u w:val="single"/>
        </w:rPr>
      </w:pPr>
      <w:r w:rsidRPr="001640E8">
        <w:rPr>
          <w:rFonts w:cstheme="minorHAnsi"/>
          <w:b/>
          <w:bCs/>
          <w:sz w:val="24"/>
          <w:szCs w:val="24"/>
          <w:u w:val="single"/>
        </w:rPr>
        <w:t>Review of Draft Annual Report</w:t>
      </w:r>
    </w:p>
    <w:p w14:paraId="2B86B979" w14:textId="53D79CBD" w:rsidR="0034635C" w:rsidRDefault="008D79A8" w:rsidP="00E36013">
      <w:pPr>
        <w:rPr>
          <w:rFonts w:cstheme="minorHAnsi"/>
          <w:sz w:val="24"/>
          <w:szCs w:val="24"/>
        </w:rPr>
      </w:pPr>
      <w:r>
        <w:rPr>
          <w:rFonts w:cstheme="minorHAnsi"/>
          <w:sz w:val="24"/>
          <w:szCs w:val="24"/>
        </w:rPr>
        <w:t>Ms. Kain shared a PowerPoint presentation with updates of the Annual Report</w:t>
      </w:r>
      <w:r w:rsidR="00AE5F95">
        <w:rPr>
          <w:rFonts w:cstheme="minorHAnsi"/>
          <w:sz w:val="24"/>
          <w:szCs w:val="24"/>
        </w:rPr>
        <w:t xml:space="preserve"> – the </w:t>
      </w:r>
      <w:r w:rsidR="00A75CB4">
        <w:rPr>
          <w:rFonts w:cstheme="minorHAnsi"/>
          <w:sz w:val="24"/>
          <w:szCs w:val="24"/>
        </w:rPr>
        <w:t>recommendations were discussed at our last meeting</w:t>
      </w:r>
      <w:r w:rsidR="00B30FE5">
        <w:rPr>
          <w:rFonts w:cstheme="minorHAnsi"/>
          <w:sz w:val="24"/>
          <w:szCs w:val="24"/>
        </w:rPr>
        <w:t xml:space="preserve">. </w:t>
      </w:r>
      <w:r w:rsidR="004E5E8A">
        <w:rPr>
          <w:rFonts w:cstheme="minorHAnsi"/>
          <w:sz w:val="24"/>
          <w:szCs w:val="24"/>
        </w:rPr>
        <w:t xml:space="preserve"> She shared updates from the respective state agencies</w:t>
      </w:r>
      <w:r w:rsidR="00BB0B45">
        <w:rPr>
          <w:rFonts w:cstheme="minorHAnsi"/>
          <w:sz w:val="24"/>
          <w:szCs w:val="24"/>
        </w:rPr>
        <w:t xml:space="preserve"> and data breakdowns that include DEI. </w:t>
      </w:r>
      <w:r w:rsidR="00B30FE5">
        <w:rPr>
          <w:rFonts w:cstheme="minorHAnsi"/>
          <w:sz w:val="24"/>
          <w:szCs w:val="24"/>
        </w:rPr>
        <w:t xml:space="preserve"> After this review and meeting, the Commission will meet on February 15</w:t>
      </w:r>
      <w:r w:rsidR="00B30FE5" w:rsidRPr="00B30FE5">
        <w:rPr>
          <w:rFonts w:cstheme="minorHAnsi"/>
          <w:sz w:val="24"/>
          <w:szCs w:val="24"/>
          <w:vertAlign w:val="superscript"/>
        </w:rPr>
        <w:t>th</w:t>
      </w:r>
      <w:r w:rsidR="00B30FE5">
        <w:rPr>
          <w:rFonts w:cstheme="minorHAnsi"/>
          <w:sz w:val="24"/>
          <w:szCs w:val="24"/>
        </w:rPr>
        <w:t xml:space="preserve"> </w:t>
      </w:r>
      <w:r w:rsidR="00206458">
        <w:rPr>
          <w:rFonts w:cstheme="minorHAnsi"/>
          <w:sz w:val="24"/>
          <w:szCs w:val="24"/>
        </w:rPr>
        <w:t>for final approval.  The Annual Report is due to the legislation on or before March 1, 2024</w:t>
      </w:r>
      <w:r w:rsidR="004E5E8A">
        <w:rPr>
          <w:rFonts w:cstheme="minorHAnsi"/>
          <w:sz w:val="24"/>
          <w:szCs w:val="24"/>
        </w:rPr>
        <w:t>.</w:t>
      </w:r>
    </w:p>
    <w:p w14:paraId="3ADD1356" w14:textId="391AA72D" w:rsidR="00BB0B45" w:rsidRPr="00A548E2" w:rsidRDefault="00BB0B45" w:rsidP="00E36013">
      <w:pPr>
        <w:rPr>
          <w:rFonts w:cstheme="minorHAnsi"/>
          <w:b/>
          <w:bCs/>
          <w:sz w:val="24"/>
          <w:szCs w:val="24"/>
          <w:u w:val="single"/>
        </w:rPr>
      </w:pPr>
      <w:r w:rsidRPr="00A548E2">
        <w:rPr>
          <w:rFonts w:cstheme="minorHAnsi"/>
          <w:b/>
          <w:bCs/>
          <w:sz w:val="24"/>
          <w:szCs w:val="24"/>
          <w:u w:val="single"/>
        </w:rPr>
        <w:t>DDS Data</w:t>
      </w:r>
    </w:p>
    <w:p w14:paraId="75C6F3F7" w14:textId="2A8EE141" w:rsidR="00EC7D8B" w:rsidRPr="00EC7D8B" w:rsidRDefault="00EC7D8B" w:rsidP="00592CD0">
      <w:pPr>
        <w:pStyle w:val="ListParagraph"/>
        <w:numPr>
          <w:ilvl w:val="0"/>
          <w:numId w:val="1"/>
        </w:numPr>
        <w:rPr>
          <w:rFonts w:cstheme="minorHAnsi"/>
          <w:sz w:val="24"/>
          <w:szCs w:val="24"/>
        </w:rPr>
      </w:pPr>
      <w:r w:rsidRPr="006228B7">
        <w:rPr>
          <w:rFonts w:cstheme="minorHAnsi"/>
          <w:sz w:val="24"/>
          <w:szCs w:val="24"/>
        </w:rPr>
        <w:t xml:space="preserve">From November 2014 to October 2023, </w:t>
      </w:r>
      <w:r w:rsidRPr="006228B7">
        <w:rPr>
          <w:rFonts w:cstheme="minorHAnsi"/>
          <w:b/>
          <w:bCs/>
          <w:sz w:val="24"/>
          <w:szCs w:val="24"/>
        </w:rPr>
        <w:t>4500</w:t>
      </w:r>
      <w:r w:rsidRPr="006228B7">
        <w:rPr>
          <w:rFonts w:cstheme="minorHAnsi"/>
          <w:sz w:val="24"/>
          <w:szCs w:val="24"/>
        </w:rPr>
        <w:t xml:space="preserve"> “newly eligible” individuals with ASD only met the DDS criteria for eligibility as a person with autism and functional impairments (in three or more of seven life areas). As of October 2022, </w:t>
      </w:r>
      <w:r w:rsidR="009B20F3" w:rsidRPr="006228B7">
        <w:rPr>
          <w:rFonts w:cstheme="minorHAnsi"/>
          <w:b/>
          <w:bCs/>
          <w:sz w:val="24"/>
          <w:szCs w:val="24"/>
        </w:rPr>
        <w:t>2247,</w:t>
      </w:r>
      <w:r w:rsidRPr="006228B7">
        <w:rPr>
          <w:rFonts w:cstheme="minorHAnsi"/>
          <w:b/>
          <w:bCs/>
          <w:sz w:val="24"/>
          <w:szCs w:val="24"/>
        </w:rPr>
        <w:t xml:space="preserve"> </w:t>
      </w:r>
      <w:r w:rsidRPr="006228B7">
        <w:rPr>
          <w:rFonts w:cstheme="minorHAnsi"/>
          <w:sz w:val="24"/>
          <w:szCs w:val="24"/>
        </w:rPr>
        <w:t xml:space="preserve">individuals were enrolled in DDS services. Of the </w:t>
      </w:r>
      <w:r w:rsidRPr="006228B7">
        <w:rPr>
          <w:rFonts w:cstheme="minorHAnsi"/>
          <w:b/>
          <w:bCs/>
          <w:sz w:val="24"/>
          <w:szCs w:val="24"/>
        </w:rPr>
        <w:t>4500</w:t>
      </w:r>
      <w:r w:rsidRPr="006228B7">
        <w:rPr>
          <w:rFonts w:cstheme="minorHAnsi"/>
          <w:sz w:val="24"/>
          <w:szCs w:val="24"/>
        </w:rPr>
        <w:t xml:space="preserve"> individuals eligible, </w:t>
      </w:r>
      <w:r w:rsidRPr="006228B7">
        <w:rPr>
          <w:rFonts w:cstheme="minorHAnsi"/>
          <w:b/>
          <w:bCs/>
          <w:sz w:val="24"/>
          <w:szCs w:val="24"/>
        </w:rPr>
        <w:t>2625</w:t>
      </w:r>
      <w:r w:rsidRPr="006228B7">
        <w:rPr>
          <w:rFonts w:cstheme="minorHAnsi"/>
          <w:sz w:val="24"/>
          <w:szCs w:val="24"/>
        </w:rPr>
        <w:t xml:space="preserve"> are currently enrolled in DDS services.  </w:t>
      </w:r>
      <w:r w:rsidRPr="00EC7D8B">
        <w:rPr>
          <w:rFonts w:cstheme="minorHAnsi"/>
          <w:sz w:val="24"/>
          <w:szCs w:val="24"/>
        </w:rPr>
        <w:t> </w:t>
      </w:r>
    </w:p>
    <w:p w14:paraId="6C8A51C0" w14:textId="7A71E737" w:rsidR="00EC7D8B" w:rsidRDefault="00EC7D8B" w:rsidP="006228B7">
      <w:pPr>
        <w:pStyle w:val="ListParagraph"/>
        <w:numPr>
          <w:ilvl w:val="0"/>
          <w:numId w:val="1"/>
        </w:numPr>
        <w:rPr>
          <w:rFonts w:cstheme="minorHAnsi"/>
          <w:sz w:val="24"/>
          <w:szCs w:val="24"/>
        </w:rPr>
      </w:pPr>
      <w:r w:rsidRPr="006228B7">
        <w:rPr>
          <w:rFonts w:cstheme="minorHAnsi"/>
          <w:sz w:val="24"/>
          <w:szCs w:val="24"/>
        </w:rPr>
        <w:t xml:space="preserve">Individuals with an intellectual disability (ID) and ASD are also eligible for DDS services. Since eligibility was expanded for individuals with ASD, DDS also began separately tracking the number of individuals with co-occurring ASD and ID.   The number of new individuals with ID and ASD as of October 2023 is </w:t>
      </w:r>
      <w:r w:rsidRPr="006228B7">
        <w:rPr>
          <w:rFonts w:cstheme="minorHAnsi"/>
          <w:b/>
          <w:bCs/>
          <w:sz w:val="24"/>
          <w:szCs w:val="24"/>
        </w:rPr>
        <w:t>2366</w:t>
      </w:r>
      <w:r w:rsidRPr="006228B7">
        <w:rPr>
          <w:rFonts w:cstheme="minorHAnsi"/>
          <w:sz w:val="24"/>
          <w:szCs w:val="24"/>
        </w:rPr>
        <w:t>.</w:t>
      </w:r>
    </w:p>
    <w:p w14:paraId="56884F7D" w14:textId="3A59C5FF" w:rsidR="00DD037B" w:rsidRPr="00A548E2" w:rsidRDefault="00A113A7" w:rsidP="00A548E2">
      <w:pPr>
        <w:ind w:left="410"/>
        <w:rPr>
          <w:rFonts w:cstheme="minorHAnsi"/>
          <w:b/>
          <w:bCs/>
          <w:i/>
          <w:iCs/>
          <w:sz w:val="24"/>
          <w:szCs w:val="24"/>
        </w:rPr>
      </w:pPr>
      <w:r>
        <w:rPr>
          <w:rFonts w:cstheme="minorHAnsi"/>
          <w:b/>
          <w:bCs/>
          <w:i/>
          <w:iCs/>
          <w:sz w:val="24"/>
          <w:szCs w:val="24"/>
        </w:rPr>
        <w:t>Comments/Questions</w:t>
      </w:r>
    </w:p>
    <w:p w14:paraId="53C0D153" w14:textId="61CB6D26" w:rsidR="006F1A49" w:rsidRDefault="006F1A49" w:rsidP="00DD037B">
      <w:pPr>
        <w:pStyle w:val="ListParagraph"/>
        <w:ind w:left="770"/>
        <w:rPr>
          <w:rFonts w:cstheme="minorHAnsi"/>
          <w:sz w:val="24"/>
          <w:szCs w:val="24"/>
        </w:rPr>
      </w:pPr>
      <w:r>
        <w:rPr>
          <w:rFonts w:cstheme="minorHAnsi"/>
          <w:sz w:val="24"/>
          <w:szCs w:val="24"/>
        </w:rPr>
        <w:t xml:space="preserve">It was asked if </w:t>
      </w:r>
      <w:r w:rsidR="009D4544">
        <w:rPr>
          <w:rFonts w:cstheme="minorHAnsi"/>
          <w:sz w:val="24"/>
          <w:szCs w:val="24"/>
        </w:rPr>
        <w:t>the numbers given could also be represented in percentages that would track growth</w:t>
      </w:r>
      <w:r w:rsidR="00A548E2">
        <w:rPr>
          <w:rFonts w:cstheme="minorHAnsi"/>
          <w:sz w:val="24"/>
          <w:szCs w:val="24"/>
        </w:rPr>
        <w:t xml:space="preserve"> year </w:t>
      </w:r>
      <w:r w:rsidR="00781516">
        <w:rPr>
          <w:rFonts w:cstheme="minorHAnsi"/>
          <w:sz w:val="24"/>
          <w:szCs w:val="24"/>
        </w:rPr>
        <w:t>after</w:t>
      </w:r>
      <w:r w:rsidR="00A548E2">
        <w:rPr>
          <w:rFonts w:cstheme="minorHAnsi"/>
          <w:sz w:val="24"/>
          <w:szCs w:val="24"/>
        </w:rPr>
        <w:t xml:space="preserve"> year</w:t>
      </w:r>
      <w:r w:rsidR="00ED1A80">
        <w:rPr>
          <w:rFonts w:cstheme="minorHAnsi"/>
          <w:sz w:val="24"/>
          <w:szCs w:val="24"/>
        </w:rPr>
        <w:t xml:space="preserve">. </w:t>
      </w:r>
      <w:r w:rsidR="00781516">
        <w:rPr>
          <w:rFonts w:cstheme="minorHAnsi"/>
          <w:sz w:val="24"/>
          <w:szCs w:val="24"/>
        </w:rPr>
        <w:t>Ms. Kain pointed out that data was provided in the 2022 annual report that was pre-covid for comparison with recent data. Ms. Kain said that she can add back in data from the previous year</w:t>
      </w:r>
      <w:r w:rsidR="00ED1A80">
        <w:rPr>
          <w:rFonts w:cstheme="minorHAnsi"/>
          <w:sz w:val="24"/>
          <w:szCs w:val="24"/>
        </w:rPr>
        <w:t>, as a measure of comparison</w:t>
      </w:r>
      <w:r w:rsidR="00781516">
        <w:rPr>
          <w:rFonts w:cstheme="minorHAnsi"/>
          <w:sz w:val="24"/>
          <w:szCs w:val="24"/>
        </w:rPr>
        <w:t xml:space="preserve">. </w:t>
      </w:r>
    </w:p>
    <w:p w14:paraId="28B9B0C3" w14:textId="77777777" w:rsidR="00781516" w:rsidRPr="006F1A49" w:rsidRDefault="00781516" w:rsidP="00DD037B">
      <w:pPr>
        <w:pStyle w:val="ListParagraph"/>
        <w:ind w:left="770"/>
        <w:rPr>
          <w:rFonts w:cstheme="minorHAnsi"/>
          <w:sz w:val="24"/>
          <w:szCs w:val="24"/>
        </w:rPr>
      </w:pPr>
    </w:p>
    <w:p w14:paraId="48615F4B" w14:textId="07E3473F" w:rsidR="004D2FF4" w:rsidRPr="00A357EB" w:rsidRDefault="00A357EB" w:rsidP="00A357EB">
      <w:pPr>
        <w:tabs>
          <w:tab w:val="left" w:pos="5430"/>
        </w:tabs>
        <w:rPr>
          <w:rFonts w:cstheme="minorHAnsi"/>
          <w:b/>
          <w:bCs/>
          <w:sz w:val="24"/>
          <w:szCs w:val="24"/>
          <w:u w:val="single"/>
        </w:rPr>
      </w:pPr>
      <w:r w:rsidRPr="00A357EB">
        <w:rPr>
          <w:rFonts w:cstheme="minorHAnsi"/>
          <w:b/>
          <w:bCs/>
          <w:sz w:val="24"/>
          <w:szCs w:val="24"/>
          <w:u w:val="single"/>
        </w:rPr>
        <w:t>Turning 22</w:t>
      </w:r>
    </w:p>
    <w:p w14:paraId="1766C64B" w14:textId="6D77D4CB" w:rsidR="00A357EB" w:rsidRDefault="00A357EB" w:rsidP="00A357EB">
      <w:pPr>
        <w:pStyle w:val="ListParagraph"/>
        <w:numPr>
          <w:ilvl w:val="0"/>
          <w:numId w:val="2"/>
        </w:numPr>
        <w:rPr>
          <w:rFonts w:cstheme="minorHAnsi"/>
          <w:sz w:val="24"/>
          <w:szCs w:val="24"/>
        </w:rPr>
      </w:pPr>
      <w:r w:rsidRPr="00A357EB">
        <w:rPr>
          <w:rFonts w:cstheme="minorHAnsi"/>
          <w:sz w:val="24"/>
          <w:szCs w:val="24"/>
        </w:rPr>
        <w:t xml:space="preserve">The </w:t>
      </w:r>
      <w:r w:rsidRPr="00A357EB">
        <w:rPr>
          <w:rFonts w:cstheme="minorHAnsi"/>
          <w:b/>
          <w:bCs/>
          <w:sz w:val="24"/>
          <w:szCs w:val="24"/>
        </w:rPr>
        <w:t>FY24</w:t>
      </w:r>
      <w:r w:rsidRPr="00A357EB">
        <w:rPr>
          <w:rFonts w:cstheme="minorHAnsi"/>
          <w:sz w:val="24"/>
          <w:szCs w:val="24"/>
        </w:rPr>
        <w:t xml:space="preserve"> “Turning 22 budget” is funded at $105,653,241. In previous fiscal years the DDS T22 budget was projected </w:t>
      </w:r>
      <w:r w:rsidRPr="00A357EB">
        <w:rPr>
          <w:rFonts w:cstheme="minorHAnsi"/>
          <w:b/>
          <w:bCs/>
          <w:i/>
          <w:iCs/>
          <w:sz w:val="24"/>
          <w:szCs w:val="24"/>
          <w:u w:val="single"/>
        </w:rPr>
        <w:t>ONLY</w:t>
      </w:r>
      <w:r w:rsidRPr="00A357EB">
        <w:rPr>
          <w:rFonts w:cstheme="minorHAnsi"/>
          <w:sz w:val="24"/>
          <w:szCs w:val="24"/>
        </w:rPr>
        <w:t xml:space="preserve"> for individuals turning 22 in that specific fiscal year. In FY22 the Department adjusted the funding model to allow for more flexibility.  </w:t>
      </w:r>
    </w:p>
    <w:p w14:paraId="0DDD93BD" w14:textId="613D0CED" w:rsidR="00680F11" w:rsidRPr="00680F11" w:rsidRDefault="00680F11" w:rsidP="00E948CA">
      <w:pPr>
        <w:pStyle w:val="ListParagraph"/>
        <w:numPr>
          <w:ilvl w:val="0"/>
          <w:numId w:val="2"/>
        </w:numPr>
        <w:rPr>
          <w:rFonts w:cstheme="minorHAnsi"/>
          <w:sz w:val="24"/>
          <w:szCs w:val="24"/>
        </w:rPr>
      </w:pPr>
      <w:r w:rsidRPr="00680F11">
        <w:rPr>
          <w:rFonts w:cstheme="minorHAnsi"/>
          <w:sz w:val="24"/>
          <w:szCs w:val="24"/>
        </w:rPr>
        <w:t xml:space="preserve">For FY24, there are </w:t>
      </w:r>
      <w:r w:rsidRPr="00680F11">
        <w:rPr>
          <w:rFonts w:cstheme="minorHAnsi"/>
          <w:b/>
          <w:bCs/>
          <w:sz w:val="24"/>
          <w:szCs w:val="24"/>
        </w:rPr>
        <w:t>443</w:t>
      </w:r>
      <w:r w:rsidRPr="00680F11">
        <w:rPr>
          <w:rFonts w:cstheme="minorHAnsi"/>
          <w:sz w:val="24"/>
          <w:szCs w:val="24"/>
        </w:rPr>
        <w:t xml:space="preserve"> </w:t>
      </w:r>
      <w:r w:rsidRPr="00680F11">
        <w:rPr>
          <w:rFonts w:cstheme="minorHAnsi"/>
          <w:b/>
          <w:bCs/>
          <w:sz w:val="24"/>
          <w:szCs w:val="24"/>
        </w:rPr>
        <w:t>individuals with ASD only</w:t>
      </w:r>
      <w:r w:rsidRPr="00680F11">
        <w:rPr>
          <w:rFonts w:cstheme="minorHAnsi"/>
          <w:sz w:val="24"/>
          <w:szCs w:val="24"/>
        </w:rPr>
        <w:t xml:space="preserve"> in this year’s Turning 22 class, which is </w:t>
      </w:r>
      <w:r w:rsidRPr="00680F11">
        <w:rPr>
          <w:rFonts w:cstheme="minorHAnsi"/>
          <w:b/>
          <w:bCs/>
          <w:sz w:val="24"/>
          <w:szCs w:val="24"/>
        </w:rPr>
        <w:t>32%</w:t>
      </w:r>
      <w:r w:rsidRPr="00680F11">
        <w:rPr>
          <w:rFonts w:cstheme="minorHAnsi"/>
          <w:sz w:val="24"/>
          <w:szCs w:val="24"/>
        </w:rPr>
        <w:t xml:space="preserve"> of the FY24 Turning 22 class. There are also </w:t>
      </w:r>
      <w:r w:rsidRPr="00680F11">
        <w:rPr>
          <w:rFonts w:cstheme="minorHAnsi"/>
          <w:b/>
          <w:bCs/>
          <w:sz w:val="24"/>
          <w:szCs w:val="24"/>
        </w:rPr>
        <w:t>308</w:t>
      </w:r>
      <w:r w:rsidRPr="00680F11">
        <w:rPr>
          <w:rFonts w:cstheme="minorHAnsi"/>
          <w:sz w:val="24"/>
          <w:szCs w:val="24"/>
        </w:rPr>
        <w:t xml:space="preserve"> </w:t>
      </w:r>
      <w:r w:rsidRPr="00680F11">
        <w:rPr>
          <w:rFonts w:cstheme="minorHAnsi"/>
          <w:b/>
          <w:bCs/>
          <w:sz w:val="24"/>
          <w:szCs w:val="24"/>
        </w:rPr>
        <w:t>individuals with ASD and ID</w:t>
      </w:r>
      <w:r w:rsidRPr="00680F11">
        <w:rPr>
          <w:rFonts w:cstheme="minorHAnsi"/>
          <w:sz w:val="24"/>
          <w:szCs w:val="24"/>
        </w:rPr>
        <w:t xml:space="preserve">, which is an additional </w:t>
      </w:r>
      <w:r w:rsidRPr="00680F11">
        <w:rPr>
          <w:rFonts w:cstheme="minorHAnsi"/>
          <w:b/>
          <w:bCs/>
          <w:sz w:val="24"/>
          <w:szCs w:val="24"/>
        </w:rPr>
        <w:t>22%</w:t>
      </w:r>
      <w:r w:rsidRPr="00680F11">
        <w:rPr>
          <w:rFonts w:cstheme="minorHAnsi"/>
          <w:sz w:val="24"/>
          <w:szCs w:val="24"/>
        </w:rPr>
        <w:t xml:space="preserve"> of the FY24 Turning 22 class.</w:t>
      </w:r>
    </w:p>
    <w:p w14:paraId="1B2A2FF4" w14:textId="5B3EE4A7" w:rsidR="00680F11" w:rsidRPr="005D49E2" w:rsidRDefault="00A12BF1" w:rsidP="008C10FE">
      <w:pPr>
        <w:ind w:left="360"/>
        <w:rPr>
          <w:rFonts w:cstheme="minorHAnsi"/>
          <w:b/>
          <w:bCs/>
          <w:i/>
          <w:iCs/>
          <w:sz w:val="24"/>
          <w:szCs w:val="24"/>
        </w:rPr>
      </w:pPr>
      <w:r>
        <w:rPr>
          <w:rFonts w:cstheme="minorHAnsi"/>
          <w:b/>
          <w:bCs/>
          <w:i/>
          <w:iCs/>
          <w:sz w:val="24"/>
          <w:szCs w:val="24"/>
        </w:rPr>
        <w:t>Comments/</w:t>
      </w:r>
      <w:r w:rsidR="008C10FE" w:rsidRPr="005D49E2">
        <w:rPr>
          <w:rFonts w:cstheme="minorHAnsi"/>
          <w:b/>
          <w:bCs/>
          <w:i/>
          <w:iCs/>
          <w:sz w:val="24"/>
          <w:szCs w:val="24"/>
        </w:rPr>
        <w:t>Questions</w:t>
      </w:r>
    </w:p>
    <w:p w14:paraId="7B5C83EE" w14:textId="77777777" w:rsidR="00A12BF1" w:rsidRDefault="007047AA" w:rsidP="008C10FE">
      <w:pPr>
        <w:ind w:left="360"/>
        <w:rPr>
          <w:rFonts w:cstheme="minorHAnsi"/>
          <w:sz w:val="24"/>
          <w:szCs w:val="24"/>
        </w:rPr>
      </w:pPr>
      <w:r>
        <w:rPr>
          <w:rFonts w:cstheme="minorHAnsi"/>
          <w:sz w:val="24"/>
          <w:szCs w:val="24"/>
        </w:rPr>
        <w:t xml:space="preserve">Given the number of “missing race” what work is being done </w:t>
      </w:r>
      <w:r w:rsidR="00D10C08">
        <w:rPr>
          <w:rFonts w:cstheme="minorHAnsi"/>
          <w:sz w:val="24"/>
          <w:szCs w:val="24"/>
        </w:rPr>
        <w:t>to g</w:t>
      </w:r>
      <w:r w:rsidR="00A12BF1">
        <w:rPr>
          <w:rFonts w:cstheme="minorHAnsi"/>
          <w:sz w:val="24"/>
          <w:szCs w:val="24"/>
        </w:rPr>
        <w:t>ather that data</w:t>
      </w:r>
      <w:r w:rsidR="00D10C08">
        <w:rPr>
          <w:rFonts w:cstheme="minorHAnsi"/>
          <w:sz w:val="24"/>
          <w:szCs w:val="24"/>
        </w:rPr>
        <w:t xml:space="preserve">.  </w:t>
      </w:r>
    </w:p>
    <w:p w14:paraId="3BA1BA36" w14:textId="5F88B74E" w:rsidR="008C10FE" w:rsidRDefault="00D10C08" w:rsidP="008C10FE">
      <w:pPr>
        <w:ind w:left="360"/>
        <w:rPr>
          <w:rFonts w:cstheme="minorHAnsi"/>
          <w:sz w:val="24"/>
          <w:szCs w:val="24"/>
        </w:rPr>
      </w:pPr>
      <w:r>
        <w:rPr>
          <w:rFonts w:cstheme="minorHAnsi"/>
          <w:sz w:val="24"/>
          <w:szCs w:val="24"/>
        </w:rPr>
        <w:t>DDS has not collected this data in previous years</w:t>
      </w:r>
      <w:r w:rsidR="004D6FD0">
        <w:rPr>
          <w:rFonts w:cstheme="minorHAnsi"/>
          <w:sz w:val="24"/>
          <w:szCs w:val="24"/>
        </w:rPr>
        <w:t xml:space="preserve"> and there is a new effort to collect it moving forward</w:t>
      </w:r>
      <w:r w:rsidR="00781516">
        <w:rPr>
          <w:rFonts w:cstheme="minorHAnsi"/>
          <w:sz w:val="24"/>
          <w:szCs w:val="24"/>
        </w:rPr>
        <w:t xml:space="preserve">, which </w:t>
      </w:r>
      <w:r w:rsidR="004D6FD0">
        <w:rPr>
          <w:rFonts w:cstheme="minorHAnsi"/>
          <w:sz w:val="24"/>
          <w:szCs w:val="24"/>
        </w:rPr>
        <w:t>is a dramatic improvement</w:t>
      </w:r>
      <w:r w:rsidR="00C678D8">
        <w:rPr>
          <w:rFonts w:cstheme="minorHAnsi"/>
          <w:sz w:val="24"/>
          <w:szCs w:val="24"/>
        </w:rPr>
        <w:t xml:space="preserve"> – there is a new data base that will be </w:t>
      </w:r>
      <w:r w:rsidR="00920754">
        <w:rPr>
          <w:rFonts w:cstheme="minorHAnsi"/>
          <w:sz w:val="24"/>
          <w:szCs w:val="24"/>
        </w:rPr>
        <w:t>implemented</w:t>
      </w:r>
      <w:r w:rsidR="00781516">
        <w:rPr>
          <w:rFonts w:cstheme="minorHAnsi"/>
          <w:sz w:val="24"/>
          <w:szCs w:val="24"/>
        </w:rPr>
        <w:t xml:space="preserve"> by DDS</w:t>
      </w:r>
      <w:r w:rsidR="00920754">
        <w:rPr>
          <w:rFonts w:cstheme="minorHAnsi"/>
          <w:sz w:val="24"/>
          <w:szCs w:val="24"/>
        </w:rPr>
        <w:t>,</w:t>
      </w:r>
      <w:r w:rsidR="00C678D8">
        <w:rPr>
          <w:rFonts w:cstheme="minorHAnsi"/>
          <w:sz w:val="24"/>
          <w:szCs w:val="24"/>
        </w:rPr>
        <w:t xml:space="preserve"> </w:t>
      </w:r>
      <w:r w:rsidR="00781516">
        <w:rPr>
          <w:rFonts w:cstheme="minorHAnsi"/>
          <w:sz w:val="24"/>
          <w:szCs w:val="24"/>
        </w:rPr>
        <w:t xml:space="preserve">to assist with identifying any issues with </w:t>
      </w:r>
      <w:r w:rsidR="005D49E2">
        <w:rPr>
          <w:rFonts w:cstheme="minorHAnsi"/>
          <w:sz w:val="24"/>
          <w:szCs w:val="24"/>
        </w:rPr>
        <w:t>equity in services.</w:t>
      </w:r>
      <w:r w:rsidR="009A089C">
        <w:rPr>
          <w:rFonts w:cstheme="minorHAnsi"/>
          <w:sz w:val="24"/>
          <w:szCs w:val="24"/>
        </w:rPr>
        <w:t xml:space="preserve"> Ms. Kain said that data collection processes were included in the 2022 report, and that information could be included in the 2023 report. </w:t>
      </w:r>
    </w:p>
    <w:p w14:paraId="340E0D55" w14:textId="5BAA3B87" w:rsidR="00112E5D" w:rsidRPr="00A12BF1" w:rsidRDefault="00112E5D" w:rsidP="008C10FE">
      <w:pPr>
        <w:ind w:left="360"/>
        <w:rPr>
          <w:rFonts w:cstheme="minorHAnsi"/>
          <w:b/>
          <w:bCs/>
          <w:sz w:val="24"/>
          <w:szCs w:val="24"/>
          <w:u w:val="single"/>
        </w:rPr>
      </w:pPr>
      <w:r w:rsidRPr="00A12BF1">
        <w:rPr>
          <w:rFonts w:cstheme="minorHAnsi"/>
          <w:b/>
          <w:bCs/>
          <w:sz w:val="24"/>
          <w:szCs w:val="24"/>
          <w:u w:val="single"/>
        </w:rPr>
        <w:t>DDS/</w:t>
      </w:r>
      <w:proofErr w:type="spellStart"/>
      <w:r w:rsidRPr="00A12BF1">
        <w:rPr>
          <w:rFonts w:cstheme="minorHAnsi"/>
          <w:b/>
          <w:bCs/>
          <w:sz w:val="24"/>
          <w:szCs w:val="24"/>
          <w:u w:val="single"/>
        </w:rPr>
        <w:t>Umass</w:t>
      </w:r>
      <w:proofErr w:type="spellEnd"/>
      <w:r w:rsidRPr="00A12BF1">
        <w:rPr>
          <w:rFonts w:cstheme="minorHAnsi"/>
          <w:b/>
          <w:bCs/>
          <w:sz w:val="24"/>
          <w:szCs w:val="24"/>
          <w:u w:val="single"/>
        </w:rPr>
        <w:t xml:space="preserve"> ICI</w:t>
      </w:r>
    </w:p>
    <w:p w14:paraId="5B2E3856" w14:textId="77777777" w:rsidR="00112E5D" w:rsidRDefault="00112E5D" w:rsidP="00112E5D">
      <w:pPr>
        <w:pStyle w:val="ListParagraph"/>
        <w:numPr>
          <w:ilvl w:val="0"/>
          <w:numId w:val="3"/>
        </w:numPr>
        <w:rPr>
          <w:rFonts w:cstheme="minorHAnsi"/>
          <w:sz w:val="24"/>
          <w:szCs w:val="24"/>
        </w:rPr>
      </w:pPr>
      <w:r w:rsidRPr="00112E5D">
        <w:rPr>
          <w:rFonts w:cstheme="minorHAnsi"/>
          <w:sz w:val="24"/>
          <w:szCs w:val="24"/>
        </w:rPr>
        <w:t>DDS, through a partnership with UMASS Boston Institute for Community Inclusion, collects snapshot employment outcome data every year in the month of April from providers who deliver individual and group employment services.</w:t>
      </w:r>
    </w:p>
    <w:p w14:paraId="43955E40" w14:textId="77777777" w:rsidR="00112E5D" w:rsidRDefault="00112E5D" w:rsidP="00112E5D">
      <w:pPr>
        <w:pStyle w:val="ListParagraph"/>
        <w:numPr>
          <w:ilvl w:val="0"/>
          <w:numId w:val="3"/>
        </w:numPr>
        <w:rPr>
          <w:rFonts w:cstheme="minorHAnsi"/>
          <w:sz w:val="24"/>
          <w:szCs w:val="24"/>
        </w:rPr>
      </w:pPr>
      <w:r w:rsidRPr="00112E5D">
        <w:rPr>
          <w:rFonts w:cstheme="minorHAnsi"/>
          <w:sz w:val="24"/>
          <w:szCs w:val="24"/>
        </w:rPr>
        <w:t xml:space="preserve"> Based on the employment data collected from providers in April 2022, there were about </w:t>
      </w:r>
      <w:r w:rsidRPr="00112E5D">
        <w:rPr>
          <w:rFonts w:cstheme="minorHAnsi"/>
          <w:b/>
          <w:bCs/>
          <w:sz w:val="24"/>
          <w:szCs w:val="24"/>
        </w:rPr>
        <w:t>2,338</w:t>
      </w:r>
      <w:r w:rsidRPr="00112E5D">
        <w:rPr>
          <w:rFonts w:cstheme="minorHAnsi"/>
          <w:sz w:val="24"/>
          <w:szCs w:val="24"/>
        </w:rPr>
        <w:t xml:space="preserve"> individuals employed individual jobs,</w:t>
      </w:r>
      <w:r w:rsidRPr="00112E5D">
        <w:rPr>
          <w:rFonts w:cstheme="minorHAnsi"/>
          <w:b/>
          <w:bCs/>
          <w:sz w:val="24"/>
          <w:szCs w:val="24"/>
        </w:rPr>
        <w:t>1,711</w:t>
      </w:r>
      <w:r w:rsidRPr="00112E5D">
        <w:rPr>
          <w:rFonts w:cstheme="minorHAnsi"/>
          <w:sz w:val="24"/>
          <w:szCs w:val="24"/>
        </w:rPr>
        <w:t xml:space="preserve"> individuals employed in group employment, and </w:t>
      </w:r>
      <w:r w:rsidRPr="00112E5D">
        <w:rPr>
          <w:rFonts w:cstheme="minorHAnsi"/>
          <w:b/>
          <w:bCs/>
          <w:sz w:val="24"/>
          <w:szCs w:val="24"/>
        </w:rPr>
        <w:t>17</w:t>
      </w:r>
      <w:r w:rsidRPr="00112E5D">
        <w:rPr>
          <w:rFonts w:cstheme="minorHAnsi"/>
          <w:sz w:val="24"/>
          <w:szCs w:val="24"/>
        </w:rPr>
        <w:t xml:space="preserve"> individuals that reported as Self Employed.  </w:t>
      </w:r>
    </w:p>
    <w:p w14:paraId="3F42A3AF" w14:textId="77777777" w:rsidR="00112E5D" w:rsidRDefault="00112E5D" w:rsidP="00112E5D">
      <w:pPr>
        <w:pStyle w:val="ListParagraph"/>
        <w:numPr>
          <w:ilvl w:val="0"/>
          <w:numId w:val="3"/>
        </w:numPr>
        <w:rPr>
          <w:rFonts w:cstheme="minorHAnsi"/>
          <w:sz w:val="24"/>
          <w:szCs w:val="24"/>
        </w:rPr>
      </w:pPr>
      <w:r w:rsidRPr="00112E5D">
        <w:rPr>
          <w:rFonts w:cstheme="minorHAnsi"/>
          <w:sz w:val="24"/>
          <w:szCs w:val="24"/>
        </w:rPr>
        <w:t xml:space="preserve">This represents </w:t>
      </w:r>
      <w:r w:rsidRPr="00112E5D">
        <w:rPr>
          <w:rFonts w:cstheme="minorHAnsi"/>
          <w:b/>
          <w:bCs/>
          <w:sz w:val="24"/>
          <w:szCs w:val="24"/>
        </w:rPr>
        <w:t>37.6%</w:t>
      </w:r>
      <w:r w:rsidRPr="00112E5D">
        <w:rPr>
          <w:rFonts w:cstheme="minorHAnsi"/>
          <w:sz w:val="24"/>
          <w:szCs w:val="24"/>
        </w:rPr>
        <w:t xml:space="preserve"> of those participating in day and employment supports as employed in integrated, competitive employment at some level.  </w:t>
      </w:r>
    </w:p>
    <w:p w14:paraId="6BBAFB16" w14:textId="77777777" w:rsidR="00BA0292" w:rsidRDefault="00112E5D" w:rsidP="00112E5D">
      <w:pPr>
        <w:pStyle w:val="ListParagraph"/>
        <w:numPr>
          <w:ilvl w:val="0"/>
          <w:numId w:val="3"/>
        </w:numPr>
        <w:rPr>
          <w:rFonts w:cstheme="minorHAnsi"/>
          <w:sz w:val="24"/>
          <w:szCs w:val="24"/>
        </w:rPr>
      </w:pPr>
      <w:r w:rsidRPr="00112E5D">
        <w:rPr>
          <w:rFonts w:cstheme="minorHAnsi"/>
          <w:sz w:val="24"/>
          <w:szCs w:val="24"/>
        </w:rPr>
        <w:t xml:space="preserve">Data indicates the average hourly wage for individual jobs is slightly higher ($15.29) than the Massachusetts minimum wage and below for group supported employment ($13.51).  </w:t>
      </w:r>
    </w:p>
    <w:p w14:paraId="2BD5C6CB" w14:textId="4519CAF8" w:rsidR="00112E5D" w:rsidRDefault="00112E5D" w:rsidP="00112E5D">
      <w:pPr>
        <w:pStyle w:val="ListParagraph"/>
        <w:numPr>
          <w:ilvl w:val="0"/>
          <w:numId w:val="3"/>
        </w:numPr>
        <w:rPr>
          <w:rFonts w:cstheme="minorHAnsi"/>
          <w:sz w:val="24"/>
          <w:szCs w:val="24"/>
        </w:rPr>
      </w:pPr>
      <w:r w:rsidRPr="00112E5D">
        <w:rPr>
          <w:rFonts w:cstheme="minorHAnsi"/>
          <w:sz w:val="24"/>
          <w:szCs w:val="24"/>
        </w:rPr>
        <w:t>DDS is committed to expanding their CBDS “Without Walls” program model which is delivered in small groups exclusively in the community.  DDS is dedicated outcome to supporting return-to-work efforts through strong partnerships and collaboration with individuals, families, businesses, provider agencies, community organizations, and partner administrations.</w:t>
      </w:r>
    </w:p>
    <w:p w14:paraId="23543B66" w14:textId="6A3A5E2F" w:rsidR="00760A47" w:rsidRPr="00436618" w:rsidRDefault="00760A47" w:rsidP="00760A47">
      <w:pPr>
        <w:ind w:left="720"/>
        <w:rPr>
          <w:rFonts w:cstheme="minorHAnsi"/>
          <w:b/>
          <w:bCs/>
          <w:i/>
          <w:iCs/>
          <w:sz w:val="24"/>
          <w:szCs w:val="24"/>
        </w:rPr>
      </w:pPr>
      <w:r w:rsidRPr="00436618">
        <w:rPr>
          <w:rFonts w:cstheme="minorHAnsi"/>
          <w:b/>
          <w:bCs/>
          <w:i/>
          <w:iCs/>
          <w:sz w:val="24"/>
          <w:szCs w:val="24"/>
        </w:rPr>
        <w:t>Comments</w:t>
      </w:r>
      <w:r w:rsidR="00A12BF1">
        <w:rPr>
          <w:rFonts w:cstheme="minorHAnsi"/>
          <w:b/>
          <w:bCs/>
          <w:i/>
          <w:iCs/>
          <w:sz w:val="24"/>
          <w:szCs w:val="24"/>
        </w:rPr>
        <w:t>/Questions</w:t>
      </w:r>
    </w:p>
    <w:p w14:paraId="0AD7123A" w14:textId="2FB559F8" w:rsidR="00760A47" w:rsidRDefault="00436618" w:rsidP="00760A47">
      <w:pPr>
        <w:pStyle w:val="ListParagraph"/>
        <w:numPr>
          <w:ilvl w:val="0"/>
          <w:numId w:val="4"/>
        </w:numPr>
        <w:rPr>
          <w:rFonts w:cstheme="minorHAnsi"/>
          <w:sz w:val="24"/>
          <w:szCs w:val="24"/>
        </w:rPr>
      </w:pPr>
      <w:r>
        <w:rPr>
          <w:rFonts w:cstheme="minorHAnsi"/>
          <w:sz w:val="24"/>
          <w:szCs w:val="24"/>
        </w:rPr>
        <w:t>Usually,</w:t>
      </w:r>
      <w:r w:rsidR="00097308">
        <w:rPr>
          <w:rFonts w:cstheme="minorHAnsi"/>
          <w:sz w:val="24"/>
          <w:szCs w:val="24"/>
        </w:rPr>
        <w:t xml:space="preserve"> this data from ICI is a year behind – it takes a bit longer to collect the </w:t>
      </w:r>
      <w:r w:rsidR="00CE1364">
        <w:rPr>
          <w:rFonts w:cstheme="minorHAnsi"/>
          <w:sz w:val="24"/>
          <w:szCs w:val="24"/>
        </w:rPr>
        <w:t>data.</w:t>
      </w:r>
    </w:p>
    <w:p w14:paraId="212ABE97" w14:textId="1E04B5E4" w:rsidR="00097308" w:rsidRDefault="00097308" w:rsidP="00760A47">
      <w:pPr>
        <w:pStyle w:val="ListParagraph"/>
        <w:numPr>
          <w:ilvl w:val="0"/>
          <w:numId w:val="4"/>
        </w:numPr>
        <w:rPr>
          <w:rFonts w:cstheme="minorHAnsi"/>
          <w:sz w:val="24"/>
          <w:szCs w:val="24"/>
        </w:rPr>
      </w:pPr>
      <w:r>
        <w:rPr>
          <w:rFonts w:cstheme="minorHAnsi"/>
          <w:sz w:val="24"/>
          <w:szCs w:val="24"/>
        </w:rPr>
        <w:t xml:space="preserve">The numbers are going up as we come out of the </w:t>
      </w:r>
      <w:r w:rsidR="00CE1364">
        <w:rPr>
          <w:rFonts w:cstheme="minorHAnsi"/>
          <w:sz w:val="24"/>
          <w:szCs w:val="24"/>
        </w:rPr>
        <w:t>pandemic.</w:t>
      </w:r>
    </w:p>
    <w:p w14:paraId="3F6D4A32" w14:textId="436F71C9" w:rsidR="00951FB6" w:rsidRDefault="00951FB6" w:rsidP="00760A47">
      <w:pPr>
        <w:pStyle w:val="ListParagraph"/>
        <w:numPr>
          <w:ilvl w:val="0"/>
          <w:numId w:val="4"/>
        </w:numPr>
        <w:rPr>
          <w:rFonts w:cstheme="minorHAnsi"/>
          <w:sz w:val="24"/>
          <w:szCs w:val="24"/>
        </w:rPr>
      </w:pPr>
      <w:r>
        <w:rPr>
          <w:rFonts w:cstheme="minorHAnsi"/>
          <w:sz w:val="24"/>
          <w:szCs w:val="24"/>
        </w:rPr>
        <w:t xml:space="preserve">CBDS model </w:t>
      </w:r>
      <w:r w:rsidR="00A12BF1">
        <w:rPr>
          <w:rFonts w:cstheme="minorHAnsi"/>
          <w:sz w:val="24"/>
          <w:szCs w:val="24"/>
        </w:rPr>
        <w:t xml:space="preserve">is being </w:t>
      </w:r>
      <w:r>
        <w:rPr>
          <w:rFonts w:cstheme="minorHAnsi"/>
          <w:sz w:val="24"/>
          <w:szCs w:val="24"/>
        </w:rPr>
        <w:t>out in the community and DDS is happy with the progression of Without Walls</w:t>
      </w:r>
    </w:p>
    <w:p w14:paraId="5742B241" w14:textId="0D32A273" w:rsidR="00331EA4" w:rsidRPr="00A12BF1" w:rsidRDefault="00331EA4" w:rsidP="00331EA4">
      <w:pPr>
        <w:rPr>
          <w:rFonts w:cstheme="minorHAnsi"/>
          <w:b/>
          <w:bCs/>
          <w:sz w:val="24"/>
          <w:szCs w:val="24"/>
          <w:u w:val="single"/>
        </w:rPr>
      </w:pPr>
      <w:r w:rsidRPr="00A12BF1">
        <w:rPr>
          <w:rFonts w:cstheme="minorHAnsi"/>
          <w:b/>
          <w:bCs/>
          <w:sz w:val="24"/>
          <w:szCs w:val="24"/>
          <w:u w:val="single"/>
        </w:rPr>
        <w:t>MassHealth Updates</w:t>
      </w:r>
    </w:p>
    <w:p w14:paraId="254713AA" w14:textId="30F7B705" w:rsidR="00331EA4" w:rsidRPr="00331EA4" w:rsidRDefault="00331EA4" w:rsidP="00331EA4">
      <w:pPr>
        <w:pStyle w:val="ListParagraph"/>
        <w:numPr>
          <w:ilvl w:val="0"/>
          <w:numId w:val="5"/>
        </w:numPr>
        <w:rPr>
          <w:rFonts w:cstheme="minorHAnsi"/>
          <w:sz w:val="24"/>
          <w:szCs w:val="24"/>
        </w:rPr>
      </w:pPr>
      <w:r w:rsidRPr="00331EA4">
        <w:rPr>
          <w:rFonts w:cstheme="minorHAnsi"/>
          <w:sz w:val="24"/>
          <w:szCs w:val="24"/>
        </w:rPr>
        <w:t>MassHealth implemented coverage for ABA in June 2015. In FY2023, preliminary claims review shows that MassHealth spending on ABA services was $</w:t>
      </w:r>
      <w:r w:rsidRPr="00331EA4">
        <w:rPr>
          <w:rFonts w:cstheme="minorHAnsi"/>
          <w:b/>
          <w:bCs/>
          <w:sz w:val="24"/>
          <w:szCs w:val="24"/>
        </w:rPr>
        <w:t xml:space="preserve">148, 834,344.46 for 8409 members.   </w:t>
      </w:r>
    </w:p>
    <w:p w14:paraId="03C5A90A" w14:textId="24BD9C9D" w:rsidR="00331EA4" w:rsidRPr="00A243F3" w:rsidRDefault="00844FFA" w:rsidP="00844FFA">
      <w:pPr>
        <w:ind w:left="360"/>
        <w:rPr>
          <w:rFonts w:cstheme="minorHAnsi"/>
          <w:b/>
          <w:bCs/>
          <w:i/>
          <w:iCs/>
          <w:sz w:val="24"/>
          <w:szCs w:val="24"/>
        </w:rPr>
      </w:pPr>
      <w:r w:rsidRPr="00A243F3">
        <w:rPr>
          <w:rFonts w:cstheme="minorHAnsi"/>
          <w:b/>
          <w:bCs/>
          <w:i/>
          <w:iCs/>
          <w:sz w:val="24"/>
          <w:szCs w:val="24"/>
        </w:rPr>
        <w:t>Comments</w:t>
      </w:r>
      <w:r w:rsidR="00A12BF1">
        <w:rPr>
          <w:rFonts w:cstheme="minorHAnsi"/>
          <w:b/>
          <w:bCs/>
          <w:i/>
          <w:iCs/>
          <w:sz w:val="24"/>
          <w:szCs w:val="24"/>
        </w:rPr>
        <w:t>/Questions</w:t>
      </w:r>
    </w:p>
    <w:p w14:paraId="772400C8" w14:textId="503075A5" w:rsidR="00844FFA" w:rsidRDefault="00781516" w:rsidP="00A320EC">
      <w:pPr>
        <w:pStyle w:val="ListParagraph"/>
        <w:numPr>
          <w:ilvl w:val="0"/>
          <w:numId w:val="5"/>
        </w:numPr>
        <w:ind w:left="360"/>
        <w:rPr>
          <w:rFonts w:cstheme="minorHAnsi"/>
          <w:sz w:val="24"/>
          <w:szCs w:val="24"/>
        </w:rPr>
      </w:pPr>
      <w:r>
        <w:rPr>
          <w:rFonts w:cstheme="minorHAnsi"/>
          <w:sz w:val="24"/>
          <w:szCs w:val="24"/>
        </w:rPr>
        <w:t>Amy Weinstock stated that there is s</w:t>
      </w:r>
      <w:r w:rsidR="0064405D" w:rsidRPr="003D355B">
        <w:rPr>
          <w:rFonts w:cstheme="minorHAnsi"/>
          <w:sz w:val="24"/>
          <w:szCs w:val="24"/>
        </w:rPr>
        <w:t xml:space="preserve">till a recommendation </w:t>
      </w:r>
      <w:r>
        <w:rPr>
          <w:rFonts w:cstheme="minorHAnsi"/>
          <w:sz w:val="24"/>
          <w:szCs w:val="24"/>
        </w:rPr>
        <w:t xml:space="preserve">by the </w:t>
      </w:r>
      <w:r w:rsidR="003D355B" w:rsidRPr="003D355B">
        <w:rPr>
          <w:rFonts w:cstheme="minorHAnsi"/>
          <w:sz w:val="24"/>
          <w:szCs w:val="24"/>
        </w:rPr>
        <w:t>Health Committee</w:t>
      </w:r>
      <w:r w:rsidR="0064405D" w:rsidRPr="003D355B">
        <w:rPr>
          <w:rFonts w:cstheme="minorHAnsi"/>
          <w:sz w:val="24"/>
          <w:szCs w:val="24"/>
        </w:rPr>
        <w:t xml:space="preserve"> to expand coverage </w:t>
      </w:r>
      <w:r w:rsidR="001308C4" w:rsidRPr="003D355B">
        <w:rPr>
          <w:rFonts w:cstheme="minorHAnsi"/>
          <w:sz w:val="24"/>
          <w:szCs w:val="24"/>
        </w:rPr>
        <w:t>21+</w:t>
      </w:r>
      <w:r>
        <w:rPr>
          <w:rFonts w:cstheme="minorHAnsi"/>
          <w:sz w:val="24"/>
          <w:szCs w:val="24"/>
        </w:rPr>
        <w:t>, and there has been a bill filed on this issue</w:t>
      </w:r>
      <w:r w:rsidR="001308C4" w:rsidRPr="003D355B">
        <w:rPr>
          <w:rFonts w:cstheme="minorHAnsi"/>
          <w:sz w:val="24"/>
          <w:szCs w:val="24"/>
        </w:rPr>
        <w:t xml:space="preserve">.  </w:t>
      </w:r>
      <w:r>
        <w:rPr>
          <w:rFonts w:cstheme="minorHAnsi"/>
          <w:sz w:val="24"/>
          <w:szCs w:val="24"/>
        </w:rPr>
        <w:t xml:space="preserve">Ms. Kain stated </w:t>
      </w:r>
      <w:r w:rsidR="009B20F3">
        <w:rPr>
          <w:rFonts w:cstheme="minorHAnsi"/>
          <w:sz w:val="24"/>
          <w:szCs w:val="24"/>
        </w:rPr>
        <w:t>that there</w:t>
      </w:r>
      <w:r w:rsidR="0000540C" w:rsidRPr="003D355B">
        <w:rPr>
          <w:rFonts w:cstheme="minorHAnsi"/>
          <w:sz w:val="24"/>
          <w:szCs w:val="24"/>
        </w:rPr>
        <w:t xml:space="preserve"> are</w:t>
      </w:r>
      <w:r w:rsidR="001308C4" w:rsidRPr="003D355B">
        <w:rPr>
          <w:rFonts w:cstheme="minorHAnsi"/>
          <w:sz w:val="24"/>
          <w:szCs w:val="24"/>
        </w:rPr>
        <w:t xml:space="preserve"> significant ex</w:t>
      </w:r>
      <w:r w:rsidR="0000540C" w:rsidRPr="003D355B">
        <w:rPr>
          <w:rFonts w:cstheme="minorHAnsi"/>
          <w:sz w:val="24"/>
          <w:szCs w:val="24"/>
        </w:rPr>
        <w:t xml:space="preserve">penditures </w:t>
      </w:r>
      <w:r>
        <w:rPr>
          <w:rFonts w:cstheme="minorHAnsi"/>
          <w:sz w:val="24"/>
          <w:szCs w:val="24"/>
        </w:rPr>
        <w:t xml:space="preserve">by MassHealth </w:t>
      </w:r>
      <w:r w:rsidR="0000540C" w:rsidRPr="003D355B">
        <w:rPr>
          <w:rFonts w:cstheme="minorHAnsi"/>
          <w:sz w:val="24"/>
          <w:szCs w:val="24"/>
        </w:rPr>
        <w:t xml:space="preserve">on ABA </w:t>
      </w:r>
      <w:r w:rsidR="00FA4295">
        <w:rPr>
          <w:rFonts w:cstheme="minorHAnsi"/>
          <w:sz w:val="24"/>
          <w:szCs w:val="24"/>
        </w:rPr>
        <w:t>under age 21</w:t>
      </w:r>
      <w:r>
        <w:rPr>
          <w:rFonts w:cstheme="minorHAnsi"/>
          <w:sz w:val="24"/>
          <w:szCs w:val="24"/>
        </w:rPr>
        <w:t>, and because of that</w:t>
      </w:r>
      <w:r w:rsidR="00FA4295">
        <w:rPr>
          <w:rFonts w:cstheme="minorHAnsi"/>
          <w:sz w:val="24"/>
          <w:szCs w:val="24"/>
        </w:rPr>
        <w:t xml:space="preserve"> MassHealth has been unwilling to </w:t>
      </w:r>
      <w:r w:rsidR="0000540C" w:rsidRPr="003D355B">
        <w:rPr>
          <w:rFonts w:cstheme="minorHAnsi"/>
          <w:sz w:val="24"/>
          <w:szCs w:val="24"/>
        </w:rPr>
        <w:t>expand</w:t>
      </w:r>
      <w:r w:rsidR="003D355B">
        <w:rPr>
          <w:rFonts w:cstheme="minorHAnsi"/>
          <w:sz w:val="24"/>
          <w:szCs w:val="24"/>
        </w:rPr>
        <w:t xml:space="preserve"> </w:t>
      </w:r>
      <w:r w:rsidR="0000540C" w:rsidRPr="003D355B">
        <w:rPr>
          <w:rFonts w:cstheme="minorHAnsi"/>
          <w:sz w:val="24"/>
          <w:szCs w:val="24"/>
        </w:rPr>
        <w:t>coverage</w:t>
      </w:r>
      <w:r>
        <w:rPr>
          <w:rFonts w:cstheme="minorHAnsi"/>
          <w:sz w:val="24"/>
          <w:szCs w:val="24"/>
        </w:rPr>
        <w:t xml:space="preserve"> to adults.</w:t>
      </w:r>
    </w:p>
    <w:p w14:paraId="63848188" w14:textId="45A998D3" w:rsidR="003D355B" w:rsidRDefault="003D355B" w:rsidP="00A320EC">
      <w:pPr>
        <w:pStyle w:val="ListParagraph"/>
        <w:numPr>
          <w:ilvl w:val="0"/>
          <w:numId w:val="5"/>
        </w:numPr>
        <w:ind w:left="360"/>
        <w:rPr>
          <w:rFonts w:cstheme="minorHAnsi"/>
          <w:sz w:val="24"/>
          <w:szCs w:val="24"/>
        </w:rPr>
      </w:pPr>
      <w:r>
        <w:rPr>
          <w:rFonts w:cstheme="minorHAnsi"/>
          <w:sz w:val="24"/>
          <w:szCs w:val="24"/>
        </w:rPr>
        <w:t xml:space="preserve">It was asked </w:t>
      </w:r>
      <w:r w:rsidR="00CD11CE">
        <w:rPr>
          <w:rFonts w:cstheme="minorHAnsi"/>
          <w:sz w:val="24"/>
          <w:szCs w:val="24"/>
        </w:rPr>
        <w:t>if the</w:t>
      </w:r>
      <w:r w:rsidR="00431A6E">
        <w:rPr>
          <w:rFonts w:cstheme="minorHAnsi"/>
          <w:sz w:val="24"/>
          <w:szCs w:val="24"/>
        </w:rPr>
        <w:t xml:space="preserve"> data could be shown </w:t>
      </w:r>
      <w:r w:rsidR="00781516">
        <w:rPr>
          <w:rFonts w:cstheme="minorHAnsi"/>
          <w:sz w:val="24"/>
          <w:szCs w:val="24"/>
        </w:rPr>
        <w:t>on the cost</w:t>
      </w:r>
      <w:r w:rsidR="00431A6E">
        <w:rPr>
          <w:rFonts w:cstheme="minorHAnsi"/>
          <w:sz w:val="24"/>
          <w:szCs w:val="24"/>
        </w:rPr>
        <w:t xml:space="preserve"> over the years</w:t>
      </w:r>
      <w:r w:rsidR="00781516">
        <w:rPr>
          <w:rFonts w:cstheme="minorHAnsi"/>
          <w:sz w:val="24"/>
          <w:szCs w:val="24"/>
        </w:rPr>
        <w:t xml:space="preserve">. Ms. Kain responded that she will add back in the 2022 cost by MassHealth.  Mi-Haita James also said that she would verify the current amount </w:t>
      </w:r>
      <w:r w:rsidR="008537C7">
        <w:rPr>
          <w:rFonts w:cstheme="minorHAnsi"/>
          <w:sz w:val="24"/>
          <w:szCs w:val="24"/>
        </w:rPr>
        <w:t>provided by</w:t>
      </w:r>
      <w:r w:rsidR="00781516">
        <w:rPr>
          <w:rFonts w:cstheme="minorHAnsi"/>
          <w:sz w:val="24"/>
          <w:szCs w:val="24"/>
        </w:rPr>
        <w:t xml:space="preserve"> MassHealth</w:t>
      </w:r>
      <w:r w:rsidR="008537C7">
        <w:rPr>
          <w:rFonts w:cstheme="minorHAnsi"/>
          <w:sz w:val="24"/>
          <w:szCs w:val="24"/>
        </w:rPr>
        <w:t xml:space="preserve"> and </w:t>
      </w:r>
      <w:r w:rsidR="001E5E0D">
        <w:rPr>
          <w:rFonts w:cstheme="minorHAnsi"/>
          <w:sz w:val="24"/>
          <w:szCs w:val="24"/>
        </w:rPr>
        <w:t>update the report</w:t>
      </w:r>
      <w:r w:rsidR="00781516">
        <w:rPr>
          <w:rFonts w:cstheme="minorHAnsi"/>
          <w:sz w:val="24"/>
          <w:szCs w:val="24"/>
        </w:rPr>
        <w:t>.</w:t>
      </w:r>
    </w:p>
    <w:p w14:paraId="7F83A337" w14:textId="0E900E45" w:rsidR="00026AF0" w:rsidRDefault="00F740F4" w:rsidP="00A320EC">
      <w:pPr>
        <w:pStyle w:val="ListParagraph"/>
        <w:numPr>
          <w:ilvl w:val="0"/>
          <w:numId w:val="5"/>
        </w:numPr>
        <w:ind w:left="360"/>
        <w:rPr>
          <w:rFonts w:cstheme="minorHAnsi"/>
          <w:sz w:val="24"/>
          <w:szCs w:val="24"/>
        </w:rPr>
      </w:pPr>
      <w:r>
        <w:rPr>
          <w:rFonts w:cstheme="minorHAnsi"/>
          <w:sz w:val="24"/>
          <w:szCs w:val="24"/>
        </w:rPr>
        <w:t>Ms. Kain pointed out that</w:t>
      </w:r>
      <w:r w:rsidR="00F0365A">
        <w:rPr>
          <w:rFonts w:cstheme="minorHAnsi"/>
          <w:sz w:val="24"/>
          <w:szCs w:val="24"/>
        </w:rPr>
        <w:t xml:space="preserve"> </w:t>
      </w:r>
      <w:r>
        <w:rPr>
          <w:rFonts w:cstheme="minorHAnsi"/>
          <w:sz w:val="24"/>
          <w:szCs w:val="24"/>
        </w:rPr>
        <w:t xml:space="preserve">this data </w:t>
      </w:r>
      <w:r w:rsidR="00F0365A">
        <w:rPr>
          <w:rFonts w:cstheme="minorHAnsi"/>
          <w:sz w:val="24"/>
          <w:szCs w:val="24"/>
        </w:rPr>
        <w:t>only includes members with MassHealth receiving ABA – there are individuals receiving ABA through private insurance</w:t>
      </w:r>
      <w:r>
        <w:rPr>
          <w:rFonts w:cstheme="minorHAnsi"/>
          <w:sz w:val="24"/>
          <w:szCs w:val="24"/>
        </w:rPr>
        <w:t>, through the Children’s Autism waiver Program, the DDS/DESE residential prevention program,</w:t>
      </w:r>
      <w:r w:rsidR="000D0FDD">
        <w:rPr>
          <w:rFonts w:cstheme="minorHAnsi"/>
          <w:sz w:val="24"/>
          <w:szCs w:val="24"/>
        </w:rPr>
        <w:t xml:space="preserve"> and in school.</w:t>
      </w:r>
    </w:p>
    <w:p w14:paraId="08A56FC2" w14:textId="2F0B2B86" w:rsidR="00AD5F02" w:rsidRDefault="000D0FDD" w:rsidP="001E5E0D">
      <w:pPr>
        <w:pStyle w:val="ListParagraph"/>
        <w:numPr>
          <w:ilvl w:val="0"/>
          <w:numId w:val="5"/>
        </w:numPr>
        <w:ind w:left="360"/>
        <w:rPr>
          <w:rFonts w:cstheme="minorHAnsi"/>
          <w:sz w:val="24"/>
          <w:szCs w:val="24"/>
        </w:rPr>
      </w:pPr>
      <w:r>
        <w:rPr>
          <w:rFonts w:cstheme="minorHAnsi"/>
          <w:sz w:val="24"/>
          <w:szCs w:val="24"/>
        </w:rPr>
        <w:t>Ages 0-3</w:t>
      </w:r>
      <w:r w:rsidR="00057036">
        <w:rPr>
          <w:rFonts w:cstheme="minorHAnsi"/>
          <w:sz w:val="24"/>
          <w:szCs w:val="24"/>
        </w:rPr>
        <w:t xml:space="preserve">, </w:t>
      </w:r>
      <w:r w:rsidR="00F740F4">
        <w:rPr>
          <w:rFonts w:cstheme="minorHAnsi"/>
          <w:sz w:val="24"/>
          <w:szCs w:val="24"/>
        </w:rPr>
        <w:t xml:space="preserve">the </w:t>
      </w:r>
      <w:r w:rsidR="00057036">
        <w:rPr>
          <w:rFonts w:cstheme="minorHAnsi"/>
          <w:sz w:val="24"/>
          <w:szCs w:val="24"/>
        </w:rPr>
        <w:t xml:space="preserve">data </w:t>
      </w:r>
      <w:r w:rsidR="00F740F4">
        <w:rPr>
          <w:rFonts w:cstheme="minorHAnsi"/>
          <w:sz w:val="24"/>
          <w:szCs w:val="24"/>
        </w:rPr>
        <w:t xml:space="preserve">does not include individuals getting ABA </w:t>
      </w:r>
      <w:r w:rsidR="00057036">
        <w:rPr>
          <w:rFonts w:cstheme="minorHAnsi"/>
          <w:sz w:val="24"/>
          <w:szCs w:val="24"/>
        </w:rPr>
        <w:t>through Early Intervention</w:t>
      </w:r>
      <w:r w:rsidR="00F740F4">
        <w:rPr>
          <w:rFonts w:cstheme="minorHAnsi"/>
          <w:sz w:val="24"/>
          <w:szCs w:val="24"/>
        </w:rPr>
        <w:t>, as that is a separate program managed by DPH</w:t>
      </w:r>
      <w:r w:rsidR="00A12BF1">
        <w:rPr>
          <w:rFonts w:cstheme="minorHAnsi"/>
          <w:sz w:val="24"/>
          <w:szCs w:val="24"/>
        </w:rPr>
        <w:t>.</w:t>
      </w:r>
    </w:p>
    <w:p w14:paraId="57BBE2B8" w14:textId="30E3D25D" w:rsidR="00FA5022" w:rsidRDefault="00F740F4" w:rsidP="00A320EC">
      <w:pPr>
        <w:pStyle w:val="ListParagraph"/>
        <w:numPr>
          <w:ilvl w:val="0"/>
          <w:numId w:val="5"/>
        </w:numPr>
        <w:ind w:left="360"/>
        <w:rPr>
          <w:rFonts w:cstheme="minorHAnsi"/>
          <w:sz w:val="24"/>
          <w:szCs w:val="24"/>
        </w:rPr>
      </w:pPr>
      <w:r>
        <w:rPr>
          <w:rFonts w:cstheme="minorHAnsi"/>
          <w:sz w:val="24"/>
          <w:szCs w:val="24"/>
        </w:rPr>
        <w:t>Amy Weinstock asked if MassHealth could provide</w:t>
      </w:r>
      <w:r w:rsidR="00FA5022">
        <w:rPr>
          <w:rFonts w:cstheme="minorHAnsi"/>
          <w:sz w:val="24"/>
          <w:szCs w:val="24"/>
        </w:rPr>
        <w:t xml:space="preserve"> a separate number for </w:t>
      </w:r>
      <w:r w:rsidR="009B20F3">
        <w:rPr>
          <w:rFonts w:cstheme="minorHAnsi"/>
          <w:sz w:val="24"/>
          <w:szCs w:val="24"/>
        </w:rPr>
        <w:t>18–20-year-olds</w:t>
      </w:r>
      <w:r w:rsidR="00A12BF1">
        <w:rPr>
          <w:rFonts w:cstheme="minorHAnsi"/>
          <w:sz w:val="24"/>
          <w:szCs w:val="24"/>
        </w:rPr>
        <w:t>.</w:t>
      </w:r>
      <w:r w:rsidR="001E5E0D">
        <w:rPr>
          <w:rFonts w:cstheme="minorHAnsi"/>
          <w:sz w:val="24"/>
          <w:szCs w:val="24"/>
        </w:rPr>
        <w:t xml:space="preserve"> Mi-Haita James said she would ask MassHealth for a more refined breakdown </w:t>
      </w:r>
      <w:r w:rsidR="009637AA">
        <w:rPr>
          <w:rFonts w:cstheme="minorHAnsi"/>
          <w:sz w:val="24"/>
          <w:szCs w:val="24"/>
        </w:rPr>
        <w:t xml:space="preserve">by age. </w:t>
      </w:r>
    </w:p>
    <w:p w14:paraId="73BFAA46" w14:textId="47E45396" w:rsidR="00C919C0" w:rsidRDefault="00C919C0" w:rsidP="00A320EC">
      <w:pPr>
        <w:pStyle w:val="ListParagraph"/>
        <w:numPr>
          <w:ilvl w:val="0"/>
          <w:numId w:val="5"/>
        </w:numPr>
        <w:ind w:left="360"/>
        <w:rPr>
          <w:rFonts w:cstheme="minorHAnsi"/>
          <w:sz w:val="24"/>
          <w:szCs w:val="24"/>
        </w:rPr>
      </w:pPr>
      <w:r>
        <w:rPr>
          <w:rFonts w:cstheme="minorHAnsi"/>
          <w:sz w:val="24"/>
          <w:szCs w:val="24"/>
        </w:rPr>
        <w:t>ABA services are critical at a young age</w:t>
      </w:r>
      <w:r w:rsidR="00964482">
        <w:rPr>
          <w:rFonts w:cstheme="minorHAnsi"/>
          <w:sz w:val="24"/>
          <w:szCs w:val="24"/>
        </w:rPr>
        <w:t xml:space="preserve"> – other services get supplemented when individuals get older – not surprised to see higher numbers of ABA at a young age</w:t>
      </w:r>
      <w:r w:rsidR="00DF4EC1">
        <w:rPr>
          <w:rFonts w:cstheme="minorHAnsi"/>
          <w:sz w:val="24"/>
          <w:szCs w:val="24"/>
        </w:rPr>
        <w:t xml:space="preserve"> – other services replace ABA as individuals </w:t>
      </w:r>
      <w:r w:rsidR="00A12BF1">
        <w:rPr>
          <w:rFonts w:cstheme="minorHAnsi"/>
          <w:sz w:val="24"/>
          <w:szCs w:val="24"/>
        </w:rPr>
        <w:t>age</w:t>
      </w:r>
      <w:r w:rsidR="00FA4295">
        <w:rPr>
          <w:rFonts w:cstheme="minorHAnsi"/>
          <w:sz w:val="24"/>
          <w:szCs w:val="24"/>
        </w:rPr>
        <w:t xml:space="preserve"> and enter school</w:t>
      </w:r>
      <w:r w:rsidR="00A12BF1">
        <w:rPr>
          <w:rFonts w:cstheme="minorHAnsi"/>
          <w:sz w:val="24"/>
          <w:szCs w:val="24"/>
        </w:rPr>
        <w:t>.</w:t>
      </w:r>
    </w:p>
    <w:p w14:paraId="1E5ECB19" w14:textId="7C71A7D0" w:rsidR="00DF4EC1" w:rsidRDefault="00DF4EC1" w:rsidP="00A320EC">
      <w:pPr>
        <w:pStyle w:val="ListParagraph"/>
        <w:numPr>
          <w:ilvl w:val="0"/>
          <w:numId w:val="5"/>
        </w:numPr>
        <w:ind w:left="360"/>
        <w:rPr>
          <w:rFonts w:cstheme="minorHAnsi"/>
          <w:sz w:val="24"/>
          <w:szCs w:val="24"/>
        </w:rPr>
      </w:pPr>
      <w:r>
        <w:rPr>
          <w:rFonts w:cstheme="minorHAnsi"/>
          <w:sz w:val="24"/>
          <w:szCs w:val="24"/>
        </w:rPr>
        <w:t>There are still older adults who need ABA</w:t>
      </w:r>
      <w:r w:rsidR="006B6051">
        <w:rPr>
          <w:rFonts w:cstheme="minorHAnsi"/>
          <w:sz w:val="24"/>
          <w:szCs w:val="24"/>
        </w:rPr>
        <w:t xml:space="preserve"> – MH is engaging in discussions of ABA for 21+</w:t>
      </w:r>
    </w:p>
    <w:p w14:paraId="6EA13CE3" w14:textId="14E29F1D" w:rsidR="006E67BF" w:rsidRPr="00A12BF1" w:rsidRDefault="006E67BF" w:rsidP="006E67BF">
      <w:pPr>
        <w:rPr>
          <w:rFonts w:cstheme="minorHAnsi"/>
          <w:b/>
          <w:bCs/>
          <w:sz w:val="24"/>
          <w:szCs w:val="24"/>
          <w:u w:val="single"/>
        </w:rPr>
      </w:pPr>
      <w:r w:rsidRPr="00A12BF1">
        <w:rPr>
          <w:rFonts w:cstheme="minorHAnsi"/>
          <w:b/>
          <w:bCs/>
          <w:sz w:val="24"/>
          <w:szCs w:val="24"/>
          <w:u w:val="single"/>
        </w:rPr>
        <w:t xml:space="preserve">MassHealth – Dedicated and nondedicated </w:t>
      </w:r>
      <w:r w:rsidR="009B20F3" w:rsidRPr="00A12BF1">
        <w:rPr>
          <w:rFonts w:cstheme="minorHAnsi"/>
          <w:b/>
          <w:bCs/>
          <w:sz w:val="24"/>
          <w:szCs w:val="24"/>
          <w:u w:val="single"/>
        </w:rPr>
        <w:t>devices.</w:t>
      </w:r>
    </w:p>
    <w:p w14:paraId="406D2761" w14:textId="77777777" w:rsidR="006E67BF" w:rsidRDefault="006E67BF" w:rsidP="006E67BF">
      <w:pPr>
        <w:pStyle w:val="ListParagraph"/>
        <w:numPr>
          <w:ilvl w:val="0"/>
          <w:numId w:val="6"/>
        </w:numPr>
        <w:rPr>
          <w:rFonts w:cstheme="minorHAnsi"/>
          <w:sz w:val="24"/>
          <w:szCs w:val="24"/>
        </w:rPr>
      </w:pPr>
      <w:r w:rsidRPr="006E67BF">
        <w:rPr>
          <w:rFonts w:cstheme="minorHAnsi"/>
          <w:sz w:val="24"/>
          <w:szCs w:val="24"/>
        </w:rPr>
        <w:t xml:space="preserve">In FY22, MassHealth issued 87 dedicated speech generating devices (SGDs) to individuals with ASD and 5 non-dedicated devices. </w:t>
      </w:r>
    </w:p>
    <w:p w14:paraId="4A1F1C55" w14:textId="77777777" w:rsidR="006E67BF" w:rsidRDefault="006E67BF" w:rsidP="006E67BF">
      <w:pPr>
        <w:pStyle w:val="ListParagraph"/>
        <w:numPr>
          <w:ilvl w:val="0"/>
          <w:numId w:val="6"/>
        </w:numPr>
        <w:rPr>
          <w:rFonts w:cstheme="minorHAnsi"/>
          <w:sz w:val="24"/>
          <w:szCs w:val="24"/>
        </w:rPr>
      </w:pPr>
      <w:r w:rsidRPr="006E67BF">
        <w:rPr>
          <w:rFonts w:cstheme="minorHAnsi"/>
          <w:sz w:val="24"/>
          <w:szCs w:val="24"/>
        </w:rPr>
        <w:t xml:space="preserve">In </w:t>
      </w:r>
      <w:r w:rsidRPr="006E67BF">
        <w:rPr>
          <w:rFonts w:cstheme="minorHAnsi"/>
          <w:b/>
          <w:bCs/>
          <w:sz w:val="24"/>
          <w:szCs w:val="24"/>
        </w:rPr>
        <w:t>FY23</w:t>
      </w:r>
      <w:r w:rsidRPr="006E67BF">
        <w:rPr>
          <w:rFonts w:cstheme="minorHAnsi"/>
          <w:sz w:val="24"/>
          <w:szCs w:val="24"/>
        </w:rPr>
        <w:t>, MassHealth issued</w:t>
      </w:r>
      <w:r w:rsidRPr="006E67BF">
        <w:rPr>
          <w:rFonts w:cstheme="minorHAnsi"/>
          <w:b/>
          <w:bCs/>
          <w:sz w:val="24"/>
          <w:szCs w:val="24"/>
        </w:rPr>
        <w:t xml:space="preserve"> 110 dedicated speech generating devices (SGDs) to individuals with ASD and 4 non-dedicated devices</w:t>
      </w:r>
      <w:r w:rsidRPr="006E67BF">
        <w:rPr>
          <w:rFonts w:cstheme="minorHAnsi"/>
          <w:sz w:val="24"/>
          <w:szCs w:val="24"/>
        </w:rPr>
        <w:t xml:space="preserve">.  </w:t>
      </w:r>
    </w:p>
    <w:p w14:paraId="35CF078A" w14:textId="77777777" w:rsidR="00161D20" w:rsidRPr="00161D20" w:rsidRDefault="006E67BF" w:rsidP="003B3E61">
      <w:pPr>
        <w:pStyle w:val="ListParagraph"/>
        <w:numPr>
          <w:ilvl w:val="0"/>
          <w:numId w:val="6"/>
        </w:numPr>
        <w:rPr>
          <w:rFonts w:cstheme="minorHAnsi"/>
          <w:b/>
          <w:bCs/>
          <w:i/>
          <w:iCs/>
          <w:sz w:val="24"/>
          <w:szCs w:val="24"/>
        </w:rPr>
      </w:pPr>
      <w:r w:rsidRPr="006E67BF">
        <w:rPr>
          <w:rFonts w:cstheme="minorHAnsi"/>
          <w:sz w:val="24"/>
          <w:szCs w:val="24"/>
        </w:rPr>
        <w:t xml:space="preserve">Utilizing ARPA funding, MassHealth has partnered with Mass Advocates for Children and Speech Language Pathology providers to develop and implement a process to improve access to non-dedicated devices. </w:t>
      </w:r>
    </w:p>
    <w:p w14:paraId="20EBD392" w14:textId="0FCC9078" w:rsidR="006E67BF" w:rsidRPr="00161D20" w:rsidRDefault="006E67BF" w:rsidP="00161D20">
      <w:pPr>
        <w:ind w:left="360"/>
        <w:rPr>
          <w:rFonts w:cstheme="minorHAnsi"/>
          <w:b/>
          <w:bCs/>
          <w:i/>
          <w:iCs/>
          <w:sz w:val="24"/>
          <w:szCs w:val="24"/>
        </w:rPr>
      </w:pPr>
      <w:r w:rsidRPr="00161D20">
        <w:rPr>
          <w:rFonts w:cstheme="minorHAnsi"/>
          <w:b/>
          <w:bCs/>
          <w:i/>
          <w:iCs/>
          <w:sz w:val="24"/>
          <w:szCs w:val="24"/>
        </w:rPr>
        <w:t>Comments</w:t>
      </w:r>
      <w:r w:rsidR="00A12BF1" w:rsidRPr="00161D20">
        <w:rPr>
          <w:rFonts w:cstheme="minorHAnsi"/>
          <w:b/>
          <w:bCs/>
          <w:i/>
          <w:iCs/>
          <w:sz w:val="24"/>
          <w:szCs w:val="24"/>
        </w:rPr>
        <w:t>/Questions</w:t>
      </w:r>
    </w:p>
    <w:p w14:paraId="760AF06C" w14:textId="24155B74" w:rsidR="006E67BF" w:rsidRDefault="00371704" w:rsidP="006E67BF">
      <w:pPr>
        <w:pStyle w:val="ListParagraph"/>
        <w:numPr>
          <w:ilvl w:val="0"/>
          <w:numId w:val="8"/>
        </w:numPr>
        <w:rPr>
          <w:rFonts w:cstheme="minorHAnsi"/>
          <w:sz w:val="24"/>
          <w:szCs w:val="24"/>
        </w:rPr>
      </w:pPr>
      <w:r>
        <w:rPr>
          <w:rFonts w:cstheme="minorHAnsi"/>
          <w:sz w:val="24"/>
          <w:szCs w:val="24"/>
        </w:rPr>
        <w:t>There is still frustration</w:t>
      </w:r>
      <w:r w:rsidR="00FF263C">
        <w:rPr>
          <w:rFonts w:cstheme="minorHAnsi"/>
          <w:sz w:val="24"/>
          <w:szCs w:val="24"/>
        </w:rPr>
        <w:t xml:space="preserve"> with families on the complications on receiving these devices.  </w:t>
      </w:r>
      <w:r w:rsidR="00CF4C78">
        <w:rPr>
          <w:rFonts w:cstheme="minorHAnsi"/>
          <w:sz w:val="24"/>
          <w:szCs w:val="24"/>
        </w:rPr>
        <w:t xml:space="preserve">Speech therapists say the process for families is cumbersome </w:t>
      </w:r>
      <w:r w:rsidR="00684208">
        <w:rPr>
          <w:rFonts w:cstheme="minorHAnsi"/>
          <w:sz w:val="24"/>
          <w:szCs w:val="24"/>
        </w:rPr>
        <w:t xml:space="preserve">– </w:t>
      </w:r>
      <w:r w:rsidR="00F740F4">
        <w:rPr>
          <w:rFonts w:cstheme="minorHAnsi"/>
          <w:sz w:val="24"/>
          <w:szCs w:val="24"/>
        </w:rPr>
        <w:t xml:space="preserve">the </w:t>
      </w:r>
      <w:r w:rsidR="00684208">
        <w:rPr>
          <w:rFonts w:cstheme="minorHAnsi"/>
          <w:sz w:val="24"/>
          <w:szCs w:val="24"/>
        </w:rPr>
        <w:t xml:space="preserve">Autism Insurance </w:t>
      </w:r>
      <w:r w:rsidR="00F740F4">
        <w:rPr>
          <w:rFonts w:cstheme="minorHAnsi"/>
          <w:sz w:val="24"/>
          <w:szCs w:val="24"/>
        </w:rPr>
        <w:t xml:space="preserve">Resource Center </w:t>
      </w:r>
      <w:r w:rsidR="00684208">
        <w:rPr>
          <w:rFonts w:cstheme="minorHAnsi"/>
          <w:sz w:val="24"/>
          <w:szCs w:val="24"/>
        </w:rPr>
        <w:t>hears about the difficulties as well.</w:t>
      </w:r>
    </w:p>
    <w:p w14:paraId="6BB403C0" w14:textId="39D3F92A" w:rsidR="00462E3A" w:rsidRDefault="00FF263C" w:rsidP="003B3E61">
      <w:pPr>
        <w:pStyle w:val="ListParagraph"/>
        <w:numPr>
          <w:ilvl w:val="0"/>
          <w:numId w:val="8"/>
        </w:numPr>
        <w:rPr>
          <w:rFonts w:cstheme="minorHAnsi"/>
          <w:sz w:val="24"/>
          <w:szCs w:val="24"/>
        </w:rPr>
      </w:pPr>
      <w:r>
        <w:rPr>
          <w:rFonts w:cstheme="minorHAnsi"/>
          <w:sz w:val="24"/>
          <w:szCs w:val="24"/>
        </w:rPr>
        <w:t xml:space="preserve">Spaulding </w:t>
      </w:r>
      <w:r w:rsidR="004E0248">
        <w:rPr>
          <w:rFonts w:cstheme="minorHAnsi"/>
          <w:sz w:val="24"/>
          <w:szCs w:val="24"/>
        </w:rPr>
        <w:t xml:space="preserve">did a pilot program to ensure getting devices to </w:t>
      </w:r>
      <w:r w:rsidR="00A12BF1">
        <w:rPr>
          <w:rFonts w:cstheme="minorHAnsi"/>
          <w:sz w:val="24"/>
          <w:szCs w:val="24"/>
        </w:rPr>
        <w:t>families,</w:t>
      </w:r>
      <w:r w:rsidR="004E0248">
        <w:rPr>
          <w:rFonts w:cstheme="minorHAnsi"/>
          <w:sz w:val="24"/>
          <w:szCs w:val="24"/>
        </w:rPr>
        <w:t xml:space="preserve"> but the numbers remain low.</w:t>
      </w:r>
    </w:p>
    <w:p w14:paraId="21E32C40" w14:textId="77777777" w:rsidR="00161D20" w:rsidRDefault="00684208" w:rsidP="00161D20">
      <w:pPr>
        <w:pStyle w:val="ListParagraph"/>
        <w:numPr>
          <w:ilvl w:val="0"/>
          <w:numId w:val="6"/>
        </w:numPr>
        <w:rPr>
          <w:rFonts w:cstheme="minorHAnsi"/>
          <w:sz w:val="24"/>
          <w:szCs w:val="24"/>
        </w:rPr>
      </w:pPr>
      <w:r>
        <w:rPr>
          <w:rFonts w:cstheme="minorHAnsi"/>
          <w:sz w:val="24"/>
          <w:szCs w:val="24"/>
        </w:rPr>
        <w:t>Ms. Kain</w:t>
      </w:r>
      <w:r w:rsidR="001B3943">
        <w:rPr>
          <w:rFonts w:cstheme="minorHAnsi"/>
          <w:sz w:val="24"/>
          <w:szCs w:val="24"/>
        </w:rPr>
        <w:t xml:space="preserve"> will reinitiate conversations with MassHealth</w:t>
      </w:r>
      <w:r w:rsidR="00F740F4">
        <w:rPr>
          <w:rFonts w:cstheme="minorHAnsi"/>
          <w:sz w:val="24"/>
          <w:szCs w:val="24"/>
        </w:rPr>
        <w:t xml:space="preserve">. She explained that she has had many meetings on this issue with MassHealth but those participants from MassHealth are no longer there. </w:t>
      </w:r>
      <w:r w:rsidR="007D04E4">
        <w:rPr>
          <w:rFonts w:cstheme="minorHAnsi"/>
          <w:sz w:val="24"/>
          <w:szCs w:val="24"/>
        </w:rPr>
        <w:t xml:space="preserve"> </w:t>
      </w:r>
      <w:r w:rsidR="00F740F4">
        <w:rPr>
          <w:rFonts w:cstheme="minorHAnsi"/>
          <w:sz w:val="24"/>
          <w:szCs w:val="24"/>
        </w:rPr>
        <w:t>Ms. Kain</w:t>
      </w:r>
      <w:r w:rsidR="007D04E4">
        <w:rPr>
          <w:rFonts w:cstheme="minorHAnsi"/>
          <w:sz w:val="24"/>
          <w:szCs w:val="24"/>
        </w:rPr>
        <w:t xml:space="preserve"> asked that the information </w:t>
      </w:r>
      <w:r w:rsidR="00FA4295">
        <w:rPr>
          <w:rFonts w:cstheme="minorHAnsi"/>
          <w:sz w:val="24"/>
          <w:szCs w:val="24"/>
        </w:rPr>
        <w:t xml:space="preserve">known to the Insurance resource Center and Mass Advocates </w:t>
      </w:r>
      <w:r w:rsidR="007D04E4">
        <w:rPr>
          <w:rFonts w:cstheme="minorHAnsi"/>
          <w:sz w:val="24"/>
          <w:szCs w:val="24"/>
        </w:rPr>
        <w:t xml:space="preserve">from families about the difficulties they are experiencing be shared with </w:t>
      </w:r>
      <w:r w:rsidR="00A12BF1">
        <w:rPr>
          <w:rFonts w:cstheme="minorHAnsi"/>
          <w:sz w:val="24"/>
          <w:szCs w:val="24"/>
        </w:rPr>
        <w:t>MassHealth</w:t>
      </w:r>
      <w:r w:rsidR="00F740F4">
        <w:rPr>
          <w:rFonts w:cstheme="minorHAnsi"/>
          <w:sz w:val="24"/>
          <w:szCs w:val="24"/>
        </w:rPr>
        <w:t xml:space="preserve"> to aid in addressing any barriers</w:t>
      </w:r>
      <w:r w:rsidR="00A12BF1">
        <w:rPr>
          <w:rFonts w:cstheme="minorHAnsi"/>
          <w:sz w:val="24"/>
          <w:szCs w:val="24"/>
        </w:rPr>
        <w:t>.</w:t>
      </w:r>
    </w:p>
    <w:p w14:paraId="2325642D" w14:textId="77777777" w:rsidR="00161D20" w:rsidRPr="006E67BF" w:rsidRDefault="00161D20" w:rsidP="00161D20">
      <w:pPr>
        <w:pStyle w:val="ListParagraph"/>
        <w:numPr>
          <w:ilvl w:val="0"/>
          <w:numId w:val="6"/>
        </w:numPr>
        <w:rPr>
          <w:rFonts w:cstheme="minorHAnsi"/>
          <w:sz w:val="24"/>
          <w:szCs w:val="24"/>
        </w:rPr>
      </w:pPr>
      <w:r>
        <w:rPr>
          <w:rFonts w:cstheme="minorHAnsi"/>
          <w:sz w:val="24"/>
          <w:szCs w:val="24"/>
        </w:rPr>
        <w:t>Ms. Kain said she would check in with MassHealth on their efforts regarding this issue and update the annual report.</w:t>
      </w:r>
    </w:p>
    <w:p w14:paraId="6AB7C25C" w14:textId="6C80CC6A" w:rsidR="00684208" w:rsidRDefault="00684208" w:rsidP="00161D20">
      <w:pPr>
        <w:pStyle w:val="ListParagraph"/>
        <w:rPr>
          <w:rFonts w:cstheme="minorHAnsi"/>
          <w:sz w:val="24"/>
          <w:szCs w:val="24"/>
        </w:rPr>
      </w:pPr>
    </w:p>
    <w:p w14:paraId="0613412C" w14:textId="4C030B90" w:rsidR="00E06C12" w:rsidRPr="00E06C12" w:rsidRDefault="00E06C12" w:rsidP="00E06C12">
      <w:pPr>
        <w:rPr>
          <w:rFonts w:cstheme="minorHAnsi"/>
          <w:b/>
          <w:bCs/>
          <w:sz w:val="24"/>
          <w:szCs w:val="24"/>
          <w:u w:val="single"/>
        </w:rPr>
      </w:pPr>
      <w:r w:rsidRPr="00E06C12">
        <w:rPr>
          <w:rFonts w:cstheme="minorHAnsi"/>
          <w:b/>
          <w:bCs/>
          <w:sz w:val="24"/>
          <w:szCs w:val="24"/>
          <w:u w:val="single"/>
        </w:rPr>
        <w:t>DDS and DMH Fellowship</w:t>
      </w:r>
    </w:p>
    <w:p w14:paraId="34C76A36" w14:textId="36E43277" w:rsidR="00E06C12" w:rsidRDefault="00E06C12" w:rsidP="00E06C12">
      <w:pPr>
        <w:pStyle w:val="ListParagraph"/>
        <w:numPr>
          <w:ilvl w:val="0"/>
          <w:numId w:val="9"/>
        </w:numPr>
        <w:rPr>
          <w:rFonts w:cstheme="minorHAnsi"/>
          <w:sz w:val="24"/>
          <w:szCs w:val="24"/>
        </w:rPr>
      </w:pPr>
      <w:r w:rsidRPr="00E06C12">
        <w:rPr>
          <w:rFonts w:cstheme="minorHAnsi"/>
          <w:sz w:val="24"/>
          <w:szCs w:val="24"/>
        </w:rPr>
        <w:t xml:space="preserve">The total number of DDS/DMH Fellowship evaluations conducted for the 2022-2023 academic year was seven </w:t>
      </w:r>
      <w:r w:rsidRPr="00E06C12">
        <w:rPr>
          <w:rFonts w:cstheme="minorHAnsi"/>
          <w:b/>
          <w:bCs/>
          <w:sz w:val="24"/>
          <w:szCs w:val="24"/>
          <w:u w:val="single"/>
        </w:rPr>
        <w:t xml:space="preserve">7 </w:t>
      </w:r>
      <w:r w:rsidRPr="00E06C12">
        <w:rPr>
          <w:rFonts w:cstheme="minorHAnsi"/>
          <w:sz w:val="24"/>
          <w:szCs w:val="24"/>
        </w:rPr>
        <w:t xml:space="preserve">with the Massachusetts General Hospital Autism Spectrum Disorder Fellowship site, and ten </w:t>
      </w:r>
      <w:r w:rsidRPr="00E06C12">
        <w:rPr>
          <w:rFonts w:cstheme="minorHAnsi"/>
          <w:b/>
          <w:bCs/>
          <w:sz w:val="24"/>
          <w:szCs w:val="24"/>
          <w:u w:val="single"/>
        </w:rPr>
        <w:t>10</w:t>
      </w:r>
      <w:r w:rsidRPr="00E06C12">
        <w:rPr>
          <w:rFonts w:cstheme="minorHAnsi"/>
          <w:sz w:val="24"/>
          <w:szCs w:val="24"/>
        </w:rPr>
        <w:t xml:space="preserve"> at the UMass Memorial Health Center (UMMHC) Neuropsychiatry Clinic, Center for Autism and Neurodevelopmental Disorders (CANDO)</w:t>
      </w:r>
      <w:r w:rsidR="009B20F3" w:rsidRPr="00E06C12">
        <w:rPr>
          <w:rFonts w:cstheme="minorHAnsi"/>
          <w:sz w:val="24"/>
          <w:szCs w:val="24"/>
        </w:rPr>
        <w:t>site.</w:t>
      </w:r>
    </w:p>
    <w:p w14:paraId="756F331C" w14:textId="50FB2769" w:rsidR="00E06C12" w:rsidRPr="00D1720E" w:rsidRDefault="002951D9" w:rsidP="00E06C12">
      <w:pPr>
        <w:rPr>
          <w:rFonts w:cstheme="minorHAnsi"/>
          <w:b/>
          <w:bCs/>
          <w:i/>
          <w:iCs/>
          <w:sz w:val="24"/>
          <w:szCs w:val="24"/>
        </w:rPr>
      </w:pPr>
      <w:r w:rsidRPr="00D1720E">
        <w:rPr>
          <w:rFonts w:cstheme="minorHAnsi"/>
          <w:b/>
          <w:bCs/>
          <w:i/>
          <w:iCs/>
          <w:sz w:val="24"/>
          <w:szCs w:val="24"/>
        </w:rPr>
        <w:t>Comments</w:t>
      </w:r>
      <w:r w:rsidR="00D1720E" w:rsidRPr="00D1720E">
        <w:rPr>
          <w:rFonts w:cstheme="minorHAnsi"/>
          <w:b/>
          <w:bCs/>
          <w:i/>
          <w:iCs/>
          <w:sz w:val="24"/>
          <w:szCs w:val="24"/>
        </w:rPr>
        <w:t>/Questions</w:t>
      </w:r>
    </w:p>
    <w:p w14:paraId="1082AC70" w14:textId="36F26B62" w:rsidR="002951D9" w:rsidRDefault="002951D9" w:rsidP="002951D9">
      <w:pPr>
        <w:pStyle w:val="ListParagraph"/>
        <w:numPr>
          <w:ilvl w:val="0"/>
          <w:numId w:val="9"/>
        </w:numPr>
        <w:rPr>
          <w:rFonts w:cstheme="minorHAnsi"/>
          <w:sz w:val="24"/>
          <w:szCs w:val="24"/>
        </w:rPr>
      </w:pPr>
      <w:r>
        <w:rPr>
          <w:rFonts w:cstheme="minorHAnsi"/>
          <w:sz w:val="24"/>
          <w:szCs w:val="24"/>
        </w:rPr>
        <w:t xml:space="preserve">Ms. Kain will add the previous </w:t>
      </w:r>
      <w:r w:rsidR="00371860">
        <w:rPr>
          <w:rFonts w:cstheme="minorHAnsi"/>
          <w:sz w:val="24"/>
          <w:szCs w:val="24"/>
        </w:rPr>
        <w:t>year’s</w:t>
      </w:r>
      <w:r>
        <w:rPr>
          <w:rFonts w:cstheme="minorHAnsi"/>
          <w:sz w:val="24"/>
          <w:szCs w:val="24"/>
        </w:rPr>
        <w:t xml:space="preserve"> data to the </w:t>
      </w:r>
      <w:r w:rsidR="00D1720E">
        <w:rPr>
          <w:rFonts w:cstheme="minorHAnsi"/>
          <w:sz w:val="24"/>
          <w:szCs w:val="24"/>
        </w:rPr>
        <w:t>report.</w:t>
      </w:r>
    </w:p>
    <w:p w14:paraId="4D5D3678" w14:textId="5FDB45F8" w:rsidR="007F46D0" w:rsidRPr="00D1720E" w:rsidRDefault="007F46D0" w:rsidP="007F46D0">
      <w:pPr>
        <w:rPr>
          <w:rFonts w:cstheme="minorHAnsi"/>
          <w:b/>
          <w:bCs/>
          <w:sz w:val="24"/>
          <w:szCs w:val="24"/>
          <w:u w:val="single"/>
        </w:rPr>
      </w:pPr>
      <w:r w:rsidRPr="00D1720E">
        <w:rPr>
          <w:rFonts w:cstheme="minorHAnsi"/>
          <w:b/>
          <w:bCs/>
          <w:sz w:val="24"/>
          <w:szCs w:val="24"/>
          <w:u w:val="single"/>
        </w:rPr>
        <w:t>MRC Data</w:t>
      </w:r>
    </w:p>
    <w:p w14:paraId="130041BE" w14:textId="77777777" w:rsidR="007F46D0" w:rsidRPr="007F46D0" w:rsidRDefault="007F46D0" w:rsidP="007F46D0">
      <w:pPr>
        <w:pStyle w:val="ListParagraph"/>
        <w:numPr>
          <w:ilvl w:val="0"/>
          <w:numId w:val="9"/>
        </w:numPr>
        <w:rPr>
          <w:rFonts w:cstheme="minorHAnsi"/>
          <w:sz w:val="24"/>
          <w:szCs w:val="24"/>
        </w:rPr>
      </w:pPr>
      <w:r w:rsidRPr="007F46D0">
        <w:rPr>
          <w:rFonts w:cstheme="minorHAnsi"/>
          <w:sz w:val="24"/>
          <w:szCs w:val="24"/>
        </w:rPr>
        <w:t xml:space="preserve">In FY23, MRC served a total of </w:t>
      </w:r>
      <w:r w:rsidRPr="007F46D0">
        <w:rPr>
          <w:rFonts w:cstheme="minorHAnsi"/>
          <w:b/>
          <w:bCs/>
          <w:sz w:val="24"/>
          <w:szCs w:val="24"/>
        </w:rPr>
        <w:t>3,400</w:t>
      </w:r>
      <w:r w:rsidRPr="007F46D0">
        <w:rPr>
          <w:rFonts w:cstheme="minorHAnsi"/>
          <w:sz w:val="24"/>
          <w:szCs w:val="24"/>
        </w:rPr>
        <w:t xml:space="preserve"> </w:t>
      </w:r>
      <w:r w:rsidRPr="007F46D0">
        <w:rPr>
          <w:rFonts w:cstheme="minorHAnsi"/>
          <w:b/>
          <w:bCs/>
          <w:sz w:val="24"/>
          <w:szCs w:val="24"/>
        </w:rPr>
        <w:t xml:space="preserve">Vocational Rehabilitation (VR) consumers with ASD overall.  </w:t>
      </w:r>
    </w:p>
    <w:p w14:paraId="32AFC3F0" w14:textId="61EB68BA" w:rsidR="007F46D0" w:rsidRDefault="007F46D0" w:rsidP="007F46D0">
      <w:pPr>
        <w:pStyle w:val="ListParagraph"/>
        <w:numPr>
          <w:ilvl w:val="0"/>
          <w:numId w:val="9"/>
        </w:numPr>
        <w:rPr>
          <w:rFonts w:cstheme="minorHAnsi"/>
          <w:sz w:val="24"/>
          <w:szCs w:val="24"/>
        </w:rPr>
      </w:pPr>
      <w:r w:rsidRPr="007F46D0">
        <w:rPr>
          <w:rFonts w:cstheme="minorHAnsi"/>
          <w:sz w:val="24"/>
          <w:szCs w:val="24"/>
        </w:rPr>
        <w:t xml:space="preserve">In terms of race and ethnicity, these individuals are broken down (some identified as two or more races) as 2,946 (86.6%) White, 308 (9.1%) </w:t>
      </w:r>
      <w:r w:rsidR="009B20F3" w:rsidRPr="007F46D0">
        <w:rPr>
          <w:rFonts w:cstheme="minorHAnsi"/>
          <w:sz w:val="24"/>
          <w:szCs w:val="24"/>
        </w:rPr>
        <w:t>African American</w:t>
      </w:r>
      <w:r w:rsidRPr="007F46D0">
        <w:rPr>
          <w:rFonts w:cstheme="minorHAnsi"/>
          <w:sz w:val="24"/>
          <w:szCs w:val="24"/>
        </w:rPr>
        <w:t xml:space="preserve">, 273 as Hispanic (8%), 151 as Asian/Pacific Islander (4.4%), 27 as Native American (0.8%), and 54 (1.6%) chose not to identify their race.  </w:t>
      </w:r>
    </w:p>
    <w:p w14:paraId="4337AF36" w14:textId="77777777" w:rsidR="007F46D0" w:rsidRDefault="007F46D0" w:rsidP="007F46D0">
      <w:pPr>
        <w:pStyle w:val="ListParagraph"/>
        <w:numPr>
          <w:ilvl w:val="0"/>
          <w:numId w:val="9"/>
        </w:numPr>
        <w:rPr>
          <w:rFonts w:cstheme="minorHAnsi"/>
          <w:sz w:val="24"/>
          <w:szCs w:val="24"/>
        </w:rPr>
      </w:pPr>
      <w:r w:rsidRPr="007F46D0">
        <w:rPr>
          <w:rFonts w:cstheme="minorHAnsi"/>
          <w:sz w:val="24"/>
          <w:szCs w:val="24"/>
        </w:rPr>
        <w:t xml:space="preserve">At the time of application to VR services, 60% identified their primary source of support as Family or Friends, 28.5% as Public Support/Benefits, 10.7% as personal income, and 0.8% as other sources.  </w:t>
      </w:r>
    </w:p>
    <w:p w14:paraId="0BBC45E9" w14:textId="1BFC9047" w:rsidR="007F46D0" w:rsidRDefault="007F46D0" w:rsidP="007F46D0">
      <w:pPr>
        <w:pStyle w:val="ListParagraph"/>
        <w:numPr>
          <w:ilvl w:val="0"/>
          <w:numId w:val="9"/>
        </w:numPr>
        <w:rPr>
          <w:rFonts w:cstheme="minorHAnsi"/>
          <w:sz w:val="24"/>
          <w:szCs w:val="24"/>
        </w:rPr>
      </w:pPr>
      <w:r w:rsidRPr="007F46D0">
        <w:rPr>
          <w:rFonts w:cstheme="minorHAnsi"/>
          <w:sz w:val="24"/>
          <w:szCs w:val="24"/>
        </w:rPr>
        <w:t>Regionally, 38.8% are in the North District, 31.5% in the West District, and 29.7% in the South District.</w:t>
      </w:r>
    </w:p>
    <w:p w14:paraId="5298C6CD" w14:textId="77777777" w:rsidR="00634152" w:rsidRDefault="00307A24" w:rsidP="007F46D0">
      <w:pPr>
        <w:pStyle w:val="ListParagraph"/>
        <w:numPr>
          <w:ilvl w:val="0"/>
          <w:numId w:val="9"/>
        </w:numPr>
        <w:rPr>
          <w:rFonts w:cstheme="minorHAnsi"/>
          <w:sz w:val="24"/>
          <w:szCs w:val="24"/>
        </w:rPr>
      </w:pPr>
      <w:r w:rsidRPr="00307A24">
        <w:rPr>
          <w:rFonts w:cstheme="minorHAnsi"/>
          <w:b/>
          <w:bCs/>
          <w:sz w:val="24"/>
          <w:szCs w:val="24"/>
        </w:rPr>
        <w:t>Of these 3,400 consumers, 547 were enrolled in Post-Secondary Education during FY23</w:t>
      </w:r>
      <w:r w:rsidRPr="00307A24">
        <w:rPr>
          <w:rFonts w:cstheme="minorHAnsi"/>
          <w:sz w:val="24"/>
          <w:szCs w:val="24"/>
        </w:rPr>
        <w:t xml:space="preserve">.  </w:t>
      </w:r>
    </w:p>
    <w:p w14:paraId="525250DC" w14:textId="77777777" w:rsidR="00634152" w:rsidRDefault="00307A24" w:rsidP="007F46D0">
      <w:pPr>
        <w:pStyle w:val="ListParagraph"/>
        <w:numPr>
          <w:ilvl w:val="0"/>
          <w:numId w:val="9"/>
        </w:numPr>
        <w:rPr>
          <w:rFonts w:cstheme="minorHAnsi"/>
          <w:sz w:val="24"/>
          <w:szCs w:val="24"/>
        </w:rPr>
      </w:pPr>
      <w:r w:rsidRPr="00307A24">
        <w:rPr>
          <w:rFonts w:cstheme="minorHAnsi"/>
          <w:sz w:val="24"/>
          <w:szCs w:val="24"/>
        </w:rPr>
        <w:t xml:space="preserve">In terms of race and ethnicity (assuming some identified as having two or more races), these 547 individuals in post-secondary education are broken down as 477 White (87%), 41 African American (7.5%), 38 Hispanic (6.9%), 36 Asian/Pacific Islander (6.6%), 4 Native American (0.7%), and 2 chose not to identify their race (0.4%).  </w:t>
      </w:r>
    </w:p>
    <w:p w14:paraId="5FF1AEFF" w14:textId="4A0F919F" w:rsidR="00307A24" w:rsidRDefault="00307A24" w:rsidP="007F46D0">
      <w:pPr>
        <w:pStyle w:val="ListParagraph"/>
        <w:numPr>
          <w:ilvl w:val="0"/>
          <w:numId w:val="9"/>
        </w:numPr>
        <w:rPr>
          <w:rFonts w:cstheme="minorHAnsi"/>
          <w:sz w:val="24"/>
          <w:szCs w:val="24"/>
        </w:rPr>
      </w:pPr>
      <w:r w:rsidRPr="00307A24">
        <w:rPr>
          <w:rFonts w:cstheme="minorHAnsi"/>
          <w:sz w:val="24"/>
          <w:szCs w:val="24"/>
        </w:rPr>
        <w:t>These individuals are enrolled in degree-bearing post-secondary education programs based on their latest Individualized Plan for Employment (IPE) with MRC</w:t>
      </w:r>
    </w:p>
    <w:p w14:paraId="01A7AB77" w14:textId="23E8FA99" w:rsidR="007F46D0" w:rsidRPr="00D1720E" w:rsidRDefault="007F46D0" w:rsidP="007F46D0">
      <w:pPr>
        <w:rPr>
          <w:rFonts w:cstheme="minorHAnsi"/>
          <w:b/>
          <w:bCs/>
          <w:i/>
          <w:iCs/>
          <w:sz w:val="24"/>
          <w:szCs w:val="24"/>
        </w:rPr>
      </w:pPr>
      <w:r w:rsidRPr="00D1720E">
        <w:rPr>
          <w:rFonts w:cstheme="minorHAnsi"/>
          <w:b/>
          <w:bCs/>
          <w:i/>
          <w:iCs/>
          <w:sz w:val="24"/>
          <w:szCs w:val="24"/>
        </w:rPr>
        <w:t>Comments</w:t>
      </w:r>
      <w:r w:rsidR="00D1720E" w:rsidRPr="00D1720E">
        <w:rPr>
          <w:rFonts w:cstheme="minorHAnsi"/>
          <w:b/>
          <w:bCs/>
          <w:i/>
          <w:iCs/>
          <w:sz w:val="24"/>
          <w:szCs w:val="24"/>
        </w:rPr>
        <w:t>/Questions</w:t>
      </w:r>
    </w:p>
    <w:p w14:paraId="3DA365B9" w14:textId="2925CCBB" w:rsidR="007F46D0" w:rsidRDefault="007F46D0" w:rsidP="007F46D0">
      <w:pPr>
        <w:pStyle w:val="ListParagraph"/>
        <w:numPr>
          <w:ilvl w:val="0"/>
          <w:numId w:val="10"/>
        </w:numPr>
        <w:rPr>
          <w:rFonts w:cstheme="minorHAnsi"/>
          <w:sz w:val="24"/>
          <w:szCs w:val="24"/>
        </w:rPr>
      </w:pPr>
      <w:r>
        <w:rPr>
          <w:rFonts w:cstheme="minorHAnsi"/>
          <w:sz w:val="24"/>
          <w:szCs w:val="24"/>
        </w:rPr>
        <w:t xml:space="preserve">Last year it was asked if data could be broken down by region – it is included </w:t>
      </w:r>
      <w:r w:rsidR="00371860">
        <w:rPr>
          <w:rFonts w:cstheme="minorHAnsi"/>
          <w:sz w:val="24"/>
          <w:szCs w:val="24"/>
        </w:rPr>
        <w:t>with the data provided for the report.</w:t>
      </w:r>
    </w:p>
    <w:p w14:paraId="10786F11" w14:textId="015A2E5E" w:rsidR="003C7414" w:rsidRDefault="003C7414" w:rsidP="007F46D0">
      <w:pPr>
        <w:pStyle w:val="ListParagraph"/>
        <w:numPr>
          <w:ilvl w:val="0"/>
          <w:numId w:val="10"/>
        </w:numPr>
        <w:rPr>
          <w:rFonts w:cstheme="minorHAnsi"/>
          <w:sz w:val="24"/>
          <w:szCs w:val="24"/>
        </w:rPr>
      </w:pPr>
      <w:r>
        <w:rPr>
          <w:rFonts w:cstheme="minorHAnsi"/>
          <w:sz w:val="24"/>
          <w:szCs w:val="24"/>
        </w:rPr>
        <w:t xml:space="preserve">Last </w:t>
      </w:r>
      <w:r w:rsidR="00371860">
        <w:rPr>
          <w:rFonts w:cstheme="minorHAnsi"/>
          <w:sz w:val="24"/>
          <w:szCs w:val="24"/>
        </w:rPr>
        <w:t>year’s</w:t>
      </w:r>
      <w:r>
        <w:rPr>
          <w:rFonts w:cstheme="minorHAnsi"/>
          <w:sz w:val="24"/>
          <w:szCs w:val="24"/>
        </w:rPr>
        <w:t xml:space="preserve"> data was pr</w:t>
      </w:r>
      <w:r w:rsidR="00CE08B7">
        <w:rPr>
          <w:rFonts w:cstheme="minorHAnsi"/>
          <w:sz w:val="24"/>
          <w:szCs w:val="24"/>
        </w:rPr>
        <w:t xml:space="preserve">e and post Covid </w:t>
      </w:r>
      <w:r w:rsidR="00D1720E">
        <w:rPr>
          <w:rFonts w:cstheme="minorHAnsi"/>
          <w:sz w:val="24"/>
          <w:szCs w:val="24"/>
        </w:rPr>
        <w:t>numbers</w:t>
      </w:r>
      <w:r w:rsidR="00F740F4">
        <w:rPr>
          <w:rFonts w:cstheme="minorHAnsi"/>
          <w:sz w:val="24"/>
          <w:szCs w:val="24"/>
        </w:rPr>
        <w:t>, the 2022 data will be added</w:t>
      </w:r>
      <w:r w:rsidR="00D1720E">
        <w:rPr>
          <w:rFonts w:cstheme="minorHAnsi"/>
          <w:sz w:val="24"/>
          <w:szCs w:val="24"/>
        </w:rPr>
        <w:t>.</w:t>
      </w:r>
    </w:p>
    <w:p w14:paraId="457604ED" w14:textId="2C3ECA51" w:rsidR="00CF0A6B" w:rsidRPr="00CF0A6B" w:rsidRDefault="00CF0A6B" w:rsidP="00CF0A6B">
      <w:pPr>
        <w:rPr>
          <w:rFonts w:cstheme="minorHAnsi"/>
          <w:b/>
          <w:bCs/>
          <w:sz w:val="24"/>
          <w:szCs w:val="24"/>
          <w:u w:val="single"/>
        </w:rPr>
      </w:pPr>
      <w:r w:rsidRPr="00CF0A6B">
        <w:rPr>
          <w:rFonts w:cstheme="minorHAnsi"/>
          <w:b/>
          <w:bCs/>
          <w:sz w:val="24"/>
          <w:szCs w:val="24"/>
          <w:u w:val="single"/>
        </w:rPr>
        <w:t>MRC – Pre</w:t>
      </w:r>
      <w:r w:rsidR="00AA0E9B">
        <w:rPr>
          <w:rFonts w:cstheme="minorHAnsi"/>
          <w:b/>
          <w:bCs/>
          <w:sz w:val="24"/>
          <w:szCs w:val="24"/>
          <w:u w:val="single"/>
        </w:rPr>
        <w:t>-</w:t>
      </w:r>
      <w:r w:rsidRPr="00CF0A6B">
        <w:rPr>
          <w:rFonts w:cstheme="minorHAnsi"/>
          <w:b/>
          <w:bCs/>
          <w:sz w:val="24"/>
          <w:szCs w:val="24"/>
          <w:u w:val="single"/>
        </w:rPr>
        <w:t>ET</w:t>
      </w:r>
      <w:r w:rsidR="00AA0E9B">
        <w:rPr>
          <w:rFonts w:cstheme="minorHAnsi"/>
          <w:b/>
          <w:bCs/>
          <w:sz w:val="24"/>
          <w:szCs w:val="24"/>
          <w:u w:val="single"/>
        </w:rPr>
        <w:t>S</w:t>
      </w:r>
      <w:r w:rsidR="00E87CD3">
        <w:rPr>
          <w:rFonts w:cstheme="minorHAnsi"/>
          <w:b/>
          <w:bCs/>
          <w:sz w:val="24"/>
          <w:szCs w:val="24"/>
          <w:u w:val="single"/>
        </w:rPr>
        <w:t>/688/</w:t>
      </w:r>
      <w:proofErr w:type="spellStart"/>
      <w:r w:rsidR="00715FDF">
        <w:rPr>
          <w:rFonts w:cstheme="minorHAnsi"/>
          <w:b/>
          <w:bCs/>
          <w:sz w:val="24"/>
          <w:szCs w:val="24"/>
          <w:u w:val="single"/>
        </w:rPr>
        <w:t>OneMRC</w:t>
      </w:r>
      <w:proofErr w:type="spellEnd"/>
    </w:p>
    <w:p w14:paraId="64D21D79" w14:textId="77777777" w:rsidR="00CF0A6B" w:rsidRDefault="00CF0A6B" w:rsidP="00CF0A6B">
      <w:pPr>
        <w:pStyle w:val="ListParagraph"/>
        <w:numPr>
          <w:ilvl w:val="0"/>
          <w:numId w:val="11"/>
        </w:numPr>
        <w:rPr>
          <w:rFonts w:cstheme="minorHAnsi"/>
          <w:sz w:val="24"/>
          <w:szCs w:val="24"/>
        </w:rPr>
      </w:pPr>
      <w:r w:rsidRPr="00CF0A6B">
        <w:rPr>
          <w:rFonts w:cstheme="minorHAnsi"/>
          <w:sz w:val="24"/>
          <w:szCs w:val="24"/>
        </w:rPr>
        <w:t xml:space="preserve">MRC has 35 providers of Pre-Employment Transition Services (Pre-ETS), which provide job exploration counseling, workplace readiness trainings, workplace learning experiences, counseling in post-secondary training opportunities, and self-advocacy to students aged 14-22.  </w:t>
      </w:r>
    </w:p>
    <w:p w14:paraId="692E86CA" w14:textId="5F15DD27" w:rsidR="00CF0A6B" w:rsidRDefault="00CF0A6B" w:rsidP="00CF0A6B">
      <w:pPr>
        <w:pStyle w:val="ListParagraph"/>
        <w:numPr>
          <w:ilvl w:val="0"/>
          <w:numId w:val="11"/>
        </w:numPr>
        <w:rPr>
          <w:rFonts w:cstheme="minorHAnsi"/>
          <w:sz w:val="24"/>
          <w:szCs w:val="24"/>
        </w:rPr>
      </w:pPr>
      <w:r w:rsidRPr="00CF0A6B">
        <w:rPr>
          <w:rFonts w:cstheme="minorHAnsi"/>
          <w:sz w:val="24"/>
          <w:szCs w:val="24"/>
        </w:rPr>
        <w:t xml:space="preserve">In FY23, </w:t>
      </w:r>
      <w:r w:rsidRPr="00CF0A6B">
        <w:rPr>
          <w:rFonts w:cstheme="minorHAnsi"/>
          <w:b/>
          <w:bCs/>
          <w:sz w:val="24"/>
          <w:szCs w:val="24"/>
        </w:rPr>
        <w:t xml:space="preserve">1,013 </w:t>
      </w:r>
      <w:r w:rsidRPr="00CF0A6B">
        <w:rPr>
          <w:rFonts w:cstheme="minorHAnsi"/>
          <w:sz w:val="24"/>
          <w:szCs w:val="24"/>
        </w:rPr>
        <w:t xml:space="preserve">VR eligible consumers with ASD received services from its Pre-ETS vendors, of which </w:t>
      </w:r>
      <w:r w:rsidRPr="00CF0A6B">
        <w:rPr>
          <w:rFonts w:cstheme="minorHAnsi"/>
          <w:b/>
          <w:bCs/>
          <w:sz w:val="24"/>
          <w:szCs w:val="24"/>
        </w:rPr>
        <w:t xml:space="preserve">925 </w:t>
      </w:r>
      <w:r w:rsidRPr="00CF0A6B">
        <w:rPr>
          <w:rFonts w:cstheme="minorHAnsi"/>
          <w:sz w:val="24"/>
          <w:szCs w:val="24"/>
        </w:rPr>
        <w:t>received a work-based learning experience.</w:t>
      </w:r>
    </w:p>
    <w:p w14:paraId="7D565376" w14:textId="40B54A83" w:rsidR="00AA0E9B" w:rsidRDefault="00AA0E9B" w:rsidP="00AA0E9B">
      <w:pPr>
        <w:pStyle w:val="ListParagraph"/>
        <w:numPr>
          <w:ilvl w:val="0"/>
          <w:numId w:val="11"/>
        </w:numPr>
        <w:rPr>
          <w:rFonts w:cstheme="minorHAnsi"/>
          <w:sz w:val="24"/>
          <w:szCs w:val="24"/>
        </w:rPr>
      </w:pPr>
      <w:r w:rsidRPr="00AA0E9B">
        <w:rPr>
          <w:rFonts w:cstheme="minorHAnsi"/>
          <w:sz w:val="24"/>
          <w:szCs w:val="24"/>
        </w:rPr>
        <w:t>MRC has 35 providers of Pre-Employment Transition Services (Pre-ETS</w:t>
      </w:r>
      <w:r w:rsidR="00E87CD3" w:rsidRPr="00AA0E9B">
        <w:rPr>
          <w:rFonts w:cstheme="minorHAnsi"/>
          <w:sz w:val="24"/>
          <w:szCs w:val="24"/>
        </w:rPr>
        <w:t>), which</w:t>
      </w:r>
      <w:r w:rsidRPr="00AA0E9B">
        <w:rPr>
          <w:rFonts w:cstheme="minorHAnsi"/>
          <w:sz w:val="24"/>
          <w:szCs w:val="24"/>
        </w:rPr>
        <w:t xml:space="preserve"> provide job exploration counseling, workplace readiness trainings, workplace learning experiences, counseling in post-secondary training opportunities, and self-advocacy to students aged 14-22. </w:t>
      </w:r>
    </w:p>
    <w:p w14:paraId="079D62D3" w14:textId="4B14F05F" w:rsidR="00AA0E9B" w:rsidRDefault="00AA0E9B" w:rsidP="00AA0E9B">
      <w:pPr>
        <w:pStyle w:val="ListParagraph"/>
        <w:numPr>
          <w:ilvl w:val="0"/>
          <w:numId w:val="11"/>
        </w:numPr>
        <w:rPr>
          <w:rFonts w:cstheme="minorHAnsi"/>
          <w:sz w:val="24"/>
          <w:szCs w:val="24"/>
        </w:rPr>
      </w:pPr>
      <w:r w:rsidRPr="00AA0E9B">
        <w:rPr>
          <w:rFonts w:cstheme="minorHAnsi"/>
          <w:sz w:val="24"/>
          <w:szCs w:val="24"/>
        </w:rPr>
        <w:t xml:space="preserve"> In FY23, </w:t>
      </w:r>
      <w:r w:rsidRPr="00AA0E9B">
        <w:rPr>
          <w:rFonts w:cstheme="minorHAnsi"/>
          <w:b/>
          <w:bCs/>
          <w:sz w:val="24"/>
          <w:szCs w:val="24"/>
        </w:rPr>
        <w:t xml:space="preserve">1,013 </w:t>
      </w:r>
      <w:r w:rsidRPr="00AA0E9B">
        <w:rPr>
          <w:rFonts w:cstheme="minorHAnsi"/>
          <w:sz w:val="24"/>
          <w:szCs w:val="24"/>
        </w:rPr>
        <w:t xml:space="preserve">VR eligible consumers with ASD received services from its Pre-ETS vendors, of which </w:t>
      </w:r>
      <w:r w:rsidRPr="00AA0E9B">
        <w:rPr>
          <w:rFonts w:cstheme="minorHAnsi"/>
          <w:b/>
          <w:bCs/>
          <w:sz w:val="24"/>
          <w:szCs w:val="24"/>
        </w:rPr>
        <w:t xml:space="preserve">925 </w:t>
      </w:r>
      <w:r w:rsidRPr="00AA0E9B">
        <w:rPr>
          <w:rFonts w:cstheme="minorHAnsi"/>
          <w:sz w:val="24"/>
          <w:szCs w:val="24"/>
        </w:rPr>
        <w:t>received a work-based learning experience.</w:t>
      </w:r>
    </w:p>
    <w:p w14:paraId="24F8FD2F" w14:textId="77777777" w:rsidR="00E87CD3" w:rsidRDefault="00E87CD3" w:rsidP="00E87CD3">
      <w:pPr>
        <w:pStyle w:val="ListParagraph"/>
        <w:numPr>
          <w:ilvl w:val="0"/>
          <w:numId w:val="11"/>
        </w:numPr>
        <w:rPr>
          <w:rFonts w:cstheme="minorHAnsi"/>
          <w:sz w:val="24"/>
          <w:szCs w:val="24"/>
        </w:rPr>
      </w:pPr>
      <w:r w:rsidRPr="00E87CD3">
        <w:rPr>
          <w:rFonts w:cstheme="minorHAnsi"/>
          <w:sz w:val="24"/>
          <w:szCs w:val="24"/>
        </w:rPr>
        <w:t xml:space="preserve">In FY23, MRC </w:t>
      </w:r>
      <w:r w:rsidRPr="00E87CD3">
        <w:rPr>
          <w:rFonts w:cstheme="minorHAnsi"/>
          <w:b/>
          <w:bCs/>
          <w:sz w:val="24"/>
          <w:szCs w:val="24"/>
        </w:rPr>
        <w:t xml:space="preserve">received 190 referrals </w:t>
      </w:r>
      <w:r w:rsidRPr="00E87CD3">
        <w:rPr>
          <w:rFonts w:cstheme="minorHAnsi"/>
          <w:sz w:val="24"/>
          <w:szCs w:val="24"/>
        </w:rPr>
        <w:t>through the</w:t>
      </w:r>
      <w:r w:rsidRPr="00E87CD3">
        <w:rPr>
          <w:rFonts w:cstheme="minorHAnsi"/>
          <w:b/>
          <w:bCs/>
          <w:sz w:val="24"/>
          <w:szCs w:val="24"/>
        </w:rPr>
        <w:t xml:space="preserve"> 688 Process for individuals with</w:t>
      </w:r>
      <w:r w:rsidRPr="00E87CD3">
        <w:rPr>
          <w:rFonts w:cstheme="minorHAnsi"/>
          <w:sz w:val="24"/>
          <w:szCs w:val="24"/>
        </w:rPr>
        <w:t xml:space="preserve"> </w:t>
      </w:r>
      <w:r w:rsidRPr="00E87CD3">
        <w:rPr>
          <w:rFonts w:cstheme="minorHAnsi"/>
          <w:b/>
          <w:bCs/>
          <w:sz w:val="24"/>
          <w:szCs w:val="24"/>
        </w:rPr>
        <w:t>ASD</w:t>
      </w:r>
      <w:r w:rsidRPr="00E87CD3">
        <w:rPr>
          <w:rFonts w:cstheme="minorHAnsi"/>
          <w:sz w:val="24"/>
          <w:szCs w:val="24"/>
        </w:rPr>
        <w:t xml:space="preserve"> and served </w:t>
      </w:r>
      <w:r w:rsidRPr="00E87CD3">
        <w:rPr>
          <w:rFonts w:cstheme="minorHAnsi"/>
          <w:b/>
          <w:bCs/>
          <w:sz w:val="24"/>
          <w:szCs w:val="24"/>
        </w:rPr>
        <w:t>448 individuals with ASD</w:t>
      </w:r>
      <w:r w:rsidRPr="00E87CD3">
        <w:rPr>
          <w:rFonts w:cstheme="minorHAnsi"/>
          <w:sz w:val="24"/>
          <w:szCs w:val="24"/>
        </w:rPr>
        <w:t xml:space="preserve"> in its </w:t>
      </w:r>
      <w:r w:rsidRPr="00E87CD3">
        <w:rPr>
          <w:rFonts w:cstheme="minorHAnsi"/>
          <w:b/>
          <w:bCs/>
          <w:sz w:val="24"/>
          <w:szCs w:val="24"/>
        </w:rPr>
        <w:t>Transition to Adulthood (TAP) program</w:t>
      </w:r>
      <w:r w:rsidRPr="00E87CD3">
        <w:rPr>
          <w:rFonts w:cstheme="minorHAnsi"/>
          <w:sz w:val="24"/>
          <w:szCs w:val="24"/>
        </w:rPr>
        <w:t xml:space="preserve">, which is operated by the Independent Living Centers (ILCs) to provide peer-driven transition services to youths with disabilities. </w:t>
      </w:r>
    </w:p>
    <w:p w14:paraId="0002AFC9" w14:textId="77777777" w:rsidR="00E87CD3" w:rsidRDefault="00E87CD3" w:rsidP="00E87CD3">
      <w:pPr>
        <w:pStyle w:val="ListParagraph"/>
        <w:numPr>
          <w:ilvl w:val="0"/>
          <w:numId w:val="11"/>
        </w:numPr>
        <w:rPr>
          <w:rFonts w:cstheme="minorHAnsi"/>
          <w:sz w:val="24"/>
          <w:szCs w:val="24"/>
        </w:rPr>
      </w:pPr>
      <w:r w:rsidRPr="00E87CD3">
        <w:rPr>
          <w:rFonts w:cstheme="minorHAnsi"/>
          <w:sz w:val="24"/>
          <w:szCs w:val="24"/>
        </w:rPr>
        <w:t xml:space="preserve">However, we only have information on </w:t>
      </w:r>
      <w:r w:rsidRPr="00E87CD3">
        <w:rPr>
          <w:rFonts w:cstheme="minorHAnsi"/>
          <w:b/>
          <w:bCs/>
          <w:sz w:val="24"/>
          <w:szCs w:val="24"/>
        </w:rPr>
        <w:t>329</w:t>
      </w:r>
      <w:r w:rsidRPr="00E87CD3">
        <w:rPr>
          <w:rFonts w:cstheme="minorHAnsi"/>
          <w:sz w:val="24"/>
          <w:szCs w:val="24"/>
        </w:rPr>
        <w:t xml:space="preserve"> of those consumers in terms of race and ethnicity. </w:t>
      </w:r>
    </w:p>
    <w:p w14:paraId="0D047CE8" w14:textId="7F15BD0E" w:rsidR="00E87CD3" w:rsidRPr="00E87CD3" w:rsidRDefault="00E87CD3" w:rsidP="00E87CD3">
      <w:pPr>
        <w:pStyle w:val="ListParagraph"/>
        <w:numPr>
          <w:ilvl w:val="0"/>
          <w:numId w:val="11"/>
        </w:numPr>
        <w:rPr>
          <w:rFonts w:cstheme="minorHAnsi"/>
          <w:sz w:val="24"/>
          <w:szCs w:val="24"/>
        </w:rPr>
      </w:pPr>
      <w:r w:rsidRPr="00E87CD3">
        <w:rPr>
          <w:rFonts w:cstheme="minorHAnsi"/>
          <w:sz w:val="24"/>
          <w:szCs w:val="24"/>
        </w:rPr>
        <w:t xml:space="preserve"> These </w:t>
      </w:r>
      <w:r w:rsidRPr="00E87CD3">
        <w:rPr>
          <w:rFonts w:cstheme="minorHAnsi"/>
          <w:b/>
          <w:bCs/>
          <w:sz w:val="24"/>
          <w:szCs w:val="24"/>
        </w:rPr>
        <w:t>329</w:t>
      </w:r>
      <w:r w:rsidRPr="00E87CD3">
        <w:rPr>
          <w:rFonts w:cstheme="minorHAnsi"/>
          <w:sz w:val="24"/>
          <w:szCs w:val="24"/>
        </w:rPr>
        <w:t xml:space="preserve"> are broken down as 186 White, 27 African American, 16 Asian/Pacific Islander, and 53 Hispanic ethnicity, as 33 chose not to disclose and 22 selected “Other/Multiple”. </w:t>
      </w:r>
    </w:p>
    <w:p w14:paraId="62B58FFB" w14:textId="77777777" w:rsidR="00E87CD3" w:rsidRDefault="00E87CD3" w:rsidP="00E87CD3">
      <w:pPr>
        <w:pStyle w:val="ListParagraph"/>
        <w:numPr>
          <w:ilvl w:val="0"/>
          <w:numId w:val="11"/>
        </w:numPr>
        <w:rPr>
          <w:rFonts w:cstheme="minorHAnsi"/>
          <w:sz w:val="24"/>
          <w:szCs w:val="24"/>
        </w:rPr>
      </w:pPr>
      <w:r w:rsidRPr="00E87CD3">
        <w:rPr>
          <w:rFonts w:cstheme="minorHAnsi"/>
          <w:sz w:val="24"/>
          <w:szCs w:val="24"/>
        </w:rPr>
        <w:t xml:space="preserve">MRC and its employment providers continue to work on strengthening their data collection processes utilizing its MRC Connect integrated eligibility program and the agency’s ongoing project to develop a new and modern data system for its VR and CL divisions known as </w:t>
      </w:r>
      <w:proofErr w:type="spellStart"/>
      <w:r w:rsidRPr="00E87CD3">
        <w:rPr>
          <w:rFonts w:cstheme="minorHAnsi"/>
          <w:sz w:val="24"/>
          <w:szCs w:val="24"/>
        </w:rPr>
        <w:t>OneMRC</w:t>
      </w:r>
      <w:proofErr w:type="spellEnd"/>
      <w:r w:rsidRPr="00E87CD3">
        <w:rPr>
          <w:rFonts w:cstheme="minorHAnsi"/>
          <w:sz w:val="24"/>
          <w:szCs w:val="24"/>
        </w:rPr>
        <w:t xml:space="preserve">.  </w:t>
      </w:r>
    </w:p>
    <w:p w14:paraId="003885B6" w14:textId="021E6281" w:rsidR="00E87CD3" w:rsidRPr="00E87CD3" w:rsidRDefault="00E87CD3" w:rsidP="00E87CD3">
      <w:pPr>
        <w:pStyle w:val="ListParagraph"/>
        <w:numPr>
          <w:ilvl w:val="0"/>
          <w:numId w:val="11"/>
        </w:numPr>
        <w:rPr>
          <w:rFonts w:cstheme="minorHAnsi"/>
          <w:sz w:val="24"/>
          <w:szCs w:val="24"/>
        </w:rPr>
      </w:pPr>
      <w:r w:rsidRPr="00E87CD3">
        <w:rPr>
          <w:rFonts w:cstheme="minorHAnsi"/>
          <w:sz w:val="24"/>
          <w:szCs w:val="24"/>
        </w:rPr>
        <w:t>These efforts will focus on including retention data for individuals served with ASD as well as focusing on considerations of culture, race, linguistics, gender identity and socio-economic status in data collection and analysis.  MRC also plans to expand disability data collection for Potentially Eligible Pre-ETS students to include the ability to break out and track data on consumers for ASD.   This project should be completed in July 2024.</w:t>
      </w:r>
    </w:p>
    <w:p w14:paraId="22A9A7B5" w14:textId="10A80854" w:rsidR="00E87CD3" w:rsidRPr="00371860" w:rsidRDefault="00010CA3" w:rsidP="00010CA3">
      <w:pPr>
        <w:ind w:left="360"/>
        <w:rPr>
          <w:rFonts w:cstheme="minorHAnsi"/>
          <w:b/>
          <w:bCs/>
          <w:i/>
          <w:iCs/>
          <w:sz w:val="24"/>
          <w:szCs w:val="24"/>
        </w:rPr>
      </w:pPr>
      <w:r w:rsidRPr="00371860">
        <w:rPr>
          <w:rFonts w:cstheme="minorHAnsi"/>
          <w:b/>
          <w:bCs/>
          <w:i/>
          <w:iCs/>
          <w:sz w:val="24"/>
          <w:szCs w:val="24"/>
        </w:rPr>
        <w:t>Comments/Questions</w:t>
      </w:r>
    </w:p>
    <w:p w14:paraId="50EBADF7" w14:textId="79A5F183" w:rsidR="00010CA3" w:rsidRDefault="006856EE" w:rsidP="00010CA3">
      <w:pPr>
        <w:pStyle w:val="ListParagraph"/>
        <w:numPr>
          <w:ilvl w:val="0"/>
          <w:numId w:val="13"/>
        </w:numPr>
        <w:rPr>
          <w:rFonts w:cstheme="minorHAnsi"/>
          <w:sz w:val="24"/>
          <w:szCs w:val="24"/>
        </w:rPr>
      </w:pPr>
      <w:r>
        <w:rPr>
          <w:rFonts w:cstheme="minorHAnsi"/>
          <w:sz w:val="24"/>
          <w:szCs w:val="24"/>
        </w:rPr>
        <w:t xml:space="preserve">Families sometimes do not understand the 688 process – during the pandemic the BTP discussed with DESE </w:t>
      </w:r>
      <w:r w:rsidR="00F740F4">
        <w:rPr>
          <w:rFonts w:cstheme="minorHAnsi"/>
          <w:sz w:val="24"/>
          <w:szCs w:val="24"/>
        </w:rPr>
        <w:t xml:space="preserve">the on-going issue of </w:t>
      </w:r>
      <w:r>
        <w:rPr>
          <w:rFonts w:cstheme="minorHAnsi"/>
          <w:sz w:val="24"/>
          <w:szCs w:val="24"/>
        </w:rPr>
        <w:t>late referrals</w:t>
      </w:r>
      <w:r w:rsidR="00F740F4">
        <w:rPr>
          <w:rFonts w:cstheme="minorHAnsi"/>
          <w:sz w:val="24"/>
          <w:szCs w:val="24"/>
        </w:rPr>
        <w:t xml:space="preserve"> by school districts</w:t>
      </w:r>
      <w:r w:rsidR="0005584F">
        <w:rPr>
          <w:rFonts w:cstheme="minorHAnsi"/>
          <w:sz w:val="24"/>
          <w:szCs w:val="24"/>
        </w:rPr>
        <w:t xml:space="preserve"> – DESE does remind school districts of the importance of filing the 688 at least two years prior to a student graduating or leaving school</w:t>
      </w:r>
      <w:r w:rsidR="00F740F4">
        <w:rPr>
          <w:rFonts w:cstheme="minorHAnsi"/>
          <w:sz w:val="24"/>
          <w:szCs w:val="24"/>
        </w:rPr>
        <w:t>, nut this remains an issue</w:t>
      </w:r>
      <w:r w:rsidR="0005584F">
        <w:rPr>
          <w:rFonts w:cstheme="minorHAnsi"/>
          <w:sz w:val="24"/>
          <w:szCs w:val="24"/>
        </w:rPr>
        <w:t>.</w:t>
      </w:r>
    </w:p>
    <w:p w14:paraId="77461EB3" w14:textId="21C6EDD5" w:rsidR="0005584F" w:rsidRDefault="00F740F4" w:rsidP="00010CA3">
      <w:pPr>
        <w:pStyle w:val="ListParagraph"/>
        <w:numPr>
          <w:ilvl w:val="0"/>
          <w:numId w:val="13"/>
        </w:numPr>
        <w:rPr>
          <w:rFonts w:cstheme="minorHAnsi"/>
          <w:sz w:val="24"/>
          <w:szCs w:val="24"/>
        </w:rPr>
      </w:pPr>
      <w:r>
        <w:rPr>
          <w:rFonts w:cstheme="minorHAnsi"/>
          <w:sz w:val="24"/>
          <w:szCs w:val="24"/>
        </w:rPr>
        <w:t xml:space="preserve">688 is a referral process, individuals then need to be found eligible by DDS, DMH or MRC and service plans developed, which is why the 2 years in advance of them leaving special education is so important. Individuals </w:t>
      </w:r>
      <w:r w:rsidR="00722395">
        <w:rPr>
          <w:rFonts w:cstheme="minorHAnsi"/>
          <w:sz w:val="24"/>
          <w:szCs w:val="24"/>
        </w:rPr>
        <w:t xml:space="preserve">can </w:t>
      </w:r>
      <w:r>
        <w:rPr>
          <w:rFonts w:cstheme="minorHAnsi"/>
          <w:sz w:val="24"/>
          <w:szCs w:val="24"/>
        </w:rPr>
        <w:t xml:space="preserve">also </w:t>
      </w:r>
      <w:r w:rsidR="00722395">
        <w:rPr>
          <w:rFonts w:cstheme="minorHAnsi"/>
          <w:sz w:val="24"/>
          <w:szCs w:val="24"/>
        </w:rPr>
        <w:t xml:space="preserve">apply directly to an </w:t>
      </w:r>
      <w:r w:rsidR="00FA4295">
        <w:rPr>
          <w:rFonts w:cstheme="minorHAnsi"/>
          <w:sz w:val="24"/>
          <w:szCs w:val="24"/>
        </w:rPr>
        <w:t>agency.</w:t>
      </w:r>
    </w:p>
    <w:p w14:paraId="204F54AF" w14:textId="2EE7329C" w:rsidR="00722395" w:rsidRDefault="00722395" w:rsidP="00010CA3">
      <w:pPr>
        <w:pStyle w:val="ListParagraph"/>
        <w:numPr>
          <w:ilvl w:val="0"/>
          <w:numId w:val="13"/>
        </w:numPr>
        <w:rPr>
          <w:rFonts w:cstheme="minorHAnsi"/>
          <w:sz w:val="24"/>
          <w:szCs w:val="24"/>
        </w:rPr>
      </w:pPr>
      <w:r>
        <w:rPr>
          <w:rFonts w:cstheme="minorHAnsi"/>
          <w:sz w:val="24"/>
          <w:szCs w:val="24"/>
        </w:rPr>
        <w:t xml:space="preserve">Not included in this report, but MRC is looking at wage earnings though ethnic groups – seeing a </w:t>
      </w:r>
      <w:r w:rsidR="005F10A6">
        <w:rPr>
          <w:rFonts w:cstheme="minorHAnsi"/>
          <w:sz w:val="24"/>
          <w:szCs w:val="24"/>
        </w:rPr>
        <w:t>disparage</w:t>
      </w:r>
      <w:r>
        <w:rPr>
          <w:rFonts w:cstheme="minorHAnsi"/>
          <w:sz w:val="24"/>
          <w:szCs w:val="24"/>
        </w:rPr>
        <w:t xml:space="preserve"> and will look at this data and hope to share in next report.</w:t>
      </w:r>
    </w:p>
    <w:p w14:paraId="5EE97C4A" w14:textId="22648B84" w:rsidR="004755C1" w:rsidRDefault="004755C1" w:rsidP="00010CA3">
      <w:pPr>
        <w:pStyle w:val="ListParagraph"/>
        <w:numPr>
          <w:ilvl w:val="0"/>
          <w:numId w:val="13"/>
        </w:numPr>
        <w:rPr>
          <w:rFonts w:cstheme="minorHAnsi"/>
          <w:sz w:val="24"/>
          <w:szCs w:val="24"/>
        </w:rPr>
      </w:pPr>
      <w:r>
        <w:rPr>
          <w:rFonts w:cstheme="minorHAnsi"/>
          <w:sz w:val="24"/>
          <w:szCs w:val="24"/>
        </w:rPr>
        <w:t>MRC discussed NexGen</w:t>
      </w:r>
      <w:r w:rsidR="006A3AE0">
        <w:rPr>
          <w:rFonts w:cstheme="minorHAnsi"/>
          <w:sz w:val="24"/>
          <w:szCs w:val="24"/>
        </w:rPr>
        <w:t xml:space="preserve"> and STEM careers – parent partners reaching out to other parents and getting referrals from </w:t>
      </w:r>
      <w:r w:rsidR="00371860">
        <w:rPr>
          <w:rFonts w:cstheme="minorHAnsi"/>
          <w:sz w:val="24"/>
          <w:szCs w:val="24"/>
        </w:rPr>
        <w:t>DDS.</w:t>
      </w:r>
    </w:p>
    <w:p w14:paraId="15A55D88" w14:textId="6BE5BBB6" w:rsidR="004A7584" w:rsidRPr="00A07879" w:rsidRDefault="004A7584" w:rsidP="004A7584">
      <w:pPr>
        <w:rPr>
          <w:rFonts w:cstheme="minorHAnsi"/>
          <w:b/>
          <w:bCs/>
          <w:sz w:val="24"/>
          <w:szCs w:val="24"/>
          <w:u w:val="single"/>
        </w:rPr>
      </w:pPr>
      <w:r w:rsidRPr="00A07879">
        <w:rPr>
          <w:rFonts w:cstheme="minorHAnsi"/>
          <w:b/>
          <w:bCs/>
          <w:sz w:val="24"/>
          <w:szCs w:val="24"/>
          <w:u w:val="single"/>
        </w:rPr>
        <w:t>14-22+</w:t>
      </w:r>
      <w:r w:rsidR="00A07879" w:rsidRPr="00A07879">
        <w:rPr>
          <w:rFonts w:cstheme="minorHAnsi"/>
          <w:b/>
          <w:bCs/>
          <w:sz w:val="24"/>
          <w:szCs w:val="24"/>
          <w:u w:val="single"/>
        </w:rPr>
        <w:t>/Employment Updates</w:t>
      </w:r>
    </w:p>
    <w:p w14:paraId="59724CE8" w14:textId="77777777" w:rsidR="00A07879" w:rsidRPr="00A07879" w:rsidRDefault="00A07879" w:rsidP="00A07879">
      <w:pPr>
        <w:rPr>
          <w:rFonts w:cstheme="minorHAnsi"/>
          <w:sz w:val="24"/>
          <w:szCs w:val="24"/>
        </w:rPr>
      </w:pPr>
      <w:r w:rsidRPr="00A07879">
        <w:rPr>
          <w:rFonts w:cstheme="minorHAnsi"/>
          <w:sz w:val="24"/>
          <w:szCs w:val="24"/>
        </w:rPr>
        <w:t>In March 2023, the Department of Elementary and Secondary Education (DESE) released a new statewide IEP, to be fully implemented in fall 2024. The new IEP contains expanded information and questions about the duration of an eligible student's school day or school year. DESE developed an accompanying "Technical Guide" that provides direction to IEP Teams for completing all sections of the IEP, including the need for an extended day or extended year. DESE is in the process of developing additional resources to support families with the IEP process.</w:t>
      </w:r>
    </w:p>
    <w:p w14:paraId="3E43727F" w14:textId="7B212E55" w:rsidR="00A07879" w:rsidRDefault="00C04F76" w:rsidP="00DF437D">
      <w:pPr>
        <w:pStyle w:val="ListParagraph"/>
        <w:numPr>
          <w:ilvl w:val="0"/>
          <w:numId w:val="14"/>
        </w:numPr>
        <w:rPr>
          <w:rFonts w:cstheme="minorHAnsi"/>
          <w:sz w:val="24"/>
          <w:szCs w:val="24"/>
        </w:rPr>
      </w:pPr>
      <w:r>
        <w:rPr>
          <w:rFonts w:cstheme="minorHAnsi"/>
          <w:sz w:val="24"/>
          <w:szCs w:val="24"/>
        </w:rPr>
        <w:t xml:space="preserve">The 144-22+ subcommittee met with DESE and </w:t>
      </w:r>
      <w:r w:rsidR="00CA24D5">
        <w:rPr>
          <w:rFonts w:cstheme="minorHAnsi"/>
          <w:sz w:val="24"/>
          <w:szCs w:val="24"/>
        </w:rPr>
        <w:t>reviewed the work that is being done by DESE that also addresses the two recommendations put forward by the subcommittee.</w:t>
      </w:r>
    </w:p>
    <w:p w14:paraId="34768AC0" w14:textId="50A07480" w:rsidR="006A265F" w:rsidRPr="00826985" w:rsidRDefault="00CA24D5" w:rsidP="00CB00C2">
      <w:pPr>
        <w:pStyle w:val="ListParagraph"/>
        <w:numPr>
          <w:ilvl w:val="0"/>
          <w:numId w:val="14"/>
        </w:numPr>
        <w:rPr>
          <w:rFonts w:cstheme="minorHAnsi"/>
          <w:sz w:val="24"/>
          <w:szCs w:val="24"/>
        </w:rPr>
      </w:pPr>
      <w:r w:rsidRPr="00826985">
        <w:rPr>
          <w:rFonts w:cstheme="minorHAnsi"/>
          <w:sz w:val="24"/>
          <w:szCs w:val="24"/>
        </w:rPr>
        <w:t xml:space="preserve">Ms. Kain </w:t>
      </w:r>
      <w:r w:rsidR="00F740F4" w:rsidRPr="00826985">
        <w:rPr>
          <w:rFonts w:cstheme="minorHAnsi"/>
          <w:sz w:val="24"/>
          <w:szCs w:val="24"/>
        </w:rPr>
        <w:t>will work</w:t>
      </w:r>
      <w:r w:rsidRPr="00826985">
        <w:rPr>
          <w:rFonts w:cstheme="minorHAnsi"/>
          <w:sz w:val="24"/>
          <w:szCs w:val="24"/>
        </w:rPr>
        <w:t xml:space="preserve"> with Mr. Johnston on </w:t>
      </w:r>
      <w:r w:rsidR="006A265F" w:rsidRPr="00826985">
        <w:rPr>
          <w:rFonts w:cstheme="minorHAnsi"/>
          <w:sz w:val="24"/>
          <w:szCs w:val="24"/>
        </w:rPr>
        <w:t>the language to include in the report</w:t>
      </w:r>
      <w:r w:rsidR="00F740F4" w:rsidRPr="00826985">
        <w:rPr>
          <w:rFonts w:cstheme="minorHAnsi"/>
          <w:sz w:val="24"/>
          <w:szCs w:val="24"/>
        </w:rPr>
        <w:t>, regarding how DESE is addressing the concerns in the 14-22+ subcommitte</w:t>
      </w:r>
      <w:r w:rsidR="00826985" w:rsidRPr="00826985">
        <w:rPr>
          <w:rFonts w:cstheme="minorHAnsi"/>
          <w:sz w:val="24"/>
          <w:szCs w:val="24"/>
        </w:rPr>
        <w:t>e</w:t>
      </w:r>
      <w:r w:rsidR="00F740F4" w:rsidRPr="00826985">
        <w:rPr>
          <w:rFonts w:cstheme="minorHAnsi"/>
          <w:sz w:val="24"/>
          <w:szCs w:val="24"/>
        </w:rPr>
        <w:t>’s</w:t>
      </w:r>
      <w:r w:rsidR="00826985" w:rsidRPr="00826985">
        <w:rPr>
          <w:rFonts w:cstheme="minorHAnsi"/>
          <w:sz w:val="24"/>
          <w:szCs w:val="24"/>
        </w:rPr>
        <w:t xml:space="preserve"> recommendations. </w:t>
      </w:r>
    </w:p>
    <w:p w14:paraId="2A5A69E1" w14:textId="1704C0F2" w:rsidR="006A265F" w:rsidRPr="00E50F10" w:rsidRDefault="005B6BC3" w:rsidP="006A265F">
      <w:pPr>
        <w:rPr>
          <w:rFonts w:cstheme="minorHAnsi"/>
          <w:b/>
          <w:bCs/>
          <w:sz w:val="24"/>
          <w:szCs w:val="24"/>
          <w:u w:val="single"/>
        </w:rPr>
      </w:pPr>
      <w:r w:rsidRPr="00E50F10">
        <w:rPr>
          <w:rFonts w:cstheme="minorHAnsi"/>
          <w:b/>
          <w:bCs/>
          <w:sz w:val="24"/>
          <w:szCs w:val="24"/>
          <w:u w:val="single"/>
        </w:rPr>
        <w:t>Questions and Comments</w:t>
      </w:r>
    </w:p>
    <w:p w14:paraId="25B25C4C" w14:textId="2A4AD947" w:rsidR="005B6BC3" w:rsidRDefault="005B6BC3" w:rsidP="005B6BC3">
      <w:pPr>
        <w:pStyle w:val="ListParagraph"/>
        <w:numPr>
          <w:ilvl w:val="0"/>
          <w:numId w:val="15"/>
        </w:numPr>
        <w:rPr>
          <w:rFonts w:cstheme="minorHAnsi"/>
          <w:sz w:val="24"/>
          <w:szCs w:val="24"/>
        </w:rPr>
      </w:pPr>
      <w:r>
        <w:rPr>
          <w:rFonts w:cstheme="minorHAnsi"/>
          <w:sz w:val="24"/>
          <w:szCs w:val="24"/>
        </w:rPr>
        <w:t>Ms. Landau asked if we could circle back to the data</w:t>
      </w:r>
      <w:r w:rsidR="00AD2088">
        <w:rPr>
          <w:rFonts w:cstheme="minorHAnsi"/>
          <w:sz w:val="24"/>
          <w:szCs w:val="24"/>
        </w:rPr>
        <w:t xml:space="preserve"> on DEI and if there is an update to the legislation that </w:t>
      </w:r>
      <w:r w:rsidR="00E50F10">
        <w:rPr>
          <w:rFonts w:cstheme="minorHAnsi"/>
          <w:sz w:val="24"/>
          <w:szCs w:val="24"/>
        </w:rPr>
        <w:t xml:space="preserve">was </w:t>
      </w:r>
      <w:r w:rsidR="00F61CB4">
        <w:rPr>
          <w:rFonts w:cstheme="minorHAnsi"/>
          <w:sz w:val="24"/>
          <w:szCs w:val="24"/>
        </w:rPr>
        <w:t>included in the report last year.  The legislation asked the commission to look at data for access to services for individuals</w:t>
      </w:r>
      <w:r w:rsidR="000F29FE">
        <w:rPr>
          <w:rFonts w:cstheme="minorHAnsi"/>
          <w:sz w:val="24"/>
          <w:szCs w:val="24"/>
        </w:rPr>
        <w:t xml:space="preserve"> and look at inequ</w:t>
      </w:r>
      <w:r w:rsidR="00826985">
        <w:rPr>
          <w:rFonts w:cstheme="minorHAnsi"/>
          <w:sz w:val="24"/>
          <w:szCs w:val="24"/>
        </w:rPr>
        <w:t xml:space="preserve">ities, and to </w:t>
      </w:r>
      <w:r w:rsidR="000F29FE">
        <w:rPr>
          <w:rFonts w:cstheme="minorHAnsi"/>
          <w:sz w:val="24"/>
          <w:szCs w:val="24"/>
        </w:rPr>
        <w:t xml:space="preserve">make recommendations on the </w:t>
      </w:r>
      <w:r w:rsidR="000A6F31">
        <w:rPr>
          <w:rFonts w:cstheme="minorHAnsi"/>
          <w:sz w:val="24"/>
          <w:szCs w:val="24"/>
        </w:rPr>
        <w:t>inequitable impact during COVID.</w:t>
      </w:r>
    </w:p>
    <w:p w14:paraId="7236D018" w14:textId="62E2BF3A" w:rsidR="00826985" w:rsidRDefault="009E15E5" w:rsidP="005B6BC3">
      <w:pPr>
        <w:pStyle w:val="ListParagraph"/>
        <w:numPr>
          <w:ilvl w:val="0"/>
          <w:numId w:val="15"/>
        </w:numPr>
        <w:rPr>
          <w:rFonts w:cstheme="minorHAnsi"/>
          <w:sz w:val="24"/>
          <w:szCs w:val="24"/>
        </w:rPr>
      </w:pPr>
      <w:r>
        <w:rPr>
          <w:rFonts w:cstheme="minorHAnsi"/>
          <w:sz w:val="24"/>
          <w:szCs w:val="24"/>
        </w:rPr>
        <w:t xml:space="preserve">Ms. Kain responded that the request for data had gone out to the </w:t>
      </w:r>
      <w:r w:rsidR="00C73757">
        <w:rPr>
          <w:rFonts w:cstheme="minorHAnsi"/>
          <w:sz w:val="24"/>
          <w:szCs w:val="24"/>
        </w:rPr>
        <w:t>respective agencies</w:t>
      </w:r>
      <w:r w:rsidR="00826985">
        <w:rPr>
          <w:rFonts w:cstheme="minorHAnsi"/>
          <w:sz w:val="24"/>
          <w:szCs w:val="24"/>
        </w:rPr>
        <w:t xml:space="preserve"> immediately after the legislation was passed</w:t>
      </w:r>
      <w:r w:rsidR="00C73757">
        <w:rPr>
          <w:rFonts w:cstheme="minorHAnsi"/>
          <w:sz w:val="24"/>
          <w:szCs w:val="24"/>
        </w:rPr>
        <w:t xml:space="preserve">.  </w:t>
      </w:r>
      <w:r w:rsidR="00826985">
        <w:rPr>
          <w:rFonts w:cstheme="minorHAnsi"/>
          <w:sz w:val="24"/>
          <w:szCs w:val="24"/>
        </w:rPr>
        <w:t xml:space="preserve">Ms. Kain pointed out that the legislation was passed in the fall and a report was a due just a few months later in January.  </w:t>
      </w:r>
    </w:p>
    <w:p w14:paraId="4CEED535" w14:textId="1FC5DD14" w:rsidR="000A6F31" w:rsidRDefault="00826985" w:rsidP="005B6BC3">
      <w:pPr>
        <w:pStyle w:val="ListParagraph"/>
        <w:numPr>
          <w:ilvl w:val="0"/>
          <w:numId w:val="15"/>
        </w:numPr>
        <w:rPr>
          <w:rFonts w:cstheme="minorHAnsi"/>
          <w:sz w:val="24"/>
          <w:szCs w:val="24"/>
        </w:rPr>
      </w:pPr>
      <w:r>
        <w:rPr>
          <w:rFonts w:cstheme="minorHAnsi"/>
          <w:sz w:val="24"/>
          <w:szCs w:val="24"/>
        </w:rPr>
        <w:t>W</w:t>
      </w:r>
      <w:r w:rsidR="00C73757">
        <w:rPr>
          <w:rFonts w:cstheme="minorHAnsi"/>
          <w:sz w:val="24"/>
          <w:szCs w:val="24"/>
        </w:rPr>
        <w:t>e learned</w:t>
      </w:r>
      <w:r>
        <w:rPr>
          <w:rFonts w:cstheme="minorHAnsi"/>
          <w:sz w:val="24"/>
          <w:szCs w:val="24"/>
        </w:rPr>
        <w:t xml:space="preserve"> that</w:t>
      </w:r>
      <w:r w:rsidR="00C73757">
        <w:rPr>
          <w:rFonts w:cstheme="minorHAnsi"/>
          <w:sz w:val="24"/>
          <w:szCs w:val="24"/>
        </w:rPr>
        <w:t xml:space="preserve"> the data systems were not as robust as we would have liked them to be</w:t>
      </w:r>
      <w:r>
        <w:rPr>
          <w:rFonts w:cstheme="minorHAnsi"/>
          <w:sz w:val="24"/>
          <w:szCs w:val="24"/>
        </w:rPr>
        <w:t>, d</w:t>
      </w:r>
      <w:r w:rsidR="00EA476A">
        <w:rPr>
          <w:rFonts w:cstheme="minorHAnsi"/>
          <w:sz w:val="24"/>
          <w:szCs w:val="24"/>
        </w:rPr>
        <w:t xml:space="preserve">uring Covid the state agencies needed to pivot their work </w:t>
      </w:r>
      <w:r>
        <w:rPr>
          <w:rFonts w:cstheme="minorHAnsi"/>
          <w:sz w:val="24"/>
          <w:szCs w:val="24"/>
        </w:rPr>
        <w:t xml:space="preserve">(PPE, remote services etc.) </w:t>
      </w:r>
      <w:r w:rsidR="00EA476A">
        <w:rPr>
          <w:rFonts w:cstheme="minorHAnsi"/>
          <w:sz w:val="24"/>
          <w:szCs w:val="24"/>
        </w:rPr>
        <w:t xml:space="preserve">and collecting data was not </w:t>
      </w:r>
      <w:r w:rsidR="00FA4295">
        <w:rPr>
          <w:rFonts w:cstheme="minorHAnsi"/>
          <w:sz w:val="24"/>
          <w:szCs w:val="24"/>
        </w:rPr>
        <w:t>a</w:t>
      </w:r>
      <w:r w:rsidR="00EA476A">
        <w:rPr>
          <w:rFonts w:cstheme="minorHAnsi"/>
          <w:sz w:val="24"/>
          <w:szCs w:val="24"/>
        </w:rPr>
        <w:t xml:space="preserve"> priority at </w:t>
      </w:r>
      <w:r>
        <w:rPr>
          <w:rFonts w:cstheme="minorHAnsi"/>
          <w:sz w:val="24"/>
          <w:szCs w:val="24"/>
        </w:rPr>
        <w:t>that</w:t>
      </w:r>
      <w:r w:rsidR="00EA476A">
        <w:rPr>
          <w:rFonts w:cstheme="minorHAnsi"/>
          <w:sz w:val="24"/>
          <w:szCs w:val="24"/>
        </w:rPr>
        <w:t xml:space="preserve"> time</w:t>
      </w:r>
      <w:r>
        <w:rPr>
          <w:rFonts w:cstheme="minorHAnsi"/>
          <w:sz w:val="24"/>
          <w:szCs w:val="24"/>
        </w:rPr>
        <w:t xml:space="preserve">. </w:t>
      </w:r>
      <w:r w:rsidR="00FA4295">
        <w:rPr>
          <w:rFonts w:cstheme="minorHAnsi"/>
          <w:sz w:val="24"/>
          <w:szCs w:val="24"/>
        </w:rPr>
        <w:t xml:space="preserve"> </w:t>
      </w:r>
      <w:r>
        <w:rPr>
          <w:rFonts w:cstheme="minorHAnsi"/>
          <w:sz w:val="24"/>
          <w:szCs w:val="24"/>
        </w:rPr>
        <w:t>S</w:t>
      </w:r>
      <w:r w:rsidR="00FA4295">
        <w:rPr>
          <w:rFonts w:cstheme="minorHAnsi"/>
          <w:sz w:val="24"/>
          <w:szCs w:val="24"/>
        </w:rPr>
        <w:t>tate agencies were focused on</w:t>
      </w:r>
      <w:r w:rsidR="00DF4E50">
        <w:rPr>
          <w:rFonts w:cstheme="minorHAnsi"/>
          <w:sz w:val="24"/>
          <w:szCs w:val="24"/>
        </w:rPr>
        <w:t xml:space="preserve"> help</w:t>
      </w:r>
      <w:r w:rsidR="00FA4295">
        <w:rPr>
          <w:rFonts w:cstheme="minorHAnsi"/>
          <w:sz w:val="24"/>
          <w:szCs w:val="24"/>
        </w:rPr>
        <w:t>ing</w:t>
      </w:r>
      <w:r w:rsidR="00DF4E50">
        <w:rPr>
          <w:rFonts w:cstheme="minorHAnsi"/>
          <w:sz w:val="24"/>
          <w:szCs w:val="24"/>
        </w:rPr>
        <w:t xml:space="preserve"> individuals and families</w:t>
      </w:r>
      <w:r>
        <w:rPr>
          <w:rFonts w:cstheme="minorHAnsi"/>
          <w:sz w:val="24"/>
          <w:szCs w:val="24"/>
        </w:rPr>
        <w:t xml:space="preserve"> in ways that were unprecedented for them and their providers</w:t>
      </w:r>
      <w:r w:rsidR="00DF4E50">
        <w:rPr>
          <w:rFonts w:cstheme="minorHAnsi"/>
          <w:sz w:val="24"/>
          <w:szCs w:val="24"/>
        </w:rPr>
        <w:t>.</w:t>
      </w:r>
    </w:p>
    <w:p w14:paraId="53C080E2" w14:textId="46A1F771" w:rsidR="00AF1247" w:rsidRDefault="00AF1247" w:rsidP="005B6BC3">
      <w:pPr>
        <w:pStyle w:val="ListParagraph"/>
        <w:numPr>
          <w:ilvl w:val="0"/>
          <w:numId w:val="15"/>
        </w:numPr>
        <w:rPr>
          <w:rFonts w:cstheme="minorHAnsi"/>
          <w:sz w:val="24"/>
          <w:szCs w:val="24"/>
        </w:rPr>
      </w:pPr>
      <w:r>
        <w:rPr>
          <w:rFonts w:cstheme="minorHAnsi"/>
          <w:sz w:val="24"/>
          <w:szCs w:val="24"/>
        </w:rPr>
        <w:t xml:space="preserve">There was a small working group </w:t>
      </w:r>
      <w:r w:rsidR="00826985">
        <w:rPr>
          <w:rFonts w:cstheme="minorHAnsi"/>
          <w:sz w:val="24"/>
          <w:szCs w:val="24"/>
        </w:rPr>
        <w:t xml:space="preserve">of the Commission </w:t>
      </w:r>
      <w:r>
        <w:rPr>
          <w:rFonts w:cstheme="minorHAnsi"/>
          <w:sz w:val="24"/>
          <w:szCs w:val="24"/>
        </w:rPr>
        <w:t xml:space="preserve">to </w:t>
      </w:r>
      <w:r w:rsidR="00826985">
        <w:rPr>
          <w:rFonts w:cstheme="minorHAnsi"/>
          <w:sz w:val="24"/>
          <w:szCs w:val="24"/>
        </w:rPr>
        <w:t>review</w:t>
      </w:r>
      <w:r>
        <w:rPr>
          <w:rFonts w:cstheme="minorHAnsi"/>
          <w:sz w:val="24"/>
          <w:szCs w:val="24"/>
        </w:rPr>
        <w:t xml:space="preserve"> the legislation that was </w:t>
      </w:r>
      <w:r w:rsidR="00E50F10">
        <w:rPr>
          <w:rFonts w:cstheme="minorHAnsi"/>
          <w:sz w:val="24"/>
          <w:szCs w:val="24"/>
        </w:rPr>
        <w:t>filed,</w:t>
      </w:r>
      <w:r>
        <w:rPr>
          <w:rFonts w:cstheme="minorHAnsi"/>
          <w:sz w:val="24"/>
          <w:szCs w:val="24"/>
        </w:rPr>
        <w:t xml:space="preserve"> </w:t>
      </w:r>
      <w:r w:rsidR="00826985">
        <w:rPr>
          <w:rFonts w:cstheme="minorHAnsi"/>
          <w:sz w:val="24"/>
          <w:szCs w:val="24"/>
        </w:rPr>
        <w:t xml:space="preserve">determine what, if any, recommendations could be made. </w:t>
      </w:r>
      <w:r w:rsidR="00826985" w:rsidRPr="00826985">
        <w:rPr>
          <w:rFonts w:cstheme="minorHAnsi"/>
          <w:sz w:val="24"/>
          <w:szCs w:val="24"/>
        </w:rPr>
        <w:t xml:space="preserve">The working group learned </w:t>
      </w:r>
      <w:r w:rsidRPr="00826985">
        <w:rPr>
          <w:rFonts w:cstheme="minorHAnsi"/>
          <w:sz w:val="24"/>
          <w:szCs w:val="24"/>
        </w:rPr>
        <w:t xml:space="preserve">that data didn’t </w:t>
      </w:r>
      <w:r w:rsidR="00826985" w:rsidRPr="00826985">
        <w:rPr>
          <w:rFonts w:cstheme="minorHAnsi"/>
          <w:sz w:val="24"/>
          <w:szCs w:val="24"/>
        </w:rPr>
        <w:t>exist,</w:t>
      </w:r>
      <w:r w:rsidR="00DB6E21" w:rsidRPr="00826985">
        <w:rPr>
          <w:rFonts w:cstheme="minorHAnsi"/>
          <w:sz w:val="24"/>
          <w:szCs w:val="24"/>
        </w:rPr>
        <w:t xml:space="preserve"> </w:t>
      </w:r>
      <w:r w:rsidR="00826985" w:rsidRPr="00826985">
        <w:rPr>
          <w:rFonts w:cstheme="minorHAnsi"/>
          <w:sz w:val="24"/>
          <w:szCs w:val="24"/>
        </w:rPr>
        <w:t>and it was not possible to</w:t>
      </w:r>
      <w:r w:rsidR="00DB6E21" w:rsidRPr="00826985">
        <w:rPr>
          <w:rFonts w:cstheme="minorHAnsi"/>
          <w:sz w:val="24"/>
          <w:szCs w:val="24"/>
        </w:rPr>
        <w:t xml:space="preserve"> </w:t>
      </w:r>
      <w:r w:rsidR="00826985" w:rsidRPr="00826985">
        <w:rPr>
          <w:rFonts w:cstheme="minorHAnsi"/>
          <w:sz w:val="24"/>
          <w:szCs w:val="24"/>
        </w:rPr>
        <w:t>make recommendations to address any inequities caused by the outbreak of COVID-19.</w:t>
      </w:r>
      <w:r w:rsidR="00826985">
        <w:rPr>
          <w:rFonts w:ascii="Cambria" w:hAnsi="Cambria" w:cstheme="minorHAnsi"/>
          <w:sz w:val="24"/>
          <w:szCs w:val="24"/>
        </w:rPr>
        <w:t xml:space="preserve">  </w:t>
      </w:r>
      <w:r w:rsidR="00826985">
        <w:rPr>
          <w:rFonts w:cstheme="minorHAnsi"/>
          <w:sz w:val="24"/>
          <w:szCs w:val="24"/>
        </w:rPr>
        <w:t>A</w:t>
      </w:r>
      <w:r w:rsidR="00DB6E21">
        <w:rPr>
          <w:rFonts w:cstheme="minorHAnsi"/>
          <w:sz w:val="24"/>
          <w:szCs w:val="24"/>
        </w:rPr>
        <w:t xml:space="preserve">ny data that did exist was included in the </w:t>
      </w:r>
      <w:r w:rsidR="00826985">
        <w:rPr>
          <w:rFonts w:cstheme="minorHAnsi"/>
          <w:sz w:val="24"/>
          <w:szCs w:val="24"/>
        </w:rPr>
        <w:t xml:space="preserve">annual </w:t>
      </w:r>
      <w:r w:rsidR="00DB6E21">
        <w:rPr>
          <w:rFonts w:cstheme="minorHAnsi"/>
          <w:sz w:val="24"/>
          <w:szCs w:val="24"/>
        </w:rPr>
        <w:t>report</w:t>
      </w:r>
      <w:r w:rsidR="00FA4295">
        <w:rPr>
          <w:rFonts w:cstheme="minorHAnsi"/>
          <w:sz w:val="24"/>
          <w:szCs w:val="24"/>
        </w:rPr>
        <w:t>,</w:t>
      </w:r>
      <w:r w:rsidR="00DB6E21">
        <w:rPr>
          <w:rFonts w:cstheme="minorHAnsi"/>
          <w:sz w:val="24"/>
          <w:szCs w:val="24"/>
        </w:rPr>
        <w:t xml:space="preserve"> and </w:t>
      </w:r>
      <w:r w:rsidR="00826985">
        <w:rPr>
          <w:rFonts w:cstheme="minorHAnsi"/>
          <w:sz w:val="24"/>
          <w:szCs w:val="24"/>
        </w:rPr>
        <w:t xml:space="preserve">how </w:t>
      </w:r>
      <w:r w:rsidR="00DB6E21">
        <w:rPr>
          <w:rFonts w:cstheme="minorHAnsi"/>
          <w:sz w:val="24"/>
          <w:szCs w:val="24"/>
        </w:rPr>
        <w:t xml:space="preserve">agencies </w:t>
      </w:r>
      <w:r w:rsidR="00826985">
        <w:rPr>
          <w:rFonts w:cstheme="minorHAnsi"/>
          <w:sz w:val="24"/>
          <w:szCs w:val="24"/>
        </w:rPr>
        <w:t xml:space="preserve">were improving their data collection processes was also included in the 2022 annual report. </w:t>
      </w:r>
    </w:p>
    <w:p w14:paraId="42B535A5" w14:textId="309BF683" w:rsidR="00007B14" w:rsidRDefault="00007B14" w:rsidP="005B6BC3">
      <w:pPr>
        <w:pStyle w:val="ListParagraph"/>
        <w:numPr>
          <w:ilvl w:val="0"/>
          <w:numId w:val="15"/>
        </w:numPr>
        <w:rPr>
          <w:rFonts w:cstheme="minorHAnsi"/>
          <w:sz w:val="24"/>
          <w:szCs w:val="24"/>
        </w:rPr>
      </w:pPr>
      <w:r>
        <w:rPr>
          <w:rFonts w:cstheme="minorHAnsi"/>
          <w:sz w:val="24"/>
          <w:szCs w:val="24"/>
        </w:rPr>
        <w:t xml:space="preserve">DESE </w:t>
      </w:r>
      <w:r w:rsidR="009B20F3">
        <w:rPr>
          <w:rFonts w:cstheme="minorHAnsi"/>
          <w:sz w:val="24"/>
          <w:szCs w:val="24"/>
        </w:rPr>
        <w:t xml:space="preserve">also </w:t>
      </w:r>
      <w:r>
        <w:rPr>
          <w:rFonts w:cstheme="minorHAnsi"/>
          <w:sz w:val="24"/>
          <w:szCs w:val="24"/>
        </w:rPr>
        <w:t xml:space="preserve">has appendices with DEI data included in the </w:t>
      </w:r>
      <w:r w:rsidR="00E50F10">
        <w:rPr>
          <w:rFonts w:cstheme="minorHAnsi"/>
          <w:sz w:val="24"/>
          <w:szCs w:val="24"/>
        </w:rPr>
        <w:t>report.</w:t>
      </w:r>
    </w:p>
    <w:p w14:paraId="63396BD6" w14:textId="0E478894" w:rsidR="0003252A" w:rsidRDefault="00D06E47" w:rsidP="005B6BC3">
      <w:pPr>
        <w:pStyle w:val="ListParagraph"/>
        <w:numPr>
          <w:ilvl w:val="0"/>
          <w:numId w:val="15"/>
        </w:numPr>
        <w:rPr>
          <w:rFonts w:cstheme="minorHAnsi"/>
          <w:sz w:val="24"/>
          <w:szCs w:val="24"/>
        </w:rPr>
      </w:pPr>
      <w:r>
        <w:rPr>
          <w:rFonts w:cstheme="minorHAnsi"/>
          <w:sz w:val="24"/>
          <w:szCs w:val="24"/>
        </w:rPr>
        <w:t>In prior years, Secretary Sudders included a cover letter to the report that discussed the challenges of Covid</w:t>
      </w:r>
      <w:r w:rsidR="007B4D1D">
        <w:rPr>
          <w:rFonts w:cstheme="minorHAnsi"/>
          <w:sz w:val="24"/>
          <w:szCs w:val="24"/>
        </w:rPr>
        <w:t xml:space="preserve"> and the workforce challenges – hoping an executive summary could be included in this </w:t>
      </w:r>
      <w:r w:rsidR="00E50F10">
        <w:rPr>
          <w:rFonts w:cstheme="minorHAnsi"/>
          <w:sz w:val="24"/>
          <w:szCs w:val="24"/>
        </w:rPr>
        <w:t>year’s</w:t>
      </w:r>
      <w:r w:rsidR="007B4D1D">
        <w:rPr>
          <w:rFonts w:cstheme="minorHAnsi"/>
          <w:sz w:val="24"/>
          <w:szCs w:val="24"/>
        </w:rPr>
        <w:t xml:space="preserve"> report</w:t>
      </w:r>
      <w:r w:rsidR="008E554B">
        <w:rPr>
          <w:rFonts w:cstheme="minorHAnsi"/>
          <w:sz w:val="24"/>
          <w:szCs w:val="24"/>
        </w:rPr>
        <w:t xml:space="preserve"> to give context to the workforce issues and DEI – it will help to let the </w:t>
      </w:r>
      <w:r w:rsidR="00FA4295">
        <w:rPr>
          <w:rFonts w:cstheme="minorHAnsi"/>
          <w:sz w:val="24"/>
          <w:szCs w:val="24"/>
        </w:rPr>
        <w:t>Legislature</w:t>
      </w:r>
      <w:r w:rsidR="008E554B">
        <w:rPr>
          <w:rFonts w:cstheme="minorHAnsi"/>
          <w:sz w:val="24"/>
          <w:szCs w:val="24"/>
        </w:rPr>
        <w:t xml:space="preserve"> know the focus of </w:t>
      </w:r>
      <w:r w:rsidR="00C67DEF">
        <w:rPr>
          <w:rFonts w:cstheme="minorHAnsi"/>
          <w:sz w:val="24"/>
          <w:szCs w:val="24"/>
        </w:rPr>
        <w:t xml:space="preserve">the </w:t>
      </w:r>
      <w:r w:rsidR="00E50F10">
        <w:rPr>
          <w:rFonts w:cstheme="minorHAnsi"/>
          <w:sz w:val="24"/>
          <w:szCs w:val="24"/>
        </w:rPr>
        <w:t>commission.</w:t>
      </w:r>
    </w:p>
    <w:p w14:paraId="6F9E0615" w14:textId="12B24F7F" w:rsidR="002B7A0D" w:rsidRDefault="00C67DEF" w:rsidP="00E904DE">
      <w:pPr>
        <w:pStyle w:val="ListParagraph"/>
        <w:numPr>
          <w:ilvl w:val="0"/>
          <w:numId w:val="15"/>
        </w:numPr>
        <w:rPr>
          <w:rFonts w:cstheme="minorHAnsi"/>
          <w:sz w:val="24"/>
          <w:szCs w:val="24"/>
        </w:rPr>
      </w:pPr>
      <w:r>
        <w:rPr>
          <w:rFonts w:cstheme="minorHAnsi"/>
          <w:sz w:val="24"/>
          <w:szCs w:val="24"/>
        </w:rPr>
        <w:t>Ms. Kain highlight</w:t>
      </w:r>
      <w:r w:rsidR="00FA4295">
        <w:rPr>
          <w:rFonts w:cstheme="minorHAnsi"/>
          <w:sz w:val="24"/>
          <w:szCs w:val="24"/>
        </w:rPr>
        <w:t>ed</w:t>
      </w:r>
      <w:r>
        <w:rPr>
          <w:rFonts w:cstheme="minorHAnsi"/>
          <w:sz w:val="24"/>
          <w:szCs w:val="24"/>
        </w:rPr>
        <w:t xml:space="preserve"> that </w:t>
      </w:r>
      <w:r w:rsidR="00FA4295">
        <w:rPr>
          <w:rFonts w:cstheme="minorHAnsi"/>
          <w:sz w:val="24"/>
          <w:szCs w:val="24"/>
        </w:rPr>
        <w:t>programs are still in recovery from the pandemic, workforce issues cannot be overstated</w:t>
      </w:r>
      <w:r w:rsidR="00E904DE">
        <w:rPr>
          <w:rFonts w:cstheme="minorHAnsi"/>
          <w:sz w:val="24"/>
          <w:szCs w:val="24"/>
        </w:rPr>
        <w:t>,</w:t>
      </w:r>
      <w:r w:rsidR="00FA4295">
        <w:rPr>
          <w:rFonts w:cstheme="minorHAnsi"/>
          <w:sz w:val="24"/>
          <w:szCs w:val="24"/>
        </w:rPr>
        <w:t xml:space="preserve"> and </w:t>
      </w:r>
      <w:r>
        <w:rPr>
          <w:rFonts w:cstheme="minorHAnsi"/>
          <w:sz w:val="24"/>
          <w:szCs w:val="24"/>
        </w:rPr>
        <w:t>t</w:t>
      </w:r>
      <w:r w:rsidR="00FA4295">
        <w:rPr>
          <w:rFonts w:cstheme="minorHAnsi"/>
          <w:sz w:val="24"/>
          <w:szCs w:val="24"/>
        </w:rPr>
        <w:t xml:space="preserve">hat some of the </w:t>
      </w:r>
      <w:r>
        <w:rPr>
          <w:rFonts w:cstheme="minorHAnsi"/>
          <w:sz w:val="24"/>
          <w:szCs w:val="24"/>
        </w:rPr>
        <w:t xml:space="preserve">most </w:t>
      </w:r>
      <w:r w:rsidR="00E50F10">
        <w:rPr>
          <w:rFonts w:cstheme="minorHAnsi"/>
          <w:sz w:val="24"/>
          <w:szCs w:val="24"/>
        </w:rPr>
        <w:t>severely</w:t>
      </w:r>
      <w:r>
        <w:rPr>
          <w:rFonts w:cstheme="minorHAnsi"/>
          <w:sz w:val="24"/>
          <w:szCs w:val="24"/>
        </w:rPr>
        <w:t xml:space="preserve"> impacted individuals</w:t>
      </w:r>
      <w:r w:rsidR="00545928">
        <w:rPr>
          <w:rFonts w:cstheme="minorHAnsi"/>
          <w:sz w:val="24"/>
          <w:szCs w:val="24"/>
        </w:rPr>
        <w:t xml:space="preserve"> </w:t>
      </w:r>
      <w:r w:rsidR="0064216C">
        <w:rPr>
          <w:rFonts w:cstheme="minorHAnsi"/>
          <w:sz w:val="24"/>
          <w:szCs w:val="24"/>
        </w:rPr>
        <w:t xml:space="preserve">haven’t returned to </w:t>
      </w:r>
      <w:r w:rsidR="00E50F10">
        <w:rPr>
          <w:rFonts w:cstheme="minorHAnsi"/>
          <w:sz w:val="24"/>
          <w:szCs w:val="24"/>
        </w:rPr>
        <w:t>programs.</w:t>
      </w:r>
      <w:r w:rsidR="00046C95">
        <w:rPr>
          <w:rFonts w:cstheme="minorHAnsi"/>
          <w:sz w:val="24"/>
          <w:szCs w:val="24"/>
        </w:rPr>
        <w:t xml:space="preserve"> </w:t>
      </w:r>
    </w:p>
    <w:p w14:paraId="72C38DA8" w14:textId="4B06416B" w:rsidR="007E058C" w:rsidRDefault="009B20F3" w:rsidP="005B6BC3">
      <w:pPr>
        <w:pStyle w:val="ListParagraph"/>
        <w:numPr>
          <w:ilvl w:val="0"/>
          <w:numId w:val="15"/>
        </w:numPr>
        <w:rPr>
          <w:rFonts w:cstheme="minorHAnsi"/>
          <w:sz w:val="24"/>
          <w:szCs w:val="24"/>
        </w:rPr>
      </w:pPr>
      <w:r>
        <w:rPr>
          <w:rFonts w:cstheme="minorHAnsi"/>
          <w:sz w:val="24"/>
          <w:szCs w:val="24"/>
        </w:rPr>
        <w:t xml:space="preserve">Ms. Kain said that </w:t>
      </w:r>
      <w:r w:rsidR="007E058C">
        <w:rPr>
          <w:rFonts w:cstheme="minorHAnsi"/>
          <w:sz w:val="24"/>
          <w:szCs w:val="24"/>
        </w:rPr>
        <w:t xml:space="preserve">requests </w:t>
      </w:r>
      <w:r>
        <w:rPr>
          <w:rFonts w:cstheme="minorHAnsi"/>
          <w:sz w:val="24"/>
          <w:szCs w:val="24"/>
        </w:rPr>
        <w:t xml:space="preserve">have been </w:t>
      </w:r>
      <w:r w:rsidR="007E058C">
        <w:rPr>
          <w:rFonts w:cstheme="minorHAnsi"/>
          <w:sz w:val="24"/>
          <w:szCs w:val="24"/>
        </w:rPr>
        <w:t xml:space="preserve">made to </w:t>
      </w:r>
      <w:r>
        <w:rPr>
          <w:rFonts w:cstheme="minorHAnsi"/>
          <w:sz w:val="24"/>
          <w:szCs w:val="24"/>
        </w:rPr>
        <w:t xml:space="preserve">previously to </w:t>
      </w:r>
      <w:r w:rsidR="007E058C">
        <w:rPr>
          <w:rFonts w:cstheme="minorHAnsi"/>
          <w:sz w:val="24"/>
          <w:szCs w:val="24"/>
        </w:rPr>
        <w:t>M</w:t>
      </w:r>
      <w:r w:rsidR="00E904DE">
        <w:rPr>
          <w:rFonts w:cstheme="minorHAnsi"/>
          <w:sz w:val="24"/>
          <w:szCs w:val="24"/>
        </w:rPr>
        <w:t>ass</w:t>
      </w:r>
      <w:r w:rsidR="007E058C">
        <w:rPr>
          <w:rFonts w:cstheme="minorHAnsi"/>
          <w:sz w:val="24"/>
          <w:szCs w:val="24"/>
        </w:rPr>
        <w:t>H</w:t>
      </w:r>
      <w:r w:rsidR="00E904DE">
        <w:rPr>
          <w:rFonts w:cstheme="minorHAnsi"/>
          <w:sz w:val="24"/>
          <w:szCs w:val="24"/>
        </w:rPr>
        <w:t>ealth for</w:t>
      </w:r>
      <w:r w:rsidR="007E058C">
        <w:rPr>
          <w:rFonts w:cstheme="minorHAnsi"/>
          <w:sz w:val="24"/>
          <w:szCs w:val="24"/>
        </w:rPr>
        <w:t xml:space="preserve"> the data </w:t>
      </w:r>
      <w:r>
        <w:rPr>
          <w:rFonts w:cstheme="minorHAnsi"/>
          <w:sz w:val="24"/>
          <w:szCs w:val="24"/>
        </w:rPr>
        <w:t>on</w:t>
      </w:r>
      <w:r w:rsidR="007E058C">
        <w:rPr>
          <w:rFonts w:cstheme="minorHAnsi"/>
          <w:sz w:val="24"/>
          <w:szCs w:val="24"/>
        </w:rPr>
        <w:t xml:space="preserve"> </w:t>
      </w:r>
      <w:r w:rsidR="00E904DE">
        <w:rPr>
          <w:rFonts w:cstheme="minorHAnsi"/>
          <w:sz w:val="24"/>
          <w:szCs w:val="24"/>
        </w:rPr>
        <w:t xml:space="preserve">the number of </w:t>
      </w:r>
      <w:r w:rsidR="007E058C">
        <w:rPr>
          <w:rFonts w:cstheme="minorHAnsi"/>
          <w:sz w:val="24"/>
          <w:szCs w:val="24"/>
        </w:rPr>
        <w:t>individual</w:t>
      </w:r>
      <w:r w:rsidR="00E904DE">
        <w:rPr>
          <w:rFonts w:cstheme="minorHAnsi"/>
          <w:sz w:val="24"/>
          <w:szCs w:val="24"/>
        </w:rPr>
        <w:t>s</w:t>
      </w:r>
      <w:r w:rsidR="007E058C">
        <w:rPr>
          <w:rFonts w:cstheme="minorHAnsi"/>
          <w:sz w:val="24"/>
          <w:szCs w:val="24"/>
        </w:rPr>
        <w:t xml:space="preserve"> returning to programs</w:t>
      </w:r>
      <w:r>
        <w:rPr>
          <w:rFonts w:cstheme="minorHAnsi"/>
          <w:sz w:val="24"/>
          <w:szCs w:val="24"/>
        </w:rPr>
        <w:t xml:space="preserve"> (</w:t>
      </w:r>
      <w:proofErr w:type="spellStart"/>
      <w:r>
        <w:rPr>
          <w:rFonts w:cstheme="minorHAnsi"/>
          <w:sz w:val="24"/>
          <w:szCs w:val="24"/>
        </w:rPr>
        <w:t>DayHab</w:t>
      </w:r>
      <w:proofErr w:type="spellEnd"/>
      <w:r>
        <w:rPr>
          <w:rFonts w:cstheme="minorHAnsi"/>
          <w:sz w:val="24"/>
          <w:szCs w:val="24"/>
        </w:rPr>
        <w:t xml:space="preserve">). </w:t>
      </w:r>
      <w:r w:rsidR="00E904DE">
        <w:rPr>
          <w:rFonts w:cstheme="minorHAnsi"/>
          <w:sz w:val="24"/>
          <w:szCs w:val="24"/>
        </w:rPr>
        <w:t>MassHealth tried to get this data from their providers</w:t>
      </w:r>
      <w:r>
        <w:rPr>
          <w:rFonts w:cstheme="minorHAnsi"/>
          <w:sz w:val="24"/>
          <w:szCs w:val="24"/>
        </w:rPr>
        <w:t>,</w:t>
      </w:r>
      <w:r w:rsidR="00E904DE">
        <w:rPr>
          <w:rFonts w:cstheme="minorHAnsi"/>
          <w:sz w:val="24"/>
          <w:szCs w:val="24"/>
        </w:rPr>
        <w:t xml:space="preserve"> but it was not </w:t>
      </w:r>
      <w:r>
        <w:rPr>
          <w:rFonts w:cstheme="minorHAnsi"/>
          <w:sz w:val="24"/>
          <w:szCs w:val="24"/>
        </w:rPr>
        <w:t>available,</w:t>
      </w:r>
      <w:r w:rsidR="00E904DE">
        <w:rPr>
          <w:rFonts w:cstheme="minorHAnsi"/>
          <w:sz w:val="24"/>
          <w:szCs w:val="24"/>
        </w:rPr>
        <w:t xml:space="preserve"> and they received low</w:t>
      </w:r>
      <w:r w:rsidR="007E058C">
        <w:rPr>
          <w:rFonts w:cstheme="minorHAnsi"/>
          <w:sz w:val="24"/>
          <w:szCs w:val="24"/>
        </w:rPr>
        <w:t xml:space="preserve"> response</w:t>
      </w:r>
      <w:r w:rsidR="00E904DE">
        <w:rPr>
          <w:rFonts w:cstheme="minorHAnsi"/>
          <w:sz w:val="24"/>
          <w:szCs w:val="24"/>
        </w:rPr>
        <w:t>s</w:t>
      </w:r>
      <w:r w:rsidR="007E058C">
        <w:rPr>
          <w:rFonts w:cstheme="minorHAnsi"/>
          <w:sz w:val="24"/>
          <w:szCs w:val="24"/>
        </w:rPr>
        <w:t xml:space="preserve"> </w:t>
      </w:r>
      <w:r>
        <w:rPr>
          <w:rFonts w:cstheme="minorHAnsi"/>
          <w:sz w:val="24"/>
          <w:szCs w:val="24"/>
        </w:rPr>
        <w:t xml:space="preserve">overall </w:t>
      </w:r>
      <w:r w:rsidR="007E058C">
        <w:rPr>
          <w:rFonts w:cstheme="minorHAnsi"/>
          <w:sz w:val="24"/>
          <w:szCs w:val="24"/>
        </w:rPr>
        <w:t>to inquiries</w:t>
      </w:r>
      <w:r w:rsidR="00735A53">
        <w:rPr>
          <w:rFonts w:cstheme="minorHAnsi"/>
          <w:sz w:val="24"/>
          <w:szCs w:val="24"/>
        </w:rPr>
        <w:t xml:space="preserve"> </w:t>
      </w:r>
      <w:r w:rsidR="00E904DE">
        <w:rPr>
          <w:rFonts w:cstheme="minorHAnsi"/>
          <w:sz w:val="24"/>
          <w:szCs w:val="24"/>
        </w:rPr>
        <w:t>regarding</w:t>
      </w:r>
      <w:r w:rsidR="00735A53">
        <w:rPr>
          <w:rFonts w:cstheme="minorHAnsi"/>
          <w:sz w:val="24"/>
          <w:szCs w:val="24"/>
        </w:rPr>
        <w:t xml:space="preserve"> this </w:t>
      </w:r>
      <w:r w:rsidR="00E50F10">
        <w:rPr>
          <w:rFonts w:cstheme="minorHAnsi"/>
          <w:sz w:val="24"/>
          <w:szCs w:val="24"/>
        </w:rPr>
        <w:t>information.</w:t>
      </w:r>
    </w:p>
    <w:p w14:paraId="11876E53" w14:textId="64BFEA39" w:rsidR="00735A53" w:rsidRDefault="00735A53" w:rsidP="005B6BC3">
      <w:pPr>
        <w:pStyle w:val="ListParagraph"/>
        <w:numPr>
          <w:ilvl w:val="0"/>
          <w:numId w:val="15"/>
        </w:numPr>
        <w:rPr>
          <w:rFonts w:cstheme="minorHAnsi"/>
          <w:sz w:val="24"/>
          <w:szCs w:val="24"/>
        </w:rPr>
      </w:pPr>
      <w:r>
        <w:rPr>
          <w:rFonts w:cstheme="minorHAnsi"/>
          <w:sz w:val="24"/>
          <w:szCs w:val="24"/>
        </w:rPr>
        <w:t xml:space="preserve">DDS does track utilization and does know who is back and can report out the utilization of </w:t>
      </w:r>
      <w:r w:rsidR="00E50F10">
        <w:rPr>
          <w:rFonts w:cstheme="minorHAnsi"/>
          <w:sz w:val="24"/>
          <w:szCs w:val="24"/>
        </w:rPr>
        <w:t>services</w:t>
      </w:r>
      <w:r w:rsidR="009B20F3">
        <w:rPr>
          <w:rFonts w:cstheme="minorHAnsi"/>
          <w:sz w:val="24"/>
          <w:szCs w:val="24"/>
        </w:rPr>
        <w:t xml:space="preserve">. </w:t>
      </w:r>
      <w:r w:rsidR="00E50F10">
        <w:rPr>
          <w:rFonts w:cstheme="minorHAnsi"/>
          <w:sz w:val="24"/>
          <w:szCs w:val="24"/>
        </w:rPr>
        <w:t xml:space="preserve"> -</w:t>
      </w:r>
      <w:r>
        <w:rPr>
          <w:rFonts w:cstheme="minorHAnsi"/>
          <w:sz w:val="24"/>
          <w:szCs w:val="24"/>
        </w:rPr>
        <w:t xml:space="preserve"> DDS </w:t>
      </w:r>
      <w:r w:rsidR="009B20F3">
        <w:rPr>
          <w:rFonts w:cstheme="minorHAnsi"/>
          <w:sz w:val="24"/>
          <w:szCs w:val="24"/>
        </w:rPr>
        <w:t xml:space="preserve">services individuals with ASD and without ASD, </w:t>
      </w:r>
      <w:r w:rsidR="003E445B">
        <w:rPr>
          <w:rFonts w:cstheme="minorHAnsi"/>
          <w:sz w:val="24"/>
          <w:szCs w:val="24"/>
        </w:rPr>
        <w:t xml:space="preserve">and </w:t>
      </w:r>
      <w:r w:rsidR="009B20F3">
        <w:rPr>
          <w:rFonts w:cstheme="minorHAnsi"/>
          <w:sz w:val="24"/>
          <w:szCs w:val="24"/>
        </w:rPr>
        <w:t xml:space="preserve">the information on utilization </w:t>
      </w:r>
      <w:r w:rsidR="003E445B">
        <w:rPr>
          <w:rFonts w:cstheme="minorHAnsi"/>
          <w:sz w:val="24"/>
          <w:szCs w:val="24"/>
        </w:rPr>
        <w:t>will not tell us if individuals are back full</w:t>
      </w:r>
      <w:r w:rsidR="009B20F3">
        <w:rPr>
          <w:rFonts w:cstheme="minorHAnsi"/>
          <w:sz w:val="24"/>
          <w:szCs w:val="24"/>
        </w:rPr>
        <w:t>-time</w:t>
      </w:r>
      <w:r w:rsidR="003E445B">
        <w:rPr>
          <w:rFonts w:cstheme="minorHAnsi"/>
          <w:sz w:val="24"/>
          <w:szCs w:val="24"/>
        </w:rPr>
        <w:t xml:space="preserve"> or </w:t>
      </w:r>
      <w:r w:rsidR="009B20F3">
        <w:rPr>
          <w:rFonts w:cstheme="minorHAnsi"/>
          <w:sz w:val="24"/>
          <w:szCs w:val="24"/>
        </w:rPr>
        <w:t xml:space="preserve">only </w:t>
      </w:r>
      <w:r w:rsidR="003E445B">
        <w:rPr>
          <w:rFonts w:cstheme="minorHAnsi"/>
          <w:sz w:val="24"/>
          <w:szCs w:val="24"/>
        </w:rPr>
        <w:t>part</w:t>
      </w:r>
      <w:r w:rsidR="00E904DE">
        <w:rPr>
          <w:rFonts w:cstheme="minorHAnsi"/>
          <w:sz w:val="24"/>
          <w:szCs w:val="24"/>
        </w:rPr>
        <w:t>-</w:t>
      </w:r>
      <w:r w:rsidR="003E445B">
        <w:rPr>
          <w:rFonts w:cstheme="minorHAnsi"/>
          <w:sz w:val="24"/>
          <w:szCs w:val="24"/>
        </w:rPr>
        <w:t>time.</w:t>
      </w:r>
    </w:p>
    <w:p w14:paraId="1D7E3AE8" w14:textId="51F636A7" w:rsidR="003441C7" w:rsidRDefault="003441C7" w:rsidP="005B6BC3">
      <w:pPr>
        <w:pStyle w:val="ListParagraph"/>
        <w:numPr>
          <w:ilvl w:val="0"/>
          <w:numId w:val="15"/>
        </w:numPr>
        <w:rPr>
          <w:rFonts w:cstheme="minorHAnsi"/>
          <w:sz w:val="24"/>
          <w:szCs w:val="24"/>
        </w:rPr>
      </w:pPr>
      <w:r>
        <w:rPr>
          <w:rFonts w:cstheme="minorHAnsi"/>
          <w:sz w:val="24"/>
          <w:szCs w:val="24"/>
        </w:rPr>
        <w:t>DCF shares the intersection of workforce issues and ASD</w:t>
      </w:r>
      <w:r w:rsidR="00315026">
        <w:rPr>
          <w:rFonts w:cstheme="minorHAnsi"/>
          <w:sz w:val="24"/>
          <w:szCs w:val="24"/>
        </w:rPr>
        <w:t xml:space="preserve"> with DDS</w:t>
      </w:r>
      <w:r w:rsidR="009B20F3">
        <w:rPr>
          <w:rFonts w:cstheme="minorHAnsi"/>
          <w:sz w:val="24"/>
          <w:szCs w:val="24"/>
        </w:rPr>
        <w:t>. Katherine Canada said it is</w:t>
      </w:r>
      <w:r w:rsidR="00315026">
        <w:rPr>
          <w:rFonts w:cstheme="minorHAnsi"/>
          <w:sz w:val="24"/>
          <w:szCs w:val="24"/>
        </w:rPr>
        <w:t xml:space="preserve"> difficult to get individuals out in the community without the support</w:t>
      </w:r>
      <w:r w:rsidR="00430F7D">
        <w:rPr>
          <w:rFonts w:cstheme="minorHAnsi"/>
          <w:sz w:val="24"/>
          <w:szCs w:val="24"/>
        </w:rPr>
        <w:t xml:space="preserve"> – without MAP certification, they cannot take individuals out – double layer of inclusion issue</w:t>
      </w:r>
      <w:r w:rsidR="00AE0474">
        <w:rPr>
          <w:rFonts w:cstheme="minorHAnsi"/>
          <w:sz w:val="24"/>
          <w:szCs w:val="24"/>
        </w:rPr>
        <w:t xml:space="preserve"> – need more MAP certifications </w:t>
      </w:r>
      <w:r w:rsidR="00E904DE">
        <w:rPr>
          <w:rFonts w:cstheme="minorHAnsi"/>
          <w:sz w:val="24"/>
          <w:szCs w:val="24"/>
        </w:rPr>
        <w:t xml:space="preserve">are needed </w:t>
      </w:r>
      <w:r w:rsidR="00AE0474">
        <w:rPr>
          <w:rFonts w:cstheme="minorHAnsi"/>
          <w:sz w:val="24"/>
          <w:szCs w:val="24"/>
        </w:rPr>
        <w:t>to not isolate individuals.</w:t>
      </w:r>
    </w:p>
    <w:p w14:paraId="0C670434" w14:textId="74F303D7" w:rsidR="006C3E67" w:rsidRDefault="006C3E67" w:rsidP="005B6BC3">
      <w:pPr>
        <w:pStyle w:val="ListParagraph"/>
        <w:numPr>
          <w:ilvl w:val="0"/>
          <w:numId w:val="15"/>
        </w:numPr>
        <w:rPr>
          <w:rFonts w:cstheme="minorHAnsi"/>
          <w:sz w:val="24"/>
          <w:szCs w:val="24"/>
        </w:rPr>
      </w:pPr>
      <w:r>
        <w:rPr>
          <w:rFonts w:cstheme="minorHAnsi"/>
          <w:sz w:val="24"/>
          <w:szCs w:val="24"/>
        </w:rPr>
        <w:t xml:space="preserve">Ms. Landau asked if we could close the loop on the legislation and give an updated summary </w:t>
      </w:r>
      <w:r w:rsidR="00E325B5">
        <w:rPr>
          <w:rFonts w:cstheme="minorHAnsi"/>
          <w:sz w:val="24"/>
          <w:szCs w:val="24"/>
        </w:rPr>
        <w:t>on what agencies are doing now and the future plan.  We still have a duty</w:t>
      </w:r>
      <w:r w:rsidR="004A4EC5">
        <w:rPr>
          <w:rFonts w:cstheme="minorHAnsi"/>
          <w:sz w:val="24"/>
          <w:szCs w:val="24"/>
        </w:rPr>
        <w:t xml:space="preserve"> to look at data that is available and address the inequities.</w:t>
      </w:r>
      <w:r w:rsidR="00E904DE">
        <w:rPr>
          <w:rFonts w:cstheme="minorHAnsi"/>
          <w:sz w:val="24"/>
          <w:szCs w:val="24"/>
        </w:rPr>
        <w:t xml:space="preserve"> Ms. Kain responded that the information on what state agencies </w:t>
      </w:r>
      <w:proofErr w:type="gramStart"/>
      <w:r w:rsidR="00E904DE">
        <w:rPr>
          <w:rFonts w:cstheme="minorHAnsi"/>
          <w:sz w:val="24"/>
          <w:szCs w:val="24"/>
        </w:rPr>
        <w:t>are</w:t>
      </w:r>
      <w:proofErr w:type="gramEnd"/>
      <w:r w:rsidR="00E904DE">
        <w:rPr>
          <w:rFonts w:cstheme="minorHAnsi"/>
          <w:sz w:val="24"/>
          <w:szCs w:val="24"/>
        </w:rPr>
        <w:t xml:space="preserve"> doing to collect data and how data collection is being </w:t>
      </w:r>
      <w:proofErr w:type="gramStart"/>
      <w:r w:rsidR="00E904DE">
        <w:rPr>
          <w:rFonts w:cstheme="minorHAnsi"/>
          <w:sz w:val="24"/>
          <w:szCs w:val="24"/>
        </w:rPr>
        <w:t xml:space="preserve">enhanced </w:t>
      </w:r>
      <w:r w:rsidR="002938BB">
        <w:rPr>
          <w:rFonts w:cstheme="minorHAnsi"/>
          <w:sz w:val="24"/>
          <w:szCs w:val="24"/>
        </w:rPr>
        <w:t>and</w:t>
      </w:r>
      <w:proofErr w:type="gramEnd"/>
      <w:r w:rsidR="002938BB">
        <w:rPr>
          <w:rFonts w:cstheme="minorHAnsi"/>
          <w:sz w:val="24"/>
          <w:szCs w:val="24"/>
        </w:rPr>
        <w:t xml:space="preserve"> </w:t>
      </w:r>
      <w:r w:rsidR="00E904DE">
        <w:rPr>
          <w:rFonts w:cstheme="minorHAnsi"/>
          <w:sz w:val="24"/>
          <w:szCs w:val="24"/>
        </w:rPr>
        <w:t>was included in the 2022 annual report of the Commission.</w:t>
      </w:r>
    </w:p>
    <w:p w14:paraId="1867C8F2" w14:textId="29E75887" w:rsidR="00E904DE" w:rsidRDefault="004A4EC5" w:rsidP="007A3C86">
      <w:pPr>
        <w:pStyle w:val="ListParagraph"/>
        <w:numPr>
          <w:ilvl w:val="0"/>
          <w:numId w:val="15"/>
        </w:numPr>
        <w:rPr>
          <w:rFonts w:cstheme="minorHAnsi"/>
          <w:sz w:val="24"/>
          <w:szCs w:val="24"/>
        </w:rPr>
      </w:pPr>
      <w:r w:rsidRPr="00E904DE">
        <w:rPr>
          <w:rFonts w:cstheme="minorHAnsi"/>
          <w:sz w:val="24"/>
          <w:szCs w:val="24"/>
        </w:rPr>
        <w:t>Ms. Kain re</w:t>
      </w:r>
      <w:r w:rsidR="00E904DE">
        <w:rPr>
          <w:rFonts w:cstheme="minorHAnsi"/>
          <w:sz w:val="24"/>
          <w:szCs w:val="24"/>
        </w:rPr>
        <w:t>capped</w:t>
      </w:r>
      <w:r w:rsidRPr="00E904DE">
        <w:rPr>
          <w:rFonts w:cstheme="minorHAnsi"/>
          <w:sz w:val="24"/>
          <w:szCs w:val="24"/>
        </w:rPr>
        <w:t xml:space="preserve"> </w:t>
      </w:r>
      <w:r w:rsidR="00E904DE">
        <w:rPr>
          <w:rFonts w:cstheme="minorHAnsi"/>
          <w:sz w:val="24"/>
          <w:szCs w:val="24"/>
        </w:rPr>
        <w:t xml:space="preserve">the previous efforts that were made regarding the study, </w:t>
      </w:r>
      <w:r w:rsidR="00B079A5">
        <w:rPr>
          <w:rFonts w:cstheme="minorHAnsi"/>
          <w:sz w:val="24"/>
          <w:szCs w:val="24"/>
        </w:rPr>
        <w:t xml:space="preserve">which were </w:t>
      </w:r>
      <w:r w:rsidR="00E11306">
        <w:rPr>
          <w:rFonts w:cstheme="minorHAnsi"/>
          <w:sz w:val="24"/>
          <w:szCs w:val="24"/>
        </w:rPr>
        <w:t>comprehensive</w:t>
      </w:r>
      <w:r w:rsidR="002938BB">
        <w:rPr>
          <w:rFonts w:cstheme="minorHAnsi"/>
          <w:sz w:val="24"/>
          <w:szCs w:val="24"/>
        </w:rPr>
        <w:t>,</w:t>
      </w:r>
      <w:r w:rsidR="00E11306">
        <w:rPr>
          <w:rFonts w:cstheme="minorHAnsi"/>
          <w:sz w:val="24"/>
          <w:szCs w:val="24"/>
        </w:rPr>
        <w:t xml:space="preserve"> but </w:t>
      </w:r>
      <w:r w:rsidR="00BD42DC" w:rsidRPr="00E904DE">
        <w:rPr>
          <w:rFonts w:cstheme="minorHAnsi"/>
          <w:sz w:val="24"/>
          <w:szCs w:val="24"/>
        </w:rPr>
        <w:t>data wasn’t collected during the pandemic – we cannot make a recommendation</w:t>
      </w:r>
      <w:r w:rsidR="00E904DE" w:rsidRPr="00E904DE">
        <w:rPr>
          <w:rFonts w:cstheme="minorHAnsi"/>
          <w:sz w:val="24"/>
          <w:szCs w:val="24"/>
        </w:rPr>
        <w:t>s regarding information that was not</w:t>
      </w:r>
      <w:r w:rsidR="00BD42DC" w:rsidRPr="00E904DE">
        <w:rPr>
          <w:rFonts w:cstheme="minorHAnsi"/>
          <w:sz w:val="24"/>
          <w:szCs w:val="24"/>
        </w:rPr>
        <w:t xml:space="preserve"> </w:t>
      </w:r>
      <w:r w:rsidR="00E904DE">
        <w:rPr>
          <w:rFonts w:cstheme="minorHAnsi"/>
          <w:sz w:val="24"/>
          <w:szCs w:val="24"/>
        </w:rPr>
        <w:t xml:space="preserve">and is not </w:t>
      </w:r>
      <w:r w:rsidR="00BD42DC" w:rsidRPr="00E904DE">
        <w:rPr>
          <w:rFonts w:cstheme="minorHAnsi"/>
          <w:sz w:val="24"/>
          <w:szCs w:val="24"/>
        </w:rPr>
        <w:t>available</w:t>
      </w:r>
      <w:r w:rsidR="006E713D" w:rsidRPr="00E904DE">
        <w:rPr>
          <w:rFonts w:cstheme="minorHAnsi"/>
          <w:sz w:val="24"/>
          <w:szCs w:val="24"/>
        </w:rPr>
        <w:t>.  Rep. Barb</w:t>
      </w:r>
      <w:r w:rsidR="00E904DE">
        <w:rPr>
          <w:rFonts w:cstheme="minorHAnsi"/>
          <w:sz w:val="24"/>
          <w:szCs w:val="24"/>
        </w:rPr>
        <w:t>er</w:t>
      </w:r>
      <w:r w:rsidR="006E713D" w:rsidRPr="00E904DE">
        <w:rPr>
          <w:rFonts w:cstheme="minorHAnsi"/>
          <w:sz w:val="24"/>
          <w:szCs w:val="24"/>
        </w:rPr>
        <w:t xml:space="preserve"> </w:t>
      </w:r>
      <w:r w:rsidR="00E50F10" w:rsidRPr="00E904DE">
        <w:rPr>
          <w:rFonts w:cstheme="minorHAnsi"/>
          <w:sz w:val="24"/>
          <w:szCs w:val="24"/>
        </w:rPr>
        <w:t>sponsored</w:t>
      </w:r>
      <w:r w:rsidR="006E713D" w:rsidRPr="00E904DE">
        <w:rPr>
          <w:rFonts w:cstheme="minorHAnsi"/>
          <w:sz w:val="24"/>
          <w:szCs w:val="24"/>
        </w:rPr>
        <w:t xml:space="preserve"> the bill and was involved in the working group </w:t>
      </w:r>
      <w:r w:rsidR="00E904DE">
        <w:rPr>
          <w:rFonts w:cstheme="minorHAnsi"/>
          <w:sz w:val="24"/>
          <w:szCs w:val="24"/>
        </w:rPr>
        <w:t>of the Commission regarding this issue. T</w:t>
      </w:r>
      <w:r w:rsidR="00E904DE" w:rsidRPr="00E904DE">
        <w:rPr>
          <w:rFonts w:cstheme="minorHAnsi"/>
          <w:sz w:val="24"/>
          <w:szCs w:val="24"/>
        </w:rPr>
        <w:t>he working group agreed there was no way to make recommendations about inequities that may have existed during COVID</w:t>
      </w:r>
      <w:r w:rsidR="006E713D" w:rsidRPr="00E904DE">
        <w:rPr>
          <w:rFonts w:cstheme="minorHAnsi"/>
          <w:sz w:val="24"/>
          <w:szCs w:val="24"/>
        </w:rPr>
        <w:t>.</w:t>
      </w:r>
      <w:r w:rsidR="00ED019E" w:rsidRPr="00E904DE">
        <w:rPr>
          <w:rFonts w:cstheme="minorHAnsi"/>
          <w:sz w:val="24"/>
          <w:szCs w:val="24"/>
        </w:rPr>
        <w:t xml:space="preserve">  </w:t>
      </w:r>
      <w:r w:rsidR="00E904DE" w:rsidRPr="00E904DE">
        <w:rPr>
          <w:rFonts w:cstheme="minorHAnsi"/>
          <w:sz w:val="24"/>
          <w:szCs w:val="24"/>
        </w:rPr>
        <w:t xml:space="preserve">The working group also agreed that the Commission should </w:t>
      </w:r>
      <w:r w:rsidR="00ED019E" w:rsidRPr="00E904DE">
        <w:rPr>
          <w:rFonts w:cstheme="minorHAnsi"/>
          <w:sz w:val="24"/>
          <w:szCs w:val="24"/>
        </w:rPr>
        <w:t xml:space="preserve">look at data </w:t>
      </w:r>
      <w:r w:rsidR="00E904DE">
        <w:rPr>
          <w:rFonts w:cstheme="minorHAnsi"/>
          <w:sz w:val="24"/>
          <w:szCs w:val="24"/>
        </w:rPr>
        <w:t>as</w:t>
      </w:r>
      <w:r w:rsidR="00ED019E" w:rsidRPr="00E904DE">
        <w:rPr>
          <w:rFonts w:cstheme="minorHAnsi"/>
          <w:sz w:val="24"/>
          <w:szCs w:val="24"/>
        </w:rPr>
        <w:t xml:space="preserve"> it </w:t>
      </w:r>
      <w:r w:rsidR="00E904DE">
        <w:rPr>
          <w:rFonts w:cstheme="minorHAnsi"/>
          <w:sz w:val="24"/>
          <w:szCs w:val="24"/>
        </w:rPr>
        <w:t>be</w:t>
      </w:r>
      <w:r w:rsidR="00ED019E" w:rsidRPr="00E904DE">
        <w:rPr>
          <w:rFonts w:cstheme="minorHAnsi"/>
          <w:sz w:val="24"/>
          <w:szCs w:val="24"/>
        </w:rPr>
        <w:t>comes available to us</w:t>
      </w:r>
      <w:r w:rsidR="00E904DE">
        <w:rPr>
          <w:rFonts w:cstheme="minorHAnsi"/>
          <w:sz w:val="24"/>
          <w:szCs w:val="24"/>
        </w:rPr>
        <w:t xml:space="preserve">, and where </w:t>
      </w:r>
      <w:r w:rsidR="00781516">
        <w:rPr>
          <w:rFonts w:cstheme="minorHAnsi"/>
          <w:sz w:val="24"/>
          <w:szCs w:val="24"/>
        </w:rPr>
        <w:t>appropriate</w:t>
      </w:r>
      <w:r w:rsidR="00E904DE">
        <w:rPr>
          <w:rFonts w:cstheme="minorHAnsi"/>
          <w:sz w:val="24"/>
          <w:szCs w:val="24"/>
        </w:rPr>
        <w:t xml:space="preserve"> make recommendations</w:t>
      </w:r>
      <w:r w:rsidR="00ED019E" w:rsidRPr="00E904DE">
        <w:rPr>
          <w:rFonts w:cstheme="minorHAnsi"/>
          <w:sz w:val="24"/>
          <w:szCs w:val="24"/>
        </w:rPr>
        <w:t>.</w:t>
      </w:r>
      <w:r w:rsidR="00792929" w:rsidRPr="00E904DE">
        <w:rPr>
          <w:rFonts w:cstheme="minorHAnsi"/>
          <w:sz w:val="24"/>
          <w:szCs w:val="24"/>
        </w:rPr>
        <w:t xml:space="preserve">  </w:t>
      </w:r>
      <w:r w:rsidR="00E11306">
        <w:rPr>
          <w:rFonts w:cstheme="minorHAnsi"/>
          <w:sz w:val="24"/>
          <w:szCs w:val="24"/>
        </w:rPr>
        <w:t xml:space="preserve">Ms. Kain said that current and future efforts to collect data can be added back into the report, as they were already included in the 2022 annual report.  </w:t>
      </w:r>
    </w:p>
    <w:p w14:paraId="4209A19C" w14:textId="77777777" w:rsidR="00E904DE" w:rsidRDefault="00E904DE" w:rsidP="00E904DE">
      <w:pPr>
        <w:pStyle w:val="ListParagraph"/>
        <w:rPr>
          <w:rFonts w:cstheme="minorHAnsi"/>
          <w:sz w:val="24"/>
          <w:szCs w:val="24"/>
        </w:rPr>
      </w:pPr>
    </w:p>
    <w:p w14:paraId="6BD83F3D" w14:textId="6094A84E" w:rsidR="00961666" w:rsidRPr="00E904DE" w:rsidRDefault="00961666" w:rsidP="00E904DE">
      <w:pPr>
        <w:rPr>
          <w:rFonts w:cstheme="minorHAnsi"/>
          <w:sz w:val="24"/>
          <w:szCs w:val="24"/>
        </w:rPr>
      </w:pPr>
      <w:r w:rsidRPr="00E904DE">
        <w:rPr>
          <w:rFonts w:cstheme="minorHAnsi"/>
          <w:sz w:val="24"/>
          <w:szCs w:val="24"/>
        </w:rPr>
        <w:t>With no further business to discuss, the meeting was adjourned.</w:t>
      </w:r>
    </w:p>
    <w:p w14:paraId="4A8C68D5" w14:textId="77777777" w:rsidR="00AA0E9B" w:rsidRPr="00CF0A6B" w:rsidRDefault="00AA0E9B" w:rsidP="00AA0E9B">
      <w:pPr>
        <w:pStyle w:val="ListParagraph"/>
        <w:rPr>
          <w:rFonts w:cstheme="minorHAnsi"/>
          <w:sz w:val="24"/>
          <w:szCs w:val="24"/>
        </w:rPr>
      </w:pPr>
    </w:p>
    <w:p w14:paraId="0052EAC0" w14:textId="77777777" w:rsidR="00CF0A6B" w:rsidRPr="00CF0A6B" w:rsidRDefault="00CF0A6B" w:rsidP="00AA0E9B">
      <w:pPr>
        <w:pStyle w:val="ListParagraph"/>
        <w:rPr>
          <w:rFonts w:cstheme="minorHAnsi"/>
          <w:sz w:val="24"/>
          <w:szCs w:val="24"/>
        </w:rPr>
      </w:pPr>
    </w:p>
    <w:p w14:paraId="26453998" w14:textId="77777777" w:rsidR="002951D9" w:rsidRPr="002951D9" w:rsidRDefault="002951D9" w:rsidP="002951D9">
      <w:pPr>
        <w:rPr>
          <w:rFonts w:cstheme="minorHAnsi"/>
          <w:sz w:val="24"/>
          <w:szCs w:val="24"/>
        </w:rPr>
      </w:pPr>
    </w:p>
    <w:p w14:paraId="2C68D4A2" w14:textId="77777777" w:rsidR="00822840" w:rsidRPr="00822840" w:rsidRDefault="00822840" w:rsidP="00822840">
      <w:pPr>
        <w:rPr>
          <w:rFonts w:cstheme="minorHAnsi"/>
          <w:sz w:val="24"/>
          <w:szCs w:val="24"/>
        </w:rPr>
      </w:pPr>
    </w:p>
    <w:p w14:paraId="0B483C6E" w14:textId="77777777" w:rsidR="00112E5D" w:rsidRPr="008C10FE" w:rsidRDefault="00112E5D" w:rsidP="008C10FE">
      <w:pPr>
        <w:ind w:left="360"/>
        <w:rPr>
          <w:rFonts w:cstheme="minorHAnsi"/>
          <w:sz w:val="24"/>
          <w:szCs w:val="24"/>
        </w:rPr>
      </w:pPr>
    </w:p>
    <w:p w14:paraId="70F6EA76" w14:textId="77777777" w:rsidR="004E5E8A" w:rsidRDefault="004E5E8A" w:rsidP="00E36013">
      <w:pPr>
        <w:rPr>
          <w:rFonts w:cstheme="minorHAnsi"/>
          <w:sz w:val="24"/>
          <w:szCs w:val="24"/>
        </w:rPr>
      </w:pPr>
    </w:p>
    <w:p w14:paraId="3D0466E3" w14:textId="77777777" w:rsidR="003B00CB" w:rsidRDefault="003B00CB" w:rsidP="00E36013">
      <w:pPr>
        <w:rPr>
          <w:rFonts w:cstheme="minorHAnsi"/>
          <w:sz w:val="24"/>
          <w:szCs w:val="24"/>
        </w:rPr>
      </w:pPr>
    </w:p>
    <w:p w14:paraId="32289A42" w14:textId="77777777" w:rsidR="003B00CB" w:rsidRDefault="003B00CB" w:rsidP="00E36013">
      <w:pPr>
        <w:rPr>
          <w:rFonts w:cstheme="minorHAnsi"/>
          <w:sz w:val="24"/>
          <w:szCs w:val="24"/>
        </w:rPr>
      </w:pPr>
    </w:p>
    <w:p w14:paraId="34E1898E" w14:textId="77777777" w:rsidR="000E44B8" w:rsidRDefault="000E44B8"/>
    <w:sectPr w:rsidR="000E44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E2E75" w14:textId="77777777" w:rsidR="00AD27AB" w:rsidRDefault="00AD27AB" w:rsidP="00A06580">
      <w:pPr>
        <w:spacing w:after="0" w:line="240" w:lineRule="auto"/>
      </w:pPr>
      <w:r>
        <w:separator/>
      </w:r>
    </w:p>
  </w:endnote>
  <w:endnote w:type="continuationSeparator" w:id="0">
    <w:p w14:paraId="2D87371D" w14:textId="77777777" w:rsidR="00AD27AB" w:rsidRDefault="00AD27AB" w:rsidP="00A0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7573" w14:textId="77777777" w:rsidR="00A06580" w:rsidRDefault="00A06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0B372" w14:textId="77777777" w:rsidR="00A06580" w:rsidRDefault="00A06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86AA" w14:textId="77777777" w:rsidR="00A06580" w:rsidRDefault="00A06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4F11A" w14:textId="77777777" w:rsidR="00AD27AB" w:rsidRDefault="00AD27AB" w:rsidP="00A06580">
      <w:pPr>
        <w:spacing w:after="0" w:line="240" w:lineRule="auto"/>
      </w:pPr>
      <w:r>
        <w:separator/>
      </w:r>
    </w:p>
  </w:footnote>
  <w:footnote w:type="continuationSeparator" w:id="0">
    <w:p w14:paraId="71DC0A76" w14:textId="77777777" w:rsidR="00AD27AB" w:rsidRDefault="00AD27AB" w:rsidP="00A06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BFE0F" w14:textId="77777777" w:rsidR="00A06580" w:rsidRDefault="00A06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79D4C" w14:textId="1E20DDD3" w:rsidR="00A06580" w:rsidRDefault="00A06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1497B" w14:textId="77777777" w:rsidR="00A06580" w:rsidRDefault="00A06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C6208"/>
    <w:multiLevelType w:val="hybridMultilevel"/>
    <w:tmpl w:val="2786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22627"/>
    <w:multiLevelType w:val="hybridMultilevel"/>
    <w:tmpl w:val="C0AE7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DF5835"/>
    <w:multiLevelType w:val="hybridMultilevel"/>
    <w:tmpl w:val="94085B0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A696F33"/>
    <w:multiLevelType w:val="hybridMultilevel"/>
    <w:tmpl w:val="ADC0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11368"/>
    <w:multiLevelType w:val="hybridMultilevel"/>
    <w:tmpl w:val="95CE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6306E"/>
    <w:multiLevelType w:val="hybridMultilevel"/>
    <w:tmpl w:val="308A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0043E"/>
    <w:multiLevelType w:val="hybridMultilevel"/>
    <w:tmpl w:val="E87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062EF"/>
    <w:multiLevelType w:val="hybridMultilevel"/>
    <w:tmpl w:val="90E416AA"/>
    <w:lvl w:ilvl="0" w:tplc="FD6A5AC4">
      <w:start w:val="1"/>
      <w:numFmt w:val="bullet"/>
      <w:lvlText w:val="•"/>
      <w:lvlJc w:val="left"/>
      <w:pPr>
        <w:tabs>
          <w:tab w:val="num" w:pos="720"/>
        </w:tabs>
        <w:ind w:left="720" w:hanging="360"/>
      </w:pPr>
      <w:rPr>
        <w:rFonts w:ascii="Arial" w:hAnsi="Arial" w:hint="default"/>
      </w:rPr>
    </w:lvl>
    <w:lvl w:ilvl="1" w:tplc="7AD85198" w:tentative="1">
      <w:start w:val="1"/>
      <w:numFmt w:val="bullet"/>
      <w:lvlText w:val="•"/>
      <w:lvlJc w:val="left"/>
      <w:pPr>
        <w:tabs>
          <w:tab w:val="num" w:pos="1440"/>
        </w:tabs>
        <w:ind w:left="1440" w:hanging="360"/>
      </w:pPr>
      <w:rPr>
        <w:rFonts w:ascii="Arial" w:hAnsi="Arial" w:hint="default"/>
      </w:rPr>
    </w:lvl>
    <w:lvl w:ilvl="2" w:tplc="CF22D2C6" w:tentative="1">
      <w:start w:val="1"/>
      <w:numFmt w:val="bullet"/>
      <w:lvlText w:val="•"/>
      <w:lvlJc w:val="left"/>
      <w:pPr>
        <w:tabs>
          <w:tab w:val="num" w:pos="2160"/>
        </w:tabs>
        <w:ind w:left="2160" w:hanging="360"/>
      </w:pPr>
      <w:rPr>
        <w:rFonts w:ascii="Arial" w:hAnsi="Arial" w:hint="default"/>
      </w:rPr>
    </w:lvl>
    <w:lvl w:ilvl="3" w:tplc="B5564E7A" w:tentative="1">
      <w:start w:val="1"/>
      <w:numFmt w:val="bullet"/>
      <w:lvlText w:val="•"/>
      <w:lvlJc w:val="left"/>
      <w:pPr>
        <w:tabs>
          <w:tab w:val="num" w:pos="2880"/>
        </w:tabs>
        <w:ind w:left="2880" w:hanging="360"/>
      </w:pPr>
      <w:rPr>
        <w:rFonts w:ascii="Arial" w:hAnsi="Arial" w:hint="default"/>
      </w:rPr>
    </w:lvl>
    <w:lvl w:ilvl="4" w:tplc="04F698C4" w:tentative="1">
      <w:start w:val="1"/>
      <w:numFmt w:val="bullet"/>
      <w:lvlText w:val="•"/>
      <w:lvlJc w:val="left"/>
      <w:pPr>
        <w:tabs>
          <w:tab w:val="num" w:pos="3600"/>
        </w:tabs>
        <w:ind w:left="3600" w:hanging="360"/>
      </w:pPr>
      <w:rPr>
        <w:rFonts w:ascii="Arial" w:hAnsi="Arial" w:hint="default"/>
      </w:rPr>
    </w:lvl>
    <w:lvl w:ilvl="5" w:tplc="36023638" w:tentative="1">
      <w:start w:val="1"/>
      <w:numFmt w:val="bullet"/>
      <w:lvlText w:val="•"/>
      <w:lvlJc w:val="left"/>
      <w:pPr>
        <w:tabs>
          <w:tab w:val="num" w:pos="4320"/>
        </w:tabs>
        <w:ind w:left="4320" w:hanging="360"/>
      </w:pPr>
      <w:rPr>
        <w:rFonts w:ascii="Arial" w:hAnsi="Arial" w:hint="default"/>
      </w:rPr>
    </w:lvl>
    <w:lvl w:ilvl="6" w:tplc="7FF68190" w:tentative="1">
      <w:start w:val="1"/>
      <w:numFmt w:val="bullet"/>
      <w:lvlText w:val="•"/>
      <w:lvlJc w:val="left"/>
      <w:pPr>
        <w:tabs>
          <w:tab w:val="num" w:pos="5040"/>
        </w:tabs>
        <w:ind w:left="5040" w:hanging="360"/>
      </w:pPr>
      <w:rPr>
        <w:rFonts w:ascii="Arial" w:hAnsi="Arial" w:hint="default"/>
      </w:rPr>
    </w:lvl>
    <w:lvl w:ilvl="7" w:tplc="D0A4A022" w:tentative="1">
      <w:start w:val="1"/>
      <w:numFmt w:val="bullet"/>
      <w:lvlText w:val="•"/>
      <w:lvlJc w:val="left"/>
      <w:pPr>
        <w:tabs>
          <w:tab w:val="num" w:pos="5760"/>
        </w:tabs>
        <w:ind w:left="5760" w:hanging="360"/>
      </w:pPr>
      <w:rPr>
        <w:rFonts w:ascii="Arial" w:hAnsi="Arial" w:hint="default"/>
      </w:rPr>
    </w:lvl>
    <w:lvl w:ilvl="8" w:tplc="C0F86B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F91598B"/>
    <w:multiLevelType w:val="hybridMultilevel"/>
    <w:tmpl w:val="04F20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3712D6"/>
    <w:multiLevelType w:val="hybridMultilevel"/>
    <w:tmpl w:val="95F2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D45FD"/>
    <w:multiLevelType w:val="hybridMultilevel"/>
    <w:tmpl w:val="9DC2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7184C"/>
    <w:multiLevelType w:val="hybridMultilevel"/>
    <w:tmpl w:val="98A6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D458B"/>
    <w:multiLevelType w:val="hybridMultilevel"/>
    <w:tmpl w:val="4F40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77934"/>
    <w:multiLevelType w:val="hybridMultilevel"/>
    <w:tmpl w:val="0B065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D86BEB"/>
    <w:multiLevelType w:val="hybridMultilevel"/>
    <w:tmpl w:val="C792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0898383">
    <w:abstractNumId w:val="2"/>
  </w:num>
  <w:num w:numId="2" w16cid:durableId="1730348532">
    <w:abstractNumId w:val="3"/>
  </w:num>
  <w:num w:numId="3" w16cid:durableId="849636484">
    <w:abstractNumId w:val="8"/>
  </w:num>
  <w:num w:numId="4" w16cid:durableId="1978491466">
    <w:abstractNumId w:val="13"/>
  </w:num>
  <w:num w:numId="5" w16cid:durableId="1648850679">
    <w:abstractNumId w:val="4"/>
  </w:num>
  <w:num w:numId="6" w16cid:durableId="754400141">
    <w:abstractNumId w:val="9"/>
  </w:num>
  <w:num w:numId="7" w16cid:durableId="1612278164">
    <w:abstractNumId w:val="1"/>
  </w:num>
  <w:num w:numId="8" w16cid:durableId="986739388">
    <w:abstractNumId w:val="10"/>
  </w:num>
  <w:num w:numId="9" w16cid:durableId="1992370726">
    <w:abstractNumId w:val="5"/>
  </w:num>
  <w:num w:numId="10" w16cid:durableId="998538334">
    <w:abstractNumId w:val="0"/>
  </w:num>
  <w:num w:numId="11" w16cid:durableId="1340695613">
    <w:abstractNumId w:val="6"/>
  </w:num>
  <w:num w:numId="12" w16cid:durableId="248858419">
    <w:abstractNumId w:val="7"/>
  </w:num>
  <w:num w:numId="13" w16cid:durableId="889072131">
    <w:abstractNumId w:val="14"/>
  </w:num>
  <w:num w:numId="14" w16cid:durableId="1705594577">
    <w:abstractNumId w:val="11"/>
  </w:num>
  <w:num w:numId="15" w16cid:durableId="752170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13"/>
    <w:rsid w:val="0000540C"/>
    <w:rsid w:val="00007B14"/>
    <w:rsid w:val="00010CA3"/>
    <w:rsid w:val="00026AF0"/>
    <w:rsid w:val="00031F64"/>
    <w:rsid w:val="0003252A"/>
    <w:rsid w:val="000460F1"/>
    <w:rsid w:val="00046C95"/>
    <w:rsid w:val="0005584F"/>
    <w:rsid w:val="00057036"/>
    <w:rsid w:val="00097308"/>
    <w:rsid w:val="000A6F31"/>
    <w:rsid w:val="000D0FDD"/>
    <w:rsid w:val="000E44B8"/>
    <w:rsid w:val="000F29FE"/>
    <w:rsid w:val="00112E5D"/>
    <w:rsid w:val="0011674A"/>
    <w:rsid w:val="001308C4"/>
    <w:rsid w:val="00161D20"/>
    <w:rsid w:val="001640E8"/>
    <w:rsid w:val="001B3943"/>
    <w:rsid w:val="001E5E0D"/>
    <w:rsid w:val="001F086C"/>
    <w:rsid w:val="00206458"/>
    <w:rsid w:val="0021502A"/>
    <w:rsid w:val="002938BB"/>
    <w:rsid w:val="002951D9"/>
    <w:rsid w:val="002A184B"/>
    <w:rsid w:val="002B2CBA"/>
    <w:rsid w:val="002B7A0D"/>
    <w:rsid w:val="002C05E5"/>
    <w:rsid w:val="00307A24"/>
    <w:rsid w:val="00315026"/>
    <w:rsid w:val="00331EA4"/>
    <w:rsid w:val="003441C7"/>
    <w:rsid w:val="0034635C"/>
    <w:rsid w:val="00362348"/>
    <w:rsid w:val="00371704"/>
    <w:rsid w:val="00371860"/>
    <w:rsid w:val="003A290E"/>
    <w:rsid w:val="003B00CB"/>
    <w:rsid w:val="003B3E61"/>
    <w:rsid w:val="003C7414"/>
    <w:rsid w:val="003D355B"/>
    <w:rsid w:val="003E445B"/>
    <w:rsid w:val="00430F7D"/>
    <w:rsid w:val="00431A6E"/>
    <w:rsid w:val="00436618"/>
    <w:rsid w:val="0046219D"/>
    <w:rsid w:val="00462E3A"/>
    <w:rsid w:val="004755C1"/>
    <w:rsid w:val="00477549"/>
    <w:rsid w:val="004A4EC5"/>
    <w:rsid w:val="004A7584"/>
    <w:rsid w:val="004D2FF4"/>
    <w:rsid w:val="004D6FD0"/>
    <w:rsid w:val="004E0248"/>
    <w:rsid w:val="004E5E8A"/>
    <w:rsid w:val="005205ED"/>
    <w:rsid w:val="00527FBA"/>
    <w:rsid w:val="00545928"/>
    <w:rsid w:val="005B6BC3"/>
    <w:rsid w:val="005D3945"/>
    <w:rsid w:val="005D49E2"/>
    <w:rsid w:val="005F10A6"/>
    <w:rsid w:val="006228B7"/>
    <w:rsid w:val="00634152"/>
    <w:rsid w:val="0064216C"/>
    <w:rsid w:val="0064405D"/>
    <w:rsid w:val="00680F11"/>
    <w:rsid w:val="00684208"/>
    <w:rsid w:val="006856EE"/>
    <w:rsid w:val="006A265F"/>
    <w:rsid w:val="006A3AE0"/>
    <w:rsid w:val="006B3453"/>
    <w:rsid w:val="006B6051"/>
    <w:rsid w:val="006C3E67"/>
    <w:rsid w:val="006E67BF"/>
    <w:rsid w:val="006E713D"/>
    <w:rsid w:val="006F1A49"/>
    <w:rsid w:val="007047AA"/>
    <w:rsid w:val="0071090F"/>
    <w:rsid w:val="00715FDF"/>
    <w:rsid w:val="00722395"/>
    <w:rsid w:val="00735A53"/>
    <w:rsid w:val="00760A47"/>
    <w:rsid w:val="007646C7"/>
    <w:rsid w:val="00781516"/>
    <w:rsid w:val="00792929"/>
    <w:rsid w:val="0079413B"/>
    <w:rsid w:val="00795BB1"/>
    <w:rsid w:val="007B4D1D"/>
    <w:rsid w:val="007D04E4"/>
    <w:rsid w:val="007E058C"/>
    <w:rsid w:val="007F46D0"/>
    <w:rsid w:val="00822840"/>
    <w:rsid w:val="00826985"/>
    <w:rsid w:val="00844FFA"/>
    <w:rsid w:val="008537C7"/>
    <w:rsid w:val="008C10FE"/>
    <w:rsid w:val="008D79A8"/>
    <w:rsid w:val="008E554B"/>
    <w:rsid w:val="00907848"/>
    <w:rsid w:val="00915BAB"/>
    <w:rsid w:val="00920754"/>
    <w:rsid w:val="00951FB6"/>
    <w:rsid w:val="00961666"/>
    <w:rsid w:val="009637AA"/>
    <w:rsid w:val="00964482"/>
    <w:rsid w:val="009A089C"/>
    <w:rsid w:val="009B20F3"/>
    <w:rsid w:val="009D4544"/>
    <w:rsid w:val="009E15E5"/>
    <w:rsid w:val="00A06580"/>
    <w:rsid w:val="00A07879"/>
    <w:rsid w:val="00A113A7"/>
    <w:rsid w:val="00A12BF1"/>
    <w:rsid w:val="00A243F3"/>
    <w:rsid w:val="00A3577D"/>
    <w:rsid w:val="00A357EB"/>
    <w:rsid w:val="00A3765C"/>
    <w:rsid w:val="00A548E2"/>
    <w:rsid w:val="00A75CB4"/>
    <w:rsid w:val="00AA0E9B"/>
    <w:rsid w:val="00AD2088"/>
    <w:rsid w:val="00AD27AB"/>
    <w:rsid w:val="00AD5F02"/>
    <w:rsid w:val="00AE0474"/>
    <w:rsid w:val="00AE4E80"/>
    <w:rsid w:val="00AE5F95"/>
    <w:rsid w:val="00AF1247"/>
    <w:rsid w:val="00B079A5"/>
    <w:rsid w:val="00B30FE5"/>
    <w:rsid w:val="00B56DBA"/>
    <w:rsid w:val="00BA0292"/>
    <w:rsid w:val="00BB0B45"/>
    <w:rsid w:val="00BD42DC"/>
    <w:rsid w:val="00BF2E8B"/>
    <w:rsid w:val="00C04F76"/>
    <w:rsid w:val="00C325C6"/>
    <w:rsid w:val="00C678D8"/>
    <w:rsid w:val="00C67DEF"/>
    <w:rsid w:val="00C73757"/>
    <w:rsid w:val="00C919C0"/>
    <w:rsid w:val="00CA24D5"/>
    <w:rsid w:val="00CB45A6"/>
    <w:rsid w:val="00CD0AA9"/>
    <w:rsid w:val="00CD11CE"/>
    <w:rsid w:val="00CE08B7"/>
    <w:rsid w:val="00CE1364"/>
    <w:rsid w:val="00CF0A6B"/>
    <w:rsid w:val="00CF4C78"/>
    <w:rsid w:val="00D06E47"/>
    <w:rsid w:val="00D10C08"/>
    <w:rsid w:val="00D1720E"/>
    <w:rsid w:val="00D3108C"/>
    <w:rsid w:val="00D7033C"/>
    <w:rsid w:val="00D97259"/>
    <w:rsid w:val="00DB6E21"/>
    <w:rsid w:val="00DD037B"/>
    <w:rsid w:val="00DD190F"/>
    <w:rsid w:val="00DD1DBE"/>
    <w:rsid w:val="00DD24E2"/>
    <w:rsid w:val="00DF437D"/>
    <w:rsid w:val="00DF4E50"/>
    <w:rsid w:val="00DF4EC1"/>
    <w:rsid w:val="00E06C12"/>
    <w:rsid w:val="00E11306"/>
    <w:rsid w:val="00E23DF5"/>
    <w:rsid w:val="00E325B5"/>
    <w:rsid w:val="00E36013"/>
    <w:rsid w:val="00E50F10"/>
    <w:rsid w:val="00E6124D"/>
    <w:rsid w:val="00E87CD3"/>
    <w:rsid w:val="00E904DE"/>
    <w:rsid w:val="00EA476A"/>
    <w:rsid w:val="00EC7D8B"/>
    <w:rsid w:val="00ED019E"/>
    <w:rsid w:val="00ED1A80"/>
    <w:rsid w:val="00F0365A"/>
    <w:rsid w:val="00F26CCE"/>
    <w:rsid w:val="00F31177"/>
    <w:rsid w:val="00F61CB4"/>
    <w:rsid w:val="00F740F4"/>
    <w:rsid w:val="00F761AA"/>
    <w:rsid w:val="00FA4295"/>
    <w:rsid w:val="00FA5022"/>
    <w:rsid w:val="00FD6F4C"/>
    <w:rsid w:val="00FF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AD881"/>
  <w15:chartTrackingRefBased/>
  <w15:docId w15:val="{650793F2-3DEF-4643-A984-552C6FDF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1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8B7"/>
    <w:pPr>
      <w:ind w:left="720"/>
      <w:contextualSpacing/>
    </w:pPr>
  </w:style>
  <w:style w:type="paragraph" w:styleId="Header">
    <w:name w:val="header"/>
    <w:basedOn w:val="Normal"/>
    <w:link w:val="HeaderChar"/>
    <w:uiPriority w:val="99"/>
    <w:unhideWhenUsed/>
    <w:rsid w:val="00A06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580"/>
    <w:rPr>
      <w:kern w:val="0"/>
      <w14:ligatures w14:val="none"/>
    </w:rPr>
  </w:style>
  <w:style w:type="paragraph" w:styleId="Footer">
    <w:name w:val="footer"/>
    <w:basedOn w:val="Normal"/>
    <w:link w:val="FooterChar"/>
    <w:uiPriority w:val="99"/>
    <w:unhideWhenUsed/>
    <w:rsid w:val="00A06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58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120154">
      <w:bodyDiv w:val="1"/>
      <w:marLeft w:val="0"/>
      <w:marRight w:val="0"/>
      <w:marTop w:val="0"/>
      <w:marBottom w:val="0"/>
      <w:divBdr>
        <w:top w:val="none" w:sz="0" w:space="0" w:color="auto"/>
        <w:left w:val="none" w:sz="0" w:space="0" w:color="auto"/>
        <w:bottom w:val="none" w:sz="0" w:space="0" w:color="auto"/>
        <w:right w:val="none" w:sz="0" w:space="0" w:color="auto"/>
      </w:divBdr>
    </w:div>
    <w:div w:id="435444709">
      <w:bodyDiv w:val="1"/>
      <w:marLeft w:val="0"/>
      <w:marRight w:val="0"/>
      <w:marTop w:val="0"/>
      <w:marBottom w:val="0"/>
      <w:divBdr>
        <w:top w:val="none" w:sz="0" w:space="0" w:color="auto"/>
        <w:left w:val="none" w:sz="0" w:space="0" w:color="auto"/>
        <w:bottom w:val="none" w:sz="0" w:space="0" w:color="auto"/>
        <w:right w:val="none" w:sz="0" w:space="0" w:color="auto"/>
      </w:divBdr>
    </w:div>
    <w:div w:id="545028401">
      <w:bodyDiv w:val="1"/>
      <w:marLeft w:val="0"/>
      <w:marRight w:val="0"/>
      <w:marTop w:val="0"/>
      <w:marBottom w:val="0"/>
      <w:divBdr>
        <w:top w:val="none" w:sz="0" w:space="0" w:color="auto"/>
        <w:left w:val="none" w:sz="0" w:space="0" w:color="auto"/>
        <w:bottom w:val="none" w:sz="0" w:space="0" w:color="auto"/>
        <w:right w:val="none" w:sz="0" w:space="0" w:color="auto"/>
      </w:divBdr>
    </w:div>
    <w:div w:id="980039683">
      <w:bodyDiv w:val="1"/>
      <w:marLeft w:val="0"/>
      <w:marRight w:val="0"/>
      <w:marTop w:val="0"/>
      <w:marBottom w:val="0"/>
      <w:divBdr>
        <w:top w:val="none" w:sz="0" w:space="0" w:color="auto"/>
        <w:left w:val="none" w:sz="0" w:space="0" w:color="auto"/>
        <w:bottom w:val="none" w:sz="0" w:space="0" w:color="auto"/>
        <w:right w:val="none" w:sz="0" w:space="0" w:color="auto"/>
      </w:divBdr>
    </w:div>
    <w:div w:id="1112289439">
      <w:bodyDiv w:val="1"/>
      <w:marLeft w:val="0"/>
      <w:marRight w:val="0"/>
      <w:marTop w:val="0"/>
      <w:marBottom w:val="0"/>
      <w:divBdr>
        <w:top w:val="none" w:sz="0" w:space="0" w:color="auto"/>
        <w:left w:val="none" w:sz="0" w:space="0" w:color="auto"/>
        <w:bottom w:val="none" w:sz="0" w:space="0" w:color="auto"/>
        <w:right w:val="none" w:sz="0" w:space="0" w:color="auto"/>
      </w:divBdr>
      <w:divsChild>
        <w:div w:id="1518277229">
          <w:marLeft w:val="446"/>
          <w:marRight w:val="0"/>
          <w:marTop w:val="0"/>
          <w:marBottom w:val="0"/>
          <w:divBdr>
            <w:top w:val="none" w:sz="0" w:space="0" w:color="auto"/>
            <w:left w:val="none" w:sz="0" w:space="0" w:color="auto"/>
            <w:bottom w:val="none" w:sz="0" w:space="0" w:color="auto"/>
            <w:right w:val="none" w:sz="0" w:space="0" w:color="auto"/>
          </w:divBdr>
        </w:div>
        <w:div w:id="332690151">
          <w:marLeft w:val="446"/>
          <w:marRight w:val="0"/>
          <w:marTop w:val="0"/>
          <w:marBottom w:val="0"/>
          <w:divBdr>
            <w:top w:val="none" w:sz="0" w:space="0" w:color="auto"/>
            <w:left w:val="none" w:sz="0" w:space="0" w:color="auto"/>
            <w:bottom w:val="none" w:sz="0" w:space="0" w:color="auto"/>
            <w:right w:val="none" w:sz="0" w:space="0" w:color="auto"/>
          </w:divBdr>
        </w:div>
      </w:divsChild>
    </w:div>
    <w:div w:id="1223520270">
      <w:bodyDiv w:val="1"/>
      <w:marLeft w:val="0"/>
      <w:marRight w:val="0"/>
      <w:marTop w:val="0"/>
      <w:marBottom w:val="0"/>
      <w:divBdr>
        <w:top w:val="none" w:sz="0" w:space="0" w:color="auto"/>
        <w:left w:val="none" w:sz="0" w:space="0" w:color="auto"/>
        <w:bottom w:val="none" w:sz="0" w:space="0" w:color="auto"/>
        <w:right w:val="none" w:sz="0" w:space="0" w:color="auto"/>
      </w:divBdr>
    </w:div>
    <w:div w:id="1245067724">
      <w:bodyDiv w:val="1"/>
      <w:marLeft w:val="0"/>
      <w:marRight w:val="0"/>
      <w:marTop w:val="0"/>
      <w:marBottom w:val="0"/>
      <w:divBdr>
        <w:top w:val="none" w:sz="0" w:space="0" w:color="auto"/>
        <w:left w:val="none" w:sz="0" w:space="0" w:color="auto"/>
        <w:bottom w:val="none" w:sz="0" w:space="0" w:color="auto"/>
        <w:right w:val="none" w:sz="0" w:space="0" w:color="auto"/>
      </w:divBdr>
    </w:div>
    <w:div w:id="1517426382">
      <w:bodyDiv w:val="1"/>
      <w:marLeft w:val="0"/>
      <w:marRight w:val="0"/>
      <w:marTop w:val="0"/>
      <w:marBottom w:val="0"/>
      <w:divBdr>
        <w:top w:val="none" w:sz="0" w:space="0" w:color="auto"/>
        <w:left w:val="none" w:sz="0" w:space="0" w:color="auto"/>
        <w:bottom w:val="none" w:sz="0" w:space="0" w:color="auto"/>
        <w:right w:val="none" w:sz="0" w:space="0" w:color="auto"/>
      </w:divBdr>
    </w:div>
    <w:div w:id="1596744819">
      <w:bodyDiv w:val="1"/>
      <w:marLeft w:val="0"/>
      <w:marRight w:val="0"/>
      <w:marTop w:val="0"/>
      <w:marBottom w:val="0"/>
      <w:divBdr>
        <w:top w:val="none" w:sz="0" w:space="0" w:color="auto"/>
        <w:left w:val="none" w:sz="0" w:space="0" w:color="auto"/>
        <w:bottom w:val="none" w:sz="0" w:space="0" w:color="auto"/>
        <w:right w:val="none" w:sz="0" w:space="0" w:color="auto"/>
      </w:divBdr>
    </w:div>
    <w:div w:id="20283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2024-12-03T14:06:00Z</dcterms:created>
  <dcterms:modified xsi:type="dcterms:W3CDTF">2024-12-03T14:06:00Z</dcterms:modified>
</cp:coreProperties>
</file>