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55E3" w14:textId="77777777" w:rsidR="00A81479" w:rsidRPr="002876F5" w:rsidRDefault="00A81479" w:rsidP="00A81479">
      <w:pPr>
        <w:spacing w:after="0"/>
        <w:jc w:val="center"/>
        <w:rPr>
          <w:b/>
          <w:bCs/>
          <w:sz w:val="24"/>
          <w:szCs w:val="24"/>
        </w:rPr>
      </w:pPr>
      <w:r w:rsidRPr="002876F5">
        <w:rPr>
          <w:b/>
          <w:bCs/>
          <w:sz w:val="24"/>
          <w:szCs w:val="24"/>
        </w:rPr>
        <w:t>Massachusetts Autism Commission</w:t>
      </w:r>
    </w:p>
    <w:p w14:paraId="0D1DA2FC" w14:textId="77777777" w:rsidR="00A81479" w:rsidRPr="002876F5" w:rsidRDefault="00A81479" w:rsidP="00A81479">
      <w:pPr>
        <w:spacing w:after="0"/>
        <w:jc w:val="center"/>
        <w:rPr>
          <w:b/>
          <w:bCs/>
          <w:sz w:val="24"/>
          <w:szCs w:val="24"/>
        </w:rPr>
      </w:pPr>
      <w:r w:rsidRPr="002876F5">
        <w:rPr>
          <w:b/>
          <w:bCs/>
          <w:sz w:val="24"/>
          <w:szCs w:val="24"/>
        </w:rPr>
        <w:t>Executive Office of Health and Human Services</w:t>
      </w:r>
    </w:p>
    <w:p w14:paraId="450255E5" w14:textId="77777777" w:rsidR="00A81479" w:rsidRPr="002876F5" w:rsidRDefault="00A81479" w:rsidP="00A81479">
      <w:pPr>
        <w:spacing w:after="0"/>
        <w:jc w:val="center"/>
        <w:rPr>
          <w:b/>
          <w:bCs/>
          <w:i/>
          <w:iCs/>
          <w:sz w:val="24"/>
          <w:szCs w:val="24"/>
        </w:rPr>
      </w:pPr>
      <w:r w:rsidRPr="002876F5">
        <w:rPr>
          <w:b/>
          <w:bCs/>
          <w:i/>
          <w:iCs/>
          <w:sz w:val="24"/>
          <w:szCs w:val="24"/>
        </w:rPr>
        <w:t>Meeting Minutes</w:t>
      </w:r>
    </w:p>
    <w:p w14:paraId="05A61371" w14:textId="77777777" w:rsidR="00A81479" w:rsidRPr="002876F5" w:rsidRDefault="00A81479" w:rsidP="00A81479">
      <w:pPr>
        <w:spacing w:after="0"/>
        <w:jc w:val="center"/>
        <w:rPr>
          <w:sz w:val="24"/>
          <w:szCs w:val="24"/>
        </w:rPr>
      </w:pPr>
    </w:p>
    <w:p w14:paraId="4F4497C3" w14:textId="7E3659D0" w:rsidR="00A81479" w:rsidRPr="002876F5" w:rsidRDefault="00A81479" w:rsidP="00A81479">
      <w:pPr>
        <w:tabs>
          <w:tab w:val="center" w:pos="4680"/>
          <w:tab w:val="left" w:pos="6630"/>
        </w:tabs>
        <w:spacing w:after="0"/>
        <w:jc w:val="center"/>
        <w:rPr>
          <w:sz w:val="24"/>
          <w:szCs w:val="24"/>
        </w:rPr>
      </w:pPr>
      <w:r>
        <w:rPr>
          <w:sz w:val="24"/>
          <w:szCs w:val="24"/>
        </w:rPr>
        <w:t>December 9</w:t>
      </w:r>
      <w:r w:rsidRPr="002876F5">
        <w:rPr>
          <w:sz w:val="24"/>
          <w:szCs w:val="24"/>
        </w:rPr>
        <w:t xml:space="preserve">, 2025   </w:t>
      </w:r>
    </w:p>
    <w:p w14:paraId="157EF925" w14:textId="4BFFE1A3" w:rsidR="00A81479" w:rsidRPr="002876F5" w:rsidRDefault="00A81479" w:rsidP="00A81479">
      <w:pPr>
        <w:tabs>
          <w:tab w:val="center" w:pos="4680"/>
          <w:tab w:val="left" w:pos="6630"/>
        </w:tabs>
        <w:spacing w:after="0"/>
        <w:jc w:val="center"/>
        <w:rPr>
          <w:sz w:val="24"/>
          <w:szCs w:val="24"/>
        </w:rPr>
      </w:pPr>
      <w:r>
        <w:rPr>
          <w:sz w:val="24"/>
          <w:szCs w:val="24"/>
        </w:rPr>
        <w:t xml:space="preserve">1:00 </w:t>
      </w:r>
      <w:r w:rsidRPr="002876F5">
        <w:rPr>
          <w:sz w:val="24"/>
          <w:szCs w:val="24"/>
        </w:rPr>
        <w:t>p.m. –</w:t>
      </w:r>
      <w:r w:rsidR="0096305D">
        <w:rPr>
          <w:sz w:val="24"/>
          <w:szCs w:val="24"/>
        </w:rPr>
        <w:t xml:space="preserve"> </w:t>
      </w:r>
      <w:r>
        <w:rPr>
          <w:sz w:val="24"/>
          <w:szCs w:val="24"/>
        </w:rPr>
        <w:t>2</w:t>
      </w:r>
      <w:r w:rsidRPr="002876F5">
        <w:rPr>
          <w:sz w:val="24"/>
          <w:szCs w:val="24"/>
        </w:rPr>
        <w:t>:00 p.m.</w:t>
      </w:r>
    </w:p>
    <w:p w14:paraId="4328CA19" w14:textId="77777777" w:rsidR="00A81479" w:rsidRPr="002876F5" w:rsidRDefault="00A81479" w:rsidP="00A81479">
      <w:pPr>
        <w:tabs>
          <w:tab w:val="center" w:pos="4680"/>
          <w:tab w:val="left" w:pos="6630"/>
        </w:tabs>
        <w:spacing w:after="0"/>
        <w:jc w:val="center"/>
        <w:rPr>
          <w:sz w:val="24"/>
          <w:szCs w:val="24"/>
        </w:rPr>
      </w:pPr>
    </w:p>
    <w:p w14:paraId="0EDDE9C4" w14:textId="77777777" w:rsidR="00A81479" w:rsidRPr="002876F5" w:rsidRDefault="00A81479" w:rsidP="00A81479">
      <w:pPr>
        <w:spacing w:after="0" w:line="240" w:lineRule="auto"/>
        <w:jc w:val="center"/>
        <w:rPr>
          <w:i/>
          <w:iCs/>
          <w:sz w:val="24"/>
          <w:szCs w:val="24"/>
        </w:rPr>
      </w:pPr>
      <w:r w:rsidRPr="002876F5">
        <w:rPr>
          <w:i/>
          <w:iCs/>
          <w:sz w:val="24"/>
          <w:szCs w:val="24"/>
        </w:rPr>
        <w:t>Via Zoom</w:t>
      </w:r>
    </w:p>
    <w:p w14:paraId="725DBF05" w14:textId="77777777" w:rsidR="00A81479" w:rsidRPr="002876F5" w:rsidRDefault="00A81479" w:rsidP="00A81479">
      <w:pPr>
        <w:jc w:val="center"/>
        <w:rPr>
          <w:sz w:val="24"/>
          <w:szCs w:val="24"/>
        </w:rPr>
      </w:pPr>
    </w:p>
    <w:p w14:paraId="11761336" w14:textId="2D96B1B9" w:rsidR="00A81479" w:rsidRDefault="00A81479" w:rsidP="00A81479">
      <w:pPr>
        <w:rPr>
          <w:sz w:val="24"/>
          <w:szCs w:val="24"/>
        </w:rPr>
      </w:pPr>
      <w:r w:rsidRPr="002876F5">
        <w:rPr>
          <w:b/>
          <w:bCs/>
          <w:sz w:val="24"/>
          <w:szCs w:val="24"/>
          <w:u w:val="single"/>
        </w:rPr>
        <w:t>Autism Commission Members Present</w:t>
      </w:r>
      <w:r w:rsidRPr="002876F5">
        <w:rPr>
          <w:sz w:val="24"/>
          <w:szCs w:val="24"/>
        </w:rPr>
        <w:t>:  Undersecretary Mary McGeown (EHS), Carolyn Kain (EHS), Sarah Peterson (DDS), Chris Peltier (DDS),</w:t>
      </w:r>
      <w:r>
        <w:rPr>
          <w:sz w:val="24"/>
          <w:szCs w:val="24"/>
        </w:rPr>
        <w:t xml:space="preserve"> Michelle Harris (DDS)</w:t>
      </w:r>
      <w:r w:rsidRPr="002876F5">
        <w:rPr>
          <w:sz w:val="24"/>
          <w:szCs w:val="24"/>
        </w:rPr>
        <w:t xml:space="preserve"> Jamie Nathan for Sen. Joan Lovely (SEN), Joshua Traver for Sen. Ryan Fattman</w:t>
      </w:r>
      <w:r>
        <w:rPr>
          <w:sz w:val="24"/>
          <w:szCs w:val="24"/>
        </w:rPr>
        <w:t>(SEN)</w:t>
      </w:r>
      <w:r w:rsidRPr="002876F5">
        <w:rPr>
          <w:sz w:val="24"/>
          <w:szCs w:val="24"/>
        </w:rPr>
        <w:t>,</w:t>
      </w:r>
      <w:r>
        <w:rPr>
          <w:sz w:val="24"/>
          <w:szCs w:val="24"/>
        </w:rPr>
        <w:t xml:space="preserve"> Sasha Isreal for Rep. Christine Barber</w:t>
      </w:r>
      <w:r w:rsidR="00CE0DAB">
        <w:rPr>
          <w:sz w:val="24"/>
          <w:szCs w:val="24"/>
        </w:rPr>
        <w:t>(HOU)</w:t>
      </w:r>
      <w:r w:rsidR="0096305D">
        <w:rPr>
          <w:sz w:val="24"/>
          <w:szCs w:val="24"/>
        </w:rPr>
        <w:t>,</w:t>
      </w:r>
      <w:r w:rsidRPr="002876F5">
        <w:rPr>
          <w:sz w:val="24"/>
          <w:szCs w:val="24"/>
        </w:rPr>
        <w:t xml:space="preserve"> Toni Wolf (MBY), Jen Chebator (DCF), Mi-Hata James </w:t>
      </w:r>
      <w:r w:rsidRPr="00A81479">
        <w:rPr>
          <w:sz w:val="24"/>
          <w:szCs w:val="24"/>
        </w:rPr>
        <w:t>(DMH</w:t>
      </w:r>
      <w:r w:rsidRPr="002876F5">
        <w:rPr>
          <w:sz w:val="24"/>
          <w:szCs w:val="24"/>
        </w:rPr>
        <w:t xml:space="preserve">), Christine Hubbard, Iraida Alvarez (DESE), Aimee Smith Zeoli (EEC), Bronia Clifton (EOHLC), </w:t>
      </w:r>
      <w:r>
        <w:rPr>
          <w:sz w:val="24"/>
          <w:szCs w:val="24"/>
        </w:rPr>
        <w:t>Heidi Gold (EOE), Mary Price</w:t>
      </w:r>
      <w:r w:rsidR="00EC4E99">
        <w:rPr>
          <w:sz w:val="24"/>
          <w:szCs w:val="24"/>
        </w:rPr>
        <w:t xml:space="preserve"> (DHE)</w:t>
      </w:r>
      <w:r>
        <w:rPr>
          <w:sz w:val="24"/>
          <w:szCs w:val="24"/>
        </w:rPr>
        <w:t>,</w:t>
      </w:r>
      <w:r w:rsidRPr="002876F5">
        <w:rPr>
          <w:sz w:val="24"/>
          <w:szCs w:val="24"/>
        </w:rPr>
        <w:t xml:space="preserve"> Karen Wylie</w:t>
      </w:r>
      <w:r w:rsidR="00514628">
        <w:rPr>
          <w:sz w:val="24"/>
          <w:szCs w:val="24"/>
        </w:rPr>
        <w:t xml:space="preserve"> </w:t>
      </w:r>
      <w:r w:rsidR="00791847">
        <w:rPr>
          <w:sz w:val="24"/>
          <w:szCs w:val="24"/>
        </w:rPr>
        <w:t>(EOEA)</w:t>
      </w:r>
      <w:r w:rsidRPr="002876F5">
        <w:rPr>
          <w:sz w:val="24"/>
          <w:szCs w:val="24"/>
        </w:rPr>
        <w:t xml:space="preserve">, </w:t>
      </w:r>
      <w:r>
        <w:rPr>
          <w:sz w:val="24"/>
          <w:szCs w:val="24"/>
        </w:rPr>
        <w:t xml:space="preserve">James Vander Hooven, Emily White (DPH), </w:t>
      </w:r>
      <w:r w:rsidRPr="002876F5">
        <w:rPr>
          <w:sz w:val="24"/>
          <w:szCs w:val="24"/>
        </w:rPr>
        <w:t xml:space="preserve">Lee Robinson (EHS), Jo Ann Simons, Janet Barbieri, Laurie Anastopoulos,  Zachary Houston, Amy Weinstock, Michele Brait and Jessica Sassi </w:t>
      </w:r>
    </w:p>
    <w:p w14:paraId="6FB00BCD" w14:textId="77777777" w:rsidR="00860B52" w:rsidRDefault="00860B52" w:rsidP="00A81479">
      <w:pPr>
        <w:rPr>
          <w:sz w:val="24"/>
          <w:szCs w:val="24"/>
        </w:rPr>
      </w:pPr>
    </w:p>
    <w:p w14:paraId="53AAD0DF" w14:textId="19FAD9C4" w:rsidR="00860B52" w:rsidRDefault="00860B52" w:rsidP="00A81479">
      <w:pPr>
        <w:rPr>
          <w:sz w:val="24"/>
          <w:szCs w:val="24"/>
        </w:rPr>
      </w:pPr>
      <w:r w:rsidRPr="00860B52">
        <w:rPr>
          <w:b/>
          <w:bCs/>
          <w:sz w:val="24"/>
          <w:szCs w:val="24"/>
          <w:u w:val="single"/>
        </w:rPr>
        <w:t>Other Attendees</w:t>
      </w:r>
      <w:r w:rsidR="00FA002F">
        <w:rPr>
          <w:sz w:val="24"/>
          <w:szCs w:val="24"/>
        </w:rPr>
        <w:t>: Aman</w:t>
      </w:r>
      <w:r w:rsidR="00741177">
        <w:rPr>
          <w:sz w:val="24"/>
          <w:szCs w:val="24"/>
        </w:rPr>
        <w:t xml:space="preserve"> </w:t>
      </w:r>
      <w:r w:rsidR="00D218FB">
        <w:rPr>
          <w:sz w:val="24"/>
          <w:szCs w:val="24"/>
        </w:rPr>
        <w:t xml:space="preserve">Saleh (DMH), </w:t>
      </w:r>
      <w:r w:rsidR="00110B58">
        <w:rPr>
          <w:sz w:val="24"/>
          <w:szCs w:val="24"/>
        </w:rPr>
        <w:t>Josh Greenberg (DMH)</w:t>
      </w:r>
      <w:r w:rsidR="00791847">
        <w:rPr>
          <w:sz w:val="24"/>
          <w:szCs w:val="24"/>
        </w:rPr>
        <w:t xml:space="preserve">, </w:t>
      </w:r>
      <w:r w:rsidR="00D218FB">
        <w:rPr>
          <w:sz w:val="24"/>
          <w:szCs w:val="24"/>
        </w:rPr>
        <w:t>Janet Young and Paula Fredericks</w:t>
      </w:r>
    </w:p>
    <w:p w14:paraId="57F63CB4" w14:textId="49A078CE" w:rsidR="00D218FB" w:rsidRPr="00FA002F" w:rsidRDefault="00611A22" w:rsidP="00A81479">
      <w:pPr>
        <w:rPr>
          <w:b/>
          <w:bCs/>
          <w:sz w:val="24"/>
          <w:szCs w:val="24"/>
          <w:u w:val="single"/>
        </w:rPr>
      </w:pPr>
      <w:r w:rsidRPr="00FA002F">
        <w:rPr>
          <w:b/>
          <w:bCs/>
          <w:sz w:val="24"/>
          <w:szCs w:val="24"/>
          <w:u w:val="single"/>
        </w:rPr>
        <w:t>Approval of Meeting Minutes f</w:t>
      </w:r>
      <w:r w:rsidR="007B43A6">
        <w:rPr>
          <w:b/>
          <w:bCs/>
          <w:sz w:val="24"/>
          <w:szCs w:val="24"/>
          <w:u w:val="single"/>
        </w:rPr>
        <w:t>or</w:t>
      </w:r>
      <w:r w:rsidRPr="00FA002F">
        <w:rPr>
          <w:b/>
          <w:bCs/>
          <w:sz w:val="24"/>
          <w:szCs w:val="24"/>
          <w:u w:val="single"/>
        </w:rPr>
        <w:t xml:space="preserve"> October 14, 2025</w:t>
      </w:r>
    </w:p>
    <w:p w14:paraId="7E7422C3" w14:textId="0B31EDF4" w:rsidR="00F757EB" w:rsidRDefault="00F757EB" w:rsidP="00A81479">
      <w:pPr>
        <w:rPr>
          <w:sz w:val="24"/>
          <w:szCs w:val="24"/>
        </w:rPr>
      </w:pPr>
      <w:r>
        <w:rPr>
          <w:sz w:val="24"/>
          <w:szCs w:val="24"/>
        </w:rPr>
        <w:t xml:space="preserve">Ms. Kain </w:t>
      </w:r>
      <w:r w:rsidR="007B43A6">
        <w:rPr>
          <w:sz w:val="24"/>
          <w:szCs w:val="24"/>
        </w:rPr>
        <w:t>asked for</w:t>
      </w:r>
      <w:r>
        <w:rPr>
          <w:sz w:val="24"/>
          <w:szCs w:val="24"/>
        </w:rPr>
        <w:t xml:space="preserve"> a motion to approve the meeting minutes from 10/14/25, M</w:t>
      </w:r>
      <w:r w:rsidR="00110B58">
        <w:rPr>
          <w:sz w:val="24"/>
          <w:szCs w:val="24"/>
        </w:rPr>
        <w:t xml:space="preserve">s. Simons </w:t>
      </w:r>
      <w:r w:rsidR="007B43A6">
        <w:rPr>
          <w:sz w:val="24"/>
          <w:szCs w:val="24"/>
        </w:rPr>
        <w:t xml:space="preserve">made the motion, and Ms. Sassi </w:t>
      </w:r>
      <w:r>
        <w:rPr>
          <w:sz w:val="24"/>
          <w:szCs w:val="24"/>
        </w:rPr>
        <w:t xml:space="preserve">seconded the </w:t>
      </w:r>
      <w:r w:rsidR="00C253DC">
        <w:rPr>
          <w:sz w:val="24"/>
          <w:szCs w:val="24"/>
        </w:rPr>
        <w:t>motion,</w:t>
      </w:r>
      <w:r>
        <w:rPr>
          <w:sz w:val="24"/>
          <w:szCs w:val="24"/>
        </w:rPr>
        <w:t xml:space="preserve"> and a roll call was done</w:t>
      </w:r>
      <w:r w:rsidR="00F02C5C">
        <w:rPr>
          <w:sz w:val="24"/>
          <w:szCs w:val="24"/>
        </w:rPr>
        <w:t xml:space="preserve"> with members Heidi Gold, Bronia Clifton,</w:t>
      </w:r>
      <w:r w:rsidR="00BB0AB9">
        <w:rPr>
          <w:sz w:val="24"/>
          <w:szCs w:val="24"/>
        </w:rPr>
        <w:t xml:space="preserve"> Michelle Harris, Mary Price, James Vander Hoover, Emily White</w:t>
      </w:r>
      <w:r w:rsidR="00FA002F">
        <w:rPr>
          <w:sz w:val="24"/>
          <w:szCs w:val="24"/>
        </w:rPr>
        <w:t xml:space="preserve"> and Zachery Houston abstaining from the vote.  All other members present approved the meeting </w:t>
      </w:r>
      <w:r w:rsidR="00791847">
        <w:rPr>
          <w:sz w:val="24"/>
          <w:szCs w:val="24"/>
        </w:rPr>
        <w:t>minutes;</w:t>
      </w:r>
      <w:r w:rsidR="00FA002F">
        <w:rPr>
          <w:sz w:val="24"/>
          <w:szCs w:val="24"/>
        </w:rPr>
        <w:t xml:space="preserve"> the motion was passed.</w:t>
      </w:r>
    </w:p>
    <w:p w14:paraId="737BF4E8" w14:textId="2BA92D53" w:rsidR="00C253DC" w:rsidRDefault="00C253DC" w:rsidP="00A81479">
      <w:pPr>
        <w:rPr>
          <w:sz w:val="24"/>
          <w:szCs w:val="24"/>
        </w:rPr>
      </w:pPr>
      <w:r>
        <w:rPr>
          <w:sz w:val="24"/>
          <w:szCs w:val="24"/>
        </w:rPr>
        <w:br/>
        <w:t>Undersecretary McG</w:t>
      </w:r>
      <w:r w:rsidR="007B43A6">
        <w:rPr>
          <w:sz w:val="24"/>
          <w:szCs w:val="24"/>
        </w:rPr>
        <w:t>eow</w:t>
      </w:r>
      <w:r>
        <w:rPr>
          <w:sz w:val="24"/>
          <w:szCs w:val="24"/>
        </w:rPr>
        <w:t>n</w:t>
      </w:r>
      <w:r w:rsidR="007C343F">
        <w:rPr>
          <w:sz w:val="24"/>
          <w:szCs w:val="24"/>
        </w:rPr>
        <w:t xml:space="preserve"> opened the meeting and welcomed members.  The discussion started with a conversation on what is going on at the Federal level</w:t>
      </w:r>
      <w:r w:rsidR="006C32A2">
        <w:rPr>
          <w:sz w:val="24"/>
          <w:szCs w:val="24"/>
        </w:rPr>
        <w:t xml:space="preserve"> (in terms of vaccinations, services, funding) and what people are hearing on the ground from providers, families and individuals.</w:t>
      </w:r>
      <w:r w:rsidR="00242678">
        <w:rPr>
          <w:sz w:val="24"/>
          <w:szCs w:val="24"/>
        </w:rPr>
        <w:t xml:space="preserve">  Massachusetts has committed to ensuring that vaccines are available to those who need and want them</w:t>
      </w:r>
      <w:r w:rsidR="002E29B5">
        <w:rPr>
          <w:sz w:val="24"/>
          <w:szCs w:val="24"/>
        </w:rPr>
        <w:t>.</w:t>
      </w:r>
    </w:p>
    <w:p w14:paraId="6E7DDF43" w14:textId="679DD89B" w:rsidR="002E29B5" w:rsidRDefault="002E29B5" w:rsidP="00A81479">
      <w:pPr>
        <w:rPr>
          <w:sz w:val="24"/>
          <w:szCs w:val="24"/>
        </w:rPr>
      </w:pPr>
      <w:r>
        <w:rPr>
          <w:sz w:val="24"/>
          <w:szCs w:val="24"/>
        </w:rPr>
        <w:t>Ms. Weinstock discussed the Insurance Resource Center getting an increase in calls from people with heightened anxiety</w:t>
      </w:r>
      <w:r w:rsidR="00034BFA">
        <w:rPr>
          <w:sz w:val="24"/>
          <w:szCs w:val="24"/>
        </w:rPr>
        <w:t xml:space="preserve"> – a lot of MassHealth consumers.  </w:t>
      </w:r>
      <w:r w:rsidR="007B43A6">
        <w:rPr>
          <w:sz w:val="24"/>
          <w:szCs w:val="24"/>
        </w:rPr>
        <w:t>C</w:t>
      </w:r>
      <w:r w:rsidR="00791847">
        <w:rPr>
          <w:sz w:val="24"/>
          <w:szCs w:val="24"/>
        </w:rPr>
        <w:t xml:space="preserve">alls </w:t>
      </w:r>
      <w:r w:rsidR="00034BFA">
        <w:rPr>
          <w:sz w:val="24"/>
          <w:szCs w:val="24"/>
        </w:rPr>
        <w:t xml:space="preserve">from the immigration population </w:t>
      </w:r>
      <w:r w:rsidR="007B43A6">
        <w:rPr>
          <w:sz w:val="24"/>
          <w:szCs w:val="24"/>
        </w:rPr>
        <w:t>are</w:t>
      </w:r>
      <w:r w:rsidR="000D1FCE">
        <w:rPr>
          <w:sz w:val="24"/>
          <w:szCs w:val="24"/>
        </w:rPr>
        <w:t xml:space="preserve"> down.  DDS is hearing from their regional coordinators</w:t>
      </w:r>
      <w:r w:rsidR="005739D5">
        <w:rPr>
          <w:sz w:val="24"/>
          <w:szCs w:val="24"/>
        </w:rPr>
        <w:t xml:space="preserve"> that individuals and families are concerned about being identified with DDS – they mentioned a national registry </w:t>
      </w:r>
      <w:r w:rsidR="0089330A">
        <w:rPr>
          <w:sz w:val="24"/>
          <w:szCs w:val="24"/>
        </w:rPr>
        <w:t xml:space="preserve">where </w:t>
      </w:r>
      <w:r w:rsidR="00791847">
        <w:rPr>
          <w:sz w:val="24"/>
          <w:szCs w:val="24"/>
        </w:rPr>
        <w:t>their</w:t>
      </w:r>
      <w:r w:rsidR="0089330A">
        <w:rPr>
          <w:sz w:val="24"/>
          <w:szCs w:val="24"/>
        </w:rPr>
        <w:t xml:space="preserve"> information and diagnosis could be identified.  A lot of anxiety </w:t>
      </w:r>
      <w:r w:rsidR="00CB305A">
        <w:rPr>
          <w:sz w:val="24"/>
          <w:szCs w:val="24"/>
        </w:rPr>
        <w:lastRenderedPageBreak/>
        <w:t xml:space="preserve">– some are saying they are happy they live in MA due to the supports they receive and </w:t>
      </w:r>
      <w:r w:rsidR="007D5C55">
        <w:rPr>
          <w:sz w:val="24"/>
          <w:szCs w:val="24"/>
        </w:rPr>
        <w:t>vaccine information.</w:t>
      </w:r>
    </w:p>
    <w:p w14:paraId="16356B6D" w14:textId="000B2F7B" w:rsidR="007D5C55" w:rsidRDefault="007D5C55" w:rsidP="00A81479">
      <w:pPr>
        <w:rPr>
          <w:sz w:val="24"/>
          <w:szCs w:val="24"/>
        </w:rPr>
      </w:pPr>
      <w:r>
        <w:rPr>
          <w:sz w:val="24"/>
          <w:szCs w:val="24"/>
        </w:rPr>
        <w:t xml:space="preserve">On the </w:t>
      </w:r>
      <w:r w:rsidR="00791847">
        <w:rPr>
          <w:sz w:val="24"/>
          <w:szCs w:val="24"/>
        </w:rPr>
        <w:t>public-school</w:t>
      </w:r>
      <w:r>
        <w:rPr>
          <w:sz w:val="24"/>
          <w:szCs w:val="24"/>
        </w:rPr>
        <w:t xml:space="preserve"> side, Mr. Houston reported that some parents are reluctant to </w:t>
      </w:r>
      <w:r w:rsidR="003050CE">
        <w:rPr>
          <w:sz w:val="24"/>
          <w:szCs w:val="24"/>
        </w:rPr>
        <w:t xml:space="preserve">participate </w:t>
      </w:r>
      <w:r w:rsidR="00791847">
        <w:rPr>
          <w:sz w:val="24"/>
          <w:szCs w:val="24"/>
        </w:rPr>
        <w:t xml:space="preserve">in </w:t>
      </w:r>
      <w:r w:rsidR="003050CE">
        <w:rPr>
          <w:sz w:val="24"/>
          <w:szCs w:val="24"/>
        </w:rPr>
        <w:t xml:space="preserve">the IEP process, a lot of budget concerns that provide the </w:t>
      </w:r>
      <w:r w:rsidR="00791847">
        <w:rPr>
          <w:sz w:val="24"/>
          <w:szCs w:val="24"/>
        </w:rPr>
        <w:t>support</w:t>
      </w:r>
      <w:r w:rsidR="003050CE">
        <w:rPr>
          <w:sz w:val="24"/>
          <w:szCs w:val="24"/>
        </w:rPr>
        <w:t xml:space="preserve"> and services to students</w:t>
      </w:r>
      <w:r w:rsidR="00060D8B">
        <w:rPr>
          <w:sz w:val="24"/>
          <w:szCs w:val="24"/>
        </w:rPr>
        <w:t>.  They see a decline in attendance with the immigration population</w:t>
      </w:r>
      <w:r w:rsidR="00F57A13">
        <w:rPr>
          <w:sz w:val="24"/>
          <w:szCs w:val="24"/>
        </w:rPr>
        <w:t>.</w:t>
      </w:r>
    </w:p>
    <w:p w14:paraId="31672791" w14:textId="3AA7AE76" w:rsidR="00F57A13" w:rsidRDefault="00F57A13" w:rsidP="00A81479">
      <w:pPr>
        <w:rPr>
          <w:sz w:val="24"/>
          <w:szCs w:val="24"/>
        </w:rPr>
      </w:pPr>
      <w:r>
        <w:rPr>
          <w:sz w:val="24"/>
          <w:szCs w:val="24"/>
        </w:rPr>
        <w:t xml:space="preserve">Undersecretary McGowen discussed services provided by </w:t>
      </w:r>
      <w:r w:rsidR="00E47237">
        <w:rPr>
          <w:sz w:val="24"/>
          <w:szCs w:val="24"/>
        </w:rPr>
        <w:t>Office of Refugees and Immigrants – they meet with groups in the community and help to connect them</w:t>
      </w:r>
      <w:r w:rsidR="00E758AF">
        <w:rPr>
          <w:sz w:val="24"/>
          <w:szCs w:val="24"/>
        </w:rPr>
        <w:t xml:space="preserve"> to resources.  Thinking about how the Commission be of assistance with a resource page.</w:t>
      </w:r>
    </w:p>
    <w:p w14:paraId="34B159D1" w14:textId="620FD39B" w:rsidR="00E758AF" w:rsidRDefault="00E758AF" w:rsidP="00A81479">
      <w:pPr>
        <w:rPr>
          <w:sz w:val="24"/>
          <w:szCs w:val="24"/>
        </w:rPr>
      </w:pPr>
      <w:r>
        <w:rPr>
          <w:sz w:val="24"/>
          <w:szCs w:val="24"/>
        </w:rPr>
        <w:t>Dr. White (DPH) is hearing from providers</w:t>
      </w:r>
      <w:r w:rsidR="00A00656">
        <w:rPr>
          <w:sz w:val="24"/>
          <w:szCs w:val="24"/>
        </w:rPr>
        <w:t xml:space="preserve"> on the </w:t>
      </w:r>
      <w:r w:rsidR="007B43A6">
        <w:rPr>
          <w:sz w:val="24"/>
          <w:szCs w:val="24"/>
        </w:rPr>
        <w:t>r</w:t>
      </w:r>
      <w:r w:rsidR="00791847">
        <w:rPr>
          <w:sz w:val="24"/>
          <w:szCs w:val="24"/>
        </w:rPr>
        <w:t>eduction</w:t>
      </w:r>
      <w:r w:rsidR="00A00656">
        <w:rPr>
          <w:sz w:val="24"/>
          <w:szCs w:val="24"/>
        </w:rPr>
        <w:t xml:space="preserve"> in referrals to EI</w:t>
      </w:r>
      <w:r w:rsidR="005F4B4E">
        <w:rPr>
          <w:sz w:val="24"/>
          <w:szCs w:val="24"/>
        </w:rPr>
        <w:t xml:space="preserve"> – more families, from certain </w:t>
      </w:r>
      <w:r w:rsidR="00791847">
        <w:rPr>
          <w:sz w:val="24"/>
          <w:szCs w:val="24"/>
        </w:rPr>
        <w:t>catchment</w:t>
      </w:r>
      <w:r w:rsidR="005F4B4E">
        <w:rPr>
          <w:sz w:val="24"/>
          <w:szCs w:val="24"/>
        </w:rPr>
        <w:t xml:space="preserve"> areas are declining services</w:t>
      </w:r>
      <w:r w:rsidR="008F5CB5">
        <w:rPr>
          <w:sz w:val="24"/>
          <w:szCs w:val="24"/>
        </w:rPr>
        <w:t xml:space="preserve">.  </w:t>
      </w:r>
      <w:r w:rsidR="007B43A6">
        <w:rPr>
          <w:sz w:val="24"/>
          <w:szCs w:val="24"/>
        </w:rPr>
        <w:t>F</w:t>
      </w:r>
      <w:r w:rsidR="00897CC8">
        <w:rPr>
          <w:sz w:val="24"/>
          <w:szCs w:val="24"/>
        </w:rPr>
        <w:t>amilies are not receiving facts on what a child could receive</w:t>
      </w:r>
    </w:p>
    <w:p w14:paraId="6A3DFB79" w14:textId="5F157C85" w:rsidR="00611A22" w:rsidRDefault="002B16F7" w:rsidP="002B16F7">
      <w:pPr>
        <w:pStyle w:val="ListParagraph"/>
        <w:numPr>
          <w:ilvl w:val="0"/>
          <w:numId w:val="1"/>
        </w:numPr>
        <w:rPr>
          <w:sz w:val="24"/>
          <w:szCs w:val="24"/>
        </w:rPr>
      </w:pPr>
      <w:r>
        <w:rPr>
          <w:sz w:val="24"/>
          <w:szCs w:val="24"/>
        </w:rPr>
        <w:t>99% of EI services are provided in the home or community locations</w:t>
      </w:r>
    </w:p>
    <w:p w14:paraId="0D4B1826" w14:textId="02017EDC" w:rsidR="0080325D" w:rsidRDefault="0080325D" w:rsidP="002B16F7">
      <w:pPr>
        <w:pStyle w:val="ListParagraph"/>
        <w:numPr>
          <w:ilvl w:val="0"/>
          <w:numId w:val="1"/>
        </w:numPr>
        <w:rPr>
          <w:sz w:val="24"/>
          <w:szCs w:val="24"/>
        </w:rPr>
      </w:pPr>
      <w:r>
        <w:rPr>
          <w:sz w:val="24"/>
          <w:szCs w:val="24"/>
        </w:rPr>
        <w:t>Parents make an appointment but then are not comfortable answering the door</w:t>
      </w:r>
    </w:p>
    <w:p w14:paraId="71DF80DF" w14:textId="15A42D9A" w:rsidR="0080325D" w:rsidRPr="00EC4F42" w:rsidRDefault="0080325D" w:rsidP="002B16F7">
      <w:pPr>
        <w:pStyle w:val="ListParagraph"/>
        <w:numPr>
          <w:ilvl w:val="0"/>
          <w:numId w:val="1"/>
        </w:numPr>
        <w:rPr>
          <w:sz w:val="24"/>
          <w:szCs w:val="24"/>
          <w:u w:val="single"/>
        </w:rPr>
      </w:pPr>
      <w:r w:rsidRPr="00EC4F42">
        <w:rPr>
          <w:sz w:val="24"/>
          <w:szCs w:val="24"/>
          <w:u w:val="single"/>
        </w:rPr>
        <w:t xml:space="preserve">Reduction in certain </w:t>
      </w:r>
      <w:r w:rsidR="00791847" w:rsidRPr="00EC4F42">
        <w:rPr>
          <w:sz w:val="24"/>
          <w:szCs w:val="24"/>
          <w:u w:val="single"/>
        </w:rPr>
        <w:t>catchment</w:t>
      </w:r>
      <w:r w:rsidRPr="00EC4F42">
        <w:rPr>
          <w:sz w:val="24"/>
          <w:szCs w:val="24"/>
          <w:u w:val="single"/>
        </w:rPr>
        <w:t xml:space="preserve"> areas</w:t>
      </w:r>
      <w:r w:rsidR="007259DB" w:rsidRPr="00EC4F42">
        <w:rPr>
          <w:sz w:val="24"/>
          <w:szCs w:val="24"/>
          <w:u w:val="single"/>
        </w:rPr>
        <w:t xml:space="preserve"> of people using services</w:t>
      </w:r>
    </w:p>
    <w:p w14:paraId="6E286F2F" w14:textId="1AB9B26E" w:rsidR="007259DB" w:rsidRDefault="007259DB" w:rsidP="002B16F7">
      <w:pPr>
        <w:pStyle w:val="ListParagraph"/>
        <w:numPr>
          <w:ilvl w:val="0"/>
          <w:numId w:val="1"/>
        </w:numPr>
        <w:rPr>
          <w:sz w:val="24"/>
          <w:szCs w:val="24"/>
        </w:rPr>
      </w:pPr>
      <w:r>
        <w:rPr>
          <w:sz w:val="24"/>
          <w:szCs w:val="24"/>
        </w:rPr>
        <w:t xml:space="preserve">Suggestion to work with a </w:t>
      </w:r>
      <w:r w:rsidR="00791847">
        <w:rPr>
          <w:sz w:val="24"/>
          <w:szCs w:val="24"/>
        </w:rPr>
        <w:t>law firm</w:t>
      </w:r>
      <w:r>
        <w:rPr>
          <w:sz w:val="24"/>
          <w:szCs w:val="24"/>
        </w:rPr>
        <w:t xml:space="preserve"> that specializes in citizenship</w:t>
      </w:r>
      <w:r w:rsidR="00F55514">
        <w:rPr>
          <w:sz w:val="24"/>
          <w:szCs w:val="24"/>
        </w:rPr>
        <w:t xml:space="preserve"> and create public charges on what you can or cannot access in terms of services/resources</w:t>
      </w:r>
    </w:p>
    <w:p w14:paraId="047D150E" w14:textId="6D930096" w:rsidR="00C36526" w:rsidRDefault="00C36526" w:rsidP="002B16F7">
      <w:pPr>
        <w:pStyle w:val="ListParagraph"/>
        <w:numPr>
          <w:ilvl w:val="0"/>
          <w:numId w:val="1"/>
        </w:numPr>
        <w:rPr>
          <w:sz w:val="24"/>
          <w:szCs w:val="24"/>
        </w:rPr>
      </w:pPr>
      <w:r>
        <w:rPr>
          <w:sz w:val="24"/>
          <w:szCs w:val="24"/>
        </w:rPr>
        <w:t>AG’s office has put out some information on their website that is helpful</w:t>
      </w:r>
    </w:p>
    <w:p w14:paraId="61BB85AF" w14:textId="4FF6C8FD" w:rsidR="00F61580" w:rsidRDefault="007B43A6" w:rsidP="002B16F7">
      <w:pPr>
        <w:pStyle w:val="ListParagraph"/>
        <w:numPr>
          <w:ilvl w:val="0"/>
          <w:numId w:val="1"/>
        </w:numPr>
        <w:rPr>
          <w:sz w:val="24"/>
          <w:szCs w:val="24"/>
        </w:rPr>
      </w:pPr>
      <w:r>
        <w:rPr>
          <w:sz w:val="24"/>
          <w:szCs w:val="24"/>
        </w:rPr>
        <w:t>I</w:t>
      </w:r>
      <w:r w:rsidR="00926913">
        <w:rPr>
          <w:sz w:val="24"/>
          <w:szCs w:val="24"/>
        </w:rPr>
        <w:t xml:space="preserve">t would be helpful to hear from Commission members </w:t>
      </w:r>
      <w:r w:rsidR="006D6A9C">
        <w:rPr>
          <w:sz w:val="24"/>
          <w:szCs w:val="24"/>
        </w:rPr>
        <w:t>what specifically they are hearing – create information from that.</w:t>
      </w:r>
    </w:p>
    <w:p w14:paraId="5A9B6091" w14:textId="7BAAF2D0" w:rsidR="00812036" w:rsidRDefault="00812036" w:rsidP="002B16F7">
      <w:pPr>
        <w:pStyle w:val="ListParagraph"/>
        <w:numPr>
          <w:ilvl w:val="0"/>
          <w:numId w:val="1"/>
        </w:numPr>
        <w:rPr>
          <w:sz w:val="24"/>
          <w:szCs w:val="24"/>
        </w:rPr>
      </w:pPr>
      <w:r>
        <w:rPr>
          <w:sz w:val="24"/>
          <w:szCs w:val="24"/>
        </w:rPr>
        <w:t>Discussion on everyday something new comes out of the news</w:t>
      </w:r>
      <w:r w:rsidR="00D217A1">
        <w:rPr>
          <w:sz w:val="24"/>
          <w:szCs w:val="24"/>
        </w:rPr>
        <w:t xml:space="preserve"> – look at </w:t>
      </w:r>
      <w:r w:rsidR="00E11AAE">
        <w:rPr>
          <w:sz w:val="24"/>
          <w:szCs w:val="24"/>
        </w:rPr>
        <w:t>how to address individual pieces of information</w:t>
      </w:r>
      <w:r w:rsidR="00D72193">
        <w:rPr>
          <w:sz w:val="24"/>
          <w:szCs w:val="24"/>
        </w:rPr>
        <w:t xml:space="preserve"> – put out </w:t>
      </w:r>
      <w:r w:rsidR="00791847">
        <w:rPr>
          <w:sz w:val="24"/>
          <w:szCs w:val="24"/>
        </w:rPr>
        <w:t>fact-based</w:t>
      </w:r>
      <w:r w:rsidR="00D72193">
        <w:rPr>
          <w:sz w:val="24"/>
          <w:szCs w:val="24"/>
        </w:rPr>
        <w:t xml:space="preserve"> resources.</w:t>
      </w:r>
    </w:p>
    <w:p w14:paraId="031D16D0" w14:textId="6212ADA0" w:rsidR="00D72193" w:rsidRDefault="00D72193" w:rsidP="002B16F7">
      <w:pPr>
        <w:pStyle w:val="ListParagraph"/>
        <w:numPr>
          <w:ilvl w:val="0"/>
          <w:numId w:val="1"/>
        </w:numPr>
        <w:rPr>
          <w:sz w:val="24"/>
          <w:szCs w:val="24"/>
        </w:rPr>
      </w:pPr>
      <w:r>
        <w:rPr>
          <w:sz w:val="24"/>
          <w:szCs w:val="24"/>
        </w:rPr>
        <w:t>Resource page</w:t>
      </w:r>
      <w:r w:rsidR="003A14BF">
        <w:rPr>
          <w:sz w:val="24"/>
          <w:szCs w:val="24"/>
        </w:rPr>
        <w:t xml:space="preserve"> – a place for </w:t>
      </w:r>
      <w:r w:rsidR="00791847">
        <w:rPr>
          <w:sz w:val="24"/>
          <w:szCs w:val="24"/>
        </w:rPr>
        <w:t>fact-based</w:t>
      </w:r>
      <w:r w:rsidR="003A14BF">
        <w:rPr>
          <w:sz w:val="24"/>
          <w:szCs w:val="24"/>
        </w:rPr>
        <w:t xml:space="preserve"> resources and information.</w:t>
      </w:r>
    </w:p>
    <w:p w14:paraId="26DAFAF3" w14:textId="7D0A2D88" w:rsidR="003A14BF" w:rsidRDefault="003A14BF" w:rsidP="003A14BF">
      <w:pPr>
        <w:rPr>
          <w:b/>
          <w:bCs/>
          <w:sz w:val="24"/>
          <w:szCs w:val="24"/>
          <w:u w:val="single"/>
        </w:rPr>
      </w:pPr>
      <w:r w:rsidRPr="003A14BF">
        <w:rPr>
          <w:b/>
          <w:bCs/>
          <w:sz w:val="24"/>
          <w:szCs w:val="24"/>
          <w:u w:val="single"/>
        </w:rPr>
        <w:t>Review of Draft Annual Report</w:t>
      </w:r>
    </w:p>
    <w:p w14:paraId="072A33EB" w14:textId="73E30997" w:rsidR="00EC4F42" w:rsidRDefault="00EC4F42" w:rsidP="003A14BF">
      <w:pPr>
        <w:rPr>
          <w:sz w:val="24"/>
          <w:szCs w:val="24"/>
        </w:rPr>
      </w:pPr>
      <w:r>
        <w:rPr>
          <w:sz w:val="24"/>
          <w:szCs w:val="24"/>
        </w:rPr>
        <w:t xml:space="preserve">Ms. Kain shared a </w:t>
      </w:r>
      <w:r w:rsidR="000A7568">
        <w:rPr>
          <w:sz w:val="24"/>
          <w:szCs w:val="24"/>
        </w:rPr>
        <w:t>PowerPoint</w:t>
      </w:r>
      <w:r w:rsidR="00DC6293">
        <w:rPr>
          <w:sz w:val="24"/>
          <w:szCs w:val="24"/>
        </w:rPr>
        <w:t xml:space="preserve"> presentation of the draft annual report.  It includes data</w:t>
      </w:r>
      <w:r w:rsidR="004D20AE">
        <w:rPr>
          <w:sz w:val="24"/>
          <w:szCs w:val="24"/>
        </w:rPr>
        <w:t>/services information from the respective state agencies.  The report has more specific information</w:t>
      </w:r>
      <w:r w:rsidR="000A7568">
        <w:rPr>
          <w:sz w:val="24"/>
          <w:szCs w:val="24"/>
        </w:rPr>
        <w:t>.</w:t>
      </w:r>
    </w:p>
    <w:p w14:paraId="7AC92E0D" w14:textId="77777777" w:rsidR="000A7568" w:rsidRPr="000A7568" w:rsidRDefault="000A7568" w:rsidP="000A7568">
      <w:pPr>
        <w:rPr>
          <w:sz w:val="24"/>
          <w:szCs w:val="24"/>
        </w:rPr>
      </w:pPr>
      <w:r w:rsidRPr="000A7568">
        <w:rPr>
          <w:b/>
          <w:bCs/>
          <w:sz w:val="24"/>
          <w:szCs w:val="24"/>
          <w:u w:val="single"/>
        </w:rPr>
        <w:t>Children’s Autism Waiver Program</w:t>
      </w:r>
    </w:p>
    <w:p w14:paraId="12F8AC3A" w14:textId="1757F769" w:rsidR="000A7568" w:rsidRPr="000A7568" w:rsidRDefault="000A7568" w:rsidP="000A7568">
      <w:pPr>
        <w:rPr>
          <w:sz w:val="24"/>
          <w:szCs w:val="24"/>
        </w:rPr>
      </w:pPr>
      <w:r w:rsidRPr="000A7568">
        <w:rPr>
          <w:sz w:val="24"/>
          <w:szCs w:val="24"/>
        </w:rPr>
        <w:t xml:space="preserve">There were </w:t>
      </w:r>
      <w:r w:rsidRPr="000A7568">
        <w:rPr>
          <w:b/>
          <w:bCs/>
          <w:sz w:val="24"/>
          <w:szCs w:val="24"/>
        </w:rPr>
        <w:t>415</w:t>
      </w:r>
      <w:r w:rsidRPr="000A7568">
        <w:rPr>
          <w:sz w:val="24"/>
          <w:szCs w:val="24"/>
        </w:rPr>
        <w:t xml:space="preserve"> children enrolled in the Autism Waiver Program in FY25, of those 415 children, 90 children had a comorbidity (autism plus another diagnosis), with 1 being diagnosed with Rett Syndrome.</w:t>
      </w:r>
    </w:p>
    <w:p w14:paraId="0AAAECFE" w14:textId="77777777" w:rsidR="00777FB8" w:rsidRPr="00777FB8" w:rsidRDefault="00777FB8" w:rsidP="00777FB8">
      <w:pPr>
        <w:spacing w:after="0"/>
        <w:rPr>
          <w:sz w:val="24"/>
          <w:szCs w:val="24"/>
        </w:rPr>
      </w:pPr>
      <w:r w:rsidRPr="00777FB8">
        <w:rPr>
          <w:b/>
          <w:bCs/>
          <w:sz w:val="24"/>
          <w:szCs w:val="24"/>
          <w:u w:val="single"/>
        </w:rPr>
        <w:t xml:space="preserve">FY25 DESE/DDS Residential Prevention Program </w:t>
      </w:r>
    </w:p>
    <w:p w14:paraId="5A527F00" w14:textId="77777777" w:rsidR="00777FB8" w:rsidRPr="00777FB8" w:rsidRDefault="00777FB8" w:rsidP="00777FB8">
      <w:pPr>
        <w:spacing w:after="0"/>
        <w:rPr>
          <w:sz w:val="24"/>
          <w:szCs w:val="24"/>
        </w:rPr>
      </w:pPr>
      <w:r w:rsidRPr="00777FB8">
        <w:rPr>
          <w:sz w:val="24"/>
          <w:szCs w:val="24"/>
        </w:rPr>
        <w:t>Number of Students enrolled in the program</w:t>
      </w:r>
      <w:r w:rsidRPr="00777FB8">
        <w:rPr>
          <w:sz w:val="24"/>
          <w:szCs w:val="24"/>
        </w:rPr>
        <w:tab/>
      </w:r>
      <w:r w:rsidRPr="00777FB8">
        <w:rPr>
          <w:sz w:val="24"/>
          <w:szCs w:val="24"/>
        </w:rPr>
        <w:tab/>
        <w:t>841</w:t>
      </w:r>
    </w:p>
    <w:p w14:paraId="29DEFBB7" w14:textId="4C45F88A" w:rsidR="00777FB8" w:rsidRPr="00777FB8" w:rsidRDefault="00777FB8" w:rsidP="00777FB8">
      <w:pPr>
        <w:spacing w:after="0"/>
        <w:rPr>
          <w:sz w:val="24"/>
          <w:szCs w:val="24"/>
        </w:rPr>
      </w:pPr>
      <w:r w:rsidRPr="00777FB8">
        <w:rPr>
          <w:sz w:val="24"/>
          <w:szCs w:val="24"/>
        </w:rPr>
        <w:t>Number of New students entering in FY25</w:t>
      </w:r>
      <w:r w:rsidRPr="00777FB8">
        <w:rPr>
          <w:sz w:val="24"/>
          <w:szCs w:val="24"/>
        </w:rPr>
        <w:tab/>
      </w:r>
      <w:r w:rsidRPr="00777FB8">
        <w:rPr>
          <w:sz w:val="24"/>
          <w:szCs w:val="24"/>
        </w:rPr>
        <w:tab/>
      </w:r>
      <w:r w:rsidR="00F950DA">
        <w:rPr>
          <w:sz w:val="24"/>
          <w:szCs w:val="24"/>
        </w:rPr>
        <w:tab/>
      </w:r>
      <w:r w:rsidRPr="00777FB8">
        <w:rPr>
          <w:sz w:val="24"/>
          <w:szCs w:val="24"/>
        </w:rPr>
        <w:t>107</w:t>
      </w:r>
    </w:p>
    <w:p w14:paraId="6A6B77B7" w14:textId="77777777" w:rsidR="00777FB8" w:rsidRPr="00777FB8" w:rsidRDefault="00777FB8" w:rsidP="00777FB8">
      <w:pPr>
        <w:spacing w:after="0"/>
        <w:rPr>
          <w:sz w:val="24"/>
          <w:szCs w:val="24"/>
        </w:rPr>
      </w:pPr>
      <w:r w:rsidRPr="00777FB8">
        <w:rPr>
          <w:sz w:val="24"/>
          <w:szCs w:val="24"/>
        </w:rPr>
        <w:t>Number of Students who terminated from the</w:t>
      </w:r>
      <w:r w:rsidRPr="00777FB8">
        <w:rPr>
          <w:sz w:val="24"/>
          <w:szCs w:val="24"/>
        </w:rPr>
        <w:tab/>
      </w:r>
      <w:r w:rsidRPr="00777FB8">
        <w:rPr>
          <w:sz w:val="24"/>
          <w:szCs w:val="24"/>
        </w:rPr>
        <w:tab/>
        <w:t>21</w:t>
      </w:r>
    </w:p>
    <w:p w14:paraId="37DC9853" w14:textId="77777777" w:rsidR="00777FB8" w:rsidRPr="00777FB8" w:rsidRDefault="00777FB8" w:rsidP="00777FB8">
      <w:pPr>
        <w:spacing w:after="0"/>
        <w:rPr>
          <w:sz w:val="24"/>
          <w:szCs w:val="24"/>
        </w:rPr>
      </w:pPr>
      <w:r w:rsidRPr="00777FB8">
        <w:rPr>
          <w:sz w:val="24"/>
          <w:szCs w:val="24"/>
        </w:rPr>
        <w:t>program to enter a residential school setting</w:t>
      </w:r>
    </w:p>
    <w:p w14:paraId="24CC70C3" w14:textId="77777777" w:rsidR="00777FB8" w:rsidRPr="00777FB8" w:rsidRDefault="00777FB8" w:rsidP="00777FB8">
      <w:pPr>
        <w:spacing w:after="0"/>
        <w:rPr>
          <w:sz w:val="24"/>
          <w:szCs w:val="24"/>
        </w:rPr>
      </w:pPr>
      <w:r w:rsidRPr="00777FB8">
        <w:rPr>
          <w:sz w:val="24"/>
          <w:szCs w:val="24"/>
        </w:rPr>
        <w:t> </w:t>
      </w:r>
    </w:p>
    <w:p w14:paraId="520E9CB0" w14:textId="77777777" w:rsidR="00777FB8" w:rsidRPr="00777FB8" w:rsidRDefault="00777FB8" w:rsidP="00777FB8">
      <w:pPr>
        <w:spacing w:after="0"/>
        <w:rPr>
          <w:sz w:val="24"/>
          <w:szCs w:val="24"/>
        </w:rPr>
      </w:pPr>
      <w:r w:rsidRPr="00777FB8">
        <w:rPr>
          <w:sz w:val="24"/>
          <w:szCs w:val="24"/>
        </w:rPr>
        <w:lastRenderedPageBreak/>
        <w:t>Students between 18-22 with an Autism Diagnosis</w:t>
      </w:r>
      <w:r w:rsidRPr="00777FB8">
        <w:rPr>
          <w:sz w:val="24"/>
          <w:szCs w:val="24"/>
        </w:rPr>
        <w:tab/>
        <w:t>71%</w:t>
      </w:r>
    </w:p>
    <w:p w14:paraId="159E0074" w14:textId="77777777" w:rsidR="00777FB8" w:rsidRPr="00777FB8" w:rsidRDefault="00777FB8" w:rsidP="00777FB8">
      <w:pPr>
        <w:spacing w:after="0"/>
        <w:rPr>
          <w:sz w:val="24"/>
          <w:szCs w:val="24"/>
        </w:rPr>
      </w:pPr>
      <w:r w:rsidRPr="00777FB8">
        <w:rPr>
          <w:sz w:val="24"/>
          <w:szCs w:val="24"/>
        </w:rPr>
        <w:t> </w:t>
      </w:r>
    </w:p>
    <w:p w14:paraId="698426EC" w14:textId="77777777" w:rsidR="00777FB8" w:rsidRPr="00777FB8" w:rsidRDefault="00777FB8" w:rsidP="00777FB8">
      <w:pPr>
        <w:spacing w:after="0"/>
        <w:rPr>
          <w:sz w:val="24"/>
          <w:szCs w:val="24"/>
        </w:rPr>
      </w:pPr>
      <w:r w:rsidRPr="00777FB8">
        <w:rPr>
          <w:sz w:val="24"/>
          <w:szCs w:val="24"/>
        </w:rPr>
        <w:t>Students between 6-17 with an Autism Diagnosis</w:t>
      </w:r>
      <w:r w:rsidRPr="00777FB8">
        <w:rPr>
          <w:sz w:val="24"/>
          <w:szCs w:val="24"/>
        </w:rPr>
        <w:tab/>
        <w:t>unknown by diagnosis</w:t>
      </w:r>
    </w:p>
    <w:p w14:paraId="6AEAB8AB" w14:textId="365F48C9" w:rsidR="00777FB8" w:rsidRPr="00777FB8" w:rsidRDefault="00777FB8" w:rsidP="00777FB8">
      <w:pPr>
        <w:spacing w:after="0"/>
        <w:rPr>
          <w:sz w:val="24"/>
          <w:szCs w:val="24"/>
        </w:rPr>
      </w:pPr>
      <w:r w:rsidRPr="00777FB8">
        <w:rPr>
          <w:sz w:val="24"/>
          <w:szCs w:val="24"/>
        </w:rPr>
        <w:t> Males enrolled</w:t>
      </w:r>
      <w:r w:rsidRPr="00777FB8">
        <w:rPr>
          <w:sz w:val="24"/>
          <w:szCs w:val="24"/>
        </w:rPr>
        <w:tab/>
      </w:r>
      <w:r w:rsidRPr="00777FB8">
        <w:rPr>
          <w:sz w:val="24"/>
          <w:szCs w:val="24"/>
        </w:rPr>
        <w:tab/>
      </w:r>
      <w:r w:rsidRPr="00777FB8">
        <w:rPr>
          <w:sz w:val="24"/>
          <w:szCs w:val="24"/>
        </w:rPr>
        <w:tab/>
      </w:r>
      <w:r w:rsidRPr="00777FB8">
        <w:rPr>
          <w:sz w:val="24"/>
          <w:szCs w:val="24"/>
        </w:rPr>
        <w:tab/>
      </w:r>
      <w:r w:rsidR="007B43A6">
        <w:rPr>
          <w:sz w:val="24"/>
          <w:szCs w:val="24"/>
        </w:rPr>
        <w:tab/>
      </w:r>
      <w:r w:rsidR="007B43A6">
        <w:rPr>
          <w:sz w:val="24"/>
          <w:szCs w:val="24"/>
        </w:rPr>
        <w:tab/>
      </w:r>
      <w:r w:rsidRPr="00777FB8">
        <w:rPr>
          <w:sz w:val="24"/>
          <w:szCs w:val="24"/>
        </w:rPr>
        <w:t>73%</w:t>
      </w:r>
    </w:p>
    <w:p w14:paraId="49BB7686" w14:textId="1CF5D98F" w:rsidR="00777FB8" w:rsidRPr="00777FB8" w:rsidRDefault="00777FB8" w:rsidP="00777FB8">
      <w:pPr>
        <w:spacing w:after="0"/>
        <w:rPr>
          <w:sz w:val="24"/>
          <w:szCs w:val="24"/>
        </w:rPr>
      </w:pPr>
      <w:r w:rsidRPr="00777FB8">
        <w:rPr>
          <w:sz w:val="24"/>
          <w:szCs w:val="24"/>
        </w:rPr>
        <w:t>Females enrolled</w:t>
      </w:r>
      <w:r w:rsidRPr="00777FB8">
        <w:rPr>
          <w:sz w:val="24"/>
          <w:szCs w:val="24"/>
        </w:rPr>
        <w:tab/>
      </w:r>
      <w:r w:rsidRPr="00777FB8">
        <w:rPr>
          <w:sz w:val="24"/>
          <w:szCs w:val="24"/>
        </w:rPr>
        <w:tab/>
      </w:r>
      <w:r w:rsidRPr="00777FB8">
        <w:rPr>
          <w:sz w:val="24"/>
          <w:szCs w:val="24"/>
        </w:rPr>
        <w:tab/>
      </w:r>
      <w:r w:rsidRPr="00777FB8">
        <w:rPr>
          <w:sz w:val="24"/>
          <w:szCs w:val="24"/>
        </w:rPr>
        <w:tab/>
      </w:r>
      <w:r w:rsidR="007B43A6">
        <w:rPr>
          <w:sz w:val="24"/>
          <w:szCs w:val="24"/>
        </w:rPr>
        <w:tab/>
      </w:r>
      <w:r w:rsidR="007B43A6">
        <w:rPr>
          <w:sz w:val="24"/>
          <w:szCs w:val="24"/>
        </w:rPr>
        <w:tab/>
      </w:r>
      <w:r w:rsidRPr="00777FB8">
        <w:rPr>
          <w:sz w:val="24"/>
          <w:szCs w:val="24"/>
        </w:rPr>
        <w:t>27%</w:t>
      </w:r>
    </w:p>
    <w:p w14:paraId="37BEDD01" w14:textId="1EA8100E" w:rsidR="00777FB8" w:rsidRPr="00777FB8" w:rsidRDefault="00777FB8" w:rsidP="00777FB8">
      <w:pPr>
        <w:spacing w:after="0"/>
        <w:rPr>
          <w:sz w:val="24"/>
          <w:szCs w:val="24"/>
        </w:rPr>
      </w:pPr>
      <w:r w:rsidRPr="00777FB8">
        <w:rPr>
          <w:sz w:val="24"/>
          <w:szCs w:val="24"/>
        </w:rPr>
        <w:t xml:space="preserve">Number of Families needing translation </w:t>
      </w:r>
      <w:r w:rsidRPr="00777FB8">
        <w:rPr>
          <w:sz w:val="24"/>
          <w:szCs w:val="24"/>
        </w:rPr>
        <w:tab/>
      </w:r>
      <w:r w:rsidRPr="00777FB8">
        <w:rPr>
          <w:sz w:val="24"/>
          <w:szCs w:val="24"/>
        </w:rPr>
        <w:tab/>
      </w:r>
      <w:r w:rsidR="007B43A6">
        <w:rPr>
          <w:sz w:val="24"/>
          <w:szCs w:val="24"/>
        </w:rPr>
        <w:tab/>
      </w:r>
      <w:r w:rsidRPr="00777FB8">
        <w:rPr>
          <w:sz w:val="24"/>
          <w:szCs w:val="24"/>
        </w:rPr>
        <w:t>54</w:t>
      </w:r>
    </w:p>
    <w:p w14:paraId="30313F8A" w14:textId="77777777" w:rsidR="00777FB8" w:rsidRPr="00777FB8" w:rsidRDefault="00777FB8" w:rsidP="00777FB8">
      <w:pPr>
        <w:spacing w:after="0"/>
        <w:rPr>
          <w:sz w:val="24"/>
          <w:szCs w:val="24"/>
        </w:rPr>
      </w:pPr>
      <w:r w:rsidRPr="00777FB8">
        <w:rPr>
          <w:sz w:val="24"/>
          <w:szCs w:val="24"/>
        </w:rPr>
        <w:t>and/or interpretation</w:t>
      </w:r>
    </w:p>
    <w:p w14:paraId="38C13436" w14:textId="77777777" w:rsidR="007B43A6" w:rsidRDefault="007B43A6" w:rsidP="003A14BF">
      <w:pPr>
        <w:rPr>
          <w:b/>
          <w:bCs/>
          <w:sz w:val="24"/>
          <w:szCs w:val="24"/>
          <w:u w:val="single"/>
        </w:rPr>
      </w:pPr>
    </w:p>
    <w:p w14:paraId="43D3B673" w14:textId="307CA48B" w:rsidR="00262EE7" w:rsidRPr="00262EE7" w:rsidRDefault="00262EE7" w:rsidP="003A14BF">
      <w:pPr>
        <w:rPr>
          <w:b/>
          <w:bCs/>
          <w:sz w:val="24"/>
          <w:szCs w:val="24"/>
          <w:u w:val="single"/>
        </w:rPr>
      </w:pPr>
      <w:r w:rsidRPr="00262EE7">
        <w:rPr>
          <w:b/>
          <w:bCs/>
          <w:sz w:val="24"/>
          <w:szCs w:val="24"/>
          <w:u w:val="single"/>
        </w:rPr>
        <w:t>DDS Data</w:t>
      </w:r>
    </w:p>
    <w:p w14:paraId="2A80336A" w14:textId="77777777" w:rsidR="00262EE7" w:rsidRDefault="00262EE7" w:rsidP="00262EE7">
      <w:pPr>
        <w:rPr>
          <w:sz w:val="24"/>
          <w:szCs w:val="24"/>
        </w:rPr>
      </w:pPr>
      <w:r w:rsidRPr="00262EE7">
        <w:rPr>
          <w:sz w:val="24"/>
          <w:szCs w:val="24"/>
        </w:rPr>
        <w:t xml:space="preserve">Since January 1, 2025, DDS determined that </w:t>
      </w:r>
      <w:r w:rsidRPr="00262EE7">
        <w:rPr>
          <w:b/>
          <w:bCs/>
          <w:sz w:val="24"/>
          <w:szCs w:val="24"/>
        </w:rPr>
        <w:t>784</w:t>
      </w:r>
      <w:r w:rsidRPr="00262EE7">
        <w:rPr>
          <w:sz w:val="24"/>
          <w:szCs w:val="24"/>
        </w:rPr>
        <w:t xml:space="preserve"> new individuals met the criteria of Autism eligibility without an intellectual disability for a total of </w:t>
      </w:r>
      <w:r w:rsidRPr="00262EE7">
        <w:rPr>
          <w:b/>
          <w:bCs/>
          <w:sz w:val="24"/>
          <w:szCs w:val="24"/>
        </w:rPr>
        <w:t>5,940</w:t>
      </w:r>
      <w:r w:rsidRPr="00262EE7">
        <w:rPr>
          <w:sz w:val="24"/>
          <w:szCs w:val="24"/>
        </w:rPr>
        <w:t xml:space="preserve"> Autism individuals as of August 1, 2025. This is a </w:t>
      </w:r>
      <w:r w:rsidRPr="00262EE7">
        <w:rPr>
          <w:b/>
          <w:bCs/>
          <w:sz w:val="24"/>
          <w:szCs w:val="24"/>
        </w:rPr>
        <w:t>15% increase</w:t>
      </w:r>
      <w:r w:rsidRPr="00262EE7">
        <w:rPr>
          <w:sz w:val="24"/>
          <w:szCs w:val="24"/>
        </w:rPr>
        <w:t xml:space="preserve"> from the previous year.  Of the 5,940 individuals, 14 currently meet the criteria of Prader-Willi Syndrome.  Of the total number of Autistic and related individuals eligible for DDS, </w:t>
      </w:r>
      <w:r w:rsidRPr="00262EE7">
        <w:rPr>
          <w:b/>
          <w:bCs/>
          <w:sz w:val="24"/>
          <w:szCs w:val="24"/>
        </w:rPr>
        <w:t>4,120</w:t>
      </w:r>
      <w:r w:rsidRPr="00262EE7">
        <w:rPr>
          <w:sz w:val="24"/>
          <w:szCs w:val="24"/>
        </w:rPr>
        <w:t xml:space="preserve"> are over the age of 22, and </w:t>
      </w:r>
      <w:r w:rsidRPr="00262EE7">
        <w:rPr>
          <w:b/>
          <w:bCs/>
          <w:sz w:val="24"/>
          <w:szCs w:val="24"/>
        </w:rPr>
        <w:t>1,820</w:t>
      </w:r>
      <w:r w:rsidRPr="00262EE7">
        <w:rPr>
          <w:sz w:val="24"/>
          <w:szCs w:val="24"/>
        </w:rPr>
        <w:t xml:space="preserve"> are between the ages of 18 and 21.   Seventy-nine percent (79%) of eligible Autistic individuals are males and twenty-one percent (21%) are females.</w:t>
      </w:r>
    </w:p>
    <w:p w14:paraId="3E746D3B" w14:textId="77777777" w:rsidR="00515345" w:rsidRPr="00515345" w:rsidRDefault="00515345" w:rsidP="00515345">
      <w:pPr>
        <w:rPr>
          <w:sz w:val="24"/>
          <w:szCs w:val="24"/>
        </w:rPr>
      </w:pPr>
      <w:r w:rsidRPr="00515345">
        <w:rPr>
          <w:b/>
          <w:bCs/>
          <w:sz w:val="24"/>
          <w:szCs w:val="24"/>
        </w:rPr>
        <w:t>I</w:t>
      </w:r>
      <w:r w:rsidRPr="00515345">
        <w:rPr>
          <w:sz w:val="24"/>
          <w:szCs w:val="24"/>
        </w:rPr>
        <w:t xml:space="preserve">n the </w:t>
      </w:r>
      <w:r w:rsidRPr="00515345">
        <w:rPr>
          <w:b/>
          <w:bCs/>
          <w:sz w:val="24"/>
          <w:szCs w:val="24"/>
        </w:rPr>
        <w:t>FY 2025</w:t>
      </w:r>
      <w:r w:rsidRPr="00515345">
        <w:rPr>
          <w:sz w:val="24"/>
          <w:szCs w:val="24"/>
        </w:rPr>
        <w:t xml:space="preserve"> Turning 22 class, </w:t>
      </w:r>
      <w:r w:rsidRPr="00515345">
        <w:rPr>
          <w:b/>
          <w:bCs/>
          <w:sz w:val="24"/>
          <w:szCs w:val="24"/>
        </w:rPr>
        <w:t>489 i</w:t>
      </w:r>
      <w:r w:rsidRPr="00515345">
        <w:rPr>
          <w:sz w:val="24"/>
          <w:szCs w:val="24"/>
        </w:rPr>
        <w:t xml:space="preserve">ndividuals met the criteria for Autism-only eligibility, representing 32% of the Turning 22 class.  There were also </w:t>
      </w:r>
      <w:r w:rsidRPr="00515345">
        <w:rPr>
          <w:b/>
          <w:bCs/>
          <w:sz w:val="24"/>
          <w:szCs w:val="24"/>
        </w:rPr>
        <w:t>364</w:t>
      </w:r>
      <w:r w:rsidRPr="00515345">
        <w:rPr>
          <w:sz w:val="24"/>
          <w:szCs w:val="24"/>
        </w:rPr>
        <w:t xml:space="preserve"> individuals with Autism and ID within the FY 2025 T22 class which equals an additional 22 % of the FY 2023 Turning 22 class. </w:t>
      </w:r>
    </w:p>
    <w:p w14:paraId="138F4ABA" w14:textId="5F214CDF" w:rsidR="00515345" w:rsidRPr="00515345" w:rsidRDefault="00515345" w:rsidP="00515345">
      <w:pPr>
        <w:rPr>
          <w:sz w:val="24"/>
          <w:szCs w:val="24"/>
        </w:rPr>
      </w:pPr>
      <w:r w:rsidRPr="00515345">
        <w:rPr>
          <w:b/>
          <w:bCs/>
          <w:sz w:val="24"/>
          <w:szCs w:val="24"/>
        </w:rPr>
        <w:t>For FY 26</w:t>
      </w:r>
      <w:r w:rsidRPr="00515345">
        <w:rPr>
          <w:sz w:val="24"/>
          <w:szCs w:val="24"/>
        </w:rPr>
        <w:t>, there are </w:t>
      </w:r>
      <w:r w:rsidRPr="00515345">
        <w:rPr>
          <w:b/>
          <w:bCs/>
          <w:sz w:val="24"/>
          <w:szCs w:val="24"/>
        </w:rPr>
        <w:t>460</w:t>
      </w:r>
      <w:r w:rsidRPr="00515345">
        <w:rPr>
          <w:sz w:val="24"/>
          <w:szCs w:val="24"/>
        </w:rPr>
        <w:t> individuals with </w:t>
      </w:r>
      <w:r w:rsidRPr="00515345">
        <w:rPr>
          <w:b/>
          <w:bCs/>
          <w:sz w:val="24"/>
          <w:szCs w:val="24"/>
        </w:rPr>
        <w:t>Autism-only</w:t>
      </w:r>
      <w:r w:rsidRPr="00515345">
        <w:rPr>
          <w:sz w:val="24"/>
          <w:szCs w:val="24"/>
        </w:rPr>
        <w:t> in this year’s Turning 22 class, which is 34% of the FY26 Turning 22 class. There are also </w:t>
      </w:r>
      <w:r w:rsidRPr="00515345">
        <w:rPr>
          <w:b/>
          <w:bCs/>
          <w:sz w:val="24"/>
          <w:szCs w:val="24"/>
        </w:rPr>
        <w:t>337 individuals with Autism and ID</w:t>
      </w:r>
      <w:r w:rsidRPr="00515345">
        <w:rPr>
          <w:sz w:val="24"/>
          <w:szCs w:val="24"/>
        </w:rPr>
        <w:t xml:space="preserve">, which is an additional 25% of the FY26 Turning 22 class, for a total of </w:t>
      </w:r>
      <w:r w:rsidRPr="00515345">
        <w:rPr>
          <w:b/>
          <w:bCs/>
          <w:sz w:val="24"/>
          <w:szCs w:val="24"/>
        </w:rPr>
        <w:t>59% of the T22 class with autism</w:t>
      </w:r>
      <w:r w:rsidRPr="00515345">
        <w:rPr>
          <w:sz w:val="24"/>
          <w:szCs w:val="24"/>
        </w:rPr>
        <w:t>.</w:t>
      </w:r>
    </w:p>
    <w:p w14:paraId="7B327053" w14:textId="1B8EFCCD" w:rsidR="00515345" w:rsidRPr="00515345" w:rsidRDefault="00515345" w:rsidP="00515345">
      <w:pPr>
        <w:rPr>
          <w:sz w:val="24"/>
          <w:szCs w:val="24"/>
        </w:rPr>
      </w:pPr>
      <w:r w:rsidRPr="00515345">
        <w:rPr>
          <w:sz w:val="24"/>
          <w:szCs w:val="24"/>
        </w:rPr>
        <w:t xml:space="preserve">These numbers do not reflect the total work effort of the eligibility teams as the numbers exclude all children’s applications processed as well as all the autism with ID adult applications. </w:t>
      </w:r>
    </w:p>
    <w:p w14:paraId="08D675A2" w14:textId="77777777" w:rsidR="0004511A" w:rsidRPr="0004511A" w:rsidRDefault="0004511A" w:rsidP="0004511A">
      <w:pPr>
        <w:rPr>
          <w:sz w:val="24"/>
          <w:szCs w:val="24"/>
        </w:rPr>
      </w:pPr>
      <w:r w:rsidRPr="0004511A">
        <w:rPr>
          <w:b/>
          <w:bCs/>
          <w:sz w:val="24"/>
          <w:szCs w:val="24"/>
          <w:u w:val="single"/>
        </w:rPr>
        <w:t>DDS Services</w:t>
      </w:r>
    </w:p>
    <w:p w14:paraId="266B7423" w14:textId="3F079E20" w:rsidR="0004511A" w:rsidRDefault="0004511A" w:rsidP="0004511A">
      <w:pPr>
        <w:rPr>
          <w:sz w:val="24"/>
          <w:szCs w:val="24"/>
        </w:rPr>
      </w:pPr>
      <w:r w:rsidRPr="0004511A">
        <w:rPr>
          <w:sz w:val="24"/>
          <w:szCs w:val="24"/>
        </w:rPr>
        <w:t xml:space="preserve">Autism-only individuals can access many of the services offered to the Department's ID adult caseload, as well as the adult Autism-specific services (Pre-Engagement, Coaching, College Navigation) developed to support this population.  Individuals can choose their service delivery method, including the traditional contracted system, Agency with Choice model, or full self-direction.  Of the total service enrollments </w:t>
      </w:r>
      <w:r w:rsidRPr="0004511A">
        <w:rPr>
          <w:b/>
          <w:bCs/>
          <w:sz w:val="24"/>
          <w:szCs w:val="24"/>
        </w:rPr>
        <w:t>19%</w:t>
      </w:r>
      <w:r w:rsidRPr="0004511A">
        <w:rPr>
          <w:sz w:val="24"/>
          <w:szCs w:val="24"/>
        </w:rPr>
        <w:t xml:space="preserve"> currently </w:t>
      </w:r>
      <w:r w:rsidRPr="0004511A">
        <w:rPr>
          <w:b/>
          <w:bCs/>
          <w:sz w:val="24"/>
          <w:szCs w:val="24"/>
        </w:rPr>
        <w:t xml:space="preserve">choose to self-direct </w:t>
      </w:r>
      <w:r w:rsidRPr="0004511A">
        <w:rPr>
          <w:sz w:val="24"/>
          <w:szCs w:val="24"/>
        </w:rPr>
        <w:t>their services through either full self-direction or Agency with Choice.</w:t>
      </w:r>
    </w:p>
    <w:p w14:paraId="1813EF22" w14:textId="58B04655" w:rsidR="003130CC" w:rsidRDefault="003130CC" w:rsidP="0004511A">
      <w:pPr>
        <w:rPr>
          <w:b/>
          <w:bCs/>
          <w:sz w:val="24"/>
          <w:szCs w:val="24"/>
          <w:u w:val="single"/>
        </w:rPr>
      </w:pPr>
      <w:r w:rsidRPr="003130CC">
        <w:rPr>
          <w:b/>
          <w:bCs/>
          <w:sz w:val="24"/>
          <w:szCs w:val="24"/>
          <w:u w:val="single"/>
        </w:rPr>
        <w:t>DDS/DMH Data</w:t>
      </w:r>
    </w:p>
    <w:p w14:paraId="7C4A7478" w14:textId="7AC1609F" w:rsidR="003130CC" w:rsidRDefault="00C402A1" w:rsidP="003130CC">
      <w:pPr>
        <w:rPr>
          <w:sz w:val="24"/>
          <w:szCs w:val="24"/>
        </w:rPr>
      </w:pPr>
      <w:r w:rsidRPr="00C402A1">
        <w:rPr>
          <w:sz w:val="24"/>
          <w:szCs w:val="24"/>
        </w:rPr>
        <w:lastRenderedPageBreak/>
        <w:t>DDS and DMH also have an Inter-Agency Agreement that expanded</w:t>
      </w:r>
      <w:r>
        <w:rPr>
          <w:sz w:val="24"/>
          <w:szCs w:val="24"/>
        </w:rPr>
        <w:t xml:space="preserve"> </w:t>
      </w:r>
      <w:r w:rsidR="003130CC" w:rsidRPr="003130CC">
        <w:rPr>
          <w:sz w:val="24"/>
          <w:szCs w:val="24"/>
        </w:rPr>
        <w:t>clinical expertise through the addition of Doctoral-level Fellowships.  For the 2024-25 academic year (July to June): Combined, the sites recorded 19 evaluations of DDS/DMH clients resulting in diagnostic clarification, service needs and treatment planning suggestions for individuals with ASD and mental health issues. Nine (9) evaluations were conducted with the Massachusetts General Hospital Autism Spectrum Disorder Fellowship, at the Bressler Clinic and at the Lurie Center, and ten (10) at the UMass Memorial Health Center (UMMHC) Neuropsychiatry Clinic, Center for Autism and Neurodevelopmental Disorders (CANDO) sites.</w:t>
      </w:r>
    </w:p>
    <w:p w14:paraId="4440E738" w14:textId="2F88EC55" w:rsidR="00311246" w:rsidRPr="00311246" w:rsidRDefault="00311246" w:rsidP="003130CC">
      <w:pPr>
        <w:rPr>
          <w:b/>
          <w:bCs/>
          <w:sz w:val="24"/>
          <w:szCs w:val="24"/>
          <w:u w:val="single"/>
        </w:rPr>
      </w:pPr>
      <w:r w:rsidRPr="00311246">
        <w:rPr>
          <w:b/>
          <w:bCs/>
          <w:sz w:val="24"/>
          <w:szCs w:val="24"/>
          <w:u w:val="single"/>
        </w:rPr>
        <w:t>MassHealth Updates</w:t>
      </w:r>
    </w:p>
    <w:p w14:paraId="77C5D19C" w14:textId="77777777" w:rsidR="00311246" w:rsidRDefault="00311246" w:rsidP="00311246">
      <w:pPr>
        <w:spacing w:after="0"/>
        <w:rPr>
          <w:sz w:val="24"/>
          <w:szCs w:val="24"/>
        </w:rPr>
      </w:pPr>
      <w:r w:rsidRPr="00311246">
        <w:rPr>
          <w:sz w:val="24"/>
          <w:szCs w:val="24"/>
        </w:rPr>
        <w:t>MassHealth Fee-for-Service (FFS) provided the following devices to individuals with Autism Spectrum Disorders (ASD):</w:t>
      </w:r>
    </w:p>
    <w:p w14:paraId="7B073BF7" w14:textId="4807B0BE" w:rsidR="00311246" w:rsidRPr="00311246" w:rsidRDefault="00311246" w:rsidP="00311246">
      <w:pPr>
        <w:spacing w:after="0"/>
        <w:rPr>
          <w:sz w:val="24"/>
          <w:szCs w:val="24"/>
        </w:rPr>
      </w:pPr>
      <w:r w:rsidRPr="00311246">
        <w:rPr>
          <w:sz w:val="24"/>
          <w:szCs w:val="24"/>
        </w:rPr>
        <w:t xml:space="preserve">In SFY24 - </w:t>
      </w:r>
      <w:r w:rsidRPr="00311246">
        <w:rPr>
          <w:b/>
          <w:bCs/>
          <w:sz w:val="24"/>
          <w:szCs w:val="24"/>
        </w:rPr>
        <w:t>116</w:t>
      </w:r>
      <w:r w:rsidRPr="00311246">
        <w:rPr>
          <w:sz w:val="24"/>
          <w:szCs w:val="24"/>
        </w:rPr>
        <w:t xml:space="preserve"> dedicated speech generating devices (SGDs) and 1 non-dedicated device </w:t>
      </w:r>
    </w:p>
    <w:p w14:paraId="5F945AF4" w14:textId="6A144C4D" w:rsidR="00311246" w:rsidRDefault="00311246" w:rsidP="00311246">
      <w:pPr>
        <w:spacing w:after="0"/>
        <w:rPr>
          <w:sz w:val="24"/>
          <w:szCs w:val="24"/>
        </w:rPr>
      </w:pPr>
      <w:r w:rsidRPr="00311246">
        <w:rPr>
          <w:sz w:val="24"/>
          <w:szCs w:val="24"/>
        </w:rPr>
        <w:t xml:space="preserve">In SFY25 - </w:t>
      </w:r>
      <w:r w:rsidRPr="00311246">
        <w:rPr>
          <w:b/>
          <w:bCs/>
          <w:sz w:val="24"/>
          <w:szCs w:val="24"/>
        </w:rPr>
        <w:t>152</w:t>
      </w:r>
      <w:r w:rsidRPr="00311246">
        <w:rPr>
          <w:sz w:val="24"/>
          <w:szCs w:val="24"/>
        </w:rPr>
        <w:t xml:space="preserve"> dedicated speech generating devices (SGDs) and 1 non-dedicated device </w:t>
      </w:r>
    </w:p>
    <w:p w14:paraId="6945B099" w14:textId="77777777" w:rsidR="00433831" w:rsidRDefault="00433831" w:rsidP="00311246">
      <w:pPr>
        <w:spacing w:after="0"/>
        <w:rPr>
          <w:sz w:val="24"/>
          <w:szCs w:val="24"/>
        </w:rPr>
      </w:pPr>
    </w:p>
    <w:p w14:paraId="401C1E1E" w14:textId="77777777" w:rsidR="00433831" w:rsidRPr="00433831" w:rsidRDefault="00433831" w:rsidP="00433831">
      <w:pPr>
        <w:spacing w:after="0"/>
        <w:rPr>
          <w:sz w:val="24"/>
          <w:szCs w:val="24"/>
        </w:rPr>
      </w:pPr>
      <w:r w:rsidRPr="00433831">
        <w:rPr>
          <w:sz w:val="24"/>
          <w:szCs w:val="24"/>
        </w:rPr>
        <w:t xml:space="preserve">MassHealth Managed Care Entities (MCE) specifically Accountable Care Organizations (ACOs) and Managed Care Organizations (MCOs) provided the following devices to individuals with Autism spectrum disorders (ASD): </w:t>
      </w:r>
    </w:p>
    <w:p w14:paraId="11BC4170" w14:textId="1DDB9404" w:rsidR="00433831" w:rsidRPr="00433831" w:rsidRDefault="00433831" w:rsidP="00433831">
      <w:pPr>
        <w:spacing w:after="0"/>
        <w:rPr>
          <w:sz w:val="24"/>
          <w:szCs w:val="24"/>
        </w:rPr>
      </w:pPr>
      <w:r w:rsidRPr="00433831">
        <w:rPr>
          <w:sz w:val="24"/>
          <w:szCs w:val="24"/>
        </w:rPr>
        <w:t xml:space="preserve">In SFY24 - </w:t>
      </w:r>
      <w:r w:rsidRPr="00433831">
        <w:rPr>
          <w:b/>
          <w:bCs/>
          <w:sz w:val="24"/>
          <w:szCs w:val="24"/>
        </w:rPr>
        <w:t>202</w:t>
      </w:r>
      <w:r w:rsidRPr="00433831">
        <w:rPr>
          <w:sz w:val="24"/>
          <w:szCs w:val="24"/>
        </w:rPr>
        <w:t xml:space="preserve"> dedicated speech generating devices (SGDs). </w:t>
      </w:r>
    </w:p>
    <w:p w14:paraId="7E2725AC" w14:textId="0BCA1D5F" w:rsidR="00433831" w:rsidRDefault="00433831" w:rsidP="00433831">
      <w:pPr>
        <w:spacing w:after="0"/>
        <w:rPr>
          <w:sz w:val="24"/>
          <w:szCs w:val="24"/>
        </w:rPr>
      </w:pPr>
      <w:r w:rsidRPr="00433831">
        <w:rPr>
          <w:sz w:val="24"/>
          <w:szCs w:val="24"/>
        </w:rPr>
        <w:t xml:space="preserve">In SFY25 - </w:t>
      </w:r>
      <w:r w:rsidRPr="00433831">
        <w:rPr>
          <w:b/>
          <w:bCs/>
          <w:sz w:val="24"/>
          <w:szCs w:val="24"/>
        </w:rPr>
        <w:t>341</w:t>
      </w:r>
      <w:r w:rsidRPr="00433831">
        <w:rPr>
          <w:sz w:val="24"/>
          <w:szCs w:val="24"/>
        </w:rPr>
        <w:t xml:space="preserve"> dedicated speech generating devices (SGDs). </w:t>
      </w:r>
    </w:p>
    <w:p w14:paraId="2021FE49" w14:textId="77777777" w:rsidR="00161B34" w:rsidRDefault="00161B34" w:rsidP="00433831">
      <w:pPr>
        <w:spacing w:after="0"/>
        <w:rPr>
          <w:sz w:val="24"/>
          <w:szCs w:val="24"/>
        </w:rPr>
      </w:pPr>
    </w:p>
    <w:p w14:paraId="4F05B5B3" w14:textId="092F0996" w:rsidR="00161B34" w:rsidRDefault="00161B34" w:rsidP="00433831">
      <w:pPr>
        <w:spacing w:after="0"/>
        <w:rPr>
          <w:sz w:val="24"/>
          <w:szCs w:val="24"/>
        </w:rPr>
      </w:pPr>
      <w:r>
        <w:rPr>
          <w:sz w:val="24"/>
          <w:szCs w:val="24"/>
        </w:rPr>
        <w:t xml:space="preserve">Ms. Kain </w:t>
      </w:r>
      <w:r w:rsidR="007A60C1">
        <w:rPr>
          <w:sz w:val="24"/>
          <w:szCs w:val="24"/>
        </w:rPr>
        <w:t>commented that  MassHealth has done an incredible amount of work on dedicated speech generating devices</w:t>
      </w:r>
      <w:r w:rsidR="00D400A0">
        <w:rPr>
          <w:sz w:val="24"/>
          <w:szCs w:val="24"/>
        </w:rPr>
        <w:t xml:space="preserve"> to get them in the hands of the individuals that need them.  They have made significant strides in this work.</w:t>
      </w:r>
    </w:p>
    <w:p w14:paraId="06C0A39E" w14:textId="77777777" w:rsidR="00870B1A" w:rsidRDefault="00870B1A" w:rsidP="00433831">
      <w:pPr>
        <w:spacing w:after="0"/>
        <w:rPr>
          <w:sz w:val="24"/>
          <w:szCs w:val="24"/>
        </w:rPr>
      </w:pPr>
    </w:p>
    <w:p w14:paraId="02784451" w14:textId="66198E5A" w:rsidR="00870B1A" w:rsidRPr="00870B1A" w:rsidRDefault="00870B1A" w:rsidP="00433831">
      <w:pPr>
        <w:spacing w:after="0"/>
        <w:rPr>
          <w:b/>
          <w:bCs/>
          <w:sz w:val="24"/>
          <w:szCs w:val="24"/>
          <w:u w:val="single"/>
        </w:rPr>
      </w:pPr>
      <w:r w:rsidRPr="00870B1A">
        <w:rPr>
          <w:b/>
          <w:bCs/>
          <w:sz w:val="24"/>
          <w:szCs w:val="24"/>
          <w:u w:val="single"/>
        </w:rPr>
        <w:t>MassAbility Data</w:t>
      </w:r>
    </w:p>
    <w:p w14:paraId="5BCC56D9" w14:textId="77777777" w:rsidR="00870B1A" w:rsidRDefault="00870B1A" w:rsidP="00433831">
      <w:pPr>
        <w:spacing w:after="0"/>
        <w:rPr>
          <w:sz w:val="24"/>
          <w:szCs w:val="24"/>
        </w:rPr>
      </w:pPr>
    </w:p>
    <w:p w14:paraId="00F21B85" w14:textId="77777777" w:rsidR="00870B1A" w:rsidRPr="00870B1A" w:rsidRDefault="00870B1A" w:rsidP="00870B1A">
      <w:pPr>
        <w:spacing w:after="0"/>
        <w:rPr>
          <w:sz w:val="24"/>
          <w:szCs w:val="24"/>
        </w:rPr>
      </w:pPr>
      <w:r w:rsidRPr="00870B1A">
        <w:rPr>
          <w:sz w:val="24"/>
          <w:szCs w:val="24"/>
        </w:rPr>
        <w:t xml:space="preserve">In </w:t>
      </w:r>
      <w:r w:rsidRPr="00870B1A">
        <w:rPr>
          <w:b/>
          <w:bCs/>
          <w:sz w:val="24"/>
          <w:szCs w:val="24"/>
        </w:rPr>
        <w:t>FY25</w:t>
      </w:r>
      <w:r w:rsidRPr="00870B1A">
        <w:rPr>
          <w:sz w:val="24"/>
          <w:szCs w:val="24"/>
        </w:rPr>
        <w:t xml:space="preserve">, MassAbility served a total of </w:t>
      </w:r>
      <w:r w:rsidRPr="00870B1A">
        <w:rPr>
          <w:b/>
          <w:bCs/>
          <w:sz w:val="24"/>
          <w:szCs w:val="24"/>
        </w:rPr>
        <w:t>4,662</w:t>
      </w:r>
      <w:r w:rsidRPr="00870B1A">
        <w:rPr>
          <w:sz w:val="24"/>
          <w:szCs w:val="24"/>
        </w:rPr>
        <w:t xml:space="preserve"> Career Services participants with ASD overall.  Of these, </w:t>
      </w:r>
      <w:r w:rsidRPr="00870B1A">
        <w:rPr>
          <w:b/>
          <w:bCs/>
          <w:sz w:val="24"/>
          <w:szCs w:val="24"/>
        </w:rPr>
        <w:t>506 are enrolled in Post-Secondary Education</w:t>
      </w:r>
      <w:r w:rsidRPr="00870B1A">
        <w:rPr>
          <w:sz w:val="24"/>
          <w:szCs w:val="24"/>
        </w:rPr>
        <w:t>.  In terms of race and ethnicity (some identified as having two or more races), these 506 individuals in post-secondary education are broken down as 406 White (80.2%), 62 African American (9.5%), 66 Hispanic (13.0%), 25 Asian (4.9%), 4 American Indian/Alaska Native/Native Hawaiian/Pacific Islander (0.8%), 16 Multiracial (3.2%), and 7 unidentified (1.4%).  These individuals are enrolled in degree-bearing post-secondary education programs based on their latest Individualized Plan for Employment (IPE) with MassAbility.  At the time of application to CS services, 43.3% identified their primary source of support as Family or Friends, 29.5% as Public Support/Benefits, 11.6% as personal income, and 15.6% as other sources.  Regionally, 41.6% are in the North District, 30.6% in the West District, and 28.2% in the South District.</w:t>
      </w:r>
    </w:p>
    <w:p w14:paraId="4F834428" w14:textId="77777777" w:rsidR="00870B1A" w:rsidRDefault="00870B1A" w:rsidP="00433831">
      <w:pPr>
        <w:spacing w:after="0"/>
        <w:rPr>
          <w:sz w:val="24"/>
          <w:szCs w:val="24"/>
        </w:rPr>
      </w:pPr>
    </w:p>
    <w:p w14:paraId="60D91D18" w14:textId="77777777" w:rsidR="005B2204" w:rsidRPr="005B2204" w:rsidRDefault="005B2204" w:rsidP="005B2204">
      <w:pPr>
        <w:spacing w:after="0"/>
        <w:rPr>
          <w:sz w:val="24"/>
          <w:szCs w:val="24"/>
        </w:rPr>
      </w:pPr>
      <w:r w:rsidRPr="005B2204">
        <w:rPr>
          <w:sz w:val="24"/>
          <w:szCs w:val="24"/>
        </w:rPr>
        <w:lastRenderedPageBreak/>
        <w:t xml:space="preserve">During FY25, MassAbility had 28 providers of Pre-Employment Transition Services (Pre-ETS), which provide job exploration counseling, workplace readiness trainings, workplace learning experiences, counseling in post-secondary training opportunities, and self-advocacy to students aged 14-22.  </w:t>
      </w:r>
    </w:p>
    <w:p w14:paraId="043E1111" w14:textId="534AF873" w:rsidR="005B2204" w:rsidRDefault="005B2204" w:rsidP="005B2204">
      <w:pPr>
        <w:spacing w:after="0"/>
        <w:rPr>
          <w:sz w:val="24"/>
          <w:szCs w:val="24"/>
        </w:rPr>
      </w:pPr>
      <w:r w:rsidRPr="005B2204">
        <w:rPr>
          <w:sz w:val="24"/>
          <w:szCs w:val="24"/>
        </w:rPr>
        <w:t xml:space="preserve">In FY25, </w:t>
      </w:r>
      <w:r w:rsidRPr="005B2204">
        <w:rPr>
          <w:b/>
          <w:bCs/>
          <w:sz w:val="24"/>
          <w:szCs w:val="24"/>
        </w:rPr>
        <w:t>588 Career Service eligible participants and Potentially Eligible students with ASD received services from its Pre-ETS vendors</w:t>
      </w:r>
      <w:r w:rsidRPr="005B2204">
        <w:rPr>
          <w:sz w:val="24"/>
          <w:szCs w:val="24"/>
        </w:rPr>
        <w:t xml:space="preserve">, of which </w:t>
      </w:r>
      <w:r w:rsidRPr="005B2204">
        <w:rPr>
          <w:b/>
          <w:bCs/>
          <w:sz w:val="24"/>
          <w:szCs w:val="24"/>
        </w:rPr>
        <w:t>504 received work-based learning experiences</w:t>
      </w:r>
      <w:r w:rsidRPr="005B2204">
        <w:rPr>
          <w:sz w:val="24"/>
          <w:szCs w:val="24"/>
        </w:rPr>
        <w:t xml:space="preserve">. </w:t>
      </w:r>
    </w:p>
    <w:p w14:paraId="5F843F79" w14:textId="77777777" w:rsidR="00BD7062" w:rsidRDefault="00BD7062" w:rsidP="005B2204">
      <w:pPr>
        <w:spacing w:after="0"/>
        <w:rPr>
          <w:sz w:val="24"/>
          <w:szCs w:val="24"/>
        </w:rPr>
      </w:pPr>
    </w:p>
    <w:p w14:paraId="4557380D" w14:textId="77777777" w:rsidR="00BD7062" w:rsidRPr="00BD7062" w:rsidRDefault="00BD7062" w:rsidP="00BD7062">
      <w:pPr>
        <w:spacing w:after="0"/>
        <w:rPr>
          <w:sz w:val="24"/>
          <w:szCs w:val="24"/>
        </w:rPr>
      </w:pPr>
      <w:r w:rsidRPr="00BD7062">
        <w:rPr>
          <w:sz w:val="24"/>
          <w:szCs w:val="24"/>
        </w:rPr>
        <w:t xml:space="preserve">During FY25, MassAbility had 28 providers of Pre-Employment In FY25, </w:t>
      </w:r>
      <w:r w:rsidRPr="00BD7062">
        <w:rPr>
          <w:b/>
          <w:bCs/>
          <w:sz w:val="24"/>
          <w:szCs w:val="24"/>
        </w:rPr>
        <w:t>488 individuals with ASD served by MassAbility</w:t>
      </w:r>
      <w:r w:rsidRPr="00BD7062">
        <w:rPr>
          <w:sz w:val="24"/>
          <w:szCs w:val="24"/>
        </w:rPr>
        <w:t xml:space="preserve"> CS achieved successful employment outcomes, and </w:t>
      </w:r>
      <w:r w:rsidRPr="00BD7062">
        <w:rPr>
          <w:b/>
          <w:bCs/>
          <w:sz w:val="24"/>
          <w:szCs w:val="24"/>
        </w:rPr>
        <w:t>86.1% of individuals retained employment</w:t>
      </w:r>
      <w:r w:rsidRPr="00BD7062">
        <w:rPr>
          <w:sz w:val="24"/>
          <w:szCs w:val="24"/>
        </w:rPr>
        <w:t xml:space="preserve"> after placement to successful employment outcomes.  MassAbility also partnered with the Association for Autism and Neurodiversity (AANE) to provide LifeMAP coaching services to participants with Autism and has provided training for MassAbility staff on best practices and strategies for serving individuals with autism in recent years.</w:t>
      </w:r>
    </w:p>
    <w:p w14:paraId="322F1C76" w14:textId="72C1455E" w:rsidR="00BD7062" w:rsidRDefault="00BD7062" w:rsidP="00BD7062">
      <w:pPr>
        <w:spacing w:after="0"/>
        <w:rPr>
          <w:sz w:val="24"/>
          <w:szCs w:val="24"/>
        </w:rPr>
      </w:pPr>
      <w:r w:rsidRPr="00BD7062">
        <w:rPr>
          <w:sz w:val="24"/>
          <w:szCs w:val="24"/>
        </w:rPr>
        <w:t xml:space="preserve"> In FY25, MassAbility </w:t>
      </w:r>
      <w:r w:rsidRPr="00BD7062">
        <w:rPr>
          <w:b/>
          <w:bCs/>
          <w:sz w:val="24"/>
          <w:szCs w:val="24"/>
        </w:rPr>
        <w:t xml:space="preserve">received 172 referrals </w:t>
      </w:r>
      <w:r w:rsidRPr="00BD7062">
        <w:rPr>
          <w:sz w:val="24"/>
          <w:szCs w:val="24"/>
        </w:rPr>
        <w:t>through the</w:t>
      </w:r>
      <w:r w:rsidRPr="00BD7062">
        <w:rPr>
          <w:b/>
          <w:bCs/>
          <w:sz w:val="24"/>
          <w:szCs w:val="24"/>
        </w:rPr>
        <w:t xml:space="preserve"> 688 Process for individuals with</w:t>
      </w:r>
      <w:r w:rsidRPr="00BD7062">
        <w:rPr>
          <w:sz w:val="24"/>
          <w:szCs w:val="24"/>
        </w:rPr>
        <w:t xml:space="preserve"> </w:t>
      </w:r>
      <w:r w:rsidRPr="00BD7062">
        <w:rPr>
          <w:b/>
          <w:bCs/>
          <w:sz w:val="24"/>
          <w:szCs w:val="24"/>
        </w:rPr>
        <w:t>ASD</w:t>
      </w:r>
      <w:r w:rsidRPr="00BD7062">
        <w:rPr>
          <w:sz w:val="24"/>
          <w:szCs w:val="24"/>
        </w:rPr>
        <w:t xml:space="preserve"> and served </w:t>
      </w:r>
      <w:r w:rsidRPr="00BD7062">
        <w:rPr>
          <w:b/>
          <w:bCs/>
          <w:sz w:val="24"/>
          <w:szCs w:val="24"/>
        </w:rPr>
        <w:t>779 individuals with ASD</w:t>
      </w:r>
      <w:r w:rsidRPr="00BD7062">
        <w:rPr>
          <w:sz w:val="24"/>
          <w:szCs w:val="24"/>
        </w:rPr>
        <w:t xml:space="preserve"> in its </w:t>
      </w:r>
      <w:r w:rsidRPr="00BD7062">
        <w:rPr>
          <w:b/>
          <w:bCs/>
          <w:sz w:val="24"/>
          <w:szCs w:val="24"/>
        </w:rPr>
        <w:t>Transition to Adulthood (TAP) program</w:t>
      </w:r>
      <w:r w:rsidRPr="00BD7062">
        <w:rPr>
          <w:sz w:val="24"/>
          <w:szCs w:val="24"/>
        </w:rPr>
        <w:t>, which is operated by the Independent Living Centers (ILCs) to provide peer-driven transition services to youths with disabilities, in terms of race and ethnicity.</w:t>
      </w:r>
    </w:p>
    <w:p w14:paraId="6ED6661E" w14:textId="77777777" w:rsidR="00672F7C" w:rsidRDefault="00672F7C" w:rsidP="00BD7062">
      <w:pPr>
        <w:spacing w:after="0"/>
        <w:rPr>
          <w:sz w:val="24"/>
          <w:szCs w:val="24"/>
        </w:rPr>
      </w:pPr>
    </w:p>
    <w:p w14:paraId="73402C4F" w14:textId="0726E402" w:rsidR="00672F7C" w:rsidRDefault="00672F7C" w:rsidP="00BD7062">
      <w:pPr>
        <w:spacing w:after="0"/>
        <w:rPr>
          <w:sz w:val="24"/>
          <w:szCs w:val="24"/>
        </w:rPr>
      </w:pPr>
      <w:r w:rsidRPr="00672F7C">
        <w:rPr>
          <w:b/>
          <w:bCs/>
          <w:sz w:val="24"/>
          <w:szCs w:val="24"/>
        </w:rPr>
        <w:t xml:space="preserve">In FY25, there were 4,662 applicants with Autism for VR, and 246 for CL through MassAbility Connect.  </w:t>
      </w:r>
      <w:r w:rsidRPr="00672F7C">
        <w:rPr>
          <w:sz w:val="24"/>
          <w:szCs w:val="24"/>
        </w:rPr>
        <w:t>The CL applicants are broken down by program as follows: MassAbility’s Homecare Assistance Program (HCAP) had 99 applicants, the Statewide Head Injury Program (SHIP) had 10, and Supported Living (SL) with 137.</w:t>
      </w:r>
    </w:p>
    <w:p w14:paraId="114DD8A7" w14:textId="77777777" w:rsidR="002A633A" w:rsidRDefault="002A633A" w:rsidP="00BD7062">
      <w:pPr>
        <w:spacing w:after="0"/>
        <w:rPr>
          <w:sz w:val="24"/>
          <w:szCs w:val="24"/>
        </w:rPr>
      </w:pPr>
    </w:p>
    <w:p w14:paraId="7DFA5159" w14:textId="77777777" w:rsidR="002A633A" w:rsidRPr="002A633A" w:rsidRDefault="002A633A" w:rsidP="002A633A">
      <w:pPr>
        <w:spacing w:after="0"/>
        <w:rPr>
          <w:sz w:val="24"/>
          <w:szCs w:val="24"/>
        </w:rPr>
      </w:pPr>
      <w:r w:rsidRPr="002A633A">
        <w:rPr>
          <w:sz w:val="24"/>
          <w:szCs w:val="24"/>
        </w:rPr>
        <w:t xml:space="preserve">In FY23, MassAbility was awarded and began operation of a 5-year federal demonstration grant known as NextGen Careers. Individuals with ASD are the target population for this project. NextGen is currently focusing on serving young adults ages 18 to 30 with the goal of evaluating a new model for VR services designed to lead to employment outcomes with higher wages and career pathway opportunities in fields such as STEM.  </w:t>
      </w:r>
      <w:r w:rsidRPr="002A633A">
        <w:rPr>
          <w:b/>
          <w:bCs/>
          <w:sz w:val="24"/>
          <w:szCs w:val="24"/>
        </w:rPr>
        <w:t xml:space="preserve">As of June 30, 2025, 298 young adults with Autism had enrolled in NextGen since the program’s inception.  </w:t>
      </w:r>
      <w:r w:rsidRPr="002A633A">
        <w:rPr>
          <w:sz w:val="24"/>
          <w:szCs w:val="24"/>
        </w:rPr>
        <w:t>Regionally, 41.9% of these participants are in the North District, 29.2% in the South District, and 28.9% in the West District.</w:t>
      </w:r>
    </w:p>
    <w:p w14:paraId="4B57E051" w14:textId="77777777" w:rsidR="002A633A" w:rsidRDefault="002A633A" w:rsidP="00BD7062">
      <w:pPr>
        <w:spacing w:after="0"/>
        <w:rPr>
          <w:sz w:val="24"/>
          <w:szCs w:val="24"/>
        </w:rPr>
      </w:pPr>
    </w:p>
    <w:p w14:paraId="0B3E58CB" w14:textId="602702D5" w:rsidR="002A633A" w:rsidRDefault="002A633A" w:rsidP="00BD7062">
      <w:pPr>
        <w:spacing w:after="0"/>
        <w:rPr>
          <w:sz w:val="24"/>
          <w:szCs w:val="24"/>
        </w:rPr>
      </w:pPr>
      <w:r>
        <w:rPr>
          <w:sz w:val="24"/>
          <w:szCs w:val="24"/>
        </w:rPr>
        <w:t xml:space="preserve">Ms. Kain commented </w:t>
      </w:r>
      <w:r w:rsidR="003F7FB9">
        <w:rPr>
          <w:sz w:val="24"/>
          <w:szCs w:val="24"/>
        </w:rPr>
        <w:t>on the great work on the breakdown of race, ethnicity and language from MassAbility</w:t>
      </w:r>
    </w:p>
    <w:p w14:paraId="6C8B4CA8" w14:textId="77777777" w:rsidR="003F7FB9" w:rsidRDefault="003F7FB9" w:rsidP="00BD7062">
      <w:pPr>
        <w:spacing w:after="0"/>
        <w:rPr>
          <w:sz w:val="24"/>
          <w:szCs w:val="24"/>
        </w:rPr>
      </w:pPr>
    </w:p>
    <w:p w14:paraId="622EED3E" w14:textId="59690BD7" w:rsidR="003F7FB9" w:rsidRPr="00F950DA" w:rsidRDefault="003F7FB9" w:rsidP="00BD7062">
      <w:pPr>
        <w:spacing w:after="0"/>
        <w:rPr>
          <w:b/>
          <w:bCs/>
          <w:i/>
          <w:iCs/>
          <w:sz w:val="24"/>
          <w:szCs w:val="24"/>
        </w:rPr>
      </w:pPr>
      <w:r w:rsidRPr="00F950DA">
        <w:rPr>
          <w:b/>
          <w:bCs/>
          <w:i/>
          <w:iCs/>
          <w:sz w:val="24"/>
          <w:szCs w:val="24"/>
        </w:rPr>
        <w:t>Questions/comments</w:t>
      </w:r>
    </w:p>
    <w:p w14:paraId="225292B5" w14:textId="77777777" w:rsidR="003F7FB9" w:rsidRDefault="003F7FB9" w:rsidP="00BD7062">
      <w:pPr>
        <w:spacing w:after="0"/>
        <w:rPr>
          <w:sz w:val="24"/>
          <w:szCs w:val="24"/>
        </w:rPr>
      </w:pPr>
    </w:p>
    <w:p w14:paraId="3A3E5DEE" w14:textId="08B7975D" w:rsidR="003F7FB9" w:rsidRDefault="003F7FB9" w:rsidP="003F7FB9">
      <w:pPr>
        <w:pStyle w:val="ListParagraph"/>
        <w:numPr>
          <w:ilvl w:val="0"/>
          <w:numId w:val="2"/>
        </w:numPr>
        <w:spacing w:after="0"/>
        <w:rPr>
          <w:sz w:val="24"/>
          <w:szCs w:val="24"/>
        </w:rPr>
      </w:pPr>
      <w:r>
        <w:rPr>
          <w:sz w:val="24"/>
          <w:szCs w:val="24"/>
        </w:rPr>
        <w:lastRenderedPageBreak/>
        <w:t>Appendix A</w:t>
      </w:r>
      <w:r w:rsidR="009D4C4C">
        <w:rPr>
          <w:sz w:val="24"/>
          <w:szCs w:val="24"/>
        </w:rPr>
        <w:t xml:space="preserve"> has data from DESE on the number of students educated substantially separate – the data is 24 students which is most likely an error.  Ms. Kain will reach out to DESE around the data.</w:t>
      </w:r>
    </w:p>
    <w:p w14:paraId="71045FA0" w14:textId="034530F0" w:rsidR="009D4C4C" w:rsidRDefault="005863FC" w:rsidP="003F7FB9">
      <w:pPr>
        <w:pStyle w:val="ListParagraph"/>
        <w:numPr>
          <w:ilvl w:val="0"/>
          <w:numId w:val="2"/>
        </w:numPr>
        <w:spacing w:after="0"/>
        <w:rPr>
          <w:sz w:val="24"/>
          <w:szCs w:val="24"/>
        </w:rPr>
      </w:pPr>
      <w:r>
        <w:rPr>
          <w:sz w:val="24"/>
          <w:szCs w:val="24"/>
        </w:rPr>
        <w:t>DDS/DESE data shows high</w:t>
      </w:r>
      <w:r w:rsidR="007E755C">
        <w:rPr>
          <w:sz w:val="24"/>
          <w:szCs w:val="24"/>
        </w:rPr>
        <w:t>er</w:t>
      </w:r>
      <w:r>
        <w:rPr>
          <w:sz w:val="24"/>
          <w:szCs w:val="24"/>
        </w:rPr>
        <w:t xml:space="preserve"> number of white students, it would be interesting to see if the </w:t>
      </w:r>
      <w:r w:rsidR="00A2689F">
        <w:rPr>
          <w:sz w:val="24"/>
          <w:szCs w:val="24"/>
        </w:rPr>
        <w:t xml:space="preserve">individuals from the </w:t>
      </w:r>
      <w:r w:rsidR="007E755C">
        <w:rPr>
          <w:sz w:val="24"/>
          <w:szCs w:val="24"/>
        </w:rPr>
        <w:t>children’s</w:t>
      </w:r>
      <w:r w:rsidR="00A2689F">
        <w:rPr>
          <w:sz w:val="24"/>
          <w:szCs w:val="24"/>
        </w:rPr>
        <w:t xml:space="preserve"> waiver program are moving to DDS/DESE – DDS will provide that data</w:t>
      </w:r>
      <w:r w:rsidR="007E755C">
        <w:rPr>
          <w:sz w:val="24"/>
          <w:szCs w:val="24"/>
        </w:rPr>
        <w:t xml:space="preserve"> (compare the two data sets)</w:t>
      </w:r>
    </w:p>
    <w:p w14:paraId="00133C5A" w14:textId="54282CD7" w:rsidR="00AE1711" w:rsidRDefault="00AE1711" w:rsidP="003F7FB9">
      <w:pPr>
        <w:pStyle w:val="ListParagraph"/>
        <w:numPr>
          <w:ilvl w:val="0"/>
          <w:numId w:val="2"/>
        </w:numPr>
        <w:spacing w:after="0"/>
        <w:rPr>
          <w:sz w:val="24"/>
          <w:szCs w:val="24"/>
        </w:rPr>
      </w:pPr>
      <w:r>
        <w:rPr>
          <w:sz w:val="24"/>
          <w:szCs w:val="24"/>
        </w:rPr>
        <w:t>Are we doing enough outreach in the underserved communities</w:t>
      </w:r>
      <w:r w:rsidR="0083693A">
        <w:rPr>
          <w:sz w:val="24"/>
          <w:szCs w:val="24"/>
        </w:rPr>
        <w:t xml:space="preserve"> – there is an opportunity to correct and do more as we move forward</w:t>
      </w:r>
    </w:p>
    <w:p w14:paraId="3D55F4FB" w14:textId="1E52711D" w:rsidR="0083693A" w:rsidRDefault="0083693A" w:rsidP="003F7FB9">
      <w:pPr>
        <w:pStyle w:val="ListParagraph"/>
        <w:numPr>
          <w:ilvl w:val="0"/>
          <w:numId w:val="2"/>
        </w:numPr>
        <w:spacing w:after="0"/>
        <w:rPr>
          <w:sz w:val="24"/>
          <w:szCs w:val="24"/>
        </w:rPr>
      </w:pPr>
      <w:r>
        <w:rPr>
          <w:sz w:val="24"/>
          <w:szCs w:val="24"/>
        </w:rPr>
        <w:t>NexGen (MassAbility) did a lot of outreach to specific demographics and areas to increase diversity</w:t>
      </w:r>
      <w:r w:rsidR="004D6736">
        <w:rPr>
          <w:sz w:val="24"/>
          <w:szCs w:val="24"/>
        </w:rPr>
        <w:t xml:space="preserve"> – they were also strategic on their hiring practices </w:t>
      </w:r>
      <w:r w:rsidR="002B22C9">
        <w:rPr>
          <w:sz w:val="24"/>
          <w:szCs w:val="24"/>
        </w:rPr>
        <w:t>– outreach is most important.</w:t>
      </w:r>
    </w:p>
    <w:p w14:paraId="74594C4F" w14:textId="08221137" w:rsidR="002B22C9" w:rsidRDefault="00DA799D" w:rsidP="003F7FB9">
      <w:pPr>
        <w:pStyle w:val="ListParagraph"/>
        <w:numPr>
          <w:ilvl w:val="0"/>
          <w:numId w:val="2"/>
        </w:numPr>
        <w:spacing w:after="0"/>
        <w:rPr>
          <w:sz w:val="24"/>
          <w:szCs w:val="24"/>
        </w:rPr>
      </w:pPr>
      <w:r>
        <w:rPr>
          <w:sz w:val="24"/>
          <w:szCs w:val="24"/>
        </w:rPr>
        <w:t xml:space="preserve">It was asked if the team from NexGen could present at an Autism Commission meeting and do a presentation on how they targeted certain populations and did their outreach.  Commissioner Wolf </w:t>
      </w:r>
      <w:r w:rsidR="002652D8">
        <w:rPr>
          <w:sz w:val="24"/>
          <w:szCs w:val="24"/>
        </w:rPr>
        <w:t>agreed that they would present at an upcoming meeting.</w:t>
      </w:r>
    </w:p>
    <w:p w14:paraId="03FEBECC" w14:textId="77777777" w:rsidR="00F950DA" w:rsidRDefault="00F950DA" w:rsidP="002652D8">
      <w:pPr>
        <w:spacing w:after="0"/>
        <w:rPr>
          <w:sz w:val="24"/>
          <w:szCs w:val="24"/>
        </w:rPr>
      </w:pPr>
    </w:p>
    <w:p w14:paraId="469E16BC" w14:textId="335CA3A5" w:rsidR="002652D8" w:rsidRPr="00F950DA" w:rsidRDefault="002652D8" w:rsidP="002652D8">
      <w:pPr>
        <w:spacing w:after="0"/>
        <w:rPr>
          <w:b/>
          <w:bCs/>
          <w:sz w:val="24"/>
          <w:szCs w:val="24"/>
          <w:u w:val="single"/>
        </w:rPr>
      </w:pPr>
      <w:r w:rsidRPr="00F950DA">
        <w:rPr>
          <w:b/>
          <w:bCs/>
          <w:sz w:val="24"/>
          <w:szCs w:val="24"/>
          <w:u w:val="single"/>
        </w:rPr>
        <w:t>Next Steps</w:t>
      </w:r>
    </w:p>
    <w:p w14:paraId="018CDC47" w14:textId="77777777" w:rsidR="002652D8" w:rsidRDefault="002652D8" w:rsidP="002652D8">
      <w:pPr>
        <w:spacing w:after="0"/>
        <w:rPr>
          <w:sz w:val="24"/>
          <w:szCs w:val="24"/>
        </w:rPr>
      </w:pPr>
    </w:p>
    <w:p w14:paraId="405E83D2" w14:textId="6BB95110" w:rsidR="002652D8" w:rsidRDefault="002652D8" w:rsidP="002652D8">
      <w:pPr>
        <w:spacing w:after="0"/>
        <w:rPr>
          <w:sz w:val="24"/>
          <w:szCs w:val="24"/>
        </w:rPr>
      </w:pPr>
      <w:r>
        <w:rPr>
          <w:sz w:val="24"/>
          <w:szCs w:val="24"/>
        </w:rPr>
        <w:t>The commission will meet again in February of next year</w:t>
      </w:r>
      <w:r w:rsidR="00713304">
        <w:rPr>
          <w:sz w:val="24"/>
          <w:szCs w:val="24"/>
        </w:rPr>
        <w:t xml:space="preserve"> to vote on the Autism Commission Annual Report.  There will be minor updates to the </w:t>
      </w:r>
      <w:r w:rsidR="00F950DA">
        <w:rPr>
          <w:sz w:val="24"/>
          <w:szCs w:val="24"/>
        </w:rPr>
        <w:t>report,</w:t>
      </w:r>
      <w:r w:rsidR="00713304">
        <w:rPr>
          <w:sz w:val="24"/>
          <w:szCs w:val="24"/>
        </w:rPr>
        <w:t xml:space="preserve"> and it will be sent in advance for review</w:t>
      </w:r>
      <w:r w:rsidR="00355459">
        <w:rPr>
          <w:sz w:val="24"/>
          <w:szCs w:val="24"/>
        </w:rPr>
        <w:t>.  The report is due to the legislature and Governor in March.</w:t>
      </w:r>
    </w:p>
    <w:p w14:paraId="638E7F4A" w14:textId="77777777" w:rsidR="00355459" w:rsidRDefault="00355459" w:rsidP="002652D8">
      <w:pPr>
        <w:spacing w:after="0"/>
        <w:rPr>
          <w:sz w:val="24"/>
          <w:szCs w:val="24"/>
        </w:rPr>
      </w:pPr>
    </w:p>
    <w:p w14:paraId="22ABF486" w14:textId="0B0C9A2D" w:rsidR="00355459" w:rsidRDefault="00355459" w:rsidP="002652D8">
      <w:pPr>
        <w:spacing w:after="0"/>
        <w:rPr>
          <w:sz w:val="24"/>
          <w:szCs w:val="24"/>
        </w:rPr>
      </w:pPr>
      <w:r>
        <w:rPr>
          <w:sz w:val="24"/>
          <w:szCs w:val="24"/>
        </w:rPr>
        <w:t xml:space="preserve">Ms. Gold asked about </w:t>
      </w:r>
      <w:r w:rsidR="00451201">
        <w:rPr>
          <w:sz w:val="24"/>
          <w:szCs w:val="24"/>
        </w:rPr>
        <w:t xml:space="preserve">data trends to include in </w:t>
      </w:r>
      <w:r w:rsidR="007B43A6">
        <w:rPr>
          <w:sz w:val="24"/>
          <w:szCs w:val="24"/>
        </w:rPr>
        <w:t xml:space="preserve">future </w:t>
      </w:r>
      <w:r w:rsidR="00451201">
        <w:rPr>
          <w:sz w:val="24"/>
          <w:szCs w:val="24"/>
        </w:rPr>
        <w:t>report</w:t>
      </w:r>
      <w:r w:rsidR="007B43A6">
        <w:rPr>
          <w:sz w:val="24"/>
          <w:szCs w:val="24"/>
        </w:rPr>
        <w:t>s</w:t>
      </w:r>
      <w:r w:rsidR="00451201">
        <w:rPr>
          <w:sz w:val="24"/>
          <w:szCs w:val="24"/>
        </w:rPr>
        <w:t xml:space="preserve"> – more data to understand the scope of the need</w:t>
      </w:r>
      <w:r w:rsidR="00126BA2">
        <w:rPr>
          <w:sz w:val="24"/>
          <w:szCs w:val="24"/>
        </w:rPr>
        <w:t>.  DDS/DESE program has shown incredible results in preventing residential placement</w:t>
      </w:r>
      <w:r w:rsidR="00B85A8F">
        <w:rPr>
          <w:sz w:val="24"/>
          <w:szCs w:val="24"/>
        </w:rPr>
        <w:t xml:space="preserve"> – DDS can show the trends in the program for the annual report</w:t>
      </w:r>
      <w:r w:rsidR="00651938">
        <w:rPr>
          <w:sz w:val="24"/>
          <w:szCs w:val="24"/>
        </w:rPr>
        <w:t xml:space="preserve"> – they will also look at their other data to show trends.</w:t>
      </w:r>
    </w:p>
    <w:p w14:paraId="5B55AA3E" w14:textId="77777777" w:rsidR="00651938" w:rsidRDefault="00651938" w:rsidP="002652D8">
      <w:pPr>
        <w:spacing w:after="0"/>
        <w:rPr>
          <w:sz w:val="24"/>
          <w:szCs w:val="24"/>
        </w:rPr>
      </w:pPr>
    </w:p>
    <w:p w14:paraId="09CEA698" w14:textId="31065510" w:rsidR="00651938" w:rsidRPr="002652D8" w:rsidRDefault="00651938" w:rsidP="002652D8">
      <w:pPr>
        <w:spacing w:after="0"/>
        <w:rPr>
          <w:sz w:val="24"/>
          <w:szCs w:val="24"/>
        </w:rPr>
      </w:pPr>
      <w:r>
        <w:rPr>
          <w:sz w:val="24"/>
          <w:szCs w:val="24"/>
        </w:rPr>
        <w:t xml:space="preserve">With no further business to discuss, Ms. Kain </w:t>
      </w:r>
      <w:r w:rsidR="007B43A6">
        <w:rPr>
          <w:sz w:val="24"/>
          <w:szCs w:val="24"/>
        </w:rPr>
        <w:t>asked for</w:t>
      </w:r>
      <w:r>
        <w:rPr>
          <w:sz w:val="24"/>
          <w:szCs w:val="24"/>
        </w:rPr>
        <w:t xml:space="preserve"> a motion to adjourn the meeting, </w:t>
      </w:r>
      <w:r w:rsidR="006D489F">
        <w:rPr>
          <w:sz w:val="24"/>
          <w:szCs w:val="24"/>
        </w:rPr>
        <w:t>Mr. Houston moved the motion to adjourn and seconded by Chris Peltier.  With no objections, the meeting adjourned.</w:t>
      </w:r>
    </w:p>
    <w:p w14:paraId="6D3B259B" w14:textId="77777777" w:rsidR="00BD7062" w:rsidRPr="005B2204" w:rsidRDefault="00BD7062" w:rsidP="005B2204">
      <w:pPr>
        <w:spacing w:after="0"/>
        <w:rPr>
          <w:sz w:val="24"/>
          <w:szCs w:val="24"/>
        </w:rPr>
      </w:pPr>
    </w:p>
    <w:p w14:paraId="2ABE4AA9" w14:textId="77777777" w:rsidR="005B2204" w:rsidRDefault="005B2204" w:rsidP="00433831">
      <w:pPr>
        <w:spacing w:after="0"/>
        <w:rPr>
          <w:sz w:val="24"/>
          <w:szCs w:val="24"/>
        </w:rPr>
      </w:pPr>
    </w:p>
    <w:p w14:paraId="386898D5" w14:textId="77777777" w:rsidR="00870B1A" w:rsidRPr="00433831" w:rsidRDefault="00870B1A" w:rsidP="00433831">
      <w:pPr>
        <w:spacing w:after="0"/>
        <w:rPr>
          <w:sz w:val="24"/>
          <w:szCs w:val="24"/>
        </w:rPr>
      </w:pPr>
    </w:p>
    <w:p w14:paraId="323091B1" w14:textId="77777777" w:rsidR="00433831" w:rsidRPr="00311246" w:rsidRDefault="00433831" w:rsidP="00311246">
      <w:pPr>
        <w:spacing w:after="0"/>
        <w:rPr>
          <w:sz w:val="24"/>
          <w:szCs w:val="24"/>
        </w:rPr>
      </w:pPr>
    </w:p>
    <w:p w14:paraId="3B641ACD" w14:textId="77777777" w:rsidR="00311246" w:rsidRPr="003130CC" w:rsidRDefault="00311246" w:rsidP="003130CC">
      <w:pPr>
        <w:rPr>
          <w:sz w:val="24"/>
          <w:szCs w:val="24"/>
        </w:rPr>
      </w:pPr>
    </w:p>
    <w:p w14:paraId="41D2413D" w14:textId="77777777" w:rsidR="003130CC" w:rsidRPr="0004511A" w:rsidRDefault="003130CC" w:rsidP="0004511A">
      <w:pPr>
        <w:rPr>
          <w:b/>
          <w:bCs/>
          <w:sz w:val="24"/>
          <w:szCs w:val="24"/>
          <w:u w:val="single"/>
        </w:rPr>
      </w:pPr>
    </w:p>
    <w:p w14:paraId="0353239B" w14:textId="77777777" w:rsidR="0004511A" w:rsidRPr="0004511A" w:rsidRDefault="0004511A" w:rsidP="0004511A">
      <w:pPr>
        <w:rPr>
          <w:sz w:val="24"/>
          <w:szCs w:val="24"/>
        </w:rPr>
      </w:pPr>
    </w:p>
    <w:p w14:paraId="0962928C" w14:textId="77777777" w:rsidR="00515345" w:rsidRPr="00262EE7" w:rsidRDefault="00515345" w:rsidP="00262EE7">
      <w:pPr>
        <w:rPr>
          <w:sz w:val="24"/>
          <w:szCs w:val="24"/>
        </w:rPr>
      </w:pPr>
    </w:p>
    <w:p w14:paraId="3C623FF8" w14:textId="77777777" w:rsidR="00262EE7" w:rsidRPr="00EC4F42" w:rsidRDefault="00262EE7" w:rsidP="003A14BF">
      <w:pPr>
        <w:rPr>
          <w:sz w:val="24"/>
          <w:szCs w:val="24"/>
        </w:rPr>
      </w:pPr>
    </w:p>
    <w:p w14:paraId="2E763DB2" w14:textId="77777777" w:rsidR="003A14BF" w:rsidRDefault="003A14BF" w:rsidP="003A14BF">
      <w:pPr>
        <w:rPr>
          <w:b/>
          <w:bCs/>
          <w:sz w:val="24"/>
          <w:szCs w:val="24"/>
          <w:u w:val="single"/>
        </w:rPr>
      </w:pPr>
    </w:p>
    <w:p w14:paraId="1CDA7516" w14:textId="36C50217" w:rsidR="003A14BF" w:rsidRPr="00EC4F42" w:rsidRDefault="003A14BF" w:rsidP="003A14BF">
      <w:pPr>
        <w:rPr>
          <w:sz w:val="24"/>
          <w:szCs w:val="24"/>
          <w:u w:val="single"/>
        </w:rPr>
      </w:pPr>
    </w:p>
    <w:p w14:paraId="26A6F9AB" w14:textId="77777777" w:rsidR="002B16F7" w:rsidRDefault="002B16F7" w:rsidP="00A81479">
      <w:pPr>
        <w:rPr>
          <w:sz w:val="24"/>
          <w:szCs w:val="24"/>
        </w:rPr>
      </w:pPr>
    </w:p>
    <w:p w14:paraId="0214B55C" w14:textId="77777777" w:rsidR="00611A22" w:rsidRDefault="00611A22" w:rsidP="00A81479">
      <w:pPr>
        <w:rPr>
          <w:sz w:val="24"/>
          <w:szCs w:val="24"/>
        </w:rPr>
      </w:pPr>
    </w:p>
    <w:p w14:paraId="6CAAC710" w14:textId="77777777" w:rsidR="00860B52" w:rsidRDefault="00860B52" w:rsidP="00A81479">
      <w:pPr>
        <w:rPr>
          <w:sz w:val="24"/>
          <w:szCs w:val="24"/>
        </w:rPr>
      </w:pPr>
    </w:p>
    <w:p w14:paraId="163595F3" w14:textId="77777777" w:rsidR="00860B52" w:rsidRPr="002876F5" w:rsidRDefault="00860B52" w:rsidP="00A81479">
      <w:pPr>
        <w:rPr>
          <w:sz w:val="24"/>
          <w:szCs w:val="24"/>
        </w:rPr>
      </w:pPr>
    </w:p>
    <w:p w14:paraId="45729231" w14:textId="77777777" w:rsidR="000E44B8" w:rsidRDefault="000E44B8"/>
    <w:sectPr w:rsidR="000E44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6AC8" w14:textId="77777777" w:rsidR="000A2E92" w:rsidRDefault="000A2E92" w:rsidP="00110B58">
      <w:pPr>
        <w:spacing w:after="0" w:line="240" w:lineRule="auto"/>
      </w:pPr>
      <w:r>
        <w:separator/>
      </w:r>
    </w:p>
  </w:endnote>
  <w:endnote w:type="continuationSeparator" w:id="0">
    <w:p w14:paraId="3AEBB1C8" w14:textId="77777777" w:rsidR="000A2E92" w:rsidRDefault="000A2E92" w:rsidP="0011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D78" w14:textId="77777777" w:rsidR="00110B58" w:rsidRDefault="00110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F889" w14:textId="77777777" w:rsidR="00110B58" w:rsidRDefault="00110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7E23" w14:textId="77777777" w:rsidR="00110B58" w:rsidRDefault="0011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D21A" w14:textId="77777777" w:rsidR="000A2E92" w:rsidRDefault="000A2E92" w:rsidP="00110B58">
      <w:pPr>
        <w:spacing w:after="0" w:line="240" w:lineRule="auto"/>
      </w:pPr>
      <w:r>
        <w:separator/>
      </w:r>
    </w:p>
  </w:footnote>
  <w:footnote w:type="continuationSeparator" w:id="0">
    <w:p w14:paraId="37EFCD33" w14:textId="77777777" w:rsidR="000A2E92" w:rsidRDefault="000A2E92" w:rsidP="00110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8FA5" w14:textId="77777777" w:rsidR="00110B58" w:rsidRDefault="00110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16D9" w14:textId="288F565C" w:rsidR="00110B58" w:rsidRDefault="00110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E724" w14:textId="77777777" w:rsidR="00110B58" w:rsidRDefault="00110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35A5C"/>
    <w:multiLevelType w:val="hybridMultilevel"/>
    <w:tmpl w:val="A288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62F8E"/>
    <w:multiLevelType w:val="hybridMultilevel"/>
    <w:tmpl w:val="30E0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499171">
    <w:abstractNumId w:val="0"/>
  </w:num>
  <w:num w:numId="2" w16cid:durableId="241186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79"/>
    <w:rsid w:val="00034BFA"/>
    <w:rsid w:val="0004511A"/>
    <w:rsid w:val="00060D8B"/>
    <w:rsid w:val="00062296"/>
    <w:rsid w:val="000A2E92"/>
    <w:rsid w:val="000A7568"/>
    <w:rsid w:val="000D1FCE"/>
    <w:rsid w:val="000E44B8"/>
    <w:rsid w:val="00110B58"/>
    <w:rsid w:val="00126BA2"/>
    <w:rsid w:val="00161B34"/>
    <w:rsid w:val="0019362E"/>
    <w:rsid w:val="00242678"/>
    <w:rsid w:val="00262EE7"/>
    <w:rsid w:val="002652D8"/>
    <w:rsid w:val="002A633A"/>
    <w:rsid w:val="002B16F7"/>
    <w:rsid w:val="002B22C9"/>
    <w:rsid w:val="002E29B5"/>
    <w:rsid w:val="003050CE"/>
    <w:rsid w:val="00311246"/>
    <w:rsid w:val="003130CC"/>
    <w:rsid w:val="003257C8"/>
    <w:rsid w:val="00351520"/>
    <w:rsid w:val="00355459"/>
    <w:rsid w:val="003A14BF"/>
    <w:rsid w:val="003F6CEE"/>
    <w:rsid w:val="003F7FB9"/>
    <w:rsid w:val="00433831"/>
    <w:rsid w:val="00451201"/>
    <w:rsid w:val="004D20AE"/>
    <w:rsid w:val="004D6736"/>
    <w:rsid w:val="00514628"/>
    <w:rsid w:val="00515345"/>
    <w:rsid w:val="005739D5"/>
    <w:rsid w:val="005863FC"/>
    <w:rsid w:val="005B2204"/>
    <w:rsid w:val="005F4B4E"/>
    <w:rsid w:val="00611A22"/>
    <w:rsid w:val="00651938"/>
    <w:rsid w:val="00672F7C"/>
    <w:rsid w:val="006C32A2"/>
    <w:rsid w:val="006D489F"/>
    <w:rsid w:val="006D6A9C"/>
    <w:rsid w:val="00713304"/>
    <w:rsid w:val="007259DB"/>
    <w:rsid w:val="00741177"/>
    <w:rsid w:val="007700AF"/>
    <w:rsid w:val="00777FB8"/>
    <w:rsid w:val="00791847"/>
    <w:rsid w:val="007A60C1"/>
    <w:rsid w:val="007B43A6"/>
    <w:rsid w:val="007C343F"/>
    <w:rsid w:val="007D5C55"/>
    <w:rsid w:val="007E755C"/>
    <w:rsid w:val="0080325D"/>
    <w:rsid w:val="00812036"/>
    <w:rsid w:val="0083693A"/>
    <w:rsid w:val="00860B52"/>
    <w:rsid w:val="00870B1A"/>
    <w:rsid w:val="0089330A"/>
    <w:rsid w:val="00897CC8"/>
    <w:rsid w:val="008F5CB5"/>
    <w:rsid w:val="00926913"/>
    <w:rsid w:val="00955E8B"/>
    <w:rsid w:val="0096305D"/>
    <w:rsid w:val="009D4C4C"/>
    <w:rsid w:val="00A00656"/>
    <w:rsid w:val="00A2689F"/>
    <w:rsid w:val="00A81479"/>
    <w:rsid w:val="00AE1711"/>
    <w:rsid w:val="00B85A8F"/>
    <w:rsid w:val="00BB0AB9"/>
    <w:rsid w:val="00BD7062"/>
    <w:rsid w:val="00C253DC"/>
    <w:rsid w:val="00C36526"/>
    <w:rsid w:val="00C402A1"/>
    <w:rsid w:val="00C42065"/>
    <w:rsid w:val="00CB305A"/>
    <w:rsid w:val="00CE0DAB"/>
    <w:rsid w:val="00D217A1"/>
    <w:rsid w:val="00D218FB"/>
    <w:rsid w:val="00D400A0"/>
    <w:rsid w:val="00D43E3F"/>
    <w:rsid w:val="00D575D7"/>
    <w:rsid w:val="00D63133"/>
    <w:rsid w:val="00D7033C"/>
    <w:rsid w:val="00D72193"/>
    <w:rsid w:val="00D77845"/>
    <w:rsid w:val="00D939C5"/>
    <w:rsid w:val="00DA799D"/>
    <w:rsid w:val="00DC6293"/>
    <w:rsid w:val="00E11AAE"/>
    <w:rsid w:val="00E47237"/>
    <w:rsid w:val="00E758AF"/>
    <w:rsid w:val="00EA7E29"/>
    <w:rsid w:val="00EC4E99"/>
    <w:rsid w:val="00EC4F42"/>
    <w:rsid w:val="00F019B3"/>
    <w:rsid w:val="00F02BDC"/>
    <w:rsid w:val="00F02C5C"/>
    <w:rsid w:val="00F55514"/>
    <w:rsid w:val="00F57A13"/>
    <w:rsid w:val="00F61580"/>
    <w:rsid w:val="00F757EB"/>
    <w:rsid w:val="00F950DA"/>
    <w:rsid w:val="00FA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05EA"/>
  <w15:chartTrackingRefBased/>
  <w15:docId w15:val="{6CEA87BF-4166-4BAB-9FD8-9D9D3B3F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79"/>
    <w:pPr>
      <w:spacing w:line="259" w:lineRule="auto"/>
    </w:pPr>
    <w:rPr>
      <w:sz w:val="22"/>
      <w:szCs w:val="22"/>
    </w:rPr>
  </w:style>
  <w:style w:type="paragraph" w:styleId="Heading1">
    <w:name w:val="heading 1"/>
    <w:basedOn w:val="Normal"/>
    <w:next w:val="Normal"/>
    <w:link w:val="Heading1Char"/>
    <w:uiPriority w:val="9"/>
    <w:qFormat/>
    <w:rsid w:val="00A81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479"/>
    <w:rPr>
      <w:rFonts w:eastAsiaTheme="majorEastAsia" w:cstheme="majorBidi"/>
      <w:color w:val="272727" w:themeColor="text1" w:themeTint="D8"/>
    </w:rPr>
  </w:style>
  <w:style w:type="paragraph" w:styleId="Title">
    <w:name w:val="Title"/>
    <w:basedOn w:val="Normal"/>
    <w:next w:val="Normal"/>
    <w:link w:val="TitleChar"/>
    <w:uiPriority w:val="10"/>
    <w:qFormat/>
    <w:rsid w:val="00A81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479"/>
    <w:pPr>
      <w:spacing w:before="160"/>
      <w:jc w:val="center"/>
    </w:pPr>
    <w:rPr>
      <w:i/>
      <w:iCs/>
      <w:color w:val="404040" w:themeColor="text1" w:themeTint="BF"/>
    </w:rPr>
  </w:style>
  <w:style w:type="character" w:customStyle="1" w:styleId="QuoteChar">
    <w:name w:val="Quote Char"/>
    <w:basedOn w:val="DefaultParagraphFont"/>
    <w:link w:val="Quote"/>
    <w:uiPriority w:val="29"/>
    <w:rsid w:val="00A81479"/>
    <w:rPr>
      <w:i/>
      <w:iCs/>
      <w:color w:val="404040" w:themeColor="text1" w:themeTint="BF"/>
    </w:rPr>
  </w:style>
  <w:style w:type="paragraph" w:styleId="ListParagraph">
    <w:name w:val="List Paragraph"/>
    <w:basedOn w:val="Normal"/>
    <w:uiPriority w:val="34"/>
    <w:qFormat/>
    <w:rsid w:val="00A81479"/>
    <w:pPr>
      <w:ind w:left="720"/>
      <w:contextualSpacing/>
    </w:pPr>
  </w:style>
  <w:style w:type="character" w:styleId="IntenseEmphasis">
    <w:name w:val="Intense Emphasis"/>
    <w:basedOn w:val="DefaultParagraphFont"/>
    <w:uiPriority w:val="21"/>
    <w:qFormat/>
    <w:rsid w:val="00A81479"/>
    <w:rPr>
      <w:i/>
      <w:iCs/>
      <w:color w:val="0F4761" w:themeColor="accent1" w:themeShade="BF"/>
    </w:rPr>
  </w:style>
  <w:style w:type="paragraph" w:styleId="IntenseQuote">
    <w:name w:val="Intense Quote"/>
    <w:basedOn w:val="Normal"/>
    <w:next w:val="Normal"/>
    <w:link w:val="IntenseQuoteChar"/>
    <w:uiPriority w:val="30"/>
    <w:qFormat/>
    <w:rsid w:val="00A81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479"/>
    <w:rPr>
      <w:i/>
      <w:iCs/>
      <w:color w:val="0F4761" w:themeColor="accent1" w:themeShade="BF"/>
    </w:rPr>
  </w:style>
  <w:style w:type="character" w:styleId="IntenseReference">
    <w:name w:val="Intense Reference"/>
    <w:basedOn w:val="DefaultParagraphFont"/>
    <w:uiPriority w:val="32"/>
    <w:qFormat/>
    <w:rsid w:val="00A81479"/>
    <w:rPr>
      <w:b/>
      <w:bCs/>
      <w:smallCaps/>
      <w:color w:val="0F4761" w:themeColor="accent1" w:themeShade="BF"/>
      <w:spacing w:val="5"/>
    </w:rPr>
  </w:style>
  <w:style w:type="paragraph" w:styleId="Header">
    <w:name w:val="header"/>
    <w:basedOn w:val="Normal"/>
    <w:link w:val="HeaderChar"/>
    <w:uiPriority w:val="99"/>
    <w:unhideWhenUsed/>
    <w:rsid w:val="00110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B58"/>
    <w:rPr>
      <w:sz w:val="22"/>
      <w:szCs w:val="22"/>
    </w:rPr>
  </w:style>
  <w:style w:type="paragraph" w:styleId="Footer">
    <w:name w:val="footer"/>
    <w:basedOn w:val="Normal"/>
    <w:link w:val="FooterChar"/>
    <w:uiPriority w:val="99"/>
    <w:unhideWhenUsed/>
    <w:rsid w:val="00110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B5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2026-03-03T19:16:00Z</dcterms:created>
  <dcterms:modified xsi:type="dcterms:W3CDTF">2026-03-03T19:16:00Z</dcterms:modified>
</cp:coreProperties>
</file>