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35139" w14:textId="77777777" w:rsidR="00084F92" w:rsidRDefault="00084F92" w:rsidP="00084F92">
      <w:pPr>
        <w:spacing w:after="0" w:line="240" w:lineRule="auto"/>
        <w:jc w:val="center"/>
      </w:pPr>
      <w:r>
        <w:t xml:space="preserve">Massachusetts Autism Commission </w:t>
      </w:r>
    </w:p>
    <w:p w14:paraId="7E6FE3C0" w14:textId="77777777" w:rsidR="00084F92" w:rsidRDefault="00084F92" w:rsidP="00084F92">
      <w:pPr>
        <w:spacing w:after="0" w:line="240" w:lineRule="auto"/>
        <w:jc w:val="center"/>
      </w:pPr>
      <w:r>
        <w:t>Meeting Minutes</w:t>
      </w:r>
    </w:p>
    <w:p w14:paraId="25813A42" w14:textId="70F8C0D0" w:rsidR="00084F92" w:rsidRDefault="00084F92" w:rsidP="00084F92">
      <w:pPr>
        <w:spacing w:after="0" w:line="240" w:lineRule="auto"/>
        <w:jc w:val="center"/>
      </w:pPr>
      <w:r>
        <w:t>December 17, 2020– 2:00 p.m.– 3:30 p.m.</w:t>
      </w:r>
    </w:p>
    <w:p w14:paraId="69A4B30A" w14:textId="77777777" w:rsidR="00084F92" w:rsidRDefault="00084F92" w:rsidP="00084F92">
      <w:pPr>
        <w:spacing w:after="0" w:line="240" w:lineRule="auto"/>
        <w:jc w:val="center"/>
      </w:pPr>
      <w:r>
        <w:t>Via WebEx</w:t>
      </w:r>
    </w:p>
    <w:p w14:paraId="6E758842" w14:textId="77777777" w:rsidR="00084F92" w:rsidRDefault="00084F92" w:rsidP="00084F92">
      <w:pPr>
        <w:spacing w:after="0" w:line="240" w:lineRule="auto"/>
        <w:jc w:val="center"/>
      </w:pPr>
    </w:p>
    <w:p w14:paraId="2DF92EF5" w14:textId="71A1584B" w:rsidR="00084F92" w:rsidRDefault="00084F92" w:rsidP="00084F92">
      <w:pPr>
        <w:spacing w:after="0" w:line="240" w:lineRule="auto"/>
      </w:pPr>
      <w:r>
        <w:t>Present:  Katie Mick</w:t>
      </w:r>
      <w:r w:rsidR="001E2F00">
        <w:t>,</w:t>
      </w:r>
      <w:r>
        <w:t xml:space="preserve"> Undersecretary (EHS), Carolyn Kain</w:t>
      </w:r>
      <w:r w:rsidR="00DC4FAF">
        <w:t xml:space="preserve"> (EHS)</w:t>
      </w:r>
      <w:r>
        <w:t>, Jane Ryder (DDS), Elizabeth Morse (DDS), Janet George (DDS), Rep. Christine Barber (HOU), Sen. Joan Lovely</w:t>
      </w:r>
      <w:r w:rsidR="001E0D31">
        <w:t xml:space="preserve"> (SEN)</w:t>
      </w:r>
      <w:r>
        <w:t xml:space="preserve">, Ann Reale </w:t>
      </w:r>
      <w:r w:rsidR="001E2F00">
        <w:t>(</w:t>
      </w:r>
      <w:r>
        <w:t xml:space="preserve">EOE), Samantha Aigner-Treworgy (EEC), Robert Jones (EHS), Kate Ginnis (EHS) , Terri Anderson for Kathy Sanders (DMH), Christine Hubbard,  Russell Johnston (DESE), Amy Weinstock, Bronia Clifton (DHCD), Michele Brait, Joan Butterfield (DPH), Toni Wolf (MRC), Katherine Canada (DCF), </w:t>
      </w:r>
      <w:r w:rsidR="00D51733">
        <w:t>Sacha Stadhard (</w:t>
      </w:r>
      <w:r w:rsidR="00E14887">
        <w:t>EOL</w:t>
      </w:r>
      <w:r w:rsidR="00D51733">
        <w:t>)</w:t>
      </w:r>
      <w:r w:rsidR="00E14887">
        <w:t>,</w:t>
      </w:r>
      <w:r w:rsidR="00D51733">
        <w:t xml:space="preserve"> </w:t>
      </w:r>
      <w:r>
        <w:t xml:space="preserve">Dania Jekel, Teresa Touhey Schirmer, Ann Neumeyer, </w:t>
      </w:r>
      <w:r w:rsidRPr="001E0D31">
        <w:t>Vinn</w:t>
      </w:r>
      <w:r w:rsidR="00DC4FAF" w:rsidRPr="001E0D31">
        <w:t>ie</w:t>
      </w:r>
      <w:r w:rsidRPr="001E0D31">
        <w:t xml:space="preserve"> S</w:t>
      </w:r>
      <w:r>
        <w:t>trully, Felix Martinez, Johanna Wakelin, Jo Ann Simmons, Julia Landau</w:t>
      </w:r>
      <w:r w:rsidR="0005051D">
        <w:t xml:space="preserve">, Jevon Okundaye </w:t>
      </w:r>
      <w:r>
        <w:t>and Dan Burke.</w:t>
      </w:r>
    </w:p>
    <w:p w14:paraId="4B8B44E5" w14:textId="77777777" w:rsidR="00084F92" w:rsidRDefault="00084F92" w:rsidP="00084F92">
      <w:pPr>
        <w:spacing w:after="0" w:line="240" w:lineRule="auto"/>
      </w:pPr>
      <w:r>
        <w:t xml:space="preserve"> </w:t>
      </w:r>
    </w:p>
    <w:p w14:paraId="38DEE181" w14:textId="1D1FC1D5" w:rsidR="00084F92" w:rsidRDefault="00084F92" w:rsidP="00084F92">
      <w:pPr>
        <w:rPr>
          <w:b/>
          <w:u w:val="single"/>
        </w:rPr>
      </w:pPr>
      <w:r>
        <w:rPr>
          <w:b/>
          <w:u w:val="single"/>
        </w:rPr>
        <w:t>Welcome - Review and Approval of Meeting Minutes from October</w:t>
      </w:r>
    </w:p>
    <w:p w14:paraId="597DE34F" w14:textId="344440BF" w:rsidR="00084F92" w:rsidRDefault="00084F92" w:rsidP="00084F92">
      <w:r>
        <w:t xml:space="preserve">Undersecretary Mick called the meeting to order and welcomed the Autism Commission members to the meeting.    </w:t>
      </w:r>
    </w:p>
    <w:p w14:paraId="4D86388C" w14:textId="279044ED" w:rsidR="00084F92" w:rsidRDefault="00084F92" w:rsidP="00084F92">
      <w:r>
        <w:t xml:space="preserve">Commission members were asked to </w:t>
      </w:r>
      <w:r w:rsidR="00840342">
        <w:t xml:space="preserve">review </w:t>
      </w:r>
      <w:r w:rsidR="00EB2A77">
        <w:t xml:space="preserve">and give comments or feedback on </w:t>
      </w:r>
      <w:r w:rsidR="00840342">
        <w:t xml:space="preserve">the meeting minutes </w:t>
      </w:r>
      <w:r>
        <w:t xml:space="preserve">from October 28, 2020. </w:t>
      </w:r>
      <w:r w:rsidR="00EB2A77">
        <w:t xml:space="preserve"> Russell Johnston</w:t>
      </w:r>
      <w:r>
        <w:t xml:space="preserve"> moved the motion </w:t>
      </w:r>
      <w:r w:rsidR="00EB2A77">
        <w:t>and Jo Ann Simmons</w:t>
      </w:r>
      <w:r>
        <w:t xml:space="preserve"> seconded the motion.  The members of the Commission used the “raise hand” caption on WebEx to vote and the minutes were approved unanimously.</w:t>
      </w:r>
    </w:p>
    <w:p w14:paraId="67799A74" w14:textId="2A6CC86C" w:rsidR="00FC008E" w:rsidRPr="007361AA" w:rsidRDefault="00FC008E" w:rsidP="00FC008E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7361AA">
        <w:rPr>
          <w:rFonts w:cstheme="minorHAnsi"/>
          <w:b/>
          <w:bCs/>
          <w:u w:val="single"/>
        </w:rPr>
        <w:t xml:space="preserve">Review Draft Annual Report </w:t>
      </w:r>
    </w:p>
    <w:p w14:paraId="2A519FB1" w14:textId="5BF779BA" w:rsidR="00FC008E" w:rsidRDefault="00FC008E" w:rsidP="00FC008E">
      <w:pPr>
        <w:spacing w:before="100" w:after="240" w:line="240" w:lineRule="auto"/>
        <w:rPr>
          <w:rFonts w:cstheme="minorHAnsi"/>
        </w:rPr>
      </w:pPr>
      <w:r w:rsidRPr="007361AA">
        <w:rPr>
          <w:rFonts w:cstheme="minorHAnsi"/>
        </w:rPr>
        <w:t>Ms. Kain provided a Po</w:t>
      </w:r>
      <w:r w:rsidR="007361AA">
        <w:rPr>
          <w:rFonts w:cstheme="minorHAnsi"/>
        </w:rPr>
        <w:t>werPoint that highlighted priorities and updates of the draft Annual Report.  Many of the recommendations and updates have remained the same due to the pandemic.</w:t>
      </w:r>
    </w:p>
    <w:p w14:paraId="4005C14B" w14:textId="1D1FBCC5" w:rsidR="007361AA" w:rsidRPr="00377DB2" w:rsidRDefault="007361AA" w:rsidP="00FC008E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77DB2">
        <w:rPr>
          <w:rFonts w:cstheme="minorHAnsi"/>
          <w:b/>
          <w:bCs/>
          <w:u w:val="single"/>
        </w:rPr>
        <w:t>DDS Newly Eligible</w:t>
      </w:r>
    </w:p>
    <w:p w14:paraId="6599875D" w14:textId="4DA8FB87" w:rsidR="007361AA" w:rsidRDefault="007361AA" w:rsidP="007361AA">
      <w:pPr>
        <w:pStyle w:val="ListParagraph"/>
        <w:numPr>
          <w:ilvl w:val="0"/>
          <w:numId w:val="5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From November 2014 to October 2020, 2,746 “newly eligible” individuals with </w:t>
      </w:r>
      <w:r w:rsidRPr="00377DB2">
        <w:rPr>
          <w:rFonts w:cstheme="minorHAnsi"/>
          <w:u w:val="single"/>
        </w:rPr>
        <w:t>ASD only</w:t>
      </w:r>
      <w:r>
        <w:rPr>
          <w:rFonts w:cstheme="minorHAnsi"/>
        </w:rPr>
        <w:t xml:space="preserve"> met </w:t>
      </w:r>
      <w:r w:rsidR="00015B5D">
        <w:rPr>
          <w:rFonts w:cstheme="minorHAnsi"/>
        </w:rPr>
        <w:t>the DDS</w:t>
      </w:r>
      <w:r>
        <w:rPr>
          <w:rFonts w:cstheme="minorHAnsi"/>
        </w:rPr>
        <w:t xml:space="preserve"> criteria for eligibility as a person with autism and functional </w:t>
      </w:r>
      <w:r w:rsidR="00015B5D">
        <w:rPr>
          <w:rFonts w:cstheme="minorHAnsi"/>
        </w:rPr>
        <w:t>impairments.</w:t>
      </w:r>
    </w:p>
    <w:p w14:paraId="48FABF1E" w14:textId="7A1D7730" w:rsidR="007361AA" w:rsidRDefault="007361AA" w:rsidP="007361AA">
      <w:pPr>
        <w:pStyle w:val="ListParagraph"/>
        <w:numPr>
          <w:ilvl w:val="0"/>
          <w:numId w:val="5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Of the 2,746 individuals eligible, 1,774 are enrolled in DDS services</w:t>
      </w:r>
    </w:p>
    <w:p w14:paraId="577271BC" w14:textId="07B52015" w:rsidR="007361AA" w:rsidRPr="00377DB2" w:rsidRDefault="007361AA" w:rsidP="007361AA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77DB2">
        <w:rPr>
          <w:rFonts w:cstheme="minorHAnsi"/>
          <w:b/>
          <w:bCs/>
          <w:u w:val="single"/>
        </w:rPr>
        <w:t>DDS ASD and ID Population</w:t>
      </w:r>
    </w:p>
    <w:p w14:paraId="4A9C847E" w14:textId="6E2B0B70" w:rsidR="007361AA" w:rsidRDefault="007361AA" w:rsidP="007361AA">
      <w:pPr>
        <w:pStyle w:val="ListParagraph"/>
        <w:numPr>
          <w:ilvl w:val="0"/>
          <w:numId w:val="6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Since eligibility was expanded for individuals with ASD, DDS also began separately tracking the number of individuals with co-occurring ASD and ID.  The number of new individuals with ID and ASD as of October 2020 is, 1,291</w:t>
      </w:r>
    </w:p>
    <w:p w14:paraId="0462C08D" w14:textId="03C465AC" w:rsidR="007361AA" w:rsidRPr="00377DB2" w:rsidRDefault="007361AA" w:rsidP="007361AA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77DB2">
        <w:rPr>
          <w:rFonts w:cstheme="minorHAnsi"/>
          <w:b/>
          <w:bCs/>
          <w:u w:val="single"/>
        </w:rPr>
        <w:t>DDS Turning 22</w:t>
      </w:r>
    </w:p>
    <w:p w14:paraId="207D1E99" w14:textId="34C502C6" w:rsidR="007361AA" w:rsidRDefault="007361AA" w:rsidP="007361AA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There are not a lot of budget highlights in the report – they are still being worked </w:t>
      </w:r>
      <w:r w:rsidR="001E0D31">
        <w:rPr>
          <w:rFonts w:cstheme="minorHAnsi"/>
        </w:rPr>
        <w:t>on</w:t>
      </w:r>
      <w:r>
        <w:rPr>
          <w:rFonts w:cstheme="minorHAnsi"/>
        </w:rPr>
        <w:t xml:space="preserve"> </w:t>
      </w:r>
      <w:r w:rsidR="001E0D31">
        <w:rPr>
          <w:rFonts w:cstheme="minorHAnsi"/>
        </w:rPr>
        <w:t>by</w:t>
      </w:r>
      <w:r>
        <w:rPr>
          <w:rFonts w:cstheme="minorHAnsi"/>
        </w:rPr>
        <w:t xml:space="preserve"> the </w:t>
      </w:r>
      <w:r w:rsidR="001E0D31">
        <w:rPr>
          <w:rFonts w:cstheme="minorHAnsi"/>
        </w:rPr>
        <w:t xml:space="preserve">Legislature </w:t>
      </w:r>
      <w:r>
        <w:rPr>
          <w:rFonts w:cstheme="minorHAnsi"/>
        </w:rPr>
        <w:t>and the Governor</w:t>
      </w:r>
      <w:r w:rsidR="001E0D31">
        <w:rPr>
          <w:rFonts w:cstheme="minorHAnsi"/>
        </w:rPr>
        <w:t>’</w:t>
      </w:r>
      <w:r>
        <w:rPr>
          <w:rFonts w:cstheme="minorHAnsi"/>
        </w:rPr>
        <w:t>s office.  If budget information becomes available</w:t>
      </w:r>
      <w:r w:rsidR="001623FD">
        <w:rPr>
          <w:rFonts w:cstheme="minorHAnsi"/>
        </w:rPr>
        <w:t>, Ms. Kain will provide it in the report</w:t>
      </w:r>
      <w:r w:rsidR="001E0D31">
        <w:rPr>
          <w:rFonts w:cstheme="minorHAnsi"/>
        </w:rPr>
        <w:t>.</w:t>
      </w:r>
    </w:p>
    <w:p w14:paraId="1A8C5B0E" w14:textId="304D97A7" w:rsidR="001623FD" w:rsidRDefault="001623FD" w:rsidP="001623FD">
      <w:pPr>
        <w:pStyle w:val="ListParagraph"/>
        <w:numPr>
          <w:ilvl w:val="0"/>
          <w:numId w:val="6"/>
        </w:numPr>
        <w:spacing w:before="100" w:after="240" w:line="240" w:lineRule="auto"/>
        <w:rPr>
          <w:rFonts w:cstheme="minorHAnsi"/>
        </w:rPr>
      </w:pPr>
      <w:bookmarkStart w:id="0" w:name="_Hlk62649324"/>
      <w:r>
        <w:rPr>
          <w:rFonts w:cstheme="minorHAnsi"/>
        </w:rPr>
        <w:lastRenderedPageBreak/>
        <w:t xml:space="preserve">The FY21 “Turning 22” budget was submitted at $25M.  There are 336 individuals with </w:t>
      </w:r>
      <w:r w:rsidRPr="00377DB2">
        <w:rPr>
          <w:rFonts w:cstheme="minorHAnsi"/>
          <w:u w:val="single"/>
        </w:rPr>
        <w:t>ASD only</w:t>
      </w:r>
      <w:r>
        <w:rPr>
          <w:rFonts w:cstheme="minorHAnsi"/>
        </w:rPr>
        <w:t xml:space="preserve"> in this year’s T22 class, which is </w:t>
      </w:r>
      <w:r w:rsidR="0075551F">
        <w:rPr>
          <w:rFonts w:cstheme="minorHAnsi"/>
        </w:rPr>
        <w:t xml:space="preserve">27% of the FY21 T22 class. </w:t>
      </w:r>
      <w:r>
        <w:rPr>
          <w:rFonts w:cstheme="minorHAnsi"/>
        </w:rPr>
        <w:t xml:space="preserve"> There are also 262 individuals with ASD and ID, which is an additional 21% of the FY21 T22 class.</w:t>
      </w:r>
    </w:p>
    <w:bookmarkEnd w:id="0"/>
    <w:p w14:paraId="3480FC8B" w14:textId="6E535D36" w:rsidR="0075551F" w:rsidRPr="0075551F" w:rsidRDefault="0075551F" w:rsidP="0075551F">
      <w:pPr>
        <w:spacing w:before="100" w:after="240" w:line="240" w:lineRule="auto"/>
        <w:rPr>
          <w:rFonts w:cstheme="minorHAnsi"/>
          <w:i/>
          <w:iCs/>
        </w:rPr>
      </w:pPr>
      <w:r w:rsidRPr="0075551F">
        <w:rPr>
          <w:rFonts w:cstheme="minorHAnsi"/>
          <w:i/>
          <w:iCs/>
        </w:rPr>
        <w:t>Discussion</w:t>
      </w:r>
    </w:p>
    <w:p w14:paraId="0F2BDE33" w14:textId="13402909" w:rsidR="0075551F" w:rsidRDefault="0075551F" w:rsidP="0075551F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It was asked if the data provided by DDS could be broken down by race/ethnicity.  Commissioner Ryder responded that the demographics of individuals is voluntary information and individuals are not required to share that specific data</w:t>
      </w:r>
      <w:r w:rsidR="00651D63">
        <w:rPr>
          <w:rFonts w:cstheme="minorHAnsi"/>
        </w:rPr>
        <w:t>, but she will ask what DDS may have available</w:t>
      </w:r>
      <w:r>
        <w:rPr>
          <w:rFonts w:cstheme="minorHAnsi"/>
        </w:rPr>
        <w:t xml:space="preserve">.  </w:t>
      </w:r>
    </w:p>
    <w:p w14:paraId="625386F7" w14:textId="0BDB4536" w:rsidR="0075551F" w:rsidRPr="00CE6F6C" w:rsidRDefault="0075551F" w:rsidP="0075551F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CE6F6C">
        <w:rPr>
          <w:rFonts w:cstheme="minorHAnsi"/>
          <w:b/>
          <w:bCs/>
          <w:u w:val="single"/>
        </w:rPr>
        <w:t>MassHealth ABA Services</w:t>
      </w:r>
    </w:p>
    <w:p w14:paraId="75FAD0B3" w14:textId="56BE6B9F" w:rsidR="0075551F" w:rsidRDefault="0075551F" w:rsidP="0075551F">
      <w:pPr>
        <w:pStyle w:val="ListParagraph"/>
        <w:numPr>
          <w:ilvl w:val="0"/>
          <w:numId w:val="6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MassHealth implemented statewide ABA services as of </w:t>
      </w:r>
      <w:r w:rsidR="00ED1545">
        <w:rPr>
          <w:rFonts w:cstheme="minorHAnsi"/>
        </w:rPr>
        <w:t>6/2015</w:t>
      </w:r>
    </w:p>
    <w:p w14:paraId="62339AFC" w14:textId="5FEB3521" w:rsidR="00ED1545" w:rsidRDefault="00ED1545" w:rsidP="0075551F">
      <w:pPr>
        <w:pStyle w:val="ListParagraph"/>
        <w:numPr>
          <w:ilvl w:val="0"/>
          <w:numId w:val="6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FY20 spending on ABA by codes $121,215,751</w:t>
      </w:r>
    </w:p>
    <w:p w14:paraId="041E6332" w14:textId="5D62101F" w:rsidR="00ED1545" w:rsidRDefault="00ED1545" w:rsidP="0075551F">
      <w:pPr>
        <w:pStyle w:val="ListParagraph"/>
        <w:numPr>
          <w:ilvl w:val="0"/>
          <w:numId w:val="6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Number of individuals age 0-5 served is 3,162; 2,634 for ages 6-12 and ages 13-20 served 684 individuals</w:t>
      </w:r>
    </w:p>
    <w:p w14:paraId="5A6F0CD9" w14:textId="36812BF8" w:rsidR="00FF45A2" w:rsidRPr="00377DB2" w:rsidRDefault="00311B8E" w:rsidP="00ED1545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77DB2">
        <w:rPr>
          <w:rFonts w:cstheme="minorHAnsi"/>
          <w:b/>
          <w:bCs/>
          <w:u w:val="single"/>
        </w:rPr>
        <w:t>MassHealth AAC Devices</w:t>
      </w:r>
    </w:p>
    <w:p w14:paraId="14809440" w14:textId="789F5193" w:rsidR="00311B8E" w:rsidRDefault="00311B8E" w:rsidP="00311B8E">
      <w:pPr>
        <w:pStyle w:val="ListParagraph"/>
        <w:numPr>
          <w:ilvl w:val="0"/>
          <w:numId w:val="7"/>
        </w:numPr>
        <w:spacing w:before="100" w:after="240" w:line="240" w:lineRule="auto"/>
        <w:rPr>
          <w:rFonts w:cstheme="minorHAnsi"/>
        </w:rPr>
      </w:pPr>
      <w:bookmarkStart w:id="1" w:name="_Hlk62649515"/>
      <w:r>
        <w:rPr>
          <w:rFonts w:cstheme="minorHAnsi"/>
        </w:rPr>
        <w:t>In FY20, MH issued 36 dedicated speech generating devices (SGDs) and 3 non-dedicated devices</w:t>
      </w:r>
    </w:p>
    <w:p w14:paraId="130968B2" w14:textId="235F0565" w:rsidR="00311B8E" w:rsidRDefault="00311B8E" w:rsidP="00311B8E">
      <w:pPr>
        <w:pStyle w:val="ListParagraph"/>
        <w:numPr>
          <w:ilvl w:val="0"/>
          <w:numId w:val="7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To date, in FY21 MH has issued 21 dedicated SGDs </w:t>
      </w:r>
      <w:r w:rsidR="007C743A">
        <w:rPr>
          <w:rFonts w:cstheme="minorHAnsi"/>
        </w:rPr>
        <w:t>and has 2 pending requests for non-dedicated devices.</w:t>
      </w:r>
    </w:p>
    <w:bookmarkEnd w:id="1"/>
    <w:p w14:paraId="0F5EC418" w14:textId="29161250" w:rsidR="007C743A" w:rsidRPr="00311B8E" w:rsidRDefault="007C743A" w:rsidP="00311B8E">
      <w:pPr>
        <w:pStyle w:val="ListParagraph"/>
        <w:numPr>
          <w:ilvl w:val="0"/>
          <w:numId w:val="7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MH plans to conduct a training for all SLPs that are enrolled in MH, and to create a support line for consumers.</w:t>
      </w:r>
    </w:p>
    <w:p w14:paraId="352D82F6" w14:textId="0AC2BDFF" w:rsidR="00ED1545" w:rsidRPr="00FF45A2" w:rsidRDefault="00ED1545" w:rsidP="00ED1545">
      <w:pPr>
        <w:spacing w:before="100" w:after="240" w:line="240" w:lineRule="auto"/>
        <w:rPr>
          <w:rFonts w:cstheme="minorHAnsi"/>
          <w:i/>
          <w:iCs/>
        </w:rPr>
      </w:pPr>
      <w:r w:rsidRPr="00FF45A2">
        <w:rPr>
          <w:rFonts w:cstheme="minorHAnsi"/>
          <w:i/>
          <w:iCs/>
        </w:rPr>
        <w:t>Discussion</w:t>
      </w:r>
    </w:p>
    <w:p w14:paraId="4853A6A5" w14:textId="4CF3F28E" w:rsidR="00ED1545" w:rsidRDefault="001E0D31" w:rsidP="00ED1545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A few members reported that t</w:t>
      </w:r>
      <w:r w:rsidR="00ED1545">
        <w:rPr>
          <w:rFonts w:cstheme="minorHAnsi"/>
        </w:rPr>
        <w:t xml:space="preserve">here are barriers preventing individuals from getting a device and some individuals are now looking to get a device through grants due to frustration.  </w:t>
      </w:r>
      <w:r>
        <w:rPr>
          <w:rFonts w:cstheme="minorHAnsi"/>
        </w:rPr>
        <w:t xml:space="preserve">Issues raised include the </w:t>
      </w:r>
      <w:r w:rsidR="00ED1545">
        <w:rPr>
          <w:rFonts w:cstheme="minorHAnsi"/>
        </w:rPr>
        <w:t xml:space="preserve">medical necessity criteria that is required, few get through the procurement, issues with ACO.  MassHealth started looking at these </w:t>
      </w:r>
      <w:r>
        <w:rPr>
          <w:rFonts w:cstheme="minorHAnsi"/>
        </w:rPr>
        <w:t>concerns</w:t>
      </w:r>
      <w:r w:rsidR="00ED1545">
        <w:rPr>
          <w:rFonts w:cstheme="minorHAnsi"/>
        </w:rPr>
        <w:t xml:space="preserve"> in Jan./Feb. of 2020 and th</w:t>
      </w:r>
      <w:r>
        <w:rPr>
          <w:rFonts w:cstheme="minorHAnsi"/>
        </w:rPr>
        <w:t>at</w:t>
      </w:r>
      <w:r w:rsidR="00ED1545">
        <w:rPr>
          <w:rFonts w:cstheme="minorHAnsi"/>
        </w:rPr>
        <w:t xml:space="preserve"> work has been delayed due to COVID.  </w:t>
      </w:r>
      <w:r>
        <w:rPr>
          <w:rFonts w:cstheme="minorHAnsi"/>
        </w:rPr>
        <w:t xml:space="preserve">MassHealth </w:t>
      </w:r>
      <w:r w:rsidR="00ED1545">
        <w:rPr>
          <w:rFonts w:cstheme="minorHAnsi"/>
        </w:rPr>
        <w:t>encourage</w:t>
      </w:r>
      <w:r>
        <w:rPr>
          <w:rFonts w:cstheme="minorHAnsi"/>
        </w:rPr>
        <w:t>d</w:t>
      </w:r>
      <w:r w:rsidR="00ED1545">
        <w:rPr>
          <w:rFonts w:cstheme="minorHAnsi"/>
        </w:rPr>
        <w:t xml:space="preserve"> continued conversation with the Autism Commission </w:t>
      </w:r>
      <w:r>
        <w:rPr>
          <w:rFonts w:cstheme="minorHAnsi"/>
        </w:rPr>
        <w:t xml:space="preserve">members who have heard of concerns </w:t>
      </w:r>
      <w:r w:rsidR="00ED1545">
        <w:rPr>
          <w:rFonts w:cstheme="minorHAnsi"/>
        </w:rPr>
        <w:t xml:space="preserve">as they </w:t>
      </w:r>
      <w:r>
        <w:rPr>
          <w:rFonts w:cstheme="minorHAnsi"/>
        </w:rPr>
        <w:t xml:space="preserve">move forward </w:t>
      </w:r>
      <w:r w:rsidR="00ED1545">
        <w:rPr>
          <w:rFonts w:cstheme="minorHAnsi"/>
        </w:rPr>
        <w:t>to address th</w:t>
      </w:r>
      <w:r>
        <w:rPr>
          <w:rFonts w:cstheme="minorHAnsi"/>
        </w:rPr>
        <w:t>ese</w:t>
      </w:r>
      <w:r w:rsidR="00ED1545">
        <w:rPr>
          <w:rFonts w:cstheme="minorHAnsi"/>
        </w:rPr>
        <w:t xml:space="preserve"> issue</w:t>
      </w:r>
      <w:r>
        <w:rPr>
          <w:rFonts w:cstheme="minorHAnsi"/>
        </w:rPr>
        <w:t>s</w:t>
      </w:r>
      <w:r w:rsidR="00ED1545">
        <w:rPr>
          <w:rFonts w:cstheme="minorHAnsi"/>
        </w:rPr>
        <w:t>.</w:t>
      </w:r>
      <w:r w:rsidR="00FF45A2">
        <w:rPr>
          <w:rFonts w:cstheme="minorHAnsi"/>
        </w:rPr>
        <w:t xml:space="preserve">  </w:t>
      </w:r>
    </w:p>
    <w:p w14:paraId="4AC06AD7" w14:textId="6DD8956E" w:rsidR="00FF45A2" w:rsidRDefault="00FF45A2" w:rsidP="00ED1545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It was also asked if the data </w:t>
      </w:r>
      <w:r w:rsidR="007C743A">
        <w:rPr>
          <w:rFonts w:cstheme="minorHAnsi"/>
        </w:rPr>
        <w:t>on who is receiving these devices could be broken down by race/language and ethnicity.  MassHealth will provide that data if they have it available.</w:t>
      </w:r>
    </w:p>
    <w:p w14:paraId="0C628342" w14:textId="0B93C5EA" w:rsidR="00091D91" w:rsidRPr="00377DB2" w:rsidRDefault="00091D91" w:rsidP="00ED1545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77DB2">
        <w:rPr>
          <w:rFonts w:cstheme="minorHAnsi"/>
          <w:b/>
          <w:bCs/>
          <w:u w:val="single"/>
        </w:rPr>
        <w:t>DDS and DMH Fellowships</w:t>
      </w:r>
    </w:p>
    <w:p w14:paraId="3F1C4D9E" w14:textId="16116D00" w:rsidR="00091D91" w:rsidRDefault="00091D91" w:rsidP="00091D91">
      <w:pPr>
        <w:pStyle w:val="ListParagraph"/>
        <w:numPr>
          <w:ilvl w:val="0"/>
          <w:numId w:val="8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For the 2019-2020 academic year (July – June) combined, the sites recorded 21 evaluations of DDS/DMH clients resulting in diagnostic clarification, service needs and treatment planning suggestions for individuals with ASD and mental health issues.</w:t>
      </w:r>
    </w:p>
    <w:p w14:paraId="31CDD46A" w14:textId="495931B2" w:rsidR="00091D91" w:rsidRPr="000637C1" w:rsidRDefault="00091D91" w:rsidP="00091D91">
      <w:pPr>
        <w:spacing w:before="100" w:after="240" w:line="240" w:lineRule="auto"/>
        <w:rPr>
          <w:rFonts w:cstheme="minorHAnsi"/>
          <w:i/>
          <w:iCs/>
        </w:rPr>
      </w:pPr>
      <w:r w:rsidRPr="000637C1">
        <w:rPr>
          <w:rFonts w:cstheme="minorHAnsi"/>
          <w:i/>
          <w:iCs/>
        </w:rPr>
        <w:t>Update</w:t>
      </w:r>
    </w:p>
    <w:p w14:paraId="7DD4456A" w14:textId="4F043141" w:rsidR="00091D91" w:rsidRDefault="00091D91" w:rsidP="00091D91">
      <w:pPr>
        <w:spacing w:before="100" w:after="240" w:line="240" w:lineRule="auto"/>
        <w:rPr>
          <w:rFonts w:cstheme="minorHAnsi"/>
        </w:rPr>
      </w:pPr>
      <w:r w:rsidRPr="001E0D31">
        <w:rPr>
          <w:rFonts w:cstheme="minorHAnsi"/>
        </w:rPr>
        <w:t xml:space="preserve">There </w:t>
      </w:r>
      <w:r w:rsidR="001E0D31" w:rsidRPr="001E0D31">
        <w:rPr>
          <w:rFonts w:cstheme="minorHAnsi"/>
        </w:rPr>
        <w:t>have been</w:t>
      </w:r>
      <w:r w:rsidRPr="001E0D31">
        <w:rPr>
          <w:rFonts w:cstheme="minorHAnsi"/>
        </w:rPr>
        <w:t xml:space="preserve"> 21 additional evaluations</w:t>
      </w:r>
      <w:r w:rsidR="000637C1" w:rsidRPr="001E0D31">
        <w:rPr>
          <w:rFonts w:cstheme="minorHAnsi"/>
        </w:rPr>
        <w:t>.</w:t>
      </w:r>
      <w:r w:rsidR="000637C1">
        <w:rPr>
          <w:rFonts w:cstheme="minorHAnsi"/>
        </w:rPr>
        <w:t xml:space="preserve">  This work is continuing with clinicians to see if the presentation is a result of ASD or mental health issues.</w:t>
      </w:r>
    </w:p>
    <w:p w14:paraId="0FCF5A62" w14:textId="20CB18E7" w:rsidR="000637C1" w:rsidRDefault="000637C1" w:rsidP="00091D91">
      <w:pPr>
        <w:spacing w:before="100" w:after="240" w:line="240" w:lineRule="auto"/>
        <w:rPr>
          <w:rFonts w:cstheme="minorHAnsi"/>
        </w:rPr>
      </w:pPr>
    </w:p>
    <w:p w14:paraId="2A870B58" w14:textId="56F6E4A9" w:rsidR="000637C1" w:rsidRPr="000637C1" w:rsidRDefault="000637C1" w:rsidP="00091D91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0637C1">
        <w:rPr>
          <w:rFonts w:cstheme="minorHAnsi"/>
          <w:b/>
          <w:bCs/>
          <w:u w:val="single"/>
        </w:rPr>
        <w:lastRenderedPageBreak/>
        <w:t>MRC VR and Pre-ET</w:t>
      </w:r>
      <w:r w:rsidR="00377DB2">
        <w:rPr>
          <w:rFonts w:cstheme="minorHAnsi"/>
          <w:b/>
          <w:bCs/>
          <w:u w:val="single"/>
        </w:rPr>
        <w:t>S</w:t>
      </w:r>
    </w:p>
    <w:p w14:paraId="7F047FE2" w14:textId="77777777" w:rsidR="000637C1" w:rsidRDefault="000637C1" w:rsidP="000637C1">
      <w:pPr>
        <w:pStyle w:val="ListParagraph"/>
        <w:numPr>
          <w:ilvl w:val="0"/>
          <w:numId w:val="8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MRC served 372 VR consumers with ASD in FY20 who were enrolled in post-secondary </w:t>
      </w:r>
    </w:p>
    <w:p w14:paraId="36C167C9" w14:textId="7120925B" w:rsidR="000637C1" w:rsidRDefault="000637C1" w:rsidP="000637C1">
      <w:pPr>
        <w:pStyle w:val="ListParagraph"/>
        <w:spacing w:before="100" w:after="240" w:line="240" w:lineRule="auto"/>
        <w:rPr>
          <w:rFonts w:cstheme="minorHAnsi"/>
        </w:rPr>
      </w:pPr>
      <w:r>
        <w:rPr>
          <w:rFonts w:cstheme="minorHAnsi"/>
        </w:rPr>
        <w:t>Education.  The data was further broken down by race and ethnicity</w:t>
      </w:r>
    </w:p>
    <w:p w14:paraId="099BAD44" w14:textId="50390527" w:rsidR="000637C1" w:rsidRDefault="000637C1" w:rsidP="000637C1">
      <w:pPr>
        <w:pStyle w:val="ListParagraph"/>
        <w:numPr>
          <w:ilvl w:val="0"/>
          <w:numId w:val="8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MRC has 35 providers of pre-employment services (Pre-ET</w:t>
      </w:r>
      <w:r w:rsidR="00377DB2">
        <w:rPr>
          <w:rFonts w:cstheme="minorHAnsi"/>
        </w:rPr>
        <w:t>S</w:t>
      </w:r>
      <w:r>
        <w:rPr>
          <w:rFonts w:cstheme="minorHAnsi"/>
        </w:rPr>
        <w:t>)</w:t>
      </w:r>
    </w:p>
    <w:p w14:paraId="625455AC" w14:textId="60FD4A25" w:rsidR="000637C1" w:rsidRDefault="000637C1" w:rsidP="000637C1">
      <w:pPr>
        <w:pStyle w:val="ListParagraph"/>
        <w:numPr>
          <w:ilvl w:val="0"/>
          <w:numId w:val="8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In FY20 MRC referred 790 Vocational Rehabilitation consumers with ASD to its Pre-ETs vendors.</w:t>
      </w:r>
    </w:p>
    <w:p w14:paraId="701253A4" w14:textId="332E4F0F" w:rsidR="000637C1" w:rsidRPr="000637C1" w:rsidRDefault="000637C1" w:rsidP="000637C1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0637C1">
        <w:rPr>
          <w:rFonts w:cstheme="minorHAnsi"/>
          <w:b/>
          <w:bCs/>
          <w:u w:val="single"/>
        </w:rPr>
        <w:t>MRC’s TAP Program</w:t>
      </w:r>
    </w:p>
    <w:p w14:paraId="129BCD57" w14:textId="24A2A37E" w:rsidR="000637C1" w:rsidRDefault="000637C1" w:rsidP="000637C1">
      <w:pPr>
        <w:pStyle w:val="ListParagraph"/>
        <w:numPr>
          <w:ilvl w:val="0"/>
          <w:numId w:val="9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FY20, MRC received 63 referrals through the 688 process for individuals with ASD and served 265 individuals with ASD in the Transition to Adulthood Program (TAP)</w:t>
      </w:r>
    </w:p>
    <w:p w14:paraId="0E66DE16" w14:textId="4F7E42AD" w:rsidR="000637C1" w:rsidRPr="00CB6154" w:rsidRDefault="000637C1" w:rsidP="000637C1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CB6154">
        <w:rPr>
          <w:rFonts w:cstheme="minorHAnsi"/>
          <w:b/>
          <w:bCs/>
          <w:u w:val="single"/>
        </w:rPr>
        <w:t>MRC and ASD Data</w:t>
      </w:r>
    </w:p>
    <w:p w14:paraId="39D0CF39" w14:textId="2C3370CF" w:rsidR="000637C1" w:rsidRDefault="000637C1" w:rsidP="000637C1">
      <w:pPr>
        <w:pStyle w:val="ListParagraph"/>
        <w:numPr>
          <w:ilvl w:val="0"/>
          <w:numId w:val="9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FY20 MRC referred 790 VR consumers with ASD to its Pre-E</w:t>
      </w:r>
      <w:r w:rsidR="00CB6154">
        <w:rPr>
          <w:rFonts w:cstheme="minorHAnsi"/>
        </w:rPr>
        <w:t>TS vendors which were further broken down by race and ethnicity in the report</w:t>
      </w:r>
    </w:p>
    <w:p w14:paraId="4C7B84FF" w14:textId="0ACDA1B8" w:rsidR="00CB6154" w:rsidRDefault="00CB6154" w:rsidP="000637C1">
      <w:pPr>
        <w:pStyle w:val="ListParagraph"/>
        <w:numPr>
          <w:ilvl w:val="0"/>
          <w:numId w:val="9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FY20 344 individuals achieved successful employment outcomes during FY19, and 95.6% of individuals retained employment after placement</w:t>
      </w:r>
    </w:p>
    <w:p w14:paraId="0DC1BAEE" w14:textId="57BEA24B" w:rsidR="00F30039" w:rsidRDefault="00F30039" w:rsidP="00F30039">
      <w:pPr>
        <w:spacing w:before="100" w:after="240" w:line="240" w:lineRule="auto"/>
        <w:rPr>
          <w:rFonts w:cstheme="minorHAnsi"/>
        </w:rPr>
      </w:pPr>
      <w:r w:rsidRPr="00F30039">
        <w:rPr>
          <w:rFonts w:cstheme="minorHAnsi"/>
          <w:i/>
          <w:iCs/>
        </w:rPr>
        <w:t>Discussion</w:t>
      </w:r>
    </w:p>
    <w:p w14:paraId="4764F98D" w14:textId="60AE8F19" w:rsidR="00F30039" w:rsidRPr="00F30039" w:rsidRDefault="00F30039" w:rsidP="00F30039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MRC recently began to look at the employment rate during COVID – many of their clients work in the food industry and have been impacted by the pandemic.  They are still working to engage with their consumers to collect data.</w:t>
      </w:r>
    </w:p>
    <w:p w14:paraId="58A285D4" w14:textId="56ADB228" w:rsidR="00CB6154" w:rsidRPr="00F30039" w:rsidRDefault="00CB6154" w:rsidP="00CB6154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F30039">
        <w:rPr>
          <w:rFonts w:cstheme="minorHAnsi"/>
          <w:b/>
          <w:bCs/>
          <w:u w:val="single"/>
        </w:rPr>
        <w:t>DDS Integrated Employment</w:t>
      </w:r>
    </w:p>
    <w:p w14:paraId="60988D29" w14:textId="76886946" w:rsidR="00CB6154" w:rsidRDefault="00CB6154" w:rsidP="00CB6154">
      <w:pPr>
        <w:pStyle w:val="ListParagraph"/>
        <w:numPr>
          <w:ilvl w:val="0"/>
          <w:numId w:val="10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DDS reported on data from providers from April 2019 that there were 2,462 individuals working in individual integrated jobs</w:t>
      </w:r>
    </w:p>
    <w:p w14:paraId="6A3B8E2D" w14:textId="1743F24E" w:rsidR="00CB6154" w:rsidRDefault="00CB6154" w:rsidP="00CB6154">
      <w:pPr>
        <w:pStyle w:val="ListParagraph"/>
        <w:numPr>
          <w:ilvl w:val="0"/>
          <w:numId w:val="10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The employment retention rate remained at 86% (employed 10 of last 12 months)</w:t>
      </w:r>
    </w:p>
    <w:p w14:paraId="24B3571B" w14:textId="7C19F4B4" w:rsidR="00CB6154" w:rsidRDefault="00CB6154" w:rsidP="00CB6154">
      <w:pPr>
        <w:pStyle w:val="ListParagraph"/>
        <w:numPr>
          <w:ilvl w:val="0"/>
          <w:numId w:val="10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DDS is looking at the COVID impact on employment and based on reports of 83 providers, there were 2,708 individuals employed in integrated jobs as of March 1, 2020.</w:t>
      </w:r>
    </w:p>
    <w:p w14:paraId="7CFFBDB9" w14:textId="45D290DB" w:rsidR="00CB6154" w:rsidRDefault="00CB6154" w:rsidP="00CB6154">
      <w:pPr>
        <w:pStyle w:val="ListParagraph"/>
        <w:numPr>
          <w:ilvl w:val="0"/>
          <w:numId w:val="10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DDS is unable to compare retention due to the impact of COVD (ind</w:t>
      </w:r>
      <w:r w:rsidR="0032087F">
        <w:rPr>
          <w:rFonts w:cstheme="minorHAnsi"/>
        </w:rPr>
        <w:t>i</w:t>
      </w:r>
      <w:r>
        <w:rPr>
          <w:rFonts w:cstheme="minorHAnsi"/>
        </w:rPr>
        <w:t>v</w:t>
      </w:r>
      <w:r w:rsidR="0032087F">
        <w:rPr>
          <w:rFonts w:cstheme="minorHAnsi"/>
        </w:rPr>
        <w:t>iduals</w:t>
      </w:r>
      <w:r>
        <w:rPr>
          <w:rFonts w:cstheme="minorHAnsi"/>
        </w:rPr>
        <w:t xml:space="preserve"> </w:t>
      </w:r>
      <w:r w:rsidR="0032087F">
        <w:rPr>
          <w:rFonts w:cstheme="minorHAnsi"/>
        </w:rPr>
        <w:t>f</w:t>
      </w:r>
      <w:r>
        <w:rPr>
          <w:rFonts w:cstheme="minorHAnsi"/>
        </w:rPr>
        <w:t>urloughed/laid off)</w:t>
      </w:r>
    </w:p>
    <w:p w14:paraId="57F5CED8" w14:textId="23B49597" w:rsidR="00F30039" w:rsidRDefault="00F30039" w:rsidP="00CB6154">
      <w:pPr>
        <w:pStyle w:val="ListParagraph"/>
        <w:numPr>
          <w:ilvl w:val="0"/>
          <w:numId w:val="10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DDS does not currently differentiate by type of disability</w:t>
      </w:r>
    </w:p>
    <w:p w14:paraId="61DB7DB9" w14:textId="43D3F9BA" w:rsidR="00F30039" w:rsidRPr="0032087F" w:rsidRDefault="00F30039" w:rsidP="00F30039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2087F">
        <w:rPr>
          <w:rFonts w:cstheme="minorHAnsi"/>
          <w:b/>
          <w:bCs/>
          <w:u w:val="single"/>
        </w:rPr>
        <w:t>DDS Pilot Program</w:t>
      </w:r>
    </w:p>
    <w:p w14:paraId="36201FE0" w14:textId="2D6E0BA5" w:rsidR="00F30039" w:rsidRDefault="00F30039" w:rsidP="00F30039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DDS began this pilot program to</w:t>
      </w:r>
      <w:r w:rsidR="0032087F">
        <w:rPr>
          <w:rFonts w:cstheme="minorHAnsi"/>
        </w:rPr>
        <w:t xml:space="preserve"> address</w:t>
      </w:r>
      <w:r>
        <w:rPr>
          <w:rFonts w:cstheme="minorHAnsi"/>
        </w:rPr>
        <w:t xml:space="preserve"> the number of individuals who self-isolate at home due to failed employment or higher education.  They have a lot of issues with anxiety.  The pilot was very successful and there is a plan in place to continue this program.</w:t>
      </w:r>
    </w:p>
    <w:p w14:paraId="4739DD17" w14:textId="7ED7BEDF" w:rsidR="00F30039" w:rsidRDefault="00F30039" w:rsidP="00F30039">
      <w:pPr>
        <w:pStyle w:val="ListParagraph"/>
        <w:numPr>
          <w:ilvl w:val="0"/>
          <w:numId w:val="11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Pilot was created for families of </w:t>
      </w:r>
      <w:r w:rsidR="00015B5D">
        <w:rPr>
          <w:rFonts w:cstheme="minorHAnsi"/>
        </w:rPr>
        <w:t>20-30-year-old</w:t>
      </w:r>
      <w:r>
        <w:rPr>
          <w:rFonts w:cstheme="minorHAnsi"/>
        </w:rPr>
        <w:t xml:space="preserve"> individuals with ASD (and no ID) who self-isolate in the family home and need assistance and consultation services to help them engage in the community.</w:t>
      </w:r>
    </w:p>
    <w:p w14:paraId="31ABC533" w14:textId="32489BB7" w:rsidR="00F30039" w:rsidRDefault="00F30039" w:rsidP="00F30039">
      <w:pPr>
        <w:pStyle w:val="ListParagraph"/>
        <w:numPr>
          <w:ilvl w:val="0"/>
          <w:numId w:val="11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Based on the success of the pilot, DDS is going to procure a more expansive coaching service, consisting of three components:  Pre-engagement, coaching and college navigation.</w:t>
      </w:r>
    </w:p>
    <w:p w14:paraId="268A8523" w14:textId="2FA11B15" w:rsidR="00F30039" w:rsidRDefault="00F30039" w:rsidP="00F30039">
      <w:pPr>
        <w:pStyle w:val="ListParagraph"/>
        <w:numPr>
          <w:ilvl w:val="0"/>
          <w:numId w:val="11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Due to COVID 19, DDS will reopen the procurement in the winter of 2021 with a start date of FY23.</w:t>
      </w:r>
    </w:p>
    <w:p w14:paraId="5298B49E" w14:textId="71C18B49" w:rsidR="00F30039" w:rsidRDefault="00F30039" w:rsidP="00F30039">
      <w:pPr>
        <w:pStyle w:val="ListParagraph"/>
        <w:numPr>
          <w:ilvl w:val="0"/>
          <w:numId w:val="11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lastRenderedPageBreak/>
        <w:t>DDS has extended the current coaching contracts through 6/30/21</w:t>
      </w:r>
    </w:p>
    <w:p w14:paraId="7CC510E4" w14:textId="0D9FB0AF" w:rsidR="0005051D" w:rsidRPr="0032087F" w:rsidRDefault="0005051D" w:rsidP="0005051D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2087F">
        <w:rPr>
          <w:rFonts w:cstheme="minorHAnsi"/>
          <w:b/>
          <w:bCs/>
          <w:u w:val="single"/>
        </w:rPr>
        <w:t>ABA Center-Based Programs</w:t>
      </w:r>
    </w:p>
    <w:p w14:paraId="4249E405" w14:textId="4E632C47" w:rsidR="0005051D" w:rsidRDefault="0005051D" w:rsidP="0005051D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The Autism Commission sent out a survey to known ABA service providers on December 10, 2020, regarding ABA Center-Based Programs to inform this work.</w:t>
      </w:r>
    </w:p>
    <w:p w14:paraId="4DA68B77" w14:textId="5AAFC4F8" w:rsidR="0005051D" w:rsidRDefault="0005051D" w:rsidP="0005051D">
      <w:pPr>
        <w:pStyle w:val="ListParagraph"/>
        <w:numPr>
          <w:ilvl w:val="0"/>
          <w:numId w:val="12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Looking at licen</w:t>
      </w:r>
      <w:r w:rsidR="0032087F">
        <w:rPr>
          <w:rFonts w:cstheme="minorHAnsi"/>
        </w:rPr>
        <w:t>s</w:t>
      </w:r>
      <w:r>
        <w:rPr>
          <w:rFonts w:cstheme="minorHAnsi"/>
        </w:rPr>
        <w:t>ing, health and safety</w:t>
      </w:r>
    </w:p>
    <w:p w14:paraId="31AD544C" w14:textId="7BBD9500" w:rsidR="0005051D" w:rsidRDefault="0005051D" w:rsidP="0005051D">
      <w:pPr>
        <w:pStyle w:val="ListParagraph"/>
        <w:numPr>
          <w:ilvl w:val="0"/>
          <w:numId w:val="12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Survey went to over 50 providers and 12-13 have responded thus far</w:t>
      </w:r>
    </w:p>
    <w:p w14:paraId="330A0A20" w14:textId="25605D65" w:rsidR="0005051D" w:rsidRDefault="0005051D" w:rsidP="0005051D">
      <w:pPr>
        <w:pStyle w:val="ListParagraph"/>
        <w:numPr>
          <w:ilvl w:val="0"/>
          <w:numId w:val="12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The survey will help to inform the work going forward</w:t>
      </w:r>
    </w:p>
    <w:p w14:paraId="7CEBB1E5" w14:textId="07F29F0C" w:rsidR="0005051D" w:rsidRDefault="0005051D" w:rsidP="0005051D">
      <w:pPr>
        <w:pStyle w:val="ListParagraph"/>
        <w:numPr>
          <w:ilvl w:val="0"/>
          <w:numId w:val="12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Ms. Weinstock will send out a reminder to providers to complete the survey</w:t>
      </w:r>
    </w:p>
    <w:p w14:paraId="01CC4C0E" w14:textId="5E6874C6" w:rsidR="0005051D" w:rsidRDefault="0005051D" w:rsidP="0005051D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Undersecretary Mick asked members of the Autism Commission for comments or edits to the draft annual report.  She discussed </w:t>
      </w:r>
      <w:r w:rsidR="0032087F">
        <w:rPr>
          <w:rFonts w:cstheme="minorHAnsi"/>
        </w:rPr>
        <w:t xml:space="preserve">that at </w:t>
      </w:r>
      <w:r>
        <w:rPr>
          <w:rFonts w:cstheme="minorHAnsi"/>
        </w:rPr>
        <w:t>the next meeting there will be a vote to approve the draft report.</w:t>
      </w:r>
    </w:p>
    <w:p w14:paraId="4D7C2759" w14:textId="5E327B5E" w:rsidR="0005051D" w:rsidRDefault="0005051D" w:rsidP="0005051D">
      <w:pPr>
        <w:spacing w:before="100" w:after="240" w:line="240" w:lineRule="auto"/>
        <w:rPr>
          <w:rFonts w:cstheme="minorHAnsi"/>
        </w:rPr>
      </w:pPr>
      <w:r w:rsidRPr="00377DB2">
        <w:rPr>
          <w:rFonts w:cstheme="minorHAnsi"/>
          <w:i/>
          <w:iCs/>
        </w:rPr>
        <w:t>Discussion</w:t>
      </w:r>
    </w:p>
    <w:p w14:paraId="51B3AE7F" w14:textId="5AA48C7E" w:rsidR="0005051D" w:rsidRDefault="0005051D" w:rsidP="0005051D">
      <w:pPr>
        <w:pStyle w:val="ListParagraph"/>
        <w:numPr>
          <w:ilvl w:val="0"/>
          <w:numId w:val="13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The Healthcare Subcommittee asked if the Emergency Crisis Response (MCPA</w:t>
      </w:r>
      <w:r w:rsidR="00C2035C">
        <w:rPr>
          <w:rFonts w:cstheme="minorHAnsi"/>
        </w:rPr>
        <w:t>P</w:t>
      </w:r>
      <w:r>
        <w:rPr>
          <w:rFonts w:cstheme="minorHAnsi"/>
        </w:rPr>
        <w:t xml:space="preserve"> for ASD) could be included in the report.  Ms. Kain will add the update and send the language to the co-chairs for their review.</w:t>
      </w:r>
    </w:p>
    <w:p w14:paraId="0667E6D3" w14:textId="1140344F" w:rsidR="00C2035C" w:rsidRDefault="00C2035C" w:rsidP="0005051D">
      <w:pPr>
        <w:pStyle w:val="ListParagraph"/>
        <w:numPr>
          <w:ilvl w:val="0"/>
          <w:numId w:val="13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 xml:space="preserve">It was asked if under “new recommendations”, COVID Impact and Recovery on page 14 of the report – add language to address the inequitable impact that COVID has had on </w:t>
      </w:r>
      <w:r w:rsidR="00651D63">
        <w:rPr>
          <w:rFonts w:cstheme="minorHAnsi"/>
        </w:rPr>
        <w:t>B</w:t>
      </w:r>
      <w:r>
        <w:rPr>
          <w:rFonts w:cstheme="minorHAnsi"/>
        </w:rPr>
        <w:t xml:space="preserve">lack and </w:t>
      </w:r>
      <w:r w:rsidR="00651D63">
        <w:rPr>
          <w:rFonts w:cstheme="minorHAnsi"/>
        </w:rPr>
        <w:t>L</w:t>
      </w:r>
      <w:r>
        <w:rPr>
          <w:rFonts w:cstheme="minorHAnsi"/>
        </w:rPr>
        <w:t>atin</w:t>
      </w:r>
      <w:r w:rsidR="00651D63">
        <w:rPr>
          <w:rFonts w:cstheme="minorHAnsi"/>
        </w:rPr>
        <w:t>X</w:t>
      </w:r>
      <w:r w:rsidR="0032087F">
        <w:rPr>
          <w:rFonts w:cstheme="minorHAnsi"/>
        </w:rPr>
        <w:t>.</w:t>
      </w:r>
      <w:r>
        <w:rPr>
          <w:rFonts w:cstheme="minorHAnsi"/>
        </w:rPr>
        <w:t xml:space="preserve">  </w:t>
      </w:r>
    </w:p>
    <w:p w14:paraId="3E07121B" w14:textId="2C0B1E7A" w:rsidR="00C2035C" w:rsidRDefault="00C2035C" w:rsidP="0005051D">
      <w:pPr>
        <w:pStyle w:val="ListParagraph"/>
        <w:numPr>
          <w:ilvl w:val="0"/>
          <w:numId w:val="13"/>
        </w:num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Ms. Kain will edit and adjust the draft report and will send out the revised report for review prior to the next meeting.</w:t>
      </w:r>
    </w:p>
    <w:p w14:paraId="419CFA13" w14:textId="7BB53F96" w:rsidR="00C2035C" w:rsidRPr="00377DB2" w:rsidRDefault="00C2035C" w:rsidP="00C2035C">
      <w:pPr>
        <w:spacing w:before="100" w:after="240" w:line="240" w:lineRule="auto"/>
        <w:rPr>
          <w:rFonts w:cstheme="minorHAnsi"/>
          <w:b/>
          <w:bCs/>
          <w:u w:val="single"/>
        </w:rPr>
      </w:pPr>
      <w:r w:rsidRPr="00377DB2">
        <w:rPr>
          <w:rFonts w:cstheme="minorHAnsi"/>
          <w:b/>
          <w:bCs/>
          <w:u w:val="single"/>
        </w:rPr>
        <w:t>Next Steps</w:t>
      </w:r>
    </w:p>
    <w:p w14:paraId="735562C9" w14:textId="788D4DB6" w:rsidR="00C2035C" w:rsidRDefault="00C2035C" w:rsidP="00C2035C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Ms. Kain will make changes to the draft report</w:t>
      </w:r>
      <w:r w:rsidR="00377DB2">
        <w:rPr>
          <w:rFonts w:cstheme="minorHAnsi"/>
        </w:rPr>
        <w:t xml:space="preserve"> to reflect the discussion at this meeting.  She will send out the report in advance of the meeting and respond to any further concerns.</w:t>
      </w:r>
    </w:p>
    <w:p w14:paraId="375941F8" w14:textId="76448FFF" w:rsidR="00C2035C" w:rsidRDefault="00C2035C" w:rsidP="00C2035C">
      <w:pPr>
        <w:spacing w:before="100" w:after="240" w:line="240" w:lineRule="auto"/>
        <w:rPr>
          <w:rFonts w:cstheme="minorHAnsi"/>
        </w:rPr>
      </w:pPr>
    </w:p>
    <w:p w14:paraId="3F551FB9" w14:textId="0CE44E60" w:rsidR="00C2035C" w:rsidRPr="00C2035C" w:rsidRDefault="00C2035C" w:rsidP="00C2035C">
      <w:pPr>
        <w:spacing w:before="100" w:after="240" w:line="240" w:lineRule="auto"/>
        <w:rPr>
          <w:rFonts w:cstheme="minorHAnsi"/>
        </w:rPr>
      </w:pPr>
      <w:r>
        <w:rPr>
          <w:rFonts w:cstheme="minorHAnsi"/>
        </w:rPr>
        <w:t>With no other business to discuss, the meeting was adjourned.</w:t>
      </w:r>
    </w:p>
    <w:p w14:paraId="33574387" w14:textId="77777777" w:rsidR="00F30039" w:rsidRPr="00F30039" w:rsidRDefault="00F30039" w:rsidP="00F30039">
      <w:pPr>
        <w:spacing w:before="100" w:after="240" w:line="240" w:lineRule="auto"/>
        <w:rPr>
          <w:rFonts w:cstheme="minorHAnsi"/>
        </w:rPr>
      </w:pPr>
    </w:p>
    <w:p w14:paraId="3D59D322" w14:textId="77777777" w:rsidR="00091D91" w:rsidRPr="00091D91" w:rsidRDefault="00091D91" w:rsidP="00091D91">
      <w:pPr>
        <w:spacing w:before="100" w:after="240" w:line="240" w:lineRule="auto"/>
        <w:rPr>
          <w:rFonts w:cstheme="minorHAnsi"/>
        </w:rPr>
      </w:pPr>
    </w:p>
    <w:p w14:paraId="06B53EC4" w14:textId="77777777" w:rsidR="007361AA" w:rsidRPr="007361AA" w:rsidRDefault="007361AA" w:rsidP="00FC008E">
      <w:pPr>
        <w:spacing w:before="100" w:after="240" w:line="240" w:lineRule="auto"/>
        <w:rPr>
          <w:rFonts w:cstheme="minorHAnsi"/>
        </w:rPr>
      </w:pPr>
    </w:p>
    <w:p w14:paraId="3D4DD956" w14:textId="77777777" w:rsidR="00EB2A77" w:rsidRPr="007361AA" w:rsidRDefault="00EB2A77" w:rsidP="00084F92">
      <w:pPr>
        <w:rPr>
          <w:rFonts w:cstheme="minorHAnsi"/>
        </w:rPr>
      </w:pPr>
    </w:p>
    <w:sectPr w:rsidR="00EB2A77" w:rsidRPr="007361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074A1" w14:textId="77777777" w:rsidR="004B0099" w:rsidRDefault="004B0099" w:rsidP="00CE6F6C">
      <w:pPr>
        <w:spacing w:after="0" w:line="240" w:lineRule="auto"/>
      </w:pPr>
      <w:r>
        <w:separator/>
      </w:r>
    </w:p>
  </w:endnote>
  <w:endnote w:type="continuationSeparator" w:id="0">
    <w:p w14:paraId="632F006E" w14:textId="77777777" w:rsidR="004B0099" w:rsidRDefault="004B0099" w:rsidP="00CE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545B5" w14:textId="77777777" w:rsidR="00CE6F6C" w:rsidRDefault="00CE6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4B63" w14:textId="77777777" w:rsidR="00CE6F6C" w:rsidRDefault="00CE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161CE" w14:textId="77777777" w:rsidR="00CE6F6C" w:rsidRDefault="00CE6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E7A21" w14:textId="77777777" w:rsidR="004B0099" w:rsidRDefault="004B0099" w:rsidP="00CE6F6C">
      <w:pPr>
        <w:spacing w:after="0" w:line="240" w:lineRule="auto"/>
      </w:pPr>
      <w:r>
        <w:separator/>
      </w:r>
    </w:p>
  </w:footnote>
  <w:footnote w:type="continuationSeparator" w:id="0">
    <w:p w14:paraId="643FD92C" w14:textId="77777777" w:rsidR="004B0099" w:rsidRDefault="004B0099" w:rsidP="00CE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E8D5E" w14:textId="77777777" w:rsidR="00CE6F6C" w:rsidRDefault="00CE6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63621" w14:textId="30B39735" w:rsidR="00CE6F6C" w:rsidRDefault="00CE6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2B487" w14:textId="77777777" w:rsidR="00CE6F6C" w:rsidRDefault="00CE6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24AA"/>
    <w:multiLevelType w:val="hybridMultilevel"/>
    <w:tmpl w:val="A5D8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361F5"/>
    <w:multiLevelType w:val="hybridMultilevel"/>
    <w:tmpl w:val="9960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76644"/>
    <w:multiLevelType w:val="hybridMultilevel"/>
    <w:tmpl w:val="2182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62AA"/>
    <w:multiLevelType w:val="hybridMultilevel"/>
    <w:tmpl w:val="E244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33486"/>
    <w:multiLevelType w:val="hybridMultilevel"/>
    <w:tmpl w:val="69149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946D2"/>
    <w:multiLevelType w:val="hybridMultilevel"/>
    <w:tmpl w:val="920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A4752"/>
    <w:multiLevelType w:val="hybridMultilevel"/>
    <w:tmpl w:val="A8D6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6D4E"/>
    <w:multiLevelType w:val="hybridMultilevel"/>
    <w:tmpl w:val="4476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24C0B"/>
    <w:multiLevelType w:val="hybridMultilevel"/>
    <w:tmpl w:val="644A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952EF"/>
    <w:multiLevelType w:val="hybridMultilevel"/>
    <w:tmpl w:val="A84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5D09"/>
    <w:multiLevelType w:val="hybridMultilevel"/>
    <w:tmpl w:val="3554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92"/>
    <w:rsid w:val="00015B5D"/>
    <w:rsid w:val="0005051D"/>
    <w:rsid w:val="000637C1"/>
    <w:rsid w:val="00084F92"/>
    <w:rsid w:val="00091D91"/>
    <w:rsid w:val="001623FD"/>
    <w:rsid w:val="001D6B08"/>
    <w:rsid w:val="001E0D31"/>
    <w:rsid w:val="001E2F00"/>
    <w:rsid w:val="002610BF"/>
    <w:rsid w:val="00304E89"/>
    <w:rsid w:val="00311B8E"/>
    <w:rsid w:val="0032087F"/>
    <w:rsid w:val="00377DB2"/>
    <w:rsid w:val="00426C69"/>
    <w:rsid w:val="004B0099"/>
    <w:rsid w:val="004C6444"/>
    <w:rsid w:val="004E0AE2"/>
    <w:rsid w:val="005511E2"/>
    <w:rsid w:val="00651D63"/>
    <w:rsid w:val="00726DDA"/>
    <w:rsid w:val="007361AA"/>
    <w:rsid w:val="0075551F"/>
    <w:rsid w:val="007C743A"/>
    <w:rsid w:val="00840342"/>
    <w:rsid w:val="00896217"/>
    <w:rsid w:val="009C66F7"/>
    <w:rsid w:val="00BB5C11"/>
    <w:rsid w:val="00C2035C"/>
    <w:rsid w:val="00CB6154"/>
    <w:rsid w:val="00CE6F6C"/>
    <w:rsid w:val="00D51733"/>
    <w:rsid w:val="00D6447D"/>
    <w:rsid w:val="00DC4FAF"/>
    <w:rsid w:val="00E14887"/>
    <w:rsid w:val="00EB2A77"/>
    <w:rsid w:val="00ED1545"/>
    <w:rsid w:val="00F12661"/>
    <w:rsid w:val="00F30039"/>
    <w:rsid w:val="00FC008E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106AAE"/>
  <w15:chartTrackingRefBased/>
  <w15:docId w15:val="{5D6E152D-7F87-4875-98AE-498EE3B1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6C"/>
  </w:style>
  <w:style w:type="paragraph" w:styleId="Footer">
    <w:name w:val="footer"/>
    <w:basedOn w:val="Normal"/>
    <w:link w:val="FooterChar"/>
    <w:uiPriority w:val="99"/>
    <w:unhideWhenUsed/>
    <w:rsid w:val="00CE6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Lescinskas</dc:creator>
  <cp:keywords/>
  <dc:description/>
  <cp:lastModifiedBy>Allan Stern</cp:lastModifiedBy>
  <cp:revision>2</cp:revision>
  <dcterms:created xsi:type="dcterms:W3CDTF">2021-02-17T14:12:00Z</dcterms:created>
  <dcterms:modified xsi:type="dcterms:W3CDTF">2021-02-17T14:12:00Z</dcterms:modified>
</cp:coreProperties>
</file>