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44" w:rsidRDefault="00252644" w:rsidP="00252644">
      <w:r>
        <w:t>Slide 1.</w:t>
      </w:r>
    </w:p>
    <w:p w:rsidR="004D4CA2" w:rsidRPr="004D4CA2" w:rsidRDefault="004D4CA2" w:rsidP="004D4CA2">
      <w:pPr>
        <w:rPr>
          <w:rFonts w:ascii="Calibri" w:eastAsia="MS PGothic" w:hAnsi="Calibri" w:cs="+mn-cs"/>
          <w:bCs/>
          <w:kern w:val="24"/>
          <w:sz w:val="24"/>
          <w:szCs w:val="24"/>
        </w:rPr>
      </w:pP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t>Acute Care Advisory Committee</w:t>
      </w: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br/>
      </w: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br/>
        <w:t xml:space="preserve">Alzheimer’s Association </w:t>
      </w: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  <w:cs/>
          <w:lang w:bidi="mr-IN"/>
        </w:rPr>
        <w:t>–</w:t>
      </w: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t xml:space="preserve"> State of the State</w:t>
      </w:r>
    </w:p>
    <w:p w:rsidR="00252644" w:rsidRDefault="004D4CA2" w:rsidP="004D4CA2">
      <w:pPr>
        <w:rPr>
          <w:rFonts w:ascii="Calibri" w:eastAsia="MS PGothic" w:hAnsi="Calibri" w:cs="+mn-cs"/>
          <w:b/>
          <w:bCs/>
          <w:kern w:val="24"/>
          <w:sz w:val="24"/>
          <w:szCs w:val="24"/>
        </w:rPr>
      </w:pP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t>Wednesday, December 7, 2016</w:t>
      </w: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br/>
        <w:t>1:30PM-5:30PM</w:t>
      </w: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br/>
        <w:t xml:space="preserve">One </w:t>
      </w:r>
      <w:proofErr w:type="spellStart"/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t>Ashburton</w:t>
      </w:r>
      <w:proofErr w:type="spellEnd"/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t xml:space="preserve"> Place, Manning Conference Room, 5</w:t>
      </w: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  <w:vertAlign w:val="superscript"/>
        </w:rPr>
        <w:t>th</w:t>
      </w:r>
      <w:r w:rsidRPr="004D4CA2">
        <w:rPr>
          <w:rFonts w:ascii="Calibri" w:eastAsia="MS PGothic" w:hAnsi="Calibri" w:cs="+mn-cs"/>
          <w:b/>
          <w:bCs/>
          <w:kern w:val="24"/>
          <w:sz w:val="24"/>
          <w:szCs w:val="24"/>
        </w:rPr>
        <w:t xml:space="preserve"> Floor</w:t>
      </w:r>
    </w:p>
    <w:p w:rsidR="004D4CA2" w:rsidRDefault="004D4CA2" w:rsidP="004D4CA2">
      <w:pPr>
        <w:rPr>
          <w:rFonts w:ascii="Calibri" w:eastAsia="MS PGothic" w:hAnsi="Calibri" w:cs="+mn-cs"/>
          <w:b/>
          <w:bCs/>
          <w:kern w:val="24"/>
          <w:sz w:val="24"/>
          <w:szCs w:val="24"/>
        </w:rPr>
      </w:pPr>
      <w:r>
        <w:rPr>
          <w:rFonts w:ascii="Calibri" w:eastAsia="MS PGothic" w:hAnsi="Calibri" w:cs="+mn-cs"/>
          <w:b/>
          <w:bCs/>
          <w:kern w:val="24"/>
          <w:sz w:val="24"/>
          <w:szCs w:val="24"/>
        </w:rPr>
        <w:t>Alzheimer’s Association</w:t>
      </w:r>
    </w:p>
    <w:p w:rsidR="004D4CA2" w:rsidRDefault="004D4CA2" w:rsidP="004D4CA2">
      <w:pPr>
        <w:rPr>
          <w:rFonts w:ascii="Calibri" w:eastAsia="MS PGothic" w:hAnsi="Calibri" w:cs="+mn-cs"/>
          <w:b/>
          <w:bCs/>
          <w:kern w:val="24"/>
          <w:sz w:val="24"/>
          <w:szCs w:val="24"/>
        </w:rPr>
      </w:pPr>
      <w:r>
        <w:rPr>
          <w:rFonts w:ascii="Calibri" w:eastAsia="MS PGothic" w:hAnsi="Calibri" w:cs="+mn-cs"/>
          <w:b/>
          <w:bCs/>
          <w:kern w:val="24"/>
          <w:sz w:val="24"/>
          <w:szCs w:val="24"/>
        </w:rPr>
        <w:t>The Brains behind Saving Yours</w:t>
      </w:r>
    </w:p>
    <w:p w:rsidR="00252644" w:rsidRDefault="00252644" w:rsidP="00252644">
      <w:proofErr w:type="gramStart"/>
      <w:r>
        <w:t>Slide 2.</w:t>
      </w:r>
      <w:proofErr w:type="gramEnd"/>
      <w:r>
        <w:t xml:space="preserve"> </w:t>
      </w:r>
    </w:p>
    <w:p w:rsidR="004D4CA2" w:rsidRPr="004D4CA2" w:rsidRDefault="004D4CA2" w:rsidP="004D4CA2">
      <w:r w:rsidRPr="004D4CA2">
        <w:t>Problem Statement</w:t>
      </w:r>
    </w:p>
    <w:p w:rsidR="004D4CA2" w:rsidRPr="004D4CA2" w:rsidRDefault="004D4CA2" w:rsidP="004D4CA2">
      <w:r w:rsidRPr="004D4CA2">
        <w:rPr>
          <w:iCs/>
        </w:rPr>
        <w:t>The acute care setting can be a very challenging environment for individuals with Alzheimer’s or related dementia. Cognitive functioning often declines after hospitalization. Adoption of dementia-capable care in hospitals can result in improved health care outcomes and reduce unnecessary utilization of hospital care.</w:t>
      </w:r>
    </w:p>
    <w:p w:rsidR="00252644" w:rsidRDefault="00252644" w:rsidP="00252644">
      <w:proofErr w:type="gramStart"/>
      <w:r>
        <w:t>Slide 3.</w:t>
      </w:r>
      <w:proofErr w:type="gramEnd"/>
      <w:r>
        <w:t xml:space="preserve"> </w:t>
      </w:r>
    </w:p>
    <w:p w:rsidR="004D4CA2" w:rsidRPr="004D4CA2" w:rsidRDefault="004D4CA2" w:rsidP="004D4CA2">
      <w:r w:rsidRPr="004D4CA2">
        <w:t xml:space="preserve">What’s Going On? </w:t>
      </w:r>
    </w:p>
    <w:p w:rsidR="00000000" w:rsidRPr="004D4CA2" w:rsidRDefault="00AF1C78" w:rsidP="004D4CA2">
      <w:pPr>
        <w:numPr>
          <w:ilvl w:val="0"/>
          <w:numId w:val="1"/>
        </w:numPr>
      </w:pPr>
      <w:r w:rsidRPr="004D4CA2">
        <w:t>About one fourth of older hospital patients (65 and older) have dementia.</w:t>
      </w:r>
    </w:p>
    <w:p w:rsidR="00000000" w:rsidRPr="004D4CA2" w:rsidRDefault="00AF1C78" w:rsidP="004D4CA2">
      <w:pPr>
        <w:numPr>
          <w:ilvl w:val="0"/>
          <w:numId w:val="1"/>
        </w:numPr>
      </w:pPr>
      <w:r w:rsidRPr="004D4CA2">
        <w:t xml:space="preserve">Their dementia may never have been formally diagnosed, and even if it has been diagnosed, the diagnosis may not be noted in their hospital record. </w:t>
      </w:r>
    </w:p>
    <w:p w:rsidR="00000000" w:rsidRPr="004D4CA2" w:rsidRDefault="00AF1C78" w:rsidP="004D4CA2">
      <w:pPr>
        <w:numPr>
          <w:ilvl w:val="0"/>
          <w:numId w:val="1"/>
        </w:numPr>
      </w:pPr>
      <w:r w:rsidRPr="004D4CA2">
        <w:t>Some older patients show symptoms of dementia for the first time in the hospital because of stress caused by acute illness and being in an unfamiliar setting.</w:t>
      </w:r>
    </w:p>
    <w:p w:rsidR="004D4CA2" w:rsidRPr="004D4CA2" w:rsidRDefault="004D4CA2" w:rsidP="004D4CA2">
      <w:r w:rsidRPr="004D4CA2">
        <w:rPr>
          <w:i/>
          <w:iCs/>
        </w:rPr>
        <w:t>Source: Alzheimer’s Association</w:t>
      </w:r>
    </w:p>
    <w:p w:rsidR="00252644" w:rsidRDefault="00252644" w:rsidP="00252644">
      <w:proofErr w:type="gramStart"/>
      <w:r>
        <w:t>Slide 4</w:t>
      </w:r>
      <w:r w:rsidRPr="00252644">
        <w:t>.</w:t>
      </w:r>
      <w:proofErr w:type="gramEnd"/>
    </w:p>
    <w:p w:rsidR="00BA035D" w:rsidRDefault="00BA035D" w:rsidP="00252644">
      <w:pPr>
        <w:rPr>
          <w:b/>
          <w:bCs/>
        </w:rPr>
      </w:pPr>
      <w:r w:rsidRPr="00BA035D">
        <w:rPr>
          <w:b/>
          <w:bCs/>
        </w:rPr>
        <w:t>What’s Going On? (</w:t>
      </w:r>
      <w:proofErr w:type="spellStart"/>
      <w:r w:rsidRPr="00BA035D">
        <w:rPr>
          <w:b/>
          <w:bCs/>
        </w:rPr>
        <w:t>Con’t</w:t>
      </w:r>
      <w:proofErr w:type="spellEnd"/>
      <w:r w:rsidRPr="00BA035D">
        <w:rPr>
          <w:b/>
          <w:bCs/>
        </w:rPr>
        <w:t>)</w:t>
      </w:r>
    </w:p>
    <w:p w:rsidR="00000000" w:rsidRPr="00BA035D" w:rsidRDefault="00AF1C78" w:rsidP="00BA035D">
      <w:pPr>
        <w:numPr>
          <w:ilvl w:val="0"/>
          <w:numId w:val="2"/>
        </w:numPr>
      </w:pPr>
      <w:r w:rsidRPr="00BA035D">
        <w:t>Older hospital patients with dementia are at much higher risk for delirium,</w:t>
      </w:r>
      <w:r w:rsidRPr="00BA035D">
        <w:t xml:space="preserve"> falls, dehydration, inadequate nutrition, untreated pain, and medication-related problems. </w:t>
      </w:r>
    </w:p>
    <w:p w:rsidR="00000000" w:rsidRPr="00BA035D" w:rsidRDefault="00AF1C78" w:rsidP="00BA035D">
      <w:pPr>
        <w:numPr>
          <w:ilvl w:val="0"/>
          <w:numId w:val="2"/>
        </w:numPr>
      </w:pPr>
      <w:r w:rsidRPr="00BA035D">
        <w:t>They are more likely to wander, to exhibit agitated and aggressive behaviors, to be physically restra</w:t>
      </w:r>
      <w:r w:rsidRPr="00BA035D">
        <w:t>ined, and to experience functional decline that does not resolve following discharge.</w:t>
      </w:r>
    </w:p>
    <w:p w:rsidR="00BA035D" w:rsidRPr="00BA035D" w:rsidRDefault="00BA035D" w:rsidP="00BA035D">
      <w:r w:rsidRPr="00BA035D">
        <w:rPr>
          <w:i/>
          <w:iCs/>
        </w:rPr>
        <w:t>Source: Alzheimer’s Association</w:t>
      </w:r>
    </w:p>
    <w:p w:rsidR="00252644" w:rsidRDefault="00252644" w:rsidP="00252644">
      <w:r>
        <w:t>Slide 5</w:t>
      </w:r>
    </w:p>
    <w:p w:rsidR="00BA035D" w:rsidRDefault="00BA035D" w:rsidP="00252644">
      <w:pPr>
        <w:rPr>
          <w:b/>
          <w:bCs/>
        </w:rPr>
      </w:pPr>
      <w:r w:rsidRPr="00BA035D">
        <w:rPr>
          <w:b/>
          <w:bCs/>
        </w:rPr>
        <w:t>Cost Implications &amp; Analysis</w:t>
      </w:r>
    </w:p>
    <w:p w:rsidR="00000000" w:rsidRPr="00BA035D" w:rsidRDefault="00AF1C78" w:rsidP="00BA035D">
      <w:pPr>
        <w:numPr>
          <w:ilvl w:val="0"/>
          <w:numId w:val="3"/>
        </w:numPr>
      </w:pPr>
      <w:r w:rsidRPr="00BA035D">
        <w:t>In the United States alone, the number of adults over 65 is expected to reach 79 million by 2030, making up 19% of the population.</w:t>
      </w:r>
    </w:p>
    <w:p w:rsidR="00000000" w:rsidRPr="00BA035D" w:rsidRDefault="00AF1C78" w:rsidP="00BA035D">
      <w:pPr>
        <w:numPr>
          <w:ilvl w:val="0"/>
          <w:numId w:val="3"/>
        </w:numPr>
      </w:pPr>
      <w:r w:rsidRPr="00BA035D">
        <w:t>Hospitalizations will be more numerous, and cost effective risk management will be even more crucial</w:t>
      </w:r>
      <w:r w:rsidRPr="00BA035D">
        <w:t xml:space="preserve">. </w:t>
      </w:r>
    </w:p>
    <w:p w:rsidR="00252644" w:rsidRDefault="00252644" w:rsidP="00252644">
      <w:r>
        <w:t>Slide 6</w:t>
      </w:r>
    </w:p>
    <w:p w:rsidR="00BA035D" w:rsidRPr="00BA035D" w:rsidRDefault="00BA035D" w:rsidP="00BA035D">
      <w:r w:rsidRPr="00BA035D">
        <w:rPr>
          <w:b/>
          <w:bCs/>
        </w:rPr>
        <w:t>Alzheimer’s Prevalence and Costs</w:t>
      </w:r>
    </w:p>
    <w:p w:rsidR="00BA035D" w:rsidRDefault="00BA035D" w:rsidP="00BA035D">
      <w:pPr>
        <w:rPr>
          <w:b/>
          <w:bCs/>
        </w:rPr>
      </w:pPr>
      <w:r w:rsidRPr="00BA035D">
        <w:rPr>
          <w:b/>
          <w:bCs/>
        </w:rPr>
        <w:t>In Millions of People; In Billions of 2016 Dollars</w:t>
      </w:r>
    </w:p>
    <w:p w:rsidR="00252644" w:rsidRDefault="00BA035D" w:rsidP="00BA035D">
      <w:r>
        <w:rPr>
          <w:bCs/>
        </w:rPr>
        <w:t>Chart showing increase in People from 5.2 million in 2016 to 13.8 million in 2050 and increase in dollars from 236 million in 2016 to 1.092 trillion in 2050.</w:t>
      </w:r>
    </w:p>
    <w:p w:rsidR="00252644" w:rsidRDefault="00252644" w:rsidP="00252644">
      <w:r>
        <w:t>Slide 7</w:t>
      </w:r>
    </w:p>
    <w:p w:rsidR="005C2B9F" w:rsidRDefault="005C2B9F" w:rsidP="00252644">
      <w:pPr>
        <w:rPr>
          <w:b/>
          <w:bCs/>
        </w:rPr>
      </w:pPr>
      <w:r w:rsidRPr="005C2B9F">
        <w:rPr>
          <w:b/>
          <w:bCs/>
        </w:rPr>
        <w:t xml:space="preserve">Costs to Medicare </w:t>
      </w:r>
      <w:r w:rsidRPr="005C2B9F">
        <w:rPr>
          <w:b/>
          <w:bCs/>
        </w:rPr>
        <w:br/>
        <w:t xml:space="preserve">Average Per Person Medicare Payments </w:t>
      </w:r>
      <w:proofErr w:type="gramStart"/>
      <w:r w:rsidRPr="005C2B9F">
        <w:rPr>
          <w:b/>
          <w:bCs/>
        </w:rPr>
        <w:t>2008  (</w:t>
      </w:r>
      <w:proofErr w:type="gramEnd"/>
      <w:r w:rsidRPr="005C2B9F">
        <w:rPr>
          <w:b/>
          <w:bCs/>
        </w:rPr>
        <w:t>Inflated to 2015 Dollars)</w:t>
      </w:r>
    </w:p>
    <w:p w:rsidR="00252644" w:rsidRDefault="00BD073F" w:rsidP="00252644">
      <w:r>
        <w:t xml:space="preserve">Chart showing </w:t>
      </w:r>
      <w:proofErr w:type="gramStart"/>
      <w:r w:rsidR="005C2B9F">
        <w:t>Seniors</w:t>
      </w:r>
      <w:proofErr w:type="gramEnd"/>
      <w:r w:rsidR="005C2B9F">
        <w:t xml:space="preserve"> without Alzheimer’s and other dementia - $8,427</w:t>
      </w:r>
    </w:p>
    <w:p w:rsidR="005C2B9F" w:rsidRDefault="005C2B9F" w:rsidP="005C2B9F">
      <w:r>
        <w:t>Seniors with Alzheimer’s and other dementia - $</w:t>
      </w:r>
      <w:r>
        <w:t>22</w:t>
      </w:r>
      <w:r>
        <w:t>,</w:t>
      </w:r>
      <w:r>
        <w:t>206</w:t>
      </w:r>
    </w:p>
    <w:p w:rsidR="00252644" w:rsidRDefault="00252644" w:rsidP="00252644">
      <w:r>
        <w:t>Slide 8</w:t>
      </w:r>
    </w:p>
    <w:p w:rsidR="00761E31" w:rsidRDefault="00761E31" w:rsidP="00761E31">
      <w:pPr>
        <w:rPr>
          <w:b/>
          <w:bCs/>
        </w:rPr>
      </w:pPr>
      <w:r w:rsidRPr="005C2B9F">
        <w:rPr>
          <w:b/>
          <w:bCs/>
        </w:rPr>
        <w:t>Costs to Medica</w:t>
      </w:r>
      <w:r>
        <w:rPr>
          <w:b/>
          <w:bCs/>
        </w:rPr>
        <w:t>id</w:t>
      </w:r>
      <w:r w:rsidRPr="005C2B9F">
        <w:rPr>
          <w:b/>
          <w:bCs/>
        </w:rPr>
        <w:t xml:space="preserve"> </w:t>
      </w:r>
      <w:r w:rsidRPr="005C2B9F">
        <w:rPr>
          <w:b/>
          <w:bCs/>
        </w:rPr>
        <w:br/>
        <w:t xml:space="preserve">Average Per Person Medicare Payments </w:t>
      </w:r>
      <w:proofErr w:type="gramStart"/>
      <w:r w:rsidRPr="005C2B9F">
        <w:rPr>
          <w:b/>
          <w:bCs/>
        </w:rPr>
        <w:t>2008  (</w:t>
      </w:r>
      <w:proofErr w:type="gramEnd"/>
      <w:r w:rsidRPr="005C2B9F">
        <w:rPr>
          <w:b/>
          <w:bCs/>
        </w:rPr>
        <w:t>Inflated to 2015 Dollars)</w:t>
      </w:r>
    </w:p>
    <w:p w:rsidR="00761E31" w:rsidRDefault="00BD073F" w:rsidP="00761E31">
      <w:r>
        <w:t xml:space="preserve">Chart showing </w:t>
      </w:r>
      <w:proofErr w:type="gramStart"/>
      <w:r w:rsidR="00761E31">
        <w:t>Seniors</w:t>
      </w:r>
      <w:proofErr w:type="gramEnd"/>
      <w:r w:rsidR="00761E31">
        <w:t xml:space="preserve"> without Alzheimer’s and other dementia - $</w:t>
      </w:r>
      <w:r w:rsidR="00761E31">
        <w:t>590</w:t>
      </w:r>
    </w:p>
    <w:p w:rsidR="00761E31" w:rsidRDefault="00761E31" w:rsidP="00761E31">
      <w:r>
        <w:t>Seniors with Alzheimer’s and other dementia - $</w:t>
      </w:r>
      <w:r>
        <w:t>11</w:t>
      </w:r>
      <w:r>
        <w:t>,</w:t>
      </w:r>
      <w:r>
        <w:t>338</w:t>
      </w:r>
    </w:p>
    <w:p w:rsidR="00761E31" w:rsidRDefault="00761E31" w:rsidP="00252644"/>
    <w:p w:rsidR="00336613" w:rsidRDefault="00336613" w:rsidP="00252644"/>
    <w:p w:rsidR="00336613" w:rsidRDefault="00336613" w:rsidP="00252644"/>
    <w:p w:rsidR="00336613" w:rsidRDefault="00336613" w:rsidP="00252644"/>
    <w:p w:rsidR="00336613" w:rsidRDefault="00336613" w:rsidP="00252644"/>
    <w:p w:rsidR="00252644" w:rsidRDefault="00252644" w:rsidP="00252644">
      <w:r>
        <w:t>Slide 9</w:t>
      </w:r>
    </w:p>
    <w:p w:rsidR="00336613" w:rsidRDefault="00336613" w:rsidP="00462D5C">
      <w:pPr>
        <w:rPr>
          <w:rFonts w:ascii="Calibri" w:hAnsi="Calibri"/>
          <w:b/>
          <w:bCs/>
        </w:rPr>
      </w:pPr>
      <w:r w:rsidRPr="00336613">
        <w:rPr>
          <w:rFonts w:ascii="Calibri" w:hAnsi="Calibri"/>
          <w:b/>
          <w:bCs/>
        </w:rPr>
        <w:t>Higher Medicare Costs Due to Alzheimer’s: Average Increase in Costs for Senior with Alzheimer’s and Another Condition Compared with Senior with Other Condition Only</w:t>
      </w:r>
    </w:p>
    <w:p w:rsidR="00336613" w:rsidRDefault="00BD073F" w:rsidP="00462D5C">
      <w:r>
        <w:t xml:space="preserve">Chart showing </w:t>
      </w:r>
      <w:r w:rsidR="00336613">
        <w:t>Diabetes – 81%</w:t>
      </w:r>
    </w:p>
    <w:p w:rsidR="00336613" w:rsidRDefault="00336613" w:rsidP="00462D5C">
      <w:proofErr w:type="spellStart"/>
      <w:r>
        <w:t>Osteo</w:t>
      </w:r>
      <w:proofErr w:type="spellEnd"/>
      <w:r>
        <w:t>-arthritis – 64%</w:t>
      </w:r>
    </w:p>
    <w:p w:rsidR="00336613" w:rsidRDefault="00336613" w:rsidP="00462D5C">
      <w:r>
        <w:t>Heart Disease – 60%</w:t>
      </w:r>
    </w:p>
    <w:p w:rsidR="00336613" w:rsidRDefault="00336613" w:rsidP="00462D5C">
      <w:r>
        <w:t>Cancer – 58%</w:t>
      </w:r>
    </w:p>
    <w:p w:rsidR="00336613" w:rsidRDefault="00336613" w:rsidP="00462D5C">
      <w:r>
        <w:t>COPD – 47%</w:t>
      </w:r>
    </w:p>
    <w:p w:rsidR="00336613" w:rsidRDefault="00336613" w:rsidP="00462D5C">
      <w:r>
        <w:t>Stroke – 39%</w:t>
      </w:r>
    </w:p>
    <w:p w:rsidR="00336613" w:rsidRDefault="00336613" w:rsidP="00462D5C">
      <w:r>
        <w:t>Kidney Disease – 39%</w:t>
      </w:r>
    </w:p>
    <w:p w:rsidR="00336613" w:rsidRDefault="00336613" w:rsidP="00462D5C"/>
    <w:p w:rsidR="00462D5C" w:rsidRPr="00462D5C" w:rsidRDefault="00997979" w:rsidP="00462D5C">
      <w:r>
        <w:t>Slide 10</w:t>
      </w:r>
    </w:p>
    <w:p w:rsidR="00AE7EE2" w:rsidRDefault="00AE7EE2" w:rsidP="00252644">
      <w:pPr>
        <w:rPr>
          <w:b/>
          <w:bCs/>
        </w:rPr>
      </w:pPr>
      <w:r w:rsidRPr="00AE7EE2">
        <w:rPr>
          <w:b/>
          <w:bCs/>
        </w:rPr>
        <w:t xml:space="preserve">PWD’s -- 1.33 Increase </w:t>
      </w:r>
      <w:proofErr w:type="gramStart"/>
      <w:r w:rsidRPr="00AE7EE2">
        <w:rPr>
          <w:b/>
          <w:bCs/>
        </w:rPr>
        <w:t>Preventable  Hospitalizations</w:t>
      </w:r>
      <w:proofErr w:type="gramEnd"/>
    </w:p>
    <w:p w:rsidR="00AE7EE2" w:rsidRDefault="00AE7EE2" w:rsidP="00252644">
      <w:pPr>
        <w:rPr>
          <w:bCs/>
        </w:rPr>
      </w:pPr>
      <w:r>
        <w:rPr>
          <w:bCs/>
        </w:rPr>
        <w:t>Annual number of hospital stays per 1,000 seniors</w:t>
      </w:r>
    </w:p>
    <w:p w:rsidR="00AE7EE2" w:rsidRDefault="00BD073F" w:rsidP="00AE7EE2">
      <w:r>
        <w:t xml:space="preserve">Chart showing </w:t>
      </w:r>
      <w:proofErr w:type="gramStart"/>
      <w:r w:rsidR="00AE7EE2">
        <w:t>Seniors</w:t>
      </w:r>
      <w:proofErr w:type="gramEnd"/>
      <w:r w:rsidR="00AE7EE2">
        <w:t xml:space="preserve"> without Alzheimer’s and other dementia - </w:t>
      </w:r>
      <w:r w:rsidR="00AE7EE2">
        <w:t>266</w:t>
      </w:r>
    </w:p>
    <w:p w:rsidR="00AE7EE2" w:rsidRDefault="00AE7EE2" w:rsidP="00AE7EE2">
      <w:r>
        <w:t xml:space="preserve">Seniors with Alzheimer’s and other dementia - </w:t>
      </w:r>
      <w:r>
        <w:t>538</w:t>
      </w:r>
    </w:p>
    <w:p w:rsidR="00AE7EE2" w:rsidRPr="00AE7EE2" w:rsidRDefault="00AE7EE2" w:rsidP="00252644">
      <w:pPr>
        <w:rPr>
          <w:bCs/>
        </w:rPr>
      </w:pPr>
    </w:p>
    <w:p w:rsidR="00997979" w:rsidRDefault="00997979" w:rsidP="00252644">
      <w:r>
        <w:t>Slide 11</w:t>
      </w:r>
    </w:p>
    <w:p w:rsidR="004E116D" w:rsidRPr="004E116D" w:rsidRDefault="004E116D" w:rsidP="004E116D">
      <w:r w:rsidRPr="004E116D">
        <w:rPr>
          <w:b/>
          <w:bCs/>
        </w:rPr>
        <w:t>Disclosure of Diagnoses</w:t>
      </w:r>
    </w:p>
    <w:p w:rsidR="004E116D" w:rsidRDefault="004E116D" w:rsidP="004E116D">
      <w:pPr>
        <w:rPr>
          <w:b/>
          <w:bCs/>
        </w:rPr>
      </w:pPr>
      <w:r w:rsidRPr="004E116D">
        <w:rPr>
          <w:b/>
          <w:bCs/>
        </w:rPr>
        <w:t>Percentage of Seniors Diagnosed with Specified Condition or Their Caregivers Who Are Aware of the Diagnosis</w:t>
      </w:r>
    </w:p>
    <w:p w:rsidR="004E116D" w:rsidRDefault="00AF1C78" w:rsidP="004E116D">
      <w:r>
        <w:t xml:space="preserve">Chart showing </w:t>
      </w:r>
      <w:bookmarkStart w:id="0" w:name="_GoBack"/>
      <w:bookmarkEnd w:id="0"/>
      <w:r w:rsidR="004E116D">
        <w:t>Alzheimer’s Disease</w:t>
      </w:r>
      <w:r w:rsidR="004E116D">
        <w:t xml:space="preserve"> –</w:t>
      </w:r>
      <w:r w:rsidR="004E116D">
        <w:t>45</w:t>
      </w:r>
      <w:r w:rsidR="004E116D">
        <w:t>%</w:t>
      </w:r>
    </w:p>
    <w:p w:rsidR="004E116D" w:rsidRDefault="004E116D" w:rsidP="004E116D">
      <w:r>
        <w:t xml:space="preserve">Four most common </w:t>
      </w:r>
      <w:r>
        <w:t>Cancer</w:t>
      </w:r>
      <w:r>
        <w:t>s</w:t>
      </w:r>
      <w:r>
        <w:t xml:space="preserve"> – </w:t>
      </w:r>
      <w:r>
        <w:t>93</w:t>
      </w:r>
      <w:r>
        <w:t>%</w:t>
      </w:r>
    </w:p>
    <w:p w:rsidR="004E116D" w:rsidRDefault="004E116D" w:rsidP="004E116D">
      <w:r>
        <w:t xml:space="preserve">Cardiovascular </w:t>
      </w:r>
      <w:r>
        <w:t xml:space="preserve">Disease – </w:t>
      </w:r>
      <w:r>
        <w:t>9</w:t>
      </w:r>
      <w:r>
        <w:t>0%</w:t>
      </w:r>
    </w:p>
    <w:p w:rsidR="004E116D" w:rsidRDefault="004E116D" w:rsidP="004E116D">
      <w:r>
        <w:t>High Blood Pressure</w:t>
      </w:r>
      <w:r>
        <w:t xml:space="preserve"> – </w:t>
      </w:r>
      <w:r>
        <w:t>83</w:t>
      </w:r>
      <w:r>
        <w:t>%</w:t>
      </w:r>
    </w:p>
    <w:p w:rsidR="004E116D" w:rsidRDefault="004E116D" w:rsidP="004E116D">
      <w:r>
        <w:t>Arthritis</w:t>
      </w:r>
      <w:r>
        <w:t xml:space="preserve"> – </w:t>
      </w:r>
      <w:r>
        <w:t>81</w:t>
      </w:r>
      <w:r>
        <w:t>%</w:t>
      </w:r>
    </w:p>
    <w:p w:rsidR="00997979" w:rsidRDefault="00997979" w:rsidP="00997979">
      <w:r>
        <w:t xml:space="preserve">Slide 12 </w:t>
      </w:r>
    </w:p>
    <w:p w:rsidR="00734382" w:rsidRDefault="00734382" w:rsidP="00252644">
      <w:pPr>
        <w:rPr>
          <w:rFonts w:ascii="Arial" w:eastAsia="Times New Roman" w:hAnsi="Arial" w:cs="Arial"/>
          <w:color w:val="000000" w:themeColor="text1"/>
          <w:spacing w:val="-1"/>
          <w:kern w:val="24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pacing w:val="-1"/>
          <w:kern w:val="24"/>
          <w:sz w:val="18"/>
          <w:szCs w:val="18"/>
        </w:rPr>
        <w:t>The Facts on Early Diagnosis and Disclosure</w:t>
      </w:r>
    </w:p>
    <w:p w:rsidR="00734382" w:rsidRDefault="00734382" w:rsidP="00252644">
      <w:r>
        <w:t>Only about half the people with Alzheimer’s are diagnosed.</w:t>
      </w:r>
    </w:p>
    <w:p w:rsidR="00734382" w:rsidRDefault="00734382" w:rsidP="00252644">
      <w:r>
        <w:t>Among just those with the disease, only 33% are aware of their diagnosis.</w:t>
      </w:r>
    </w:p>
    <w:p w:rsidR="00734382" w:rsidRDefault="00734382" w:rsidP="00252644">
      <w:r>
        <w:t>Of those diagnosed, only 45% of them or their caregivers are aware of the diagnosis.</w:t>
      </w:r>
    </w:p>
    <w:p w:rsidR="00734382" w:rsidRDefault="00734382" w:rsidP="00252644">
      <w:r>
        <w:t>Alz.org/facts</w:t>
      </w:r>
    </w:p>
    <w:p w:rsidR="009A5EC7" w:rsidRDefault="008019DF" w:rsidP="00252644">
      <w:r>
        <w:t>Slide 13</w:t>
      </w:r>
    </w:p>
    <w:p w:rsidR="00A362B7" w:rsidRDefault="00A362B7" w:rsidP="008019DF">
      <w:pPr>
        <w:rPr>
          <w:b/>
          <w:bCs/>
        </w:rPr>
      </w:pPr>
      <w:r w:rsidRPr="00A362B7">
        <w:rPr>
          <w:b/>
          <w:bCs/>
        </w:rPr>
        <w:t xml:space="preserve">Partners in Dementia Care – VA &amp; </w:t>
      </w:r>
      <w:proofErr w:type="spellStart"/>
      <w:r w:rsidRPr="00A362B7">
        <w:rPr>
          <w:b/>
          <w:bCs/>
        </w:rPr>
        <w:t>Alz</w:t>
      </w:r>
      <w:proofErr w:type="spellEnd"/>
      <w:r w:rsidRPr="00A362B7">
        <w:rPr>
          <w:b/>
          <w:bCs/>
        </w:rPr>
        <w:t xml:space="preserve"> Assn. Boston and Houston: Treatment Sites</w:t>
      </w:r>
    </w:p>
    <w:p w:rsidR="00000000" w:rsidRPr="00A362B7" w:rsidRDefault="00AF1C78" w:rsidP="00A362B7">
      <w:pPr>
        <w:numPr>
          <w:ilvl w:val="0"/>
          <w:numId w:val="4"/>
        </w:numPr>
      </w:pPr>
      <w:r w:rsidRPr="00A362B7">
        <w:t>Telephone care consultation se</w:t>
      </w:r>
      <w:r w:rsidRPr="00A362B7">
        <w:t>rvice.</w:t>
      </w:r>
    </w:p>
    <w:p w:rsidR="00000000" w:rsidRPr="00A362B7" w:rsidRDefault="00AF1C78" w:rsidP="00A362B7">
      <w:pPr>
        <w:numPr>
          <w:ilvl w:val="0"/>
          <w:numId w:val="4"/>
        </w:numPr>
      </w:pPr>
      <w:r w:rsidRPr="00A362B7">
        <w:t>PDC effective in decreasing the number of hospitalizations and ER visits.</w:t>
      </w:r>
    </w:p>
    <w:p w:rsidR="00000000" w:rsidRPr="00A362B7" w:rsidRDefault="00AF1C78" w:rsidP="00A362B7">
      <w:pPr>
        <w:numPr>
          <w:ilvl w:val="0"/>
          <w:numId w:val="4"/>
        </w:numPr>
      </w:pPr>
      <w:r w:rsidRPr="00A362B7">
        <w:t>But, not in likelihood of initial hospitalization</w:t>
      </w:r>
    </w:p>
    <w:p w:rsidR="00000000" w:rsidRPr="00A362B7" w:rsidRDefault="00AF1C78" w:rsidP="00A362B7">
      <w:pPr>
        <w:numPr>
          <w:ilvl w:val="0"/>
          <w:numId w:val="4"/>
        </w:numPr>
      </w:pPr>
      <w:r w:rsidRPr="00A362B7">
        <w:t>Positive impact on re-hospitalizations and return ER visits.</w:t>
      </w:r>
    </w:p>
    <w:p w:rsidR="00000000" w:rsidRPr="00A362B7" w:rsidRDefault="00AF1C78" w:rsidP="00A362B7">
      <w:pPr>
        <w:numPr>
          <w:ilvl w:val="0"/>
          <w:numId w:val="4"/>
        </w:numPr>
      </w:pPr>
      <w:r w:rsidRPr="00A362B7">
        <w:t>Most effective when caregivers reported more difficulties with cognitive symptoms.</w:t>
      </w:r>
    </w:p>
    <w:p w:rsidR="008019DF" w:rsidRDefault="008019DF" w:rsidP="008019DF">
      <w:r>
        <w:t xml:space="preserve">Slide 14 </w:t>
      </w:r>
    </w:p>
    <w:p w:rsidR="00B0517A" w:rsidRDefault="00B0517A" w:rsidP="008019DF">
      <w:pPr>
        <w:rPr>
          <w:b/>
          <w:bCs/>
        </w:rPr>
      </w:pPr>
      <w:r w:rsidRPr="00B0517A">
        <w:rPr>
          <w:b/>
          <w:bCs/>
        </w:rPr>
        <w:t>Initiatives of Alzheimer’s Association</w:t>
      </w:r>
    </w:p>
    <w:p w:rsidR="00000000" w:rsidRPr="00B0517A" w:rsidRDefault="00AF1C78" w:rsidP="00B0517A">
      <w:pPr>
        <w:numPr>
          <w:ilvl w:val="0"/>
          <w:numId w:val="5"/>
        </w:numPr>
      </w:pPr>
      <w:r w:rsidRPr="00B0517A">
        <w:t xml:space="preserve">Risk Management CME program (approved by </w:t>
      </w:r>
      <w:r w:rsidRPr="00B0517A">
        <w:t>MMS).</w:t>
      </w:r>
    </w:p>
    <w:p w:rsidR="00000000" w:rsidRPr="00B0517A" w:rsidRDefault="00AF1C78" w:rsidP="00B0517A">
      <w:pPr>
        <w:numPr>
          <w:ilvl w:val="0"/>
          <w:numId w:val="5"/>
        </w:numPr>
      </w:pPr>
      <w:r w:rsidRPr="00B0517A">
        <w:t xml:space="preserve">The Dementia </w:t>
      </w:r>
      <w:r w:rsidRPr="00B0517A">
        <w:t>Care Coordination Initiative</w:t>
      </w:r>
    </w:p>
    <w:p w:rsidR="00000000" w:rsidRPr="00B0517A" w:rsidRDefault="00AF1C78" w:rsidP="00B0517A">
      <w:pPr>
        <w:numPr>
          <w:ilvl w:val="0"/>
          <w:numId w:val="5"/>
        </w:numPr>
      </w:pPr>
      <w:r w:rsidRPr="00B0517A">
        <w:t>Currently 8+ partners:</w:t>
      </w:r>
    </w:p>
    <w:p w:rsidR="00000000" w:rsidRPr="00B0517A" w:rsidRDefault="00AF1C78" w:rsidP="00B0517A">
      <w:pPr>
        <w:numPr>
          <w:ilvl w:val="1"/>
          <w:numId w:val="5"/>
        </w:numPr>
      </w:pPr>
      <w:r w:rsidRPr="00B0517A">
        <w:t>2 insurers and 6 clinical/hospitals</w:t>
      </w:r>
    </w:p>
    <w:p w:rsidR="00000000" w:rsidRPr="00B0517A" w:rsidRDefault="00AF1C78" w:rsidP="00B0517A">
      <w:pPr>
        <w:numPr>
          <w:ilvl w:val="0"/>
          <w:numId w:val="5"/>
        </w:numPr>
      </w:pPr>
      <w:r w:rsidRPr="00B0517A">
        <w:t>Adapt acute care settings via the Acute Care Advisory Committee.</w:t>
      </w:r>
    </w:p>
    <w:p w:rsidR="0077448F" w:rsidRDefault="0077448F" w:rsidP="0077448F">
      <w:r w:rsidRPr="0077448F">
        <w:t>Slide 15</w:t>
      </w:r>
    </w:p>
    <w:p w:rsidR="00B0517A" w:rsidRDefault="00B0517A" w:rsidP="0077448F">
      <w:pPr>
        <w:rPr>
          <w:b/>
          <w:bCs/>
        </w:rPr>
      </w:pPr>
      <w:r w:rsidRPr="00B0517A">
        <w:rPr>
          <w:b/>
          <w:bCs/>
        </w:rPr>
        <w:t>Dementia Care Coordination: Transforming Dementia Care</w:t>
      </w:r>
    </w:p>
    <w:p w:rsidR="00000000" w:rsidRPr="00B0517A" w:rsidRDefault="00AF1C78" w:rsidP="00B0517A">
      <w:pPr>
        <w:numPr>
          <w:ilvl w:val="0"/>
          <w:numId w:val="6"/>
        </w:numPr>
      </w:pPr>
      <w:r w:rsidRPr="00B0517A">
        <w:rPr>
          <w:u w:val="single"/>
        </w:rPr>
        <w:t>Premise</w:t>
      </w:r>
      <w:r w:rsidRPr="00B0517A">
        <w:t>: Supported and capable family caregivers = improved health status for PWD.</w:t>
      </w:r>
    </w:p>
    <w:p w:rsidR="00000000" w:rsidRPr="00B0517A" w:rsidRDefault="00AF1C78" w:rsidP="00B0517A">
      <w:pPr>
        <w:numPr>
          <w:ilvl w:val="0"/>
          <w:numId w:val="6"/>
        </w:numPr>
      </w:pPr>
      <w:r w:rsidRPr="00B0517A">
        <w:t>Coordinating care between: Clinician</w:t>
      </w:r>
      <w:proofErr w:type="gramStart"/>
      <w:r w:rsidRPr="00B0517A">
        <w:t>,  patient</w:t>
      </w:r>
      <w:proofErr w:type="gramEnd"/>
      <w:r w:rsidRPr="00B0517A">
        <w:t xml:space="preserve">/family and </w:t>
      </w:r>
      <w:proofErr w:type="spellStart"/>
      <w:r w:rsidRPr="00B0517A">
        <w:t>Alz</w:t>
      </w:r>
      <w:proofErr w:type="spellEnd"/>
      <w:r w:rsidRPr="00B0517A">
        <w:t>. Assn.</w:t>
      </w:r>
    </w:p>
    <w:p w:rsidR="00000000" w:rsidRPr="00B0517A" w:rsidRDefault="00AF1C78" w:rsidP="00B0517A">
      <w:pPr>
        <w:numPr>
          <w:ilvl w:val="0"/>
          <w:numId w:val="6"/>
        </w:numPr>
      </w:pPr>
      <w:r w:rsidRPr="00B0517A">
        <w:t>Training clinicians in diagnosis, treatment and fa</w:t>
      </w:r>
      <w:r w:rsidRPr="00B0517A">
        <w:t>mily support.</w:t>
      </w:r>
    </w:p>
    <w:p w:rsidR="00B0517A" w:rsidRDefault="00B0517A" w:rsidP="00B0517A">
      <w:r w:rsidRPr="00B0517A">
        <w:t>Diagnosing early and informing patient/family.</w:t>
      </w:r>
    </w:p>
    <w:p w:rsidR="0077448F" w:rsidRDefault="0077448F" w:rsidP="00B0517A">
      <w:r>
        <w:t>Slide 16</w:t>
      </w:r>
    </w:p>
    <w:p w:rsidR="00B0517A" w:rsidRDefault="00B0517A" w:rsidP="0077448F">
      <w:pPr>
        <w:rPr>
          <w:b/>
          <w:bCs/>
        </w:rPr>
      </w:pPr>
      <w:r w:rsidRPr="00B0517A">
        <w:rPr>
          <w:b/>
          <w:bCs/>
        </w:rPr>
        <w:t>DCC: Expected Outcomes</w:t>
      </w:r>
    </w:p>
    <w:p w:rsidR="00000000" w:rsidRPr="00B0517A" w:rsidRDefault="00AF1C78" w:rsidP="00B0517A">
      <w:pPr>
        <w:numPr>
          <w:ilvl w:val="0"/>
          <w:numId w:val="7"/>
        </w:numPr>
      </w:pPr>
      <w:r w:rsidRPr="00B0517A">
        <w:t xml:space="preserve">Decrease </w:t>
      </w:r>
      <w:r w:rsidRPr="00B0517A">
        <w:t xml:space="preserve">in hospital </w:t>
      </w:r>
      <w:r w:rsidRPr="00B0517A">
        <w:t xml:space="preserve">readmissions, decrease </w:t>
      </w:r>
      <w:r w:rsidRPr="00B0517A">
        <w:t xml:space="preserve">in </w:t>
      </w:r>
      <w:r w:rsidRPr="00B0517A">
        <w:t xml:space="preserve">unnecessary </w:t>
      </w:r>
      <w:r w:rsidRPr="00B0517A">
        <w:t xml:space="preserve">ER visits and </w:t>
      </w:r>
      <w:r w:rsidRPr="00B0517A">
        <w:t xml:space="preserve">improved medication </w:t>
      </w:r>
      <w:r w:rsidRPr="00B0517A">
        <w:t>management.</w:t>
      </w:r>
    </w:p>
    <w:p w:rsidR="00000000" w:rsidRPr="00B0517A" w:rsidRDefault="00AF1C78" w:rsidP="00B0517A">
      <w:pPr>
        <w:numPr>
          <w:ilvl w:val="0"/>
          <w:numId w:val="7"/>
        </w:numPr>
      </w:pPr>
      <w:r w:rsidRPr="00B0517A">
        <w:t xml:space="preserve">Reduction in premature nursing home placement (28% -- Mary </w:t>
      </w:r>
      <w:proofErr w:type="spellStart"/>
      <w:r w:rsidRPr="00B0517A">
        <w:t>Mittelman</w:t>
      </w:r>
      <w:proofErr w:type="spellEnd"/>
      <w:r w:rsidRPr="00B0517A">
        <w:t>; NYU).</w:t>
      </w:r>
    </w:p>
    <w:p w:rsidR="00000000" w:rsidRPr="00B0517A" w:rsidRDefault="00AF1C78" w:rsidP="00B0517A">
      <w:pPr>
        <w:numPr>
          <w:ilvl w:val="0"/>
          <w:numId w:val="7"/>
        </w:numPr>
      </w:pPr>
      <w:r w:rsidRPr="00B0517A">
        <w:t>Improved patient and caregiver health metrics.</w:t>
      </w:r>
    </w:p>
    <w:p w:rsidR="00000000" w:rsidRPr="00B0517A" w:rsidRDefault="00AF1C78" w:rsidP="00B0517A">
      <w:pPr>
        <w:numPr>
          <w:ilvl w:val="0"/>
          <w:numId w:val="7"/>
        </w:numPr>
      </w:pPr>
      <w:r w:rsidRPr="00B0517A">
        <w:t>Improved AD management strategies.</w:t>
      </w:r>
    </w:p>
    <w:p w:rsidR="00000000" w:rsidRPr="00B0517A" w:rsidRDefault="00AF1C78" w:rsidP="00B0517A">
      <w:pPr>
        <w:numPr>
          <w:ilvl w:val="0"/>
          <w:numId w:val="7"/>
        </w:numPr>
      </w:pPr>
      <w:r w:rsidRPr="00B0517A">
        <w:t>Improved patient and caregive</w:t>
      </w:r>
      <w:r w:rsidRPr="00B0517A">
        <w:t>r satisfaction.</w:t>
      </w:r>
    </w:p>
    <w:p w:rsidR="0077448F" w:rsidRDefault="00651B1C" w:rsidP="0077448F">
      <w:r>
        <w:t>Slide 17</w:t>
      </w:r>
    </w:p>
    <w:p w:rsidR="006B7FE8" w:rsidRDefault="006B7FE8" w:rsidP="0077448F">
      <w:pPr>
        <w:rPr>
          <w:b/>
          <w:bCs/>
        </w:rPr>
      </w:pPr>
      <w:r w:rsidRPr="006B7FE8">
        <w:rPr>
          <w:b/>
          <w:bCs/>
        </w:rPr>
        <w:t>Current Partners</w:t>
      </w:r>
    </w:p>
    <w:p w:rsidR="00000000" w:rsidRPr="006B7FE8" w:rsidRDefault="00AF1C78" w:rsidP="006B7FE8">
      <w:pPr>
        <w:numPr>
          <w:ilvl w:val="0"/>
          <w:numId w:val="8"/>
        </w:numPr>
      </w:pPr>
      <w:r w:rsidRPr="006B7FE8">
        <w:rPr>
          <w:b/>
          <w:bCs/>
        </w:rPr>
        <w:t>Tufts Health Plan (Medicare Preferred)</w:t>
      </w:r>
    </w:p>
    <w:p w:rsidR="00000000" w:rsidRPr="006B7FE8" w:rsidRDefault="00AF1C78" w:rsidP="006B7FE8">
      <w:pPr>
        <w:numPr>
          <w:ilvl w:val="0"/>
          <w:numId w:val="8"/>
        </w:numPr>
      </w:pPr>
      <w:r w:rsidRPr="006B7FE8">
        <w:rPr>
          <w:b/>
          <w:bCs/>
        </w:rPr>
        <w:t>McLean Hospital Memory Diagnostic Unit</w:t>
      </w:r>
    </w:p>
    <w:p w:rsidR="00000000" w:rsidRPr="006B7FE8" w:rsidRDefault="00AF1C78" w:rsidP="006B7FE8">
      <w:pPr>
        <w:numPr>
          <w:ilvl w:val="0"/>
          <w:numId w:val="8"/>
        </w:numPr>
      </w:pPr>
      <w:r w:rsidRPr="006B7FE8">
        <w:rPr>
          <w:b/>
          <w:bCs/>
        </w:rPr>
        <w:t>Partners HealthCare (</w:t>
      </w:r>
      <w:proofErr w:type="spellStart"/>
      <w:r w:rsidRPr="006B7FE8">
        <w:rPr>
          <w:b/>
          <w:bCs/>
        </w:rPr>
        <w:t>iCMP</w:t>
      </w:r>
      <w:proofErr w:type="spellEnd"/>
      <w:r w:rsidRPr="006B7FE8">
        <w:rPr>
          <w:b/>
          <w:bCs/>
        </w:rPr>
        <w:t>)</w:t>
      </w:r>
    </w:p>
    <w:p w:rsidR="00000000" w:rsidRPr="006B7FE8" w:rsidRDefault="00AF1C78" w:rsidP="006B7FE8">
      <w:pPr>
        <w:numPr>
          <w:ilvl w:val="0"/>
          <w:numId w:val="8"/>
        </w:numPr>
      </w:pPr>
      <w:r w:rsidRPr="006B7FE8">
        <w:rPr>
          <w:b/>
          <w:bCs/>
        </w:rPr>
        <w:t>Blue Cross Blue Shield of Massachusetts (Medicare Preferred)</w:t>
      </w:r>
    </w:p>
    <w:p w:rsidR="00000000" w:rsidRPr="006B7FE8" w:rsidRDefault="00AF1C78" w:rsidP="006B7FE8">
      <w:pPr>
        <w:numPr>
          <w:ilvl w:val="0"/>
          <w:numId w:val="8"/>
        </w:numPr>
      </w:pPr>
      <w:r w:rsidRPr="006B7FE8">
        <w:rPr>
          <w:b/>
          <w:bCs/>
        </w:rPr>
        <w:t>Boston Medical</w:t>
      </w:r>
      <w:r w:rsidRPr="006B7FE8">
        <w:rPr>
          <w:b/>
          <w:bCs/>
        </w:rPr>
        <w:t xml:space="preserve"> Center (</w:t>
      </w:r>
      <w:proofErr w:type="spellStart"/>
      <w:r w:rsidRPr="006B7FE8">
        <w:rPr>
          <w:b/>
          <w:bCs/>
        </w:rPr>
        <w:t>Depts</w:t>
      </w:r>
      <w:proofErr w:type="spellEnd"/>
      <w:r w:rsidRPr="006B7FE8">
        <w:rPr>
          <w:b/>
          <w:bCs/>
        </w:rPr>
        <w:t xml:space="preserve"> of Neurology and Geriatrics)</w:t>
      </w:r>
    </w:p>
    <w:p w:rsidR="00000000" w:rsidRPr="006B7FE8" w:rsidRDefault="00AF1C78" w:rsidP="006B7FE8">
      <w:pPr>
        <w:numPr>
          <w:ilvl w:val="0"/>
          <w:numId w:val="8"/>
        </w:numPr>
      </w:pPr>
      <w:r w:rsidRPr="006B7FE8">
        <w:rPr>
          <w:b/>
          <w:bCs/>
        </w:rPr>
        <w:t>Beth Israel Deaconess Medical Center (Division of Gerontology)</w:t>
      </w:r>
    </w:p>
    <w:p w:rsidR="00000000" w:rsidRPr="006B7FE8" w:rsidRDefault="00AF1C78" w:rsidP="006B7FE8">
      <w:pPr>
        <w:numPr>
          <w:ilvl w:val="0"/>
          <w:numId w:val="8"/>
        </w:numPr>
      </w:pPr>
      <w:r w:rsidRPr="006B7FE8">
        <w:rPr>
          <w:b/>
          <w:bCs/>
        </w:rPr>
        <w:t>UMass M</w:t>
      </w:r>
      <w:r w:rsidRPr="006B7FE8">
        <w:rPr>
          <w:b/>
          <w:bCs/>
        </w:rPr>
        <w:t>emorial Health Care (Accountable Care Organization)</w:t>
      </w:r>
    </w:p>
    <w:p w:rsidR="00000000" w:rsidRPr="006B7FE8" w:rsidRDefault="00AF1C78" w:rsidP="006B7FE8">
      <w:pPr>
        <w:numPr>
          <w:ilvl w:val="0"/>
          <w:numId w:val="8"/>
        </w:numPr>
      </w:pPr>
      <w:proofErr w:type="spellStart"/>
      <w:r w:rsidRPr="006B7FE8">
        <w:rPr>
          <w:b/>
          <w:bCs/>
        </w:rPr>
        <w:t>NaviCare</w:t>
      </w:r>
      <w:proofErr w:type="spellEnd"/>
      <w:r w:rsidRPr="006B7FE8">
        <w:rPr>
          <w:b/>
          <w:bCs/>
        </w:rPr>
        <w:t xml:space="preserve"> (Fallon)</w:t>
      </w:r>
    </w:p>
    <w:p w:rsidR="00651B1C" w:rsidRDefault="00651B1C" w:rsidP="0077448F">
      <w:r>
        <w:t>Slide 18</w:t>
      </w:r>
    </w:p>
    <w:p w:rsidR="006B7FE8" w:rsidRPr="006B7FE8" w:rsidRDefault="006B7FE8" w:rsidP="006B7FE8">
      <w:r w:rsidRPr="006B7FE8">
        <w:t>Acute Care Setting: The Last Frontier</w:t>
      </w:r>
    </w:p>
    <w:p w:rsidR="006B7FE8" w:rsidRPr="006B7FE8" w:rsidRDefault="006B7FE8" w:rsidP="006B7FE8">
      <w:r w:rsidRPr="006B7FE8">
        <w:rPr>
          <w:b/>
          <w:bCs/>
        </w:rPr>
        <w:t>The Association has worked on addressing the quality of dementia care in various care settings.</w:t>
      </w:r>
    </w:p>
    <w:p w:rsidR="00000000" w:rsidRPr="006B7FE8" w:rsidRDefault="00AF1C78" w:rsidP="006B7FE8">
      <w:pPr>
        <w:numPr>
          <w:ilvl w:val="1"/>
          <w:numId w:val="9"/>
        </w:numPr>
      </w:pPr>
      <w:r w:rsidRPr="006B7FE8">
        <w:rPr>
          <w:b/>
          <w:bCs/>
        </w:rPr>
        <w:t xml:space="preserve">Nursing Homes </w:t>
      </w:r>
    </w:p>
    <w:p w:rsidR="00000000" w:rsidRPr="006B7FE8" w:rsidRDefault="00AF1C78" w:rsidP="006B7FE8">
      <w:pPr>
        <w:numPr>
          <w:ilvl w:val="2"/>
          <w:numId w:val="9"/>
        </w:numPr>
      </w:pPr>
      <w:r w:rsidRPr="006B7FE8">
        <w:t xml:space="preserve">Legislative approach mandated dementia Care standards including training. </w:t>
      </w:r>
    </w:p>
    <w:p w:rsidR="00000000" w:rsidRPr="006B7FE8" w:rsidRDefault="00AF1C78" w:rsidP="006B7FE8">
      <w:pPr>
        <w:numPr>
          <w:ilvl w:val="2"/>
          <w:numId w:val="9"/>
        </w:numPr>
      </w:pPr>
      <w:r w:rsidRPr="006B7FE8">
        <w:rPr>
          <w:b/>
          <w:bCs/>
        </w:rPr>
        <w:t xml:space="preserve">Assisted Living Facilities </w:t>
      </w:r>
    </w:p>
    <w:p w:rsidR="00000000" w:rsidRPr="006B7FE8" w:rsidRDefault="00AF1C78" w:rsidP="006B7FE8">
      <w:pPr>
        <w:numPr>
          <w:ilvl w:val="2"/>
          <w:numId w:val="9"/>
        </w:numPr>
      </w:pPr>
      <w:r w:rsidRPr="006B7FE8">
        <w:t xml:space="preserve">Regulatory approach to improve care standards, as well as physical environment. </w:t>
      </w:r>
    </w:p>
    <w:p w:rsidR="00000000" w:rsidRPr="006B7FE8" w:rsidRDefault="00AF1C78" w:rsidP="006B7FE8">
      <w:pPr>
        <w:numPr>
          <w:ilvl w:val="1"/>
          <w:numId w:val="9"/>
        </w:numPr>
      </w:pPr>
      <w:r w:rsidRPr="006B7FE8">
        <w:rPr>
          <w:b/>
          <w:bCs/>
        </w:rPr>
        <w:t>Home Health Care</w:t>
      </w:r>
    </w:p>
    <w:p w:rsidR="00000000" w:rsidRDefault="00AF1C78" w:rsidP="006B7FE8">
      <w:pPr>
        <w:numPr>
          <w:ilvl w:val="4"/>
          <w:numId w:val="9"/>
        </w:numPr>
      </w:pPr>
      <w:r w:rsidRPr="006B7FE8">
        <w:t>Partnership with EOEA: training for Supportive Home Care Aide service.</w:t>
      </w:r>
    </w:p>
    <w:p w:rsidR="00651B1C" w:rsidRDefault="00651B1C" w:rsidP="00651B1C">
      <w:r>
        <w:t>Slide 19</w:t>
      </w:r>
    </w:p>
    <w:p w:rsidR="006B7FE8" w:rsidRDefault="006B7FE8" w:rsidP="00651B1C">
      <w:pPr>
        <w:rPr>
          <w:b/>
          <w:bCs/>
        </w:rPr>
      </w:pPr>
      <w:r w:rsidRPr="006B7FE8">
        <w:rPr>
          <w:b/>
          <w:bCs/>
        </w:rPr>
        <w:t>Not New Problems</w:t>
      </w:r>
      <w:r w:rsidRPr="006B7FE8">
        <w:rPr>
          <w:b/>
          <w:bCs/>
          <w:cs/>
          <w:lang w:bidi="mr-IN"/>
        </w:rPr>
        <w:t>…</w:t>
      </w:r>
      <w:r w:rsidRPr="006B7FE8">
        <w:rPr>
          <w:b/>
          <w:bCs/>
        </w:rPr>
        <w:t>New Solutions</w:t>
      </w:r>
    </w:p>
    <w:p w:rsidR="00000000" w:rsidRPr="006B7FE8" w:rsidRDefault="00AF1C78" w:rsidP="006B7FE8">
      <w:pPr>
        <w:numPr>
          <w:ilvl w:val="0"/>
          <w:numId w:val="10"/>
        </w:numPr>
      </w:pPr>
      <w:r w:rsidRPr="006B7FE8">
        <w:t>Identify core standards of care.</w:t>
      </w:r>
    </w:p>
    <w:p w:rsidR="00000000" w:rsidRPr="006B7FE8" w:rsidRDefault="00AF1C78" w:rsidP="006B7FE8">
      <w:pPr>
        <w:numPr>
          <w:ilvl w:val="0"/>
          <w:numId w:val="10"/>
        </w:numPr>
      </w:pPr>
      <w:r w:rsidRPr="006B7FE8">
        <w:t>Ensure a collaborative approach in implementing pilot programs.</w:t>
      </w:r>
    </w:p>
    <w:p w:rsidR="00000000" w:rsidRPr="006B7FE8" w:rsidRDefault="00AF1C78" w:rsidP="006B7FE8">
      <w:pPr>
        <w:numPr>
          <w:ilvl w:val="0"/>
          <w:numId w:val="10"/>
        </w:numPr>
      </w:pPr>
      <w:r w:rsidRPr="006B7FE8">
        <w:t>Present a strategy to the state legislature and state agenc</w:t>
      </w:r>
      <w:r w:rsidRPr="006B7FE8">
        <w:t>ies to ensure that acute care settings are dementia-capable.</w:t>
      </w:r>
    </w:p>
    <w:p w:rsidR="00651B1C" w:rsidRDefault="00651B1C" w:rsidP="00651B1C">
      <w:r>
        <w:t>Slide 20</w:t>
      </w:r>
    </w:p>
    <w:p w:rsidR="006B7FE8" w:rsidRDefault="006B7FE8" w:rsidP="00C15FAA">
      <w:pPr>
        <w:rPr>
          <w:b/>
          <w:bCs/>
        </w:rPr>
      </w:pPr>
      <w:r w:rsidRPr="006B7FE8">
        <w:rPr>
          <w:b/>
          <w:bCs/>
        </w:rPr>
        <w:t>Key Opportunities to Improve Acute Care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 xml:space="preserve">Screening/identifying </w:t>
      </w:r>
      <w:r w:rsidRPr="006B7FE8">
        <w:t>patients with cognitive impairment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>Dementia capable ER protocols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 xml:space="preserve">Inpatient care: Developing and implement dementia standards of </w:t>
      </w:r>
      <w:r w:rsidRPr="006B7FE8">
        <w:t>care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 xml:space="preserve">Training and support for direct care hospital workforce 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>Engaging PWD and family caregivers at all points of inpatient care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>Supporting family caregivers as PWD returns home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>Implement Dementia Care Coordination initiative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>Care transitions to other care settings</w:t>
      </w:r>
    </w:p>
    <w:p w:rsidR="00000000" w:rsidRPr="006B7FE8" w:rsidRDefault="00AF1C78" w:rsidP="006B7FE8">
      <w:pPr>
        <w:numPr>
          <w:ilvl w:val="0"/>
          <w:numId w:val="11"/>
        </w:numPr>
      </w:pPr>
      <w:r w:rsidRPr="006B7FE8">
        <w:t>Measuring results</w:t>
      </w:r>
    </w:p>
    <w:p w:rsidR="00C15FAA" w:rsidRDefault="00C15FAA" w:rsidP="00651B1C"/>
    <w:p w:rsidR="007C59FC" w:rsidRDefault="007C59FC" w:rsidP="007C59FC">
      <w:r>
        <w:t>Slide 21</w:t>
      </w:r>
      <w:r w:rsidRPr="007C59FC">
        <w:t xml:space="preserve"> </w:t>
      </w:r>
    </w:p>
    <w:p w:rsidR="00343927" w:rsidRDefault="00343927" w:rsidP="007C59FC">
      <w:pPr>
        <w:rPr>
          <w:b/>
          <w:bCs/>
        </w:rPr>
      </w:pPr>
      <w:r w:rsidRPr="00343927">
        <w:rPr>
          <w:b/>
          <w:bCs/>
        </w:rPr>
        <w:t>References</w:t>
      </w:r>
    </w:p>
    <w:p w:rsidR="00343927" w:rsidRPr="00343927" w:rsidRDefault="00343927" w:rsidP="00343927">
      <w:r w:rsidRPr="00343927">
        <w:t>Bass, David. (2015). Impact of care coordination program “Partners in Dementia Care: on veterans’ hospital admissions and emergency department visits. Alzheimer’s and Dementia, (pp 13-22)</w:t>
      </w:r>
    </w:p>
    <w:p w:rsidR="00343927" w:rsidRPr="00343927" w:rsidRDefault="00343927" w:rsidP="00343927">
      <w:r w:rsidRPr="00343927">
        <w:t xml:space="preserve">Maslow, K. (2006). How Many People with Dementia are </w:t>
      </w:r>
      <w:proofErr w:type="gramStart"/>
      <w:r w:rsidRPr="00343927">
        <w:t>Hospitalized</w:t>
      </w:r>
      <w:proofErr w:type="gramEnd"/>
      <w:r w:rsidRPr="00343927">
        <w:t xml:space="preserve">?” </w:t>
      </w:r>
      <w:proofErr w:type="gramStart"/>
      <w:r w:rsidRPr="00343927">
        <w:t xml:space="preserve">In </w:t>
      </w:r>
      <w:proofErr w:type="spellStart"/>
      <w:r w:rsidRPr="00343927">
        <w:t>N.M.Silverstein</w:t>
      </w:r>
      <w:proofErr w:type="spellEnd"/>
      <w:r w:rsidRPr="00343927">
        <w:t>, &amp; K. Maslow (Eds.).</w:t>
      </w:r>
      <w:proofErr w:type="gramEnd"/>
      <w:r w:rsidRPr="00343927">
        <w:t xml:space="preserve"> </w:t>
      </w:r>
      <w:proofErr w:type="gramStart"/>
      <w:r w:rsidRPr="00343927">
        <w:t>Improving hospital care for persons with dementia (pp 3-21).</w:t>
      </w:r>
      <w:proofErr w:type="gramEnd"/>
      <w:r w:rsidRPr="00343927">
        <w:t xml:space="preserve"> NY: Springer Publishing Co, Inc. </w:t>
      </w:r>
    </w:p>
    <w:p w:rsidR="00343927" w:rsidRPr="00343927" w:rsidRDefault="00343927" w:rsidP="00343927">
      <w:proofErr w:type="gramStart"/>
      <w:r w:rsidRPr="00343927">
        <w:t>Matthews, S. B., Arnold, S. E., &amp; Epperson, C. N. (2014).</w:t>
      </w:r>
      <w:proofErr w:type="gramEnd"/>
      <w:r w:rsidRPr="00343927">
        <w:t xml:space="preserve"> Hospitalization and Cognitive Decline: Can the Nature of the Relationship Be Deciphered? The American Journal of Geriatric Psychiatry, 22(5), 465-480. </w:t>
      </w:r>
    </w:p>
    <w:p w:rsidR="00343927" w:rsidRPr="00343927" w:rsidRDefault="00343927" w:rsidP="00343927">
      <w:hyperlink r:id="rId6" w:history="1">
        <w:r w:rsidRPr="00343927">
          <w:rPr>
            <w:rStyle w:val="Hyperlink"/>
          </w:rPr>
          <w:t>http://dol.org/10.1016/j.jagp.2012.08.012</w:t>
        </w:r>
      </w:hyperlink>
    </w:p>
    <w:p w:rsidR="00343927" w:rsidRPr="00343927" w:rsidRDefault="00343927" w:rsidP="00343927">
      <w:proofErr w:type="spellStart"/>
      <w:r w:rsidRPr="00343927">
        <w:t>Mittleman</w:t>
      </w:r>
      <w:proofErr w:type="spellEnd"/>
      <w:r w:rsidRPr="00343927">
        <w:t xml:space="preserve">, Mary, PhD, </w:t>
      </w:r>
      <w:hyperlink r:id="rId7" w:history="1">
        <w:r w:rsidRPr="00343927">
          <w:rPr>
            <w:rStyle w:val="Hyperlink"/>
          </w:rPr>
          <w:t>Neurology.</w:t>
        </w:r>
      </w:hyperlink>
      <w:r w:rsidRPr="00343927">
        <w:t xml:space="preserve"> 2006 Nov 14</w:t>
      </w:r>
      <w:proofErr w:type="gramStart"/>
      <w:r w:rsidRPr="00343927">
        <w:t>;67</w:t>
      </w:r>
      <w:proofErr w:type="gramEnd"/>
      <w:r w:rsidRPr="00343927">
        <w:t>(9):1592-9.</w:t>
      </w:r>
    </w:p>
    <w:sectPr w:rsidR="00343927" w:rsidRPr="003439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F11"/>
    <w:multiLevelType w:val="hybridMultilevel"/>
    <w:tmpl w:val="0B62F946"/>
    <w:lvl w:ilvl="0" w:tplc="B5B09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E4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89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49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CD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6C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AB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20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0C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461025"/>
    <w:multiLevelType w:val="hybridMultilevel"/>
    <w:tmpl w:val="3B5CB158"/>
    <w:lvl w:ilvl="0" w:tplc="205C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CC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AB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68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AB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22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C0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0D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A2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12558B"/>
    <w:multiLevelType w:val="hybridMultilevel"/>
    <w:tmpl w:val="0874A24E"/>
    <w:lvl w:ilvl="0" w:tplc="FE12B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84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27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24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A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CF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E9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2D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CA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561A68"/>
    <w:multiLevelType w:val="hybridMultilevel"/>
    <w:tmpl w:val="8DB03354"/>
    <w:lvl w:ilvl="0" w:tplc="85F0B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0E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A8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21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2A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65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E0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2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03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D30B8B"/>
    <w:multiLevelType w:val="hybridMultilevel"/>
    <w:tmpl w:val="F17A7AAC"/>
    <w:lvl w:ilvl="0" w:tplc="AD96E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E4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E413A">
      <w:start w:val="15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EB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2B754">
      <w:start w:val="1540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E6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2D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C6F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49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A8513B"/>
    <w:multiLevelType w:val="hybridMultilevel"/>
    <w:tmpl w:val="F9689E1E"/>
    <w:lvl w:ilvl="0" w:tplc="6D1EB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4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43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4E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4A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84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4B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E9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82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E07234C"/>
    <w:multiLevelType w:val="hybridMultilevel"/>
    <w:tmpl w:val="B4E2D082"/>
    <w:lvl w:ilvl="0" w:tplc="C9D68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E0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AD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46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8E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EB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09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EB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44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E887417"/>
    <w:multiLevelType w:val="hybridMultilevel"/>
    <w:tmpl w:val="AB323FCE"/>
    <w:lvl w:ilvl="0" w:tplc="2D9AF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69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E5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89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6D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A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283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C0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EE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A3A7FE0"/>
    <w:multiLevelType w:val="hybridMultilevel"/>
    <w:tmpl w:val="ED0A233E"/>
    <w:lvl w:ilvl="0" w:tplc="76F64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62E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41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CB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8C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EA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C7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A2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C61030E"/>
    <w:multiLevelType w:val="hybridMultilevel"/>
    <w:tmpl w:val="B6763EDC"/>
    <w:lvl w:ilvl="0" w:tplc="FA34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67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05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63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64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02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A9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4CE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CF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8761BD9"/>
    <w:multiLevelType w:val="hybridMultilevel"/>
    <w:tmpl w:val="11229DBE"/>
    <w:lvl w:ilvl="0" w:tplc="253CC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C5372">
      <w:start w:val="15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60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0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82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25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C0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AB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00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C7"/>
    <w:rsid w:val="00003BC9"/>
    <w:rsid w:val="0005112B"/>
    <w:rsid w:val="000557EA"/>
    <w:rsid w:val="00085887"/>
    <w:rsid w:val="001A07A6"/>
    <w:rsid w:val="00252644"/>
    <w:rsid w:val="002D23C9"/>
    <w:rsid w:val="00302735"/>
    <w:rsid w:val="00336613"/>
    <w:rsid w:val="00343927"/>
    <w:rsid w:val="003705C1"/>
    <w:rsid w:val="00370A7D"/>
    <w:rsid w:val="003B1E07"/>
    <w:rsid w:val="00462D5C"/>
    <w:rsid w:val="004A75B5"/>
    <w:rsid w:val="004D4CA2"/>
    <w:rsid w:val="004E116D"/>
    <w:rsid w:val="00547D67"/>
    <w:rsid w:val="00577F09"/>
    <w:rsid w:val="00581F9E"/>
    <w:rsid w:val="005C2B9F"/>
    <w:rsid w:val="005D2D7C"/>
    <w:rsid w:val="00651B1C"/>
    <w:rsid w:val="006829B4"/>
    <w:rsid w:val="0069670C"/>
    <w:rsid w:val="006B7FE8"/>
    <w:rsid w:val="00732981"/>
    <w:rsid w:val="00734382"/>
    <w:rsid w:val="00761E31"/>
    <w:rsid w:val="007722D7"/>
    <w:rsid w:val="0077448F"/>
    <w:rsid w:val="007B3340"/>
    <w:rsid w:val="007C59FC"/>
    <w:rsid w:val="007F366B"/>
    <w:rsid w:val="008019DF"/>
    <w:rsid w:val="00801D89"/>
    <w:rsid w:val="0084518D"/>
    <w:rsid w:val="008D65D4"/>
    <w:rsid w:val="008E7C34"/>
    <w:rsid w:val="009476BA"/>
    <w:rsid w:val="009753B2"/>
    <w:rsid w:val="00997979"/>
    <w:rsid w:val="009A5EC7"/>
    <w:rsid w:val="009E3F9B"/>
    <w:rsid w:val="00A32841"/>
    <w:rsid w:val="00A362B7"/>
    <w:rsid w:val="00A62789"/>
    <w:rsid w:val="00AB3CAB"/>
    <w:rsid w:val="00AB6E03"/>
    <w:rsid w:val="00AE7EE2"/>
    <w:rsid w:val="00AF1C78"/>
    <w:rsid w:val="00B0517A"/>
    <w:rsid w:val="00B0768B"/>
    <w:rsid w:val="00B541D9"/>
    <w:rsid w:val="00BA035D"/>
    <w:rsid w:val="00BA326F"/>
    <w:rsid w:val="00BD073F"/>
    <w:rsid w:val="00C15FAA"/>
    <w:rsid w:val="00CF2125"/>
    <w:rsid w:val="00DC2D79"/>
    <w:rsid w:val="00DE4BD6"/>
    <w:rsid w:val="00E8463A"/>
    <w:rsid w:val="00F35678"/>
    <w:rsid w:val="00F4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26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26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546">
          <w:marLeft w:val="475"/>
          <w:marRight w:val="10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670">
          <w:marLeft w:val="475"/>
          <w:marRight w:val="10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209">
          <w:marLeft w:val="475"/>
          <w:marRight w:val="10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7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0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215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433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540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88">
          <w:marLeft w:val="475"/>
          <w:marRight w:val="7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761">
          <w:marLeft w:val="475"/>
          <w:marRight w:val="121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301">
          <w:marLeft w:val="475"/>
          <w:marRight w:val="121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036">
          <w:marLeft w:val="475"/>
          <w:marRight w:val="121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958">
          <w:marLeft w:val="475"/>
          <w:marRight w:val="121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7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122">
          <w:marLeft w:val="475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384">
          <w:marLeft w:val="47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204">
          <w:marLeft w:val="475"/>
          <w:marRight w:val="2131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122">
          <w:marLeft w:val="1195"/>
          <w:marRight w:val="2131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980">
          <w:marLeft w:val="47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708">
          <w:marLeft w:val="562"/>
          <w:marRight w:val="4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393">
          <w:marLeft w:val="562"/>
          <w:marRight w:val="14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958">
          <w:marLeft w:val="562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921">
          <w:marLeft w:val="562"/>
          <w:marRight w:val="562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622">
          <w:marLeft w:val="562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3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449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58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32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74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576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dol.org/10.1016/j.jagp.2012.08.012"/>
  <Relationship Id="rId7" Type="http://schemas.openxmlformats.org/officeDocument/2006/relationships/hyperlink" TargetMode="External" Target="https://www.ncbi.nlm.nih.gov/pubmed/17101889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2017-02-10T18:26:00Z</dcterms:created>
  <dc:creator>McHale, Eileen (DPH)</dc:creator>
  <lastModifiedBy/>
  <dcterms:modified xsi:type="dcterms:W3CDTF">2017-02-10T19:31:00Z</dcterms:modified>
  <revision>16</revision>
</coreProperties>
</file>