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BF" w:rsidRPr="00366900" w:rsidRDefault="009A67E5" w:rsidP="00366900">
      <w:pPr>
        <w:pStyle w:val="NoSpacing"/>
      </w:pPr>
      <w:r w:rsidRPr="00366900">
        <w:t>Slide 1.</w:t>
      </w:r>
    </w:p>
    <w:p w:rsidR="00BC2B99" w:rsidRPr="00BC2B99" w:rsidRDefault="00BC2B99" w:rsidP="00BC2B99">
      <w:pPr>
        <w:pStyle w:val="NoSpacing"/>
        <w:rPr>
          <w:b/>
          <w:bCs/>
        </w:rPr>
      </w:pPr>
      <w:r w:rsidRPr="00BC2B99">
        <w:rPr>
          <w:b/>
          <w:bCs/>
        </w:rPr>
        <w:t>Drug Formulary Commission</w:t>
      </w:r>
    </w:p>
    <w:p w:rsidR="009A67E5" w:rsidRDefault="009A67E5" w:rsidP="00366900">
      <w:pPr>
        <w:pStyle w:val="NoSpacing"/>
      </w:pPr>
    </w:p>
    <w:p w:rsidR="00BC2B99" w:rsidRDefault="00BC2B99" w:rsidP="00BC2B99">
      <w:pPr>
        <w:pStyle w:val="NoSpacing"/>
      </w:pPr>
      <w:r>
        <w:t>Bureau of Health Care Safety and Quality</w:t>
      </w:r>
    </w:p>
    <w:p w:rsidR="00BC2B99" w:rsidRDefault="00BC2B99" w:rsidP="00BC2B99">
      <w:pPr>
        <w:pStyle w:val="NoSpacing"/>
      </w:pPr>
      <w:r>
        <w:t>Department of Public Health</w:t>
      </w:r>
    </w:p>
    <w:p w:rsidR="009A67E5" w:rsidRDefault="00CD7F2D" w:rsidP="00BC2B99">
      <w:pPr>
        <w:pStyle w:val="NoSpacing"/>
      </w:pPr>
      <w:r>
        <w:t>March 20</w:t>
      </w:r>
      <w:r w:rsidR="00BC2B99">
        <w:t>, 201</w:t>
      </w:r>
      <w:r>
        <w:t>7</w:t>
      </w:r>
    </w:p>
    <w:p w:rsidR="00BC2B99" w:rsidRPr="00366900" w:rsidRDefault="00BC2B99" w:rsidP="00BC2B99">
      <w:pPr>
        <w:pStyle w:val="NoSpacing"/>
      </w:pPr>
    </w:p>
    <w:p w:rsidR="009A67E5" w:rsidRPr="00366900" w:rsidRDefault="007771FE" w:rsidP="00366900">
      <w:pPr>
        <w:pStyle w:val="NoSpacing"/>
      </w:pPr>
      <w:proofErr w:type="gramStart"/>
      <w:r>
        <w:t>Slide 2</w:t>
      </w:r>
      <w:r w:rsidR="009A67E5" w:rsidRPr="00366900">
        <w:t>.</w:t>
      </w:r>
      <w:proofErr w:type="gramEnd"/>
    </w:p>
    <w:p w:rsidR="00BC2B99" w:rsidRPr="00BC2B99" w:rsidRDefault="00BC2B99" w:rsidP="00BC2B99">
      <w:pPr>
        <w:pStyle w:val="NoSpacing"/>
        <w:rPr>
          <w:b/>
          <w:bCs/>
        </w:rPr>
      </w:pPr>
      <w:r w:rsidRPr="00BC2B99">
        <w:rPr>
          <w:b/>
          <w:bCs/>
        </w:rPr>
        <w:t>Presentation Agenda</w:t>
      </w:r>
    </w:p>
    <w:p w:rsidR="00000000" w:rsidRPr="00CD7F2D" w:rsidRDefault="000C48C8" w:rsidP="00CD7F2D">
      <w:pPr>
        <w:pStyle w:val="NoSpacing"/>
        <w:numPr>
          <w:ilvl w:val="0"/>
          <w:numId w:val="18"/>
        </w:numPr>
      </w:pPr>
      <w:r w:rsidRPr="00CD7F2D">
        <w:t>Interchangeable Abuse Deterrent Drug Products Evaluation</w:t>
      </w:r>
    </w:p>
    <w:p w:rsidR="00000000" w:rsidRPr="00CD7F2D" w:rsidRDefault="000C48C8" w:rsidP="00CD7F2D">
      <w:pPr>
        <w:pStyle w:val="NoSpacing"/>
        <w:numPr>
          <w:ilvl w:val="1"/>
          <w:numId w:val="18"/>
        </w:numPr>
      </w:pPr>
      <w:proofErr w:type="spellStart"/>
      <w:r w:rsidRPr="00CD7F2D">
        <w:t>Troxeca</w:t>
      </w:r>
      <w:proofErr w:type="spellEnd"/>
      <w:r w:rsidRPr="00CD7F2D">
        <w:t xml:space="preserve"> ER</w:t>
      </w:r>
      <w:r w:rsidRPr="00CD7F2D">
        <w:rPr>
          <w:vertAlign w:val="superscript"/>
        </w:rPr>
        <w:t>®</w:t>
      </w:r>
    </w:p>
    <w:p w:rsidR="00000000" w:rsidRPr="00CD7F2D" w:rsidRDefault="000C48C8" w:rsidP="00CD7F2D">
      <w:pPr>
        <w:pStyle w:val="NoSpacing"/>
        <w:numPr>
          <w:ilvl w:val="0"/>
          <w:numId w:val="18"/>
        </w:numPr>
      </w:pPr>
      <w:r w:rsidRPr="00CD7F2D">
        <w:t>Chemically Equivalent Substitutions</w:t>
      </w:r>
    </w:p>
    <w:p w:rsidR="00000000" w:rsidRPr="00CD7F2D" w:rsidRDefault="000C48C8" w:rsidP="00CD7F2D">
      <w:pPr>
        <w:pStyle w:val="NoSpacing"/>
        <w:numPr>
          <w:ilvl w:val="1"/>
          <w:numId w:val="18"/>
        </w:numPr>
      </w:pPr>
      <w:proofErr w:type="spellStart"/>
      <w:r w:rsidRPr="00CD7F2D">
        <w:t>Troxeca</w:t>
      </w:r>
      <w:proofErr w:type="spellEnd"/>
      <w:r w:rsidRPr="00CD7F2D">
        <w:t xml:space="preserve"> ER</w:t>
      </w:r>
      <w:r w:rsidRPr="00CD7F2D">
        <w:rPr>
          <w:vertAlign w:val="superscript"/>
        </w:rPr>
        <w:t>®</w:t>
      </w:r>
    </w:p>
    <w:p w:rsidR="00000000" w:rsidRPr="00CD7F2D" w:rsidRDefault="000C48C8" w:rsidP="00CD7F2D">
      <w:pPr>
        <w:pStyle w:val="NoSpacing"/>
        <w:numPr>
          <w:ilvl w:val="0"/>
          <w:numId w:val="18"/>
        </w:numPr>
      </w:pPr>
      <w:r w:rsidRPr="00CD7F2D">
        <w:t>Draft Formulary</w:t>
      </w:r>
    </w:p>
    <w:p w:rsidR="00000000" w:rsidRPr="00CD7F2D" w:rsidRDefault="000C48C8" w:rsidP="00CD7F2D">
      <w:pPr>
        <w:pStyle w:val="NoSpacing"/>
        <w:numPr>
          <w:ilvl w:val="1"/>
          <w:numId w:val="18"/>
        </w:numPr>
      </w:pPr>
      <w:r w:rsidRPr="00CD7F2D">
        <w:t xml:space="preserve">105 CMR 720 </w:t>
      </w:r>
    </w:p>
    <w:p w:rsidR="00000000" w:rsidRPr="00CD7F2D" w:rsidRDefault="000C48C8" w:rsidP="00CD7F2D">
      <w:pPr>
        <w:pStyle w:val="NoSpacing"/>
        <w:numPr>
          <w:ilvl w:val="1"/>
          <w:numId w:val="18"/>
        </w:numPr>
      </w:pPr>
      <w:r w:rsidRPr="00CD7F2D">
        <w:t>Prescriber Education</w:t>
      </w:r>
    </w:p>
    <w:p w:rsidR="00000000" w:rsidRPr="00CD7F2D" w:rsidRDefault="000C48C8" w:rsidP="00CD7F2D">
      <w:pPr>
        <w:pStyle w:val="NoSpacing"/>
        <w:numPr>
          <w:ilvl w:val="0"/>
          <w:numId w:val="18"/>
        </w:numPr>
      </w:pPr>
      <w:r w:rsidRPr="00CD7F2D">
        <w:t>CHIA Benefits Review</w:t>
      </w:r>
    </w:p>
    <w:p w:rsidR="00000000" w:rsidRPr="00CD7F2D" w:rsidRDefault="000C48C8" w:rsidP="00CD7F2D">
      <w:pPr>
        <w:pStyle w:val="NoSpacing"/>
        <w:numPr>
          <w:ilvl w:val="0"/>
          <w:numId w:val="18"/>
        </w:numPr>
      </w:pPr>
      <w:r w:rsidRPr="00CD7F2D">
        <w:t>Next Steps</w:t>
      </w:r>
    </w:p>
    <w:p w:rsidR="00BC2B99" w:rsidRPr="00366900" w:rsidRDefault="00BC2B99" w:rsidP="00BC2B99">
      <w:pPr>
        <w:pStyle w:val="NoSpacing"/>
      </w:pPr>
    </w:p>
    <w:p w:rsidR="007771FE" w:rsidRDefault="009A67E5" w:rsidP="00366900">
      <w:pPr>
        <w:pStyle w:val="NoSpacing"/>
      </w:pPr>
      <w:proofErr w:type="gramStart"/>
      <w:r w:rsidRPr="00366900">
        <w:t>Sl</w:t>
      </w:r>
      <w:r w:rsidR="007771FE">
        <w:t>ide 3.</w:t>
      </w:r>
      <w:proofErr w:type="gramEnd"/>
    </w:p>
    <w:p w:rsidR="00CD7F2D" w:rsidRDefault="00CD7F2D" w:rsidP="007147DF">
      <w:pPr>
        <w:pStyle w:val="NoSpacing"/>
        <w:ind w:left="1440" w:hanging="1440"/>
        <w:rPr>
          <w:b/>
          <w:bCs/>
        </w:rPr>
      </w:pPr>
      <w:r w:rsidRPr="00CD7F2D">
        <w:rPr>
          <w:b/>
          <w:bCs/>
        </w:rPr>
        <w:t>Formulary Review and Evaluation</w:t>
      </w:r>
    </w:p>
    <w:p w:rsidR="00CD7F2D" w:rsidRDefault="00CD7F2D" w:rsidP="00CD7F2D">
      <w:pPr>
        <w:pStyle w:val="NoSpacing"/>
        <w:numPr>
          <w:ilvl w:val="0"/>
          <w:numId w:val="19"/>
        </w:numPr>
      </w:pPr>
      <w:r>
        <w:t>Component 1: Opioids with a Heightened Public Health Risk</w:t>
      </w:r>
    </w:p>
    <w:p w:rsidR="00CD7F2D" w:rsidRDefault="00CD7F2D" w:rsidP="00CD7F2D">
      <w:pPr>
        <w:pStyle w:val="NoSpacing"/>
        <w:numPr>
          <w:ilvl w:val="0"/>
          <w:numId w:val="19"/>
        </w:numPr>
      </w:pPr>
      <w:r>
        <w:t>Component 2: Interchangeable Abuse Deterrent Opioids</w:t>
      </w:r>
    </w:p>
    <w:p w:rsidR="00B87371" w:rsidRDefault="00CD7F2D" w:rsidP="00CD7F2D">
      <w:pPr>
        <w:pStyle w:val="NoSpacing"/>
        <w:numPr>
          <w:ilvl w:val="0"/>
          <w:numId w:val="19"/>
        </w:numPr>
      </w:pPr>
      <w:r>
        <w:t>Component 3: “Cross Walk” – Chemically Equivalent Substitutions</w:t>
      </w:r>
    </w:p>
    <w:p w:rsidR="00CD7F2D" w:rsidRDefault="00CD7F2D" w:rsidP="00CD7F2D">
      <w:pPr>
        <w:pStyle w:val="NoSpacing"/>
        <w:numPr>
          <w:ilvl w:val="0"/>
          <w:numId w:val="19"/>
        </w:numPr>
      </w:pPr>
      <w:r>
        <w:t>Draft Amended Formulary</w:t>
      </w:r>
    </w:p>
    <w:p w:rsidR="00CD7F2D" w:rsidRDefault="00CD7F2D" w:rsidP="00CD7F2D">
      <w:pPr>
        <w:pStyle w:val="NoSpacing"/>
      </w:pPr>
    </w:p>
    <w:p w:rsidR="00CD7F2D" w:rsidRDefault="00CD7F2D" w:rsidP="00CD7F2D">
      <w:pPr>
        <w:pStyle w:val="NoSpacing"/>
      </w:pPr>
    </w:p>
    <w:p w:rsidR="00CD7F2D" w:rsidRPr="00366900" w:rsidRDefault="00CD7F2D" w:rsidP="00CD7F2D">
      <w:pPr>
        <w:pStyle w:val="NoSpacing"/>
      </w:pPr>
      <w:proofErr w:type="gramStart"/>
      <w:r>
        <w:t xml:space="preserve">Slide </w:t>
      </w:r>
      <w:r>
        <w:t>4</w:t>
      </w:r>
      <w:r w:rsidRPr="00366900">
        <w:t>.</w:t>
      </w:r>
      <w:proofErr w:type="gramEnd"/>
    </w:p>
    <w:p w:rsidR="00CD7F2D" w:rsidRPr="00CD7F2D" w:rsidRDefault="00CD7F2D" w:rsidP="00CD7F2D">
      <w:pPr>
        <w:pStyle w:val="NoSpacing"/>
      </w:pPr>
      <w:r w:rsidRPr="00CD7F2D">
        <w:rPr>
          <w:b/>
          <w:bCs/>
        </w:rPr>
        <w:t>Potential IAD Drug Product Evaluation</w:t>
      </w:r>
      <w:r>
        <w:rPr>
          <w:b/>
          <w:bCs/>
        </w:rPr>
        <w:t xml:space="preserve"> </w:t>
      </w:r>
      <w:proofErr w:type="spellStart"/>
      <w:r w:rsidRPr="00CD7F2D">
        <w:rPr>
          <w:b/>
          <w:bCs/>
        </w:rPr>
        <w:t>Troxyca</w:t>
      </w:r>
      <w:proofErr w:type="spellEnd"/>
      <w:r w:rsidRPr="00CD7F2D">
        <w:rPr>
          <w:b/>
          <w:bCs/>
        </w:rPr>
        <w:t xml:space="preserve"> ER</w:t>
      </w:r>
      <w:r w:rsidRPr="00CD7F2D">
        <w:rPr>
          <w:b/>
          <w:bCs/>
          <w:vertAlign w:val="superscript"/>
        </w:rPr>
        <w:t>®</w:t>
      </w:r>
    </w:p>
    <w:p w:rsidR="00000000" w:rsidRPr="00CD7F2D" w:rsidRDefault="000C48C8" w:rsidP="00CD7F2D">
      <w:pPr>
        <w:pStyle w:val="NoSpacing"/>
        <w:numPr>
          <w:ilvl w:val="0"/>
          <w:numId w:val="20"/>
        </w:numPr>
      </w:pPr>
      <w:r w:rsidRPr="00CD7F2D">
        <w:t>Oxycodone extended-release/naltrexone</w:t>
      </w:r>
    </w:p>
    <w:p w:rsidR="00000000" w:rsidRPr="00CD7F2D" w:rsidRDefault="000C48C8" w:rsidP="00CD7F2D">
      <w:pPr>
        <w:pStyle w:val="NoSpacing"/>
        <w:numPr>
          <w:ilvl w:val="0"/>
          <w:numId w:val="20"/>
        </w:numPr>
      </w:pPr>
      <w:r w:rsidRPr="00CD7F2D">
        <w:t xml:space="preserve">ADF Property </w:t>
      </w:r>
    </w:p>
    <w:p w:rsidR="00000000" w:rsidRPr="00CD7F2D" w:rsidRDefault="000C48C8" w:rsidP="00CD7F2D">
      <w:pPr>
        <w:pStyle w:val="NoSpacing"/>
        <w:numPr>
          <w:ilvl w:val="1"/>
          <w:numId w:val="20"/>
        </w:numPr>
      </w:pPr>
      <w:r w:rsidRPr="00CD7F2D">
        <w:t>Ago</w:t>
      </w:r>
      <w:r w:rsidRPr="00CD7F2D">
        <w:t>nist/antagonist</w:t>
      </w:r>
    </w:p>
    <w:p w:rsidR="00000000" w:rsidRPr="00CD7F2D" w:rsidRDefault="000C48C8" w:rsidP="00CD7F2D">
      <w:pPr>
        <w:pStyle w:val="NoSpacing"/>
        <w:numPr>
          <w:ilvl w:val="1"/>
          <w:numId w:val="20"/>
        </w:numPr>
      </w:pPr>
      <w:r w:rsidRPr="00CD7F2D">
        <w:t>Clinical abuse potential studies of the intravenous (IV), intranasal and oral routes</w:t>
      </w:r>
    </w:p>
    <w:p w:rsidR="00000000" w:rsidRPr="00CD7F2D" w:rsidRDefault="000C48C8" w:rsidP="00CD7F2D">
      <w:pPr>
        <w:pStyle w:val="NoSpacing"/>
        <w:numPr>
          <w:ilvl w:val="0"/>
          <w:numId w:val="20"/>
        </w:numPr>
      </w:pPr>
      <w:r w:rsidRPr="00CD7F2D">
        <w:t>FDA Approval</w:t>
      </w:r>
      <w:r w:rsidRPr="00CD7F2D">
        <w:tab/>
      </w:r>
      <w:r w:rsidRPr="00CD7F2D">
        <w:tab/>
      </w:r>
      <w:r w:rsidRPr="00CD7F2D">
        <w:tab/>
      </w:r>
      <w:r w:rsidRPr="00CD7F2D">
        <w:tab/>
      </w:r>
      <w:r w:rsidRPr="00CD7F2D">
        <w:tab/>
        <w:t xml:space="preserve">August 2016 </w:t>
      </w:r>
    </w:p>
    <w:p w:rsidR="00000000" w:rsidRPr="00CD7F2D" w:rsidRDefault="000C48C8" w:rsidP="00CD7F2D">
      <w:pPr>
        <w:pStyle w:val="NoSpacing"/>
        <w:numPr>
          <w:ilvl w:val="0"/>
          <w:numId w:val="20"/>
        </w:numPr>
      </w:pPr>
      <w:r w:rsidRPr="00CD7F2D">
        <w:t>FDA ADF labeling approved</w:t>
      </w:r>
      <w:r w:rsidRPr="00CD7F2D">
        <w:tab/>
      </w:r>
      <w:r w:rsidRPr="00CD7F2D">
        <w:tab/>
      </w:r>
      <w:r w:rsidRPr="00CD7F2D">
        <w:tab/>
        <w:t xml:space="preserve">August 2016 </w:t>
      </w:r>
    </w:p>
    <w:p w:rsidR="00000000" w:rsidRPr="00CD7F2D" w:rsidRDefault="000C48C8" w:rsidP="00CD7F2D">
      <w:pPr>
        <w:pStyle w:val="NoSpacing"/>
        <w:numPr>
          <w:ilvl w:val="0"/>
          <w:numId w:val="20"/>
        </w:numPr>
      </w:pPr>
      <w:r w:rsidRPr="00CD7F2D">
        <w:t xml:space="preserve">Available Strengths </w:t>
      </w:r>
    </w:p>
    <w:p w:rsidR="00000000" w:rsidRPr="00CD7F2D" w:rsidRDefault="000C48C8" w:rsidP="00CD7F2D">
      <w:pPr>
        <w:pStyle w:val="NoSpacing"/>
        <w:numPr>
          <w:ilvl w:val="1"/>
          <w:numId w:val="20"/>
        </w:numPr>
      </w:pPr>
      <w:r w:rsidRPr="00CD7F2D">
        <w:t>10/1.2 mg, 20/2.4 mg, 30/3.6 mg, 40/4.8 mg, 60/7.2 mg, 80/9.6 mg</w:t>
      </w:r>
    </w:p>
    <w:p w:rsidR="00B87371" w:rsidRDefault="00B87371" w:rsidP="007147DF">
      <w:pPr>
        <w:pStyle w:val="NoSpacing"/>
      </w:pPr>
    </w:p>
    <w:p w:rsidR="00B87371" w:rsidRDefault="00B87371" w:rsidP="007147DF">
      <w:pPr>
        <w:pStyle w:val="NoSpacing"/>
      </w:pPr>
    </w:p>
    <w:p w:rsidR="00B87371" w:rsidRDefault="00B87371" w:rsidP="007147DF">
      <w:pPr>
        <w:pStyle w:val="NoSpacing"/>
      </w:pPr>
    </w:p>
    <w:p w:rsidR="00D247D6" w:rsidRPr="00366900" w:rsidRDefault="00981606" w:rsidP="00D247D6">
      <w:pPr>
        <w:pStyle w:val="NoSpacing"/>
      </w:pPr>
      <w:proofErr w:type="gramStart"/>
      <w:r>
        <w:lastRenderedPageBreak/>
        <w:t>Slide 5</w:t>
      </w:r>
      <w:r w:rsidR="009A67E5" w:rsidRPr="00366900">
        <w:t>.</w:t>
      </w:r>
      <w:proofErr w:type="gramEnd"/>
    </w:p>
    <w:p w:rsidR="00CD7F2D" w:rsidRPr="00CD7F2D" w:rsidRDefault="00CD7F2D" w:rsidP="00CD7F2D">
      <w:pPr>
        <w:pStyle w:val="NoSpacing"/>
      </w:pPr>
      <w:r w:rsidRPr="00CD7F2D">
        <w:rPr>
          <w:b/>
          <w:bCs/>
        </w:rPr>
        <w:t>Potential IAD Drug Product Evaluation</w:t>
      </w:r>
      <w:r>
        <w:rPr>
          <w:b/>
          <w:bCs/>
        </w:rPr>
        <w:t xml:space="preserve"> </w:t>
      </w:r>
      <w:proofErr w:type="spellStart"/>
      <w:r w:rsidRPr="00CD7F2D">
        <w:rPr>
          <w:b/>
          <w:bCs/>
        </w:rPr>
        <w:t>Troxyca</w:t>
      </w:r>
      <w:proofErr w:type="spellEnd"/>
      <w:r w:rsidRPr="00CD7F2D">
        <w:rPr>
          <w:b/>
          <w:bCs/>
        </w:rPr>
        <w:t xml:space="preserve"> ER</w:t>
      </w:r>
      <w:r w:rsidRPr="00CD7F2D">
        <w:rPr>
          <w:b/>
          <w:bCs/>
          <w:vertAlign w:val="superscript"/>
        </w:rPr>
        <w:t>®</w:t>
      </w:r>
    </w:p>
    <w:p w:rsidR="00000000" w:rsidRPr="00CD7F2D" w:rsidRDefault="000C48C8" w:rsidP="00CD7F2D">
      <w:pPr>
        <w:pStyle w:val="NoSpacing"/>
        <w:numPr>
          <w:ilvl w:val="0"/>
          <w:numId w:val="21"/>
        </w:numPr>
      </w:pPr>
      <w:proofErr w:type="spellStart"/>
      <w:r w:rsidRPr="00CD7F2D">
        <w:t>Troxyca</w:t>
      </w:r>
      <w:proofErr w:type="spellEnd"/>
      <w:r w:rsidRPr="00CD7F2D">
        <w:t xml:space="preserve"> ER</w:t>
      </w:r>
      <w:r w:rsidRPr="00CD7F2D">
        <w:rPr>
          <w:vertAlign w:val="superscript"/>
        </w:rPr>
        <w:t xml:space="preserve">® </w:t>
      </w:r>
      <w:r w:rsidRPr="00CD7F2D">
        <w:t xml:space="preserve">is formulated as a capsule filled with extended-release beads of oxycodone with a </w:t>
      </w:r>
      <w:r w:rsidRPr="00CD7F2D">
        <w:t>sequestered naltrexone core.</w:t>
      </w:r>
      <w:r w:rsidRPr="00CD7F2D">
        <w:rPr>
          <w:vertAlign w:val="superscript"/>
        </w:rPr>
        <w:t>1</w:t>
      </w:r>
    </w:p>
    <w:p w:rsidR="00000000" w:rsidRPr="00CD7F2D" w:rsidRDefault="000C48C8" w:rsidP="00CD7F2D">
      <w:pPr>
        <w:pStyle w:val="NoSpacing"/>
        <w:numPr>
          <w:ilvl w:val="0"/>
          <w:numId w:val="21"/>
        </w:numPr>
      </w:pPr>
      <w:r w:rsidRPr="00CD7F2D">
        <w:t>Manipulation of these pellets could lead to a rapid release and absorption of a potentially fat</w:t>
      </w:r>
      <w:r w:rsidRPr="00CD7F2D">
        <w:t>al dose of oxycodone, as well as a sufficient quantity of naltrexone to precipitate withdrawal in opioid-dependent individuals.</w:t>
      </w:r>
      <w:r w:rsidRPr="00CD7F2D">
        <w:rPr>
          <w:vertAlign w:val="superscript"/>
        </w:rPr>
        <w:t>1</w:t>
      </w:r>
    </w:p>
    <w:p w:rsidR="00000000" w:rsidRPr="00CD7F2D" w:rsidRDefault="000C48C8" w:rsidP="00CD7F2D">
      <w:pPr>
        <w:pStyle w:val="NoSpacing"/>
        <w:numPr>
          <w:ilvl w:val="0"/>
          <w:numId w:val="21"/>
        </w:numPr>
      </w:pPr>
      <w:r w:rsidRPr="00CD7F2D">
        <w:t xml:space="preserve">An oral clinical abuse potential study indicates both intact and crushed </w:t>
      </w:r>
      <w:proofErr w:type="spellStart"/>
      <w:r w:rsidRPr="00CD7F2D">
        <w:t>Troxyca</w:t>
      </w:r>
      <w:proofErr w:type="spellEnd"/>
      <w:r w:rsidRPr="00CD7F2D">
        <w:t xml:space="preserve"> ER</w:t>
      </w:r>
      <w:r w:rsidRPr="00CD7F2D">
        <w:rPr>
          <w:vertAlign w:val="superscript"/>
        </w:rPr>
        <w:t>®</w:t>
      </w:r>
      <w:r w:rsidRPr="00CD7F2D">
        <w:t xml:space="preserve"> is associated with less drug liking and drug high than crushed oxycodone immediate-release; however, the</w:t>
      </w:r>
      <w:r w:rsidRPr="00CD7F2D">
        <w:t xml:space="preserve"> difference in willingness to take drug again scores were only statistically significant for the 40/4.8 mg dose (not statistically significant for 60/7.2 mg dose).</w:t>
      </w:r>
      <w:r w:rsidRPr="00CD7F2D">
        <w:rPr>
          <w:vertAlign w:val="superscript"/>
        </w:rPr>
        <w:t>6</w:t>
      </w:r>
    </w:p>
    <w:p w:rsidR="00000000" w:rsidRPr="00CD7F2D" w:rsidRDefault="000C48C8" w:rsidP="00CD7F2D">
      <w:pPr>
        <w:pStyle w:val="NoSpacing"/>
        <w:numPr>
          <w:ilvl w:val="0"/>
          <w:numId w:val="21"/>
        </w:numPr>
      </w:pPr>
      <w:r w:rsidRPr="00CD7F2D">
        <w:t xml:space="preserve">An intranasal clinical abuse potential study indicates crushed </w:t>
      </w:r>
      <w:proofErr w:type="spellStart"/>
      <w:r w:rsidRPr="00CD7F2D">
        <w:t>Troxyca</w:t>
      </w:r>
      <w:proofErr w:type="spellEnd"/>
      <w:r w:rsidRPr="00CD7F2D">
        <w:t xml:space="preserve"> ER</w:t>
      </w:r>
      <w:r w:rsidRPr="00CD7F2D">
        <w:rPr>
          <w:vertAlign w:val="superscript"/>
        </w:rPr>
        <w:t>®</w:t>
      </w:r>
      <w:r w:rsidRPr="00CD7F2D">
        <w:t xml:space="preserve"> is associated w</w:t>
      </w:r>
      <w:r w:rsidRPr="00CD7F2D">
        <w:t>ith less drug liking and drug high than crushed oxycodone immediate-release.</w:t>
      </w:r>
      <w:r w:rsidRPr="00CD7F2D">
        <w:rPr>
          <w:vertAlign w:val="superscript"/>
        </w:rPr>
        <w:t>7</w:t>
      </w:r>
    </w:p>
    <w:p w:rsidR="00000000" w:rsidRPr="00CD7F2D" w:rsidRDefault="000C48C8" w:rsidP="00CD7F2D">
      <w:pPr>
        <w:pStyle w:val="NoSpacing"/>
        <w:numPr>
          <w:ilvl w:val="0"/>
          <w:numId w:val="21"/>
        </w:numPr>
      </w:pPr>
      <w:r w:rsidRPr="00CD7F2D">
        <w:t xml:space="preserve">An intravenous (IV) clinical abuse potential study indicates simulated crushed </w:t>
      </w:r>
      <w:proofErr w:type="spellStart"/>
      <w:r w:rsidRPr="00CD7F2D">
        <w:t>Troxyca</w:t>
      </w:r>
      <w:proofErr w:type="spellEnd"/>
      <w:r w:rsidRPr="00CD7F2D">
        <w:t xml:space="preserve"> ER</w:t>
      </w:r>
      <w:r w:rsidRPr="00CD7F2D">
        <w:rPr>
          <w:vertAlign w:val="superscript"/>
        </w:rPr>
        <w:t>®</w:t>
      </w:r>
      <w:r w:rsidRPr="00CD7F2D">
        <w:t xml:space="preserve"> for injection is associated with less drug liking and drug high than </w:t>
      </w:r>
      <w:r w:rsidRPr="00CD7F2D">
        <w:t xml:space="preserve">oxycodone solution for injection. It is unknown whether these results using simulated crushed </w:t>
      </w:r>
      <w:proofErr w:type="spellStart"/>
      <w:r w:rsidRPr="00CD7F2D">
        <w:t>Troxyca</w:t>
      </w:r>
      <w:proofErr w:type="spellEnd"/>
      <w:r w:rsidRPr="00CD7F2D">
        <w:t xml:space="preserve"> ER</w:t>
      </w:r>
      <w:r w:rsidRPr="00CD7F2D">
        <w:rPr>
          <w:vertAlign w:val="superscript"/>
        </w:rPr>
        <w:t>®</w:t>
      </w:r>
      <w:r w:rsidRPr="00CD7F2D">
        <w:t xml:space="preserve"> predict a reduction in abuse by the IV route until </w:t>
      </w:r>
      <w:proofErr w:type="spellStart"/>
      <w:r w:rsidRPr="00CD7F2D">
        <w:t>postmarketing</w:t>
      </w:r>
      <w:proofErr w:type="spellEnd"/>
      <w:r w:rsidRPr="00CD7F2D">
        <w:t xml:space="preserve"> data are available.</w:t>
      </w:r>
      <w:r w:rsidRPr="00CD7F2D">
        <w:rPr>
          <w:vertAlign w:val="superscript"/>
        </w:rPr>
        <w:t>1,2,8</w:t>
      </w:r>
    </w:p>
    <w:p w:rsidR="006F1C54" w:rsidRDefault="006F1C54" w:rsidP="00767ECB">
      <w:pPr>
        <w:pStyle w:val="NoSpacing"/>
      </w:pPr>
    </w:p>
    <w:p w:rsidR="00D247D6" w:rsidRPr="00366900" w:rsidRDefault="00D247D6" w:rsidP="00366900">
      <w:pPr>
        <w:pStyle w:val="NoSpacing"/>
      </w:pPr>
      <w:proofErr w:type="gramStart"/>
      <w:r>
        <w:t>Slide 6</w:t>
      </w:r>
      <w:r w:rsidRPr="00D247D6">
        <w:t>.</w:t>
      </w:r>
      <w:proofErr w:type="gramEnd"/>
    </w:p>
    <w:p w:rsidR="00CD7F2D" w:rsidRPr="00CD7F2D" w:rsidRDefault="00CD7F2D" w:rsidP="00CD7F2D">
      <w:pPr>
        <w:pStyle w:val="NoSpacing"/>
      </w:pPr>
      <w:r w:rsidRPr="00CD7F2D">
        <w:rPr>
          <w:b/>
          <w:bCs/>
        </w:rPr>
        <w:t>Potential IAD Drug Product Evaluation</w:t>
      </w:r>
      <w:r>
        <w:rPr>
          <w:b/>
          <w:bCs/>
        </w:rPr>
        <w:t xml:space="preserve"> </w:t>
      </w:r>
      <w:proofErr w:type="spellStart"/>
      <w:r w:rsidRPr="00CD7F2D">
        <w:rPr>
          <w:b/>
          <w:bCs/>
        </w:rPr>
        <w:t>Troxyca</w:t>
      </w:r>
      <w:proofErr w:type="spellEnd"/>
      <w:r w:rsidRPr="00CD7F2D">
        <w:rPr>
          <w:b/>
          <w:bCs/>
        </w:rPr>
        <w:t xml:space="preserve"> ER</w:t>
      </w:r>
      <w:r w:rsidRPr="00CD7F2D">
        <w:rPr>
          <w:b/>
          <w:bCs/>
          <w:vertAlign w:val="superscript"/>
        </w:rPr>
        <w:t>®</w:t>
      </w:r>
    </w:p>
    <w:p w:rsidR="00000000" w:rsidRPr="00CD7F2D" w:rsidRDefault="000C48C8" w:rsidP="00CD7F2D">
      <w:pPr>
        <w:numPr>
          <w:ilvl w:val="0"/>
          <w:numId w:val="22"/>
        </w:numPr>
        <w:kinsoku w:val="0"/>
        <w:overflowPunct w:val="0"/>
        <w:spacing w:after="0" w:line="240" w:lineRule="auto"/>
        <w:textAlignment w:val="baseline"/>
        <w:rPr>
          <w:rFonts w:ascii="Calibri" w:eastAsia="MS PGothic" w:hAnsi="Calibri" w:cs="+mn-cs"/>
          <w:color w:val="000000"/>
        </w:rPr>
      </w:pPr>
      <w:r w:rsidRPr="00CD7F2D">
        <w:rPr>
          <w:rFonts w:ascii="Calibri" w:eastAsia="MS PGothic" w:hAnsi="Calibri" w:cs="+mn-cs"/>
          <w:color w:val="000000"/>
        </w:rPr>
        <w:t>Initial dose (opioid naïve adults): 10/1.2 mg every 12 hours.</w:t>
      </w:r>
      <w:r w:rsidRPr="00CD7F2D">
        <w:rPr>
          <w:rFonts w:ascii="Calibri" w:eastAsia="MS PGothic" w:hAnsi="Calibri" w:cs="+mn-cs"/>
          <w:color w:val="000000"/>
          <w:vertAlign w:val="superscript"/>
        </w:rPr>
        <w:t>1</w:t>
      </w:r>
    </w:p>
    <w:p w:rsidR="00000000" w:rsidRPr="00CD7F2D" w:rsidRDefault="000C48C8" w:rsidP="00CD7F2D">
      <w:pPr>
        <w:numPr>
          <w:ilvl w:val="0"/>
          <w:numId w:val="22"/>
        </w:numPr>
        <w:kinsoku w:val="0"/>
        <w:overflowPunct w:val="0"/>
        <w:spacing w:after="0" w:line="240" w:lineRule="auto"/>
        <w:textAlignment w:val="baseline"/>
        <w:rPr>
          <w:rFonts w:ascii="Calibri" w:eastAsia="MS PGothic" w:hAnsi="Calibri" w:cs="+mn-cs"/>
          <w:color w:val="000000"/>
        </w:rPr>
      </w:pPr>
      <w:r w:rsidRPr="00CD7F2D">
        <w:rPr>
          <w:rFonts w:ascii="Calibri" w:eastAsia="MS PGothic" w:hAnsi="Calibri" w:cs="+mn-cs"/>
          <w:color w:val="000000"/>
        </w:rPr>
        <w:t>Initial dose (converting from other opioids):</w:t>
      </w:r>
      <w:r w:rsidRPr="00CD7F2D">
        <w:rPr>
          <w:rFonts w:ascii="Calibri" w:eastAsia="MS PGothic" w:hAnsi="Calibri" w:cs="+mn-cs"/>
          <w:color w:val="000000"/>
          <w:vertAlign w:val="superscript"/>
        </w:rPr>
        <w:t xml:space="preserve"> </w:t>
      </w:r>
      <w:r w:rsidRPr="00CD7F2D">
        <w:rPr>
          <w:rFonts w:ascii="Calibri" w:eastAsia="MS PGothic" w:hAnsi="Calibri" w:cs="+mn-cs"/>
          <w:color w:val="000000"/>
        </w:rPr>
        <w:t xml:space="preserve">Manufacturer provides a table </w:t>
      </w:r>
      <w:r w:rsidRPr="00CD7F2D">
        <w:rPr>
          <w:rFonts w:ascii="Calibri" w:eastAsia="MS PGothic" w:hAnsi="Calibri" w:cs="+mn-cs"/>
          <w:color w:val="000000"/>
        </w:rPr>
        <w:t>to guide conversion from other opioids (Table 7 in monograph)</w:t>
      </w:r>
    </w:p>
    <w:p w:rsidR="00000000" w:rsidRPr="00CD7F2D" w:rsidRDefault="000C48C8" w:rsidP="00CD7F2D">
      <w:pPr>
        <w:numPr>
          <w:ilvl w:val="0"/>
          <w:numId w:val="22"/>
        </w:numPr>
        <w:kinsoku w:val="0"/>
        <w:overflowPunct w:val="0"/>
        <w:spacing w:after="0" w:line="240" w:lineRule="auto"/>
        <w:textAlignment w:val="baseline"/>
        <w:rPr>
          <w:rFonts w:ascii="Calibri" w:eastAsia="MS PGothic" w:hAnsi="Calibri" w:cs="+mn-cs"/>
          <w:color w:val="000000"/>
        </w:rPr>
      </w:pPr>
      <w:r w:rsidRPr="00CD7F2D">
        <w:rPr>
          <w:rFonts w:ascii="Calibri" w:eastAsia="MS PGothic" w:hAnsi="Calibri" w:cs="+mn-cs"/>
          <w:color w:val="000000"/>
        </w:rPr>
        <w:t>Initial dose (converting from fentanyl patch): 10/1.2 mg every 12 hours for each 25 mcg/</w:t>
      </w:r>
      <w:proofErr w:type="spellStart"/>
      <w:r w:rsidRPr="00CD7F2D">
        <w:rPr>
          <w:rFonts w:ascii="Calibri" w:eastAsia="MS PGothic" w:hAnsi="Calibri" w:cs="+mn-cs"/>
          <w:color w:val="000000"/>
        </w:rPr>
        <w:t>hr</w:t>
      </w:r>
      <w:proofErr w:type="spellEnd"/>
      <w:r w:rsidRPr="00CD7F2D">
        <w:rPr>
          <w:rFonts w:ascii="Calibri" w:eastAsia="MS PGothic" w:hAnsi="Calibri" w:cs="+mn-cs"/>
          <w:color w:val="000000"/>
        </w:rPr>
        <w:t xml:space="preserve"> of fentanyl transdermal patch.</w:t>
      </w:r>
      <w:r w:rsidRPr="00CD7F2D">
        <w:rPr>
          <w:rFonts w:ascii="Calibri" w:eastAsia="MS PGothic" w:hAnsi="Calibri" w:cs="+mn-cs"/>
          <w:color w:val="000000"/>
          <w:vertAlign w:val="superscript"/>
        </w:rPr>
        <w:t>1</w:t>
      </w:r>
    </w:p>
    <w:p w:rsidR="00000000" w:rsidRPr="00CD7F2D" w:rsidRDefault="000C48C8" w:rsidP="00CD7F2D">
      <w:pPr>
        <w:numPr>
          <w:ilvl w:val="0"/>
          <w:numId w:val="22"/>
        </w:numPr>
        <w:kinsoku w:val="0"/>
        <w:overflowPunct w:val="0"/>
        <w:spacing w:after="0" w:line="240" w:lineRule="auto"/>
        <w:textAlignment w:val="baseline"/>
        <w:rPr>
          <w:rFonts w:ascii="Calibri" w:eastAsia="MS PGothic" w:hAnsi="Calibri" w:cs="+mn-cs"/>
          <w:color w:val="000000"/>
        </w:rPr>
      </w:pPr>
      <w:r w:rsidRPr="00CD7F2D">
        <w:rPr>
          <w:rFonts w:ascii="Calibri" w:eastAsia="MS PGothic" w:hAnsi="Calibri" w:cs="+mn-cs"/>
          <w:color w:val="000000"/>
        </w:rPr>
        <w:t>Mean time to peak plasma concentration (</w:t>
      </w:r>
      <w:proofErr w:type="spellStart"/>
      <w:r w:rsidRPr="00CD7F2D">
        <w:rPr>
          <w:rFonts w:ascii="Calibri" w:eastAsia="MS PGothic" w:hAnsi="Calibri" w:cs="+mn-cs"/>
          <w:color w:val="000000"/>
        </w:rPr>
        <w:t>T</w:t>
      </w:r>
      <w:r w:rsidRPr="00CD7F2D">
        <w:rPr>
          <w:rFonts w:ascii="Calibri" w:eastAsia="MS PGothic" w:hAnsi="Calibri" w:cs="+mn-cs"/>
          <w:color w:val="000000"/>
          <w:vertAlign w:val="subscript"/>
        </w:rPr>
        <w:t>max</w:t>
      </w:r>
      <w:proofErr w:type="spellEnd"/>
      <w:r w:rsidRPr="00CD7F2D">
        <w:rPr>
          <w:rFonts w:ascii="Calibri" w:eastAsia="MS PGothic" w:hAnsi="Calibri" w:cs="+mn-cs"/>
          <w:color w:val="000000"/>
        </w:rPr>
        <w:t xml:space="preserve">) of intact </w:t>
      </w:r>
      <w:proofErr w:type="spellStart"/>
      <w:r w:rsidRPr="00CD7F2D">
        <w:rPr>
          <w:rFonts w:ascii="Calibri" w:eastAsia="MS PGothic" w:hAnsi="Calibri" w:cs="+mn-cs"/>
          <w:color w:val="000000"/>
        </w:rPr>
        <w:t>Troxyca</w:t>
      </w:r>
      <w:proofErr w:type="spellEnd"/>
      <w:r w:rsidRPr="00CD7F2D">
        <w:rPr>
          <w:rFonts w:ascii="Calibri" w:eastAsia="MS PGothic" w:hAnsi="Calibri" w:cs="+mn-cs"/>
          <w:color w:val="000000"/>
        </w:rPr>
        <w:t xml:space="preserve"> ER</w:t>
      </w:r>
      <w:r w:rsidRPr="00CD7F2D">
        <w:rPr>
          <w:rFonts w:ascii="Calibri" w:eastAsia="MS PGothic" w:hAnsi="Calibri" w:cs="+mn-cs"/>
          <w:color w:val="000000"/>
          <w:vertAlign w:val="superscript"/>
        </w:rPr>
        <w:t>®</w:t>
      </w:r>
      <w:r w:rsidRPr="00CD7F2D">
        <w:rPr>
          <w:rFonts w:ascii="Calibri" w:eastAsia="MS PGothic" w:hAnsi="Calibri" w:cs="+mn-cs"/>
          <w:color w:val="000000"/>
        </w:rPr>
        <w:t xml:space="preserve"> capsules taken orally is approximately 12 hours (me</w:t>
      </w:r>
      <w:r w:rsidRPr="00CD7F2D">
        <w:rPr>
          <w:rFonts w:ascii="Calibri" w:eastAsia="MS PGothic" w:hAnsi="Calibri" w:cs="+mn-cs"/>
          <w:color w:val="000000"/>
        </w:rPr>
        <w:t xml:space="preserve">dian </w:t>
      </w:r>
      <w:proofErr w:type="spellStart"/>
      <w:r w:rsidRPr="00CD7F2D">
        <w:rPr>
          <w:rFonts w:ascii="Calibri" w:eastAsia="MS PGothic" w:hAnsi="Calibri" w:cs="+mn-cs"/>
          <w:color w:val="000000"/>
        </w:rPr>
        <w:t>T</w:t>
      </w:r>
      <w:r w:rsidRPr="00CD7F2D">
        <w:rPr>
          <w:rFonts w:ascii="Calibri" w:eastAsia="MS PGothic" w:hAnsi="Calibri" w:cs="+mn-cs"/>
          <w:color w:val="000000"/>
          <w:vertAlign w:val="subscript"/>
        </w:rPr>
        <w:t>max</w:t>
      </w:r>
      <w:proofErr w:type="spellEnd"/>
      <w:r w:rsidRPr="00CD7F2D">
        <w:rPr>
          <w:rFonts w:ascii="Calibri" w:eastAsia="MS PGothic" w:hAnsi="Calibri" w:cs="+mn-cs"/>
          <w:color w:val="000000"/>
        </w:rPr>
        <w:t xml:space="preserve"> 12.1 hours).</w:t>
      </w:r>
      <w:r w:rsidRPr="00CD7F2D">
        <w:rPr>
          <w:rFonts w:ascii="Calibri" w:eastAsia="MS PGothic" w:hAnsi="Calibri" w:cs="+mn-cs"/>
          <w:color w:val="000000"/>
          <w:vertAlign w:val="superscript"/>
        </w:rPr>
        <w:t>1,6</w:t>
      </w:r>
    </w:p>
    <w:p w:rsidR="00000000" w:rsidRPr="00CD7F2D" w:rsidRDefault="000C48C8" w:rsidP="00CD7F2D">
      <w:pPr>
        <w:numPr>
          <w:ilvl w:val="0"/>
          <w:numId w:val="22"/>
        </w:numPr>
        <w:kinsoku w:val="0"/>
        <w:overflowPunct w:val="0"/>
        <w:spacing w:after="0" w:line="240" w:lineRule="auto"/>
        <w:textAlignment w:val="baseline"/>
        <w:rPr>
          <w:rFonts w:ascii="Calibri" w:eastAsia="MS PGothic" w:hAnsi="Calibri" w:cs="+mn-cs"/>
          <w:color w:val="000000"/>
        </w:rPr>
      </w:pPr>
      <w:r w:rsidRPr="00CD7F2D">
        <w:rPr>
          <w:rFonts w:ascii="Calibri" w:eastAsia="MS PGothic" w:hAnsi="Calibri" w:cs="+mn-cs"/>
          <w:color w:val="000000"/>
        </w:rPr>
        <w:t xml:space="preserve">Median </w:t>
      </w:r>
      <w:proofErr w:type="spellStart"/>
      <w:r w:rsidRPr="00CD7F2D">
        <w:rPr>
          <w:rFonts w:ascii="Calibri" w:eastAsia="MS PGothic" w:hAnsi="Calibri" w:cs="+mn-cs"/>
          <w:color w:val="000000"/>
        </w:rPr>
        <w:t>T</w:t>
      </w:r>
      <w:r w:rsidRPr="00CD7F2D">
        <w:rPr>
          <w:rFonts w:ascii="Calibri" w:eastAsia="MS PGothic" w:hAnsi="Calibri" w:cs="+mn-cs"/>
          <w:color w:val="000000"/>
          <w:vertAlign w:val="subscript"/>
        </w:rPr>
        <w:t>max</w:t>
      </w:r>
      <w:proofErr w:type="spellEnd"/>
      <w:r w:rsidRPr="00CD7F2D">
        <w:rPr>
          <w:rFonts w:ascii="Calibri" w:eastAsia="MS PGothic" w:hAnsi="Calibri" w:cs="+mn-cs"/>
          <w:color w:val="000000"/>
        </w:rPr>
        <w:t xml:space="preserve"> for crushed </w:t>
      </w:r>
      <w:proofErr w:type="spellStart"/>
      <w:r w:rsidRPr="00CD7F2D">
        <w:rPr>
          <w:rFonts w:ascii="Calibri" w:eastAsia="MS PGothic" w:hAnsi="Calibri" w:cs="+mn-cs"/>
          <w:color w:val="000000"/>
        </w:rPr>
        <w:t>Troxyca</w:t>
      </w:r>
      <w:proofErr w:type="spellEnd"/>
      <w:r w:rsidRPr="00CD7F2D">
        <w:rPr>
          <w:rFonts w:ascii="Calibri" w:eastAsia="MS PGothic" w:hAnsi="Calibri" w:cs="+mn-cs"/>
          <w:color w:val="000000"/>
        </w:rPr>
        <w:t xml:space="preserve"> ER</w:t>
      </w:r>
      <w:r w:rsidRPr="00CD7F2D">
        <w:rPr>
          <w:rFonts w:ascii="Calibri" w:eastAsia="MS PGothic" w:hAnsi="Calibri" w:cs="+mn-cs"/>
          <w:color w:val="000000"/>
          <w:vertAlign w:val="superscript"/>
        </w:rPr>
        <w:t>®</w:t>
      </w:r>
      <w:r w:rsidRPr="00CD7F2D">
        <w:rPr>
          <w:rFonts w:ascii="Calibri" w:eastAsia="MS PGothic" w:hAnsi="Calibri" w:cs="+mn-cs"/>
          <w:color w:val="000000"/>
        </w:rPr>
        <w:t xml:space="preserve"> capsules taken orally approximately 0.6 hour; however, maximum drug liking scores were significantly lower for crushed </w:t>
      </w:r>
      <w:proofErr w:type="spellStart"/>
      <w:r w:rsidRPr="00CD7F2D">
        <w:rPr>
          <w:rFonts w:ascii="Calibri" w:eastAsia="MS PGothic" w:hAnsi="Calibri" w:cs="+mn-cs"/>
          <w:color w:val="000000"/>
        </w:rPr>
        <w:t>Troxyca</w:t>
      </w:r>
      <w:proofErr w:type="spellEnd"/>
      <w:r w:rsidRPr="00CD7F2D">
        <w:rPr>
          <w:rFonts w:ascii="Calibri" w:eastAsia="MS PGothic" w:hAnsi="Calibri" w:cs="+mn-cs"/>
          <w:color w:val="000000"/>
        </w:rPr>
        <w:t xml:space="preserve"> ER</w:t>
      </w:r>
      <w:r w:rsidRPr="00CD7F2D">
        <w:rPr>
          <w:rFonts w:ascii="Calibri" w:eastAsia="MS PGothic" w:hAnsi="Calibri" w:cs="+mn-cs"/>
          <w:color w:val="000000"/>
          <w:vertAlign w:val="superscript"/>
        </w:rPr>
        <w:t>®</w:t>
      </w:r>
      <w:r w:rsidRPr="00CD7F2D">
        <w:rPr>
          <w:rFonts w:ascii="Calibri" w:eastAsia="MS PGothic" w:hAnsi="Calibri" w:cs="+mn-cs"/>
          <w:color w:val="000000"/>
        </w:rPr>
        <w:t xml:space="preserve"> capsules than equivalent doses of crushed oxycodone IR.</w:t>
      </w:r>
      <w:r w:rsidRPr="00CD7F2D">
        <w:rPr>
          <w:rFonts w:ascii="Calibri" w:eastAsia="MS PGothic" w:hAnsi="Calibri" w:cs="+mn-cs"/>
          <w:color w:val="000000"/>
          <w:vertAlign w:val="superscript"/>
        </w:rPr>
        <w:t>1,6</w:t>
      </w:r>
    </w:p>
    <w:p w:rsidR="00000000" w:rsidRPr="00CD7F2D" w:rsidRDefault="000C48C8" w:rsidP="00CD7F2D">
      <w:pPr>
        <w:numPr>
          <w:ilvl w:val="0"/>
          <w:numId w:val="22"/>
        </w:numPr>
        <w:kinsoku w:val="0"/>
        <w:overflowPunct w:val="0"/>
        <w:spacing w:after="0" w:line="240" w:lineRule="auto"/>
        <w:textAlignment w:val="baseline"/>
        <w:rPr>
          <w:rFonts w:ascii="Calibri" w:eastAsia="MS PGothic" w:hAnsi="Calibri" w:cs="+mn-cs"/>
          <w:color w:val="000000"/>
        </w:rPr>
      </w:pPr>
      <w:r w:rsidRPr="00CD7F2D">
        <w:rPr>
          <w:rFonts w:ascii="Calibri" w:eastAsia="MS PGothic" w:hAnsi="Calibri" w:cs="+mn-cs"/>
          <w:color w:val="000000"/>
        </w:rPr>
        <w:t xml:space="preserve">Administration of </w:t>
      </w:r>
      <w:proofErr w:type="spellStart"/>
      <w:r w:rsidRPr="00CD7F2D">
        <w:rPr>
          <w:rFonts w:ascii="Calibri" w:eastAsia="MS PGothic" w:hAnsi="Calibri" w:cs="+mn-cs"/>
          <w:color w:val="000000"/>
        </w:rPr>
        <w:t>Troxyca</w:t>
      </w:r>
      <w:proofErr w:type="spellEnd"/>
      <w:r w:rsidRPr="00CD7F2D">
        <w:rPr>
          <w:rFonts w:ascii="Calibri" w:eastAsia="MS PGothic" w:hAnsi="Calibri" w:cs="+mn-cs"/>
          <w:color w:val="000000"/>
        </w:rPr>
        <w:t xml:space="preserve"> ER</w:t>
      </w:r>
      <w:r w:rsidRPr="00CD7F2D">
        <w:rPr>
          <w:rFonts w:ascii="Calibri" w:eastAsia="MS PGothic" w:hAnsi="Calibri" w:cs="+mn-cs"/>
          <w:color w:val="000000"/>
          <w:vertAlign w:val="superscript"/>
        </w:rPr>
        <w:t>®</w:t>
      </w:r>
      <w:r w:rsidRPr="00CD7F2D">
        <w:rPr>
          <w:rFonts w:ascii="Calibri" w:eastAsia="MS PGothic" w:hAnsi="Calibri" w:cs="+mn-cs"/>
          <w:color w:val="000000"/>
        </w:rPr>
        <w:t xml:space="preserve"> with 20% alcohol did not affect peak plasma concentration (</w:t>
      </w:r>
      <w:proofErr w:type="spellStart"/>
      <w:r w:rsidRPr="00CD7F2D">
        <w:rPr>
          <w:rFonts w:ascii="Calibri" w:eastAsia="MS PGothic" w:hAnsi="Calibri" w:cs="+mn-cs"/>
          <w:color w:val="000000"/>
        </w:rPr>
        <w:t>C</w:t>
      </w:r>
      <w:r w:rsidRPr="00CD7F2D">
        <w:rPr>
          <w:rFonts w:ascii="Calibri" w:eastAsia="MS PGothic" w:hAnsi="Calibri" w:cs="+mn-cs"/>
          <w:color w:val="000000"/>
          <w:vertAlign w:val="subscript"/>
        </w:rPr>
        <w:t>max</w:t>
      </w:r>
      <w:proofErr w:type="spellEnd"/>
      <w:r w:rsidRPr="00CD7F2D">
        <w:rPr>
          <w:rFonts w:ascii="Calibri" w:eastAsia="MS PGothic" w:hAnsi="Calibri" w:cs="+mn-cs"/>
          <w:color w:val="000000"/>
        </w:rPr>
        <w:t>) or exposure (AUC)</w:t>
      </w:r>
      <w:r w:rsidRPr="00CD7F2D">
        <w:rPr>
          <w:rFonts w:ascii="Calibri" w:eastAsia="MS PGothic" w:hAnsi="Calibri" w:cs="+mn-cs"/>
          <w:color w:val="000000"/>
          <w:vertAlign w:val="superscript"/>
        </w:rPr>
        <w:t>1</w:t>
      </w:r>
    </w:p>
    <w:p w:rsidR="00000000" w:rsidRPr="00CD7F2D" w:rsidRDefault="000C48C8" w:rsidP="00CD7F2D">
      <w:pPr>
        <w:numPr>
          <w:ilvl w:val="0"/>
          <w:numId w:val="22"/>
        </w:numPr>
        <w:kinsoku w:val="0"/>
        <w:overflowPunct w:val="0"/>
        <w:spacing w:after="0" w:line="240" w:lineRule="auto"/>
        <w:textAlignment w:val="baseline"/>
        <w:rPr>
          <w:rFonts w:ascii="Calibri" w:eastAsia="MS PGothic" w:hAnsi="Calibri" w:cs="+mn-cs"/>
          <w:color w:val="000000"/>
        </w:rPr>
      </w:pPr>
      <w:r w:rsidRPr="00CD7F2D">
        <w:rPr>
          <w:rFonts w:ascii="Calibri" w:eastAsia="MS PGothic" w:hAnsi="Calibri" w:cs="+mn-cs"/>
          <w:color w:val="000000"/>
        </w:rPr>
        <w:t xml:space="preserve">Administration of </w:t>
      </w:r>
      <w:proofErr w:type="spellStart"/>
      <w:r w:rsidRPr="00CD7F2D">
        <w:rPr>
          <w:rFonts w:ascii="Calibri" w:eastAsia="MS PGothic" w:hAnsi="Calibri" w:cs="+mn-cs"/>
          <w:color w:val="000000"/>
        </w:rPr>
        <w:t>Troxyca</w:t>
      </w:r>
      <w:proofErr w:type="spellEnd"/>
      <w:r w:rsidRPr="00CD7F2D">
        <w:rPr>
          <w:rFonts w:ascii="Calibri" w:eastAsia="MS PGothic" w:hAnsi="Calibri" w:cs="+mn-cs"/>
          <w:color w:val="000000"/>
        </w:rPr>
        <w:t xml:space="preserve"> ER</w:t>
      </w:r>
      <w:r w:rsidRPr="00CD7F2D">
        <w:rPr>
          <w:rFonts w:ascii="Calibri" w:eastAsia="MS PGothic" w:hAnsi="Calibri" w:cs="+mn-cs"/>
          <w:color w:val="000000"/>
          <w:vertAlign w:val="superscript"/>
        </w:rPr>
        <w:t>®</w:t>
      </w:r>
      <w:r w:rsidRPr="00CD7F2D">
        <w:rPr>
          <w:rFonts w:ascii="Calibri" w:eastAsia="MS PGothic" w:hAnsi="Calibri" w:cs="+mn-cs"/>
          <w:color w:val="000000"/>
        </w:rPr>
        <w:t xml:space="preserve"> 20/2.4 mg with 40% alcohol increased </w:t>
      </w:r>
      <w:proofErr w:type="spellStart"/>
      <w:r w:rsidRPr="00CD7F2D">
        <w:rPr>
          <w:rFonts w:ascii="Calibri" w:eastAsia="MS PGothic" w:hAnsi="Calibri" w:cs="+mn-cs"/>
          <w:color w:val="000000"/>
        </w:rPr>
        <w:t>C</w:t>
      </w:r>
      <w:r w:rsidRPr="00CD7F2D">
        <w:rPr>
          <w:rFonts w:ascii="Calibri" w:eastAsia="MS PGothic" w:hAnsi="Calibri" w:cs="+mn-cs"/>
          <w:color w:val="000000"/>
          <w:vertAlign w:val="subscript"/>
        </w:rPr>
        <w:t>max</w:t>
      </w:r>
      <w:proofErr w:type="spellEnd"/>
      <w:r w:rsidRPr="00CD7F2D">
        <w:rPr>
          <w:rFonts w:ascii="Calibri" w:eastAsia="MS PGothic" w:hAnsi="Calibri" w:cs="+mn-cs"/>
          <w:color w:val="000000"/>
        </w:rPr>
        <w:t xml:space="preserve"> by an average of 37% and AUC by 13% compared to administration with water.</w:t>
      </w:r>
      <w:r w:rsidRPr="00CD7F2D">
        <w:rPr>
          <w:rFonts w:ascii="Calibri" w:eastAsia="MS PGothic" w:hAnsi="Calibri" w:cs="+mn-cs"/>
          <w:color w:val="000000"/>
          <w:vertAlign w:val="superscript"/>
        </w:rPr>
        <w:t>1</w:t>
      </w:r>
    </w:p>
    <w:p w:rsidR="00767ECB" w:rsidRDefault="00767ECB" w:rsidP="00767ECB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</w:p>
    <w:p w:rsidR="00FA41EC" w:rsidRPr="00366900" w:rsidRDefault="00FA41EC" w:rsidP="00FA41EC">
      <w:pPr>
        <w:pStyle w:val="NoSpacing"/>
      </w:pPr>
      <w:proofErr w:type="gramStart"/>
      <w:r>
        <w:t xml:space="preserve">Slide </w:t>
      </w:r>
      <w:r>
        <w:t>7</w:t>
      </w:r>
      <w:r w:rsidRPr="00D247D6">
        <w:t>.</w:t>
      </w:r>
      <w:proofErr w:type="gramEnd"/>
    </w:p>
    <w:p w:rsidR="00FA41EC" w:rsidRPr="00CD7F2D" w:rsidRDefault="00FA41EC" w:rsidP="00FA41EC">
      <w:pPr>
        <w:pStyle w:val="NoSpacing"/>
      </w:pPr>
      <w:r w:rsidRPr="00CD7F2D">
        <w:rPr>
          <w:b/>
          <w:bCs/>
        </w:rPr>
        <w:t>Potential IAD Drug Product Evaluation</w:t>
      </w:r>
      <w:r>
        <w:rPr>
          <w:b/>
          <w:bCs/>
        </w:rPr>
        <w:t xml:space="preserve"> </w:t>
      </w:r>
      <w:proofErr w:type="spellStart"/>
      <w:r w:rsidRPr="00CD7F2D">
        <w:rPr>
          <w:b/>
          <w:bCs/>
        </w:rPr>
        <w:t>Troxyca</w:t>
      </w:r>
      <w:proofErr w:type="spellEnd"/>
      <w:r w:rsidRPr="00CD7F2D">
        <w:rPr>
          <w:b/>
          <w:bCs/>
        </w:rPr>
        <w:t xml:space="preserve"> ER</w:t>
      </w:r>
      <w:r w:rsidRPr="00CD7F2D">
        <w:rPr>
          <w:b/>
          <w:bCs/>
          <w:vertAlign w:val="superscript"/>
        </w:rPr>
        <w:t>®</w:t>
      </w:r>
    </w:p>
    <w:p w:rsidR="00000000" w:rsidRPr="00FA41EC" w:rsidRDefault="000C48C8" w:rsidP="00FA41EC">
      <w:pPr>
        <w:numPr>
          <w:ilvl w:val="0"/>
          <w:numId w:val="23"/>
        </w:num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proofErr w:type="spellStart"/>
      <w:r w:rsidRPr="00FA41EC">
        <w:rPr>
          <w:rFonts w:ascii="Calibri" w:eastAsia="MS PGothic" w:hAnsi="Calibri" w:cs="+mn-cs"/>
          <w:color w:val="000000"/>
        </w:rPr>
        <w:t>Troxyca</w:t>
      </w:r>
      <w:proofErr w:type="spellEnd"/>
      <w:r w:rsidRPr="00FA41EC">
        <w:rPr>
          <w:rFonts w:ascii="Calibri" w:eastAsia="MS PGothic" w:hAnsi="Calibri" w:cs="+mn-cs"/>
          <w:color w:val="000000"/>
        </w:rPr>
        <w:t xml:space="preserve"> ER</w:t>
      </w:r>
      <w:r w:rsidRPr="00FA41EC">
        <w:rPr>
          <w:rFonts w:ascii="Calibri" w:eastAsia="MS PGothic" w:hAnsi="Calibri" w:cs="+mn-cs"/>
          <w:color w:val="000000"/>
          <w:vertAlign w:val="superscript"/>
        </w:rPr>
        <w:t>®</w:t>
      </w:r>
      <w:r w:rsidRPr="00FA41EC">
        <w:rPr>
          <w:rFonts w:ascii="Calibri" w:eastAsia="MS PGothic" w:hAnsi="Calibri" w:cs="+mn-cs"/>
          <w:color w:val="000000"/>
        </w:rPr>
        <w:t xml:space="preserve"> is subject to the requirements of the Extended-Release and Long-Acting (ER/LA) Risk Evaluation and Mitigation Strategies (REMS) program.</w:t>
      </w:r>
      <w:r w:rsidRPr="00FA41EC">
        <w:rPr>
          <w:rFonts w:ascii="Calibri" w:eastAsia="MS PGothic" w:hAnsi="Calibri" w:cs="+mn-cs"/>
          <w:color w:val="000000"/>
          <w:vertAlign w:val="superscript"/>
        </w:rPr>
        <w:t>2</w:t>
      </w:r>
    </w:p>
    <w:tbl>
      <w:tblPr>
        <w:tblW w:w="8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63"/>
        <w:gridCol w:w="1807"/>
        <w:gridCol w:w="2132"/>
        <w:gridCol w:w="2338"/>
      </w:tblGrid>
      <w:tr w:rsidR="00FA41EC" w:rsidRPr="00FA41EC" w:rsidTr="00FA41EC">
        <w:trPr>
          <w:trHeight w:val="584"/>
        </w:trPr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41EC" w:rsidRPr="00FA41EC" w:rsidRDefault="00FA41EC" w:rsidP="00FA41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b/>
                <w:bCs/>
                <w:color w:val="000000"/>
                <w:kern w:val="24"/>
                <w:sz w:val="36"/>
                <w:szCs w:val="36"/>
              </w:rPr>
              <w:t>Oral ADF</w:t>
            </w:r>
          </w:p>
        </w:tc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b/>
                <w:bCs/>
                <w:color w:val="000000"/>
                <w:kern w:val="24"/>
                <w:sz w:val="36"/>
                <w:szCs w:val="36"/>
              </w:rPr>
              <w:t>Intranasal ADF</w:t>
            </w:r>
          </w:p>
        </w:tc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b/>
                <w:bCs/>
                <w:color w:val="000000"/>
                <w:kern w:val="24"/>
                <w:sz w:val="36"/>
                <w:szCs w:val="36"/>
              </w:rPr>
              <w:t>Intravenous ADF</w:t>
            </w:r>
          </w:p>
        </w:tc>
      </w:tr>
      <w:tr w:rsidR="00FA41EC" w:rsidRPr="00FA41EC" w:rsidTr="00FA41EC">
        <w:trPr>
          <w:trHeight w:val="584"/>
        </w:trPr>
        <w:tc>
          <w:tcPr>
            <w:tcW w:w="3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color w:val="000000"/>
                <w:kern w:val="24"/>
                <w:sz w:val="36"/>
                <w:szCs w:val="36"/>
              </w:rPr>
              <w:t>FDA Advisory Committee*</w:t>
            </w:r>
          </w:p>
        </w:tc>
        <w:tc>
          <w:tcPr>
            <w:tcW w:w="3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color w:val="000000"/>
                <w:kern w:val="24"/>
                <w:sz w:val="36"/>
                <w:szCs w:val="36"/>
              </w:rPr>
              <w:t>9-6 vote against</w:t>
            </w:r>
          </w:p>
        </w:tc>
        <w:tc>
          <w:tcPr>
            <w:tcW w:w="3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color w:val="000000"/>
                <w:kern w:val="24"/>
                <w:sz w:val="36"/>
                <w:szCs w:val="36"/>
              </w:rPr>
              <w:t>11-4 vote in favor</w:t>
            </w:r>
          </w:p>
        </w:tc>
        <w:tc>
          <w:tcPr>
            <w:tcW w:w="3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color w:val="000000"/>
                <w:kern w:val="24"/>
                <w:sz w:val="36"/>
                <w:szCs w:val="36"/>
              </w:rPr>
              <w:t>9-6 vote in favor</w:t>
            </w:r>
          </w:p>
        </w:tc>
      </w:tr>
      <w:tr w:rsidR="00FA41EC" w:rsidRPr="00FA41EC" w:rsidTr="00FA41EC">
        <w:trPr>
          <w:trHeight w:val="584"/>
        </w:trPr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color w:val="000000"/>
                <w:kern w:val="24"/>
                <w:sz w:val="36"/>
                <w:szCs w:val="36"/>
              </w:rPr>
              <w:t>FDA Labeling†</w:t>
            </w:r>
          </w:p>
        </w:tc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color w:val="000000"/>
                <w:kern w:val="24"/>
                <w:sz w:val="36"/>
                <w:szCs w:val="36"/>
              </w:rPr>
              <w:t>Yes</w:t>
            </w:r>
          </w:p>
        </w:tc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color w:val="000000"/>
                <w:kern w:val="24"/>
                <w:sz w:val="36"/>
                <w:szCs w:val="36"/>
              </w:rPr>
              <w:t>Yes</w:t>
            </w:r>
          </w:p>
        </w:tc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41EC" w:rsidRPr="00FA41EC" w:rsidRDefault="00FA41EC" w:rsidP="00FA41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A41EC">
              <w:rPr>
                <w:rFonts w:ascii="Calibri" w:eastAsia="MS PGothic" w:hAnsi="Calibri" w:cs="Arial"/>
                <w:color w:val="000000"/>
                <w:kern w:val="24"/>
                <w:sz w:val="36"/>
                <w:szCs w:val="36"/>
              </w:rPr>
              <w:t>No</w:t>
            </w:r>
          </w:p>
        </w:tc>
      </w:tr>
    </w:tbl>
    <w:p w:rsidR="00FA41EC" w:rsidRDefault="00FA41EC" w:rsidP="00FA41EC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  <w:vertAlign w:val="superscript"/>
        </w:rPr>
      </w:pPr>
    </w:p>
    <w:p w:rsidR="00000000" w:rsidRPr="00FA41EC" w:rsidRDefault="00FA41EC" w:rsidP="00FA41EC">
      <w:pPr>
        <w:numPr>
          <w:ilvl w:val="0"/>
          <w:numId w:val="23"/>
        </w:num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r>
        <w:rPr>
          <w:rFonts w:ascii="Calibri" w:eastAsia="MS PGothic" w:hAnsi="Calibri" w:cs="+mn-cs"/>
          <w:color w:val="000000"/>
        </w:rPr>
        <w:t>F</w:t>
      </w:r>
      <w:r w:rsidR="000C48C8" w:rsidRPr="00FA41EC">
        <w:rPr>
          <w:rFonts w:ascii="Calibri" w:eastAsia="MS PGothic" w:hAnsi="Calibri" w:cs="+mn-cs"/>
          <w:color w:val="000000"/>
        </w:rPr>
        <w:t>inal report submissions of formal observational studies, intended to determ</w:t>
      </w:r>
      <w:r w:rsidR="000C48C8" w:rsidRPr="00FA41EC">
        <w:rPr>
          <w:rFonts w:ascii="Calibri" w:eastAsia="MS PGothic" w:hAnsi="Calibri" w:cs="+mn-cs"/>
          <w:color w:val="000000"/>
        </w:rPr>
        <w:t xml:space="preserve">ine if the abuse-deterrent properties of </w:t>
      </w:r>
      <w:proofErr w:type="spellStart"/>
      <w:r w:rsidR="000C48C8" w:rsidRPr="00FA41EC">
        <w:rPr>
          <w:rFonts w:ascii="Calibri" w:eastAsia="MS PGothic" w:hAnsi="Calibri" w:cs="+mn-cs"/>
          <w:color w:val="000000"/>
        </w:rPr>
        <w:t>Troxyca</w:t>
      </w:r>
      <w:proofErr w:type="spellEnd"/>
      <w:r w:rsidR="000C48C8" w:rsidRPr="00FA41EC">
        <w:rPr>
          <w:rFonts w:ascii="Calibri" w:eastAsia="MS PGothic" w:hAnsi="Calibri" w:cs="+mn-cs"/>
          <w:color w:val="000000"/>
        </w:rPr>
        <w:t xml:space="preserve"> ER</w:t>
      </w:r>
      <w:r w:rsidR="000C48C8" w:rsidRPr="00FA41EC">
        <w:rPr>
          <w:rFonts w:ascii="Calibri" w:eastAsia="MS PGothic" w:hAnsi="Calibri" w:cs="+mn-cs"/>
          <w:color w:val="000000"/>
          <w:vertAlign w:val="superscript"/>
        </w:rPr>
        <w:t>®</w:t>
      </w:r>
      <w:r w:rsidR="000C48C8" w:rsidRPr="00FA41EC">
        <w:rPr>
          <w:rFonts w:ascii="Calibri" w:eastAsia="MS PGothic" w:hAnsi="Calibri" w:cs="+mn-cs"/>
          <w:color w:val="000000"/>
        </w:rPr>
        <w:t xml:space="preserve"> reduce abuse in the community, are due to the FDA in October of 2021.</w:t>
      </w:r>
      <w:r w:rsidR="000C48C8" w:rsidRPr="00FA41EC">
        <w:rPr>
          <w:rFonts w:ascii="Calibri" w:eastAsia="MS PGothic" w:hAnsi="Calibri" w:cs="+mn-cs"/>
          <w:color w:val="000000"/>
          <w:vertAlign w:val="superscript"/>
        </w:rPr>
        <w:t>13</w:t>
      </w:r>
    </w:p>
    <w:p w:rsidR="00FA41EC" w:rsidRPr="00FA41EC" w:rsidRDefault="00FA41EC" w:rsidP="00FA41EC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r w:rsidRPr="00FA41EC">
        <w:rPr>
          <w:rFonts w:ascii="Calibri" w:eastAsia="MS PGothic" w:hAnsi="Calibri" w:cs="+mn-cs"/>
          <w:color w:val="000000"/>
        </w:rPr>
        <w:t>*http://seekingalpha.com/news/3187924-ad-comm-backs-pfizers-long-acting-opioid-troxyca-9minus-6-vote</w:t>
      </w:r>
    </w:p>
    <w:p w:rsidR="00FA41EC" w:rsidRPr="00FA41EC" w:rsidRDefault="00FA41EC" w:rsidP="00FA41EC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r w:rsidRPr="00FA41EC">
        <w:rPr>
          <w:rFonts w:ascii="Calibri" w:eastAsia="MS PGothic" w:hAnsi="Calibri" w:cs="+mn-cs"/>
          <w:color w:val="000000"/>
        </w:rPr>
        <w:t>†http://www.pfizer.com/news/press-release/press-release-detail/fda_approves_troxyca_er_oxycodone_hydrochloride_and_naltrexone_hydrochloride_extended_release_capsules_cii_with_abuse_deterrent_properties_for_the_management_of_pain</w:t>
      </w:r>
    </w:p>
    <w:p w:rsidR="00183044" w:rsidRDefault="00183044" w:rsidP="00160DCC">
      <w:pPr>
        <w:kinsoku w:val="0"/>
        <w:overflowPunct w:val="0"/>
        <w:spacing w:after="0"/>
        <w:textAlignment w:val="baseline"/>
      </w:pPr>
    </w:p>
    <w:p w:rsidR="00D247D6" w:rsidRDefault="00260B10" w:rsidP="00D247D6">
      <w:pPr>
        <w:kinsoku w:val="0"/>
        <w:overflowPunct w:val="0"/>
        <w:spacing w:after="0"/>
        <w:textAlignment w:val="baseline"/>
      </w:pPr>
      <w:proofErr w:type="gramStart"/>
      <w:r>
        <w:t>Slide 8</w:t>
      </w:r>
      <w:r w:rsidR="00002D7F">
        <w:t>.</w:t>
      </w:r>
      <w:proofErr w:type="gramEnd"/>
      <w:r w:rsidR="00002D7F">
        <w:t xml:space="preserve"> </w:t>
      </w:r>
    </w:p>
    <w:p w:rsidR="00FA41EC" w:rsidRPr="00FA41EC" w:rsidRDefault="00FA41EC" w:rsidP="00FA41EC">
      <w:pPr>
        <w:kinsoku w:val="0"/>
        <w:overflowPunct w:val="0"/>
        <w:spacing w:after="0"/>
        <w:textAlignment w:val="baseline"/>
        <w:rPr>
          <w:b/>
          <w:bCs/>
        </w:rPr>
      </w:pPr>
      <w:proofErr w:type="spellStart"/>
      <w:r w:rsidRPr="00FA41EC">
        <w:rPr>
          <w:b/>
          <w:bCs/>
        </w:rPr>
        <w:t>Troxyca</w:t>
      </w:r>
      <w:proofErr w:type="spellEnd"/>
      <w:r w:rsidRPr="00FA41EC">
        <w:rPr>
          <w:b/>
          <w:bCs/>
        </w:rPr>
        <w:t xml:space="preserve"> ER</w:t>
      </w:r>
      <w:proofErr w:type="gramStart"/>
      <w:r w:rsidRPr="00FA41EC">
        <w:rPr>
          <w:b/>
          <w:bCs/>
          <w:vertAlign w:val="superscript"/>
        </w:rPr>
        <w:t xml:space="preserve">®  </w:t>
      </w:r>
      <w:r w:rsidRPr="00FA41EC">
        <w:rPr>
          <w:b/>
          <w:bCs/>
        </w:rPr>
        <w:t>Summary</w:t>
      </w:r>
      <w:proofErr w:type="gramEnd"/>
    </w:p>
    <w:p w:rsidR="00000000" w:rsidRPr="00FA41EC" w:rsidRDefault="000C48C8" w:rsidP="00FA41EC">
      <w:pPr>
        <w:numPr>
          <w:ilvl w:val="0"/>
          <w:numId w:val="24"/>
        </w:numPr>
        <w:kinsoku w:val="0"/>
        <w:overflowPunct w:val="0"/>
        <w:spacing w:after="0"/>
        <w:textAlignment w:val="baseline"/>
        <w:rPr>
          <w:b/>
          <w:bCs/>
        </w:rPr>
      </w:pPr>
      <w:r w:rsidRPr="00FA41EC">
        <w:rPr>
          <w:b/>
          <w:bCs/>
        </w:rPr>
        <w:t>Chemical name</w:t>
      </w:r>
      <w:r w:rsidRPr="00FA41EC">
        <w:rPr>
          <w:b/>
          <w:bCs/>
        </w:rPr>
        <w:tab/>
      </w:r>
      <w:r w:rsidRPr="00FA41EC">
        <w:rPr>
          <w:b/>
          <w:bCs/>
        </w:rPr>
        <w:tab/>
        <w:t>oxycodone extended-</w:t>
      </w:r>
      <w:r w:rsidRPr="00FA41EC">
        <w:rPr>
          <w:b/>
          <w:bCs/>
        </w:rPr>
        <w:tab/>
      </w:r>
      <w:r w:rsidRPr="00FA41EC">
        <w:rPr>
          <w:b/>
          <w:bCs/>
        </w:rPr>
        <w:t>release/naltrexone</w:t>
      </w:r>
    </w:p>
    <w:p w:rsidR="00000000" w:rsidRPr="00FA41EC" w:rsidRDefault="000C48C8" w:rsidP="00FA41EC">
      <w:pPr>
        <w:numPr>
          <w:ilvl w:val="0"/>
          <w:numId w:val="24"/>
        </w:numPr>
        <w:kinsoku w:val="0"/>
        <w:overflowPunct w:val="0"/>
        <w:spacing w:after="0"/>
        <w:textAlignment w:val="baseline"/>
        <w:rPr>
          <w:b/>
          <w:bCs/>
        </w:rPr>
      </w:pPr>
      <w:r w:rsidRPr="00FA41EC">
        <w:rPr>
          <w:b/>
          <w:bCs/>
        </w:rPr>
        <w:t>Dosage form</w:t>
      </w:r>
      <w:r w:rsidRPr="00FA41EC">
        <w:rPr>
          <w:b/>
          <w:bCs/>
        </w:rPr>
        <w:tab/>
      </w:r>
      <w:r w:rsidRPr="00FA41EC">
        <w:rPr>
          <w:b/>
          <w:bCs/>
        </w:rPr>
        <w:tab/>
        <w:t>Extended-release capsule</w:t>
      </w:r>
    </w:p>
    <w:p w:rsidR="00000000" w:rsidRPr="00FA41EC" w:rsidRDefault="000C48C8" w:rsidP="00FA41EC">
      <w:pPr>
        <w:numPr>
          <w:ilvl w:val="0"/>
          <w:numId w:val="24"/>
        </w:numPr>
        <w:kinsoku w:val="0"/>
        <w:overflowPunct w:val="0"/>
        <w:spacing w:after="0"/>
        <w:textAlignment w:val="baseline"/>
        <w:rPr>
          <w:b/>
          <w:bCs/>
        </w:rPr>
      </w:pPr>
      <w:r w:rsidRPr="00FA41EC">
        <w:rPr>
          <w:b/>
          <w:bCs/>
        </w:rPr>
        <w:t>Formulation</w:t>
      </w:r>
      <w:r w:rsidRPr="00FA41EC">
        <w:rPr>
          <w:b/>
          <w:bCs/>
        </w:rPr>
        <w:tab/>
      </w:r>
      <w:r w:rsidRPr="00FA41EC">
        <w:rPr>
          <w:b/>
          <w:bCs/>
        </w:rPr>
        <w:tab/>
        <w:t xml:space="preserve">oxycodone extended-release </w:t>
      </w:r>
      <w:r w:rsidRPr="00FA41EC">
        <w:rPr>
          <w:b/>
          <w:bCs/>
        </w:rPr>
        <w:t xml:space="preserve">beads with sequestered naltrexone </w:t>
      </w:r>
      <w:r w:rsidRPr="00FA41EC">
        <w:rPr>
          <w:b/>
          <w:bCs/>
        </w:rPr>
        <w:tab/>
      </w:r>
      <w:r w:rsidRPr="00FA41EC">
        <w:rPr>
          <w:b/>
          <w:bCs/>
        </w:rPr>
        <w:tab/>
      </w:r>
      <w:r w:rsidRPr="00FA41EC">
        <w:rPr>
          <w:b/>
          <w:bCs/>
        </w:rPr>
        <w:tab/>
      </w:r>
      <w:r w:rsidRPr="00FA41EC">
        <w:rPr>
          <w:b/>
          <w:bCs/>
        </w:rPr>
        <w:tab/>
        <w:t>core</w:t>
      </w:r>
    </w:p>
    <w:p w:rsidR="00000000" w:rsidRPr="00FA41EC" w:rsidRDefault="000C48C8" w:rsidP="00FA41EC">
      <w:pPr>
        <w:numPr>
          <w:ilvl w:val="0"/>
          <w:numId w:val="24"/>
        </w:numPr>
        <w:kinsoku w:val="0"/>
        <w:overflowPunct w:val="0"/>
        <w:spacing w:after="0"/>
        <w:textAlignment w:val="baseline"/>
        <w:rPr>
          <w:b/>
          <w:bCs/>
        </w:rPr>
      </w:pPr>
      <w:r w:rsidRPr="00FA41EC">
        <w:rPr>
          <w:b/>
          <w:bCs/>
        </w:rPr>
        <w:t xml:space="preserve">ADP* </w:t>
      </w:r>
      <w:r w:rsidRPr="00FA41EC">
        <w:rPr>
          <w:b/>
          <w:bCs/>
        </w:rPr>
        <w:tab/>
      </w:r>
      <w:r w:rsidRPr="00FA41EC">
        <w:rPr>
          <w:b/>
          <w:bCs/>
        </w:rPr>
        <w:tab/>
      </w:r>
      <w:r w:rsidRPr="00FA41EC">
        <w:rPr>
          <w:b/>
          <w:bCs/>
        </w:rPr>
        <w:tab/>
        <w:t>Agonist/antagonist</w:t>
      </w:r>
      <w:r w:rsidR="00FA41EC">
        <w:rPr>
          <w:b/>
          <w:bCs/>
        </w:rPr>
        <w:t xml:space="preserve">  </w:t>
      </w:r>
    </w:p>
    <w:p w:rsidR="00000000" w:rsidRPr="00FA41EC" w:rsidRDefault="000C48C8" w:rsidP="00FA41EC">
      <w:pPr>
        <w:numPr>
          <w:ilvl w:val="0"/>
          <w:numId w:val="24"/>
        </w:numPr>
        <w:kinsoku w:val="0"/>
        <w:overflowPunct w:val="0"/>
        <w:spacing w:after="0"/>
        <w:textAlignment w:val="baseline"/>
        <w:rPr>
          <w:b/>
          <w:bCs/>
        </w:rPr>
      </w:pPr>
      <w:r w:rsidRPr="00FA41EC">
        <w:rPr>
          <w:b/>
          <w:bCs/>
        </w:rPr>
        <w:t>ADF studies</w:t>
      </w:r>
      <w:r w:rsidRPr="00FA41EC">
        <w:rPr>
          <w:b/>
          <w:bCs/>
        </w:rPr>
        <w:tab/>
      </w:r>
      <w:r w:rsidRPr="00FA41EC">
        <w:rPr>
          <w:b/>
          <w:bCs/>
        </w:rPr>
        <w:tab/>
      </w:r>
      <w:r w:rsidRPr="00FA41EC">
        <w:rPr>
          <w:b/>
          <w:bCs/>
        </w:rPr>
        <w:t xml:space="preserve">Oral, intranasal and intravenous </w:t>
      </w:r>
      <w:r w:rsidRPr="00FA41EC">
        <w:rPr>
          <w:b/>
          <w:bCs/>
        </w:rPr>
        <w:t>studies performed</w:t>
      </w:r>
    </w:p>
    <w:p w:rsidR="00FA41EC" w:rsidRDefault="000C48C8" w:rsidP="00FA41EC">
      <w:pPr>
        <w:numPr>
          <w:ilvl w:val="0"/>
          <w:numId w:val="24"/>
        </w:numPr>
        <w:kinsoku w:val="0"/>
        <w:overflowPunct w:val="0"/>
        <w:spacing w:after="0"/>
        <w:textAlignment w:val="baseline"/>
        <w:rPr>
          <w:b/>
          <w:bCs/>
        </w:rPr>
      </w:pPr>
      <w:r w:rsidRPr="00FA41EC">
        <w:rPr>
          <w:b/>
          <w:bCs/>
        </w:rPr>
        <w:t>ADF labeling</w:t>
      </w:r>
      <w:r w:rsidRPr="00FA41EC">
        <w:rPr>
          <w:b/>
          <w:bCs/>
        </w:rPr>
        <w:tab/>
      </w:r>
      <w:r w:rsidRPr="00FA41EC">
        <w:rPr>
          <w:b/>
          <w:bCs/>
        </w:rPr>
        <w:tab/>
        <w:t>Oral and intranasal routes</w:t>
      </w:r>
    </w:p>
    <w:p w:rsidR="00000000" w:rsidRDefault="000C48C8" w:rsidP="00FA41EC">
      <w:pPr>
        <w:kinsoku w:val="0"/>
        <w:overflowPunct w:val="0"/>
        <w:spacing w:after="0"/>
        <w:textAlignment w:val="baseline"/>
        <w:rPr>
          <w:b/>
          <w:bCs/>
        </w:rPr>
      </w:pPr>
      <w:r w:rsidRPr="00FA41EC">
        <w:rPr>
          <w:b/>
          <w:bCs/>
        </w:rPr>
        <w:tab/>
      </w:r>
    </w:p>
    <w:p w:rsidR="00FA41EC" w:rsidRPr="00FA41EC" w:rsidRDefault="00FA41EC" w:rsidP="00FA41EC">
      <w:pPr>
        <w:kinsoku w:val="0"/>
        <w:overflowPunct w:val="0"/>
        <w:ind w:left="360"/>
        <w:rPr>
          <w:bCs/>
        </w:rPr>
      </w:pPr>
      <w:r w:rsidRPr="00FA41EC">
        <w:rPr>
          <w:bCs/>
        </w:rPr>
        <w:t>*ADP = Abuse-deterrent properties</w:t>
      </w:r>
    </w:p>
    <w:p w:rsidR="00FA41EC" w:rsidRPr="00FA41EC" w:rsidRDefault="00FA41EC" w:rsidP="00FA41EC">
      <w:pPr>
        <w:kinsoku w:val="0"/>
        <w:overflowPunct w:val="0"/>
        <w:spacing w:after="0"/>
        <w:textAlignment w:val="baseline"/>
        <w:rPr>
          <w:b/>
          <w:bCs/>
        </w:rPr>
      </w:pPr>
    </w:p>
    <w:p w:rsidR="00D501AF" w:rsidRDefault="00D501AF" w:rsidP="00160DCC">
      <w:pPr>
        <w:kinsoku w:val="0"/>
        <w:overflowPunct w:val="0"/>
        <w:spacing w:after="0"/>
        <w:textAlignment w:val="baseline"/>
      </w:pPr>
    </w:p>
    <w:p w:rsidR="00176C09" w:rsidRPr="009A44F8" w:rsidRDefault="00176C09" w:rsidP="00002D7F">
      <w:pPr>
        <w:kinsoku w:val="0"/>
        <w:overflowPunct w:val="0"/>
        <w:spacing w:after="0"/>
        <w:textAlignment w:val="baseline"/>
      </w:pPr>
      <w:r w:rsidRPr="009A44F8">
        <w:t>Slide 9</w:t>
      </w:r>
    </w:p>
    <w:p w:rsidR="00960B63" w:rsidRPr="00960B63" w:rsidRDefault="00960B63" w:rsidP="00960B63">
      <w:pPr>
        <w:pStyle w:val="NoSpacing"/>
      </w:pPr>
      <w:r w:rsidRPr="00960B63">
        <w:rPr>
          <w:b/>
          <w:bCs/>
        </w:rPr>
        <w:t xml:space="preserve">Potential IAD Drug </w:t>
      </w:r>
      <w:proofErr w:type="gramStart"/>
      <w:r w:rsidRPr="00960B63">
        <w:rPr>
          <w:b/>
          <w:bCs/>
        </w:rPr>
        <w:t>Products</w:t>
      </w:r>
      <w:r>
        <w:rPr>
          <w:b/>
          <w:bCs/>
        </w:rPr>
        <w:t xml:space="preserve"> </w:t>
      </w:r>
      <w:r w:rsidRPr="00960B63">
        <w:rPr>
          <w:b/>
          <w:bCs/>
        </w:rPr>
        <w:t xml:space="preserve"> –</w:t>
      </w:r>
      <w:proofErr w:type="gramEnd"/>
      <w:r w:rsidRPr="00960B63">
        <w:rPr>
          <w:b/>
          <w:bCs/>
        </w:rPr>
        <w:t xml:space="preserve"> Updates</w:t>
      </w:r>
    </w:p>
    <w:p w:rsidR="00000000" w:rsidRPr="00960B63" w:rsidRDefault="000C48C8" w:rsidP="00960B63">
      <w:pPr>
        <w:pStyle w:val="NoSpacing"/>
        <w:numPr>
          <w:ilvl w:val="0"/>
          <w:numId w:val="25"/>
        </w:numPr>
      </w:pPr>
      <w:proofErr w:type="spellStart"/>
      <w:r w:rsidRPr="00960B63">
        <w:t>MorphaBond</w:t>
      </w:r>
      <w:proofErr w:type="spellEnd"/>
      <w:r w:rsidRPr="00960B63">
        <w:rPr>
          <w:vertAlign w:val="superscript"/>
        </w:rPr>
        <w:t>®</w:t>
      </w:r>
      <w:r w:rsidRPr="00960B63">
        <w:t xml:space="preserve"> (morphine extended-release)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FDA app</w:t>
      </w:r>
      <w:r w:rsidRPr="00960B63">
        <w:t>roved; however, not commercially available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Manufacturer has licensing agreement with Daiichi Sankyo to market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Monograph to be comple</w:t>
      </w:r>
      <w:r w:rsidRPr="00960B63">
        <w:t>ted when commercially available</w:t>
      </w:r>
    </w:p>
    <w:p w:rsidR="00000000" w:rsidRPr="00960B63" w:rsidRDefault="000C48C8" w:rsidP="00960B63">
      <w:pPr>
        <w:pStyle w:val="NoSpacing"/>
        <w:numPr>
          <w:ilvl w:val="0"/>
          <w:numId w:val="25"/>
        </w:numPr>
      </w:pPr>
      <w:proofErr w:type="spellStart"/>
      <w:r w:rsidRPr="00960B63">
        <w:t>Arymo</w:t>
      </w:r>
      <w:proofErr w:type="spellEnd"/>
      <w:r w:rsidRPr="00960B63">
        <w:t xml:space="preserve"> ER</w:t>
      </w:r>
      <w:r w:rsidRPr="00960B63">
        <w:rPr>
          <w:vertAlign w:val="superscript"/>
        </w:rPr>
        <w:t>®</w:t>
      </w:r>
      <w:r w:rsidRPr="00960B63">
        <w:t xml:space="preserve"> (morphine extended-rel</w:t>
      </w:r>
      <w:r w:rsidRPr="00960B63">
        <w:t>ease)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FDA approved, launch reportedly planned for 1</w:t>
      </w:r>
      <w:r w:rsidRPr="00960B63">
        <w:rPr>
          <w:vertAlign w:val="superscript"/>
        </w:rPr>
        <w:t>st</w:t>
      </w:r>
      <w:r w:rsidRPr="00960B63">
        <w:t xml:space="preserve"> Quarter 2017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Formulary Dossier not yet available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Monograph to be completed when commercially available</w:t>
      </w:r>
    </w:p>
    <w:p w:rsidR="00000000" w:rsidRPr="00960B63" w:rsidRDefault="000C48C8" w:rsidP="00960B63">
      <w:pPr>
        <w:pStyle w:val="NoSpacing"/>
        <w:numPr>
          <w:ilvl w:val="0"/>
          <w:numId w:val="25"/>
        </w:numPr>
      </w:pPr>
      <w:proofErr w:type="spellStart"/>
      <w:r w:rsidRPr="00960B63">
        <w:t>Vantrela</w:t>
      </w:r>
      <w:proofErr w:type="spellEnd"/>
      <w:r w:rsidRPr="00960B63">
        <w:t xml:space="preserve"> ER</w:t>
      </w:r>
      <w:r w:rsidRPr="00960B63">
        <w:rPr>
          <w:vertAlign w:val="superscript"/>
        </w:rPr>
        <w:t>®</w:t>
      </w:r>
      <w:r w:rsidRPr="00960B63">
        <w:t>(hydrocodone extended-release)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FDA approved, launch reportedly planned for 1</w:t>
      </w:r>
      <w:r w:rsidRPr="00960B63">
        <w:rPr>
          <w:vertAlign w:val="superscript"/>
        </w:rPr>
        <w:t>st</w:t>
      </w:r>
      <w:r w:rsidRPr="00960B63">
        <w:t xml:space="preserve"> Quarter 2017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Formulary Dossier not yet available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Monograph to be completed when commercially available</w:t>
      </w:r>
    </w:p>
    <w:p w:rsidR="00000000" w:rsidRPr="00960B63" w:rsidRDefault="000C48C8" w:rsidP="00960B63">
      <w:pPr>
        <w:pStyle w:val="NoSpacing"/>
        <w:numPr>
          <w:ilvl w:val="0"/>
          <w:numId w:val="25"/>
        </w:numPr>
      </w:pPr>
      <w:proofErr w:type="spellStart"/>
      <w:r w:rsidRPr="00960B63">
        <w:t>Opana</w:t>
      </w:r>
      <w:proofErr w:type="spellEnd"/>
      <w:r w:rsidRPr="00960B63">
        <w:t xml:space="preserve"> ER</w:t>
      </w:r>
      <w:r w:rsidRPr="00960B63">
        <w:rPr>
          <w:vertAlign w:val="superscript"/>
        </w:rPr>
        <w:t>®</w:t>
      </w:r>
      <w:r w:rsidRPr="00960B63">
        <w:t xml:space="preserve"> (</w:t>
      </w:r>
      <w:proofErr w:type="spellStart"/>
      <w:r w:rsidRPr="00960B63">
        <w:t>oxymorphone</w:t>
      </w:r>
      <w:proofErr w:type="spellEnd"/>
      <w:r w:rsidRPr="00960B63">
        <w:t xml:space="preserve"> extended-release)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FDA advisory committee vot</w:t>
      </w:r>
      <w:r w:rsidRPr="00960B63">
        <w:t xml:space="preserve">ed on 3/15/17 that potential benefits no longer outweigh risks associated with the product. </w:t>
      </w:r>
    </w:p>
    <w:p w:rsidR="00000000" w:rsidRPr="00960B63" w:rsidRDefault="000C48C8" w:rsidP="00960B63">
      <w:pPr>
        <w:pStyle w:val="NoSpacing"/>
        <w:numPr>
          <w:ilvl w:val="1"/>
          <w:numId w:val="25"/>
        </w:numPr>
      </w:pPr>
      <w:r w:rsidRPr="00960B63">
        <w:t>FDA must determine whether to take regulatory action.</w:t>
      </w:r>
    </w:p>
    <w:p w:rsidR="00D501AF" w:rsidRPr="00D501AF" w:rsidRDefault="00D501AF" w:rsidP="00D501AF">
      <w:pPr>
        <w:pStyle w:val="NoSpacing"/>
      </w:pPr>
    </w:p>
    <w:p w:rsidR="00002D7F" w:rsidRDefault="00457194" w:rsidP="00366900">
      <w:pPr>
        <w:pStyle w:val="NoSpacing"/>
      </w:pPr>
      <w:r>
        <w:t>Slide 10</w:t>
      </w:r>
    </w:p>
    <w:p w:rsidR="000C48C8" w:rsidRPr="000C48C8" w:rsidRDefault="000C48C8" w:rsidP="000C48C8">
      <w:pPr>
        <w:pStyle w:val="NoSpacing"/>
        <w:rPr>
          <w:b/>
          <w:bCs/>
        </w:rPr>
      </w:pPr>
      <w:r w:rsidRPr="000C48C8">
        <w:rPr>
          <w:b/>
          <w:bCs/>
        </w:rPr>
        <w:t>Medication with ADF Claims or</w:t>
      </w:r>
      <w:r>
        <w:rPr>
          <w:b/>
          <w:bCs/>
        </w:rPr>
        <w:t xml:space="preserve"> </w:t>
      </w:r>
      <w:r w:rsidRPr="000C48C8">
        <w:rPr>
          <w:b/>
          <w:bCs/>
        </w:rPr>
        <w:t>FDA Approved ADF Labeling</w:t>
      </w:r>
    </w:p>
    <w:tbl>
      <w:tblPr>
        <w:tblW w:w="10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5"/>
        <w:gridCol w:w="1604"/>
        <w:gridCol w:w="1759"/>
        <w:gridCol w:w="1091"/>
        <w:gridCol w:w="2105"/>
        <w:gridCol w:w="1976"/>
      </w:tblGrid>
      <w:tr w:rsidR="000C48C8" w:rsidRPr="000C48C8" w:rsidTr="000C48C8">
        <w:trPr>
          <w:trHeight w:val="1322"/>
        </w:trPr>
        <w:tc>
          <w:tcPr>
            <w:tcW w:w="13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32"/>
                <w:szCs w:val="32"/>
              </w:rPr>
              <w:t>List of Medications with Abuse-Deterrent Claims or FDA-Approved Labeling</w:t>
            </w:r>
          </w:p>
        </w:tc>
      </w:tr>
      <w:tr w:rsidR="000C48C8" w:rsidRPr="000C48C8" w:rsidTr="000C48C8">
        <w:trPr>
          <w:trHeight w:val="128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Product Name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Manufacturer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Ingredient(s)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Dose Form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Method of Abuse    Deterrence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DFC Action</w:t>
            </w:r>
          </w:p>
        </w:tc>
      </w:tr>
      <w:tr w:rsidR="000C48C8" w:rsidRPr="000C48C8" w:rsidTr="000C48C8">
        <w:trPr>
          <w:trHeight w:val="101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Troxyca</w:t>
            </w:r>
            <w:proofErr w:type="spellEnd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 ER</w:t>
            </w: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Pfizer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Oxycodone ER/</w:t>
            </w:r>
          </w:p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Naltrexone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Capsule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Agonist/antagonist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PENDING</w:t>
            </w:r>
          </w:p>
        </w:tc>
      </w:tr>
      <w:tr w:rsidR="000C48C8" w:rsidRPr="000C48C8" w:rsidTr="000C48C8">
        <w:trPr>
          <w:trHeight w:val="1012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MorphaBond</w:t>
            </w:r>
            <w:proofErr w:type="spellEnd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Inspirion</w:t>
            </w:r>
            <w:proofErr w:type="spellEnd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 Delivery Technologies/ Daiichi Sankyo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Morphine 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Tablet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Physical/chemical barrier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Not yet commercially available.</w:t>
            </w:r>
          </w:p>
        </w:tc>
      </w:tr>
      <w:tr w:rsidR="000C48C8" w:rsidRPr="000C48C8" w:rsidTr="000C48C8">
        <w:trPr>
          <w:trHeight w:val="10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Arymo</w:t>
            </w:r>
            <w:proofErr w:type="spellEnd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 ER</w:t>
            </w: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Egalet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Morphine 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Tablet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Physical/chemical barrier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Not yet commercially available.</w:t>
            </w:r>
          </w:p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Launch planned for 1st Quarter 2017</w:t>
            </w:r>
          </w:p>
        </w:tc>
      </w:tr>
      <w:tr w:rsidR="000C48C8" w:rsidRPr="000C48C8" w:rsidTr="000C48C8">
        <w:trPr>
          <w:trHeight w:val="103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Vantrela</w:t>
            </w:r>
            <w:proofErr w:type="spellEnd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 ER</w:t>
            </w: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Teva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Hydrocodone 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Tablet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Physical/chemical barrier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Not yet commercially available.</w:t>
            </w:r>
          </w:p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Launch planned for 1st Quarter 2017</w:t>
            </w:r>
          </w:p>
        </w:tc>
      </w:tr>
      <w:tr w:rsidR="000C48C8" w:rsidRPr="000C48C8" w:rsidTr="000C48C8">
        <w:trPr>
          <w:trHeight w:val="1103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Remoxy</w:t>
            </w:r>
            <w:proofErr w:type="spellEnd"/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Pain Therapeutics/ DURECT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Oxycodone 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Capsule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Physical/chemical barrier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8C8" w:rsidRPr="000C48C8" w:rsidRDefault="000C48C8" w:rsidP="000C48C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C48C8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FDA Complete Response Letter indicates product is not approvable in its current form.</w:t>
            </w:r>
          </w:p>
        </w:tc>
      </w:tr>
    </w:tbl>
    <w:p w:rsidR="00183044" w:rsidRDefault="00183044" w:rsidP="00457194">
      <w:pPr>
        <w:pStyle w:val="NoSpacing"/>
      </w:pPr>
    </w:p>
    <w:p w:rsidR="00160DCC" w:rsidRDefault="00160DCC" w:rsidP="00160DCC">
      <w:pPr>
        <w:pStyle w:val="NoSpacing"/>
      </w:pPr>
    </w:p>
    <w:p w:rsidR="00183044" w:rsidRDefault="00183044" w:rsidP="00160DCC">
      <w:pPr>
        <w:pStyle w:val="NoSpacing"/>
      </w:pPr>
    </w:p>
    <w:p w:rsidR="00FD2383" w:rsidRDefault="00457194" w:rsidP="00457194">
      <w:pPr>
        <w:pStyle w:val="NoSpacing"/>
      </w:pPr>
      <w:r>
        <w:t>Slide 11</w:t>
      </w:r>
    </w:p>
    <w:p w:rsidR="009A44F8" w:rsidRDefault="000C48C8" w:rsidP="00457194">
      <w:pPr>
        <w:pStyle w:val="NoSpacing"/>
      </w:pPr>
      <w:r w:rsidRPr="000C48C8">
        <w:rPr>
          <w:b/>
          <w:bCs/>
        </w:rPr>
        <w:t>“Cross Walk”</w:t>
      </w:r>
    </w:p>
    <w:p w:rsidR="00000000" w:rsidRPr="000C48C8" w:rsidRDefault="000C48C8" w:rsidP="000C48C8">
      <w:pPr>
        <w:pStyle w:val="NoSpacing"/>
        <w:numPr>
          <w:ilvl w:val="0"/>
          <w:numId w:val="26"/>
        </w:numPr>
      </w:pPr>
      <w:r w:rsidRPr="000C48C8">
        <w:rPr>
          <w:u w:val="single"/>
        </w:rPr>
        <w:t>Component 1</w:t>
      </w:r>
      <w:r w:rsidRPr="000C48C8">
        <w:t>: Opio</w:t>
      </w:r>
      <w:r w:rsidRPr="000C48C8">
        <w:t>ids with a Heightened Public Health Risk</w:t>
      </w:r>
    </w:p>
    <w:p w:rsidR="00000000" w:rsidRPr="000C48C8" w:rsidRDefault="000C48C8" w:rsidP="000C48C8">
      <w:pPr>
        <w:pStyle w:val="NoSpacing"/>
        <w:numPr>
          <w:ilvl w:val="0"/>
          <w:numId w:val="26"/>
        </w:numPr>
      </w:pPr>
      <w:r w:rsidRPr="000C48C8">
        <w:rPr>
          <w:u w:val="single"/>
        </w:rPr>
        <w:t>Component 2</w:t>
      </w:r>
      <w:r w:rsidRPr="000C48C8">
        <w:t xml:space="preserve">: Interchangeable Abuse </w:t>
      </w:r>
      <w:r w:rsidRPr="000C48C8">
        <w:t>Deterrent Opioids</w:t>
      </w:r>
    </w:p>
    <w:p w:rsidR="00000000" w:rsidRDefault="000C48C8" w:rsidP="000C48C8">
      <w:pPr>
        <w:pStyle w:val="NoSpacing"/>
        <w:numPr>
          <w:ilvl w:val="0"/>
          <w:numId w:val="26"/>
        </w:numPr>
      </w:pPr>
      <w:r w:rsidRPr="000C48C8">
        <w:rPr>
          <w:u w:val="single"/>
        </w:rPr>
        <w:t>Component 3</w:t>
      </w:r>
      <w:r w:rsidRPr="000C48C8">
        <w:t xml:space="preserve">: “Cross Walk” – </w:t>
      </w:r>
      <w:r w:rsidRPr="000C48C8">
        <w:t>Chemically Equivalent Substitutions</w:t>
      </w:r>
    </w:p>
    <w:p w:rsidR="000C48C8" w:rsidRPr="000C48C8" w:rsidRDefault="000C48C8" w:rsidP="000C48C8">
      <w:pPr>
        <w:pStyle w:val="NoSpacing"/>
        <w:numPr>
          <w:ilvl w:val="0"/>
          <w:numId w:val="26"/>
        </w:numPr>
      </w:pPr>
      <w:r w:rsidRPr="000C48C8">
        <w:t>Draft Amended Formulary</w:t>
      </w:r>
    </w:p>
    <w:p w:rsidR="00D501AF" w:rsidRDefault="00D501AF" w:rsidP="00457194">
      <w:pPr>
        <w:pStyle w:val="NoSpacing"/>
      </w:pPr>
    </w:p>
    <w:p w:rsidR="000C48C8" w:rsidRDefault="000C48C8" w:rsidP="00457194">
      <w:pPr>
        <w:pStyle w:val="NoSpacing"/>
      </w:pPr>
    </w:p>
    <w:p w:rsidR="000C48C8" w:rsidRPr="00160DCC" w:rsidRDefault="000C48C8" w:rsidP="00457194">
      <w:pPr>
        <w:pStyle w:val="NoSpacing"/>
      </w:pPr>
    </w:p>
    <w:p w:rsidR="00457194" w:rsidRDefault="00457194" w:rsidP="00457194">
      <w:pPr>
        <w:pStyle w:val="NoSpacing"/>
      </w:pPr>
      <w:r>
        <w:t>Slide 12</w:t>
      </w:r>
    </w:p>
    <w:p w:rsidR="000C48C8" w:rsidRDefault="000C48C8" w:rsidP="008A3F8A">
      <w:pPr>
        <w:pStyle w:val="NoSpacing"/>
        <w:tabs>
          <w:tab w:val="left" w:pos="2160"/>
        </w:tabs>
        <w:rPr>
          <w:b/>
          <w:bCs/>
        </w:rPr>
      </w:pPr>
      <w:r w:rsidRPr="000C48C8">
        <w:rPr>
          <w:b/>
          <w:bCs/>
        </w:rPr>
        <w:t>Promulgation of Regulation and Formulary</w:t>
      </w:r>
    </w:p>
    <w:p w:rsidR="000C48C8" w:rsidRPr="000C48C8" w:rsidRDefault="000C48C8" w:rsidP="000C48C8">
      <w:pPr>
        <w:pStyle w:val="NoSpacing"/>
      </w:pPr>
      <w:r w:rsidRPr="000C48C8">
        <w:t>History</w:t>
      </w:r>
    </w:p>
    <w:p w:rsidR="00000000" w:rsidRPr="000C48C8" w:rsidRDefault="000C48C8" w:rsidP="000C48C8">
      <w:pPr>
        <w:pStyle w:val="NoSpacing"/>
        <w:numPr>
          <w:ilvl w:val="0"/>
          <w:numId w:val="27"/>
        </w:numPr>
      </w:pPr>
      <w:r w:rsidRPr="000C48C8">
        <w:t xml:space="preserve">Proposed 105 CMR 720, </w:t>
      </w:r>
      <w:r w:rsidRPr="000C48C8">
        <w:rPr>
          <w:i/>
          <w:iCs/>
        </w:rPr>
        <w:t xml:space="preserve">List of Interchangeable Drug Products, </w:t>
      </w:r>
      <w:r w:rsidRPr="000C48C8">
        <w:t>including draft formulary, as redrafted, to the Public Health Council (11/9/2016)</w:t>
      </w:r>
    </w:p>
    <w:p w:rsidR="00000000" w:rsidRPr="000C48C8" w:rsidRDefault="000C48C8" w:rsidP="000C48C8">
      <w:pPr>
        <w:pStyle w:val="NoSpacing"/>
        <w:numPr>
          <w:ilvl w:val="0"/>
          <w:numId w:val="27"/>
        </w:numPr>
      </w:pPr>
      <w:r w:rsidRPr="000C48C8">
        <w:t>Public hearing held on proposed changes to regulation (1/19/2017)</w:t>
      </w:r>
      <w:r>
        <w:t xml:space="preserve"> </w:t>
      </w:r>
    </w:p>
    <w:p w:rsidR="000C48C8" w:rsidRPr="000C48C8" w:rsidRDefault="000C48C8" w:rsidP="000C48C8">
      <w:pPr>
        <w:pStyle w:val="NoSpacing"/>
      </w:pPr>
      <w:r w:rsidRPr="000C48C8">
        <w:t>Current</w:t>
      </w:r>
    </w:p>
    <w:p w:rsidR="00000000" w:rsidRPr="000C48C8" w:rsidRDefault="000C48C8" w:rsidP="000C48C8">
      <w:pPr>
        <w:pStyle w:val="NoSpacing"/>
        <w:numPr>
          <w:ilvl w:val="0"/>
          <w:numId w:val="28"/>
        </w:numPr>
      </w:pPr>
      <w:r w:rsidRPr="000C48C8">
        <w:t>DPH staff is reviewing c</w:t>
      </w:r>
      <w:r w:rsidRPr="000C48C8">
        <w:t>omments and further amending as appropriate.</w:t>
      </w:r>
    </w:p>
    <w:p w:rsidR="000C48C8" w:rsidRPr="000C48C8" w:rsidRDefault="000C48C8" w:rsidP="000C48C8">
      <w:pPr>
        <w:pStyle w:val="NoSpacing"/>
      </w:pPr>
      <w:r w:rsidRPr="000C48C8">
        <w:t>Pending</w:t>
      </w:r>
    </w:p>
    <w:p w:rsidR="00000000" w:rsidRPr="000C48C8" w:rsidRDefault="000C48C8" w:rsidP="000C48C8">
      <w:pPr>
        <w:pStyle w:val="NoSpacing"/>
        <w:numPr>
          <w:ilvl w:val="0"/>
          <w:numId w:val="29"/>
        </w:numPr>
      </w:pPr>
      <w:r w:rsidRPr="000C48C8">
        <w:t>DPH staff will present the final draft regulation to PHC for promulgation.</w:t>
      </w:r>
    </w:p>
    <w:p w:rsidR="00000000" w:rsidRPr="000C48C8" w:rsidRDefault="000C48C8" w:rsidP="000C48C8">
      <w:pPr>
        <w:pStyle w:val="NoSpacing"/>
        <w:numPr>
          <w:ilvl w:val="0"/>
          <w:numId w:val="29"/>
        </w:numPr>
      </w:pPr>
      <w:r w:rsidRPr="000C48C8">
        <w:t xml:space="preserve">Review by Secretary of State </w:t>
      </w:r>
      <w:r w:rsidRPr="000C48C8">
        <w:sym w:font="Wingdings" w:char="F0E0"/>
      </w:r>
      <w:r w:rsidRPr="000C48C8">
        <w:t xml:space="preserve"> Regulation becomes effective.</w:t>
      </w:r>
    </w:p>
    <w:p w:rsidR="000C48C8" w:rsidRPr="000C48C8" w:rsidRDefault="000C48C8" w:rsidP="000C48C8">
      <w:pPr>
        <w:pStyle w:val="NoSpacing"/>
      </w:pPr>
      <w:r w:rsidRPr="000C48C8">
        <w:t>Next Step</w:t>
      </w:r>
    </w:p>
    <w:p w:rsidR="00000000" w:rsidRPr="000C48C8" w:rsidRDefault="000C48C8" w:rsidP="000C48C8">
      <w:pPr>
        <w:pStyle w:val="NoSpacing"/>
        <w:numPr>
          <w:ilvl w:val="0"/>
          <w:numId w:val="30"/>
        </w:numPr>
      </w:pPr>
      <w:r w:rsidRPr="000C48C8">
        <w:t>Issue guidance, including special substitution considerations, and the requirements and process of substitution.</w:t>
      </w:r>
    </w:p>
    <w:p w:rsidR="00000000" w:rsidRDefault="000C48C8" w:rsidP="000C48C8">
      <w:pPr>
        <w:pStyle w:val="NoSpacing"/>
        <w:numPr>
          <w:ilvl w:val="0"/>
          <w:numId w:val="30"/>
        </w:numPr>
      </w:pPr>
      <w:r w:rsidRPr="000C48C8">
        <w:t>Conduct prescriber education on abuse deterrent substitutes.</w:t>
      </w:r>
    </w:p>
    <w:p w:rsidR="000C48C8" w:rsidRDefault="000C48C8" w:rsidP="000C48C8">
      <w:pPr>
        <w:pStyle w:val="NoSpacing"/>
      </w:pPr>
    </w:p>
    <w:p w:rsidR="000C48C8" w:rsidRPr="000C48C8" w:rsidRDefault="000C48C8" w:rsidP="000C48C8">
      <w:pPr>
        <w:pStyle w:val="NoSpacing"/>
      </w:pPr>
    </w:p>
    <w:p w:rsidR="009A67E5" w:rsidRDefault="00457194" w:rsidP="00366900">
      <w:pPr>
        <w:pStyle w:val="NoSpacing"/>
        <w:rPr>
          <w:b/>
          <w:bCs/>
        </w:rPr>
      </w:pPr>
      <w:r>
        <w:t>Slide 13</w:t>
      </w:r>
      <w:r w:rsidRPr="00457194">
        <w:br/>
      </w:r>
      <w:r w:rsidR="000C48C8" w:rsidRPr="000C48C8">
        <w:rPr>
          <w:b/>
          <w:bCs/>
        </w:rPr>
        <w:t>Meeting Summary</w:t>
      </w:r>
    </w:p>
    <w:p w:rsidR="00000000" w:rsidRPr="000C48C8" w:rsidRDefault="000C48C8" w:rsidP="000C48C8">
      <w:pPr>
        <w:pStyle w:val="NoSpacing"/>
        <w:numPr>
          <w:ilvl w:val="1"/>
          <w:numId w:val="6"/>
        </w:numPr>
      </w:pPr>
      <w:r w:rsidRPr="000C48C8">
        <w:t>Meeting Recap</w:t>
      </w:r>
    </w:p>
    <w:p w:rsidR="00000000" w:rsidRPr="000C48C8" w:rsidRDefault="000C48C8" w:rsidP="000C48C8">
      <w:pPr>
        <w:pStyle w:val="NoSpacing"/>
        <w:numPr>
          <w:ilvl w:val="1"/>
          <w:numId w:val="6"/>
        </w:numPr>
      </w:pPr>
      <w:r w:rsidRPr="000C48C8">
        <w:t>Review of takeaways</w:t>
      </w:r>
    </w:p>
    <w:p w:rsidR="00000000" w:rsidRPr="000C48C8" w:rsidRDefault="000C48C8" w:rsidP="000C48C8">
      <w:pPr>
        <w:pStyle w:val="NoSpacing"/>
        <w:numPr>
          <w:ilvl w:val="1"/>
          <w:numId w:val="6"/>
        </w:numPr>
      </w:pPr>
      <w:r w:rsidRPr="000C48C8">
        <w:t>Next steps</w:t>
      </w:r>
    </w:p>
    <w:p w:rsidR="00000000" w:rsidRPr="000C48C8" w:rsidRDefault="000C48C8" w:rsidP="000C48C8">
      <w:pPr>
        <w:pStyle w:val="NoSpacing"/>
        <w:numPr>
          <w:ilvl w:val="1"/>
          <w:numId w:val="6"/>
        </w:numPr>
      </w:pPr>
      <w:r w:rsidRPr="000C48C8">
        <w:t>Upcoming Meetings</w:t>
      </w:r>
    </w:p>
    <w:p w:rsidR="00000000" w:rsidRPr="000C48C8" w:rsidRDefault="000C48C8" w:rsidP="000C48C8">
      <w:pPr>
        <w:pStyle w:val="NoSpacing"/>
        <w:numPr>
          <w:ilvl w:val="2"/>
          <w:numId w:val="6"/>
        </w:numPr>
      </w:pPr>
      <w:r w:rsidRPr="000C48C8">
        <w:t>April 20, 2017</w:t>
      </w:r>
    </w:p>
    <w:p w:rsidR="00000000" w:rsidRPr="000C48C8" w:rsidRDefault="000C48C8" w:rsidP="000C48C8">
      <w:pPr>
        <w:pStyle w:val="NoSpacing"/>
        <w:numPr>
          <w:ilvl w:val="2"/>
          <w:numId w:val="6"/>
        </w:numPr>
      </w:pPr>
      <w:r w:rsidRPr="000C48C8">
        <w:t>May 18, 2017</w:t>
      </w:r>
    </w:p>
    <w:p w:rsidR="00000000" w:rsidRPr="000C48C8" w:rsidRDefault="000C48C8" w:rsidP="000C48C8">
      <w:pPr>
        <w:pStyle w:val="NoSpacing"/>
        <w:numPr>
          <w:ilvl w:val="2"/>
          <w:numId w:val="6"/>
        </w:numPr>
      </w:pPr>
      <w:r w:rsidRPr="000C48C8">
        <w:t>June 20, 2017</w:t>
      </w:r>
      <w:r w:rsidRPr="000C48C8">
        <w:tab/>
      </w:r>
      <w:r w:rsidRPr="000C48C8">
        <w:tab/>
      </w:r>
    </w:p>
    <w:p w:rsidR="00000000" w:rsidRPr="000C48C8" w:rsidRDefault="000C48C8" w:rsidP="000C48C8">
      <w:pPr>
        <w:pStyle w:val="NoSpacing"/>
        <w:numPr>
          <w:ilvl w:val="3"/>
          <w:numId w:val="6"/>
        </w:numPr>
      </w:pPr>
      <w:r w:rsidRPr="000C48C8">
        <w:t>9:00AM-12:00PM</w:t>
      </w:r>
    </w:p>
    <w:p w:rsidR="00E131D2" w:rsidRDefault="000C48C8" w:rsidP="000C48C8">
      <w:pPr>
        <w:pStyle w:val="NoSpacing"/>
        <w:numPr>
          <w:ilvl w:val="3"/>
          <w:numId w:val="6"/>
        </w:numPr>
      </w:pPr>
      <w:bookmarkStart w:id="0" w:name="_GoBack"/>
      <w:bookmarkEnd w:id="0"/>
      <w:r w:rsidRPr="000C48C8">
        <w:t>250 Washington Street</w:t>
      </w:r>
    </w:p>
    <w:sectPr w:rsidR="00E13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D6" w:rsidRDefault="00D247D6" w:rsidP="00D247D6">
      <w:pPr>
        <w:spacing w:after="0" w:line="240" w:lineRule="auto"/>
      </w:pPr>
      <w:r>
        <w:separator/>
      </w:r>
    </w:p>
  </w:endnote>
  <w:endnote w:type="continuationSeparator" w:id="0">
    <w:p w:rsidR="00D247D6" w:rsidRDefault="00D247D6" w:rsidP="00D2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D6" w:rsidRDefault="00D247D6" w:rsidP="00D247D6">
      <w:pPr>
        <w:spacing w:after="0" w:line="240" w:lineRule="auto"/>
      </w:pPr>
      <w:r>
        <w:separator/>
      </w:r>
    </w:p>
  </w:footnote>
  <w:footnote w:type="continuationSeparator" w:id="0">
    <w:p w:rsidR="00D247D6" w:rsidRDefault="00D247D6" w:rsidP="00D2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55E6"/>
    <w:multiLevelType w:val="hybridMultilevel"/>
    <w:tmpl w:val="5EE4D094"/>
    <w:lvl w:ilvl="0" w:tplc="4EAEE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781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C84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A01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0A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066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1C2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303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B0E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F26440"/>
    <w:multiLevelType w:val="hybridMultilevel"/>
    <w:tmpl w:val="91A00CB6"/>
    <w:lvl w:ilvl="0" w:tplc="ED1CE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DA2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0AF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44A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5E7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1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E27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E8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9C8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2073E6"/>
    <w:multiLevelType w:val="hybridMultilevel"/>
    <w:tmpl w:val="33AEF78C"/>
    <w:lvl w:ilvl="0" w:tplc="52A01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DCD1E6">
      <w:start w:val="9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44D71E">
      <w:start w:val="9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C6A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4AD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B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2C6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A0E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21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B93222"/>
    <w:multiLevelType w:val="hybridMultilevel"/>
    <w:tmpl w:val="11541B12"/>
    <w:lvl w:ilvl="0" w:tplc="DB169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209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44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1CC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A6E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204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C1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CE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04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5487873"/>
    <w:multiLevelType w:val="hybridMultilevel"/>
    <w:tmpl w:val="274A9ED6"/>
    <w:lvl w:ilvl="0" w:tplc="F9446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CEDE8A">
      <w:start w:val="9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E82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703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82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4B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107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D07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4E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6A9620C"/>
    <w:multiLevelType w:val="hybridMultilevel"/>
    <w:tmpl w:val="6FF807B4"/>
    <w:lvl w:ilvl="0" w:tplc="D3E6A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2A6594">
      <w:start w:val="20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609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E20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2E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2A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04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C25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EC6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8C13650"/>
    <w:multiLevelType w:val="hybridMultilevel"/>
    <w:tmpl w:val="B864685C"/>
    <w:lvl w:ilvl="0" w:tplc="F91C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E3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C4E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EE4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C2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72F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2E1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B8D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C2D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AB64EE6"/>
    <w:multiLevelType w:val="hybridMultilevel"/>
    <w:tmpl w:val="C05E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A6692"/>
    <w:multiLevelType w:val="hybridMultilevel"/>
    <w:tmpl w:val="6C0A5538"/>
    <w:lvl w:ilvl="0" w:tplc="9E78D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074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125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C0DD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8C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88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EB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A5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B03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BDD7848"/>
    <w:multiLevelType w:val="hybridMultilevel"/>
    <w:tmpl w:val="7CE83EF8"/>
    <w:lvl w:ilvl="0" w:tplc="2C66A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6C674E">
      <w:start w:val="92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42D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561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23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48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D49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0A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E6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CC41F41"/>
    <w:multiLevelType w:val="hybridMultilevel"/>
    <w:tmpl w:val="69925D92"/>
    <w:lvl w:ilvl="0" w:tplc="0EEE3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C2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502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EE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0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E6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50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AE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04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E84321F"/>
    <w:multiLevelType w:val="hybridMultilevel"/>
    <w:tmpl w:val="2D50B9A4"/>
    <w:lvl w:ilvl="0" w:tplc="658C3A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AD43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8E5C4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9B824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3EAD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7077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8C6FA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B65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C8D6D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694085E"/>
    <w:multiLevelType w:val="hybridMultilevel"/>
    <w:tmpl w:val="80FA5E82"/>
    <w:lvl w:ilvl="0" w:tplc="1F2C2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4B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0A5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EC7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C86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24C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24A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6E0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4F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AE63D26"/>
    <w:multiLevelType w:val="hybridMultilevel"/>
    <w:tmpl w:val="2C20494E"/>
    <w:lvl w:ilvl="0" w:tplc="B4CA6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5CF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43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92B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2C4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DAC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E6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0E7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FA0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B8F2DC4"/>
    <w:multiLevelType w:val="hybridMultilevel"/>
    <w:tmpl w:val="F02A362E"/>
    <w:lvl w:ilvl="0" w:tplc="DAA6A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E0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E3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CCC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EB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4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04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C06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20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0442DB1"/>
    <w:multiLevelType w:val="hybridMultilevel"/>
    <w:tmpl w:val="51BCFB54"/>
    <w:lvl w:ilvl="0" w:tplc="76285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5AC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1CE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269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47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6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4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2C4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142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6DE79E1"/>
    <w:multiLevelType w:val="hybridMultilevel"/>
    <w:tmpl w:val="17965BDA"/>
    <w:lvl w:ilvl="0" w:tplc="43243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E6A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DC9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80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B84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865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98A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3E9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21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C080214"/>
    <w:multiLevelType w:val="hybridMultilevel"/>
    <w:tmpl w:val="CCE651E4"/>
    <w:lvl w:ilvl="0" w:tplc="228A6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0F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3E3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ED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CCE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A00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82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7CA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1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5EE654A"/>
    <w:multiLevelType w:val="hybridMultilevel"/>
    <w:tmpl w:val="1DE2C668"/>
    <w:lvl w:ilvl="0" w:tplc="1002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06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267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5C0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CE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74A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30B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E22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829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6DE3A24"/>
    <w:multiLevelType w:val="hybridMultilevel"/>
    <w:tmpl w:val="763655B6"/>
    <w:lvl w:ilvl="0" w:tplc="783E7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8D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CB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E4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2F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E2E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04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E0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4C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9F961B7"/>
    <w:multiLevelType w:val="hybridMultilevel"/>
    <w:tmpl w:val="FA704D8A"/>
    <w:lvl w:ilvl="0" w:tplc="2CD20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EA8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CE2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160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40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18E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48D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D6E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E05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D3E5CF7"/>
    <w:multiLevelType w:val="hybridMultilevel"/>
    <w:tmpl w:val="919A6C32"/>
    <w:lvl w:ilvl="0" w:tplc="44A4B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FAC368">
      <w:start w:val="24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121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823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5E0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06C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987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40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E0B141F"/>
    <w:multiLevelType w:val="hybridMultilevel"/>
    <w:tmpl w:val="604CB3AC"/>
    <w:lvl w:ilvl="0" w:tplc="85323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CDF3A">
      <w:start w:val="9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6C5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26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E6F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86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147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2B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6D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18B5485"/>
    <w:multiLevelType w:val="hybridMultilevel"/>
    <w:tmpl w:val="579EAF12"/>
    <w:lvl w:ilvl="0" w:tplc="C590D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CA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0E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761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1C7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CC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BEA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24C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F8B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0123B43"/>
    <w:multiLevelType w:val="hybridMultilevel"/>
    <w:tmpl w:val="52DE89F8"/>
    <w:lvl w:ilvl="0" w:tplc="67DAA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E3C32">
      <w:start w:val="20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488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A8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47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68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0EB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08A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4B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310736A"/>
    <w:multiLevelType w:val="hybridMultilevel"/>
    <w:tmpl w:val="0F4E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D2C09"/>
    <w:multiLevelType w:val="hybridMultilevel"/>
    <w:tmpl w:val="10606DEC"/>
    <w:lvl w:ilvl="0" w:tplc="736C9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AC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8D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8A7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688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E9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24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66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00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AF60844"/>
    <w:multiLevelType w:val="hybridMultilevel"/>
    <w:tmpl w:val="B8A41CBE"/>
    <w:lvl w:ilvl="0" w:tplc="F8824B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5D88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C5C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66ACB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9A3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9CF1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E6EE4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5F67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AAFB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>
    <w:nsid w:val="7B1B0257"/>
    <w:multiLevelType w:val="hybridMultilevel"/>
    <w:tmpl w:val="DFC4DF98"/>
    <w:lvl w:ilvl="0" w:tplc="8FC28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A1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D80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42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6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2A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1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61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83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B6B06E0"/>
    <w:multiLevelType w:val="hybridMultilevel"/>
    <w:tmpl w:val="D7569BE0"/>
    <w:lvl w:ilvl="0" w:tplc="88D03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AD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76D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763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1E4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7E8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CA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8A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8A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D422021"/>
    <w:multiLevelType w:val="hybridMultilevel"/>
    <w:tmpl w:val="877E50A8"/>
    <w:lvl w:ilvl="0" w:tplc="A2DC5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425E8C">
      <w:start w:val="9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FAB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0CC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00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566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D2E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4E8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40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7"/>
  </w:num>
  <w:num w:numId="3">
    <w:abstractNumId w:val="27"/>
  </w:num>
  <w:num w:numId="4">
    <w:abstractNumId w:val="29"/>
  </w:num>
  <w:num w:numId="5">
    <w:abstractNumId w:val="11"/>
  </w:num>
  <w:num w:numId="6">
    <w:abstractNumId w:val="8"/>
  </w:num>
  <w:num w:numId="7">
    <w:abstractNumId w:val="3"/>
  </w:num>
  <w:num w:numId="8">
    <w:abstractNumId w:val="17"/>
  </w:num>
  <w:num w:numId="9">
    <w:abstractNumId w:val="18"/>
  </w:num>
  <w:num w:numId="10">
    <w:abstractNumId w:val="13"/>
  </w:num>
  <w:num w:numId="11">
    <w:abstractNumId w:val="5"/>
  </w:num>
  <w:num w:numId="12">
    <w:abstractNumId w:val="15"/>
  </w:num>
  <w:num w:numId="13">
    <w:abstractNumId w:val="19"/>
  </w:num>
  <w:num w:numId="14">
    <w:abstractNumId w:val="30"/>
  </w:num>
  <w:num w:numId="15">
    <w:abstractNumId w:val="9"/>
  </w:num>
  <w:num w:numId="16">
    <w:abstractNumId w:val="16"/>
  </w:num>
  <w:num w:numId="17">
    <w:abstractNumId w:val="21"/>
  </w:num>
  <w:num w:numId="18">
    <w:abstractNumId w:val="24"/>
  </w:num>
  <w:num w:numId="19">
    <w:abstractNumId w:val="25"/>
  </w:num>
  <w:num w:numId="20">
    <w:abstractNumId w:val="22"/>
  </w:num>
  <w:num w:numId="21">
    <w:abstractNumId w:val="20"/>
  </w:num>
  <w:num w:numId="22">
    <w:abstractNumId w:val="6"/>
  </w:num>
  <w:num w:numId="23">
    <w:abstractNumId w:val="23"/>
  </w:num>
  <w:num w:numId="24">
    <w:abstractNumId w:val="12"/>
  </w:num>
  <w:num w:numId="25">
    <w:abstractNumId w:val="4"/>
  </w:num>
  <w:num w:numId="26">
    <w:abstractNumId w:val="1"/>
  </w:num>
  <w:num w:numId="27">
    <w:abstractNumId w:val="14"/>
  </w:num>
  <w:num w:numId="28">
    <w:abstractNumId w:val="28"/>
  </w:num>
  <w:num w:numId="29">
    <w:abstractNumId w:val="10"/>
  </w:num>
  <w:num w:numId="30">
    <w:abstractNumId w:val="26"/>
  </w:num>
  <w:num w:numId="31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E5"/>
    <w:rsid w:val="00002D7F"/>
    <w:rsid w:val="000C48C8"/>
    <w:rsid w:val="00160DCC"/>
    <w:rsid w:val="00176C09"/>
    <w:rsid w:val="00183044"/>
    <w:rsid w:val="00260B10"/>
    <w:rsid w:val="00287B6C"/>
    <w:rsid w:val="0029744E"/>
    <w:rsid w:val="002B37C0"/>
    <w:rsid w:val="002D0A68"/>
    <w:rsid w:val="002D272B"/>
    <w:rsid w:val="00345DF2"/>
    <w:rsid w:val="00366900"/>
    <w:rsid w:val="00414FFD"/>
    <w:rsid w:val="00433D86"/>
    <w:rsid w:val="00457194"/>
    <w:rsid w:val="00466CE6"/>
    <w:rsid w:val="005E1E20"/>
    <w:rsid w:val="006226BA"/>
    <w:rsid w:val="006677AF"/>
    <w:rsid w:val="00697CB9"/>
    <w:rsid w:val="00697EB2"/>
    <w:rsid w:val="006F1C54"/>
    <w:rsid w:val="007147DF"/>
    <w:rsid w:val="00767ECB"/>
    <w:rsid w:val="00774485"/>
    <w:rsid w:val="007771FE"/>
    <w:rsid w:val="007B4840"/>
    <w:rsid w:val="007D4920"/>
    <w:rsid w:val="007D5121"/>
    <w:rsid w:val="008207E8"/>
    <w:rsid w:val="00821CAA"/>
    <w:rsid w:val="008637C6"/>
    <w:rsid w:val="00884A99"/>
    <w:rsid w:val="008A3F8A"/>
    <w:rsid w:val="00960B63"/>
    <w:rsid w:val="00964791"/>
    <w:rsid w:val="00972C71"/>
    <w:rsid w:val="00981606"/>
    <w:rsid w:val="009A44F8"/>
    <w:rsid w:val="009A67E5"/>
    <w:rsid w:val="009E207D"/>
    <w:rsid w:val="009F4891"/>
    <w:rsid w:val="00A740CE"/>
    <w:rsid w:val="00AA2560"/>
    <w:rsid w:val="00AA514D"/>
    <w:rsid w:val="00B2568F"/>
    <w:rsid w:val="00B87371"/>
    <w:rsid w:val="00BC2B99"/>
    <w:rsid w:val="00BC74FD"/>
    <w:rsid w:val="00C12C3D"/>
    <w:rsid w:val="00C4004F"/>
    <w:rsid w:val="00CD7F2D"/>
    <w:rsid w:val="00D247D6"/>
    <w:rsid w:val="00D452D8"/>
    <w:rsid w:val="00D501AF"/>
    <w:rsid w:val="00D76134"/>
    <w:rsid w:val="00D801E5"/>
    <w:rsid w:val="00DA77BF"/>
    <w:rsid w:val="00DA7C17"/>
    <w:rsid w:val="00E131D2"/>
    <w:rsid w:val="00EC07B4"/>
    <w:rsid w:val="00F80A2A"/>
    <w:rsid w:val="00F841D9"/>
    <w:rsid w:val="00FA41EC"/>
    <w:rsid w:val="00FB443C"/>
    <w:rsid w:val="00FD0256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7E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7D6"/>
  </w:style>
  <w:style w:type="paragraph" w:styleId="Footer">
    <w:name w:val="footer"/>
    <w:basedOn w:val="Normal"/>
    <w:link w:val="Foot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7D6"/>
  </w:style>
  <w:style w:type="table" w:styleId="TableGrid">
    <w:name w:val="Table Grid"/>
    <w:basedOn w:val="TableNormal"/>
    <w:uiPriority w:val="59"/>
    <w:rsid w:val="00FB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7E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7D6"/>
  </w:style>
  <w:style w:type="paragraph" w:styleId="Footer">
    <w:name w:val="footer"/>
    <w:basedOn w:val="Normal"/>
    <w:link w:val="Foot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7D6"/>
  </w:style>
  <w:style w:type="table" w:styleId="TableGrid">
    <w:name w:val="Table Grid"/>
    <w:basedOn w:val="TableNormal"/>
    <w:uiPriority w:val="59"/>
    <w:rsid w:val="00FB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43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2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00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914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672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78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260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8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932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024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63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89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21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39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75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8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293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397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664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56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66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6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45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8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9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9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1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9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0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8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922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047">
          <w:marLeft w:val="133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97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6784">
          <w:marLeft w:val="133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22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80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894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39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39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74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8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29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2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8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837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08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9137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943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119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992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809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189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925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89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66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902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38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87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805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10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8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8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5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4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1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5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3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047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358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765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1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734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427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0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7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6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239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019">
          <w:marLeft w:val="72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685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913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3995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225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451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450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147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4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068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29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06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3201">
          <w:marLeft w:val="72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953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580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1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645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947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598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329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073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6651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418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265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1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5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2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8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30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4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1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12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1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2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4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8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51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4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296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00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67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709">
          <w:marLeft w:val="155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34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33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22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2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3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3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200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1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5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41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330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597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914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52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687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7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174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9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6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3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4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0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9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968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046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7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0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119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776">
          <w:marLeft w:val="21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11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447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04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081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81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271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877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2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1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7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4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9637-E4A3-4ECD-B92E-1FC542B7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2017-04-10T14:36:00Z</dcterms:created>
  <dc:creator>Zadegan, Nastaran (DPH)</dc:creator>
  <lastModifiedBy/>
  <lastPrinted>2015-07-14T22:24:00Z</lastPrinted>
  <dcterms:modified xsi:type="dcterms:W3CDTF">2017-04-10T15:04:00Z</dcterms:modified>
  <revision>4</revision>
</coreProperties>
</file>