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mc:AlternateContent>
          <mc:Choice Requires="wps">
            <w:drawing>
              <wp:anchor distT="0" distB="0" distL="0" distR="0" allowOverlap="1" layoutInCell="1" locked="0" behindDoc="0" simplePos="0" relativeHeight="15729664">
                <wp:simplePos x="0" y="0"/>
                <wp:positionH relativeFrom="page">
                  <wp:posOffset>262254</wp:posOffset>
                </wp:positionH>
                <wp:positionV relativeFrom="paragraph">
                  <wp:posOffset>-3225</wp:posOffset>
                </wp:positionV>
                <wp:extent cx="1572895" cy="190373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1572895" cy="1903730"/>
                          <a:chExt cx="1572895" cy="1903730"/>
                        </a:xfrm>
                      </wpg:grpSpPr>
                      <pic:pic>
                        <pic:nvPicPr>
                          <pic:cNvPr id="2" name="Image 2"/>
                          <pic:cNvPicPr/>
                        </pic:nvPicPr>
                        <pic:blipFill>
                          <a:blip r:embed="rId5" cstate="print"/>
                          <a:stretch>
                            <a:fillRect/>
                          </a:stretch>
                        </pic:blipFill>
                        <pic:spPr>
                          <a:xfrm>
                            <a:off x="351668" y="0"/>
                            <a:ext cx="896322" cy="1067596"/>
                          </a:xfrm>
                          <a:prstGeom prst="rect">
                            <a:avLst/>
                          </a:prstGeom>
                        </pic:spPr>
                      </pic:pic>
                      <wps:wsp>
                        <wps:cNvPr id="3" name="Graphic 3"/>
                        <wps:cNvSpPr/>
                        <wps:spPr>
                          <a:xfrm>
                            <a:off x="0" y="1101696"/>
                            <a:ext cx="1572895" cy="802005"/>
                          </a:xfrm>
                          <a:custGeom>
                            <a:avLst/>
                            <a:gdLst/>
                            <a:ahLst/>
                            <a:cxnLst/>
                            <a:rect l="l" t="t" r="r" b="b"/>
                            <a:pathLst>
                              <a:path w="1572895" h="802005">
                                <a:moveTo>
                                  <a:pt x="1572895" y="0"/>
                                </a:moveTo>
                                <a:lnTo>
                                  <a:pt x="0" y="0"/>
                                </a:lnTo>
                                <a:lnTo>
                                  <a:pt x="0" y="802004"/>
                                </a:lnTo>
                                <a:lnTo>
                                  <a:pt x="1572895" y="802004"/>
                                </a:lnTo>
                                <a:lnTo>
                                  <a:pt x="1572895" y="0"/>
                                </a:lnTo>
                                <a:close/>
                              </a:path>
                            </a:pathLst>
                          </a:custGeom>
                          <a:solidFill>
                            <a:srgbClr val="FFFFFF"/>
                          </a:solidFill>
                        </wps:spPr>
                        <wps:bodyPr wrap="square" lIns="0" tIns="0" rIns="0" bIns="0" rtlCol="0">
                          <a:prstTxWarp prst="textNoShape">
                            <a:avLst/>
                          </a:prstTxWarp>
                          <a:noAutofit/>
                        </wps:bodyPr>
                      </wps:wsp>
                      <wps:wsp>
                        <wps:cNvPr id="4" name="Textbox 4"/>
                        <wps:cNvSpPr txBox="1"/>
                        <wps:spPr>
                          <a:xfrm>
                            <a:off x="0" y="0"/>
                            <a:ext cx="1572895" cy="1903730"/>
                          </a:xfrm>
                          <a:prstGeom prst="rect">
                            <a:avLst/>
                          </a:prstGeom>
                        </wps:spPr>
                        <wps:txbx>
                          <w:txbxContent>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before="129"/>
                                <w:ind w:left="320" w:right="325" w:firstLine="0"/>
                                <w:jc w:val="center"/>
                                <w:rPr>
                                  <w:rFonts w:ascii="Arial Rounded MT Bold"/>
                                  <w:sz w:val="16"/>
                                </w:rPr>
                              </w:pPr>
                              <w:r>
                                <w:rPr>
                                  <w:rFonts w:ascii="Arial Rounded MT Bold"/>
                                  <w:sz w:val="16"/>
                                </w:rPr>
                                <w:t>MAURA</w:t>
                              </w:r>
                              <w:r>
                                <w:rPr>
                                  <w:rFonts w:ascii="Arial Rounded MT Bold"/>
                                  <w:spacing w:val="-4"/>
                                  <w:sz w:val="16"/>
                                </w:rPr>
                                <w:t> </w:t>
                              </w:r>
                              <w:r>
                                <w:rPr>
                                  <w:rFonts w:ascii="Arial Rounded MT Bold"/>
                                  <w:sz w:val="16"/>
                                </w:rPr>
                                <w:t>T.</w:t>
                              </w:r>
                              <w:r>
                                <w:rPr>
                                  <w:rFonts w:ascii="Arial Rounded MT Bold"/>
                                  <w:spacing w:val="-6"/>
                                  <w:sz w:val="16"/>
                                </w:rPr>
                                <w:t> </w:t>
                              </w:r>
                              <w:r>
                                <w:rPr>
                                  <w:rFonts w:ascii="Arial Rounded MT Bold"/>
                                  <w:spacing w:val="-2"/>
                                  <w:sz w:val="16"/>
                                </w:rPr>
                                <w:t>HEALEY</w:t>
                              </w:r>
                            </w:p>
                            <w:p>
                              <w:pPr>
                                <w:spacing w:before="2"/>
                                <w:ind w:left="320" w:right="321" w:firstLine="0"/>
                                <w:jc w:val="center"/>
                                <w:rPr>
                                  <w:rFonts w:ascii="Arial Rounded MT Bold"/>
                                  <w:sz w:val="14"/>
                                </w:rPr>
                              </w:pPr>
                              <w:r>
                                <w:rPr>
                                  <w:rFonts w:ascii="Arial Rounded MT Bold"/>
                                  <w:spacing w:val="-2"/>
                                  <w:sz w:val="14"/>
                                </w:rPr>
                                <w:t>Governor</w:t>
                              </w:r>
                            </w:p>
                            <w:p>
                              <w:pPr>
                                <w:spacing w:before="121"/>
                                <w:ind w:left="320" w:right="329" w:firstLine="0"/>
                                <w:jc w:val="center"/>
                                <w:rPr>
                                  <w:rFonts w:ascii="Arial Rounded MT Bold"/>
                                  <w:sz w:val="16"/>
                                </w:rPr>
                              </w:pPr>
                              <w:r>
                                <w:rPr>
                                  <w:rFonts w:ascii="Arial Rounded MT Bold"/>
                                  <w:sz w:val="16"/>
                                </w:rPr>
                                <w:t>KIMBERLEY</w:t>
                              </w:r>
                              <w:r>
                                <w:rPr>
                                  <w:rFonts w:ascii="Arial Rounded MT Bold"/>
                                  <w:spacing w:val="-8"/>
                                  <w:sz w:val="16"/>
                                </w:rPr>
                                <w:t> </w:t>
                              </w:r>
                              <w:r>
                                <w:rPr>
                                  <w:rFonts w:ascii="Arial Rounded MT Bold"/>
                                  <w:spacing w:val="-2"/>
                                  <w:sz w:val="16"/>
                                </w:rPr>
                                <w:t>DRISCOLL</w:t>
                              </w:r>
                            </w:p>
                            <w:p>
                              <w:pPr>
                                <w:spacing w:before="2"/>
                                <w:ind w:left="320" w:right="320" w:firstLine="0"/>
                                <w:jc w:val="center"/>
                                <w:rPr>
                                  <w:rFonts w:ascii="Arial Rounded MT Bold"/>
                                  <w:sz w:val="14"/>
                                </w:rPr>
                              </w:pPr>
                              <w:r>
                                <w:rPr>
                                  <w:rFonts w:ascii="Arial Rounded MT Bold"/>
                                  <w:spacing w:val="-2"/>
                                  <w:sz w:val="14"/>
                                </w:rPr>
                                <w:t>Lieutenant</w:t>
                              </w:r>
                              <w:r>
                                <w:rPr>
                                  <w:rFonts w:ascii="Arial Rounded MT Bold"/>
                                  <w:spacing w:val="9"/>
                                  <w:sz w:val="14"/>
                                </w:rPr>
                                <w:t> </w:t>
                              </w:r>
                              <w:r>
                                <w:rPr>
                                  <w:rFonts w:ascii="Arial Rounded MT Bold"/>
                                  <w:spacing w:val="-2"/>
                                  <w:sz w:val="14"/>
                                </w:rPr>
                                <w:t>Governor</w:t>
                              </w:r>
                            </w:p>
                          </w:txbxContent>
                        </wps:txbx>
                        <wps:bodyPr wrap="square" lIns="0" tIns="0" rIns="0" bIns="0" rtlCol="0">
                          <a:noAutofit/>
                        </wps:bodyPr>
                      </wps:wsp>
                    </wpg:wgp>
                  </a:graphicData>
                </a:graphic>
              </wp:anchor>
            </w:drawing>
          </mc:Choice>
          <mc:Fallback>
            <w:pict>
              <v:group style="position:absolute;margin-left:20.65pt;margin-top:-.253999pt;width:123.85pt;height:149.9pt;mso-position-horizontal-relative:page;mso-position-vertical-relative:paragraph;z-index:15729664" id="docshapegroup1" coordorigin="413,-5" coordsize="2477,2998">
                <v:shape style="position:absolute;left:966;top:-6;width:1412;height:1682" type="#_x0000_t75" id="docshape2" stroked="false">
                  <v:imagedata r:id="rId5" o:title=""/>
                </v:shape>
                <v:rect style="position:absolute;left:413;top:1729;width:2477;height:1263" id="docshape3" filled="true" fillcolor="#ffffff" stroked="false">
                  <v:fill type="solid"/>
                </v:rect>
                <v:shapetype id="_x0000_t202" o:spt="202" coordsize="21600,21600" path="m,l,21600r21600,l21600,xe">
                  <v:stroke joinstyle="miter"/>
                  <v:path gradientshapeok="t" o:connecttype="rect"/>
                </v:shapetype>
                <v:shape style="position:absolute;left:413;top:-6;width:2477;height:2998" type="#_x0000_t202" id="docshape4" filled="false" stroked="false">
                  <v:textbox inset="0,0,0,0">
                    <w:txbxContent>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before="129"/>
                          <w:ind w:left="320" w:right="325" w:firstLine="0"/>
                          <w:jc w:val="center"/>
                          <w:rPr>
                            <w:rFonts w:ascii="Arial Rounded MT Bold"/>
                            <w:sz w:val="16"/>
                          </w:rPr>
                        </w:pPr>
                        <w:r>
                          <w:rPr>
                            <w:rFonts w:ascii="Arial Rounded MT Bold"/>
                            <w:sz w:val="16"/>
                          </w:rPr>
                          <w:t>MAURA</w:t>
                        </w:r>
                        <w:r>
                          <w:rPr>
                            <w:rFonts w:ascii="Arial Rounded MT Bold"/>
                            <w:spacing w:val="-4"/>
                            <w:sz w:val="16"/>
                          </w:rPr>
                          <w:t> </w:t>
                        </w:r>
                        <w:r>
                          <w:rPr>
                            <w:rFonts w:ascii="Arial Rounded MT Bold"/>
                            <w:sz w:val="16"/>
                          </w:rPr>
                          <w:t>T.</w:t>
                        </w:r>
                        <w:r>
                          <w:rPr>
                            <w:rFonts w:ascii="Arial Rounded MT Bold"/>
                            <w:spacing w:val="-6"/>
                            <w:sz w:val="16"/>
                          </w:rPr>
                          <w:t> </w:t>
                        </w:r>
                        <w:r>
                          <w:rPr>
                            <w:rFonts w:ascii="Arial Rounded MT Bold"/>
                            <w:spacing w:val="-2"/>
                            <w:sz w:val="16"/>
                          </w:rPr>
                          <w:t>HEALEY</w:t>
                        </w:r>
                      </w:p>
                      <w:p>
                        <w:pPr>
                          <w:spacing w:before="2"/>
                          <w:ind w:left="320" w:right="321" w:firstLine="0"/>
                          <w:jc w:val="center"/>
                          <w:rPr>
                            <w:rFonts w:ascii="Arial Rounded MT Bold"/>
                            <w:sz w:val="14"/>
                          </w:rPr>
                        </w:pPr>
                        <w:r>
                          <w:rPr>
                            <w:rFonts w:ascii="Arial Rounded MT Bold"/>
                            <w:spacing w:val="-2"/>
                            <w:sz w:val="14"/>
                          </w:rPr>
                          <w:t>Governor</w:t>
                        </w:r>
                      </w:p>
                      <w:p>
                        <w:pPr>
                          <w:spacing w:before="121"/>
                          <w:ind w:left="320" w:right="329" w:firstLine="0"/>
                          <w:jc w:val="center"/>
                          <w:rPr>
                            <w:rFonts w:ascii="Arial Rounded MT Bold"/>
                            <w:sz w:val="16"/>
                          </w:rPr>
                        </w:pPr>
                        <w:r>
                          <w:rPr>
                            <w:rFonts w:ascii="Arial Rounded MT Bold"/>
                            <w:sz w:val="16"/>
                          </w:rPr>
                          <w:t>KIMBERLEY</w:t>
                        </w:r>
                        <w:r>
                          <w:rPr>
                            <w:rFonts w:ascii="Arial Rounded MT Bold"/>
                            <w:spacing w:val="-8"/>
                            <w:sz w:val="16"/>
                          </w:rPr>
                          <w:t> </w:t>
                        </w:r>
                        <w:r>
                          <w:rPr>
                            <w:rFonts w:ascii="Arial Rounded MT Bold"/>
                            <w:spacing w:val="-2"/>
                            <w:sz w:val="16"/>
                          </w:rPr>
                          <w:t>DRISCOLL</w:t>
                        </w:r>
                      </w:p>
                      <w:p>
                        <w:pPr>
                          <w:spacing w:before="2"/>
                          <w:ind w:left="320" w:right="320" w:firstLine="0"/>
                          <w:jc w:val="center"/>
                          <w:rPr>
                            <w:rFonts w:ascii="Arial Rounded MT Bold"/>
                            <w:sz w:val="14"/>
                          </w:rPr>
                        </w:pPr>
                        <w:r>
                          <w:rPr>
                            <w:rFonts w:ascii="Arial Rounded MT Bold"/>
                            <w:spacing w:val="-2"/>
                            <w:sz w:val="14"/>
                          </w:rPr>
                          <w:t>Lieutenant</w:t>
                        </w:r>
                        <w:r>
                          <w:rPr>
                            <w:rFonts w:ascii="Arial Rounded MT Bold"/>
                            <w:spacing w:val="9"/>
                            <w:sz w:val="14"/>
                          </w:rPr>
                          <w:t> </w:t>
                        </w:r>
                        <w:r>
                          <w:rPr>
                            <w:rFonts w:ascii="Arial Rounded MT Bold"/>
                            <w:spacing w:val="-2"/>
                            <w:sz w:val="14"/>
                          </w:rPr>
                          <w:t>Governor</w:t>
                        </w:r>
                      </w:p>
                    </w:txbxContent>
                  </v:textbox>
                  <w10:wrap type="none"/>
                </v:shape>
                <w10:wrap type="none"/>
              </v:group>
            </w:pict>
          </mc:Fallback>
        </mc:AlternateContent>
      </w:r>
      <w:r>
        <w:rPr/>
        <w:t>The</w:t>
      </w:r>
      <w:r>
        <w:rPr>
          <w:spacing w:val="-5"/>
        </w:rPr>
        <w:t> </w:t>
      </w:r>
      <w:r>
        <w:rPr/>
        <w:t>Commonwealth</w:t>
      </w:r>
      <w:r>
        <w:rPr>
          <w:spacing w:val="-5"/>
        </w:rPr>
        <w:t> </w:t>
      </w:r>
      <w:r>
        <w:rPr/>
        <w:t>of</w:t>
      </w:r>
      <w:r>
        <w:rPr>
          <w:spacing w:val="-4"/>
        </w:rPr>
        <w:t> </w:t>
      </w:r>
      <w:r>
        <w:rPr>
          <w:spacing w:val="-2"/>
        </w:rPr>
        <w:t>Massachusetts</w:t>
      </w:r>
    </w:p>
    <w:p>
      <w:pPr>
        <w:spacing w:before="2"/>
        <w:ind w:left="4300" w:right="0" w:hanging="1201"/>
        <w:jc w:val="left"/>
        <w:rPr>
          <w:rFonts w:ascii="Arial"/>
          <w:sz w:val="28"/>
        </w:rPr>
      </w:pPr>
      <w:r>
        <w:rPr>
          <w:rFonts w:ascii="Arial"/>
          <w:sz w:val="28"/>
        </w:rPr>
        <w:t>Executive</w:t>
      </w:r>
      <w:r>
        <w:rPr>
          <w:rFonts w:ascii="Arial"/>
          <w:spacing w:val="-10"/>
          <w:sz w:val="28"/>
        </w:rPr>
        <w:t> </w:t>
      </w:r>
      <w:r>
        <w:rPr>
          <w:rFonts w:ascii="Arial"/>
          <w:sz w:val="28"/>
        </w:rPr>
        <w:t>Office</w:t>
      </w:r>
      <w:r>
        <w:rPr>
          <w:rFonts w:ascii="Arial"/>
          <w:spacing w:val="-6"/>
          <w:sz w:val="28"/>
        </w:rPr>
        <w:t> </w:t>
      </w:r>
      <w:r>
        <w:rPr>
          <w:rFonts w:ascii="Arial"/>
          <w:sz w:val="28"/>
        </w:rPr>
        <w:t>of</w:t>
      </w:r>
      <w:r>
        <w:rPr>
          <w:rFonts w:ascii="Arial"/>
          <w:spacing w:val="-7"/>
          <w:sz w:val="28"/>
        </w:rPr>
        <w:t> </w:t>
      </w:r>
      <w:r>
        <w:rPr>
          <w:rFonts w:ascii="Arial"/>
          <w:sz w:val="28"/>
        </w:rPr>
        <w:t>Health</w:t>
      </w:r>
      <w:r>
        <w:rPr>
          <w:rFonts w:ascii="Arial"/>
          <w:spacing w:val="-7"/>
          <w:sz w:val="28"/>
        </w:rPr>
        <w:t> </w:t>
      </w:r>
      <w:r>
        <w:rPr>
          <w:rFonts w:ascii="Arial"/>
          <w:sz w:val="28"/>
        </w:rPr>
        <w:t>and</w:t>
      </w:r>
      <w:r>
        <w:rPr>
          <w:rFonts w:ascii="Arial"/>
          <w:spacing w:val="-10"/>
          <w:sz w:val="28"/>
        </w:rPr>
        <w:t> </w:t>
      </w:r>
      <w:r>
        <w:rPr>
          <w:rFonts w:ascii="Arial"/>
          <w:sz w:val="28"/>
        </w:rPr>
        <w:t>Human</w:t>
      </w:r>
      <w:r>
        <w:rPr>
          <w:rFonts w:ascii="Arial"/>
          <w:spacing w:val="-7"/>
          <w:sz w:val="28"/>
        </w:rPr>
        <w:t> </w:t>
      </w:r>
      <w:r>
        <w:rPr>
          <w:rFonts w:ascii="Arial"/>
          <w:sz w:val="28"/>
        </w:rPr>
        <w:t>Services Department of Public Health</w:t>
      </w:r>
    </w:p>
    <w:p>
      <w:pPr>
        <w:spacing w:line="244" w:lineRule="auto" w:before="0"/>
        <w:ind w:left="3464" w:right="401" w:firstLine="220"/>
        <w:jc w:val="left"/>
        <w:rPr>
          <w:rFonts w:ascii="Arial"/>
          <w:sz w:val="28"/>
        </w:rPr>
      </w:pPr>
      <w:r>
        <w:rPr>
          <w:rFonts w:ascii="Arial"/>
          <w:sz w:val="28"/>
        </w:rPr>
        <w:t>Office of Emergency Medical Services 67</w:t>
      </w:r>
      <w:r>
        <w:rPr>
          <w:rFonts w:ascii="Arial"/>
          <w:spacing w:val="-10"/>
          <w:sz w:val="28"/>
        </w:rPr>
        <w:t> </w:t>
      </w:r>
      <w:r>
        <w:rPr>
          <w:rFonts w:ascii="Arial"/>
          <w:sz w:val="28"/>
        </w:rPr>
        <w:t>Forest</w:t>
      </w:r>
      <w:r>
        <w:rPr>
          <w:rFonts w:ascii="Arial"/>
          <w:spacing w:val="-8"/>
          <w:sz w:val="28"/>
        </w:rPr>
        <w:t> </w:t>
      </w:r>
      <w:r>
        <w:rPr>
          <w:rFonts w:ascii="Arial"/>
          <w:sz w:val="28"/>
        </w:rPr>
        <w:t>Street,</w:t>
      </w:r>
      <w:r>
        <w:rPr>
          <w:rFonts w:ascii="Arial"/>
          <w:spacing w:val="-9"/>
          <w:sz w:val="28"/>
        </w:rPr>
        <w:t> </w:t>
      </w:r>
      <w:r>
        <w:rPr>
          <w:rFonts w:ascii="Arial"/>
          <w:sz w:val="28"/>
        </w:rPr>
        <w:t>Marlborough,</w:t>
      </w:r>
      <w:r>
        <w:rPr>
          <w:rFonts w:ascii="Arial"/>
          <w:spacing w:val="-10"/>
          <w:sz w:val="28"/>
        </w:rPr>
        <w:t> </w:t>
      </w:r>
      <w:r>
        <w:rPr>
          <w:rFonts w:ascii="Arial"/>
          <w:sz w:val="28"/>
        </w:rPr>
        <w:t>MA</w:t>
      </w:r>
      <w:r>
        <w:rPr>
          <w:rFonts w:ascii="Arial"/>
          <w:spacing w:val="-6"/>
          <w:sz w:val="28"/>
        </w:rPr>
        <w:t> </w:t>
      </w:r>
      <w:r>
        <w:rPr>
          <w:rFonts w:ascii="Arial"/>
          <w:sz w:val="28"/>
        </w:rPr>
        <w:t>01752</w:t>
      </w:r>
    </w:p>
    <w:p>
      <w:pPr>
        <w:pStyle w:val="BodyText"/>
        <w:rPr>
          <w:rFonts w:ascii="Arial"/>
          <w:sz w:val="30"/>
        </w:rPr>
      </w:pPr>
    </w:p>
    <w:p>
      <w:pPr>
        <w:pStyle w:val="BodyText"/>
        <w:rPr>
          <w:rFonts w:ascii="Arial"/>
          <w:sz w:val="30"/>
        </w:rPr>
      </w:pPr>
    </w:p>
    <w:p>
      <w:pPr>
        <w:pStyle w:val="BodyText"/>
        <w:rPr>
          <w:rFonts w:ascii="Arial"/>
          <w:sz w:val="30"/>
        </w:rPr>
      </w:pPr>
    </w:p>
    <w:p>
      <w:pPr>
        <w:pStyle w:val="BodyText"/>
        <w:spacing w:before="8"/>
        <w:rPr>
          <w:rFonts w:ascii="Arial"/>
          <w:sz w:val="27"/>
        </w:rPr>
      </w:pPr>
    </w:p>
    <w:p>
      <w:pPr>
        <w:spacing w:before="1"/>
        <w:ind w:left="4953" w:right="0" w:firstLine="0"/>
        <w:jc w:val="left"/>
        <w:rPr>
          <w:b/>
          <w:sz w:val="22"/>
        </w:rPr>
      </w:pPr>
      <w:r>
        <w:rPr/>
        <mc:AlternateContent>
          <mc:Choice Requires="wps">
            <w:drawing>
              <wp:anchor distT="0" distB="0" distL="0" distR="0" allowOverlap="1" layoutInCell="1" locked="0" behindDoc="1" simplePos="0" relativeHeight="487535104">
                <wp:simplePos x="0" y="0"/>
                <wp:positionH relativeFrom="page">
                  <wp:posOffset>515416</wp:posOffset>
                </wp:positionH>
                <wp:positionV relativeFrom="paragraph">
                  <wp:posOffset>-317225</wp:posOffset>
                </wp:positionV>
                <wp:extent cx="889635" cy="15557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889635" cy="155575"/>
                        </a:xfrm>
                        <a:prstGeom prst="rect">
                          <a:avLst/>
                        </a:prstGeom>
                      </wps:spPr>
                      <wps:txbx>
                        <w:txbxContent>
                          <w:p>
                            <w:pPr>
                              <w:pStyle w:val="BodyText"/>
                              <w:spacing w:line="244" w:lineRule="exact"/>
                            </w:pPr>
                            <w:r>
                              <w:rPr/>
                              <w:t>January</w:t>
                            </w:r>
                            <w:r>
                              <w:rPr>
                                <w:spacing w:val="-1"/>
                              </w:rPr>
                              <w:t> </w:t>
                            </w:r>
                            <w:r>
                              <w:rPr/>
                              <w:t>3,</w:t>
                            </w:r>
                            <w:r>
                              <w:rPr>
                                <w:spacing w:val="1"/>
                              </w:rPr>
                              <w:t> </w:t>
                            </w:r>
                            <w:r>
                              <w:rPr>
                                <w:spacing w:val="-4"/>
                              </w:rPr>
                              <w:t>2022</w:t>
                            </w:r>
                          </w:p>
                        </w:txbxContent>
                      </wps:txbx>
                      <wps:bodyPr wrap="square" lIns="0" tIns="0" rIns="0" bIns="0" rtlCol="0">
                        <a:noAutofit/>
                      </wps:bodyPr>
                    </wps:wsp>
                  </a:graphicData>
                </a:graphic>
              </wp:anchor>
            </w:drawing>
          </mc:Choice>
          <mc:Fallback>
            <w:pict>
              <v:shape style="position:absolute;margin-left:40.584pt;margin-top:-24.978378pt;width:70.05pt;height:12.25pt;mso-position-horizontal-relative:page;mso-position-vertical-relative:paragraph;z-index:-15781376" type="#_x0000_t202" id="docshape5" filled="false" stroked="false">
                <v:textbox inset="0,0,0,0">
                  <w:txbxContent>
                    <w:p>
                      <w:pPr>
                        <w:pStyle w:val="BodyText"/>
                        <w:spacing w:line="244" w:lineRule="exact"/>
                      </w:pPr>
                      <w:r>
                        <w:rPr/>
                        <w:t>January</w:t>
                      </w:r>
                      <w:r>
                        <w:rPr>
                          <w:spacing w:val="-1"/>
                        </w:rPr>
                        <w:t> </w:t>
                      </w:r>
                      <w:r>
                        <w:rPr/>
                        <w:t>3,</w:t>
                      </w:r>
                      <w:r>
                        <w:rPr>
                          <w:spacing w:val="1"/>
                        </w:rPr>
                        <w:t> </w:t>
                      </w:r>
                      <w:r>
                        <w:rPr>
                          <w:spacing w:val="-4"/>
                        </w:rPr>
                        <w:t>2022</w:t>
                      </w:r>
                    </w:p>
                  </w:txbxContent>
                </v:textbox>
                <w10:wrap type="none"/>
              </v:shape>
            </w:pict>
          </mc:Fallback>
        </mc:AlternateContent>
      </w:r>
      <w:r>
        <w:rPr>
          <w:b/>
          <w:spacing w:val="-2"/>
          <w:sz w:val="22"/>
          <w:u w:val="single"/>
        </w:rPr>
        <w:t>MEMORANDUM</w:t>
      </w:r>
    </w:p>
    <w:p>
      <w:pPr>
        <w:spacing w:line="240" w:lineRule="auto" w:before="0"/>
        <w:rPr>
          <w:b/>
          <w:sz w:val="18"/>
        </w:rPr>
      </w:pPr>
      <w:r>
        <w:rPr/>
        <w:br w:type="column"/>
      </w:r>
      <w:r>
        <w:rPr>
          <w:b/>
          <w:sz w:val="18"/>
        </w:rPr>
      </w: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pStyle w:val="BodyText"/>
        <w:rPr>
          <w:b/>
          <w:sz w:val="18"/>
        </w:rPr>
      </w:pPr>
    </w:p>
    <w:p>
      <w:pPr>
        <w:spacing w:before="124"/>
        <w:ind w:left="0" w:right="106" w:firstLine="0"/>
        <w:jc w:val="center"/>
        <w:rPr>
          <w:rFonts w:ascii="Arial Rounded MT Bold"/>
          <w:sz w:val="16"/>
        </w:rPr>
      </w:pPr>
      <w:r>
        <w:rPr>
          <w:rFonts w:ascii="Arial Rounded MT Bold"/>
          <w:sz w:val="16"/>
        </w:rPr>
        <w:t>KATHLEEN</w:t>
      </w:r>
      <w:r>
        <w:rPr>
          <w:rFonts w:ascii="Arial Rounded MT Bold"/>
          <w:spacing w:val="-4"/>
          <w:sz w:val="16"/>
        </w:rPr>
        <w:t> </w:t>
      </w:r>
      <w:r>
        <w:rPr>
          <w:rFonts w:ascii="Arial Rounded MT Bold"/>
          <w:sz w:val="16"/>
        </w:rPr>
        <w:t>E.</w:t>
      </w:r>
      <w:r>
        <w:rPr>
          <w:rFonts w:ascii="Arial Rounded MT Bold"/>
          <w:spacing w:val="-6"/>
          <w:sz w:val="16"/>
        </w:rPr>
        <w:t> </w:t>
      </w:r>
      <w:r>
        <w:rPr>
          <w:rFonts w:ascii="Arial Rounded MT Bold"/>
          <w:spacing w:val="-2"/>
          <w:sz w:val="16"/>
        </w:rPr>
        <w:t>WALSH</w:t>
      </w:r>
    </w:p>
    <w:p>
      <w:pPr>
        <w:spacing w:before="2"/>
        <w:ind w:left="0" w:right="106" w:firstLine="0"/>
        <w:jc w:val="center"/>
        <w:rPr>
          <w:rFonts w:ascii="Arial Rounded MT Bold"/>
          <w:sz w:val="14"/>
        </w:rPr>
      </w:pPr>
      <w:r>
        <w:rPr>
          <w:rFonts w:ascii="Arial Rounded MT Bold"/>
          <w:spacing w:val="-2"/>
          <w:sz w:val="14"/>
        </w:rPr>
        <w:t>Secretary</w:t>
      </w:r>
    </w:p>
    <w:p>
      <w:pPr>
        <w:spacing w:line="184" w:lineRule="exact" w:before="121"/>
        <w:ind w:left="0" w:right="106" w:firstLine="0"/>
        <w:jc w:val="center"/>
        <w:rPr>
          <w:rFonts w:ascii="Arial Rounded MT Bold"/>
          <w:sz w:val="16"/>
        </w:rPr>
      </w:pPr>
      <w:r>
        <w:rPr>
          <w:rFonts w:ascii="Arial Rounded MT Bold"/>
          <w:sz w:val="16"/>
        </w:rPr>
        <w:t>ROBERT</w:t>
      </w:r>
      <w:r>
        <w:rPr>
          <w:rFonts w:ascii="Arial Rounded MT Bold"/>
          <w:spacing w:val="-4"/>
          <w:sz w:val="16"/>
        </w:rPr>
        <w:t> </w:t>
      </w:r>
      <w:r>
        <w:rPr>
          <w:rFonts w:ascii="Arial Rounded MT Bold"/>
          <w:sz w:val="16"/>
        </w:rPr>
        <w:t>GOLDSTEIN,</w:t>
      </w:r>
      <w:r>
        <w:rPr>
          <w:rFonts w:ascii="Arial Rounded MT Bold"/>
          <w:spacing w:val="-7"/>
          <w:sz w:val="16"/>
        </w:rPr>
        <w:t> </w:t>
      </w:r>
      <w:r>
        <w:rPr>
          <w:rFonts w:ascii="Arial Rounded MT Bold"/>
          <w:sz w:val="16"/>
        </w:rPr>
        <w:t>MD,</w:t>
      </w:r>
      <w:r>
        <w:rPr>
          <w:rFonts w:ascii="Arial Rounded MT Bold"/>
          <w:spacing w:val="-2"/>
          <w:sz w:val="16"/>
        </w:rPr>
        <w:t> </w:t>
      </w:r>
      <w:r>
        <w:rPr>
          <w:rFonts w:ascii="Arial Rounded MT Bold"/>
          <w:spacing w:val="-5"/>
          <w:sz w:val="16"/>
        </w:rPr>
        <w:t>PhD</w:t>
      </w:r>
    </w:p>
    <w:p>
      <w:pPr>
        <w:spacing w:line="160" w:lineRule="exact" w:before="0"/>
        <w:ind w:left="0" w:right="107" w:firstLine="0"/>
        <w:jc w:val="center"/>
        <w:rPr>
          <w:rFonts w:ascii="Arial Rounded MT Bold"/>
          <w:sz w:val="14"/>
        </w:rPr>
      </w:pPr>
      <w:r>
        <w:rPr>
          <w:rFonts w:ascii="Arial Rounded MT Bold"/>
          <w:spacing w:val="-2"/>
          <w:sz w:val="14"/>
        </w:rPr>
        <w:t>Commissioner</w:t>
      </w:r>
    </w:p>
    <w:p>
      <w:pPr>
        <w:pStyle w:val="BodyText"/>
        <w:spacing w:before="4"/>
        <w:rPr>
          <w:rFonts w:ascii="Arial Rounded MT Bold"/>
          <w:sz w:val="14"/>
        </w:rPr>
      </w:pPr>
    </w:p>
    <w:p>
      <w:pPr>
        <w:spacing w:line="160" w:lineRule="exact" w:before="0"/>
        <w:ind w:left="625" w:right="734" w:firstLine="0"/>
        <w:jc w:val="center"/>
        <w:rPr>
          <w:rFonts w:ascii="Arial"/>
          <w:b/>
          <w:sz w:val="14"/>
        </w:rPr>
      </w:pPr>
      <w:r>
        <w:rPr>
          <w:rFonts w:ascii="Arial"/>
          <w:b/>
          <w:spacing w:val="-2"/>
          <w:sz w:val="14"/>
        </w:rPr>
        <w:t>Tel:</w:t>
      </w:r>
      <w:r>
        <w:rPr>
          <w:rFonts w:ascii="Arial"/>
          <w:b/>
          <w:spacing w:val="12"/>
          <w:sz w:val="14"/>
        </w:rPr>
        <w:t> </w:t>
      </w:r>
      <w:r>
        <w:rPr>
          <w:rFonts w:ascii="Arial"/>
          <w:b/>
          <w:spacing w:val="-2"/>
          <w:sz w:val="14"/>
        </w:rPr>
        <w:t>617-624-</w:t>
      </w:r>
      <w:r>
        <w:rPr>
          <w:rFonts w:ascii="Arial"/>
          <w:b/>
          <w:spacing w:val="-4"/>
          <w:sz w:val="14"/>
        </w:rPr>
        <w:t>6000</w:t>
      </w:r>
    </w:p>
    <w:p>
      <w:pPr>
        <w:spacing w:line="160" w:lineRule="exact" w:before="0"/>
        <w:ind w:left="0" w:right="103" w:firstLine="0"/>
        <w:jc w:val="center"/>
        <w:rPr>
          <w:rFonts w:ascii="Arial"/>
          <w:b/>
          <w:sz w:val="14"/>
        </w:rPr>
      </w:pPr>
      <w:hyperlink r:id="rId6">
        <w:r>
          <w:rPr>
            <w:rFonts w:ascii="Arial"/>
            <w:b/>
            <w:spacing w:val="-2"/>
            <w:sz w:val="14"/>
          </w:rPr>
          <w:t>www.mass.gov/dph</w:t>
        </w:r>
      </w:hyperlink>
    </w:p>
    <w:p>
      <w:pPr>
        <w:spacing w:after="0" w:line="160" w:lineRule="exact"/>
        <w:jc w:val="center"/>
        <w:rPr>
          <w:rFonts w:ascii="Arial"/>
          <w:sz w:val="14"/>
        </w:rPr>
        <w:sectPr>
          <w:type w:val="continuous"/>
          <w:pgSz w:w="12240" w:h="15840"/>
          <w:pgMar w:top="560" w:bottom="280" w:left="300" w:right="260"/>
          <w:cols w:num="2" w:equalWidth="0">
            <w:col w:w="9108" w:space="40"/>
            <w:col w:w="2532"/>
          </w:cols>
        </w:sectPr>
      </w:pPr>
    </w:p>
    <w:p>
      <w:pPr>
        <w:pStyle w:val="BodyText"/>
        <w:spacing w:before="10"/>
        <w:rPr>
          <w:rFonts w:ascii="Arial"/>
          <w:b/>
          <w:sz w:val="13"/>
        </w:rPr>
      </w:pPr>
    </w:p>
    <w:p>
      <w:pPr>
        <w:pStyle w:val="Heading1"/>
        <w:tabs>
          <w:tab w:pos="2580" w:val="left" w:leader="none"/>
        </w:tabs>
        <w:spacing w:before="91"/>
        <w:ind w:right="5557"/>
      </w:pPr>
      <w:r>
        <w:rPr>
          <w:spacing w:val="-4"/>
        </w:rPr>
        <w:t>TO:</w:t>
      </w:r>
      <w:r>
        <w:rPr/>
        <w:tab/>
        <w:t>All</w:t>
      </w:r>
      <w:r>
        <w:rPr>
          <w:spacing w:val="-7"/>
        </w:rPr>
        <w:t> </w:t>
      </w:r>
      <w:r>
        <w:rPr/>
        <w:t>MA</w:t>
      </w:r>
      <w:r>
        <w:rPr>
          <w:spacing w:val="-13"/>
        </w:rPr>
        <w:t> </w:t>
      </w:r>
      <w:r>
        <w:rPr/>
        <w:t>Licensed</w:t>
      </w:r>
      <w:r>
        <w:rPr>
          <w:spacing w:val="-10"/>
        </w:rPr>
        <w:t> </w:t>
      </w:r>
      <w:r>
        <w:rPr/>
        <w:t>Ambulance</w:t>
      </w:r>
      <w:r>
        <w:rPr>
          <w:spacing w:val="-14"/>
        </w:rPr>
        <w:t> </w:t>
      </w:r>
      <w:r>
        <w:rPr/>
        <w:t>Services </w:t>
      </w:r>
      <w:r>
        <w:rPr>
          <w:spacing w:val="-2"/>
        </w:rPr>
        <w:t>FROM:</w:t>
      </w:r>
      <w:r>
        <w:rPr/>
        <w:tab/>
        <w:t>Susan Lewis, NRP, Director</w:t>
      </w:r>
    </w:p>
    <w:p>
      <w:pPr>
        <w:tabs>
          <w:tab w:pos="2580" w:val="left" w:leader="none"/>
        </w:tabs>
        <w:spacing w:before="0"/>
        <w:ind w:left="1140" w:right="4285" w:firstLine="0"/>
        <w:jc w:val="left"/>
        <w:rPr>
          <w:b/>
          <w:sz w:val="22"/>
        </w:rPr>
      </w:pPr>
      <w:r>
        <w:rPr>
          <w:b/>
          <w:spacing w:val="-4"/>
          <w:sz w:val="22"/>
        </w:rPr>
        <w:t>RE:</w:t>
      </w:r>
      <w:r>
        <w:rPr>
          <w:b/>
          <w:sz w:val="22"/>
        </w:rPr>
        <w:tab/>
        <w:t>Pre-EMS</w:t>
      </w:r>
      <w:r>
        <w:rPr>
          <w:b/>
          <w:spacing w:val="-9"/>
          <w:sz w:val="22"/>
        </w:rPr>
        <w:t> </w:t>
      </w:r>
      <w:r>
        <w:rPr>
          <w:b/>
          <w:sz w:val="22"/>
        </w:rPr>
        <w:t>Naloxone</w:t>
      </w:r>
      <w:r>
        <w:rPr>
          <w:b/>
          <w:spacing w:val="-14"/>
          <w:sz w:val="22"/>
        </w:rPr>
        <w:t> </w:t>
      </w:r>
      <w:r>
        <w:rPr>
          <w:b/>
          <w:sz w:val="22"/>
        </w:rPr>
        <w:t>Administration</w:t>
      </w:r>
      <w:r>
        <w:rPr>
          <w:b/>
          <w:spacing w:val="-12"/>
          <w:sz w:val="22"/>
        </w:rPr>
        <w:t> </w:t>
      </w:r>
      <w:r>
        <w:rPr>
          <w:b/>
          <w:sz w:val="22"/>
        </w:rPr>
        <w:t>Documentation </w:t>
      </w:r>
      <w:r>
        <w:rPr>
          <w:b/>
          <w:spacing w:val="-2"/>
          <w:sz w:val="22"/>
        </w:rPr>
        <w:t>DATE:</w:t>
      </w:r>
      <w:r>
        <w:rPr>
          <w:b/>
          <w:sz w:val="22"/>
        </w:rPr>
        <w:tab/>
        <w:t>May 15, 2023</w:t>
      </w:r>
    </w:p>
    <w:p>
      <w:pPr>
        <w:pStyle w:val="BodyText"/>
        <w:spacing w:before="5"/>
        <w:rPr>
          <w:b/>
          <w:sz w:val="19"/>
        </w:rPr>
      </w:pPr>
      <w:r>
        <w:rPr/>
        <mc:AlternateContent>
          <mc:Choice Requires="wps">
            <w:drawing>
              <wp:anchor distT="0" distB="0" distL="0" distR="0" allowOverlap="1" layoutInCell="1" locked="0" behindDoc="1" simplePos="0" relativeHeight="487587840">
                <wp:simplePos x="0" y="0"/>
                <wp:positionH relativeFrom="page">
                  <wp:posOffset>914704</wp:posOffset>
                </wp:positionH>
                <wp:positionV relativeFrom="paragraph">
                  <wp:posOffset>157150</wp:posOffset>
                </wp:positionV>
                <wp:extent cx="5937250"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5937250" cy="1270"/>
                        </a:xfrm>
                        <a:custGeom>
                          <a:avLst/>
                          <a:gdLst/>
                          <a:ahLst/>
                          <a:cxnLst/>
                          <a:rect l="l" t="t" r="r" b="b"/>
                          <a:pathLst>
                            <a:path w="5937250" h="0">
                              <a:moveTo>
                                <a:pt x="0" y="0"/>
                              </a:moveTo>
                              <a:lnTo>
                                <a:pt x="5937248"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4002pt;margin-top:12.374072pt;width:467.5pt;height:.1pt;mso-position-horizontal-relative:page;mso-position-vertical-relative:paragraph;z-index:-15728640;mso-wrap-distance-left:0;mso-wrap-distance-right:0" id="docshape6" coordorigin="1440,247" coordsize="9350,0" path="m1440,247l10790,247e" filled="false" stroked="true" strokeweight=".69552pt" strokecolor="#000000">
                <v:path arrowok="t"/>
                <v:stroke dashstyle="solid"/>
                <w10:wrap type="topAndBottom"/>
              </v:shape>
            </w:pict>
          </mc:Fallback>
        </mc:AlternateContent>
      </w:r>
    </w:p>
    <w:p>
      <w:pPr>
        <w:pStyle w:val="BodyText"/>
        <w:ind w:left="1140" w:right="1182"/>
      </w:pPr>
      <w:r>
        <w:rPr/>
        <w:t>In 2021, Massachusetts recorded a record number of deaths due to </w:t>
      </w:r>
      <w:hyperlink r:id="rId7">
        <w:r>
          <w:rPr>
            <w:color w:val="0462C1"/>
            <w:u w:val="single" w:color="0462C1"/>
          </w:rPr>
          <w:t>opioid overdose.</w:t>
        </w:r>
      </w:hyperlink>
      <w:r>
        <w:rPr>
          <w:color w:val="0462C1"/>
        </w:rPr>
        <w:t> </w:t>
      </w:r>
      <w:r>
        <w:rPr/>
        <w:t>This is, of course, a national problem, and partly in response, </w:t>
      </w:r>
      <w:hyperlink r:id="rId8">
        <w:r>
          <w:rPr>
            <w:color w:val="0462C1"/>
            <w:u w:val="single" w:color="0462C1"/>
          </w:rPr>
          <w:t>the</w:t>
        </w:r>
        <w:r>
          <w:rPr>
            <w:color w:val="0462C1"/>
            <w:spacing w:val="-1"/>
            <w:u w:val="single" w:color="0462C1"/>
          </w:rPr>
          <w:t> </w:t>
        </w:r>
        <w:r>
          <w:rPr>
            <w:color w:val="0462C1"/>
            <w:u w:val="single" w:color="0462C1"/>
          </w:rPr>
          <w:t>FDA recently approved 4 mg intranasal naloxone to be sold</w:t>
        </w:r>
      </w:hyperlink>
      <w:r>
        <w:rPr>
          <w:color w:val="0462C1"/>
        </w:rPr>
        <w:t> </w:t>
      </w:r>
      <w:hyperlink r:id="rId8">
        <w:r>
          <w:rPr>
            <w:color w:val="0462C1"/>
            <w:u w:val="single" w:color="0462C1"/>
          </w:rPr>
          <w:t>over</w:t>
        </w:r>
        <w:r>
          <w:rPr>
            <w:color w:val="0462C1"/>
            <w:spacing w:val="-3"/>
            <w:u w:val="single" w:color="0462C1"/>
          </w:rPr>
          <w:t> </w:t>
        </w:r>
        <w:r>
          <w:rPr>
            <w:color w:val="0462C1"/>
            <w:u w:val="single" w:color="0462C1"/>
          </w:rPr>
          <w:t>the</w:t>
        </w:r>
        <w:r>
          <w:rPr>
            <w:color w:val="0462C1"/>
            <w:spacing w:val="-3"/>
            <w:u w:val="single" w:color="0462C1"/>
          </w:rPr>
          <w:t> </w:t>
        </w:r>
        <w:r>
          <w:rPr>
            <w:color w:val="0462C1"/>
            <w:u w:val="single" w:color="0462C1"/>
          </w:rPr>
          <w:t>counter</w:t>
        </w:r>
      </w:hyperlink>
      <w:r>
        <w:rPr>
          <w:color w:val="0462C1"/>
          <w:spacing w:val="-1"/>
          <w:u w:val="single" w:color="0462C1"/>
        </w:rPr>
        <w:t> </w:t>
      </w:r>
      <w:r>
        <w:rPr>
          <w:color w:val="0462C1"/>
          <w:u w:val="single" w:color="0462C1"/>
        </w:rPr>
        <w:t>without a</w:t>
      </w:r>
      <w:r>
        <w:rPr>
          <w:color w:val="0462C1"/>
          <w:spacing w:val="-8"/>
          <w:u w:val="single" w:color="0462C1"/>
        </w:rPr>
        <w:t> </w:t>
      </w:r>
      <w:r>
        <w:rPr>
          <w:color w:val="0462C1"/>
          <w:u w:val="single" w:color="0462C1"/>
        </w:rPr>
        <w:t>prescription</w:t>
      </w:r>
      <w:r>
        <w:rPr/>
        <w:t>.</w:t>
      </w:r>
      <w:r>
        <w:rPr>
          <w:spacing w:val="-4"/>
        </w:rPr>
        <w:t> </w:t>
      </w:r>
      <w:r>
        <w:rPr/>
        <w:t>The</w:t>
      </w:r>
      <w:r>
        <w:rPr>
          <w:spacing w:val="-4"/>
        </w:rPr>
        <w:t> </w:t>
      </w:r>
      <w:r>
        <w:rPr/>
        <w:t>Massachusetts</w:t>
      </w:r>
      <w:r>
        <w:rPr>
          <w:spacing w:val="-1"/>
        </w:rPr>
        <w:t> </w:t>
      </w:r>
      <w:r>
        <w:rPr/>
        <w:t>Department of</w:t>
      </w:r>
      <w:r>
        <w:rPr>
          <w:spacing w:val="-7"/>
        </w:rPr>
        <w:t> </w:t>
      </w:r>
      <w:r>
        <w:rPr/>
        <w:t>Public</w:t>
      </w:r>
      <w:r>
        <w:rPr>
          <w:spacing w:val="-3"/>
        </w:rPr>
        <w:t> </w:t>
      </w:r>
      <w:r>
        <w:rPr/>
        <w:t>Health</w:t>
      </w:r>
      <w:r>
        <w:rPr>
          <w:spacing w:val="-1"/>
        </w:rPr>
        <w:t> </w:t>
      </w:r>
      <w:r>
        <w:rPr/>
        <w:t>(DPH)</w:t>
      </w:r>
      <w:r>
        <w:rPr>
          <w:spacing w:val="-7"/>
        </w:rPr>
        <w:t> </w:t>
      </w:r>
      <w:r>
        <w:rPr/>
        <w:t>welcomes this action as it expands bystander access to naloxone. The increased availability of over-the-counter naloxone will likely increase bystander-administered naloxone. It is important that ambulance services and their EMS personnel be aware of these changes; we are taking this opportunity to remind you that often it is ONLY EMS medical documentation that records bystander administration, and it is vital that EMS personnel record such data as accurately as possible for medical care and public health.</w:t>
      </w:r>
    </w:p>
    <w:p>
      <w:pPr>
        <w:pStyle w:val="BodyText"/>
      </w:pPr>
    </w:p>
    <w:p>
      <w:pPr>
        <w:spacing w:line="240" w:lineRule="auto" w:before="0"/>
        <w:ind w:left="1140" w:right="1230" w:firstLine="0"/>
        <w:jc w:val="left"/>
        <w:rPr>
          <w:sz w:val="22"/>
        </w:rPr>
      </w:pPr>
      <w:r>
        <w:rPr>
          <w:sz w:val="22"/>
        </w:rPr>
        <w:t>The</w:t>
      </w:r>
      <w:r>
        <w:rPr>
          <w:spacing w:val="-3"/>
          <w:sz w:val="22"/>
        </w:rPr>
        <w:t> </w:t>
      </w:r>
      <w:r>
        <w:rPr>
          <w:sz w:val="22"/>
        </w:rPr>
        <w:t>DPH</w:t>
      </w:r>
      <w:r>
        <w:rPr>
          <w:spacing w:val="-6"/>
          <w:sz w:val="22"/>
        </w:rPr>
        <w:t> </w:t>
      </w:r>
      <w:r>
        <w:rPr>
          <w:sz w:val="22"/>
        </w:rPr>
        <w:t>Bureau of</w:t>
      </w:r>
      <w:r>
        <w:rPr>
          <w:spacing w:val="-2"/>
          <w:sz w:val="22"/>
        </w:rPr>
        <w:t> </w:t>
      </w:r>
      <w:r>
        <w:rPr>
          <w:sz w:val="22"/>
        </w:rPr>
        <w:t>Healthcare</w:t>
      </w:r>
      <w:r>
        <w:rPr>
          <w:spacing w:val="-2"/>
          <w:sz w:val="22"/>
        </w:rPr>
        <w:t> </w:t>
      </w:r>
      <w:r>
        <w:rPr>
          <w:sz w:val="22"/>
        </w:rPr>
        <w:t>Safety &amp; Quality reviewed patient care</w:t>
      </w:r>
      <w:r>
        <w:rPr>
          <w:spacing w:val="-2"/>
          <w:sz w:val="22"/>
        </w:rPr>
        <w:t> </w:t>
      </w:r>
      <w:r>
        <w:rPr>
          <w:sz w:val="22"/>
        </w:rPr>
        <w:t>report (PCR)</w:t>
      </w:r>
      <w:r>
        <w:rPr>
          <w:spacing w:val="-2"/>
          <w:sz w:val="22"/>
        </w:rPr>
        <w:t> </w:t>
      </w:r>
      <w:r>
        <w:rPr>
          <w:sz w:val="22"/>
        </w:rPr>
        <w:t>narratives reported in the Massachusetts Ambulance Trip Record Information System (MATRIS) in 2022. Approximately </w:t>
      </w:r>
      <w:r>
        <w:rPr>
          <w:b/>
          <w:sz w:val="22"/>
        </w:rPr>
        <w:t>43%</w:t>
      </w:r>
      <w:r>
        <w:rPr>
          <w:b/>
          <w:spacing w:val="-1"/>
          <w:sz w:val="22"/>
        </w:rPr>
        <w:t> </w:t>
      </w:r>
      <w:r>
        <w:rPr>
          <w:b/>
          <w:sz w:val="22"/>
        </w:rPr>
        <w:t>of</w:t>
      </w:r>
      <w:r>
        <w:rPr>
          <w:b/>
          <w:spacing w:val="-7"/>
          <w:sz w:val="22"/>
        </w:rPr>
        <w:t> </w:t>
      </w:r>
      <w:r>
        <w:rPr>
          <w:b/>
          <w:sz w:val="22"/>
        </w:rPr>
        <w:t>patients</w:t>
      </w:r>
      <w:r>
        <w:rPr>
          <w:b/>
          <w:spacing w:val="-5"/>
          <w:sz w:val="22"/>
        </w:rPr>
        <w:t> </w:t>
      </w:r>
      <w:r>
        <w:rPr>
          <w:b/>
          <w:sz w:val="22"/>
        </w:rPr>
        <w:t>identified as</w:t>
      </w:r>
      <w:r>
        <w:rPr>
          <w:b/>
          <w:spacing w:val="-5"/>
          <w:sz w:val="22"/>
        </w:rPr>
        <w:t> </w:t>
      </w:r>
      <w:r>
        <w:rPr>
          <w:b/>
          <w:sz w:val="22"/>
        </w:rPr>
        <w:t>having</w:t>
      </w:r>
      <w:r>
        <w:rPr>
          <w:b/>
          <w:spacing w:val="-1"/>
          <w:sz w:val="22"/>
        </w:rPr>
        <w:t> </w:t>
      </w:r>
      <w:r>
        <w:rPr>
          <w:b/>
          <w:sz w:val="22"/>
        </w:rPr>
        <w:t>received prehospital</w:t>
      </w:r>
      <w:r>
        <w:rPr>
          <w:b/>
          <w:spacing w:val="-5"/>
          <w:sz w:val="22"/>
        </w:rPr>
        <w:t> </w:t>
      </w:r>
      <w:r>
        <w:rPr>
          <w:b/>
          <w:sz w:val="22"/>
        </w:rPr>
        <w:t>naloxone</w:t>
      </w:r>
      <w:r>
        <w:rPr>
          <w:b/>
          <w:spacing w:val="-8"/>
          <w:sz w:val="22"/>
        </w:rPr>
        <w:t> </w:t>
      </w:r>
      <w:r>
        <w:rPr>
          <w:b/>
          <w:sz w:val="22"/>
        </w:rPr>
        <w:t>did</w:t>
      </w:r>
      <w:r>
        <w:rPr>
          <w:b/>
          <w:spacing w:val="-4"/>
          <w:sz w:val="22"/>
        </w:rPr>
        <w:t> </w:t>
      </w:r>
      <w:r>
        <w:rPr>
          <w:b/>
          <w:sz w:val="22"/>
        </w:rPr>
        <w:t>not</w:t>
      </w:r>
      <w:r>
        <w:rPr>
          <w:b/>
          <w:spacing w:val="-7"/>
          <w:sz w:val="22"/>
        </w:rPr>
        <w:t> </w:t>
      </w:r>
      <w:r>
        <w:rPr>
          <w:b/>
          <w:sz w:val="22"/>
        </w:rPr>
        <w:t>have</w:t>
      </w:r>
      <w:r>
        <w:rPr>
          <w:b/>
          <w:spacing w:val="-3"/>
          <w:sz w:val="22"/>
        </w:rPr>
        <w:t> </w:t>
      </w:r>
      <w:r>
        <w:rPr>
          <w:b/>
          <w:sz w:val="22"/>
        </w:rPr>
        <w:t>naloxone</w:t>
      </w:r>
      <w:r>
        <w:rPr>
          <w:b/>
          <w:spacing w:val="-3"/>
          <w:sz w:val="22"/>
        </w:rPr>
        <w:t> </w:t>
      </w:r>
      <w:r>
        <w:rPr>
          <w:b/>
          <w:sz w:val="22"/>
        </w:rPr>
        <w:t>reported in any</w:t>
      </w:r>
      <w:r>
        <w:rPr>
          <w:b/>
          <w:spacing w:val="-5"/>
          <w:sz w:val="22"/>
        </w:rPr>
        <w:t> </w:t>
      </w:r>
      <w:r>
        <w:rPr>
          <w:b/>
          <w:sz w:val="22"/>
        </w:rPr>
        <w:t>of</w:t>
      </w:r>
      <w:r>
        <w:rPr>
          <w:b/>
          <w:spacing w:val="-2"/>
          <w:sz w:val="22"/>
        </w:rPr>
        <w:t> </w:t>
      </w:r>
      <w:r>
        <w:rPr>
          <w:b/>
          <w:sz w:val="22"/>
        </w:rPr>
        <w:t>the</w:t>
      </w:r>
      <w:r>
        <w:rPr>
          <w:b/>
          <w:spacing w:val="-2"/>
          <w:sz w:val="22"/>
        </w:rPr>
        <w:t> </w:t>
      </w:r>
      <w:r>
        <w:rPr>
          <w:b/>
          <w:sz w:val="22"/>
        </w:rPr>
        <w:t>‘medication given’</w:t>
      </w:r>
      <w:r>
        <w:rPr>
          <w:b/>
          <w:spacing w:val="-2"/>
          <w:sz w:val="22"/>
        </w:rPr>
        <w:t> </w:t>
      </w:r>
      <w:r>
        <w:rPr>
          <w:b/>
          <w:sz w:val="22"/>
        </w:rPr>
        <w:t>fields</w:t>
      </w:r>
      <w:r>
        <w:rPr>
          <w:sz w:val="22"/>
        </w:rPr>
        <w:t>.</w:t>
      </w:r>
      <w:r>
        <w:rPr>
          <w:spacing w:val="-3"/>
          <w:sz w:val="22"/>
        </w:rPr>
        <w:t> </w:t>
      </w:r>
      <w:r>
        <w:rPr>
          <w:sz w:val="22"/>
        </w:rPr>
        <w:t>Many</w:t>
      </w:r>
      <w:r>
        <w:rPr>
          <w:spacing w:val="-5"/>
          <w:sz w:val="22"/>
        </w:rPr>
        <w:t> </w:t>
      </w:r>
      <w:r>
        <w:rPr>
          <w:sz w:val="22"/>
        </w:rPr>
        <w:t>of</w:t>
      </w:r>
      <w:r>
        <w:rPr>
          <w:spacing w:val="-2"/>
          <w:sz w:val="22"/>
        </w:rPr>
        <w:t> </w:t>
      </w:r>
      <w:r>
        <w:rPr>
          <w:sz w:val="22"/>
        </w:rPr>
        <w:t>these</w:t>
      </w:r>
      <w:r>
        <w:rPr>
          <w:spacing w:val="-6"/>
          <w:sz w:val="22"/>
        </w:rPr>
        <w:t> </w:t>
      </w:r>
      <w:r>
        <w:rPr>
          <w:sz w:val="22"/>
        </w:rPr>
        <w:t>records had documentation</w:t>
      </w:r>
      <w:r>
        <w:rPr>
          <w:spacing w:val="-5"/>
          <w:sz w:val="22"/>
        </w:rPr>
        <w:t> </w:t>
      </w:r>
      <w:r>
        <w:rPr>
          <w:sz w:val="22"/>
        </w:rPr>
        <w:t>supporting naloxone administered before EMS arrival.</w:t>
      </w:r>
    </w:p>
    <w:p>
      <w:pPr>
        <w:pStyle w:val="BodyText"/>
        <w:spacing w:before="11"/>
        <w:rPr>
          <w:sz w:val="21"/>
        </w:rPr>
      </w:pPr>
    </w:p>
    <w:p>
      <w:pPr>
        <w:pStyle w:val="BodyText"/>
        <w:ind w:left="1140" w:right="1230"/>
      </w:pPr>
      <w:r>
        <w:rPr/>
        <w:t>The field</w:t>
      </w:r>
      <w:r>
        <w:rPr>
          <w:spacing w:val="40"/>
        </w:rPr>
        <w:t> </w:t>
      </w:r>
      <w:r>
        <w:rPr/>
        <w:t>“Medication Administered Prior to this Unit’s EMS Care” (eMedications.02) is a nationally required element in accordance with </w:t>
      </w:r>
      <w:hyperlink r:id="rId9">
        <w:r>
          <w:rPr>
            <w:color w:val="0462C1"/>
            <w:u w:val="single" w:color="0462C1"/>
          </w:rPr>
          <w:t>AR 5-403 Statewide EMS Minimum Dataset</w:t>
        </w:r>
      </w:hyperlink>
      <w:r>
        <w:rPr/>
        <w:t>, under </w:t>
      </w:r>
      <w:hyperlink r:id="rId10">
        <w:r>
          <w:rPr>
            <w:color w:val="0462C1"/>
            <w:u w:val="single" w:color="0462C1"/>
          </w:rPr>
          <w:t>105 CMR</w:t>
        </w:r>
      </w:hyperlink>
      <w:r>
        <w:rPr>
          <w:color w:val="0462C1"/>
        </w:rPr>
        <w:t> </w:t>
      </w:r>
      <w:hyperlink r:id="rId10">
        <w:r>
          <w:rPr>
            <w:color w:val="0462C1"/>
            <w:u w:val="single" w:color="0462C1"/>
          </w:rPr>
          <w:t>170.345</w:t>
        </w:r>
      </w:hyperlink>
      <w:r>
        <w:rPr/>
        <w:t>(B). This</w:t>
      </w:r>
      <w:r>
        <w:rPr>
          <w:spacing w:val="-2"/>
        </w:rPr>
        <w:t> </w:t>
      </w:r>
      <w:r>
        <w:rPr/>
        <w:t>is</w:t>
      </w:r>
      <w:r>
        <w:rPr>
          <w:spacing w:val="-2"/>
        </w:rPr>
        <w:t> </w:t>
      </w:r>
      <w:r>
        <w:rPr/>
        <w:t>typically</w:t>
      </w:r>
      <w:r>
        <w:rPr>
          <w:spacing w:val="-2"/>
        </w:rPr>
        <w:t> </w:t>
      </w:r>
      <w:r>
        <w:rPr/>
        <w:t>reported</w:t>
      </w:r>
      <w:r>
        <w:rPr>
          <w:spacing w:val="-2"/>
        </w:rPr>
        <w:t> </w:t>
      </w:r>
      <w:r>
        <w:rPr/>
        <w:t>within</w:t>
      </w:r>
      <w:r>
        <w:rPr>
          <w:spacing w:val="-6"/>
        </w:rPr>
        <w:t> </w:t>
      </w:r>
      <w:r>
        <w:rPr/>
        <w:t>the</w:t>
      </w:r>
      <w:r>
        <w:rPr>
          <w:spacing w:val="-4"/>
        </w:rPr>
        <w:t> </w:t>
      </w:r>
      <w:r>
        <w:rPr/>
        <w:t>ePCR</w:t>
      </w:r>
      <w:r>
        <w:rPr>
          <w:spacing w:val="-9"/>
        </w:rPr>
        <w:t> </w:t>
      </w:r>
      <w:r>
        <w:rPr/>
        <w:t>“flow</w:t>
      </w:r>
      <w:r>
        <w:rPr>
          <w:spacing w:val="-3"/>
        </w:rPr>
        <w:t> </w:t>
      </w:r>
      <w:r>
        <w:rPr/>
        <w:t>chart,”</w:t>
      </w:r>
      <w:r>
        <w:rPr>
          <w:spacing w:val="-4"/>
        </w:rPr>
        <w:t> </w:t>
      </w:r>
      <w:r>
        <w:rPr/>
        <w:t>which allows</w:t>
      </w:r>
      <w:r>
        <w:rPr>
          <w:spacing w:val="-5"/>
        </w:rPr>
        <w:t> </w:t>
      </w:r>
      <w:r>
        <w:rPr/>
        <w:t>for</w:t>
      </w:r>
      <w:r>
        <w:rPr>
          <w:spacing w:val="-4"/>
        </w:rPr>
        <w:t> </w:t>
      </w:r>
      <w:r>
        <w:rPr/>
        <w:t>documentation</w:t>
      </w:r>
      <w:r>
        <w:rPr>
          <w:spacing w:val="-2"/>
        </w:rPr>
        <w:t> </w:t>
      </w:r>
      <w:r>
        <w:rPr/>
        <w:t>of events, interventions and medications that were performed prior to EMS arrival by laypeople, law enforcement, and other first responders. EMS personnel are expected to report </w:t>
      </w:r>
      <w:r>
        <w:rPr>
          <w:u w:val="single"/>
        </w:rPr>
        <w:t>all</w:t>
      </w:r>
      <w:r>
        <w:rPr/>
        <w:t> medications administered before EMS arrival in the medication fields, including naloxone when administered for a suspected opioid overdose.</w:t>
      </w:r>
    </w:p>
    <w:p>
      <w:pPr>
        <w:pStyle w:val="BodyText"/>
        <w:spacing w:before="4"/>
      </w:pPr>
    </w:p>
    <w:p>
      <w:pPr>
        <w:pStyle w:val="BodyText"/>
        <w:spacing w:line="237" w:lineRule="auto" w:before="1"/>
        <w:ind w:left="1140" w:right="1230"/>
      </w:pPr>
      <w:r>
        <w:rPr/>
        <w:t>Please</w:t>
      </w:r>
      <w:r>
        <w:rPr>
          <w:spacing w:val="-3"/>
        </w:rPr>
        <w:t> </w:t>
      </w:r>
      <w:r>
        <w:rPr/>
        <w:t>contact your</w:t>
      </w:r>
      <w:r>
        <w:rPr>
          <w:spacing w:val="-3"/>
        </w:rPr>
        <w:t> </w:t>
      </w:r>
      <w:r>
        <w:rPr/>
        <w:t>software</w:t>
      </w:r>
      <w:r>
        <w:rPr>
          <w:spacing w:val="-3"/>
        </w:rPr>
        <w:t> </w:t>
      </w:r>
      <w:r>
        <w:rPr/>
        <w:t>vendor</w:t>
      </w:r>
      <w:r>
        <w:rPr>
          <w:spacing w:val="-3"/>
        </w:rPr>
        <w:t> </w:t>
      </w:r>
      <w:r>
        <w:rPr/>
        <w:t>for</w:t>
      </w:r>
      <w:r>
        <w:rPr>
          <w:spacing w:val="-3"/>
        </w:rPr>
        <w:t> </w:t>
      </w:r>
      <w:r>
        <w:rPr/>
        <w:t>guidance</w:t>
      </w:r>
      <w:r>
        <w:rPr>
          <w:spacing w:val="-3"/>
        </w:rPr>
        <w:t> </w:t>
      </w:r>
      <w:r>
        <w:rPr/>
        <w:t>if</w:t>
      </w:r>
      <w:r>
        <w:rPr>
          <w:spacing w:val="-3"/>
        </w:rPr>
        <w:t> </w:t>
      </w:r>
      <w:r>
        <w:rPr/>
        <w:t>there</w:t>
      </w:r>
      <w:r>
        <w:rPr>
          <w:spacing w:val="-3"/>
        </w:rPr>
        <w:t> </w:t>
      </w:r>
      <w:r>
        <w:rPr/>
        <w:t>are</w:t>
      </w:r>
      <w:r>
        <w:rPr>
          <w:spacing w:val="-3"/>
        </w:rPr>
        <w:t> </w:t>
      </w:r>
      <w:r>
        <w:rPr/>
        <w:t>questions</w:t>
      </w:r>
      <w:r>
        <w:rPr>
          <w:spacing w:val="-1"/>
        </w:rPr>
        <w:t> </w:t>
      </w:r>
      <w:r>
        <w:rPr/>
        <w:t>about</w:t>
      </w:r>
      <w:r>
        <w:rPr>
          <w:spacing w:val="-5"/>
        </w:rPr>
        <w:t> </w:t>
      </w:r>
      <w:r>
        <w:rPr/>
        <w:t>how</w:t>
      </w:r>
      <w:r>
        <w:rPr>
          <w:spacing w:val="-7"/>
        </w:rPr>
        <w:t> </w:t>
      </w:r>
      <w:r>
        <w:rPr/>
        <w:t>to</w:t>
      </w:r>
      <w:r>
        <w:rPr>
          <w:spacing w:val="-1"/>
        </w:rPr>
        <w:t> </w:t>
      </w:r>
      <w:r>
        <w:rPr/>
        <w:t>enter</w:t>
      </w:r>
      <w:r>
        <w:rPr>
          <w:spacing w:val="-3"/>
        </w:rPr>
        <w:t> </w:t>
      </w:r>
      <w:r>
        <w:rPr/>
        <w:t>these</w:t>
      </w:r>
      <w:r>
        <w:rPr>
          <w:spacing w:val="-3"/>
        </w:rPr>
        <w:t> </w:t>
      </w:r>
      <w:r>
        <w:rPr/>
        <w:t>in</w:t>
      </w:r>
      <w:r>
        <w:rPr>
          <w:spacing w:val="-6"/>
        </w:rPr>
        <w:t> </w:t>
      </w:r>
      <w:r>
        <w:rPr/>
        <w:t>your ePCR. For all other questions, you may contact DPH at </w:t>
      </w:r>
      <w:hyperlink r:id="rId11">
        <w:r>
          <w:rPr>
            <w:color w:val="0462C1"/>
            <w:u w:val="single" w:color="0462C1"/>
          </w:rPr>
          <w:t>matrissupport@mass.gov</w:t>
        </w:r>
        <w:r>
          <w:rPr/>
          <w:t>.</w:t>
        </w:r>
      </w:hyperlink>
    </w:p>
    <w:p>
      <w:pPr>
        <w:pStyle w:val="BodyText"/>
        <w:spacing w:before="3"/>
        <w:rPr>
          <w:sz w:val="14"/>
        </w:rPr>
      </w:pPr>
    </w:p>
    <w:p>
      <w:pPr>
        <w:pStyle w:val="BodyText"/>
        <w:spacing w:before="91"/>
        <w:ind w:left="1140" w:right="1230"/>
      </w:pPr>
      <w:r>
        <w:rPr/>
        <w:t>In addition</w:t>
      </w:r>
      <w:r>
        <w:rPr>
          <w:spacing w:val="-5"/>
        </w:rPr>
        <w:t> </w:t>
      </w:r>
      <w:r>
        <w:rPr/>
        <w:t>to</w:t>
      </w:r>
      <w:r>
        <w:rPr>
          <w:spacing w:val="-5"/>
        </w:rPr>
        <w:t> </w:t>
      </w:r>
      <w:r>
        <w:rPr/>
        <w:t>reminding</w:t>
      </w:r>
      <w:r>
        <w:rPr>
          <w:spacing w:val="-5"/>
        </w:rPr>
        <w:t> </w:t>
      </w:r>
      <w:r>
        <w:rPr/>
        <w:t>you</w:t>
      </w:r>
      <w:r>
        <w:rPr>
          <w:spacing w:val="-5"/>
        </w:rPr>
        <w:t> </w:t>
      </w:r>
      <w:r>
        <w:rPr/>
        <w:t>of</w:t>
      </w:r>
      <w:r>
        <w:rPr>
          <w:spacing w:val="-2"/>
        </w:rPr>
        <w:t> </w:t>
      </w:r>
      <w:r>
        <w:rPr/>
        <w:t>the</w:t>
      </w:r>
      <w:r>
        <w:rPr>
          <w:spacing w:val="-7"/>
        </w:rPr>
        <w:t> </w:t>
      </w:r>
      <w:r>
        <w:rPr/>
        <w:t>need to record naloxone</w:t>
      </w:r>
      <w:r>
        <w:rPr>
          <w:spacing w:val="-2"/>
        </w:rPr>
        <w:t> </w:t>
      </w:r>
      <w:r>
        <w:rPr/>
        <w:t>administration,</w:t>
      </w:r>
      <w:r>
        <w:rPr>
          <w:spacing w:val="-3"/>
        </w:rPr>
        <w:t> </w:t>
      </w:r>
      <w:r>
        <w:rPr/>
        <w:t>DPH</w:t>
      </w:r>
      <w:r>
        <w:rPr>
          <w:spacing w:val="-6"/>
        </w:rPr>
        <w:t> </w:t>
      </w:r>
      <w:r>
        <w:rPr/>
        <w:t>is</w:t>
      </w:r>
      <w:r>
        <w:rPr>
          <w:spacing w:val="-4"/>
        </w:rPr>
        <w:t> </w:t>
      </w:r>
      <w:r>
        <w:rPr/>
        <w:t>reminding</w:t>
      </w:r>
      <w:r>
        <w:rPr>
          <w:spacing w:val="-5"/>
        </w:rPr>
        <w:t> </w:t>
      </w:r>
      <w:r>
        <w:rPr/>
        <w:t>ambulance services that they are authorized under </w:t>
      </w:r>
      <w:hyperlink r:id="rId12">
        <w:r>
          <w:rPr>
            <w:color w:val="0462C1"/>
            <w:u w:val="single" w:color="0462C1"/>
          </w:rPr>
          <w:t>STP 6.12</w:t>
        </w:r>
      </w:hyperlink>
      <w:r>
        <w:rPr>
          <w:color w:val="0462C1"/>
        </w:rPr>
        <w:t> </w:t>
      </w:r>
      <w:r>
        <w:rPr/>
        <w:t>to stock ambulances with ‘civilian’ naloxone administration</w:t>
      </w:r>
      <w:r>
        <w:rPr>
          <w:spacing w:val="-1"/>
        </w:rPr>
        <w:t> </w:t>
      </w:r>
      <w:r>
        <w:rPr/>
        <w:t>kits, to</w:t>
      </w:r>
      <w:r>
        <w:rPr>
          <w:spacing w:val="-1"/>
        </w:rPr>
        <w:t> </w:t>
      </w:r>
      <w:r>
        <w:rPr/>
        <w:t>be provided</w:t>
      </w:r>
      <w:r>
        <w:rPr>
          <w:spacing w:val="-1"/>
        </w:rPr>
        <w:t> </w:t>
      </w:r>
      <w:r>
        <w:rPr/>
        <w:t>to</w:t>
      </w:r>
      <w:r>
        <w:rPr>
          <w:spacing w:val="-1"/>
        </w:rPr>
        <w:t> </w:t>
      </w:r>
      <w:r>
        <w:rPr/>
        <w:t>the patient or accompanying person. Ambulance services interested in accessing state-subsidized naloxone for</w:t>
      </w:r>
      <w:r>
        <w:rPr>
          <w:spacing w:val="-1"/>
        </w:rPr>
        <w:t> </w:t>
      </w:r>
      <w:r>
        <w:rPr/>
        <w:t>this purpose</w:t>
      </w:r>
      <w:r>
        <w:rPr>
          <w:spacing w:val="-1"/>
        </w:rPr>
        <w:t> </w:t>
      </w:r>
      <w:r>
        <w:rPr/>
        <w:t>are welcome to apply to participate</w:t>
      </w:r>
      <w:r>
        <w:rPr>
          <w:spacing w:val="-2"/>
        </w:rPr>
        <w:t> </w:t>
      </w:r>
      <w:r>
        <w:rPr/>
        <w:t>in the MDPH </w:t>
      </w:r>
      <w:hyperlink r:id="rId13">
        <w:r>
          <w:rPr>
            <w:color w:val="0462C1"/>
            <w:u w:val="single" w:color="0462C1"/>
          </w:rPr>
          <w:t>Community Naloxone Purchasing Program</w:t>
        </w:r>
        <w:r>
          <w:rPr/>
          <w:t>.</w:t>
        </w:r>
      </w:hyperlink>
    </w:p>
    <w:p>
      <w:pPr>
        <w:spacing w:after="0"/>
        <w:sectPr>
          <w:type w:val="continuous"/>
          <w:pgSz w:w="12240" w:h="15840"/>
          <w:pgMar w:top="560" w:bottom="280" w:left="300" w:right="260"/>
        </w:sectPr>
      </w:pPr>
    </w:p>
    <w:p>
      <w:pPr>
        <w:pStyle w:val="BodyText"/>
        <w:spacing w:before="61"/>
        <w:ind w:left="1140" w:right="1230"/>
      </w:pPr>
      <w:r>
        <w:rPr/>
        <w:t>EMS personnel</w:t>
      </w:r>
      <w:r>
        <w:rPr>
          <w:spacing w:val="-6"/>
        </w:rPr>
        <w:t> </w:t>
      </w:r>
      <w:r>
        <w:rPr/>
        <w:t>are</w:t>
      </w:r>
      <w:r>
        <w:rPr>
          <w:spacing w:val="-4"/>
        </w:rPr>
        <w:t> </w:t>
      </w:r>
      <w:r>
        <w:rPr/>
        <w:t>essential</w:t>
      </w:r>
      <w:r>
        <w:rPr>
          <w:spacing w:val="-1"/>
        </w:rPr>
        <w:t> </w:t>
      </w:r>
      <w:r>
        <w:rPr/>
        <w:t>and</w:t>
      </w:r>
      <w:r>
        <w:rPr>
          <w:spacing w:val="-6"/>
        </w:rPr>
        <w:t> </w:t>
      </w:r>
      <w:r>
        <w:rPr/>
        <w:t>valued</w:t>
      </w:r>
      <w:r>
        <w:rPr>
          <w:spacing w:val="-2"/>
        </w:rPr>
        <w:t> </w:t>
      </w:r>
      <w:r>
        <w:rPr/>
        <w:t>partners</w:t>
      </w:r>
      <w:r>
        <w:rPr>
          <w:spacing w:val="-2"/>
        </w:rPr>
        <w:t> </w:t>
      </w:r>
      <w:r>
        <w:rPr/>
        <w:t>in</w:t>
      </w:r>
      <w:r>
        <w:rPr>
          <w:spacing w:val="-6"/>
        </w:rPr>
        <w:t> </w:t>
      </w:r>
      <w:r>
        <w:rPr/>
        <w:t>emergency</w:t>
      </w:r>
      <w:r>
        <w:rPr>
          <w:spacing w:val="-2"/>
        </w:rPr>
        <w:t> </w:t>
      </w:r>
      <w:r>
        <w:rPr/>
        <w:t>overdose</w:t>
      </w:r>
      <w:r>
        <w:rPr>
          <w:spacing w:val="-4"/>
        </w:rPr>
        <w:t> </w:t>
      </w:r>
      <w:r>
        <w:rPr/>
        <w:t>response. DPH</w:t>
      </w:r>
      <w:r>
        <w:rPr>
          <w:spacing w:val="-7"/>
        </w:rPr>
        <w:t> </w:t>
      </w:r>
      <w:r>
        <w:rPr/>
        <w:t>thanks</w:t>
      </w:r>
      <w:r>
        <w:rPr>
          <w:spacing w:val="-2"/>
        </w:rPr>
        <w:t> </w:t>
      </w:r>
      <w:r>
        <w:rPr/>
        <w:t>you</w:t>
      </w:r>
      <w:r>
        <w:rPr>
          <w:spacing w:val="-6"/>
        </w:rPr>
        <w:t> </w:t>
      </w:r>
      <w:r>
        <w:rPr/>
        <w:t>for your service to individuals and families impacted by opioid overdose and for ensuring accurate data recording which is essential to a data driven response to opioid overdose in Massachusetts.</w:t>
      </w:r>
    </w:p>
    <w:sectPr>
      <w:pgSz w:w="12240" w:h="15840"/>
      <w:pgMar w:top="1380" w:bottom="280" w:left="300" w:right="2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Rounded MT Bold">
    <w:altName w:val="Arial Rounded MT Bold"/>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1140"/>
      <w:outlineLvl w:val="1"/>
    </w:pPr>
    <w:rPr>
      <w:rFonts w:ascii="Times New Roman" w:hAnsi="Times New Roman" w:eastAsia="Times New Roman" w:cs="Times New Roman"/>
      <w:b/>
      <w:bCs/>
      <w:sz w:val="22"/>
      <w:szCs w:val="22"/>
      <w:lang w:val="en-US" w:eastAsia="en-US" w:bidi="ar-SA"/>
    </w:rPr>
  </w:style>
  <w:style w:styleId="Title" w:type="paragraph">
    <w:name w:val="Title"/>
    <w:basedOn w:val="Normal"/>
    <w:uiPriority w:val="1"/>
    <w:qFormat/>
    <w:pPr>
      <w:spacing w:before="149"/>
      <w:ind w:left="2989"/>
    </w:pPr>
    <w:rPr>
      <w:rFonts w:ascii="Arial" w:hAnsi="Arial" w:eastAsia="Arial" w:cs="Arial"/>
      <w:sz w:val="36"/>
      <w:szCs w:val="36"/>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www.mass.gov/dph" TargetMode="External"/><Relationship Id="rId7" Type="http://schemas.openxmlformats.org/officeDocument/2006/relationships/hyperlink" Target="https://www.mass.gov/lists/current-opioid-statistics" TargetMode="External"/><Relationship Id="rId8" Type="http://schemas.openxmlformats.org/officeDocument/2006/relationships/hyperlink" Target="https://www.fda.gov/news-events/press-announcements/fda-approves-first-over-counter-naloxone-nasal-spray" TargetMode="External"/><Relationship Id="rId9" Type="http://schemas.openxmlformats.org/officeDocument/2006/relationships/hyperlink" Target="https://www.mass.gov/doc/ar-5-403-statewide-ems-minimum-data-set-nemsis-v3-effective-11012022/download" TargetMode="External"/><Relationship Id="rId10" Type="http://schemas.openxmlformats.org/officeDocument/2006/relationships/hyperlink" Target="https://www.mass.gov/doc/105-cmr-170-emergency-medical-services-system/download" TargetMode="External"/><Relationship Id="rId11" Type="http://schemas.openxmlformats.org/officeDocument/2006/relationships/hyperlink" Target="mailto:matrissupport@mass.gov" TargetMode="External"/><Relationship Id="rId12" Type="http://schemas.openxmlformats.org/officeDocument/2006/relationships/hyperlink" Target="https://www.mass.gov/doc/emergency-medical-services-statewide-treatment-protocols-version-20231-effective-april-1-2023-pdf/download" TargetMode="External"/><Relationship Id="rId13" Type="http://schemas.openxmlformats.org/officeDocument/2006/relationships/hyperlink" Target="https://www.mass.gov/service-details/community-naloxone-purchasing-program-cn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MATRIS</dc:creator>
  <dcterms:created xsi:type="dcterms:W3CDTF">2023-10-11T18:34:37Z</dcterms:created>
  <dcterms:modified xsi:type="dcterms:W3CDTF">2023-10-11T18:34:37Z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2023-05-15T00:00:00Z</vt:filetime>
  </property>
  <property fmtid="{D5CDD505-2E9C-101B-9397-08002B2CF9AE}" pid="3" name="Creator">
    <vt:lpwstr>Microsoft® Word for Microsoft 365</vt:lpwstr>
  </property>
  <property fmtid="{D5CDD505-2E9C-101B-9397-08002B2CF9AE}" pid="4" name="LastSaved">
    <vt:filetime>2023-10-11T00:00:00Z</vt:filetime>
  </property>
  <property fmtid="{D5CDD505-2E9C-101B-9397-08002B2CF9AE}" pid="5" name="Producer">
    <vt:lpwstr>Microsoft® Word for Microsoft 365</vt:lpwstr>
  </property>
</Properties>
</file>