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7DAE3" w14:textId="77777777" w:rsidR="005E7C24" w:rsidRPr="001F7504" w:rsidRDefault="78E72103" w:rsidP="1B190206">
      <w:pPr>
        <w:pStyle w:val="Heading1"/>
        <w:ind w:left="0"/>
        <w:jc w:val="center"/>
        <w:rPr>
          <w:rFonts w:asciiTheme="minorHAnsi" w:hAnsiTheme="minorHAnsi" w:cs="Times New Roman"/>
        </w:rPr>
      </w:pPr>
      <w:r w:rsidRPr="1B190206">
        <w:rPr>
          <w:rFonts w:asciiTheme="minorHAnsi" w:hAnsiTheme="minorHAnsi" w:cs="Times New Roman"/>
        </w:rPr>
        <w:t>Memorandum to the Commissioner</w:t>
      </w:r>
    </w:p>
    <w:p w14:paraId="2D64F9FA" w14:textId="77777777" w:rsidR="005E7C24" w:rsidRPr="001F7504" w:rsidRDefault="005E7C24" w:rsidP="001B72DB">
      <w:pPr>
        <w:pStyle w:val="BodyText"/>
        <w:spacing w:before="11"/>
        <w:rPr>
          <w:rFonts w:asciiTheme="minorHAnsi" w:hAnsiTheme="minorHAnsi"/>
          <w:b/>
          <w:sz w:val="23"/>
        </w:rPr>
      </w:pPr>
    </w:p>
    <w:p w14:paraId="15D6B88D" w14:textId="51C86D8C" w:rsidR="005E7C24" w:rsidRPr="00B76DED" w:rsidRDefault="005E7C24" w:rsidP="00CF3BAD">
      <w:pPr>
        <w:rPr>
          <w:rFonts w:asciiTheme="minorHAnsi" w:hAnsiTheme="minorHAnsi" w:cstheme="minorHAnsi"/>
          <w:b/>
          <w:sz w:val="24"/>
          <w:szCs w:val="24"/>
        </w:rPr>
      </w:pPr>
      <w:r w:rsidRPr="00B76DED">
        <w:rPr>
          <w:rFonts w:asciiTheme="minorHAnsi" w:hAnsiTheme="minorHAnsi" w:cstheme="minorHAnsi"/>
          <w:b/>
          <w:sz w:val="24"/>
          <w:szCs w:val="24"/>
        </w:rPr>
        <w:t>APPLICANT:</w:t>
      </w:r>
      <w:r w:rsidR="00C17353" w:rsidRPr="00B76DED">
        <w:rPr>
          <w:rFonts w:asciiTheme="minorHAnsi" w:hAnsiTheme="minorHAnsi" w:cstheme="minorHAnsi"/>
          <w:b/>
          <w:sz w:val="24"/>
          <w:szCs w:val="24"/>
        </w:rPr>
        <w:t xml:space="preserve"> </w:t>
      </w:r>
      <w:r w:rsidR="00057F36" w:rsidRPr="00B76DED">
        <w:rPr>
          <w:rFonts w:asciiTheme="minorHAnsi" w:hAnsiTheme="minorHAnsi" w:cstheme="minorHAnsi"/>
          <w:sz w:val="24"/>
          <w:szCs w:val="24"/>
        </w:rPr>
        <w:t>BMC Health System, Inc.</w:t>
      </w:r>
    </w:p>
    <w:p w14:paraId="37DF732C" w14:textId="77777777" w:rsidR="005E7C24" w:rsidRPr="00B76DED" w:rsidRDefault="005E7C24" w:rsidP="001B72DB">
      <w:pPr>
        <w:ind w:left="720"/>
        <w:rPr>
          <w:rFonts w:asciiTheme="minorHAnsi" w:hAnsiTheme="minorHAnsi" w:cstheme="minorHAnsi"/>
          <w:sz w:val="24"/>
          <w:szCs w:val="24"/>
          <w:lang w:val="fr-FR"/>
        </w:rPr>
      </w:pPr>
    </w:p>
    <w:p w14:paraId="125231B5" w14:textId="43FF4719" w:rsidR="005E7C24" w:rsidRPr="00B76DED" w:rsidRDefault="005E7C24" w:rsidP="001B72DB">
      <w:pPr>
        <w:rPr>
          <w:rFonts w:asciiTheme="minorHAnsi" w:hAnsiTheme="minorHAnsi" w:cstheme="minorHAnsi"/>
          <w:bCs/>
          <w:sz w:val="24"/>
          <w:szCs w:val="24"/>
        </w:rPr>
      </w:pPr>
      <w:r w:rsidRPr="00B76DED">
        <w:rPr>
          <w:rFonts w:asciiTheme="minorHAnsi" w:hAnsiTheme="minorHAnsi" w:cstheme="minorHAnsi"/>
          <w:b/>
          <w:sz w:val="24"/>
          <w:szCs w:val="24"/>
        </w:rPr>
        <w:t xml:space="preserve">PROJECT NUMBER: </w:t>
      </w:r>
      <w:r w:rsidR="00057F36" w:rsidRPr="00B76DED">
        <w:rPr>
          <w:rFonts w:asciiTheme="minorHAnsi" w:hAnsiTheme="minorHAnsi" w:cstheme="minorHAnsi"/>
          <w:bCs/>
          <w:sz w:val="24"/>
          <w:szCs w:val="24"/>
        </w:rPr>
        <w:t>BMC Health System, Inc. - Emergency Application (DoN Application # BMCHS--EA)</w:t>
      </w:r>
    </w:p>
    <w:p w14:paraId="7649B49B" w14:textId="77777777" w:rsidR="005E7C24" w:rsidRPr="00B76DED" w:rsidRDefault="005E7C24" w:rsidP="001B72DB">
      <w:pPr>
        <w:rPr>
          <w:rFonts w:asciiTheme="minorHAnsi" w:hAnsiTheme="minorHAnsi" w:cstheme="minorHAnsi"/>
          <w:sz w:val="24"/>
          <w:szCs w:val="24"/>
        </w:rPr>
      </w:pPr>
      <w:r w:rsidRPr="00B76DED">
        <w:rPr>
          <w:rFonts w:asciiTheme="minorHAnsi" w:hAnsiTheme="minorHAnsi" w:cstheme="minorHAnsi"/>
          <w:sz w:val="24"/>
          <w:szCs w:val="24"/>
        </w:rPr>
        <w:t xml:space="preserve"> </w:t>
      </w:r>
    </w:p>
    <w:p w14:paraId="04A2A5EF" w14:textId="371B57BC" w:rsidR="005E7C24" w:rsidRPr="00D22FE6" w:rsidRDefault="005E7C24" w:rsidP="001B72DB">
      <w:pPr>
        <w:spacing w:before="1"/>
        <w:rPr>
          <w:rFonts w:asciiTheme="minorHAnsi" w:hAnsiTheme="minorHAnsi" w:cstheme="minorHAnsi"/>
          <w:bCs/>
          <w:sz w:val="24"/>
          <w:szCs w:val="24"/>
        </w:rPr>
      </w:pPr>
      <w:r w:rsidRPr="00B76DED">
        <w:rPr>
          <w:rFonts w:asciiTheme="minorHAnsi" w:hAnsiTheme="minorHAnsi" w:cstheme="minorHAnsi"/>
          <w:b/>
          <w:sz w:val="24"/>
          <w:szCs w:val="24"/>
        </w:rPr>
        <w:t xml:space="preserve">Filing DATE: </w:t>
      </w:r>
      <w:r w:rsidR="003369DF" w:rsidRPr="00D22FE6">
        <w:rPr>
          <w:rFonts w:asciiTheme="minorHAnsi" w:hAnsiTheme="minorHAnsi" w:cstheme="minorHAnsi"/>
          <w:bCs/>
          <w:sz w:val="24"/>
          <w:szCs w:val="24"/>
        </w:rPr>
        <w:t xml:space="preserve">September </w:t>
      </w:r>
      <w:r w:rsidR="00D22FE6" w:rsidRPr="00D22FE6">
        <w:rPr>
          <w:rFonts w:asciiTheme="minorHAnsi" w:hAnsiTheme="minorHAnsi" w:cstheme="minorHAnsi"/>
          <w:bCs/>
          <w:sz w:val="24"/>
          <w:szCs w:val="24"/>
        </w:rPr>
        <w:t>9, 2024</w:t>
      </w:r>
    </w:p>
    <w:p w14:paraId="6EC46C9B" w14:textId="77777777" w:rsidR="005E7C24" w:rsidRPr="00B76DED" w:rsidRDefault="005E7C24" w:rsidP="001B72DB">
      <w:pPr>
        <w:pStyle w:val="Heading1"/>
        <w:spacing w:before="1"/>
        <w:ind w:left="0"/>
        <w:rPr>
          <w:rFonts w:asciiTheme="minorHAnsi" w:hAnsiTheme="minorHAnsi" w:cstheme="minorHAnsi"/>
        </w:rPr>
      </w:pPr>
    </w:p>
    <w:p w14:paraId="00876BA7" w14:textId="77777777" w:rsidR="005E7C24" w:rsidRPr="00B76DED" w:rsidRDefault="005E7C24" w:rsidP="001B72DB">
      <w:pPr>
        <w:pStyle w:val="Heading1"/>
        <w:ind w:left="0"/>
        <w:rPr>
          <w:rFonts w:asciiTheme="minorHAnsi" w:hAnsiTheme="minorHAnsi" w:cstheme="minorHAnsi"/>
        </w:rPr>
      </w:pPr>
      <w:r w:rsidRPr="00B76DED">
        <w:rPr>
          <w:rFonts w:asciiTheme="minorHAnsi" w:hAnsiTheme="minorHAnsi" w:cstheme="minorHAnsi"/>
        </w:rPr>
        <w:t>Introduction</w:t>
      </w:r>
    </w:p>
    <w:p w14:paraId="66398429" w14:textId="77777777" w:rsidR="005E7C24" w:rsidRDefault="005E7C24" w:rsidP="001B72DB">
      <w:pPr>
        <w:pStyle w:val="BodyText"/>
        <w:spacing w:before="9"/>
        <w:rPr>
          <w:rFonts w:asciiTheme="minorHAnsi" w:hAnsiTheme="minorHAnsi" w:cstheme="minorHAnsi"/>
          <w:b/>
          <w:sz w:val="24"/>
          <w:szCs w:val="24"/>
        </w:rPr>
      </w:pPr>
    </w:p>
    <w:p w14:paraId="6CAEA88E" w14:textId="6CA8AC2A" w:rsidR="0409B360" w:rsidRDefault="0409B360" w:rsidP="00152ACB">
      <w:pPr>
        <w:spacing w:before="9" w:after="240"/>
        <w:rPr>
          <w:color w:val="000000" w:themeColor="text1"/>
          <w:sz w:val="24"/>
          <w:szCs w:val="24"/>
        </w:rPr>
      </w:pPr>
      <w:bookmarkStart w:id="0" w:name="_Hlk119332970"/>
      <w:r w:rsidRPr="5AED1B39">
        <w:rPr>
          <w:color w:val="000000" w:themeColor="text1"/>
          <w:sz w:val="24"/>
          <w:szCs w:val="24"/>
        </w:rPr>
        <w:t xml:space="preserve">This memorandum presents, for Commissioner’s Review and action, the Determination of Need (DoN) Program’s recommendation pertaining to a request by </w:t>
      </w:r>
      <w:r w:rsidR="4F141E8E" w:rsidRPr="5AED1B39">
        <w:rPr>
          <w:color w:val="000000" w:themeColor="text1"/>
          <w:sz w:val="24"/>
          <w:szCs w:val="24"/>
        </w:rPr>
        <w:t>BMC Health System, Inc.</w:t>
      </w:r>
      <w:r w:rsidRPr="5AED1B39">
        <w:rPr>
          <w:color w:val="000000" w:themeColor="text1"/>
          <w:sz w:val="24"/>
          <w:szCs w:val="24"/>
        </w:rPr>
        <w:t xml:space="preserve"> (“the Applicant”) for an Emergency DoN pursuant to 105 CMR 100.740. </w:t>
      </w:r>
    </w:p>
    <w:p w14:paraId="0C4DC5CF" w14:textId="3FBCCA0B" w:rsidR="74FF6B6F" w:rsidRDefault="74FF6B6F" w:rsidP="5AED1B39">
      <w:pPr>
        <w:spacing w:before="51" w:after="240"/>
        <w:ind w:right="-10"/>
        <w:rPr>
          <w:sz w:val="24"/>
          <w:szCs w:val="24"/>
        </w:rPr>
      </w:pPr>
      <w:r w:rsidRPr="00152ACB">
        <w:rPr>
          <w:sz w:val="24"/>
          <w:szCs w:val="24"/>
        </w:rPr>
        <w:t>The Applicant files this Emergency Application seeking approval of the Transfer of Ownership</w:t>
      </w:r>
      <w:r w:rsidRPr="00152ACB">
        <w:rPr>
          <w:rStyle w:val="FootnoteReference"/>
          <w:color w:val="000000" w:themeColor="text1"/>
          <w:sz w:val="24"/>
          <w:szCs w:val="24"/>
        </w:rPr>
        <w:footnoteReference w:id="2"/>
      </w:r>
      <w:r w:rsidRPr="00152ACB">
        <w:rPr>
          <w:color w:val="000000" w:themeColor="text1"/>
          <w:sz w:val="24"/>
          <w:szCs w:val="24"/>
        </w:rPr>
        <w:t xml:space="preserve"> of </w:t>
      </w:r>
      <w:r w:rsidRPr="00152ACB">
        <w:rPr>
          <w:rFonts w:asciiTheme="minorHAnsi" w:hAnsiTheme="minorHAnsi" w:cstheme="minorBidi"/>
          <w:sz w:val="24"/>
          <w:szCs w:val="24"/>
        </w:rPr>
        <w:t>St. Elizabeth’s Medical Center of Boston, Inc. (“SEMC”)</w:t>
      </w:r>
      <w:r w:rsidRPr="00152ACB">
        <w:rPr>
          <w:sz w:val="24"/>
          <w:szCs w:val="24"/>
        </w:rPr>
        <w:t xml:space="preserve"> from Steward Health Care System, LLC.</w:t>
      </w:r>
    </w:p>
    <w:p w14:paraId="2F9D693F" w14:textId="54AA8022" w:rsidR="00D85014" w:rsidRPr="00D85014" w:rsidRDefault="00D85014" w:rsidP="00152ACB">
      <w:pPr>
        <w:pStyle w:val="BodyText"/>
        <w:spacing w:before="51" w:after="240"/>
        <w:ind w:right="-10"/>
        <w:rPr>
          <w:rFonts w:asciiTheme="minorHAnsi" w:hAnsiTheme="minorHAnsi" w:cstheme="minorBidi"/>
          <w:sz w:val="24"/>
          <w:szCs w:val="24"/>
        </w:rPr>
      </w:pPr>
      <w:bookmarkStart w:id="1" w:name="_Hlk177129280"/>
      <w:bookmarkEnd w:id="0"/>
      <w:r w:rsidRPr="5AED1B39">
        <w:rPr>
          <w:rFonts w:asciiTheme="minorHAnsi" w:hAnsiTheme="minorHAnsi" w:cstheme="minorBidi"/>
          <w:sz w:val="24"/>
          <w:szCs w:val="24"/>
        </w:rPr>
        <w:t>There is neither a Community Health Initiative (CHI) contribution nor a DoN filing fee required for an Emergency DoN. As required by 105 CMR 100.740(A), the Applicant must explain the following: 1) the identity of the Applicant, 2) the nature of the Emergency Situation,3) the nature, scope, location, and projected costs of the proposed project, and 4) that the proposed project will address the emergency situation, and that without issuance of a notice of determination of need, the public health will be measurably harmed.</w:t>
      </w:r>
    </w:p>
    <w:bookmarkEnd w:id="1"/>
    <w:p w14:paraId="589732FE" w14:textId="77777777" w:rsidR="00A26207" w:rsidRPr="00B76DED" w:rsidRDefault="00A26207" w:rsidP="00274DA6">
      <w:pPr>
        <w:pStyle w:val="ListParagraph"/>
        <w:ind w:left="720" w:right="-10" w:firstLine="0"/>
        <w:rPr>
          <w:rFonts w:asciiTheme="minorHAnsi" w:hAnsiTheme="minorHAnsi" w:cstheme="minorHAnsi"/>
          <w:b/>
          <w:bCs/>
          <w:sz w:val="24"/>
          <w:szCs w:val="24"/>
        </w:rPr>
      </w:pPr>
    </w:p>
    <w:p w14:paraId="29271ABD" w14:textId="02BF8B31" w:rsidR="00A37B89" w:rsidRDefault="00A37B89" w:rsidP="00B76DED">
      <w:pPr>
        <w:pStyle w:val="BodyText"/>
        <w:numPr>
          <w:ilvl w:val="0"/>
          <w:numId w:val="6"/>
        </w:numPr>
        <w:spacing w:before="120"/>
        <w:ind w:right="111"/>
        <w:rPr>
          <w:rFonts w:asciiTheme="minorHAnsi" w:hAnsiTheme="minorHAnsi" w:cstheme="minorHAnsi"/>
          <w:b/>
          <w:bCs/>
          <w:sz w:val="24"/>
          <w:szCs w:val="24"/>
        </w:rPr>
      </w:pPr>
      <w:r w:rsidRPr="00B76DED">
        <w:rPr>
          <w:rFonts w:asciiTheme="minorHAnsi" w:hAnsiTheme="minorHAnsi" w:cstheme="minorHAnsi"/>
          <w:b/>
          <w:bCs/>
          <w:sz w:val="24"/>
          <w:szCs w:val="24"/>
        </w:rPr>
        <w:t>Identity of The Applicant</w:t>
      </w:r>
    </w:p>
    <w:p w14:paraId="74468AA5" w14:textId="77777777" w:rsidR="00D85014" w:rsidRDefault="00D85014" w:rsidP="00D85014">
      <w:pPr>
        <w:rPr>
          <w:rFonts w:asciiTheme="minorHAnsi" w:hAnsiTheme="minorHAnsi" w:cstheme="minorBidi"/>
          <w:sz w:val="24"/>
          <w:szCs w:val="24"/>
        </w:rPr>
      </w:pPr>
    </w:p>
    <w:p w14:paraId="7045ABEC" w14:textId="60F9FEF4" w:rsidR="00D85014" w:rsidRPr="00FE6D26" w:rsidRDefault="76849044" w:rsidP="00D85014">
      <w:pPr>
        <w:rPr>
          <w:rFonts w:asciiTheme="minorHAnsi" w:hAnsiTheme="minorHAnsi" w:cstheme="minorHAnsi"/>
          <w:sz w:val="24"/>
          <w:szCs w:val="24"/>
        </w:rPr>
      </w:pPr>
      <w:r w:rsidRPr="7E14E4DF">
        <w:rPr>
          <w:rFonts w:asciiTheme="minorHAnsi" w:hAnsiTheme="minorHAnsi" w:cstheme="minorBidi"/>
          <w:sz w:val="24"/>
          <w:szCs w:val="24"/>
        </w:rPr>
        <w:t>The Applicant, BMC Health System, Inc., is a Massachusetts non-profit integrated health care system and is the sole corporate member of six corporate affiliates.</w:t>
      </w:r>
      <w:r w:rsidR="00D85014" w:rsidRPr="7E14E4DF">
        <w:rPr>
          <w:rStyle w:val="FootnoteReference"/>
          <w:rFonts w:asciiTheme="minorHAnsi" w:hAnsiTheme="minorHAnsi" w:cstheme="minorBidi"/>
          <w:sz w:val="24"/>
          <w:szCs w:val="24"/>
        </w:rPr>
        <w:footnoteReference w:id="3"/>
      </w:r>
      <w:r w:rsidRPr="7E14E4DF">
        <w:rPr>
          <w:rFonts w:asciiTheme="minorHAnsi" w:hAnsiTheme="minorHAnsi" w:cstheme="minorBidi"/>
          <w:sz w:val="24"/>
          <w:szCs w:val="24"/>
        </w:rPr>
        <w:t xml:space="preserve"> The Applicant provides </w:t>
      </w:r>
      <w:r w:rsidRPr="7E14E4DF">
        <w:rPr>
          <w:rFonts w:asciiTheme="minorHAnsi" w:hAnsiTheme="minorHAnsi" w:cstheme="minorBidi"/>
          <w:sz w:val="24"/>
          <w:szCs w:val="24"/>
        </w:rPr>
        <w:lastRenderedPageBreak/>
        <w:t>primary, specialty, and tertiary care through its subsidiaries, affiliates, and</w:t>
      </w:r>
      <w:r w:rsidR="283868A9" w:rsidRPr="7E14E4DF">
        <w:rPr>
          <w:rFonts w:asciiTheme="minorHAnsi" w:hAnsiTheme="minorHAnsi" w:cstheme="minorBidi"/>
          <w:sz w:val="24"/>
          <w:szCs w:val="24"/>
        </w:rPr>
        <w:t xml:space="preserve"> </w:t>
      </w:r>
      <w:r w:rsidRPr="7E14E4DF">
        <w:rPr>
          <w:rFonts w:asciiTheme="minorHAnsi" w:hAnsiTheme="minorHAnsi" w:cstheme="minorBidi"/>
          <w:sz w:val="24"/>
          <w:szCs w:val="24"/>
        </w:rPr>
        <w:t>community health care center partners. It also provides access to a managed care organization,</w:t>
      </w:r>
      <w:r w:rsidR="283868A9" w:rsidRPr="7E14E4DF">
        <w:rPr>
          <w:rFonts w:asciiTheme="minorHAnsi" w:hAnsiTheme="minorHAnsi" w:cstheme="minorBidi"/>
          <w:sz w:val="24"/>
          <w:szCs w:val="24"/>
        </w:rPr>
        <w:t xml:space="preserve"> </w:t>
      </w:r>
      <w:r w:rsidRPr="7E14E4DF">
        <w:rPr>
          <w:rFonts w:asciiTheme="minorHAnsi" w:hAnsiTheme="minorHAnsi" w:cstheme="minorBidi"/>
          <w:sz w:val="24"/>
          <w:szCs w:val="24"/>
        </w:rPr>
        <w:t xml:space="preserve">an accountable care organization (“ACO”), and other health related programs. </w:t>
      </w:r>
    </w:p>
    <w:p w14:paraId="3BE15EE4" w14:textId="77777777" w:rsidR="00D85014" w:rsidRPr="00FE6D26" w:rsidRDefault="00D85014" w:rsidP="00D85014">
      <w:pPr>
        <w:rPr>
          <w:rFonts w:asciiTheme="minorHAnsi" w:hAnsiTheme="minorHAnsi" w:cstheme="minorHAnsi"/>
          <w:sz w:val="24"/>
          <w:szCs w:val="24"/>
        </w:rPr>
      </w:pPr>
    </w:p>
    <w:p w14:paraId="73C15C9E" w14:textId="7037CD43" w:rsidR="00D85014" w:rsidRDefault="00D85014" w:rsidP="5AED1B39">
      <w:pPr>
        <w:pStyle w:val="BodyText"/>
        <w:spacing w:before="120"/>
        <w:ind w:right="111"/>
        <w:rPr>
          <w:rFonts w:asciiTheme="minorHAnsi" w:hAnsiTheme="minorHAnsi" w:cstheme="minorBidi"/>
          <w:sz w:val="24"/>
          <w:szCs w:val="24"/>
        </w:rPr>
      </w:pPr>
      <w:r w:rsidRPr="5AED1B39">
        <w:rPr>
          <w:rFonts w:asciiTheme="minorHAnsi" w:hAnsiTheme="minorHAnsi" w:cstheme="minorBidi"/>
          <w:sz w:val="24"/>
          <w:szCs w:val="24"/>
        </w:rPr>
        <w:t>The Applicant states that many of the patients it serves are under-resourced populations facing social determinants of health (“SDOH”) barriers, as well as health disparities. Boston Medical Center Corporation d/b/a Boston Medical Center (“BMC”), the Applicant’s academic safety net hospital with its main campus located at One Boston Medical Center Place in Boston, is licensed to operate 616 beds. BMC provides a wide range of emergency, outpatient, and inpatient services, with over seventy (70) medical specialties and subspecialties and is the primary teaching affiliate for the Boston University Chobanian &amp; Avedisian School of Medicine.</w:t>
      </w:r>
    </w:p>
    <w:p w14:paraId="634BCFC8" w14:textId="77777777" w:rsidR="00D85014" w:rsidRDefault="00D85014" w:rsidP="00D85014">
      <w:pPr>
        <w:pStyle w:val="BodyText"/>
        <w:spacing w:before="120"/>
        <w:ind w:right="111"/>
        <w:rPr>
          <w:rFonts w:asciiTheme="minorHAnsi" w:hAnsiTheme="minorHAnsi" w:cstheme="minorHAnsi"/>
          <w:b/>
          <w:bCs/>
          <w:sz w:val="24"/>
          <w:szCs w:val="24"/>
        </w:rPr>
      </w:pPr>
    </w:p>
    <w:p w14:paraId="70A472B2" w14:textId="77777777" w:rsidR="00D85014" w:rsidRDefault="00D85014" w:rsidP="00D85014">
      <w:pPr>
        <w:pStyle w:val="ListParagraph"/>
        <w:numPr>
          <w:ilvl w:val="0"/>
          <w:numId w:val="6"/>
        </w:numPr>
        <w:ind w:right="-10"/>
        <w:rPr>
          <w:rFonts w:asciiTheme="minorHAnsi" w:hAnsiTheme="minorHAnsi" w:cstheme="minorHAnsi"/>
          <w:b/>
          <w:bCs/>
          <w:sz w:val="24"/>
          <w:szCs w:val="24"/>
        </w:rPr>
      </w:pPr>
      <w:r w:rsidRPr="00B76DED">
        <w:rPr>
          <w:rFonts w:asciiTheme="minorHAnsi" w:hAnsiTheme="minorHAnsi" w:cstheme="minorHAnsi"/>
          <w:b/>
          <w:bCs/>
          <w:sz w:val="24"/>
          <w:szCs w:val="24"/>
        </w:rPr>
        <w:t>Nature of the Emergency</w:t>
      </w:r>
    </w:p>
    <w:p w14:paraId="6F8377D5" w14:textId="77777777" w:rsidR="00D85014" w:rsidRDefault="00D85014" w:rsidP="00D85014">
      <w:pPr>
        <w:ind w:right="-10"/>
        <w:rPr>
          <w:rFonts w:asciiTheme="minorHAnsi" w:hAnsiTheme="minorHAnsi" w:cstheme="minorHAnsi"/>
          <w:b/>
          <w:bCs/>
          <w:sz w:val="24"/>
          <w:szCs w:val="24"/>
        </w:rPr>
      </w:pPr>
    </w:p>
    <w:p w14:paraId="5EFBB646" w14:textId="0584F71E" w:rsidR="00C213C0" w:rsidRPr="005839E5" w:rsidRDefault="00D85014" w:rsidP="00D85014">
      <w:pPr>
        <w:ind w:right="-10"/>
        <w:rPr>
          <w:rFonts w:asciiTheme="minorHAnsi" w:hAnsiTheme="minorHAnsi" w:cstheme="minorHAnsi"/>
          <w:sz w:val="24"/>
          <w:szCs w:val="24"/>
        </w:rPr>
      </w:pPr>
      <w:r w:rsidRPr="00D85014">
        <w:rPr>
          <w:rFonts w:asciiTheme="minorHAnsi" w:hAnsiTheme="minorHAnsi" w:cstheme="minorHAnsi"/>
          <w:sz w:val="24"/>
          <w:szCs w:val="24"/>
        </w:rPr>
        <w:t>The Applicant indicated that this is an Emergency Situation due to Steward Health Care System LLC (“Steward”) and its affiliated debtors, including S</w:t>
      </w:r>
      <w:r>
        <w:rPr>
          <w:rFonts w:asciiTheme="minorHAnsi" w:hAnsiTheme="minorHAnsi" w:cstheme="minorHAnsi"/>
          <w:sz w:val="24"/>
          <w:szCs w:val="24"/>
        </w:rPr>
        <w:t>EMC</w:t>
      </w:r>
      <w:r w:rsidRPr="00D85014">
        <w:rPr>
          <w:rFonts w:asciiTheme="minorHAnsi" w:hAnsiTheme="minorHAnsi" w:cstheme="minorHAnsi"/>
          <w:sz w:val="24"/>
          <w:szCs w:val="24"/>
        </w:rPr>
        <w:t xml:space="preserve">, filing a voluntary petition for relief under Chapter 11 of the United States Bankruptcy Code in the United States Bankruptcy Court for the Southern District of Texas (“Emergency Situation”). Pursuant to sections 105, 363, and 365 of the Bankruptcy Code, and in an effort to preserve patient care and prevent the closure of </w:t>
      </w:r>
      <w:r w:rsidR="00C213C0">
        <w:rPr>
          <w:rFonts w:asciiTheme="minorHAnsi" w:hAnsiTheme="minorHAnsi" w:cstheme="minorHAnsi"/>
          <w:sz w:val="24"/>
          <w:szCs w:val="24"/>
        </w:rPr>
        <w:t>SEMC</w:t>
      </w:r>
      <w:r w:rsidRPr="00D85014">
        <w:rPr>
          <w:rFonts w:asciiTheme="minorHAnsi" w:hAnsiTheme="minorHAnsi" w:cstheme="minorHAnsi"/>
          <w:sz w:val="24"/>
          <w:szCs w:val="24"/>
        </w:rPr>
        <w:t xml:space="preserve">, the Applicant, through its corporate affiliate BMC Community Hospital Corporation, entered into an Asset Purchase Agreement (“APA”) to buy certain assets and liabilities of </w:t>
      </w:r>
      <w:r w:rsidR="00C213C0">
        <w:rPr>
          <w:rFonts w:asciiTheme="minorHAnsi" w:hAnsiTheme="minorHAnsi" w:cstheme="minorHAnsi"/>
          <w:sz w:val="24"/>
          <w:szCs w:val="24"/>
        </w:rPr>
        <w:t>SEMC</w:t>
      </w:r>
      <w:r w:rsidRPr="005839E5">
        <w:rPr>
          <w:rFonts w:asciiTheme="minorHAnsi" w:hAnsiTheme="minorHAnsi" w:cstheme="minorHAnsi"/>
          <w:sz w:val="24"/>
          <w:szCs w:val="24"/>
        </w:rPr>
        <w:t xml:space="preserve">. </w:t>
      </w:r>
      <w:r w:rsidR="005839E5" w:rsidRPr="005839E5">
        <w:rPr>
          <w:rFonts w:asciiTheme="minorHAnsi" w:hAnsiTheme="minorHAnsi" w:cstheme="minorHAnsi"/>
          <w:sz w:val="24"/>
          <w:szCs w:val="24"/>
        </w:rPr>
        <w:t>These assets and liabilities are being assigned to another of the Applicant’s corporate affiliates, BMC Community Hospital Corporation II.</w:t>
      </w:r>
    </w:p>
    <w:p w14:paraId="3502D660" w14:textId="0E333EC5" w:rsidR="00D85014" w:rsidRDefault="00D85014" w:rsidP="00D85014">
      <w:pPr>
        <w:ind w:right="-10"/>
        <w:rPr>
          <w:rFonts w:asciiTheme="minorHAnsi" w:hAnsiTheme="minorHAnsi" w:cstheme="minorHAnsi"/>
          <w:sz w:val="24"/>
          <w:szCs w:val="24"/>
        </w:rPr>
      </w:pPr>
      <w:r w:rsidRPr="00D85014">
        <w:rPr>
          <w:rFonts w:asciiTheme="minorHAnsi" w:hAnsiTheme="minorHAnsi" w:cstheme="minorHAnsi"/>
          <w:sz w:val="24"/>
          <w:szCs w:val="24"/>
        </w:rPr>
        <w:t xml:space="preserve"> </w:t>
      </w:r>
    </w:p>
    <w:p w14:paraId="6BCC14A4" w14:textId="65C3C337" w:rsidR="00360F23" w:rsidRDefault="00360F23" w:rsidP="00360F23">
      <w:pPr>
        <w:ind w:right="-10"/>
        <w:rPr>
          <w:sz w:val="24"/>
          <w:szCs w:val="24"/>
        </w:rPr>
      </w:pPr>
      <w:r w:rsidRPr="00360F23">
        <w:rPr>
          <w:sz w:val="24"/>
          <w:szCs w:val="24"/>
        </w:rPr>
        <w:t>The Applicant uses SEMC’s 2021 CHNA to emphasize the nature of the emergency; it outlines the health care needs of local residents including high rates of chronic disease, such as cardiovascular conditions, behavioral health, Diabetes, obesity, and high blood pressure and the needs assessment also discusses how area residents are impacted by the social determinants of health, including housing instability, higher rates of poverty, and a lack of access to care.</w:t>
      </w:r>
    </w:p>
    <w:p w14:paraId="0850EDE3" w14:textId="77777777" w:rsidR="00010A70" w:rsidRPr="00360F23" w:rsidRDefault="00010A70" w:rsidP="00360F23">
      <w:pPr>
        <w:ind w:right="-10"/>
        <w:rPr>
          <w:sz w:val="24"/>
          <w:szCs w:val="24"/>
        </w:rPr>
      </w:pPr>
    </w:p>
    <w:p w14:paraId="662684F7" w14:textId="107B034A" w:rsidR="00E71234" w:rsidRDefault="00010A70" w:rsidP="5AED1B39">
      <w:pPr>
        <w:ind w:right="-10"/>
        <w:rPr>
          <w:rFonts w:asciiTheme="minorHAnsi" w:hAnsiTheme="minorHAnsi" w:cstheme="minorBidi"/>
          <w:sz w:val="24"/>
          <w:szCs w:val="24"/>
        </w:rPr>
      </w:pPr>
      <w:r w:rsidRPr="5AED1B39">
        <w:rPr>
          <w:rFonts w:asciiTheme="minorHAnsi" w:hAnsiTheme="minorHAnsi" w:cstheme="minorBidi"/>
          <w:sz w:val="24"/>
          <w:szCs w:val="24"/>
        </w:rPr>
        <w:t>Consequently, the Applicant asserts, since t</w:t>
      </w:r>
      <w:r w:rsidR="00E71234" w:rsidRPr="5AED1B39">
        <w:rPr>
          <w:rFonts w:asciiTheme="minorHAnsi" w:hAnsiTheme="minorHAnsi" w:cstheme="minorBidi"/>
          <w:sz w:val="24"/>
          <w:szCs w:val="24"/>
        </w:rPr>
        <w:t xml:space="preserve">he Emergency Situation necessitates the potential closure of SEMC, the public health of Boston area residents, </w:t>
      </w:r>
      <w:r w:rsidR="00F01E59" w:rsidRPr="5AED1B39">
        <w:rPr>
          <w:rFonts w:asciiTheme="minorHAnsi" w:hAnsiTheme="minorHAnsi" w:cstheme="minorBidi"/>
          <w:sz w:val="24"/>
          <w:szCs w:val="24"/>
        </w:rPr>
        <w:t xml:space="preserve">particularly </w:t>
      </w:r>
      <w:r w:rsidR="00E71234" w:rsidRPr="5AED1B39">
        <w:rPr>
          <w:rFonts w:asciiTheme="minorHAnsi" w:hAnsiTheme="minorHAnsi" w:cstheme="minorBidi"/>
          <w:sz w:val="24"/>
          <w:szCs w:val="24"/>
        </w:rPr>
        <w:t>those individuals in the neighborhoods of Allston-Brighton, West Roxbury, Waltham, Watertown</w:t>
      </w:r>
      <w:r w:rsidR="00F01E59" w:rsidRPr="5AED1B39">
        <w:rPr>
          <w:rFonts w:asciiTheme="minorHAnsi" w:hAnsiTheme="minorHAnsi" w:cstheme="minorBidi"/>
          <w:sz w:val="24"/>
          <w:szCs w:val="24"/>
        </w:rPr>
        <w:t>, Back Bay, Brookline, Newton and Weston</w:t>
      </w:r>
      <w:r w:rsidR="00E71234" w:rsidRPr="5AED1B39">
        <w:rPr>
          <w:rFonts w:asciiTheme="minorHAnsi" w:hAnsiTheme="minorHAnsi" w:cstheme="minorBidi"/>
          <w:sz w:val="24"/>
          <w:szCs w:val="24"/>
        </w:rPr>
        <w:t xml:space="preserve"> (“Service Area”) that rely on the hospital for all aspects of care, including emergency services</w:t>
      </w:r>
      <w:r w:rsidRPr="5AED1B39">
        <w:rPr>
          <w:rFonts w:asciiTheme="minorHAnsi" w:hAnsiTheme="minorHAnsi" w:cstheme="minorBidi"/>
          <w:sz w:val="24"/>
          <w:szCs w:val="24"/>
        </w:rPr>
        <w:t xml:space="preserve"> is threatened</w:t>
      </w:r>
      <w:r w:rsidR="00E71234" w:rsidRPr="5AED1B39">
        <w:rPr>
          <w:rFonts w:asciiTheme="minorHAnsi" w:hAnsiTheme="minorHAnsi" w:cstheme="minorBidi"/>
          <w:sz w:val="24"/>
          <w:szCs w:val="24"/>
        </w:rPr>
        <w:t>.</w:t>
      </w:r>
      <w:r w:rsidR="00F01E59" w:rsidRPr="5AED1B39">
        <w:rPr>
          <w:rFonts w:asciiTheme="minorHAnsi" w:hAnsiTheme="minorHAnsi" w:cstheme="minorBidi"/>
          <w:sz w:val="24"/>
          <w:szCs w:val="24"/>
        </w:rPr>
        <w:t xml:space="preserve"> </w:t>
      </w:r>
    </w:p>
    <w:p w14:paraId="39DD45FD" w14:textId="77777777" w:rsidR="00360F23" w:rsidRPr="00D85014" w:rsidRDefault="00360F23" w:rsidP="00D85014">
      <w:pPr>
        <w:ind w:right="-10"/>
        <w:rPr>
          <w:rFonts w:asciiTheme="minorHAnsi" w:hAnsiTheme="minorHAnsi" w:cstheme="minorHAnsi"/>
          <w:sz w:val="24"/>
          <w:szCs w:val="24"/>
        </w:rPr>
      </w:pPr>
    </w:p>
    <w:p w14:paraId="26E51B87" w14:textId="77777777" w:rsidR="00FE4E47" w:rsidRDefault="00FE4E47" w:rsidP="00FE4E47">
      <w:pPr>
        <w:pStyle w:val="ListParagraph"/>
        <w:numPr>
          <w:ilvl w:val="0"/>
          <w:numId w:val="6"/>
        </w:numPr>
        <w:spacing w:after="240"/>
        <w:rPr>
          <w:rFonts w:asciiTheme="minorHAnsi" w:hAnsiTheme="minorHAnsi" w:cstheme="minorHAnsi"/>
          <w:b/>
          <w:bCs/>
          <w:sz w:val="24"/>
          <w:szCs w:val="24"/>
        </w:rPr>
      </w:pPr>
      <w:r w:rsidRPr="00D85014">
        <w:rPr>
          <w:rFonts w:asciiTheme="minorHAnsi" w:hAnsiTheme="minorHAnsi" w:cstheme="minorHAnsi"/>
          <w:b/>
          <w:bCs/>
          <w:sz w:val="24"/>
          <w:szCs w:val="24"/>
        </w:rPr>
        <w:t xml:space="preserve">Proposed Project: Nature, Scope, Location, </w:t>
      </w:r>
      <w:r w:rsidRPr="00C213C0">
        <w:rPr>
          <w:rFonts w:asciiTheme="minorHAnsi" w:hAnsiTheme="minorHAnsi" w:cstheme="minorHAnsi"/>
          <w:b/>
          <w:bCs/>
          <w:sz w:val="24"/>
          <w:szCs w:val="24"/>
        </w:rPr>
        <w:t>and Projected Costs</w:t>
      </w:r>
    </w:p>
    <w:p w14:paraId="4FA6B24B" w14:textId="415A145B" w:rsidR="00FE4E47" w:rsidRDefault="00FE4E47" w:rsidP="009D3A88">
      <w:pPr>
        <w:rPr>
          <w:sz w:val="24"/>
          <w:szCs w:val="24"/>
          <w:lang w:bidi="ar-SA"/>
        </w:rPr>
      </w:pPr>
      <w:r w:rsidRPr="5AED1B39">
        <w:rPr>
          <w:rFonts w:asciiTheme="minorHAnsi" w:hAnsiTheme="minorHAnsi" w:cstheme="minorBidi"/>
          <w:sz w:val="24"/>
          <w:szCs w:val="24"/>
        </w:rPr>
        <w:t xml:space="preserve">BMC Community Hospital Corporation II d/b/a St. Elizabeth’s Medical Center is the new corporate </w:t>
      </w:r>
      <w:r w:rsidRPr="5AED1B39">
        <w:rPr>
          <w:rFonts w:asciiTheme="minorHAnsi" w:hAnsiTheme="minorHAnsi" w:cstheme="minorBidi"/>
          <w:sz w:val="24"/>
          <w:szCs w:val="24"/>
        </w:rPr>
        <w:lastRenderedPageBreak/>
        <w:t xml:space="preserve">entity that BMCHS formed in response to the bankruptcy of Steward Health Care. </w:t>
      </w:r>
      <w:r w:rsidRPr="5AED1B39">
        <w:rPr>
          <w:sz w:val="24"/>
          <w:szCs w:val="24"/>
          <w:lang w:bidi="ar-SA"/>
        </w:rPr>
        <w:t>SEMC’s 2021 Community Health Needs Assessment outlines health care services provided by the hospital including inpatient and outpatient care, as well as family medicine, cardiovascular care, women and infants’ health, oncology, neurology, and orthopedics.</w:t>
      </w:r>
      <w:r w:rsidR="00E81B7E" w:rsidRPr="5AED1B39">
        <w:rPr>
          <w:sz w:val="24"/>
          <w:szCs w:val="24"/>
          <w:lang w:bidi="ar-SA"/>
        </w:rPr>
        <w:t xml:space="preserve"> </w:t>
      </w:r>
    </w:p>
    <w:p w14:paraId="112023FC" w14:textId="77777777" w:rsidR="00CB7763" w:rsidRPr="00432A50" w:rsidRDefault="00CB7763" w:rsidP="009D3A88">
      <w:pPr>
        <w:rPr>
          <w:sz w:val="24"/>
          <w:szCs w:val="24"/>
          <w:lang w:bidi="ar-SA"/>
        </w:rPr>
      </w:pPr>
    </w:p>
    <w:p w14:paraId="2757436D" w14:textId="12C98143" w:rsidR="00CB7763" w:rsidRDefault="00CB7763" w:rsidP="009D3A88">
      <w:pPr>
        <w:widowControl/>
        <w:autoSpaceDE/>
        <w:autoSpaceDN/>
        <w:rPr>
          <w:sz w:val="24"/>
          <w:szCs w:val="24"/>
        </w:rPr>
      </w:pPr>
      <w:r>
        <w:rPr>
          <w:sz w:val="24"/>
          <w:szCs w:val="24"/>
        </w:rPr>
        <w:t>T</w:t>
      </w:r>
      <w:r w:rsidRPr="00CB7763">
        <w:rPr>
          <w:sz w:val="24"/>
          <w:szCs w:val="24"/>
        </w:rPr>
        <w:t xml:space="preserve">he Applicant is seeking a Transfer of Ownership of SEMC to BMC Community Hospital Corporation II (“Proposed Project), so it may so it may continue </w:t>
      </w:r>
      <w:r>
        <w:rPr>
          <w:sz w:val="24"/>
          <w:szCs w:val="24"/>
        </w:rPr>
        <w:t xml:space="preserve">the </w:t>
      </w:r>
      <w:r w:rsidRPr="00CB7763">
        <w:rPr>
          <w:sz w:val="24"/>
          <w:szCs w:val="24"/>
        </w:rPr>
        <w:t>operat</w:t>
      </w:r>
      <w:r>
        <w:rPr>
          <w:sz w:val="24"/>
          <w:szCs w:val="24"/>
        </w:rPr>
        <w:t>ions of</w:t>
      </w:r>
      <w:r w:rsidRPr="00CB7763">
        <w:rPr>
          <w:sz w:val="24"/>
          <w:szCs w:val="24"/>
        </w:rPr>
        <w:t xml:space="preserve"> the 306-bed academic medical center located at 736 Cambridge Street, Boston</w:t>
      </w:r>
      <w:r w:rsidR="00010A70">
        <w:rPr>
          <w:sz w:val="24"/>
          <w:szCs w:val="24"/>
        </w:rPr>
        <w:t>,</w:t>
      </w:r>
      <w:r>
        <w:rPr>
          <w:sz w:val="24"/>
          <w:szCs w:val="24"/>
        </w:rPr>
        <w:t xml:space="preserve"> </w:t>
      </w:r>
      <w:r w:rsidRPr="00CB7763">
        <w:rPr>
          <w:sz w:val="24"/>
          <w:szCs w:val="24"/>
        </w:rPr>
        <w:t>so as to preserve access to care for area residents thereby preventing the harm to public health of the patients in the hospital’s service area that would be caused by its abrupt closure</w:t>
      </w:r>
      <w:r>
        <w:rPr>
          <w:sz w:val="24"/>
          <w:szCs w:val="24"/>
        </w:rPr>
        <w:t xml:space="preserve">. </w:t>
      </w:r>
    </w:p>
    <w:p w14:paraId="33210738" w14:textId="77777777" w:rsidR="009D3A88" w:rsidRPr="00CB7763" w:rsidRDefault="009D3A88" w:rsidP="009D3A88">
      <w:pPr>
        <w:widowControl/>
        <w:autoSpaceDE/>
        <w:autoSpaceDN/>
        <w:rPr>
          <w:sz w:val="24"/>
          <w:szCs w:val="24"/>
        </w:rPr>
      </w:pPr>
    </w:p>
    <w:p w14:paraId="6223A3A3" w14:textId="4A487838" w:rsidR="00E71234" w:rsidRDefault="51927A43" w:rsidP="5AED1B39">
      <w:pPr>
        <w:widowControl/>
        <w:rPr>
          <w:sz w:val="24"/>
          <w:szCs w:val="24"/>
        </w:rPr>
      </w:pPr>
      <w:r w:rsidRPr="5AED1B39">
        <w:rPr>
          <w:sz w:val="24"/>
          <w:szCs w:val="24"/>
        </w:rPr>
        <w:t>Accordingly,</w:t>
      </w:r>
      <w:r w:rsidR="28184AC2" w:rsidRPr="5AED1B39">
        <w:rPr>
          <w:sz w:val="24"/>
          <w:szCs w:val="24"/>
        </w:rPr>
        <w:t xml:space="preserve"> </w:t>
      </w:r>
      <w:r w:rsidR="02B405BB" w:rsidRPr="5AED1B39">
        <w:rPr>
          <w:sz w:val="24"/>
          <w:szCs w:val="24"/>
        </w:rPr>
        <w:t xml:space="preserve">the </w:t>
      </w:r>
      <w:r w:rsidR="28184AC2" w:rsidRPr="5AED1B39">
        <w:rPr>
          <w:sz w:val="24"/>
          <w:szCs w:val="24"/>
        </w:rPr>
        <w:t>Applicant states,</w:t>
      </w:r>
      <w:r w:rsidRPr="5AED1B39">
        <w:rPr>
          <w:sz w:val="24"/>
          <w:szCs w:val="24"/>
        </w:rPr>
        <w:t xml:space="preserve"> the loss of this vital institution will create a substantial hardship on the greater Boston community and surrounding towns, particularly under-resourced communities still seeking to recover from the COVID-19 pandemic.</w:t>
      </w:r>
      <w:r w:rsidR="74D8839C" w:rsidRPr="5AED1B39">
        <w:rPr>
          <w:sz w:val="24"/>
          <w:szCs w:val="24"/>
        </w:rPr>
        <w:t xml:space="preserve">  </w:t>
      </w:r>
      <w:r w:rsidR="37040A4F" w:rsidRPr="5AED1B39">
        <w:rPr>
          <w:sz w:val="24"/>
          <w:szCs w:val="24"/>
        </w:rPr>
        <w:t>SEMC</w:t>
      </w:r>
      <w:r w:rsidR="74D8839C" w:rsidRPr="5AED1B39">
        <w:rPr>
          <w:sz w:val="24"/>
          <w:szCs w:val="24"/>
        </w:rPr>
        <w:t xml:space="preserve"> is licensed as a maternity and neonatal ICU provider.</w:t>
      </w:r>
      <w:r w:rsidR="002E3742">
        <w:rPr>
          <w:rStyle w:val="FootnoteReference"/>
          <w:sz w:val="24"/>
          <w:szCs w:val="24"/>
        </w:rPr>
        <w:footnoteReference w:id="4"/>
      </w:r>
      <w:r w:rsidR="74D8839C" w:rsidRPr="5AED1B39">
        <w:rPr>
          <w:sz w:val="24"/>
          <w:szCs w:val="24"/>
        </w:rPr>
        <w:t xml:space="preserve"> </w:t>
      </w:r>
      <w:r w:rsidRPr="5AED1B39">
        <w:rPr>
          <w:sz w:val="24"/>
          <w:szCs w:val="24"/>
        </w:rPr>
        <w:t>The Closure of SEMC would place an additional burden on other area health care providers who would need to accommodate additional patients</w:t>
      </w:r>
      <w:r w:rsidR="67B72C5D" w:rsidRPr="5AED1B39">
        <w:rPr>
          <w:sz w:val="24"/>
          <w:szCs w:val="24"/>
        </w:rPr>
        <w:t xml:space="preserve"> as shown under </w:t>
      </w:r>
      <w:r w:rsidR="0F71BD98" w:rsidRPr="35C27C5C">
        <w:rPr>
          <w:i/>
          <w:iCs/>
          <w:sz w:val="24"/>
          <w:szCs w:val="24"/>
        </w:rPr>
        <w:t>Staff Analysis</w:t>
      </w:r>
      <w:r w:rsidRPr="5AED1B39">
        <w:rPr>
          <w:sz w:val="24"/>
          <w:szCs w:val="24"/>
        </w:rPr>
        <w:t>.</w:t>
      </w:r>
      <w:r w:rsidR="0F71BD98" w:rsidRPr="5AED1B39">
        <w:rPr>
          <w:sz w:val="24"/>
          <w:szCs w:val="24"/>
        </w:rPr>
        <w:t xml:space="preserve"> </w:t>
      </w:r>
      <w:r w:rsidR="56AC6839" w:rsidRPr="5AED1B39">
        <w:rPr>
          <w:sz w:val="24"/>
          <w:szCs w:val="24"/>
        </w:rPr>
        <w:t xml:space="preserve">The Applicant stresses that this Proposed Project will ensure that area residents have access to urgent and emergent health care services, acute inpatient and outpatient services and it will ensure that under-resourced populations have continued access to timely services, addressing disparities, and promoting health equity. </w:t>
      </w:r>
    </w:p>
    <w:p w14:paraId="78256ECA" w14:textId="77777777" w:rsidR="00EC1347" w:rsidRDefault="00EC1347" w:rsidP="009D3A88">
      <w:pPr>
        <w:widowControl/>
        <w:autoSpaceDE/>
        <w:autoSpaceDN/>
        <w:rPr>
          <w:sz w:val="24"/>
          <w:szCs w:val="24"/>
        </w:rPr>
      </w:pPr>
    </w:p>
    <w:p w14:paraId="6E4B6B7A" w14:textId="2BA8487B" w:rsidR="00EC1347" w:rsidRPr="00E71234" w:rsidRDefault="00EC1347" w:rsidP="009D3A88">
      <w:pPr>
        <w:widowControl/>
        <w:autoSpaceDE/>
        <w:autoSpaceDN/>
        <w:rPr>
          <w:sz w:val="24"/>
          <w:szCs w:val="24"/>
        </w:rPr>
      </w:pPr>
      <w:r w:rsidRPr="35C27C5C">
        <w:rPr>
          <w:sz w:val="24"/>
          <w:szCs w:val="24"/>
        </w:rPr>
        <w:t>The Applicant notes that SEMC operated a fifteen (15) bed inpatient geriatric psychiatry unit at Carney Hospital in Dorchester which closed on August 31, 2024</w:t>
      </w:r>
      <w:r w:rsidR="00A34A11" w:rsidRPr="35C27C5C">
        <w:rPr>
          <w:sz w:val="24"/>
          <w:szCs w:val="24"/>
        </w:rPr>
        <w:t>, and</w:t>
      </w:r>
      <w:r w:rsidRPr="35C27C5C">
        <w:rPr>
          <w:sz w:val="24"/>
          <w:szCs w:val="24"/>
        </w:rPr>
        <w:t xml:space="preserve"> requests that the Department designate these 15 inpatient geriatric psychiatry beds as out</w:t>
      </w:r>
      <w:r w:rsidR="00E10D9E" w:rsidRPr="35C27C5C">
        <w:rPr>
          <w:sz w:val="24"/>
          <w:szCs w:val="24"/>
        </w:rPr>
        <w:t>-</w:t>
      </w:r>
      <w:r w:rsidRPr="35C27C5C">
        <w:rPr>
          <w:sz w:val="24"/>
          <w:szCs w:val="24"/>
        </w:rPr>
        <w:t>of</w:t>
      </w:r>
      <w:r w:rsidR="00E10D9E" w:rsidRPr="35C27C5C">
        <w:rPr>
          <w:sz w:val="24"/>
          <w:szCs w:val="24"/>
        </w:rPr>
        <w:t>-</w:t>
      </w:r>
      <w:r w:rsidRPr="35C27C5C">
        <w:rPr>
          <w:sz w:val="24"/>
          <w:szCs w:val="24"/>
        </w:rPr>
        <w:t>service. The Applicant</w:t>
      </w:r>
      <w:r w:rsidR="00E10D9E" w:rsidRPr="35C27C5C">
        <w:rPr>
          <w:sz w:val="24"/>
          <w:szCs w:val="24"/>
        </w:rPr>
        <w:t xml:space="preserve"> affirms its commitment</w:t>
      </w:r>
      <w:r w:rsidRPr="35C27C5C">
        <w:rPr>
          <w:sz w:val="24"/>
          <w:szCs w:val="24"/>
        </w:rPr>
        <w:t xml:space="preserve"> to ensuring access to critically needed inpatient psychiatry beds as a result of the ongoing behavioral health emergency in the Commonwealth. The designation of these 15 beds as out of service will allow the Applicant to determine the best processes for bringing these beds back into service as quickly and safely as possible. </w:t>
      </w:r>
    </w:p>
    <w:p w14:paraId="2086F9B0" w14:textId="77777777" w:rsidR="009D3A88" w:rsidRDefault="009D3A88" w:rsidP="00E71234">
      <w:pPr>
        <w:rPr>
          <w:sz w:val="24"/>
          <w:szCs w:val="24"/>
        </w:rPr>
      </w:pPr>
    </w:p>
    <w:p w14:paraId="6DB73A7F" w14:textId="0D3FF74D" w:rsidR="00E71234" w:rsidRPr="00E71234" w:rsidRDefault="57A3CAAF" w:rsidP="1B190206">
      <w:pPr>
        <w:rPr>
          <w:rFonts w:asciiTheme="minorHAnsi" w:hAnsiTheme="minorHAnsi" w:cstheme="minorBidi"/>
          <w:i/>
          <w:iCs/>
          <w:sz w:val="24"/>
          <w:szCs w:val="24"/>
        </w:rPr>
      </w:pPr>
      <w:r w:rsidRPr="1B190206">
        <w:rPr>
          <w:rFonts w:asciiTheme="minorHAnsi" w:hAnsiTheme="minorHAnsi" w:cstheme="minorBidi"/>
          <w:sz w:val="24"/>
          <w:szCs w:val="24"/>
        </w:rPr>
        <w:t xml:space="preserve">The total value of the Proposed Project based on the Asset Purchase Agreement (“APA”) is $140,000,000, which includes the acquisition of </w:t>
      </w:r>
      <w:r w:rsidR="4DA21975" w:rsidRPr="1B190206">
        <w:rPr>
          <w:rFonts w:asciiTheme="minorHAnsi" w:hAnsiTheme="minorHAnsi" w:cstheme="minorBidi"/>
          <w:sz w:val="24"/>
          <w:szCs w:val="24"/>
        </w:rPr>
        <w:t xml:space="preserve">both SEMC and </w:t>
      </w:r>
      <w:r w:rsidRPr="1B190206">
        <w:rPr>
          <w:rFonts w:asciiTheme="minorHAnsi" w:hAnsiTheme="minorHAnsi" w:cstheme="minorBidi"/>
          <w:sz w:val="24"/>
          <w:szCs w:val="24"/>
        </w:rPr>
        <w:t>Good Samaritan Hospital.</w:t>
      </w:r>
      <w:r w:rsidR="00E71234" w:rsidRPr="1B190206">
        <w:rPr>
          <w:rStyle w:val="FootnoteReference"/>
          <w:rFonts w:asciiTheme="minorHAnsi" w:hAnsiTheme="minorHAnsi" w:cstheme="minorBidi"/>
          <w:sz w:val="24"/>
          <w:szCs w:val="24"/>
        </w:rPr>
        <w:footnoteReference w:id="5"/>
      </w:r>
      <w:r w:rsidRPr="1B190206">
        <w:rPr>
          <w:rFonts w:asciiTheme="minorHAnsi" w:hAnsiTheme="minorHAnsi" w:cstheme="minorBidi"/>
          <w:sz w:val="24"/>
          <w:szCs w:val="24"/>
        </w:rPr>
        <w:t xml:space="preserve"> </w:t>
      </w:r>
    </w:p>
    <w:p w14:paraId="663796C6" w14:textId="77777777" w:rsidR="00A37B89" w:rsidRPr="00B76DED" w:rsidRDefault="00A37B89" w:rsidP="001B72DB">
      <w:pPr>
        <w:pStyle w:val="BodyText"/>
        <w:rPr>
          <w:rFonts w:asciiTheme="minorHAnsi" w:hAnsiTheme="minorHAnsi" w:cstheme="minorHAnsi"/>
          <w:sz w:val="24"/>
          <w:szCs w:val="24"/>
        </w:rPr>
      </w:pPr>
    </w:p>
    <w:p w14:paraId="612D6E3B" w14:textId="77777777" w:rsidR="007D7AC9" w:rsidRPr="007D7AC9" w:rsidRDefault="007D7AC9" w:rsidP="00FE4E47">
      <w:pPr>
        <w:pStyle w:val="BodyText"/>
        <w:numPr>
          <w:ilvl w:val="0"/>
          <w:numId w:val="6"/>
        </w:numPr>
        <w:rPr>
          <w:rFonts w:asciiTheme="minorHAnsi" w:hAnsiTheme="minorHAnsi" w:cstheme="minorHAnsi"/>
          <w:b/>
          <w:bCs/>
          <w:sz w:val="24"/>
          <w:szCs w:val="24"/>
        </w:rPr>
      </w:pPr>
      <w:r w:rsidRPr="007D7AC9">
        <w:rPr>
          <w:rFonts w:asciiTheme="minorHAnsi" w:hAnsiTheme="minorHAnsi" w:cstheme="minorHAnsi"/>
          <w:b/>
          <w:bCs/>
          <w:sz w:val="24"/>
          <w:szCs w:val="24"/>
        </w:rPr>
        <w:t>Demonstration that the Proposed Project will address the Emergency Situation, and that without issuance of a Notice of Determination of Need, the public health will be measurably harmed</w:t>
      </w:r>
    </w:p>
    <w:p w14:paraId="75E4AF7E" w14:textId="77777777" w:rsidR="007D7AC9" w:rsidRDefault="007D7AC9" w:rsidP="001B72DB">
      <w:pPr>
        <w:pStyle w:val="BodyText"/>
        <w:rPr>
          <w:rFonts w:asciiTheme="minorHAnsi" w:hAnsiTheme="minorHAnsi" w:cstheme="minorHAnsi"/>
          <w:sz w:val="24"/>
          <w:szCs w:val="24"/>
        </w:rPr>
      </w:pPr>
    </w:p>
    <w:p w14:paraId="67C015DD" w14:textId="1E822DD4" w:rsidR="008519DA" w:rsidRDefault="06A3BDFB" w:rsidP="7E14E4DF">
      <w:pPr>
        <w:pStyle w:val="BodyText"/>
        <w:rPr>
          <w:rFonts w:asciiTheme="minorHAnsi" w:hAnsiTheme="minorHAnsi" w:cstheme="minorBidi"/>
          <w:sz w:val="24"/>
          <w:szCs w:val="24"/>
        </w:rPr>
      </w:pPr>
      <w:r w:rsidRPr="5AED1B39">
        <w:rPr>
          <w:rFonts w:asciiTheme="minorHAnsi" w:hAnsiTheme="minorHAnsi" w:cstheme="minorBidi"/>
          <w:sz w:val="24"/>
          <w:szCs w:val="24"/>
        </w:rPr>
        <w:t xml:space="preserve">The Applicant states SEMC provides vital health care services to its patients and that </w:t>
      </w:r>
      <w:r w:rsidR="2B86CDC1" w:rsidRPr="5AED1B39">
        <w:rPr>
          <w:rFonts w:asciiTheme="minorHAnsi" w:hAnsiTheme="minorHAnsi" w:cstheme="minorBidi"/>
          <w:sz w:val="24"/>
          <w:szCs w:val="24"/>
        </w:rPr>
        <w:t>t</w:t>
      </w:r>
      <w:r w:rsidRPr="5AED1B39">
        <w:rPr>
          <w:rFonts w:asciiTheme="minorHAnsi" w:hAnsiTheme="minorHAnsi" w:cstheme="minorBidi"/>
          <w:sz w:val="24"/>
          <w:szCs w:val="24"/>
        </w:rPr>
        <w:t xml:space="preserve">he Proposed Project will ensure continued access to health care services in the greater </w:t>
      </w:r>
      <w:r w:rsidR="7085E899" w:rsidRPr="5AED1B39">
        <w:rPr>
          <w:rFonts w:asciiTheme="minorHAnsi" w:hAnsiTheme="minorHAnsi" w:cstheme="minorBidi"/>
          <w:sz w:val="24"/>
          <w:szCs w:val="24"/>
        </w:rPr>
        <w:t xml:space="preserve">Boston </w:t>
      </w:r>
      <w:r w:rsidRPr="5AED1B39">
        <w:rPr>
          <w:rFonts w:asciiTheme="minorHAnsi" w:hAnsiTheme="minorHAnsi" w:cstheme="minorBidi"/>
          <w:sz w:val="24"/>
          <w:szCs w:val="24"/>
        </w:rPr>
        <w:t>area</w:t>
      </w:r>
      <w:r w:rsidR="16462B7F" w:rsidRPr="5AED1B39">
        <w:rPr>
          <w:rFonts w:asciiTheme="minorHAnsi" w:hAnsiTheme="minorHAnsi" w:cstheme="minorBidi"/>
          <w:sz w:val="24"/>
          <w:szCs w:val="24"/>
        </w:rPr>
        <w:t>.</w:t>
      </w:r>
      <w:r w:rsidRPr="5AED1B39">
        <w:rPr>
          <w:rFonts w:asciiTheme="minorHAnsi" w:hAnsiTheme="minorHAnsi" w:cstheme="minorBidi"/>
          <w:sz w:val="24"/>
          <w:szCs w:val="24"/>
        </w:rPr>
        <w:t xml:space="preserve"> The loss of a health care provider, and a lack of available health care services in the </w:t>
      </w:r>
      <w:r w:rsidR="7085E899" w:rsidRPr="5AED1B39">
        <w:rPr>
          <w:rFonts w:asciiTheme="minorHAnsi" w:hAnsiTheme="minorHAnsi" w:cstheme="minorBidi"/>
          <w:sz w:val="24"/>
          <w:szCs w:val="24"/>
        </w:rPr>
        <w:t xml:space="preserve">service </w:t>
      </w:r>
      <w:r w:rsidRPr="5AED1B39">
        <w:rPr>
          <w:rFonts w:asciiTheme="minorHAnsi" w:hAnsiTheme="minorHAnsi" w:cstheme="minorBidi"/>
          <w:sz w:val="24"/>
          <w:szCs w:val="24"/>
        </w:rPr>
        <w:t xml:space="preserve">area would </w:t>
      </w:r>
      <w:r w:rsidRPr="5AED1B39">
        <w:rPr>
          <w:rFonts w:asciiTheme="minorHAnsi" w:hAnsiTheme="minorHAnsi" w:cstheme="minorBidi"/>
          <w:sz w:val="24"/>
          <w:szCs w:val="24"/>
        </w:rPr>
        <w:lastRenderedPageBreak/>
        <w:t>measurably harm residents, particularly those who face persistent SDOH challenges. The Applicant</w:t>
      </w:r>
      <w:r w:rsidR="28184AC2" w:rsidRPr="5AED1B39">
        <w:rPr>
          <w:rFonts w:asciiTheme="minorHAnsi" w:hAnsiTheme="minorHAnsi" w:cstheme="minorBidi"/>
          <w:sz w:val="24"/>
          <w:szCs w:val="24"/>
        </w:rPr>
        <w:t xml:space="preserve"> asserts the</w:t>
      </w:r>
      <w:r w:rsidRPr="5AED1B39">
        <w:rPr>
          <w:rFonts w:asciiTheme="minorHAnsi" w:hAnsiTheme="minorHAnsi" w:cstheme="minorBidi"/>
          <w:sz w:val="24"/>
          <w:szCs w:val="24"/>
        </w:rPr>
        <w:t xml:space="preserve"> Proposed Project will ensure continued availability of high-quality acute inpatient and outpatient services without disruption; and it aims to meet the needs of residents and prevent lengthening delays for care that have been persistent since the COVID-19 pandemic</w:t>
      </w:r>
      <w:r w:rsidR="283868A9" w:rsidRPr="5AED1B39">
        <w:rPr>
          <w:rFonts w:asciiTheme="minorHAnsi" w:hAnsiTheme="minorHAnsi" w:cstheme="minorBidi"/>
          <w:sz w:val="24"/>
          <w:szCs w:val="24"/>
        </w:rPr>
        <w:t>.</w:t>
      </w:r>
    </w:p>
    <w:p w14:paraId="6AF11CB0" w14:textId="77777777" w:rsidR="005839E5" w:rsidRDefault="005839E5" w:rsidP="008519DA">
      <w:pPr>
        <w:pStyle w:val="BodyText"/>
        <w:rPr>
          <w:rFonts w:asciiTheme="minorHAnsi" w:hAnsiTheme="minorHAnsi" w:cstheme="minorHAnsi"/>
          <w:sz w:val="24"/>
          <w:szCs w:val="24"/>
        </w:rPr>
      </w:pPr>
    </w:p>
    <w:p w14:paraId="356B725A" w14:textId="21A085DA" w:rsidR="005839E5" w:rsidRPr="005839E5" w:rsidRDefault="283868A9" w:rsidP="005839E5">
      <w:pPr>
        <w:widowControl/>
        <w:autoSpaceDE/>
        <w:autoSpaceDN/>
        <w:rPr>
          <w:sz w:val="24"/>
          <w:szCs w:val="24"/>
          <w:lang w:bidi="ar-SA"/>
        </w:rPr>
      </w:pPr>
      <w:r w:rsidRPr="35C27C5C">
        <w:rPr>
          <w:sz w:val="24"/>
          <w:szCs w:val="24"/>
          <w:lang w:bidi="ar-SA"/>
        </w:rPr>
        <w:t>The Applicant affirms its commitment to providing a continuum of care at SEMC, including the provision of a comprehensive range of services such as primary care, cardiology, cancer care, surgery and other inpatient services, as well as emergency care. The provision of all services at SEMC, including maternal and child health services (such as obstetrics, newborn nursery, and NICU services) is subject to the availability of staff, and ensuring quality and patient safety standards</w:t>
      </w:r>
      <w:r w:rsidR="752AA5E6" w:rsidRPr="35C27C5C">
        <w:rPr>
          <w:sz w:val="24"/>
          <w:szCs w:val="24"/>
          <w:lang w:bidi="ar-SA"/>
        </w:rPr>
        <w:t xml:space="preserve"> which the Holder will report on a</w:t>
      </w:r>
      <w:r w:rsidR="3243057E" w:rsidRPr="35C27C5C">
        <w:rPr>
          <w:sz w:val="24"/>
          <w:szCs w:val="24"/>
          <w:lang w:bidi="ar-SA"/>
        </w:rPr>
        <w:t>s outlined in the Other Conditions.</w:t>
      </w:r>
      <w:r w:rsidRPr="35C27C5C">
        <w:rPr>
          <w:sz w:val="24"/>
          <w:szCs w:val="24"/>
          <w:lang w:bidi="ar-SA"/>
        </w:rPr>
        <w:t xml:space="preserve"> Accordingly, the Applicant intends to complete a robust evaluation of all service lines at SEMC in the coming months.</w:t>
      </w:r>
      <w:r w:rsidR="496C80D1" w:rsidRPr="35C27C5C">
        <w:rPr>
          <w:sz w:val="24"/>
          <w:szCs w:val="24"/>
          <w:lang w:bidi="ar-SA"/>
        </w:rPr>
        <w:t xml:space="preserve"> </w:t>
      </w:r>
    </w:p>
    <w:p w14:paraId="660E5B74" w14:textId="77777777" w:rsidR="003A2334" w:rsidRPr="008519DA" w:rsidRDefault="003A2334" w:rsidP="008519DA">
      <w:pPr>
        <w:pStyle w:val="BodyText"/>
        <w:rPr>
          <w:rFonts w:asciiTheme="minorHAnsi" w:hAnsiTheme="minorHAnsi" w:cstheme="minorHAnsi"/>
          <w:sz w:val="24"/>
          <w:szCs w:val="24"/>
        </w:rPr>
      </w:pPr>
    </w:p>
    <w:p w14:paraId="545143A2" w14:textId="4F13B718" w:rsidR="00C07147" w:rsidRDefault="083CEE34" w:rsidP="7E14E4DF">
      <w:pPr>
        <w:pStyle w:val="BodyText"/>
        <w:rPr>
          <w:rFonts w:asciiTheme="minorHAnsi" w:hAnsiTheme="minorHAnsi" w:cstheme="minorBidi"/>
          <w:b/>
          <w:bCs/>
          <w:sz w:val="24"/>
          <w:szCs w:val="24"/>
        </w:rPr>
      </w:pPr>
      <w:r w:rsidRPr="7E14E4DF">
        <w:rPr>
          <w:rFonts w:asciiTheme="minorHAnsi" w:hAnsiTheme="minorHAnsi" w:cstheme="minorBidi"/>
          <w:b/>
          <w:bCs/>
          <w:sz w:val="24"/>
          <w:szCs w:val="24"/>
        </w:rPr>
        <w:t>Staff Analysis</w:t>
      </w:r>
    </w:p>
    <w:p w14:paraId="575EFB53" w14:textId="51A3697C" w:rsidR="7E14E4DF" w:rsidRDefault="7E14E4DF" w:rsidP="7E14E4DF">
      <w:pPr>
        <w:pStyle w:val="BodyText"/>
        <w:rPr>
          <w:rFonts w:asciiTheme="minorHAnsi" w:hAnsiTheme="minorHAnsi" w:cstheme="minorBidi"/>
          <w:b/>
          <w:bCs/>
          <w:sz w:val="24"/>
          <w:szCs w:val="24"/>
        </w:rPr>
      </w:pPr>
    </w:p>
    <w:p w14:paraId="3F3A9BFF" w14:textId="2C231E35" w:rsidR="00EC1347" w:rsidRDefault="40D341F4" w:rsidP="7E14E4DF">
      <w:pPr>
        <w:pStyle w:val="BodyText"/>
        <w:rPr>
          <w:rFonts w:asciiTheme="minorHAnsi" w:hAnsiTheme="minorHAnsi" w:cstheme="minorBidi"/>
          <w:sz w:val="24"/>
          <w:szCs w:val="24"/>
        </w:rPr>
      </w:pPr>
      <w:r w:rsidRPr="5AED1B39">
        <w:rPr>
          <w:rFonts w:asciiTheme="minorHAnsi" w:hAnsiTheme="minorHAnsi" w:cstheme="minorBidi"/>
          <w:sz w:val="24"/>
          <w:szCs w:val="24"/>
        </w:rPr>
        <w:t>Staff notes that the dire financial situation resulting in the Steward bankruptcy filing is well documented and reported and has left SEMC in a situation where it has been under financial constraints leading to underinvestment in infrastructure and operations. The Applicant reports that it does not have full access as to the extent of the damage caused by the current situation or what resources will be needed to bring it back to a fully functioning healthy entity. (Staff recommends annual reporting on the Status of the facility in Other Conditions.)</w:t>
      </w:r>
    </w:p>
    <w:p w14:paraId="5709210F" w14:textId="77777777" w:rsidR="00F9354E" w:rsidRDefault="00F9354E" w:rsidP="5AED1B39">
      <w:pPr>
        <w:pStyle w:val="BodyText"/>
        <w:rPr>
          <w:rFonts w:asciiTheme="minorHAnsi" w:hAnsiTheme="minorHAnsi" w:cstheme="minorBidi"/>
          <w:sz w:val="24"/>
          <w:szCs w:val="24"/>
        </w:rPr>
      </w:pPr>
    </w:p>
    <w:p w14:paraId="0532C36E" w14:textId="41B731CB" w:rsidR="00152ACB" w:rsidRDefault="16462B7F" w:rsidP="00051552">
      <w:r w:rsidRPr="5AED1B39">
        <w:rPr>
          <w:rFonts w:asciiTheme="minorHAnsi" w:hAnsiTheme="minorHAnsi" w:cstheme="minorBidi"/>
          <w:sz w:val="24"/>
          <w:szCs w:val="24"/>
        </w:rPr>
        <w:t xml:space="preserve">In the service area of SEMC there are </w:t>
      </w:r>
      <w:r w:rsidR="650D1F45" w:rsidRPr="5AED1B39">
        <w:rPr>
          <w:rFonts w:asciiTheme="minorHAnsi" w:hAnsiTheme="minorHAnsi" w:cstheme="minorBidi"/>
          <w:sz w:val="24"/>
          <w:szCs w:val="24"/>
        </w:rPr>
        <w:t>six</w:t>
      </w:r>
      <w:r w:rsidRPr="5AED1B39">
        <w:rPr>
          <w:rFonts w:asciiTheme="minorHAnsi" w:hAnsiTheme="minorHAnsi" w:cstheme="minorBidi"/>
          <w:sz w:val="24"/>
          <w:szCs w:val="24"/>
        </w:rPr>
        <w:t xml:space="preserve"> hospitals</w:t>
      </w:r>
      <w:r w:rsidR="7E4EFF50" w:rsidRPr="5AED1B39">
        <w:rPr>
          <w:rFonts w:asciiTheme="minorHAnsi" w:hAnsiTheme="minorHAnsi" w:cstheme="minorBidi"/>
          <w:sz w:val="24"/>
          <w:szCs w:val="24"/>
        </w:rPr>
        <w:t xml:space="preserve"> (Tufts Medical Center, Massachusetts General, Brigham and W</w:t>
      </w:r>
      <w:r w:rsidR="2FAC778C" w:rsidRPr="5AED1B39">
        <w:rPr>
          <w:rFonts w:asciiTheme="minorHAnsi" w:hAnsiTheme="minorHAnsi" w:cstheme="minorBidi"/>
          <w:sz w:val="24"/>
          <w:szCs w:val="24"/>
        </w:rPr>
        <w:t>omen’s, Beth Israel</w:t>
      </w:r>
      <w:r w:rsidR="47AC0272" w:rsidRPr="5AED1B39">
        <w:rPr>
          <w:rFonts w:asciiTheme="minorHAnsi" w:hAnsiTheme="minorHAnsi" w:cstheme="minorBidi"/>
          <w:sz w:val="24"/>
          <w:szCs w:val="24"/>
        </w:rPr>
        <w:t>, Boston Medical Center)</w:t>
      </w:r>
      <w:r w:rsidRPr="5AED1B39">
        <w:rPr>
          <w:rFonts w:asciiTheme="minorHAnsi" w:hAnsiTheme="minorHAnsi" w:cstheme="minorBidi"/>
          <w:sz w:val="24"/>
          <w:szCs w:val="24"/>
        </w:rPr>
        <w:t xml:space="preserve"> with a total of 2,608 licensed beds.  With the exception of BMC</w:t>
      </w:r>
      <w:r w:rsidR="48A76AAB" w:rsidRPr="5AED1B39">
        <w:rPr>
          <w:rFonts w:asciiTheme="minorHAnsi" w:hAnsiTheme="minorHAnsi" w:cstheme="minorBidi"/>
          <w:sz w:val="24"/>
          <w:szCs w:val="24"/>
        </w:rPr>
        <w:t>,</w:t>
      </w:r>
      <w:r w:rsidRPr="5AED1B39">
        <w:rPr>
          <w:rFonts w:asciiTheme="minorHAnsi" w:hAnsiTheme="minorHAnsi" w:cstheme="minorBidi"/>
          <w:sz w:val="24"/>
          <w:szCs w:val="24"/>
        </w:rPr>
        <w:t xml:space="preserve"> none has all of their beds fully staffed (~2,443 are staffed.) </w:t>
      </w:r>
      <w:r w:rsidR="3961A741" w:rsidRPr="5AED1B39">
        <w:rPr>
          <w:rFonts w:asciiTheme="minorHAnsi" w:hAnsiTheme="minorHAnsi" w:cstheme="minorBidi"/>
          <w:sz w:val="24"/>
          <w:szCs w:val="24"/>
        </w:rPr>
        <w:t xml:space="preserve">Using </w:t>
      </w:r>
      <w:r w:rsidR="3961A741" w:rsidRPr="5AED1B39">
        <w:rPr>
          <w:color w:val="000000" w:themeColor="text1"/>
          <w:sz w:val="24"/>
          <w:szCs w:val="24"/>
        </w:rPr>
        <w:t xml:space="preserve">licensed beds to define occupancy rates, rates range from </w:t>
      </w:r>
      <w:r w:rsidRPr="5AED1B39">
        <w:rPr>
          <w:rFonts w:asciiTheme="minorHAnsi" w:hAnsiTheme="minorHAnsi" w:cstheme="minorBidi"/>
          <w:sz w:val="24"/>
          <w:szCs w:val="24"/>
        </w:rPr>
        <w:t xml:space="preserve">~54% at SEMC to ~106% at BMC. SEMC comprises ~6% of the regional med/surg bed capacity and saw </w:t>
      </w:r>
      <w:r w:rsidR="35FD152A" w:rsidRPr="5AED1B39">
        <w:rPr>
          <w:rFonts w:asciiTheme="minorHAnsi" w:hAnsiTheme="minorHAnsi" w:cstheme="minorBidi"/>
          <w:sz w:val="24"/>
          <w:szCs w:val="24"/>
        </w:rPr>
        <w:t>approximately</w:t>
      </w:r>
      <w:r w:rsidRPr="5AED1B39">
        <w:rPr>
          <w:rFonts w:asciiTheme="minorHAnsi" w:hAnsiTheme="minorHAnsi" w:cstheme="minorBidi"/>
          <w:sz w:val="24"/>
          <w:szCs w:val="24"/>
        </w:rPr>
        <w:t xml:space="preserve"> 6% of the total</w:t>
      </w:r>
      <w:r w:rsidR="778D2397" w:rsidRPr="5AED1B39">
        <w:rPr>
          <w:rFonts w:asciiTheme="minorHAnsi" w:hAnsiTheme="minorHAnsi" w:cstheme="minorBidi"/>
          <w:sz w:val="24"/>
          <w:szCs w:val="24"/>
        </w:rPr>
        <w:t xml:space="preserve"> </w:t>
      </w:r>
      <w:r w:rsidRPr="5AED1B39">
        <w:rPr>
          <w:rFonts w:asciiTheme="minorHAnsi" w:hAnsiTheme="minorHAnsi" w:cstheme="minorBidi"/>
          <w:sz w:val="24"/>
          <w:szCs w:val="24"/>
        </w:rPr>
        <w:t xml:space="preserve">visits. </w:t>
      </w:r>
      <w:r w:rsidR="0376F2EC" w:rsidRPr="5AED1B39">
        <w:rPr>
          <w:color w:val="000000" w:themeColor="text1"/>
          <w:sz w:val="24"/>
          <w:szCs w:val="24"/>
        </w:rPr>
        <w:t>For this volume to be absorbed at the other hospitals in the region</w:t>
      </w:r>
      <w:r w:rsidR="592467F7" w:rsidRPr="5AED1B39">
        <w:rPr>
          <w:color w:val="000000" w:themeColor="text1"/>
          <w:sz w:val="24"/>
          <w:szCs w:val="24"/>
        </w:rPr>
        <w:t xml:space="preserve"> ~220 beds would be required. Staff finds that there is not capacity to absorb this med/surg volume and ED capacity would be further strained</w:t>
      </w:r>
      <w:r w:rsidR="1D6A95AF" w:rsidRPr="5AED1B39">
        <w:rPr>
          <w:color w:val="000000" w:themeColor="text1"/>
          <w:sz w:val="24"/>
          <w:szCs w:val="24"/>
        </w:rPr>
        <w:t xml:space="preserve"> If SEMC were to close.</w:t>
      </w:r>
    </w:p>
    <w:tbl>
      <w:tblPr>
        <w:tblpPr w:leftFromText="180" w:rightFromText="180" w:horzAnchor="margin" w:tblpY="806"/>
        <w:tblW w:w="10692" w:type="dxa"/>
        <w:tblLook w:val="04A0" w:firstRow="1" w:lastRow="0" w:firstColumn="1" w:lastColumn="0" w:noHBand="0" w:noVBand="1"/>
      </w:tblPr>
      <w:tblGrid>
        <w:gridCol w:w="2340"/>
        <w:gridCol w:w="1226"/>
        <w:gridCol w:w="1221"/>
        <w:gridCol w:w="1127"/>
        <w:gridCol w:w="1080"/>
        <w:gridCol w:w="963"/>
        <w:gridCol w:w="963"/>
        <w:gridCol w:w="962"/>
        <w:gridCol w:w="894"/>
      </w:tblGrid>
      <w:tr w:rsidR="00742840" w:rsidRPr="00152ACB" w14:paraId="0CF20FC0" w14:textId="77777777" w:rsidTr="00742840">
        <w:trPr>
          <w:cantSplit/>
          <w:trHeight w:val="800"/>
          <w:tblHeader/>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DA5C0" w14:textId="7B5B3286" w:rsidR="00742840" w:rsidRPr="00152ACB" w:rsidRDefault="00742840" w:rsidP="00742840">
            <w:pPr>
              <w:widowControl/>
              <w:autoSpaceDE/>
              <w:autoSpaceDN/>
              <w:rPr>
                <w:rFonts w:eastAsia="Times New Roman"/>
                <w:b/>
                <w:bCs/>
                <w:color w:val="000000"/>
                <w:lang w:bidi="ar-SA"/>
              </w:rPr>
            </w:pPr>
            <w:r w:rsidRPr="00152ACB">
              <w:rPr>
                <w:rFonts w:eastAsia="Times New Roman"/>
                <w:b/>
                <w:bCs/>
                <w:color w:val="000000"/>
                <w:lang w:bidi="ar-SA"/>
              </w:rPr>
              <w:lastRenderedPageBreak/>
              <w:t>Hospital</w:t>
            </w:r>
            <w:r w:rsidRPr="1B190206">
              <w:rPr>
                <w:rStyle w:val="FootnoteReference"/>
                <w:rFonts w:asciiTheme="minorHAnsi" w:hAnsiTheme="minorHAnsi" w:cstheme="minorBidi"/>
                <w:b/>
                <w:bCs/>
                <w:sz w:val="24"/>
                <w:szCs w:val="24"/>
              </w:rPr>
              <w:footnoteReference w:id="6"/>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7561A34A" w14:textId="77777777" w:rsidR="00742840" w:rsidRPr="00742840" w:rsidRDefault="00742840" w:rsidP="00742840">
            <w:pPr>
              <w:widowControl/>
              <w:autoSpaceDE/>
              <w:autoSpaceDN/>
              <w:jc w:val="center"/>
              <w:rPr>
                <w:rFonts w:eastAsia="Times New Roman"/>
                <w:b/>
                <w:bCs/>
                <w:color w:val="000000"/>
                <w:sz w:val="20"/>
                <w:szCs w:val="20"/>
                <w:lang w:bidi="ar-SA"/>
              </w:rPr>
            </w:pPr>
            <w:r w:rsidRPr="00742840">
              <w:rPr>
                <w:rFonts w:eastAsia="Times New Roman"/>
                <w:b/>
                <w:bCs/>
                <w:color w:val="000000"/>
                <w:sz w:val="20"/>
                <w:szCs w:val="20"/>
                <w:lang w:bidi="ar-SA"/>
              </w:rPr>
              <w:t>Emergency Visits</w:t>
            </w:r>
          </w:p>
        </w:tc>
        <w:tc>
          <w:tcPr>
            <w:tcW w:w="1221" w:type="dxa"/>
            <w:tcBorders>
              <w:top w:val="single" w:sz="4" w:space="0" w:color="auto"/>
              <w:left w:val="nil"/>
              <w:bottom w:val="single" w:sz="4" w:space="0" w:color="auto"/>
              <w:right w:val="single" w:sz="4" w:space="0" w:color="auto"/>
            </w:tcBorders>
            <w:shd w:val="clear" w:color="auto" w:fill="auto"/>
            <w:vAlign w:val="center"/>
          </w:tcPr>
          <w:p w14:paraId="0B4CA306" w14:textId="1B7134F8" w:rsidR="00742840" w:rsidRPr="00742840" w:rsidRDefault="00742840" w:rsidP="00742840">
            <w:pPr>
              <w:widowControl/>
              <w:autoSpaceDE/>
              <w:autoSpaceDN/>
              <w:jc w:val="center"/>
              <w:rPr>
                <w:rFonts w:eastAsia="Times New Roman"/>
                <w:b/>
                <w:bCs/>
                <w:color w:val="000000"/>
                <w:sz w:val="20"/>
                <w:szCs w:val="20"/>
                <w:lang w:bidi="ar-SA"/>
              </w:rPr>
            </w:pPr>
            <w:r w:rsidRPr="00742840">
              <w:rPr>
                <w:rFonts w:eastAsia="Times New Roman"/>
                <w:b/>
                <w:bCs/>
                <w:color w:val="000000"/>
                <w:sz w:val="20"/>
                <w:szCs w:val="20"/>
                <w:lang w:bidi="ar-SA"/>
              </w:rPr>
              <w:t>Emergency Visits</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28225363" w14:textId="77777777" w:rsidR="00742840" w:rsidRPr="00742840" w:rsidRDefault="00742840" w:rsidP="00742840">
            <w:pPr>
              <w:widowControl/>
              <w:autoSpaceDE/>
              <w:autoSpaceDN/>
              <w:jc w:val="center"/>
              <w:rPr>
                <w:rFonts w:eastAsia="Times New Roman"/>
                <w:b/>
                <w:bCs/>
                <w:color w:val="000000"/>
                <w:sz w:val="18"/>
                <w:szCs w:val="18"/>
                <w:lang w:bidi="ar-SA"/>
              </w:rPr>
            </w:pPr>
            <w:r w:rsidRPr="00742840">
              <w:rPr>
                <w:rFonts w:eastAsia="Times New Roman"/>
                <w:b/>
                <w:bCs/>
                <w:color w:val="000000"/>
                <w:sz w:val="18"/>
                <w:szCs w:val="18"/>
                <w:lang w:bidi="ar-SA"/>
              </w:rPr>
              <w:t>med/surg occupancy rate (occupied/ licensed)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1616E2B7" w14:textId="32B505B6" w:rsidR="00742840" w:rsidRPr="00742840" w:rsidRDefault="00742840" w:rsidP="00742840">
            <w:pPr>
              <w:widowControl/>
              <w:autoSpaceDE/>
              <w:autoSpaceDN/>
              <w:jc w:val="center"/>
              <w:rPr>
                <w:rFonts w:eastAsia="Times New Roman"/>
                <w:b/>
                <w:bCs/>
                <w:color w:val="000000"/>
                <w:sz w:val="18"/>
                <w:szCs w:val="18"/>
                <w:lang w:bidi="ar-SA"/>
              </w:rPr>
            </w:pPr>
            <w:r w:rsidRPr="00742840">
              <w:rPr>
                <w:rFonts w:eastAsia="Times New Roman"/>
                <w:b/>
                <w:bCs/>
                <w:color w:val="000000"/>
                <w:sz w:val="18"/>
                <w:szCs w:val="18"/>
                <w:lang w:bidi="ar-SA"/>
              </w:rPr>
              <w:t>med/surg occupancy rate (occupied/ licensed)</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17ECC36E" w14:textId="77777777" w:rsidR="00742840" w:rsidRPr="00742840" w:rsidRDefault="00742840" w:rsidP="00742840">
            <w:pPr>
              <w:widowControl/>
              <w:autoSpaceDE/>
              <w:autoSpaceDN/>
              <w:jc w:val="center"/>
              <w:rPr>
                <w:rFonts w:eastAsia="Times New Roman"/>
                <w:b/>
                <w:bCs/>
                <w:color w:val="000000"/>
                <w:sz w:val="20"/>
                <w:szCs w:val="20"/>
                <w:lang w:bidi="ar-SA"/>
              </w:rPr>
            </w:pPr>
            <w:r w:rsidRPr="00742840">
              <w:rPr>
                <w:rFonts w:eastAsia="Times New Roman"/>
                <w:b/>
                <w:bCs/>
                <w:color w:val="000000"/>
                <w:sz w:val="20"/>
                <w:szCs w:val="20"/>
                <w:lang w:bidi="ar-SA"/>
              </w:rPr>
              <w:t>occupied m/s beds</w:t>
            </w:r>
          </w:p>
        </w:tc>
        <w:tc>
          <w:tcPr>
            <w:tcW w:w="963" w:type="dxa"/>
            <w:tcBorders>
              <w:top w:val="single" w:sz="4" w:space="0" w:color="auto"/>
              <w:left w:val="nil"/>
              <w:bottom w:val="single" w:sz="4" w:space="0" w:color="auto"/>
              <w:right w:val="single" w:sz="4" w:space="0" w:color="auto"/>
            </w:tcBorders>
            <w:shd w:val="clear" w:color="auto" w:fill="auto"/>
            <w:vAlign w:val="center"/>
          </w:tcPr>
          <w:p w14:paraId="07044F8A" w14:textId="26241B66" w:rsidR="00742840" w:rsidRPr="00742840" w:rsidRDefault="00742840" w:rsidP="00742840">
            <w:pPr>
              <w:widowControl/>
              <w:autoSpaceDE/>
              <w:autoSpaceDN/>
              <w:jc w:val="center"/>
              <w:rPr>
                <w:rFonts w:eastAsia="Times New Roman"/>
                <w:b/>
                <w:bCs/>
                <w:color w:val="000000"/>
                <w:sz w:val="20"/>
                <w:szCs w:val="20"/>
                <w:lang w:bidi="ar-SA"/>
              </w:rPr>
            </w:pPr>
            <w:r w:rsidRPr="00742840">
              <w:rPr>
                <w:rFonts w:eastAsia="Times New Roman"/>
                <w:b/>
                <w:bCs/>
                <w:color w:val="000000"/>
                <w:sz w:val="20"/>
                <w:szCs w:val="20"/>
                <w:lang w:bidi="ar-SA"/>
              </w:rPr>
              <w:t>occupied m/s beds</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2C5D3A78" w14:textId="77777777" w:rsidR="00742840" w:rsidRPr="00742840" w:rsidRDefault="00742840" w:rsidP="00742840">
            <w:pPr>
              <w:widowControl/>
              <w:autoSpaceDE/>
              <w:autoSpaceDN/>
              <w:jc w:val="center"/>
              <w:rPr>
                <w:rFonts w:eastAsia="Times New Roman"/>
                <w:b/>
                <w:bCs/>
                <w:color w:val="000000"/>
                <w:sz w:val="20"/>
                <w:szCs w:val="20"/>
                <w:lang w:bidi="ar-SA"/>
              </w:rPr>
            </w:pPr>
            <w:r w:rsidRPr="00742840">
              <w:rPr>
                <w:rFonts w:eastAsia="Times New Roman"/>
                <w:b/>
                <w:bCs/>
                <w:color w:val="000000"/>
                <w:sz w:val="20"/>
                <w:szCs w:val="20"/>
                <w:lang w:bidi="ar-SA"/>
              </w:rPr>
              <w:t>licensed m/s beds</w:t>
            </w:r>
          </w:p>
        </w:tc>
        <w:tc>
          <w:tcPr>
            <w:tcW w:w="810" w:type="dxa"/>
            <w:tcBorders>
              <w:top w:val="single" w:sz="4" w:space="0" w:color="auto"/>
              <w:left w:val="nil"/>
              <w:bottom w:val="single" w:sz="4" w:space="0" w:color="auto"/>
              <w:right w:val="single" w:sz="4" w:space="0" w:color="auto"/>
            </w:tcBorders>
            <w:shd w:val="clear" w:color="auto" w:fill="auto"/>
            <w:vAlign w:val="center"/>
          </w:tcPr>
          <w:p w14:paraId="4B6C186E" w14:textId="2F3858D5" w:rsidR="00742840" w:rsidRPr="00742840" w:rsidRDefault="00742840" w:rsidP="00742840">
            <w:pPr>
              <w:widowControl/>
              <w:autoSpaceDE/>
              <w:autoSpaceDN/>
              <w:jc w:val="center"/>
              <w:rPr>
                <w:rFonts w:eastAsia="Times New Roman"/>
                <w:b/>
                <w:bCs/>
                <w:color w:val="000000"/>
                <w:sz w:val="20"/>
                <w:szCs w:val="20"/>
                <w:lang w:bidi="ar-SA"/>
              </w:rPr>
            </w:pPr>
            <w:r w:rsidRPr="00742840">
              <w:rPr>
                <w:rFonts w:eastAsia="Times New Roman"/>
                <w:b/>
                <w:bCs/>
                <w:color w:val="000000"/>
                <w:sz w:val="20"/>
                <w:szCs w:val="20"/>
                <w:lang w:bidi="ar-SA"/>
              </w:rPr>
              <w:t>licensed m/s beds</w:t>
            </w:r>
          </w:p>
        </w:tc>
      </w:tr>
      <w:tr w:rsidR="00742840" w:rsidRPr="00152ACB" w14:paraId="26F674F3" w14:textId="77777777" w:rsidTr="00742840">
        <w:trPr>
          <w:cantSplit/>
          <w:trHeight w:val="870"/>
          <w:tblHeader/>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3D52FFC8" w14:textId="77777777" w:rsidR="00742840" w:rsidRPr="00152ACB" w:rsidRDefault="00742840" w:rsidP="00742840">
            <w:pPr>
              <w:widowControl/>
              <w:autoSpaceDE/>
              <w:autoSpaceDN/>
              <w:jc w:val="center"/>
              <w:rPr>
                <w:rFonts w:eastAsia="Times New Roman"/>
                <w:color w:val="000000"/>
                <w:lang w:bidi="ar-SA"/>
              </w:rPr>
            </w:pPr>
          </w:p>
        </w:tc>
        <w:tc>
          <w:tcPr>
            <w:tcW w:w="1226" w:type="dxa"/>
            <w:tcBorders>
              <w:top w:val="nil"/>
              <w:left w:val="nil"/>
              <w:bottom w:val="single" w:sz="4" w:space="0" w:color="auto"/>
              <w:right w:val="single" w:sz="4" w:space="0" w:color="auto"/>
            </w:tcBorders>
            <w:shd w:val="clear" w:color="auto" w:fill="auto"/>
            <w:noWrap/>
            <w:vAlign w:val="center"/>
            <w:hideMark/>
          </w:tcPr>
          <w:p w14:paraId="342B7CFD" w14:textId="77777777" w:rsidR="00742840" w:rsidRPr="00152ACB" w:rsidRDefault="00742840" w:rsidP="00742840">
            <w:pPr>
              <w:widowControl/>
              <w:autoSpaceDE/>
              <w:autoSpaceDN/>
              <w:jc w:val="center"/>
              <w:rPr>
                <w:rFonts w:eastAsia="Times New Roman"/>
                <w:b/>
                <w:bCs/>
                <w:color w:val="000000"/>
                <w:lang w:bidi="ar-SA"/>
              </w:rPr>
            </w:pPr>
            <w:r w:rsidRPr="00152ACB">
              <w:rPr>
                <w:rFonts w:eastAsia="Times New Roman"/>
                <w:b/>
                <w:bCs/>
                <w:color w:val="000000"/>
                <w:lang w:bidi="ar-SA"/>
              </w:rPr>
              <w:t>2023</w:t>
            </w:r>
          </w:p>
        </w:tc>
        <w:tc>
          <w:tcPr>
            <w:tcW w:w="1221" w:type="dxa"/>
            <w:tcBorders>
              <w:top w:val="nil"/>
              <w:left w:val="nil"/>
              <w:bottom w:val="single" w:sz="4" w:space="0" w:color="auto"/>
              <w:right w:val="single" w:sz="4" w:space="0" w:color="auto"/>
            </w:tcBorders>
            <w:shd w:val="clear" w:color="auto" w:fill="auto"/>
            <w:vAlign w:val="center"/>
            <w:hideMark/>
          </w:tcPr>
          <w:p w14:paraId="0366CDE1" w14:textId="77777777" w:rsidR="00742840" w:rsidRPr="00152ACB" w:rsidRDefault="00742840" w:rsidP="00742840">
            <w:pPr>
              <w:widowControl/>
              <w:autoSpaceDE/>
              <w:autoSpaceDN/>
              <w:jc w:val="center"/>
              <w:rPr>
                <w:rFonts w:eastAsia="Times New Roman"/>
                <w:b/>
                <w:bCs/>
                <w:color w:val="000000"/>
                <w:lang w:bidi="ar-SA"/>
              </w:rPr>
            </w:pPr>
            <w:r w:rsidRPr="00152ACB">
              <w:rPr>
                <w:rFonts w:eastAsia="Times New Roman"/>
                <w:b/>
                <w:bCs/>
                <w:color w:val="000000"/>
                <w:lang w:bidi="ar-SA"/>
              </w:rPr>
              <w:t>2024 (weeks 1 - 26)</w:t>
            </w:r>
          </w:p>
        </w:tc>
        <w:tc>
          <w:tcPr>
            <w:tcW w:w="1127" w:type="dxa"/>
            <w:tcBorders>
              <w:top w:val="nil"/>
              <w:left w:val="nil"/>
              <w:bottom w:val="single" w:sz="4" w:space="0" w:color="auto"/>
              <w:right w:val="single" w:sz="4" w:space="0" w:color="auto"/>
            </w:tcBorders>
            <w:shd w:val="clear" w:color="auto" w:fill="auto"/>
            <w:noWrap/>
            <w:vAlign w:val="center"/>
            <w:hideMark/>
          </w:tcPr>
          <w:p w14:paraId="19F4EDA8" w14:textId="77777777" w:rsidR="00742840" w:rsidRPr="00152ACB" w:rsidRDefault="00742840" w:rsidP="00742840">
            <w:pPr>
              <w:widowControl/>
              <w:autoSpaceDE/>
              <w:autoSpaceDN/>
              <w:jc w:val="center"/>
              <w:rPr>
                <w:rFonts w:eastAsia="Times New Roman"/>
                <w:b/>
                <w:bCs/>
                <w:color w:val="000000"/>
                <w:lang w:bidi="ar-SA"/>
              </w:rPr>
            </w:pPr>
            <w:r w:rsidRPr="00152ACB">
              <w:rPr>
                <w:rFonts w:eastAsia="Times New Roman"/>
                <w:b/>
                <w:bCs/>
                <w:color w:val="000000"/>
                <w:lang w:bidi="ar-SA"/>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644E135B" w14:textId="77777777" w:rsidR="00742840" w:rsidRPr="00152ACB" w:rsidRDefault="00742840" w:rsidP="00742840">
            <w:pPr>
              <w:widowControl/>
              <w:autoSpaceDE/>
              <w:autoSpaceDN/>
              <w:jc w:val="center"/>
              <w:rPr>
                <w:rFonts w:eastAsia="Times New Roman"/>
                <w:b/>
                <w:bCs/>
                <w:color w:val="000000"/>
                <w:lang w:bidi="ar-SA"/>
              </w:rPr>
            </w:pPr>
            <w:r w:rsidRPr="00152ACB">
              <w:rPr>
                <w:rFonts w:eastAsia="Times New Roman"/>
                <w:b/>
                <w:bCs/>
                <w:color w:val="000000"/>
                <w:lang w:bidi="ar-SA"/>
              </w:rPr>
              <w:t>2024 (1/1 - 6/30)</w:t>
            </w:r>
          </w:p>
        </w:tc>
        <w:tc>
          <w:tcPr>
            <w:tcW w:w="963" w:type="dxa"/>
            <w:tcBorders>
              <w:top w:val="nil"/>
              <w:left w:val="nil"/>
              <w:bottom w:val="single" w:sz="4" w:space="0" w:color="auto"/>
              <w:right w:val="single" w:sz="4" w:space="0" w:color="auto"/>
            </w:tcBorders>
            <w:shd w:val="clear" w:color="auto" w:fill="auto"/>
            <w:noWrap/>
            <w:vAlign w:val="center"/>
            <w:hideMark/>
          </w:tcPr>
          <w:p w14:paraId="22497548" w14:textId="77777777" w:rsidR="00742840" w:rsidRPr="00152ACB" w:rsidRDefault="00742840" w:rsidP="00742840">
            <w:pPr>
              <w:widowControl/>
              <w:autoSpaceDE/>
              <w:autoSpaceDN/>
              <w:jc w:val="center"/>
              <w:rPr>
                <w:rFonts w:eastAsia="Times New Roman"/>
                <w:b/>
                <w:bCs/>
                <w:color w:val="000000"/>
                <w:lang w:bidi="ar-SA"/>
              </w:rPr>
            </w:pPr>
            <w:r w:rsidRPr="00152ACB">
              <w:rPr>
                <w:rFonts w:eastAsia="Times New Roman"/>
                <w:b/>
                <w:bCs/>
                <w:color w:val="000000"/>
                <w:lang w:bidi="ar-SA"/>
              </w:rPr>
              <w:t>2023</w:t>
            </w:r>
          </w:p>
        </w:tc>
        <w:tc>
          <w:tcPr>
            <w:tcW w:w="963" w:type="dxa"/>
            <w:tcBorders>
              <w:top w:val="nil"/>
              <w:left w:val="nil"/>
              <w:bottom w:val="single" w:sz="4" w:space="0" w:color="auto"/>
              <w:right w:val="single" w:sz="4" w:space="0" w:color="auto"/>
            </w:tcBorders>
            <w:shd w:val="clear" w:color="auto" w:fill="auto"/>
            <w:noWrap/>
            <w:vAlign w:val="center"/>
            <w:hideMark/>
          </w:tcPr>
          <w:p w14:paraId="77252238" w14:textId="77777777" w:rsidR="00742840" w:rsidRPr="00152ACB" w:rsidRDefault="00742840" w:rsidP="00742840">
            <w:pPr>
              <w:widowControl/>
              <w:autoSpaceDE/>
              <w:autoSpaceDN/>
              <w:jc w:val="center"/>
              <w:rPr>
                <w:rFonts w:eastAsia="Times New Roman"/>
                <w:b/>
                <w:bCs/>
                <w:color w:val="000000"/>
                <w:lang w:bidi="ar-SA"/>
              </w:rPr>
            </w:pPr>
            <w:r w:rsidRPr="00152ACB">
              <w:rPr>
                <w:rFonts w:eastAsia="Times New Roman"/>
                <w:b/>
                <w:bCs/>
                <w:color w:val="000000"/>
                <w:lang w:bidi="ar-SA"/>
              </w:rPr>
              <w:t>2024</w:t>
            </w:r>
          </w:p>
        </w:tc>
        <w:tc>
          <w:tcPr>
            <w:tcW w:w="962" w:type="dxa"/>
            <w:tcBorders>
              <w:top w:val="nil"/>
              <w:left w:val="nil"/>
              <w:bottom w:val="single" w:sz="4" w:space="0" w:color="auto"/>
              <w:right w:val="single" w:sz="4" w:space="0" w:color="auto"/>
            </w:tcBorders>
            <w:shd w:val="clear" w:color="auto" w:fill="auto"/>
            <w:noWrap/>
            <w:vAlign w:val="center"/>
            <w:hideMark/>
          </w:tcPr>
          <w:p w14:paraId="669EC117" w14:textId="77777777" w:rsidR="00742840" w:rsidRPr="00152ACB" w:rsidRDefault="00742840" w:rsidP="00742840">
            <w:pPr>
              <w:widowControl/>
              <w:autoSpaceDE/>
              <w:autoSpaceDN/>
              <w:jc w:val="center"/>
              <w:rPr>
                <w:rFonts w:eastAsia="Times New Roman"/>
                <w:b/>
                <w:bCs/>
                <w:color w:val="000000"/>
                <w:lang w:bidi="ar-SA"/>
              </w:rPr>
            </w:pPr>
            <w:r w:rsidRPr="00152ACB">
              <w:rPr>
                <w:rFonts w:eastAsia="Times New Roman"/>
                <w:b/>
                <w:bCs/>
                <w:color w:val="000000"/>
                <w:lang w:bidi="ar-SA"/>
              </w:rPr>
              <w:t>2023</w:t>
            </w:r>
          </w:p>
        </w:tc>
        <w:tc>
          <w:tcPr>
            <w:tcW w:w="810" w:type="dxa"/>
            <w:tcBorders>
              <w:top w:val="nil"/>
              <w:left w:val="nil"/>
              <w:bottom w:val="single" w:sz="4" w:space="0" w:color="auto"/>
              <w:right w:val="single" w:sz="4" w:space="0" w:color="auto"/>
            </w:tcBorders>
            <w:shd w:val="clear" w:color="auto" w:fill="auto"/>
            <w:noWrap/>
            <w:vAlign w:val="center"/>
            <w:hideMark/>
          </w:tcPr>
          <w:p w14:paraId="73628E35" w14:textId="77777777" w:rsidR="00742840" w:rsidRPr="00152ACB" w:rsidRDefault="00742840" w:rsidP="00742840">
            <w:pPr>
              <w:widowControl/>
              <w:autoSpaceDE/>
              <w:autoSpaceDN/>
              <w:jc w:val="center"/>
              <w:rPr>
                <w:rFonts w:eastAsia="Times New Roman"/>
                <w:b/>
                <w:bCs/>
                <w:color w:val="000000"/>
                <w:lang w:bidi="ar-SA"/>
              </w:rPr>
            </w:pPr>
            <w:r w:rsidRPr="00152ACB">
              <w:rPr>
                <w:rFonts w:eastAsia="Times New Roman"/>
                <w:b/>
                <w:bCs/>
                <w:color w:val="000000"/>
                <w:lang w:bidi="ar-SA"/>
              </w:rPr>
              <w:t>2024</w:t>
            </w:r>
          </w:p>
        </w:tc>
      </w:tr>
      <w:tr w:rsidR="00742840" w:rsidRPr="00152ACB" w14:paraId="18420850" w14:textId="77777777" w:rsidTr="00742840">
        <w:trPr>
          <w:cantSplit/>
          <w:trHeight w:val="2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7F1651E" w14:textId="77777777" w:rsidR="00742840" w:rsidRPr="00152ACB" w:rsidRDefault="00742840" w:rsidP="00742840">
            <w:pPr>
              <w:widowControl/>
              <w:autoSpaceDE/>
              <w:autoSpaceDN/>
              <w:rPr>
                <w:rFonts w:eastAsia="Times New Roman"/>
                <w:color w:val="000000"/>
                <w:lang w:bidi="ar-SA"/>
              </w:rPr>
            </w:pPr>
            <w:r w:rsidRPr="00152ACB">
              <w:rPr>
                <w:rFonts w:eastAsia="Times New Roman"/>
                <w:color w:val="000000"/>
                <w:lang w:bidi="ar-SA"/>
              </w:rPr>
              <w:t>Tufts Medical Center</w:t>
            </w:r>
          </w:p>
        </w:tc>
        <w:tc>
          <w:tcPr>
            <w:tcW w:w="1226" w:type="dxa"/>
            <w:tcBorders>
              <w:top w:val="nil"/>
              <w:left w:val="nil"/>
              <w:bottom w:val="single" w:sz="4" w:space="0" w:color="auto"/>
              <w:right w:val="single" w:sz="4" w:space="0" w:color="auto"/>
            </w:tcBorders>
            <w:shd w:val="clear" w:color="auto" w:fill="auto"/>
            <w:noWrap/>
            <w:vAlign w:val="center"/>
            <w:hideMark/>
          </w:tcPr>
          <w:p w14:paraId="62C11DBE"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48,355 </w:t>
            </w:r>
          </w:p>
        </w:tc>
        <w:tc>
          <w:tcPr>
            <w:tcW w:w="1221" w:type="dxa"/>
            <w:tcBorders>
              <w:top w:val="nil"/>
              <w:left w:val="nil"/>
              <w:bottom w:val="single" w:sz="4" w:space="0" w:color="auto"/>
              <w:right w:val="single" w:sz="4" w:space="0" w:color="auto"/>
            </w:tcBorders>
            <w:shd w:val="clear" w:color="auto" w:fill="auto"/>
            <w:noWrap/>
            <w:vAlign w:val="center"/>
            <w:hideMark/>
          </w:tcPr>
          <w:p w14:paraId="259EE6CE"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24,538 </w:t>
            </w:r>
          </w:p>
        </w:tc>
        <w:tc>
          <w:tcPr>
            <w:tcW w:w="1127" w:type="dxa"/>
            <w:tcBorders>
              <w:top w:val="nil"/>
              <w:left w:val="nil"/>
              <w:bottom w:val="single" w:sz="4" w:space="0" w:color="auto"/>
              <w:right w:val="single" w:sz="4" w:space="0" w:color="auto"/>
            </w:tcBorders>
            <w:shd w:val="clear" w:color="auto" w:fill="auto"/>
            <w:noWrap/>
            <w:vAlign w:val="center"/>
            <w:hideMark/>
          </w:tcPr>
          <w:p w14:paraId="5C092C13"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104%</w:t>
            </w:r>
          </w:p>
        </w:tc>
        <w:tc>
          <w:tcPr>
            <w:tcW w:w="1080" w:type="dxa"/>
            <w:tcBorders>
              <w:top w:val="nil"/>
              <w:left w:val="nil"/>
              <w:bottom w:val="single" w:sz="4" w:space="0" w:color="auto"/>
              <w:right w:val="single" w:sz="4" w:space="0" w:color="auto"/>
            </w:tcBorders>
            <w:shd w:val="clear" w:color="auto" w:fill="auto"/>
            <w:noWrap/>
            <w:vAlign w:val="center"/>
            <w:hideMark/>
          </w:tcPr>
          <w:p w14:paraId="66ECBA6E"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97%</w:t>
            </w:r>
          </w:p>
        </w:tc>
        <w:tc>
          <w:tcPr>
            <w:tcW w:w="963" w:type="dxa"/>
            <w:tcBorders>
              <w:top w:val="nil"/>
              <w:left w:val="nil"/>
              <w:bottom w:val="single" w:sz="4" w:space="0" w:color="auto"/>
              <w:right w:val="single" w:sz="4" w:space="0" w:color="auto"/>
            </w:tcBorders>
            <w:shd w:val="clear" w:color="auto" w:fill="auto"/>
            <w:noWrap/>
            <w:vAlign w:val="center"/>
            <w:hideMark/>
          </w:tcPr>
          <w:p w14:paraId="22B8EC86"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202 </w:t>
            </w:r>
          </w:p>
        </w:tc>
        <w:tc>
          <w:tcPr>
            <w:tcW w:w="963" w:type="dxa"/>
            <w:tcBorders>
              <w:top w:val="nil"/>
              <w:left w:val="nil"/>
              <w:bottom w:val="single" w:sz="4" w:space="0" w:color="auto"/>
              <w:right w:val="single" w:sz="4" w:space="0" w:color="auto"/>
            </w:tcBorders>
            <w:shd w:val="clear" w:color="auto" w:fill="auto"/>
            <w:noWrap/>
            <w:vAlign w:val="center"/>
            <w:hideMark/>
          </w:tcPr>
          <w:p w14:paraId="2B568D00"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197 </w:t>
            </w:r>
          </w:p>
        </w:tc>
        <w:tc>
          <w:tcPr>
            <w:tcW w:w="962" w:type="dxa"/>
            <w:tcBorders>
              <w:top w:val="nil"/>
              <w:left w:val="nil"/>
              <w:bottom w:val="single" w:sz="4" w:space="0" w:color="auto"/>
              <w:right w:val="single" w:sz="4" w:space="0" w:color="auto"/>
            </w:tcBorders>
            <w:shd w:val="clear" w:color="auto" w:fill="auto"/>
            <w:noWrap/>
            <w:vAlign w:val="center"/>
            <w:hideMark/>
          </w:tcPr>
          <w:p w14:paraId="326BF4F2"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195 </w:t>
            </w:r>
          </w:p>
        </w:tc>
        <w:tc>
          <w:tcPr>
            <w:tcW w:w="810" w:type="dxa"/>
            <w:tcBorders>
              <w:top w:val="nil"/>
              <w:left w:val="nil"/>
              <w:bottom w:val="single" w:sz="4" w:space="0" w:color="auto"/>
              <w:right w:val="single" w:sz="4" w:space="0" w:color="auto"/>
            </w:tcBorders>
            <w:shd w:val="clear" w:color="auto" w:fill="auto"/>
            <w:noWrap/>
            <w:vAlign w:val="center"/>
            <w:hideMark/>
          </w:tcPr>
          <w:p w14:paraId="72A0A760"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204 </w:t>
            </w:r>
          </w:p>
        </w:tc>
      </w:tr>
      <w:tr w:rsidR="00742840" w:rsidRPr="00152ACB" w14:paraId="29F5ACBB" w14:textId="77777777" w:rsidTr="00742840">
        <w:trPr>
          <w:cantSplit/>
          <w:trHeight w:val="2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3845910C" w14:textId="77777777" w:rsidR="00742840" w:rsidRPr="00152ACB" w:rsidRDefault="00742840" w:rsidP="00742840">
            <w:pPr>
              <w:widowControl/>
              <w:autoSpaceDE/>
              <w:autoSpaceDN/>
              <w:rPr>
                <w:rFonts w:eastAsia="Times New Roman"/>
                <w:color w:val="000000"/>
                <w:lang w:bidi="ar-SA"/>
              </w:rPr>
            </w:pPr>
            <w:r w:rsidRPr="00152ACB">
              <w:rPr>
                <w:rFonts w:eastAsia="Times New Roman"/>
                <w:color w:val="000000"/>
                <w:lang w:bidi="ar-SA"/>
              </w:rPr>
              <w:t>Massachusetts General Hospital</w:t>
            </w:r>
          </w:p>
        </w:tc>
        <w:tc>
          <w:tcPr>
            <w:tcW w:w="1226" w:type="dxa"/>
            <w:tcBorders>
              <w:top w:val="nil"/>
              <w:left w:val="nil"/>
              <w:bottom w:val="single" w:sz="4" w:space="0" w:color="auto"/>
              <w:right w:val="single" w:sz="4" w:space="0" w:color="auto"/>
            </w:tcBorders>
            <w:shd w:val="clear" w:color="auto" w:fill="auto"/>
            <w:noWrap/>
            <w:vAlign w:val="center"/>
            <w:hideMark/>
          </w:tcPr>
          <w:p w14:paraId="5FDA44BC"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147,920 </w:t>
            </w:r>
          </w:p>
        </w:tc>
        <w:tc>
          <w:tcPr>
            <w:tcW w:w="1221" w:type="dxa"/>
            <w:tcBorders>
              <w:top w:val="nil"/>
              <w:left w:val="nil"/>
              <w:bottom w:val="single" w:sz="4" w:space="0" w:color="auto"/>
              <w:right w:val="single" w:sz="4" w:space="0" w:color="auto"/>
            </w:tcBorders>
            <w:shd w:val="clear" w:color="auto" w:fill="auto"/>
            <w:noWrap/>
            <w:vAlign w:val="center"/>
            <w:hideMark/>
          </w:tcPr>
          <w:p w14:paraId="538BD629"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74,083 </w:t>
            </w:r>
          </w:p>
        </w:tc>
        <w:tc>
          <w:tcPr>
            <w:tcW w:w="1127" w:type="dxa"/>
            <w:tcBorders>
              <w:top w:val="nil"/>
              <w:left w:val="nil"/>
              <w:bottom w:val="single" w:sz="4" w:space="0" w:color="auto"/>
              <w:right w:val="single" w:sz="4" w:space="0" w:color="auto"/>
            </w:tcBorders>
            <w:shd w:val="clear" w:color="auto" w:fill="auto"/>
            <w:noWrap/>
            <w:vAlign w:val="center"/>
            <w:hideMark/>
          </w:tcPr>
          <w:p w14:paraId="36A3B205"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89%</w:t>
            </w:r>
          </w:p>
        </w:tc>
        <w:tc>
          <w:tcPr>
            <w:tcW w:w="1080" w:type="dxa"/>
            <w:tcBorders>
              <w:top w:val="nil"/>
              <w:left w:val="nil"/>
              <w:bottom w:val="single" w:sz="4" w:space="0" w:color="auto"/>
              <w:right w:val="single" w:sz="4" w:space="0" w:color="auto"/>
            </w:tcBorders>
            <w:shd w:val="clear" w:color="auto" w:fill="auto"/>
            <w:noWrap/>
            <w:vAlign w:val="center"/>
            <w:hideMark/>
          </w:tcPr>
          <w:p w14:paraId="40F13C76"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90%</w:t>
            </w:r>
          </w:p>
        </w:tc>
        <w:tc>
          <w:tcPr>
            <w:tcW w:w="963" w:type="dxa"/>
            <w:tcBorders>
              <w:top w:val="nil"/>
              <w:left w:val="nil"/>
              <w:bottom w:val="single" w:sz="4" w:space="0" w:color="auto"/>
              <w:right w:val="single" w:sz="4" w:space="0" w:color="auto"/>
            </w:tcBorders>
            <w:shd w:val="clear" w:color="auto" w:fill="auto"/>
            <w:noWrap/>
            <w:vAlign w:val="center"/>
            <w:hideMark/>
          </w:tcPr>
          <w:p w14:paraId="01A9621F"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701 </w:t>
            </w:r>
          </w:p>
        </w:tc>
        <w:tc>
          <w:tcPr>
            <w:tcW w:w="963" w:type="dxa"/>
            <w:tcBorders>
              <w:top w:val="nil"/>
              <w:left w:val="nil"/>
              <w:bottom w:val="single" w:sz="4" w:space="0" w:color="auto"/>
              <w:right w:val="single" w:sz="4" w:space="0" w:color="auto"/>
            </w:tcBorders>
            <w:shd w:val="clear" w:color="auto" w:fill="auto"/>
            <w:noWrap/>
            <w:vAlign w:val="center"/>
            <w:hideMark/>
          </w:tcPr>
          <w:p w14:paraId="5A25FE46"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708 </w:t>
            </w:r>
          </w:p>
        </w:tc>
        <w:tc>
          <w:tcPr>
            <w:tcW w:w="962" w:type="dxa"/>
            <w:tcBorders>
              <w:top w:val="nil"/>
              <w:left w:val="nil"/>
              <w:bottom w:val="single" w:sz="4" w:space="0" w:color="auto"/>
              <w:right w:val="single" w:sz="4" w:space="0" w:color="auto"/>
            </w:tcBorders>
            <w:shd w:val="clear" w:color="auto" w:fill="auto"/>
            <w:noWrap/>
            <w:vAlign w:val="center"/>
            <w:hideMark/>
          </w:tcPr>
          <w:p w14:paraId="7E98BA6A"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789 </w:t>
            </w:r>
          </w:p>
        </w:tc>
        <w:tc>
          <w:tcPr>
            <w:tcW w:w="810" w:type="dxa"/>
            <w:tcBorders>
              <w:top w:val="nil"/>
              <w:left w:val="nil"/>
              <w:bottom w:val="single" w:sz="4" w:space="0" w:color="auto"/>
              <w:right w:val="single" w:sz="4" w:space="0" w:color="auto"/>
            </w:tcBorders>
            <w:shd w:val="clear" w:color="auto" w:fill="auto"/>
            <w:noWrap/>
            <w:vAlign w:val="center"/>
            <w:hideMark/>
          </w:tcPr>
          <w:p w14:paraId="44346AE5"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789 </w:t>
            </w:r>
          </w:p>
        </w:tc>
      </w:tr>
      <w:tr w:rsidR="00742840" w:rsidRPr="00152ACB" w14:paraId="1D987718" w14:textId="77777777" w:rsidTr="00742840">
        <w:trPr>
          <w:cantSplit/>
          <w:trHeight w:val="2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0F05E18" w14:textId="77777777" w:rsidR="00742840" w:rsidRPr="00152ACB" w:rsidRDefault="00742840" w:rsidP="00742840">
            <w:pPr>
              <w:widowControl/>
              <w:autoSpaceDE/>
              <w:autoSpaceDN/>
              <w:rPr>
                <w:rFonts w:eastAsia="Times New Roman"/>
                <w:color w:val="000000"/>
                <w:lang w:bidi="ar-SA"/>
              </w:rPr>
            </w:pPr>
            <w:r w:rsidRPr="00152ACB">
              <w:rPr>
                <w:rFonts w:eastAsia="Times New Roman"/>
                <w:color w:val="000000"/>
                <w:lang w:bidi="ar-SA"/>
              </w:rPr>
              <w:t>Brigham &amp; Women’s Hospital</w:t>
            </w:r>
          </w:p>
        </w:tc>
        <w:tc>
          <w:tcPr>
            <w:tcW w:w="1226" w:type="dxa"/>
            <w:tcBorders>
              <w:top w:val="nil"/>
              <w:left w:val="nil"/>
              <w:bottom w:val="single" w:sz="4" w:space="0" w:color="auto"/>
              <w:right w:val="single" w:sz="4" w:space="0" w:color="auto"/>
            </w:tcBorders>
            <w:shd w:val="clear" w:color="auto" w:fill="auto"/>
            <w:noWrap/>
            <w:vAlign w:val="center"/>
            <w:hideMark/>
          </w:tcPr>
          <w:p w14:paraId="3056A898"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16,403 </w:t>
            </w:r>
          </w:p>
        </w:tc>
        <w:tc>
          <w:tcPr>
            <w:tcW w:w="1221" w:type="dxa"/>
            <w:tcBorders>
              <w:top w:val="nil"/>
              <w:left w:val="nil"/>
              <w:bottom w:val="single" w:sz="4" w:space="0" w:color="auto"/>
              <w:right w:val="single" w:sz="4" w:space="0" w:color="auto"/>
            </w:tcBorders>
            <w:shd w:val="clear" w:color="auto" w:fill="auto"/>
            <w:noWrap/>
            <w:vAlign w:val="center"/>
            <w:hideMark/>
          </w:tcPr>
          <w:p w14:paraId="078E9BF3"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59,380 </w:t>
            </w:r>
          </w:p>
        </w:tc>
        <w:tc>
          <w:tcPr>
            <w:tcW w:w="1127" w:type="dxa"/>
            <w:tcBorders>
              <w:top w:val="nil"/>
              <w:left w:val="nil"/>
              <w:bottom w:val="single" w:sz="4" w:space="0" w:color="auto"/>
              <w:right w:val="single" w:sz="4" w:space="0" w:color="auto"/>
            </w:tcBorders>
            <w:shd w:val="clear" w:color="auto" w:fill="auto"/>
            <w:noWrap/>
            <w:vAlign w:val="center"/>
            <w:hideMark/>
          </w:tcPr>
          <w:p w14:paraId="05016CC2"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101%</w:t>
            </w:r>
          </w:p>
        </w:tc>
        <w:tc>
          <w:tcPr>
            <w:tcW w:w="1080" w:type="dxa"/>
            <w:tcBorders>
              <w:top w:val="nil"/>
              <w:left w:val="nil"/>
              <w:bottom w:val="single" w:sz="4" w:space="0" w:color="auto"/>
              <w:right w:val="single" w:sz="4" w:space="0" w:color="auto"/>
            </w:tcBorders>
            <w:shd w:val="clear" w:color="auto" w:fill="auto"/>
            <w:noWrap/>
            <w:vAlign w:val="center"/>
            <w:hideMark/>
          </w:tcPr>
          <w:p w14:paraId="22B5F9CA"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100%</w:t>
            </w:r>
          </w:p>
        </w:tc>
        <w:tc>
          <w:tcPr>
            <w:tcW w:w="963" w:type="dxa"/>
            <w:tcBorders>
              <w:top w:val="nil"/>
              <w:left w:val="nil"/>
              <w:bottom w:val="single" w:sz="4" w:space="0" w:color="auto"/>
              <w:right w:val="single" w:sz="4" w:space="0" w:color="auto"/>
            </w:tcBorders>
            <w:shd w:val="clear" w:color="auto" w:fill="auto"/>
            <w:noWrap/>
            <w:vAlign w:val="center"/>
            <w:hideMark/>
          </w:tcPr>
          <w:p w14:paraId="3A3C6D69"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626 </w:t>
            </w:r>
          </w:p>
        </w:tc>
        <w:tc>
          <w:tcPr>
            <w:tcW w:w="963" w:type="dxa"/>
            <w:tcBorders>
              <w:top w:val="nil"/>
              <w:left w:val="nil"/>
              <w:bottom w:val="single" w:sz="4" w:space="0" w:color="auto"/>
              <w:right w:val="single" w:sz="4" w:space="0" w:color="auto"/>
            </w:tcBorders>
            <w:shd w:val="clear" w:color="auto" w:fill="auto"/>
            <w:noWrap/>
            <w:vAlign w:val="center"/>
            <w:hideMark/>
          </w:tcPr>
          <w:p w14:paraId="3B3E235F"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620 </w:t>
            </w:r>
          </w:p>
        </w:tc>
        <w:tc>
          <w:tcPr>
            <w:tcW w:w="962" w:type="dxa"/>
            <w:tcBorders>
              <w:top w:val="nil"/>
              <w:left w:val="nil"/>
              <w:bottom w:val="single" w:sz="4" w:space="0" w:color="auto"/>
              <w:right w:val="single" w:sz="4" w:space="0" w:color="auto"/>
            </w:tcBorders>
            <w:shd w:val="clear" w:color="auto" w:fill="auto"/>
            <w:noWrap/>
            <w:vAlign w:val="center"/>
            <w:hideMark/>
          </w:tcPr>
          <w:p w14:paraId="59DFBF43"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617 </w:t>
            </w:r>
          </w:p>
        </w:tc>
        <w:tc>
          <w:tcPr>
            <w:tcW w:w="810" w:type="dxa"/>
            <w:tcBorders>
              <w:top w:val="nil"/>
              <w:left w:val="nil"/>
              <w:bottom w:val="single" w:sz="4" w:space="0" w:color="auto"/>
              <w:right w:val="single" w:sz="4" w:space="0" w:color="auto"/>
            </w:tcBorders>
            <w:shd w:val="clear" w:color="auto" w:fill="auto"/>
            <w:noWrap/>
            <w:vAlign w:val="center"/>
            <w:hideMark/>
          </w:tcPr>
          <w:p w14:paraId="77B95FAD"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620 </w:t>
            </w:r>
          </w:p>
        </w:tc>
      </w:tr>
      <w:tr w:rsidR="00742840" w:rsidRPr="00152ACB" w14:paraId="090BB253" w14:textId="77777777" w:rsidTr="00742840">
        <w:trPr>
          <w:cantSplit/>
          <w:trHeight w:val="341"/>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7D1DA84F" w14:textId="77777777" w:rsidR="00742840" w:rsidRPr="00152ACB" w:rsidRDefault="00742840" w:rsidP="00742840">
            <w:pPr>
              <w:widowControl/>
              <w:autoSpaceDE/>
              <w:autoSpaceDN/>
              <w:rPr>
                <w:rFonts w:eastAsia="Times New Roman"/>
                <w:color w:val="000000"/>
                <w:lang w:bidi="ar-SA"/>
              </w:rPr>
            </w:pPr>
            <w:r w:rsidRPr="00152ACB">
              <w:rPr>
                <w:rFonts w:eastAsia="Times New Roman"/>
                <w:color w:val="000000"/>
                <w:lang w:bidi="ar-SA"/>
              </w:rPr>
              <w:t>Boston Medical Center</w:t>
            </w:r>
          </w:p>
        </w:tc>
        <w:tc>
          <w:tcPr>
            <w:tcW w:w="1226" w:type="dxa"/>
            <w:tcBorders>
              <w:top w:val="nil"/>
              <w:left w:val="nil"/>
              <w:bottom w:val="single" w:sz="4" w:space="0" w:color="auto"/>
              <w:right w:val="single" w:sz="4" w:space="0" w:color="auto"/>
            </w:tcBorders>
            <w:shd w:val="clear" w:color="auto" w:fill="auto"/>
            <w:noWrap/>
            <w:vAlign w:val="center"/>
            <w:hideMark/>
          </w:tcPr>
          <w:p w14:paraId="75CEE1AC"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138,817 </w:t>
            </w:r>
          </w:p>
        </w:tc>
        <w:tc>
          <w:tcPr>
            <w:tcW w:w="1221" w:type="dxa"/>
            <w:tcBorders>
              <w:top w:val="nil"/>
              <w:left w:val="nil"/>
              <w:bottom w:val="single" w:sz="4" w:space="0" w:color="auto"/>
              <w:right w:val="single" w:sz="4" w:space="0" w:color="auto"/>
            </w:tcBorders>
            <w:shd w:val="clear" w:color="auto" w:fill="auto"/>
            <w:noWrap/>
            <w:vAlign w:val="center"/>
            <w:hideMark/>
          </w:tcPr>
          <w:p w14:paraId="1CB470CF"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67,237 </w:t>
            </w:r>
          </w:p>
        </w:tc>
        <w:tc>
          <w:tcPr>
            <w:tcW w:w="1127" w:type="dxa"/>
            <w:tcBorders>
              <w:top w:val="nil"/>
              <w:left w:val="nil"/>
              <w:bottom w:val="single" w:sz="4" w:space="0" w:color="auto"/>
              <w:right w:val="single" w:sz="4" w:space="0" w:color="auto"/>
            </w:tcBorders>
            <w:shd w:val="clear" w:color="auto" w:fill="auto"/>
            <w:noWrap/>
            <w:vAlign w:val="center"/>
            <w:hideMark/>
          </w:tcPr>
          <w:p w14:paraId="51586946"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111%</w:t>
            </w:r>
          </w:p>
        </w:tc>
        <w:tc>
          <w:tcPr>
            <w:tcW w:w="1080" w:type="dxa"/>
            <w:tcBorders>
              <w:top w:val="nil"/>
              <w:left w:val="nil"/>
              <w:bottom w:val="single" w:sz="4" w:space="0" w:color="auto"/>
              <w:right w:val="single" w:sz="4" w:space="0" w:color="auto"/>
            </w:tcBorders>
            <w:shd w:val="clear" w:color="auto" w:fill="auto"/>
            <w:noWrap/>
            <w:vAlign w:val="center"/>
            <w:hideMark/>
          </w:tcPr>
          <w:p w14:paraId="47CB857C"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106%</w:t>
            </w:r>
          </w:p>
        </w:tc>
        <w:tc>
          <w:tcPr>
            <w:tcW w:w="963" w:type="dxa"/>
            <w:tcBorders>
              <w:top w:val="nil"/>
              <w:left w:val="nil"/>
              <w:bottom w:val="single" w:sz="4" w:space="0" w:color="auto"/>
              <w:right w:val="single" w:sz="4" w:space="0" w:color="auto"/>
            </w:tcBorders>
            <w:shd w:val="clear" w:color="auto" w:fill="auto"/>
            <w:noWrap/>
            <w:vAlign w:val="center"/>
            <w:hideMark/>
          </w:tcPr>
          <w:p w14:paraId="65CCC4D4"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294 </w:t>
            </w:r>
          </w:p>
        </w:tc>
        <w:tc>
          <w:tcPr>
            <w:tcW w:w="963" w:type="dxa"/>
            <w:tcBorders>
              <w:top w:val="nil"/>
              <w:left w:val="nil"/>
              <w:bottom w:val="single" w:sz="4" w:space="0" w:color="auto"/>
              <w:right w:val="single" w:sz="4" w:space="0" w:color="auto"/>
            </w:tcBorders>
            <w:shd w:val="clear" w:color="auto" w:fill="auto"/>
            <w:noWrap/>
            <w:vAlign w:val="center"/>
            <w:hideMark/>
          </w:tcPr>
          <w:p w14:paraId="7BA7F099"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301 </w:t>
            </w:r>
          </w:p>
        </w:tc>
        <w:tc>
          <w:tcPr>
            <w:tcW w:w="962" w:type="dxa"/>
            <w:tcBorders>
              <w:top w:val="nil"/>
              <w:left w:val="nil"/>
              <w:bottom w:val="single" w:sz="4" w:space="0" w:color="auto"/>
              <w:right w:val="single" w:sz="4" w:space="0" w:color="auto"/>
            </w:tcBorders>
            <w:shd w:val="clear" w:color="auto" w:fill="auto"/>
            <w:noWrap/>
            <w:vAlign w:val="center"/>
            <w:hideMark/>
          </w:tcPr>
          <w:p w14:paraId="74C619E3"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265 </w:t>
            </w:r>
          </w:p>
        </w:tc>
        <w:tc>
          <w:tcPr>
            <w:tcW w:w="810" w:type="dxa"/>
            <w:tcBorders>
              <w:top w:val="nil"/>
              <w:left w:val="nil"/>
              <w:bottom w:val="single" w:sz="4" w:space="0" w:color="auto"/>
              <w:right w:val="single" w:sz="4" w:space="0" w:color="auto"/>
            </w:tcBorders>
            <w:shd w:val="clear" w:color="auto" w:fill="auto"/>
            <w:noWrap/>
            <w:vAlign w:val="center"/>
            <w:hideMark/>
          </w:tcPr>
          <w:p w14:paraId="6EDC007D"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283 </w:t>
            </w:r>
          </w:p>
        </w:tc>
      </w:tr>
      <w:tr w:rsidR="00742840" w:rsidRPr="00152ACB" w14:paraId="0697DEBB" w14:textId="77777777" w:rsidTr="00742840">
        <w:trPr>
          <w:cantSplit/>
          <w:trHeight w:val="2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20C4D7D2" w14:textId="77777777" w:rsidR="00742840" w:rsidRPr="00152ACB" w:rsidRDefault="00742840" w:rsidP="00742840">
            <w:pPr>
              <w:widowControl/>
              <w:autoSpaceDE/>
              <w:autoSpaceDN/>
              <w:rPr>
                <w:rFonts w:eastAsia="Times New Roman"/>
                <w:color w:val="000000"/>
                <w:lang w:bidi="ar-SA"/>
              </w:rPr>
            </w:pPr>
            <w:r w:rsidRPr="00152ACB">
              <w:rPr>
                <w:rFonts w:eastAsia="Times New Roman"/>
                <w:color w:val="000000"/>
                <w:lang w:bidi="ar-SA"/>
              </w:rPr>
              <w:t>Beth Israel Deaconess Medical Ctr</w:t>
            </w:r>
          </w:p>
        </w:tc>
        <w:tc>
          <w:tcPr>
            <w:tcW w:w="1226" w:type="dxa"/>
            <w:tcBorders>
              <w:top w:val="nil"/>
              <w:left w:val="nil"/>
              <w:bottom w:val="single" w:sz="4" w:space="0" w:color="auto"/>
              <w:right w:val="single" w:sz="4" w:space="0" w:color="auto"/>
            </w:tcBorders>
            <w:shd w:val="clear" w:color="auto" w:fill="auto"/>
            <w:noWrap/>
            <w:vAlign w:val="center"/>
            <w:hideMark/>
          </w:tcPr>
          <w:p w14:paraId="3A985993"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62,543 </w:t>
            </w:r>
          </w:p>
        </w:tc>
        <w:tc>
          <w:tcPr>
            <w:tcW w:w="1221" w:type="dxa"/>
            <w:tcBorders>
              <w:top w:val="nil"/>
              <w:left w:val="nil"/>
              <w:bottom w:val="single" w:sz="4" w:space="0" w:color="auto"/>
              <w:right w:val="single" w:sz="4" w:space="0" w:color="auto"/>
            </w:tcBorders>
            <w:shd w:val="clear" w:color="auto" w:fill="auto"/>
            <w:noWrap/>
            <w:vAlign w:val="center"/>
            <w:hideMark/>
          </w:tcPr>
          <w:p w14:paraId="01B11E6B"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31,583 </w:t>
            </w:r>
          </w:p>
        </w:tc>
        <w:tc>
          <w:tcPr>
            <w:tcW w:w="1127" w:type="dxa"/>
            <w:tcBorders>
              <w:top w:val="nil"/>
              <w:left w:val="nil"/>
              <w:bottom w:val="single" w:sz="4" w:space="0" w:color="auto"/>
              <w:right w:val="single" w:sz="4" w:space="0" w:color="auto"/>
            </w:tcBorders>
            <w:shd w:val="clear" w:color="auto" w:fill="auto"/>
            <w:noWrap/>
            <w:vAlign w:val="center"/>
            <w:hideMark/>
          </w:tcPr>
          <w:p w14:paraId="02E8A353"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93%</w:t>
            </w:r>
          </w:p>
        </w:tc>
        <w:tc>
          <w:tcPr>
            <w:tcW w:w="1080" w:type="dxa"/>
            <w:tcBorders>
              <w:top w:val="nil"/>
              <w:left w:val="nil"/>
              <w:bottom w:val="single" w:sz="4" w:space="0" w:color="auto"/>
              <w:right w:val="single" w:sz="4" w:space="0" w:color="auto"/>
            </w:tcBorders>
            <w:shd w:val="clear" w:color="auto" w:fill="auto"/>
            <w:noWrap/>
            <w:vAlign w:val="center"/>
            <w:hideMark/>
          </w:tcPr>
          <w:p w14:paraId="31CE6053"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96%</w:t>
            </w:r>
          </w:p>
        </w:tc>
        <w:tc>
          <w:tcPr>
            <w:tcW w:w="963" w:type="dxa"/>
            <w:tcBorders>
              <w:top w:val="nil"/>
              <w:left w:val="nil"/>
              <w:bottom w:val="single" w:sz="4" w:space="0" w:color="auto"/>
              <w:right w:val="single" w:sz="4" w:space="0" w:color="auto"/>
            </w:tcBorders>
            <w:shd w:val="clear" w:color="auto" w:fill="auto"/>
            <w:noWrap/>
            <w:vAlign w:val="center"/>
            <w:hideMark/>
          </w:tcPr>
          <w:p w14:paraId="55523154"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515 </w:t>
            </w:r>
          </w:p>
        </w:tc>
        <w:tc>
          <w:tcPr>
            <w:tcW w:w="963" w:type="dxa"/>
            <w:tcBorders>
              <w:top w:val="nil"/>
              <w:left w:val="nil"/>
              <w:bottom w:val="single" w:sz="4" w:space="0" w:color="auto"/>
              <w:right w:val="single" w:sz="4" w:space="0" w:color="auto"/>
            </w:tcBorders>
            <w:shd w:val="clear" w:color="auto" w:fill="auto"/>
            <w:noWrap/>
            <w:vAlign w:val="center"/>
            <w:hideMark/>
          </w:tcPr>
          <w:p w14:paraId="4D3B4C44"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533 </w:t>
            </w:r>
          </w:p>
        </w:tc>
        <w:tc>
          <w:tcPr>
            <w:tcW w:w="962" w:type="dxa"/>
            <w:tcBorders>
              <w:top w:val="nil"/>
              <w:left w:val="nil"/>
              <w:bottom w:val="single" w:sz="4" w:space="0" w:color="auto"/>
              <w:right w:val="single" w:sz="4" w:space="0" w:color="auto"/>
            </w:tcBorders>
            <w:shd w:val="clear" w:color="auto" w:fill="auto"/>
            <w:noWrap/>
            <w:vAlign w:val="center"/>
            <w:hideMark/>
          </w:tcPr>
          <w:p w14:paraId="76E9A3FE"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556 </w:t>
            </w:r>
          </w:p>
        </w:tc>
        <w:tc>
          <w:tcPr>
            <w:tcW w:w="810" w:type="dxa"/>
            <w:tcBorders>
              <w:top w:val="nil"/>
              <w:left w:val="nil"/>
              <w:bottom w:val="single" w:sz="4" w:space="0" w:color="auto"/>
              <w:right w:val="single" w:sz="4" w:space="0" w:color="auto"/>
            </w:tcBorders>
            <w:shd w:val="clear" w:color="auto" w:fill="auto"/>
            <w:noWrap/>
            <w:vAlign w:val="center"/>
            <w:hideMark/>
          </w:tcPr>
          <w:p w14:paraId="7C453890"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556 </w:t>
            </w:r>
          </w:p>
        </w:tc>
      </w:tr>
      <w:tr w:rsidR="00742840" w:rsidRPr="00152ACB" w14:paraId="02DD2C7B" w14:textId="77777777" w:rsidTr="00742840">
        <w:trPr>
          <w:cantSplit/>
          <w:trHeight w:val="2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B486D80" w14:textId="77777777" w:rsidR="00742840" w:rsidRPr="00152ACB" w:rsidRDefault="00742840" w:rsidP="00742840">
            <w:pPr>
              <w:widowControl/>
              <w:autoSpaceDE/>
              <w:autoSpaceDN/>
              <w:rPr>
                <w:rFonts w:eastAsia="Times New Roman"/>
                <w:color w:val="000000"/>
                <w:lang w:bidi="ar-SA"/>
              </w:rPr>
            </w:pPr>
            <w:r w:rsidRPr="00152ACB">
              <w:rPr>
                <w:rFonts w:eastAsia="Times New Roman"/>
                <w:color w:val="000000"/>
                <w:lang w:bidi="ar-SA"/>
              </w:rPr>
              <w:t>SEMC</w:t>
            </w:r>
          </w:p>
        </w:tc>
        <w:tc>
          <w:tcPr>
            <w:tcW w:w="1226" w:type="dxa"/>
            <w:tcBorders>
              <w:top w:val="nil"/>
              <w:left w:val="nil"/>
              <w:bottom w:val="single" w:sz="4" w:space="0" w:color="auto"/>
              <w:right w:val="single" w:sz="4" w:space="0" w:color="auto"/>
            </w:tcBorders>
            <w:shd w:val="clear" w:color="auto" w:fill="auto"/>
            <w:noWrap/>
            <w:vAlign w:val="center"/>
            <w:hideMark/>
          </w:tcPr>
          <w:p w14:paraId="749D7880"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35,094 </w:t>
            </w:r>
          </w:p>
        </w:tc>
        <w:tc>
          <w:tcPr>
            <w:tcW w:w="1221" w:type="dxa"/>
            <w:tcBorders>
              <w:top w:val="nil"/>
              <w:left w:val="nil"/>
              <w:bottom w:val="single" w:sz="4" w:space="0" w:color="auto"/>
              <w:right w:val="single" w:sz="4" w:space="0" w:color="auto"/>
            </w:tcBorders>
            <w:shd w:val="clear" w:color="auto" w:fill="auto"/>
            <w:noWrap/>
            <w:vAlign w:val="center"/>
            <w:hideMark/>
          </w:tcPr>
          <w:p w14:paraId="5824BEC2"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16,430 </w:t>
            </w:r>
          </w:p>
        </w:tc>
        <w:tc>
          <w:tcPr>
            <w:tcW w:w="1127" w:type="dxa"/>
            <w:tcBorders>
              <w:top w:val="nil"/>
              <w:left w:val="nil"/>
              <w:bottom w:val="single" w:sz="4" w:space="0" w:color="auto"/>
              <w:right w:val="single" w:sz="4" w:space="0" w:color="auto"/>
            </w:tcBorders>
            <w:shd w:val="clear" w:color="auto" w:fill="auto"/>
            <w:noWrap/>
            <w:vAlign w:val="center"/>
            <w:hideMark/>
          </w:tcPr>
          <w:p w14:paraId="14B706D9"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63%</w:t>
            </w:r>
          </w:p>
        </w:tc>
        <w:tc>
          <w:tcPr>
            <w:tcW w:w="1080" w:type="dxa"/>
            <w:tcBorders>
              <w:top w:val="nil"/>
              <w:left w:val="nil"/>
              <w:bottom w:val="single" w:sz="4" w:space="0" w:color="auto"/>
              <w:right w:val="single" w:sz="4" w:space="0" w:color="auto"/>
            </w:tcBorders>
            <w:shd w:val="clear" w:color="auto" w:fill="auto"/>
            <w:noWrap/>
            <w:vAlign w:val="center"/>
            <w:hideMark/>
          </w:tcPr>
          <w:p w14:paraId="4C8E7BA9"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54%</w:t>
            </w:r>
          </w:p>
        </w:tc>
        <w:tc>
          <w:tcPr>
            <w:tcW w:w="963" w:type="dxa"/>
            <w:tcBorders>
              <w:top w:val="nil"/>
              <w:left w:val="nil"/>
              <w:bottom w:val="single" w:sz="4" w:space="0" w:color="auto"/>
              <w:right w:val="single" w:sz="4" w:space="0" w:color="auto"/>
            </w:tcBorders>
            <w:shd w:val="clear" w:color="auto" w:fill="auto"/>
            <w:noWrap/>
            <w:vAlign w:val="center"/>
            <w:hideMark/>
          </w:tcPr>
          <w:p w14:paraId="112AF184"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93 </w:t>
            </w:r>
          </w:p>
        </w:tc>
        <w:tc>
          <w:tcPr>
            <w:tcW w:w="963" w:type="dxa"/>
            <w:tcBorders>
              <w:top w:val="nil"/>
              <w:left w:val="nil"/>
              <w:bottom w:val="single" w:sz="4" w:space="0" w:color="auto"/>
              <w:right w:val="single" w:sz="4" w:space="0" w:color="auto"/>
            </w:tcBorders>
            <w:shd w:val="clear" w:color="auto" w:fill="auto"/>
            <w:noWrap/>
            <w:vAlign w:val="center"/>
            <w:hideMark/>
          </w:tcPr>
          <w:p w14:paraId="378016BE"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84 </w:t>
            </w:r>
          </w:p>
        </w:tc>
        <w:tc>
          <w:tcPr>
            <w:tcW w:w="962" w:type="dxa"/>
            <w:tcBorders>
              <w:top w:val="nil"/>
              <w:left w:val="nil"/>
              <w:bottom w:val="single" w:sz="4" w:space="0" w:color="auto"/>
              <w:right w:val="single" w:sz="4" w:space="0" w:color="auto"/>
            </w:tcBorders>
            <w:shd w:val="clear" w:color="auto" w:fill="auto"/>
            <w:noWrap/>
            <w:vAlign w:val="center"/>
            <w:hideMark/>
          </w:tcPr>
          <w:p w14:paraId="47F53CEE"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148 </w:t>
            </w:r>
          </w:p>
        </w:tc>
        <w:tc>
          <w:tcPr>
            <w:tcW w:w="810" w:type="dxa"/>
            <w:tcBorders>
              <w:top w:val="nil"/>
              <w:left w:val="nil"/>
              <w:bottom w:val="single" w:sz="4" w:space="0" w:color="auto"/>
              <w:right w:val="single" w:sz="4" w:space="0" w:color="auto"/>
            </w:tcBorders>
            <w:shd w:val="clear" w:color="auto" w:fill="auto"/>
            <w:noWrap/>
            <w:vAlign w:val="center"/>
            <w:hideMark/>
          </w:tcPr>
          <w:p w14:paraId="262F625C"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156 </w:t>
            </w:r>
          </w:p>
        </w:tc>
      </w:tr>
      <w:tr w:rsidR="00742840" w:rsidRPr="00152ACB" w14:paraId="49A98565" w14:textId="77777777" w:rsidTr="00742840">
        <w:trPr>
          <w:cantSplit/>
          <w:trHeight w:val="290"/>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7A0021FA" w14:textId="77777777" w:rsidR="00742840" w:rsidRPr="00152ACB" w:rsidRDefault="00742840" w:rsidP="00742840">
            <w:pPr>
              <w:widowControl/>
              <w:autoSpaceDE/>
              <w:autoSpaceDN/>
              <w:rPr>
                <w:rFonts w:eastAsia="Times New Roman"/>
                <w:color w:val="000000"/>
                <w:lang w:bidi="ar-SA"/>
              </w:rPr>
            </w:pPr>
            <w:r w:rsidRPr="00152ACB">
              <w:rPr>
                <w:rFonts w:eastAsia="Times New Roman"/>
                <w:color w:val="000000"/>
                <w:lang w:bidi="ar-SA"/>
              </w:rPr>
              <w:t>Total</w:t>
            </w:r>
          </w:p>
        </w:tc>
        <w:tc>
          <w:tcPr>
            <w:tcW w:w="1226" w:type="dxa"/>
            <w:tcBorders>
              <w:top w:val="nil"/>
              <w:left w:val="nil"/>
              <w:bottom w:val="single" w:sz="4" w:space="0" w:color="auto"/>
              <w:right w:val="single" w:sz="4" w:space="0" w:color="auto"/>
            </w:tcBorders>
            <w:shd w:val="clear" w:color="auto" w:fill="auto"/>
            <w:noWrap/>
            <w:vAlign w:val="center"/>
            <w:hideMark/>
          </w:tcPr>
          <w:p w14:paraId="722475F8"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549,132 </w:t>
            </w:r>
          </w:p>
        </w:tc>
        <w:tc>
          <w:tcPr>
            <w:tcW w:w="1221" w:type="dxa"/>
            <w:tcBorders>
              <w:top w:val="nil"/>
              <w:left w:val="nil"/>
              <w:bottom w:val="single" w:sz="4" w:space="0" w:color="auto"/>
              <w:right w:val="single" w:sz="4" w:space="0" w:color="auto"/>
            </w:tcBorders>
            <w:shd w:val="clear" w:color="auto" w:fill="auto"/>
            <w:noWrap/>
            <w:vAlign w:val="center"/>
            <w:hideMark/>
          </w:tcPr>
          <w:p w14:paraId="7BCEAF7D"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273,251 </w:t>
            </w:r>
          </w:p>
        </w:tc>
        <w:tc>
          <w:tcPr>
            <w:tcW w:w="1127" w:type="dxa"/>
            <w:tcBorders>
              <w:top w:val="nil"/>
              <w:left w:val="nil"/>
              <w:bottom w:val="single" w:sz="4" w:space="0" w:color="auto"/>
              <w:right w:val="single" w:sz="4" w:space="0" w:color="auto"/>
            </w:tcBorders>
            <w:shd w:val="clear" w:color="auto" w:fill="auto"/>
            <w:noWrap/>
            <w:vAlign w:val="center"/>
            <w:hideMark/>
          </w:tcPr>
          <w:p w14:paraId="432F4D1D"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AE315F"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w:t>
            </w:r>
          </w:p>
        </w:tc>
        <w:tc>
          <w:tcPr>
            <w:tcW w:w="963" w:type="dxa"/>
            <w:tcBorders>
              <w:top w:val="nil"/>
              <w:left w:val="nil"/>
              <w:bottom w:val="single" w:sz="4" w:space="0" w:color="auto"/>
              <w:right w:val="single" w:sz="4" w:space="0" w:color="auto"/>
            </w:tcBorders>
            <w:shd w:val="clear" w:color="auto" w:fill="auto"/>
            <w:noWrap/>
            <w:vAlign w:val="center"/>
            <w:hideMark/>
          </w:tcPr>
          <w:p w14:paraId="1DA8C934"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2,431 </w:t>
            </w:r>
          </w:p>
        </w:tc>
        <w:tc>
          <w:tcPr>
            <w:tcW w:w="963" w:type="dxa"/>
            <w:tcBorders>
              <w:top w:val="nil"/>
              <w:left w:val="nil"/>
              <w:bottom w:val="single" w:sz="4" w:space="0" w:color="auto"/>
              <w:right w:val="single" w:sz="4" w:space="0" w:color="auto"/>
            </w:tcBorders>
            <w:shd w:val="clear" w:color="auto" w:fill="auto"/>
            <w:noWrap/>
            <w:vAlign w:val="center"/>
            <w:hideMark/>
          </w:tcPr>
          <w:p w14:paraId="6F3B9280"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2,443 </w:t>
            </w:r>
          </w:p>
        </w:tc>
        <w:tc>
          <w:tcPr>
            <w:tcW w:w="962" w:type="dxa"/>
            <w:tcBorders>
              <w:top w:val="nil"/>
              <w:left w:val="nil"/>
              <w:bottom w:val="single" w:sz="4" w:space="0" w:color="auto"/>
              <w:right w:val="single" w:sz="4" w:space="0" w:color="auto"/>
            </w:tcBorders>
            <w:shd w:val="clear" w:color="auto" w:fill="auto"/>
            <w:noWrap/>
            <w:vAlign w:val="center"/>
            <w:hideMark/>
          </w:tcPr>
          <w:p w14:paraId="5B7024B2"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 2,570 </w:t>
            </w:r>
          </w:p>
        </w:tc>
        <w:tc>
          <w:tcPr>
            <w:tcW w:w="810" w:type="dxa"/>
            <w:tcBorders>
              <w:top w:val="nil"/>
              <w:left w:val="nil"/>
              <w:bottom w:val="single" w:sz="4" w:space="0" w:color="auto"/>
              <w:right w:val="single" w:sz="4" w:space="0" w:color="auto"/>
            </w:tcBorders>
            <w:shd w:val="clear" w:color="auto" w:fill="auto"/>
            <w:noWrap/>
            <w:vAlign w:val="center"/>
            <w:hideMark/>
          </w:tcPr>
          <w:p w14:paraId="783CA597" w14:textId="77777777" w:rsidR="00742840" w:rsidRPr="00152ACB" w:rsidRDefault="00742840" w:rsidP="00742840">
            <w:pPr>
              <w:widowControl/>
              <w:autoSpaceDE/>
              <w:autoSpaceDN/>
              <w:jc w:val="right"/>
              <w:rPr>
                <w:rFonts w:eastAsia="Times New Roman"/>
                <w:color w:val="000000"/>
                <w:lang w:bidi="ar-SA"/>
              </w:rPr>
            </w:pPr>
            <w:r w:rsidRPr="00152ACB">
              <w:rPr>
                <w:rFonts w:eastAsia="Times New Roman"/>
                <w:color w:val="000000"/>
                <w:lang w:bidi="ar-SA"/>
              </w:rPr>
              <w:t xml:space="preserve">2,608 </w:t>
            </w:r>
          </w:p>
        </w:tc>
      </w:tr>
    </w:tbl>
    <w:p w14:paraId="61059772" w14:textId="77777777" w:rsidR="00051552" w:rsidRDefault="00051552" w:rsidP="00AB2F9B">
      <w:pPr>
        <w:pStyle w:val="BodyText"/>
        <w:rPr>
          <w:rFonts w:cs="Arial"/>
          <w:sz w:val="24"/>
          <w:szCs w:val="24"/>
        </w:rPr>
      </w:pPr>
    </w:p>
    <w:p w14:paraId="5C7B4248" w14:textId="77777777" w:rsidR="0062505F" w:rsidRDefault="0062505F" w:rsidP="00AB2F9B">
      <w:pPr>
        <w:pStyle w:val="BodyText"/>
        <w:rPr>
          <w:rFonts w:cs="Arial"/>
          <w:sz w:val="24"/>
          <w:szCs w:val="24"/>
        </w:rPr>
      </w:pPr>
    </w:p>
    <w:p w14:paraId="0B5025BC" w14:textId="77777777" w:rsidR="0062505F" w:rsidRDefault="0062505F" w:rsidP="00AB2F9B">
      <w:pPr>
        <w:pStyle w:val="BodyText"/>
        <w:rPr>
          <w:rFonts w:cs="Arial"/>
          <w:sz w:val="24"/>
          <w:szCs w:val="24"/>
        </w:rPr>
      </w:pPr>
    </w:p>
    <w:p w14:paraId="28E431E2" w14:textId="6BA746B3" w:rsidR="00AB2F9B" w:rsidRDefault="00AB2F9B" w:rsidP="00AB2F9B">
      <w:pPr>
        <w:pStyle w:val="BodyText"/>
        <w:rPr>
          <w:rFonts w:cs="Arial"/>
          <w:sz w:val="24"/>
          <w:szCs w:val="24"/>
        </w:rPr>
      </w:pPr>
      <w:r>
        <w:rPr>
          <w:rFonts w:cs="Arial"/>
          <w:sz w:val="24"/>
          <w:szCs w:val="24"/>
        </w:rPr>
        <w:t>Data below show SEMC utilization during FY17 to FY22 (FY23 and FY24 are not included as Steward has not provided the state with financial and inpatient data for those fiscal years).</w:t>
      </w:r>
    </w:p>
    <w:p w14:paraId="34148DE5" w14:textId="77777777" w:rsidR="00AB2F9B" w:rsidRPr="00EC1347" w:rsidRDefault="00AB2F9B" w:rsidP="00EC1347">
      <w:pPr>
        <w:pStyle w:val="BodyText"/>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2269"/>
        <w:gridCol w:w="1006"/>
        <w:gridCol w:w="1076"/>
        <w:gridCol w:w="1063"/>
        <w:gridCol w:w="1143"/>
        <w:gridCol w:w="1140"/>
        <w:gridCol w:w="1028"/>
      </w:tblGrid>
      <w:tr w:rsidR="00C213C0" w:rsidRPr="00F134BD" w14:paraId="0DFE12EE" w14:textId="77777777" w:rsidTr="00742840">
        <w:trPr>
          <w:cantSplit/>
          <w:trHeight w:val="290"/>
          <w:tblHeader/>
          <w:jc w:val="center"/>
        </w:trPr>
        <w:tc>
          <w:tcPr>
            <w:tcW w:w="2269" w:type="dxa"/>
            <w:noWrap/>
            <w:hideMark/>
          </w:tcPr>
          <w:p w14:paraId="163E5FFC" w14:textId="68B4A0FB" w:rsidR="00C213C0" w:rsidRPr="00F134BD" w:rsidRDefault="11D6D022" w:rsidP="5AED1B39">
            <w:pPr>
              <w:pStyle w:val="BodyText"/>
              <w:rPr>
                <w:rFonts w:asciiTheme="minorHAnsi" w:hAnsiTheme="minorHAnsi" w:cstheme="minorBidi"/>
                <w:sz w:val="24"/>
                <w:szCs w:val="24"/>
              </w:rPr>
            </w:pPr>
            <w:r w:rsidRPr="5AED1B39">
              <w:rPr>
                <w:rFonts w:asciiTheme="minorHAnsi" w:hAnsiTheme="minorHAnsi" w:cstheme="minorBidi"/>
                <w:sz w:val="24"/>
                <w:szCs w:val="24"/>
              </w:rPr>
              <w:t>SEMC</w:t>
            </w:r>
          </w:p>
        </w:tc>
        <w:tc>
          <w:tcPr>
            <w:tcW w:w="1006" w:type="dxa"/>
            <w:noWrap/>
            <w:hideMark/>
          </w:tcPr>
          <w:p w14:paraId="71F512BF" w14:textId="77777777" w:rsidR="00C213C0" w:rsidRPr="00F134BD" w:rsidRDefault="00C213C0" w:rsidP="0042490E">
            <w:pPr>
              <w:pStyle w:val="BodyText"/>
              <w:jc w:val="center"/>
              <w:rPr>
                <w:rFonts w:asciiTheme="minorHAnsi" w:hAnsiTheme="minorHAnsi" w:cstheme="minorHAnsi"/>
                <w:b/>
                <w:bCs/>
                <w:sz w:val="24"/>
                <w:szCs w:val="24"/>
              </w:rPr>
            </w:pPr>
            <w:r w:rsidRPr="00F134BD">
              <w:rPr>
                <w:rFonts w:asciiTheme="minorHAnsi" w:hAnsiTheme="minorHAnsi" w:cstheme="minorHAnsi"/>
                <w:b/>
                <w:bCs/>
                <w:sz w:val="24"/>
                <w:szCs w:val="24"/>
              </w:rPr>
              <w:t>FY17</w:t>
            </w:r>
          </w:p>
        </w:tc>
        <w:tc>
          <w:tcPr>
            <w:tcW w:w="1076" w:type="dxa"/>
            <w:noWrap/>
            <w:hideMark/>
          </w:tcPr>
          <w:p w14:paraId="61DD1F2C" w14:textId="77777777" w:rsidR="00C213C0" w:rsidRPr="00F134BD" w:rsidRDefault="00C213C0" w:rsidP="0042490E">
            <w:pPr>
              <w:pStyle w:val="BodyText"/>
              <w:jc w:val="center"/>
              <w:rPr>
                <w:rFonts w:asciiTheme="minorHAnsi" w:hAnsiTheme="minorHAnsi" w:cstheme="minorHAnsi"/>
                <w:b/>
                <w:bCs/>
                <w:sz w:val="24"/>
                <w:szCs w:val="24"/>
              </w:rPr>
            </w:pPr>
            <w:r w:rsidRPr="00F134BD">
              <w:rPr>
                <w:rFonts w:asciiTheme="minorHAnsi" w:hAnsiTheme="minorHAnsi" w:cstheme="minorHAnsi"/>
                <w:b/>
                <w:bCs/>
                <w:sz w:val="24"/>
                <w:szCs w:val="24"/>
              </w:rPr>
              <w:t>FY18</w:t>
            </w:r>
          </w:p>
        </w:tc>
        <w:tc>
          <w:tcPr>
            <w:tcW w:w="1063" w:type="dxa"/>
            <w:noWrap/>
            <w:hideMark/>
          </w:tcPr>
          <w:p w14:paraId="7B01C980" w14:textId="77777777" w:rsidR="00C213C0" w:rsidRPr="00F134BD" w:rsidRDefault="00C213C0" w:rsidP="0042490E">
            <w:pPr>
              <w:pStyle w:val="BodyText"/>
              <w:jc w:val="center"/>
              <w:rPr>
                <w:rFonts w:asciiTheme="minorHAnsi" w:hAnsiTheme="minorHAnsi" w:cstheme="minorHAnsi"/>
                <w:b/>
                <w:bCs/>
                <w:sz w:val="24"/>
                <w:szCs w:val="24"/>
              </w:rPr>
            </w:pPr>
            <w:r w:rsidRPr="00F134BD">
              <w:rPr>
                <w:rFonts w:asciiTheme="minorHAnsi" w:hAnsiTheme="minorHAnsi" w:cstheme="minorHAnsi"/>
                <w:b/>
                <w:bCs/>
                <w:sz w:val="24"/>
                <w:szCs w:val="24"/>
              </w:rPr>
              <w:t>FY19</w:t>
            </w:r>
          </w:p>
        </w:tc>
        <w:tc>
          <w:tcPr>
            <w:tcW w:w="1143" w:type="dxa"/>
            <w:noWrap/>
            <w:hideMark/>
          </w:tcPr>
          <w:p w14:paraId="0E9C30A2" w14:textId="77777777" w:rsidR="00C213C0" w:rsidRPr="00F134BD" w:rsidRDefault="00C213C0" w:rsidP="0042490E">
            <w:pPr>
              <w:pStyle w:val="BodyText"/>
              <w:jc w:val="center"/>
              <w:rPr>
                <w:rFonts w:asciiTheme="minorHAnsi" w:hAnsiTheme="minorHAnsi" w:cstheme="minorHAnsi"/>
                <w:b/>
                <w:bCs/>
                <w:sz w:val="24"/>
                <w:szCs w:val="24"/>
              </w:rPr>
            </w:pPr>
            <w:r w:rsidRPr="00F134BD">
              <w:rPr>
                <w:rFonts w:asciiTheme="minorHAnsi" w:hAnsiTheme="minorHAnsi" w:cstheme="minorHAnsi"/>
                <w:b/>
                <w:bCs/>
                <w:sz w:val="24"/>
                <w:szCs w:val="24"/>
              </w:rPr>
              <w:t>FY20</w:t>
            </w:r>
          </w:p>
        </w:tc>
        <w:tc>
          <w:tcPr>
            <w:tcW w:w="1140" w:type="dxa"/>
            <w:noWrap/>
            <w:hideMark/>
          </w:tcPr>
          <w:p w14:paraId="19027784" w14:textId="77777777" w:rsidR="00C213C0" w:rsidRPr="00F134BD" w:rsidRDefault="00C213C0" w:rsidP="0042490E">
            <w:pPr>
              <w:pStyle w:val="BodyText"/>
              <w:jc w:val="center"/>
              <w:rPr>
                <w:rFonts w:asciiTheme="minorHAnsi" w:hAnsiTheme="minorHAnsi" w:cstheme="minorHAnsi"/>
                <w:b/>
                <w:bCs/>
                <w:sz w:val="24"/>
                <w:szCs w:val="24"/>
              </w:rPr>
            </w:pPr>
            <w:r w:rsidRPr="00F134BD">
              <w:rPr>
                <w:rFonts w:asciiTheme="minorHAnsi" w:hAnsiTheme="minorHAnsi" w:cstheme="minorHAnsi"/>
                <w:b/>
                <w:bCs/>
                <w:sz w:val="24"/>
                <w:szCs w:val="24"/>
              </w:rPr>
              <w:t>FY21</w:t>
            </w:r>
          </w:p>
        </w:tc>
        <w:tc>
          <w:tcPr>
            <w:tcW w:w="1028" w:type="dxa"/>
            <w:noWrap/>
            <w:hideMark/>
          </w:tcPr>
          <w:p w14:paraId="0EAFD36E" w14:textId="77777777" w:rsidR="00C213C0" w:rsidRPr="00F134BD" w:rsidRDefault="00C213C0" w:rsidP="0042490E">
            <w:pPr>
              <w:pStyle w:val="BodyText"/>
              <w:jc w:val="center"/>
              <w:rPr>
                <w:rFonts w:asciiTheme="minorHAnsi" w:hAnsiTheme="minorHAnsi" w:cstheme="minorHAnsi"/>
                <w:b/>
                <w:bCs/>
                <w:sz w:val="24"/>
                <w:szCs w:val="24"/>
              </w:rPr>
            </w:pPr>
            <w:r w:rsidRPr="00F134BD">
              <w:rPr>
                <w:rFonts w:asciiTheme="minorHAnsi" w:hAnsiTheme="minorHAnsi" w:cstheme="minorHAnsi"/>
                <w:b/>
                <w:bCs/>
                <w:sz w:val="24"/>
                <w:szCs w:val="24"/>
              </w:rPr>
              <w:t>FY22</w:t>
            </w:r>
          </w:p>
        </w:tc>
      </w:tr>
      <w:tr w:rsidR="00C213C0" w:rsidRPr="00F134BD" w14:paraId="3D7508E7" w14:textId="77777777" w:rsidTr="00742840">
        <w:trPr>
          <w:cantSplit/>
          <w:trHeight w:val="280"/>
          <w:jc w:val="center"/>
        </w:trPr>
        <w:tc>
          <w:tcPr>
            <w:tcW w:w="2269" w:type="dxa"/>
            <w:noWrap/>
            <w:hideMark/>
          </w:tcPr>
          <w:p w14:paraId="6728FA38" w14:textId="77777777" w:rsidR="00C213C0" w:rsidRPr="00F134BD" w:rsidRDefault="00C213C0" w:rsidP="00F134BD">
            <w:pPr>
              <w:pStyle w:val="BodyText"/>
              <w:rPr>
                <w:rFonts w:asciiTheme="minorHAnsi" w:hAnsiTheme="minorHAnsi" w:cstheme="minorHAnsi"/>
                <w:sz w:val="24"/>
                <w:szCs w:val="24"/>
              </w:rPr>
            </w:pPr>
            <w:r w:rsidRPr="00F134BD">
              <w:rPr>
                <w:rFonts w:asciiTheme="minorHAnsi" w:hAnsiTheme="minorHAnsi" w:cstheme="minorHAnsi"/>
                <w:sz w:val="24"/>
                <w:szCs w:val="24"/>
              </w:rPr>
              <w:t>Inpatient Discharges</w:t>
            </w:r>
          </w:p>
        </w:tc>
        <w:tc>
          <w:tcPr>
            <w:tcW w:w="1006" w:type="dxa"/>
            <w:hideMark/>
          </w:tcPr>
          <w:p w14:paraId="2A14144E"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13,349</w:t>
            </w:r>
          </w:p>
        </w:tc>
        <w:tc>
          <w:tcPr>
            <w:tcW w:w="1076" w:type="dxa"/>
            <w:noWrap/>
            <w:hideMark/>
          </w:tcPr>
          <w:p w14:paraId="5F5BC5A2"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13,466</w:t>
            </w:r>
          </w:p>
        </w:tc>
        <w:tc>
          <w:tcPr>
            <w:tcW w:w="1063" w:type="dxa"/>
            <w:noWrap/>
            <w:hideMark/>
          </w:tcPr>
          <w:p w14:paraId="5EB9B4C3"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13,467</w:t>
            </w:r>
          </w:p>
        </w:tc>
        <w:tc>
          <w:tcPr>
            <w:tcW w:w="1143" w:type="dxa"/>
            <w:noWrap/>
            <w:hideMark/>
          </w:tcPr>
          <w:p w14:paraId="15587FAC"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13,069</w:t>
            </w:r>
          </w:p>
        </w:tc>
        <w:tc>
          <w:tcPr>
            <w:tcW w:w="1140" w:type="dxa"/>
            <w:noWrap/>
            <w:hideMark/>
          </w:tcPr>
          <w:p w14:paraId="7F26B35C"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13,638</w:t>
            </w:r>
          </w:p>
        </w:tc>
        <w:tc>
          <w:tcPr>
            <w:tcW w:w="1028" w:type="dxa"/>
            <w:noWrap/>
            <w:hideMark/>
          </w:tcPr>
          <w:p w14:paraId="0ABBD460"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12,760</w:t>
            </w:r>
          </w:p>
        </w:tc>
      </w:tr>
      <w:tr w:rsidR="00C213C0" w:rsidRPr="00F134BD" w14:paraId="59CB9558" w14:textId="77777777" w:rsidTr="00742840">
        <w:trPr>
          <w:cantSplit/>
          <w:trHeight w:val="280"/>
          <w:jc w:val="center"/>
        </w:trPr>
        <w:tc>
          <w:tcPr>
            <w:tcW w:w="2269" w:type="dxa"/>
            <w:noWrap/>
            <w:hideMark/>
          </w:tcPr>
          <w:p w14:paraId="4DE362C1" w14:textId="77777777" w:rsidR="00C213C0" w:rsidRPr="00F134BD" w:rsidRDefault="00C213C0" w:rsidP="00F134BD">
            <w:pPr>
              <w:pStyle w:val="BodyText"/>
              <w:rPr>
                <w:rFonts w:asciiTheme="minorHAnsi" w:hAnsiTheme="minorHAnsi" w:cstheme="minorHAnsi"/>
                <w:sz w:val="24"/>
                <w:szCs w:val="24"/>
              </w:rPr>
            </w:pPr>
            <w:r w:rsidRPr="00F134BD">
              <w:rPr>
                <w:rFonts w:asciiTheme="minorHAnsi" w:hAnsiTheme="minorHAnsi" w:cstheme="minorHAnsi"/>
                <w:sz w:val="24"/>
                <w:szCs w:val="24"/>
              </w:rPr>
              <w:t>Inpatient Days</w:t>
            </w:r>
          </w:p>
        </w:tc>
        <w:tc>
          <w:tcPr>
            <w:tcW w:w="1006" w:type="dxa"/>
            <w:hideMark/>
          </w:tcPr>
          <w:p w14:paraId="275061FA"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73,263</w:t>
            </w:r>
          </w:p>
        </w:tc>
        <w:tc>
          <w:tcPr>
            <w:tcW w:w="1076" w:type="dxa"/>
            <w:hideMark/>
          </w:tcPr>
          <w:p w14:paraId="51CB81D2"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74,737</w:t>
            </w:r>
          </w:p>
        </w:tc>
        <w:tc>
          <w:tcPr>
            <w:tcW w:w="1063" w:type="dxa"/>
            <w:hideMark/>
          </w:tcPr>
          <w:p w14:paraId="07403281"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75,356</w:t>
            </w:r>
          </w:p>
        </w:tc>
        <w:tc>
          <w:tcPr>
            <w:tcW w:w="1143" w:type="dxa"/>
            <w:hideMark/>
          </w:tcPr>
          <w:p w14:paraId="44DE30D7"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73,939</w:t>
            </w:r>
          </w:p>
        </w:tc>
        <w:tc>
          <w:tcPr>
            <w:tcW w:w="1140" w:type="dxa"/>
            <w:noWrap/>
            <w:hideMark/>
          </w:tcPr>
          <w:p w14:paraId="1B0487DE"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80,132</w:t>
            </w:r>
          </w:p>
        </w:tc>
        <w:tc>
          <w:tcPr>
            <w:tcW w:w="1028" w:type="dxa"/>
            <w:noWrap/>
            <w:hideMark/>
          </w:tcPr>
          <w:p w14:paraId="17DD085F"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78,307</w:t>
            </w:r>
          </w:p>
        </w:tc>
      </w:tr>
      <w:tr w:rsidR="00C213C0" w:rsidRPr="00F134BD" w14:paraId="55602357" w14:textId="77777777" w:rsidTr="00742840">
        <w:trPr>
          <w:cantSplit/>
          <w:trHeight w:val="280"/>
          <w:jc w:val="center"/>
        </w:trPr>
        <w:tc>
          <w:tcPr>
            <w:tcW w:w="2269" w:type="dxa"/>
            <w:noWrap/>
            <w:hideMark/>
          </w:tcPr>
          <w:p w14:paraId="722D396B" w14:textId="77777777" w:rsidR="00C213C0" w:rsidRPr="00F134BD" w:rsidRDefault="00C213C0" w:rsidP="00F134BD">
            <w:pPr>
              <w:pStyle w:val="BodyText"/>
              <w:rPr>
                <w:rFonts w:asciiTheme="minorHAnsi" w:hAnsiTheme="minorHAnsi" w:cstheme="minorHAnsi"/>
                <w:sz w:val="24"/>
                <w:szCs w:val="24"/>
              </w:rPr>
            </w:pPr>
            <w:r w:rsidRPr="00F134BD">
              <w:rPr>
                <w:rFonts w:asciiTheme="minorHAnsi" w:hAnsiTheme="minorHAnsi" w:cstheme="minorHAnsi"/>
                <w:sz w:val="24"/>
                <w:szCs w:val="24"/>
              </w:rPr>
              <w:t>Average LOS</w:t>
            </w:r>
          </w:p>
        </w:tc>
        <w:tc>
          <w:tcPr>
            <w:tcW w:w="1006" w:type="dxa"/>
            <w:hideMark/>
          </w:tcPr>
          <w:p w14:paraId="4C009FA7"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5.49</w:t>
            </w:r>
          </w:p>
        </w:tc>
        <w:tc>
          <w:tcPr>
            <w:tcW w:w="1076" w:type="dxa"/>
            <w:hideMark/>
          </w:tcPr>
          <w:p w14:paraId="4EF9A528"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5.55</w:t>
            </w:r>
          </w:p>
        </w:tc>
        <w:tc>
          <w:tcPr>
            <w:tcW w:w="1063" w:type="dxa"/>
            <w:hideMark/>
          </w:tcPr>
          <w:p w14:paraId="5A41C10D"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5.6</w:t>
            </w:r>
          </w:p>
        </w:tc>
        <w:tc>
          <w:tcPr>
            <w:tcW w:w="1143" w:type="dxa"/>
            <w:hideMark/>
          </w:tcPr>
          <w:p w14:paraId="2798018A"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5.66</w:t>
            </w:r>
          </w:p>
        </w:tc>
        <w:tc>
          <w:tcPr>
            <w:tcW w:w="1140" w:type="dxa"/>
            <w:noWrap/>
            <w:hideMark/>
          </w:tcPr>
          <w:p w14:paraId="0D7FE19A"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5.88</w:t>
            </w:r>
          </w:p>
        </w:tc>
        <w:tc>
          <w:tcPr>
            <w:tcW w:w="1028" w:type="dxa"/>
            <w:noWrap/>
            <w:hideMark/>
          </w:tcPr>
          <w:p w14:paraId="7DFE9BF2"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6.25</w:t>
            </w:r>
          </w:p>
        </w:tc>
      </w:tr>
      <w:tr w:rsidR="00C213C0" w:rsidRPr="00F134BD" w14:paraId="33AD7895" w14:textId="77777777" w:rsidTr="00742840">
        <w:trPr>
          <w:cantSplit/>
          <w:trHeight w:val="280"/>
          <w:jc w:val="center"/>
        </w:trPr>
        <w:tc>
          <w:tcPr>
            <w:tcW w:w="2269" w:type="dxa"/>
            <w:noWrap/>
            <w:hideMark/>
          </w:tcPr>
          <w:p w14:paraId="64389160" w14:textId="77777777" w:rsidR="00C213C0" w:rsidRPr="00F134BD" w:rsidRDefault="00C213C0" w:rsidP="00F134BD">
            <w:pPr>
              <w:pStyle w:val="BodyText"/>
              <w:rPr>
                <w:rFonts w:asciiTheme="minorHAnsi" w:hAnsiTheme="minorHAnsi" w:cstheme="minorHAnsi"/>
                <w:sz w:val="24"/>
                <w:szCs w:val="24"/>
              </w:rPr>
            </w:pPr>
            <w:r w:rsidRPr="00F134BD">
              <w:rPr>
                <w:rFonts w:asciiTheme="minorHAnsi" w:hAnsiTheme="minorHAnsi" w:cstheme="minorHAnsi"/>
                <w:sz w:val="24"/>
                <w:szCs w:val="24"/>
              </w:rPr>
              <w:t>Outpatient Visits</w:t>
            </w:r>
          </w:p>
        </w:tc>
        <w:tc>
          <w:tcPr>
            <w:tcW w:w="1006" w:type="dxa"/>
            <w:noWrap/>
            <w:hideMark/>
          </w:tcPr>
          <w:p w14:paraId="692E08BB"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131,604</w:t>
            </w:r>
          </w:p>
        </w:tc>
        <w:tc>
          <w:tcPr>
            <w:tcW w:w="1076" w:type="dxa"/>
            <w:noWrap/>
            <w:hideMark/>
          </w:tcPr>
          <w:p w14:paraId="2611ED9D"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123,786</w:t>
            </w:r>
          </w:p>
        </w:tc>
        <w:tc>
          <w:tcPr>
            <w:tcW w:w="1063" w:type="dxa"/>
            <w:noWrap/>
            <w:hideMark/>
          </w:tcPr>
          <w:p w14:paraId="18D5674B"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132,708</w:t>
            </w:r>
          </w:p>
        </w:tc>
        <w:tc>
          <w:tcPr>
            <w:tcW w:w="1143" w:type="dxa"/>
            <w:noWrap/>
            <w:hideMark/>
          </w:tcPr>
          <w:p w14:paraId="4DE8781E"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116,854</w:t>
            </w:r>
          </w:p>
        </w:tc>
        <w:tc>
          <w:tcPr>
            <w:tcW w:w="1140" w:type="dxa"/>
            <w:noWrap/>
            <w:hideMark/>
          </w:tcPr>
          <w:p w14:paraId="6A5508DD" w14:textId="77777777" w:rsidR="00C213C0" w:rsidRPr="00F134BD" w:rsidRDefault="00C213C0" w:rsidP="00AD4DC3">
            <w:pPr>
              <w:pStyle w:val="BodyText"/>
              <w:jc w:val="right"/>
              <w:rPr>
                <w:rFonts w:asciiTheme="minorHAnsi" w:hAnsiTheme="minorHAnsi" w:cstheme="minorHAnsi"/>
                <w:sz w:val="24"/>
                <w:szCs w:val="24"/>
              </w:rPr>
            </w:pPr>
            <w:r w:rsidRPr="00F134BD">
              <w:rPr>
                <w:rFonts w:asciiTheme="minorHAnsi" w:hAnsiTheme="minorHAnsi" w:cstheme="minorHAnsi"/>
                <w:sz w:val="24"/>
                <w:szCs w:val="24"/>
              </w:rPr>
              <w:t>127,584</w:t>
            </w:r>
          </w:p>
        </w:tc>
        <w:tc>
          <w:tcPr>
            <w:tcW w:w="1028" w:type="dxa"/>
            <w:noWrap/>
            <w:hideMark/>
          </w:tcPr>
          <w:p w14:paraId="5B41EAB0" w14:textId="77777777" w:rsidR="00C213C0" w:rsidRPr="00F134BD" w:rsidRDefault="00C213C0" w:rsidP="00AD4DC3">
            <w:pPr>
              <w:pStyle w:val="BodyText"/>
              <w:jc w:val="right"/>
              <w:rPr>
                <w:rFonts w:asciiTheme="minorHAnsi" w:hAnsiTheme="minorHAnsi" w:cstheme="minorHAnsi"/>
                <w:sz w:val="24"/>
                <w:szCs w:val="24"/>
              </w:rPr>
            </w:pPr>
          </w:p>
        </w:tc>
      </w:tr>
    </w:tbl>
    <w:p w14:paraId="0B4B669E" w14:textId="77777777" w:rsidR="00F134BD" w:rsidRDefault="00F134BD" w:rsidP="00EC1347">
      <w:pPr>
        <w:pStyle w:val="BodyText"/>
        <w:rPr>
          <w:rFonts w:asciiTheme="minorHAnsi" w:hAnsiTheme="minorHAnsi" w:cstheme="minorHAnsi"/>
          <w:sz w:val="24"/>
          <w:szCs w:val="24"/>
        </w:rPr>
      </w:pPr>
    </w:p>
    <w:p w14:paraId="36BE2C96" w14:textId="66FBE750" w:rsidR="00F134BD" w:rsidRPr="00F134BD" w:rsidRDefault="69ECDB4C" w:rsidP="00F134BD">
      <w:pPr>
        <w:pStyle w:val="BodyText"/>
        <w:rPr>
          <w:rFonts w:asciiTheme="minorHAnsi" w:hAnsiTheme="minorHAnsi" w:cstheme="minorHAnsi"/>
          <w:sz w:val="24"/>
          <w:szCs w:val="24"/>
        </w:rPr>
      </w:pPr>
      <w:r w:rsidRPr="1B190206">
        <w:rPr>
          <w:rFonts w:asciiTheme="minorHAnsi" w:hAnsiTheme="minorHAnsi" w:cstheme="minorBidi"/>
          <w:sz w:val="24"/>
          <w:szCs w:val="24"/>
        </w:rPr>
        <w:t xml:space="preserve">Staff also notes that </w:t>
      </w:r>
      <w:r w:rsidR="5859D6ED" w:rsidRPr="1B190206">
        <w:rPr>
          <w:rFonts w:asciiTheme="minorHAnsi" w:hAnsiTheme="minorHAnsi" w:cstheme="minorBidi"/>
          <w:sz w:val="24"/>
          <w:szCs w:val="24"/>
        </w:rPr>
        <w:t xml:space="preserve">SEMC </w:t>
      </w:r>
      <w:r w:rsidRPr="1B190206">
        <w:rPr>
          <w:rFonts w:asciiTheme="minorHAnsi" w:hAnsiTheme="minorHAnsi" w:cstheme="minorBidi"/>
          <w:sz w:val="24"/>
          <w:szCs w:val="24"/>
        </w:rPr>
        <w:t>is a high public paying hospital with public payer mix of 6</w:t>
      </w:r>
      <w:r w:rsidR="5859D6ED" w:rsidRPr="1B190206">
        <w:rPr>
          <w:rFonts w:asciiTheme="minorHAnsi" w:hAnsiTheme="minorHAnsi" w:cstheme="minorBidi"/>
          <w:sz w:val="24"/>
          <w:szCs w:val="24"/>
        </w:rPr>
        <w:t>7</w:t>
      </w:r>
      <w:r w:rsidRPr="1B190206">
        <w:rPr>
          <w:rFonts w:asciiTheme="minorHAnsi" w:hAnsiTheme="minorHAnsi" w:cstheme="minorBidi"/>
          <w:sz w:val="24"/>
          <w:szCs w:val="24"/>
        </w:rPr>
        <w:t>.</w:t>
      </w:r>
      <w:r w:rsidR="5859D6ED" w:rsidRPr="1B190206">
        <w:rPr>
          <w:rFonts w:asciiTheme="minorHAnsi" w:hAnsiTheme="minorHAnsi" w:cstheme="minorBidi"/>
          <w:sz w:val="24"/>
          <w:szCs w:val="24"/>
        </w:rPr>
        <w:t>7</w:t>
      </w:r>
      <w:r w:rsidRPr="1B190206">
        <w:rPr>
          <w:rFonts w:asciiTheme="minorHAnsi" w:hAnsiTheme="minorHAnsi" w:cstheme="minorBidi"/>
          <w:sz w:val="24"/>
          <w:szCs w:val="24"/>
        </w:rPr>
        <w:t>%.</w:t>
      </w:r>
      <w:r w:rsidR="00F134BD" w:rsidRPr="1B190206">
        <w:rPr>
          <w:rFonts w:asciiTheme="minorHAnsi" w:hAnsiTheme="minorHAnsi" w:cstheme="minorBidi"/>
          <w:sz w:val="24"/>
          <w:szCs w:val="24"/>
          <w:vertAlign w:val="superscript"/>
        </w:rPr>
        <w:footnoteReference w:id="7"/>
      </w:r>
      <w:r w:rsidRPr="1B190206">
        <w:rPr>
          <w:rFonts w:asciiTheme="minorHAnsi" w:hAnsiTheme="minorHAnsi" w:cstheme="minorBidi"/>
          <w:sz w:val="24"/>
          <w:szCs w:val="24"/>
        </w:rPr>
        <w:t xml:space="preserve"> The persistent need for access to health care for under resourced populations is well documented in Massachusetts, and a cessation of these services would create an undue burden on patients and their families in terms of unnecessary delays in treatment, travel and time off from work thereby potentially resulting in negative public health outcomes.</w:t>
      </w:r>
    </w:p>
    <w:p w14:paraId="38C15760" w14:textId="77777777" w:rsidR="00F134BD" w:rsidRPr="00F134BD" w:rsidRDefault="00F134BD" w:rsidP="00F134BD">
      <w:pPr>
        <w:pStyle w:val="BodyText"/>
        <w:rPr>
          <w:rFonts w:asciiTheme="minorHAnsi" w:hAnsiTheme="minorHAnsi" w:cstheme="minorHAnsi"/>
          <w:sz w:val="24"/>
          <w:szCs w:val="24"/>
        </w:rPr>
      </w:pPr>
    </w:p>
    <w:p w14:paraId="6C41D264" w14:textId="015C40C2" w:rsidR="00F134BD" w:rsidRPr="00F134BD" w:rsidRDefault="00F134BD" w:rsidP="00F134BD">
      <w:pPr>
        <w:pStyle w:val="BodyText"/>
        <w:rPr>
          <w:rFonts w:asciiTheme="minorHAnsi" w:hAnsiTheme="minorHAnsi" w:cstheme="minorHAnsi"/>
          <w:sz w:val="24"/>
          <w:szCs w:val="24"/>
        </w:rPr>
      </w:pPr>
      <w:r w:rsidRPr="00F134BD">
        <w:rPr>
          <w:rFonts w:asciiTheme="minorHAnsi" w:hAnsiTheme="minorHAnsi" w:cstheme="minorHAnsi"/>
          <w:sz w:val="24"/>
          <w:szCs w:val="24"/>
        </w:rPr>
        <w:lastRenderedPageBreak/>
        <w:t>As such, staff finds</w:t>
      </w:r>
      <w:bookmarkStart w:id="2" w:name="_Hlk119333558"/>
      <w:r w:rsidRPr="00F134BD">
        <w:rPr>
          <w:rFonts w:asciiTheme="minorHAnsi" w:hAnsiTheme="minorHAnsi" w:cstheme="minorHAnsi"/>
          <w:sz w:val="24"/>
          <w:szCs w:val="24"/>
        </w:rPr>
        <w:t xml:space="preserve"> the Applicant made a convincing case that there is indeed an Emergency Situation and an urgent need for patients residing in </w:t>
      </w:r>
      <w:r w:rsidR="00AD4DC3">
        <w:rPr>
          <w:rFonts w:asciiTheme="minorHAnsi" w:hAnsiTheme="minorHAnsi" w:cstheme="minorHAnsi"/>
          <w:sz w:val="24"/>
          <w:szCs w:val="24"/>
        </w:rPr>
        <w:t xml:space="preserve">the </w:t>
      </w:r>
      <w:r w:rsidRPr="00F134BD">
        <w:rPr>
          <w:rFonts w:asciiTheme="minorHAnsi" w:hAnsiTheme="minorHAnsi" w:cstheme="minorHAnsi"/>
          <w:sz w:val="24"/>
          <w:szCs w:val="24"/>
        </w:rPr>
        <w:t xml:space="preserve">surrounding communities, to have uninterrupted continuity of care and access to local services. </w:t>
      </w:r>
    </w:p>
    <w:bookmarkEnd w:id="2"/>
    <w:p w14:paraId="34314256" w14:textId="77777777" w:rsidR="00F134BD" w:rsidRPr="00F134BD" w:rsidRDefault="00F134BD" w:rsidP="00F134BD">
      <w:pPr>
        <w:pStyle w:val="BodyText"/>
        <w:rPr>
          <w:rFonts w:asciiTheme="minorHAnsi" w:hAnsiTheme="minorHAnsi" w:cstheme="minorHAnsi"/>
          <w:b/>
          <w:bCs/>
          <w:sz w:val="24"/>
          <w:szCs w:val="24"/>
          <w:u w:val="single"/>
        </w:rPr>
      </w:pPr>
    </w:p>
    <w:p w14:paraId="60CAA865" w14:textId="77777777" w:rsidR="00F134BD" w:rsidRPr="00F134BD" w:rsidRDefault="00F134BD" w:rsidP="00F134BD">
      <w:pPr>
        <w:pStyle w:val="BodyText"/>
        <w:rPr>
          <w:rFonts w:asciiTheme="minorHAnsi" w:hAnsiTheme="minorHAnsi" w:cstheme="minorHAnsi"/>
          <w:b/>
          <w:bCs/>
          <w:sz w:val="24"/>
          <w:szCs w:val="24"/>
          <w:u w:val="single"/>
        </w:rPr>
      </w:pPr>
      <w:r w:rsidRPr="00F134BD">
        <w:rPr>
          <w:rFonts w:asciiTheme="minorHAnsi" w:hAnsiTheme="minorHAnsi" w:cstheme="minorHAnsi"/>
          <w:b/>
          <w:bCs/>
          <w:sz w:val="24"/>
          <w:szCs w:val="24"/>
          <w:u w:val="single"/>
        </w:rPr>
        <w:t>Findings</w:t>
      </w:r>
    </w:p>
    <w:p w14:paraId="59AB0BA6" w14:textId="77777777" w:rsidR="00F134BD" w:rsidRDefault="00F134BD" w:rsidP="7E14E4DF">
      <w:pPr>
        <w:pStyle w:val="BodyText"/>
        <w:rPr>
          <w:rFonts w:asciiTheme="minorHAnsi" w:hAnsiTheme="minorHAnsi" w:cstheme="minorBidi"/>
          <w:sz w:val="24"/>
          <w:szCs w:val="24"/>
        </w:rPr>
      </w:pPr>
    </w:p>
    <w:p w14:paraId="205BCDC2" w14:textId="77777777" w:rsidR="00F9354E" w:rsidRPr="00F9354E" w:rsidRDefault="16462B7F" w:rsidP="7E14E4DF">
      <w:pPr>
        <w:pStyle w:val="BodyText"/>
        <w:rPr>
          <w:rFonts w:asciiTheme="minorHAnsi" w:hAnsiTheme="minorHAnsi" w:cstheme="minorBidi"/>
          <w:i/>
          <w:iCs/>
          <w:sz w:val="24"/>
          <w:szCs w:val="24"/>
        </w:rPr>
      </w:pPr>
      <w:r w:rsidRPr="7E14E4DF">
        <w:rPr>
          <w:rFonts w:asciiTheme="minorHAnsi" w:hAnsiTheme="minorHAnsi" w:cstheme="minorBidi"/>
          <w:sz w:val="24"/>
          <w:szCs w:val="24"/>
        </w:rPr>
        <w:t xml:space="preserve">The definition of </w:t>
      </w:r>
      <w:r w:rsidRPr="7E14E4DF">
        <w:rPr>
          <w:rFonts w:asciiTheme="minorHAnsi" w:hAnsiTheme="minorHAnsi" w:cstheme="minorBidi"/>
          <w:i/>
          <w:iCs/>
          <w:sz w:val="24"/>
          <w:szCs w:val="24"/>
        </w:rPr>
        <w:t>Emergency Situation</w:t>
      </w:r>
      <w:r w:rsidRPr="7E14E4DF">
        <w:rPr>
          <w:rFonts w:asciiTheme="minorHAnsi" w:hAnsiTheme="minorHAnsi" w:cstheme="minorBidi"/>
          <w:sz w:val="24"/>
          <w:szCs w:val="24"/>
        </w:rPr>
        <w:t xml:space="preserve"> includes “…</w:t>
      </w:r>
      <w:r w:rsidRPr="7E14E4DF">
        <w:rPr>
          <w:rFonts w:asciiTheme="minorHAnsi" w:hAnsiTheme="minorHAnsi" w:cstheme="minorBidi"/>
          <w:i/>
          <w:iCs/>
          <w:sz w:val="24"/>
          <w:szCs w:val="24"/>
        </w:rPr>
        <w:t xml:space="preserve">a situation involving either: </w:t>
      </w:r>
    </w:p>
    <w:p w14:paraId="7CF15A26" w14:textId="77777777" w:rsidR="00F9354E" w:rsidRPr="00F9354E" w:rsidRDefault="16462B7F" w:rsidP="7E14E4DF">
      <w:pPr>
        <w:pStyle w:val="BodyText"/>
        <w:rPr>
          <w:rFonts w:asciiTheme="minorHAnsi" w:hAnsiTheme="minorHAnsi" w:cstheme="minorBidi"/>
          <w:i/>
          <w:iCs/>
          <w:sz w:val="24"/>
          <w:szCs w:val="24"/>
        </w:rPr>
      </w:pPr>
      <w:r w:rsidRPr="7E14E4DF">
        <w:rPr>
          <w:rFonts w:asciiTheme="minorHAnsi" w:hAnsiTheme="minorHAnsi" w:cstheme="minorBidi"/>
          <w:i/>
          <w:iCs/>
          <w:sz w:val="24"/>
          <w:szCs w:val="24"/>
        </w:rPr>
        <w:t xml:space="preserve">(1) a Government Declaration of emergency or a Catastrophic Event; or </w:t>
      </w:r>
    </w:p>
    <w:p w14:paraId="1DD41B7A" w14:textId="740835D0" w:rsidR="00F9354E" w:rsidRPr="00F134BD" w:rsidRDefault="698C2864" w:rsidP="7E14E4DF">
      <w:pPr>
        <w:pStyle w:val="BodyText"/>
        <w:rPr>
          <w:rFonts w:asciiTheme="minorHAnsi" w:hAnsiTheme="minorHAnsi" w:cstheme="minorBidi"/>
          <w:sz w:val="24"/>
          <w:szCs w:val="24"/>
        </w:rPr>
      </w:pPr>
      <w:r w:rsidRPr="1B190206">
        <w:rPr>
          <w:rFonts w:asciiTheme="minorHAnsi" w:hAnsiTheme="minorHAnsi" w:cstheme="minorBidi"/>
          <w:i/>
          <w:iCs/>
          <w:sz w:val="24"/>
          <w:szCs w:val="24"/>
        </w:rPr>
        <w:t>(2) an existing Health Care Facility which the Commissioner determines has been destroyed, or otherwise substantially damaged, or where there is a clear and present danger of such damage, such that the damage could substantially impact public health…”</w:t>
      </w:r>
      <w:r w:rsidR="00F9354E" w:rsidRPr="1B190206">
        <w:rPr>
          <w:rFonts w:asciiTheme="minorHAnsi" w:hAnsiTheme="minorHAnsi" w:cstheme="minorBidi"/>
          <w:i/>
          <w:iCs/>
          <w:sz w:val="24"/>
          <w:szCs w:val="24"/>
          <w:vertAlign w:val="superscript"/>
        </w:rPr>
        <w:footnoteReference w:id="8"/>
      </w:r>
    </w:p>
    <w:p w14:paraId="762681AC" w14:textId="77777777" w:rsidR="00F9354E" w:rsidRDefault="00F9354E" w:rsidP="7E14E4DF">
      <w:pPr>
        <w:pStyle w:val="BodyText"/>
        <w:rPr>
          <w:rFonts w:asciiTheme="minorHAnsi" w:hAnsiTheme="minorHAnsi" w:cstheme="minorBidi"/>
          <w:sz w:val="24"/>
          <w:szCs w:val="24"/>
        </w:rPr>
      </w:pPr>
    </w:p>
    <w:p w14:paraId="11EABACC" w14:textId="30DBAA71" w:rsidR="00F134BD" w:rsidRPr="00F134BD" w:rsidRDefault="71129582" w:rsidP="7E14E4DF">
      <w:pPr>
        <w:pStyle w:val="BodyText"/>
        <w:rPr>
          <w:rFonts w:asciiTheme="minorHAnsi" w:hAnsiTheme="minorHAnsi" w:cstheme="minorBidi"/>
          <w:sz w:val="24"/>
          <w:szCs w:val="24"/>
        </w:rPr>
      </w:pPr>
      <w:r w:rsidRPr="7E14E4DF">
        <w:rPr>
          <w:rFonts w:asciiTheme="minorHAnsi" w:hAnsiTheme="minorHAnsi" w:cstheme="minorBidi"/>
          <w:sz w:val="24"/>
          <w:szCs w:val="24"/>
        </w:rPr>
        <w:t>Based upon a review of the Proposed Project as submitted by the Applicant, DoN staff recommend that the Commissioner determine that this transaction is in response to an Emergency Situation, as defined in 105 CMR 100.100. Staff further finds that the Applicant convincingly demonstrates that the Proposed Project will address the Emergency Situation and that without the issuance of a Notice of Determination of Need, the public health will be measurably harmed.</w:t>
      </w:r>
      <w:r w:rsidR="4C909CDF" w:rsidRPr="7E14E4DF">
        <w:rPr>
          <w:rFonts w:asciiTheme="minorHAnsi" w:hAnsiTheme="minorHAnsi" w:cstheme="minorBidi"/>
          <w:sz w:val="24"/>
          <w:szCs w:val="24"/>
        </w:rPr>
        <w:t xml:space="preserve"> Additionally, staff recommends that the request by the Applicant that the Department designate these 15 inpatient geriatric psychiatry beds as out-of-service be approved</w:t>
      </w:r>
      <w:r w:rsidR="7919D1B3" w:rsidRPr="7E14E4DF">
        <w:rPr>
          <w:rFonts w:asciiTheme="minorHAnsi" w:hAnsiTheme="minorHAnsi" w:cstheme="minorBidi"/>
          <w:sz w:val="24"/>
          <w:szCs w:val="24"/>
        </w:rPr>
        <w:t>.</w:t>
      </w:r>
      <w:r w:rsidR="4C909CDF" w:rsidRPr="7E14E4DF">
        <w:rPr>
          <w:rFonts w:asciiTheme="minorHAnsi" w:hAnsiTheme="minorHAnsi" w:cstheme="minorBidi"/>
          <w:sz w:val="24"/>
          <w:szCs w:val="24"/>
        </w:rPr>
        <w:t xml:space="preserve"> </w:t>
      </w:r>
      <w:r w:rsidRPr="7E14E4DF">
        <w:rPr>
          <w:rFonts w:asciiTheme="minorHAnsi" w:hAnsiTheme="minorHAnsi" w:cstheme="minorBidi"/>
          <w:sz w:val="24"/>
          <w:szCs w:val="24"/>
        </w:rPr>
        <w:t xml:space="preserve"> Staff further recommend that, in light of the urgent need to maintain access to and continuity of care, certain notice and comment regulations be waived, specifically pursuant to 105 CMR 100.435(D) and 105 CMR 100.440(B), and the related sections of 105 CMR 100.405(C)(2).</w:t>
      </w:r>
    </w:p>
    <w:p w14:paraId="750CCF44" w14:textId="77777777" w:rsidR="00F134BD" w:rsidRPr="00F134BD" w:rsidRDefault="00F134BD" w:rsidP="00F134BD">
      <w:pPr>
        <w:pStyle w:val="BodyText"/>
        <w:rPr>
          <w:rFonts w:asciiTheme="minorHAnsi" w:hAnsiTheme="minorHAnsi" w:cstheme="minorHAnsi"/>
          <w:sz w:val="24"/>
          <w:szCs w:val="24"/>
        </w:rPr>
      </w:pPr>
    </w:p>
    <w:p w14:paraId="07785586" w14:textId="77777777" w:rsidR="00F134BD" w:rsidRPr="00F134BD" w:rsidRDefault="69ECDB4C" w:rsidP="00F134BD">
      <w:pPr>
        <w:pStyle w:val="BodyText"/>
        <w:rPr>
          <w:rFonts w:asciiTheme="minorHAnsi" w:hAnsiTheme="minorHAnsi" w:cstheme="minorHAnsi"/>
          <w:sz w:val="24"/>
          <w:szCs w:val="24"/>
        </w:rPr>
      </w:pPr>
      <w:r w:rsidRPr="1B190206">
        <w:rPr>
          <w:rFonts w:asciiTheme="minorHAnsi" w:hAnsiTheme="minorHAnsi" w:cstheme="minorBidi"/>
          <w:sz w:val="24"/>
          <w:szCs w:val="24"/>
        </w:rPr>
        <w:t>Based on review of the materials submitted and additional analysis, staff recommend that the Commissioner issue a Notice of Determination of Need, subject to all Standard Conditions set out in 105 CMR 100.310(A) except 100.310(A)(5), (6), (7), (9), (10) and (13).</w:t>
      </w:r>
      <w:r w:rsidR="00F134BD" w:rsidRPr="1B190206">
        <w:rPr>
          <w:rFonts w:asciiTheme="minorHAnsi" w:hAnsiTheme="minorHAnsi" w:cstheme="minorBidi"/>
          <w:sz w:val="24"/>
          <w:szCs w:val="24"/>
          <w:vertAlign w:val="superscript"/>
        </w:rPr>
        <w:footnoteReference w:id="9"/>
      </w:r>
      <w:r w:rsidRPr="1B190206">
        <w:rPr>
          <w:rFonts w:asciiTheme="minorHAnsi" w:hAnsiTheme="minorHAnsi" w:cstheme="minorBidi"/>
          <w:sz w:val="24"/>
          <w:szCs w:val="24"/>
        </w:rPr>
        <w:t xml:space="preserve"> </w:t>
      </w:r>
    </w:p>
    <w:p w14:paraId="2E75A5DC" w14:textId="77777777" w:rsidR="00F134BD" w:rsidRPr="00F134BD" w:rsidRDefault="00F134BD" w:rsidP="00F134BD">
      <w:pPr>
        <w:pStyle w:val="BodyText"/>
        <w:rPr>
          <w:rFonts w:asciiTheme="minorHAnsi" w:hAnsiTheme="minorHAnsi" w:cstheme="minorHAnsi"/>
          <w:sz w:val="24"/>
          <w:szCs w:val="24"/>
        </w:rPr>
      </w:pPr>
    </w:p>
    <w:p w14:paraId="7268BAE4" w14:textId="77777777" w:rsidR="00F134BD" w:rsidRPr="00F134BD" w:rsidRDefault="00F134BD" w:rsidP="00F134BD">
      <w:pPr>
        <w:pStyle w:val="BodyText"/>
        <w:rPr>
          <w:rFonts w:asciiTheme="minorHAnsi" w:hAnsiTheme="minorHAnsi" w:cstheme="minorHAnsi"/>
          <w:b/>
          <w:bCs/>
          <w:sz w:val="24"/>
          <w:szCs w:val="24"/>
        </w:rPr>
      </w:pPr>
      <w:r w:rsidRPr="00F134BD">
        <w:rPr>
          <w:rFonts w:asciiTheme="minorHAnsi" w:hAnsiTheme="minorHAnsi" w:cstheme="minorHAnsi"/>
          <w:b/>
          <w:bCs/>
          <w:sz w:val="24"/>
          <w:szCs w:val="24"/>
        </w:rPr>
        <w:t xml:space="preserve">Other Conditions </w:t>
      </w:r>
    </w:p>
    <w:p w14:paraId="6F8C13DB" w14:textId="4E8575F6" w:rsidR="00CC782E" w:rsidRPr="00CC782E" w:rsidRDefault="00CC782E" w:rsidP="00CC782E">
      <w:pPr>
        <w:widowControl/>
        <w:autoSpaceDE/>
        <w:autoSpaceDN/>
        <w:rPr>
          <w:rFonts w:eastAsia="Aptos"/>
          <w:kern w:val="2"/>
          <w:sz w:val="24"/>
          <w:szCs w:val="24"/>
          <w:lang w:bidi="ar-SA"/>
          <w14:ligatures w14:val="standardContextual"/>
        </w:rPr>
      </w:pPr>
    </w:p>
    <w:p w14:paraId="6BE29E29"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In establishing Conditions, the DoN Program (“Program”) acknowledges that due to the Emergency Situation at the time of closure, the Holder reports that it does not have full access to information that would provide an accurate picture of the operations of the Hospital. In the interest of ensuring ongoing viability of the Hospital, the Holder will report to the Department on the following: </w:t>
      </w:r>
    </w:p>
    <w:p w14:paraId="6FDA706B"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w:t>
      </w:r>
    </w:p>
    <w:p w14:paraId="2A17BDDF" w14:textId="77777777" w:rsidR="00CC782E" w:rsidRPr="00CC782E" w:rsidRDefault="00CC782E" w:rsidP="00CC782E">
      <w:pPr>
        <w:widowControl/>
        <w:numPr>
          <w:ilvl w:val="0"/>
          <w:numId w:val="38"/>
        </w:numPr>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Within six months of the transaction’s closing (“the Closing”), the Holder will provide the Department with an initial assessment of the condition of the facility and its operations and an integration plan for incorporating SEMC into the operations of BMC with definable benchmarks. The Holder will report on the fiscal and operational health of SEMC and its ability to achieve its stated benchmarks and measures annually for five years following the Closing (“the Reporting Period”).  </w:t>
      </w:r>
    </w:p>
    <w:p w14:paraId="6BDBD75F"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lastRenderedPageBreak/>
        <w:t> </w:t>
      </w:r>
    </w:p>
    <w:p w14:paraId="6BE23CAA"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w:t>
      </w:r>
    </w:p>
    <w:p w14:paraId="613E27FD" w14:textId="77777777" w:rsidR="00CC782E" w:rsidRPr="00CC782E" w:rsidRDefault="00CC782E" w:rsidP="00CC782E">
      <w:pPr>
        <w:widowControl/>
        <w:numPr>
          <w:ilvl w:val="0"/>
          <w:numId w:val="39"/>
        </w:numPr>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Within six months of the Closing, the Holder will propose measures to assess the impact of the Transaction, including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 As part of its report to the Department, within one year of the Closing, and annually for five years, the Holder will report on SEMC’s ability to achieve its stated benchmarks and measures.  </w:t>
      </w:r>
    </w:p>
    <w:p w14:paraId="2890F3D9"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w:t>
      </w:r>
    </w:p>
    <w:p w14:paraId="5BE784A0" w14:textId="77777777" w:rsidR="00CC782E" w:rsidRPr="00CC782E" w:rsidRDefault="00CC782E" w:rsidP="00CC782E">
      <w:pPr>
        <w:widowControl/>
        <w:numPr>
          <w:ilvl w:val="0"/>
          <w:numId w:val="12"/>
        </w:numPr>
        <w:autoSpaceDE/>
        <w:autoSpaceDN/>
        <w:contextualSpacing/>
        <w:rPr>
          <w:rFonts w:eastAsia="Aptos"/>
          <w:kern w:val="2"/>
          <w:sz w:val="24"/>
          <w:szCs w:val="24"/>
          <w:lang w:bidi="ar-SA"/>
          <w14:ligatures w14:val="standardContextual"/>
        </w:rPr>
      </w:pPr>
      <w:r w:rsidRPr="00CC782E">
        <w:rPr>
          <w:rFonts w:eastAsia="Aptos"/>
          <w:kern w:val="2"/>
          <w:sz w:val="24"/>
          <w:szCs w:val="24"/>
          <w:lang w:bidi="ar-SA"/>
          <w14:ligatures w14:val="standardContextual"/>
        </w:rPr>
        <w:t>Within 12 months of the Closing, the Holder will submit a plan outlining ongoing service provision by the Holder, including at SEMC (“the Plan”).  The Plan must address the duration of the reporting period and include an analysis of utilization patterns by service line since the Closing, budgeted and actual Full Time Equivalent (FTE) staffing for each service line, a data supported assessment of community need, and a summary reflecting the Holder’s good faith expectations for potential modification of services, including potential closures or reductions, to any service during the Reporting Period.  The Plan must also include how the Holder will engage in reasonable efforts to inform the public and relevant stakeholders of any such service reductions or closures or other changes with likely impact on the patient panel or local communities. </w:t>
      </w:r>
    </w:p>
    <w:p w14:paraId="5BD7E230" w14:textId="77777777" w:rsidR="00CC782E" w:rsidRPr="00CC782E" w:rsidRDefault="00CC782E" w:rsidP="00CC782E">
      <w:pPr>
        <w:widowControl/>
        <w:autoSpaceDE/>
        <w:autoSpaceDN/>
        <w:ind w:left="720"/>
        <w:rPr>
          <w:rFonts w:eastAsia="Aptos"/>
          <w:kern w:val="2"/>
          <w:sz w:val="24"/>
          <w:szCs w:val="24"/>
          <w:lang w:bidi="ar-SA"/>
          <w14:ligatures w14:val="standardContextual"/>
        </w:rPr>
      </w:pPr>
    </w:p>
    <w:p w14:paraId="040D3324" w14:textId="77777777" w:rsidR="00CC782E" w:rsidRPr="00CC782E" w:rsidRDefault="00CC782E" w:rsidP="00CC782E">
      <w:pPr>
        <w:widowControl/>
        <w:numPr>
          <w:ilvl w:val="0"/>
          <w:numId w:val="12"/>
        </w:numPr>
        <w:autoSpaceDE/>
        <w:autoSpaceDN/>
        <w:spacing w:line="259" w:lineRule="auto"/>
        <w:rPr>
          <w:rFonts w:eastAsia="Aptos"/>
          <w:kern w:val="2"/>
          <w:sz w:val="24"/>
          <w:szCs w:val="24"/>
          <w:lang w:bidi="ar-SA"/>
          <w14:ligatures w14:val="standardContextual"/>
        </w:rPr>
      </w:pPr>
      <w:r w:rsidRPr="00CC782E">
        <w:rPr>
          <w:rFonts w:eastAsia="Aptos"/>
          <w:kern w:val="2"/>
          <w:sz w:val="24"/>
          <w:szCs w:val="24"/>
          <w:lang w:bidi="ar-SA"/>
          <w14:ligatures w14:val="standardContextual"/>
        </w:rPr>
        <w:t xml:space="preserve">To allow for Program monitoring of the Holder's implementation of the Plan on a quarterly basis during the Reporting Period, the Holder must inform the Program of any anticipated material or prolonged reduction of any essential service at SEMC during the upcoming quarter. In any such notice, the Holder will provide an analysis of utilization patterns since the Closing, budgeted and actual FTE staffing for each of the services referenced for reduction, a data supported assessment of community need, and rationale for the reduction the service, including alternatives considered and alternative sites where access can be reasonably assured for its Patient Panel. Following a notice of anticipated reduction of any essential service at SEMC during the Reporting </w:t>
      </w:r>
      <w:proofErr w:type="gramStart"/>
      <w:r w:rsidRPr="00CC782E">
        <w:rPr>
          <w:rFonts w:eastAsia="Aptos"/>
          <w:kern w:val="2"/>
          <w:sz w:val="24"/>
          <w:szCs w:val="24"/>
          <w:lang w:bidi="ar-SA"/>
          <w14:ligatures w14:val="standardContextual"/>
        </w:rPr>
        <w:t>Period</w:t>
      </w:r>
      <w:proofErr w:type="gramEnd"/>
      <w:r w:rsidRPr="00CC782E">
        <w:rPr>
          <w:rFonts w:eastAsia="Aptos"/>
          <w:kern w:val="2"/>
          <w:sz w:val="24"/>
          <w:szCs w:val="24"/>
          <w:lang w:bidi="ar-SA"/>
          <w14:ligatures w14:val="standardContextual"/>
        </w:rPr>
        <w:t xml:space="preserve"> which is not outlined in the Plan, the Holder may be referred to the Public Health Council for review of the long-term implications of such reduction and compliance with the DoN approval. </w:t>
      </w:r>
    </w:p>
    <w:p w14:paraId="096FAE8B" w14:textId="77777777" w:rsidR="00CC782E" w:rsidRPr="00CC782E" w:rsidRDefault="00CC782E" w:rsidP="00CC782E">
      <w:pPr>
        <w:widowControl/>
        <w:autoSpaceDE/>
        <w:autoSpaceDN/>
        <w:ind w:left="720"/>
        <w:contextualSpacing/>
        <w:rPr>
          <w:rFonts w:eastAsia="Aptos"/>
          <w:kern w:val="2"/>
          <w:sz w:val="24"/>
          <w:szCs w:val="24"/>
          <w:lang w:bidi="ar-SA"/>
          <w14:ligatures w14:val="standardContextual"/>
        </w:rPr>
      </w:pPr>
    </w:p>
    <w:p w14:paraId="1C87C265" w14:textId="77777777" w:rsidR="00CC782E" w:rsidRPr="00CC782E" w:rsidRDefault="00CC782E" w:rsidP="00CC782E">
      <w:pPr>
        <w:widowControl/>
        <w:numPr>
          <w:ilvl w:val="0"/>
          <w:numId w:val="12"/>
        </w:numPr>
        <w:autoSpaceDE/>
        <w:autoSpaceDN/>
        <w:spacing w:line="259" w:lineRule="auto"/>
        <w:rPr>
          <w:rFonts w:eastAsia="Aptos"/>
          <w:kern w:val="2"/>
          <w:sz w:val="24"/>
          <w:szCs w:val="24"/>
          <w:lang w:bidi="ar-SA"/>
          <w14:ligatures w14:val="standardContextual"/>
        </w:rPr>
      </w:pPr>
      <w:r w:rsidRPr="00CC782E">
        <w:rPr>
          <w:rFonts w:eastAsia="Aptos"/>
          <w:kern w:val="2"/>
          <w:sz w:val="24"/>
          <w:szCs w:val="24"/>
          <w:lang w:bidi="ar-SA"/>
          <w14:ligatures w14:val="standardContextual"/>
        </w:rPr>
        <w:t>In its first report to the Department, due 6 months after this approval and annually thereafter during the Reporting Period, the Holder will provide the following:  </w:t>
      </w:r>
    </w:p>
    <w:p w14:paraId="1F396380"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w:t>
      </w:r>
    </w:p>
    <w:p w14:paraId="77AAF1EC" w14:textId="77777777" w:rsidR="00CC782E" w:rsidRPr="00CC782E" w:rsidRDefault="00CC782E" w:rsidP="00CC782E">
      <w:pPr>
        <w:widowControl/>
        <w:numPr>
          <w:ilvl w:val="0"/>
          <w:numId w:val="14"/>
        </w:numPr>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A report that details the current payer mix of SEMC reported by each of the health insurance coverage categories reported on by the Center for Health Information and Analysis (CHIA). </w:t>
      </w:r>
    </w:p>
    <w:p w14:paraId="740FF56C" w14:textId="77777777" w:rsidR="00CC782E" w:rsidRPr="00CC782E" w:rsidRDefault="00CC782E" w:rsidP="00CC782E">
      <w:pPr>
        <w:widowControl/>
        <w:numPr>
          <w:ilvl w:val="0"/>
          <w:numId w:val="15"/>
        </w:numPr>
        <w:tabs>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Private Commercial – Overall  </w:t>
      </w:r>
    </w:p>
    <w:p w14:paraId="234738D5" w14:textId="77777777" w:rsidR="00CC782E" w:rsidRPr="00CC782E" w:rsidRDefault="00CC782E" w:rsidP="00CC782E">
      <w:pPr>
        <w:widowControl/>
        <w:numPr>
          <w:ilvl w:val="0"/>
          <w:numId w:val="16"/>
        </w:numPr>
        <w:tabs>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Private Commercial – MA Health Connector QHPs (Subsidized and Unsubsidized)  </w:t>
      </w:r>
    </w:p>
    <w:p w14:paraId="7E5BFBF2" w14:textId="77777777" w:rsidR="00CC782E" w:rsidRPr="00CC782E" w:rsidRDefault="00CC782E" w:rsidP="00CC782E">
      <w:pPr>
        <w:widowControl/>
        <w:numPr>
          <w:ilvl w:val="0"/>
          <w:numId w:val="17"/>
        </w:numPr>
        <w:tabs>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MassHealth – Overall  </w:t>
      </w:r>
    </w:p>
    <w:p w14:paraId="29DD7870" w14:textId="77777777" w:rsidR="00CC782E" w:rsidRPr="00CC782E" w:rsidRDefault="00CC782E" w:rsidP="00CC782E">
      <w:pPr>
        <w:widowControl/>
        <w:numPr>
          <w:ilvl w:val="0"/>
          <w:numId w:val="18"/>
        </w:numPr>
        <w:tabs>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MassHealth – Managed Care Organizations (MCO) </w:t>
      </w:r>
    </w:p>
    <w:p w14:paraId="30622E8A" w14:textId="77777777" w:rsidR="00CC782E" w:rsidRPr="00CC782E" w:rsidRDefault="00CC782E" w:rsidP="00CC782E">
      <w:pPr>
        <w:widowControl/>
        <w:numPr>
          <w:ilvl w:val="0"/>
          <w:numId w:val="19"/>
        </w:numPr>
        <w:tabs>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lastRenderedPageBreak/>
        <w:t>MassHealth –Accountable Care Organizations (ACO)  </w:t>
      </w:r>
    </w:p>
    <w:p w14:paraId="41A03368" w14:textId="77777777" w:rsidR="00CC782E" w:rsidRPr="00CC782E" w:rsidRDefault="00CC782E" w:rsidP="00CC782E">
      <w:pPr>
        <w:widowControl/>
        <w:numPr>
          <w:ilvl w:val="0"/>
          <w:numId w:val="20"/>
        </w:numPr>
        <w:tabs>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Senior Care Options, One Care, PACE  </w:t>
      </w:r>
    </w:p>
    <w:p w14:paraId="39E0FD5D" w14:textId="77777777" w:rsidR="00CC782E" w:rsidRPr="00CC782E" w:rsidRDefault="00CC782E" w:rsidP="00CC782E">
      <w:pPr>
        <w:widowControl/>
        <w:numPr>
          <w:ilvl w:val="0"/>
          <w:numId w:val="21"/>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Medicare Fee-for-Service (Parts A and B)  </w:t>
      </w:r>
    </w:p>
    <w:p w14:paraId="0764B7CC" w14:textId="77777777" w:rsidR="00CC782E" w:rsidRPr="00CC782E" w:rsidRDefault="00CC782E" w:rsidP="00CC782E">
      <w:pPr>
        <w:widowControl/>
        <w:numPr>
          <w:ilvl w:val="0"/>
          <w:numId w:val="22"/>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Medicare Advantage  </w:t>
      </w:r>
    </w:p>
    <w:p w14:paraId="3DEBCCE0" w14:textId="77777777" w:rsidR="00CC782E" w:rsidRPr="00CC782E" w:rsidRDefault="00CC782E" w:rsidP="00CC782E">
      <w:pPr>
        <w:widowControl/>
        <w:numPr>
          <w:ilvl w:val="0"/>
          <w:numId w:val="23"/>
        </w:numPr>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A description of the current network participation of Holder including but not limited to the number of:  </w:t>
      </w:r>
    </w:p>
    <w:p w14:paraId="1A1F76F5" w14:textId="77777777" w:rsidR="00CC782E" w:rsidRPr="00CC782E" w:rsidRDefault="00CC782E" w:rsidP="00CC782E">
      <w:pPr>
        <w:widowControl/>
        <w:numPr>
          <w:ilvl w:val="0"/>
          <w:numId w:val="24"/>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Limited network products; </w:t>
      </w:r>
    </w:p>
    <w:p w14:paraId="442356B7" w14:textId="77777777" w:rsidR="00CC782E" w:rsidRPr="00CC782E" w:rsidRDefault="00CC782E" w:rsidP="00CC782E">
      <w:pPr>
        <w:widowControl/>
        <w:numPr>
          <w:ilvl w:val="0"/>
          <w:numId w:val="25"/>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Tiered products, including Holder’s and each subsidiary hospitals’ and physician organization’s tier level for each of these products;  </w:t>
      </w:r>
    </w:p>
    <w:p w14:paraId="1AC28FC9" w14:textId="77777777" w:rsidR="00CC782E" w:rsidRPr="00CC782E" w:rsidRDefault="00CC782E" w:rsidP="00CC782E">
      <w:pPr>
        <w:widowControl/>
        <w:numPr>
          <w:ilvl w:val="0"/>
          <w:numId w:val="26"/>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Other commercial products;  </w:t>
      </w:r>
    </w:p>
    <w:p w14:paraId="3512DBAD" w14:textId="77777777" w:rsidR="00CC782E" w:rsidRPr="00CC782E" w:rsidRDefault="00CC782E" w:rsidP="00CC782E">
      <w:pPr>
        <w:widowControl/>
        <w:numPr>
          <w:ilvl w:val="0"/>
          <w:numId w:val="27"/>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MassHealth Fee for Service;  </w:t>
      </w:r>
    </w:p>
    <w:p w14:paraId="2F824488" w14:textId="77777777" w:rsidR="00CC782E" w:rsidRPr="00CC782E" w:rsidRDefault="00CC782E" w:rsidP="00CC782E">
      <w:pPr>
        <w:widowControl/>
        <w:numPr>
          <w:ilvl w:val="0"/>
          <w:numId w:val="28"/>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MassHealth Managed Care Organizations;  </w:t>
      </w:r>
    </w:p>
    <w:p w14:paraId="338BD03A" w14:textId="77777777" w:rsidR="00CC782E" w:rsidRPr="00CC782E" w:rsidRDefault="00CC782E" w:rsidP="00CC782E">
      <w:pPr>
        <w:widowControl/>
        <w:numPr>
          <w:ilvl w:val="0"/>
          <w:numId w:val="29"/>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MassHealth Accountable Care Organizations;  </w:t>
      </w:r>
    </w:p>
    <w:p w14:paraId="15C00B1A" w14:textId="77777777" w:rsidR="00CC782E" w:rsidRPr="00CC782E" w:rsidRDefault="00CC782E" w:rsidP="00CC782E">
      <w:pPr>
        <w:widowControl/>
        <w:numPr>
          <w:ilvl w:val="0"/>
          <w:numId w:val="30"/>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Senior Care Options, One Care, PACE;  </w:t>
      </w:r>
    </w:p>
    <w:p w14:paraId="0376A99C" w14:textId="77777777" w:rsidR="00CC782E" w:rsidRPr="00CC782E" w:rsidRDefault="00CC782E" w:rsidP="00CC782E">
      <w:pPr>
        <w:widowControl/>
        <w:numPr>
          <w:ilvl w:val="0"/>
          <w:numId w:val="31"/>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Medicare Fee for Service; and </w:t>
      </w:r>
    </w:p>
    <w:p w14:paraId="7A556BE2" w14:textId="77777777" w:rsidR="00CC782E" w:rsidRPr="00CC782E" w:rsidRDefault="00CC782E" w:rsidP="00CC782E">
      <w:pPr>
        <w:widowControl/>
        <w:numPr>
          <w:ilvl w:val="0"/>
          <w:numId w:val="32"/>
        </w:numPr>
        <w:tabs>
          <w:tab w:val="clear" w:pos="720"/>
          <w:tab w:val="num" w:pos="1440"/>
        </w:tabs>
        <w:autoSpaceDE/>
        <w:autoSpaceDN/>
        <w:ind w:left="1440"/>
        <w:rPr>
          <w:rFonts w:eastAsia="Aptos"/>
          <w:kern w:val="2"/>
          <w:sz w:val="24"/>
          <w:szCs w:val="24"/>
          <w:lang w:bidi="ar-SA"/>
          <w14:ligatures w14:val="standardContextual"/>
        </w:rPr>
      </w:pPr>
      <w:r w:rsidRPr="00CC782E">
        <w:rPr>
          <w:rFonts w:eastAsia="Aptos"/>
          <w:kern w:val="2"/>
          <w:sz w:val="24"/>
          <w:szCs w:val="24"/>
          <w:lang w:bidi="ar-SA"/>
          <w14:ligatures w14:val="standardContextual"/>
        </w:rPr>
        <w:t>Medicare Managed Care Organizations. </w:t>
      </w:r>
    </w:p>
    <w:p w14:paraId="3A18AF5E" w14:textId="77777777" w:rsidR="00CC782E" w:rsidRPr="00CC782E" w:rsidRDefault="00CC782E" w:rsidP="00CC782E">
      <w:pPr>
        <w:widowControl/>
        <w:numPr>
          <w:ilvl w:val="0"/>
          <w:numId w:val="33"/>
        </w:numPr>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A description of efforts to identify and address barriers to access, including for patients insured by or through MassHealth. </w:t>
      </w:r>
    </w:p>
    <w:p w14:paraId="600C8323" w14:textId="77777777" w:rsidR="00CC782E" w:rsidRPr="00CC782E" w:rsidRDefault="00CC782E" w:rsidP="00CC782E">
      <w:pPr>
        <w:widowControl/>
        <w:numPr>
          <w:ilvl w:val="0"/>
          <w:numId w:val="34"/>
        </w:numPr>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If, during the pendency of the DoN, the Department determines that the MassHealth payer mix of SEMC has materially decreased since the Closing, then the Holder shall submit a plan to the Department detailing its plan to increase its MassHealth payer mix. The plan shall be submitted no later than six months after such time as the Department notifies the Holder that such a plan is required. The Holder shall provide with its annual report to the Department a report on implementation of said plan.  </w:t>
      </w:r>
    </w:p>
    <w:p w14:paraId="5B0FB552"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w:t>
      </w:r>
    </w:p>
    <w:p w14:paraId="04AC024E" w14:textId="77777777" w:rsidR="00CC782E" w:rsidRPr="00CC782E" w:rsidRDefault="00CC782E" w:rsidP="00CC782E">
      <w:pPr>
        <w:widowControl/>
        <w:numPr>
          <w:ilvl w:val="0"/>
          <w:numId w:val="35"/>
        </w:numPr>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xml:space="preserve">The Holder will make good faith efforts to ensure continuity of care for patients through good faith efforts to participate in the same insurance plans that SEMC participated in as of the Closing and, to the extent possible, at the same rates through the end of the applicable payer contract period. </w:t>
      </w:r>
    </w:p>
    <w:p w14:paraId="55E112F2"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w:t>
      </w:r>
    </w:p>
    <w:p w14:paraId="36A0B8FD" w14:textId="53F9C9E8" w:rsidR="00CC782E" w:rsidRPr="00CC782E" w:rsidRDefault="00CC782E" w:rsidP="00CC782E">
      <w:pPr>
        <w:widowControl/>
        <w:numPr>
          <w:ilvl w:val="0"/>
          <w:numId w:val="36"/>
        </w:numPr>
        <w:autoSpaceDE/>
        <w:autoSpaceDN/>
        <w:rPr>
          <w:rFonts w:eastAsia="Aptos"/>
          <w:kern w:val="2"/>
          <w:sz w:val="24"/>
          <w:szCs w:val="24"/>
          <w:lang w:bidi="ar-SA"/>
          <w14:ligatures w14:val="standardContextual"/>
        </w:rPr>
      </w:pPr>
      <w:r w:rsidRPr="1B190206">
        <w:rPr>
          <w:rFonts w:eastAsia="Aptos"/>
          <w:sz w:val="24"/>
          <w:szCs w:val="24"/>
          <w:lang w:bidi="ar-SA"/>
        </w:rPr>
        <w:t>The Holder shall develop a plan for review and approval by the Department through which, within two years of the approval of the DoN, all employed physicians and other</w:t>
      </w:r>
      <w:r w:rsidR="01BC4A57" w:rsidRPr="1B190206">
        <w:rPr>
          <w:rFonts w:eastAsia="Aptos"/>
          <w:sz w:val="24"/>
          <w:szCs w:val="24"/>
          <w:lang w:bidi="ar-SA"/>
        </w:rPr>
        <w:t xml:space="preserve"> employed</w:t>
      </w:r>
      <w:r w:rsidRPr="1B190206">
        <w:rPr>
          <w:rFonts w:eastAsia="Aptos"/>
          <w:sz w:val="24"/>
          <w:szCs w:val="24"/>
          <w:lang w:bidi="ar-SA"/>
        </w:rPr>
        <w:t xml:space="preserve"> licensed providers at SEMC who are authorized to participate in MassHealth, shall have applied to participate in MassHealth (the MassHealth Plan). The Holder shall certify annually thereafter during the Reporting Period its continuing compliance with the intent of the MassHealth Plan that all employed physicians and other </w:t>
      </w:r>
      <w:r w:rsidR="4928138F" w:rsidRPr="1B190206">
        <w:rPr>
          <w:rFonts w:eastAsia="Aptos"/>
          <w:sz w:val="24"/>
          <w:szCs w:val="24"/>
          <w:lang w:bidi="ar-SA"/>
        </w:rPr>
        <w:t xml:space="preserve">employed </w:t>
      </w:r>
      <w:r w:rsidRPr="1B190206">
        <w:rPr>
          <w:rFonts w:eastAsia="Aptos"/>
          <w:sz w:val="24"/>
          <w:szCs w:val="24"/>
          <w:lang w:bidi="ar-SA"/>
        </w:rPr>
        <w:t>licensed providers who are so authorized are participating in MassHealth and its contracted managed care entities. </w:t>
      </w:r>
    </w:p>
    <w:p w14:paraId="4EE58B0A"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w:t>
      </w:r>
    </w:p>
    <w:p w14:paraId="5713E343" w14:textId="77777777" w:rsidR="00CC782E" w:rsidRPr="00CC782E" w:rsidRDefault="00CC782E" w:rsidP="00CC782E">
      <w:pPr>
        <w:widowControl/>
        <w:numPr>
          <w:ilvl w:val="0"/>
          <w:numId w:val="37"/>
        </w:numPr>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xml:space="preserve">The Holder will make good faith efforts to offer jobs to the individuals who had been employed at SEMC as of the Closing by offering continued employment following the Closing, on the same terms as feasible. </w:t>
      </w:r>
    </w:p>
    <w:p w14:paraId="31025902"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w:t>
      </w:r>
    </w:p>
    <w:p w14:paraId="421D6922"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t> </w:t>
      </w:r>
    </w:p>
    <w:p w14:paraId="7D571B29" w14:textId="77777777" w:rsidR="00CC782E" w:rsidRPr="00CC782E" w:rsidRDefault="00CC782E" w:rsidP="00CC782E">
      <w:pPr>
        <w:widowControl/>
        <w:autoSpaceDE/>
        <w:autoSpaceDN/>
        <w:rPr>
          <w:rFonts w:eastAsia="Aptos"/>
          <w:kern w:val="2"/>
          <w:sz w:val="24"/>
          <w:szCs w:val="24"/>
          <w:lang w:bidi="ar-SA"/>
          <w14:ligatures w14:val="standardContextual"/>
        </w:rPr>
      </w:pPr>
      <w:r w:rsidRPr="00CC782E">
        <w:rPr>
          <w:rFonts w:eastAsia="Aptos"/>
          <w:kern w:val="2"/>
          <w:sz w:val="24"/>
          <w:szCs w:val="24"/>
          <w:lang w:bidi="ar-SA"/>
          <w14:ligatures w14:val="standardContextual"/>
        </w:rPr>
        <w:lastRenderedPageBreak/>
        <w:t>The Commissioner may subsequently require a full Application for Determination of Need consistent with 105 CMR 100.405. </w:t>
      </w:r>
    </w:p>
    <w:p w14:paraId="11B9DD9F" w14:textId="77777777" w:rsidR="00CC782E" w:rsidRPr="00CC782E" w:rsidRDefault="00CC782E" w:rsidP="00CC782E">
      <w:pPr>
        <w:widowControl/>
        <w:autoSpaceDE/>
        <w:autoSpaceDN/>
        <w:rPr>
          <w:rFonts w:eastAsia="Aptos"/>
          <w:kern w:val="2"/>
          <w:sz w:val="24"/>
          <w:szCs w:val="24"/>
          <w:lang w:bidi="ar-SA"/>
          <w14:ligatures w14:val="standardContextual"/>
        </w:rPr>
      </w:pPr>
    </w:p>
    <w:p w14:paraId="36D6B217" w14:textId="77777777" w:rsidR="00F134BD" w:rsidRDefault="00F134BD" w:rsidP="00F134BD">
      <w:pPr>
        <w:pStyle w:val="BodyText"/>
        <w:rPr>
          <w:rFonts w:asciiTheme="minorHAnsi" w:hAnsiTheme="minorHAnsi" w:cstheme="minorHAnsi"/>
          <w:sz w:val="24"/>
          <w:szCs w:val="24"/>
        </w:rPr>
      </w:pPr>
    </w:p>
    <w:p w14:paraId="765B5E78" w14:textId="77777777" w:rsidR="00CC782E" w:rsidRPr="00F134BD" w:rsidRDefault="00CC782E" w:rsidP="00F134BD">
      <w:pPr>
        <w:pStyle w:val="BodyText"/>
        <w:rPr>
          <w:rFonts w:asciiTheme="minorHAnsi" w:hAnsiTheme="minorHAnsi" w:cstheme="minorHAnsi"/>
          <w:sz w:val="24"/>
          <w:szCs w:val="24"/>
        </w:rPr>
      </w:pPr>
    </w:p>
    <w:p w14:paraId="47C2536A" w14:textId="77777777" w:rsidR="00CC782E" w:rsidRDefault="00CC782E" w:rsidP="00E146A7">
      <w:pPr>
        <w:pStyle w:val="BodyText"/>
        <w:rPr>
          <w:rFonts w:asciiTheme="minorHAnsi" w:hAnsiTheme="minorHAnsi" w:cstheme="minorHAnsi"/>
          <w:sz w:val="24"/>
          <w:szCs w:val="24"/>
        </w:rPr>
      </w:pPr>
    </w:p>
    <w:p w14:paraId="3C0282AE" w14:textId="1D279067" w:rsidR="00EC1347" w:rsidRPr="008B6EC4" w:rsidRDefault="00EC1347" w:rsidP="001B72DB">
      <w:pPr>
        <w:pStyle w:val="Heading1"/>
        <w:ind w:left="0"/>
        <w:rPr>
          <w:rFonts w:asciiTheme="minorHAnsi" w:hAnsiTheme="minorHAnsi" w:cstheme="minorHAnsi"/>
          <w:b w:val="0"/>
          <w:bCs w:val="0"/>
          <w:u w:val="none"/>
        </w:rPr>
      </w:pPr>
    </w:p>
    <w:sectPr w:rsidR="00EC1347" w:rsidRPr="008B6EC4" w:rsidSect="009C490B">
      <w:headerReference w:type="default" r:id="rId8"/>
      <w:pgSz w:w="12240" w:h="15840"/>
      <w:pgMar w:top="1400" w:right="1220" w:bottom="1680" w:left="1260" w:header="720" w:footer="14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5A9AA" w14:textId="77777777" w:rsidR="000E7931" w:rsidRDefault="000E7931" w:rsidP="005E7C24">
      <w:r>
        <w:separator/>
      </w:r>
    </w:p>
  </w:endnote>
  <w:endnote w:type="continuationSeparator" w:id="0">
    <w:p w14:paraId="71419409" w14:textId="77777777" w:rsidR="000E7931" w:rsidRDefault="000E7931" w:rsidP="005E7C24">
      <w:r>
        <w:continuationSeparator/>
      </w:r>
    </w:p>
  </w:endnote>
  <w:endnote w:type="continuationNotice" w:id="1">
    <w:p w14:paraId="504A1F5D" w14:textId="77777777" w:rsidR="000E7931" w:rsidRDefault="000E7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1C572" w14:textId="77777777" w:rsidR="000E7931" w:rsidRDefault="000E7931" w:rsidP="005E7C24">
      <w:r>
        <w:separator/>
      </w:r>
    </w:p>
  </w:footnote>
  <w:footnote w:type="continuationSeparator" w:id="0">
    <w:p w14:paraId="7A71B92F" w14:textId="77777777" w:rsidR="000E7931" w:rsidRDefault="000E7931" w:rsidP="005E7C24">
      <w:r>
        <w:continuationSeparator/>
      </w:r>
    </w:p>
  </w:footnote>
  <w:footnote w:type="continuationNotice" w:id="1">
    <w:p w14:paraId="09B5C2FE" w14:textId="77777777" w:rsidR="000E7931" w:rsidRDefault="000E7931"/>
  </w:footnote>
  <w:footnote w:id="2">
    <w:p w14:paraId="64F7BAB9" w14:textId="454A310C" w:rsidR="7E14E4DF" w:rsidRPr="00EC47AD" w:rsidRDefault="5AED1B39" w:rsidP="00C02AFE">
      <w:pPr>
        <w:rPr>
          <w:sz w:val="20"/>
          <w:szCs w:val="20"/>
        </w:rPr>
      </w:pPr>
      <w:r w:rsidRPr="00EC47AD">
        <w:rPr>
          <w:sz w:val="20"/>
          <w:szCs w:val="20"/>
          <w:vertAlign w:val="superscript"/>
        </w:rPr>
        <w:t>1</w:t>
      </w:r>
      <w:r w:rsidRPr="00EC47AD">
        <w:rPr>
          <w:sz w:val="20"/>
          <w:szCs w:val="20"/>
        </w:rPr>
        <w:t xml:space="preserve"> Transfer of Ownership is defined in the applicable regulations at 105 CMR 100 as including but not being limited to “(1) A transfer of a majority interest in the ownership of a Hospital or Clinic; (2) In the case of a privately-held for-profit corporation, transfer of a majority of any class of the stock thereof; (3) In the case of a partnership, transfer of a majority of trustees; (4) In the case of a trust, change of the trustee or a majority of trustees; (5) In the case of a nonprofit corporation, such changes in the corporate membership and/or trustees to constitute a shift in control of the Hospital or Clinic as determined by the Commissioner; or (6) In the case where foreclosure proceedings have been instituted by a mortgagee in possession of a Hospital or Clinic. For the purposes of 105 CMR 100.000, Transfer of Ownership may also mean any change in the ownership interest or structure of the Hospital or Clinic, or of the Hospital or Clinic's organization or parent organization(s), such that the change results in a shift in control of the operation of the Hospital or Clinic, as determined by the Commissioner.”</w:t>
      </w:r>
    </w:p>
  </w:footnote>
  <w:footnote w:id="3">
    <w:p w14:paraId="7DE6B6E5" w14:textId="70086B10" w:rsidR="00D85014" w:rsidRPr="0078321A" w:rsidRDefault="00D85014" w:rsidP="00C02AFE">
      <w:pPr>
        <w:pStyle w:val="FootnoteText"/>
      </w:pPr>
      <w:r>
        <w:rPr>
          <w:rStyle w:val="FootnoteReference"/>
        </w:rPr>
        <w:footnoteRef/>
      </w:r>
      <w:r>
        <w:t xml:space="preserve"> </w:t>
      </w:r>
      <w:r w:rsidRPr="006166B6">
        <w:t>1) Boston Medical Center Corporation, the Applicant’s academic safety</w:t>
      </w:r>
      <w:r w:rsidRPr="0078321A">
        <w:t xml:space="preserve"> </w:t>
      </w:r>
      <w:r w:rsidRPr="006166B6">
        <w:t>net hospital; (2) BMC Community Hospital Corporation</w:t>
      </w:r>
      <w:r w:rsidR="00C213C0">
        <w:t xml:space="preserve"> II </w:t>
      </w:r>
      <w:r w:rsidRPr="006166B6">
        <w:t xml:space="preserve"> d/b/</w:t>
      </w:r>
      <w:r w:rsidR="00C213C0">
        <w:t xml:space="preserve"> Saint Elizabeth’s Medical Center</w:t>
      </w:r>
      <w:r w:rsidRPr="006166B6">
        <w:t>, the</w:t>
      </w:r>
      <w:r w:rsidRPr="0078321A">
        <w:t xml:space="preserve"> </w:t>
      </w:r>
      <w:r w:rsidRPr="006166B6">
        <w:t>new corporate entity that will comprise</w:t>
      </w:r>
      <w:r w:rsidR="00C213C0">
        <w:t xml:space="preserve"> SEMC</w:t>
      </w:r>
      <w:r w:rsidRPr="006166B6">
        <w:t>; (3) Boston Medical Center Health Plan,</w:t>
      </w:r>
      <w:r w:rsidRPr="0078321A">
        <w:t xml:space="preserve"> </w:t>
      </w:r>
      <w:r w:rsidRPr="006166B6">
        <w:t>Inc.</w:t>
      </w:r>
      <w:r w:rsidRPr="0078321A">
        <w:t>;</w:t>
      </w:r>
      <w:r w:rsidRPr="006166B6">
        <w:t xml:space="preserve"> (4) Clearway Health, LLC; (5) BMC Insurance</w:t>
      </w:r>
      <w:r w:rsidRPr="0078321A">
        <w:t xml:space="preserve"> </w:t>
      </w:r>
      <w:r w:rsidRPr="006166B6">
        <w:t>Co., Ltd. of Vermont</w:t>
      </w:r>
      <w:r w:rsidRPr="0078321A">
        <w:t xml:space="preserve">; </w:t>
      </w:r>
      <w:r w:rsidRPr="006166B6">
        <w:t>; and (6) BMC Community Hospital Corporation II d/b/a</w:t>
      </w:r>
      <w:r w:rsidRPr="0078321A">
        <w:t xml:space="preserve"> </w:t>
      </w:r>
      <w:r w:rsidRPr="006166B6">
        <w:t>St. Elizabeth’s Medical Center, the new corporate entity that will comprise St. Elizabeth’s Medical</w:t>
      </w:r>
      <w:r w:rsidRPr="0078321A">
        <w:t xml:space="preserve"> </w:t>
      </w:r>
      <w:r w:rsidRPr="006166B6">
        <w:t xml:space="preserve">Center. </w:t>
      </w:r>
      <w:r w:rsidRPr="0078321A">
        <w:t>T</w:t>
      </w:r>
      <w:r w:rsidRPr="006166B6">
        <w:t xml:space="preserve">he Applicant owns 49% of </w:t>
      </w:r>
      <w:proofErr w:type="spellStart"/>
      <w:r w:rsidRPr="006166B6">
        <w:t>Tellica</w:t>
      </w:r>
      <w:proofErr w:type="spellEnd"/>
      <w:r w:rsidRPr="006166B6">
        <w:t xml:space="preserve"> Imaging –</w:t>
      </w:r>
      <w:r w:rsidRPr="0078321A">
        <w:t xml:space="preserve"> </w:t>
      </w:r>
      <w:r w:rsidRPr="006166B6">
        <w:t>Massachusetts, LLC, a</w:t>
      </w:r>
      <w:r w:rsidRPr="0078321A">
        <w:t xml:space="preserve"> </w:t>
      </w:r>
      <w:r w:rsidRPr="006166B6">
        <w:t>Delaware corporation formed to provide imaging services to residents in Massachusetts.</w:t>
      </w:r>
    </w:p>
    <w:p w14:paraId="17035EC3" w14:textId="77777777" w:rsidR="00D85014" w:rsidRDefault="00D85014" w:rsidP="00D85014">
      <w:pPr>
        <w:pStyle w:val="FootnoteText"/>
      </w:pPr>
    </w:p>
  </w:footnote>
  <w:footnote w:id="4">
    <w:p w14:paraId="5938D488" w14:textId="0D5F323E" w:rsidR="002E3742" w:rsidRDefault="002E3742">
      <w:pPr>
        <w:pStyle w:val="FootnoteText"/>
      </w:pPr>
      <w:r>
        <w:rPr>
          <w:rStyle w:val="FootnoteReference"/>
        </w:rPr>
        <w:footnoteRef/>
      </w:r>
      <w:r w:rsidR="35C27C5C">
        <w:t xml:space="preserve"> With the lack of reporting by Steward the Department is unable to confirm activity levels.</w:t>
      </w:r>
    </w:p>
  </w:footnote>
  <w:footnote w:id="5">
    <w:p w14:paraId="30A938EB" w14:textId="4A8F6A06" w:rsidR="1B190206" w:rsidRDefault="1B190206" w:rsidP="0062505F">
      <w:pPr>
        <w:pStyle w:val="FootnoteText"/>
        <w:rPr>
          <w:rFonts w:asciiTheme="minorHAnsi" w:hAnsiTheme="minorHAnsi" w:cstheme="minorBidi"/>
          <w:i/>
          <w:iCs/>
          <w:sz w:val="24"/>
          <w:szCs w:val="24"/>
        </w:rPr>
      </w:pPr>
      <w:r w:rsidRPr="0062505F">
        <w:rPr>
          <w:rStyle w:val="FootnoteReference"/>
        </w:rPr>
        <w:footnoteRef/>
      </w:r>
      <w:r w:rsidRPr="0062505F">
        <w:t xml:space="preserve"> </w:t>
      </w:r>
      <w:r w:rsidRPr="0062505F">
        <w:rPr>
          <w:rFonts w:asciiTheme="minorHAnsi" w:hAnsiTheme="minorHAnsi" w:cstheme="minorBidi"/>
          <w:sz w:val="24"/>
          <w:szCs w:val="24"/>
        </w:rPr>
        <w:t xml:space="preserve">The Applicant state’s that </w:t>
      </w:r>
      <w:r w:rsidRPr="0062505F">
        <w:rPr>
          <w:rFonts w:asciiTheme="minorHAnsi" w:hAnsiTheme="minorHAnsi" w:cstheme="minorBidi"/>
          <w:i/>
          <w:iCs/>
          <w:sz w:val="24"/>
          <w:szCs w:val="24"/>
        </w:rPr>
        <w:t>“It is subject to adjustment per the terms of the Asset Purchase Agreement.”</w:t>
      </w:r>
    </w:p>
  </w:footnote>
  <w:footnote w:id="6">
    <w:p w14:paraId="58006044" w14:textId="19E5F9C1" w:rsidR="00742840" w:rsidRDefault="00742840" w:rsidP="00152ACB">
      <w:pPr>
        <w:pStyle w:val="FootnoteText"/>
      </w:pPr>
      <w:r>
        <w:rPr>
          <w:rStyle w:val="FootnoteReference"/>
        </w:rPr>
        <w:footnoteRef/>
      </w:r>
      <w:r>
        <w:t xml:space="preserve"> </w:t>
      </w:r>
      <w:r w:rsidRPr="0018301D">
        <w:t xml:space="preserve">These data are based on the Massachusetts Department of Public Health, Health Care Capacity Dashboard, including Syndromic Surveillance Program, Division of Surveillance, Analytics and Informatics, Bureau of Infectious Disease and Laboratory Services, Massachusetts Department of Public Health. </w:t>
      </w:r>
      <w:proofErr w:type="spellStart"/>
      <w:r w:rsidRPr="0018301D">
        <w:t>WebEOC</w:t>
      </w:r>
      <w:proofErr w:type="spellEnd"/>
      <w:r w:rsidRPr="0018301D">
        <w:t xml:space="preserve"> is an industry-standard, secure, cloud-based platform specifically built to enhance situational awareness and information gathering capabilities of Emergency Management organizations. Per CMS-3401-IFC, hospitals are required to report a series of data points, including numbers on bed capacity and occupancy, which are collected by MADPH in </w:t>
      </w:r>
      <w:proofErr w:type="spellStart"/>
      <w:r w:rsidRPr="0018301D">
        <w:t>WebEOC</w:t>
      </w:r>
      <w:proofErr w:type="spellEnd"/>
      <w:r w:rsidRPr="0018301D">
        <w:t xml:space="preserve"> and reported to the federal level on behalf of the facilities.</w:t>
      </w:r>
    </w:p>
  </w:footnote>
  <w:footnote w:id="7">
    <w:p w14:paraId="36EADCD4" w14:textId="77777777" w:rsidR="00F134BD" w:rsidRDefault="00F134BD" w:rsidP="00F134BD">
      <w:pPr>
        <w:pStyle w:val="FootnoteText"/>
      </w:pPr>
      <w:r>
        <w:rPr>
          <w:rStyle w:val="FootnoteReference"/>
        </w:rPr>
        <w:footnoteRef/>
      </w:r>
      <w:r>
        <w:t xml:space="preserve"> Based on the FY 2022 Cost Report, </w:t>
      </w:r>
      <w:r w:rsidRPr="008B5620">
        <w:t>https://www.chiamass.gov/high-public-payer-hospitals</w:t>
      </w:r>
    </w:p>
  </w:footnote>
  <w:footnote w:id="8">
    <w:p w14:paraId="249D44D7" w14:textId="77777777" w:rsidR="00F9354E" w:rsidRDefault="00F9354E" w:rsidP="00F9354E">
      <w:pPr>
        <w:pStyle w:val="FootnoteText"/>
      </w:pPr>
      <w:r>
        <w:rPr>
          <w:rStyle w:val="FootnoteReference"/>
        </w:rPr>
        <w:footnoteRef/>
      </w:r>
      <w:r>
        <w:t xml:space="preserve"> </w:t>
      </w:r>
      <w:r w:rsidRPr="00D859D8">
        <w:t>105 CMR 100.100</w:t>
      </w:r>
      <w:r>
        <w:t xml:space="preserve"> Definitions</w:t>
      </w:r>
    </w:p>
  </w:footnote>
  <w:footnote w:id="9">
    <w:p w14:paraId="6B26781F" w14:textId="77777777" w:rsidR="00F134BD" w:rsidRDefault="00F134BD" w:rsidP="00F134BD">
      <w:pPr>
        <w:pStyle w:val="FootnoteText"/>
      </w:pPr>
      <w:r>
        <w:rPr>
          <w:rStyle w:val="FootnoteReference"/>
        </w:rPr>
        <w:footnoteRef/>
      </w:r>
      <w:r>
        <w:t xml:space="preserve"> </w:t>
      </w:r>
      <w:r w:rsidRPr="00AB7675">
        <w:t>(B)(1) A Determination of Need Application for Transfer of Ownership pursuant to 105 CMR 100.735 is exempt from105 CMR 100.310(A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8965421"/>
      <w:docPartObj>
        <w:docPartGallery w:val="Page Numbers (Top of Page)"/>
        <w:docPartUnique/>
      </w:docPartObj>
    </w:sdtPr>
    <w:sdtEndPr>
      <w:rPr>
        <w:noProof/>
      </w:rPr>
    </w:sdtEndPr>
    <w:sdtContent>
      <w:p w14:paraId="281113C6" w14:textId="339AFB6F" w:rsidR="00A61E94" w:rsidRDefault="00A61E94">
        <w:pPr>
          <w:pStyle w:val="Head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394B8F3" w14:textId="793E787E" w:rsidR="00F25CA5" w:rsidRDefault="00F25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448E3"/>
    <w:multiLevelType w:val="hybridMultilevel"/>
    <w:tmpl w:val="D168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F5F6928"/>
    <w:multiLevelType w:val="multilevel"/>
    <w:tmpl w:val="E20C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7F7BC5"/>
    <w:multiLevelType w:val="multilevel"/>
    <w:tmpl w:val="0F0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25D3E"/>
    <w:multiLevelType w:val="hybridMultilevel"/>
    <w:tmpl w:val="97D8B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986DF0"/>
    <w:multiLevelType w:val="multilevel"/>
    <w:tmpl w:val="C2DE7B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8523869"/>
    <w:multiLevelType w:val="multilevel"/>
    <w:tmpl w:val="B764E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D5F7684"/>
    <w:multiLevelType w:val="multilevel"/>
    <w:tmpl w:val="043A75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22D5BA1"/>
    <w:multiLevelType w:val="multilevel"/>
    <w:tmpl w:val="12F0E7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8AE6682"/>
    <w:multiLevelType w:val="multilevel"/>
    <w:tmpl w:val="9E04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90C5E0C"/>
    <w:multiLevelType w:val="multilevel"/>
    <w:tmpl w:val="9B1639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9EE55B7"/>
    <w:multiLevelType w:val="hybridMultilevel"/>
    <w:tmpl w:val="2E562624"/>
    <w:lvl w:ilvl="0" w:tplc="7C86B644">
      <w:start w:val="1"/>
      <w:numFmt w:val="decimal"/>
      <w:lvlText w:val="%1."/>
      <w:lvlJc w:val="left"/>
      <w:pPr>
        <w:ind w:left="335" w:hanging="221"/>
      </w:pPr>
      <w:rPr>
        <w:rFonts w:ascii="Arial" w:eastAsia="Arial" w:hAnsi="Arial" w:cs="Arial" w:hint="default"/>
        <w:b/>
        <w:bCs/>
        <w:i w:val="0"/>
        <w:iCs w:val="0"/>
        <w:spacing w:val="-1"/>
        <w:w w:val="99"/>
        <w:sz w:val="20"/>
        <w:szCs w:val="20"/>
        <w:lang w:val="en-US" w:eastAsia="en-US" w:bidi="ar-SA"/>
      </w:rPr>
    </w:lvl>
    <w:lvl w:ilvl="1" w:tplc="C9E044DC">
      <w:numFmt w:val="bullet"/>
      <w:lvlText w:val="•"/>
      <w:lvlJc w:val="left"/>
      <w:pPr>
        <w:ind w:left="1322" w:hanging="221"/>
      </w:pPr>
      <w:rPr>
        <w:rFonts w:hint="default"/>
        <w:lang w:val="en-US" w:eastAsia="en-US" w:bidi="ar-SA"/>
      </w:rPr>
    </w:lvl>
    <w:lvl w:ilvl="2" w:tplc="38B87B24">
      <w:numFmt w:val="bullet"/>
      <w:lvlText w:val="•"/>
      <w:lvlJc w:val="left"/>
      <w:pPr>
        <w:ind w:left="2304" w:hanging="221"/>
      </w:pPr>
      <w:rPr>
        <w:rFonts w:hint="default"/>
        <w:lang w:val="en-US" w:eastAsia="en-US" w:bidi="ar-SA"/>
      </w:rPr>
    </w:lvl>
    <w:lvl w:ilvl="3" w:tplc="80F0F190">
      <w:numFmt w:val="bullet"/>
      <w:lvlText w:val="•"/>
      <w:lvlJc w:val="left"/>
      <w:pPr>
        <w:ind w:left="3286" w:hanging="221"/>
      </w:pPr>
      <w:rPr>
        <w:rFonts w:hint="default"/>
        <w:lang w:val="en-US" w:eastAsia="en-US" w:bidi="ar-SA"/>
      </w:rPr>
    </w:lvl>
    <w:lvl w:ilvl="4" w:tplc="E37837B4">
      <w:numFmt w:val="bullet"/>
      <w:lvlText w:val="•"/>
      <w:lvlJc w:val="left"/>
      <w:pPr>
        <w:ind w:left="4268" w:hanging="221"/>
      </w:pPr>
      <w:rPr>
        <w:rFonts w:hint="default"/>
        <w:lang w:val="en-US" w:eastAsia="en-US" w:bidi="ar-SA"/>
      </w:rPr>
    </w:lvl>
    <w:lvl w:ilvl="5" w:tplc="4F2A7CC4">
      <w:numFmt w:val="bullet"/>
      <w:lvlText w:val="•"/>
      <w:lvlJc w:val="left"/>
      <w:pPr>
        <w:ind w:left="5250" w:hanging="221"/>
      </w:pPr>
      <w:rPr>
        <w:rFonts w:hint="default"/>
        <w:lang w:val="en-US" w:eastAsia="en-US" w:bidi="ar-SA"/>
      </w:rPr>
    </w:lvl>
    <w:lvl w:ilvl="6" w:tplc="FA7053D4">
      <w:numFmt w:val="bullet"/>
      <w:lvlText w:val="•"/>
      <w:lvlJc w:val="left"/>
      <w:pPr>
        <w:ind w:left="6232" w:hanging="221"/>
      </w:pPr>
      <w:rPr>
        <w:rFonts w:hint="default"/>
        <w:lang w:val="en-US" w:eastAsia="en-US" w:bidi="ar-SA"/>
      </w:rPr>
    </w:lvl>
    <w:lvl w:ilvl="7" w:tplc="4B1E3C94">
      <w:numFmt w:val="bullet"/>
      <w:lvlText w:val="•"/>
      <w:lvlJc w:val="left"/>
      <w:pPr>
        <w:ind w:left="7214" w:hanging="221"/>
      </w:pPr>
      <w:rPr>
        <w:rFonts w:hint="default"/>
        <w:lang w:val="en-US" w:eastAsia="en-US" w:bidi="ar-SA"/>
      </w:rPr>
    </w:lvl>
    <w:lvl w:ilvl="8" w:tplc="52E8E724">
      <w:numFmt w:val="bullet"/>
      <w:lvlText w:val="•"/>
      <w:lvlJc w:val="left"/>
      <w:pPr>
        <w:ind w:left="8196" w:hanging="221"/>
      </w:pPr>
      <w:rPr>
        <w:rFonts w:hint="default"/>
        <w:lang w:val="en-US" w:eastAsia="en-US" w:bidi="ar-SA"/>
      </w:rPr>
    </w:lvl>
  </w:abstractNum>
  <w:abstractNum w:abstractNumId="12" w15:restartNumberingAfterBreak="0">
    <w:nsid w:val="2A345852"/>
    <w:multiLevelType w:val="multilevel"/>
    <w:tmpl w:val="F370A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905E6"/>
    <w:multiLevelType w:val="multilevel"/>
    <w:tmpl w:val="E8AC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1A42B10"/>
    <w:multiLevelType w:val="hybridMultilevel"/>
    <w:tmpl w:val="A406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544AE"/>
    <w:multiLevelType w:val="multilevel"/>
    <w:tmpl w:val="20B8B6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B032B7A"/>
    <w:multiLevelType w:val="multilevel"/>
    <w:tmpl w:val="23D4C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717E00"/>
    <w:multiLevelType w:val="multilevel"/>
    <w:tmpl w:val="58C012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71F2F45"/>
    <w:multiLevelType w:val="multilevel"/>
    <w:tmpl w:val="6F56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72118A"/>
    <w:multiLevelType w:val="multilevel"/>
    <w:tmpl w:val="1186B4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C3B491B"/>
    <w:multiLevelType w:val="hybridMultilevel"/>
    <w:tmpl w:val="68642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C314DD"/>
    <w:multiLevelType w:val="multilevel"/>
    <w:tmpl w:val="439E5B3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D0340E4"/>
    <w:multiLevelType w:val="multilevel"/>
    <w:tmpl w:val="411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46384"/>
    <w:multiLevelType w:val="hybridMultilevel"/>
    <w:tmpl w:val="1ABCF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A16C5"/>
    <w:multiLevelType w:val="multilevel"/>
    <w:tmpl w:val="59E2A31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97C29B4"/>
    <w:multiLevelType w:val="multilevel"/>
    <w:tmpl w:val="0FE4E9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9AA237F"/>
    <w:multiLevelType w:val="multilevel"/>
    <w:tmpl w:val="1002A3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9B12E37"/>
    <w:multiLevelType w:val="multilevel"/>
    <w:tmpl w:val="7F58B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9C46DE1"/>
    <w:multiLevelType w:val="multilevel"/>
    <w:tmpl w:val="36189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A664116"/>
    <w:multiLevelType w:val="hybridMultilevel"/>
    <w:tmpl w:val="58FE68F2"/>
    <w:lvl w:ilvl="0" w:tplc="F4BA1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2B50CF"/>
    <w:multiLevelType w:val="multilevel"/>
    <w:tmpl w:val="9DD812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F446F73"/>
    <w:multiLevelType w:val="multilevel"/>
    <w:tmpl w:val="BB1480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C5B3A16"/>
    <w:multiLevelType w:val="hybridMultilevel"/>
    <w:tmpl w:val="8CE4AA9C"/>
    <w:lvl w:ilvl="0" w:tplc="0CAC8D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E1026F6"/>
    <w:multiLevelType w:val="hybridMultilevel"/>
    <w:tmpl w:val="BE02F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37D2A"/>
    <w:multiLevelType w:val="multilevel"/>
    <w:tmpl w:val="21228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6843F7"/>
    <w:multiLevelType w:val="multilevel"/>
    <w:tmpl w:val="5726B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4E11E64"/>
    <w:multiLevelType w:val="multilevel"/>
    <w:tmpl w:val="0DCEF7A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76AE3817"/>
    <w:multiLevelType w:val="multilevel"/>
    <w:tmpl w:val="00529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4951268">
    <w:abstractNumId w:val="32"/>
  </w:num>
  <w:num w:numId="2" w16cid:durableId="1125655460">
    <w:abstractNumId w:val="1"/>
  </w:num>
  <w:num w:numId="3" w16cid:durableId="3266411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847890">
    <w:abstractNumId w:val="29"/>
  </w:num>
  <w:num w:numId="5" w16cid:durableId="1016730445">
    <w:abstractNumId w:val="11"/>
  </w:num>
  <w:num w:numId="6" w16cid:durableId="1022364451">
    <w:abstractNumId w:val="23"/>
  </w:num>
  <w:num w:numId="7" w16cid:durableId="1404378058">
    <w:abstractNumId w:val="4"/>
  </w:num>
  <w:num w:numId="8" w16cid:durableId="811947685">
    <w:abstractNumId w:val="0"/>
  </w:num>
  <w:num w:numId="9" w16cid:durableId="1640567997">
    <w:abstractNumId w:val="14"/>
  </w:num>
  <w:num w:numId="10" w16cid:durableId="1120369972">
    <w:abstractNumId w:val="20"/>
  </w:num>
  <w:num w:numId="11" w16cid:durableId="1724601538">
    <w:abstractNumId w:val="34"/>
  </w:num>
  <w:num w:numId="12" w16cid:durableId="277298132">
    <w:abstractNumId w:val="3"/>
  </w:num>
  <w:num w:numId="13" w16cid:durableId="1910075890">
    <w:abstractNumId w:val="38"/>
  </w:num>
  <w:num w:numId="14" w16cid:durableId="1522206958">
    <w:abstractNumId w:val="2"/>
  </w:num>
  <w:num w:numId="15" w16cid:durableId="937063355">
    <w:abstractNumId w:val="15"/>
  </w:num>
  <w:num w:numId="16" w16cid:durableId="342782311">
    <w:abstractNumId w:val="7"/>
  </w:num>
  <w:num w:numId="17" w16cid:durableId="772431855">
    <w:abstractNumId w:val="31"/>
  </w:num>
  <w:num w:numId="18" w16cid:durableId="445076923">
    <w:abstractNumId w:val="10"/>
  </w:num>
  <w:num w:numId="19" w16cid:durableId="19161068">
    <w:abstractNumId w:val="17"/>
  </w:num>
  <w:num w:numId="20" w16cid:durableId="914825233">
    <w:abstractNumId w:val="8"/>
  </w:num>
  <w:num w:numId="21" w16cid:durableId="2085640323">
    <w:abstractNumId w:val="26"/>
  </w:num>
  <w:num w:numId="22" w16cid:durableId="231354064">
    <w:abstractNumId w:val="25"/>
  </w:num>
  <w:num w:numId="23" w16cid:durableId="431049420">
    <w:abstractNumId w:val="9"/>
  </w:num>
  <w:num w:numId="24" w16cid:durableId="1568878707">
    <w:abstractNumId w:val="13"/>
  </w:num>
  <w:num w:numId="25" w16cid:durableId="1052271431">
    <w:abstractNumId w:val="27"/>
  </w:num>
  <w:num w:numId="26" w16cid:durableId="880433973">
    <w:abstractNumId w:val="28"/>
  </w:num>
  <w:num w:numId="27" w16cid:durableId="1027219721">
    <w:abstractNumId w:val="30"/>
  </w:num>
  <w:num w:numId="28" w16cid:durableId="660352645">
    <w:abstractNumId w:val="6"/>
  </w:num>
  <w:num w:numId="29" w16cid:durableId="667093896">
    <w:abstractNumId w:val="24"/>
  </w:num>
  <w:num w:numId="30" w16cid:durableId="324162604">
    <w:abstractNumId w:val="5"/>
  </w:num>
  <w:num w:numId="31" w16cid:durableId="484861583">
    <w:abstractNumId w:val="37"/>
  </w:num>
  <w:num w:numId="32" w16cid:durableId="59448197">
    <w:abstractNumId w:val="21"/>
  </w:num>
  <w:num w:numId="33" w16cid:durableId="1146312210">
    <w:abstractNumId w:val="36"/>
  </w:num>
  <w:num w:numId="34" w16cid:durableId="1709836503">
    <w:abstractNumId w:val="19"/>
  </w:num>
  <w:num w:numId="35" w16cid:durableId="1877041009">
    <w:abstractNumId w:val="12"/>
  </w:num>
  <w:num w:numId="36" w16cid:durableId="1650209594">
    <w:abstractNumId w:val="16"/>
  </w:num>
  <w:num w:numId="37" w16cid:durableId="503059969">
    <w:abstractNumId w:val="35"/>
  </w:num>
  <w:num w:numId="38" w16cid:durableId="982080976">
    <w:abstractNumId w:val="18"/>
  </w:num>
  <w:num w:numId="39" w16cid:durableId="11120947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24"/>
    <w:rsid w:val="00001B63"/>
    <w:rsid w:val="000034E0"/>
    <w:rsid w:val="00006FDD"/>
    <w:rsid w:val="00010A70"/>
    <w:rsid w:val="0001268A"/>
    <w:rsid w:val="00016CE9"/>
    <w:rsid w:val="00020325"/>
    <w:rsid w:val="00032F1D"/>
    <w:rsid w:val="00040503"/>
    <w:rsid w:val="00045B07"/>
    <w:rsid w:val="00051552"/>
    <w:rsid w:val="0005778B"/>
    <w:rsid w:val="00057F36"/>
    <w:rsid w:val="000713A3"/>
    <w:rsid w:val="00074C84"/>
    <w:rsid w:val="0007661C"/>
    <w:rsid w:val="000B1BD4"/>
    <w:rsid w:val="000B79B8"/>
    <w:rsid w:val="000C67DB"/>
    <w:rsid w:val="000D7595"/>
    <w:rsid w:val="000E7931"/>
    <w:rsid w:val="000F589E"/>
    <w:rsid w:val="001008FF"/>
    <w:rsid w:val="0010304D"/>
    <w:rsid w:val="00103D89"/>
    <w:rsid w:val="00104109"/>
    <w:rsid w:val="0012367B"/>
    <w:rsid w:val="00125E50"/>
    <w:rsid w:val="00127D0A"/>
    <w:rsid w:val="00142C8A"/>
    <w:rsid w:val="00143ACE"/>
    <w:rsid w:val="00152ACB"/>
    <w:rsid w:val="0016046D"/>
    <w:rsid w:val="00163260"/>
    <w:rsid w:val="00164969"/>
    <w:rsid w:val="0016536B"/>
    <w:rsid w:val="00167C7C"/>
    <w:rsid w:val="0018301D"/>
    <w:rsid w:val="0019714A"/>
    <w:rsid w:val="001B07B1"/>
    <w:rsid w:val="001B0DBC"/>
    <w:rsid w:val="001B2E43"/>
    <w:rsid w:val="001B6B3A"/>
    <w:rsid w:val="001B72DB"/>
    <w:rsid w:val="001B75E4"/>
    <w:rsid w:val="001B7732"/>
    <w:rsid w:val="001C2421"/>
    <w:rsid w:val="001E519E"/>
    <w:rsid w:val="001F7504"/>
    <w:rsid w:val="001F78BE"/>
    <w:rsid w:val="002324D5"/>
    <w:rsid w:val="00232A3E"/>
    <w:rsid w:val="00233048"/>
    <w:rsid w:val="00243EF4"/>
    <w:rsid w:val="00266517"/>
    <w:rsid w:val="00274DA6"/>
    <w:rsid w:val="00276168"/>
    <w:rsid w:val="002777B1"/>
    <w:rsid w:val="00292D2C"/>
    <w:rsid w:val="002A45B7"/>
    <w:rsid w:val="002A4959"/>
    <w:rsid w:val="002B7B5D"/>
    <w:rsid w:val="002C7140"/>
    <w:rsid w:val="002D46BA"/>
    <w:rsid w:val="002E22BF"/>
    <w:rsid w:val="002E3742"/>
    <w:rsid w:val="002E46E0"/>
    <w:rsid w:val="0031583B"/>
    <w:rsid w:val="00320660"/>
    <w:rsid w:val="0033176E"/>
    <w:rsid w:val="003369DF"/>
    <w:rsid w:val="00356AE4"/>
    <w:rsid w:val="00357695"/>
    <w:rsid w:val="00360F23"/>
    <w:rsid w:val="003712CD"/>
    <w:rsid w:val="00385A73"/>
    <w:rsid w:val="003907A3"/>
    <w:rsid w:val="003979E1"/>
    <w:rsid w:val="003A1315"/>
    <w:rsid w:val="003A2334"/>
    <w:rsid w:val="003A47B3"/>
    <w:rsid w:val="003A73EB"/>
    <w:rsid w:val="003B7FEC"/>
    <w:rsid w:val="003C0B8D"/>
    <w:rsid w:val="003D2A15"/>
    <w:rsid w:val="003E0FA3"/>
    <w:rsid w:val="003E32C0"/>
    <w:rsid w:val="004106F8"/>
    <w:rsid w:val="00410E35"/>
    <w:rsid w:val="004162B8"/>
    <w:rsid w:val="00416BFE"/>
    <w:rsid w:val="0042490E"/>
    <w:rsid w:val="00424D41"/>
    <w:rsid w:val="00435446"/>
    <w:rsid w:val="004463FE"/>
    <w:rsid w:val="00446D32"/>
    <w:rsid w:val="00462D70"/>
    <w:rsid w:val="00472261"/>
    <w:rsid w:val="00473535"/>
    <w:rsid w:val="004822BA"/>
    <w:rsid w:val="0048387B"/>
    <w:rsid w:val="0048668F"/>
    <w:rsid w:val="004970AD"/>
    <w:rsid w:val="004971C5"/>
    <w:rsid w:val="004A77BD"/>
    <w:rsid w:val="004B6FB5"/>
    <w:rsid w:val="004D5C6D"/>
    <w:rsid w:val="004E7E35"/>
    <w:rsid w:val="004F6A05"/>
    <w:rsid w:val="0052206A"/>
    <w:rsid w:val="00523A87"/>
    <w:rsid w:val="005316B8"/>
    <w:rsid w:val="00533654"/>
    <w:rsid w:val="00543363"/>
    <w:rsid w:val="005453C1"/>
    <w:rsid w:val="005573CA"/>
    <w:rsid w:val="00564186"/>
    <w:rsid w:val="00566BA1"/>
    <w:rsid w:val="0058105D"/>
    <w:rsid w:val="005839E5"/>
    <w:rsid w:val="005925CC"/>
    <w:rsid w:val="005957EF"/>
    <w:rsid w:val="00595DD2"/>
    <w:rsid w:val="00597A43"/>
    <w:rsid w:val="005A31D2"/>
    <w:rsid w:val="005B3BF9"/>
    <w:rsid w:val="005C5075"/>
    <w:rsid w:val="005D11A2"/>
    <w:rsid w:val="005E23AD"/>
    <w:rsid w:val="005E642B"/>
    <w:rsid w:val="005E7C24"/>
    <w:rsid w:val="00624CED"/>
    <w:rsid w:val="0062505F"/>
    <w:rsid w:val="00626FD2"/>
    <w:rsid w:val="006433DB"/>
    <w:rsid w:val="00685A47"/>
    <w:rsid w:val="00686CFC"/>
    <w:rsid w:val="006914A1"/>
    <w:rsid w:val="00691E98"/>
    <w:rsid w:val="00693816"/>
    <w:rsid w:val="00695147"/>
    <w:rsid w:val="006A42AE"/>
    <w:rsid w:val="006A698E"/>
    <w:rsid w:val="006B5F56"/>
    <w:rsid w:val="006C2F1D"/>
    <w:rsid w:val="006D23CD"/>
    <w:rsid w:val="006D256C"/>
    <w:rsid w:val="006D47A9"/>
    <w:rsid w:val="006E2736"/>
    <w:rsid w:val="006E5973"/>
    <w:rsid w:val="006F2D18"/>
    <w:rsid w:val="007021E2"/>
    <w:rsid w:val="00712AC9"/>
    <w:rsid w:val="0072266E"/>
    <w:rsid w:val="007330C5"/>
    <w:rsid w:val="00742840"/>
    <w:rsid w:val="00743C5A"/>
    <w:rsid w:val="00774969"/>
    <w:rsid w:val="00774DEE"/>
    <w:rsid w:val="00777D43"/>
    <w:rsid w:val="00785ABE"/>
    <w:rsid w:val="00794004"/>
    <w:rsid w:val="007A3751"/>
    <w:rsid w:val="007B0899"/>
    <w:rsid w:val="007B67E7"/>
    <w:rsid w:val="007C6A83"/>
    <w:rsid w:val="007D7AC9"/>
    <w:rsid w:val="007E319A"/>
    <w:rsid w:val="007E3423"/>
    <w:rsid w:val="007F28D8"/>
    <w:rsid w:val="007F486D"/>
    <w:rsid w:val="00810451"/>
    <w:rsid w:val="008112E1"/>
    <w:rsid w:val="00813C3A"/>
    <w:rsid w:val="00842A3C"/>
    <w:rsid w:val="00850531"/>
    <w:rsid w:val="008519DA"/>
    <w:rsid w:val="008771D1"/>
    <w:rsid w:val="008904AB"/>
    <w:rsid w:val="008A4113"/>
    <w:rsid w:val="008B6EC4"/>
    <w:rsid w:val="008E58F1"/>
    <w:rsid w:val="008E7A85"/>
    <w:rsid w:val="008F4022"/>
    <w:rsid w:val="008F66D8"/>
    <w:rsid w:val="009016AF"/>
    <w:rsid w:val="00902861"/>
    <w:rsid w:val="00904410"/>
    <w:rsid w:val="009259B2"/>
    <w:rsid w:val="00933ED0"/>
    <w:rsid w:val="0096230C"/>
    <w:rsid w:val="00964227"/>
    <w:rsid w:val="00970791"/>
    <w:rsid w:val="0097279F"/>
    <w:rsid w:val="00975486"/>
    <w:rsid w:val="00983008"/>
    <w:rsid w:val="009955CD"/>
    <w:rsid w:val="009A5810"/>
    <w:rsid w:val="009B3CEF"/>
    <w:rsid w:val="009C490B"/>
    <w:rsid w:val="009C6C84"/>
    <w:rsid w:val="009D3A88"/>
    <w:rsid w:val="009D40AD"/>
    <w:rsid w:val="009D5050"/>
    <w:rsid w:val="009E1CC6"/>
    <w:rsid w:val="009E361A"/>
    <w:rsid w:val="009E5F3F"/>
    <w:rsid w:val="00A0034C"/>
    <w:rsid w:val="00A007D7"/>
    <w:rsid w:val="00A02DF5"/>
    <w:rsid w:val="00A229B8"/>
    <w:rsid w:val="00A24F2A"/>
    <w:rsid w:val="00A26207"/>
    <w:rsid w:val="00A34A11"/>
    <w:rsid w:val="00A36385"/>
    <w:rsid w:val="00A37B89"/>
    <w:rsid w:val="00A4113D"/>
    <w:rsid w:val="00A41287"/>
    <w:rsid w:val="00A52BC8"/>
    <w:rsid w:val="00A61E94"/>
    <w:rsid w:val="00A66EEC"/>
    <w:rsid w:val="00A856A6"/>
    <w:rsid w:val="00A96F16"/>
    <w:rsid w:val="00AB086C"/>
    <w:rsid w:val="00AB2F9B"/>
    <w:rsid w:val="00AB3F18"/>
    <w:rsid w:val="00AB4890"/>
    <w:rsid w:val="00AC0334"/>
    <w:rsid w:val="00AC3B12"/>
    <w:rsid w:val="00AC50BD"/>
    <w:rsid w:val="00AD4DC3"/>
    <w:rsid w:val="00B01612"/>
    <w:rsid w:val="00B129BC"/>
    <w:rsid w:val="00B14057"/>
    <w:rsid w:val="00B1550C"/>
    <w:rsid w:val="00B17487"/>
    <w:rsid w:val="00B47EA9"/>
    <w:rsid w:val="00B5289D"/>
    <w:rsid w:val="00B53CFC"/>
    <w:rsid w:val="00B76044"/>
    <w:rsid w:val="00B76DED"/>
    <w:rsid w:val="00B83EB9"/>
    <w:rsid w:val="00B90FE6"/>
    <w:rsid w:val="00B91BC1"/>
    <w:rsid w:val="00B92123"/>
    <w:rsid w:val="00B96510"/>
    <w:rsid w:val="00B97940"/>
    <w:rsid w:val="00BA10CA"/>
    <w:rsid w:val="00BA7A04"/>
    <w:rsid w:val="00BB25DF"/>
    <w:rsid w:val="00BB49FD"/>
    <w:rsid w:val="00BB7230"/>
    <w:rsid w:val="00BD3905"/>
    <w:rsid w:val="00BE0944"/>
    <w:rsid w:val="00BE4927"/>
    <w:rsid w:val="00BE56DC"/>
    <w:rsid w:val="00C02AFE"/>
    <w:rsid w:val="00C07147"/>
    <w:rsid w:val="00C11357"/>
    <w:rsid w:val="00C11E3C"/>
    <w:rsid w:val="00C12D58"/>
    <w:rsid w:val="00C14A6B"/>
    <w:rsid w:val="00C17353"/>
    <w:rsid w:val="00C213C0"/>
    <w:rsid w:val="00C218DB"/>
    <w:rsid w:val="00C2261B"/>
    <w:rsid w:val="00C259C5"/>
    <w:rsid w:val="00C81B93"/>
    <w:rsid w:val="00C905A9"/>
    <w:rsid w:val="00C9357D"/>
    <w:rsid w:val="00CA07E2"/>
    <w:rsid w:val="00CA274D"/>
    <w:rsid w:val="00CB4F44"/>
    <w:rsid w:val="00CB7763"/>
    <w:rsid w:val="00CC782E"/>
    <w:rsid w:val="00CD4B8E"/>
    <w:rsid w:val="00CD61F5"/>
    <w:rsid w:val="00CF3BAD"/>
    <w:rsid w:val="00D071D4"/>
    <w:rsid w:val="00D10928"/>
    <w:rsid w:val="00D155CE"/>
    <w:rsid w:val="00D20A46"/>
    <w:rsid w:val="00D22FE6"/>
    <w:rsid w:val="00D33920"/>
    <w:rsid w:val="00D428D2"/>
    <w:rsid w:val="00D538F9"/>
    <w:rsid w:val="00D670B7"/>
    <w:rsid w:val="00D8130F"/>
    <w:rsid w:val="00D85014"/>
    <w:rsid w:val="00D95BF5"/>
    <w:rsid w:val="00DB5131"/>
    <w:rsid w:val="00DC61B5"/>
    <w:rsid w:val="00DE5DE4"/>
    <w:rsid w:val="00E06CCD"/>
    <w:rsid w:val="00E1019A"/>
    <w:rsid w:val="00E10D9E"/>
    <w:rsid w:val="00E146A7"/>
    <w:rsid w:val="00E158E8"/>
    <w:rsid w:val="00E17B0C"/>
    <w:rsid w:val="00E21D3E"/>
    <w:rsid w:val="00E25398"/>
    <w:rsid w:val="00E44032"/>
    <w:rsid w:val="00E453DD"/>
    <w:rsid w:val="00E45BCC"/>
    <w:rsid w:val="00E52A0B"/>
    <w:rsid w:val="00E54540"/>
    <w:rsid w:val="00E57C50"/>
    <w:rsid w:val="00E65A34"/>
    <w:rsid w:val="00E71234"/>
    <w:rsid w:val="00E72DFC"/>
    <w:rsid w:val="00E80E5D"/>
    <w:rsid w:val="00E81B7E"/>
    <w:rsid w:val="00EA1970"/>
    <w:rsid w:val="00EA685E"/>
    <w:rsid w:val="00EB65A8"/>
    <w:rsid w:val="00EC1347"/>
    <w:rsid w:val="00EC47AD"/>
    <w:rsid w:val="00EF2867"/>
    <w:rsid w:val="00EF5037"/>
    <w:rsid w:val="00F01E59"/>
    <w:rsid w:val="00F07235"/>
    <w:rsid w:val="00F134BD"/>
    <w:rsid w:val="00F1482D"/>
    <w:rsid w:val="00F158A6"/>
    <w:rsid w:val="00F222D7"/>
    <w:rsid w:val="00F25CA5"/>
    <w:rsid w:val="00F3151B"/>
    <w:rsid w:val="00F31EE6"/>
    <w:rsid w:val="00F46323"/>
    <w:rsid w:val="00F546A5"/>
    <w:rsid w:val="00F56118"/>
    <w:rsid w:val="00F6761B"/>
    <w:rsid w:val="00F76FF3"/>
    <w:rsid w:val="00F90F41"/>
    <w:rsid w:val="00F9354E"/>
    <w:rsid w:val="00F936EF"/>
    <w:rsid w:val="00FA5E0A"/>
    <w:rsid w:val="00FA7135"/>
    <w:rsid w:val="00FC7349"/>
    <w:rsid w:val="00FD4AB7"/>
    <w:rsid w:val="00FE4E47"/>
    <w:rsid w:val="00FE51AB"/>
    <w:rsid w:val="00FE7E42"/>
    <w:rsid w:val="010E1064"/>
    <w:rsid w:val="0114CAC1"/>
    <w:rsid w:val="01BC4A57"/>
    <w:rsid w:val="02B405BB"/>
    <w:rsid w:val="03383781"/>
    <w:rsid w:val="0376F2EC"/>
    <w:rsid w:val="0393DFC9"/>
    <w:rsid w:val="0409B360"/>
    <w:rsid w:val="06A3BDFB"/>
    <w:rsid w:val="06ABFBF5"/>
    <w:rsid w:val="0720361E"/>
    <w:rsid w:val="083CEE34"/>
    <w:rsid w:val="08CE22D9"/>
    <w:rsid w:val="090E807A"/>
    <w:rsid w:val="0923BF41"/>
    <w:rsid w:val="09762ECE"/>
    <w:rsid w:val="0AE2B428"/>
    <w:rsid w:val="0BC9D0D8"/>
    <w:rsid w:val="0C515EB5"/>
    <w:rsid w:val="0CE68B58"/>
    <w:rsid w:val="0E7C9893"/>
    <w:rsid w:val="0F5DCF17"/>
    <w:rsid w:val="0F71BD98"/>
    <w:rsid w:val="0F830CFB"/>
    <w:rsid w:val="101BAE02"/>
    <w:rsid w:val="102087D7"/>
    <w:rsid w:val="1099065A"/>
    <w:rsid w:val="1135CDDA"/>
    <w:rsid w:val="1135D980"/>
    <w:rsid w:val="11D6D022"/>
    <w:rsid w:val="11FA42C2"/>
    <w:rsid w:val="13ED0B39"/>
    <w:rsid w:val="16025992"/>
    <w:rsid w:val="16462B7F"/>
    <w:rsid w:val="19E2216B"/>
    <w:rsid w:val="1B190206"/>
    <w:rsid w:val="1CD25D83"/>
    <w:rsid w:val="1D6A95AF"/>
    <w:rsid w:val="1FF39552"/>
    <w:rsid w:val="208F1598"/>
    <w:rsid w:val="209A64F0"/>
    <w:rsid w:val="21BDCF1E"/>
    <w:rsid w:val="21CBDCD6"/>
    <w:rsid w:val="22C1B7FE"/>
    <w:rsid w:val="22F63FAA"/>
    <w:rsid w:val="246EC6DA"/>
    <w:rsid w:val="24CD0FB3"/>
    <w:rsid w:val="24F8AADE"/>
    <w:rsid w:val="2569EAF6"/>
    <w:rsid w:val="25ADED7B"/>
    <w:rsid w:val="275F4E42"/>
    <w:rsid w:val="28184AC2"/>
    <w:rsid w:val="283868A9"/>
    <w:rsid w:val="287F0C21"/>
    <w:rsid w:val="2B86CDC1"/>
    <w:rsid w:val="2B9660BA"/>
    <w:rsid w:val="2BD82452"/>
    <w:rsid w:val="2BEBDFEB"/>
    <w:rsid w:val="2C00D312"/>
    <w:rsid w:val="2FAC778C"/>
    <w:rsid w:val="2FB34245"/>
    <w:rsid w:val="30855BFD"/>
    <w:rsid w:val="30D902A6"/>
    <w:rsid w:val="313329BF"/>
    <w:rsid w:val="3243057E"/>
    <w:rsid w:val="33E3360D"/>
    <w:rsid w:val="34C1ADE1"/>
    <w:rsid w:val="3502E803"/>
    <w:rsid w:val="35C27C5C"/>
    <w:rsid w:val="35FD152A"/>
    <w:rsid w:val="37040A4F"/>
    <w:rsid w:val="382408F0"/>
    <w:rsid w:val="38C02371"/>
    <w:rsid w:val="38D8E4C9"/>
    <w:rsid w:val="3961A741"/>
    <w:rsid w:val="39891684"/>
    <w:rsid w:val="3AADF882"/>
    <w:rsid w:val="3ACCC2CF"/>
    <w:rsid w:val="3CC74AD6"/>
    <w:rsid w:val="3EE5FE4C"/>
    <w:rsid w:val="40D341F4"/>
    <w:rsid w:val="43AB6967"/>
    <w:rsid w:val="442A99CF"/>
    <w:rsid w:val="4494DEDC"/>
    <w:rsid w:val="44D74FD4"/>
    <w:rsid w:val="46D63C31"/>
    <w:rsid w:val="47AC0272"/>
    <w:rsid w:val="47D41161"/>
    <w:rsid w:val="4836F524"/>
    <w:rsid w:val="48A76AAB"/>
    <w:rsid w:val="4928138F"/>
    <w:rsid w:val="496C80D1"/>
    <w:rsid w:val="4A3B00F2"/>
    <w:rsid w:val="4AF81D66"/>
    <w:rsid w:val="4B1BC7A5"/>
    <w:rsid w:val="4BEE5ABA"/>
    <w:rsid w:val="4C909CDF"/>
    <w:rsid w:val="4CEDB19A"/>
    <w:rsid w:val="4D081DCD"/>
    <w:rsid w:val="4DA21975"/>
    <w:rsid w:val="4DD82F89"/>
    <w:rsid w:val="4E2B1CB5"/>
    <w:rsid w:val="4F141E8E"/>
    <w:rsid w:val="505A91C7"/>
    <w:rsid w:val="51279B24"/>
    <w:rsid w:val="51927A43"/>
    <w:rsid w:val="53476C09"/>
    <w:rsid w:val="53DD4CD5"/>
    <w:rsid w:val="5412C81D"/>
    <w:rsid w:val="54CE7E25"/>
    <w:rsid w:val="56AC6839"/>
    <w:rsid w:val="57A3CAAF"/>
    <w:rsid w:val="5859D6ED"/>
    <w:rsid w:val="592467F7"/>
    <w:rsid w:val="598F9A8F"/>
    <w:rsid w:val="5A3010C6"/>
    <w:rsid w:val="5A91D41B"/>
    <w:rsid w:val="5AA8C4FF"/>
    <w:rsid w:val="5AED1B39"/>
    <w:rsid w:val="5B40BAAE"/>
    <w:rsid w:val="5EF9BE41"/>
    <w:rsid w:val="5FC4A3DD"/>
    <w:rsid w:val="607FB79C"/>
    <w:rsid w:val="61D4AF0E"/>
    <w:rsid w:val="6278A13E"/>
    <w:rsid w:val="62B29EEC"/>
    <w:rsid w:val="650D1F45"/>
    <w:rsid w:val="6559E39F"/>
    <w:rsid w:val="66408750"/>
    <w:rsid w:val="67116A9D"/>
    <w:rsid w:val="67B72C5D"/>
    <w:rsid w:val="686CA735"/>
    <w:rsid w:val="69322948"/>
    <w:rsid w:val="698C2864"/>
    <w:rsid w:val="69B8862E"/>
    <w:rsid w:val="69ECDB4C"/>
    <w:rsid w:val="6B119B93"/>
    <w:rsid w:val="6B65EE00"/>
    <w:rsid w:val="6CA1011E"/>
    <w:rsid w:val="6CA933D3"/>
    <w:rsid w:val="6D5D1E92"/>
    <w:rsid w:val="6DCE5293"/>
    <w:rsid w:val="6DF1F1E1"/>
    <w:rsid w:val="6F46F425"/>
    <w:rsid w:val="6FDB781C"/>
    <w:rsid w:val="706ADA7E"/>
    <w:rsid w:val="7085E899"/>
    <w:rsid w:val="71129582"/>
    <w:rsid w:val="71B40F2A"/>
    <w:rsid w:val="74D8839C"/>
    <w:rsid w:val="74FF6B6F"/>
    <w:rsid w:val="752AA5E6"/>
    <w:rsid w:val="75540526"/>
    <w:rsid w:val="76849044"/>
    <w:rsid w:val="76AD4C10"/>
    <w:rsid w:val="778D2397"/>
    <w:rsid w:val="78E72103"/>
    <w:rsid w:val="7919D1B3"/>
    <w:rsid w:val="79A92DD5"/>
    <w:rsid w:val="79BF3E44"/>
    <w:rsid w:val="7A52B571"/>
    <w:rsid w:val="7B435C22"/>
    <w:rsid w:val="7CF82B6E"/>
    <w:rsid w:val="7E14E4DF"/>
    <w:rsid w:val="7E4EFF50"/>
    <w:rsid w:val="7E545385"/>
    <w:rsid w:val="7F62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13E8"/>
  <w15:docId w15:val="{AD9E32DD-D4E7-4E51-A342-D5743B18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C2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5E7C24"/>
    <w:pPr>
      <w:ind w:left="580"/>
      <w:outlineLvl w:val="0"/>
    </w:pPr>
    <w:rPr>
      <w:b/>
      <w:bCs/>
      <w:sz w:val="24"/>
      <w:szCs w:val="24"/>
      <w:u w:val="single" w:color="000000"/>
    </w:rPr>
  </w:style>
  <w:style w:type="paragraph" w:styleId="Heading6">
    <w:name w:val="heading 6"/>
    <w:basedOn w:val="Normal"/>
    <w:next w:val="Normal"/>
    <w:link w:val="Heading6Char"/>
    <w:uiPriority w:val="9"/>
    <w:semiHidden/>
    <w:unhideWhenUsed/>
    <w:qFormat/>
    <w:rsid w:val="007021E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C24"/>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5E7C24"/>
  </w:style>
  <w:style w:type="character" w:customStyle="1" w:styleId="BodyTextChar">
    <w:name w:val="Body Text Char"/>
    <w:basedOn w:val="DefaultParagraphFont"/>
    <w:link w:val="BodyText"/>
    <w:uiPriority w:val="1"/>
    <w:rsid w:val="005E7C24"/>
    <w:rPr>
      <w:rFonts w:ascii="Calibri" w:eastAsia="Calibri" w:hAnsi="Calibri" w:cs="Calibri"/>
      <w:lang w:bidi="en-US"/>
    </w:rPr>
  </w:style>
  <w:style w:type="paragraph" w:styleId="ListParagraph">
    <w:name w:val="List Paragraph"/>
    <w:basedOn w:val="Normal"/>
    <w:uiPriority w:val="34"/>
    <w:qFormat/>
    <w:rsid w:val="005E7C24"/>
    <w:pPr>
      <w:ind w:left="1300" w:hanging="360"/>
    </w:pPr>
  </w:style>
  <w:style w:type="paragraph" w:styleId="FootnoteText">
    <w:name w:val="footnote text"/>
    <w:basedOn w:val="Normal"/>
    <w:link w:val="FootnoteTextChar"/>
    <w:uiPriority w:val="99"/>
    <w:semiHidden/>
    <w:unhideWhenUsed/>
    <w:rsid w:val="005E7C24"/>
    <w:rPr>
      <w:sz w:val="20"/>
      <w:szCs w:val="20"/>
    </w:rPr>
  </w:style>
  <w:style w:type="character" w:customStyle="1" w:styleId="FootnoteTextChar">
    <w:name w:val="Footnote Text Char"/>
    <w:basedOn w:val="DefaultParagraphFont"/>
    <w:link w:val="FootnoteText"/>
    <w:uiPriority w:val="99"/>
    <w:semiHidden/>
    <w:rsid w:val="005E7C24"/>
    <w:rPr>
      <w:rFonts w:ascii="Calibri" w:eastAsia="Calibri" w:hAnsi="Calibri" w:cs="Calibri"/>
      <w:sz w:val="20"/>
      <w:szCs w:val="20"/>
      <w:lang w:bidi="en-US"/>
    </w:rPr>
  </w:style>
  <w:style w:type="character" w:styleId="FootnoteReference">
    <w:name w:val="footnote reference"/>
    <w:basedOn w:val="DefaultParagraphFont"/>
    <w:uiPriority w:val="99"/>
    <w:unhideWhenUsed/>
    <w:rsid w:val="005E7C24"/>
    <w:rPr>
      <w:vertAlign w:val="superscript"/>
    </w:rPr>
  </w:style>
  <w:style w:type="character" w:styleId="CommentReference">
    <w:name w:val="annotation reference"/>
    <w:rsid w:val="00970791"/>
    <w:rPr>
      <w:sz w:val="16"/>
      <w:szCs w:val="16"/>
    </w:rPr>
  </w:style>
  <w:style w:type="paragraph" w:styleId="CommentText">
    <w:name w:val="annotation text"/>
    <w:basedOn w:val="Normal"/>
    <w:link w:val="CommentTextChar"/>
    <w:rsid w:val="00970791"/>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97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29BC"/>
    <w:rPr>
      <w:rFonts w:ascii="Tahoma" w:hAnsi="Tahoma" w:cs="Tahoma"/>
      <w:sz w:val="16"/>
      <w:szCs w:val="16"/>
    </w:rPr>
  </w:style>
  <w:style w:type="character" w:customStyle="1" w:styleId="BalloonTextChar">
    <w:name w:val="Balloon Text Char"/>
    <w:basedOn w:val="DefaultParagraphFont"/>
    <w:link w:val="BalloonText"/>
    <w:uiPriority w:val="99"/>
    <w:semiHidden/>
    <w:rsid w:val="00B129BC"/>
    <w:rPr>
      <w:rFonts w:ascii="Tahoma" w:eastAsia="Calibri"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B129BC"/>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B129BC"/>
    <w:rPr>
      <w:rFonts w:ascii="Calibri" w:eastAsia="Calibri" w:hAnsi="Calibri" w:cs="Calibri"/>
      <w:b/>
      <w:bCs/>
      <w:sz w:val="20"/>
      <w:szCs w:val="20"/>
      <w:lang w:bidi="en-US"/>
    </w:rPr>
  </w:style>
  <w:style w:type="character" w:styleId="Hyperlink">
    <w:name w:val="Hyperlink"/>
    <w:basedOn w:val="DefaultParagraphFont"/>
    <w:uiPriority w:val="99"/>
    <w:unhideWhenUsed/>
    <w:rsid w:val="001B75E4"/>
    <w:rPr>
      <w:color w:val="0563C1" w:themeColor="hyperlink"/>
      <w:u w:val="single"/>
    </w:rPr>
  </w:style>
  <w:style w:type="character" w:customStyle="1" w:styleId="UnresolvedMention1">
    <w:name w:val="Unresolved Mention1"/>
    <w:basedOn w:val="DefaultParagraphFont"/>
    <w:uiPriority w:val="99"/>
    <w:semiHidden/>
    <w:unhideWhenUsed/>
    <w:rsid w:val="001B75E4"/>
    <w:rPr>
      <w:color w:val="605E5C"/>
      <w:shd w:val="clear" w:color="auto" w:fill="E1DFDD"/>
    </w:rPr>
  </w:style>
  <w:style w:type="character" w:customStyle="1" w:styleId="Heading6Char">
    <w:name w:val="Heading 6 Char"/>
    <w:basedOn w:val="DefaultParagraphFont"/>
    <w:link w:val="Heading6"/>
    <w:uiPriority w:val="9"/>
    <w:semiHidden/>
    <w:rsid w:val="007021E2"/>
    <w:rPr>
      <w:rFonts w:asciiTheme="majorHAnsi" w:eastAsiaTheme="majorEastAsia" w:hAnsiTheme="majorHAnsi" w:cstheme="majorBidi"/>
      <w:color w:val="1F3763" w:themeColor="accent1" w:themeShade="7F"/>
      <w:lang w:bidi="en-US"/>
    </w:rPr>
  </w:style>
  <w:style w:type="character" w:styleId="UnresolvedMention">
    <w:name w:val="Unresolved Mention"/>
    <w:basedOn w:val="DefaultParagraphFont"/>
    <w:uiPriority w:val="99"/>
    <w:semiHidden/>
    <w:unhideWhenUsed/>
    <w:rsid w:val="00691E98"/>
    <w:rPr>
      <w:color w:val="605E5C"/>
      <w:shd w:val="clear" w:color="auto" w:fill="E1DFDD"/>
    </w:rPr>
  </w:style>
  <w:style w:type="paragraph" w:styleId="EndnoteText">
    <w:name w:val="endnote text"/>
    <w:basedOn w:val="Normal"/>
    <w:link w:val="EndnoteTextChar"/>
    <w:uiPriority w:val="99"/>
    <w:semiHidden/>
    <w:unhideWhenUsed/>
    <w:rsid w:val="00691E98"/>
    <w:rPr>
      <w:sz w:val="20"/>
      <w:szCs w:val="20"/>
    </w:rPr>
  </w:style>
  <w:style w:type="character" w:customStyle="1" w:styleId="EndnoteTextChar">
    <w:name w:val="Endnote Text Char"/>
    <w:basedOn w:val="DefaultParagraphFont"/>
    <w:link w:val="EndnoteText"/>
    <w:uiPriority w:val="99"/>
    <w:semiHidden/>
    <w:rsid w:val="00691E98"/>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691E98"/>
    <w:rPr>
      <w:vertAlign w:val="superscript"/>
    </w:rPr>
  </w:style>
  <w:style w:type="paragraph" w:styleId="Header">
    <w:name w:val="header"/>
    <w:basedOn w:val="Normal"/>
    <w:link w:val="HeaderChar"/>
    <w:uiPriority w:val="99"/>
    <w:unhideWhenUsed/>
    <w:rsid w:val="00F25CA5"/>
    <w:pPr>
      <w:tabs>
        <w:tab w:val="center" w:pos="4680"/>
        <w:tab w:val="right" w:pos="9360"/>
      </w:tabs>
    </w:pPr>
  </w:style>
  <w:style w:type="character" w:customStyle="1" w:styleId="HeaderChar">
    <w:name w:val="Header Char"/>
    <w:basedOn w:val="DefaultParagraphFont"/>
    <w:link w:val="Header"/>
    <w:uiPriority w:val="99"/>
    <w:rsid w:val="00F25CA5"/>
    <w:rPr>
      <w:rFonts w:ascii="Calibri" w:eastAsia="Calibri" w:hAnsi="Calibri" w:cs="Calibri"/>
      <w:lang w:bidi="en-US"/>
    </w:rPr>
  </w:style>
  <w:style w:type="paragraph" w:styleId="Footer">
    <w:name w:val="footer"/>
    <w:basedOn w:val="Normal"/>
    <w:link w:val="FooterChar"/>
    <w:uiPriority w:val="99"/>
    <w:unhideWhenUsed/>
    <w:rsid w:val="00F25CA5"/>
    <w:pPr>
      <w:tabs>
        <w:tab w:val="center" w:pos="4680"/>
        <w:tab w:val="right" w:pos="9360"/>
      </w:tabs>
    </w:pPr>
  </w:style>
  <w:style w:type="character" w:customStyle="1" w:styleId="FooterChar">
    <w:name w:val="Footer Char"/>
    <w:basedOn w:val="DefaultParagraphFont"/>
    <w:link w:val="Footer"/>
    <w:uiPriority w:val="99"/>
    <w:rsid w:val="00F25CA5"/>
    <w:rPr>
      <w:rFonts w:ascii="Calibri" w:eastAsia="Calibri" w:hAnsi="Calibri" w:cs="Calibri"/>
      <w:lang w:bidi="en-US"/>
    </w:rPr>
  </w:style>
  <w:style w:type="paragraph" w:styleId="Subtitle">
    <w:name w:val="Subtitle"/>
    <w:basedOn w:val="Normal"/>
    <w:next w:val="Normal"/>
    <w:link w:val="SubtitleChar"/>
    <w:uiPriority w:val="11"/>
    <w:qFormat/>
    <w:rsid w:val="0056418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64186"/>
    <w:rPr>
      <w:rFonts w:eastAsiaTheme="minorEastAsia"/>
      <w:color w:val="5A5A5A" w:themeColor="text1" w:themeTint="A5"/>
      <w:spacing w:val="15"/>
      <w:lang w:bidi="en-US"/>
    </w:rPr>
  </w:style>
  <w:style w:type="paragraph" w:styleId="Revision">
    <w:name w:val="Revision"/>
    <w:hidden/>
    <w:uiPriority w:val="99"/>
    <w:semiHidden/>
    <w:rsid w:val="00006FDD"/>
    <w:pPr>
      <w:spacing w:after="0" w:line="240" w:lineRule="auto"/>
    </w:pPr>
    <w:rPr>
      <w:rFonts w:ascii="Calibri" w:eastAsia="Calibri" w:hAnsi="Calibri" w:cs="Calibri"/>
      <w:lang w:bidi="en-US"/>
    </w:rPr>
  </w:style>
  <w:style w:type="table" w:styleId="TableGrid">
    <w:name w:val="Table Grid"/>
    <w:basedOn w:val="TableNormal"/>
    <w:uiPriority w:val="39"/>
    <w:rsid w:val="00F1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1721">
      <w:bodyDiv w:val="1"/>
      <w:marLeft w:val="0"/>
      <w:marRight w:val="0"/>
      <w:marTop w:val="0"/>
      <w:marBottom w:val="0"/>
      <w:divBdr>
        <w:top w:val="none" w:sz="0" w:space="0" w:color="auto"/>
        <w:left w:val="none" w:sz="0" w:space="0" w:color="auto"/>
        <w:bottom w:val="none" w:sz="0" w:space="0" w:color="auto"/>
        <w:right w:val="none" w:sz="0" w:space="0" w:color="auto"/>
      </w:divBdr>
    </w:div>
    <w:div w:id="216863478">
      <w:bodyDiv w:val="1"/>
      <w:marLeft w:val="0"/>
      <w:marRight w:val="0"/>
      <w:marTop w:val="0"/>
      <w:marBottom w:val="0"/>
      <w:divBdr>
        <w:top w:val="none" w:sz="0" w:space="0" w:color="auto"/>
        <w:left w:val="none" w:sz="0" w:space="0" w:color="auto"/>
        <w:bottom w:val="none" w:sz="0" w:space="0" w:color="auto"/>
        <w:right w:val="none" w:sz="0" w:space="0" w:color="auto"/>
      </w:divBdr>
    </w:div>
    <w:div w:id="242568819">
      <w:bodyDiv w:val="1"/>
      <w:marLeft w:val="0"/>
      <w:marRight w:val="0"/>
      <w:marTop w:val="0"/>
      <w:marBottom w:val="0"/>
      <w:divBdr>
        <w:top w:val="none" w:sz="0" w:space="0" w:color="auto"/>
        <w:left w:val="none" w:sz="0" w:space="0" w:color="auto"/>
        <w:bottom w:val="none" w:sz="0" w:space="0" w:color="auto"/>
        <w:right w:val="none" w:sz="0" w:space="0" w:color="auto"/>
      </w:divBdr>
    </w:div>
    <w:div w:id="399405040">
      <w:bodyDiv w:val="1"/>
      <w:marLeft w:val="0"/>
      <w:marRight w:val="0"/>
      <w:marTop w:val="0"/>
      <w:marBottom w:val="0"/>
      <w:divBdr>
        <w:top w:val="none" w:sz="0" w:space="0" w:color="auto"/>
        <w:left w:val="none" w:sz="0" w:space="0" w:color="auto"/>
        <w:bottom w:val="none" w:sz="0" w:space="0" w:color="auto"/>
        <w:right w:val="none" w:sz="0" w:space="0" w:color="auto"/>
      </w:divBdr>
    </w:div>
    <w:div w:id="405878920">
      <w:bodyDiv w:val="1"/>
      <w:marLeft w:val="0"/>
      <w:marRight w:val="0"/>
      <w:marTop w:val="0"/>
      <w:marBottom w:val="0"/>
      <w:divBdr>
        <w:top w:val="none" w:sz="0" w:space="0" w:color="auto"/>
        <w:left w:val="none" w:sz="0" w:space="0" w:color="auto"/>
        <w:bottom w:val="none" w:sz="0" w:space="0" w:color="auto"/>
        <w:right w:val="none" w:sz="0" w:space="0" w:color="auto"/>
      </w:divBdr>
    </w:div>
    <w:div w:id="948701434">
      <w:bodyDiv w:val="1"/>
      <w:marLeft w:val="0"/>
      <w:marRight w:val="0"/>
      <w:marTop w:val="0"/>
      <w:marBottom w:val="0"/>
      <w:divBdr>
        <w:top w:val="none" w:sz="0" w:space="0" w:color="auto"/>
        <w:left w:val="none" w:sz="0" w:space="0" w:color="auto"/>
        <w:bottom w:val="none" w:sz="0" w:space="0" w:color="auto"/>
        <w:right w:val="none" w:sz="0" w:space="0" w:color="auto"/>
      </w:divBdr>
    </w:div>
    <w:div w:id="1063601596">
      <w:bodyDiv w:val="1"/>
      <w:marLeft w:val="0"/>
      <w:marRight w:val="0"/>
      <w:marTop w:val="0"/>
      <w:marBottom w:val="0"/>
      <w:divBdr>
        <w:top w:val="none" w:sz="0" w:space="0" w:color="auto"/>
        <w:left w:val="none" w:sz="0" w:space="0" w:color="auto"/>
        <w:bottom w:val="none" w:sz="0" w:space="0" w:color="auto"/>
        <w:right w:val="none" w:sz="0" w:space="0" w:color="auto"/>
      </w:divBdr>
    </w:div>
    <w:div w:id="1094741604">
      <w:bodyDiv w:val="1"/>
      <w:marLeft w:val="0"/>
      <w:marRight w:val="0"/>
      <w:marTop w:val="0"/>
      <w:marBottom w:val="0"/>
      <w:divBdr>
        <w:top w:val="none" w:sz="0" w:space="0" w:color="auto"/>
        <w:left w:val="none" w:sz="0" w:space="0" w:color="auto"/>
        <w:bottom w:val="none" w:sz="0" w:space="0" w:color="auto"/>
        <w:right w:val="none" w:sz="0" w:space="0" w:color="auto"/>
      </w:divBdr>
    </w:div>
    <w:div w:id="1109937060">
      <w:bodyDiv w:val="1"/>
      <w:marLeft w:val="0"/>
      <w:marRight w:val="0"/>
      <w:marTop w:val="0"/>
      <w:marBottom w:val="0"/>
      <w:divBdr>
        <w:top w:val="none" w:sz="0" w:space="0" w:color="auto"/>
        <w:left w:val="none" w:sz="0" w:space="0" w:color="auto"/>
        <w:bottom w:val="none" w:sz="0" w:space="0" w:color="auto"/>
        <w:right w:val="none" w:sz="0" w:space="0" w:color="auto"/>
      </w:divBdr>
    </w:div>
    <w:div w:id="1349522131">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10636513">
      <w:bodyDiv w:val="1"/>
      <w:marLeft w:val="0"/>
      <w:marRight w:val="0"/>
      <w:marTop w:val="0"/>
      <w:marBottom w:val="0"/>
      <w:divBdr>
        <w:top w:val="none" w:sz="0" w:space="0" w:color="auto"/>
        <w:left w:val="none" w:sz="0" w:space="0" w:color="auto"/>
        <w:bottom w:val="none" w:sz="0" w:space="0" w:color="auto"/>
        <w:right w:val="none" w:sz="0" w:space="0" w:color="auto"/>
      </w:divBdr>
    </w:div>
    <w:div w:id="1512137548">
      <w:bodyDiv w:val="1"/>
      <w:marLeft w:val="0"/>
      <w:marRight w:val="0"/>
      <w:marTop w:val="0"/>
      <w:marBottom w:val="0"/>
      <w:divBdr>
        <w:top w:val="none" w:sz="0" w:space="0" w:color="auto"/>
        <w:left w:val="none" w:sz="0" w:space="0" w:color="auto"/>
        <w:bottom w:val="none" w:sz="0" w:space="0" w:color="auto"/>
        <w:right w:val="none" w:sz="0" w:space="0" w:color="auto"/>
      </w:divBdr>
    </w:div>
    <w:div w:id="1515024973">
      <w:bodyDiv w:val="1"/>
      <w:marLeft w:val="0"/>
      <w:marRight w:val="0"/>
      <w:marTop w:val="0"/>
      <w:marBottom w:val="0"/>
      <w:divBdr>
        <w:top w:val="none" w:sz="0" w:space="0" w:color="auto"/>
        <w:left w:val="none" w:sz="0" w:space="0" w:color="auto"/>
        <w:bottom w:val="none" w:sz="0" w:space="0" w:color="auto"/>
        <w:right w:val="none" w:sz="0" w:space="0" w:color="auto"/>
      </w:divBdr>
    </w:div>
    <w:div w:id="1642222679">
      <w:bodyDiv w:val="1"/>
      <w:marLeft w:val="0"/>
      <w:marRight w:val="0"/>
      <w:marTop w:val="0"/>
      <w:marBottom w:val="0"/>
      <w:divBdr>
        <w:top w:val="none" w:sz="0" w:space="0" w:color="auto"/>
        <w:left w:val="none" w:sz="0" w:space="0" w:color="auto"/>
        <w:bottom w:val="none" w:sz="0" w:space="0" w:color="auto"/>
        <w:right w:val="none" w:sz="0" w:space="0" w:color="auto"/>
      </w:divBdr>
    </w:div>
    <w:div w:id="1704282476">
      <w:bodyDiv w:val="1"/>
      <w:marLeft w:val="0"/>
      <w:marRight w:val="0"/>
      <w:marTop w:val="0"/>
      <w:marBottom w:val="0"/>
      <w:divBdr>
        <w:top w:val="none" w:sz="0" w:space="0" w:color="auto"/>
        <w:left w:val="none" w:sz="0" w:space="0" w:color="auto"/>
        <w:bottom w:val="none" w:sz="0" w:space="0" w:color="auto"/>
        <w:right w:val="none" w:sz="0" w:space="0" w:color="auto"/>
      </w:divBdr>
    </w:div>
    <w:div w:id="19015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555A-D11F-4F3E-BAB5-C0F5E9F2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2883</Words>
  <Characters>16436</Characters>
  <Application>Microsoft Office Word</Application>
  <DocSecurity>0</DocSecurity>
  <Lines>136</Lines>
  <Paragraphs>38</Paragraphs>
  <ScaleCrop>false</ScaleCrop>
  <Company>EOHHS</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Szent-Gyorgyi, Lara (DPH)</dc:creator>
  <cp:keywords/>
  <cp:lastModifiedBy>Marks, Brett (DPH)</cp:lastModifiedBy>
  <cp:revision>5</cp:revision>
  <cp:lastPrinted>2024-09-24T20:35:00Z</cp:lastPrinted>
  <dcterms:created xsi:type="dcterms:W3CDTF">2024-09-24T20:34:00Z</dcterms:created>
  <dcterms:modified xsi:type="dcterms:W3CDTF">2024-09-25T13:55:00Z</dcterms:modified>
</cp:coreProperties>
</file>