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7DAE3" w14:textId="77777777" w:rsidR="005E7C24" w:rsidRPr="001F7504" w:rsidRDefault="005E7C24" w:rsidP="4FB03EDA">
      <w:pPr>
        <w:pStyle w:val="Heading1"/>
        <w:ind w:left="0"/>
        <w:jc w:val="center"/>
        <w:rPr>
          <w:rFonts w:asciiTheme="minorHAnsi" w:hAnsiTheme="minorHAnsi" w:cs="Times New Roman"/>
        </w:rPr>
      </w:pPr>
      <w:r w:rsidRPr="1319848A">
        <w:rPr>
          <w:rFonts w:asciiTheme="minorHAnsi" w:hAnsiTheme="minorHAnsi" w:cs="Times New Roman"/>
        </w:rPr>
        <w:t>Memorandum to the Commissioner</w:t>
      </w:r>
    </w:p>
    <w:p w14:paraId="2D64F9FA" w14:textId="77777777" w:rsidR="005E7C24" w:rsidRPr="001F7504" w:rsidRDefault="005E7C24" w:rsidP="001B72DB">
      <w:pPr>
        <w:pStyle w:val="BodyText"/>
        <w:spacing w:before="11"/>
        <w:rPr>
          <w:rFonts w:asciiTheme="minorHAnsi" w:hAnsiTheme="minorHAnsi"/>
          <w:b/>
          <w:sz w:val="23"/>
        </w:rPr>
      </w:pPr>
    </w:p>
    <w:p w14:paraId="607FE79B" w14:textId="5B17DA68" w:rsidR="00D82D64" w:rsidRDefault="005E7C24" w:rsidP="78C7AD39">
      <w:pPr>
        <w:rPr>
          <w:rFonts w:asciiTheme="minorHAnsi" w:hAnsiTheme="minorHAnsi" w:cstheme="minorBidi"/>
          <w:sz w:val="24"/>
          <w:szCs w:val="24"/>
        </w:rPr>
      </w:pPr>
      <w:r w:rsidRPr="2A94D317">
        <w:rPr>
          <w:rFonts w:asciiTheme="minorHAnsi" w:hAnsiTheme="minorHAnsi" w:cstheme="minorBidi"/>
          <w:b/>
          <w:bCs/>
          <w:sz w:val="24"/>
          <w:szCs w:val="24"/>
        </w:rPr>
        <w:t>APPLICANT:</w:t>
      </w:r>
      <w:r w:rsidR="00C17353" w:rsidRPr="2A94D317">
        <w:rPr>
          <w:rFonts w:asciiTheme="minorHAnsi" w:hAnsiTheme="minorHAnsi" w:cstheme="minorBidi"/>
          <w:b/>
          <w:bCs/>
          <w:sz w:val="24"/>
          <w:szCs w:val="24"/>
        </w:rPr>
        <w:t xml:space="preserve"> </w:t>
      </w:r>
      <w:r w:rsidR="005F42B6" w:rsidRPr="2A94D317">
        <w:rPr>
          <w:rFonts w:asciiTheme="minorHAnsi" w:hAnsiTheme="minorHAnsi" w:cstheme="minorBidi"/>
          <w:sz w:val="24"/>
          <w:szCs w:val="24"/>
        </w:rPr>
        <w:t>Lawrence General Hospital</w:t>
      </w:r>
      <w:r w:rsidR="00D82D64" w:rsidRPr="2A94D317">
        <w:rPr>
          <w:rFonts w:asciiTheme="minorHAnsi" w:hAnsiTheme="minorHAnsi" w:cstheme="minorBidi"/>
          <w:sz w:val="24"/>
          <w:szCs w:val="24"/>
        </w:rPr>
        <w:t xml:space="preserve"> on behalf of </w:t>
      </w:r>
      <w:r w:rsidR="00540918" w:rsidRPr="2A94D317">
        <w:rPr>
          <w:rFonts w:asciiTheme="minorHAnsi" w:hAnsiTheme="minorHAnsi" w:cstheme="minorBidi"/>
          <w:sz w:val="24"/>
          <w:szCs w:val="24"/>
        </w:rPr>
        <w:t xml:space="preserve">LG </w:t>
      </w:r>
      <w:proofErr w:type="spellStart"/>
      <w:r w:rsidR="00D82D64" w:rsidRPr="2A94D317">
        <w:rPr>
          <w:rFonts w:asciiTheme="minorHAnsi" w:hAnsiTheme="minorHAnsi" w:cstheme="minorBidi"/>
          <w:sz w:val="24"/>
          <w:szCs w:val="24"/>
        </w:rPr>
        <w:t>Newcorp</w:t>
      </w:r>
      <w:proofErr w:type="spellEnd"/>
      <w:r w:rsidR="00540918" w:rsidRPr="2A94D317">
        <w:rPr>
          <w:rFonts w:asciiTheme="minorHAnsi" w:hAnsiTheme="minorHAnsi" w:cstheme="minorBidi"/>
          <w:sz w:val="24"/>
          <w:szCs w:val="24"/>
        </w:rPr>
        <w:t xml:space="preserve"> I</w:t>
      </w:r>
      <w:r w:rsidR="005F1255" w:rsidRPr="2A94D317">
        <w:rPr>
          <w:rFonts w:asciiTheme="minorHAnsi" w:hAnsiTheme="minorHAnsi" w:cstheme="minorBidi"/>
          <w:sz w:val="24"/>
          <w:szCs w:val="24"/>
        </w:rPr>
        <w:t>nc</w:t>
      </w:r>
      <w:r w:rsidR="00540918" w:rsidRPr="2A94D317">
        <w:rPr>
          <w:rFonts w:asciiTheme="minorHAnsi" w:hAnsiTheme="minorHAnsi" w:cstheme="minorBidi"/>
          <w:sz w:val="24"/>
          <w:szCs w:val="24"/>
        </w:rPr>
        <w:t>.</w:t>
      </w:r>
      <w:r w:rsidR="00D82D64" w:rsidRPr="2A94D317">
        <w:rPr>
          <w:rFonts w:asciiTheme="minorHAnsi" w:hAnsiTheme="minorHAnsi" w:cstheme="minorBidi"/>
          <w:sz w:val="24"/>
          <w:szCs w:val="24"/>
        </w:rPr>
        <w:t xml:space="preserve"> </w:t>
      </w:r>
    </w:p>
    <w:p w14:paraId="37DF732C" w14:textId="77777777" w:rsidR="005E7C24" w:rsidRPr="00B76DED" w:rsidRDefault="005E7C24" w:rsidP="001B72DB">
      <w:pPr>
        <w:ind w:left="720"/>
        <w:rPr>
          <w:rFonts w:asciiTheme="minorHAnsi" w:hAnsiTheme="minorHAnsi" w:cstheme="minorHAnsi"/>
          <w:sz w:val="24"/>
          <w:szCs w:val="24"/>
          <w:lang w:val="fr-FR"/>
        </w:rPr>
      </w:pPr>
    </w:p>
    <w:p w14:paraId="125231B5" w14:textId="5C0DCF7F" w:rsidR="005E7C24" w:rsidRPr="00DA4051" w:rsidRDefault="005E7C24" w:rsidP="001B72DB">
      <w:pPr>
        <w:rPr>
          <w:rFonts w:asciiTheme="minorHAnsi" w:hAnsiTheme="minorHAnsi" w:cstheme="minorHAnsi"/>
          <w:bCs/>
          <w:sz w:val="24"/>
          <w:szCs w:val="24"/>
        </w:rPr>
      </w:pPr>
      <w:r w:rsidRPr="00B76DED">
        <w:rPr>
          <w:rFonts w:asciiTheme="minorHAnsi" w:hAnsiTheme="minorHAnsi" w:cstheme="minorHAnsi"/>
          <w:b/>
          <w:sz w:val="24"/>
          <w:szCs w:val="24"/>
        </w:rPr>
        <w:t xml:space="preserve">PROJECT NUMBER: </w:t>
      </w:r>
      <w:r w:rsidR="00977725" w:rsidRPr="00DA4051">
        <w:rPr>
          <w:rFonts w:asciiTheme="minorHAnsi" w:hAnsiTheme="minorHAnsi" w:cstheme="minorHAnsi"/>
          <w:bCs/>
          <w:sz w:val="24"/>
          <w:szCs w:val="24"/>
        </w:rPr>
        <w:t>HFH 240</w:t>
      </w:r>
      <w:r w:rsidR="00DA4051" w:rsidRPr="00DA4051">
        <w:rPr>
          <w:rFonts w:asciiTheme="minorHAnsi" w:hAnsiTheme="minorHAnsi" w:cstheme="minorHAnsi"/>
          <w:bCs/>
          <w:sz w:val="24"/>
          <w:szCs w:val="24"/>
        </w:rPr>
        <w:t>90820 EA</w:t>
      </w:r>
    </w:p>
    <w:p w14:paraId="7649B49B" w14:textId="77777777" w:rsidR="005E7C24" w:rsidRPr="00B76DED" w:rsidRDefault="005E7C24" w:rsidP="001B72DB">
      <w:pPr>
        <w:rPr>
          <w:rFonts w:asciiTheme="minorHAnsi" w:hAnsiTheme="minorHAnsi" w:cstheme="minorHAnsi"/>
          <w:sz w:val="24"/>
          <w:szCs w:val="24"/>
        </w:rPr>
      </w:pPr>
      <w:r w:rsidRPr="00B76DED">
        <w:rPr>
          <w:rFonts w:asciiTheme="minorHAnsi" w:hAnsiTheme="minorHAnsi" w:cstheme="minorHAnsi"/>
          <w:sz w:val="24"/>
          <w:szCs w:val="24"/>
        </w:rPr>
        <w:t xml:space="preserve"> </w:t>
      </w:r>
    </w:p>
    <w:p w14:paraId="04A2A5EF" w14:textId="3EF4C5A6" w:rsidR="005E7C24" w:rsidRPr="00D22FE6" w:rsidRDefault="005E7C24" w:rsidP="001B72DB">
      <w:pPr>
        <w:spacing w:before="1"/>
        <w:rPr>
          <w:rFonts w:asciiTheme="minorHAnsi" w:hAnsiTheme="minorHAnsi" w:cstheme="minorHAnsi"/>
          <w:bCs/>
          <w:sz w:val="24"/>
          <w:szCs w:val="24"/>
        </w:rPr>
      </w:pPr>
      <w:r w:rsidRPr="00B76DED">
        <w:rPr>
          <w:rFonts w:asciiTheme="minorHAnsi" w:hAnsiTheme="minorHAnsi" w:cstheme="minorHAnsi"/>
          <w:b/>
          <w:sz w:val="24"/>
          <w:szCs w:val="24"/>
        </w:rPr>
        <w:t xml:space="preserve">Filing DATE: </w:t>
      </w:r>
      <w:r w:rsidR="003369DF" w:rsidRPr="00D22FE6">
        <w:rPr>
          <w:rFonts w:asciiTheme="minorHAnsi" w:hAnsiTheme="minorHAnsi" w:cstheme="minorHAnsi"/>
          <w:bCs/>
          <w:sz w:val="24"/>
          <w:szCs w:val="24"/>
        </w:rPr>
        <w:t xml:space="preserve">September </w:t>
      </w:r>
      <w:r w:rsidR="000574D4">
        <w:rPr>
          <w:rFonts w:asciiTheme="minorHAnsi" w:hAnsiTheme="minorHAnsi" w:cstheme="minorHAnsi"/>
          <w:bCs/>
          <w:sz w:val="24"/>
          <w:szCs w:val="24"/>
        </w:rPr>
        <w:t>11</w:t>
      </w:r>
      <w:r w:rsidR="00D22FE6" w:rsidRPr="00D22FE6">
        <w:rPr>
          <w:rFonts w:asciiTheme="minorHAnsi" w:hAnsiTheme="minorHAnsi" w:cstheme="minorHAnsi"/>
          <w:bCs/>
          <w:sz w:val="24"/>
          <w:szCs w:val="24"/>
        </w:rPr>
        <w:t>, 2024</w:t>
      </w:r>
    </w:p>
    <w:p w14:paraId="6EC46C9B" w14:textId="77777777" w:rsidR="005E7C24" w:rsidRPr="00B76DED" w:rsidRDefault="005E7C24" w:rsidP="001B72DB">
      <w:pPr>
        <w:pStyle w:val="Heading1"/>
        <w:spacing w:before="1"/>
        <w:ind w:left="0"/>
        <w:rPr>
          <w:rFonts w:asciiTheme="minorHAnsi" w:hAnsiTheme="minorHAnsi" w:cstheme="minorHAnsi"/>
        </w:rPr>
      </w:pPr>
    </w:p>
    <w:p w14:paraId="00876BA7" w14:textId="77777777" w:rsidR="005E7C24" w:rsidRPr="00B76DED" w:rsidRDefault="005E7C24" w:rsidP="001B72DB">
      <w:pPr>
        <w:pStyle w:val="Heading1"/>
        <w:ind w:left="0"/>
        <w:rPr>
          <w:rFonts w:asciiTheme="minorHAnsi" w:hAnsiTheme="minorHAnsi" w:cstheme="minorHAnsi"/>
        </w:rPr>
      </w:pPr>
      <w:r w:rsidRPr="00B76DED">
        <w:rPr>
          <w:rFonts w:asciiTheme="minorHAnsi" w:hAnsiTheme="minorHAnsi" w:cstheme="minorHAnsi"/>
        </w:rPr>
        <w:t>Introduction</w:t>
      </w:r>
    </w:p>
    <w:p w14:paraId="121C44E8" w14:textId="2E142285" w:rsidR="0096230C" w:rsidRPr="00B76DED" w:rsidRDefault="0096230C" w:rsidP="1CDA31B1">
      <w:pPr>
        <w:spacing w:before="51" w:after="240"/>
        <w:ind w:right="-10"/>
        <w:rPr>
          <w:rFonts w:asciiTheme="minorHAnsi" w:hAnsiTheme="minorHAnsi" w:cstheme="minorBidi"/>
          <w:sz w:val="24"/>
          <w:szCs w:val="24"/>
        </w:rPr>
      </w:pPr>
      <w:bookmarkStart w:id="0" w:name="_Hlk119332970"/>
    </w:p>
    <w:bookmarkEnd w:id="0"/>
    <w:p w14:paraId="5923A82D" w14:textId="3AE19491" w:rsidR="0B21070D" w:rsidRDefault="08A9AFBC" w:rsidP="1CDA31B1">
      <w:pPr>
        <w:spacing w:before="51" w:after="240"/>
        <w:ind w:right="-10"/>
        <w:rPr>
          <w:color w:val="000000" w:themeColor="text1"/>
          <w:sz w:val="24"/>
          <w:szCs w:val="24"/>
        </w:rPr>
      </w:pPr>
      <w:r w:rsidRPr="499F282A">
        <w:rPr>
          <w:color w:val="000000" w:themeColor="text1"/>
          <w:sz w:val="24"/>
          <w:szCs w:val="24"/>
        </w:rPr>
        <w:t xml:space="preserve">This memorandum presents, for Commissioner’s Review and action, the Determination of Need (DoN) Program’s recommendation pertaining to a request by </w:t>
      </w:r>
      <w:r w:rsidRPr="499F282A">
        <w:rPr>
          <w:rFonts w:asciiTheme="minorHAnsi" w:hAnsiTheme="minorHAnsi" w:cstheme="minorBidi"/>
          <w:sz w:val="24"/>
          <w:szCs w:val="24"/>
        </w:rPr>
        <w:t>Lawrence General Hospital</w:t>
      </w:r>
      <w:r w:rsidRPr="499F282A">
        <w:rPr>
          <w:color w:val="000000" w:themeColor="text1"/>
          <w:sz w:val="24"/>
          <w:szCs w:val="24"/>
        </w:rPr>
        <w:t xml:space="preserve"> (“the Applicant”) for an Emergency DoN pursuant to 105 CMR 100.740. </w:t>
      </w:r>
    </w:p>
    <w:p w14:paraId="3608B661" w14:textId="10932F70" w:rsidR="0B21070D" w:rsidRDefault="08A9AFBC" w:rsidP="499F282A">
      <w:pPr>
        <w:spacing w:after="240"/>
        <w:ind w:right="-10"/>
        <w:rPr>
          <w:rFonts w:asciiTheme="minorHAnsi" w:hAnsiTheme="minorHAnsi" w:cstheme="minorBidi"/>
          <w:sz w:val="24"/>
          <w:szCs w:val="24"/>
        </w:rPr>
      </w:pPr>
      <w:r w:rsidRPr="1CDA31B1">
        <w:rPr>
          <w:color w:val="000000" w:themeColor="text1"/>
          <w:sz w:val="24"/>
          <w:szCs w:val="24"/>
        </w:rPr>
        <w:t xml:space="preserve">The Applicant files this Emergency Application on behalf of </w:t>
      </w:r>
      <w:r w:rsidRPr="499F282A">
        <w:rPr>
          <w:rFonts w:asciiTheme="minorHAnsi" w:hAnsiTheme="minorHAnsi" w:cstheme="minorBidi"/>
          <w:sz w:val="24"/>
          <w:szCs w:val="24"/>
        </w:rPr>
        <w:t xml:space="preserve">LG </w:t>
      </w:r>
      <w:proofErr w:type="spellStart"/>
      <w:r w:rsidRPr="499F282A">
        <w:rPr>
          <w:rFonts w:asciiTheme="minorHAnsi" w:hAnsiTheme="minorHAnsi" w:cstheme="minorBidi"/>
          <w:sz w:val="24"/>
          <w:szCs w:val="24"/>
        </w:rPr>
        <w:t>Newcorp</w:t>
      </w:r>
      <w:proofErr w:type="spellEnd"/>
      <w:r w:rsidRPr="499F282A">
        <w:rPr>
          <w:rFonts w:asciiTheme="minorHAnsi" w:hAnsiTheme="minorHAnsi" w:cstheme="minorBidi"/>
          <w:sz w:val="24"/>
          <w:szCs w:val="24"/>
        </w:rPr>
        <w:t xml:space="preserve"> Inc., a wholly owned subsidiary of Lawrence General Hospital, </w:t>
      </w:r>
      <w:r w:rsidR="71EF2E31" w:rsidRPr="499F282A">
        <w:rPr>
          <w:rFonts w:asciiTheme="minorHAnsi" w:hAnsiTheme="minorHAnsi" w:cstheme="minorBidi"/>
          <w:sz w:val="24"/>
          <w:szCs w:val="24"/>
        </w:rPr>
        <w:t xml:space="preserve">seeking approval of </w:t>
      </w:r>
      <w:r w:rsidRPr="1CDA31B1">
        <w:rPr>
          <w:color w:val="000000" w:themeColor="text1"/>
          <w:sz w:val="24"/>
          <w:szCs w:val="24"/>
        </w:rPr>
        <w:t>the Transfer of Ownership</w:t>
      </w:r>
      <w:r w:rsidR="0B21070D" w:rsidRPr="1CDA31B1">
        <w:rPr>
          <w:rStyle w:val="FootnoteReference"/>
          <w:color w:val="000000" w:themeColor="text1"/>
          <w:sz w:val="24"/>
          <w:szCs w:val="24"/>
        </w:rPr>
        <w:footnoteReference w:id="2"/>
      </w:r>
      <w:r w:rsidRPr="1CDA31B1">
        <w:rPr>
          <w:color w:val="000000" w:themeColor="text1"/>
          <w:sz w:val="24"/>
          <w:szCs w:val="24"/>
        </w:rPr>
        <w:t xml:space="preserve"> of </w:t>
      </w:r>
      <w:r w:rsidRPr="499F282A">
        <w:rPr>
          <w:rFonts w:asciiTheme="minorHAnsi" w:hAnsiTheme="minorHAnsi" w:cstheme="minorBidi"/>
          <w:sz w:val="24"/>
          <w:szCs w:val="24"/>
        </w:rPr>
        <w:t>Holy Family Hospital – Methuen and Haverhill Campuses (“HFH”) from Steward Health Care System, LLC.</w:t>
      </w:r>
    </w:p>
    <w:p w14:paraId="3FBBEC6E" w14:textId="5D3FF83F" w:rsidR="00286001" w:rsidRPr="00286001" w:rsidRDefault="00286001" w:rsidP="00286001">
      <w:pPr>
        <w:spacing w:before="51"/>
        <w:ind w:right="-10"/>
        <w:rPr>
          <w:rFonts w:asciiTheme="minorHAnsi" w:hAnsiTheme="minorHAnsi" w:cstheme="minorHAnsi"/>
          <w:sz w:val="24"/>
          <w:szCs w:val="24"/>
        </w:rPr>
      </w:pPr>
      <w:r w:rsidRPr="00286001">
        <w:rPr>
          <w:rFonts w:asciiTheme="minorHAnsi" w:hAnsiTheme="minorHAnsi" w:cstheme="minorHAnsi"/>
          <w:sz w:val="24"/>
          <w:szCs w:val="24"/>
        </w:rPr>
        <w:t>There is neither a Community Health Initiative (CHI) contribution nor a DoN filing fee required for an Emergency DoN. As required by 105 CMR 100.740(A), the Applicant must explain the following: 1) the identity of the Applicant, 2) the nature of the Emergency Situation,</w:t>
      </w:r>
      <w:r w:rsidR="001140E3">
        <w:rPr>
          <w:rFonts w:asciiTheme="minorHAnsi" w:hAnsiTheme="minorHAnsi" w:cstheme="minorHAnsi"/>
          <w:sz w:val="24"/>
          <w:szCs w:val="24"/>
        </w:rPr>
        <w:t xml:space="preserve"> </w:t>
      </w:r>
      <w:r w:rsidRPr="00286001">
        <w:rPr>
          <w:rFonts w:asciiTheme="minorHAnsi" w:hAnsiTheme="minorHAnsi" w:cstheme="minorHAnsi"/>
          <w:sz w:val="24"/>
          <w:szCs w:val="24"/>
        </w:rPr>
        <w:t>3) the nature, scope, location, and projected costs of the proposed project, and 4) that the proposed project will address the emergency situation, and that without issuance of a notice of determination of need, the public health will be measurably harmed.</w:t>
      </w:r>
    </w:p>
    <w:p w14:paraId="42F78F1D" w14:textId="77777777" w:rsidR="00D613BD" w:rsidRDefault="00D613BD" w:rsidP="007C3A52">
      <w:pPr>
        <w:widowControl/>
        <w:adjustRightInd w:val="0"/>
        <w:rPr>
          <w:rFonts w:eastAsiaTheme="minorHAnsi"/>
          <w:sz w:val="24"/>
          <w:szCs w:val="24"/>
          <w:lang w:bidi="ar-SA"/>
        </w:rPr>
      </w:pPr>
    </w:p>
    <w:p w14:paraId="29271ABD" w14:textId="3F750C62" w:rsidR="00A37B89" w:rsidRPr="007469BD" w:rsidRDefault="00A37B89" w:rsidP="00706410">
      <w:pPr>
        <w:pStyle w:val="ListParagraph"/>
        <w:widowControl/>
        <w:numPr>
          <w:ilvl w:val="0"/>
          <w:numId w:val="1"/>
        </w:numPr>
        <w:adjustRightInd w:val="0"/>
        <w:rPr>
          <w:rFonts w:asciiTheme="minorHAnsi" w:hAnsiTheme="minorHAnsi" w:cstheme="minorHAnsi"/>
          <w:b/>
          <w:bCs/>
          <w:sz w:val="24"/>
          <w:szCs w:val="24"/>
        </w:rPr>
      </w:pPr>
      <w:r w:rsidRPr="78C7AD39">
        <w:rPr>
          <w:rFonts w:asciiTheme="minorHAnsi" w:hAnsiTheme="minorHAnsi" w:cstheme="minorBidi"/>
          <w:b/>
          <w:bCs/>
          <w:sz w:val="24"/>
          <w:szCs w:val="24"/>
        </w:rPr>
        <w:t>Identity of The Applicant</w:t>
      </w:r>
    </w:p>
    <w:p w14:paraId="2F131CB9" w14:textId="7A8F45DC" w:rsidR="78C7AD39" w:rsidRDefault="78C7AD39" w:rsidP="78C7AD39">
      <w:pPr>
        <w:rPr>
          <w:rFonts w:asciiTheme="minorHAnsi" w:hAnsiTheme="minorHAnsi" w:cstheme="minorBidi"/>
          <w:sz w:val="24"/>
          <w:szCs w:val="24"/>
        </w:rPr>
      </w:pPr>
    </w:p>
    <w:p w14:paraId="574AE0D0" w14:textId="621E6FBC" w:rsidR="006166B6" w:rsidRDefault="006166B6" w:rsidP="78C7AD39">
      <w:pPr>
        <w:rPr>
          <w:rFonts w:asciiTheme="minorHAnsi" w:hAnsiTheme="minorHAnsi" w:cstheme="minorBidi"/>
          <w:sz w:val="24"/>
          <w:szCs w:val="24"/>
        </w:rPr>
      </w:pPr>
      <w:r w:rsidRPr="78C7AD39">
        <w:rPr>
          <w:rFonts w:asciiTheme="minorHAnsi" w:hAnsiTheme="minorHAnsi" w:cstheme="minorBidi"/>
          <w:sz w:val="24"/>
          <w:szCs w:val="24"/>
        </w:rPr>
        <w:t>The Applicant</w:t>
      </w:r>
      <w:r w:rsidR="00871BB0" w:rsidRPr="78C7AD39">
        <w:rPr>
          <w:rFonts w:asciiTheme="minorHAnsi" w:hAnsiTheme="minorHAnsi" w:cstheme="minorBidi"/>
          <w:sz w:val="24"/>
          <w:szCs w:val="24"/>
        </w:rPr>
        <w:t xml:space="preserve">, </w:t>
      </w:r>
      <w:r w:rsidR="3EC9A6AD" w:rsidRPr="78C7AD39">
        <w:rPr>
          <w:rFonts w:asciiTheme="minorHAnsi" w:hAnsiTheme="minorHAnsi" w:cstheme="minorBidi"/>
          <w:sz w:val="24"/>
          <w:szCs w:val="24"/>
        </w:rPr>
        <w:t>Lawrence General Hospital</w:t>
      </w:r>
      <w:r w:rsidR="00871BB0" w:rsidRPr="78C7AD39">
        <w:rPr>
          <w:rFonts w:asciiTheme="minorHAnsi" w:hAnsiTheme="minorHAnsi" w:cstheme="minorBidi"/>
          <w:sz w:val="24"/>
          <w:szCs w:val="24"/>
        </w:rPr>
        <w:t>,</w:t>
      </w:r>
      <w:r w:rsidR="00046A7D">
        <w:t xml:space="preserve"> </w:t>
      </w:r>
      <w:r w:rsidR="00046A7D" w:rsidRPr="78C7AD39">
        <w:rPr>
          <w:rFonts w:asciiTheme="minorHAnsi" w:hAnsiTheme="minorHAnsi" w:cstheme="minorBidi"/>
          <w:sz w:val="24"/>
          <w:szCs w:val="24"/>
        </w:rPr>
        <w:t>located at 1 General Street, Lawrence MA 01841,</w:t>
      </w:r>
      <w:r w:rsidRPr="78C7AD39">
        <w:rPr>
          <w:rFonts w:asciiTheme="minorHAnsi" w:hAnsiTheme="minorHAnsi" w:cstheme="minorBidi"/>
          <w:sz w:val="24"/>
          <w:szCs w:val="24"/>
        </w:rPr>
        <w:t xml:space="preserve"> is a Massachusetts non-profit integrated health care system</w:t>
      </w:r>
      <w:r w:rsidR="00871BB0" w:rsidRPr="78C7AD39">
        <w:rPr>
          <w:rFonts w:asciiTheme="minorHAnsi" w:hAnsiTheme="minorHAnsi" w:cstheme="minorBidi"/>
          <w:sz w:val="24"/>
          <w:szCs w:val="24"/>
        </w:rPr>
        <w:t xml:space="preserve"> and </w:t>
      </w:r>
      <w:r w:rsidRPr="78C7AD39">
        <w:rPr>
          <w:rFonts w:asciiTheme="minorHAnsi" w:hAnsiTheme="minorHAnsi" w:cstheme="minorBidi"/>
          <w:sz w:val="24"/>
          <w:szCs w:val="24"/>
        </w:rPr>
        <w:t xml:space="preserve">is the sole corporate member of </w:t>
      </w:r>
      <w:r w:rsidR="00F03EB6" w:rsidRPr="78C7AD39">
        <w:rPr>
          <w:rFonts w:asciiTheme="minorHAnsi" w:hAnsiTheme="minorHAnsi" w:cstheme="minorBidi"/>
          <w:sz w:val="24"/>
          <w:szCs w:val="24"/>
        </w:rPr>
        <w:t xml:space="preserve">LG </w:t>
      </w:r>
      <w:proofErr w:type="spellStart"/>
      <w:r w:rsidR="00F03EB6" w:rsidRPr="78C7AD39">
        <w:rPr>
          <w:rFonts w:asciiTheme="minorHAnsi" w:hAnsiTheme="minorHAnsi" w:cstheme="minorBidi"/>
          <w:sz w:val="24"/>
          <w:szCs w:val="24"/>
        </w:rPr>
        <w:t>Newcorp</w:t>
      </w:r>
      <w:proofErr w:type="spellEnd"/>
      <w:r w:rsidR="00F03EB6" w:rsidRPr="78C7AD39">
        <w:rPr>
          <w:rFonts w:asciiTheme="minorHAnsi" w:hAnsiTheme="minorHAnsi" w:cstheme="minorBidi"/>
          <w:sz w:val="24"/>
          <w:szCs w:val="24"/>
        </w:rPr>
        <w:t xml:space="preserve"> Inc.,</w:t>
      </w:r>
      <w:r w:rsidR="00663208" w:rsidRPr="78C7AD39">
        <w:rPr>
          <w:rFonts w:asciiTheme="minorHAnsi" w:hAnsiTheme="minorHAnsi" w:cstheme="minorBidi"/>
          <w:sz w:val="24"/>
          <w:szCs w:val="24"/>
        </w:rPr>
        <w:t xml:space="preserve"> </w:t>
      </w:r>
      <w:r w:rsidR="00F03EB6" w:rsidRPr="78C7AD39">
        <w:rPr>
          <w:rFonts w:asciiTheme="minorHAnsi" w:hAnsiTheme="minorHAnsi" w:cstheme="minorBidi"/>
          <w:sz w:val="24"/>
          <w:szCs w:val="24"/>
        </w:rPr>
        <w:t xml:space="preserve">which was formed for the purpose of this Proposed </w:t>
      </w:r>
      <w:r w:rsidR="00916D65" w:rsidRPr="78C7AD39">
        <w:rPr>
          <w:rFonts w:asciiTheme="minorHAnsi" w:hAnsiTheme="minorHAnsi" w:cstheme="minorBidi"/>
          <w:sz w:val="24"/>
          <w:szCs w:val="24"/>
        </w:rPr>
        <w:t>Project</w:t>
      </w:r>
      <w:r w:rsidR="00F03EB6" w:rsidRPr="78C7AD39">
        <w:rPr>
          <w:rFonts w:asciiTheme="minorHAnsi" w:hAnsiTheme="minorHAnsi" w:cstheme="minorBidi"/>
          <w:sz w:val="24"/>
          <w:szCs w:val="24"/>
        </w:rPr>
        <w:t>.</w:t>
      </w:r>
    </w:p>
    <w:p w14:paraId="52B2F3B2" w14:textId="77777777" w:rsidR="00916D65" w:rsidRDefault="00916D65" w:rsidP="006166B6">
      <w:pPr>
        <w:rPr>
          <w:rFonts w:asciiTheme="minorHAnsi" w:hAnsiTheme="minorHAnsi" w:cstheme="minorHAnsi"/>
          <w:sz w:val="24"/>
          <w:szCs w:val="24"/>
        </w:rPr>
      </w:pPr>
    </w:p>
    <w:p w14:paraId="4BAF5398" w14:textId="1579F967" w:rsidR="00916D65" w:rsidRDefault="00916D65" w:rsidP="78C7AD39">
      <w:pPr>
        <w:rPr>
          <w:rFonts w:asciiTheme="minorHAnsi" w:hAnsiTheme="minorHAnsi" w:cstheme="minorBidi"/>
          <w:sz w:val="24"/>
          <w:szCs w:val="24"/>
        </w:rPr>
      </w:pPr>
      <w:r w:rsidRPr="78C7AD39">
        <w:rPr>
          <w:rFonts w:asciiTheme="minorHAnsi" w:hAnsiTheme="minorHAnsi" w:cstheme="minorBidi"/>
          <w:sz w:val="24"/>
          <w:szCs w:val="24"/>
        </w:rPr>
        <w:t>The Applicant states that</w:t>
      </w:r>
      <w:r w:rsidR="668F8A96" w:rsidRPr="78C7AD39">
        <w:rPr>
          <w:rFonts w:asciiTheme="minorHAnsi" w:hAnsiTheme="minorHAnsi" w:cstheme="minorBidi"/>
          <w:sz w:val="24"/>
          <w:szCs w:val="24"/>
        </w:rPr>
        <w:t xml:space="preserve"> Lawrence General Hospital</w:t>
      </w:r>
      <w:r w:rsidRPr="78C7AD39">
        <w:rPr>
          <w:rFonts w:asciiTheme="minorHAnsi" w:hAnsiTheme="minorHAnsi" w:cstheme="minorBidi"/>
          <w:sz w:val="24"/>
          <w:szCs w:val="24"/>
        </w:rPr>
        <w:t xml:space="preserve"> has been providing patient-centered, quality health care for the whole family to those in the Merrimack Valley and southern New Hampshire for </w:t>
      </w:r>
      <w:r w:rsidRPr="78C7AD39">
        <w:rPr>
          <w:rFonts w:asciiTheme="minorHAnsi" w:hAnsiTheme="minorHAnsi" w:cstheme="minorBidi"/>
          <w:sz w:val="24"/>
          <w:szCs w:val="24"/>
        </w:rPr>
        <w:lastRenderedPageBreak/>
        <w:t xml:space="preserve">150 years. and communities it serves treating all patients, regardless of their race, ethnicity, national origin, gender, religion, age, marital status, sexual orientation, gender identity, socioeconomic status, veteran status, disability, and other characteristics that make </w:t>
      </w:r>
      <w:r w:rsidR="548E0DF2" w:rsidRPr="78C7AD39">
        <w:rPr>
          <w:rFonts w:asciiTheme="minorHAnsi" w:hAnsiTheme="minorHAnsi" w:cstheme="minorBidi"/>
          <w:sz w:val="24"/>
          <w:szCs w:val="24"/>
        </w:rPr>
        <w:t>their</w:t>
      </w:r>
      <w:r w:rsidRPr="78C7AD39">
        <w:rPr>
          <w:rFonts w:asciiTheme="minorHAnsi" w:hAnsiTheme="minorHAnsi" w:cstheme="minorBidi"/>
          <w:sz w:val="24"/>
          <w:szCs w:val="24"/>
        </w:rPr>
        <w:t xml:space="preserve"> patients and employees unique. The Applicant further notes that</w:t>
      </w:r>
      <w:r w:rsidR="0002ACB7" w:rsidRPr="78C7AD39">
        <w:rPr>
          <w:rFonts w:asciiTheme="minorHAnsi" w:hAnsiTheme="minorHAnsi" w:cstheme="minorBidi"/>
          <w:sz w:val="24"/>
          <w:szCs w:val="24"/>
        </w:rPr>
        <w:t xml:space="preserve"> Lawrence General Hospital</w:t>
      </w:r>
      <w:r w:rsidRPr="78C7AD39">
        <w:rPr>
          <w:rFonts w:asciiTheme="minorHAnsi" w:hAnsiTheme="minorHAnsi" w:cstheme="minorBidi"/>
          <w:sz w:val="24"/>
          <w:szCs w:val="24"/>
        </w:rPr>
        <w:t xml:space="preserve"> is committed to preventing, identifying, educating, and addressing issues that may hinder residents from leading healthy lives or accessing the social services they may require.</w:t>
      </w:r>
    </w:p>
    <w:p w14:paraId="2D431B47" w14:textId="77777777" w:rsidR="00046A7D" w:rsidRDefault="00046A7D" w:rsidP="006166B6">
      <w:pPr>
        <w:rPr>
          <w:rFonts w:asciiTheme="minorHAnsi" w:hAnsiTheme="minorHAnsi" w:cstheme="minorHAnsi"/>
          <w:sz w:val="24"/>
          <w:szCs w:val="24"/>
        </w:rPr>
      </w:pPr>
    </w:p>
    <w:p w14:paraId="2C2910C0" w14:textId="77777777" w:rsidR="004A56F0" w:rsidRPr="00B76DED" w:rsidRDefault="004A56F0" w:rsidP="00706410">
      <w:pPr>
        <w:pStyle w:val="ListParagraph"/>
        <w:numPr>
          <w:ilvl w:val="0"/>
          <w:numId w:val="1"/>
        </w:numPr>
        <w:ind w:right="-10"/>
        <w:rPr>
          <w:rFonts w:asciiTheme="minorHAnsi" w:hAnsiTheme="minorHAnsi" w:cstheme="minorBidi"/>
          <w:b/>
          <w:bCs/>
          <w:sz w:val="24"/>
          <w:szCs w:val="24"/>
        </w:rPr>
      </w:pPr>
      <w:r w:rsidRPr="2A94D317">
        <w:rPr>
          <w:rFonts w:asciiTheme="minorHAnsi" w:hAnsiTheme="minorHAnsi" w:cstheme="minorBidi"/>
          <w:b/>
          <w:bCs/>
          <w:sz w:val="24"/>
          <w:szCs w:val="24"/>
        </w:rPr>
        <w:t>Nature of the Emergency</w:t>
      </w:r>
    </w:p>
    <w:p w14:paraId="3E74677F" w14:textId="77777777" w:rsidR="004A56F0" w:rsidRDefault="004A56F0" w:rsidP="004A56F0">
      <w:pPr>
        <w:widowControl/>
        <w:adjustRightInd w:val="0"/>
        <w:rPr>
          <w:rFonts w:eastAsiaTheme="minorHAnsi"/>
          <w:sz w:val="24"/>
          <w:szCs w:val="24"/>
          <w:lang w:bidi="ar-SA"/>
        </w:rPr>
      </w:pPr>
    </w:p>
    <w:p w14:paraId="6B0AC69E" w14:textId="3208416A" w:rsidR="00383F85" w:rsidRDefault="133942FA" w:rsidP="78C7AD39">
      <w:pPr>
        <w:widowControl/>
        <w:adjustRightInd w:val="0"/>
        <w:rPr>
          <w:sz w:val="24"/>
          <w:szCs w:val="24"/>
        </w:rPr>
      </w:pPr>
      <w:r w:rsidRPr="78C7AD39">
        <w:rPr>
          <w:color w:val="000000" w:themeColor="text1"/>
          <w:sz w:val="24"/>
          <w:szCs w:val="24"/>
        </w:rPr>
        <w:t xml:space="preserve">The Applicant indicated that this is an </w:t>
      </w:r>
      <w:r w:rsidR="4AACC9F7" w:rsidRPr="78C7AD39">
        <w:rPr>
          <w:color w:val="000000" w:themeColor="text1"/>
          <w:sz w:val="24"/>
          <w:szCs w:val="24"/>
        </w:rPr>
        <w:t>Emergency Situation</w:t>
      </w:r>
      <w:r w:rsidRPr="78C7AD39">
        <w:rPr>
          <w:color w:val="000000" w:themeColor="text1"/>
          <w:sz w:val="24"/>
          <w:szCs w:val="24"/>
        </w:rPr>
        <w:t xml:space="preserve"> due to Steward Health Care System LLC (“Steward”) and its affiliated debtors, including</w:t>
      </w:r>
      <w:r w:rsidR="6125F30B" w:rsidRPr="78C7AD39">
        <w:rPr>
          <w:color w:val="000000" w:themeColor="text1"/>
          <w:sz w:val="24"/>
          <w:szCs w:val="24"/>
        </w:rPr>
        <w:t xml:space="preserve"> </w:t>
      </w:r>
      <w:r w:rsidR="6125F30B" w:rsidRPr="78C7AD39">
        <w:rPr>
          <w:rFonts w:asciiTheme="minorHAnsi" w:hAnsiTheme="minorHAnsi" w:cstheme="minorBidi"/>
          <w:sz w:val="24"/>
          <w:szCs w:val="24"/>
        </w:rPr>
        <w:t>Holy Family Hospital – Methuen and Haverhill Campuses (“HFH”)</w:t>
      </w:r>
      <w:r w:rsidRPr="78C7AD39">
        <w:rPr>
          <w:color w:val="000000" w:themeColor="text1"/>
          <w:sz w:val="24"/>
          <w:szCs w:val="24"/>
        </w:rPr>
        <w:t xml:space="preserve">, filing a voluntary petition for relief under Chapter 11 of the United States Bankruptcy Code in the United States Bankruptcy Court for the Southern District of Texas (“Emergency Situation”). Pursuant to sections 105, 363, and 365 of the Bankruptcy Code, and in an effort to preserve patient care and prevent the closure of </w:t>
      </w:r>
      <w:r w:rsidR="1AE0201E" w:rsidRPr="78C7AD39">
        <w:rPr>
          <w:color w:val="000000" w:themeColor="text1"/>
          <w:sz w:val="24"/>
          <w:szCs w:val="24"/>
        </w:rPr>
        <w:t>HFH</w:t>
      </w:r>
      <w:r w:rsidRPr="78C7AD39">
        <w:rPr>
          <w:color w:val="000000" w:themeColor="text1"/>
          <w:sz w:val="24"/>
          <w:szCs w:val="24"/>
        </w:rPr>
        <w:t xml:space="preserve">, the Applicant, through its corporate affiliate </w:t>
      </w:r>
      <w:r w:rsidR="6ED14B31" w:rsidRPr="78C7AD39">
        <w:rPr>
          <w:color w:val="000000" w:themeColor="text1"/>
          <w:sz w:val="24"/>
          <w:szCs w:val="24"/>
        </w:rPr>
        <w:t>Lawrence General Hospital</w:t>
      </w:r>
      <w:r w:rsidRPr="78C7AD39">
        <w:rPr>
          <w:color w:val="000000" w:themeColor="text1"/>
          <w:sz w:val="24"/>
          <w:szCs w:val="24"/>
        </w:rPr>
        <w:t xml:space="preserve">, entered into an Asset Purchase Agreement (“APA”) to buy certain assets and liabilities of </w:t>
      </w:r>
      <w:r w:rsidR="7235CDBD" w:rsidRPr="78C7AD39">
        <w:rPr>
          <w:color w:val="000000" w:themeColor="text1"/>
          <w:sz w:val="24"/>
          <w:szCs w:val="24"/>
        </w:rPr>
        <w:t>HFH.</w:t>
      </w:r>
    </w:p>
    <w:p w14:paraId="4F111782" w14:textId="4373A4C2" w:rsidR="78C7AD39" w:rsidRDefault="78C7AD39" w:rsidP="78C7AD39">
      <w:pPr>
        <w:widowControl/>
        <w:rPr>
          <w:rFonts w:eastAsiaTheme="minorEastAsia"/>
          <w:sz w:val="24"/>
          <w:szCs w:val="24"/>
        </w:rPr>
      </w:pPr>
    </w:p>
    <w:p w14:paraId="41F1F02A" w14:textId="0342B654" w:rsidR="000F36CF" w:rsidRDefault="00203174" w:rsidP="004A56F0">
      <w:pPr>
        <w:widowControl/>
        <w:adjustRightInd w:val="0"/>
        <w:rPr>
          <w:rFonts w:eastAsiaTheme="minorHAnsi"/>
          <w:sz w:val="24"/>
          <w:szCs w:val="24"/>
        </w:rPr>
      </w:pPr>
      <w:r w:rsidRPr="00203174">
        <w:rPr>
          <w:rFonts w:eastAsiaTheme="minorHAnsi"/>
          <w:sz w:val="24"/>
          <w:szCs w:val="24"/>
        </w:rPr>
        <w:t xml:space="preserve">LG </w:t>
      </w:r>
      <w:proofErr w:type="spellStart"/>
      <w:r w:rsidRPr="00203174">
        <w:rPr>
          <w:rFonts w:eastAsiaTheme="minorHAnsi"/>
          <w:sz w:val="24"/>
          <w:szCs w:val="24"/>
        </w:rPr>
        <w:t>Newcorp</w:t>
      </w:r>
      <w:proofErr w:type="spellEnd"/>
      <w:r w:rsidRPr="00203174">
        <w:rPr>
          <w:rFonts w:eastAsiaTheme="minorHAnsi"/>
          <w:sz w:val="24"/>
          <w:szCs w:val="24"/>
        </w:rPr>
        <w:t xml:space="preserve"> Inc, entered into an Asset Purchase Agreement (APA) with Steward Holy Family Hospital on August 29, 2024</w:t>
      </w:r>
      <w:r>
        <w:rPr>
          <w:rFonts w:eastAsiaTheme="minorHAnsi"/>
          <w:sz w:val="24"/>
          <w:szCs w:val="24"/>
        </w:rPr>
        <w:t>.</w:t>
      </w:r>
      <w:r w:rsidRPr="00203174">
        <w:rPr>
          <w:rFonts w:eastAsiaTheme="minorHAnsi"/>
          <w:sz w:val="24"/>
          <w:szCs w:val="24"/>
        </w:rPr>
        <w:t xml:space="preserve"> </w:t>
      </w:r>
      <w:r>
        <w:rPr>
          <w:rFonts w:eastAsiaTheme="minorHAnsi"/>
          <w:sz w:val="24"/>
          <w:szCs w:val="24"/>
        </w:rPr>
        <w:t xml:space="preserve">The Applicant </w:t>
      </w:r>
      <w:r w:rsidR="00362C27">
        <w:rPr>
          <w:rFonts w:eastAsiaTheme="minorHAnsi"/>
          <w:sz w:val="24"/>
          <w:szCs w:val="24"/>
        </w:rPr>
        <w:t>asserts because</w:t>
      </w:r>
      <w:r w:rsidRPr="00203174">
        <w:rPr>
          <w:rFonts w:eastAsiaTheme="minorHAnsi"/>
          <w:sz w:val="24"/>
          <w:szCs w:val="24"/>
        </w:rPr>
        <w:t xml:space="preserve"> the sale of the Steward hospitals must be finalized by October 1, 2024, </w:t>
      </w:r>
      <w:r>
        <w:rPr>
          <w:rFonts w:eastAsiaTheme="minorHAnsi"/>
          <w:sz w:val="24"/>
          <w:szCs w:val="24"/>
        </w:rPr>
        <w:t xml:space="preserve">the </w:t>
      </w:r>
      <w:r w:rsidRPr="00203174">
        <w:rPr>
          <w:rFonts w:eastAsiaTheme="minorHAnsi"/>
          <w:sz w:val="24"/>
          <w:szCs w:val="24"/>
        </w:rPr>
        <w:t xml:space="preserve">abbreviated time frames and the lack of </w:t>
      </w:r>
      <w:r w:rsidR="00362C27">
        <w:rPr>
          <w:rFonts w:eastAsiaTheme="minorHAnsi"/>
          <w:sz w:val="24"/>
          <w:szCs w:val="24"/>
        </w:rPr>
        <w:t>Steward r</w:t>
      </w:r>
      <w:r w:rsidRPr="00203174">
        <w:rPr>
          <w:rFonts w:eastAsiaTheme="minorHAnsi"/>
          <w:sz w:val="24"/>
          <w:szCs w:val="24"/>
        </w:rPr>
        <w:t>esources to fund</w:t>
      </w:r>
      <w:r w:rsidR="00362C27">
        <w:rPr>
          <w:rFonts w:eastAsiaTheme="minorHAnsi"/>
          <w:sz w:val="24"/>
          <w:szCs w:val="24"/>
        </w:rPr>
        <w:t xml:space="preserve"> </w:t>
      </w:r>
      <w:r w:rsidRPr="00203174">
        <w:rPr>
          <w:rFonts w:eastAsiaTheme="minorHAnsi"/>
          <w:sz w:val="24"/>
          <w:szCs w:val="24"/>
        </w:rPr>
        <w:t xml:space="preserve">the operations of Holy Family Hospital, </w:t>
      </w:r>
      <w:r w:rsidR="00A32184">
        <w:rPr>
          <w:rFonts w:eastAsiaTheme="minorHAnsi"/>
          <w:sz w:val="24"/>
          <w:szCs w:val="24"/>
        </w:rPr>
        <w:t xml:space="preserve">would </w:t>
      </w:r>
      <w:r>
        <w:rPr>
          <w:rFonts w:eastAsiaTheme="minorHAnsi"/>
          <w:sz w:val="24"/>
          <w:szCs w:val="24"/>
        </w:rPr>
        <w:t xml:space="preserve">create </w:t>
      </w:r>
      <w:r w:rsidRPr="00203174">
        <w:rPr>
          <w:rFonts w:eastAsiaTheme="minorHAnsi"/>
          <w:sz w:val="24"/>
          <w:szCs w:val="24"/>
        </w:rPr>
        <w:t>a public health emergency</w:t>
      </w:r>
      <w:r>
        <w:rPr>
          <w:rFonts w:eastAsiaTheme="minorHAnsi"/>
          <w:sz w:val="24"/>
          <w:szCs w:val="24"/>
        </w:rPr>
        <w:t xml:space="preserve">, </w:t>
      </w:r>
      <w:r w:rsidRPr="00203174">
        <w:rPr>
          <w:rFonts w:eastAsiaTheme="minorHAnsi"/>
          <w:sz w:val="24"/>
          <w:szCs w:val="24"/>
        </w:rPr>
        <w:t>in the Merrimack Valley should the hospital be forced to close due to the bankruptcy process</w:t>
      </w:r>
      <w:r w:rsidR="00A32184">
        <w:rPr>
          <w:rFonts w:eastAsiaTheme="minorHAnsi"/>
          <w:sz w:val="24"/>
          <w:szCs w:val="24"/>
        </w:rPr>
        <w:t>.</w:t>
      </w:r>
      <w:r w:rsidRPr="00203174">
        <w:rPr>
          <w:rFonts w:eastAsiaTheme="minorHAnsi"/>
          <w:sz w:val="24"/>
          <w:szCs w:val="24"/>
        </w:rPr>
        <w:t xml:space="preserve"> </w:t>
      </w:r>
      <w:r w:rsidR="00362C27">
        <w:rPr>
          <w:rFonts w:eastAsiaTheme="minorHAnsi"/>
          <w:sz w:val="24"/>
          <w:szCs w:val="24"/>
        </w:rPr>
        <w:t xml:space="preserve">Accordingly, the Applicant is </w:t>
      </w:r>
      <w:r w:rsidR="00383F85">
        <w:rPr>
          <w:rFonts w:eastAsiaTheme="minorHAnsi"/>
          <w:sz w:val="24"/>
          <w:szCs w:val="24"/>
          <w:lang w:bidi="ar-SA"/>
        </w:rPr>
        <w:t xml:space="preserve">filing this Application </w:t>
      </w:r>
      <w:r w:rsidR="00383F85" w:rsidRPr="00383F85">
        <w:rPr>
          <w:rFonts w:eastAsiaTheme="minorHAnsi"/>
          <w:sz w:val="24"/>
          <w:szCs w:val="24"/>
        </w:rPr>
        <w:t>pursuant to 105 CMR 100.740</w:t>
      </w:r>
      <w:r w:rsidR="00383F85">
        <w:rPr>
          <w:rFonts w:eastAsiaTheme="minorHAnsi"/>
          <w:sz w:val="24"/>
          <w:szCs w:val="24"/>
        </w:rPr>
        <w:t>.</w:t>
      </w:r>
    </w:p>
    <w:p w14:paraId="6F328D7E" w14:textId="77777777" w:rsidR="00383F85" w:rsidRDefault="00383F85" w:rsidP="004A56F0">
      <w:pPr>
        <w:widowControl/>
        <w:adjustRightInd w:val="0"/>
        <w:rPr>
          <w:rFonts w:eastAsiaTheme="minorHAnsi"/>
          <w:sz w:val="24"/>
          <w:szCs w:val="24"/>
          <w:lang w:bidi="ar-SA"/>
        </w:rPr>
      </w:pPr>
    </w:p>
    <w:p w14:paraId="2DA1E9F2" w14:textId="767CA5D2" w:rsidR="00734140" w:rsidRPr="00A93682" w:rsidRDefault="00734140" w:rsidP="00706410">
      <w:pPr>
        <w:pStyle w:val="ListParagraph"/>
        <w:numPr>
          <w:ilvl w:val="0"/>
          <w:numId w:val="1"/>
        </w:numPr>
        <w:rPr>
          <w:rFonts w:asciiTheme="minorHAnsi" w:hAnsiTheme="minorHAnsi" w:cstheme="minorHAnsi"/>
          <w:sz w:val="24"/>
          <w:szCs w:val="24"/>
        </w:rPr>
      </w:pPr>
      <w:r w:rsidRPr="007469BD">
        <w:rPr>
          <w:rFonts w:asciiTheme="minorHAnsi" w:hAnsiTheme="minorHAnsi" w:cstheme="minorHAnsi"/>
          <w:b/>
          <w:bCs/>
          <w:sz w:val="24"/>
          <w:szCs w:val="24"/>
        </w:rPr>
        <w:t>Proposed Project: Nature, Scope, Location, and Projected Costs</w:t>
      </w:r>
    </w:p>
    <w:p w14:paraId="7AD1EF31" w14:textId="77777777" w:rsidR="00A93682" w:rsidRPr="000E3A53" w:rsidRDefault="00A93682" w:rsidP="00A93682">
      <w:pPr>
        <w:pStyle w:val="ListParagraph"/>
        <w:ind w:left="720" w:firstLine="0"/>
        <w:rPr>
          <w:rFonts w:asciiTheme="minorHAnsi" w:hAnsiTheme="minorHAnsi" w:cstheme="minorHAnsi"/>
          <w:sz w:val="24"/>
          <w:szCs w:val="24"/>
        </w:rPr>
      </w:pPr>
    </w:p>
    <w:p w14:paraId="34A57D0C" w14:textId="006CB311" w:rsidR="008157E7" w:rsidRDefault="60CF841C" w:rsidP="54CB220D">
      <w:pPr>
        <w:rPr>
          <w:rFonts w:asciiTheme="minorHAnsi" w:hAnsiTheme="minorHAnsi" w:cstheme="minorBidi"/>
          <w:sz w:val="24"/>
          <w:szCs w:val="24"/>
        </w:rPr>
      </w:pPr>
      <w:r w:rsidRPr="1CDA31B1">
        <w:rPr>
          <w:rFonts w:asciiTheme="minorHAnsi" w:hAnsiTheme="minorHAnsi" w:cstheme="minorBidi"/>
          <w:sz w:val="24"/>
          <w:szCs w:val="24"/>
        </w:rPr>
        <w:t>P</w:t>
      </w:r>
      <w:r w:rsidR="607FFBA0" w:rsidRPr="1CDA31B1">
        <w:rPr>
          <w:rFonts w:asciiTheme="minorHAnsi" w:hAnsiTheme="minorHAnsi" w:cstheme="minorBidi"/>
          <w:sz w:val="24"/>
          <w:szCs w:val="24"/>
        </w:rPr>
        <w:t xml:space="preserve">ursuant to </w:t>
      </w:r>
      <w:r w:rsidRPr="1CDA31B1">
        <w:rPr>
          <w:rFonts w:asciiTheme="minorHAnsi" w:hAnsiTheme="minorHAnsi" w:cstheme="minorBidi"/>
          <w:sz w:val="24"/>
          <w:szCs w:val="24"/>
        </w:rPr>
        <w:t xml:space="preserve">the APA, </w:t>
      </w:r>
      <w:r w:rsidR="607FFBA0" w:rsidRPr="1CDA31B1">
        <w:rPr>
          <w:rFonts w:asciiTheme="minorHAnsi" w:hAnsiTheme="minorHAnsi" w:cstheme="minorBidi"/>
          <w:sz w:val="24"/>
          <w:szCs w:val="24"/>
        </w:rPr>
        <w:t xml:space="preserve">LG </w:t>
      </w:r>
      <w:proofErr w:type="spellStart"/>
      <w:r w:rsidR="607FFBA0" w:rsidRPr="1CDA31B1">
        <w:rPr>
          <w:rFonts w:asciiTheme="minorHAnsi" w:hAnsiTheme="minorHAnsi" w:cstheme="minorBidi"/>
          <w:sz w:val="24"/>
          <w:szCs w:val="24"/>
        </w:rPr>
        <w:t>Newcorp</w:t>
      </w:r>
      <w:proofErr w:type="spellEnd"/>
      <w:r w:rsidR="607FFBA0" w:rsidRPr="1CDA31B1">
        <w:rPr>
          <w:rFonts w:asciiTheme="minorHAnsi" w:hAnsiTheme="minorHAnsi" w:cstheme="minorBidi"/>
          <w:sz w:val="24"/>
          <w:szCs w:val="24"/>
        </w:rPr>
        <w:t xml:space="preserve"> Inc</w:t>
      </w:r>
      <w:r w:rsidR="7C95B916" w:rsidRPr="1CDA31B1">
        <w:rPr>
          <w:rFonts w:asciiTheme="minorHAnsi" w:hAnsiTheme="minorHAnsi" w:cstheme="minorBidi"/>
          <w:sz w:val="24"/>
          <w:szCs w:val="24"/>
        </w:rPr>
        <w:t>.</w:t>
      </w:r>
      <w:r w:rsidR="607FFBA0" w:rsidRPr="1CDA31B1">
        <w:rPr>
          <w:rFonts w:asciiTheme="minorHAnsi" w:hAnsiTheme="minorHAnsi" w:cstheme="minorBidi"/>
          <w:sz w:val="24"/>
          <w:szCs w:val="24"/>
        </w:rPr>
        <w:t xml:space="preserve"> will replace Steward Holy Family Hospital as the corporate entity intending to operate the hospital campuses and take ownership of the land on the two campuses (located at 70 East Street, Methuen, MA 01844</w:t>
      </w:r>
      <w:r w:rsidR="12193DC8" w:rsidRPr="1CDA31B1">
        <w:rPr>
          <w:rFonts w:asciiTheme="minorHAnsi" w:hAnsiTheme="minorHAnsi" w:cstheme="minorBidi"/>
          <w:sz w:val="24"/>
          <w:szCs w:val="24"/>
        </w:rPr>
        <w:t xml:space="preserve">, and </w:t>
      </w:r>
      <w:r w:rsidR="607FFBA0" w:rsidRPr="1CDA31B1">
        <w:rPr>
          <w:rFonts w:asciiTheme="minorHAnsi" w:hAnsiTheme="minorHAnsi" w:cstheme="minorBidi"/>
          <w:sz w:val="24"/>
          <w:szCs w:val="24"/>
        </w:rPr>
        <w:t>at 140 Lincoln Avenue, Haverhill, MA 01830).</w:t>
      </w:r>
      <w:r w:rsidR="0048110F" w:rsidRPr="1CDA31B1">
        <w:rPr>
          <w:rStyle w:val="FootnoteReference"/>
          <w:rFonts w:asciiTheme="minorHAnsi" w:hAnsiTheme="minorHAnsi" w:cstheme="minorBidi"/>
          <w:sz w:val="24"/>
          <w:szCs w:val="24"/>
        </w:rPr>
        <w:footnoteReference w:id="3"/>
      </w:r>
      <w:r w:rsidR="0028AF09" w:rsidRPr="1CDA31B1">
        <w:rPr>
          <w:rStyle w:val="FootnoteReference"/>
          <w:rFonts w:asciiTheme="minorHAnsi" w:hAnsiTheme="minorHAnsi" w:cstheme="minorBidi"/>
          <w:sz w:val="24"/>
          <w:szCs w:val="24"/>
        </w:rPr>
        <w:t xml:space="preserve"> </w:t>
      </w:r>
      <w:r w:rsidR="607FFBA0" w:rsidRPr="1CDA31B1">
        <w:rPr>
          <w:rFonts w:asciiTheme="minorHAnsi" w:hAnsiTheme="minorHAnsi" w:cstheme="minorBidi"/>
          <w:sz w:val="24"/>
          <w:szCs w:val="24"/>
        </w:rPr>
        <w:t xml:space="preserve"> </w:t>
      </w:r>
      <w:r w:rsidR="208DEFBD" w:rsidRPr="1CDA31B1">
        <w:rPr>
          <w:rFonts w:asciiTheme="minorHAnsi" w:hAnsiTheme="minorHAnsi" w:cstheme="minorBidi"/>
          <w:sz w:val="24"/>
          <w:szCs w:val="24"/>
        </w:rPr>
        <w:t>T</w:t>
      </w:r>
      <w:r w:rsidR="3503BE5A" w:rsidRPr="1CDA31B1">
        <w:rPr>
          <w:rFonts w:asciiTheme="minorHAnsi" w:hAnsiTheme="minorHAnsi" w:cstheme="minorBidi"/>
          <w:sz w:val="24"/>
          <w:szCs w:val="24"/>
        </w:rPr>
        <w:t xml:space="preserve">he Applicant states to </w:t>
      </w:r>
      <w:r w:rsidR="208DEFBD" w:rsidRPr="1CDA31B1">
        <w:rPr>
          <w:rFonts w:asciiTheme="minorHAnsi" w:hAnsiTheme="minorHAnsi" w:cstheme="minorBidi"/>
          <w:sz w:val="24"/>
          <w:szCs w:val="24"/>
        </w:rPr>
        <w:t xml:space="preserve">ensure ongoing continuation of services the employment of certain Steward Medical Group physicians by LGH or LG </w:t>
      </w:r>
      <w:proofErr w:type="spellStart"/>
      <w:r w:rsidR="208DEFBD" w:rsidRPr="1CDA31B1">
        <w:rPr>
          <w:rFonts w:asciiTheme="minorHAnsi" w:hAnsiTheme="minorHAnsi" w:cstheme="minorBidi"/>
          <w:sz w:val="24"/>
          <w:szCs w:val="24"/>
        </w:rPr>
        <w:t>Newcorp</w:t>
      </w:r>
      <w:proofErr w:type="spellEnd"/>
      <w:r w:rsidR="208DEFBD" w:rsidRPr="1CDA31B1">
        <w:rPr>
          <w:rFonts w:asciiTheme="minorHAnsi" w:hAnsiTheme="minorHAnsi" w:cstheme="minorBidi"/>
          <w:sz w:val="24"/>
          <w:szCs w:val="24"/>
        </w:rPr>
        <w:t xml:space="preserve">, Inc is included in the transaction. </w:t>
      </w:r>
      <w:r w:rsidR="4FDFA9A5" w:rsidRPr="1CDA31B1">
        <w:rPr>
          <w:rFonts w:asciiTheme="minorHAnsi" w:hAnsiTheme="minorHAnsi" w:cstheme="minorBidi"/>
          <w:sz w:val="24"/>
          <w:szCs w:val="24"/>
        </w:rPr>
        <w:t xml:space="preserve">Upon the </w:t>
      </w:r>
      <w:r w:rsidR="208DEFBD" w:rsidRPr="1CDA31B1">
        <w:rPr>
          <w:rFonts w:asciiTheme="minorHAnsi" w:hAnsiTheme="minorHAnsi" w:cstheme="minorBidi"/>
          <w:sz w:val="24"/>
          <w:szCs w:val="24"/>
        </w:rPr>
        <w:t xml:space="preserve">transaction’s </w:t>
      </w:r>
      <w:r w:rsidR="4FDFA9A5" w:rsidRPr="1CDA31B1">
        <w:rPr>
          <w:rFonts w:asciiTheme="minorHAnsi" w:hAnsiTheme="minorHAnsi" w:cstheme="minorBidi"/>
          <w:sz w:val="24"/>
          <w:szCs w:val="24"/>
        </w:rPr>
        <w:t xml:space="preserve">closing, Lawrence General Hospital and LG </w:t>
      </w:r>
      <w:proofErr w:type="spellStart"/>
      <w:r w:rsidR="4FDFA9A5" w:rsidRPr="1CDA31B1">
        <w:rPr>
          <w:rFonts w:asciiTheme="minorHAnsi" w:hAnsiTheme="minorHAnsi" w:cstheme="minorBidi"/>
          <w:sz w:val="24"/>
          <w:szCs w:val="24"/>
        </w:rPr>
        <w:t>Newcorp</w:t>
      </w:r>
      <w:proofErr w:type="spellEnd"/>
      <w:r w:rsidR="4FDFA9A5" w:rsidRPr="1CDA31B1">
        <w:rPr>
          <w:rFonts w:asciiTheme="minorHAnsi" w:hAnsiTheme="minorHAnsi" w:cstheme="minorBidi"/>
          <w:sz w:val="24"/>
          <w:szCs w:val="24"/>
        </w:rPr>
        <w:t xml:space="preserve"> will remain two separate hospitals</w:t>
      </w:r>
      <w:r w:rsidR="208DEFBD" w:rsidRPr="1CDA31B1">
        <w:rPr>
          <w:rFonts w:asciiTheme="minorHAnsi" w:hAnsiTheme="minorHAnsi" w:cstheme="minorBidi"/>
          <w:sz w:val="24"/>
          <w:szCs w:val="24"/>
        </w:rPr>
        <w:t>.</w:t>
      </w:r>
      <w:r w:rsidR="4FDFA9A5" w:rsidRPr="1CDA31B1">
        <w:rPr>
          <w:rFonts w:asciiTheme="minorHAnsi" w:hAnsiTheme="minorHAnsi" w:cstheme="minorBidi"/>
          <w:sz w:val="24"/>
          <w:szCs w:val="24"/>
        </w:rPr>
        <w:t xml:space="preserve"> </w:t>
      </w:r>
      <w:r w:rsidR="208DEFBD" w:rsidRPr="1CDA31B1">
        <w:rPr>
          <w:rFonts w:asciiTheme="minorHAnsi" w:hAnsiTheme="minorHAnsi" w:cstheme="minorBidi"/>
          <w:sz w:val="24"/>
          <w:szCs w:val="24"/>
        </w:rPr>
        <w:t xml:space="preserve">There will be </w:t>
      </w:r>
      <w:r w:rsidR="4FDFA9A5" w:rsidRPr="1CDA31B1">
        <w:rPr>
          <w:rFonts w:asciiTheme="minorHAnsi" w:hAnsiTheme="minorHAnsi" w:cstheme="minorBidi"/>
          <w:sz w:val="24"/>
          <w:szCs w:val="24"/>
        </w:rPr>
        <w:t xml:space="preserve">ongoing </w:t>
      </w:r>
      <w:r w:rsidR="67505322" w:rsidRPr="1CDA31B1">
        <w:rPr>
          <w:rFonts w:asciiTheme="minorHAnsi" w:hAnsiTheme="minorHAnsi" w:cstheme="minorBidi"/>
          <w:sz w:val="24"/>
          <w:szCs w:val="24"/>
        </w:rPr>
        <w:t xml:space="preserve">engagement </w:t>
      </w:r>
      <w:r w:rsidR="4FDFA9A5" w:rsidRPr="1CDA31B1">
        <w:rPr>
          <w:rFonts w:asciiTheme="minorHAnsi" w:hAnsiTheme="minorHAnsi" w:cstheme="minorBidi"/>
          <w:sz w:val="24"/>
          <w:szCs w:val="24"/>
        </w:rPr>
        <w:t>by the Executive Office of Health and Human Services to ensure continued coordination of services in the Merrimack Valley.</w:t>
      </w:r>
      <w:r w:rsidR="00203174" w:rsidRPr="1CDA31B1">
        <w:rPr>
          <w:rStyle w:val="FootnoteReference"/>
          <w:rFonts w:asciiTheme="minorHAnsi" w:hAnsiTheme="minorHAnsi" w:cstheme="minorBidi"/>
          <w:sz w:val="24"/>
          <w:szCs w:val="24"/>
        </w:rPr>
        <w:footnoteReference w:id="4"/>
      </w:r>
      <w:r w:rsidR="47F72521" w:rsidRPr="1CDA31B1">
        <w:rPr>
          <w:rStyle w:val="FootnoteReference"/>
          <w:rFonts w:asciiTheme="minorHAnsi" w:hAnsiTheme="minorHAnsi" w:cstheme="minorBidi"/>
          <w:sz w:val="24"/>
          <w:szCs w:val="24"/>
        </w:rPr>
        <w:t xml:space="preserve"> </w:t>
      </w:r>
      <w:r w:rsidR="4EA14685" w:rsidRPr="1CDA31B1">
        <w:rPr>
          <w:rFonts w:asciiTheme="minorHAnsi" w:hAnsiTheme="minorHAnsi" w:cstheme="minorBidi"/>
          <w:sz w:val="24"/>
          <w:szCs w:val="24"/>
        </w:rPr>
        <w:t xml:space="preserve">Under the terms of </w:t>
      </w:r>
      <w:r w:rsidR="4EA14685" w:rsidRPr="1CDA31B1">
        <w:rPr>
          <w:rFonts w:asciiTheme="minorHAnsi" w:hAnsiTheme="minorHAnsi" w:cstheme="minorBidi"/>
          <w:sz w:val="24"/>
          <w:szCs w:val="24"/>
        </w:rPr>
        <w:lastRenderedPageBreak/>
        <w:t>the</w:t>
      </w:r>
      <w:r w:rsidR="1974D63C" w:rsidRPr="1CDA31B1">
        <w:rPr>
          <w:rFonts w:asciiTheme="minorHAnsi" w:hAnsiTheme="minorHAnsi" w:cstheme="minorBidi"/>
          <w:sz w:val="24"/>
          <w:szCs w:val="24"/>
        </w:rPr>
        <w:t xml:space="preserve"> </w:t>
      </w:r>
      <w:r w:rsidR="67505322" w:rsidRPr="1CDA31B1">
        <w:rPr>
          <w:rFonts w:asciiTheme="minorHAnsi" w:hAnsiTheme="minorHAnsi" w:cstheme="minorBidi"/>
          <w:sz w:val="24"/>
          <w:szCs w:val="24"/>
        </w:rPr>
        <w:t>APA</w:t>
      </w:r>
      <w:r w:rsidR="4EA14685" w:rsidRPr="1CDA31B1">
        <w:rPr>
          <w:rFonts w:asciiTheme="minorHAnsi" w:hAnsiTheme="minorHAnsi" w:cstheme="minorBidi"/>
          <w:sz w:val="24"/>
          <w:szCs w:val="24"/>
        </w:rPr>
        <w:t>, the Applicant will pay a total of $28,000,001.00 to acquire the assets necessary to assume operations of the Hospitals, including the purchase of real property in Methuen and Haverhill.</w:t>
      </w:r>
    </w:p>
    <w:p w14:paraId="056B3B3A" w14:textId="0E6C6659" w:rsidR="00916D65" w:rsidRDefault="00916D65" w:rsidP="78C7AD39">
      <w:pPr>
        <w:rPr>
          <w:rFonts w:asciiTheme="minorHAnsi" w:hAnsiTheme="minorHAnsi" w:cstheme="minorBidi"/>
          <w:sz w:val="24"/>
          <w:szCs w:val="24"/>
        </w:rPr>
      </w:pPr>
    </w:p>
    <w:p w14:paraId="33C1D965" w14:textId="7A68DA37" w:rsidR="004A2B2A" w:rsidRDefault="00916D65" w:rsidP="78C7AD39">
      <w:pPr>
        <w:rPr>
          <w:rFonts w:asciiTheme="minorHAnsi" w:eastAsiaTheme="minorEastAsia" w:hAnsiTheme="minorHAnsi" w:cstheme="minorBidi"/>
          <w:kern w:val="2"/>
          <w:sz w:val="24"/>
          <w:szCs w:val="24"/>
          <w:lang w:bidi="ar-SA"/>
          <w14:ligatures w14:val="standardContextual"/>
        </w:rPr>
      </w:pPr>
      <w:r w:rsidRPr="78C7AD39">
        <w:rPr>
          <w:rFonts w:asciiTheme="minorHAnsi" w:eastAsiaTheme="minorEastAsia" w:hAnsiTheme="minorHAnsi" w:cstheme="minorBidi"/>
          <w:kern w:val="2"/>
          <w:sz w:val="24"/>
          <w:szCs w:val="24"/>
          <w:lang w:bidi="ar-SA"/>
          <w14:ligatures w14:val="standardContextual"/>
        </w:rPr>
        <w:t xml:space="preserve">HFH is a 320-bed acute care community hospital </w:t>
      </w:r>
      <w:r w:rsidR="00367051" w:rsidRPr="78C7AD39">
        <w:rPr>
          <w:rFonts w:asciiTheme="minorHAnsi" w:eastAsiaTheme="minorEastAsia" w:hAnsiTheme="minorHAnsi" w:cstheme="minorBidi"/>
          <w:kern w:val="2"/>
          <w:sz w:val="24"/>
          <w:szCs w:val="24"/>
          <w:lang w:bidi="ar-SA"/>
          <w14:ligatures w14:val="standardContextual"/>
        </w:rPr>
        <w:t>on</w:t>
      </w:r>
      <w:r w:rsidRPr="78C7AD39">
        <w:rPr>
          <w:rFonts w:asciiTheme="minorHAnsi" w:eastAsiaTheme="minorEastAsia" w:hAnsiTheme="minorHAnsi" w:cstheme="minorBidi"/>
          <w:kern w:val="2"/>
          <w:sz w:val="24"/>
          <w:szCs w:val="24"/>
          <w:lang w:bidi="ar-SA"/>
          <w14:ligatures w14:val="standardContextual"/>
        </w:rPr>
        <w:t xml:space="preserve"> two campuses, </w:t>
      </w:r>
      <w:r w:rsidR="00367051" w:rsidRPr="78C7AD39">
        <w:rPr>
          <w:rFonts w:asciiTheme="minorHAnsi" w:eastAsiaTheme="minorEastAsia" w:hAnsiTheme="minorHAnsi" w:cstheme="minorBidi"/>
          <w:kern w:val="2"/>
          <w:sz w:val="24"/>
          <w:szCs w:val="24"/>
          <w:lang w:bidi="ar-SA"/>
          <w14:ligatures w14:val="standardContextual"/>
        </w:rPr>
        <w:t xml:space="preserve">with </w:t>
      </w:r>
      <w:r w:rsidRPr="78C7AD39">
        <w:rPr>
          <w:rFonts w:asciiTheme="minorHAnsi" w:eastAsiaTheme="minorEastAsia" w:hAnsiTheme="minorHAnsi" w:cstheme="minorBidi"/>
          <w:kern w:val="2"/>
          <w:sz w:val="24"/>
          <w:szCs w:val="24"/>
          <w:lang w:bidi="ar-SA"/>
          <w14:ligatures w14:val="standardContextual"/>
        </w:rPr>
        <w:t xml:space="preserve">both providing comprehensive inpatient, outpatient, and 24/7 emergency service to the greater Merrimack Valley, southern New Hampshire, and the New Hampshire Seacoast. </w:t>
      </w:r>
      <w:r w:rsidR="00203174" w:rsidRPr="78C7AD39">
        <w:rPr>
          <w:rFonts w:asciiTheme="minorHAnsi" w:eastAsiaTheme="minorEastAsia" w:hAnsiTheme="minorHAnsi" w:cstheme="minorBidi"/>
          <w:kern w:val="2"/>
          <w:sz w:val="24"/>
          <w:szCs w:val="24"/>
          <w:lang w:bidi="ar-SA"/>
          <w14:ligatures w14:val="standardContextual"/>
        </w:rPr>
        <w:t>S</w:t>
      </w:r>
      <w:r w:rsidRPr="78C7AD39">
        <w:rPr>
          <w:rFonts w:asciiTheme="minorHAnsi" w:eastAsiaTheme="minorEastAsia" w:hAnsiTheme="minorHAnsi" w:cstheme="minorBidi"/>
          <w:kern w:val="2"/>
          <w:sz w:val="24"/>
          <w:szCs w:val="24"/>
          <w:lang w:bidi="ar-SA"/>
          <w14:ligatures w14:val="standardContextual"/>
        </w:rPr>
        <w:t>pecialized services in orthopedics, cancer care, wound care, cardiac and vascular care, diabetes management, neurology, behavioral health, weight control, general surgery, maternity, and emergency care</w:t>
      </w:r>
      <w:r w:rsidR="00203174" w:rsidRPr="78C7AD39">
        <w:rPr>
          <w:rFonts w:asciiTheme="minorHAnsi" w:eastAsiaTheme="minorEastAsia" w:hAnsiTheme="minorHAnsi" w:cstheme="minorBidi"/>
          <w:kern w:val="2"/>
          <w:sz w:val="24"/>
          <w:szCs w:val="24"/>
          <w:lang w:bidi="ar-SA"/>
          <w14:ligatures w14:val="standardContextual"/>
        </w:rPr>
        <w:t xml:space="preserve"> are </w:t>
      </w:r>
      <w:r w:rsidR="00367051" w:rsidRPr="78C7AD39">
        <w:rPr>
          <w:rFonts w:asciiTheme="minorHAnsi" w:eastAsiaTheme="minorEastAsia" w:hAnsiTheme="minorHAnsi" w:cstheme="minorBidi"/>
          <w:kern w:val="2"/>
          <w:sz w:val="24"/>
          <w:szCs w:val="24"/>
          <w:lang w:bidi="ar-SA"/>
          <w14:ligatures w14:val="standardContextual"/>
        </w:rPr>
        <w:t xml:space="preserve">also </w:t>
      </w:r>
      <w:r w:rsidR="00203174" w:rsidRPr="78C7AD39">
        <w:rPr>
          <w:rFonts w:asciiTheme="minorHAnsi" w:eastAsiaTheme="minorEastAsia" w:hAnsiTheme="minorHAnsi" w:cstheme="minorBidi"/>
          <w:kern w:val="2"/>
          <w:sz w:val="24"/>
          <w:szCs w:val="24"/>
          <w:lang w:bidi="ar-SA"/>
          <w14:ligatures w14:val="standardContextual"/>
        </w:rPr>
        <w:t>offered</w:t>
      </w:r>
      <w:r w:rsidR="00692355">
        <w:rPr>
          <w:rFonts w:asciiTheme="minorHAnsi" w:eastAsiaTheme="minorEastAsia" w:hAnsiTheme="minorHAnsi" w:cstheme="minorBidi"/>
          <w:kern w:val="2"/>
          <w:sz w:val="24"/>
          <w:szCs w:val="24"/>
          <w:lang w:bidi="ar-SA"/>
          <w14:ligatures w14:val="standardContextual"/>
        </w:rPr>
        <w:t xml:space="preserve"> across the two campuses</w:t>
      </w:r>
      <w:r w:rsidR="00203174" w:rsidRPr="78C7AD39">
        <w:rPr>
          <w:rFonts w:asciiTheme="minorHAnsi" w:eastAsiaTheme="minorEastAsia" w:hAnsiTheme="minorHAnsi" w:cstheme="minorBidi"/>
          <w:kern w:val="2"/>
          <w:sz w:val="24"/>
          <w:szCs w:val="24"/>
          <w:lang w:bidi="ar-SA"/>
          <w14:ligatures w14:val="standardContextual"/>
        </w:rPr>
        <w:t xml:space="preserve">. </w:t>
      </w:r>
    </w:p>
    <w:p w14:paraId="411C7719" w14:textId="77777777" w:rsidR="004A2B2A" w:rsidRDefault="004A2B2A" w:rsidP="008157E7">
      <w:pPr>
        <w:rPr>
          <w:rFonts w:ascii="Aptos" w:eastAsia="Aptos" w:hAnsi="Aptos" w:cs="Times New Roman"/>
          <w:kern w:val="2"/>
          <w:sz w:val="24"/>
          <w:szCs w:val="24"/>
          <w:lang w:bidi="ar-SA"/>
          <w14:ligatures w14:val="standardContextual"/>
        </w:rPr>
      </w:pPr>
    </w:p>
    <w:p w14:paraId="2AC8ED45" w14:textId="569F8C71" w:rsidR="004A2B2A" w:rsidRPr="004A2B2A" w:rsidRDefault="72CD15DA" w:rsidP="1CDA31B1">
      <w:pPr>
        <w:tabs>
          <w:tab w:val="left" w:pos="2340"/>
        </w:tabs>
        <w:rPr>
          <w:rFonts w:asciiTheme="minorHAnsi" w:eastAsiaTheme="minorEastAsia" w:hAnsiTheme="minorHAnsi" w:cstheme="minorBidi"/>
          <w:kern w:val="2"/>
          <w:sz w:val="24"/>
          <w:szCs w:val="24"/>
          <w:lang w:bidi="ar-SA"/>
          <w14:ligatures w14:val="standardContextual"/>
        </w:rPr>
      </w:pPr>
      <w:r w:rsidRPr="1CDA31B1">
        <w:rPr>
          <w:rFonts w:asciiTheme="minorHAnsi" w:eastAsiaTheme="minorEastAsia" w:hAnsiTheme="minorHAnsi" w:cstheme="minorBidi"/>
          <w:kern w:val="2"/>
          <w:sz w:val="24"/>
          <w:szCs w:val="24"/>
          <w:lang w:bidi="ar-SA"/>
          <w14:ligatures w14:val="standardContextual"/>
        </w:rPr>
        <w:t xml:space="preserve">The Applicant asserts that the condition of these Hospitals continues to deteriorate daily, as the physicians and non-physician staff necessary to maintain the existing services leave for other opportunities. The Applicant asserts that the closure of these Hospitals will substantially impact public health. Closure would require that patients travel farther and wait longer to access essential services such as emergency medical care, thereby further straining overburdened emergency departments at regional hospitals, </w:t>
      </w:r>
      <w:r w:rsidR="0F5FACDD" w:rsidRPr="1CDA31B1">
        <w:rPr>
          <w:rFonts w:asciiTheme="minorHAnsi" w:eastAsiaTheme="minorEastAsia" w:hAnsiTheme="minorHAnsi" w:cstheme="minorBidi"/>
          <w:kern w:val="2"/>
          <w:sz w:val="24"/>
          <w:szCs w:val="24"/>
          <w:lang w:bidi="ar-SA"/>
          <w14:ligatures w14:val="standardContextual"/>
        </w:rPr>
        <w:t xml:space="preserve">including Lawrence General, </w:t>
      </w:r>
      <w:r w:rsidRPr="1CDA31B1">
        <w:rPr>
          <w:rFonts w:asciiTheme="minorHAnsi" w:eastAsiaTheme="minorEastAsia" w:hAnsiTheme="minorHAnsi" w:cstheme="minorBidi"/>
          <w:kern w:val="2"/>
          <w:sz w:val="24"/>
          <w:szCs w:val="24"/>
          <w:lang w:bidi="ar-SA"/>
          <w14:ligatures w14:val="standardContextual"/>
        </w:rPr>
        <w:t>and exacerbating the existing inpatient capacity crisis in the M</w:t>
      </w:r>
      <w:r w:rsidR="1BEDC583" w:rsidRPr="1CDA31B1">
        <w:rPr>
          <w:rFonts w:asciiTheme="minorHAnsi" w:eastAsiaTheme="minorEastAsia" w:hAnsiTheme="minorHAnsi" w:cstheme="minorBidi"/>
          <w:kern w:val="2"/>
          <w:sz w:val="24"/>
          <w:szCs w:val="24"/>
          <w:lang w:bidi="ar-SA"/>
          <w14:ligatures w14:val="standardContextual"/>
        </w:rPr>
        <w:t xml:space="preserve">errimack </w:t>
      </w:r>
      <w:r w:rsidRPr="1CDA31B1">
        <w:rPr>
          <w:rFonts w:asciiTheme="minorHAnsi" w:eastAsiaTheme="minorEastAsia" w:hAnsiTheme="minorHAnsi" w:cstheme="minorBidi"/>
          <w:kern w:val="2"/>
          <w:sz w:val="24"/>
          <w:szCs w:val="24"/>
          <w:lang w:bidi="ar-SA"/>
          <w14:ligatures w14:val="standardContextual"/>
        </w:rPr>
        <w:t>Valley.</w:t>
      </w:r>
    </w:p>
    <w:p w14:paraId="455E6BF0" w14:textId="77777777" w:rsidR="006A6F1F" w:rsidRPr="00B76DED" w:rsidRDefault="006A6F1F" w:rsidP="001B72DB">
      <w:pPr>
        <w:pStyle w:val="BodyText"/>
        <w:rPr>
          <w:rFonts w:asciiTheme="minorHAnsi" w:hAnsiTheme="minorHAnsi" w:cstheme="minorHAnsi"/>
          <w:sz w:val="24"/>
          <w:szCs w:val="24"/>
        </w:rPr>
      </w:pPr>
    </w:p>
    <w:p w14:paraId="612D6E3B" w14:textId="60C59777" w:rsidR="007D7AC9" w:rsidRPr="007D7AC9" w:rsidRDefault="007D7AC9" w:rsidP="00706410">
      <w:pPr>
        <w:pStyle w:val="BodyText"/>
        <w:numPr>
          <w:ilvl w:val="0"/>
          <w:numId w:val="1"/>
        </w:numPr>
        <w:rPr>
          <w:rFonts w:asciiTheme="minorHAnsi" w:hAnsiTheme="minorHAnsi" w:cstheme="minorBidi"/>
          <w:b/>
          <w:bCs/>
          <w:sz w:val="24"/>
          <w:szCs w:val="24"/>
        </w:rPr>
      </w:pPr>
      <w:r w:rsidRPr="78C7AD39">
        <w:rPr>
          <w:rFonts w:asciiTheme="minorHAnsi" w:hAnsiTheme="minorHAnsi" w:cstheme="minorBidi"/>
          <w:b/>
          <w:bCs/>
          <w:sz w:val="24"/>
          <w:szCs w:val="24"/>
        </w:rPr>
        <w:t>Demonstration that the Proposed Project will address the Emergency Situation, and that without issuance of a Notice of Determination of Need, the public health will be measurably harmed</w:t>
      </w:r>
      <w:r w:rsidR="00387952" w:rsidRPr="78C7AD39">
        <w:rPr>
          <w:rFonts w:asciiTheme="minorHAnsi" w:hAnsiTheme="minorHAnsi" w:cstheme="minorBidi"/>
          <w:b/>
          <w:bCs/>
          <w:sz w:val="24"/>
          <w:szCs w:val="24"/>
        </w:rPr>
        <w:t>.</w:t>
      </w:r>
    </w:p>
    <w:p w14:paraId="31E907C2" w14:textId="77777777" w:rsidR="004A2B2A" w:rsidRDefault="004A2B2A" w:rsidP="004A2B2A">
      <w:pPr>
        <w:pStyle w:val="BodyText"/>
        <w:rPr>
          <w:rFonts w:asciiTheme="minorHAnsi" w:hAnsiTheme="minorHAnsi" w:cstheme="minorHAnsi"/>
          <w:sz w:val="24"/>
          <w:szCs w:val="24"/>
        </w:rPr>
      </w:pPr>
    </w:p>
    <w:p w14:paraId="75E4AF7E" w14:textId="693BF633" w:rsidR="007D7AC9" w:rsidRDefault="004A2B2A" w:rsidP="78C7AD39">
      <w:pPr>
        <w:pStyle w:val="BodyText"/>
        <w:rPr>
          <w:rFonts w:asciiTheme="minorHAnsi" w:hAnsiTheme="minorHAnsi" w:cstheme="minorBidi"/>
          <w:sz w:val="24"/>
          <w:szCs w:val="24"/>
        </w:rPr>
      </w:pPr>
      <w:r w:rsidRPr="78C7AD39">
        <w:rPr>
          <w:rFonts w:asciiTheme="minorHAnsi" w:hAnsiTheme="minorHAnsi" w:cstheme="minorBidi"/>
          <w:sz w:val="24"/>
          <w:szCs w:val="24"/>
        </w:rPr>
        <w:t xml:space="preserve">The Applicant stresses that this Proposed Project will ensure that area residents have access to all health care services along the continuum, and also that it will ensure that under-resourced populations have continued access to timely services, addressing disparities, and promoting health equity. </w:t>
      </w:r>
      <w:r w:rsidR="003F27D1" w:rsidRPr="78C7AD39">
        <w:rPr>
          <w:rFonts w:asciiTheme="minorHAnsi" w:hAnsiTheme="minorHAnsi" w:cstheme="minorBidi"/>
          <w:sz w:val="24"/>
          <w:szCs w:val="24"/>
        </w:rPr>
        <w:t>The Applicant states it intends to maintain the services in operation as of the closing; however</w:t>
      </w:r>
      <w:r w:rsidR="00EA2F58" w:rsidRPr="78C7AD39">
        <w:rPr>
          <w:rFonts w:asciiTheme="minorHAnsi" w:hAnsiTheme="minorHAnsi" w:cstheme="minorBidi"/>
          <w:sz w:val="24"/>
          <w:szCs w:val="24"/>
        </w:rPr>
        <w:t>,</w:t>
      </w:r>
      <w:r w:rsidR="003F27D1" w:rsidRPr="78C7AD39">
        <w:rPr>
          <w:rFonts w:asciiTheme="minorHAnsi" w:hAnsiTheme="minorHAnsi" w:cstheme="minorBidi"/>
          <w:sz w:val="24"/>
          <w:szCs w:val="24"/>
        </w:rPr>
        <w:t xml:space="preserve"> this is subject to the condition of the Hospitals and availability of adequate physician and non-physician staffing.</w:t>
      </w:r>
      <w:r w:rsidR="00EA2F58" w:rsidRPr="78C7AD39">
        <w:rPr>
          <w:rFonts w:asciiTheme="minorHAnsi" w:hAnsiTheme="minorHAnsi" w:cstheme="minorBidi"/>
          <w:sz w:val="24"/>
          <w:szCs w:val="24"/>
        </w:rPr>
        <w:t xml:space="preserve"> LGH plans to utilize its experience and full operational team to maintain and strengthen the ongoing services within HFH. </w:t>
      </w:r>
    </w:p>
    <w:p w14:paraId="6A1201D7" w14:textId="77777777" w:rsidR="00EA2F58" w:rsidRDefault="00EA2F58" w:rsidP="001B72DB">
      <w:pPr>
        <w:pStyle w:val="BodyText"/>
        <w:rPr>
          <w:rFonts w:asciiTheme="minorHAnsi" w:hAnsiTheme="minorHAnsi" w:cstheme="minorHAnsi"/>
          <w:sz w:val="24"/>
          <w:szCs w:val="24"/>
        </w:rPr>
      </w:pPr>
    </w:p>
    <w:p w14:paraId="3B15DAFF" w14:textId="001F4585" w:rsidR="00EA2F58" w:rsidRDefault="00EA2F58" w:rsidP="00EA2F58">
      <w:pPr>
        <w:pStyle w:val="BodyText"/>
        <w:rPr>
          <w:rFonts w:asciiTheme="minorHAnsi" w:hAnsiTheme="minorHAnsi" w:cstheme="minorHAnsi"/>
          <w:sz w:val="24"/>
          <w:szCs w:val="24"/>
        </w:rPr>
      </w:pPr>
      <w:r w:rsidRPr="00EA2F58">
        <w:rPr>
          <w:rFonts w:asciiTheme="minorHAnsi" w:hAnsiTheme="minorHAnsi" w:cstheme="minorHAnsi"/>
          <w:sz w:val="24"/>
          <w:szCs w:val="24"/>
        </w:rPr>
        <w:t xml:space="preserve">The Applicant asserts the Proposed Project will address the need within the Merrimack Valley </w:t>
      </w:r>
      <w:r>
        <w:rPr>
          <w:rFonts w:asciiTheme="minorHAnsi" w:hAnsiTheme="minorHAnsi" w:cstheme="minorHAnsi"/>
          <w:sz w:val="24"/>
          <w:szCs w:val="24"/>
        </w:rPr>
        <w:t>to</w:t>
      </w:r>
      <w:r w:rsidRPr="00EA2F58">
        <w:rPr>
          <w:rFonts w:asciiTheme="minorHAnsi" w:hAnsiTheme="minorHAnsi" w:cstheme="minorHAnsi"/>
          <w:sz w:val="24"/>
          <w:szCs w:val="24"/>
        </w:rPr>
        <w:t xml:space="preserve"> strengthen the delivery of health care services while also strategically reviewing ways to promote efficiencies and innovation within critical hospital based ancillary services. </w:t>
      </w:r>
    </w:p>
    <w:p w14:paraId="0E89F1F0" w14:textId="77777777" w:rsidR="00EA2F58" w:rsidRPr="00EA2F58" w:rsidRDefault="00EA2F58" w:rsidP="00EA2F58">
      <w:pPr>
        <w:pStyle w:val="BodyText"/>
        <w:rPr>
          <w:rFonts w:asciiTheme="minorHAnsi" w:hAnsiTheme="minorHAnsi" w:cstheme="minorHAnsi"/>
          <w:sz w:val="24"/>
          <w:szCs w:val="24"/>
        </w:rPr>
      </w:pPr>
    </w:p>
    <w:p w14:paraId="507F4014" w14:textId="06F2B05A" w:rsidR="00EA2F58" w:rsidRDefault="00EA2F58" w:rsidP="00EA2F58">
      <w:pPr>
        <w:pStyle w:val="BodyText"/>
        <w:rPr>
          <w:rFonts w:asciiTheme="minorHAnsi" w:hAnsiTheme="minorHAnsi" w:cstheme="minorHAnsi"/>
          <w:sz w:val="24"/>
          <w:szCs w:val="24"/>
        </w:rPr>
      </w:pPr>
      <w:r w:rsidRPr="00EA2F58">
        <w:rPr>
          <w:rFonts w:asciiTheme="minorHAnsi" w:hAnsiTheme="minorHAnsi" w:cstheme="minorHAnsi"/>
          <w:sz w:val="24"/>
          <w:szCs w:val="24"/>
        </w:rPr>
        <w:t xml:space="preserve">Access to local care is important to low-income patients, because these patients may not have the financial resources or access to transportation to travel to Boston or elsewhere for services.  This acquisition will allow more patient care to remain in the local community and enable currently unmet needs for more convenient, high quality, specialty care to be addressed in the community whereas the Applicant states Steward often sent critical and high acuity patients to Boston or other locations outside of the Merrimack Valley. When care goes out of the Merrimack Valley, the care </w:t>
      </w:r>
      <w:r w:rsidRPr="00EA2F58">
        <w:rPr>
          <w:rFonts w:asciiTheme="minorHAnsi" w:hAnsiTheme="minorHAnsi" w:cstheme="minorHAnsi"/>
          <w:sz w:val="24"/>
          <w:szCs w:val="24"/>
        </w:rPr>
        <w:lastRenderedPageBreak/>
        <w:t xml:space="preserve">becomes fragmented, communication becomes difficult, information can be lost, and utilization is often increased unnecessarily (e.g., duplication of tests). By keeping care at LGH and HFH, patients in the community will be able to receive convenient, high-quality care and the combined regional system will be able to keep total medical expenses low thereby not adversely impacting total medical expenses or competition. </w:t>
      </w:r>
    </w:p>
    <w:p w14:paraId="62F3C02C" w14:textId="275A82C1" w:rsidR="00EC3FBD" w:rsidRPr="00EA2F58" w:rsidRDefault="00EC3FBD" w:rsidP="78C7AD39">
      <w:pPr>
        <w:pStyle w:val="BodyText"/>
        <w:rPr>
          <w:rFonts w:asciiTheme="minorHAnsi" w:hAnsiTheme="minorHAnsi" w:cstheme="minorBidi"/>
          <w:sz w:val="24"/>
          <w:szCs w:val="24"/>
        </w:rPr>
      </w:pPr>
    </w:p>
    <w:p w14:paraId="2233B6AD" w14:textId="5682A1B1" w:rsidR="00EC3FBD" w:rsidRPr="00EA2F58" w:rsidRDefault="00EA2F58" w:rsidP="78C7AD39">
      <w:pPr>
        <w:pStyle w:val="BodyText"/>
        <w:rPr>
          <w:rFonts w:asciiTheme="minorHAnsi" w:hAnsiTheme="minorHAnsi" w:cstheme="minorBidi"/>
          <w:sz w:val="24"/>
          <w:szCs w:val="24"/>
        </w:rPr>
      </w:pPr>
      <w:r w:rsidRPr="78C7AD39">
        <w:rPr>
          <w:rFonts w:asciiTheme="minorHAnsi" w:hAnsiTheme="minorHAnsi" w:cstheme="minorBidi"/>
          <w:sz w:val="24"/>
          <w:szCs w:val="24"/>
        </w:rPr>
        <w:t xml:space="preserve">Through the Proposed Project, the facilities will coordinate financial, management, administrative resources, and community-based expertise to help the hospitals to operate as financially sustainable, community resources that provide a full spectrum of inpatient and outpatient services - a critical factor in delivering high quality, care in the Merrimack Valley.  Thus, the acquisition directly addresses a fundamental public health need to make high-quality care accessible in the local community. </w:t>
      </w:r>
    </w:p>
    <w:p w14:paraId="6D9CD17E" w14:textId="34F3DED8" w:rsidR="00EA2F58" w:rsidRPr="00EA2F58" w:rsidRDefault="00EA2F58" w:rsidP="00EA2F58">
      <w:pPr>
        <w:pStyle w:val="BodyText"/>
        <w:rPr>
          <w:rFonts w:asciiTheme="minorHAnsi" w:hAnsiTheme="minorHAnsi" w:cstheme="minorHAnsi"/>
          <w:sz w:val="24"/>
          <w:szCs w:val="24"/>
        </w:rPr>
      </w:pPr>
    </w:p>
    <w:p w14:paraId="6C9C0F66" w14:textId="3C60F8C4" w:rsidR="00EA2F58" w:rsidRDefault="00EA2F58" w:rsidP="78C7AD39">
      <w:pPr>
        <w:pStyle w:val="BodyText"/>
        <w:rPr>
          <w:rFonts w:asciiTheme="minorHAnsi" w:hAnsiTheme="minorHAnsi" w:cstheme="minorBidi"/>
          <w:sz w:val="24"/>
          <w:szCs w:val="24"/>
        </w:rPr>
      </w:pPr>
      <w:r w:rsidRPr="2A94D317">
        <w:rPr>
          <w:rFonts w:asciiTheme="minorHAnsi" w:hAnsiTheme="minorHAnsi" w:cstheme="minorBidi"/>
          <w:sz w:val="24"/>
          <w:szCs w:val="24"/>
        </w:rPr>
        <w:t>Through a newly formed regional collaborative with the Executive Office and Health and Human Services (EOHHS), LGH</w:t>
      </w:r>
      <w:r w:rsidR="001140E3">
        <w:rPr>
          <w:rFonts w:asciiTheme="minorHAnsi" w:hAnsiTheme="minorHAnsi" w:cstheme="minorBidi"/>
          <w:sz w:val="24"/>
          <w:szCs w:val="24"/>
        </w:rPr>
        <w:t>,</w:t>
      </w:r>
      <w:r w:rsidRPr="2A94D317">
        <w:rPr>
          <w:rFonts w:asciiTheme="minorHAnsi" w:hAnsiTheme="minorHAnsi" w:cstheme="minorBidi"/>
          <w:sz w:val="24"/>
          <w:szCs w:val="24"/>
        </w:rPr>
        <w:t xml:space="preserve"> along with HFH and other local providers, will </w:t>
      </w:r>
      <w:r w:rsidR="5118B013" w:rsidRPr="2A94D317">
        <w:rPr>
          <w:rFonts w:asciiTheme="minorHAnsi" w:hAnsiTheme="minorHAnsi" w:cstheme="minorBidi"/>
          <w:sz w:val="24"/>
          <w:szCs w:val="24"/>
        </w:rPr>
        <w:t xml:space="preserve">work to </w:t>
      </w:r>
      <w:r w:rsidRPr="2A94D317">
        <w:rPr>
          <w:rFonts w:asciiTheme="minorHAnsi" w:hAnsiTheme="minorHAnsi" w:cstheme="minorBidi"/>
          <w:sz w:val="24"/>
          <w:szCs w:val="24"/>
        </w:rPr>
        <w:t>reorgan</w:t>
      </w:r>
      <w:r w:rsidR="048F8798" w:rsidRPr="2A94D317">
        <w:rPr>
          <w:rFonts w:asciiTheme="minorHAnsi" w:hAnsiTheme="minorHAnsi" w:cstheme="minorBidi"/>
          <w:sz w:val="24"/>
          <w:szCs w:val="24"/>
        </w:rPr>
        <w:t>ize</w:t>
      </w:r>
      <w:r w:rsidRPr="2A94D317">
        <w:rPr>
          <w:rFonts w:asciiTheme="minorHAnsi" w:hAnsiTheme="minorHAnsi" w:cstheme="minorBidi"/>
          <w:sz w:val="24"/>
          <w:szCs w:val="24"/>
        </w:rPr>
        <w:t xml:space="preserve"> healthcare delivery </w:t>
      </w:r>
      <w:r w:rsidR="5A6A9AC5" w:rsidRPr="2A94D317">
        <w:rPr>
          <w:rFonts w:asciiTheme="minorHAnsi" w:hAnsiTheme="minorHAnsi" w:cstheme="minorBidi"/>
          <w:sz w:val="24"/>
          <w:szCs w:val="24"/>
        </w:rPr>
        <w:t xml:space="preserve">and </w:t>
      </w:r>
      <w:r w:rsidRPr="2A94D317">
        <w:rPr>
          <w:rFonts w:asciiTheme="minorHAnsi" w:hAnsiTheme="minorHAnsi" w:cstheme="minorBidi"/>
          <w:sz w:val="24"/>
          <w:szCs w:val="24"/>
        </w:rPr>
        <w:t>services in the Merrimack Valley. The strategic plan is to improve management of patient care across a continuum of inpatient, acute care to post-acute</w:t>
      </w:r>
      <w:r w:rsidR="001140E3">
        <w:rPr>
          <w:rFonts w:asciiTheme="minorHAnsi" w:hAnsiTheme="minorHAnsi" w:cstheme="minorBidi"/>
          <w:sz w:val="24"/>
          <w:szCs w:val="24"/>
        </w:rPr>
        <w:t xml:space="preserve"> care</w:t>
      </w:r>
      <w:r w:rsidRPr="2A94D317">
        <w:rPr>
          <w:rFonts w:asciiTheme="minorHAnsi" w:hAnsiTheme="minorHAnsi" w:cstheme="minorBidi"/>
          <w:sz w:val="24"/>
          <w:szCs w:val="24"/>
        </w:rPr>
        <w:t xml:space="preserve">, and ambulatory care by keeping patients within the overall provider networks of the Merrimack Valley. </w:t>
      </w:r>
    </w:p>
    <w:p w14:paraId="4849D990" w14:textId="7F83568B" w:rsidR="00EA2F58" w:rsidRPr="00EA2F58" w:rsidRDefault="00EA2F58" w:rsidP="00EA2F58">
      <w:pPr>
        <w:pStyle w:val="BodyText"/>
        <w:rPr>
          <w:rFonts w:asciiTheme="minorHAnsi" w:hAnsiTheme="minorHAnsi" w:cstheme="minorHAnsi"/>
          <w:sz w:val="24"/>
          <w:szCs w:val="24"/>
        </w:rPr>
      </w:pPr>
      <w:r w:rsidRPr="00EA2F58">
        <w:rPr>
          <w:rFonts w:asciiTheme="minorHAnsi" w:hAnsiTheme="minorHAnsi" w:cstheme="minorHAnsi"/>
          <w:sz w:val="24"/>
          <w:szCs w:val="24"/>
        </w:rPr>
        <w:t xml:space="preserve"> </w:t>
      </w:r>
    </w:p>
    <w:p w14:paraId="7E631B28" w14:textId="5B2D9B5E" w:rsidR="00EA2F58" w:rsidRDefault="00EA2F58" w:rsidP="00EA2F58">
      <w:pPr>
        <w:pStyle w:val="BodyText"/>
        <w:rPr>
          <w:rFonts w:asciiTheme="minorHAnsi" w:hAnsiTheme="minorHAnsi" w:cstheme="minorHAnsi"/>
          <w:sz w:val="24"/>
          <w:szCs w:val="24"/>
        </w:rPr>
      </w:pPr>
      <w:r w:rsidRPr="00EA2F58">
        <w:rPr>
          <w:rFonts w:asciiTheme="minorHAnsi" w:hAnsiTheme="minorHAnsi" w:cstheme="minorHAnsi"/>
          <w:sz w:val="24"/>
          <w:szCs w:val="24"/>
        </w:rPr>
        <w:t>The Applicant asserts without developing a true system of care, LGH and HFH individually would have needed to consider reductions in services, thereby reducing access, du</w:t>
      </w:r>
      <w:r w:rsidR="001140E3">
        <w:rPr>
          <w:rFonts w:asciiTheme="minorHAnsi" w:hAnsiTheme="minorHAnsi" w:cstheme="minorHAnsi"/>
          <w:sz w:val="24"/>
          <w:szCs w:val="24"/>
        </w:rPr>
        <w:t>e</w:t>
      </w:r>
      <w:r w:rsidRPr="00EA2F58">
        <w:rPr>
          <w:rFonts w:asciiTheme="minorHAnsi" w:hAnsiTheme="minorHAnsi" w:cstheme="minorHAnsi"/>
          <w:sz w:val="24"/>
          <w:szCs w:val="24"/>
        </w:rPr>
        <w:t xml:space="preserve"> to insufficient funds. Through the acquisition, a new coordinated system of care</w:t>
      </w:r>
      <w:r w:rsidR="00692355">
        <w:rPr>
          <w:rFonts w:asciiTheme="minorHAnsi" w:hAnsiTheme="minorHAnsi" w:cstheme="minorHAnsi"/>
          <w:sz w:val="24"/>
          <w:szCs w:val="24"/>
        </w:rPr>
        <w:t xml:space="preserve"> intends to</w:t>
      </w:r>
      <w:r w:rsidR="001140E3" w:rsidRPr="00EA2F58">
        <w:rPr>
          <w:rFonts w:asciiTheme="minorHAnsi" w:hAnsiTheme="minorHAnsi" w:cstheme="minorHAnsi"/>
          <w:sz w:val="24"/>
          <w:szCs w:val="24"/>
        </w:rPr>
        <w:t xml:space="preserve"> </w:t>
      </w:r>
      <w:r w:rsidRPr="00EA2F58">
        <w:rPr>
          <w:rFonts w:asciiTheme="minorHAnsi" w:hAnsiTheme="minorHAnsi" w:cstheme="minorHAnsi"/>
          <w:sz w:val="24"/>
          <w:szCs w:val="24"/>
        </w:rPr>
        <w:t xml:space="preserve">improve access to necessary medical care and have a positive overall impact on the health of the Merrimack Valley.  </w:t>
      </w:r>
    </w:p>
    <w:p w14:paraId="2921D01C" w14:textId="77777777" w:rsidR="003F27D1" w:rsidRDefault="003F27D1" w:rsidP="001B72DB">
      <w:pPr>
        <w:pStyle w:val="BodyText"/>
        <w:rPr>
          <w:rFonts w:asciiTheme="minorHAnsi" w:hAnsiTheme="minorHAnsi" w:cstheme="minorHAnsi"/>
          <w:sz w:val="24"/>
          <w:szCs w:val="24"/>
        </w:rPr>
      </w:pPr>
    </w:p>
    <w:p w14:paraId="0D95A17A" w14:textId="7FBCE45D" w:rsidR="00417E8F" w:rsidRDefault="00417E8F" w:rsidP="00387952">
      <w:pPr>
        <w:pStyle w:val="BodyText"/>
        <w:rPr>
          <w:rFonts w:asciiTheme="minorHAnsi" w:hAnsiTheme="minorHAnsi" w:cstheme="minorHAnsi"/>
          <w:sz w:val="24"/>
          <w:szCs w:val="24"/>
        </w:rPr>
      </w:pPr>
    </w:p>
    <w:p w14:paraId="545143A2" w14:textId="250D07D2" w:rsidR="00C07147" w:rsidRDefault="00C07147" w:rsidP="001B72DB">
      <w:pPr>
        <w:pStyle w:val="BodyText"/>
        <w:rPr>
          <w:rFonts w:asciiTheme="minorHAnsi" w:hAnsiTheme="minorHAnsi" w:cstheme="minorHAnsi"/>
          <w:b/>
          <w:bCs/>
          <w:sz w:val="24"/>
          <w:szCs w:val="24"/>
        </w:rPr>
      </w:pPr>
      <w:r w:rsidRPr="00B76DED">
        <w:rPr>
          <w:rFonts w:asciiTheme="minorHAnsi" w:hAnsiTheme="minorHAnsi" w:cstheme="minorHAnsi"/>
          <w:b/>
          <w:bCs/>
          <w:sz w:val="24"/>
          <w:szCs w:val="24"/>
        </w:rPr>
        <w:t>Staff Analysis</w:t>
      </w:r>
    </w:p>
    <w:p w14:paraId="765DB1B5" w14:textId="77777777" w:rsidR="00D613BD" w:rsidRDefault="00D613BD" w:rsidP="00127D0A">
      <w:pPr>
        <w:pStyle w:val="BodyText"/>
        <w:rPr>
          <w:rFonts w:asciiTheme="minorHAnsi" w:hAnsiTheme="minorHAnsi" w:cstheme="minorHAnsi"/>
          <w:sz w:val="24"/>
          <w:szCs w:val="24"/>
        </w:rPr>
      </w:pPr>
    </w:p>
    <w:p w14:paraId="0B1CC3D1" w14:textId="596BF692" w:rsidR="00F35D7B" w:rsidRDefault="00685A47" w:rsidP="78C7AD39">
      <w:pPr>
        <w:pStyle w:val="BodyText"/>
        <w:rPr>
          <w:color w:val="000000" w:themeColor="text1"/>
          <w:sz w:val="24"/>
          <w:szCs w:val="24"/>
        </w:rPr>
      </w:pPr>
      <w:r w:rsidRPr="78C7AD39">
        <w:rPr>
          <w:rFonts w:asciiTheme="minorHAnsi" w:hAnsiTheme="minorHAnsi" w:cstheme="minorBidi"/>
          <w:sz w:val="24"/>
          <w:szCs w:val="24"/>
        </w:rPr>
        <w:t xml:space="preserve">Staff notes that </w:t>
      </w:r>
      <w:r w:rsidR="00A57222" w:rsidRPr="78C7AD39">
        <w:rPr>
          <w:rFonts w:asciiTheme="minorHAnsi" w:hAnsiTheme="minorHAnsi" w:cstheme="minorBidi"/>
          <w:sz w:val="24"/>
          <w:szCs w:val="24"/>
        </w:rPr>
        <w:t xml:space="preserve">the </w:t>
      </w:r>
      <w:r w:rsidR="00D859D8" w:rsidRPr="78C7AD39">
        <w:rPr>
          <w:rFonts w:asciiTheme="minorHAnsi" w:hAnsiTheme="minorHAnsi" w:cstheme="minorBidi"/>
          <w:sz w:val="24"/>
          <w:szCs w:val="24"/>
        </w:rPr>
        <w:t xml:space="preserve">dire financial situation </w:t>
      </w:r>
      <w:r w:rsidR="00F35D7B" w:rsidRPr="78C7AD39">
        <w:rPr>
          <w:rFonts w:asciiTheme="minorHAnsi" w:hAnsiTheme="minorHAnsi" w:cstheme="minorBidi"/>
          <w:sz w:val="24"/>
          <w:szCs w:val="24"/>
        </w:rPr>
        <w:t>resulting in</w:t>
      </w:r>
      <w:r w:rsidR="00D859D8" w:rsidRPr="78C7AD39">
        <w:rPr>
          <w:rFonts w:asciiTheme="minorHAnsi" w:hAnsiTheme="minorHAnsi" w:cstheme="minorBidi"/>
          <w:sz w:val="24"/>
          <w:szCs w:val="24"/>
        </w:rPr>
        <w:t xml:space="preserve"> the Steward bankruptcy is well documented and reported </w:t>
      </w:r>
      <w:r w:rsidR="00F35D7B" w:rsidRPr="78C7AD39">
        <w:rPr>
          <w:rFonts w:asciiTheme="minorHAnsi" w:hAnsiTheme="minorHAnsi" w:cstheme="minorBidi"/>
          <w:sz w:val="24"/>
          <w:szCs w:val="24"/>
        </w:rPr>
        <w:t>and has</w:t>
      </w:r>
      <w:r w:rsidR="00D859D8" w:rsidRPr="78C7AD39">
        <w:rPr>
          <w:rFonts w:asciiTheme="minorHAnsi" w:hAnsiTheme="minorHAnsi" w:cstheme="minorBidi"/>
          <w:sz w:val="24"/>
          <w:szCs w:val="24"/>
        </w:rPr>
        <w:t xml:space="preserve"> left </w:t>
      </w:r>
      <w:r w:rsidR="00380E26" w:rsidRPr="78C7AD39">
        <w:rPr>
          <w:rFonts w:asciiTheme="minorHAnsi" w:hAnsiTheme="minorHAnsi" w:cstheme="minorBidi"/>
          <w:sz w:val="24"/>
          <w:szCs w:val="24"/>
        </w:rPr>
        <w:t xml:space="preserve">Holy Family </w:t>
      </w:r>
      <w:r w:rsidR="00D859D8" w:rsidRPr="78C7AD39">
        <w:rPr>
          <w:rFonts w:asciiTheme="minorHAnsi" w:hAnsiTheme="minorHAnsi" w:cstheme="minorBidi"/>
          <w:sz w:val="24"/>
          <w:szCs w:val="24"/>
        </w:rPr>
        <w:t xml:space="preserve">in a situation where </w:t>
      </w:r>
      <w:r w:rsidR="00F35D7B" w:rsidRPr="78C7AD39">
        <w:rPr>
          <w:rFonts w:asciiTheme="minorHAnsi" w:hAnsiTheme="minorHAnsi" w:cstheme="minorBidi"/>
          <w:sz w:val="24"/>
          <w:szCs w:val="24"/>
        </w:rPr>
        <w:t>i</w:t>
      </w:r>
      <w:r w:rsidR="00D859D8" w:rsidRPr="78C7AD39">
        <w:rPr>
          <w:rFonts w:asciiTheme="minorHAnsi" w:hAnsiTheme="minorHAnsi" w:cstheme="minorBidi"/>
          <w:sz w:val="24"/>
          <w:szCs w:val="24"/>
        </w:rPr>
        <w:t>t</w:t>
      </w:r>
      <w:r w:rsidR="00F35D7B" w:rsidRPr="78C7AD39">
        <w:rPr>
          <w:rFonts w:asciiTheme="minorHAnsi" w:hAnsiTheme="minorHAnsi" w:cstheme="minorBidi"/>
          <w:sz w:val="24"/>
          <w:szCs w:val="24"/>
        </w:rPr>
        <w:t xml:space="preserve"> </w:t>
      </w:r>
      <w:r w:rsidR="00D859D8" w:rsidRPr="78C7AD39">
        <w:rPr>
          <w:rFonts w:asciiTheme="minorHAnsi" w:hAnsiTheme="minorHAnsi" w:cstheme="minorBidi"/>
          <w:sz w:val="24"/>
          <w:szCs w:val="24"/>
        </w:rPr>
        <w:t>ha</w:t>
      </w:r>
      <w:r w:rsidR="00F35D7B" w:rsidRPr="78C7AD39">
        <w:rPr>
          <w:rFonts w:asciiTheme="minorHAnsi" w:hAnsiTheme="minorHAnsi" w:cstheme="minorBidi"/>
          <w:sz w:val="24"/>
          <w:szCs w:val="24"/>
        </w:rPr>
        <w:t>s</w:t>
      </w:r>
      <w:r w:rsidR="00D859D8" w:rsidRPr="78C7AD39">
        <w:rPr>
          <w:rFonts w:asciiTheme="minorHAnsi" w:hAnsiTheme="minorHAnsi" w:cstheme="minorBidi"/>
          <w:sz w:val="24"/>
          <w:szCs w:val="24"/>
        </w:rPr>
        <w:t xml:space="preserve"> been under financial constraints leading to underinvestment in </w:t>
      </w:r>
      <w:r w:rsidR="00F35D7B" w:rsidRPr="78C7AD39">
        <w:rPr>
          <w:rFonts w:asciiTheme="minorHAnsi" w:hAnsiTheme="minorHAnsi" w:cstheme="minorBidi"/>
          <w:sz w:val="24"/>
          <w:szCs w:val="24"/>
        </w:rPr>
        <w:t>infrastructure</w:t>
      </w:r>
      <w:r w:rsidR="00D859D8" w:rsidRPr="78C7AD39">
        <w:rPr>
          <w:rFonts w:asciiTheme="minorHAnsi" w:hAnsiTheme="minorHAnsi" w:cstheme="minorBidi"/>
          <w:sz w:val="24"/>
          <w:szCs w:val="24"/>
        </w:rPr>
        <w:t xml:space="preserve"> and </w:t>
      </w:r>
      <w:r w:rsidR="00071B82" w:rsidRPr="78C7AD39">
        <w:rPr>
          <w:rFonts w:asciiTheme="minorHAnsi" w:hAnsiTheme="minorHAnsi" w:cstheme="minorBidi"/>
          <w:sz w:val="24"/>
          <w:szCs w:val="24"/>
        </w:rPr>
        <w:t xml:space="preserve">operations. The Applicant </w:t>
      </w:r>
      <w:r w:rsidR="026F3BED" w:rsidRPr="78C7AD39">
        <w:rPr>
          <w:rFonts w:asciiTheme="minorHAnsi" w:hAnsiTheme="minorHAnsi" w:cstheme="minorBidi"/>
          <w:sz w:val="24"/>
          <w:szCs w:val="24"/>
        </w:rPr>
        <w:t xml:space="preserve">reports that it </w:t>
      </w:r>
      <w:r w:rsidR="00071B82" w:rsidRPr="78C7AD39">
        <w:rPr>
          <w:rFonts w:asciiTheme="minorHAnsi" w:hAnsiTheme="minorHAnsi" w:cstheme="minorBidi"/>
          <w:sz w:val="24"/>
          <w:szCs w:val="24"/>
        </w:rPr>
        <w:t xml:space="preserve">does not have full access as to the extent of the damage caused by the current </w:t>
      </w:r>
      <w:r w:rsidR="00F35D7B" w:rsidRPr="78C7AD39">
        <w:rPr>
          <w:rFonts w:asciiTheme="minorHAnsi" w:hAnsiTheme="minorHAnsi" w:cstheme="minorBidi"/>
          <w:sz w:val="24"/>
          <w:szCs w:val="24"/>
        </w:rPr>
        <w:t>situation or what resources will be needed to bring it back to a fully functioning healthy entity</w:t>
      </w:r>
      <w:r w:rsidR="00071B82" w:rsidRPr="78C7AD39">
        <w:rPr>
          <w:rFonts w:asciiTheme="minorHAnsi" w:hAnsiTheme="minorHAnsi" w:cstheme="minorBidi"/>
          <w:sz w:val="24"/>
          <w:szCs w:val="24"/>
        </w:rPr>
        <w:t xml:space="preserve">. </w:t>
      </w:r>
      <w:r w:rsidR="179EEB69" w:rsidRPr="78C7AD39">
        <w:rPr>
          <w:color w:val="000000" w:themeColor="text1"/>
          <w:sz w:val="24"/>
          <w:szCs w:val="24"/>
        </w:rPr>
        <w:t>(Staff recommends annual reporting on the Status of the facility in Other Conditions.)</w:t>
      </w:r>
    </w:p>
    <w:p w14:paraId="25E8D36E" w14:textId="3B731ABC" w:rsidR="002433DF" w:rsidRDefault="002433DF" w:rsidP="78C7AD39">
      <w:pPr>
        <w:pStyle w:val="BodyText"/>
        <w:rPr>
          <w:color w:val="000000" w:themeColor="text1"/>
          <w:sz w:val="24"/>
          <w:szCs w:val="24"/>
        </w:rPr>
      </w:pPr>
    </w:p>
    <w:p w14:paraId="5942FD80" w14:textId="52310C8E" w:rsidR="00050859" w:rsidRDefault="56C8A800" w:rsidP="00050859">
      <w:pPr>
        <w:pStyle w:val="BodyText"/>
        <w:rPr>
          <w:color w:val="000000" w:themeColor="text1"/>
          <w:sz w:val="24"/>
          <w:szCs w:val="24"/>
        </w:rPr>
      </w:pPr>
      <w:r w:rsidRPr="1CDA31B1">
        <w:rPr>
          <w:color w:val="000000" w:themeColor="text1"/>
          <w:sz w:val="24"/>
          <w:szCs w:val="24"/>
        </w:rPr>
        <w:t xml:space="preserve">In the service area of Lawrence General there are </w:t>
      </w:r>
      <w:r w:rsidR="12305E54" w:rsidRPr="1CDA31B1">
        <w:rPr>
          <w:color w:val="000000" w:themeColor="text1"/>
          <w:sz w:val="24"/>
          <w:szCs w:val="24"/>
        </w:rPr>
        <w:t>five</w:t>
      </w:r>
      <w:r w:rsidRPr="1CDA31B1">
        <w:rPr>
          <w:color w:val="000000" w:themeColor="text1"/>
          <w:sz w:val="24"/>
          <w:szCs w:val="24"/>
        </w:rPr>
        <w:t xml:space="preserve"> total hospitals (</w:t>
      </w:r>
      <w:r w:rsidR="277B7731" w:rsidRPr="1CDA31B1">
        <w:rPr>
          <w:color w:val="000000" w:themeColor="text1"/>
          <w:sz w:val="24"/>
          <w:szCs w:val="24"/>
        </w:rPr>
        <w:t>Lawrence General Hospital, Holy Family Hospital – Methuen, Holy Family Hospital – Haverhill, Anna Jacques Hospital, and Lowell General Hospital</w:t>
      </w:r>
      <w:r w:rsidRPr="1CDA31B1">
        <w:rPr>
          <w:color w:val="000000" w:themeColor="text1"/>
          <w:sz w:val="24"/>
          <w:szCs w:val="24"/>
        </w:rPr>
        <w:t xml:space="preserve">) with a total of 523 licensed beds. </w:t>
      </w:r>
      <w:r w:rsidR="7AF692AA" w:rsidRPr="1CDA31B1">
        <w:rPr>
          <w:color w:val="000000" w:themeColor="text1"/>
          <w:sz w:val="24"/>
          <w:szCs w:val="24"/>
        </w:rPr>
        <w:t xml:space="preserve">All hospitals are struggling to staff all licensed </w:t>
      </w:r>
      <w:r w:rsidR="29612AB6" w:rsidRPr="1CDA31B1">
        <w:rPr>
          <w:color w:val="000000" w:themeColor="text1"/>
          <w:sz w:val="24"/>
          <w:szCs w:val="24"/>
        </w:rPr>
        <w:t>beds; about</w:t>
      </w:r>
      <w:r w:rsidRPr="1CDA31B1">
        <w:rPr>
          <w:color w:val="000000" w:themeColor="text1"/>
          <w:sz w:val="24"/>
          <w:szCs w:val="24"/>
        </w:rPr>
        <w:t xml:space="preserve"> 25% of beds</w:t>
      </w:r>
      <w:r w:rsidR="6256DFD1" w:rsidRPr="1CDA31B1">
        <w:rPr>
          <w:color w:val="000000" w:themeColor="text1"/>
          <w:sz w:val="24"/>
          <w:szCs w:val="24"/>
        </w:rPr>
        <w:t xml:space="preserve">, across the hospitals, </w:t>
      </w:r>
      <w:r w:rsidRPr="1CDA31B1">
        <w:rPr>
          <w:color w:val="000000" w:themeColor="text1"/>
          <w:sz w:val="24"/>
          <w:szCs w:val="24"/>
        </w:rPr>
        <w:t xml:space="preserve">are not fully staffed. </w:t>
      </w:r>
      <w:r w:rsidR="29628338" w:rsidRPr="1CDA31B1">
        <w:rPr>
          <w:color w:val="000000" w:themeColor="text1"/>
          <w:sz w:val="24"/>
          <w:szCs w:val="24"/>
        </w:rPr>
        <w:t xml:space="preserve">Using </w:t>
      </w:r>
      <w:r w:rsidR="5C8DB3BA" w:rsidRPr="1CDA31B1">
        <w:rPr>
          <w:color w:val="000000" w:themeColor="text1"/>
          <w:sz w:val="24"/>
          <w:szCs w:val="24"/>
        </w:rPr>
        <w:t>licensed</w:t>
      </w:r>
      <w:r w:rsidR="29628338" w:rsidRPr="1CDA31B1">
        <w:rPr>
          <w:color w:val="000000" w:themeColor="text1"/>
          <w:sz w:val="24"/>
          <w:szCs w:val="24"/>
        </w:rPr>
        <w:t xml:space="preserve"> beds to define occupancy rates, rates </w:t>
      </w:r>
      <w:r w:rsidRPr="1CDA31B1">
        <w:rPr>
          <w:color w:val="000000" w:themeColor="text1"/>
          <w:sz w:val="24"/>
          <w:szCs w:val="24"/>
        </w:rPr>
        <w:t>range from 20%</w:t>
      </w:r>
      <w:r w:rsidR="7692460A" w:rsidRPr="1CDA31B1">
        <w:rPr>
          <w:color w:val="000000" w:themeColor="text1"/>
          <w:sz w:val="24"/>
          <w:szCs w:val="24"/>
        </w:rPr>
        <w:t xml:space="preserve"> </w:t>
      </w:r>
      <w:r w:rsidRPr="1CDA31B1">
        <w:rPr>
          <w:color w:val="000000" w:themeColor="text1"/>
          <w:sz w:val="24"/>
          <w:szCs w:val="24"/>
        </w:rPr>
        <w:t>(Holy Family</w:t>
      </w:r>
      <w:r w:rsidR="0E404107" w:rsidRPr="1CDA31B1">
        <w:rPr>
          <w:color w:val="000000" w:themeColor="text1"/>
          <w:sz w:val="24"/>
          <w:szCs w:val="24"/>
        </w:rPr>
        <w:t xml:space="preserve"> Hospital -</w:t>
      </w:r>
      <w:r w:rsidRPr="1CDA31B1">
        <w:rPr>
          <w:color w:val="000000" w:themeColor="text1"/>
          <w:sz w:val="24"/>
          <w:szCs w:val="24"/>
        </w:rPr>
        <w:t xml:space="preserve"> Methuen) to 93% (Lowell General</w:t>
      </w:r>
      <w:r w:rsidR="16252F8B" w:rsidRPr="1CDA31B1">
        <w:rPr>
          <w:color w:val="000000" w:themeColor="text1"/>
          <w:sz w:val="24"/>
          <w:szCs w:val="24"/>
        </w:rPr>
        <w:t xml:space="preserve"> Hospital</w:t>
      </w:r>
      <w:r w:rsidRPr="1CDA31B1">
        <w:rPr>
          <w:color w:val="000000" w:themeColor="text1"/>
          <w:sz w:val="24"/>
          <w:szCs w:val="24"/>
        </w:rPr>
        <w:t>)</w:t>
      </w:r>
      <w:r w:rsidR="079E91DA" w:rsidRPr="1CDA31B1">
        <w:rPr>
          <w:color w:val="000000" w:themeColor="text1"/>
          <w:sz w:val="24"/>
          <w:szCs w:val="24"/>
        </w:rPr>
        <w:t>.</w:t>
      </w:r>
      <w:r w:rsidRPr="1CDA31B1">
        <w:rPr>
          <w:color w:val="000000" w:themeColor="text1"/>
          <w:sz w:val="24"/>
          <w:szCs w:val="24"/>
        </w:rPr>
        <w:t xml:space="preserve"> The </w:t>
      </w:r>
      <w:r w:rsidR="406736D0" w:rsidRPr="1CDA31B1">
        <w:rPr>
          <w:color w:val="000000" w:themeColor="text1"/>
          <w:sz w:val="24"/>
          <w:szCs w:val="24"/>
        </w:rPr>
        <w:t xml:space="preserve">two Holy Family </w:t>
      </w:r>
      <w:r w:rsidRPr="1CDA31B1">
        <w:rPr>
          <w:color w:val="000000" w:themeColor="text1"/>
          <w:sz w:val="24"/>
          <w:szCs w:val="24"/>
        </w:rPr>
        <w:t xml:space="preserve">campuses </w:t>
      </w:r>
      <w:r w:rsidR="406736D0" w:rsidRPr="1CDA31B1">
        <w:rPr>
          <w:color w:val="000000" w:themeColor="text1"/>
          <w:sz w:val="24"/>
          <w:szCs w:val="24"/>
        </w:rPr>
        <w:t>comprise</w:t>
      </w:r>
      <w:r w:rsidRPr="1CDA31B1">
        <w:rPr>
          <w:color w:val="000000" w:themeColor="text1"/>
          <w:sz w:val="24"/>
          <w:szCs w:val="24"/>
        </w:rPr>
        <w:t xml:space="preserve"> ~31% of the regional med/surg bed capacity and saw about 30% of the total </w:t>
      </w:r>
      <w:r w:rsidR="5947A4FE" w:rsidRPr="1CDA31B1">
        <w:rPr>
          <w:color w:val="000000" w:themeColor="text1"/>
          <w:sz w:val="24"/>
          <w:szCs w:val="24"/>
        </w:rPr>
        <w:t xml:space="preserve">ED </w:t>
      </w:r>
      <w:r w:rsidRPr="1CDA31B1">
        <w:rPr>
          <w:color w:val="000000" w:themeColor="text1"/>
          <w:sz w:val="24"/>
          <w:szCs w:val="24"/>
        </w:rPr>
        <w:t xml:space="preserve">visits. </w:t>
      </w:r>
      <w:r w:rsidR="534264F4" w:rsidRPr="1CDA31B1">
        <w:rPr>
          <w:color w:val="000000" w:themeColor="text1"/>
          <w:sz w:val="24"/>
          <w:szCs w:val="24"/>
        </w:rPr>
        <w:t>For this volume to be absorbed at the other three hospitals in the region (Lawrence General Hospital, Anna Jacques Hospital, Lowell General Hospital)</w:t>
      </w:r>
      <w:r w:rsidR="56A8DEDF" w:rsidRPr="1CDA31B1">
        <w:rPr>
          <w:color w:val="000000" w:themeColor="text1"/>
          <w:sz w:val="24"/>
          <w:szCs w:val="24"/>
        </w:rPr>
        <w:t xml:space="preserve"> ~167 </w:t>
      </w:r>
      <w:r w:rsidR="56DAC63A" w:rsidRPr="1CDA31B1">
        <w:rPr>
          <w:color w:val="000000" w:themeColor="text1"/>
          <w:sz w:val="24"/>
          <w:szCs w:val="24"/>
        </w:rPr>
        <w:t>beds</w:t>
      </w:r>
      <w:r w:rsidR="4B5B7B1F" w:rsidRPr="1CDA31B1">
        <w:rPr>
          <w:color w:val="000000" w:themeColor="text1"/>
          <w:sz w:val="24"/>
          <w:szCs w:val="24"/>
        </w:rPr>
        <w:t xml:space="preserve"> would be required.</w:t>
      </w:r>
      <w:r w:rsidR="56DAC63A" w:rsidRPr="1CDA31B1">
        <w:rPr>
          <w:color w:val="000000" w:themeColor="text1"/>
          <w:sz w:val="24"/>
          <w:szCs w:val="24"/>
        </w:rPr>
        <w:t xml:space="preserve"> </w:t>
      </w:r>
      <w:r w:rsidR="534264F4" w:rsidRPr="1CDA31B1">
        <w:rPr>
          <w:color w:val="000000" w:themeColor="text1"/>
          <w:sz w:val="24"/>
          <w:szCs w:val="24"/>
        </w:rPr>
        <w:t xml:space="preserve">Staff finds that there is not capacity to absorb this med/surg volume </w:t>
      </w:r>
      <w:r w:rsidR="534264F4" w:rsidRPr="1CDA31B1">
        <w:rPr>
          <w:color w:val="000000" w:themeColor="text1"/>
          <w:sz w:val="24"/>
          <w:szCs w:val="24"/>
        </w:rPr>
        <w:lastRenderedPageBreak/>
        <w:t>and ED capacity would be further strained</w:t>
      </w:r>
      <w:r w:rsidR="15D2C383" w:rsidRPr="1CDA31B1">
        <w:rPr>
          <w:color w:val="000000" w:themeColor="text1"/>
          <w:sz w:val="24"/>
          <w:szCs w:val="24"/>
        </w:rPr>
        <w:t xml:space="preserve"> if Holy Family Hospital were to close</w:t>
      </w:r>
      <w:r w:rsidR="534264F4" w:rsidRPr="1CDA31B1">
        <w:rPr>
          <w:color w:val="000000" w:themeColor="text1"/>
          <w:sz w:val="24"/>
          <w:szCs w:val="24"/>
        </w:rPr>
        <w:t>.</w:t>
      </w:r>
    </w:p>
    <w:p w14:paraId="4FC650FD" w14:textId="77777777" w:rsidR="001B5472" w:rsidRPr="00050859" w:rsidRDefault="001B5472" w:rsidP="00050859">
      <w:pPr>
        <w:pStyle w:val="BodyText"/>
        <w:rPr>
          <w:color w:val="000000" w:themeColor="text1"/>
          <w:sz w:val="24"/>
          <w:szCs w:val="24"/>
        </w:rPr>
      </w:pPr>
    </w:p>
    <w:tbl>
      <w:tblPr>
        <w:tblW w:w="10976" w:type="dxa"/>
        <w:tblLook w:val="04A0" w:firstRow="1" w:lastRow="0" w:firstColumn="1" w:lastColumn="0" w:noHBand="0" w:noVBand="1"/>
      </w:tblPr>
      <w:tblGrid>
        <w:gridCol w:w="1940"/>
        <w:gridCol w:w="1070"/>
        <w:gridCol w:w="1190"/>
        <w:gridCol w:w="1213"/>
        <w:gridCol w:w="1459"/>
        <w:gridCol w:w="1064"/>
        <w:gridCol w:w="1064"/>
        <w:gridCol w:w="996"/>
        <w:gridCol w:w="980"/>
      </w:tblGrid>
      <w:tr w:rsidR="007A02FB" w:rsidRPr="004D3658" w14:paraId="77D0322B" w14:textId="77777777" w:rsidTr="007A02FB">
        <w:trPr>
          <w:cantSplit/>
          <w:trHeight w:val="900"/>
          <w:tblHeader/>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E705D" w14:textId="77777777" w:rsidR="007A02FB" w:rsidRPr="004D3658" w:rsidRDefault="007A02FB" w:rsidP="007A02FB">
            <w:pPr>
              <w:widowControl/>
              <w:rPr>
                <w:rFonts w:ascii="Aptos Narrow" w:eastAsia="Times New Roman" w:hAnsi="Aptos Narrow" w:cs="Times New Roman"/>
                <w:b/>
                <w:bCs/>
                <w:color w:val="000000" w:themeColor="text1"/>
                <w:lang w:bidi="ar-SA"/>
              </w:rPr>
            </w:pPr>
            <w:r w:rsidRPr="062EB659">
              <w:rPr>
                <w:rFonts w:ascii="Aptos Narrow" w:eastAsia="Times New Roman" w:hAnsi="Aptos Narrow" w:cs="Times New Roman"/>
                <w:b/>
                <w:bCs/>
                <w:color w:val="000000" w:themeColor="text1"/>
                <w:lang w:bidi="ar-SA"/>
              </w:rPr>
              <w:t>Hospital</w:t>
            </w:r>
            <w:r>
              <w:rPr>
                <w:rStyle w:val="FootnoteReference"/>
                <w:rFonts w:ascii="Aptos Narrow" w:eastAsia="Times New Roman" w:hAnsi="Aptos Narrow" w:cs="Times New Roman"/>
                <w:b/>
                <w:bCs/>
                <w:color w:val="000000"/>
                <w:lang w:bidi="ar-SA"/>
              </w:rPr>
              <w:footnoteReference w:id="5"/>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79FB87D1" w14:textId="77777777" w:rsidR="007A02FB" w:rsidRPr="007A02FB" w:rsidRDefault="007A02FB" w:rsidP="007A02FB">
            <w:pPr>
              <w:widowControl/>
              <w:autoSpaceDE/>
              <w:autoSpaceDN/>
              <w:jc w:val="center"/>
              <w:rPr>
                <w:rFonts w:ascii="Aptos Narrow" w:eastAsia="Times New Roman" w:hAnsi="Aptos Narrow" w:cs="Times New Roman"/>
                <w:b/>
                <w:bCs/>
                <w:color w:val="000000"/>
                <w:sz w:val="20"/>
                <w:szCs w:val="20"/>
                <w:lang w:bidi="ar-SA"/>
              </w:rPr>
            </w:pPr>
            <w:r w:rsidRPr="007A02FB">
              <w:rPr>
                <w:rFonts w:ascii="Aptos Narrow" w:eastAsia="Times New Roman" w:hAnsi="Aptos Narrow" w:cs="Times New Roman"/>
                <w:b/>
                <w:bCs/>
                <w:color w:val="000000"/>
                <w:sz w:val="20"/>
                <w:szCs w:val="20"/>
                <w:lang w:bidi="ar-SA"/>
              </w:rPr>
              <w:t>ED Visits</w:t>
            </w:r>
          </w:p>
        </w:tc>
        <w:tc>
          <w:tcPr>
            <w:tcW w:w="1190" w:type="dxa"/>
            <w:tcBorders>
              <w:top w:val="single" w:sz="4" w:space="0" w:color="auto"/>
              <w:left w:val="nil"/>
              <w:bottom w:val="single" w:sz="4" w:space="0" w:color="auto"/>
              <w:right w:val="single" w:sz="4" w:space="0" w:color="auto"/>
            </w:tcBorders>
            <w:shd w:val="clear" w:color="auto" w:fill="auto"/>
            <w:vAlign w:val="bottom"/>
          </w:tcPr>
          <w:p w14:paraId="1BF965B2" w14:textId="245AD9F7" w:rsidR="007A02FB" w:rsidRPr="007A02FB" w:rsidRDefault="007A02FB" w:rsidP="007A02FB">
            <w:pPr>
              <w:widowControl/>
              <w:autoSpaceDE/>
              <w:autoSpaceDN/>
              <w:jc w:val="center"/>
              <w:rPr>
                <w:rFonts w:ascii="Aptos Narrow" w:eastAsia="Times New Roman" w:hAnsi="Aptos Narrow" w:cs="Times New Roman"/>
                <w:b/>
                <w:bCs/>
                <w:color w:val="000000"/>
                <w:sz w:val="20"/>
                <w:szCs w:val="20"/>
                <w:lang w:bidi="ar-SA"/>
              </w:rPr>
            </w:pPr>
            <w:r w:rsidRPr="007A02FB">
              <w:rPr>
                <w:rFonts w:ascii="Aptos Narrow" w:eastAsia="Times New Roman" w:hAnsi="Aptos Narrow" w:cs="Times New Roman"/>
                <w:b/>
                <w:bCs/>
                <w:color w:val="000000"/>
                <w:sz w:val="20"/>
                <w:szCs w:val="20"/>
                <w:lang w:bidi="ar-SA"/>
              </w:rPr>
              <w:t>ED Visits</w:t>
            </w:r>
          </w:p>
        </w:tc>
        <w:tc>
          <w:tcPr>
            <w:tcW w:w="1213" w:type="dxa"/>
            <w:tcBorders>
              <w:top w:val="single" w:sz="4" w:space="0" w:color="auto"/>
              <w:left w:val="nil"/>
              <w:bottom w:val="single" w:sz="4" w:space="0" w:color="auto"/>
              <w:right w:val="single" w:sz="4" w:space="0" w:color="auto"/>
            </w:tcBorders>
            <w:shd w:val="clear" w:color="auto" w:fill="auto"/>
            <w:vAlign w:val="bottom"/>
            <w:hideMark/>
          </w:tcPr>
          <w:p w14:paraId="07F39912" w14:textId="77777777" w:rsidR="007A02FB" w:rsidRPr="007A02FB" w:rsidRDefault="007A02FB" w:rsidP="007A02FB">
            <w:pPr>
              <w:widowControl/>
              <w:autoSpaceDE/>
              <w:autoSpaceDN/>
              <w:jc w:val="center"/>
              <w:rPr>
                <w:rFonts w:ascii="Aptos Narrow" w:eastAsia="Times New Roman" w:hAnsi="Aptos Narrow" w:cs="Times New Roman"/>
                <w:b/>
                <w:bCs/>
                <w:color w:val="000000"/>
                <w:sz w:val="16"/>
                <w:szCs w:val="16"/>
                <w:lang w:bidi="ar-SA"/>
              </w:rPr>
            </w:pPr>
            <w:r w:rsidRPr="007A02FB">
              <w:rPr>
                <w:rFonts w:ascii="Aptos Narrow" w:eastAsia="Times New Roman" w:hAnsi="Aptos Narrow" w:cs="Times New Roman"/>
                <w:b/>
                <w:bCs/>
                <w:color w:val="000000"/>
                <w:sz w:val="16"/>
                <w:szCs w:val="16"/>
                <w:lang w:bidi="ar-SA"/>
              </w:rPr>
              <w:t>med/surg occupancy rate (occupied/ licensed)</w:t>
            </w:r>
          </w:p>
        </w:tc>
        <w:tc>
          <w:tcPr>
            <w:tcW w:w="1459" w:type="dxa"/>
            <w:tcBorders>
              <w:top w:val="single" w:sz="4" w:space="0" w:color="auto"/>
              <w:left w:val="nil"/>
              <w:bottom w:val="single" w:sz="4" w:space="0" w:color="auto"/>
              <w:right w:val="single" w:sz="4" w:space="0" w:color="auto"/>
            </w:tcBorders>
            <w:shd w:val="clear" w:color="auto" w:fill="auto"/>
            <w:vAlign w:val="bottom"/>
          </w:tcPr>
          <w:p w14:paraId="49BF2332" w14:textId="7AA5A6AD" w:rsidR="007A02FB" w:rsidRPr="007A02FB" w:rsidRDefault="007A02FB" w:rsidP="007A02FB">
            <w:pPr>
              <w:widowControl/>
              <w:autoSpaceDE/>
              <w:autoSpaceDN/>
              <w:jc w:val="center"/>
              <w:rPr>
                <w:rFonts w:ascii="Aptos Narrow" w:eastAsia="Times New Roman" w:hAnsi="Aptos Narrow" w:cs="Times New Roman"/>
                <w:b/>
                <w:bCs/>
                <w:color w:val="000000"/>
                <w:sz w:val="16"/>
                <w:szCs w:val="16"/>
                <w:lang w:bidi="ar-SA"/>
              </w:rPr>
            </w:pPr>
            <w:r w:rsidRPr="007A02FB">
              <w:rPr>
                <w:rFonts w:ascii="Aptos Narrow" w:eastAsia="Times New Roman" w:hAnsi="Aptos Narrow" w:cs="Times New Roman"/>
                <w:b/>
                <w:bCs/>
                <w:color w:val="000000"/>
                <w:sz w:val="16"/>
                <w:szCs w:val="16"/>
                <w:lang w:bidi="ar-SA"/>
              </w:rPr>
              <w:t>med/surg occupancy rate (occupied/ licensed)</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5BBAAA2C" w14:textId="77777777" w:rsidR="007A02FB" w:rsidRPr="007A02FB" w:rsidRDefault="007A02FB" w:rsidP="007A02FB">
            <w:pPr>
              <w:widowControl/>
              <w:autoSpaceDE/>
              <w:autoSpaceDN/>
              <w:jc w:val="center"/>
              <w:rPr>
                <w:rFonts w:ascii="Aptos Narrow" w:eastAsia="Times New Roman" w:hAnsi="Aptos Narrow" w:cs="Times New Roman"/>
                <w:b/>
                <w:bCs/>
                <w:color w:val="000000"/>
                <w:sz w:val="20"/>
                <w:szCs w:val="20"/>
                <w:lang w:bidi="ar-SA"/>
              </w:rPr>
            </w:pPr>
            <w:r w:rsidRPr="007A02FB">
              <w:rPr>
                <w:rFonts w:ascii="Aptos Narrow" w:eastAsia="Times New Roman" w:hAnsi="Aptos Narrow" w:cs="Times New Roman"/>
                <w:b/>
                <w:bCs/>
                <w:color w:val="000000"/>
                <w:sz w:val="20"/>
                <w:szCs w:val="20"/>
                <w:lang w:bidi="ar-SA"/>
              </w:rPr>
              <w:t>occupied m/s beds</w:t>
            </w:r>
          </w:p>
        </w:tc>
        <w:tc>
          <w:tcPr>
            <w:tcW w:w="1064" w:type="dxa"/>
            <w:tcBorders>
              <w:top w:val="single" w:sz="4" w:space="0" w:color="auto"/>
              <w:left w:val="nil"/>
              <w:bottom w:val="single" w:sz="4" w:space="0" w:color="auto"/>
              <w:right w:val="single" w:sz="4" w:space="0" w:color="auto"/>
            </w:tcBorders>
            <w:shd w:val="clear" w:color="auto" w:fill="auto"/>
            <w:vAlign w:val="bottom"/>
          </w:tcPr>
          <w:p w14:paraId="44B62495" w14:textId="0A2F7EA9" w:rsidR="007A02FB" w:rsidRPr="007A02FB" w:rsidRDefault="007A02FB" w:rsidP="007A02FB">
            <w:pPr>
              <w:widowControl/>
              <w:autoSpaceDE/>
              <w:autoSpaceDN/>
              <w:jc w:val="center"/>
              <w:rPr>
                <w:rFonts w:ascii="Aptos Narrow" w:eastAsia="Times New Roman" w:hAnsi="Aptos Narrow" w:cs="Times New Roman"/>
                <w:b/>
                <w:bCs/>
                <w:color w:val="000000"/>
                <w:sz w:val="20"/>
                <w:szCs w:val="20"/>
                <w:lang w:bidi="ar-SA"/>
              </w:rPr>
            </w:pPr>
            <w:r w:rsidRPr="007A02FB">
              <w:rPr>
                <w:rFonts w:ascii="Aptos Narrow" w:eastAsia="Times New Roman" w:hAnsi="Aptos Narrow" w:cs="Times New Roman"/>
                <w:b/>
                <w:bCs/>
                <w:color w:val="000000"/>
                <w:sz w:val="20"/>
                <w:szCs w:val="20"/>
                <w:lang w:bidi="ar-SA"/>
              </w:rPr>
              <w:t>occupied m/s beds</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21280F03" w14:textId="77777777" w:rsidR="007A02FB" w:rsidRPr="007A02FB" w:rsidRDefault="007A02FB" w:rsidP="007A02FB">
            <w:pPr>
              <w:widowControl/>
              <w:autoSpaceDE/>
              <w:autoSpaceDN/>
              <w:jc w:val="center"/>
              <w:rPr>
                <w:rFonts w:ascii="Aptos Narrow" w:eastAsia="Times New Roman" w:hAnsi="Aptos Narrow" w:cs="Times New Roman"/>
                <w:b/>
                <w:bCs/>
                <w:color w:val="000000"/>
                <w:sz w:val="20"/>
                <w:szCs w:val="20"/>
                <w:lang w:bidi="ar-SA"/>
              </w:rPr>
            </w:pPr>
            <w:r w:rsidRPr="007A02FB">
              <w:rPr>
                <w:rFonts w:ascii="Aptos Narrow" w:eastAsia="Times New Roman" w:hAnsi="Aptos Narrow" w:cs="Times New Roman"/>
                <w:b/>
                <w:bCs/>
                <w:color w:val="000000"/>
                <w:sz w:val="20"/>
                <w:szCs w:val="20"/>
                <w:lang w:bidi="ar-SA"/>
              </w:rPr>
              <w:t>licensed m/s beds</w:t>
            </w:r>
          </w:p>
        </w:tc>
        <w:tc>
          <w:tcPr>
            <w:tcW w:w="980" w:type="dxa"/>
            <w:tcBorders>
              <w:top w:val="single" w:sz="4" w:space="0" w:color="auto"/>
              <w:left w:val="nil"/>
              <w:bottom w:val="single" w:sz="4" w:space="0" w:color="auto"/>
              <w:right w:val="single" w:sz="4" w:space="0" w:color="auto"/>
            </w:tcBorders>
            <w:shd w:val="clear" w:color="auto" w:fill="auto"/>
            <w:vAlign w:val="bottom"/>
          </w:tcPr>
          <w:p w14:paraId="1AA645CB" w14:textId="600E781E" w:rsidR="007A02FB" w:rsidRPr="007A02FB" w:rsidRDefault="007A02FB" w:rsidP="007A02FB">
            <w:pPr>
              <w:widowControl/>
              <w:autoSpaceDE/>
              <w:autoSpaceDN/>
              <w:jc w:val="center"/>
              <w:rPr>
                <w:rFonts w:ascii="Aptos Narrow" w:eastAsia="Times New Roman" w:hAnsi="Aptos Narrow" w:cs="Times New Roman"/>
                <w:b/>
                <w:bCs/>
                <w:color w:val="000000"/>
                <w:sz w:val="20"/>
                <w:szCs w:val="20"/>
                <w:lang w:bidi="ar-SA"/>
              </w:rPr>
            </w:pPr>
            <w:r w:rsidRPr="007A02FB">
              <w:rPr>
                <w:rFonts w:ascii="Aptos Narrow" w:eastAsia="Times New Roman" w:hAnsi="Aptos Narrow" w:cs="Times New Roman"/>
                <w:b/>
                <w:bCs/>
                <w:color w:val="000000"/>
                <w:sz w:val="20"/>
                <w:szCs w:val="20"/>
                <w:lang w:bidi="ar-SA"/>
              </w:rPr>
              <w:t>licensed m/s beds</w:t>
            </w:r>
          </w:p>
        </w:tc>
      </w:tr>
      <w:tr w:rsidR="007A02FB" w:rsidRPr="004D3658" w14:paraId="7CE75FD6" w14:textId="77777777" w:rsidTr="007A02FB">
        <w:trPr>
          <w:cantSplit/>
          <w:trHeight w:val="640"/>
          <w:tblHead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9218905" w14:textId="77777777" w:rsidR="007A02FB" w:rsidRPr="004D3658" w:rsidRDefault="007A02FB" w:rsidP="007A02FB">
            <w:pPr>
              <w:widowControl/>
              <w:autoSpaceDE/>
              <w:autoSpaceDN/>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w:t>
            </w:r>
          </w:p>
        </w:tc>
        <w:tc>
          <w:tcPr>
            <w:tcW w:w="1070" w:type="dxa"/>
            <w:tcBorders>
              <w:top w:val="nil"/>
              <w:left w:val="nil"/>
              <w:bottom w:val="single" w:sz="4" w:space="0" w:color="auto"/>
              <w:right w:val="single" w:sz="4" w:space="0" w:color="auto"/>
            </w:tcBorders>
            <w:shd w:val="clear" w:color="auto" w:fill="auto"/>
            <w:noWrap/>
            <w:vAlign w:val="bottom"/>
            <w:hideMark/>
          </w:tcPr>
          <w:p w14:paraId="66923FC8" w14:textId="77777777" w:rsidR="007A02FB" w:rsidRPr="004D3658" w:rsidRDefault="007A02FB" w:rsidP="007A02FB">
            <w:pPr>
              <w:widowControl/>
              <w:autoSpaceDE/>
              <w:autoSpaceDN/>
              <w:jc w:val="center"/>
              <w:rPr>
                <w:rFonts w:ascii="Aptos Narrow" w:eastAsia="Times New Roman" w:hAnsi="Aptos Narrow" w:cs="Times New Roman"/>
                <w:b/>
                <w:bCs/>
                <w:color w:val="000000"/>
                <w:lang w:bidi="ar-SA"/>
              </w:rPr>
            </w:pPr>
            <w:r w:rsidRPr="004D3658">
              <w:rPr>
                <w:rFonts w:ascii="Aptos Narrow" w:eastAsia="Times New Roman" w:hAnsi="Aptos Narrow" w:cs="Times New Roman"/>
                <w:b/>
                <w:bCs/>
                <w:color w:val="000000"/>
                <w:lang w:bidi="ar-SA"/>
              </w:rPr>
              <w:t>2023</w:t>
            </w:r>
          </w:p>
        </w:tc>
        <w:tc>
          <w:tcPr>
            <w:tcW w:w="1190" w:type="dxa"/>
            <w:tcBorders>
              <w:top w:val="nil"/>
              <w:left w:val="nil"/>
              <w:bottom w:val="single" w:sz="4" w:space="0" w:color="auto"/>
              <w:right w:val="single" w:sz="4" w:space="0" w:color="auto"/>
            </w:tcBorders>
            <w:shd w:val="clear" w:color="auto" w:fill="auto"/>
            <w:vAlign w:val="bottom"/>
            <w:hideMark/>
          </w:tcPr>
          <w:p w14:paraId="13A5D9FD" w14:textId="77777777" w:rsidR="007A02FB" w:rsidRPr="004D3658" w:rsidRDefault="007A02FB" w:rsidP="007A02FB">
            <w:pPr>
              <w:widowControl/>
              <w:autoSpaceDE/>
              <w:autoSpaceDN/>
              <w:jc w:val="center"/>
              <w:rPr>
                <w:rFonts w:ascii="Aptos Narrow" w:eastAsia="Times New Roman" w:hAnsi="Aptos Narrow" w:cs="Times New Roman"/>
                <w:b/>
                <w:bCs/>
                <w:color w:val="000000"/>
                <w:lang w:bidi="ar-SA"/>
              </w:rPr>
            </w:pPr>
            <w:r w:rsidRPr="004D3658">
              <w:rPr>
                <w:rFonts w:ascii="Aptos Narrow" w:eastAsia="Times New Roman" w:hAnsi="Aptos Narrow" w:cs="Times New Roman"/>
                <w:b/>
                <w:bCs/>
                <w:color w:val="000000"/>
                <w:lang w:bidi="ar-SA"/>
              </w:rPr>
              <w:t>2024 (weeks 1 - 26)</w:t>
            </w:r>
          </w:p>
        </w:tc>
        <w:tc>
          <w:tcPr>
            <w:tcW w:w="1213" w:type="dxa"/>
            <w:tcBorders>
              <w:top w:val="nil"/>
              <w:left w:val="nil"/>
              <w:bottom w:val="single" w:sz="4" w:space="0" w:color="auto"/>
              <w:right w:val="single" w:sz="4" w:space="0" w:color="auto"/>
            </w:tcBorders>
            <w:shd w:val="clear" w:color="auto" w:fill="auto"/>
            <w:noWrap/>
            <w:vAlign w:val="center"/>
            <w:hideMark/>
          </w:tcPr>
          <w:p w14:paraId="5CA87BD3" w14:textId="77777777" w:rsidR="007A02FB" w:rsidRPr="004D3658" w:rsidRDefault="007A02FB" w:rsidP="007A02FB">
            <w:pPr>
              <w:widowControl/>
              <w:autoSpaceDE/>
              <w:autoSpaceDN/>
              <w:jc w:val="center"/>
              <w:rPr>
                <w:rFonts w:ascii="Aptos Narrow" w:eastAsia="Times New Roman" w:hAnsi="Aptos Narrow" w:cs="Times New Roman"/>
                <w:b/>
                <w:bCs/>
                <w:color w:val="000000"/>
                <w:lang w:bidi="ar-SA"/>
              </w:rPr>
            </w:pPr>
            <w:r w:rsidRPr="004D3658">
              <w:rPr>
                <w:rFonts w:ascii="Aptos Narrow" w:eastAsia="Times New Roman" w:hAnsi="Aptos Narrow" w:cs="Times New Roman"/>
                <w:b/>
                <w:bCs/>
                <w:color w:val="000000"/>
                <w:lang w:bidi="ar-SA"/>
              </w:rPr>
              <w:t>2023</w:t>
            </w:r>
          </w:p>
        </w:tc>
        <w:tc>
          <w:tcPr>
            <w:tcW w:w="1459" w:type="dxa"/>
            <w:tcBorders>
              <w:top w:val="nil"/>
              <w:left w:val="nil"/>
              <w:bottom w:val="single" w:sz="4" w:space="0" w:color="auto"/>
              <w:right w:val="single" w:sz="4" w:space="0" w:color="auto"/>
            </w:tcBorders>
            <w:shd w:val="clear" w:color="auto" w:fill="auto"/>
            <w:vAlign w:val="center"/>
            <w:hideMark/>
          </w:tcPr>
          <w:p w14:paraId="46A34157" w14:textId="77777777" w:rsidR="007A02FB" w:rsidRPr="004D3658" w:rsidRDefault="007A02FB" w:rsidP="007A02FB">
            <w:pPr>
              <w:widowControl/>
              <w:autoSpaceDE/>
              <w:autoSpaceDN/>
              <w:jc w:val="center"/>
              <w:rPr>
                <w:rFonts w:ascii="Aptos Narrow" w:eastAsia="Times New Roman" w:hAnsi="Aptos Narrow" w:cs="Times New Roman"/>
                <w:b/>
                <w:bCs/>
                <w:color w:val="000000"/>
                <w:lang w:bidi="ar-SA"/>
              </w:rPr>
            </w:pPr>
            <w:r w:rsidRPr="004D3658">
              <w:rPr>
                <w:rFonts w:ascii="Aptos Narrow" w:eastAsia="Times New Roman" w:hAnsi="Aptos Narrow" w:cs="Times New Roman"/>
                <w:b/>
                <w:bCs/>
                <w:color w:val="000000"/>
                <w:lang w:bidi="ar-SA"/>
              </w:rPr>
              <w:t>2024 (1/1 - 6/30)</w:t>
            </w:r>
          </w:p>
        </w:tc>
        <w:tc>
          <w:tcPr>
            <w:tcW w:w="1064" w:type="dxa"/>
            <w:tcBorders>
              <w:top w:val="nil"/>
              <w:left w:val="nil"/>
              <w:bottom w:val="single" w:sz="4" w:space="0" w:color="auto"/>
              <w:right w:val="single" w:sz="4" w:space="0" w:color="auto"/>
            </w:tcBorders>
            <w:shd w:val="clear" w:color="auto" w:fill="auto"/>
            <w:noWrap/>
            <w:vAlign w:val="bottom"/>
            <w:hideMark/>
          </w:tcPr>
          <w:p w14:paraId="000E91D5" w14:textId="77777777" w:rsidR="007A02FB" w:rsidRPr="004D3658" w:rsidRDefault="007A02FB" w:rsidP="007A02FB">
            <w:pPr>
              <w:widowControl/>
              <w:autoSpaceDE/>
              <w:autoSpaceDN/>
              <w:jc w:val="center"/>
              <w:rPr>
                <w:rFonts w:ascii="Aptos Narrow" w:eastAsia="Times New Roman" w:hAnsi="Aptos Narrow" w:cs="Times New Roman"/>
                <w:b/>
                <w:bCs/>
                <w:color w:val="000000"/>
                <w:lang w:bidi="ar-SA"/>
              </w:rPr>
            </w:pPr>
            <w:r w:rsidRPr="004D3658">
              <w:rPr>
                <w:rFonts w:ascii="Aptos Narrow" w:eastAsia="Times New Roman" w:hAnsi="Aptos Narrow" w:cs="Times New Roman"/>
                <w:b/>
                <w:bCs/>
                <w:color w:val="000000"/>
                <w:lang w:bidi="ar-SA"/>
              </w:rPr>
              <w:t>2023</w:t>
            </w:r>
          </w:p>
        </w:tc>
        <w:tc>
          <w:tcPr>
            <w:tcW w:w="1064" w:type="dxa"/>
            <w:tcBorders>
              <w:top w:val="nil"/>
              <w:left w:val="nil"/>
              <w:bottom w:val="single" w:sz="4" w:space="0" w:color="auto"/>
              <w:right w:val="single" w:sz="4" w:space="0" w:color="auto"/>
            </w:tcBorders>
            <w:shd w:val="clear" w:color="auto" w:fill="auto"/>
            <w:noWrap/>
            <w:vAlign w:val="bottom"/>
            <w:hideMark/>
          </w:tcPr>
          <w:p w14:paraId="49FD4915" w14:textId="77777777" w:rsidR="007A02FB" w:rsidRPr="004D3658" w:rsidRDefault="007A02FB" w:rsidP="007A02FB">
            <w:pPr>
              <w:widowControl/>
              <w:autoSpaceDE/>
              <w:autoSpaceDN/>
              <w:jc w:val="center"/>
              <w:rPr>
                <w:rFonts w:ascii="Aptos Narrow" w:eastAsia="Times New Roman" w:hAnsi="Aptos Narrow" w:cs="Times New Roman"/>
                <w:b/>
                <w:bCs/>
                <w:color w:val="000000"/>
                <w:lang w:bidi="ar-SA"/>
              </w:rPr>
            </w:pPr>
            <w:r w:rsidRPr="004D3658">
              <w:rPr>
                <w:rFonts w:ascii="Aptos Narrow" w:eastAsia="Times New Roman" w:hAnsi="Aptos Narrow" w:cs="Times New Roman"/>
                <w:b/>
                <w:bCs/>
                <w:color w:val="000000"/>
                <w:lang w:bidi="ar-SA"/>
              </w:rPr>
              <w:t>2024</w:t>
            </w:r>
          </w:p>
        </w:tc>
        <w:tc>
          <w:tcPr>
            <w:tcW w:w="996" w:type="dxa"/>
            <w:tcBorders>
              <w:top w:val="nil"/>
              <w:left w:val="nil"/>
              <w:bottom w:val="single" w:sz="4" w:space="0" w:color="auto"/>
              <w:right w:val="single" w:sz="4" w:space="0" w:color="auto"/>
            </w:tcBorders>
            <w:shd w:val="clear" w:color="auto" w:fill="auto"/>
            <w:noWrap/>
            <w:vAlign w:val="bottom"/>
            <w:hideMark/>
          </w:tcPr>
          <w:p w14:paraId="14E98705" w14:textId="77777777" w:rsidR="007A02FB" w:rsidRPr="004D3658" w:rsidRDefault="007A02FB" w:rsidP="007A02FB">
            <w:pPr>
              <w:widowControl/>
              <w:autoSpaceDE/>
              <w:autoSpaceDN/>
              <w:jc w:val="center"/>
              <w:rPr>
                <w:rFonts w:ascii="Aptos Narrow" w:eastAsia="Times New Roman" w:hAnsi="Aptos Narrow" w:cs="Times New Roman"/>
                <w:b/>
                <w:bCs/>
                <w:color w:val="000000"/>
                <w:lang w:bidi="ar-SA"/>
              </w:rPr>
            </w:pPr>
            <w:r w:rsidRPr="004D3658">
              <w:rPr>
                <w:rFonts w:ascii="Aptos Narrow" w:eastAsia="Times New Roman" w:hAnsi="Aptos Narrow" w:cs="Times New Roman"/>
                <w:b/>
                <w:bCs/>
                <w:color w:val="000000"/>
                <w:lang w:bidi="ar-SA"/>
              </w:rPr>
              <w:t>2023</w:t>
            </w:r>
          </w:p>
        </w:tc>
        <w:tc>
          <w:tcPr>
            <w:tcW w:w="980" w:type="dxa"/>
            <w:tcBorders>
              <w:top w:val="nil"/>
              <w:left w:val="nil"/>
              <w:bottom w:val="single" w:sz="4" w:space="0" w:color="auto"/>
              <w:right w:val="single" w:sz="4" w:space="0" w:color="auto"/>
            </w:tcBorders>
            <w:shd w:val="clear" w:color="auto" w:fill="auto"/>
            <w:noWrap/>
            <w:vAlign w:val="bottom"/>
            <w:hideMark/>
          </w:tcPr>
          <w:p w14:paraId="5DED8A81" w14:textId="77777777" w:rsidR="007A02FB" w:rsidRPr="004D3658" w:rsidRDefault="007A02FB" w:rsidP="007A02FB">
            <w:pPr>
              <w:widowControl/>
              <w:autoSpaceDE/>
              <w:autoSpaceDN/>
              <w:jc w:val="center"/>
              <w:rPr>
                <w:rFonts w:ascii="Aptos Narrow" w:eastAsia="Times New Roman" w:hAnsi="Aptos Narrow" w:cs="Times New Roman"/>
                <w:b/>
                <w:bCs/>
                <w:color w:val="000000"/>
                <w:lang w:bidi="ar-SA"/>
              </w:rPr>
            </w:pPr>
            <w:r w:rsidRPr="004D3658">
              <w:rPr>
                <w:rFonts w:ascii="Aptos Narrow" w:eastAsia="Times New Roman" w:hAnsi="Aptos Narrow" w:cs="Times New Roman"/>
                <w:b/>
                <w:bCs/>
                <w:color w:val="000000"/>
                <w:lang w:bidi="ar-SA"/>
              </w:rPr>
              <w:t>2024</w:t>
            </w:r>
          </w:p>
        </w:tc>
      </w:tr>
      <w:tr w:rsidR="007A02FB" w:rsidRPr="004D3658" w14:paraId="24ABFC37" w14:textId="77777777" w:rsidTr="007A02FB">
        <w:trPr>
          <w:cantSplit/>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35480F0" w14:textId="77777777" w:rsidR="007A02FB" w:rsidRPr="004D3658" w:rsidRDefault="007A02FB" w:rsidP="007A02FB">
            <w:pPr>
              <w:widowControl/>
              <w:autoSpaceDE/>
              <w:autoSpaceDN/>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Holy Family Methuen</w:t>
            </w:r>
          </w:p>
        </w:tc>
        <w:tc>
          <w:tcPr>
            <w:tcW w:w="1070" w:type="dxa"/>
            <w:tcBorders>
              <w:top w:val="nil"/>
              <w:left w:val="nil"/>
              <w:bottom w:val="single" w:sz="4" w:space="0" w:color="auto"/>
              <w:right w:val="single" w:sz="4" w:space="0" w:color="auto"/>
            </w:tcBorders>
            <w:shd w:val="clear" w:color="auto" w:fill="auto"/>
            <w:noWrap/>
            <w:vAlign w:val="bottom"/>
            <w:hideMark/>
          </w:tcPr>
          <w:p w14:paraId="6BE35C1D"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70,956 </w:t>
            </w:r>
          </w:p>
        </w:tc>
        <w:tc>
          <w:tcPr>
            <w:tcW w:w="1190" w:type="dxa"/>
            <w:tcBorders>
              <w:top w:val="nil"/>
              <w:left w:val="nil"/>
              <w:bottom w:val="single" w:sz="4" w:space="0" w:color="auto"/>
              <w:right w:val="single" w:sz="4" w:space="0" w:color="auto"/>
            </w:tcBorders>
            <w:shd w:val="clear" w:color="auto" w:fill="auto"/>
            <w:noWrap/>
            <w:vAlign w:val="bottom"/>
            <w:hideMark/>
          </w:tcPr>
          <w:p w14:paraId="0C51B814"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30,301 </w:t>
            </w:r>
          </w:p>
        </w:tc>
        <w:tc>
          <w:tcPr>
            <w:tcW w:w="1213" w:type="dxa"/>
            <w:tcBorders>
              <w:top w:val="nil"/>
              <w:left w:val="nil"/>
              <w:bottom w:val="single" w:sz="4" w:space="0" w:color="auto"/>
              <w:right w:val="single" w:sz="4" w:space="0" w:color="auto"/>
            </w:tcBorders>
            <w:shd w:val="clear" w:color="auto" w:fill="auto"/>
            <w:noWrap/>
            <w:vAlign w:val="bottom"/>
            <w:hideMark/>
          </w:tcPr>
          <w:p w14:paraId="360F8E57"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54%</w:t>
            </w:r>
          </w:p>
        </w:tc>
        <w:tc>
          <w:tcPr>
            <w:tcW w:w="1459" w:type="dxa"/>
            <w:tcBorders>
              <w:top w:val="nil"/>
              <w:left w:val="nil"/>
              <w:bottom w:val="single" w:sz="4" w:space="0" w:color="auto"/>
              <w:right w:val="single" w:sz="4" w:space="0" w:color="auto"/>
            </w:tcBorders>
            <w:shd w:val="clear" w:color="auto" w:fill="auto"/>
            <w:noWrap/>
            <w:vAlign w:val="bottom"/>
            <w:hideMark/>
          </w:tcPr>
          <w:p w14:paraId="0DD4667E"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53%</w:t>
            </w:r>
          </w:p>
        </w:tc>
        <w:tc>
          <w:tcPr>
            <w:tcW w:w="1064" w:type="dxa"/>
            <w:tcBorders>
              <w:top w:val="nil"/>
              <w:left w:val="nil"/>
              <w:bottom w:val="single" w:sz="4" w:space="0" w:color="auto"/>
              <w:right w:val="single" w:sz="4" w:space="0" w:color="auto"/>
            </w:tcBorders>
            <w:shd w:val="clear" w:color="auto" w:fill="auto"/>
            <w:noWrap/>
            <w:vAlign w:val="bottom"/>
            <w:hideMark/>
          </w:tcPr>
          <w:p w14:paraId="286C9CCF"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55</w:t>
            </w:r>
          </w:p>
        </w:tc>
        <w:tc>
          <w:tcPr>
            <w:tcW w:w="1064" w:type="dxa"/>
            <w:tcBorders>
              <w:top w:val="nil"/>
              <w:left w:val="nil"/>
              <w:bottom w:val="single" w:sz="4" w:space="0" w:color="auto"/>
              <w:right w:val="single" w:sz="4" w:space="0" w:color="auto"/>
            </w:tcBorders>
            <w:shd w:val="clear" w:color="auto" w:fill="auto"/>
            <w:noWrap/>
            <w:vAlign w:val="bottom"/>
            <w:hideMark/>
          </w:tcPr>
          <w:p w14:paraId="69C86B0B"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54</w:t>
            </w:r>
          </w:p>
        </w:tc>
        <w:tc>
          <w:tcPr>
            <w:tcW w:w="996" w:type="dxa"/>
            <w:tcBorders>
              <w:top w:val="nil"/>
              <w:left w:val="nil"/>
              <w:bottom w:val="single" w:sz="4" w:space="0" w:color="auto"/>
              <w:right w:val="single" w:sz="4" w:space="0" w:color="auto"/>
            </w:tcBorders>
            <w:shd w:val="clear" w:color="auto" w:fill="auto"/>
            <w:noWrap/>
            <w:vAlign w:val="bottom"/>
            <w:hideMark/>
          </w:tcPr>
          <w:p w14:paraId="48BF6787"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101</w:t>
            </w:r>
          </w:p>
        </w:tc>
        <w:tc>
          <w:tcPr>
            <w:tcW w:w="980" w:type="dxa"/>
            <w:tcBorders>
              <w:top w:val="nil"/>
              <w:left w:val="nil"/>
              <w:bottom w:val="single" w:sz="4" w:space="0" w:color="auto"/>
              <w:right w:val="single" w:sz="4" w:space="0" w:color="auto"/>
            </w:tcBorders>
            <w:shd w:val="clear" w:color="auto" w:fill="auto"/>
            <w:noWrap/>
            <w:vAlign w:val="bottom"/>
            <w:hideMark/>
          </w:tcPr>
          <w:p w14:paraId="71F37A69"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101</w:t>
            </w:r>
          </w:p>
        </w:tc>
      </w:tr>
      <w:tr w:rsidR="007A02FB" w:rsidRPr="004D3658" w14:paraId="71FD5154" w14:textId="77777777" w:rsidTr="007A02FB">
        <w:trPr>
          <w:cantSplit/>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4F79D5F" w14:textId="77777777" w:rsidR="007A02FB" w:rsidRPr="004D3658" w:rsidRDefault="007A02FB" w:rsidP="007A02FB">
            <w:pPr>
              <w:widowControl/>
              <w:autoSpaceDE/>
              <w:autoSpaceDN/>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Holy Family Haverhill</w:t>
            </w:r>
          </w:p>
        </w:tc>
        <w:tc>
          <w:tcPr>
            <w:tcW w:w="1070" w:type="dxa"/>
            <w:tcBorders>
              <w:top w:val="nil"/>
              <w:left w:val="nil"/>
              <w:bottom w:val="single" w:sz="4" w:space="0" w:color="auto"/>
              <w:right w:val="single" w:sz="4" w:space="0" w:color="auto"/>
            </w:tcBorders>
            <w:shd w:val="clear" w:color="auto" w:fill="auto"/>
            <w:noWrap/>
            <w:vAlign w:val="bottom"/>
            <w:hideMark/>
          </w:tcPr>
          <w:p w14:paraId="5A5D4C15"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   </w:t>
            </w:r>
          </w:p>
        </w:tc>
        <w:tc>
          <w:tcPr>
            <w:tcW w:w="1190" w:type="dxa"/>
            <w:tcBorders>
              <w:top w:val="nil"/>
              <w:left w:val="nil"/>
              <w:bottom w:val="single" w:sz="4" w:space="0" w:color="auto"/>
              <w:right w:val="single" w:sz="4" w:space="0" w:color="auto"/>
            </w:tcBorders>
            <w:shd w:val="clear" w:color="auto" w:fill="auto"/>
            <w:noWrap/>
            <w:vAlign w:val="bottom"/>
            <w:hideMark/>
          </w:tcPr>
          <w:p w14:paraId="483CA429"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2,770 </w:t>
            </w:r>
          </w:p>
        </w:tc>
        <w:tc>
          <w:tcPr>
            <w:tcW w:w="1213" w:type="dxa"/>
            <w:tcBorders>
              <w:top w:val="nil"/>
              <w:left w:val="nil"/>
              <w:bottom w:val="single" w:sz="4" w:space="0" w:color="auto"/>
              <w:right w:val="single" w:sz="4" w:space="0" w:color="auto"/>
            </w:tcBorders>
            <w:shd w:val="clear" w:color="auto" w:fill="auto"/>
            <w:noWrap/>
            <w:vAlign w:val="bottom"/>
            <w:hideMark/>
          </w:tcPr>
          <w:p w14:paraId="59728D43"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25%</w:t>
            </w:r>
          </w:p>
        </w:tc>
        <w:tc>
          <w:tcPr>
            <w:tcW w:w="1459" w:type="dxa"/>
            <w:tcBorders>
              <w:top w:val="nil"/>
              <w:left w:val="nil"/>
              <w:bottom w:val="single" w:sz="4" w:space="0" w:color="auto"/>
              <w:right w:val="single" w:sz="4" w:space="0" w:color="auto"/>
            </w:tcBorders>
            <w:shd w:val="clear" w:color="auto" w:fill="auto"/>
            <w:noWrap/>
            <w:vAlign w:val="bottom"/>
            <w:hideMark/>
          </w:tcPr>
          <w:p w14:paraId="1AA23169"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20%</w:t>
            </w:r>
          </w:p>
        </w:tc>
        <w:tc>
          <w:tcPr>
            <w:tcW w:w="1064" w:type="dxa"/>
            <w:tcBorders>
              <w:top w:val="nil"/>
              <w:left w:val="nil"/>
              <w:bottom w:val="single" w:sz="4" w:space="0" w:color="auto"/>
              <w:right w:val="single" w:sz="4" w:space="0" w:color="auto"/>
            </w:tcBorders>
            <w:shd w:val="clear" w:color="auto" w:fill="auto"/>
            <w:noWrap/>
            <w:vAlign w:val="bottom"/>
            <w:hideMark/>
          </w:tcPr>
          <w:p w14:paraId="5B4E5C77"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15</w:t>
            </w:r>
          </w:p>
        </w:tc>
        <w:tc>
          <w:tcPr>
            <w:tcW w:w="1064" w:type="dxa"/>
            <w:tcBorders>
              <w:top w:val="nil"/>
              <w:left w:val="nil"/>
              <w:bottom w:val="single" w:sz="4" w:space="0" w:color="auto"/>
              <w:right w:val="single" w:sz="4" w:space="0" w:color="auto"/>
            </w:tcBorders>
            <w:shd w:val="clear" w:color="auto" w:fill="auto"/>
            <w:noWrap/>
            <w:vAlign w:val="bottom"/>
            <w:hideMark/>
          </w:tcPr>
          <w:p w14:paraId="683E1A78"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12</w:t>
            </w:r>
          </w:p>
        </w:tc>
        <w:tc>
          <w:tcPr>
            <w:tcW w:w="996" w:type="dxa"/>
            <w:tcBorders>
              <w:top w:val="nil"/>
              <w:left w:val="nil"/>
              <w:bottom w:val="single" w:sz="4" w:space="0" w:color="auto"/>
              <w:right w:val="single" w:sz="4" w:space="0" w:color="auto"/>
            </w:tcBorders>
            <w:shd w:val="clear" w:color="auto" w:fill="auto"/>
            <w:noWrap/>
            <w:vAlign w:val="bottom"/>
            <w:hideMark/>
          </w:tcPr>
          <w:p w14:paraId="318A543F"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59</w:t>
            </w:r>
          </w:p>
        </w:tc>
        <w:tc>
          <w:tcPr>
            <w:tcW w:w="980" w:type="dxa"/>
            <w:tcBorders>
              <w:top w:val="nil"/>
              <w:left w:val="nil"/>
              <w:bottom w:val="single" w:sz="4" w:space="0" w:color="auto"/>
              <w:right w:val="single" w:sz="4" w:space="0" w:color="auto"/>
            </w:tcBorders>
            <w:shd w:val="clear" w:color="auto" w:fill="auto"/>
            <w:noWrap/>
            <w:vAlign w:val="bottom"/>
            <w:hideMark/>
          </w:tcPr>
          <w:p w14:paraId="22CEC8E2"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59</w:t>
            </w:r>
          </w:p>
        </w:tc>
      </w:tr>
      <w:tr w:rsidR="007A02FB" w:rsidRPr="004D3658" w14:paraId="19F98149" w14:textId="77777777" w:rsidTr="007A02FB">
        <w:trPr>
          <w:cantSplit/>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E25EB72" w14:textId="77777777" w:rsidR="007A02FB" w:rsidRPr="004D3658" w:rsidRDefault="007A02FB" w:rsidP="007A02FB">
            <w:pPr>
              <w:widowControl/>
              <w:autoSpaceDE/>
              <w:autoSpaceDN/>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Lawrence General</w:t>
            </w:r>
          </w:p>
        </w:tc>
        <w:tc>
          <w:tcPr>
            <w:tcW w:w="1070" w:type="dxa"/>
            <w:tcBorders>
              <w:top w:val="nil"/>
              <w:left w:val="nil"/>
              <w:bottom w:val="single" w:sz="4" w:space="0" w:color="auto"/>
              <w:right w:val="single" w:sz="4" w:space="0" w:color="auto"/>
            </w:tcBorders>
            <w:shd w:val="clear" w:color="auto" w:fill="auto"/>
            <w:noWrap/>
            <w:vAlign w:val="bottom"/>
            <w:hideMark/>
          </w:tcPr>
          <w:p w14:paraId="2FC6257E"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68,342 </w:t>
            </w:r>
          </w:p>
        </w:tc>
        <w:tc>
          <w:tcPr>
            <w:tcW w:w="1190" w:type="dxa"/>
            <w:tcBorders>
              <w:top w:val="nil"/>
              <w:left w:val="nil"/>
              <w:bottom w:val="single" w:sz="4" w:space="0" w:color="auto"/>
              <w:right w:val="single" w:sz="4" w:space="0" w:color="auto"/>
            </w:tcBorders>
            <w:shd w:val="clear" w:color="auto" w:fill="auto"/>
            <w:noWrap/>
            <w:vAlign w:val="bottom"/>
            <w:hideMark/>
          </w:tcPr>
          <w:p w14:paraId="5F992BA3"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36,808 </w:t>
            </w:r>
          </w:p>
        </w:tc>
        <w:tc>
          <w:tcPr>
            <w:tcW w:w="1213" w:type="dxa"/>
            <w:tcBorders>
              <w:top w:val="nil"/>
              <w:left w:val="nil"/>
              <w:bottom w:val="single" w:sz="4" w:space="0" w:color="auto"/>
              <w:right w:val="single" w:sz="4" w:space="0" w:color="auto"/>
            </w:tcBorders>
            <w:shd w:val="clear" w:color="auto" w:fill="auto"/>
            <w:noWrap/>
            <w:vAlign w:val="bottom"/>
            <w:hideMark/>
          </w:tcPr>
          <w:p w14:paraId="122BF664"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89%</w:t>
            </w:r>
          </w:p>
        </w:tc>
        <w:tc>
          <w:tcPr>
            <w:tcW w:w="1459" w:type="dxa"/>
            <w:tcBorders>
              <w:top w:val="nil"/>
              <w:left w:val="nil"/>
              <w:bottom w:val="single" w:sz="4" w:space="0" w:color="auto"/>
              <w:right w:val="single" w:sz="4" w:space="0" w:color="auto"/>
            </w:tcBorders>
            <w:shd w:val="clear" w:color="auto" w:fill="auto"/>
            <w:noWrap/>
            <w:vAlign w:val="bottom"/>
            <w:hideMark/>
          </w:tcPr>
          <w:p w14:paraId="3B981C91"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91%</w:t>
            </w:r>
          </w:p>
        </w:tc>
        <w:tc>
          <w:tcPr>
            <w:tcW w:w="1064" w:type="dxa"/>
            <w:tcBorders>
              <w:top w:val="nil"/>
              <w:left w:val="nil"/>
              <w:bottom w:val="single" w:sz="4" w:space="0" w:color="auto"/>
              <w:right w:val="single" w:sz="4" w:space="0" w:color="auto"/>
            </w:tcBorders>
            <w:shd w:val="clear" w:color="auto" w:fill="auto"/>
            <w:noWrap/>
            <w:vAlign w:val="bottom"/>
            <w:hideMark/>
          </w:tcPr>
          <w:p w14:paraId="558CB008"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106</w:t>
            </w:r>
          </w:p>
        </w:tc>
        <w:tc>
          <w:tcPr>
            <w:tcW w:w="1064" w:type="dxa"/>
            <w:tcBorders>
              <w:top w:val="nil"/>
              <w:left w:val="nil"/>
              <w:bottom w:val="single" w:sz="4" w:space="0" w:color="auto"/>
              <w:right w:val="single" w:sz="4" w:space="0" w:color="auto"/>
            </w:tcBorders>
            <w:shd w:val="clear" w:color="auto" w:fill="auto"/>
            <w:noWrap/>
            <w:vAlign w:val="bottom"/>
            <w:hideMark/>
          </w:tcPr>
          <w:p w14:paraId="1149F614"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108</w:t>
            </w:r>
          </w:p>
        </w:tc>
        <w:tc>
          <w:tcPr>
            <w:tcW w:w="996" w:type="dxa"/>
            <w:tcBorders>
              <w:top w:val="nil"/>
              <w:left w:val="nil"/>
              <w:bottom w:val="single" w:sz="4" w:space="0" w:color="auto"/>
              <w:right w:val="single" w:sz="4" w:space="0" w:color="auto"/>
            </w:tcBorders>
            <w:shd w:val="clear" w:color="auto" w:fill="auto"/>
            <w:noWrap/>
            <w:vAlign w:val="bottom"/>
            <w:hideMark/>
          </w:tcPr>
          <w:p w14:paraId="5D722891"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119</w:t>
            </w:r>
          </w:p>
        </w:tc>
        <w:tc>
          <w:tcPr>
            <w:tcW w:w="980" w:type="dxa"/>
            <w:tcBorders>
              <w:top w:val="nil"/>
              <w:left w:val="nil"/>
              <w:bottom w:val="single" w:sz="4" w:space="0" w:color="auto"/>
              <w:right w:val="single" w:sz="4" w:space="0" w:color="auto"/>
            </w:tcBorders>
            <w:shd w:val="clear" w:color="auto" w:fill="auto"/>
            <w:noWrap/>
            <w:vAlign w:val="bottom"/>
            <w:hideMark/>
          </w:tcPr>
          <w:p w14:paraId="7F8B3191"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119</w:t>
            </w:r>
          </w:p>
        </w:tc>
      </w:tr>
      <w:tr w:rsidR="007A02FB" w:rsidRPr="004D3658" w14:paraId="1564A46E" w14:textId="77777777" w:rsidTr="007A02FB">
        <w:trPr>
          <w:cantSplit/>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3E19FDE" w14:textId="77777777" w:rsidR="007A02FB" w:rsidRPr="004D3658" w:rsidRDefault="007A02FB" w:rsidP="007A02FB">
            <w:pPr>
              <w:widowControl/>
              <w:autoSpaceDE/>
              <w:autoSpaceDN/>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Anna Jaques</w:t>
            </w:r>
          </w:p>
        </w:tc>
        <w:tc>
          <w:tcPr>
            <w:tcW w:w="1070" w:type="dxa"/>
            <w:tcBorders>
              <w:top w:val="nil"/>
              <w:left w:val="nil"/>
              <w:bottom w:val="single" w:sz="4" w:space="0" w:color="auto"/>
              <w:right w:val="single" w:sz="4" w:space="0" w:color="auto"/>
            </w:tcBorders>
            <w:shd w:val="clear" w:color="auto" w:fill="auto"/>
            <w:noWrap/>
            <w:vAlign w:val="bottom"/>
            <w:hideMark/>
          </w:tcPr>
          <w:p w14:paraId="51BED307"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27,035 </w:t>
            </w:r>
          </w:p>
        </w:tc>
        <w:tc>
          <w:tcPr>
            <w:tcW w:w="1190" w:type="dxa"/>
            <w:tcBorders>
              <w:top w:val="nil"/>
              <w:left w:val="nil"/>
              <w:bottom w:val="single" w:sz="4" w:space="0" w:color="auto"/>
              <w:right w:val="single" w:sz="4" w:space="0" w:color="auto"/>
            </w:tcBorders>
            <w:shd w:val="clear" w:color="auto" w:fill="auto"/>
            <w:noWrap/>
            <w:vAlign w:val="bottom"/>
            <w:hideMark/>
          </w:tcPr>
          <w:p w14:paraId="20B2830B"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12,958 </w:t>
            </w:r>
          </w:p>
        </w:tc>
        <w:tc>
          <w:tcPr>
            <w:tcW w:w="1213" w:type="dxa"/>
            <w:tcBorders>
              <w:top w:val="nil"/>
              <w:left w:val="nil"/>
              <w:bottom w:val="single" w:sz="4" w:space="0" w:color="auto"/>
              <w:right w:val="single" w:sz="4" w:space="0" w:color="auto"/>
            </w:tcBorders>
            <w:shd w:val="clear" w:color="auto" w:fill="auto"/>
            <w:noWrap/>
            <w:vAlign w:val="bottom"/>
            <w:hideMark/>
          </w:tcPr>
          <w:p w14:paraId="7B5A0C1E"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79%</w:t>
            </w:r>
          </w:p>
        </w:tc>
        <w:tc>
          <w:tcPr>
            <w:tcW w:w="1459" w:type="dxa"/>
            <w:tcBorders>
              <w:top w:val="nil"/>
              <w:left w:val="nil"/>
              <w:bottom w:val="single" w:sz="4" w:space="0" w:color="auto"/>
              <w:right w:val="single" w:sz="4" w:space="0" w:color="auto"/>
            </w:tcBorders>
            <w:shd w:val="clear" w:color="auto" w:fill="auto"/>
            <w:noWrap/>
            <w:vAlign w:val="bottom"/>
            <w:hideMark/>
          </w:tcPr>
          <w:p w14:paraId="488FD3E8"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78%</w:t>
            </w:r>
          </w:p>
        </w:tc>
        <w:tc>
          <w:tcPr>
            <w:tcW w:w="1064" w:type="dxa"/>
            <w:tcBorders>
              <w:top w:val="nil"/>
              <w:left w:val="nil"/>
              <w:bottom w:val="single" w:sz="4" w:space="0" w:color="auto"/>
              <w:right w:val="single" w:sz="4" w:space="0" w:color="auto"/>
            </w:tcBorders>
            <w:shd w:val="clear" w:color="auto" w:fill="auto"/>
            <w:noWrap/>
            <w:vAlign w:val="bottom"/>
            <w:hideMark/>
          </w:tcPr>
          <w:p w14:paraId="50C1529B"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50</w:t>
            </w:r>
          </w:p>
        </w:tc>
        <w:tc>
          <w:tcPr>
            <w:tcW w:w="1064" w:type="dxa"/>
            <w:tcBorders>
              <w:top w:val="nil"/>
              <w:left w:val="nil"/>
              <w:bottom w:val="single" w:sz="4" w:space="0" w:color="auto"/>
              <w:right w:val="single" w:sz="4" w:space="0" w:color="auto"/>
            </w:tcBorders>
            <w:shd w:val="clear" w:color="auto" w:fill="auto"/>
            <w:noWrap/>
            <w:vAlign w:val="bottom"/>
            <w:hideMark/>
          </w:tcPr>
          <w:p w14:paraId="238AF0A8"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49</w:t>
            </w:r>
          </w:p>
        </w:tc>
        <w:tc>
          <w:tcPr>
            <w:tcW w:w="996" w:type="dxa"/>
            <w:tcBorders>
              <w:top w:val="nil"/>
              <w:left w:val="nil"/>
              <w:bottom w:val="single" w:sz="4" w:space="0" w:color="auto"/>
              <w:right w:val="single" w:sz="4" w:space="0" w:color="auto"/>
            </w:tcBorders>
            <w:shd w:val="clear" w:color="auto" w:fill="auto"/>
            <w:noWrap/>
            <w:vAlign w:val="bottom"/>
            <w:hideMark/>
          </w:tcPr>
          <w:p w14:paraId="243F2989"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63</w:t>
            </w:r>
          </w:p>
        </w:tc>
        <w:tc>
          <w:tcPr>
            <w:tcW w:w="980" w:type="dxa"/>
            <w:tcBorders>
              <w:top w:val="nil"/>
              <w:left w:val="nil"/>
              <w:bottom w:val="single" w:sz="4" w:space="0" w:color="auto"/>
              <w:right w:val="single" w:sz="4" w:space="0" w:color="auto"/>
            </w:tcBorders>
            <w:shd w:val="clear" w:color="auto" w:fill="auto"/>
            <w:noWrap/>
            <w:vAlign w:val="bottom"/>
            <w:hideMark/>
          </w:tcPr>
          <w:p w14:paraId="262931B5"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63</w:t>
            </w:r>
          </w:p>
        </w:tc>
      </w:tr>
      <w:tr w:rsidR="007A02FB" w:rsidRPr="004D3658" w14:paraId="52AABF5C" w14:textId="77777777" w:rsidTr="007A02FB">
        <w:trPr>
          <w:cantSplit/>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104C1DD" w14:textId="77777777" w:rsidR="007A02FB" w:rsidRPr="004D3658" w:rsidRDefault="007A02FB" w:rsidP="007A02FB">
            <w:pPr>
              <w:widowControl/>
              <w:autoSpaceDE/>
              <w:autoSpaceDN/>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Lowell General</w:t>
            </w:r>
          </w:p>
        </w:tc>
        <w:tc>
          <w:tcPr>
            <w:tcW w:w="1070" w:type="dxa"/>
            <w:tcBorders>
              <w:top w:val="nil"/>
              <w:left w:val="nil"/>
              <w:bottom w:val="single" w:sz="4" w:space="0" w:color="auto"/>
              <w:right w:val="single" w:sz="4" w:space="0" w:color="auto"/>
            </w:tcBorders>
            <w:shd w:val="clear" w:color="auto" w:fill="auto"/>
            <w:noWrap/>
            <w:vAlign w:val="bottom"/>
            <w:hideMark/>
          </w:tcPr>
          <w:p w14:paraId="3E8E1413"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55,930 </w:t>
            </w:r>
          </w:p>
        </w:tc>
        <w:tc>
          <w:tcPr>
            <w:tcW w:w="1190" w:type="dxa"/>
            <w:tcBorders>
              <w:top w:val="nil"/>
              <w:left w:val="nil"/>
              <w:bottom w:val="single" w:sz="4" w:space="0" w:color="auto"/>
              <w:right w:val="single" w:sz="4" w:space="0" w:color="auto"/>
            </w:tcBorders>
            <w:shd w:val="clear" w:color="auto" w:fill="auto"/>
            <w:noWrap/>
            <w:vAlign w:val="bottom"/>
            <w:hideMark/>
          </w:tcPr>
          <w:p w14:paraId="6BA5001B"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28,179 </w:t>
            </w:r>
          </w:p>
        </w:tc>
        <w:tc>
          <w:tcPr>
            <w:tcW w:w="1213" w:type="dxa"/>
            <w:tcBorders>
              <w:top w:val="nil"/>
              <w:left w:val="nil"/>
              <w:bottom w:val="single" w:sz="4" w:space="0" w:color="auto"/>
              <w:right w:val="single" w:sz="4" w:space="0" w:color="auto"/>
            </w:tcBorders>
            <w:shd w:val="clear" w:color="auto" w:fill="auto"/>
            <w:noWrap/>
            <w:vAlign w:val="bottom"/>
            <w:hideMark/>
          </w:tcPr>
          <w:p w14:paraId="3401F888"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92%</w:t>
            </w:r>
          </w:p>
        </w:tc>
        <w:tc>
          <w:tcPr>
            <w:tcW w:w="1459" w:type="dxa"/>
            <w:tcBorders>
              <w:top w:val="nil"/>
              <w:left w:val="nil"/>
              <w:bottom w:val="single" w:sz="4" w:space="0" w:color="auto"/>
              <w:right w:val="single" w:sz="4" w:space="0" w:color="auto"/>
            </w:tcBorders>
            <w:shd w:val="clear" w:color="auto" w:fill="auto"/>
            <w:noWrap/>
            <w:vAlign w:val="bottom"/>
            <w:hideMark/>
          </w:tcPr>
          <w:p w14:paraId="4AA84276"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93%</w:t>
            </w:r>
          </w:p>
        </w:tc>
        <w:tc>
          <w:tcPr>
            <w:tcW w:w="1064" w:type="dxa"/>
            <w:tcBorders>
              <w:top w:val="nil"/>
              <w:left w:val="nil"/>
              <w:bottom w:val="single" w:sz="4" w:space="0" w:color="auto"/>
              <w:right w:val="single" w:sz="4" w:space="0" w:color="auto"/>
            </w:tcBorders>
            <w:shd w:val="clear" w:color="auto" w:fill="auto"/>
            <w:noWrap/>
            <w:vAlign w:val="bottom"/>
            <w:hideMark/>
          </w:tcPr>
          <w:p w14:paraId="340A8687"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167</w:t>
            </w:r>
          </w:p>
        </w:tc>
        <w:tc>
          <w:tcPr>
            <w:tcW w:w="1064" w:type="dxa"/>
            <w:tcBorders>
              <w:top w:val="nil"/>
              <w:left w:val="nil"/>
              <w:bottom w:val="single" w:sz="4" w:space="0" w:color="auto"/>
              <w:right w:val="single" w:sz="4" w:space="0" w:color="auto"/>
            </w:tcBorders>
            <w:shd w:val="clear" w:color="auto" w:fill="auto"/>
            <w:noWrap/>
            <w:vAlign w:val="bottom"/>
            <w:hideMark/>
          </w:tcPr>
          <w:p w14:paraId="12D7C4D5"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169</w:t>
            </w:r>
          </w:p>
        </w:tc>
        <w:tc>
          <w:tcPr>
            <w:tcW w:w="996" w:type="dxa"/>
            <w:tcBorders>
              <w:top w:val="nil"/>
              <w:left w:val="nil"/>
              <w:bottom w:val="single" w:sz="4" w:space="0" w:color="auto"/>
              <w:right w:val="single" w:sz="4" w:space="0" w:color="auto"/>
            </w:tcBorders>
            <w:shd w:val="clear" w:color="auto" w:fill="auto"/>
            <w:noWrap/>
            <w:vAlign w:val="bottom"/>
            <w:hideMark/>
          </w:tcPr>
          <w:p w14:paraId="7AA6E668"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181</w:t>
            </w:r>
          </w:p>
        </w:tc>
        <w:tc>
          <w:tcPr>
            <w:tcW w:w="980" w:type="dxa"/>
            <w:tcBorders>
              <w:top w:val="nil"/>
              <w:left w:val="nil"/>
              <w:bottom w:val="single" w:sz="4" w:space="0" w:color="auto"/>
              <w:right w:val="single" w:sz="4" w:space="0" w:color="auto"/>
            </w:tcBorders>
            <w:shd w:val="clear" w:color="auto" w:fill="auto"/>
            <w:noWrap/>
            <w:vAlign w:val="bottom"/>
            <w:hideMark/>
          </w:tcPr>
          <w:p w14:paraId="6FE22B79"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181</w:t>
            </w:r>
          </w:p>
        </w:tc>
      </w:tr>
      <w:tr w:rsidR="007A02FB" w:rsidRPr="004D3658" w14:paraId="668EFD91" w14:textId="77777777" w:rsidTr="007A02FB">
        <w:trPr>
          <w:cantSplit/>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B7C16BE" w14:textId="77777777" w:rsidR="007A02FB" w:rsidRPr="004D3658" w:rsidRDefault="007A02FB" w:rsidP="007A02FB">
            <w:pPr>
              <w:widowControl/>
              <w:autoSpaceDE/>
              <w:autoSpaceDN/>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Total</w:t>
            </w:r>
          </w:p>
        </w:tc>
        <w:tc>
          <w:tcPr>
            <w:tcW w:w="1070" w:type="dxa"/>
            <w:tcBorders>
              <w:top w:val="nil"/>
              <w:left w:val="nil"/>
              <w:bottom w:val="single" w:sz="4" w:space="0" w:color="auto"/>
              <w:right w:val="single" w:sz="4" w:space="0" w:color="auto"/>
            </w:tcBorders>
            <w:shd w:val="clear" w:color="auto" w:fill="auto"/>
            <w:noWrap/>
            <w:vAlign w:val="bottom"/>
            <w:hideMark/>
          </w:tcPr>
          <w:p w14:paraId="62816D8F"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222,263 </w:t>
            </w:r>
          </w:p>
        </w:tc>
        <w:tc>
          <w:tcPr>
            <w:tcW w:w="1190" w:type="dxa"/>
            <w:tcBorders>
              <w:top w:val="nil"/>
              <w:left w:val="nil"/>
              <w:bottom w:val="single" w:sz="4" w:space="0" w:color="auto"/>
              <w:right w:val="single" w:sz="4" w:space="0" w:color="auto"/>
            </w:tcBorders>
            <w:shd w:val="clear" w:color="auto" w:fill="auto"/>
            <w:noWrap/>
            <w:vAlign w:val="bottom"/>
            <w:hideMark/>
          </w:tcPr>
          <w:p w14:paraId="1A54EE94"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111,016 </w:t>
            </w:r>
          </w:p>
        </w:tc>
        <w:tc>
          <w:tcPr>
            <w:tcW w:w="1213" w:type="dxa"/>
            <w:tcBorders>
              <w:top w:val="nil"/>
              <w:left w:val="nil"/>
              <w:bottom w:val="single" w:sz="4" w:space="0" w:color="auto"/>
              <w:right w:val="single" w:sz="4" w:space="0" w:color="auto"/>
            </w:tcBorders>
            <w:shd w:val="clear" w:color="auto" w:fill="auto"/>
            <w:noWrap/>
            <w:vAlign w:val="bottom"/>
            <w:hideMark/>
          </w:tcPr>
          <w:p w14:paraId="47515F42"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w:t>
            </w:r>
          </w:p>
        </w:tc>
        <w:tc>
          <w:tcPr>
            <w:tcW w:w="1459" w:type="dxa"/>
            <w:tcBorders>
              <w:top w:val="nil"/>
              <w:left w:val="nil"/>
              <w:bottom w:val="single" w:sz="4" w:space="0" w:color="auto"/>
              <w:right w:val="single" w:sz="4" w:space="0" w:color="auto"/>
            </w:tcBorders>
            <w:shd w:val="clear" w:color="auto" w:fill="auto"/>
            <w:noWrap/>
            <w:vAlign w:val="bottom"/>
            <w:hideMark/>
          </w:tcPr>
          <w:p w14:paraId="17C0495C"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w:t>
            </w:r>
          </w:p>
        </w:tc>
        <w:tc>
          <w:tcPr>
            <w:tcW w:w="1064" w:type="dxa"/>
            <w:tcBorders>
              <w:top w:val="nil"/>
              <w:left w:val="nil"/>
              <w:bottom w:val="single" w:sz="4" w:space="0" w:color="auto"/>
              <w:right w:val="single" w:sz="4" w:space="0" w:color="auto"/>
            </w:tcBorders>
            <w:shd w:val="clear" w:color="auto" w:fill="auto"/>
            <w:noWrap/>
            <w:vAlign w:val="bottom"/>
            <w:hideMark/>
          </w:tcPr>
          <w:p w14:paraId="46CB14DB"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393 </w:t>
            </w:r>
          </w:p>
        </w:tc>
        <w:tc>
          <w:tcPr>
            <w:tcW w:w="1064" w:type="dxa"/>
            <w:tcBorders>
              <w:top w:val="nil"/>
              <w:left w:val="nil"/>
              <w:bottom w:val="single" w:sz="4" w:space="0" w:color="auto"/>
              <w:right w:val="single" w:sz="4" w:space="0" w:color="auto"/>
            </w:tcBorders>
            <w:shd w:val="clear" w:color="auto" w:fill="auto"/>
            <w:noWrap/>
            <w:vAlign w:val="bottom"/>
            <w:hideMark/>
          </w:tcPr>
          <w:p w14:paraId="77EBE581"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392 </w:t>
            </w:r>
          </w:p>
        </w:tc>
        <w:tc>
          <w:tcPr>
            <w:tcW w:w="996" w:type="dxa"/>
            <w:tcBorders>
              <w:top w:val="nil"/>
              <w:left w:val="nil"/>
              <w:bottom w:val="single" w:sz="4" w:space="0" w:color="auto"/>
              <w:right w:val="single" w:sz="4" w:space="0" w:color="auto"/>
            </w:tcBorders>
            <w:shd w:val="clear" w:color="auto" w:fill="auto"/>
            <w:noWrap/>
            <w:vAlign w:val="bottom"/>
            <w:hideMark/>
          </w:tcPr>
          <w:p w14:paraId="2FD07ECD"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523 </w:t>
            </w:r>
          </w:p>
        </w:tc>
        <w:tc>
          <w:tcPr>
            <w:tcW w:w="980" w:type="dxa"/>
            <w:tcBorders>
              <w:top w:val="nil"/>
              <w:left w:val="nil"/>
              <w:bottom w:val="single" w:sz="4" w:space="0" w:color="auto"/>
              <w:right w:val="single" w:sz="4" w:space="0" w:color="auto"/>
            </w:tcBorders>
            <w:shd w:val="clear" w:color="auto" w:fill="auto"/>
            <w:noWrap/>
            <w:vAlign w:val="bottom"/>
            <w:hideMark/>
          </w:tcPr>
          <w:p w14:paraId="6C9D388A" w14:textId="77777777" w:rsidR="007A02FB" w:rsidRPr="004D3658" w:rsidRDefault="007A02FB" w:rsidP="007A02FB">
            <w:pPr>
              <w:widowControl/>
              <w:autoSpaceDE/>
              <w:autoSpaceDN/>
              <w:jc w:val="right"/>
              <w:rPr>
                <w:rFonts w:ascii="Aptos Narrow" w:eastAsia="Times New Roman" w:hAnsi="Aptos Narrow" w:cs="Times New Roman"/>
                <w:color w:val="000000"/>
                <w:lang w:bidi="ar-SA"/>
              </w:rPr>
            </w:pPr>
            <w:r w:rsidRPr="004D3658">
              <w:rPr>
                <w:rFonts w:ascii="Aptos Narrow" w:eastAsia="Times New Roman" w:hAnsi="Aptos Narrow" w:cs="Times New Roman"/>
                <w:color w:val="000000"/>
                <w:lang w:bidi="ar-SA"/>
              </w:rPr>
              <w:t xml:space="preserve">             523 </w:t>
            </w:r>
          </w:p>
        </w:tc>
      </w:tr>
    </w:tbl>
    <w:p w14:paraId="737CF49F" w14:textId="142AD1D2" w:rsidR="00050859" w:rsidRDefault="00050859" w:rsidP="00370905">
      <w:pPr>
        <w:pStyle w:val="BodyText"/>
        <w:rPr>
          <w:color w:val="000000" w:themeColor="text1"/>
          <w:sz w:val="24"/>
          <w:szCs w:val="24"/>
        </w:rPr>
      </w:pPr>
    </w:p>
    <w:p w14:paraId="4B863BE9" w14:textId="3A411DF7" w:rsidR="00920971" w:rsidRPr="00920971" w:rsidRDefault="2E03A306" w:rsidP="062EB659">
      <w:pPr>
        <w:pStyle w:val="BodyText"/>
        <w:rPr>
          <w:rFonts w:asciiTheme="minorHAnsi" w:hAnsiTheme="minorHAnsi" w:cstheme="minorBidi"/>
          <w:sz w:val="24"/>
          <w:szCs w:val="24"/>
        </w:rPr>
      </w:pPr>
      <w:r w:rsidRPr="062EB659">
        <w:rPr>
          <w:rFonts w:asciiTheme="minorHAnsi" w:hAnsiTheme="minorHAnsi" w:cstheme="minorBidi"/>
          <w:sz w:val="24"/>
          <w:szCs w:val="24"/>
        </w:rPr>
        <w:t>Data below show Holy Family utilization during FY17 to FY2</w:t>
      </w:r>
      <w:r w:rsidR="647A1A6F" w:rsidRPr="062EB659">
        <w:rPr>
          <w:rFonts w:asciiTheme="minorHAnsi" w:hAnsiTheme="minorHAnsi" w:cstheme="minorBidi"/>
          <w:sz w:val="24"/>
          <w:szCs w:val="24"/>
        </w:rPr>
        <w:t>2 (FY23 and FY24 are not included as Steward has not provided the state with financial and inpatient data for those fiscal years).</w:t>
      </w:r>
    </w:p>
    <w:p w14:paraId="775296D8" w14:textId="77777777" w:rsidR="00F35D7B" w:rsidRDefault="00F35D7B" w:rsidP="00127D0A">
      <w:pPr>
        <w:pStyle w:val="BodyText"/>
        <w:rPr>
          <w:rFonts w:asciiTheme="minorHAnsi" w:hAnsiTheme="minorHAnsi" w:cstheme="minorHAnsi"/>
          <w:sz w:val="24"/>
          <w:szCs w:val="24"/>
        </w:rPr>
      </w:pPr>
    </w:p>
    <w:tbl>
      <w:tblPr>
        <w:tblStyle w:val="TableGrid"/>
        <w:tblW w:w="8995" w:type="dxa"/>
        <w:tblLook w:val="04A0" w:firstRow="1" w:lastRow="0" w:firstColumn="1" w:lastColumn="0" w:noHBand="0" w:noVBand="1"/>
      </w:tblPr>
      <w:tblGrid>
        <w:gridCol w:w="2500"/>
        <w:gridCol w:w="1006"/>
        <w:gridCol w:w="1095"/>
        <w:gridCol w:w="1036"/>
        <w:gridCol w:w="1006"/>
        <w:gridCol w:w="1036"/>
        <w:gridCol w:w="1316"/>
      </w:tblGrid>
      <w:tr w:rsidR="00847002" w:rsidRPr="00847002" w14:paraId="6C3B8BE5" w14:textId="77777777" w:rsidTr="00847692">
        <w:trPr>
          <w:cantSplit/>
          <w:trHeight w:val="300"/>
          <w:tblHeader/>
        </w:trPr>
        <w:tc>
          <w:tcPr>
            <w:tcW w:w="2500" w:type="dxa"/>
            <w:noWrap/>
            <w:hideMark/>
          </w:tcPr>
          <w:p w14:paraId="485769E5" w14:textId="1B030006" w:rsidR="00847002" w:rsidRPr="00847002" w:rsidRDefault="00847002" w:rsidP="00847002">
            <w:pPr>
              <w:pStyle w:val="BodyText"/>
              <w:rPr>
                <w:rFonts w:asciiTheme="minorHAnsi" w:hAnsiTheme="minorHAnsi" w:cstheme="minorHAnsi"/>
                <w:sz w:val="24"/>
                <w:szCs w:val="24"/>
              </w:rPr>
            </w:pPr>
            <w:r w:rsidRPr="00847002">
              <w:rPr>
                <w:rFonts w:asciiTheme="minorHAnsi" w:hAnsiTheme="minorHAnsi" w:cstheme="minorHAnsi"/>
                <w:sz w:val="24"/>
                <w:szCs w:val="24"/>
              </w:rPr>
              <w:t>Holy Family Hospital</w:t>
            </w:r>
          </w:p>
        </w:tc>
        <w:tc>
          <w:tcPr>
            <w:tcW w:w="1006" w:type="dxa"/>
            <w:noWrap/>
            <w:hideMark/>
          </w:tcPr>
          <w:p w14:paraId="5C8649A9" w14:textId="77777777" w:rsidR="00847002" w:rsidRPr="00847002" w:rsidRDefault="00847002" w:rsidP="00847002">
            <w:pPr>
              <w:pStyle w:val="BodyText"/>
              <w:jc w:val="center"/>
              <w:rPr>
                <w:rFonts w:asciiTheme="minorHAnsi" w:hAnsiTheme="minorHAnsi" w:cstheme="minorHAnsi"/>
                <w:b/>
                <w:bCs/>
                <w:sz w:val="24"/>
                <w:szCs w:val="24"/>
              </w:rPr>
            </w:pPr>
            <w:r w:rsidRPr="00847002">
              <w:rPr>
                <w:rFonts w:asciiTheme="minorHAnsi" w:hAnsiTheme="minorHAnsi" w:cstheme="minorHAnsi"/>
                <w:b/>
                <w:bCs/>
                <w:sz w:val="24"/>
                <w:szCs w:val="24"/>
              </w:rPr>
              <w:t>FY17</w:t>
            </w:r>
          </w:p>
        </w:tc>
        <w:tc>
          <w:tcPr>
            <w:tcW w:w="1095" w:type="dxa"/>
            <w:noWrap/>
            <w:hideMark/>
          </w:tcPr>
          <w:p w14:paraId="26C4BF93" w14:textId="77777777" w:rsidR="00847002" w:rsidRPr="00847002" w:rsidRDefault="00847002" w:rsidP="00847002">
            <w:pPr>
              <w:pStyle w:val="BodyText"/>
              <w:jc w:val="center"/>
              <w:rPr>
                <w:rFonts w:asciiTheme="minorHAnsi" w:hAnsiTheme="minorHAnsi" w:cstheme="minorHAnsi"/>
                <w:b/>
                <w:bCs/>
                <w:sz w:val="24"/>
                <w:szCs w:val="24"/>
              </w:rPr>
            </w:pPr>
            <w:r w:rsidRPr="00847002">
              <w:rPr>
                <w:rFonts w:asciiTheme="minorHAnsi" w:hAnsiTheme="minorHAnsi" w:cstheme="minorHAnsi"/>
                <w:b/>
                <w:bCs/>
                <w:sz w:val="24"/>
                <w:szCs w:val="24"/>
              </w:rPr>
              <w:t>FY18</w:t>
            </w:r>
          </w:p>
        </w:tc>
        <w:tc>
          <w:tcPr>
            <w:tcW w:w="1036" w:type="dxa"/>
            <w:noWrap/>
            <w:hideMark/>
          </w:tcPr>
          <w:p w14:paraId="64F62272" w14:textId="77777777" w:rsidR="00847002" w:rsidRPr="00847002" w:rsidRDefault="00847002" w:rsidP="00847002">
            <w:pPr>
              <w:pStyle w:val="BodyText"/>
              <w:jc w:val="center"/>
              <w:rPr>
                <w:rFonts w:asciiTheme="minorHAnsi" w:hAnsiTheme="minorHAnsi" w:cstheme="minorHAnsi"/>
                <w:b/>
                <w:bCs/>
                <w:sz w:val="24"/>
                <w:szCs w:val="24"/>
              </w:rPr>
            </w:pPr>
            <w:r w:rsidRPr="00847002">
              <w:rPr>
                <w:rFonts w:asciiTheme="minorHAnsi" w:hAnsiTheme="minorHAnsi" w:cstheme="minorHAnsi"/>
                <w:b/>
                <w:bCs/>
                <w:sz w:val="24"/>
                <w:szCs w:val="24"/>
              </w:rPr>
              <w:t>FY19</w:t>
            </w:r>
          </w:p>
        </w:tc>
        <w:tc>
          <w:tcPr>
            <w:tcW w:w="1006" w:type="dxa"/>
            <w:noWrap/>
            <w:hideMark/>
          </w:tcPr>
          <w:p w14:paraId="51946A85" w14:textId="77777777" w:rsidR="00847002" w:rsidRPr="00847002" w:rsidRDefault="00847002" w:rsidP="00847002">
            <w:pPr>
              <w:pStyle w:val="BodyText"/>
              <w:jc w:val="center"/>
              <w:rPr>
                <w:rFonts w:asciiTheme="minorHAnsi" w:hAnsiTheme="minorHAnsi" w:cstheme="minorHAnsi"/>
                <w:b/>
                <w:bCs/>
                <w:sz w:val="24"/>
                <w:szCs w:val="24"/>
              </w:rPr>
            </w:pPr>
            <w:r w:rsidRPr="00847002">
              <w:rPr>
                <w:rFonts w:asciiTheme="minorHAnsi" w:hAnsiTheme="minorHAnsi" w:cstheme="minorHAnsi"/>
                <w:b/>
                <w:bCs/>
                <w:sz w:val="24"/>
                <w:szCs w:val="24"/>
              </w:rPr>
              <w:t>FY20</w:t>
            </w:r>
          </w:p>
        </w:tc>
        <w:tc>
          <w:tcPr>
            <w:tcW w:w="1036" w:type="dxa"/>
            <w:noWrap/>
            <w:hideMark/>
          </w:tcPr>
          <w:p w14:paraId="45C75ADD" w14:textId="77777777" w:rsidR="00847002" w:rsidRPr="00847002" w:rsidRDefault="00847002" w:rsidP="00847002">
            <w:pPr>
              <w:pStyle w:val="BodyText"/>
              <w:jc w:val="center"/>
              <w:rPr>
                <w:rFonts w:asciiTheme="minorHAnsi" w:hAnsiTheme="minorHAnsi" w:cstheme="minorHAnsi"/>
                <w:b/>
                <w:bCs/>
                <w:sz w:val="24"/>
                <w:szCs w:val="24"/>
              </w:rPr>
            </w:pPr>
            <w:r w:rsidRPr="00847002">
              <w:rPr>
                <w:rFonts w:asciiTheme="minorHAnsi" w:hAnsiTheme="minorHAnsi" w:cstheme="minorHAnsi"/>
                <w:b/>
                <w:bCs/>
                <w:sz w:val="24"/>
                <w:szCs w:val="24"/>
              </w:rPr>
              <w:t>FY21</w:t>
            </w:r>
          </w:p>
        </w:tc>
        <w:tc>
          <w:tcPr>
            <w:tcW w:w="1316" w:type="dxa"/>
            <w:noWrap/>
            <w:hideMark/>
          </w:tcPr>
          <w:p w14:paraId="0BF5B55E" w14:textId="77777777" w:rsidR="00847002" w:rsidRPr="00847002" w:rsidRDefault="00847002" w:rsidP="00847002">
            <w:pPr>
              <w:pStyle w:val="BodyText"/>
              <w:jc w:val="center"/>
              <w:rPr>
                <w:rFonts w:asciiTheme="minorHAnsi" w:hAnsiTheme="minorHAnsi" w:cstheme="minorHAnsi"/>
                <w:b/>
                <w:bCs/>
                <w:sz w:val="24"/>
                <w:szCs w:val="24"/>
              </w:rPr>
            </w:pPr>
            <w:r w:rsidRPr="00847002">
              <w:rPr>
                <w:rFonts w:asciiTheme="minorHAnsi" w:hAnsiTheme="minorHAnsi" w:cstheme="minorHAnsi"/>
                <w:b/>
                <w:bCs/>
                <w:sz w:val="24"/>
                <w:szCs w:val="24"/>
              </w:rPr>
              <w:t>FY22</w:t>
            </w:r>
          </w:p>
        </w:tc>
      </w:tr>
      <w:tr w:rsidR="00847002" w:rsidRPr="00847002" w14:paraId="58E98FBB" w14:textId="77777777" w:rsidTr="00847692">
        <w:trPr>
          <w:cantSplit/>
          <w:trHeight w:val="290"/>
        </w:trPr>
        <w:tc>
          <w:tcPr>
            <w:tcW w:w="2500" w:type="dxa"/>
            <w:noWrap/>
            <w:hideMark/>
          </w:tcPr>
          <w:p w14:paraId="4372CB99" w14:textId="77777777" w:rsidR="00847002" w:rsidRPr="00847002" w:rsidRDefault="00847002" w:rsidP="00847002">
            <w:pPr>
              <w:pStyle w:val="BodyText"/>
              <w:rPr>
                <w:rFonts w:asciiTheme="minorHAnsi" w:hAnsiTheme="minorHAnsi" w:cstheme="minorHAnsi"/>
                <w:sz w:val="24"/>
                <w:szCs w:val="24"/>
              </w:rPr>
            </w:pPr>
            <w:r w:rsidRPr="00847002">
              <w:rPr>
                <w:rFonts w:asciiTheme="minorHAnsi" w:hAnsiTheme="minorHAnsi" w:cstheme="minorHAnsi"/>
                <w:sz w:val="24"/>
                <w:szCs w:val="24"/>
              </w:rPr>
              <w:t>Inpatient Discharges</w:t>
            </w:r>
          </w:p>
        </w:tc>
        <w:tc>
          <w:tcPr>
            <w:tcW w:w="1006" w:type="dxa"/>
            <w:hideMark/>
          </w:tcPr>
          <w:p w14:paraId="25F98CB8"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13,422</w:t>
            </w:r>
          </w:p>
        </w:tc>
        <w:tc>
          <w:tcPr>
            <w:tcW w:w="1095" w:type="dxa"/>
            <w:noWrap/>
            <w:hideMark/>
          </w:tcPr>
          <w:p w14:paraId="7198240A"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13,024</w:t>
            </w:r>
          </w:p>
        </w:tc>
        <w:tc>
          <w:tcPr>
            <w:tcW w:w="1036" w:type="dxa"/>
            <w:noWrap/>
            <w:hideMark/>
          </w:tcPr>
          <w:p w14:paraId="74AB927C"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13,308</w:t>
            </w:r>
          </w:p>
        </w:tc>
        <w:tc>
          <w:tcPr>
            <w:tcW w:w="1006" w:type="dxa"/>
            <w:noWrap/>
            <w:hideMark/>
          </w:tcPr>
          <w:p w14:paraId="751F8CD0"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12,769</w:t>
            </w:r>
          </w:p>
        </w:tc>
        <w:tc>
          <w:tcPr>
            <w:tcW w:w="1036" w:type="dxa"/>
            <w:noWrap/>
            <w:hideMark/>
          </w:tcPr>
          <w:p w14:paraId="566A0BCF"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13,473</w:t>
            </w:r>
          </w:p>
        </w:tc>
        <w:tc>
          <w:tcPr>
            <w:tcW w:w="1316" w:type="dxa"/>
            <w:noWrap/>
            <w:hideMark/>
          </w:tcPr>
          <w:p w14:paraId="3D53F4F7"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10,265</w:t>
            </w:r>
          </w:p>
        </w:tc>
      </w:tr>
      <w:tr w:rsidR="00847002" w:rsidRPr="00847002" w14:paraId="1B30F068" w14:textId="77777777" w:rsidTr="00847692">
        <w:trPr>
          <w:cantSplit/>
          <w:trHeight w:val="300"/>
        </w:trPr>
        <w:tc>
          <w:tcPr>
            <w:tcW w:w="2500" w:type="dxa"/>
            <w:noWrap/>
            <w:hideMark/>
          </w:tcPr>
          <w:p w14:paraId="133BD745" w14:textId="77777777" w:rsidR="00847002" w:rsidRPr="00847002" w:rsidRDefault="00847002" w:rsidP="00847002">
            <w:pPr>
              <w:pStyle w:val="BodyText"/>
              <w:rPr>
                <w:rFonts w:asciiTheme="minorHAnsi" w:hAnsiTheme="minorHAnsi" w:cstheme="minorHAnsi"/>
                <w:sz w:val="24"/>
                <w:szCs w:val="24"/>
              </w:rPr>
            </w:pPr>
            <w:r w:rsidRPr="00847002">
              <w:rPr>
                <w:rFonts w:asciiTheme="minorHAnsi" w:hAnsiTheme="minorHAnsi" w:cstheme="minorHAnsi"/>
                <w:sz w:val="24"/>
                <w:szCs w:val="24"/>
              </w:rPr>
              <w:t>Inpatient Days</w:t>
            </w:r>
          </w:p>
        </w:tc>
        <w:tc>
          <w:tcPr>
            <w:tcW w:w="1006" w:type="dxa"/>
            <w:hideMark/>
          </w:tcPr>
          <w:p w14:paraId="79BE3FD7"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63,705</w:t>
            </w:r>
          </w:p>
        </w:tc>
        <w:tc>
          <w:tcPr>
            <w:tcW w:w="1095" w:type="dxa"/>
            <w:hideMark/>
          </w:tcPr>
          <w:p w14:paraId="12A409C7"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65,103</w:t>
            </w:r>
          </w:p>
        </w:tc>
        <w:tc>
          <w:tcPr>
            <w:tcW w:w="1036" w:type="dxa"/>
            <w:hideMark/>
          </w:tcPr>
          <w:p w14:paraId="3A17D5B5"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64,226</w:t>
            </w:r>
          </w:p>
        </w:tc>
        <w:tc>
          <w:tcPr>
            <w:tcW w:w="1006" w:type="dxa"/>
            <w:hideMark/>
          </w:tcPr>
          <w:p w14:paraId="3F6E665B"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61,809</w:t>
            </w:r>
          </w:p>
        </w:tc>
        <w:tc>
          <w:tcPr>
            <w:tcW w:w="1036" w:type="dxa"/>
            <w:noWrap/>
            <w:hideMark/>
          </w:tcPr>
          <w:p w14:paraId="09599697"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62,155</w:t>
            </w:r>
          </w:p>
        </w:tc>
        <w:tc>
          <w:tcPr>
            <w:tcW w:w="1316" w:type="dxa"/>
            <w:noWrap/>
            <w:hideMark/>
          </w:tcPr>
          <w:p w14:paraId="4CF2D70D" w14:textId="3B6CB870" w:rsidR="00847002" w:rsidRPr="00847002" w:rsidRDefault="00847002" w:rsidP="00920971">
            <w:pPr>
              <w:pStyle w:val="BodyText"/>
              <w:jc w:val="right"/>
              <w:rPr>
                <w:rFonts w:asciiTheme="minorHAnsi" w:hAnsiTheme="minorHAnsi" w:cstheme="minorHAnsi"/>
                <w:sz w:val="24"/>
                <w:szCs w:val="24"/>
              </w:rPr>
            </w:pPr>
            <w:r>
              <w:rPr>
                <w:rFonts w:asciiTheme="minorHAnsi" w:hAnsiTheme="minorHAnsi" w:cstheme="minorHAnsi"/>
                <w:sz w:val="24"/>
                <w:szCs w:val="24"/>
              </w:rPr>
              <w:t>61,224</w:t>
            </w:r>
          </w:p>
        </w:tc>
      </w:tr>
      <w:tr w:rsidR="00847002" w:rsidRPr="00847002" w14:paraId="770FD221" w14:textId="77777777" w:rsidTr="00847692">
        <w:trPr>
          <w:cantSplit/>
          <w:trHeight w:val="290"/>
        </w:trPr>
        <w:tc>
          <w:tcPr>
            <w:tcW w:w="2500" w:type="dxa"/>
            <w:noWrap/>
            <w:hideMark/>
          </w:tcPr>
          <w:p w14:paraId="3F8381B9" w14:textId="77777777" w:rsidR="00847002" w:rsidRPr="00847002" w:rsidRDefault="00847002" w:rsidP="00847002">
            <w:pPr>
              <w:pStyle w:val="BodyText"/>
              <w:rPr>
                <w:rFonts w:asciiTheme="minorHAnsi" w:hAnsiTheme="minorHAnsi" w:cstheme="minorHAnsi"/>
                <w:sz w:val="24"/>
                <w:szCs w:val="24"/>
              </w:rPr>
            </w:pPr>
            <w:r w:rsidRPr="00847002">
              <w:rPr>
                <w:rFonts w:asciiTheme="minorHAnsi" w:hAnsiTheme="minorHAnsi" w:cstheme="minorHAnsi"/>
                <w:sz w:val="24"/>
                <w:szCs w:val="24"/>
              </w:rPr>
              <w:t>Average LOS</w:t>
            </w:r>
          </w:p>
        </w:tc>
        <w:tc>
          <w:tcPr>
            <w:tcW w:w="1006" w:type="dxa"/>
            <w:hideMark/>
          </w:tcPr>
          <w:p w14:paraId="33147C09"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4.75</w:t>
            </w:r>
          </w:p>
        </w:tc>
        <w:tc>
          <w:tcPr>
            <w:tcW w:w="1095" w:type="dxa"/>
            <w:hideMark/>
          </w:tcPr>
          <w:p w14:paraId="33E73957"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5</w:t>
            </w:r>
          </w:p>
        </w:tc>
        <w:tc>
          <w:tcPr>
            <w:tcW w:w="1036" w:type="dxa"/>
            <w:hideMark/>
          </w:tcPr>
          <w:p w14:paraId="488F90CD" w14:textId="77777777" w:rsidR="00847002" w:rsidRPr="00847002" w:rsidRDefault="00847002" w:rsidP="00920971">
            <w:pPr>
              <w:pStyle w:val="BodyText"/>
              <w:ind w:right="-70"/>
              <w:jc w:val="right"/>
              <w:rPr>
                <w:rFonts w:asciiTheme="minorHAnsi" w:hAnsiTheme="minorHAnsi" w:cstheme="minorHAnsi"/>
                <w:sz w:val="24"/>
                <w:szCs w:val="24"/>
              </w:rPr>
            </w:pPr>
            <w:r w:rsidRPr="00847002">
              <w:rPr>
                <w:rFonts w:asciiTheme="minorHAnsi" w:hAnsiTheme="minorHAnsi" w:cstheme="minorHAnsi"/>
                <w:sz w:val="24"/>
                <w:szCs w:val="24"/>
              </w:rPr>
              <w:t>4.83</w:t>
            </w:r>
          </w:p>
        </w:tc>
        <w:tc>
          <w:tcPr>
            <w:tcW w:w="1006" w:type="dxa"/>
            <w:hideMark/>
          </w:tcPr>
          <w:p w14:paraId="46B2EC47"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4.84</w:t>
            </w:r>
          </w:p>
        </w:tc>
        <w:tc>
          <w:tcPr>
            <w:tcW w:w="1036" w:type="dxa"/>
            <w:noWrap/>
            <w:hideMark/>
          </w:tcPr>
          <w:p w14:paraId="591F3788" w14:textId="77777777" w:rsidR="00847002" w:rsidRPr="00847002" w:rsidRDefault="00847002" w:rsidP="00920971">
            <w:pPr>
              <w:pStyle w:val="BodyText"/>
              <w:ind w:right="-40"/>
              <w:jc w:val="right"/>
              <w:rPr>
                <w:rFonts w:asciiTheme="minorHAnsi" w:hAnsiTheme="minorHAnsi" w:cstheme="minorHAnsi"/>
                <w:sz w:val="24"/>
                <w:szCs w:val="24"/>
              </w:rPr>
            </w:pPr>
            <w:r w:rsidRPr="00847002">
              <w:rPr>
                <w:rFonts w:asciiTheme="minorHAnsi" w:hAnsiTheme="minorHAnsi" w:cstheme="minorHAnsi"/>
                <w:sz w:val="24"/>
                <w:szCs w:val="24"/>
              </w:rPr>
              <w:t>4.61</w:t>
            </w:r>
          </w:p>
        </w:tc>
        <w:tc>
          <w:tcPr>
            <w:tcW w:w="1316" w:type="dxa"/>
            <w:noWrap/>
            <w:hideMark/>
          </w:tcPr>
          <w:p w14:paraId="1DA25126"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4.83</w:t>
            </w:r>
          </w:p>
        </w:tc>
      </w:tr>
      <w:tr w:rsidR="00847002" w:rsidRPr="00847002" w14:paraId="57FAA6D9" w14:textId="77777777" w:rsidTr="00847692">
        <w:trPr>
          <w:cantSplit/>
          <w:trHeight w:val="350"/>
        </w:trPr>
        <w:tc>
          <w:tcPr>
            <w:tcW w:w="2500" w:type="dxa"/>
            <w:noWrap/>
            <w:hideMark/>
          </w:tcPr>
          <w:p w14:paraId="34FD2616" w14:textId="77777777" w:rsidR="00847002" w:rsidRPr="00847002" w:rsidRDefault="00847002" w:rsidP="00847002">
            <w:pPr>
              <w:pStyle w:val="BodyText"/>
              <w:rPr>
                <w:rFonts w:asciiTheme="minorHAnsi" w:hAnsiTheme="minorHAnsi" w:cstheme="minorHAnsi"/>
                <w:sz w:val="24"/>
                <w:szCs w:val="24"/>
              </w:rPr>
            </w:pPr>
            <w:r w:rsidRPr="00847002">
              <w:rPr>
                <w:rFonts w:asciiTheme="minorHAnsi" w:hAnsiTheme="minorHAnsi" w:cstheme="minorHAnsi"/>
                <w:sz w:val="24"/>
                <w:szCs w:val="24"/>
              </w:rPr>
              <w:t>Outpatient Visits</w:t>
            </w:r>
          </w:p>
        </w:tc>
        <w:tc>
          <w:tcPr>
            <w:tcW w:w="1006" w:type="dxa"/>
            <w:noWrap/>
            <w:hideMark/>
          </w:tcPr>
          <w:p w14:paraId="6EAAFB9F" w14:textId="77777777" w:rsidR="00847002" w:rsidRPr="00847002" w:rsidRDefault="00847002" w:rsidP="00920971">
            <w:pPr>
              <w:pStyle w:val="BodyText"/>
              <w:ind w:right="-110"/>
              <w:jc w:val="right"/>
              <w:rPr>
                <w:rFonts w:asciiTheme="minorHAnsi" w:hAnsiTheme="minorHAnsi" w:cstheme="minorHAnsi"/>
                <w:sz w:val="24"/>
                <w:szCs w:val="24"/>
              </w:rPr>
            </w:pPr>
            <w:r w:rsidRPr="00847002">
              <w:rPr>
                <w:rFonts w:asciiTheme="minorHAnsi" w:hAnsiTheme="minorHAnsi" w:cstheme="minorHAnsi"/>
                <w:sz w:val="24"/>
                <w:szCs w:val="24"/>
              </w:rPr>
              <w:t>130,005</w:t>
            </w:r>
          </w:p>
        </w:tc>
        <w:tc>
          <w:tcPr>
            <w:tcW w:w="1095" w:type="dxa"/>
            <w:noWrap/>
            <w:hideMark/>
          </w:tcPr>
          <w:p w14:paraId="3083F69A" w14:textId="77777777" w:rsidR="00847002" w:rsidRPr="00847002" w:rsidRDefault="00847002" w:rsidP="00920971">
            <w:pPr>
              <w:pStyle w:val="BodyText"/>
              <w:ind w:right="-90"/>
              <w:jc w:val="right"/>
              <w:rPr>
                <w:rFonts w:asciiTheme="minorHAnsi" w:hAnsiTheme="minorHAnsi" w:cstheme="minorHAnsi"/>
                <w:sz w:val="24"/>
                <w:szCs w:val="24"/>
              </w:rPr>
            </w:pPr>
            <w:r w:rsidRPr="00847002">
              <w:rPr>
                <w:rFonts w:asciiTheme="minorHAnsi" w:hAnsiTheme="minorHAnsi" w:cstheme="minorHAnsi"/>
                <w:sz w:val="24"/>
                <w:szCs w:val="24"/>
              </w:rPr>
              <w:t>129,698</w:t>
            </w:r>
          </w:p>
        </w:tc>
        <w:tc>
          <w:tcPr>
            <w:tcW w:w="1036" w:type="dxa"/>
            <w:noWrap/>
            <w:hideMark/>
          </w:tcPr>
          <w:p w14:paraId="519844E4"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129,698</w:t>
            </w:r>
          </w:p>
        </w:tc>
        <w:tc>
          <w:tcPr>
            <w:tcW w:w="1006" w:type="dxa"/>
            <w:noWrap/>
            <w:hideMark/>
          </w:tcPr>
          <w:p w14:paraId="5997BB97" w14:textId="77777777" w:rsidR="00847002" w:rsidRPr="00847002" w:rsidRDefault="00847002" w:rsidP="00920971">
            <w:pPr>
              <w:pStyle w:val="BodyText"/>
              <w:ind w:right="-60"/>
              <w:jc w:val="right"/>
              <w:rPr>
                <w:rFonts w:asciiTheme="minorHAnsi" w:hAnsiTheme="minorHAnsi" w:cstheme="minorHAnsi"/>
                <w:sz w:val="24"/>
                <w:szCs w:val="24"/>
              </w:rPr>
            </w:pPr>
            <w:r w:rsidRPr="00847002">
              <w:rPr>
                <w:rFonts w:asciiTheme="minorHAnsi" w:hAnsiTheme="minorHAnsi" w:cstheme="minorHAnsi"/>
                <w:sz w:val="24"/>
                <w:szCs w:val="24"/>
              </w:rPr>
              <w:t>109,602</w:t>
            </w:r>
          </w:p>
        </w:tc>
        <w:tc>
          <w:tcPr>
            <w:tcW w:w="1036" w:type="dxa"/>
            <w:noWrap/>
            <w:hideMark/>
          </w:tcPr>
          <w:p w14:paraId="2D0464C0" w14:textId="77777777" w:rsidR="00847002" w:rsidRPr="00847002" w:rsidRDefault="00847002" w:rsidP="00920971">
            <w:pPr>
              <w:pStyle w:val="BodyText"/>
              <w:jc w:val="right"/>
              <w:rPr>
                <w:rFonts w:asciiTheme="minorHAnsi" w:hAnsiTheme="minorHAnsi" w:cstheme="minorHAnsi"/>
                <w:sz w:val="24"/>
                <w:szCs w:val="24"/>
              </w:rPr>
            </w:pPr>
            <w:r w:rsidRPr="00847002">
              <w:rPr>
                <w:rFonts w:asciiTheme="minorHAnsi" w:hAnsiTheme="minorHAnsi" w:cstheme="minorHAnsi"/>
                <w:sz w:val="24"/>
                <w:szCs w:val="24"/>
              </w:rPr>
              <w:t>120,005</w:t>
            </w:r>
          </w:p>
        </w:tc>
        <w:tc>
          <w:tcPr>
            <w:tcW w:w="1316" w:type="dxa"/>
            <w:noWrap/>
            <w:hideMark/>
          </w:tcPr>
          <w:p w14:paraId="1C99EBE0" w14:textId="43739A2F" w:rsidR="00847002" w:rsidRPr="00847002" w:rsidRDefault="00920971" w:rsidP="00920971">
            <w:pPr>
              <w:pStyle w:val="BodyText"/>
              <w:jc w:val="right"/>
              <w:rPr>
                <w:rFonts w:asciiTheme="minorHAnsi" w:hAnsiTheme="minorHAnsi" w:cstheme="minorHAnsi"/>
                <w:sz w:val="24"/>
                <w:szCs w:val="24"/>
              </w:rPr>
            </w:pPr>
            <w:r>
              <w:rPr>
                <w:rFonts w:asciiTheme="minorHAnsi" w:hAnsiTheme="minorHAnsi" w:cstheme="minorHAnsi"/>
                <w:sz w:val="24"/>
                <w:szCs w:val="24"/>
              </w:rPr>
              <w:t>-</w:t>
            </w:r>
          </w:p>
        </w:tc>
      </w:tr>
    </w:tbl>
    <w:p w14:paraId="2C0B2ABF" w14:textId="77777777" w:rsidR="00920971" w:rsidRDefault="00920971" w:rsidP="00127D0A">
      <w:pPr>
        <w:pStyle w:val="BodyText"/>
        <w:rPr>
          <w:rFonts w:asciiTheme="minorHAnsi" w:hAnsiTheme="minorHAnsi" w:cstheme="minorBidi"/>
          <w:sz w:val="24"/>
          <w:szCs w:val="24"/>
        </w:rPr>
      </w:pPr>
    </w:p>
    <w:p w14:paraId="4A450B73" w14:textId="1FEF5E8B" w:rsidR="00685A47" w:rsidRDefault="31FDFEFE" w:rsidP="00920971">
      <w:pPr>
        <w:pStyle w:val="BodyText"/>
        <w:rPr>
          <w:rFonts w:asciiTheme="minorHAnsi" w:hAnsiTheme="minorHAnsi" w:cstheme="minorHAnsi"/>
          <w:sz w:val="24"/>
          <w:szCs w:val="24"/>
        </w:rPr>
      </w:pPr>
      <w:r w:rsidRPr="1CDA31B1">
        <w:rPr>
          <w:rFonts w:asciiTheme="minorHAnsi" w:hAnsiTheme="minorHAnsi" w:cstheme="minorBidi"/>
          <w:sz w:val="24"/>
          <w:szCs w:val="24"/>
        </w:rPr>
        <w:t>Staff also notes that</w:t>
      </w:r>
      <w:r w:rsidR="1BCFDCD4" w:rsidRPr="1CDA31B1">
        <w:rPr>
          <w:rFonts w:asciiTheme="minorHAnsi" w:hAnsiTheme="minorHAnsi" w:cstheme="minorBidi"/>
          <w:sz w:val="24"/>
          <w:szCs w:val="24"/>
        </w:rPr>
        <w:t xml:space="preserve"> H</w:t>
      </w:r>
      <w:r w:rsidR="1C622ACD" w:rsidRPr="1CDA31B1">
        <w:rPr>
          <w:rFonts w:asciiTheme="minorHAnsi" w:hAnsiTheme="minorHAnsi" w:cstheme="minorBidi"/>
          <w:sz w:val="24"/>
          <w:szCs w:val="24"/>
        </w:rPr>
        <w:t>FH</w:t>
      </w:r>
      <w:r w:rsidR="7AD2CBC3" w:rsidRPr="1CDA31B1">
        <w:rPr>
          <w:rFonts w:asciiTheme="minorHAnsi" w:hAnsiTheme="minorHAnsi" w:cstheme="minorBidi"/>
          <w:sz w:val="24"/>
          <w:szCs w:val="24"/>
        </w:rPr>
        <w:t xml:space="preserve"> </w:t>
      </w:r>
      <w:r w:rsidR="5490093F" w:rsidRPr="1CDA31B1">
        <w:rPr>
          <w:rFonts w:asciiTheme="minorHAnsi" w:hAnsiTheme="minorHAnsi" w:cstheme="minorBidi"/>
          <w:sz w:val="24"/>
          <w:szCs w:val="24"/>
        </w:rPr>
        <w:t>is a high public paying hospital with public payer mix of 69.</w:t>
      </w:r>
      <w:r w:rsidR="147AAC55" w:rsidRPr="1CDA31B1">
        <w:rPr>
          <w:rFonts w:asciiTheme="minorHAnsi" w:hAnsiTheme="minorHAnsi" w:cstheme="minorBidi"/>
          <w:sz w:val="24"/>
          <w:szCs w:val="24"/>
        </w:rPr>
        <w:t>5</w:t>
      </w:r>
      <w:r w:rsidR="5490093F" w:rsidRPr="1CDA31B1">
        <w:rPr>
          <w:rFonts w:asciiTheme="minorHAnsi" w:hAnsiTheme="minorHAnsi" w:cstheme="minorBidi"/>
          <w:sz w:val="24"/>
          <w:szCs w:val="24"/>
        </w:rPr>
        <w:t>%.</w:t>
      </w:r>
      <w:r w:rsidR="008B5620" w:rsidRPr="1CDA31B1">
        <w:rPr>
          <w:rStyle w:val="FootnoteReference"/>
          <w:rFonts w:asciiTheme="minorHAnsi" w:hAnsiTheme="minorHAnsi" w:cstheme="minorBidi"/>
          <w:sz w:val="24"/>
          <w:szCs w:val="24"/>
        </w:rPr>
        <w:footnoteReference w:id="6"/>
      </w:r>
      <w:r w:rsidR="5490093F" w:rsidRPr="1CDA31B1">
        <w:rPr>
          <w:rFonts w:asciiTheme="minorHAnsi" w:hAnsiTheme="minorHAnsi" w:cstheme="minorBidi"/>
          <w:sz w:val="24"/>
          <w:szCs w:val="24"/>
        </w:rPr>
        <w:t xml:space="preserve"> The</w:t>
      </w:r>
      <w:r w:rsidR="0B0190AE" w:rsidRPr="1CDA31B1">
        <w:rPr>
          <w:rFonts w:asciiTheme="minorHAnsi" w:hAnsiTheme="minorHAnsi" w:cstheme="minorBidi"/>
          <w:sz w:val="24"/>
          <w:szCs w:val="24"/>
        </w:rPr>
        <w:t xml:space="preserve"> </w:t>
      </w:r>
      <w:r w:rsidR="5490093F" w:rsidRPr="1CDA31B1">
        <w:rPr>
          <w:rFonts w:asciiTheme="minorHAnsi" w:hAnsiTheme="minorHAnsi" w:cstheme="minorBidi"/>
          <w:sz w:val="24"/>
          <w:szCs w:val="24"/>
        </w:rPr>
        <w:t xml:space="preserve">persistent need </w:t>
      </w:r>
      <w:r w:rsidR="0D038AED" w:rsidRPr="1CDA31B1">
        <w:rPr>
          <w:rFonts w:asciiTheme="minorHAnsi" w:hAnsiTheme="minorHAnsi" w:cstheme="minorBidi"/>
          <w:sz w:val="24"/>
          <w:szCs w:val="24"/>
        </w:rPr>
        <w:t>for access to health care</w:t>
      </w:r>
      <w:r w:rsidR="0B0190AE" w:rsidRPr="1CDA31B1">
        <w:rPr>
          <w:rFonts w:asciiTheme="minorHAnsi" w:hAnsiTheme="minorHAnsi" w:cstheme="minorBidi"/>
          <w:sz w:val="24"/>
          <w:szCs w:val="24"/>
        </w:rPr>
        <w:t xml:space="preserve"> </w:t>
      </w:r>
      <w:r w:rsidR="0D038AED" w:rsidRPr="1CDA31B1">
        <w:rPr>
          <w:rFonts w:asciiTheme="minorHAnsi" w:hAnsiTheme="minorHAnsi" w:cstheme="minorBidi"/>
          <w:sz w:val="24"/>
          <w:szCs w:val="24"/>
        </w:rPr>
        <w:t>for under resourced populations is well documented</w:t>
      </w:r>
      <w:r w:rsidR="6FC939BF" w:rsidRPr="1CDA31B1">
        <w:rPr>
          <w:rFonts w:asciiTheme="minorHAnsi" w:hAnsiTheme="minorHAnsi" w:cstheme="minorBidi"/>
          <w:sz w:val="24"/>
          <w:szCs w:val="24"/>
        </w:rPr>
        <w:t xml:space="preserve"> in Massachusetts</w:t>
      </w:r>
      <w:r w:rsidR="5490093F" w:rsidRPr="1CDA31B1">
        <w:rPr>
          <w:rFonts w:asciiTheme="minorHAnsi" w:hAnsiTheme="minorHAnsi" w:cstheme="minorBidi"/>
          <w:sz w:val="24"/>
          <w:szCs w:val="24"/>
        </w:rPr>
        <w:t>,</w:t>
      </w:r>
      <w:r w:rsidR="0D038AED" w:rsidRPr="1CDA31B1">
        <w:rPr>
          <w:rFonts w:asciiTheme="minorHAnsi" w:hAnsiTheme="minorHAnsi" w:cstheme="minorBidi"/>
          <w:sz w:val="24"/>
          <w:szCs w:val="24"/>
        </w:rPr>
        <w:t xml:space="preserve"> and a cessation of these services would create an undue burden on patients and their families in terms of unnecessary delays in treatment, </w:t>
      </w:r>
      <w:r w:rsidR="65348C71" w:rsidRPr="1CDA31B1">
        <w:rPr>
          <w:rFonts w:asciiTheme="minorHAnsi" w:hAnsiTheme="minorHAnsi" w:cstheme="minorBidi"/>
          <w:sz w:val="24"/>
          <w:szCs w:val="24"/>
        </w:rPr>
        <w:t>travel,</w:t>
      </w:r>
      <w:r w:rsidR="0D038AED" w:rsidRPr="1CDA31B1">
        <w:rPr>
          <w:rFonts w:asciiTheme="minorHAnsi" w:hAnsiTheme="minorHAnsi" w:cstheme="minorBidi"/>
          <w:sz w:val="24"/>
          <w:szCs w:val="24"/>
        </w:rPr>
        <w:t xml:space="preserve"> and time off from work thereby potentially resulting in </w:t>
      </w:r>
      <w:r w:rsidR="12115CA2" w:rsidRPr="1CDA31B1">
        <w:rPr>
          <w:rFonts w:asciiTheme="minorHAnsi" w:hAnsiTheme="minorHAnsi" w:cstheme="minorBidi"/>
          <w:sz w:val="24"/>
          <w:szCs w:val="24"/>
        </w:rPr>
        <w:t>negative public health outcomes.</w:t>
      </w:r>
    </w:p>
    <w:p w14:paraId="26C774E6" w14:textId="77777777" w:rsidR="00EA2F58" w:rsidRDefault="00EA2F58" w:rsidP="00920971">
      <w:pPr>
        <w:pStyle w:val="BodyText"/>
        <w:rPr>
          <w:rFonts w:asciiTheme="minorHAnsi" w:hAnsiTheme="minorHAnsi" w:cstheme="minorHAnsi"/>
          <w:sz w:val="24"/>
          <w:szCs w:val="24"/>
        </w:rPr>
      </w:pPr>
    </w:p>
    <w:p w14:paraId="527CC05F" w14:textId="3AEA93CA" w:rsidR="00EA2F58" w:rsidRDefault="00EA2F58" w:rsidP="00920971">
      <w:pPr>
        <w:pStyle w:val="BodyText"/>
        <w:rPr>
          <w:rFonts w:asciiTheme="minorHAnsi" w:hAnsiTheme="minorHAnsi" w:cstheme="minorHAnsi"/>
          <w:sz w:val="24"/>
          <w:szCs w:val="24"/>
        </w:rPr>
      </w:pPr>
      <w:r w:rsidRPr="00EA2F58">
        <w:rPr>
          <w:rFonts w:asciiTheme="minorHAnsi" w:hAnsiTheme="minorHAnsi" w:cstheme="minorHAnsi"/>
          <w:sz w:val="24"/>
          <w:szCs w:val="24"/>
        </w:rPr>
        <w:lastRenderedPageBreak/>
        <w:t xml:space="preserve">The Applicant </w:t>
      </w:r>
      <w:r>
        <w:rPr>
          <w:rFonts w:asciiTheme="minorHAnsi" w:hAnsiTheme="minorHAnsi" w:cstheme="minorHAnsi"/>
          <w:sz w:val="24"/>
          <w:szCs w:val="24"/>
        </w:rPr>
        <w:t xml:space="preserve">asserts that </w:t>
      </w:r>
      <w:r w:rsidRPr="00EA2F58">
        <w:rPr>
          <w:rFonts w:asciiTheme="minorHAnsi" w:hAnsiTheme="minorHAnsi" w:cstheme="minorHAnsi"/>
          <w:sz w:val="24"/>
          <w:szCs w:val="24"/>
        </w:rPr>
        <w:t xml:space="preserve">the primary purpose of this </w:t>
      </w:r>
      <w:r>
        <w:rPr>
          <w:rFonts w:asciiTheme="minorHAnsi" w:hAnsiTheme="minorHAnsi" w:cstheme="minorHAnsi"/>
          <w:sz w:val="24"/>
          <w:szCs w:val="24"/>
        </w:rPr>
        <w:t>Proposed P</w:t>
      </w:r>
      <w:r w:rsidRPr="00EA2F58">
        <w:rPr>
          <w:rFonts w:asciiTheme="minorHAnsi" w:hAnsiTheme="minorHAnsi" w:cstheme="minorHAnsi"/>
          <w:sz w:val="24"/>
          <w:szCs w:val="24"/>
        </w:rPr>
        <w:t>roject is to ensure continued access to high quality community-based health care services in the Merrimack Valley which aligns with the DoN program’s factors of ensuring public health value related quality and health outcomes</w:t>
      </w:r>
      <w:r w:rsidR="00800934">
        <w:rPr>
          <w:rFonts w:asciiTheme="minorHAnsi" w:hAnsiTheme="minorHAnsi" w:cstheme="minorHAnsi"/>
          <w:sz w:val="24"/>
          <w:szCs w:val="24"/>
        </w:rPr>
        <w:t>,</w:t>
      </w:r>
      <w:r w:rsidRPr="00EA2F58">
        <w:rPr>
          <w:rFonts w:asciiTheme="minorHAnsi" w:hAnsiTheme="minorHAnsi" w:cstheme="minorHAnsi"/>
          <w:sz w:val="24"/>
          <w:szCs w:val="24"/>
        </w:rPr>
        <w:t xml:space="preserve"> health equity, operational efficiencies, and maintaining reasonable costs.</w:t>
      </w:r>
      <w:r>
        <w:rPr>
          <w:rFonts w:asciiTheme="minorHAnsi" w:hAnsiTheme="minorHAnsi" w:cstheme="minorHAnsi"/>
          <w:sz w:val="24"/>
          <w:szCs w:val="24"/>
        </w:rPr>
        <w:t xml:space="preserve"> </w:t>
      </w:r>
    </w:p>
    <w:p w14:paraId="69990DAC" w14:textId="77777777" w:rsidR="00685A47" w:rsidRDefault="00685A47" w:rsidP="00920971">
      <w:pPr>
        <w:pStyle w:val="BodyText"/>
        <w:rPr>
          <w:rFonts w:asciiTheme="minorHAnsi" w:hAnsiTheme="minorHAnsi" w:cstheme="minorHAnsi"/>
          <w:sz w:val="24"/>
          <w:szCs w:val="24"/>
        </w:rPr>
      </w:pPr>
    </w:p>
    <w:p w14:paraId="0959A6F8" w14:textId="543478A9" w:rsidR="00C07147" w:rsidRPr="004106F8" w:rsidRDefault="00127D0A" w:rsidP="00920971">
      <w:pPr>
        <w:pStyle w:val="BodyText"/>
        <w:rPr>
          <w:rFonts w:asciiTheme="minorHAnsi" w:hAnsiTheme="minorHAnsi" w:cstheme="minorHAnsi"/>
          <w:strike/>
          <w:sz w:val="24"/>
          <w:szCs w:val="24"/>
        </w:rPr>
      </w:pPr>
      <w:r w:rsidRPr="00B76DED">
        <w:rPr>
          <w:rFonts w:asciiTheme="minorHAnsi" w:hAnsiTheme="minorHAnsi" w:cstheme="minorHAnsi"/>
          <w:sz w:val="24"/>
          <w:szCs w:val="24"/>
        </w:rPr>
        <w:t xml:space="preserve">As such, </w:t>
      </w:r>
      <w:r w:rsidR="00C9357D">
        <w:rPr>
          <w:rFonts w:asciiTheme="minorHAnsi" w:hAnsiTheme="minorHAnsi" w:cstheme="minorHAnsi"/>
          <w:sz w:val="24"/>
          <w:szCs w:val="24"/>
        </w:rPr>
        <w:t>staff finds</w:t>
      </w:r>
      <w:bookmarkStart w:id="1" w:name="_Hlk119333558"/>
      <w:r w:rsidR="00C9357D">
        <w:rPr>
          <w:rFonts w:asciiTheme="minorHAnsi" w:hAnsiTheme="minorHAnsi" w:cstheme="minorHAnsi"/>
          <w:sz w:val="24"/>
          <w:szCs w:val="24"/>
        </w:rPr>
        <w:t xml:space="preserve"> t</w:t>
      </w:r>
      <w:r w:rsidR="00A37B89" w:rsidRPr="00B76DED">
        <w:rPr>
          <w:rFonts w:asciiTheme="minorHAnsi" w:hAnsiTheme="minorHAnsi" w:cstheme="minorHAnsi"/>
          <w:sz w:val="24"/>
          <w:szCs w:val="24"/>
        </w:rPr>
        <w:t xml:space="preserve">he Applicant made a convincing case that </w:t>
      </w:r>
      <w:r w:rsidR="00C9357D">
        <w:rPr>
          <w:rFonts w:asciiTheme="minorHAnsi" w:hAnsiTheme="minorHAnsi" w:cstheme="minorHAnsi"/>
          <w:sz w:val="24"/>
          <w:szCs w:val="24"/>
        </w:rPr>
        <w:t>t</w:t>
      </w:r>
      <w:r w:rsidR="00A37B89" w:rsidRPr="00B76DED">
        <w:rPr>
          <w:rFonts w:asciiTheme="minorHAnsi" w:hAnsiTheme="minorHAnsi" w:cstheme="minorHAnsi"/>
          <w:sz w:val="24"/>
          <w:szCs w:val="24"/>
        </w:rPr>
        <w:t xml:space="preserve">here is </w:t>
      </w:r>
      <w:r w:rsidR="00F35D7B">
        <w:rPr>
          <w:rFonts w:asciiTheme="minorHAnsi" w:hAnsiTheme="minorHAnsi" w:cstheme="minorHAnsi"/>
          <w:sz w:val="24"/>
          <w:szCs w:val="24"/>
        </w:rPr>
        <w:t xml:space="preserve">indeed </w:t>
      </w:r>
      <w:r w:rsidR="00A37B89" w:rsidRPr="00B76DED">
        <w:rPr>
          <w:rFonts w:asciiTheme="minorHAnsi" w:hAnsiTheme="minorHAnsi" w:cstheme="minorHAnsi"/>
          <w:sz w:val="24"/>
          <w:szCs w:val="24"/>
        </w:rPr>
        <w:t xml:space="preserve">an </w:t>
      </w:r>
      <w:r w:rsidR="00F35D7B">
        <w:rPr>
          <w:rFonts w:asciiTheme="minorHAnsi" w:hAnsiTheme="minorHAnsi" w:cstheme="minorHAnsi"/>
          <w:sz w:val="24"/>
          <w:szCs w:val="24"/>
        </w:rPr>
        <w:t xml:space="preserve">Emergency Situation and an </w:t>
      </w:r>
      <w:r w:rsidR="00A37B89" w:rsidRPr="00B76DED">
        <w:rPr>
          <w:rFonts w:asciiTheme="minorHAnsi" w:hAnsiTheme="minorHAnsi" w:cstheme="minorHAnsi"/>
          <w:sz w:val="24"/>
          <w:szCs w:val="24"/>
        </w:rPr>
        <w:t xml:space="preserve">urgent need for patients residing in </w:t>
      </w:r>
      <w:r w:rsidR="00380E26">
        <w:rPr>
          <w:rFonts w:asciiTheme="minorHAnsi" w:hAnsiTheme="minorHAnsi" w:cstheme="minorHAnsi"/>
          <w:sz w:val="24"/>
          <w:szCs w:val="24"/>
        </w:rPr>
        <w:t xml:space="preserve">Methuen and Haverhill </w:t>
      </w:r>
      <w:r w:rsidR="00A37B89" w:rsidRPr="00B76DED">
        <w:rPr>
          <w:rFonts w:asciiTheme="minorHAnsi" w:hAnsiTheme="minorHAnsi" w:cstheme="minorHAnsi"/>
          <w:sz w:val="24"/>
          <w:szCs w:val="24"/>
        </w:rPr>
        <w:t>and</w:t>
      </w:r>
      <w:r w:rsidR="00380E26">
        <w:rPr>
          <w:rFonts w:asciiTheme="minorHAnsi" w:hAnsiTheme="minorHAnsi" w:cstheme="minorHAnsi"/>
          <w:sz w:val="24"/>
          <w:szCs w:val="24"/>
        </w:rPr>
        <w:t xml:space="preserve"> the</w:t>
      </w:r>
      <w:r w:rsidR="00A37B89" w:rsidRPr="00B76DED">
        <w:rPr>
          <w:rFonts w:asciiTheme="minorHAnsi" w:hAnsiTheme="minorHAnsi" w:cstheme="minorHAnsi"/>
          <w:sz w:val="24"/>
          <w:szCs w:val="24"/>
        </w:rPr>
        <w:t xml:space="preserve"> surrounding communities to have uninterrupted continuity of care and access to </w:t>
      </w:r>
      <w:r w:rsidR="0052206A" w:rsidRPr="00B76DED">
        <w:rPr>
          <w:rFonts w:asciiTheme="minorHAnsi" w:hAnsiTheme="minorHAnsi" w:cstheme="minorHAnsi"/>
          <w:sz w:val="24"/>
          <w:szCs w:val="24"/>
        </w:rPr>
        <w:t xml:space="preserve">local </w:t>
      </w:r>
      <w:r w:rsidR="00A37B89" w:rsidRPr="00B76DED">
        <w:rPr>
          <w:rFonts w:asciiTheme="minorHAnsi" w:hAnsiTheme="minorHAnsi" w:cstheme="minorHAnsi"/>
          <w:sz w:val="24"/>
          <w:szCs w:val="24"/>
        </w:rPr>
        <w:t>services</w:t>
      </w:r>
      <w:r w:rsidR="007B67E7" w:rsidRPr="00B76DED">
        <w:rPr>
          <w:rStyle w:val="EndnoteReference"/>
          <w:rFonts w:asciiTheme="minorHAnsi" w:hAnsiTheme="minorHAnsi" w:cstheme="minorHAnsi"/>
          <w:sz w:val="24"/>
          <w:szCs w:val="24"/>
          <w:vertAlign w:val="baseline"/>
        </w:rPr>
        <w:t>.</w:t>
      </w:r>
      <w:r w:rsidR="00A37B89" w:rsidRPr="00B76DED">
        <w:rPr>
          <w:rFonts w:asciiTheme="minorHAnsi" w:hAnsiTheme="minorHAnsi" w:cstheme="minorHAnsi"/>
          <w:sz w:val="24"/>
          <w:szCs w:val="24"/>
        </w:rPr>
        <w:t xml:space="preserve"> </w:t>
      </w:r>
    </w:p>
    <w:bookmarkEnd w:id="1"/>
    <w:p w14:paraId="6C08CF74" w14:textId="77777777" w:rsidR="00970791" w:rsidRPr="00B76DED" w:rsidRDefault="00970791" w:rsidP="001B72DB">
      <w:pPr>
        <w:pStyle w:val="Heading1"/>
        <w:ind w:left="0"/>
        <w:rPr>
          <w:rFonts w:asciiTheme="minorHAnsi" w:hAnsiTheme="minorHAnsi" w:cstheme="minorHAnsi"/>
        </w:rPr>
      </w:pPr>
    </w:p>
    <w:p w14:paraId="6F51F826" w14:textId="0C741710" w:rsidR="00970791" w:rsidRPr="00B76DED" w:rsidRDefault="009955CD" w:rsidP="006D23CD">
      <w:pPr>
        <w:ind w:right="-10"/>
        <w:rPr>
          <w:rFonts w:asciiTheme="minorHAnsi" w:hAnsiTheme="minorHAnsi" w:cstheme="minorHAnsi"/>
          <w:b/>
          <w:bCs/>
          <w:sz w:val="24"/>
          <w:szCs w:val="24"/>
          <w:u w:val="single"/>
        </w:rPr>
      </w:pPr>
      <w:r w:rsidRPr="00B76DED">
        <w:rPr>
          <w:rFonts w:asciiTheme="minorHAnsi" w:hAnsiTheme="minorHAnsi" w:cstheme="minorHAnsi"/>
          <w:b/>
          <w:bCs/>
          <w:sz w:val="24"/>
          <w:szCs w:val="24"/>
          <w:u w:val="single"/>
        </w:rPr>
        <w:t>Findings</w:t>
      </w:r>
    </w:p>
    <w:p w14:paraId="6CA8F313" w14:textId="77777777" w:rsidR="00006FDD" w:rsidRDefault="00006FDD" w:rsidP="001B72DB">
      <w:pPr>
        <w:ind w:right="-10"/>
        <w:rPr>
          <w:rFonts w:asciiTheme="minorHAnsi" w:hAnsiTheme="minorHAnsi" w:cstheme="minorHAnsi"/>
          <w:sz w:val="24"/>
          <w:szCs w:val="24"/>
        </w:rPr>
      </w:pPr>
    </w:p>
    <w:p w14:paraId="3F64A235" w14:textId="77777777" w:rsidR="004D3658" w:rsidRPr="004D3658" w:rsidRDefault="004D3658" w:rsidP="004D3658">
      <w:pPr>
        <w:ind w:right="-10"/>
        <w:rPr>
          <w:rFonts w:asciiTheme="minorHAnsi" w:hAnsiTheme="minorHAnsi" w:cstheme="minorHAnsi"/>
          <w:i/>
          <w:iCs/>
          <w:sz w:val="24"/>
          <w:szCs w:val="24"/>
        </w:rPr>
      </w:pPr>
      <w:r w:rsidRPr="004D3658">
        <w:rPr>
          <w:rFonts w:asciiTheme="minorHAnsi" w:hAnsiTheme="minorHAnsi" w:cstheme="minorHAnsi"/>
          <w:sz w:val="24"/>
          <w:szCs w:val="24"/>
        </w:rPr>
        <w:t xml:space="preserve">The definition of </w:t>
      </w:r>
      <w:r w:rsidRPr="004D3658">
        <w:rPr>
          <w:rFonts w:asciiTheme="minorHAnsi" w:hAnsiTheme="minorHAnsi" w:cstheme="minorHAnsi"/>
          <w:i/>
          <w:iCs/>
          <w:sz w:val="24"/>
          <w:szCs w:val="24"/>
        </w:rPr>
        <w:t>Emergency Situation</w:t>
      </w:r>
      <w:r w:rsidRPr="004D3658">
        <w:rPr>
          <w:rFonts w:asciiTheme="minorHAnsi" w:hAnsiTheme="minorHAnsi" w:cstheme="minorHAnsi"/>
          <w:sz w:val="24"/>
          <w:szCs w:val="24"/>
        </w:rPr>
        <w:t xml:space="preserve"> includes “…</w:t>
      </w:r>
      <w:r w:rsidRPr="004D3658">
        <w:rPr>
          <w:rFonts w:asciiTheme="minorHAnsi" w:hAnsiTheme="minorHAnsi" w:cstheme="minorHAnsi"/>
          <w:i/>
          <w:iCs/>
          <w:sz w:val="24"/>
          <w:szCs w:val="24"/>
        </w:rPr>
        <w:t xml:space="preserve">a situation involving either: </w:t>
      </w:r>
    </w:p>
    <w:p w14:paraId="12AF913D" w14:textId="77777777" w:rsidR="004D3658" w:rsidRPr="004D3658" w:rsidRDefault="004D3658" w:rsidP="004D3658">
      <w:pPr>
        <w:ind w:right="-10"/>
        <w:rPr>
          <w:rFonts w:asciiTheme="minorHAnsi" w:hAnsiTheme="minorHAnsi" w:cstheme="minorHAnsi"/>
          <w:i/>
          <w:iCs/>
          <w:sz w:val="24"/>
          <w:szCs w:val="24"/>
        </w:rPr>
      </w:pPr>
      <w:r w:rsidRPr="004D3658">
        <w:rPr>
          <w:rFonts w:asciiTheme="minorHAnsi" w:hAnsiTheme="minorHAnsi" w:cstheme="minorHAnsi"/>
          <w:i/>
          <w:iCs/>
          <w:sz w:val="24"/>
          <w:szCs w:val="24"/>
        </w:rPr>
        <w:t xml:space="preserve">(1) a Government Declaration of emergency or a Catastrophic Event; or </w:t>
      </w:r>
    </w:p>
    <w:p w14:paraId="74639DA9" w14:textId="77777777" w:rsidR="004D3658" w:rsidRPr="004D3658" w:rsidRDefault="1974D63C" w:rsidP="004D3658">
      <w:pPr>
        <w:ind w:right="-10"/>
        <w:rPr>
          <w:rFonts w:asciiTheme="minorHAnsi" w:hAnsiTheme="minorHAnsi" w:cstheme="minorHAnsi"/>
          <w:sz w:val="24"/>
          <w:szCs w:val="24"/>
        </w:rPr>
      </w:pPr>
      <w:r w:rsidRPr="1CDA31B1">
        <w:rPr>
          <w:rFonts w:asciiTheme="minorHAnsi" w:hAnsiTheme="minorHAnsi" w:cstheme="minorBidi"/>
          <w:i/>
          <w:iCs/>
          <w:sz w:val="24"/>
          <w:szCs w:val="24"/>
        </w:rPr>
        <w:t>(2) an existing Health Care Facility which the Commissioner determines has been destroyed, or otherwise substantially damaged, or where there is a clear and present danger of such damage, such that the damage could substantially impact public health…”</w:t>
      </w:r>
      <w:r w:rsidR="004D3658" w:rsidRPr="1CDA31B1">
        <w:rPr>
          <w:rFonts w:asciiTheme="minorHAnsi" w:hAnsiTheme="minorHAnsi" w:cstheme="minorBidi"/>
          <w:i/>
          <w:iCs/>
          <w:sz w:val="24"/>
          <w:szCs w:val="24"/>
          <w:vertAlign w:val="superscript"/>
        </w:rPr>
        <w:footnoteReference w:id="7"/>
      </w:r>
    </w:p>
    <w:p w14:paraId="1BE686C6" w14:textId="77777777" w:rsidR="004D3658" w:rsidRDefault="004D3658" w:rsidP="00142C8A">
      <w:pPr>
        <w:ind w:right="-10"/>
        <w:rPr>
          <w:rFonts w:asciiTheme="minorHAnsi" w:hAnsiTheme="minorHAnsi" w:cstheme="minorHAnsi"/>
          <w:sz w:val="24"/>
          <w:szCs w:val="24"/>
        </w:rPr>
      </w:pPr>
    </w:p>
    <w:p w14:paraId="1E87F10B" w14:textId="1833F263" w:rsidR="00142C8A" w:rsidRPr="00006FDD" w:rsidRDefault="00E54540" w:rsidP="00142C8A">
      <w:pPr>
        <w:ind w:right="-10"/>
        <w:rPr>
          <w:rFonts w:asciiTheme="minorHAnsi" w:hAnsiTheme="minorHAnsi" w:cstheme="minorHAnsi"/>
          <w:sz w:val="24"/>
          <w:szCs w:val="24"/>
        </w:rPr>
      </w:pPr>
      <w:r w:rsidRPr="00B76DED">
        <w:rPr>
          <w:rFonts w:asciiTheme="minorHAnsi" w:hAnsiTheme="minorHAnsi" w:cstheme="minorHAnsi"/>
          <w:sz w:val="24"/>
          <w:szCs w:val="24"/>
        </w:rPr>
        <w:t>Based upon a review of the Proposed Project as submitted by the Applicant, DoN staff recommend</w:t>
      </w:r>
      <w:r w:rsidR="00D859D8">
        <w:rPr>
          <w:rFonts w:asciiTheme="minorHAnsi" w:hAnsiTheme="minorHAnsi" w:cstheme="minorHAnsi"/>
          <w:sz w:val="24"/>
          <w:szCs w:val="24"/>
        </w:rPr>
        <w:t xml:space="preserve">s </w:t>
      </w:r>
      <w:r w:rsidRPr="00B76DED">
        <w:rPr>
          <w:rFonts w:asciiTheme="minorHAnsi" w:hAnsiTheme="minorHAnsi" w:cstheme="minorHAnsi"/>
          <w:sz w:val="24"/>
          <w:szCs w:val="24"/>
        </w:rPr>
        <w:t xml:space="preserve">that the Commissioner determine that </w:t>
      </w:r>
      <w:r w:rsidR="00D859D8">
        <w:rPr>
          <w:rFonts w:asciiTheme="minorHAnsi" w:hAnsiTheme="minorHAnsi" w:cstheme="minorHAnsi"/>
          <w:sz w:val="24"/>
          <w:szCs w:val="24"/>
        </w:rPr>
        <w:t xml:space="preserve">this transaction is in response to </w:t>
      </w:r>
      <w:r w:rsidRPr="00B76DED">
        <w:rPr>
          <w:rFonts w:asciiTheme="minorHAnsi" w:hAnsiTheme="minorHAnsi" w:cstheme="minorHAnsi"/>
          <w:sz w:val="24"/>
          <w:szCs w:val="24"/>
        </w:rPr>
        <w:t>an Emergency Situation, as defined in 105 CMR 100.100</w:t>
      </w:r>
      <w:r w:rsidR="00AB4890">
        <w:rPr>
          <w:rFonts w:asciiTheme="minorHAnsi" w:hAnsiTheme="minorHAnsi" w:cstheme="minorHAnsi"/>
          <w:sz w:val="24"/>
          <w:szCs w:val="24"/>
        </w:rPr>
        <w:t>.</w:t>
      </w:r>
      <w:r w:rsidR="002D46BA">
        <w:rPr>
          <w:rFonts w:asciiTheme="minorHAnsi" w:hAnsiTheme="minorHAnsi" w:cstheme="minorHAnsi"/>
          <w:sz w:val="24"/>
          <w:szCs w:val="24"/>
        </w:rPr>
        <w:t xml:space="preserve"> </w:t>
      </w:r>
      <w:r w:rsidR="00142C8A" w:rsidRPr="00006FDD">
        <w:rPr>
          <w:rFonts w:asciiTheme="minorHAnsi" w:hAnsiTheme="minorHAnsi" w:cstheme="minorHAnsi"/>
          <w:sz w:val="24"/>
          <w:szCs w:val="24"/>
        </w:rPr>
        <w:t xml:space="preserve">Staff </w:t>
      </w:r>
      <w:r w:rsidR="00142C8A">
        <w:rPr>
          <w:rFonts w:asciiTheme="minorHAnsi" w:hAnsiTheme="minorHAnsi" w:cstheme="minorHAnsi"/>
          <w:sz w:val="24"/>
          <w:szCs w:val="24"/>
        </w:rPr>
        <w:t xml:space="preserve">further </w:t>
      </w:r>
      <w:r w:rsidR="00142C8A" w:rsidRPr="00006FDD">
        <w:rPr>
          <w:rFonts w:asciiTheme="minorHAnsi" w:hAnsiTheme="minorHAnsi" w:cstheme="minorHAnsi"/>
          <w:sz w:val="24"/>
          <w:szCs w:val="24"/>
        </w:rPr>
        <w:t xml:space="preserve">finds that the Applicant convincingly demonstrates that </w:t>
      </w:r>
      <w:r w:rsidR="00BA0EF9">
        <w:rPr>
          <w:rFonts w:asciiTheme="minorHAnsi" w:hAnsiTheme="minorHAnsi" w:cstheme="minorHAnsi"/>
          <w:sz w:val="24"/>
          <w:szCs w:val="24"/>
        </w:rPr>
        <w:t xml:space="preserve">the Proposed </w:t>
      </w:r>
      <w:r w:rsidR="001F418A">
        <w:rPr>
          <w:rFonts w:asciiTheme="minorHAnsi" w:hAnsiTheme="minorHAnsi" w:cstheme="minorHAnsi"/>
          <w:sz w:val="24"/>
          <w:szCs w:val="24"/>
        </w:rPr>
        <w:t>Project</w:t>
      </w:r>
      <w:r w:rsidR="00BA0EF9">
        <w:rPr>
          <w:rFonts w:asciiTheme="minorHAnsi" w:hAnsiTheme="minorHAnsi" w:cstheme="minorHAnsi"/>
          <w:sz w:val="24"/>
          <w:szCs w:val="24"/>
        </w:rPr>
        <w:t xml:space="preserve"> </w:t>
      </w:r>
      <w:r w:rsidR="00142C8A" w:rsidRPr="00006FDD">
        <w:rPr>
          <w:rFonts w:asciiTheme="minorHAnsi" w:hAnsiTheme="minorHAnsi" w:cstheme="minorHAnsi"/>
          <w:sz w:val="24"/>
          <w:szCs w:val="24"/>
        </w:rPr>
        <w:t xml:space="preserve">will address the Emergency Situation and </w:t>
      </w:r>
      <w:r w:rsidR="00BA0EF9">
        <w:rPr>
          <w:rFonts w:asciiTheme="minorHAnsi" w:hAnsiTheme="minorHAnsi" w:cstheme="minorHAnsi"/>
          <w:sz w:val="24"/>
          <w:szCs w:val="24"/>
        </w:rPr>
        <w:t xml:space="preserve">that </w:t>
      </w:r>
      <w:r w:rsidR="00142C8A" w:rsidRPr="00006FDD">
        <w:rPr>
          <w:rFonts w:asciiTheme="minorHAnsi" w:hAnsiTheme="minorHAnsi" w:cstheme="minorHAnsi"/>
          <w:sz w:val="24"/>
          <w:szCs w:val="24"/>
        </w:rPr>
        <w:t>without the issuance of a Notice of Determination of Need, the public health will be measurably harmed</w:t>
      </w:r>
      <w:r w:rsidR="00142C8A">
        <w:rPr>
          <w:rFonts w:asciiTheme="minorHAnsi" w:hAnsiTheme="minorHAnsi" w:cstheme="minorHAnsi"/>
          <w:sz w:val="24"/>
          <w:szCs w:val="24"/>
        </w:rPr>
        <w:t xml:space="preserve">. </w:t>
      </w:r>
      <w:r w:rsidR="00142C8A" w:rsidRPr="00B76DED">
        <w:rPr>
          <w:rFonts w:asciiTheme="minorHAnsi" w:hAnsiTheme="minorHAnsi" w:cstheme="minorHAnsi"/>
          <w:sz w:val="24"/>
          <w:szCs w:val="24"/>
        </w:rPr>
        <w:t xml:space="preserve">Staff further recommend that, in light of the urgent need to maintain access to and continuity of </w:t>
      </w:r>
      <w:r w:rsidR="00BA0EF9">
        <w:rPr>
          <w:rFonts w:asciiTheme="minorHAnsi" w:hAnsiTheme="minorHAnsi" w:cstheme="minorHAnsi"/>
          <w:sz w:val="24"/>
          <w:szCs w:val="24"/>
        </w:rPr>
        <w:t>care</w:t>
      </w:r>
      <w:r w:rsidR="00142C8A" w:rsidRPr="00B76DED">
        <w:rPr>
          <w:rFonts w:asciiTheme="minorHAnsi" w:hAnsiTheme="minorHAnsi" w:cstheme="minorHAnsi"/>
          <w:sz w:val="24"/>
          <w:szCs w:val="24"/>
        </w:rPr>
        <w:t xml:space="preserve">, certain notice and comment regulations be waived, specifically </w:t>
      </w:r>
      <w:r w:rsidR="00142C8A">
        <w:rPr>
          <w:rFonts w:asciiTheme="minorHAnsi" w:hAnsiTheme="minorHAnsi" w:cstheme="minorHAnsi"/>
          <w:sz w:val="24"/>
          <w:szCs w:val="24"/>
        </w:rPr>
        <w:t xml:space="preserve">pursuant to </w:t>
      </w:r>
      <w:r w:rsidR="00142C8A" w:rsidRPr="00B76DED">
        <w:rPr>
          <w:rFonts w:asciiTheme="minorHAnsi" w:hAnsiTheme="minorHAnsi" w:cstheme="minorHAnsi"/>
          <w:sz w:val="24"/>
          <w:szCs w:val="24"/>
        </w:rPr>
        <w:t>105 CMR 100.435(D) and 105 CMR 100.440 (B), and the related sections of 105 CMR 100.405(C)(2).</w:t>
      </w:r>
    </w:p>
    <w:p w14:paraId="093AB89F" w14:textId="77777777" w:rsidR="00142C8A" w:rsidRDefault="00142C8A" w:rsidP="001B72DB">
      <w:pPr>
        <w:ind w:right="-10"/>
        <w:rPr>
          <w:rFonts w:asciiTheme="minorHAnsi" w:hAnsiTheme="minorHAnsi" w:cstheme="minorHAnsi"/>
          <w:sz w:val="24"/>
          <w:szCs w:val="24"/>
        </w:rPr>
      </w:pPr>
    </w:p>
    <w:p w14:paraId="6B947DF0" w14:textId="27499E75" w:rsidR="00F35D7B" w:rsidRDefault="31FDFEFE" w:rsidP="00F35D7B">
      <w:pPr>
        <w:ind w:right="-10"/>
        <w:rPr>
          <w:rFonts w:asciiTheme="minorHAnsi" w:hAnsiTheme="minorHAnsi" w:cstheme="minorBidi"/>
          <w:sz w:val="24"/>
          <w:szCs w:val="24"/>
        </w:rPr>
      </w:pPr>
      <w:r w:rsidRPr="1CDA31B1">
        <w:rPr>
          <w:rFonts w:asciiTheme="minorHAnsi" w:hAnsiTheme="minorHAnsi" w:cstheme="minorBidi"/>
          <w:sz w:val="24"/>
          <w:szCs w:val="24"/>
        </w:rPr>
        <w:t xml:space="preserve">Based on review of the </w:t>
      </w:r>
      <w:r w:rsidR="07FB9234" w:rsidRPr="1CDA31B1">
        <w:rPr>
          <w:rFonts w:asciiTheme="minorHAnsi" w:hAnsiTheme="minorHAnsi" w:cstheme="minorBidi"/>
          <w:sz w:val="24"/>
          <w:szCs w:val="24"/>
        </w:rPr>
        <w:t>materials submitted and additional analysis</w:t>
      </w:r>
      <w:r w:rsidR="2D28711C" w:rsidRPr="1CDA31B1">
        <w:rPr>
          <w:rFonts w:asciiTheme="minorHAnsi" w:hAnsiTheme="minorHAnsi" w:cstheme="minorBidi"/>
          <w:sz w:val="24"/>
          <w:szCs w:val="24"/>
        </w:rPr>
        <w:t>,</w:t>
      </w:r>
      <w:r w:rsidR="78C5F807" w:rsidRPr="1CDA31B1">
        <w:rPr>
          <w:rFonts w:asciiTheme="minorHAnsi" w:hAnsiTheme="minorHAnsi" w:cstheme="minorBidi"/>
          <w:sz w:val="24"/>
          <w:szCs w:val="24"/>
        </w:rPr>
        <w:t xml:space="preserve"> staff recommend that the Commissioner issue a Notice of Determination of Need, subject to all Standard Conditions set out in 105 CMR 100.310(A) </w:t>
      </w:r>
      <w:r w:rsidR="2085A233" w:rsidRPr="1CDA31B1">
        <w:rPr>
          <w:rFonts w:asciiTheme="minorHAnsi" w:hAnsiTheme="minorHAnsi" w:cstheme="minorBidi"/>
          <w:sz w:val="24"/>
          <w:szCs w:val="24"/>
        </w:rPr>
        <w:t xml:space="preserve">except </w:t>
      </w:r>
      <w:r w:rsidR="78C5F807" w:rsidRPr="1CDA31B1">
        <w:rPr>
          <w:rFonts w:asciiTheme="minorHAnsi" w:hAnsiTheme="minorHAnsi" w:cstheme="minorBidi"/>
          <w:sz w:val="24"/>
          <w:szCs w:val="24"/>
        </w:rPr>
        <w:t>100.310(A)</w:t>
      </w:r>
      <w:r w:rsidR="07FB9234" w:rsidRPr="1CDA31B1">
        <w:rPr>
          <w:rFonts w:asciiTheme="minorHAnsi" w:hAnsiTheme="minorHAnsi" w:cstheme="minorBidi"/>
          <w:sz w:val="24"/>
          <w:szCs w:val="24"/>
        </w:rPr>
        <w:t>(5), (6), (7), (9), (10) and (13).</w:t>
      </w:r>
      <w:r w:rsidR="00F35D7B" w:rsidRPr="1CDA31B1">
        <w:rPr>
          <w:rFonts w:asciiTheme="minorHAnsi" w:hAnsiTheme="minorHAnsi" w:cstheme="minorBidi"/>
          <w:sz w:val="24"/>
          <w:szCs w:val="24"/>
          <w:vertAlign w:val="superscript"/>
        </w:rPr>
        <w:footnoteReference w:id="8"/>
      </w:r>
    </w:p>
    <w:p w14:paraId="237DDA80" w14:textId="77777777" w:rsidR="002E575E" w:rsidRDefault="002E575E" w:rsidP="00F35D7B">
      <w:pPr>
        <w:ind w:right="-10"/>
        <w:rPr>
          <w:rFonts w:asciiTheme="minorHAnsi" w:hAnsiTheme="minorHAnsi" w:cstheme="minorBidi"/>
          <w:sz w:val="24"/>
          <w:szCs w:val="24"/>
        </w:rPr>
      </w:pPr>
    </w:p>
    <w:p w14:paraId="42AE3398" w14:textId="5005100B" w:rsidR="002E575E" w:rsidRDefault="002E575E" w:rsidP="1CDA31B1">
      <w:pPr>
        <w:ind w:right="-10"/>
        <w:rPr>
          <w:rFonts w:asciiTheme="minorHAnsi" w:hAnsiTheme="minorHAnsi" w:cstheme="minorBidi"/>
          <w:sz w:val="24"/>
          <w:szCs w:val="24"/>
        </w:rPr>
      </w:pPr>
    </w:p>
    <w:p w14:paraId="09BEC933" w14:textId="3013DD42" w:rsidR="00F42494" w:rsidRDefault="438DCDC7" w:rsidP="1CDA31B1">
      <w:pPr>
        <w:ind w:right="-10"/>
        <w:rPr>
          <w:rFonts w:asciiTheme="minorHAnsi" w:hAnsiTheme="minorHAnsi" w:cstheme="minorBidi"/>
          <w:sz w:val="24"/>
          <w:szCs w:val="24"/>
        </w:rPr>
      </w:pPr>
      <w:r w:rsidRPr="1CDA31B1">
        <w:rPr>
          <w:rFonts w:asciiTheme="minorHAnsi" w:hAnsiTheme="minorHAnsi" w:cstheme="minorBidi"/>
          <w:b/>
          <w:bCs/>
          <w:sz w:val="24"/>
          <w:szCs w:val="24"/>
        </w:rPr>
        <w:t>Other Conditions </w:t>
      </w:r>
      <w:r w:rsidRPr="1CDA31B1">
        <w:rPr>
          <w:rFonts w:asciiTheme="minorHAnsi" w:hAnsiTheme="minorHAnsi" w:cstheme="minorBidi"/>
          <w:sz w:val="24"/>
          <w:szCs w:val="24"/>
        </w:rPr>
        <w:t> </w:t>
      </w:r>
    </w:p>
    <w:p w14:paraId="503C758E" w14:textId="77777777" w:rsidR="00CA6CE3" w:rsidRDefault="00CA6CE3" w:rsidP="1CDA31B1">
      <w:pPr>
        <w:ind w:right="-10"/>
        <w:rPr>
          <w:rFonts w:asciiTheme="minorHAnsi" w:hAnsiTheme="minorHAnsi" w:cstheme="minorBidi"/>
          <w:sz w:val="24"/>
          <w:szCs w:val="24"/>
        </w:rPr>
      </w:pPr>
    </w:p>
    <w:p w14:paraId="01218D80" w14:textId="77777777" w:rsidR="00CA6CE3" w:rsidRPr="00CA6CE3" w:rsidRDefault="00CA6CE3" w:rsidP="00CA6CE3">
      <w:pPr>
        <w:ind w:right="-10"/>
        <w:rPr>
          <w:rFonts w:asciiTheme="minorHAnsi" w:hAnsiTheme="minorHAnsi" w:cstheme="minorBidi"/>
          <w:sz w:val="24"/>
          <w:szCs w:val="24"/>
        </w:rPr>
      </w:pPr>
      <w:r w:rsidRPr="00CA6CE3">
        <w:rPr>
          <w:rFonts w:asciiTheme="minorHAnsi" w:hAnsiTheme="minorHAnsi" w:cstheme="minorBidi"/>
          <w:sz w:val="24"/>
          <w:szCs w:val="24"/>
        </w:rPr>
        <w:t>In establishing Conditions, the DoN Program (“Program”) acknowledges that due to the Emergency Situation at the time of closure, the Holder reports that it does not have full access to information that would provide an accurate picture of the operations of the Hospital. In the interest of ensuring ongoing viability of the Hospital, the Holder will report to the Department on the following: </w:t>
      </w:r>
    </w:p>
    <w:p w14:paraId="7F3E1E58" w14:textId="77777777" w:rsidR="00CA6CE3" w:rsidRPr="00CA6CE3" w:rsidRDefault="00CA6CE3" w:rsidP="00CA6CE3">
      <w:pPr>
        <w:ind w:right="-10"/>
        <w:rPr>
          <w:rFonts w:asciiTheme="minorHAnsi" w:hAnsiTheme="minorHAnsi" w:cstheme="minorBidi"/>
          <w:sz w:val="24"/>
          <w:szCs w:val="24"/>
        </w:rPr>
      </w:pPr>
      <w:r w:rsidRPr="00CA6CE3">
        <w:rPr>
          <w:rFonts w:asciiTheme="minorHAnsi" w:hAnsiTheme="minorHAnsi" w:cstheme="minorBidi"/>
          <w:sz w:val="24"/>
          <w:szCs w:val="24"/>
        </w:rPr>
        <w:t> </w:t>
      </w:r>
    </w:p>
    <w:p w14:paraId="0D1F14AD" w14:textId="77777777" w:rsidR="00CA6CE3" w:rsidRPr="00CA6CE3" w:rsidRDefault="00CA6CE3" w:rsidP="00CA6CE3">
      <w:pPr>
        <w:numPr>
          <w:ilvl w:val="0"/>
          <w:numId w:val="2"/>
        </w:numPr>
        <w:ind w:right="-10"/>
        <w:rPr>
          <w:rFonts w:asciiTheme="minorHAnsi" w:hAnsiTheme="minorHAnsi" w:cstheme="minorBidi"/>
          <w:sz w:val="24"/>
          <w:szCs w:val="24"/>
        </w:rPr>
      </w:pPr>
      <w:r w:rsidRPr="00CA6CE3">
        <w:rPr>
          <w:rFonts w:asciiTheme="minorHAnsi" w:hAnsiTheme="minorHAnsi" w:cstheme="minorBidi"/>
          <w:sz w:val="24"/>
          <w:szCs w:val="24"/>
        </w:rPr>
        <w:t xml:space="preserve">Within six months of the transaction’s closing (“the Closing”), the Holder will provide the Department with an initial assessment of the condition of the facility and its operations and </w:t>
      </w:r>
      <w:r w:rsidRPr="00CA6CE3">
        <w:rPr>
          <w:rFonts w:asciiTheme="minorHAnsi" w:hAnsiTheme="minorHAnsi" w:cstheme="minorBidi"/>
          <w:sz w:val="24"/>
          <w:szCs w:val="24"/>
        </w:rPr>
        <w:lastRenderedPageBreak/>
        <w:t>an integration plan for incorporating Holy Family Hospital into the operations of Lawrence General Hospital with definable benchmarks. The Holder will report on the fiscal and operational health of Holy Family Hospital and its ability to achieve its stated benchmarks and measures annually for five years following the Closing (“the Reporting Period”).   </w:t>
      </w:r>
    </w:p>
    <w:p w14:paraId="7C68F5DA" w14:textId="77777777" w:rsidR="00CA6CE3" w:rsidRPr="00CA6CE3" w:rsidRDefault="00CA6CE3" w:rsidP="00CA6CE3">
      <w:pPr>
        <w:ind w:right="-10"/>
        <w:rPr>
          <w:rFonts w:asciiTheme="minorHAnsi" w:hAnsiTheme="minorHAnsi" w:cstheme="minorBidi"/>
          <w:sz w:val="24"/>
          <w:szCs w:val="24"/>
        </w:rPr>
      </w:pPr>
      <w:r w:rsidRPr="00CA6CE3">
        <w:rPr>
          <w:rFonts w:asciiTheme="minorHAnsi" w:hAnsiTheme="minorHAnsi" w:cstheme="minorBidi"/>
          <w:sz w:val="24"/>
          <w:szCs w:val="24"/>
        </w:rPr>
        <w:t> </w:t>
      </w:r>
    </w:p>
    <w:p w14:paraId="61ACB78F" w14:textId="12AA10D8" w:rsidR="00CA6CE3" w:rsidRPr="00CA6CE3" w:rsidRDefault="00CA6CE3" w:rsidP="1319848A">
      <w:pPr>
        <w:numPr>
          <w:ilvl w:val="0"/>
          <w:numId w:val="3"/>
        </w:numPr>
        <w:ind w:right="-10"/>
        <w:rPr>
          <w:rFonts w:asciiTheme="minorHAnsi" w:hAnsiTheme="minorHAnsi" w:cstheme="minorBidi"/>
          <w:sz w:val="24"/>
          <w:szCs w:val="24"/>
        </w:rPr>
      </w:pPr>
      <w:r w:rsidRPr="1319848A">
        <w:rPr>
          <w:rFonts w:asciiTheme="minorHAnsi" w:hAnsiTheme="minorHAnsi" w:cstheme="minorBidi"/>
          <w:sz w:val="24"/>
          <w:szCs w:val="24"/>
        </w:rPr>
        <w:t>Within six months of the Closing, the Holder will propose measures to assess the impact of the Transaction, including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 As part of its report to the Department, within one year of the Closing, and annually for five years, the Holder will report on Holy Family Hospital</w:t>
      </w:r>
      <w:r w:rsidR="06BC45C0" w:rsidRPr="1319848A">
        <w:rPr>
          <w:rFonts w:asciiTheme="minorHAnsi" w:hAnsiTheme="minorHAnsi" w:cstheme="minorBidi"/>
          <w:sz w:val="24"/>
          <w:szCs w:val="24"/>
        </w:rPr>
        <w:t>’s</w:t>
      </w:r>
      <w:r w:rsidRPr="1319848A">
        <w:rPr>
          <w:rFonts w:asciiTheme="minorHAnsi" w:hAnsiTheme="minorHAnsi" w:cstheme="minorBidi"/>
          <w:sz w:val="24"/>
          <w:szCs w:val="24"/>
        </w:rPr>
        <w:t xml:space="preserve"> ability to achieve its stated benchmarks and measures.  </w:t>
      </w:r>
    </w:p>
    <w:p w14:paraId="3A0AE375" w14:textId="77777777" w:rsidR="00CA6CE3" w:rsidRPr="00CA6CE3" w:rsidRDefault="00CA6CE3" w:rsidP="00CA6CE3">
      <w:pPr>
        <w:ind w:right="-10"/>
        <w:rPr>
          <w:rFonts w:asciiTheme="minorHAnsi" w:hAnsiTheme="minorHAnsi" w:cstheme="minorBidi"/>
          <w:sz w:val="24"/>
          <w:szCs w:val="24"/>
        </w:rPr>
      </w:pPr>
      <w:r w:rsidRPr="00CA6CE3">
        <w:rPr>
          <w:rFonts w:asciiTheme="minorHAnsi" w:hAnsiTheme="minorHAnsi" w:cstheme="minorBidi"/>
          <w:sz w:val="24"/>
          <w:szCs w:val="24"/>
        </w:rPr>
        <w:t> </w:t>
      </w:r>
    </w:p>
    <w:p w14:paraId="4EC4D8AB" w14:textId="77777777" w:rsidR="00CA6CE3" w:rsidRPr="00CA6CE3" w:rsidRDefault="00CA6CE3" w:rsidP="00CA6CE3">
      <w:pPr>
        <w:numPr>
          <w:ilvl w:val="0"/>
          <w:numId w:val="4"/>
        </w:numPr>
        <w:ind w:right="-10"/>
        <w:rPr>
          <w:rFonts w:asciiTheme="minorHAnsi" w:hAnsiTheme="minorHAnsi" w:cstheme="minorBidi"/>
          <w:sz w:val="24"/>
          <w:szCs w:val="24"/>
        </w:rPr>
      </w:pPr>
      <w:r w:rsidRPr="00CA6CE3">
        <w:rPr>
          <w:rFonts w:asciiTheme="minorHAnsi" w:hAnsiTheme="minorHAnsi" w:cstheme="minorBidi"/>
          <w:sz w:val="24"/>
          <w:szCs w:val="24"/>
        </w:rPr>
        <w:t xml:space="preserve">Within 12 months of the Closing, the Holder will submit a plan outlining ongoing service provision by the Holder, including at Holy Family Hospital (“the Plan”).  The Plan must address the duration of the reporting period and include an analysis of utilization patterns by service line since the Closing, budgeted and actual Full Time Equivalent (FTE) staffing for each service line, a data supported assessment of community need, and a summary reflecting the Holder’s good faith expectations for potential modification of services, including potential closures or reductions, to </w:t>
      </w:r>
      <w:proofErr w:type="gramStart"/>
      <w:r w:rsidRPr="00CA6CE3">
        <w:rPr>
          <w:rFonts w:asciiTheme="minorHAnsi" w:hAnsiTheme="minorHAnsi" w:cstheme="minorBidi"/>
          <w:sz w:val="24"/>
          <w:szCs w:val="24"/>
        </w:rPr>
        <w:t>any  service</w:t>
      </w:r>
      <w:proofErr w:type="gramEnd"/>
      <w:r w:rsidRPr="00CA6CE3">
        <w:rPr>
          <w:rFonts w:asciiTheme="minorHAnsi" w:hAnsiTheme="minorHAnsi" w:cstheme="minorBidi"/>
          <w:sz w:val="24"/>
          <w:szCs w:val="24"/>
        </w:rPr>
        <w:t xml:space="preserve"> during the Reporting Period.  The Plan must also include how the Holder will engage in reasonable efforts to inform the public and relevant stakeholders of any such service reductions or closures or other changes with likely impact on the patient panel or local communities. </w:t>
      </w:r>
    </w:p>
    <w:p w14:paraId="70B8F7CD" w14:textId="77777777" w:rsidR="00CA6CE3" w:rsidRPr="00CA6CE3" w:rsidRDefault="00CA6CE3" w:rsidP="00CA6CE3">
      <w:pPr>
        <w:ind w:right="-10"/>
        <w:rPr>
          <w:rFonts w:asciiTheme="minorHAnsi" w:hAnsiTheme="minorHAnsi" w:cstheme="minorBidi"/>
          <w:sz w:val="24"/>
          <w:szCs w:val="24"/>
        </w:rPr>
      </w:pPr>
    </w:p>
    <w:p w14:paraId="030771F5" w14:textId="77777777" w:rsidR="00CA6CE3" w:rsidRPr="00CA6CE3" w:rsidRDefault="00CA6CE3" w:rsidP="00CA6CE3">
      <w:pPr>
        <w:numPr>
          <w:ilvl w:val="0"/>
          <w:numId w:val="4"/>
        </w:numPr>
        <w:ind w:right="-10"/>
        <w:rPr>
          <w:rFonts w:asciiTheme="minorHAnsi" w:hAnsiTheme="minorHAnsi" w:cstheme="minorBidi"/>
          <w:sz w:val="24"/>
          <w:szCs w:val="24"/>
        </w:rPr>
      </w:pPr>
      <w:r w:rsidRPr="00CA6CE3">
        <w:rPr>
          <w:rFonts w:asciiTheme="minorHAnsi" w:hAnsiTheme="minorHAnsi" w:cstheme="minorBidi"/>
          <w:sz w:val="24"/>
          <w:szCs w:val="24"/>
        </w:rPr>
        <w:t xml:space="preserve">To allow for Program monitoring of the Holder's implementation of the Plan on a quarterly basis during the Reporting Period, the Holder must inform the Program of any anticipated material or prolonged reduction of any essential service at Holy Family Hospital during the upcoming quarter. In any such notice, the Holder will provide an analysis of utilization patterns since the Closing, budgeted and actual FTE staffing for each of the services referenced for reduction, a data supported assessment of community need, and rationale for the reduction the service, including alternatives considered and alternative sites where access can be reasonably assured for its Patient Panel. Following a notice of anticipated reduction of any essential service at Holy Family Hospital during the Reporting </w:t>
      </w:r>
      <w:proofErr w:type="gramStart"/>
      <w:r w:rsidRPr="00CA6CE3">
        <w:rPr>
          <w:rFonts w:asciiTheme="minorHAnsi" w:hAnsiTheme="minorHAnsi" w:cstheme="minorBidi"/>
          <w:sz w:val="24"/>
          <w:szCs w:val="24"/>
        </w:rPr>
        <w:t>Period</w:t>
      </w:r>
      <w:proofErr w:type="gramEnd"/>
      <w:r w:rsidRPr="00CA6CE3">
        <w:rPr>
          <w:rFonts w:asciiTheme="minorHAnsi" w:hAnsiTheme="minorHAnsi" w:cstheme="minorBidi"/>
          <w:sz w:val="24"/>
          <w:szCs w:val="24"/>
        </w:rPr>
        <w:t xml:space="preserve"> which is not outlined in the Plan, the Holder may be referred to the Public Health Council for review of the long-term implications of such reduction and compliance with the DoN approval. </w:t>
      </w:r>
    </w:p>
    <w:p w14:paraId="4FAB687E" w14:textId="77777777" w:rsidR="00CA6CE3" w:rsidRPr="00CA6CE3" w:rsidRDefault="00CA6CE3" w:rsidP="00CA6CE3">
      <w:pPr>
        <w:ind w:right="-10"/>
        <w:rPr>
          <w:rFonts w:asciiTheme="minorHAnsi" w:hAnsiTheme="minorHAnsi" w:cstheme="minorBidi"/>
          <w:sz w:val="24"/>
          <w:szCs w:val="24"/>
        </w:rPr>
      </w:pPr>
    </w:p>
    <w:p w14:paraId="7DD49538" w14:textId="77777777" w:rsidR="00CA6CE3" w:rsidRPr="00CA6CE3" w:rsidRDefault="00CA6CE3" w:rsidP="00CA6CE3">
      <w:pPr>
        <w:numPr>
          <w:ilvl w:val="0"/>
          <w:numId w:val="4"/>
        </w:numPr>
        <w:ind w:right="-10"/>
        <w:rPr>
          <w:rFonts w:asciiTheme="minorHAnsi" w:hAnsiTheme="minorHAnsi" w:cstheme="minorBidi"/>
          <w:sz w:val="24"/>
          <w:szCs w:val="24"/>
        </w:rPr>
      </w:pPr>
      <w:r w:rsidRPr="00CA6CE3">
        <w:rPr>
          <w:rFonts w:asciiTheme="minorHAnsi" w:hAnsiTheme="minorHAnsi" w:cstheme="minorBidi"/>
          <w:sz w:val="24"/>
          <w:szCs w:val="24"/>
        </w:rPr>
        <w:t>In its first report to the Department, due 6 months after this approval and annually thereafter during the Reporting Period, the Holder will provide the following:  </w:t>
      </w:r>
    </w:p>
    <w:p w14:paraId="5F6D8851" w14:textId="77777777" w:rsidR="00CA6CE3" w:rsidRPr="00CA6CE3" w:rsidRDefault="00CA6CE3" w:rsidP="00CA6CE3">
      <w:pPr>
        <w:ind w:right="-10"/>
        <w:rPr>
          <w:rFonts w:asciiTheme="minorHAnsi" w:hAnsiTheme="minorHAnsi" w:cstheme="minorBidi"/>
          <w:sz w:val="24"/>
          <w:szCs w:val="24"/>
        </w:rPr>
      </w:pPr>
      <w:r w:rsidRPr="00CA6CE3">
        <w:rPr>
          <w:rFonts w:asciiTheme="minorHAnsi" w:hAnsiTheme="minorHAnsi" w:cstheme="minorBidi"/>
          <w:sz w:val="24"/>
          <w:szCs w:val="24"/>
        </w:rPr>
        <w:t> </w:t>
      </w:r>
    </w:p>
    <w:p w14:paraId="081378C0" w14:textId="77777777" w:rsidR="00CA6CE3" w:rsidRPr="00CA6CE3" w:rsidRDefault="00CA6CE3" w:rsidP="00CA6CE3">
      <w:pPr>
        <w:numPr>
          <w:ilvl w:val="0"/>
          <w:numId w:val="6"/>
        </w:numPr>
        <w:ind w:right="-10"/>
        <w:rPr>
          <w:rFonts w:asciiTheme="minorHAnsi" w:hAnsiTheme="minorHAnsi" w:cstheme="minorBidi"/>
          <w:sz w:val="24"/>
          <w:szCs w:val="24"/>
        </w:rPr>
      </w:pPr>
      <w:r w:rsidRPr="00CA6CE3">
        <w:rPr>
          <w:rFonts w:asciiTheme="minorHAnsi" w:hAnsiTheme="minorHAnsi" w:cstheme="minorBidi"/>
          <w:sz w:val="24"/>
          <w:szCs w:val="24"/>
        </w:rPr>
        <w:t>A report that details the current payer mix of Holy Family Hospital reported by each of the health insurance coverage categories reported on by the Center for Health Information and Analysis (CHIA). </w:t>
      </w:r>
    </w:p>
    <w:p w14:paraId="6E0C11BF" w14:textId="77777777" w:rsidR="00CA6CE3" w:rsidRPr="00CA6CE3" w:rsidRDefault="00CA6CE3" w:rsidP="00CA6CE3">
      <w:pPr>
        <w:numPr>
          <w:ilvl w:val="0"/>
          <w:numId w:val="7"/>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lastRenderedPageBreak/>
        <w:t>Private Commercial – Overall  </w:t>
      </w:r>
    </w:p>
    <w:p w14:paraId="6011CED6" w14:textId="77777777" w:rsidR="00CA6CE3" w:rsidRPr="00CA6CE3" w:rsidRDefault="00CA6CE3" w:rsidP="00CA6CE3">
      <w:pPr>
        <w:numPr>
          <w:ilvl w:val="0"/>
          <w:numId w:val="8"/>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Private Commercial – MA Health Connector QHPs (Subsidized and Unsubsidized)  </w:t>
      </w:r>
    </w:p>
    <w:p w14:paraId="2638CAB9" w14:textId="77777777" w:rsidR="00CA6CE3" w:rsidRPr="00CA6CE3" w:rsidRDefault="00CA6CE3" w:rsidP="00CA6CE3">
      <w:pPr>
        <w:numPr>
          <w:ilvl w:val="0"/>
          <w:numId w:val="9"/>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MassHealth – Overall  </w:t>
      </w:r>
    </w:p>
    <w:p w14:paraId="6BC5F305" w14:textId="77777777" w:rsidR="00CA6CE3" w:rsidRPr="00CA6CE3" w:rsidRDefault="00CA6CE3" w:rsidP="00CA6CE3">
      <w:pPr>
        <w:numPr>
          <w:ilvl w:val="0"/>
          <w:numId w:val="10"/>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MassHealth – Managed Care Organizations (MCO) </w:t>
      </w:r>
    </w:p>
    <w:p w14:paraId="24090286" w14:textId="77777777" w:rsidR="00CA6CE3" w:rsidRPr="00CA6CE3" w:rsidRDefault="00CA6CE3" w:rsidP="00CA6CE3">
      <w:pPr>
        <w:numPr>
          <w:ilvl w:val="0"/>
          <w:numId w:val="11"/>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MassHealth –Accountable Care Organizations (ACO)  </w:t>
      </w:r>
    </w:p>
    <w:p w14:paraId="08B2A454" w14:textId="77777777" w:rsidR="00CA6CE3" w:rsidRPr="00CA6CE3" w:rsidRDefault="00CA6CE3" w:rsidP="00CA6CE3">
      <w:pPr>
        <w:numPr>
          <w:ilvl w:val="0"/>
          <w:numId w:val="12"/>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Senior Care Options, One Care, PACE  </w:t>
      </w:r>
    </w:p>
    <w:p w14:paraId="4856CF3B" w14:textId="77777777" w:rsidR="00CA6CE3" w:rsidRPr="00CA6CE3" w:rsidRDefault="00CA6CE3" w:rsidP="00CA6CE3">
      <w:pPr>
        <w:numPr>
          <w:ilvl w:val="0"/>
          <w:numId w:val="13"/>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Medicare Fee-for-Service (Parts A and B)  </w:t>
      </w:r>
    </w:p>
    <w:p w14:paraId="4558E46C" w14:textId="77777777" w:rsidR="00CA6CE3" w:rsidRPr="00CA6CE3" w:rsidRDefault="00CA6CE3" w:rsidP="00CA6CE3">
      <w:pPr>
        <w:numPr>
          <w:ilvl w:val="0"/>
          <w:numId w:val="14"/>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Medicare Advantage  </w:t>
      </w:r>
    </w:p>
    <w:p w14:paraId="7E3FE2D7" w14:textId="77777777" w:rsidR="00CA6CE3" w:rsidRPr="00CA6CE3" w:rsidRDefault="00CA6CE3" w:rsidP="00CA6CE3">
      <w:pPr>
        <w:numPr>
          <w:ilvl w:val="0"/>
          <w:numId w:val="15"/>
        </w:numPr>
        <w:ind w:right="-10"/>
        <w:rPr>
          <w:rFonts w:asciiTheme="minorHAnsi" w:hAnsiTheme="minorHAnsi" w:cstheme="minorBidi"/>
          <w:sz w:val="24"/>
          <w:szCs w:val="24"/>
        </w:rPr>
      </w:pPr>
      <w:r w:rsidRPr="00CA6CE3">
        <w:rPr>
          <w:rFonts w:asciiTheme="minorHAnsi" w:hAnsiTheme="minorHAnsi" w:cstheme="minorBidi"/>
          <w:sz w:val="24"/>
          <w:szCs w:val="24"/>
        </w:rPr>
        <w:t>A description of the current network participation of Holder including but not limited to the number of:  </w:t>
      </w:r>
    </w:p>
    <w:p w14:paraId="73EE499D" w14:textId="77777777" w:rsidR="00CA6CE3" w:rsidRPr="00CA6CE3" w:rsidRDefault="00CA6CE3" w:rsidP="00CA6CE3">
      <w:pPr>
        <w:numPr>
          <w:ilvl w:val="0"/>
          <w:numId w:val="16"/>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Limited network products; </w:t>
      </w:r>
    </w:p>
    <w:p w14:paraId="178B0173" w14:textId="77777777" w:rsidR="00CA6CE3" w:rsidRPr="00CA6CE3" w:rsidRDefault="00CA6CE3" w:rsidP="00CA6CE3">
      <w:pPr>
        <w:numPr>
          <w:ilvl w:val="0"/>
          <w:numId w:val="17"/>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Tiered products, including Holder’s and each subsidiary hospitals’ and physician organization’s tier level for each of these products;  </w:t>
      </w:r>
    </w:p>
    <w:p w14:paraId="4AC36488" w14:textId="77777777" w:rsidR="00CA6CE3" w:rsidRPr="00CA6CE3" w:rsidRDefault="00CA6CE3" w:rsidP="00CA6CE3">
      <w:pPr>
        <w:numPr>
          <w:ilvl w:val="0"/>
          <w:numId w:val="18"/>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Other commercial products;  </w:t>
      </w:r>
    </w:p>
    <w:p w14:paraId="44F48162" w14:textId="77777777" w:rsidR="00CA6CE3" w:rsidRPr="00CA6CE3" w:rsidRDefault="00CA6CE3" w:rsidP="00CA6CE3">
      <w:pPr>
        <w:numPr>
          <w:ilvl w:val="0"/>
          <w:numId w:val="19"/>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MassHealth Fee for Service;  </w:t>
      </w:r>
    </w:p>
    <w:p w14:paraId="73146D7B" w14:textId="77777777" w:rsidR="00CA6CE3" w:rsidRPr="00CA6CE3" w:rsidRDefault="00CA6CE3" w:rsidP="00CA6CE3">
      <w:pPr>
        <w:numPr>
          <w:ilvl w:val="0"/>
          <w:numId w:val="20"/>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MassHealth Managed Care Organizations;  </w:t>
      </w:r>
    </w:p>
    <w:p w14:paraId="71B90290" w14:textId="77777777" w:rsidR="00CA6CE3" w:rsidRPr="00CA6CE3" w:rsidRDefault="00CA6CE3" w:rsidP="00CA6CE3">
      <w:pPr>
        <w:numPr>
          <w:ilvl w:val="0"/>
          <w:numId w:val="21"/>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MassHealth Accountable Care Organizations;  </w:t>
      </w:r>
    </w:p>
    <w:p w14:paraId="61A44A51" w14:textId="77777777" w:rsidR="00CA6CE3" w:rsidRPr="00CA6CE3" w:rsidRDefault="00CA6CE3" w:rsidP="00CA6CE3">
      <w:pPr>
        <w:numPr>
          <w:ilvl w:val="0"/>
          <w:numId w:val="22"/>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Senior Care Options, One Care, PACE;  </w:t>
      </w:r>
    </w:p>
    <w:p w14:paraId="76C3F6F0" w14:textId="77777777" w:rsidR="00CA6CE3" w:rsidRPr="00CA6CE3" w:rsidRDefault="00CA6CE3" w:rsidP="00CA6CE3">
      <w:pPr>
        <w:numPr>
          <w:ilvl w:val="0"/>
          <w:numId w:val="23"/>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Medicare Fee for Service; and </w:t>
      </w:r>
    </w:p>
    <w:p w14:paraId="56E55C82" w14:textId="77777777" w:rsidR="00CA6CE3" w:rsidRPr="00CA6CE3" w:rsidRDefault="00CA6CE3" w:rsidP="00CA6CE3">
      <w:pPr>
        <w:numPr>
          <w:ilvl w:val="0"/>
          <w:numId w:val="24"/>
        </w:numPr>
        <w:tabs>
          <w:tab w:val="clear" w:pos="720"/>
          <w:tab w:val="num" w:pos="1440"/>
        </w:tabs>
        <w:ind w:right="-10"/>
        <w:rPr>
          <w:rFonts w:asciiTheme="minorHAnsi" w:hAnsiTheme="minorHAnsi" w:cstheme="minorBidi"/>
          <w:sz w:val="24"/>
          <w:szCs w:val="24"/>
        </w:rPr>
      </w:pPr>
      <w:r w:rsidRPr="00CA6CE3">
        <w:rPr>
          <w:rFonts w:asciiTheme="minorHAnsi" w:hAnsiTheme="minorHAnsi" w:cstheme="minorBidi"/>
          <w:sz w:val="24"/>
          <w:szCs w:val="24"/>
        </w:rPr>
        <w:t>Medicare Managed Care Organizations. </w:t>
      </w:r>
    </w:p>
    <w:p w14:paraId="381AC2DD" w14:textId="77777777" w:rsidR="00CA6CE3" w:rsidRPr="00CA6CE3" w:rsidRDefault="00CA6CE3" w:rsidP="00CA6CE3">
      <w:pPr>
        <w:numPr>
          <w:ilvl w:val="0"/>
          <w:numId w:val="25"/>
        </w:numPr>
        <w:ind w:right="-10"/>
        <w:rPr>
          <w:rFonts w:asciiTheme="minorHAnsi" w:hAnsiTheme="minorHAnsi" w:cstheme="minorBidi"/>
          <w:sz w:val="24"/>
          <w:szCs w:val="24"/>
        </w:rPr>
      </w:pPr>
      <w:r w:rsidRPr="00CA6CE3">
        <w:rPr>
          <w:rFonts w:asciiTheme="minorHAnsi" w:hAnsiTheme="minorHAnsi" w:cstheme="minorBidi"/>
          <w:sz w:val="24"/>
          <w:szCs w:val="24"/>
        </w:rPr>
        <w:t>A description of efforts to identify and address barriers to access, including for patients insured by or through MassHealth. </w:t>
      </w:r>
    </w:p>
    <w:p w14:paraId="75B277BE" w14:textId="77777777" w:rsidR="00CA6CE3" w:rsidRPr="00CA6CE3" w:rsidRDefault="00CA6CE3" w:rsidP="00CA6CE3">
      <w:pPr>
        <w:numPr>
          <w:ilvl w:val="0"/>
          <w:numId w:val="26"/>
        </w:numPr>
        <w:ind w:right="-10"/>
        <w:rPr>
          <w:rFonts w:asciiTheme="minorHAnsi" w:hAnsiTheme="minorHAnsi" w:cstheme="minorBidi"/>
          <w:sz w:val="24"/>
          <w:szCs w:val="24"/>
        </w:rPr>
      </w:pPr>
      <w:r w:rsidRPr="00CA6CE3">
        <w:rPr>
          <w:rFonts w:asciiTheme="minorHAnsi" w:hAnsiTheme="minorHAnsi" w:cstheme="minorBidi"/>
          <w:sz w:val="24"/>
          <w:szCs w:val="24"/>
        </w:rPr>
        <w:t>If, during the pendency of the DoN, the Department determines that the MassHealth payer mix of Holy Family Hospital has materially decreased since the Closing, then the Holder shall submit a plan to the Department detailing its plan to increase its MassHealth payer mix. The plan shall be submitted no later than six months after such time as the Department notifies the Holder that such a plan is required. The Holder shall provide with its annual report to the Department a report on implementation of said plan. </w:t>
      </w:r>
    </w:p>
    <w:p w14:paraId="5AA89D99" w14:textId="77777777" w:rsidR="00CA6CE3" w:rsidRPr="00CA6CE3" w:rsidRDefault="00CA6CE3" w:rsidP="00CA6CE3">
      <w:pPr>
        <w:ind w:right="-10"/>
        <w:rPr>
          <w:rFonts w:asciiTheme="minorHAnsi" w:hAnsiTheme="minorHAnsi" w:cstheme="minorBidi"/>
          <w:sz w:val="24"/>
          <w:szCs w:val="24"/>
        </w:rPr>
      </w:pPr>
      <w:r w:rsidRPr="00CA6CE3">
        <w:rPr>
          <w:rFonts w:asciiTheme="minorHAnsi" w:hAnsiTheme="minorHAnsi" w:cstheme="minorBidi"/>
          <w:sz w:val="24"/>
          <w:szCs w:val="24"/>
        </w:rPr>
        <w:t> </w:t>
      </w:r>
    </w:p>
    <w:p w14:paraId="11B2CDE0" w14:textId="77777777" w:rsidR="00CA6CE3" w:rsidRPr="00CA6CE3" w:rsidRDefault="00CA6CE3" w:rsidP="00CA6CE3">
      <w:pPr>
        <w:numPr>
          <w:ilvl w:val="0"/>
          <w:numId w:val="27"/>
        </w:numPr>
        <w:ind w:right="-10"/>
        <w:rPr>
          <w:rFonts w:asciiTheme="minorHAnsi" w:hAnsiTheme="minorHAnsi" w:cstheme="minorBidi"/>
          <w:sz w:val="24"/>
          <w:szCs w:val="24"/>
        </w:rPr>
      </w:pPr>
      <w:r w:rsidRPr="00CA6CE3">
        <w:rPr>
          <w:rFonts w:asciiTheme="minorHAnsi" w:hAnsiTheme="minorHAnsi" w:cstheme="minorBidi"/>
          <w:sz w:val="24"/>
          <w:szCs w:val="24"/>
        </w:rPr>
        <w:t xml:space="preserve">The Holder will make good faith efforts to ensure continuity of care for patients through good faith efforts to participate in the same insurance plans that Holy Family Hospital participated in as of the Closing and, to the extent possible, at the same rates through the end of the applicable payer contract period. </w:t>
      </w:r>
    </w:p>
    <w:p w14:paraId="1390D54E" w14:textId="77777777" w:rsidR="00CA6CE3" w:rsidRPr="00CA6CE3" w:rsidRDefault="00CA6CE3" w:rsidP="00CA6CE3">
      <w:pPr>
        <w:ind w:right="-10"/>
        <w:rPr>
          <w:rFonts w:asciiTheme="minorHAnsi" w:hAnsiTheme="minorHAnsi" w:cstheme="minorBidi"/>
          <w:sz w:val="24"/>
          <w:szCs w:val="24"/>
        </w:rPr>
      </w:pPr>
      <w:r w:rsidRPr="00CA6CE3">
        <w:rPr>
          <w:rFonts w:asciiTheme="minorHAnsi" w:hAnsiTheme="minorHAnsi" w:cstheme="minorBidi"/>
          <w:sz w:val="24"/>
          <w:szCs w:val="24"/>
        </w:rPr>
        <w:t> </w:t>
      </w:r>
    </w:p>
    <w:p w14:paraId="3653DD64" w14:textId="163E23F1" w:rsidR="00CA6CE3" w:rsidRPr="00CA6CE3" w:rsidRDefault="00CA6CE3" w:rsidP="4FB03EDA">
      <w:pPr>
        <w:numPr>
          <w:ilvl w:val="0"/>
          <w:numId w:val="28"/>
        </w:numPr>
        <w:ind w:right="-10"/>
        <w:rPr>
          <w:rFonts w:asciiTheme="minorHAnsi" w:hAnsiTheme="minorHAnsi" w:cstheme="minorBidi"/>
          <w:sz w:val="24"/>
          <w:szCs w:val="24"/>
        </w:rPr>
      </w:pPr>
      <w:r w:rsidRPr="4FB03EDA">
        <w:rPr>
          <w:rFonts w:asciiTheme="minorHAnsi" w:hAnsiTheme="minorHAnsi" w:cstheme="minorBidi"/>
          <w:sz w:val="24"/>
          <w:szCs w:val="24"/>
        </w:rPr>
        <w:t>The Holder shall develop a plan for review and approval by the Department through which, within two years of the approval of the DoN, all employed physicians and other</w:t>
      </w:r>
      <w:r w:rsidR="0FA29551" w:rsidRPr="4FB03EDA">
        <w:rPr>
          <w:rFonts w:asciiTheme="minorHAnsi" w:hAnsiTheme="minorHAnsi" w:cstheme="minorBidi"/>
          <w:sz w:val="24"/>
          <w:szCs w:val="24"/>
        </w:rPr>
        <w:t xml:space="preserve"> employed</w:t>
      </w:r>
      <w:r w:rsidRPr="4FB03EDA">
        <w:rPr>
          <w:rFonts w:asciiTheme="minorHAnsi" w:hAnsiTheme="minorHAnsi" w:cstheme="minorBidi"/>
          <w:sz w:val="24"/>
          <w:szCs w:val="24"/>
        </w:rPr>
        <w:t xml:space="preserve"> licensed providers at </w:t>
      </w:r>
      <w:r w:rsidR="65555A38" w:rsidRPr="4FB03EDA">
        <w:rPr>
          <w:rFonts w:asciiTheme="minorHAnsi" w:hAnsiTheme="minorHAnsi" w:cstheme="minorBidi"/>
          <w:sz w:val="24"/>
          <w:szCs w:val="24"/>
        </w:rPr>
        <w:t xml:space="preserve">Holy Family Hospital </w:t>
      </w:r>
      <w:r w:rsidRPr="4FB03EDA">
        <w:rPr>
          <w:rFonts w:asciiTheme="minorHAnsi" w:hAnsiTheme="minorHAnsi" w:cstheme="minorBidi"/>
          <w:sz w:val="24"/>
          <w:szCs w:val="24"/>
        </w:rPr>
        <w:t xml:space="preserve">who are authorized to participate in MassHealth, shall have applied to participate in MassHealth (the MassHealth Plan). The Holder shall certify annually thereafter during the Reporting Period its continuing compliance with the intent of the MassHealth Plan that all employed physicians and other </w:t>
      </w:r>
      <w:r w:rsidR="2A630D77" w:rsidRPr="4FB03EDA">
        <w:rPr>
          <w:rFonts w:asciiTheme="minorHAnsi" w:hAnsiTheme="minorHAnsi" w:cstheme="minorBidi"/>
          <w:sz w:val="24"/>
          <w:szCs w:val="24"/>
        </w:rPr>
        <w:t xml:space="preserve">employed </w:t>
      </w:r>
      <w:r w:rsidRPr="4FB03EDA">
        <w:rPr>
          <w:rFonts w:asciiTheme="minorHAnsi" w:hAnsiTheme="minorHAnsi" w:cstheme="minorBidi"/>
          <w:sz w:val="24"/>
          <w:szCs w:val="24"/>
        </w:rPr>
        <w:t>licensed providers who are so authorized are participating in MassHealth and its contracted managed care entities.  </w:t>
      </w:r>
    </w:p>
    <w:p w14:paraId="4A6106D1" w14:textId="77777777" w:rsidR="00CA6CE3" w:rsidRPr="00CA6CE3" w:rsidRDefault="00CA6CE3" w:rsidP="00CA6CE3">
      <w:pPr>
        <w:ind w:right="-10"/>
        <w:rPr>
          <w:rFonts w:asciiTheme="minorHAnsi" w:hAnsiTheme="minorHAnsi" w:cstheme="minorBidi"/>
          <w:sz w:val="24"/>
          <w:szCs w:val="24"/>
        </w:rPr>
      </w:pPr>
      <w:r w:rsidRPr="00CA6CE3">
        <w:rPr>
          <w:rFonts w:asciiTheme="minorHAnsi" w:hAnsiTheme="minorHAnsi" w:cstheme="minorBidi"/>
          <w:sz w:val="24"/>
          <w:szCs w:val="24"/>
        </w:rPr>
        <w:t> </w:t>
      </w:r>
    </w:p>
    <w:p w14:paraId="074F5054" w14:textId="77777777" w:rsidR="00CA6CE3" w:rsidRPr="00CA6CE3" w:rsidRDefault="00CA6CE3" w:rsidP="00CA6CE3">
      <w:pPr>
        <w:numPr>
          <w:ilvl w:val="0"/>
          <w:numId w:val="29"/>
        </w:numPr>
        <w:ind w:right="-10"/>
        <w:rPr>
          <w:rFonts w:asciiTheme="minorHAnsi" w:hAnsiTheme="minorHAnsi" w:cstheme="minorBidi"/>
          <w:sz w:val="24"/>
          <w:szCs w:val="24"/>
        </w:rPr>
      </w:pPr>
      <w:r w:rsidRPr="00CA6CE3">
        <w:rPr>
          <w:rFonts w:asciiTheme="minorHAnsi" w:hAnsiTheme="minorHAnsi" w:cstheme="minorBidi"/>
          <w:sz w:val="24"/>
          <w:szCs w:val="24"/>
        </w:rPr>
        <w:lastRenderedPageBreak/>
        <w:t xml:space="preserve">The Holder will make good faith efforts to offer jobs to the individuals who had been employed at Holy Family Hospital as of the Closing by offering continued employment following the Closing, on the same terms as feasible. </w:t>
      </w:r>
    </w:p>
    <w:p w14:paraId="050ABD5C" w14:textId="77777777" w:rsidR="00CA6CE3" w:rsidRPr="00F42494" w:rsidRDefault="00CA6CE3" w:rsidP="1CDA31B1">
      <w:pPr>
        <w:ind w:right="-10"/>
        <w:rPr>
          <w:rFonts w:asciiTheme="minorHAnsi" w:hAnsiTheme="minorHAnsi" w:cstheme="minorBidi"/>
          <w:sz w:val="24"/>
          <w:szCs w:val="24"/>
        </w:rPr>
      </w:pPr>
    </w:p>
    <w:p w14:paraId="77396086" w14:textId="77C8862F" w:rsidR="00F42494" w:rsidRPr="00F42494" w:rsidRDefault="438DCDC7" w:rsidP="1CDA31B1">
      <w:pPr>
        <w:ind w:right="-10"/>
        <w:rPr>
          <w:rFonts w:asciiTheme="minorHAnsi" w:hAnsiTheme="minorHAnsi" w:cstheme="minorBidi"/>
          <w:sz w:val="24"/>
          <w:szCs w:val="24"/>
        </w:rPr>
      </w:pPr>
      <w:r w:rsidRPr="1CDA31B1">
        <w:rPr>
          <w:rFonts w:asciiTheme="minorHAnsi" w:hAnsiTheme="minorHAnsi" w:cstheme="minorBidi"/>
          <w:sz w:val="24"/>
          <w:szCs w:val="24"/>
        </w:rPr>
        <w:t> </w:t>
      </w:r>
    </w:p>
    <w:p w14:paraId="640E0572" w14:textId="77777777" w:rsidR="00FD6F3A" w:rsidRPr="00F35D7B" w:rsidRDefault="00FD6F3A" w:rsidP="00F35D7B">
      <w:pPr>
        <w:ind w:right="-10"/>
        <w:rPr>
          <w:rFonts w:asciiTheme="minorHAnsi" w:hAnsiTheme="minorHAnsi" w:cstheme="minorHAnsi"/>
          <w:b/>
          <w:bCs/>
        </w:rPr>
      </w:pPr>
    </w:p>
    <w:p w14:paraId="3AB051A1" w14:textId="77777777" w:rsidR="00F35D7B" w:rsidRPr="00F35D7B" w:rsidRDefault="00F35D7B" w:rsidP="00F35D7B">
      <w:pPr>
        <w:ind w:right="-10"/>
        <w:rPr>
          <w:rFonts w:asciiTheme="minorHAnsi" w:hAnsiTheme="minorHAnsi" w:cstheme="minorHAnsi"/>
          <w:sz w:val="24"/>
          <w:szCs w:val="24"/>
        </w:rPr>
      </w:pPr>
    </w:p>
    <w:p w14:paraId="1CB9BA75" w14:textId="0A3587FE" w:rsidR="001B72DB" w:rsidRPr="008B5620" w:rsidRDefault="001B72DB" w:rsidP="00FD6F3A">
      <w:pPr>
        <w:ind w:right="-10"/>
        <w:rPr>
          <w:rFonts w:asciiTheme="minorHAnsi" w:hAnsiTheme="minorHAnsi" w:cstheme="minorBidi"/>
          <w:sz w:val="24"/>
          <w:szCs w:val="24"/>
        </w:rPr>
      </w:pPr>
    </w:p>
    <w:sectPr w:rsidR="001B72DB" w:rsidRPr="008B5620" w:rsidSect="00FD6F3A">
      <w:headerReference w:type="default" r:id="rId8"/>
      <w:pgSz w:w="12240" w:h="15840"/>
      <w:pgMar w:top="1400" w:right="1220" w:bottom="1680" w:left="1260" w:header="720" w:footer="14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92080" w14:textId="77777777" w:rsidR="00AB75C2" w:rsidRDefault="00AB75C2" w:rsidP="005E7C24">
      <w:r>
        <w:separator/>
      </w:r>
    </w:p>
  </w:endnote>
  <w:endnote w:type="continuationSeparator" w:id="0">
    <w:p w14:paraId="1DD10895" w14:textId="77777777" w:rsidR="00AB75C2" w:rsidRDefault="00AB75C2" w:rsidP="005E7C24">
      <w:r>
        <w:continuationSeparator/>
      </w:r>
    </w:p>
  </w:endnote>
  <w:endnote w:type="continuationNotice" w:id="1">
    <w:p w14:paraId="603384DB" w14:textId="77777777" w:rsidR="00AB75C2" w:rsidRDefault="00AB7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E61B0" w14:textId="77777777" w:rsidR="00AB75C2" w:rsidRDefault="00AB75C2" w:rsidP="005E7C24">
      <w:r>
        <w:separator/>
      </w:r>
    </w:p>
  </w:footnote>
  <w:footnote w:type="continuationSeparator" w:id="0">
    <w:p w14:paraId="64BDF412" w14:textId="77777777" w:rsidR="00AB75C2" w:rsidRDefault="00AB75C2" w:rsidP="005E7C24">
      <w:r>
        <w:continuationSeparator/>
      </w:r>
    </w:p>
  </w:footnote>
  <w:footnote w:type="continuationNotice" w:id="1">
    <w:p w14:paraId="24164547" w14:textId="77777777" w:rsidR="00AB75C2" w:rsidRDefault="00AB75C2"/>
  </w:footnote>
  <w:footnote w:id="2">
    <w:p w14:paraId="288FA2E5" w14:textId="5845DDD5" w:rsidR="1CDA31B1" w:rsidRPr="002C28AE" w:rsidRDefault="1CDA31B1" w:rsidP="00054737">
      <w:pPr>
        <w:pStyle w:val="FootnoteText"/>
      </w:pPr>
      <w:r w:rsidRPr="002C28AE">
        <w:rPr>
          <w:rStyle w:val="FootnoteReference"/>
        </w:rPr>
        <w:footnoteRef/>
      </w:r>
      <w:r w:rsidRPr="002C28AE">
        <w:t xml:space="preserve"> Transfer of Ownership is defined in the applicable regulations at 105 CMR 100 as including but not being limited to “(1) A transfer of a majority interest in the ownership of a Hospital or Clinic; (2) In the case of a privately-held for-profit corporation, transfer of a majority of any class of the stock thereof; (3) In the case of a partnership, transfer of a majority of trustees; (4) In the case of a trust, change of the trustee or a majority of trustees; (5) In the case of a nonprofit corporation, such changes in the corporate membership and/or trustees to constitute a shift in control of the Hospital or Clinic as determined by the Commissioner; or (6) In the case where foreclosure proceedings have been instituted by a mortgagee in possession of a Hospital or Clinic. For the purposes of 105 CMR 100.000, Transfer of Ownership may also mean any change in the ownership interest or structure of the Hospital or Clinic, or of the Hospital or Clinic's organization or parent organization(s), such that the change results in a shift in control of the operation of the Hospital or Clinic, as determined by the Commissioner.”</w:t>
      </w:r>
    </w:p>
  </w:footnote>
  <w:footnote w:id="3">
    <w:p w14:paraId="09202BE6" w14:textId="27F51C26" w:rsidR="0048110F" w:rsidRDefault="0048110F">
      <w:pPr>
        <w:pStyle w:val="FootnoteText"/>
      </w:pPr>
      <w:r>
        <w:rPr>
          <w:rStyle w:val="FootnoteReference"/>
        </w:rPr>
        <w:footnoteRef/>
      </w:r>
      <w:r>
        <w:t xml:space="preserve"> </w:t>
      </w:r>
      <w:r w:rsidRPr="0048110F">
        <w:t xml:space="preserve">LG </w:t>
      </w:r>
      <w:proofErr w:type="spellStart"/>
      <w:r w:rsidRPr="0048110F">
        <w:t>Newcorp</w:t>
      </w:r>
      <w:proofErr w:type="spellEnd"/>
      <w:r w:rsidRPr="0048110F">
        <w:t>, Inc is also entering into an agreement with the Archdiocese of Boston to preserve the name "Holy Family Hospital" for a short transition period to allow a seamless transaction period.</w:t>
      </w:r>
    </w:p>
  </w:footnote>
  <w:footnote w:id="4">
    <w:p w14:paraId="0F3226AB" w14:textId="16640157" w:rsidR="78C7AD39" w:rsidRPr="00920971" w:rsidRDefault="78C7AD39" w:rsidP="78C7AD39">
      <w:pPr>
        <w:rPr>
          <w:rFonts w:asciiTheme="minorHAnsi" w:hAnsiTheme="minorHAnsi" w:cstheme="minorBidi"/>
          <w:sz w:val="20"/>
          <w:szCs w:val="20"/>
        </w:rPr>
      </w:pPr>
      <w:r w:rsidRPr="00920971">
        <w:rPr>
          <w:rStyle w:val="FootnoteReference"/>
          <w:sz w:val="20"/>
          <w:szCs w:val="20"/>
        </w:rPr>
        <w:footnoteRef/>
      </w:r>
      <w:r w:rsidRPr="00920971">
        <w:rPr>
          <w:sz w:val="20"/>
          <w:szCs w:val="20"/>
        </w:rPr>
        <w:t xml:space="preserve"> </w:t>
      </w:r>
      <w:r w:rsidRPr="00920971">
        <w:rPr>
          <w:rFonts w:asciiTheme="minorHAnsi" w:hAnsiTheme="minorHAnsi" w:cstheme="minorBidi"/>
          <w:sz w:val="20"/>
          <w:szCs w:val="20"/>
        </w:rPr>
        <w:t xml:space="preserve">The Applicant adds that LGH has entered into a Memorandum of Agreement with the Commonwealth of Massachusetts to provide financial assistance with the transition of Holy Family Hospital to provide support while the clinical services and operations are transferred over to LGH control. The state financial assistance in principle provides the level of financing that will be used to 1) complete the acquisition of the real estate as well as the operations 2) make necessary improvements to its real property since critical area have deteriorated (e.g., roofing and imaging services) and 3) make necessary technological investments to serve the overall Merrimack Valley in a true coordinated regional manner.  </w:t>
      </w:r>
    </w:p>
    <w:p w14:paraId="44CB5075" w14:textId="4E359022" w:rsidR="78C7AD39" w:rsidRDefault="78C7AD39" w:rsidP="78C7AD39">
      <w:pPr>
        <w:pStyle w:val="FootnoteText"/>
      </w:pPr>
    </w:p>
  </w:footnote>
  <w:footnote w:id="5">
    <w:p w14:paraId="75CF5EEE" w14:textId="6D5878EF" w:rsidR="007A02FB" w:rsidRDefault="007A02FB" w:rsidP="009B5583">
      <w:pPr>
        <w:pStyle w:val="FootnoteText"/>
      </w:pPr>
      <w:r>
        <w:rPr>
          <w:rStyle w:val="FootnoteReference"/>
        </w:rPr>
        <w:footnoteRef/>
      </w:r>
      <w:r>
        <w:t xml:space="preserve"> </w:t>
      </w:r>
      <w:r w:rsidRPr="007A3242">
        <w:t xml:space="preserve">These data are based on the Massachusetts Department of Public Health, Health Care Capacity Dashboard, including Syndromic Surveillance Program, Division of Surveillance, Analytics and Informatics, Bureau of Infectious Disease and Laboratory Services, Massachusetts Department of Public Health. </w:t>
      </w:r>
      <w:proofErr w:type="spellStart"/>
      <w:r w:rsidRPr="007A3242">
        <w:t>WebEOC</w:t>
      </w:r>
      <w:proofErr w:type="spellEnd"/>
      <w:r w:rsidRPr="007A3242">
        <w:t xml:space="preserve"> is an industry-standard, secure, cloud-based platform specifically built to enhance situational awareness and information gathering capabilities of Emergency Management organizations. Per CMS-3401-IFC, hospitals are required to report a series of data points, including numbers on bed capacity and occupancy, which are collected by MADPH in </w:t>
      </w:r>
      <w:proofErr w:type="spellStart"/>
      <w:r w:rsidRPr="007A3242">
        <w:t>WebEOC</w:t>
      </w:r>
      <w:proofErr w:type="spellEnd"/>
      <w:r w:rsidRPr="007A3242">
        <w:t xml:space="preserve"> and reported to the federal level on behalf of the facilities.</w:t>
      </w:r>
    </w:p>
  </w:footnote>
  <w:footnote w:id="6">
    <w:p w14:paraId="64189E8C" w14:textId="5885EC83" w:rsidR="008B5620" w:rsidRDefault="008B5620">
      <w:pPr>
        <w:pStyle w:val="FootnoteText"/>
      </w:pPr>
      <w:r>
        <w:rPr>
          <w:rStyle w:val="FootnoteReference"/>
        </w:rPr>
        <w:footnoteRef/>
      </w:r>
      <w:r>
        <w:t xml:space="preserve"> Based on the </w:t>
      </w:r>
      <w:hyperlink r:id="rId1" w:history="1">
        <w:r w:rsidRPr="00B23536">
          <w:rPr>
            <w:rStyle w:val="Hyperlink"/>
            <w:color w:val="000000" w:themeColor="text1"/>
            <w:u w:val="none"/>
          </w:rPr>
          <w:t>FY 2022 Cost Report</w:t>
        </w:r>
      </w:hyperlink>
      <w:r>
        <w:t xml:space="preserve">, </w:t>
      </w:r>
      <w:hyperlink r:id="rId2" w:history="1">
        <w:r w:rsidR="00B23536" w:rsidRPr="005126D6">
          <w:rPr>
            <w:rStyle w:val="Hyperlink"/>
          </w:rPr>
          <w:t>https://www.chiamass.gov/high-public-payer-hospitals</w:t>
        </w:r>
      </w:hyperlink>
      <w:r w:rsidR="00B23536">
        <w:t xml:space="preserve"> </w:t>
      </w:r>
    </w:p>
  </w:footnote>
  <w:footnote w:id="7">
    <w:p w14:paraId="2CA447B1" w14:textId="77777777" w:rsidR="004D3658" w:rsidRDefault="004D3658" w:rsidP="004D3658">
      <w:pPr>
        <w:pStyle w:val="FootnoteText"/>
      </w:pPr>
      <w:r>
        <w:rPr>
          <w:rStyle w:val="FootnoteReference"/>
        </w:rPr>
        <w:footnoteRef/>
      </w:r>
      <w:r>
        <w:t xml:space="preserve"> </w:t>
      </w:r>
      <w:r w:rsidRPr="00D859D8">
        <w:t>105 CMR 100.100</w:t>
      </w:r>
      <w:r>
        <w:t xml:space="preserve"> Definitions</w:t>
      </w:r>
    </w:p>
  </w:footnote>
  <w:footnote w:id="8">
    <w:p w14:paraId="1F1A69B3" w14:textId="32A6CFAD" w:rsidR="00F35D7B" w:rsidRDefault="00F35D7B" w:rsidP="00F35D7B">
      <w:pPr>
        <w:pStyle w:val="FootnoteText"/>
      </w:pPr>
      <w:r>
        <w:rPr>
          <w:rStyle w:val="FootnoteReference"/>
        </w:rPr>
        <w:footnoteRef/>
      </w:r>
      <w:r>
        <w:t xml:space="preserve"> </w:t>
      </w:r>
      <w:r w:rsidRPr="00AB7675">
        <w:t>(B)(1) A Determination of Need Application for Transfer of Ownership pursuant to 105 CMR 100.735 is exempt from105 CMR 100.310(A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722099"/>
      <w:docPartObj>
        <w:docPartGallery w:val="Page Numbers (Top of Page)"/>
        <w:docPartUnique/>
      </w:docPartObj>
    </w:sdtPr>
    <w:sdtEndPr>
      <w:rPr>
        <w:noProof/>
      </w:rPr>
    </w:sdtEndPr>
    <w:sdtContent>
      <w:p w14:paraId="73DA004C" w14:textId="3CB39B05" w:rsidR="00B611B8" w:rsidRDefault="00B611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94B8F3" w14:textId="793E787E" w:rsidR="00F25CA5" w:rsidRDefault="00F25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F6928"/>
    <w:multiLevelType w:val="multilevel"/>
    <w:tmpl w:val="E20C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7F7BC5"/>
    <w:multiLevelType w:val="multilevel"/>
    <w:tmpl w:val="0F0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86DF0"/>
    <w:multiLevelType w:val="multilevel"/>
    <w:tmpl w:val="C2DE7B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8523869"/>
    <w:multiLevelType w:val="multilevel"/>
    <w:tmpl w:val="B764E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D5F7684"/>
    <w:multiLevelType w:val="multilevel"/>
    <w:tmpl w:val="043A75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22D5BA1"/>
    <w:multiLevelType w:val="multilevel"/>
    <w:tmpl w:val="12F0E7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8AE6682"/>
    <w:multiLevelType w:val="multilevel"/>
    <w:tmpl w:val="9E04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90C5E0C"/>
    <w:multiLevelType w:val="multilevel"/>
    <w:tmpl w:val="9B1639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A345852"/>
    <w:multiLevelType w:val="multilevel"/>
    <w:tmpl w:val="F370A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905E6"/>
    <w:multiLevelType w:val="multilevel"/>
    <w:tmpl w:val="E8AC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55544AE"/>
    <w:multiLevelType w:val="multilevel"/>
    <w:tmpl w:val="20B8B6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B032B7A"/>
    <w:multiLevelType w:val="multilevel"/>
    <w:tmpl w:val="23D4C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717E00"/>
    <w:multiLevelType w:val="multilevel"/>
    <w:tmpl w:val="58C012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71F2F45"/>
    <w:multiLevelType w:val="multilevel"/>
    <w:tmpl w:val="6F56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72118A"/>
    <w:multiLevelType w:val="multilevel"/>
    <w:tmpl w:val="1186B4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CC314DD"/>
    <w:multiLevelType w:val="multilevel"/>
    <w:tmpl w:val="439E5B3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D0340E4"/>
    <w:multiLevelType w:val="multilevel"/>
    <w:tmpl w:val="411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A46384"/>
    <w:multiLevelType w:val="hybridMultilevel"/>
    <w:tmpl w:val="FEBC1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A16C5"/>
    <w:multiLevelType w:val="multilevel"/>
    <w:tmpl w:val="59E2A31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97C29B4"/>
    <w:multiLevelType w:val="multilevel"/>
    <w:tmpl w:val="0FE4E9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59AA237F"/>
    <w:multiLevelType w:val="multilevel"/>
    <w:tmpl w:val="1002A3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9B12E37"/>
    <w:multiLevelType w:val="multilevel"/>
    <w:tmpl w:val="7F58B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9C46DE1"/>
    <w:multiLevelType w:val="multilevel"/>
    <w:tmpl w:val="36189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B2B50CF"/>
    <w:multiLevelType w:val="multilevel"/>
    <w:tmpl w:val="9DD812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F446F73"/>
    <w:multiLevelType w:val="multilevel"/>
    <w:tmpl w:val="BB1480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F137D2A"/>
    <w:multiLevelType w:val="multilevel"/>
    <w:tmpl w:val="21228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6843F7"/>
    <w:multiLevelType w:val="multilevel"/>
    <w:tmpl w:val="5726B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4E11E64"/>
    <w:multiLevelType w:val="multilevel"/>
    <w:tmpl w:val="0DCEF7A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6AE3817"/>
    <w:multiLevelType w:val="multilevel"/>
    <w:tmpl w:val="00529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364451">
    <w:abstractNumId w:val="17"/>
  </w:num>
  <w:num w:numId="2" w16cid:durableId="982080976">
    <w:abstractNumId w:val="13"/>
  </w:num>
  <w:num w:numId="3" w16cid:durableId="1112094706">
    <w:abstractNumId w:val="16"/>
  </w:num>
  <w:num w:numId="4" w16cid:durableId="277298132">
    <w:abstractNumId w:val="1"/>
  </w:num>
  <w:num w:numId="5" w16cid:durableId="1910075890">
    <w:abstractNumId w:val="28"/>
  </w:num>
  <w:num w:numId="6" w16cid:durableId="1522206958">
    <w:abstractNumId w:val="0"/>
  </w:num>
  <w:num w:numId="7" w16cid:durableId="937063355">
    <w:abstractNumId w:val="10"/>
  </w:num>
  <w:num w:numId="8" w16cid:durableId="342782311">
    <w:abstractNumId w:val="4"/>
  </w:num>
  <w:num w:numId="9" w16cid:durableId="772431855">
    <w:abstractNumId w:val="24"/>
  </w:num>
  <w:num w:numId="10" w16cid:durableId="445076923">
    <w:abstractNumId w:val="7"/>
  </w:num>
  <w:num w:numId="11" w16cid:durableId="19161068">
    <w:abstractNumId w:val="12"/>
  </w:num>
  <w:num w:numId="12" w16cid:durableId="914825233">
    <w:abstractNumId w:val="5"/>
  </w:num>
  <w:num w:numId="13" w16cid:durableId="2085640323">
    <w:abstractNumId w:val="20"/>
  </w:num>
  <w:num w:numId="14" w16cid:durableId="231354064">
    <w:abstractNumId w:val="19"/>
  </w:num>
  <w:num w:numId="15" w16cid:durableId="431049420">
    <w:abstractNumId w:val="6"/>
  </w:num>
  <w:num w:numId="16" w16cid:durableId="1568878707">
    <w:abstractNumId w:val="9"/>
  </w:num>
  <w:num w:numId="17" w16cid:durableId="1052271431">
    <w:abstractNumId w:val="21"/>
  </w:num>
  <w:num w:numId="18" w16cid:durableId="880433973">
    <w:abstractNumId w:val="22"/>
  </w:num>
  <w:num w:numId="19" w16cid:durableId="1027219721">
    <w:abstractNumId w:val="23"/>
  </w:num>
  <w:num w:numId="20" w16cid:durableId="660352645">
    <w:abstractNumId w:val="3"/>
  </w:num>
  <w:num w:numId="21" w16cid:durableId="667093896">
    <w:abstractNumId w:val="18"/>
  </w:num>
  <w:num w:numId="22" w16cid:durableId="324162604">
    <w:abstractNumId w:val="2"/>
  </w:num>
  <w:num w:numId="23" w16cid:durableId="484861583">
    <w:abstractNumId w:val="27"/>
  </w:num>
  <w:num w:numId="24" w16cid:durableId="59448197">
    <w:abstractNumId w:val="15"/>
  </w:num>
  <w:num w:numId="25" w16cid:durableId="1146312210">
    <w:abstractNumId w:val="26"/>
  </w:num>
  <w:num w:numId="26" w16cid:durableId="1709836503">
    <w:abstractNumId w:val="14"/>
  </w:num>
  <w:num w:numId="27" w16cid:durableId="1877041009">
    <w:abstractNumId w:val="8"/>
  </w:num>
  <w:num w:numId="28" w16cid:durableId="1650209594">
    <w:abstractNumId w:val="11"/>
  </w:num>
  <w:num w:numId="29" w16cid:durableId="50305996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24"/>
    <w:rsid w:val="00002EE7"/>
    <w:rsid w:val="000034E0"/>
    <w:rsid w:val="00006FDD"/>
    <w:rsid w:val="0000709F"/>
    <w:rsid w:val="0001268A"/>
    <w:rsid w:val="00016CE9"/>
    <w:rsid w:val="00020325"/>
    <w:rsid w:val="0002ACB7"/>
    <w:rsid w:val="00032F1D"/>
    <w:rsid w:val="00040503"/>
    <w:rsid w:val="00046A7D"/>
    <w:rsid w:val="00050859"/>
    <w:rsid w:val="00054737"/>
    <w:rsid w:val="000574D4"/>
    <w:rsid w:val="0005778B"/>
    <w:rsid w:val="00057F36"/>
    <w:rsid w:val="000713A3"/>
    <w:rsid w:val="00071B82"/>
    <w:rsid w:val="00074C84"/>
    <w:rsid w:val="0007661C"/>
    <w:rsid w:val="000A7169"/>
    <w:rsid w:val="000B1BD4"/>
    <w:rsid w:val="000B79B8"/>
    <w:rsid w:val="000D2C73"/>
    <w:rsid w:val="000D7595"/>
    <w:rsid w:val="000E3A53"/>
    <w:rsid w:val="000F2116"/>
    <w:rsid w:val="000F36CF"/>
    <w:rsid w:val="000F380E"/>
    <w:rsid w:val="000F589E"/>
    <w:rsid w:val="0010304D"/>
    <w:rsid w:val="00103D89"/>
    <w:rsid w:val="00104109"/>
    <w:rsid w:val="00112C13"/>
    <w:rsid w:val="001140E3"/>
    <w:rsid w:val="00116596"/>
    <w:rsid w:val="0012367B"/>
    <w:rsid w:val="00127B9C"/>
    <w:rsid w:val="00127D0A"/>
    <w:rsid w:val="001326DF"/>
    <w:rsid w:val="00142C8A"/>
    <w:rsid w:val="00143ACE"/>
    <w:rsid w:val="0016046D"/>
    <w:rsid w:val="00163260"/>
    <w:rsid w:val="00164969"/>
    <w:rsid w:val="0016536B"/>
    <w:rsid w:val="00167C7C"/>
    <w:rsid w:val="001718B0"/>
    <w:rsid w:val="001B07B1"/>
    <w:rsid w:val="001B0DBC"/>
    <w:rsid w:val="001B2E43"/>
    <w:rsid w:val="001B5472"/>
    <w:rsid w:val="001B6B3A"/>
    <w:rsid w:val="001B72DB"/>
    <w:rsid w:val="001B75E4"/>
    <w:rsid w:val="001C2421"/>
    <w:rsid w:val="001C348D"/>
    <w:rsid w:val="001D1F7F"/>
    <w:rsid w:val="001E519E"/>
    <w:rsid w:val="001F418A"/>
    <w:rsid w:val="001F7504"/>
    <w:rsid w:val="00203174"/>
    <w:rsid w:val="00231467"/>
    <w:rsid w:val="002324D5"/>
    <w:rsid w:val="00232A3E"/>
    <w:rsid w:val="00233048"/>
    <w:rsid w:val="002426D9"/>
    <w:rsid w:val="002433DF"/>
    <w:rsid w:val="00266517"/>
    <w:rsid w:val="00274DA6"/>
    <w:rsid w:val="002777B1"/>
    <w:rsid w:val="00286001"/>
    <w:rsid w:val="0028AF09"/>
    <w:rsid w:val="002A45B7"/>
    <w:rsid w:val="002A4959"/>
    <w:rsid w:val="002A7961"/>
    <w:rsid w:val="002B0CDF"/>
    <w:rsid w:val="002B7B5D"/>
    <w:rsid w:val="002C28AE"/>
    <w:rsid w:val="002C47E8"/>
    <w:rsid w:val="002C7140"/>
    <w:rsid w:val="002D46BA"/>
    <w:rsid w:val="002D590D"/>
    <w:rsid w:val="002E37BE"/>
    <w:rsid w:val="002E575E"/>
    <w:rsid w:val="002E5959"/>
    <w:rsid w:val="003142C2"/>
    <w:rsid w:val="0031450D"/>
    <w:rsid w:val="0031583B"/>
    <w:rsid w:val="00317639"/>
    <w:rsid w:val="00320660"/>
    <w:rsid w:val="00322857"/>
    <w:rsid w:val="0033176E"/>
    <w:rsid w:val="003369DF"/>
    <w:rsid w:val="00356AE4"/>
    <w:rsid w:val="00362C27"/>
    <w:rsid w:val="00367051"/>
    <w:rsid w:val="00370905"/>
    <w:rsid w:val="00377192"/>
    <w:rsid w:val="00380E26"/>
    <w:rsid w:val="00383F85"/>
    <w:rsid w:val="00387952"/>
    <w:rsid w:val="003907A3"/>
    <w:rsid w:val="00397219"/>
    <w:rsid w:val="003979E1"/>
    <w:rsid w:val="003A1315"/>
    <w:rsid w:val="003A47B3"/>
    <w:rsid w:val="003A5B2F"/>
    <w:rsid w:val="003A73EB"/>
    <w:rsid w:val="003B7FEC"/>
    <w:rsid w:val="003C0B8D"/>
    <w:rsid w:val="003D1CC9"/>
    <w:rsid w:val="003D2A15"/>
    <w:rsid w:val="003E0FA3"/>
    <w:rsid w:val="003E32C0"/>
    <w:rsid w:val="003E747C"/>
    <w:rsid w:val="003F27D1"/>
    <w:rsid w:val="004106F8"/>
    <w:rsid w:val="00410E35"/>
    <w:rsid w:val="00416BFE"/>
    <w:rsid w:val="00417E8F"/>
    <w:rsid w:val="00421725"/>
    <w:rsid w:val="00424D41"/>
    <w:rsid w:val="00427516"/>
    <w:rsid w:val="0043056B"/>
    <w:rsid w:val="00435735"/>
    <w:rsid w:val="004368AD"/>
    <w:rsid w:val="00444799"/>
    <w:rsid w:val="00446D32"/>
    <w:rsid w:val="00462D70"/>
    <w:rsid w:val="00472261"/>
    <w:rsid w:val="00473535"/>
    <w:rsid w:val="0048110F"/>
    <w:rsid w:val="004822BA"/>
    <w:rsid w:val="0048668F"/>
    <w:rsid w:val="004970AD"/>
    <w:rsid w:val="004A2B2A"/>
    <w:rsid w:val="004A4746"/>
    <w:rsid w:val="004A56F0"/>
    <w:rsid w:val="004C20D7"/>
    <w:rsid w:val="004D3658"/>
    <w:rsid w:val="004D5C6D"/>
    <w:rsid w:val="004E7E35"/>
    <w:rsid w:val="004F6A05"/>
    <w:rsid w:val="0051523F"/>
    <w:rsid w:val="0052206A"/>
    <w:rsid w:val="00533654"/>
    <w:rsid w:val="00540918"/>
    <w:rsid w:val="00543363"/>
    <w:rsid w:val="005453C1"/>
    <w:rsid w:val="005573CA"/>
    <w:rsid w:val="00564186"/>
    <w:rsid w:val="00567134"/>
    <w:rsid w:val="0058105D"/>
    <w:rsid w:val="00592C30"/>
    <w:rsid w:val="00594F7A"/>
    <w:rsid w:val="005957EF"/>
    <w:rsid w:val="00595DD2"/>
    <w:rsid w:val="00597A43"/>
    <w:rsid w:val="005B3BF9"/>
    <w:rsid w:val="005D11A2"/>
    <w:rsid w:val="005E23AD"/>
    <w:rsid w:val="005E642B"/>
    <w:rsid w:val="005E6729"/>
    <w:rsid w:val="005E7C24"/>
    <w:rsid w:val="005F1255"/>
    <w:rsid w:val="005F42B6"/>
    <w:rsid w:val="006166B6"/>
    <w:rsid w:val="00624B08"/>
    <w:rsid w:val="00624CED"/>
    <w:rsid w:val="00626FD2"/>
    <w:rsid w:val="006419CB"/>
    <w:rsid w:val="006433DB"/>
    <w:rsid w:val="00663208"/>
    <w:rsid w:val="00685A47"/>
    <w:rsid w:val="00686CFC"/>
    <w:rsid w:val="006914A1"/>
    <w:rsid w:val="00691E98"/>
    <w:rsid w:val="00692355"/>
    <w:rsid w:val="00693816"/>
    <w:rsid w:val="00695147"/>
    <w:rsid w:val="006972AF"/>
    <w:rsid w:val="006A42AE"/>
    <w:rsid w:val="006A698E"/>
    <w:rsid w:val="006A6F1F"/>
    <w:rsid w:val="006B5C57"/>
    <w:rsid w:val="006B5F56"/>
    <w:rsid w:val="006C2F1D"/>
    <w:rsid w:val="006D23CD"/>
    <w:rsid w:val="006D256C"/>
    <w:rsid w:val="006E2736"/>
    <w:rsid w:val="006E5973"/>
    <w:rsid w:val="007021E2"/>
    <w:rsid w:val="00706410"/>
    <w:rsid w:val="00711B4D"/>
    <w:rsid w:val="00712766"/>
    <w:rsid w:val="00712AC9"/>
    <w:rsid w:val="0072266E"/>
    <w:rsid w:val="00731109"/>
    <w:rsid w:val="007330C5"/>
    <w:rsid w:val="00734140"/>
    <w:rsid w:val="00743C5A"/>
    <w:rsid w:val="007469BD"/>
    <w:rsid w:val="0074757F"/>
    <w:rsid w:val="00767D6D"/>
    <w:rsid w:val="00774969"/>
    <w:rsid w:val="00774DEE"/>
    <w:rsid w:val="007763E3"/>
    <w:rsid w:val="00777D43"/>
    <w:rsid w:val="0078321A"/>
    <w:rsid w:val="007841B0"/>
    <w:rsid w:val="00785ABE"/>
    <w:rsid w:val="00794004"/>
    <w:rsid w:val="007A02FB"/>
    <w:rsid w:val="007A3242"/>
    <w:rsid w:val="007A3751"/>
    <w:rsid w:val="007A4F0E"/>
    <w:rsid w:val="007B0899"/>
    <w:rsid w:val="007B67E7"/>
    <w:rsid w:val="007C3A52"/>
    <w:rsid w:val="007C6A83"/>
    <w:rsid w:val="007D3C2B"/>
    <w:rsid w:val="007D7AC9"/>
    <w:rsid w:val="007E319A"/>
    <w:rsid w:val="007E3423"/>
    <w:rsid w:val="007F28D8"/>
    <w:rsid w:val="007F486D"/>
    <w:rsid w:val="00800934"/>
    <w:rsid w:val="00806343"/>
    <w:rsid w:val="00810451"/>
    <w:rsid w:val="008112E1"/>
    <w:rsid w:val="00813C3A"/>
    <w:rsid w:val="008157E7"/>
    <w:rsid w:val="00847002"/>
    <w:rsid w:val="00847692"/>
    <w:rsid w:val="00850531"/>
    <w:rsid w:val="00852E61"/>
    <w:rsid w:val="00861BB7"/>
    <w:rsid w:val="00871BB0"/>
    <w:rsid w:val="00877037"/>
    <w:rsid w:val="008771D1"/>
    <w:rsid w:val="008904AB"/>
    <w:rsid w:val="00893EF3"/>
    <w:rsid w:val="008A4113"/>
    <w:rsid w:val="008A4218"/>
    <w:rsid w:val="008B5620"/>
    <w:rsid w:val="008C0586"/>
    <w:rsid w:val="008D038B"/>
    <w:rsid w:val="008D3B35"/>
    <w:rsid w:val="008E13E3"/>
    <w:rsid w:val="008E2C94"/>
    <w:rsid w:val="008E58F1"/>
    <w:rsid w:val="008F4022"/>
    <w:rsid w:val="008F66D8"/>
    <w:rsid w:val="009016AF"/>
    <w:rsid w:val="00904410"/>
    <w:rsid w:val="00916D65"/>
    <w:rsid w:val="00920971"/>
    <w:rsid w:val="009259B2"/>
    <w:rsid w:val="00930ABF"/>
    <w:rsid w:val="0093269E"/>
    <w:rsid w:val="00933ED0"/>
    <w:rsid w:val="00936E19"/>
    <w:rsid w:val="00961D6B"/>
    <w:rsid w:val="0096230C"/>
    <w:rsid w:val="00964227"/>
    <w:rsid w:val="00970791"/>
    <w:rsid w:val="0097279F"/>
    <w:rsid w:val="00977725"/>
    <w:rsid w:val="00983008"/>
    <w:rsid w:val="009955CD"/>
    <w:rsid w:val="009A1C94"/>
    <w:rsid w:val="009A5810"/>
    <w:rsid w:val="009B33C3"/>
    <w:rsid w:val="009B3CEF"/>
    <w:rsid w:val="009B5583"/>
    <w:rsid w:val="009C037E"/>
    <w:rsid w:val="009C6C84"/>
    <w:rsid w:val="009D40AD"/>
    <w:rsid w:val="009D5050"/>
    <w:rsid w:val="009D75CA"/>
    <w:rsid w:val="009E1CC6"/>
    <w:rsid w:val="009E5F3F"/>
    <w:rsid w:val="00A0034C"/>
    <w:rsid w:val="00A007D7"/>
    <w:rsid w:val="00A02DF5"/>
    <w:rsid w:val="00A05817"/>
    <w:rsid w:val="00A15311"/>
    <w:rsid w:val="00A17267"/>
    <w:rsid w:val="00A229B8"/>
    <w:rsid w:val="00A24F2A"/>
    <w:rsid w:val="00A26207"/>
    <w:rsid w:val="00A32184"/>
    <w:rsid w:val="00A36385"/>
    <w:rsid w:val="00A37B89"/>
    <w:rsid w:val="00A4113D"/>
    <w:rsid w:val="00A41287"/>
    <w:rsid w:val="00A52BC8"/>
    <w:rsid w:val="00A57222"/>
    <w:rsid w:val="00A66EEC"/>
    <w:rsid w:val="00A856A6"/>
    <w:rsid w:val="00A874F3"/>
    <w:rsid w:val="00A93682"/>
    <w:rsid w:val="00A96F16"/>
    <w:rsid w:val="00AB086C"/>
    <w:rsid w:val="00AB3F18"/>
    <w:rsid w:val="00AB4890"/>
    <w:rsid w:val="00AB75C2"/>
    <w:rsid w:val="00AC0334"/>
    <w:rsid w:val="00AC3B12"/>
    <w:rsid w:val="00AC50BD"/>
    <w:rsid w:val="00AE387C"/>
    <w:rsid w:val="00B01612"/>
    <w:rsid w:val="00B07A4D"/>
    <w:rsid w:val="00B129BC"/>
    <w:rsid w:val="00B14057"/>
    <w:rsid w:val="00B1550C"/>
    <w:rsid w:val="00B17487"/>
    <w:rsid w:val="00B23536"/>
    <w:rsid w:val="00B27A5D"/>
    <w:rsid w:val="00B3128D"/>
    <w:rsid w:val="00B5289D"/>
    <w:rsid w:val="00B53CFC"/>
    <w:rsid w:val="00B611B8"/>
    <w:rsid w:val="00B72F9E"/>
    <w:rsid w:val="00B76044"/>
    <w:rsid w:val="00B76DED"/>
    <w:rsid w:val="00B83EB9"/>
    <w:rsid w:val="00B90FE6"/>
    <w:rsid w:val="00B91BC1"/>
    <w:rsid w:val="00B92123"/>
    <w:rsid w:val="00B96510"/>
    <w:rsid w:val="00BA0EF9"/>
    <w:rsid w:val="00BA10CA"/>
    <w:rsid w:val="00BB25DF"/>
    <w:rsid w:val="00BD3905"/>
    <w:rsid w:val="00BE4927"/>
    <w:rsid w:val="00BE6464"/>
    <w:rsid w:val="00BF1BAC"/>
    <w:rsid w:val="00C07147"/>
    <w:rsid w:val="00C11357"/>
    <w:rsid w:val="00C11E3C"/>
    <w:rsid w:val="00C12D58"/>
    <w:rsid w:val="00C14A6B"/>
    <w:rsid w:val="00C17353"/>
    <w:rsid w:val="00C2261B"/>
    <w:rsid w:val="00C259C5"/>
    <w:rsid w:val="00C2776F"/>
    <w:rsid w:val="00C43110"/>
    <w:rsid w:val="00C716CE"/>
    <w:rsid w:val="00C75AE9"/>
    <w:rsid w:val="00C81B93"/>
    <w:rsid w:val="00C9357D"/>
    <w:rsid w:val="00CA07E2"/>
    <w:rsid w:val="00CA274D"/>
    <w:rsid w:val="00CA6CE3"/>
    <w:rsid w:val="00CC5912"/>
    <w:rsid w:val="00CD03F3"/>
    <w:rsid w:val="00CD4B8E"/>
    <w:rsid w:val="00CD61F5"/>
    <w:rsid w:val="00CF3BAD"/>
    <w:rsid w:val="00D071D4"/>
    <w:rsid w:val="00D10928"/>
    <w:rsid w:val="00D155CE"/>
    <w:rsid w:val="00D20A46"/>
    <w:rsid w:val="00D22FE6"/>
    <w:rsid w:val="00D26248"/>
    <w:rsid w:val="00D27EB4"/>
    <w:rsid w:val="00D33920"/>
    <w:rsid w:val="00D34398"/>
    <w:rsid w:val="00D428D2"/>
    <w:rsid w:val="00D538F9"/>
    <w:rsid w:val="00D613BD"/>
    <w:rsid w:val="00D670B7"/>
    <w:rsid w:val="00D82D64"/>
    <w:rsid w:val="00D859D8"/>
    <w:rsid w:val="00D95BF5"/>
    <w:rsid w:val="00DA4051"/>
    <w:rsid w:val="00DB5131"/>
    <w:rsid w:val="00DC130D"/>
    <w:rsid w:val="00DC61B5"/>
    <w:rsid w:val="00DE031A"/>
    <w:rsid w:val="00DE5DE4"/>
    <w:rsid w:val="00E06CCD"/>
    <w:rsid w:val="00E1019A"/>
    <w:rsid w:val="00E158E8"/>
    <w:rsid w:val="00E21D3E"/>
    <w:rsid w:val="00E25398"/>
    <w:rsid w:val="00E305FD"/>
    <w:rsid w:val="00E31C98"/>
    <w:rsid w:val="00E453DD"/>
    <w:rsid w:val="00E456D7"/>
    <w:rsid w:val="00E45BCC"/>
    <w:rsid w:val="00E52A0B"/>
    <w:rsid w:val="00E54540"/>
    <w:rsid w:val="00E57C50"/>
    <w:rsid w:val="00E64ECC"/>
    <w:rsid w:val="00E66584"/>
    <w:rsid w:val="00E80E5D"/>
    <w:rsid w:val="00E9061B"/>
    <w:rsid w:val="00E95ED7"/>
    <w:rsid w:val="00EA1970"/>
    <w:rsid w:val="00EA2F58"/>
    <w:rsid w:val="00EB1A2C"/>
    <w:rsid w:val="00EB65A8"/>
    <w:rsid w:val="00EC3FBD"/>
    <w:rsid w:val="00EF2867"/>
    <w:rsid w:val="00EF5037"/>
    <w:rsid w:val="00EF5382"/>
    <w:rsid w:val="00F03EB6"/>
    <w:rsid w:val="00F054D5"/>
    <w:rsid w:val="00F1482D"/>
    <w:rsid w:val="00F158A6"/>
    <w:rsid w:val="00F222D7"/>
    <w:rsid w:val="00F25CA5"/>
    <w:rsid w:val="00F3151B"/>
    <w:rsid w:val="00F31EE6"/>
    <w:rsid w:val="00F35D7B"/>
    <w:rsid w:val="00F42494"/>
    <w:rsid w:val="00F46323"/>
    <w:rsid w:val="00F546A5"/>
    <w:rsid w:val="00F56118"/>
    <w:rsid w:val="00F6761B"/>
    <w:rsid w:val="00F76EA5"/>
    <w:rsid w:val="00F76FF3"/>
    <w:rsid w:val="00F92295"/>
    <w:rsid w:val="00F936EF"/>
    <w:rsid w:val="00FA0BA7"/>
    <w:rsid w:val="00FA5E0A"/>
    <w:rsid w:val="00FB7C81"/>
    <w:rsid w:val="00FC388F"/>
    <w:rsid w:val="00FC7349"/>
    <w:rsid w:val="00FD4AB7"/>
    <w:rsid w:val="00FD6F3A"/>
    <w:rsid w:val="00FE51AB"/>
    <w:rsid w:val="00FE7E42"/>
    <w:rsid w:val="013396EF"/>
    <w:rsid w:val="01E9EA37"/>
    <w:rsid w:val="026F3BED"/>
    <w:rsid w:val="0451B091"/>
    <w:rsid w:val="048DB4E7"/>
    <w:rsid w:val="048F8798"/>
    <w:rsid w:val="050DED89"/>
    <w:rsid w:val="0575F656"/>
    <w:rsid w:val="05B358CA"/>
    <w:rsid w:val="05E6C590"/>
    <w:rsid w:val="062EB659"/>
    <w:rsid w:val="06BC45C0"/>
    <w:rsid w:val="07460D40"/>
    <w:rsid w:val="079E91DA"/>
    <w:rsid w:val="07FB9234"/>
    <w:rsid w:val="08569B6D"/>
    <w:rsid w:val="08A9AFBC"/>
    <w:rsid w:val="0960F471"/>
    <w:rsid w:val="0A0C2B47"/>
    <w:rsid w:val="0AE145DB"/>
    <w:rsid w:val="0B0190AE"/>
    <w:rsid w:val="0B21070D"/>
    <w:rsid w:val="0B851C4C"/>
    <w:rsid w:val="0B8EBA77"/>
    <w:rsid w:val="0BA5655E"/>
    <w:rsid w:val="0BA9EC73"/>
    <w:rsid w:val="0BBD2D1A"/>
    <w:rsid w:val="0CD61BEE"/>
    <w:rsid w:val="0CD61E36"/>
    <w:rsid w:val="0D038AED"/>
    <w:rsid w:val="0DF2B0BB"/>
    <w:rsid w:val="0E404107"/>
    <w:rsid w:val="0EBB5BC7"/>
    <w:rsid w:val="0F5FACDD"/>
    <w:rsid w:val="0FA29551"/>
    <w:rsid w:val="0FFFCC6C"/>
    <w:rsid w:val="105ED0E7"/>
    <w:rsid w:val="1129388B"/>
    <w:rsid w:val="11593643"/>
    <w:rsid w:val="12115CA2"/>
    <w:rsid w:val="12193DC8"/>
    <w:rsid w:val="12305E54"/>
    <w:rsid w:val="1319848A"/>
    <w:rsid w:val="133942FA"/>
    <w:rsid w:val="147AAC55"/>
    <w:rsid w:val="14C11A1E"/>
    <w:rsid w:val="15902A8B"/>
    <w:rsid w:val="15D2C383"/>
    <w:rsid w:val="16252F8B"/>
    <w:rsid w:val="16A1E54A"/>
    <w:rsid w:val="179EEB69"/>
    <w:rsid w:val="17BEA8F4"/>
    <w:rsid w:val="182B91E3"/>
    <w:rsid w:val="18DF8FC6"/>
    <w:rsid w:val="1974D63C"/>
    <w:rsid w:val="1980651A"/>
    <w:rsid w:val="19C04DC0"/>
    <w:rsid w:val="1A7405D0"/>
    <w:rsid w:val="1AE0201E"/>
    <w:rsid w:val="1B15CD78"/>
    <w:rsid w:val="1B788398"/>
    <w:rsid w:val="1BA210F8"/>
    <w:rsid w:val="1BA3D90A"/>
    <w:rsid w:val="1BCFDCD4"/>
    <w:rsid w:val="1BE69771"/>
    <w:rsid w:val="1BEDC583"/>
    <w:rsid w:val="1C065861"/>
    <w:rsid w:val="1C563A23"/>
    <w:rsid w:val="1C620005"/>
    <w:rsid w:val="1C622ACD"/>
    <w:rsid w:val="1CB22CC4"/>
    <w:rsid w:val="1CDA31B1"/>
    <w:rsid w:val="1D077ECD"/>
    <w:rsid w:val="1F8552DD"/>
    <w:rsid w:val="204A3E16"/>
    <w:rsid w:val="2085A233"/>
    <w:rsid w:val="208DEFBD"/>
    <w:rsid w:val="233922A3"/>
    <w:rsid w:val="25B6C9B5"/>
    <w:rsid w:val="25DE1A13"/>
    <w:rsid w:val="25E67FAB"/>
    <w:rsid w:val="26007A0C"/>
    <w:rsid w:val="269F65CA"/>
    <w:rsid w:val="2720C20B"/>
    <w:rsid w:val="277B7731"/>
    <w:rsid w:val="27827EA9"/>
    <w:rsid w:val="279195C9"/>
    <w:rsid w:val="27D2DE82"/>
    <w:rsid w:val="289E9575"/>
    <w:rsid w:val="29612AB6"/>
    <w:rsid w:val="29628338"/>
    <w:rsid w:val="2A2CB555"/>
    <w:rsid w:val="2A4B3CC3"/>
    <w:rsid w:val="2A630D77"/>
    <w:rsid w:val="2A94D317"/>
    <w:rsid w:val="2BEB898F"/>
    <w:rsid w:val="2C2B8364"/>
    <w:rsid w:val="2C899985"/>
    <w:rsid w:val="2D28711C"/>
    <w:rsid w:val="2E03A306"/>
    <w:rsid w:val="2E2F312E"/>
    <w:rsid w:val="2E5EC2D2"/>
    <w:rsid w:val="2F3582BF"/>
    <w:rsid w:val="2FAC4631"/>
    <w:rsid w:val="31FDFEFE"/>
    <w:rsid w:val="325C4678"/>
    <w:rsid w:val="3303C01B"/>
    <w:rsid w:val="336F627B"/>
    <w:rsid w:val="34628B67"/>
    <w:rsid w:val="3503BE5A"/>
    <w:rsid w:val="35FAB1AC"/>
    <w:rsid w:val="36A2735F"/>
    <w:rsid w:val="370F1B22"/>
    <w:rsid w:val="3737F750"/>
    <w:rsid w:val="382317DA"/>
    <w:rsid w:val="3877673C"/>
    <w:rsid w:val="39083163"/>
    <w:rsid w:val="393F671A"/>
    <w:rsid w:val="394916A1"/>
    <w:rsid w:val="3A01EDC2"/>
    <w:rsid w:val="3A84D01A"/>
    <w:rsid w:val="3C1E15F4"/>
    <w:rsid w:val="3D69D507"/>
    <w:rsid w:val="3EC9A6AD"/>
    <w:rsid w:val="3F3AEE2D"/>
    <w:rsid w:val="3F57FF76"/>
    <w:rsid w:val="406736D0"/>
    <w:rsid w:val="438DCDC7"/>
    <w:rsid w:val="43C96713"/>
    <w:rsid w:val="446E14F4"/>
    <w:rsid w:val="45B2EE9E"/>
    <w:rsid w:val="46004B3D"/>
    <w:rsid w:val="461BF0E3"/>
    <w:rsid w:val="46F32719"/>
    <w:rsid w:val="476FF53F"/>
    <w:rsid w:val="47F72521"/>
    <w:rsid w:val="48155752"/>
    <w:rsid w:val="4900F447"/>
    <w:rsid w:val="499F282A"/>
    <w:rsid w:val="49BFA586"/>
    <w:rsid w:val="49EDF46E"/>
    <w:rsid w:val="4A190BE4"/>
    <w:rsid w:val="4AACC9F7"/>
    <w:rsid w:val="4AC302B6"/>
    <w:rsid w:val="4B5B7B1F"/>
    <w:rsid w:val="4C45EB05"/>
    <w:rsid w:val="4D9BF507"/>
    <w:rsid w:val="4DA21625"/>
    <w:rsid w:val="4E133D9D"/>
    <w:rsid w:val="4EA14685"/>
    <w:rsid w:val="4FB03EDA"/>
    <w:rsid w:val="4FDFA9A5"/>
    <w:rsid w:val="50F6C9F3"/>
    <w:rsid w:val="5118B013"/>
    <w:rsid w:val="51A188E8"/>
    <w:rsid w:val="51FE8BF9"/>
    <w:rsid w:val="52C08566"/>
    <w:rsid w:val="534264F4"/>
    <w:rsid w:val="5373954D"/>
    <w:rsid w:val="548E0DF2"/>
    <w:rsid w:val="5490093F"/>
    <w:rsid w:val="54B4E3C1"/>
    <w:rsid w:val="54CA115E"/>
    <w:rsid w:val="54CB220D"/>
    <w:rsid w:val="56A8DEDF"/>
    <w:rsid w:val="56C8A800"/>
    <w:rsid w:val="56DAC63A"/>
    <w:rsid w:val="576D8C14"/>
    <w:rsid w:val="57E858CE"/>
    <w:rsid w:val="58196B63"/>
    <w:rsid w:val="584020B1"/>
    <w:rsid w:val="58973492"/>
    <w:rsid w:val="5947A4FE"/>
    <w:rsid w:val="598B61CB"/>
    <w:rsid w:val="59E11517"/>
    <w:rsid w:val="5A6A9AC5"/>
    <w:rsid w:val="5AE462D2"/>
    <w:rsid w:val="5B960724"/>
    <w:rsid w:val="5BD69665"/>
    <w:rsid w:val="5BF51EB7"/>
    <w:rsid w:val="5C037211"/>
    <w:rsid w:val="5C8DB3BA"/>
    <w:rsid w:val="5DE02DDD"/>
    <w:rsid w:val="5E07B2EA"/>
    <w:rsid w:val="5E818C2E"/>
    <w:rsid w:val="5F0AC0E2"/>
    <w:rsid w:val="5F18E431"/>
    <w:rsid w:val="5FA067A7"/>
    <w:rsid w:val="5FD508D6"/>
    <w:rsid w:val="60166B45"/>
    <w:rsid w:val="602D8EF9"/>
    <w:rsid w:val="607C682F"/>
    <w:rsid w:val="607FFBA0"/>
    <w:rsid w:val="60BCEE7E"/>
    <w:rsid w:val="60CB6FA3"/>
    <w:rsid w:val="60CF841C"/>
    <w:rsid w:val="6125F30B"/>
    <w:rsid w:val="618FAC0B"/>
    <w:rsid w:val="6256DFD1"/>
    <w:rsid w:val="629E449A"/>
    <w:rsid w:val="640BF083"/>
    <w:rsid w:val="647A1A6F"/>
    <w:rsid w:val="64B3AB80"/>
    <w:rsid w:val="64C3005C"/>
    <w:rsid w:val="650B4F09"/>
    <w:rsid w:val="6513B356"/>
    <w:rsid w:val="65348C71"/>
    <w:rsid w:val="65555A38"/>
    <w:rsid w:val="657B4382"/>
    <w:rsid w:val="665762DC"/>
    <w:rsid w:val="668F8A96"/>
    <w:rsid w:val="66948807"/>
    <w:rsid w:val="67319043"/>
    <w:rsid w:val="67505322"/>
    <w:rsid w:val="6789BC68"/>
    <w:rsid w:val="695DC2C3"/>
    <w:rsid w:val="69C54F3C"/>
    <w:rsid w:val="69D7E22C"/>
    <w:rsid w:val="69DA2731"/>
    <w:rsid w:val="69DD8F67"/>
    <w:rsid w:val="69E2003B"/>
    <w:rsid w:val="6A159E88"/>
    <w:rsid w:val="6A16A726"/>
    <w:rsid w:val="6B3E9999"/>
    <w:rsid w:val="6ECF5F40"/>
    <w:rsid w:val="6ED14B31"/>
    <w:rsid w:val="6F74B89D"/>
    <w:rsid w:val="6FC939BF"/>
    <w:rsid w:val="70DDD0B2"/>
    <w:rsid w:val="71EF2E31"/>
    <w:rsid w:val="7235CDBD"/>
    <w:rsid w:val="72CD15DA"/>
    <w:rsid w:val="7321D811"/>
    <w:rsid w:val="73D5D69E"/>
    <w:rsid w:val="73FB9C73"/>
    <w:rsid w:val="755ACAE9"/>
    <w:rsid w:val="762C7D0C"/>
    <w:rsid w:val="766B1E83"/>
    <w:rsid w:val="7692460A"/>
    <w:rsid w:val="76CEB33F"/>
    <w:rsid w:val="776EFD6B"/>
    <w:rsid w:val="77A67298"/>
    <w:rsid w:val="77C4D7FC"/>
    <w:rsid w:val="78C5F807"/>
    <w:rsid w:val="78C7AD39"/>
    <w:rsid w:val="78DCC445"/>
    <w:rsid w:val="78EDC73C"/>
    <w:rsid w:val="790F6CDE"/>
    <w:rsid w:val="795E5715"/>
    <w:rsid w:val="79843387"/>
    <w:rsid w:val="7AD2CBC3"/>
    <w:rsid w:val="7AF692AA"/>
    <w:rsid w:val="7B5704DC"/>
    <w:rsid w:val="7C1431E6"/>
    <w:rsid w:val="7C3CF630"/>
    <w:rsid w:val="7C71C655"/>
    <w:rsid w:val="7C95B916"/>
    <w:rsid w:val="7DF93A2C"/>
    <w:rsid w:val="7F110CF2"/>
    <w:rsid w:val="7F40C8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13E8"/>
  <w15:docId w15:val="{0B01D5D9-8C07-45B7-AE21-EC303D64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5583"/>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5E7C24"/>
    <w:pPr>
      <w:ind w:left="580"/>
      <w:outlineLvl w:val="0"/>
    </w:pPr>
    <w:rPr>
      <w:b/>
      <w:bCs/>
      <w:sz w:val="24"/>
      <w:szCs w:val="24"/>
      <w:u w:val="single" w:color="000000"/>
    </w:rPr>
  </w:style>
  <w:style w:type="paragraph" w:styleId="Heading6">
    <w:name w:val="heading 6"/>
    <w:basedOn w:val="Normal"/>
    <w:next w:val="Normal"/>
    <w:link w:val="Heading6Char"/>
    <w:uiPriority w:val="9"/>
    <w:semiHidden/>
    <w:unhideWhenUsed/>
    <w:qFormat/>
    <w:rsid w:val="007021E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C24"/>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5E7C24"/>
  </w:style>
  <w:style w:type="character" w:customStyle="1" w:styleId="BodyTextChar">
    <w:name w:val="Body Text Char"/>
    <w:basedOn w:val="DefaultParagraphFont"/>
    <w:link w:val="BodyText"/>
    <w:uiPriority w:val="1"/>
    <w:rsid w:val="005E7C24"/>
    <w:rPr>
      <w:rFonts w:ascii="Calibri" w:eastAsia="Calibri" w:hAnsi="Calibri" w:cs="Calibri"/>
      <w:lang w:bidi="en-US"/>
    </w:rPr>
  </w:style>
  <w:style w:type="paragraph" w:styleId="ListParagraph">
    <w:name w:val="List Paragraph"/>
    <w:basedOn w:val="Normal"/>
    <w:uiPriority w:val="34"/>
    <w:qFormat/>
    <w:rsid w:val="005E7C24"/>
    <w:pPr>
      <w:ind w:left="1300" w:hanging="360"/>
    </w:pPr>
  </w:style>
  <w:style w:type="paragraph" w:styleId="FootnoteText">
    <w:name w:val="footnote text"/>
    <w:basedOn w:val="Normal"/>
    <w:link w:val="FootnoteTextChar"/>
    <w:uiPriority w:val="99"/>
    <w:semiHidden/>
    <w:unhideWhenUsed/>
    <w:rsid w:val="005E7C24"/>
    <w:rPr>
      <w:sz w:val="20"/>
      <w:szCs w:val="20"/>
    </w:rPr>
  </w:style>
  <w:style w:type="character" w:customStyle="1" w:styleId="FootnoteTextChar">
    <w:name w:val="Footnote Text Char"/>
    <w:basedOn w:val="DefaultParagraphFont"/>
    <w:link w:val="FootnoteText"/>
    <w:uiPriority w:val="99"/>
    <w:semiHidden/>
    <w:rsid w:val="005E7C24"/>
    <w:rPr>
      <w:rFonts w:ascii="Calibri" w:eastAsia="Calibri" w:hAnsi="Calibri" w:cs="Calibri"/>
      <w:sz w:val="20"/>
      <w:szCs w:val="20"/>
      <w:lang w:bidi="en-US"/>
    </w:rPr>
  </w:style>
  <w:style w:type="character" w:styleId="FootnoteReference">
    <w:name w:val="footnote reference"/>
    <w:basedOn w:val="DefaultParagraphFont"/>
    <w:uiPriority w:val="99"/>
    <w:unhideWhenUsed/>
    <w:rsid w:val="005E7C24"/>
    <w:rPr>
      <w:vertAlign w:val="superscript"/>
    </w:rPr>
  </w:style>
  <w:style w:type="character" w:styleId="CommentReference">
    <w:name w:val="annotation reference"/>
    <w:uiPriority w:val="99"/>
    <w:rsid w:val="00970791"/>
    <w:rPr>
      <w:sz w:val="16"/>
      <w:szCs w:val="16"/>
    </w:rPr>
  </w:style>
  <w:style w:type="paragraph" w:styleId="CommentText">
    <w:name w:val="annotation text"/>
    <w:basedOn w:val="Normal"/>
    <w:link w:val="CommentTextChar"/>
    <w:rsid w:val="00970791"/>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97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29BC"/>
    <w:rPr>
      <w:rFonts w:ascii="Tahoma" w:hAnsi="Tahoma" w:cs="Tahoma"/>
      <w:sz w:val="16"/>
      <w:szCs w:val="16"/>
    </w:rPr>
  </w:style>
  <w:style w:type="character" w:customStyle="1" w:styleId="BalloonTextChar">
    <w:name w:val="Balloon Text Char"/>
    <w:basedOn w:val="DefaultParagraphFont"/>
    <w:link w:val="BalloonText"/>
    <w:uiPriority w:val="99"/>
    <w:semiHidden/>
    <w:rsid w:val="00B129BC"/>
    <w:rPr>
      <w:rFonts w:ascii="Tahoma" w:eastAsia="Calibri"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B129BC"/>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B129BC"/>
    <w:rPr>
      <w:rFonts w:ascii="Calibri" w:eastAsia="Calibri" w:hAnsi="Calibri" w:cs="Calibri"/>
      <w:b/>
      <w:bCs/>
      <w:sz w:val="20"/>
      <w:szCs w:val="20"/>
      <w:lang w:bidi="en-US"/>
    </w:rPr>
  </w:style>
  <w:style w:type="character" w:styleId="Hyperlink">
    <w:name w:val="Hyperlink"/>
    <w:basedOn w:val="DefaultParagraphFont"/>
    <w:uiPriority w:val="99"/>
    <w:unhideWhenUsed/>
    <w:rsid w:val="001B75E4"/>
    <w:rPr>
      <w:color w:val="0563C1" w:themeColor="hyperlink"/>
      <w:u w:val="single"/>
    </w:rPr>
  </w:style>
  <w:style w:type="character" w:customStyle="1" w:styleId="UnresolvedMention1">
    <w:name w:val="Unresolved Mention1"/>
    <w:basedOn w:val="DefaultParagraphFont"/>
    <w:uiPriority w:val="99"/>
    <w:semiHidden/>
    <w:unhideWhenUsed/>
    <w:rsid w:val="001B75E4"/>
    <w:rPr>
      <w:color w:val="605E5C"/>
      <w:shd w:val="clear" w:color="auto" w:fill="E1DFDD"/>
    </w:rPr>
  </w:style>
  <w:style w:type="character" w:customStyle="1" w:styleId="Heading6Char">
    <w:name w:val="Heading 6 Char"/>
    <w:basedOn w:val="DefaultParagraphFont"/>
    <w:link w:val="Heading6"/>
    <w:uiPriority w:val="9"/>
    <w:semiHidden/>
    <w:rsid w:val="007021E2"/>
    <w:rPr>
      <w:rFonts w:asciiTheme="majorHAnsi" w:eastAsiaTheme="majorEastAsia" w:hAnsiTheme="majorHAnsi" w:cstheme="majorBidi"/>
      <w:color w:val="1F3763" w:themeColor="accent1" w:themeShade="7F"/>
      <w:lang w:bidi="en-US"/>
    </w:rPr>
  </w:style>
  <w:style w:type="character" w:styleId="UnresolvedMention">
    <w:name w:val="Unresolved Mention"/>
    <w:basedOn w:val="DefaultParagraphFont"/>
    <w:uiPriority w:val="99"/>
    <w:semiHidden/>
    <w:unhideWhenUsed/>
    <w:rsid w:val="00691E98"/>
    <w:rPr>
      <w:color w:val="605E5C"/>
      <w:shd w:val="clear" w:color="auto" w:fill="E1DFDD"/>
    </w:rPr>
  </w:style>
  <w:style w:type="paragraph" w:styleId="EndnoteText">
    <w:name w:val="endnote text"/>
    <w:basedOn w:val="Normal"/>
    <w:link w:val="EndnoteTextChar"/>
    <w:uiPriority w:val="99"/>
    <w:semiHidden/>
    <w:unhideWhenUsed/>
    <w:rsid w:val="00691E98"/>
    <w:rPr>
      <w:sz w:val="20"/>
      <w:szCs w:val="20"/>
    </w:rPr>
  </w:style>
  <w:style w:type="character" w:customStyle="1" w:styleId="EndnoteTextChar">
    <w:name w:val="Endnote Text Char"/>
    <w:basedOn w:val="DefaultParagraphFont"/>
    <w:link w:val="EndnoteText"/>
    <w:uiPriority w:val="99"/>
    <w:semiHidden/>
    <w:rsid w:val="00691E98"/>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691E98"/>
    <w:rPr>
      <w:vertAlign w:val="superscript"/>
    </w:rPr>
  </w:style>
  <w:style w:type="paragraph" w:styleId="Header">
    <w:name w:val="header"/>
    <w:basedOn w:val="Normal"/>
    <w:link w:val="HeaderChar"/>
    <w:uiPriority w:val="99"/>
    <w:unhideWhenUsed/>
    <w:rsid w:val="00F25CA5"/>
    <w:pPr>
      <w:tabs>
        <w:tab w:val="center" w:pos="4680"/>
        <w:tab w:val="right" w:pos="9360"/>
      </w:tabs>
    </w:pPr>
  </w:style>
  <w:style w:type="character" w:customStyle="1" w:styleId="HeaderChar">
    <w:name w:val="Header Char"/>
    <w:basedOn w:val="DefaultParagraphFont"/>
    <w:link w:val="Header"/>
    <w:uiPriority w:val="99"/>
    <w:rsid w:val="00F25CA5"/>
    <w:rPr>
      <w:rFonts w:ascii="Calibri" w:eastAsia="Calibri" w:hAnsi="Calibri" w:cs="Calibri"/>
      <w:lang w:bidi="en-US"/>
    </w:rPr>
  </w:style>
  <w:style w:type="paragraph" w:styleId="Footer">
    <w:name w:val="footer"/>
    <w:basedOn w:val="Normal"/>
    <w:link w:val="FooterChar"/>
    <w:uiPriority w:val="99"/>
    <w:unhideWhenUsed/>
    <w:rsid w:val="00F25CA5"/>
    <w:pPr>
      <w:tabs>
        <w:tab w:val="center" w:pos="4680"/>
        <w:tab w:val="right" w:pos="9360"/>
      </w:tabs>
    </w:pPr>
  </w:style>
  <w:style w:type="character" w:customStyle="1" w:styleId="FooterChar">
    <w:name w:val="Footer Char"/>
    <w:basedOn w:val="DefaultParagraphFont"/>
    <w:link w:val="Footer"/>
    <w:uiPriority w:val="99"/>
    <w:rsid w:val="00F25CA5"/>
    <w:rPr>
      <w:rFonts w:ascii="Calibri" w:eastAsia="Calibri" w:hAnsi="Calibri" w:cs="Calibri"/>
      <w:lang w:bidi="en-US"/>
    </w:rPr>
  </w:style>
  <w:style w:type="paragraph" w:styleId="Subtitle">
    <w:name w:val="Subtitle"/>
    <w:basedOn w:val="Normal"/>
    <w:next w:val="Normal"/>
    <w:link w:val="SubtitleChar"/>
    <w:uiPriority w:val="11"/>
    <w:qFormat/>
    <w:rsid w:val="0056418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64186"/>
    <w:rPr>
      <w:rFonts w:eastAsiaTheme="minorEastAsia"/>
      <w:color w:val="5A5A5A" w:themeColor="text1" w:themeTint="A5"/>
      <w:spacing w:val="15"/>
      <w:lang w:bidi="en-US"/>
    </w:rPr>
  </w:style>
  <w:style w:type="paragraph" w:styleId="Revision">
    <w:name w:val="Revision"/>
    <w:hidden/>
    <w:uiPriority w:val="99"/>
    <w:semiHidden/>
    <w:rsid w:val="00006FDD"/>
    <w:pPr>
      <w:spacing w:after="0" w:line="240" w:lineRule="auto"/>
    </w:pPr>
    <w:rPr>
      <w:rFonts w:ascii="Calibri" w:eastAsia="Calibri" w:hAnsi="Calibri" w:cs="Calibri"/>
      <w:lang w:bidi="en-US"/>
    </w:rPr>
  </w:style>
  <w:style w:type="table" w:styleId="TableGrid">
    <w:name w:val="Table Grid"/>
    <w:basedOn w:val="TableNormal"/>
    <w:uiPriority w:val="39"/>
    <w:rsid w:val="00847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61783">
      <w:bodyDiv w:val="1"/>
      <w:marLeft w:val="0"/>
      <w:marRight w:val="0"/>
      <w:marTop w:val="0"/>
      <w:marBottom w:val="0"/>
      <w:divBdr>
        <w:top w:val="none" w:sz="0" w:space="0" w:color="auto"/>
        <w:left w:val="none" w:sz="0" w:space="0" w:color="auto"/>
        <w:bottom w:val="none" w:sz="0" w:space="0" w:color="auto"/>
        <w:right w:val="none" w:sz="0" w:space="0" w:color="auto"/>
      </w:divBdr>
    </w:div>
    <w:div w:id="405878920">
      <w:bodyDiv w:val="1"/>
      <w:marLeft w:val="0"/>
      <w:marRight w:val="0"/>
      <w:marTop w:val="0"/>
      <w:marBottom w:val="0"/>
      <w:divBdr>
        <w:top w:val="none" w:sz="0" w:space="0" w:color="auto"/>
        <w:left w:val="none" w:sz="0" w:space="0" w:color="auto"/>
        <w:bottom w:val="none" w:sz="0" w:space="0" w:color="auto"/>
        <w:right w:val="none" w:sz="0" w:space="0" w:color="auto"/>
      </w:divBdr>
    </w:div>
    <w:div w:id="470631379">
      <w:bodyDiv w:val="1"/>
      <w:marLeft w:val="0"/>
      <w:marRight w:val="0"/>
      <w:marTop w:val="0"/>
      <w:marBottom w:val="0"/>
      <w:divBdr>
        <w:top w:val="none" w:sz="0" w:space="0" w:color="auto"/>
        <w:left w:val="none" w:sz="0" w:space="0" w:color="auto"/>
        <w:bottom w:val="none" w:sz="0" w:space="0" w:color="auto"/>
        <w:right w:val="none" w:sz="0" w:space="0" w:color="auto"/>
      </w:divBdr>
    </w:div>
    <w:div w:id="909730057">
      <w:bodyDiv w:val="1"/>
      <w:marLeft w:val="0"/>
      <w:marRight w:val="0"/>
      <w:marTop w:val="0"/>
      <w:marBottom w:val="0"/>
      <w:divBdr>
        <w:top w:val="none" w:sz="0" w:space="0" w:color="auto"/>
        <w:left w:val="none" w:sz="0" w:space="0" w:color="auto"/>
        <w:bottom w:val="none" w:sz="0" w:space="0" w:color="auto"/>
        <w:right w:val="none" w:sz="0" w:space="0" w:color="auto"/>
      </w:divBdr>
    </w:div>
    <w:div w:id="1058674377">
      <w:bodyDiv w:val="1"/>
      <w:marLeft w:val="0"/>
      <w:marRight w:val="0"/>
      <w:marTop w:val="0"/>
      <w:marBottom w:val="0"/>
      <w:divBdr>
        <w:top w:val="none" w:sz="0" w:space="0" w:color="auto"/>
        <w:left w:val="none" w:sz="0" w:space="0" w:color="auto"/>
        <w:bottom w:val="none" w:sz="0" w:space="0" w:color="auto"/>
        <w:right w:val="none" w:sz="0" w:space="0" w:color="auto"/>
      </w:divBdr>
    </w:div>
    <w:div w:id="1063601596">
      <w:bodyDiv w:val="1"/>
      <w:marLeft w:val="0"/>
      <w:marRight w:val="0"/>
      <w:marTop w:val="0"/>
      <w:marBottom w:val="0"/>
      <w:divBdr>
        <w:top w:val="none" w:sz="0" w:space="0" w:color="auto"/>
        <w:left w:val="none" w:sz="0" w:space="0" w:color="auto"/>
        <w:bottom w:val="none" w:sz="0" w:space="0" w:color="auto"/>
        <w:right w:val="none" w:sz="0" w:space="0" w:color="auto"/>
      </w:divBdr>
    </w:div>
    <w:div w:id="1094741604">
      <w:bodyDiv w:val="1"/>
      <w:marLeft w:val="0"/>
      <w:marRight w:val="0"/>
      <w:marTop w:val="0"/>
      <w:marBottom w:val="0"/>
      <w:divBdr>
        <w:top w:val="none" w:sz="0" w:space="0" w:color="auto"/>
        <w:left w:val="none" w:sz="0" w:space="0" w:color="auto"/>
        <w:bottom w:val="none" w:sz="0" w:space="0" w:color="auto"/>
        <w:right w:val="none" w:sz="0" w:space="0" w:color="auto"/>
      </w:divBdr>
    </w:div>
    <w:div w:id="1165129931">
      <w:bodyDiv w:val="1"/>
      <w:marLeft w:val="0"/>
      <w:marRight w:val="0"/>
      <w:marTop w:val="0"/>
      <w:marBottom w:val="0"/>
      <w:divBdr>
        <w:top w:val="none" w:sz="0" w:space="0" w:color="auto"/>
        <w:left w:val="none" w:sz="0" w:space="0" w:color="auto"/>
        <w:bottom w:val="none" w:sz="0" w:space="0" w:color="auto"/>
        <w:right w:val="none" w:sz="0" w:space="0" w:color="auto"/>
      </w:divBdr>
    </w:div>
    <w:div w:id="1359813751">
      <w:bodyDiv w:val="1"/>
      <w:marLeft w:val="0"/>
      <w:marRight w:val="0"/>
      <w:marTop w:val="0"/>
      <w:marBottom w:val="0"/>
      <w:divBdr>
        <w:top w:val="none" w:sz="0" w:space="0" w:color="auto"/>
        <w:left w:val="none" w:sz="0" w:space="0" w:color="auto"/>
        <w:bottom w:val="none" w:sz="0" w:space="0" w:color="auto"/>
        <w:right w:val="none" w:sz="0" w:space="0" w:color="auto"/>
      </w:divBdr>
    </w:div>
    <w:div w:id="1584797449">
      <w:bodyDiv w:val="1"/>
      <w:marLeft w:val="0"/>
      <w:marRight w:val="0"/>
      <w:marTop w:val="0"/>
      <w:marBottom w:val="0"/>
      <w:divBdr>
        <w:top w:val="none" w:sz="0" w:space="0" w:color="auto"/>
        <w:left w:val="none" w:sz="0" w:space="0" w:color="auto"/>
        <w:bottom w:val="none" w:sz="0" w:space="0" w:color="auto"/>
        <w:right w:val="none" w:sz="0" w:space="0" w:color="auto"/>
      </w:divBdr>
    </w:div>
    <w:div w:id="1635788107">
      <w:bodyDiv w:val="1"/>
      <w:marLeft w:val="0"/>
      <w:marRight w:val="0"/>
      <w:marTop w:val="0"/>
      <w:marBottom w:val="0"/>
      <w:divBdr>
        <w:top w:val="none" w:sz="0" w:space="0" w:color="auto"/>
        <w:left w:val="none" w:sz="0" w:space="0" w:color="auto"/>
        <w:bottom w:val="none" w:sz="0" w:space="0" w:color="auto"/>
        <w:right w:val="none" w:sz="0" w:space="0" w:color="auto"/>
      </w:divBdr>
    </w:div>
    <w:div w:id="1642222679">
      <w:bodyDiv w:val="1"/>
      <w:marLeft w:val="0"/>
      <w:marRight w:val="0"/>
      <w:marTop w:val="0"/>
      <w:marBottom w:val="0"/>
      <w:divBdr>
        <w:top w:val="none" w:sz="0" w:space="0" w:color="auto"/>
        <w:left w:val="none" w:sz="0" w:space="0" w:color="auto"/>
        <w:bottom w:val="none" w:sz="0" w:space="0" w:color="auto"/>
        <w:right w:val="none" w:sz="0" w:space="0" w:color="auto"/>
      </w:divBdr>
    </w:div>
    <w:div w:id="1686443079">
      <w:bodyDiv w:val="1"/>
      <w:marLeft w:val="0"/>
      <w:marRight w:val="0"/>
      <w:marTop w:val="0"/>
      <w:marBottom w:val="0"/>
      <w:divBdr>
        <w:top w:val="none" w:sz="0" w:space="0" w:color="auto"/>
        <w:left w:val="none" w:sz="0" w:space="0" w:color="auto"/>
        <w:bottom w:val="none" w:sz="0" w:space="0" w:color="auto"/>
        <w:right w:val="none" w:sz="0" w:space="0" w:color="auto"/>
      </w:divBdr>
    </w:div>
    <w:div w:id="1809929753">
      <w:bodyDiv w:val="1"/>
      <w:marLeft w:val="0"/>
      <w:marRight w:val="0"/>
      <w:marTop w:val="0"/>
      <w:marBottom w:val="0"/>
      <w:divBdr>
        <w:top w:val="none" w:sz="0" w:space="0" w:color="auto"/>
        <w:left w:val="none" w:sz="0" w:space="0" w:color="auto"/>
        <w:bottom w:val="none" w:sz="0" w:space="0" w:color="auto"/>
        <w:right w:val="none" w:sz="0" w:space="0" w:color="auto"/>
      </w:divBdr>
    </w:div>
    <w:div w:id="1900702170">
      <w:bodyDiv w:val="1"/>
      <w:marLeft w:val="0"/>
      <w:marRight w:val="0"/>
      <w:marTop w:val="0"/>
      <w:marBottom w:val="0"/>
      <w:divBdr>
        <w:top w:val="none" w:sz="0" w:space="0" w:color="auto"/>
        <w:left w:val="none" w:sz="0" w:space="0" w:color="auto"/>
        <w:bottom w:val="none" w:sz="0" w:space="0" w:color="auto"/>
        <w:right w:val="none" w:sz="0" w:space="0" w:color="auto"/>
      </w:divBdr>
    </w:div>
    <w:div w:id="1901555020">
      <w:bodyDiv w:val="1"/>
      <w:marLeft w:val="0"/>
      <w:marRight w:val="0"/>
      <w:marTop w:val="0"/>
      <w:marBottom w:val="0"/>
      <w:divBdr>
        <w:top w:val="none" w:sz="0" w:space="0" w:color="auto"/>
        <w:left w:val="none" w:sz="0" w:space="0" w:color="auto"/>
        <w:bottom w:val="none" w:sz="0" w:space="0" w:color="auto"/>
        <w:right w:val="none" w:sz="0" w:space="0" w:color="auto"/>
      </w:divBdr>
    </w:div>
    <w:div w:id="1902211918">
      <w:bodyDiv w:val="1"/>
      <w:marLeft w:val="0"/>
      <w:marRight w:val="0"/>
      <w:marTop w:val="0"/>
      <w:marBottom w:val="0"/>
      <w:divBdr>
        <w:top w:val="none" w:sz="0" w:space="0" w:color="auto"/>
        <w:left w:val="none" w:sz="0" w:space="0" w:color="auto"/>
        <w:bottom w:val="none" w:sz="0" w:space="0" w:color="auto"/>
        <w:right w:val="none" w:sz="0" w:space="0" w:color="auto"/>
      </w:divBdr>
    </w:div>
    <w:div w:id="2034451714">
      <w:bodyDiv w:val="1"/>
      <w:marLeft w:val="0"/>
      <w:marRight w:val="0"/>
      <w:marTop w:val="0"/>
      <w:marBottom w:val="0"/>
      <w:divBdr>
        <w:top w:val="none" w:sz="0" w:space="0" w:color="auto"/>
        <w:left w:val="none" w:sz="0" w:space="0" w:color="auto"/>
        <w:bottom w:val="none" w:sz="0" w:space="0" w:color="auto"/>
        <w:right w:val="none" w:sz="0" w:space="0" w:color="auto"/>
      </w:divBdr>
    </w:div>
    <w:div w:id="20627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hiamass.gov/high-public-payer-hospitals" TargetMode="External"/><Relationship Id="rId1" Type="http://schemas.openxmlformats.org/officeDocument/2006/relationships/hyperlink" Target="https://www.chiamass.gov/high-public-payer-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555A-D11F-4F3E-BAB5-C0F5E9F2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3126</Words>
  <Characters>17822</Characters>
  <Application>Microsoft Office Word</Application>
  <DocSecurity>0</DocSecurity>
  <Lines>148</Lines>
  <Paragraphs>41</Paragraphs>
  <ScaleCrop>false</ScaleCrop>
  <Company>EOHHS</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Szent-Gyorgyi, Lara (DPH)</dc:creator>
  <cp:keywords/>
  <cp:lastModifiedBy>Marks, Brett (DPH)</cp:lastModifiedBy>
  <cp:revision>6</cp:revision>
  <dcterms:created xsi:type="dcterms:W3CDTF">2024-09-24T20:55:00Z</dcterms:created>
  <dcterms:modified xsi:type="dcterms:W3CDTF">2024-09-25T15:57:00Z</dcterms:modified>
</cp:coreProperties>
</file>