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7DAE3" w14:textId="77777777" w:rsidR="005E7C24" w:rsidRPr="001F7504" w:rsidRDefault="6FB27A76" w:rsidP="3941F62A">
      <w:pPr>
        <w:pStyle w:val="Heading1"/>
        <w:ind w:left="0"/>
        <w:jc w:val="center"/>
        <w:rPr>
          <w:rFonts w:asciiTheme="minorHAnsi" w:hAnsiTheme="minorHAnsi" w:cs="Times New Roman"/>
        </w:rPr>
      </w:pPr>
      <w:r w:rsidRPr="3941F62A">
        <w:rPr>
          <w:rFonts w:asciiTheme="minorHAnsi" w:hAnsiTheme="minorHAnsi" w:cs="Times New Roman"/>
        </w:rPr>
        <w:t>Memorandum to the Commissioner</w:t>
      </w:r>
    </w:p>
    <w:p w14:paraId="2D64F9FA" w14:textId="77777777" w:rsidR="005E7C24" w:rsidRPr="001F7504" w:rsidRDefault="005E7C24" w:rsidP="001B72DB">
      <w:pPr>
        <w:pStyle w:val="BodyText"/>
        <w:spacing w:before="11"/>
        <w:rPr>
          <w:rFonts w:asciiTheme="minorHAnsi" w:hAnsiTheme="minorHAnsi"/>
          <w:b/>
          <w:sz w:val="23"/>
        </w:rPr>
      </w:pPr>
    </w:p>
    <w:p w14:paraId="15D6B88D" w14:textId="005BFAD4" w:rsidR="005E7C24" w:rsidRPr="00B76DED" w:rsidRDefault="005E7C24" w:rsidP="00CF3BAD">
      <w:pPr>
        <w:rPr>
          <w:rFonts w:asciiTheme="minorHAnsi" w:hAnsiTheme="minorHAnsi" w:cstheme="minorHAnsi"/>
          <w:b/>
          <w:sz w:val="24"/>
          <w:szCs w:val="24"/>
        </w:rPr>
      </w:pPr>
      <w:r w:rsidRPr="00B76DED">
        <w:rPr>
          <w:rFonts w:asciiTheme="minorHAnsi" w:hAnsiTheme="minorHAnsi" w:cstheme="minorHAnsi"/>
          <w:b/>
          <w:sz w:val="24"/>
          <w:szCs w:val="24"/>
        </w:rPr>
        <w:t>APPLICANT:</w:t>
      </w:r>
      <w:r w:rsidR="00C17353" w:rsidRPr="00B76DED">
        <w:rPr>
          <w:rFonts w:asciiTheme="minorHAnsi" w:hAnsiTheme="minorHAnsi" w:cstheme="minorHAnsi"/>
          <w:b/>
          <w:sz w:val="24"/>
          <w:szCs w:val="24"/>
        </w:rPr>
        <w:t xml:space="preserve"> </w:t>
      </w:r>
      <w:r w:rsidR="003D3122" w:rsidRPr="003D3122">
        <w:rPr>
          <w:rFonts w:asciiTheme="minorHAnsi" w:hAnsiTheme="minorHAnsi" w:cstheme="minorHAnsi"/>
          <w:bCs/>
          <w:sz w:val="24"/>
          <w:szCs w:val="24"/>
        </w:rPr>
        <w:t xml:space="preserve">Lifespan </w:t>
      </w:r>
      <w:r w:rsidR="003D3122">
        <w:rPr>
          <w:rFonts w:asciiTheme="minorHAnsi" w:hAnsiTheme="minorHAnsi" w:cstheme="minorHAnsi"/>
          <w:bCs/>
          <w:sz w:val="24"/>
          <w:szCs w:val="24"/>
        </w:rPr>
        <w:t>o</w:t>
      </w:r>
      <w:r w:rsidR="003D3122" w:rsidRPr="003D3122">
        <w:rPr>
          <w:rFonts w:asciiTheme="minorHAnsi" w:hAnsiTheme="minorHAnsi" w:cstheme="minorHAnsi"/>
          <w:bCs/>
          <w:sz w:val="24"/>
          <w:szCs w:val="24"/>
        </w:rPr>
        <w:t>f Massachusetts, Inc</w:t>
      </w:r>
    </w:p>
    <w:p w14:paraId="37DF732C" w14:textId="77777777" w:rsidR="005E7C24" w:rsidRPr="00B76DED" w:rsidRDefault="005E7C24" w:rsidP="001B72DB">
      <w:pPr>
        <w:ind w:left="720"/>
        <w:rPr>
          <w:rFonts w:asciiTheme="minorHAnsi" w:hAnsiTheme="minorHAnsi" w:cstheme="minorHAnsi"/>
          <w:sz w:val="24"/>
          <w:szCs w:val="24"/>
          <w:lang w:val="fr-FR"/>
        </w:rPr>
      </w:pPr>
    </w:p>
    <w:p w14:paraId="6FCDEE6F" w14:textId="3FD604D1" w:rsidR="00D434A0" w:rsidRPr="00D434A0" w:rsidRDefault="005E7C24" w:rsidP="00D434A0">
      <w:pPr>
        <w:rPr>
          <w:rFonts w:asciiTheme="minorHAnsi" w:hAnsiTheme="minorHAnsi" w:cstheme="minorHAnsi"/>
          <w:sz w:val="24"/>
          <w:szCs w:val="24"/>
        </w:rPr>
      </w:pPr>
      <w:r w:rsidRPr="00B76DED">
        <w:rPr>
          <w:rFonts w:asciiTheme="minorHAnsi" w:hAnsiTheme="minorHAnsi" w:cstheme="minorHAnsi"/>
          <w:b/>
          <w:sz w:val="24"/>
          <w:szCs w:val="24"/>
        </w:rPr>
        <w:t>PROJECT NUMBER:</w:t>
      </w:r>
      <w:r w:rsidR="009E2920">
        <w:rPr>
          <w:rFonts w:asciiTheme="minorHAnsi" w:hAnsiTheme="minorHAnsi" w:cstheme="minorHAnsi"/>
          <w:b/>
          <w:sz w:val="24"/>
          <w:szCs w:val="24"/>
        </w:rPr>
        <w:t xml:space="preserve"> </w:t>
      </w:r>
      <w:r w:rsidR="003D3122" w:rsidRPr="00D434A0">
        <w:rPr>
          <w:rFonts w:asciiTheme="minorHAnsi" w:hAnsiTheme="minorHAnsi" w:cstheme="minorHAnsi"/>
          <w:sz w:val="24"/>
          <w:szCs w:val="24"/>
        </w:rPr>
        <w:t xml:space="preserve">Lifespan </w:t>
      </w:r>
      <w:r w:rsidR="003D3122">
        <w:rPr>
          <w:rFonts w:asciiTheme="minorHAnsi" w:hAnsiTheme="minorHAnsi" w:cstheme="minorHAnsi"/>
          <w:sz w:val="24"/>
          <w:szCs w:val="24"/>
        </w:rPr>
        <w:t>o</w:t>
      </w:r>
      <w:r w:rsidR="003D3122" w:rsidRPr="00D434A0">
        <w:rPr>
          <w:rFonts w:asciiTheme="minorHAnsi" w:hAnsiTheme="minorHAnsi" w:cstheme="minorHAnsi"/>
          <w:sz w:val="24"/>
          <w:szCs w:val="24"/>
        </w:rPr>
        <w:t>f Massachusetts, Inc</w:t>
      </w:r>
      <w:r w:rsidR="00D434A0" w:rsidRPr="00D434A0">
        <w:rPr>
          <w:rFonts w:asciiTheme="minorHAnsi" w:hAnsiTheme="minorHAnsi" w:cstheme="minorHAnsi"/>
          <w:sz w:val="24"/>
          <w:szCs w:val="24"/>
        </w:rPr>
        <w:t>. Emergency Application</w:t>
      </w:r>
    </w:p>
    <w:p w14:paraId="125231B5" w14:textId="3EC2A336" w:rsidR="005E7C24" w:rsidRPr="00D434A0" w:rsidRDefault="00D434A0" w:rsidP="00D434A0">
      <w:pPr>
        <w:rPr>
          <w:rFonts w:asciiTheme="minorHAnsi" w:hAnsiTheme="minorHAnsi" w:cstheme="minorHAnsi"/>
          <w:sz w:val="24"/>
          <w:szCs w:val="24"/>
        </w:rPr>
      </w:pPr>
      <w:r>
        <w:rPr>
          <w:rFonts w:asciiTheme="minorHAnsi" w:hAnsiTheme="minorHAnsi" w:cstheme="minorHAnsi"/>
          <w:sz w:val="24"/>
          <w:szCs w:val="24"/>
        </w:rPr>
        <w:t xml:space="preserve">                                    </w:t>
      </w:r>
      <w:r w:rsidRPr="00D434A0">
        <w:rPr>
          <w:rFonts w:asciiTheme="minorHAnsi" w:hAnsiTheme="minorHAnsi" w:cstheme="minorHAnsi"/>
          <w:sz w:val="24"/>
          <w:szCs w:val="24"/>
        </w:rPr>
        <w:t>DON APPLICATION # LMA-24080618-EA</w:t>
      </w:r>
    </w:p>
    <w:p w14:paraId="7649B49B" w14:textId="77777777" w:rsidR="005E7C24" w:rsidRPr="00B76DED" w:rsidRDefault="005E7C24" w:rsidP="001B72DB">
      <w:pPr>
        <w:rPr>
          <w:rFonts w:asciiTheme="minorHAnsi" w:hAnsiTheme="minorHAnsi" w:cstheme="minorHAnsi"/>
          <w:sz w:val="24"/>
          <w:szCs w:val="24"/>
        </w:rPr>
      </w:pPr>
      <w:r w:rsidRPr="00B76DED">
        <w:rPr>
          <w:rFonts w:asciiTheme="minorHAnsi" w:hAnsiTheme="minorHAnsi" w:cstheme="minorHAnsi"/>
          <w:sz w:val="24"/>
          <w:szCs w:val="24"/>
        </w:rPr>
        <w:t xml:space="preserve"> </w:t>
      </w:r>
    </w:p>
    <w:p w14:paraId="04A2A5EF" w14:textId="28E6E747" w:rsidR="005E7C24" w:rsidRPr="00B76DED" w:rsidRDefault="005E7C24" w:rsidP="001B72DB">
      <w:pPr>
        <w:spacing w:before="1"/>
        <w:rPr>
          <w:rFonts w:asciiTheme="minorHAnsi" w:hAnsiTheme="minorHAnsi" w:cstheme="minorHAnsi"/>
          <w:bCs/>
          <w:sz w:val="24"/>
          <w:szCs w:val="24"/>
        </w:rPr>
      </w:pPr>
      <w:r w:rsidRPr="00B76DED">
        <w:rPr>
          <w:rFonts w:asciiTheme="minorHAnsi" w:hAnsiTheme="minorHAnsi" w:cstheme="minorHAnsi"/>
          <w:b/>
          <w:sz w:val="24"/>
          <w:szCs w:val="24"/>
        </w:rPr>
        <w:t xml:space="preserve">Filing DATE: </w:t>
      </w:r>
      <w:r w:rsidR="003D3122" w:rsidRPr="003D3122">
        <w:rPr>
          <w:rFonts w:asciiTheme="minorHAnsi" w:hAnsiTheme="minorHAnsi" w:cstheme="minorHAnsi"/>
          <w:bCs/>
          <w:sz w:val="24"/>
          <w:szCs w:val="24"/>
        </w:rPr>
        <w:t xml:space="preserve">September </w:t>
      </w:r>
      <w:r w:rsidR="00514A59">
        <w:rPr>
          <w:rFonts w:asciiTheme="minorHAnsi" w:hAnsiTheme="minorHAnsi" w:cstheme="minorHAnsi"/>
          <w:bCs/>
          <w:sz w:val="24"/>
          <w:szCs w:val="24"/>
        </w:rPr>
        <w:t>12</w:t>
      </w:r>
      <w:r w:rsidR="003D3122" w:rsidRPr="003D3122">
        <w:rPr>
          <w:rFonts w:asciiTheme="minorHAnsi" w:hAnsiTheme="minorHAnsi" w:cstheme="minorHAnsi"/>
          <w:bCs/>
          <w:sz w:val="24"/>
          <w:szCs w:val="24"/>
        </w:rPr>
        <w:t>, 2024</w:t>
      </w:r>
    </w:p>
    <w:p w14:paraId="6EC46C9B" w14:textId="77777777" w:rsidR="005E7C24" w:rsidRPr="00B76DED" w:rsidRDefault="005E7C24" w:rsidP="001B72DB">
      <w:pPr>
        <w:pStyle w:val="Heading1"/>
        <w:spacing w:before="1"/>
        <w:ind w:left="0"/>
        <w:rPr>
          <w:rFonts w:asciiTheme="minorHAnsi" w:hAnsiTheme="minorHAnsi" w:cstheme="minorHAnsi"/>
        </w:rPr>
      </w:pPr>
    </w:p>
    <w:p w14:paraId="00876BA7" w14:textId="77777777" w:rsidR="005E7C24" w:rsidRPr="00B76DED" w:rsidRDefault="005E7C24" w:rsidP="001B72DB">
      <w:pPr>
        <w:pStyle w:val="Heading1"/>
        <w:ind w:left="0"/>
        <w:rPr>
          <w:rFonts w:asciiTheme="minorHAnsi" w:hAnsiTheme="minorHAnsi" w:cstheme="minorHAnsi"/>
        </w:rPr>
      </w:pPr>
      <w:r w:rsidRPr="00B76DED">
        <w:rPr>
          <w:rFonts w:asciiTheme="minorHAnsi" w:hAnsiTheme="minorHAnsi" w:cstheme="minorHAnsi"/>
        </w:rPr>
        <w:t>Introduction</w:t>
      </w:r>
    </w:p>
    <w:p w14:paraId="66398429" w14:textId="77777777" w:rsidR="005E7C24" w:rsidRPr="00B76DED" w:rsidRDefault="005E7C24" w:rsidP="001B72DB">
      <w:pPr>
        <w:pStyle w:val="BodyText"/>
        <w:spacing w:before="9"/>
        <w:rPr>
          <w:rFonts w:asciiTheme="minorHAnsi" w:hAnsiTheme="minorHAnsi" w:cstheme="minorHAnsi"/>
          <w:b/>
          <w:sz w:val="24"/>
          <w:szCs w:val="24"/>
        </w:rPr>
      </w:pPr>
    </w:p>
    <w:p w14:paraId="1A1AF757" w14:textId="77777777" w:rsidR="0034503C" w:rsidRDefault="005E7C24" w:rsidP="00712AC9">
      <w:pPr>
        <w:spacing w:before="51" w:after="240"/>
        <w:ind w:right="-10"/>
        <w:rPr>
          <w:rFonts w:asciiTheme="minorHAnsi" w:hAnsiTheme="minorHAnsi" w:cstheme="minorHAnsi"/>
          <w:sz w:val="24"/>
          <w:szCs w:val="24"/>
        </w:rPr>
      </w:pPr>
      <w:r w:rsidRPr="00B76DED">
        <w:rPr>
          <w:rFonts w:asciiTheme="minorHAnsi" w:hAnsiTheme="minorHAnsi" w:cstheme="minorHAnsi"/>
          <w:sz w:val="24"/>
          <w:szCs w:val="24"/>
        </w:rPr>
        <w:t>This memorandum presents, for Commissioner’s Review</w:t>
      </w:r>
      <w:r w:rsidR="00B129BC" w:rsidRPr="00B76DED">
        <w:rPr>
          <w:rFonts w:asciiTheme="minorHAnsi" w:hAnsiTheme="minorHAnsi" w:cstheme="minorHAnsi"/>
          <w:sz w:val="24"/>
          <w:szCs w:val="24"/>
        </w:rPr>
        <w:t xml:space="preserve"> and action</w:t>
      </w:r>
      <w:r w:rsidRPr="00B76DED">
        <w:rPr>
          <w:rFonts w:asciiTheme="minorHAnsi" w:hAnsiTheme="minorHAnsi" w:cstheme="minorHAnsi"/>
          <w:sz w:val="24"/>
          <w:szCs w:val="24"/>
        </w:rPr>
        <w:t xml:space="preserve">, the Determination of Need (DoN) Program’s recommendation pertaining to a request by </w:t>
      </w:r>
      <w:r w:rsidR="003D3122" w:rsidRPr="003D3122">
        <w:rPr>
          <w:rFonts w:asciiTheme="minorHAnsi" w:hAnsiTheme="minorHAnsi" w:cstheme="minorHAnsi"/>
          <w:sz w:val="24"/>
          <w:szCs w:val="24"/>
        </w:rPr>
        <w:t>Lifespan of Massachusetts, Inc</w:t>
      </w:r>
      <w:r w:rsidR="003D3122">
        <w:rPr>
          <w:rFonts w:asciiTheme="minorHAnsi" w:hAnsiTheme="minorHAnsi" w:cstheme="minorHAnsi"/>
          <w:sz w:val="24"/>
          <w:szCs w:val="24"/>
        </w:rPr>
        <w:t xml:space="preserve">. </w:t>
      </w:r>
      <w:r w:rsidR="00983008">
        <w:rPr>
          <w:rFonts w:asciiTheme="minorHAnsi" w:hAnsiTheme="minorHAnsi" w:cstheme="minorHAnsi"/>
          <w:sz w:val="24"/>
          <w:szCs w:val="24"/>
        </w:rPr>
        <w:t xml:space="preserve">(“the Applicant”) </w:t>
      </w:r>
      <w:r w:rsidRPr="00B76DED">
        <w:rPr>
          <w:rFonts w:asciiTheme="minorHAnsi" w:hAnsiTheme="minorHAnsi" w:cstheme="minorHAnsi"/>
          <w:sz w:val="24"/>
          <w:szCs w:val="24"/>
        </w:rPr>
        <w:t>for an Emergency DoN</w:t>
      </w:r>
      <w:r w:rsidR="00813C3A" w:rsidRPr="00B76DED">
        <w:rPr>
          <w:rFonts w:asciiTheme="minorHAnsi" w:hAnsiTheme="minorHAnsi" w:cstheme="minorHAnsi"/>
          <w:sz w:val="24"/>
          <w:szCs w:val="24"/>
        </w:rPr>
        <w:t xml:space="preserve"> pursuant to 105 CMR 100.740</w:t>
      </w:r>
      <w:r w:rsidR="002A45B7" w:rsidRPr="00B76DED">
        <w:rPr>
          <w:rFonts w:asciiTheme="minorHAnsi" w:hAnsiTheme="minorHAnsi" w:cstheme="minorHAnsi"/>
          <w:sz w:val="24"/>
          <w:szCs w:val="24"/>
        </w:rPr>
        <w:t xml:space="preserve">. </w:t>
      </w:r>
    </w:p>
    <w:p w14:paraId="7AB0193D" w14:textId="69E1F3A3" w:rsidR="0034503C" w:rsidRPr="00763890" w:rsidRDefault="75D63406" w:rsidP="6B09DEEC">
      <w:pPr>
        <w:spacing w:before="51" w:after="240"/>
        <w:ind w:right="-10"/>
        <w:rPr>
          <w:rFonts w:asciiTheme="minorHAnsi" w:hAnsiTheme="minorHAnsi" w:cstheme="minorBidi"/>
          <w:sz w:val="24"/>
          <w:szCs w:val="24"/>
        </w:rPr>
      </w:pPr>
      <w:r w:rsidRPr="6B09DEEC">
        <w:rPr>
          <w:rFonts w:asciiTheme="minorHAnsi" w:hAnsiTheme="minorHAnsi" w:cstheme="minorBidi"/>
          <w:sz w:val="24"/>
          <w:szCs w:val="24"/>
        </w:rPr>
        <w:t>The Applicant files this Emergency Application on behalf of Lifespan of</w:t>
      </w:r>
      <w:r w:rsidR="03853FAD" w:rsidRPr="6B09DEEC">
        <w:rPr>
          <w:rFonts w:asciiTheme="minorHAnsi" w:hAnsiTheme="minorHAnsi" w:cstheme="minorBidi"/>
          <w:sz w:val="24"/>
          <w:szCs w:val="24"/>
        </w:rPr>
        <w:t xml:space="preserve"> </w:t>
      </w:r>
      <w:r w:rsidRPr="6B09DEEC">
        <w:rPr>
          <w:rFonts w:asciiTheme="minorHAnsi" w:hAnsiTheme="minorHAnsi" w:cstheme="minorBidi"/>
          <w:sz w:val="24"/>
          <w:szCs w:val="24"/>
        </w:rPr>
        <w:t xml:space="preserve">Massachusetts - Fall River, Inc. (“Lifespan-Fall River”) </w:t>
      </w:r>
      <w:r w:rsidR="56173844" w:rsidRPr="6B09DEEC">
        <w:rPr>
          <w:rFonts w:asciiTheme="minorHAnsi" w:hAnsiTheme="minorHAnsi" w:cstheme="minorBidi"/>
          <w:sz w:val="24"/>
          <w:szCs w:val="24"/>
        </w:rPr>
        <w:t>seeking approval of</w:t>
      </w:r>
      <w:r w:rsidR="61A81C0E" w:rsidRPr="6B09DEEC">
        <w:rPr>
          <w:rFonts w:asciiTheme="minorHAnsi" w:hAnsiTheme="minorHAnsi" w:cstheme="minorBidi"/>
          <w:sz w:val="24"/>
          <w:szCs w:val="24"/>
        </w:rPr>
        <w:t xml:space="preserve"> the Transfer of Ownership</w:t>
      </w:r>
      <w:r w:rsidR="0034503C" w:rsidRPr="6B09DEEC">
        <w:rPr>
          <w:rStyle w:val="FootnoteReference"/>
          <w:rFonts w:asciiTheme="minorHAnsi" w:hAnsiTheme="minorHAnsi" w:cstheme="minorBidi"/>
          <w:sz w:val="24"/>
          <w:szCs w:val="24"/>
        </w:rPr>
        <w:footnoteReference w:id="2"/>
      </w:r>
      <w:r w:rsidR="61A81C0E" w:rsidRPr="6B09DEEC">
        <w:rPr>
          <w:rFonts w:asciiTheme="minorHAnsi" w:hAnsiTheme="minorHAnsi" w:cstheme="minorBidi"/>
          <w:sz w:val="24"/>
          <w:szCs w:val="24"/>
        </w:rPr>
        <w:t xml:space="preserve"> </w:t>
      </w:r>
      <w:r w:rsidR="7A94DA9F" w:rsidRPr="6B09DEEC">
        <w:rPr>
          <w:rFonts w:asciiTheme="minorHAnsi" w:hAnsiTheme="minorHAnsi" w:cstheme="minorBidi"/>
          <w:sz w:val="24"/>
          <w:szCs w:val="24"/>
        </w:rPr>
        <w:t xml:space="preserve">of </w:t>
      </w:r>
      <w:r w:rsidR="022F3CB5" w:rsidRPr="6B09DEEC">
        <w:rPr>
          <w:rFonts w:asciiTheme="minorHAnsi" w:hAnsiTheme="minorHAnsi" w:cstheme="minorBidi"/>
          <w:sz w:val="24"/>
          <w:szCs w:val="24"/>
        </w:rPr>
        <w:t xml:space="preserve">St. Anne’s Hospital in Fall River, Massachusetts (“St. Anne’s”) </w:t>
      </w:r>
      <w:r w:rsidRPr="6B09DEEC">
        <w:rPr>
          <w:rFonts w:asciiTheme="minorHAnsi" w:hAnsiTheme="minorHAnsi" w:cstheme="minorBidi"/>
          <w:sz w:val="24"/>
          <w:szCs w:val="24"/>
        </w:rPr>
        <w:t>and Lifespan of Massachusetts –</w:t>
      </w:r>
      <w:r w:rsidR="03853FAD" w:rsidRPr="6B09DEEC">
        <w:rPr>
          <w:rFonts w:asciiTheme="minorHAnsi" w:hAnsiTheme="minorHAnsi" w:cstheme="minorBidi"/>
          <w:sz w:val="24"/>
          <w:szCs w:val="24"/>
        </w:rPr>
        <w:t xml:space="preserve"> </w:t>
      </w:r>
      <w:r w:rsidRPr="6B09DEEC">
        <w:rPr>
          <w:rFonts w:asciiTheme="minorHAnsi" w:hAnsiTheme="minorHAnsi" w:cstheme="minorBidi"/>
          <w:sz w:val="24"/>
          <w:szCs w:val="24"/>
        </w:rPr>
        <w:t>Taunton, Inc. (“Lifespan-Taunton</w:t>
      </w:r>
      <w:r w:rsidR="2EC1A4E6" w:rsidRPr="6B09DEEC">
        <w:rPr>
          <w:rFonts w:asciiTheme="minorHAnsi" w:hAnsiTheme="minorHAnsi" w:cstheme="minorBidi"/>
          <w:sz w:val="24"/>
          <w:szCs w:val="24"/>
        </w:rPr>
        <w:t>”</w:t>
      </w:r>
      <w:r w:rsidRPr="6B09DEEC">
        <w:rPr>
          <w:rFonts w:asciiTheme="minorHAnsi" w:hAnsiTheme="minorHAnsi" w:cstheme="minorBidi"/>
          <w:sz w:val="24"/>
          <w:szCs w:val="24"/>
        </w:rPr>
        <w:t>)</w:t>
      </w:r>
      <w:r w:rsidR="6B8F625C" w:rsidRPr="6B09DEEC">
        <w:rPr>
          <w:rFonts w:asciiTheme="minorHAnsi" w:hAnsiTheme="minorHAnsi" w:cstheme="minorBidi"/>
          <w:sz w:val="24"/>
          <w:szCs w:val="24"/>
        </w:rPr>
        <w:t xml:space="preserve"> for the </w:t>
      </w:r>
      <w:r w:rsidR="4D332357" w:rsidRPr="6B09DEEC">
        <w:rPr>
          <w:rFonts w:asciiTheme="minorHAnsi" w:hAnsiTheme="minorHAnsi" w:cstheme="minorBidi"/>
          <w:sz w:val="24"/>
          <w:szCs w:val="24"/>
        </w:rPr>
        <w:t>T</w:t>
      </w:r>
      <w:r w:rsidR="6B8F625C" w:rsidRPr="6B09DEEC">
        <w:rPr>
          <w:rFonts w:asciiTheme="minorHAnsi" w:hAnsiTheme="minorHAnsi" w:cstheme="minorBidi"/>
          <w:sz w:val="24"/>
          <w:szCs w:val="24"/>
        </w:rPr>
        <w:t>ransfer of Ownership of</w:t>
      </w:r>
      <w:r w:rsidRPr="6B09DEEC">
        <w:rPr>
          <w:rFonts w:asciiTheme="minorHAnsi" w:hAnsiTheme="minorHAnsi" w:cstheme="minorBidi"/>
          <w:sz w:val="24"/>
          <w:szCs w:val="24"/>
        </w:rPr>
        <w:t xml:space="preserve"> </w:t>
      </w:r>
      <w:r w:rsidR="6B8F625C" w:rsidRPr="6B09DEEC">
        <w:rPr>
          <w:rFonts w:asciiTheme="minorHAnsi" w:hAnsiTheme="minorHAnsi" w:cstheme="minorBidi"/>
          <w:sz w:val="24"/>
          <w:szCs w:val="24"/>
        </w:rPr>
        <w:t>Morton Hospital in Taunton, Massachusetts (“Morton”)</w:t>
      </w:r>
      <w:r w:rsidR="3C2C591C" w:rsidRPr="6B09DEEC">
        <w:rPr>
          <w:rFonts w:asciiTheme="minorHAnsi" w:hAnsiTheme="minorHAnsi" w:cstheme="minorBidi"/>
          <w:sz w:val="24"/>
          <w:szCs w:val="24"/>
        </w:rPr>
        <w:t>.</w:t>
      </w:r>
    </w:p>
    <w:p w14:paraId="4867E501" w14:textId="49306E00" w:rsidR="00DA4EA8" w:rsidRDefault="00DA4EA8" w:rsidP="00DD6988">
      <w:pPr>
        <w:spacing w:before="51"/>
        <w:ind w:right="-10"/>
        <w:rPr>
          <w:rFonts w:asciiTheme="minorHAnsi" w:hAnsiTheme="minorHAnsi" w:cstheme="minorHAnsi"/>
          <w:sz w:val="24"/>
          <w:szCs w:val="24"/>
        </w:rPr>
      </w:pPr>
      <w:r w:rsidRPr="00DA4EA8">
        <w:rPr>
          <w:rFonts w:asciiTheme="minorHAnsi" w:hAnsiTheme="minorHAnsi" w:cstheme="minorHAnsi"/>
          <w:sz w:val="24"/>
          <w:szCs w:val="24"/>
        </w:rPr>
        <w:t>There is neither a Community Health Initiative (CHI) contribution nor a DoN filing fee required for an Emergency DoN. As required by 105 CMR 100.740(A), the Applicant must explain the following: 1)</w:t>
      </w:r>
      <w:r w:rsidR="00514A59">
        <w:rPr>
          <w:rFonts w:asciiTheme="minorHAnsi" w:hAnsiTheme="minorHAnsi" w:cstheme="minorHAnsi"/>
          <w:sz w:val="24"/>
          <w:szCs w:val="24"/>
        </w:rPr>
        <w:t xml:space="preserve"> </w:t>
      </w:r>
      <w:r w:rsidRPr="00DA4EA8">
        <w:rPr>
          <w:rFonts w:asciiTheme="minorHAnsi" w:hAnsiTheme="minorHAnsi" w:cstheme="minorHAnsi"/>
          <w:sz w:val="24"/>
          <w:szCs w:val="24"/>
        </w:rPr>
        <w:t>the identity of the Applicant, 2) the nature of the Emergency Situation,3) the nature, scope, location, and projected costs of the proposed project, and 4) that the proposed project will address the emergency situation, and that without issuance of a notice of determination of need, the public health will be measurably harmed. </w:t>
      </w:r>
    </w:p>
    <w:p w14:paraId="62705908" w14:textId="0B14826B" w:rsidR="00B96510" w:rsidRPr="00B76DED" w:rsidRDefault="00B96510" w:rsidP="001B72DB">
      <w:pPr>
        <w:ind w:right="-10"/>
        <w:rPr>
          <w:rFonts w:asciiTheme="minorHAnsi" w:hAnsiTheme="minorHAnsi" w:cstheme="minorHAnsi"/>
          <w:sz w:val="24"/>
          <w:szCs w:val="24"/>
        </w:rPr>
      </w:pPr>
    </w:p>
    <w:p w14:paraId="29271ABD" w14:textId="02BF8B31" w:rsidR="00A37B89" w:rsidRDefault="00A37B89" w:rsidP="00D97013">
      <w:pPr>
        <w:pStyle w:val="BodyText"/>
        <w:numPr>
          <w:ilvl w:val="0"/>
          <w:numId w:val="2"/>
        </w:numPr>
        <w:spacing w:before="120"/>
        <w:ind w:right="111"/>
        <w:rPr>
          <w:rFonts w:asciiTheme="minorHAnsi" w:hAnsiTheme="minorHAnsi" w:cstheme="minorHAnsi"/>
          <w:b/>
          <w:bCs/>
          <w:sz w:val="24"/>
          <w:szCs w:val="24"/>
        </w:rPr>
      </w:pPr>
      <w:r w:rsidRPr="00B76DED">
        <w:rPr>
          <w:rFonts w:asciiTheme="minorHAnsi" w:hAnsiTheme="minorHAnsi" w:cstheme="minorHAnsi"/>
          <w:b/>
          <w:bCs/>
          <w:sz w:val="24"/>
          <w:szCs w:val="24"/>
        </w:rPr>
        <w:t>Identity of The Applicant</w:t>
      </w:r>
    </w:p>
    <w:p w14:paraId="207E5AFB" w14:textId="77777777" w:rsidR="00B50E0F" w:rsidRDefault="00B50E0F" w:rsidP="00D1424D">
      <w:pPr>
        <w:widowControl/>
        <w:adjustRightInd w:val="0"/>
        <w:rPr>
          <w:rFonts w:asciiTheme="minorHAnsi" w:eastAsiaTheme="minorHAnsi" w:hAnsiTheme="minorHAnsi" w:cstheme="minorHAnsi"/>
          <w:sz w:val="24"/>
          <w:szCs w:val="24"/>
          <w:lang w:bidi="ar-SA"/>
        </w:rPr>
      </w:pPr>
    </w:p>
    <w:p w14:paraId="66D59369" w14:textId="64460A9D" w:rsidR="003F42F8" w:rsidRPr="003F42F8" w:rsidRDefault="003F42F8" w:rsidP="00B4F071">
      <w:pPr>
        <w:widowControl/>
        <w:adjustRightInd w:val="0"/>
        <w:rPr>
          <w:rFonts w:asciiTheme="minorHAnsi" w:eastAsiaTheme="minorEastAsia" w:hAnsiTheme="minorHAnsi" w:cstheme="minorBidi"/>
          <w:sz w:val="24"/>
          <w:szCs w:val="24"/>
          <w:lang w:bidi="ar-SA"/>
        </w:rPr>
      </w:pPr>
      <w:r w:rsidRPr="00B4F071">
        <w:rPr>
          <w:rFonts w:asciiTheme="minorHAnsi" w:eastAsiaTheme="minorEastAsia" w:hAnsiTheme="minorHAnsi" w:cstheme="minorBidi"/>
          <w:sz w:val="24"/>
          <w:szCs w:val="24"/>
          <w:lang w:bidi="ar-SA"/>
        </w:rPr>
        <w:t xml:space="preserve">Lifespan of Massachusetts, Inc. (the “Applicant”) is a non-profit corporation that is the sole corporate member of </w:t>
      </w:r>
      <w:r w:rsidR="001B5328" w:rsidRPr="00B4F071">
        <w:rPr>
          <w:rFonts w:asciiTheme="minorHAnsi" w:eastAsiaTheme="minorEastAsia" w:hAnsiTheme="minorHAnsi" w:cstheme="minorBidi"/>
          <w:sz w:val="24"/>
          <w:szCs w:val="24"/>
          <w:lang w:bidi="ar-SA"/>
        </w:rPr>
        <w:t xml:space="preserve">the </w:t>
      </w:r>
      <w:r w:rsidRPr="00B4F071">
        <w:rPr>
          <w:rFonts w:asciiTheme="minorHAnsi" w:eastAsiaTheme="minorEastAsia" w:hAnsiTheme="minorHAnsi" w:cstheme="minorBidi"/>
          <w:sz w:val="24"/>
          <w:szCs w:val="24"/>
          <w:lang w:bidi="ar-SA"/>
        </w:rPr>
        <w:t xml:space="preserve">two aforementioned newly formed entities, which were formed for the purposes of this </w:t>
      </w:r>
      <w:r w:rsidR="3B45E107" w:rsidRPr="00B4F071">
        <w:rPr>
          <w:rFonts w:asciiTheme="minorHAnsi" w:eastAsiaTheme="minorEastAsia" w:hAnsiTheme="minorHAnsi" w:cstheme="minorBidi"/>
          <w:sz w:val="24"/>
          <w:szCs w:val="24"/>
          <w:lang w:bidi="ar-SA"/>
        </w:rPr>
        <w:t>e</w:t>
      </w:r>
      <w:r w:rsidR="00953B67" w:rsidRPr="00B4F071">
        <w:rPr>
          <w:rFonts w:asciiTheme="minorHAnsi" w:eastAsiaTheme="minorEastAsia" w:hAnsiTheme="minorHAnsi" w:cstheme="minorBidi"/>
          <w:sz w:val="24"/>
          <w:szCs w:val="24"/>
          <w:lang w:bidi="ar-SA"/>
        </w:rPr>
        <w:t>mergency transaction</w:t>
      </w:r>
      <w:r w:rsidRPr="00B4F071">
        <w:rPr>
          <w:rFonts w:asciiTheme="minorHAnsi" w:eastAsiaTheme="minorEastAsia" w:hAnsiTheme="minorHAnsi" w:cstheme="minorBidi"/>
          <w:sz w:val="24"/>
          <w:szCs w:val="24"/>
          <w:lang w:bidi="ar-SA"/>
        </w:rPr>
        <w:t>. Those entities are Lifespan of Massachusetts – Taunton, Inc. and Lifespan of Massachusetts – Fall River, Inc. The Applicant is a parent company with no present assets or operations.</w:t>
      </w:r>
    </w:p>
    <w:p w14:paraId="0BF54DF3" w14:textId="77777777" w:rsidR="003F42F8" w:rsidRPr="003F42F8" w:rsidRDefault="003F42F8" w:rsidP="003F42F8">
      <w:pPr>
        <w:widowControl/>
        <w:adjustRightInd w:val="0"/>
        <w:rPr>
          <w:rFonts w:asciiTheme="minorHAnsi" w:eastAsiaTheme="minorHAnsi" w:hAnsiTheme="minorHAnsi" w:cstheme="minorHAnsi"/>
          <w:sz w:val="24"/>
          <w:szCs w:val="24"/>
          <w:lang w:bidi="ar-SA"/>
        </w:rPr>
      </w:pPr>
    </w:p>
    <w:p w14:paraId="7B326EB4" w14:textId="2D44BA40" w:rsidR="00D1424D" w:rsidRPr="003F42F8" w:rsidRDefault="3CD9BA00" w:rsidP="003F42F8">
      <w:pPr>
        <w:widowControl/>
        <w:adjustRightInd w:val="0"/>
        <w:rPr>
          <w:rFonts w:asciiTheme="minorHAnsi" w:eastAsiaTheme="minorHAnsi" w:hAnsiTheme="minorHAnsi" w:cstheme="minorHAnsi"/>
          <w:sz w:val="24"/>
          <w:szCs w:val="24"/>
          <w:lang w:bidi="ar-SA"/>
        </w:rPr>
      </w:pPr>
      <w:r w:rsidRPr="6B09DEEC">
        <w:rPr>
          <w:rFonts w:asciiTheme="minorHAnsi" w:eastAsiaTheme="minorEastAsia" w:hAnsiTheme="minorHAnsi" w:cstheme="minorBidi"/>
          <w:sz w:val="24"/>
          <w:szCs w:val="24"/>
          <w:lang w:bidi="ar-SA"/>
        </w:rPr>
        <w:t>The Applicant is an affiliate of Lifespan</w:t>
      </w:r>
      <w:r w:rsidR="3AE13594" w:rsidRPr="6B09DEEC">
        <w:rPr>
          <w:rFonts w:asciiTheme="minorHAnsi" w:eastAsiaTheme="minorEastAsia" w:hAnsiTheme="minorHAnsi" w:cstheme="minorBidi"/>
          <w:sz w:val="24"/>
          <w:szCs w:val="24"/>
          <w:lang w:bidi="ar-SA"/>
        </w:rPr>
        <w:t xml:space="preserve"> </w:t>
      </w:r>
      <w:r w:rsidRPr="6B09DEEC">
        <w:rPr>
          <w:rFonts w:asciiTheme="minorHAnsi" w:eastAsiaTheme="minorEastAsia" w:hAnsiTheme="minorHAnsi" w:cstheme="minorBidi"/>
          <w:sz w:val="24"/>
          <w:szCs w:val="24"/>
          <w:lang w:bidi="ar-SA"/>
        </w:rPr>
        <w:t>Corporation, the nonprofit parent of an integrated academic health care delivery system serving a</w:t>
      </w:r>
      <w:r w:rsidR="3AE13594" w:rsidRPr="6B09DEEC">
        <w:rPr>
          <w:rFonts w:asciiTheme="minorHAnsi" w:eastAsiaTheme="minorEastAsia" w:hAnsiTheme="minorHAnsi" w:cstheme="minorBidi"/>
          <w:sz w:val="24"/>
          <w:szCs w:val="24"/>
          <w:lang w:bidi="ar-SA"/>
        </w:rPr>
        <w:t xml:space="preserve"> </w:t>
      </w:r>
      <w:r w:rsidRPr="6B09DEEC">
        <w:rPr>
          <w:rFonts w:asciiTheme="minorHAnsi" w:eastAsiaTheme="minorEastAsia" w:hAnsiTheme="minorHAnsi" w:cstheme="minorBidi"/>
          <w:sz w:val="24"/>
          <w:szCs w:val="24"/>
          <w:lang w:bidi="ar-SA"/>
        </w:rPr>
        <w:t>population of over 1.6 million patients in Rhode Island and southeastern Massachusetts.</w:t>
      </w:r>
      <w:r w:rsidR="003F42F8" w:rsidRPr="6B09DEEC">
        <w:rPr>
          <w:rStyle w:val="FootnoteReference"/>
          <w:rFonts w:asciiTheme="minorHAnsi" w:eastAsiaTheme="minorEastAsia" w:hAnsiTheme="minorHAnsi" w:cstheme="minorBidi"/>
          <w:sz w:val="24"/>
          <w:szCs w:val="24"/>
          <w:lang w:bidi="ar-SA"/>
        </w:rPr>
        <w:footnoteReference w:id="3"/>
      </w:r>
      <w:r w:rsidR="507D2009" w:rsidRPr="6B09DEEC">
        <w:rPr>
          <w:rFonts w:asciiTheme="minorHAnsi" w:eastAsiaTheme="minorEastAsia" w:hAnsiTheme="minorHAnsi" w:cstheme="minorBidi"/>
          <w:sz w:val="24"/>
          <w:szCs w:val="24"/>
          <w:lang w:bidi="ar-SA"/>
        </w:rPr>
        <w:t xml:space="preserve"> </w:t>
      </w:r>
    </w:p>
    <w:p w14:paraId="71DA0180" w14:textId="77777777" w:rsidR="00E465CA" w:rsidRPr="00E465CA" w:rsidRDefault="00E465CA" w:rsidP="00E465CA">
      <w:pPr>
        <w:pStyle w:val="BodyText"/>
        <w:spacing w:before="120"/>
        <w:ind w:right="111"/>
        <w:rPr>
          <w:rFonts w:asciiTheme="minorHAnsi" w:hAnsiTheme="minorHAnsi" w:cstheme="minorHAnsi"/>
          <w:sz w:val="24"/>
          <w:szCs w:val="24"/>
        </w:rPr>
      </w:pPr>
      <w:r w:rsidRPr="00E465CA">
        <w:rPr>
          <w:rFonts w:asciiTheme="minorHAnsi" w:hAnsiTheme="minorHAnsi" w:cstheme="minorHAnsi"/>
          <w:sz w:val="24"/>
          <w:szCs w:val="24"/>
        </w:rPr>
        <w:t xml:space="preserve">St. Anne’s operates 211 beds and offers emergency care, general acute care, cardiology, behavioral health, and specialized services including a Joint Commission-certified Center for Orthopedic Excellence, cancer center, center for pain management, multi-disciplinary spine center and inpatient geriatric psychiatry services. </w:t>
      </w:r>
    </w:p>
    <w:p w14:paraId="40A9F47A" w14:textId="52CAE7C1" w:rsidR="00E465CA" w:rsidRDefault="00E465CA" w:rsidP="00E465CA">
      <w:pPr>
        <w:pStyle w:val="BodyText"/>
        <w:spacing w:before="120"/>
        <w:ind w:right="111"/>
        <w:rPr>
          <w:rFonts w:asciiTheme="minorHAnsi" w:hAnsiTheme="minorHAnsi" w:cstheme="minorHAnsi"/>
          <w:sz w:val="24"/>
          <w:szCs w:val="24"/>
        </w:rPr>
      </w:pPr>
      <w:r w:rsidRPr="00E465CA">
        <w:rPr>
          <w:rFonts w:asciiTheme="minorHAnsi" w:hAnsiTheme="minorHAnsi" w:cstheme="minorHAnsi"/>
          <w:sz w:val="24"/>
          <w:szCs w:val="24"/>
        </w:rPr>
        <w:t xml:space="preserve">Morton operates 144 beds and offers emergency care, general acute care, behavioral health and psychiatry, cardiology, cancer care, wound care, imaging services, and a variety of surgical services including vascular surgery, breast surgery, general surgery, orthopedic surgery, and podiatric surgery. </w:t>
      </w:r>
    </w:p>
    <w:p w14:paraId="3F3376DB" w14:textId="77777777" w:rsidR="00DA4EA8" w:rsidRDefault="00DA4EA8" w:rsidP="00E465CA">
      <w:pPr>
        <w:pStyle w:val="BodyText"/>
        <w:spacing w:before="120"/>
        <w:ind w:right="111"/>
        <w:rPr>
          <w:rFonts w:asciiTheme="minorHAnsi" w:hAnsiTheme="minorHAnsi" w:cstheme="minorHAnsi"/>
          <w:sz w:val="24"/>
          <w:szCs w:val="24"/>
        </w:rPr>
      </w:pPr>
    </w:p>
    <w:p w14:paraId="5EF5C5C1" w14:textId="77777777" w:rsidR="00DA4EA8" w:rsidRDefault="00DA4EA8" w:rsidP="00D97013">
      <w:pPr>
        <w:pStyle w:val="ListParagraph"/>
        <w:numPr>
          <w:ilvl w:val="0"/>
          <w:numId w:val="2"/>
        </w:numPr>
        <w:ind w:right="-10"/>
        <w:rPr>
          <w:rFonts w:asciiTheme="minorHAnsi" w:hAnsiTheme="minorHAnsi" w:cstheme="minorBidi"/>
          <w:b/>
          <w:bCs/>
          <w:sz w:val="24"/>
          <w:szCs w:val="24"/>
        </w:rPr>
      </w:pPr>
      <w:r w:rsidRPr="00B4F071">
        <w:rPr>
          <w:rFonts w:asciiTheme="minorHAnsi" w:hAnsiTheme="minorHAnsi" w:cstheme="minorBidi"/>
          <w:b/>
          <w:bCs/>
          <w:sz w:val="24"/>
          <w:szCs w:val="24"/>
        </w:rPr>
        <w:t>Nature of the Emergency</w:t>
      </w:r>
    </w:p>
    <w:p w14:paraId="15B06425" w14:textId="77777777" w:rsidR="00DA4EA8" w:rsidRDefault="00DA4EA8" w:rsidP="00DA4EA8">
      <w:pPr>
        <w:pStyle w:val="ListParagraph"/>
        <w:ind w:left="0" w:right="-10" w:firstLine="0"/>
        <w:rPr>
          <w:rFonts w:asciiTheme="minorHAnsi" w:hAnsiTheme="minorHAnsi" w:cstheme="minorHAnsi"/>
          <w:b/>
          <w:bCs/>
          <w:sz w:val="24"/>
          <w:szCs w:val="24"/>
        </w:rPr>
      </w:pPr>
    </w:p>
    <w:p w14:paraId="2AFE898D" w14:textId="20FCA045" w:rsidR="00DA4EA8" w:rsidRDefault="6AC4489A" w:rsidP="00DA4EA8">
      <w:pPr>
        <w:pStyle w:val="ListParagraph"/>
        <w:ind w:left="0" w:right="-10" w:firstLine="0"/>
        <w:rPr>
          <w:rFonts w:eastAsia="Times New Roman"/>
          <w:sz w:val="24"/>
          <w:szCs w:val="24"/>
          <w:lang w:bidi="ar-SA"/>
        </w:rPr>
      </w:pPr>
      <w:r w:rsidRPr="6B09DEEC">
        <w:rPr>
          <w:rFonts w:asciiTheme="minorHAnsi" w:hAnsiTheme="minorHAnsi" w:cstheme="minorBidi"/>
          <w:sz w:val="24"/>
          <w:szCs w:val="24"/>
        </w:rPr>
        <w:t>On May 5, 2024, Steward and 166 of its affiliates, including the affiliates that operate St. Anne’s and Morton, filed a voluntary petition for relief under Chapter 11 of the United States Bankruptcy Code in the United States Bankruptcy Court for the Southern District of Texas. The record in the bankruptcy proceeding establishes that Steward is financially unable to support the further operation of St. Anne’s and Morton and that, unless the facilities are transitioned to a new operator by September 30, 2024, Steward will close the facilities.</w:t>
      </w:r>
      <w:r w:rsidR="00DA4EA8" w:rsidRPr="6B09DEEC">
        <w:rPr>
          <w:rFonts w:asciiTheme="minorHAnsi" w:hAnsiTheme="minorHAnsi" w:cstheme="minorBidi"/>
          <w:sz w:val="24"/>
          <w:szCs w:val="24"/>
          <w:vertAlign w:val="superscript"/>
        </w:rPr>
        <w:footnoteReference w:id="4"/>
      </w:r>
      <w:r w:rsidRPr="6B09DEEC">
        <w:rPr>
          <w:rFonts w:asciiTheme="minorHAnsi" w:hAnsiTheme="minorHAnsi" w:cstheme="minorBidi"/>
          <w:sz w:val="24"/>
          <w:szCs w:val="24"/>
        </w:rPr>
        <w:t xml:space="preserve"> The Applicant states this Application is submitted as an emergency Application t</w:t>
      </w:r>
      <w:r w:rsidRPr="00674610">
        <w:rPr>
          <w:rFonts w:eastAsia="Times New Roman"/>
          <w:sz w:val="24"/>
          <w:szCs w:val="24"/>
          <w:lang w:bidi="ar-SA"/>
        </w:rPr>
        <w:t xml:space="preserve">o avoid the imminent closure of these </w:t>
      </w:r>
      <w:r w:rsidR="3AB2F6A3" w:rsidRPr="00674610">
        <w:rPr>
          <w:rFonts w:eastAsia="Times New Roman"/>
          <w:sz w:val="24"/>
          <w:szCs w:val="24"/>
          <w:lang w:bidi="ar-SA"/>
        </w:rPr>
        <w:t>health care facilities</w:t>
      </w:r>
      <w:r w:rsidRPr="00674610">
        <w:rPr>
          <w:rFonts w:eastAsia="Times New Roman"/>
          <w:sz w:val="24"/>
          <w:szCs w:val="24"/>
          <w:lang w:bidi="ar-SA"/>
        </w:rPr>
        <w:t>, and the resulting crisis in health care access in southeastern Massachusetts, including access to Essential Health Services as defined in 105 CMR 130.020</w:t>
      </w:r>
      <w:r>
        <w:rPr>
          <w:rFonts w:eastAsia="Times New Roman"/>
          <w:sz w:val="24"/>
          <w:szCs w:val="24"/>
          <w:lang w:bidi="ar-SA"/>
        </w:rPr>
        <w:t xml:space="preserve">. </w:t>
      </w:r>
    </w:p>
    <w:p w14:paraId="595BF0F3" w14:textId="2BE2A2B2" w:rsidR="00B4F071" w:rsidRDefault="00B4F071" w:rsidP="00B4F071">
      <w:pPr>
        <w:pStyle w:val="ListParagraph"/>
        <w:ind w:left="0" w:right="-10" w:firstLine="0"/>
        <w:rPr>
          <w:rFonts w:eastAsia="Times New Roman"/>
          <w:sz w:val="24"/>
          <w:szCs w:val="24"/>
          <w:lang w:bidi="ar-SA"/>
        </w:rPr>
      </w:pPr>
    </w:p>
    <w:p w14:paraId="0E58CC33" w14:textId="5B8D9FAE" w:rsidR="00B4F071" w:rsidRPr="007B4C2A" w:rsidRDefault="479EFCD2" w:rsidP="007B4C2A">
      <w:pPr>
        <w:widowControl/>
      </w:pPr>
      <w:r w:rsidRPr="00B4F071">
        <w:rPr>
          <w:color w:val="000000" w:themeColor="text1"/>
          <w:sz w:val="24"/>
          <w:szCs w:val="24"/>
        </w:rPr>
        <w:t xml:space="preserve">The Applicant indicated that this is an </w:t>
      </w:r>
      <w:r w:rsidR="79AAF2EC" w:rsidRPr="00B4F071">
        <w:rPr>
          <w:color w:val="000000" w:themeColor="text1"/>
          <w:sz w:val="24"/>
          <w:szCs w:val="24"/>
        </w:rPr>
        <w:t>Emergency Situation</w:t>
      </w:r>
      <w:r w:rsidR="5818F917" w:rsidRPr="00B4F071">
        <w:rPr>
          <w:color w:val="000000" w:themeColor="text1"/>
          <w:sz w:val="24"/>
          <w:szCs w:val="24"/>
        </w:rPr>
        <w:t xml:space="preserve"> </w:t>
      </w:r>
      <w:r w:rsidRPr="00B4F071">
        <w:rPr>
          <w:color w:val="000000" w:themeColor="text1"/>
          <w:sz w:val="24"/>
          <w:szCs w:val="24"/>
        </w:rPr>
        <w:t xml:space="preserve">due to Steward Health Care System LLC (“Steward”) and its affiliated debtors, including </w:t>
      </w:r>
      <w:r w:rsidR="2A84C9CC" w:rsidRPr="00B4F071">
        <w:rPr>
          <w:color w:val="000000" w:themeColor="text1"/>
          <w:sz w:val="24"/>
          <w:szCs w:val="24"/>
        </w:rPr>
        <w:t xml:space="preserve">St Anne’s and Morton Hospitals, </w:t>
      </w:r>
      <w:r w:rsidRPr="00B4F071">
        <w:rPr>
          <w:color w:val="000000" w:themeColor="text1"/>
          <w:sz w:val="24"/>
          <w:szCs w:val="24"/>
        </w:rPr>
        <w:t xml:space="preserve">filing a voluntary petition for relief under Chapter 11 of the United States Bankruptcy Code in the United States Bankruptcy Court for the Southern District of Texas (“Emergency Situation”). Pursuant to sections 105, 363, and 365 of the Bankruptcy Code, and in an effort to preserve patient care and prevent the </w:t>
      </w:r>
      <w:r w:rsidRPr="00B4F071">
        <w:rPr>
          <w:color w:val="000000" w:themeColor="text1"/>
          <w:sz w:val="24"/>
          <w:szCs w:val="24"/>
        </w:rPr>
        <w:lastRenderedPageBreak/>
        <w:t>closure</w:t>
      </w:r>
      <w:r w:rsidR="4E7254BD" w:rsidRPr="00B4F071">
        <w:rPr>
          <w:color w:val="000000" w:themeColor="text1"/>
          <w:sz w:val="24"/>
          <w:szCs w:val="24"/>
        </w:rPr>
        <w:t xml:space="preserve"> St Anne’s and Morton </w:t>
      </w:r>
      <w:r w:rsidRPr="00B4F071">
        <w:rPr>
          <w:color w:val="000000" w:themeColor="text1"/>
          <w:sz w:val="24"/>
          <w:szCs w:val="24"/>
        </w:rPr>
        <w:t xml:space="preserve">through its corporate affiliate </w:t>
      </w:r>
      <w:r w:rsidR="60BD17D0" w:rsidRPr="00B4F071">
        <w:rPr>
          <w:rFonts w:asciiTheme="minorHAnsi" w:hAnsiTheme="minorHAnsi" w:cstheme="minorBidi"/>
          <w:sz w:val="24"/>
          <w:szCs w:val="24"/>
        </w:rPr>
        <w:t>Lifespan of Massachusetts</w:t>
      </w:r>
      <w:r w:rsidR="60BD17D0" w:rsidRPr="00B4F071">
        <w:rPr>
          <w:color w:val="000000" w:themeColor="text1"/>
          <w:sz w:val="24"/>
          <w:szCs w:val="24"/>
        </w:rPr>
        <w:t xml:space="preserve"> </w:t>
      </w:r>
      <w:r w:rsidRPr="00B4F071">
        <w:rPr>
          <w:color w:val="000000" w:themeColor="text1"/>
          <w:sz w:val="24"/>
          <w:szCs w:val="24"/>
        </w:rPr>
        <w:t>Corporation, entered into an Asset Purchase Agreement (“APA”) to buy certain assets and liabilities of</w:t>
      </w:r>
      <w:r w:rsidR="35314D75" w:rsidRPr="00B4F071">
        <w:rPr>
          <w:color w:val="000000" w:themeColor="text1"/>
          <w:sz w:val="24"/>
          <w:szCs w:val="24"/>
        </w:rPr>
        <w:t xml:space="preserve"> both St Anne’s and Morton.</w:t>
      </w:r>
      <w:r w:rsidRPr="00B4F071">
        <w:rPr>
          <w:color w:val="000000" w:themeColor="text1"/>
          <w:sz w:val="24"/>
          <w:szCs w:val="24"/>
        </w:rPr>
        <w:t xml:space="preserve"> </w:t>
      </w:r>
    </w:p>
    <w:p w14:paraId="01EFC336" w14:textId="77777777" w:rsidR="00DA4EA8" w:rsidRDefault="00DA4EA8" w:rsidP="00DA4EA8">
      <w:pPr>
        <w:pStyle w:val="ListParagraph"/>
        <w:ind w:left="0" w:right="-10" w:firstLine="0"/>
        <w:rPr>
          <w:rFonts w:eastAsia="Times New Roman"/>
          <w:sz w:val="24"/>
          <w:szCs w:val="24"/>
          <w:lang w:bidi="ar-SA"/>
        </w:rPr>
      </w:pPr>
    </w:p>
    <w:p w14:paraId="7DA004F7" w14:textId="15E5C225" w:rsidR="00A37B89" w:rsidRDefault="00A37B89" w:rsidP="00D97013">
      <w:pPr>
        <w:pStyle w:val="BodyText"/>
        <w:numPr>
          <w:ilvl w:val="0"/>
          <w:numId w:val="2"/>
        </w:numPr>
        <w:rPr>
          <w:rFonts w:asciiTheme="minorHAnsi" w:hAnsiTheme="minorHAnsi" w:cstheme="minorHAnsi"/>
          <w:b/>
          <w:bCs/>
          <w:sz w:val="24"/>
          <w:szCs w:val="24"/>
        </w:rPr>
      </w:pPr>
      <w:r w:rsidRPr="00B76DED">
        <w:rPr>
          <w:rFonts w:asciiTheme="minorHAnsi" w:hAnsiTheme="minorHAnsi" w:cstheme="minorHAnsi"/>
          <w:b/>
          <w:bCs/>
          <w:sz w:val="24"/>
          <w:szCs w:val="24"/>
        </w:rPr>
        <w:t>Proposed Project: Nature, Scope, Location, and Projected Costs</w:t>
      </w:r>
    </w:p>
    <w:p w14:paraId="0E039850" w14:textId="77777777" w:rsidR="000A5B68" w:rsidRPr="00B76DED" w:rsidRDefault="000A5B68" w:rsidP="000A5B68">
      <w:pPr>
        <w:pStyle w:val="BodyText"/>
        <w:ind w:left="720"/>
        <w:rPr>
          <w:rFonts w:asciiTheme="minorHAnsi" w:hAnsiTheme="minorHAnsi" w:cstheme="minorHAnsi"/>
          <w:b/>
          <w:bCs/>
          <w:sz w:val="24"/>
          <w:szCs w:val="24"/>
        </w:rPr>
      </w:pPr>
    </w:p>
    <w:p w14:paraId="5E8846A6" w14:textId="59DF0430" w:rsidR="000A5B68" w:rsidRDefault="548E5FE1" w:rsidP="000A5B68">
      <w:pPr>
        <w:pStyle w:val="BodyText"/>
        <w:rPr>
          <w:sz w:val="24"/>
          <w:szCs w:val="24"/>
        </w:rPr>
      </w:pPr>
      <w:r>
        <w:rPr>
          <w:sz w:val="24"/>
          <w:szCs w:val="24"/>
        </w:rPr>
        <w:t>T</w:t>
      </w:r>
      <w:r w:rsidRPr="000A5B68">
        <w:rPr>
          <w:sz w:val="24"/>
          <w:szCs w:val="24"/>
        </w:rPr>
        <w:t xml:space="preserve">he Applicant proposes (a) </w:t>
      </w:r>
      <w:r w:rsidR="45BBDA28" w:rsidRPr="000A5B68">
        <w:rPr>
          <w:sz w:val="24"/>
          <w:szCs w:val="24"/>
        </w:rPr>
        <w:t>a</w:t>
      </w:r>
      <w:r w:rsidRPr="000A5B68">
        <w:rPr>
          <w:sz w:val="24"/>
          <w:szCs w:val="24"/>
        </w:rPr>
        <w:t xml:space="preserve"> </w:t>
      </w:r>
      <w:r w:rsidR="74A580B5" w:rsidRPr="000A5B68">
        <w:rPr>
          <w:sz w:val="24"/>
          <w:szCs w:val="24"/>
        </w:rPr>
        <w:t>T</w:t>
      </w:r>
      <w:r w:rsidRPr="000A5B68">
        <w:rPr>
          <w:sz w:val="24"/>
          <w:szCs w:val="24"/>
        </w:rPr>
        <w:t xml:space="preserve">ransfer </w:t>
      </w:r>
      <w:r w:rsidR="0473E708" w:rsidRPr="000A5B68">
        <w:rPr>
          <w:sz w:val="24"/>
          <w:szCs w:val="24"/>
        </w:rPr>
        <w:t>of O</w:t>
      </w:r>
      <w:r w:rsidRPr="000A5B68">
        <w:rPr>
          <w:sz w:val="24"/>
          <w:szCs w:val="24"/>
        </w:rPr>
        <w:t xml:space="preserve">wnership of St. Anne’s to Lifespan-Fall River; and (b) </w:t>
      </w:r>
      <w:r w:rsidR="32D135DD" w:rsidRPr="000A5B68">
        <w:rPr>
          <w:sz w:val="24"/>
          <w:szCs w:val="24"/>
        </w:rPr>
        <w:t xml:space="preserve">a </w:t>
      </w:r>
      <w:r w:rsidR="00CF6317" w:rsidRPr="000A5B68">
        <w:rPr>
          <w:sz w:val="24"/>
          <w:szCs w:val="24"/>
        </w:rPr>
        <w:t>Transfer</w:t>
      </w:r>
      <w:r w:rsidRPr="000A5B68">
        <w:rPr>
          <w:sz w:val="24"/>
          <w:szCs w:val="24"/>
        </w:rPr>
        <w:t xml:space="preserve"> </w:t>
      </w:r>
      <w:r w:rsidR="27121FCC" w:rsidRPr="000A5B68">
        <w:rPr>
          <w:sz w:val="24"/>
          <w:szCs w:val="24"/>
        </w:rPr>
        <w:t>of O</w:t>
      </w:r>
      <w:r w:rsidRPr="000A5B68">
        <w:rPr>
          <w:sz w:val="24"/>
          <w:szCs w:val="24"/>
        </w:rPr>
        <w:t>wnership of Morton to Lifespan-Taunton (the “</w:t>
      </w:r>
      <w:r w:rsidRPr="000A5B68">
        <w:rPr>
          <w:b/>
          <w:bCs/>
          <w:sz w:val="24"/>
          <w:szCs w:val="24"/>
        </w:rPr>
        <w:t>Proposed Project</w:t>
      </w:r>
      <w:r w:rsidRPr="000A5B68">
        <w:rPr>
          <w:sz w:val="24"/>
          <w:szCs w:val="24"/>
        </w:rPr>
        <w:t>”)</w:t>
      </w:r>
      <w:r>
        <w:rPr>
          <w:sz w:val="24"/>
          <w:szCs w:val="24"/>
        </w:rPr>
        <w:t xml:space="preserve"> in order to respond to the aforementioned Emergency Situation</w:t>
      </w:r>
      <w:r w:rsidRPr="000A5B68">
        <w:rPr>
          <w:sz w:val="24"/>
          <w:szCs w:val="24"/>
        </w:rPr>
        <w:t>.</w:t>
      </w:r>
      <w:r>
        <w:rPr>
          <w:sz w:val="24"/>
          <w:szCs w:val="24"/>
        </w:rPr>
        <w:t xml:space="preserve"> </w:t>
      </w:r>
      <w:r w:rsidRPr="000A5B68">
        <w:rPr>
          <w:sz w:val="24"/>
          <w:szCs w:val="24"/>
        </w:rPr>
        <w:t xml:space="preserve">The Proposed </w:t>
      </w:r>
      <w:r w:rsidR="6AC4489A">
        <w:rPr>
          <w:sz w:val="24"/>
          <w:szCs w:val="24"/>
        </w:rPr>
        <w:t>Project</w:t>
      </w:r>
      <w:r>
        <w:rPr>
          <w:sz w:val="24"/>
          <w:szCs w:val="24"/>
        </w:rPr>
        <w:t xml:space="preserve"> </w:t>
      </w:r>
      <w:r w:rsidRPr="000A5B68">
        <w:rPr>
          <w:sz w:val="24"/>
          <w:szCs w:val="24"/>
        </w:rPr>
        <w:t>would be carried out pursuant to the terms of the Asset Purchase Agreement (the “</w:t>
      </w:r>
      <w:r w:rsidRPr="000A5B68">
        <w:rPr>
          <w:b/>
          <w:bCs/>
          <w:sz w:val="24"/>
          <w:szCs w:val="24"/>
        </w:rPr>
        <w:t>Purchase Agreement</w:t>
      </w:r>
      <w:r w:rsidRPr="000A5B68">
        <w:rPr>
          <w:sz w:val="24"/>
          <w:szCs w:val="24"/>
        </w:rPr>
        <w:t>”)</w:t>
      </w:r>
      <w:r w:rsidR="000A5B68" w:rsidRPr="000A5B68">
        <w:rPr>
          <w:rStyle w:val="FootnoteReference"/>
          <w:sz w:val="24"/>
          <w:szCs w:val="24"/>
        </w:rPr>
        <w:footnoteReference w:id="5"/>
      </w:r>
      <w:r w:rsidRPr="000A5B68">
        <w:rPr>
          <w:sz w:val="24"/>
          <w:szCs w:val="24"/>
        </w:rPr>
        <w:t xml:space="preserve"> subject to satisfaction of certain closing conditions and receipt of all requisite governmental approvals. </w:t>
      </w:r>
    </w:p>
    <w:p w14:paraId="3DAE6B8D" w14:textId="77777777" w:rsidR="001143C3" w:rsidRDefault="001143C3" w:rsidP="000A5B68">
      <w:pPr>
        <w:pStyle w:val="BodyText"/>
        <w:rPr>
          <w:sz w:val="24"/>
          <w:szCs w:val="24"/>
        </w:rPr>
      </w:pPr>
    </w:p>
    <w:p w14:paraId="457ACE8C" w14:textId="5946A276" w:rsidR="00027440" w:rsidRPr="00027440" w:rsidRDefault="00027440" w:rsidP="00027440">
      <w:pPr>
        <w:pStyle w:val="BodyText"/>
        <w:rPr>
          <w:sz w:val="24"/>
          <w:szCs w:val="24"/>
        </w:rPr>
      </w:pPr>
      <w:r w:rsidRPr="2BE1BE4B">
        <w:rPr>
          <w:sz w:val="24"/>
          <w:szCs w:val="24"/>
        </w:rPr>
        <w:t xml:space="preserve">The Applicant </w:t>
      </w:r>
      <w:r w:rsidR="00514A59" w:rsidRPr="2BE1BE4B">
        <w:rPr>
          <w:sz w:val="24"/>
          <w:szCs w:val="24"/>
        </w:rPr>
        <w:t xml:space="preserve">states that it </w:t>
      </w:r>
      <w:r w:rsidRPr="2BE1BE4B">
        <w:rPr>
          <w:sz w:val="24"/>
          <w:szCs w:val="24"/>
        </w:rPr>
        <w:t>has been advised by Steward that it plans to convert all 32 substance addiction</w:t>
      </w:r>
      <w:r w:rsidR="00514A59" w:rsidRPr="2BE1BE4B">
        <w:rPr>
          <w:sz w:val="24"/>
          <w:szCs w:val="24"/>
        </w:rPr>
        <w:t xml:space="preserve"> </w:t>
      </w:r>
      <w:r w:rsidRPr="2BE1BE4B">
        <w:rPr>
          <w:sz w:val="24"/>
          <w:szCs w:val="24"/>
        </w:rPr>
        <w:t>service beds currently on the hospital license for Morton to medical/surgical beds due to</w:t>
      </w:r>
    </w:p>
    <w:p w14:paraId="1352AEE6" w14:textId="77777777" w:rsidR="00027440" w:rsidRPr="00027440" w:rsidRDefault="00027440" w:rsidP="00027440">
      <w:pPr>
        <w:pStyle w:val="BodyText"/>
        <w:rPr>
          <w:sz w:val="24"/>
          <w:szCs w:val="24"/>
        </w:rPr>
      </w:pPr>
      <w:r w:rsidRPr="00027440">
        <w:rPr>
          <w:sz w:val="24"/>
          <w:szCs w:val="24"/>
        </w:rPr>
        <w:t xml:space="preserve">declining volume in Morton’s substance use disorder treatment unit, or the </w:t>
      </w:r>
      <w:proofErr w:type="spellStart"/>
      <w:r w:rsidRPr="00027440">
        <w:rPr>
          <w:sz w:val="24"/>
          <w:szCs w:val="24"/>
        </w:rPr>
        <w:t>MorCap</w:t>
      </w:r>
      <w:proofErr w:type="spellEnd"/>
      <w:r w:rsidRPr="00027440">
        <w:rPr>
          <w:sz w:val="24"/>
          <w:szCs w:val="24"/>
        </w:rPr>
        <w:t xml:space="preserve"> Unit, and a</w:t>
      </w:r>
    </w:p>
    <w:p w14:paraId="1A60F474" w14:textId="45993F2C" w:rsidR="00027440" w:rsidRPr="00027440" w:rsidRDefault="00027440" w:rsidP="00BE5656">
      <w:pPr>
        <w:rPr>
          <w:sz w:val="24"/>
          <w:szCs w:val="24"/>
        </w:rPr>
      </w:pPr>
      <w:r w:rsidRPr="75851299">
        <w:rPr>
          <w:sz w:val="24"/>
          <w:szCs w:val="24"/>
        </w:rPr>
        <w:t xml:space="preserve">substantial increase in medical/surgical volume. </w:t>
      </w:r>
      <w:r w:rsidR="5CFA62F5" w:rsidRPr="75851299">
        <w:rPr>
          <w:sz w:val="24"/>
          <w:szCs w:val="24"/>
        </w:rPr>
        <w:t xml:space="preserve">Steward completed the essential </w:t>
      </w:r>
      <w:r w:rsidR="258C7164" w:rsidRPr="75851299">
        <w:rPr>
          <w:sz w:val="24"/>
          <w:szCs w:val="24"/>
        </w:rPr>
        <w:t>services</w:t>
      </w:r>
      <w:r w:rsidR="5CFA62F5" w:rsidRPr="75851299">
        <w:rPr>
          <w:sz w:val="24"/>
          <w:szCs w:val="24"/>
        </w:rPr>
        <w:t xml:space="preserve"> closure process for the </w:t>
      </w:r>
      <w:proofErr w:type="spellStart"/>
      <w:r w:rsidR="5CFA62F5" w:rsidRPr="75851299">
        <w:rPr>
          <w:sz w:val="24"/>
          <w:szCs w:val="24"/>
        </w:rPr>
        <w:t>MorCap</w:t>
      </w:r>
      <w:proofErr w:type="spellEnd"/>
      <w:r w:rsidR="5CFA62F5" w:rsidRPr="75851299">
        <w:rPr>
          <w:sz w:val="24"/>
          <w:szCs w:val="24"/>
        </w:rPr>
        <w:t xml:space="preserve"> unit in August </w:t>
      </w:r>
      <w:r w:rsidR="10FD8959" w:rsidRPr="75851299">
        <w:rPr>
          <w:sz w:val="24"/>
          <w:szCs w:val="24"/>
        </w:rPr>
        <w:t xml:space="preserve">2023, noting at the time it planned to </w:t>
      </w:r>
      <w:r w:rsidR="10FD8959" w:rsidRPr="75851299">
        <w:rPr>
          <w:rFonts w:asciiTheme="minorHAnsi" w:eastAsiaTheme="minorEastAsia" w:hAnsiTheme="minorHAnsi" w:cstheme="minorBidi"/>
          <w:sz w:val="24"/>
          <w:szCs w:val="24"/>
        </w:rPr>
        <w:t>tem</w:t>
      </w:r>
      <w:r w:rsidR="10FD8959" w:rsidRPr="75851299">
        <w:rPr>
          <w:rFonts w:asciiTheme="minorHAnsi" w:eastAsiaTheme="minorEastAsia" w:hAnsiTheme="minorHAnsi" w:cstheme="minorBidi"/>
          <w:color w:val="333333"/>
          <w:sz w:val="24"/>
          <w:szCs w:val="24"/>
        </w:rPr>
        <w:t xml:space="preserve">porarily use 14 of these beds as medical/surgical beds and </w:t>
      </w:r>
      <w:r w:rsidR="50394C2F" w:rsidRPr="75851299">
        <w:rPr>
          <w:rFonts w:asciiTheme="minorHAnsi" w:eastAsiaTheme="minorEastAsia" w:hAnsiTheme="minorHAnsi" w:cstheme="minorBidi"/>
          <w:color w:val="333333"/>
          <w:sz w:val="24"/>
          <w:szCs w:val="24"/>
        </w:rPr>
        <w:t>18 of these beds for substance use disorder treatment until a planned substance use disorder unit at Carney Hospital was operation</w:t>
      </w:r>
      <w:r w:rsidR="55E0C466" w:rsidRPr="75851299">
        <w:rPr>
          <w:rFonts w:asciiTheme="minorHAnsi" w:eastAsiaTheme="minorEastAsia" w:hAnsiTheme="minorHAnsi" w:cstheme="minorBidi"/>
          <w:color w:val="333333"/>
          <w:sz w:val="24"/>
          <w:szCs w:val="24"/>
        </w:rPr>
        <w:t xml:space="preserve">al.  Carney Hospital </w:t>
      </w:r>
      <w:r w:rsidR="0561D5A1" w:rsidRPr="75851299">
        <w:rPr>
          <w:rFonts w:asciiTheme="minorHAnsi" w:eastAsiaTheme="minorEastAsia" w:hAnsiTheme="minorHAnsi" w:cstheme="minorBidi"/>
          <w:color w:val="333333"/>
          <w:sz w:val="24"/>
          <w:szCs w:val="24"/>
        </w:rPr>
        <w:t xml:space="preserve">closed </w:t>
      </w:r>
      <w:r w:rsidR="55E0C466" w:rsidRPr="75851299">
        <w:rPr>
          <w:rFonts w:asciiTheme="minorHAnsi" w:eastAsiaTheme="minorEastAsia" w:hAnsiTheme="minorHAnsi" w:cstheme="minorBidi"/>
          <w:color w:val="333333"/>
          <w:sz w:val="24"/>
          <w:szCs w:val="24"/>
        </w:rPr>
        <w:t xml:space="preserve">on </w:t>
      </w:r>
      <w:r w:rsidR="07EB34C5" w:rsidRPr="75851299">
        <w:rPr>
          <w:rFonts w:asciiTheme="minorHAnsi" w:eastAsiaTheme="minorEastAsia" w:hAnsiTheme="minorHAnsi" w:cstheme="minorBidi"/>
          <w:color w:val="333333"/>
          <w:sz w:val="24"/>
          <w:szCs w:val="24"/>
        </w:rPr>
        <w:t>August 31, 2024</w:t>
      </w:r>
      <w:r w:rsidR="2664157A" w:rsidRPr="75851299">
        <w:rPr>
          <w:rFonts w:asciiTheme="minorHAnsi" w:eastAsiaTheme="minorEastAsia" w:hAnsiTheme="minorHAnsi" w:cstheme="minorBidi"/>
          <w:color w:val="333333"/>
          <w:sz w:val="24"/>
          <w:szCs w:val="24"/>
        </w:rPr>
        <w:t>, thereby precluding a substance use disorder treatment unit from being operatio</w:t>
      </w:r>
      <w:r w:rsidR="6F75B0A5" w:rsidRPr="75851299">
        <w:rPr>
          <w:rFonts w:asciiTheme="minorHAnsi" w:eastAsiaTheme="minorEastAsia" w:hAnsiTheme="minorHAnsi" w:cstheme="minorBidi"/>
          <w:color w:val="333333"/>
          <w:sz w:val="24"/>
          <w:szCs w:val="24"/>
        </w:rPr>
        <w:t xml:space="preserve">nalized </w:t>
      </w:r>
      <w:r w:rsidR="2664157A" w:rsidRPr="75851299">
        <w:rPr>
          <w:rFonts w:asciiTheme="minorHAnsi" w:eastAsiaTheme="minorEastAsia" w:hAnsiTheme="minorHAnsi" w:cstheme="minorBidi"/>
          <w:color w:val="333333"/>
          <w:sz w:val="24"/>
          <w:szCs w:val="24"/>
        </w:rPr>
        <w:t>at th</w:t>
      </w:r>
      <w:r w:rsidR="6ED36D0D" w:rsidRPr="75851299">
        <w:rPr>
          <w:rFonts w:asciiTheme="minorHAnsi" w:eastAsiaTheme="minorEastAsia" w:hAnsiTheme="minorHAnsi" w:cstheme="minorBidi"/>
          <w:color w:val="333333"/>
          <w:sz w:val="24"/>
          <w:szCs w:val="24"/>
        </w:rPr>
        <w:t>at</w:t>
      </w:r>
      <w:r w:rsidR="2664157A" w:rsidRPr="75851299">
        <w:rPr>
          <w:rFonts w:asciiTheme="minorHAnsi" w:eastAsiaTheme="minorEastAsia" w:hAnsiTheme="minorHAnsi" w:cstheme="minorBidi"/>
          <w:color w:val="333333"/>
          <w:sz w:val="24"/>
          <w:szCs w:val="24"/>
        </w:rPr>
        <w:t xml:space="preserve"> facility</w:t>
      </w:r>
      <w:r w:rsidR="77AF6567" w:rsidRPr="75851299">
        <w:rPr>
          <w:rFonts w:asciiTheme="minorHAnsi" w:eastAsiaTheme="minorEastAsia" w:hAnsiTheme="minorHAnsi" w:cstheme="minorBidi"/>
          <w:color w:val="333333"/>
          <w:sz w:val="24"/>
          <w:szCs w:val="24"/>
        </w:rPr>
        <w:t xml:space="preserve"> as was planned</w:t>
      </w:r>
      <w:r w:rsidR="50394C2F" w:rsidRPr="75851299">
        <w:rPr>
          <w:rFonts w:asciiTheme="minorHAnsi" w:eastAsiaTheme="minorEastAsia" w:hAnsiTheme="minorHAnsi" w:cstheme="minorBidi"/>
          <w:color w:val="333333"/>
          <w:sz w:val="24"/>
          <w:szCs w:val="24"/>
        </w:rPr>
        <w:t xml:space="preserve">. </w:t>
      </w:r>
      <w:r w:rsidR="692E401E" w:rsidRPr="75851299">
        <w:rPr>
          <w:rFonts w:asciiTheme="minorHAnsi" w:eastAsiaTheme="minorEastAsia" w:hAnsiTheme="minorHAnsi" w:cstheme="minorBidi"/>
          <w:color w:val="333333"/>
          <w:sz w:val="24"/>
          <w:szCs w:val="24"/>
        </w:rPr>
        <w:t>Accordingly, consistent with completion of the essential services closure process</w:t>
      </w:r>
      <w:r w:rsidR="2B816A2D" w:rsidRPr="75851299">
        <w:rPr>
          <w:rFonts w:asciiTheme="minorHAnsi" w:eastAsiaTheme="minorEastAsia" w:hAnsiTheme="minorHAnsi" w:cstheme="minorBidi"/>
          <w:color w:val="333333"/>
          <w:sz w:val="24"/>
          <w:szCs w:val="24"/>
        </w:rPr>
        <w:t xml:space="preserve"> by Steward</w:t>
      </w:r>
      <w:r w:rsidR="692E401E" w:rsidRPr="75851299">
        <w:rPr>
          <w:rFonts w:asciiTheme="minorHAnsi" w:eastAsiaTheme="minorEastAsia" w:hAnsiTheme="minorHAnsi" w:cstheme="minorBidi"/>
          <w:color w:val="333333"/>
          <w:sz w:val="24"/>
          <w:szCs w:val="24"/>
        </w:rPr>
        <w:t>, Morton Hospital will not operate any substance use disorder treatment beds upon licensure by Lifespan</w:t>
      </w:r>
      <w:r w:rsidR="0B4AE743" w:rsidRPr="75851299">
        <w:rPr>
          <w:rFonts w:asciiTheme="minorHAnsi" w:eastAsiaTheme="minorEastAsia" w:hAnsiTheme="minorHAnsi" w:cstheme="minorBidi"/>
          <w:color w:val="333333"/>
          <w:sz w:val="24"/>
          <w:szCs w:val="24"/>
        </w:rPr>
        <w:t xml:space="preserve">. </w:t>
      </w:r>
      <w:r w:rsidRPr="75851299">
        <w:rPr>
          <w:rFonts w:asciiTheme="minorHAnsi" w:eastAsiaTheme="minorEastAsia" w:hAnsiTheme="minorHAnsi" w:cstheme="minorBidi"/>
          <w:sz w:val="24"/>
          <w:szCs w:val="24"/>
        </w:rPr>
        <w:t>Further, the Applicant anticipates</w:t>
      </w:r>
      <w:r w:rsidR="27EEDC36" w:rsidRPr="75851299">
        <w:rPr>
          <w:rFonts w:asciiTheme="minorHAnsi" w:eastAsiaTheme="minorEastAsia" w:hAnsiTheme="minorHAnsi" w:cstheme="minorBidi"/>
          <w:sz w:val="24"/>
          <w:szCs w:val="24"/>
        </w:rPr>
        <w:t xml:space="preserve"> </w:t>
      </w:r>
      <w:r w:rsidRPr="75851299">
        <w:rPr>
          <w:sz w:val="24"/>
          <w:szCs w:val="24"/>
        </w:rPr>
        <w:t>that this change will be reflected in the hospital license it will receive pursuant to the Notice of</w:t>
      </w:r>
    </w:p>
    <w:p w14:paraId="072D856C" w14:textId="784AF5B8" w:rsidR="001143C3" w:rsidRDefault="00027440" w:rsidP="00027440">
      <w:pPr>
        <w:pStyle w:val="BodyText"/>
        <w:rPr>
          <w:sz w:val="24"/>
          <w:szCs w:val="24"/>
        </w:rPr>
      </w:pPr>
      <w:r w:rsidRPr="00027440">
        <w:rPr>
          <w:sz w:val="24"/>
          <w:szCs w:val="24"/>
        </w:rPr>
        <w:t>Intent to Acquire</w:t>
      </w:r>
      <w:r w:rsidR="001B5328">
        <w:rPr>
          <w:sz w:val="24"/>
          <w:szCs w:val="24"/>
        </w:rPr>
        <w:t xml:space="preserve"> that</w:t>
      </w:r>
      <w:r w:rsidRPr="00027440">
        <w:rPr>
          <w:sz w:val="24"/>
          <w:szCs w:val="24"/>
        </w:rPr>
        <w:t xml:space="preserve"> it will submit in connection with the Transfer of Ownership process.</w:t>
      </w:r>
      <w:r w:rsidR="000C5E9D">
        <w:rPr>
          <w:rStyle w:val="FootnoteReference"/>
          <w:sz w:val="24"/>
          <w:szCs w:val="24"/>
        </w:rPr>
        <w:footnoteReference w:id="6"/>
      </w:r>
      <w:r w:rsidR="00E40F0E">
        <w:rPr>
          <w:sz w:val="24"/>
          <w:szCs w:val="24"/>
        </w:rPr>
        <w:t xml:space="preserve"> </w:t>
      </w:r>
    </w:p>
    <w:p w14:paraId="053CECE1" w14:textId="77777777" w:rsidR="00027440" w:rsidRDefault="00027440" w:rsidP="000A5B68">
      <w:pPr>
        <w:pStyle w:val="BodyText"/>
        <w:rPr>
          <w:sz w:val="24"/>
          <w:szCs w:val="24"/>
        </w:rPr>
      </w:pPr>
    </w:p>
    <w:p w14:paraId="234E9FBD" w14:textId="73929070" w:rsidR="000A5B68" w:rsidRPr="000A5B68" w:rsidRDefault="548E5FE1" w:rsidP="6B09DEEC">
      <w:pPr>
        <w:pStyle w:val="BodyText"/>
        <w:rPr>
          <w:i/>
          <w:iCs/>
          <w:sz w:val="24"/>
          <w:szCs w:val="24"/>
        </w:rPr>
      </w:pPr>
      <w:r w:rsidRPr="2BE1BE4B">
        <w:rPr>
          <w:sz w:val="24"/>
          <w:szCs w:val="24"/>
        </w:rPr>
        <w:t>The Applicant asserts it intends to maintain</w:t>
      </w:r>
      <w:r w:rsidR="6D805CF6" w:rsidRPr="2BE1BE4B">
        <w:rPr>
          <w:sz w:val="24"/>
          <w:szCs w:val="24"/>
        </w:rPr>
        <w:t xml:space="preserve"> all other</w:t>
      </w:r>
      <w:r w:rsidRPr="2BE1BE4B">
        <w:rPr>
          <w:sz w:val="24"/>
          <w:szCs w:val="24"/>
        </w:rPr>
        <w:t xml:space="preserve"> services in operation as of the closing,</w:t>
      </w:r>
      <w:r w:rsidR="2A38810B" w:rsidRPr="2BE1BE4B">
        <w:rPr>
          <w:sz w:val="24"/>
          <w:szCs w:val="24"/>
        </w:rPr>
        <w:t xml:space="preserve"> </w:t>
      </w:r>
      <w:r w:rsidRPr="2BE1BE4B">
        <w:rPr>
          <w:sz w:val="24"/>
          <w:szCs w:val="24"/>
        </w:rPr>
        <w:t xml:space="preserve">subject to 1) the condition of the Hospitals and 2) the availability of adequate physician and non-physician staffing. However, the Applicant stresses that given the continuing deterioration of the facilities, it may not be feasible to do so in every case. </w:t>
      </w:r>
      <w:r w:rsidR="77AE5D94" w:rsidRPr="2BE1BE4B">
        <w:rPr>
          <w:sz w:val="24"/>
          <w:szCs w:val="24"/>
        </w:rPr>
        <w:t>Further, the Applicant asserts “</w:t>
      </w:r>
      <w:r w:rsidR="77AE5D94" w:rsidRPr="2BE1BE4B">
        <w:rPr>
          <w:i/>
          <w:iCs/>
          <w:sz w:val="24"/>
          <w:szCs w:val="24"/>
        </w:rPr>
        <w:t>the condition of these Hospitals deteriorates significantly with each passing day, as the physicians and non-physician staff necessary to maintain the existing services leave for other opportunities.”</w:t>
      </w:r>
      <w:r w:rsidR="1372D8F4" w:rsidRPr="2BE1BE4B">
        <w:rPr>
          <w:i/>
          <w:iCs/>
          <w:sz w:val="24"/>
          <w:szCs w:val="24"/>
        </w:rPr>
        <w:t xml:space="preserve"> </w:t>
      </w:r>
      <w:r w:rsidR="1372D8F4" w:rsidRPr="2BE1BE4B">
        <w:rPr>
          <w:sz w:val="24"/>
          <w:szCs w:val="24"/>
        </w:rPr>
        <w:t>[emphasis added].</w:t>
      </w:r>
    </w:p>
    <w:p w14:paraId="1A52ED54" w14:textId="77777777" w:rsidR="000A5B68" w:rsidRPr="000A5B68" w:rsidRDefault="000A5B68" w:rsidP="000A5B68">
      <w:pPr>
        <w:pStyle w:val="BodyText"/>
        <w:rPr>
          <w:sz w:val="24"/>
          <w:szCs w:val="24"/>
        </w:rPr>
      </w:pPr>
    </w:p>
    <w:p w14:paraId="7A6776EB" w14:textId="58F98C59" w:rsidR="000A5B68" w:rsidRPr="000A5B68" w:rsidRDefault="00514A59" w:rsidP="00F91376">
      <w:pPr>
        <w:pStyle w:val="BodyText"/>
        <w:rPr>
          <w:sz w:val="24"/>
          <w:szCs w:val="24"/>
        </w:rPr>
      </w:pPr>
      <w:r w:rsidRPr="00514A59">
        <w:rPr>
          <w:sz w:val="24"/>
          <w:szCs w:val="24"/>
        </w:rPr>
        <w:t>The Total Value of the Transfer of Ownership is $484,874,230, which the Applicant has been advised reflects the total combined net patient service revenue reported by the Hospitals to CHIA in FY2023.</w:t>
      </w:r>
      <w:r>
        <w:rPr>
          <w:sz w:val="24"/>
          <w:szCs w:val="24"/>
        </w:rPr>
        <w:t xml:space="preserve"> </w:t>
      </w:r>
      <w:r w:rsidR="000A5B68" w:rsidRPr="000A5B68">
        <w:rPr>
          <w:sz w:val="24"/>
          <w:szCs w:val="24"/>
        </w:rPr>
        <w:t xml:space="preserve">In addition, </w:t>
      </w:r>
      <w:r w:rsidR="00731070">
        <w:rPr>
          <w:sz w:val="24"/>
          <w:szCs w:val="24"/>
        </w:rPr>
        <w:t xml:space="preserve">over time, </w:t>
      </w:r>
      <w:r w:rsidR="000A5B68" w:rsidRPr="000A5B68">
        <w:rPr>
          <w:sz w:val="24"/>
          <w:szCs w:val="24"/>
        </w:rPr>
        <w:t>Lifespan anticipates making capital investments in the Hospitals</w:t>
      </w:r>
      <w:r w:rsidR="00731070">
        <w:rPr>
          <w:sz w:val="24"/>
          <w:szCs w:val="24"/>
        </w:rPr>
        <w:t>.</w:t>
      </w:r>
      <w:r w:rsidR="000A5B68" w:rsidRPr="000A5B68">
        <w:rPr>
          <w:sz w:val="24"/>
          <w:szCs w:val="24"/>
        </w:rPr>
        <w:t xml:space="preserve"> </w:t>
      </w:r>
      <w:r w:rsidR="00731070">
        <w:rPr>
          <w:sz w:val="24"/>
          <w:szCs w:val="24"/>
        </w:rPr>
        <w:t xml:space="preserve">These will be </w:t>
      </w:r>
      <w:r w:rsidR="000A5B68" w:rsidRPr="000A5B68">
        <w:rPr>
          <w:sz w:val="24"/>
          <w:szCs w:val="24"/>
        </w:rPr>
        <w:t>funded by investing operating cash flow of the Hospitals</w:t>
      </w:r>
      <w:r w:rsidR="00731070">
        <w:rPr>
          <w:sz w:val="24"/>
          <w:szCs w:val="24"/>
        </w:rPr>
        <w:t xml:space="preserve"> and when required, t</w:t>
      </w:r>
      <w:r w:rsidR="000A5B68" w:rsidRPr="000A5B68">
        <w:rPr>
          <w:sz w:val="24"/>
          <w:szCs w:val="24"/>
        </w:rPr>
        <w:t xml:space="preserve">he Applicant will submit </w:t>
      </w:r>
      <w:r w:rsidR="00731070">
        <w:rPr>
          <w:sz w:val="24"/>
          <w:szCs w:val="24"/>
        </w:rPr>
        <w:t xml:space="preserve">associated </w:t>
      </w:r>
      <w:r w:rsidR="000A5B68" w:rsidRPr="000A5B68">
        <w:rPr>
          <w:sz w:val="24"/>
          <w:szCs w:val="24"/>
        </w:rPr>
        <w:t xml:space="preserve">Determination of Need </w:t>
      </w:r>
      <w:r w:rsidR="00731070">
        <w:rPr>
          <w:sz w:val="24"/>
          <w:szCs w:val="24"/>
        </w:rPr>
        <w:t>Applications.</w:t>
      </w:r>
      <w:r w:rsidR="000A5B68" w:rsidRPr="000A5B68">
        <w:rPr>
          <w:sz w:val="24"/>
          <w:szCs w:val="24"/>
        </w:rPr>
        <w:t xml:space="preserve"> </w:t>
      </w:r>
    </w:p>
    <w:p w14:paraId="5E1F9B7A" w14:textId="7D9C7295" w:rsidR="007D7AC9" w:rsidRDefault="007D7AC9" w:rsidP="001B72DB">
      <w:pPr>
        <w:pStyle w:val="BodyText"/>
        <w:rPr>
          <w:rFonts w:asciiTheme="minorHAnsi" w:hAnsiTheme="minorHAnsi" w:cstheme="minorHAnsi"/>
          <w:sz w:val="24"/>
          <w:szCs w:val="24"/>
        </w:rPr>
      </w:pPr>
    </w:p>
    <w:p w14:paraId="612D6E3B" w14:textId="1699D223" w:rsidR="007D7AC9" w:rsidRPr="007D7AC9" w:rsidRDefault="007D7AC9" w:rsidP="00D97013">
      <w:pPr>
        <w:pStyle w:val="BodyText"/>
        <w:numPr>
          <w:ilvl w:val="0"/>
          <w:numId w:val="2"/>
        </w:numPr>
        <w:rPr>
          <w:rFonts w:asciiTheme="minorHAnsi" w:hAnsiTheme="minorHAnsi" w:cstheme="minorHAnsi"/>
          <w:b/>
          <w:bCs/>
          <w:sz w:val="24"/>
          <w:szCs w:val="24"/>
        </w:rPr>
      </w:pPr>
      <w:r w:rsidRPr="007D7AC9">
        <w:rPr>
          <w:rFonts w:asciiTheme="minorHAnsi" w:hAnsiTheme="minorHAnsi" w:cstheme="minorHAnsi"/>
          <w:b/>
          <w:bCs/>
          <w:sz w:val="24"/>
          <w:szCs w:val="24"/>
        </w:rPr>
        <w:lastRenderedPageBreak/>
        <w:t>Demonstration that the Proposed Project will address the Emergency Situation, and that without issuance of a Notice of Determination of Need, the public health will be measurably harmed</w:t>
      </w:r>
      <w:r w:rsidR="003F42F8">
        <w:rPr>
          <w:rFonts w:asciiTheme="minorHAnsi" w:hAnsiTheme="minorHAnsi" w:cstheme="minorHAnsi"/>
          <w:b/>
          <w:bCs/>
          <w:sz w:val="24"/>
          <w:szCs w:val="24"/>
        </w:rPr>
        <w:t>.</w:t>
      </w:r>
    </w:p>
    <w:p w14:paraId="75E4AF7E" w14:textId="77777777" w:rsidR="007D7AC9" w:rsidRDefault="007D7AC9" w:rsidP="001B72DB">
      <w:pPr>
        <w:pStyle w:val="BodyText"/>
        <w:rPr>
          <w:rFonts w:asciiTheme="minorHAnsi" w:hAnsiTheme="minorHAnsi" w:cstheme="minorHAnsi"/>
          <w:sz w:val="24"/>
          <w:szCs w:val="24"/>
        </w:rPr>
      </w:pPr>
    </w:p>
    <w:p w14:paraId="6A03CA9E" w14:textId="2E26D988" w:rsidR="005338FC" w:rsidRPr="005F2880" w:rsidRDefault="00514A59" w:rsidP="001B72DB">
      <w:pPr>
        <w:pStyle w:val="BodyText"/>
        <w:rPr>
          <w:rFonts w:asciiTheme="minorHAnsi" w:hAnsiTheme="minorHAnsi" w:cstheme="minorBidi"/>
          <w:sz w:val="24"/>
          <w:szCs w:val="24"/>
        </w:rPr>
      </w:pPr>
      <w:r w:rsidRPr="00B4F071">
        <w:rPr>
          <w:rFonts w:asciiTheme="minorHAnsi" w:hAnsiTheme="minorHAnsi" w:cstheme="minorBidi"/>
          <w:sz w:val="24"/>
          <w:szCs w:val="24"/>
        </w:rPr>
        <w:t>T</w:t>
      </w:r>
      <w:r w:rsidR="00CD7A21" w:rsidRPr="00B4F071">
        <w:rPr>
          <w:rFonts w:asciiTheme="minorHAnsi" w:hAnsiTheme="minorHAnsi" w:cstheme="minorBidi"/>
          <w:sz w:val="24"/>
          <w:szCs w:val="24"/>
        </w:rPr>
        <w:t>he Applicant asserts</w:t>
      </w:r>
      <w:r w:rsidR="00953B67" w:rsidRPr="00B4F071">
        <w:rPr>
          <w:rFonts w:asciiTheme="minorHAnsi" w:hAnsiTheme="minorHAnsi" w:cstheme="minorBidi"/>
          <w:sz w:val="24"/>
          <w:szCs w:val="24"/>
        </w:rPr>
        <w:t xml:space="preserve"> that</w:t>
      </w:r>
      <w:r w:rsidR="00CD7A21" w:rsidRPr="00B4F071">
        <w:rPr>
          <w:rFonts w:asciiTheme="minorHAnsi" w:hAnsiTheme="minorHAnsi" w:cstheme="minorBidi"/>
          <w:sz w:val="24"/>
          <w:szCs w:val="24"/>
        </w:rPr>
        <w:t xml:space="preserve"> to address the Emergency Situation</w:t>
      </w:r>
      <w:r w:rsidRPr="00B4F071">
        <w:rPr>
          <w:rFonts w:asciiTheme="minorHAnsi" w:hAnsiTheme="minorHAnsi" w:cstheme="minorBidi"/>
          <w:sz w:val="24"/>
          <w:szCs w:val="24"/>
        </w:rPr>
        <w:t>,</w:t>
      </w:r>
      <w:r w:rsidR="00CD7A21" w:rsidRPr="00B4F071">
        <w:rPr>
          <w:rFonts w:asciiTheme="minorHAnsi" w:hAnsiTheme="minorHAnsi" w:cstheme="minorBidi"/>
          <w:sz w:val="24"/>
          <w:szCs w:val="24"/>
        </w:rPr>
        <w:t xml:space="preserve"> expeditious approval of</w:t>
      </w:r>
      <w:r w:rsidR="00731070" w:rsidRPr="00B4F071">
        <w:rPr>
          <w:rFonts w:asciiTheme="minorHAnsi" w:hAnsiTheme="minorHAnsi" w:cstheme="minorBidi"/>
          <w:sz w:val="24"/>
          <w:szCs w:val="24"/>
        </w:rPr>
        <w:t xml:space="preserve"> the Proposed </w:t>
      </w:r>
      <w:r w:rsidR="00DA4EA8" w:rsidRPr="00B4F071">
        <w:rPr>
          <w:rFonts w:asciiTheme="minorHAnsi" w:hAnsiTheme="minorHAnsi" w:cstheme="minorBidi"/>
          <w:sz w:val="24"/>
          <w:szCs w:val="24"/>
        </w:rPr>
        <w:t xml:space="preserve">Project </w:t>
      </w:r>
      <w:r w:rsidR="00CD7A21" w:rsidRPr="00B4F071">
        <w:rPr>
          <w:rFonts w:asciiTheme="minorHAnsi" w:hAnsiTheme="minorHAnsi" w:cstheme="minorBidi"/>
          <w:sz w:val="24"/>
          <w:szCs w:val="24"/>
        </w:rPr>
        <w:t>is necessary to</w:t>
      </w:r>
      <w:r w:rsidR="00731070" w:rsidRPr="00B4F071">
        <w:rPr>
          <w:rFonts w:asciiTheme="minorHAnsi" w:hAnsiTheme="minorHAnsi" w:cstheme="minorBidi"/>
          <w:sz w:val="24"/>
          <w:szCs w:val="24"/>
        </w:rPr>
        <w:t xml:space="preserve"> allow the Applicant to assume </w:t>
      </w:r>
      <w:r w:rsidR="00CD7A21" w:rsidRPr="00B4F071">
        <w:rPr>
          <w:rFonts w:asciiTheme="minorHAnsi" w:hAnsiTheme="minorHAnsi" w:cstheme="minorBidi"/>
          <w:sz w:val="24"/>
          <w:szCs w:val="24"/>
        </w:rPr>
        <w:t>timely control of both Hospitals</w:t>
      </w:r>
      <w:r w:rsidR="476988A8" w:rsidRPr="00B4F071">
        <w:rPr>
          <w:rFonts w:asciiTheme="minorHAnsi" w:hAnsiTheme="minorHAnsi" w:cstheme="minorBidi"/>
          <w:sz w:val="24"/>
          <w:szCs w:val="24"/>
        </w:rPr>
        <w:t>’</w:t>
      </w:r>
      <w:r w:rsidR="00CD7A21" w:rsidRPr="00B4F071">
        <w:rPr>
          <w:rFonts w:asciiTheme="minorHAnsi" w:hAnsiTheme="minorHAnsi" w:cstheme="minorBidi"/>
          <w:sz w:val="24"/>
          <w:szCs w:val="24"/>
        </w:rPr>
        <w:t xml:space="preserve"> </w:t>
      </w:r>
      <w:r w:rsidR="00731070" w:rsidRPr="00B4F071">
        <w:rPr>
          <w:rFonts w:asciiTheme="minorHAnsi" w:hAnsiTheme="minorHAnsi" w:cstheme="minorBidi"/>
          <w:sz w:val="24"/>
          <w:szCs w:val="24"/>
        </w:rPr>
        <w:t>operation</w:t>
      </w:r>
      <w:r w:rsidR="00CD7A21" w:rsidRPr="00B4F071">
        <w:rPr>
          <w:rFonts w:asciiTheme="minorHAnsi" w:hAnsiTheme="minorHAnsi" w:cstheme="minorBidi"/>
          <w:sz w:val="24"/>
          <w:szCs w:val="24"/>
        </w:rPr>
        <w:t>s</w:t>
      </w:r>
      <w:r w:rsidR="00731070" w:rsidRPr="00B4F071">
        <w:rPr>
          <w:rFonts w:asciiTheme="minorHAnsi" w:hAnsiTheme="minorHAnsi" w:cstheme="minorBidi"/>
          <w:sz w:val="24"/>
          <w:szCs w:val="24"/>
        </w:rPr>
        <w:t xml:space="preserve"> to prevent their closure and preserve access to vital services. The Applicant further asserts that without </w:t>
      </w:r>
      <w:r w:rsidR="00CD7A21" w:rsidRPr="00B4F071">
        <w:rPr>
          <w:rFonts w:asciiTheme="minorHAnsi" w:hAnsiTheme="minorHAnsi" w:cstheme="minorBidi"/>
          <w:sz w:val="24"/>
          <w:szCs w:val="24"/>
        </w:rPr>
        <w:t xml:space="preserve">such </w:t>
      </w:r>
      <w:r w:rsidR="00731070" w:rsidRPr="00B4F071">
        <w:rPr>
          <w:rFonts w:asciiTheme="minorHAnsi" w:hAnsiTheme="minorHAnsi" w:cstheme="minorBidi"/>
          <w:sz w:val="24"/>
          <w:szCs w:val="24"/>
        </w:rPr>
        <w:t xml:space="preserve">approval further deterioration of the Hospitals’ facilities, could result in reduction of services or closure that would measurably harm public health. </w:t>
      </w:r>
      <w:r w:rsidR="00CD7A21" w:rsidRPr="00B4F071">
        <w:rPr>
          <w:rFonts w:asciiTheme="minorHAnsi" w:hAnsiTheme="minorHAnsi" w:cstheme="minorBidi"/>
          <w:sz w:val="24"/>
          <w:szCs w:val="24"/>
        </w:rPr>
        <w:t xml:space="preserve">The Applicant provided the </w:t>
      </w:r>
      <w:r w:rsidR="00731070" w:rsidRPr="00B4F071">
        <w:rPr>
          <w:rFonts w:asciiTheme="minorHAnsi" w:hAnsiTheme="minorHAnsi" w:cstheme="minorBidi"/>
          <w:sz w:val="24"/>
          <w:szCs w:val="24"/>
        </w:rPr>
        <w:t>example</w:t>
      </w:r>
      <w:r w:rsidR="00CD7A21" w:rsidRPr="00B4F071">
        <w:rPr>
          <w:rFonts w:asciiTheme="minorHAnsi" w:hAnsiTheme="minorHAnsi" w:cstheme="minorBidi"/>
          <w:sz w:val="24"/>
          <w:szCs w:val="24"/>
        </w:rPr>
        <w:t xml:space="preserve"> of the impact of potential</w:t>
      </w:r>
      <w:r w:rsidR="00731070" w:rsidRPr="00B4F071">
        <w:rPr>
          <w:rFonts w:asciiTheme="minorHAnsi" w:hAnsiTheme="minorHAnsi" w:cstheme="minorBidi"/>
          <w:sz w:val="24"/>
          <w:szCs w:val="24"/>
        </w:rPr>
        <w:t xml:space="preserve"> closure of the emergency department at either Hospital </w:t>
      </w:r>
      <w:r w:rsidR="00CD7A21" w:rsidRPr="00B4F071">
        <w:rPr>
          <w:rFonts w:asciiTheme="minorHAnsi" w:hAnsiTheme="minorHAnsi" w:cstheme="minorBidi"/>
          <w:sz w:val="24"/>
          <w:szCs w:val="24"/>
        </w:rPr>
        <w:t xml:space="preserve">which </w:t>
      </w:r>
      <w:r w:rsidR="00731070" w:rsidRPr="00B4F071">
        <w:rPr>
          <w:rFonts w:asciiTheme="minorHAnsi" w:hAnsiTheme="minorHAnsi" w:cstheme="minorBidi"/>
          <w:sz w:val="24"/>
          <w:szCs w:val="24"/>
        </w:rPr>
        <w:t xml:space="preserve">would </w:t>
      </w:r>
      <w:r w:rsidR="00CD7A21" w:rsidRPr="00B4F071">
        <w:rPr>
          <w:rFonts w:asciiTheme="minorHAnsi" w:hAnsiTheme="minorHAnsi" w:cstheme="minorBidi"/>
          <w:sz w:val="24"/>
          <w:szCs w:val="24"/>
        </w:rPr>
        <w:t xml:space="preserve">require </w:t>
      </w:r>
      <w:r w:rsidR="00731070" w:rsidRPr="00B4F071">
        <w:rPr>
          <w:rFonts w:asciiTheme="minorHAnsi" w:hAnsiTheme="minorHAnsi" w:cstheme="minorBidi"/>
          <w:sz w:val="24"/>
          <w:szCs w:val="24"/>
        </w:rPr>
        <w:t>those in need of emergency medical care to travel farther, resulting in measurably worse outcomes and</w:t>
      </w:r>
      <w:r w:rsidR="00CD7A21" w:rsidRPr="00B4F071">
        <w:rPr>
          <w:rFonts w:asciiTheme="minorHAnsi" w:hAnsiTheme="minorHAnsi" w:cstheme="minorBidi"/>
          <w:sz w:val="24"/>
          <w:szCs w:val="24"/>
        </w:rPr>
        <w:t xml:space="preserve"> potentially </w:t>
      </w:r>
      <w:r w:rsidR="00731070" w:rsidRPr="00B4F071">
        <w:rPr>
          <w:rFonts w:asciiTheme="minorHAnsi" w:hAnsiTheme="minorHAnsi" w:cstheme="minorBidi"/>
          <w:sz w:val="24"/>
          <w:szCs w:val="24"/>
        </w:rPr>
        <w:t xml:space="preserve">serious harm to patients. Reduction in or closure of other services </w:t>
      </w:r>
      <w:r w:rsidR="00CD7A21" w:rsidRPr="00B4F071">
        <w:rPr>
          <w:rFonts w:asciiTheme="minorHAnsi" w:hAnsiTheme="minorHAnsi" w:cstheme="minorBidi"/>
          <w:sz w:val="24"/>
          <w:szCs w:val="24"/>
        </w:rPr>
        <w:t>c</w:t>
      </w:r>
      <w:r w:rsidR="00731070" w:rsidRPr="00B4F071">
        <w:rPr>
          <w:rFonts w:asciiTheme="minorHAnsi" w:hAnsiTheme="minorHAnsi" w:cstheme="minorBidi"/>
          <w:sz w:val="24"/>
          <w:szCs w:val="24"/>
        </w:rPr>
        <w:t xml:space="preserve">ould </w:t>
      </w:r>
      <w:r w:rsidR="00CD7A21" w:rsidRPr="00B4F071">
        <w:rPr>
          <w:rFonts w:asciiTheme="minorHAnsi" w:hAnsiTheme="minorHAnsi" w:cstheme="minorBidi"/>
          <w:sz w:val="24"/>
          <w:szCs w:val="24"/>
        </w:rPr>
        <w:t xml:space="preserve">also </w:t>
      </w:r>
      <w:r w:rsidR="00731070" w:rsidRPr="00B4F071">
        <w:rPr>
          <w:rFonts w:asciiTheme="minorHAnsi" w:hAnsiTheme="minorHAnsi" w:cstheme="minorBidi"/>
          <w:sz w:val="24"/>
          <w:szCs w:val="24"/>
        </w:rPr>
        <w:t xml:space="preserve">result in measurable harm to patient access and health outcomes in the affected communities. </w:t>
      </w:r>
    </w:p>
    <w:p w14:paraId="748BE1C5" w14:textId="77777777" w:rsidR="005338FC" w:rsidRPr="00B76DED" w:rsidRDefault="005338FC" w:rsidP="001B72DB">
      <w:pPr>
        <w:pStyle w:val="BodyText"/>
        <w:rPr>
          <w:rFonts w:asciiTheme="minorHAnsi" w:hAnsiTheme="minorHAnsi" w:cstheme="minorHAnsi"/>
          <w:sz w:val="24"/>
          <w:szCs w:val="24"/>
        </w:rPr>
      </w:pPr>
    </w:p>
    <w:p w14:paraId="545143A2" w14:textId="250D07D2" w:rsidR="00C07147" w:rsidRPr="00B76DED" w:rsidRDefault="00C07147" w:rsidP="001B72DB">
      <w:pPr>
        <w:pStyle w:val="BodyText"/>
        <w:rPr>
          <w:rFonts w:asciiTheme="minorHAnsi" w:hAnsiTheme="minorHAnsi" w:cstheme="minorHAnsi"/>
          <w:b/>
          <w:bCs/>
          <w:sz w:val="24"/>
          <w:szCs w:val="24"/>
        </w:rPr>
      </w:pPr>
      <w:r w:rsidRPr="00B76DED">
        <w:rPr>
          <w:rFonts w:asciiTheme="minorHAnsi" w:hAnsiTheme="minorHAnsi" w:cstheme="minorHAnsi"/>
          <w:b/>
          <w:bCs/>
          <w:sz w:val="24"/>
          <w:szCs w:val="24"/>
        </w:rPr>
        <w:t>Staff Analysis</w:t>
      </w:r>
    </w:p>
    <w:p w14:paraId="61BC141D" w14:textId="77777777" w:rsidR="00CD7A21" w:rsidRDefault="00CD7A21" w:rsidP="00DD6988">
      <w:pPr>
        <w:pStyle w:val="BodyText"/>
        <w:rPr>
          <w:rFonts w:asciiTheme="minorHAnsi" w:hAnsiTheme="minorHAnsi" w:cstheme="minorHAnsi"/>
          <w:color w:val="2E74B5" w:themeColor="accent5" w:themeShade="BF"/>
          <w:sz w:val="24"/>
          <w:szCs w:val="24"/>
        </w:rPr>
      </w:pPr>
    </w:p>
    <w:p w14:paraId="5C93F0AA" w14:textId="77777777" w:rsidR="008E41A2" w:rsidRPr="008E41A2" w:rsidRDefault="008E41A2" w:rsidP="008E41A2">
      <w:pPr>
        <w:pStyle w:val="BodyText"/>
        <w:rPr>
          <w:rFonts w:asciiTheme="minorHAnsi" w:hAnsiTheme="minorHAnsi" w:cstheme="minorBidi"/>
          <w:sz w:val="24"/>
          <w:szCs w:val="24"/>
        </w:rPr>
      </w:pPr>
      <w:r w:rsidRPr="008E41A2">
        <w:rPr>
          <w:rFonts w:asciiTheme="minorHAnsi" w:hAnsiTheme="minorHAnsi" w:cstheme="minorBidi"/>
          <w:sz w:val="24"/>
          <w:szCs w:val="24"/>
        </w:rPr>
        <w:t>Staff notes that the dire financial situation resulting in the Steward bankruptcy is well documented and widely reported and this has left both hospitals in a situation where they have been under financial constraints leading to underinvestment in infrastructure and operations. The Applicant reports that it does not have full access as to the extent of the damage caused by the current situation or what resources will be needed to bring it back to a fully functioning healthy entity. (Staff recommends annual reporting on the Status of the facility in Other Conditions.)</w:t>
      </w:r>
    </w:p>
    <w:p w14:paraId="328487F2" w14:textId="77777777" w:rsidR="008E41A2" w:rsidRPr="008E41A2" w:rsidRDefault="008E41A2" w:rsidP="008E41A2">
      <w:pPr>
        <w:pStyle w:val="BodyText"/>
        <w:rPr>
          <w:rFonts w:asciiTheme="minorHAnsi" w:hAnsiTheme="minorHAnsi" w:cstheme="minorBidi"/>
          <w:sz w:val="24"/>
          <w:szCs w:val="24"/>
        </w:rPr>
      </w:pPr>
    </w:p>
    <w:p w14:paraId="21600EC1" w14:textId="77777777" w:rsidR="008E41A2" w:rsidRDefault="2084B3FB" w:rsidP="008E41A2">
      <w:pPr>
        <w:pStyle w:val="BodyText"/>
        <w:rPr>
          <w:rFonts w:asciiTheme="minorHAnsi" w:hAnsiTheme="minorHAnsi" w:cstheme="minorBidi"/>
          <w:sz w:val="24"/>
          <w:szCs w:val="24"/>
        </w:rPr>
      </w:pPr>
      <w:r w:rsidRPr="6B09DEEC">
        <w:rPr>
          <w:rFonts w:asciiTheme="minorHAnsi" w:hAnsiTheme="minorHAnsi" w:cstheme="minorBidi"/>
          <w:sz w:val="24"/>
          <w:szCs w:val="24"/>
        </w:rPr>
        <w:t>Staff also notes that both Hospitals are high public paying hospitals with public payer mixes of ~73%.</w:t>
      </w:r>
      <w:r w:rsidR="008E41A2" w:rsidRPr="6B09DEEC">
        <w:rPr>
          <w:rFonts w:asciiTheme="minorHAnsi" w:hAnsiTheme="minorHAnsi" w:cstheme="minorBidi"/>
          <w:sz w:val="24"/>
          <w:szCs w:val="24"/>
          <w:vertAlign w:val="superscript"/>
        </w:rPr>
        <w:footnoteReference w:id="7"/>
      </w:r>
      <w:r w:rsidRPr="6B09DEEC">
        <w:rPr>
          <w:rFonts w:asciiTheme="minorHAnsi" w:hAnsiTheme="minorHAnsi" w:cstheme="minorBidi"/>
          <w:sz w:val="24"/>
          <w:szCs w:val="24"/>
        </w:rPr>
        <w:t xml:space="preserve"> The persistent need for access to health care for under resourced populations is well documented in Massachusetts, and a cessation of these services would create an undue burden on patients and their families in terms of unnecessary delays in treatment, travel and time off from work thereby potentially resulting in negative public health outcomes.</w:t>
      </w:r>
    </w:p>
    <w:p w14:paraId="3AC0C1B8" w14:textId="77777777" w:rsidR="00B00B34" w:rsidRPr="008E41A2" w:rsidRDefault="00B00B34" w:rsidP="008E41A2">
      <w:pPr>
        <w:pStyle w:val="BodyText"/>
        <w:rPr>
          <w:rFonts w:asciiTheme="minorHAnsi" w:hAnsiTheme="minorHAnsi" w:cstheme="minorBidi"/>
          <w:sz w:val="24"/>
          <w:szCs w:val="24"/>
        </w:rPr>
      </w:pPr>
    </w:p>
    <w:p w14:paraId="5712DC65" w14:textId="44C681E4" w:rsidR="008E41A2" w:rsidRDefault="2E6CED2E">
      <w:pPr>
        <w:rPr>
          <w:sz w:val="24"/>
          <w:szCs w:val="24"/>
        </w:rPr>
      </w:pPr>
      <w:r w:rsidRPr="6B09DEEC">
        <w:rPr>
          <w:sz w:val="24"/>
          <w:szCs w:val="24"/>
        </w:rPr>
        <w:t>In the service area of Morton and Saint Anne's there are six total hospitals (Saint Anne’s Hospital, Morton Hospital, Charlton Memorial Hospital, Sturdy Memorial Hospital, Good Samaritan Medical Center, St. Luke’s Hospital) with a total of 1052 licensed beds. All hospitals are struggling to staff all licensed beds; about 25% of beds, across the hospitals, are not fully staffed. Using licensed beds to define occupancy rates, rates range from 62% at Saint Lukes to 119% at Sturdy Memorial Hospital.</w:t>
      </w:r>
    </w:p>
    <w:p w14:paraId="618C2B2D" w14:textId="2C3D04C6" w:rsidR="008E41A2" w:rsidRDefault="2E6CED2E" w:rsidP="004A3899">
      <w:pPr>
        <w:rPr>
          <w:sz w:val="24"/>
          <w:szCs w:val="24"/>
        </w:rPr>
      </w:pPr>
      <w:r w:rsidRPr="6B09DEEC">
        <w:rPr>
          <w:sz w:val="24"/>
          <w:szCs w:val="24"/>
        </w:rPr>
        <w:t>The two hospitals</w:t>
      </w:r>
      <w:r w:rsidR="4ACE1A6A" w:rsidRPr="6B09DEEC">
        <w:rPr>
          <w:sz w:val="24"/>
          <w:szCs w:val="24"/>
        </w:rPr>
        <w:t xml:space="preserve"> which are the subject of this application</w:t>
      </w:r>
      <w:r w:rsidRPr="6B09DEEC">
        <w:rPr>
          <w:sz w:val="24"/>
          <w:szCs w:val="24"/>
        </w:rPr>
        <w:t xml:space="preserve"> comprise ~21% of the regional med/surg bed capacity and saw ~ 26% of the total ED. For this volume to be absorbed at the other four hospitals in the region (Charlton Memorial Hospital, Sturdy Memorial Hospital, Good Samaritan Medical Center, St. Luke’s Hospital) ~ 270 beds would be required. Staff finds that there is not capacity to absorb this med/surg volume and ED capacity would be further strained</w:t>
      </w:r>
      <w:r w:rsidR="00874D32">
        <w:rPr>
          <w:sz w:val="24"/>
          <w:szCs w:val="24"/>
        </w:rPr>
        <w:t xml:space="preserve"> if either facility were to close.</w:t>
      </w:r>
    </w:p>
    <w:p w14:paraId="4193619E" w14:textId="77777777" w:rsidR="005F42F9" w:rsidRDefault="005F42F9" w:rsidP="004A3899">
      <w:pPr>
        <w:rPr>
          <w:sz w:val="24"/>
          <w:szCs w:val="24"/>
        </w:rPr>
      </w:pPr>
    </w:p>
    <w:tbl>
      <w:tblPr>
        <w:tblStyle w:val="TableGrid1"/>
        <w:tblW w:w="0" w:type="auto"/>
        <w:tblInd w:w="180" w:type="dxa"/>
        <w:tblLook w:val="04A0" w:firstRow="1" w:lastRow="0" w:firstColumn="1" w:lastColumn="0" w:noHBand="0" w:noVBand="1"/>
      </w:tblPr>
      <w:tblGrid>
        <w:gridCol w:w="1943"/>
        <w:gridCol w:w="977"/>
        <w:gridCol w:w="977"/>
        <w:gridCol w:w="1151"/>
        <w:gridCol w:w="992"/>
        <w:gridCol w:w="997"/>
        <w:gridCol w:w="925"/>
        <w:gridCol w:w="804"/>
        <w:gridCol w:w="804"/>
      </w:tblGrid>
      <w:tr w:rsidR="00BD34B7" w:rsidRPr="00B16C45" w14:paraId="35BEAC40" w14:textId="77777777" w:rsidTr="00B234C3">
        <w:trPr>
          <w:cantSplit/>
          <w:trHeight w:val="580"/>
          <w:tblHeader/>
        </w:trPr>
        <w:tc>
          <w:tcPr>
            <w:tcW w:w="2009" w:type="dxa"/>
            <w:noWrap/>
            <w:vAlign w:val="center"/>
          </w:tcPr>
          <w:p w14:paraId="031C5712" w14:textId="23DA41AA" w:rsidR="00BD34B7" w:rsidRPr="00B16C45" w:rsidRDefault="00BD34B7" w:rsidP="00BD34B7">
            <w:pPr>
              <w:widowControl/>
              <w:autoSpaceDE/>
              <w:autoSpaceDN/>
              <w:spacing w:line="259" w:lineRule="auto"/>
              <w:rPr>
                <w:rFonts w:eastAsia="Aptos"/>
              </w:rPr>
            </w:pPr>
            <w:r w:rsidRPr="00B16C45">
              <w:rPr>
                <w:rFonts w:eastAsia="Aptos"/>
                <w:b/>
                <w:bCs/>
              </w:rPr>
              <w:t>Hospital</w:t>
            </w:r>
            <w:r w:rsidRPr="75851299">
              <w:rPr>
                <w:rStyle w:val="FootnoteReference"/>
                <w:rFonts w:asciiTheme="minorHAnsi" w:hAnsiTheme="minorHAnsi" w:cstheme="minorBidi"/>
                <w:b/>
                <w:bCs/>
              </w:rPr>
              <w:footnoteReference w:id="8"/>
            </w:r>
          </w:p>
        </w:tc>
        <w:tc>
          <w:tcPr>
            <w:tcW w:w="982" w:type="dxa"/>
            <w:noWrap/>
            <w:vAlign w:val="center"/>
          </w:tcPr>
          <w:p w14:paraId="714509DB" w14:textId="2E3793FD" w:rsidR="00BD34B7" w:rsidRPr="00BD34B7" w:rsidRDefault="00BD34B7" w:rsidP="00BD34B7">
            <w:pPr>
              <w:widowControl/>
              <w:autoSpaceDE/>
              <w:autoSpaceDN/>
              <w:spacing w:line="259" w:lineRule="auto"/>
              <w:jc w:val="center"/>
              <w:rPr>
                <w:rFonts w:eastAsia="Aptos"/>
                <w:b/>
                <w:bCs/>
                <w:sz w:val="18"/>
                <w:szCs w:val="18"/>
              </w:rPr>
            </w:pPr>
            <w:r w:rsidRPr="00BD34B7">
              <w:rPr>
                <w:rFonts w:eastAsia="Aptos"/>
                <w:b/>
                <w:bCs/>
                <w:sz w:val="18"/>
                <w:szCs w:val="18"/>
              </w:rPr>
              <w:t>ED Visits</w:t>
            </w:r>
          </w:p>
        </w:tc>
        <w:tc>
          <w:tcPr>
            <w:tcW w:w="957" w:type="dxa"/>
            <w:vAlign w:val="center"/>
          </w:tcPr>
          <w:p w14:paraId="00980FDE" w14:textId="1B990794" w:rsidR="00BD34B7" w:rsidRPr="00BD34B7" w:rsidRDefault="00BD34B7" w:rsidP="00BD34B7">
            <w:pPr>
              <w:widowControl/>
              <w:autoSpaceDE/>
              <w:autoSpaceDN/>
              <w:spacing w:line="259" w:lineRule="auto"/>
              <w:jc w:val="center"/>
              <w:rPr>
                <w:rFonts w:eastAsia="Aptos"/>
                <w:b/>
                <w:bCs/>
                <w:sz w:val="18"/>
                <w:szCs w:val="18"/>
              </w:rPr>
            </w:pPr>
            <w:r w:rsidRPr="00BD34B7">
              <w:rPr>
                <w:rFonts w:eastAsia="Aptos"/>
                <w:b/>
                <w:bCs/>
                <w:sz w:val="18"/>
                <w:szCs w:val="18"/>
              </w:rPr>
              <w:t>ED Visits</w:t>
            </w:r>
          </w:p>
        </w:tc>
        <w:tc>
          <w:tcPr>
            <w:tcW w:w="1187" w:type="dxa"/>
            <w:noWrap/>
            <w:vAlign w:val="center"/>
          </w:tcPr>
          <w:p w14:paraId="64A5667A" w14:textId="253528CE" w:rsidR="00BD34B7" w:rsidRPr="00BD34B7" w:rsidRDefault="00BD34B7" w:rsidP="00BD34B7">
            <w:pPr>
              <w:widowControl/>
              <w:autoSpaceDE/>
              <w:autoSpaceDN/>
              <w:spacing w:line="259" w:lineRule="auto"/>
              <w:jc w:val="center"/>
              <w:rPr>
                <w:rFonts w:eastAsia="Aptos"/>
                <w:b/>
                <w:bCs/>
                <w:sz w:val="18"/>
                <w:szCs w:val="18"/>
              </w:rPr>
            </w:pPr>
            <w:r w:rsidRPr="00BD34B7">
              <w:rPr>
                <w:rFonts w:eastAsia="Aptos"/>
                <w:b/>
                <w:bCs/>
                <w:sz w:val="18"/>
                <w:szCs w:val="18"/>
              </w:rPr>
              <w:t>med/surg occupancy rate (occupied/ licensed)</w:t>
            </w:r>
          </w:p>
        </w:tc>
        <w:tc>
          <w:tcPr>
            <w:tcW w:w="962" w:type="dxa"/>
            <w:vAlign w:val="center"/>
          </w:tcPr>
          <w:p w14:paraId="38594451" w14:textId="3415A915" w:rsidR="00BD34B7" w:rsidRPr="00BD34B7" w:rsidRDefault="00BD34B7" w:rsidP="00BD34B7">
            <w:pPr>
              <w:widowControl/>
              <w:autoSpaceDE/>
              <w:autoSpaceDN/>
              <w:spacing w:line="259" w:lineRule="auto"/>
              <w:jc w:val="center"/>
              <w:rPr>
                <w:rFonts w:eastAsia="Aptos"/>
                <w:b/>
                <w:bCs/>
                <w:sz w:val="18"/>
                <w:szCs w:val="18"/>
              </w:rPr>
            </w:pPr>
            <w:r w:rsidRPr="00BD34B7">
              <w:rPr>
                <w:rFonts w:eastAsia="Aptos"/>
                <w:b/>
                <w:bCs/>
                <w:sz w:val="18"/>
                <w:szCs w:val="18"/>
              </w:rPr>
              <w:t>med/surg occupancy rate (occupied/ licensed)</w:t>
            </w:r>
          </w:p>
        </w:tc>
        <w:tc>
          <w:tcPr>
            <w:tcW w:w="1027" w:type="dxa"/>
            <w:noWrap/>
            <w:vAlign w:val="center"/>
          </w:tcPr>
          <w:p w14:paraId="539EAF3E" w14:textId="036B1CCA" w:rsidR="00BD34B7" w:rsidRPr="00BD34B7" w:rsidRDefault="00BD34B7" w:rsidP="00BD34B7">
            <w:pPr>
              <w:widowControl/>
              <w:autoSpaceDE/>
              <w:autoSpaceDN/>
              <w:spacing w:line="259" w:lineRule="auto"/>
              <w:jc w:val="center"/>
              <w:rPr>
                <w:rFonts w:eastAsia="Aptos"/>
                <w:b/>
                <w:bCs/>
                <w:sz w:val="18"/>
                <w:szCs w:val="18"/>
              </w:rPr>
            </w:pPr>
            <w:r w:rsidRPr="00BD34B7">
              <w:rPr>
                <w:rFonts w:eastAsia="Aptos"/>
                <w:b/>
                <w:bCs/>
                <w:sz w:val="18"/>
                <w:szCs w:val="18"/>
              </w:rPr>
              <w:t>occupied m/s beds</w:t>
            </w:r>
          </w:p>
        </w:tc>
        <w:tc>
          <w:tcPr>
            <w:tcW w:w="952" w:type="dxa"/>
            <w:noWrap/>
            <w:vAlign w:val="center"/>
          </w:tcPr>
          <w:p w14:paraId="09B5B2DF" w14:textId="49F253A3" w:rsidR="00BD34B7" w:rsidRPr="00BD34B7" w:rsidRDefault="00BD34B7" w:rsidP="00BD34B7">
            <w:pPr>
              <w:widowControl/>
              <w:autoSpaceDE/>
              <w:autoSpaceDN/>
              <w:spacing w:line="259" w:lineRule="auto"/>
              <w:jc w:val="center"/>
              <w:rPr>
                <w:rFonts w:eastAsia="Aptos"/>
                <w:b/>
                <w:bCs/>
                <w:sz w:val="18"/>
                <w:szCs w:val="18"/>
              </w:rPr>
            </w:pPr>
            <w:r w:rsidRPr="00BD34B7">
              <w:rPr>
                <w:rFonts w:eastAsia="Aptos"/>
                <w:b/>
                <w:bCs/>
                <w:sz w:val="18"/>
                <w:szCs w:val="18"/>
              </w:rPr>
              <w:t>occupied m/s beds</w:t>
            </w:r>
          </w:p>
        </w:tc>
        <w:tc>
          <w:tcPr>
            <w:tcW w:w="747" w:type="dxa"/>
            <w:noWrap/>
            <w:vAlign w:val="center"/>
          </w:tcPr>
          <w:p w14:paraId="1A9BC438" w14:textId="0DE9562C" w:rsidR="00BD34B7" w:rsidRPr="00BD34B7" w:rsidRDefault="00BD34B7" w:rsidP="00BD34B7">
            <w:pPr>
              <w:widowControl/>
              <w:autoSpaceDE/>
              <w:autoSpaceDN/>
              <w:spacing w:line="259" w:lineRule="auto"/>
              <w:jc w:val="center"/>
              <w:rPr>
                <w:rFonts w:eastAsia="Aptos"/>
                <w:b/>
                <w:bCs/>
                <w:sz w:val="18"/>
                <w:szCs w:val="18"/>
              </w:rPr>
            </w:pPr>
            <w:r w:rsidRPr="00BD34B7">
              <w:rPr>
                <w:rFonts w:eastAsia="Aptos"/>
                <w:b/>
                <w:bCs/>
                <w:sz w:val="18"/>
                <w:szCs w:val="18"/>
              </w:rPr>
              <w:t>licensed m/s beds</w:t>
            </w:r>
          </w:p>
        </w:tc>
        <w:tc>
          <w:tcPr>
            <w:tcW w:w="747" w:type="dxa"/>
            <w:noWrap/>
            <w:vAlign w:val="center"/>
          </w:tcPr>
          <w:p w14:paraId="64C35C74" w14:textId="7A3F30F8" w:rsidR="00BD34B7" w:rsidRPr="00BD34B7" w:rsidRDefault="00BD34B7" w:rsidP="00BD34B7">
            <w:pPr>
              <w:widowControl/>
              <w:autoSpaceDE/>
              <w:autoSpaceDN/>
              <w:spacing w:line="259" w:lineRule="auto"/>
              <w:jc w:val="center"/>
              <w:rPr>
                <w:rFonts w:eastAsia="Aptos"/>
                <w:b/>
                <w:bCs/>
                <w:sz w:val="18"/>
                <w:szCs w:val="18"/>
              </w:rPr>
            </w:pPr>
            <w:r w:rsidRPr="00BD34B7">
              <w:rPr>
                <w:rFonts w:eastAsia="Aptos"/>
                <w:b/>
                <w:bCs/>
                <w:sz w:val="18"/>
                <w:szCs w:val="18"/>
              </w:rPr>
              <w:t>licensed m/s beds</w:t>
            </w:r>
          </w:p>
        </w:tc>
      </w:tr>
      <w:tr w:rsidR="00BD34B7" w:rsidRPr="00B16C45" w14:paraId="00FADDCF" w14:textId="77777777" w:rsidTr="00B234C3">
        <w:trPr>
          <w:cantSplit/>
          <w:trHeight w:val="580"/>
          <w:tblHeader/>
        </w:trPr>
        <w:tc>
          <w:tcPr>
            <w:tcW w:w="2009" w:type="dxa"/>
            <w:noWrap/>
            <w:vAlign w:val="center"/>
            <w:hideMark/>
          </w:tcPr>
          <w:p w14:paraId="07739A5A" w14:textId="77777777" w:rsidR="00BD34B7" w:rsidRPr="00B16C45" w:rsidRDefault="00BD34B7" w:rsidP="00BD34B7">
            <w:pPr>
              <w:widowControl/>
              <w:autoSpaceDE/>
              <w:autoSpaceDN/>
              <w:spacing w:line="259" w:lineRule="auto"/>
              <w:rPr>
                <w:rFonts w:eastAsia="Aptos"/>
              </w:rPr>
            </w:pPr>
            <w:r w:rsidRPr="00B16C45">
              <w:rPr>
                <w:rFonts w:eastAsia="Aptos"/>
              </w:rPr>
              <w:t> </w:t>
            </w:r>
          </w:p>
        </w:tc>
        <w:tc>
          <w:tcPr>
            <w:tcW w:w="982" w:type="dxa"/>
            <w:noWrap/>
            <w:vAlign w:val="center"/>
            <w:hideMark/>
          </w:tcPr>
          <w:p w14:paraId="78F51F2C" w14:textId="77777777" w:rsidR="00BD34B7" w:rsidRPr="00B16C45" w:rsidRDefault="00BD34B7" w:rsidP="00BD34B7">
            <w:pPr>
              <w:widowControl/>
              <w:autoSpaceDE/>
              <w:autoSpaceDN/>
              <w:spacing w:line="259" w:lineRule="auto"/>
              <w:jc w:val="center"/>
              <w:rPr>
                <w:rFonts w:eastAsia="Aptos"/>
                <w:b/>
                <w:bCs/>
              </w:rPr>
            </w:pPr>
            <w:r w:rsidRPr="00B16C45">
              <w:rPr>
                <w:rFonts w:eastAsia="Aptos"/>
                <w:b/>
                <w:bCs/>
              </w:rPr>
              <w:t>2023</w:t>
            </w:r>
          </w:p>
        </w:tc>
        <w:tc>
          <w:tcPr>
            <w:tcW w:w="957" w:type="dxa"/>
            <w:vAlign w:val="center"/>
            <w:hideMark/>
          </w:tcPr>
          <w:p w14:paraId="6EB9C8D4" w14:textId="77777777" w:rsidR="00BD34B7" w:rsidRPr="00B16C45" w:rsidRDefault="00BD34B7" w:rsidP="00BD34B7">
            <w:pPr>
              <w:widowControl/>
              <w:autoSpaceDE/>
              <w:autoSpaceDN/>
              <w:spacing w:line="259" w:lineRule="auto"/>
              <w:jc w:val="center"/>
              <w:rPr>
                <w:rFonts w:eastAsia="Aptos"/>
                <w:b/>
                <w:bCs/>
              </w:rPr>
            </w:pPr>
            <w:r w:rsidRPr="00B16C45">
              <w:rPr>
                <w:rFonts w:eastAsia="Aptos"/>
                <w:b/>
                <w:bCs/>
              </w:rPr>
              <w:t>2024 (weeks 1 - 26)</w:t>
            </w:r>
          </w:p>
        </w:tc>
        <w:tc>
          <w:tcPr>
            <w:tcW w:w="1187" w:type="dxa"/>
            <w:noWrap/>
            <w:vAlign w:val="center"/>
            <w:hideMark/>
          </w:tcPr>
          <w:p w14:paraId="685A51F1" w14:textId="77777777" w:rsidR="00BD34B7" w:rsidRPr="00B16C45" w:rsidRDefault="00BD34B7" w:rsidP="00BD34B7">
            <w:pPr>
              <w:widowControl/>
              <w:autoSpaceDE/>
              <w:autoSpaceDN/>
              <w:spacing w:line="259" w:lineRule="auto"/>
              <w:jc w:val="center"/>
              <w:rPr>
                <w:rFonts w:eastAsia="Aptos"/>
                <w:b/>
                <w:bCs/>
              </w:rPr>
            </w:pPr>
            <w:r w:rsidRPr="00B16C45">
              <w:rPr>
                <w:rFonts w:eastAsia="Aptos"/>
                <w:b/>
                <w:bCs/>
              </w:rPr>
              <w:t>2023</w:t>
            </w:r>
          </w:p>
        </w:tc>
        <w:tc>
          <w:tcPr>
            <w:tcW w:w="962" w:type="dxa"/>
            <w:vAlign w:val="center"/>
            <w:hideMark/>
          </w:tcPr>
          <w:p w14:paraId="6C067E2A" w14:textId="77777777" w:rsidR="00BD34B7" w:rsidRPr="00B16C45" w:rsidRDefault="00BD34B7" w:rsidP="00BD34B7">
            <w:pPr>
              <w:widowControl/>
              <w:autoSpaceDE/>
              <w:autoSpaceDN/>
              <w:spacing w:line="259" w:lineRule="auto"/>
              <w:jc w:val="center"/>
              <w:rPr>
                <w:rFonts w:eastAsia="Aptos"/>
                <w:b/>
                <w:bCs/>
              </w:rPr>
            </w:pPr>
            <w:r w:rsidRPr="00B16C45">
              <w:rPr>
                <w:rFonts w:eastAsia="Aptos"/>
                <w:b/>
                <w:bCs/>
              </w:rPr>
              <w:t>2024 (1/1 - 6/30)</w:t>
            </w:r>
          </w:p>
        </w:tc>
        <w:tc>
          <w:tcPr>
            <w:tcW w:w="1027" w:type="dxa"/>
            <w:noWrap/>
            <w:vAlign w:val="center"/>
            <w:hideMark/>
          </w:tcPr>
          <w:p w14:paraId="5022F583" w14:textId="77777777" w:rsidR="00BD34B7" w:rsidRPr="00B16C45" w:rsidRDefault="00BD34B7" w:rsidP="00BD34B7">
            <w:pPr>
              <w:widowControl/>
              <w:autoSpaceDE/>
              <w:autoSpaceDN/>
              <w:spacing w:line="259" w:lineRule="auto"/>
              <w:jc w:val="center"/>
              <w:rPr>
                <w:rFonts w:eastAsia="Aptos"/>
                <w:b/>
                <w:bCs/>
              </w:rPr>
            </w:pPr>
            <w:r w:rsidRPr="00B16C45">
              <w:rPr>
                <w:rFonts w:eastAsia="Aptos"/>
                <w:b/>
                <w:bCs/>
              </w:rPr>
              <w:t>2023</w:t>
            </w:r>
          </w:p>
        </w:tc>
        <w:tc>
          <w:tcPr>
            <w:tcW w:w="952" w:type="dxa"/>
            <w:noWrap/>
            <w:vAlign w:val="center"/>
            <w:hideMark/>
          </w:tcPr>
          <w:p w14:paraId="68317DED" w14:textId="77777777" w:rsidR="00BD34B7" w:rsidRPr="00B16C45" w:rsidRDefault="00BD34B7" w:rsidP="00BD34B7">
            <w:pPr>
              <w:widowControl/>
              <w:autoSpaceDE/>
              <w:autoSpaceDN/>
              <w:spacing w:line="259" w:lineRule="auto"/>
              <w:jc w:val="center"/>
              <w:rPr>
                <w:rFonts w:eastAsia="Aptos"/>
                <w:b/>
                <w:bCs/>
              </w:rPr>
            </w:pPr>
            <w:r w:rsidRPr="00B16C45">
              <w:rPr>
                <w:rFonts w:eastAsia="Aptos"/>
                <w:b/>
                <w:bCs/>
              </w:rPr>
              <w:t>2024</w:t>
            </w:r>
          </w:p>
        </w:tc>
        <w:tc>
          <w:tcPr>
            <w:tcW w:w="747" w:type="dxa"/>
            <w:noWrap/>
            <w:vAlign w:val="center"/>
            <w:hideMark/>
          </w:tcPr>
          <w:p w14:paraId="4DB8D70C" w14:textId="77777777" w:rsidR="00BD34B7" w:rsidRPr="00B16C45" w:rsidRDefault="00BD34B7" w:rsidP="00BD34B7">
            <w:pPr>
              <w:widowControl/>
              <w:autoSpaceDE/>
              <w:autoSpaceDN/>
              <w:spacing w:line="259" w:lineRule="auto"/>
              <w:jc w:val="center"/>
              <w:rPr>
                <w:rFonts w:eastAsia="Aptos"/>
                <w:b/>
                <w:bCs/>
              </w:rPr>
            </w:pPr>
            <w:r w:rsidRPr="00B16C45">
              <w:rPr>
                <w:rFonts w:eastAsia="Aptos"/>
                <w:b/>
                <w:bCs/>
              </w:rPr>
              <w:t>2023</w:t>
            </w:r>
          </w:p>
        </w:tc>
        <w:tc>
          <w:tcPr>
            <w:tcW w:w="747" w:type="dxa"/>
            <w:noWrap/>
            <w:vAlign w:val="center"/>
            <w:hideMark/>
          </w:tcPr>
          <w:p w14:paraId="471EBB0E" w14:textId="77777777" w:rsidR="00BD34B7" w:rsidRPr="00B16C45" w:rsidRDefault="00BD34B7" w:rsidP="00BD34B7">
            <w:pPr>
              <w:widowControl/>
              <w:autoSpaceDE/>
              <w:autoSpaceDN/>
              <w:spacing w:line="259" w:lineRule="auto"/>
              <w:jc w:val="center"/>
              <w:rPr>
                <w:rFonts w:eastAsia="Aptos"/>
                <w:b/>
                <w:bCs/>
              </w:rPr>
            </w:pPr>
            <w:r w:rsidRPr="00B16C45">
              <w:rPr>
                <w:rFonts w:eastAsia="Aptos"/>
                <w:b/>
                <w:bCs/>
              </w:rPr>
              <w:t>2024</w:t>
            </w:r>
          </w:p>
        </w:tc>
      </w:tr>
      <w:tr w:rsidR="00BD34B7" w:rsidRPr="00B16C45" w14:paraId="0B1E5C7C" w14:textId="77777777" w:rsidTr="00B234C3">
        <w:trPr>
          <w:cantSplit/>
          <w:trHeight w:val="290"/>
        </w:trPr>
        <w:tc>
          <w:tcPr>
            <w:tcW w:w="2009" w:type="dxa"/>
            <w:noWrap/>
            <w:vAlign w:val="center"/>
            <w:hideMark/>
          </w:tcPr>
          <w:p w14:paraId="331BF9E2" w14:textId="77777777" w:rsidR="00BD34B7" w:rsidRPr="00B16C45" w:rsidRDefault="00BD34B7" w:rsidP="00BD34B7">
            <w:pPr>
              <w:widowControl/>
              <w:autoSpaceDE/>
              <w:autoSpaceDN/>
              <w:spacing w:line="259" w:lineRule="auto"/>
              <w:rPr>
                <w:rFonts w:eastAsia="Aptos"/>
              </w:rPr>
            </w:pPr>
            <w:r w:rsidRPr="00B16C45">
              <w:rPr>
                <w:rFonts w:eastAsia="Aptos"/>
              </w:rPr>
              <w:t>St. Anne’s Hospital</w:t>
            </w:r>
          </w:p>
        </w:tc>
        <w:tc>
          <w:tcPr>
            <w:tcW w:w="982" w:type="dxa"/>
            <w:noWrap/>
            <w:vAlign w:val="center"/>
            <w:hideMark/>
          </w:tcPr>
          <w:p w14:paraId="534E28F8" w14:textId="77777777" w:rsidR="00BD34B7" w:rsidRPr="00B16C45" w:rsidRDefault="00BD34B7" w:rsidP="00BD34B7">
            <w:pPr>
              <w:widowControl/>
              <w:autoSpaceDE/>
              <w:autoSpaceDN/>
              <w:spacing w:line="259" w:lineRule="auto"/>
              <w:jc w:val="right"/>
              <w:rPr>
                <w:rFonts w:eastAsia="Aptos"/>
              </w:rPr>
            </w:pPr>
            <w:r w:rsidRPr="00B16C45">
              <w:rPr>
                <w:rFonts w:eastAsia="Aptos"/>
              </w:rPr>
              <w:t>48,540</w:t>
            </w:r>
          </w:p>
        </w:tc>
        <w:tc>
          <w:tcPr>
            <w:tcW w:w="957" w:type="dxa"/>
            <w:noWrap/>
            <w:vAlign w:val="center"/>
            <w:hideMark/>
          </w:tcPr>
          <w:p w14:paraId="78869D93" w14:textId="77777777" w:rsidR="00BD34B7" w:rsidRPr="00B16C45" w:rsidRDefault="00BD34B7" w:rsidP="00BD34B7">
            <w:pPr>
              <w:widowControl/>
              <w:autoSpaceDE/>
              <w:autoSpaceDN/>
              <w:spacing w:line="259" w:lineRule="auto"/>
              <w:jc w:val="right"/>
              <w:rPr>
                <w:rFonts w:eastAsia="Aptos"/>
              </w:rPr>
            </w:pPr>
            <w:r w:rsidRPr="00B16C45">
              <w:rPr>
                <w:rFonts w:eastAsia="Aptos"/>
              </w:rPr>
              <w:t>23,413</w:t>
            </w:r>
          </w:p>
        </w:tc>
        <w:tc>
          <w:tcPr>
            <w:tcW w:w="1187" w:type="dxa"/>
            <w:noWrap/>
            <w:vAlign w:val="center"/>
            <w:hideMark/>
          </w:tcPr>
          <w:p w14:paraId="5F581313" w14:textId="77777777" w:rsidR="00BD34B7" w:rsidRPr="00B16C45" w:rsidRDefault="00BD34B7" w:rsidP="00BD34B7">
            <w:pPr>
              <w:widowControl/>
              <w:autoSpaceDE/>
              <w:autoSpaceDN/>
              <w:spacing w:line="259" w:lineRule="auto"/>
              <w:jc w:val="right"/>
              <w:rPr>
                <w:rFonts w:eastAsia="Aptos"/>
              </w:rPr>
            </w:pPr>
            <w:r w:rsidRPr="00B16C45">
              <w:rPr>
                <w:rFonts w:eastAsia="Aptos"/>
              </w:rPr>
              <w:t>83%</w:t>
            </w:r>
          </w:p>
        </w:tc>
        <w:tc>
          <w:tcPr>
            <w:tcW w:w="962" w:type="dxa"/>
            <w:noWrap/>
            <w:vAlign w:val="center"/>
            <w:hideMark/>
          </w:tcPr>
          <w:p w14:paraId="50E0B7B6" w14:textId="77777777" w:rsidR="00BD34B7" w:rsidRPr="00B16C45" w:rsidRDefault="00BD34B7" w:rsidP="00BD34B7">
            <w:pPr>
              <w:widowControl/>
              <w:autoSpaceDE/>
              <w:autoSpaceDN/>
              <w:spacing w:line="259" w:lineRule="auto"/>
              <w:jc w:val="right"/>
              <w:rPr>
                <w:rFonts w:eastAsia="Aptos"/>
              </w:rPr>
            </w:pPr>
            <w:r w:rsidRPr="00B16C45">
              <w:rPr>
                <w:rFonts w:eastAsia="Aptos"/>
              </w:rPr>
              <w:t>78%</w:t>
            </w:r>
          </w:p>
        </w:tc>
        <w:tc>
          <w:tcPr>
            <w:tcW w:w="1027" w:type="dxa"/>
            <w:noWrap/>
            <w:vAlign w:val="center"/>
            <w:hideMark/>
          </w:tcPr>
          <w:p w14:paraId="57F4ABF7" w14:textId="77777777" w:rsidR="00BD34B7" w:rsidRPr="00B16C45" w:rsidRDefault="00BD34B7" w:rsidP="00BD34B7">
            <w:pPr>
              <w:widowControl/>
              <w:autoSpaceDE/>
              <w:autoSpaceDN/>
              <w:spacing w:line="259" w:lineRule="auto"/>
              <w:jc w:val="right"/>
              <w:rPr>
                <w:rFonts w:eastAsia="Aptos"/>
              </w:rPr>
            </w:pPr>
            <w:r w:rsidRPr="00B16C45">
              <w:rPr>
                <w:rFonts w:eastAsia="Aptos"/>
              </w:rPr>
              <w:t>116</w:t>
            </w:r>
          </w:p>
        </w:tc>
        <w:tc>
          <w:tcPr>
            <w:tcW w:w="952" w:type="dxa"/>
            <w:noWrap/>
            <w:vAlign w:val="center"/>
            <w:hideMark/>
          </w:tcPr>
          <w:p w14:paraId="6075FD51" w14:textId="77777777" w:rsidR="00BD34B7" w:rsidRPr="00B16C45" w:rsidRDefault="00BD34B7" w:rsidP="00BD34B7">
            <w:pPr>
              <w:widowControl/>
              <w:autoSpaceDE/>
              <w:autoSpaceDN/>
              <w:spacing w:line="259" w:lineRule="auto"/>
              <w:jc w:val="right"/>
              <w:rPr>
                <w:rFonts w:eastAsia="Aptos"/>
              </w:rPr>
            </w:pPr>
            <w:r w:rsidRPr="00B16C45">
              <w:rPr>
                <w:rFonts w:eastAsia="Aptos"/>
              </w:rPr>
              <w:t>109</w:t>
            </w:r>
          </w:p>
        </w:tc>
        <w:tc>
          <w:tcPr>
            <w:tcW w:w="747" w:type="dxa"/>
            <w:noWrap/>
            <w:vAlign w:val="center"/>
            <w:hideMark/>
          </w:tcPr>
          <w:p w14:paraId="2983FD6B" w14:textId="77777777" w:rsidR="00BD34B7" w:rsidRPr="00B16C45" w:rsidRDefault="00BD34B7" w:rsidP="00BD34B7">
            <w:pPr>
              <w:widowControl/>
              <w:autoSpaceDE/>
              <w:autoSpaceDN/>
              <w:spacing w:line="259" w:lineRule="auto"/>
              <w:jc w:val="right"/>
              <w:rPr>
                <w:rFonts w:eastAsia="Aptos"/>
              </w:rPr>
            </w:pPr>
            <w:r w:rsidRPr="00B16C45">
              <w:rPr>
                <w:rFonts w:eastAsia="Aptos"/>
              </w:rPr>
              <w:t>140</w:t>
            </w:r>
          </w:p>
        </w:tc>
        <w:tc>
          <w:tcPr>
            <w:tcW w:w="747" w:type="dxa"/>
            <w:noWrap/>
            <w:vAlign w:val="center"/>
            <w:hideMark/>
          </w:tcPr>
          <w:p w14:paraId="479DC86A" w14:textId="77777777" w:rsidR="00BD34B7" w:rsidRPr="00B16C45" w:rsidRDefault="00BD34B7" w:rsidP="00BD34B7">
            <w:pPr>
              <w:widowControl/>
              <w:autoSpaceDE/>
              <w:autoSpaceDN/>
              <w:spacing w:line="259" w:lineRule="auto"/>
              <w:jc w:val="right"/>
              <w:rPr>
                <w:rFonts w:eastAsia="Aptos"/>
              </w:rPr>
            </w:pPr>
            <w:r w:rsidRPr="00B16C45">
              <w:rPr>
                <w:rFonts w:eastAsia="Aptos"/>
              </w:rPr>
              <w:t>140</w:t>
            </w:r>
          </w:p>
        </w:tc>
      </w:tr>
      <w:tr w:rsidR="00BD34B7" w:rsidRPr="00B16C45" w14:paraId="65236CB2" w14:textId="77777777" w:rsidTr="00B234C3">
        <w:trPr>
          <w:cantSplit/>
          <w:trHeight w:val="290"/>
        </w:trPr>
        <w:tc>
          <w:tcPr>
            <w:tcW w:w="2009" w:type="dxa"/>
            <w:noWrap/>
            <w:vAlign w:val="center"/>
            <w:hideMark/>
          </w:tcPr>
          <w:p w14:paraId="26CEA996" w14:textId="77777777" w:rsidR="00BD34B7" w:rsidRPr="00B16C45" w:rsidRDefault="00BD34B7" w:rsidP="00BD34B7">
            <w:pPr>
              <w:widowControl/>
              <w:autoSpaceDE/>
              <w:autoSpaceDN/>
              <w:spacing w:line="259" w:lineRule="auto"/>
              <w:rPr>
                <w:rFonts w:eastAsia="Aptos"/>
              </w:rPr>
            </w:pPr>
            <w:r w:rsidRPr="00B16C45">
              <w:rPr>
                <w:rFonts w:eastAsia="Aptos"/>
              </w:rPr>
              <w:t>Morton Hospital</w:t>
            </w:r>
          </w:p>
        </w:tc>
        <w:tc>
          <w:tcPr>
            <w:tcW w:w="982" w:type="dxa"/>
            <w:noWrap/>
            <w:vAlign w:val="center"/>
            <w:hideMark/>
          </w:tcPr>
          <w:p w14:paraId="614C9D3B" w14:textId="77777777" w:rsidR="00BD34B7" w:rsidRPr="00B16C45" w:rsidRDefault="00BD34B7" w:rsidP="00BD34B7">
            <w:pPr>
              <w:widowControl/>
              <w:autoSpaceDE/>
              <w:autoSpaceDN/>
              <w:spacing w:line="259" w:lineRule="auto"/>
              <w:jc w:val="right"/>
              <w:rPr>
                <w:rFonts w:eastAsia="Aptos"/>
              </w:rPr>
            </w:pPr>
            <w:r w:rsidRPr="00B16C45">
              <w:rPr>
                <w:rFonts w:eastAsia="Aptos"/>
              </w:rPr>
              <w:t>47,645</w:t>
            </w:r>
          </w:p>
        </w:tc>
        <w:tc>
          <w:tcPr>
            <w:tcW w:w="957" w:type="dxa"/>
            <w:noWrap/>
            <w:vAlign w:val="center"/>
            <w:hideMark/>
          </w:tcPr>
          <w:p w14:paraId="5338D40C" w14:textId="77777777" w:rsidR="00BD34B7" w:rsidRPr="00B16C45" w:rsidRDefault="00BD34B7" w:rsidP="00BD34B7">
            <w:pPr>
              <w:widowControl/>
              <w:autoSpaceDE/>
              <w:autoSpaceDN/>
              <w:spacing w:line="259" w:lineRule="auto"/>
              <w:jc w:val="right"/>
              <w:rPr>
                <w:rFonts w:eastAsia="Aptos"/>
              </w:rPr>
            </w:pPr>
            <w:r w:rsidRPr="00B16C45">
              <w:rPr>
                <w:rFonts w:eastAsia="Aptos"/>
              </w:rPr>
              <w:t>23,554</w:t>
            </w:r>
          </w:p>
        </w:tc>
        <w:tc>
          <w:tcPr>
            <w:tcW w:w="1187" w:type="dxa"/>
            <w:noWrap/>
            <w:vAlign w:val="center"/>
            <w:hideMark/>
          </w:tcPr>
          <w:p w14:paraId="462BB49D" w14:textId="77777777" w:rsidR="00BD34B7" w:rsidRPr="00B16C45" w:rsidRDefault="00BD34B7" w:rsidP="00BD34B7">
            <w:pPr>
              <w:widowControl/>
              <w:autoSpaceDE/>
              <w:autoSpaceDN/>
              <w:spacing w:line="259" w:lineRule="auto"/>
              <w:jc w:val="right"/>
              <w:rPr>
                <w:rFonts w:eastAsia="Aptos"/>
              </w:rPr>
            </w:pPr>
            <w:r w:rsidRPr="00B16C45">
              <w:rPr>
                <w:rFonts w:eastAsia="Aptos"/>
              </w:rPr>
              <w:t>98%</w:t>
            </w:r>
          </w:p>
        </w:tc>
        <w:tc>
          <w:tcPr>
            <w:tcW w:w="962" w:type="dxa"/>
            <w:noWrap/>
            <w:vAlign w:val="center"/>
            <w:hideMark/>
          </w:tcPr>
          <w:p w14:paraId="15BCC63A" w14:textId="77777777" w:rsidR="00BD34B7" w:rsidRPr="00B16C45" w:rsidRDefault="00BD34B7" w:rsidP="00BD34B7">
            <w:pPr>
              <w:widowControl/>
              <w:autoSpaceDE/>
              <w:autoSpaceDN/>
              <w:spacing w:line="259" w:lineRule="auto"/>
              <w:jc w:val="right"/>
              <w:rPr>
                <w:rFonts w:eastAsia="Aptos"/>
              </w:rPr>
            </w:pPr>
            <w:r w:rsidRPr="00B16C45">
              <w:rPr>
                <w:rFonts w:eastAsia="Aptos"/>
              </w:rPr>
              <w:t>101%</w:t>
            </w:r>
          </w:p>
        </w:tc>
        <w:tc>
          <w:tcPr>
            <w:tcW w:w="1027" w:type="dxa"/>
            <w:noWrap/>
            <w:vAlign w:val="center"/>
            <w:hideMark/>
          </w:tcPr>
          <w:p w14:paraId="060D54B9" w14:textId="77777777" w:rsidR="00BD34B7" w:rsidRPr="00B16C45" w:rsidRDefault="00BD34B7" w:rsidP="00BD34B7">
            <w:pPr>
              <w:widowControl/>
              <w:autoSpaceDE/>
              <w:autoSpaceDN/>
              <w:spacing w:line="259" w:lineRule="auto"/>
              <w:jc w:val="right"/>
              <w:rPr>
                <w:rFonts w:eastAsia="Aptos"/>
              </w:rPr>
            </w:pPr>
            <w:r w:rsidRPr="00B16C45">
              <w:rPr>
                <w:rFonts w:eastAsia="Aptos"/>
              </w:rPr>
              <w:t>79</w:t>
            </w:r>
          </w:p>
        </w:tc>
        <w:tc>
          <w:tcPr>
            <w:tcW w:w="952" w:type="dxa"/>
            <w:noWrap/>
            <w:vAlign w:val="center"/>
            <w:hideMark/>
          </w:tcPr>
          <w:p w14:paraId="4877F2C8" w14:textId="77777777" w:rsidR="00BD34B7" w:rsidRPr="00B16C45" w:rsidRDefault="00BD34B7" w:rsidP="00BD34B7">
            <w:pPr>
              <w:widowControl/>
              <w:autoSpaceDE/>
              <w:autoSpaceDN/>
              <w:spacing w:line="259" w:lineRule="auto"/>
              <w:jc w:val="right"/>
              <w:rPr>
                <w:rFonts w:eastAsia="Aptos"/>
              </w:rPr>
            </w:pPr>
            <w:r w:rsidRPr="00B16C45">
              <w:rPr>
                <w:rFonts w:eastAsia="Aptos"/>
              </w:rPr>
              <w:t>82</w:t>
            </w:r>
          </w:p>
        </w:tc>
        <w:tc>
          <w:tcPr>
            <w:tcW w:w="747" w:type="dxa"/>
            <w:noWrap/>
            <w:vAlign w:val="center"/>
            <w:hideMark/>
          </w:tcPr>
          <w:p w14:paraId="3CA9B7A0" w14:textId="77777777" w:rsidR="00BD34B7" w:rsidRPr="00B16C45" w:rsidRDefault="00BD34B7" w:rsidP="00BD34B7">
            <w:pPr>
              <w:widowControl/>
              <w:autoSpaceDE/>
              <w:autoSpaceDN/>
              <w:spacing w:line="259" w:lineRule="auto"/>
              <w:jc w:val="right"/>
              <w:rPr>
                <w:rFonts w:eastAsia="Aptos"/>
              </w:rPr>
            </w:pPr>
            <w:r w:rsidRPr="00B16C45">
              <w:rPr>
                <w:rFonts w:eastAsia="Aptos"/>
              </w:rPr>
              <w:t>81</w:t>
            </w:r>
          </w:p>
        </w:tc>
        <w:tc>
          <w:tcPr>
            <w:tcW w:w="747" w:type="dxa"/>
            <w:noWrap/>
            <w:vAlign w:val="center"/>
            <w:hideMark/>
          </w:tcPr>
          <w:p w14:paraId="55F64E37" w14:textId="77777777" w:rsidR="00BD34B7" w:rsidRPr="00B16C45" w:rsidRDefault="00BD34B7" w:rsidP="00BD34B7">
            <w:pPr>
              <w:widowControl/>
              <w:autoSpaceDE/>
              <w:autoSpaceDN/>
              <w:spacing w:line="259" w:lineRule="auto"/>
              <w:jc w:val="right"/>
              <w:rPr>
                <w:rFonts w:eastAsia="Aptos"/>
              </w:rPr>
            </w:pPr>
            <w:r w:rsidRPr="00B16C45">
              <w:rPr>
                <w:rFonts w:eastAsia="Aptos"/>
              </w:rPr>
              <w:t>81</w:t>
            </w:r>
          </w:p>
        </w:tc>
      </w:tr>
      <w:tr w:rsidR="00BD34B7" w:rsidRPr="00B16C45" w14:paraId="57B908D0" w14:textId="77777777" w:rsidTr="00B234C3">
        <w:trPr>
          <w:cantSplit/>
          <w:trHeight w:val="290"/>
        </w:trPr>
        <w:tc>
          <w:tcPr>
            <w:tcW w:w="2009" w:type="dxa"/>
            <w:noWrap/>
            <w:vAlign w:val="center"/>
            <w:hideMark/>
          </w:tcPr>
          <w:p w14:paraId="1B0DC4E7" w14:textId="77777777" w:rsidR="00BD34B7" w:rsidRPr="00B16C45" w:rsidRDefault="00BD34B7" w:rsidP="00BD34B7">
            <w:pPr>
              <w:widowControl/>
              <w:autoSpaceDE/>
              <w:autoSpaceDN/>
              <w:spacing w:line="259" w:lineRule="auto"/>
              <w:rPr>
                <w:rFonts w:eastAsia="Aptos"/>
              </w:rPr>
            </w:pPr>
            <w:r w:rsidRPr="00B16C45">
              <w:rPr>
                <w:rFonts w:eastAsia="Aptos"/>
              </w:rPr>
              <w:t>Charlton Memorial Hospital</w:t>
            </w:r>
          </w:p>
        </w:tc>
        <w:tc>
          <w:tcPr>
            <w:tcW w:w="982" w:type="dxa"/>
            <w:noWrap/>
            <w:vAlign w:val="center"/>
            <w:hideMark/>
          </w:tcPr>
          <w:p w14:paraId="7A479C65" w14:textId="77777777" w:rsidR="00BD34B7" w:rsidRPr="00B16C45" w:rsidRDefault="00BD34B7" w:rsidP="00BD34B7">
            <w:pPr>
              <w:widowControl/>
              <w:autoSpaceDE/>
              <w:autoSpaceDN/>
              <w:spacing w:line="259" w:lineRule="auto"/>
              <w:jc w:val="right"/>
              <w:rPr>
                <w:rFonts w:eastAsia="Aptos"/>
              </w:rPr>
            </w:pPr>
            <w:r w:rsidRPr="00B16C45">
              <w:rPr>
                <w:rFonts w:eastAsia="Aptos"/>
              </w:rPr>
              <w:t>63,201</w:t>
            </w:r>
          </w:p>
        </w:tc>
        <w:tc>
          <w:tcPr>
            <w:tcW w:w="957" w:type="dxa"/>
            <w:noWrap/>
            <w:vAlign w:val="center"/>
            <w:hideMark/>
          </w:tcPr>
          <w:p w14:paraId="2847BDA9" w14:textId="77777777" w:rsidR="00BD34B7" w:rsidRPr="00B16C45" w:rsidRDefault="00BD34B7" w:rsidP="00BD34B7">
            <w:pPr>
              <w:widowControl/>
              <w:autoSpaceDE/>
              <w:autoSpaceDN/>
              <w:spacing w:line="259" w:lineRule="auto"/>
              <w:jc w:val="right"/>
              <w:rPr>
                <w:rFonts w:eastAsia="Aptos"/>
              </w:rPr>
            </w:pPr>
            <w:r w:rsidRPr="00B16C45">
              <w:rPr>
                <w:rFonts w:eastAsia="Aptos"/>
              </w:rPr>
              <w:t>32,536</w:t>
            </w:r>
          </w:p>
        </w:tc>
        <w:tc>
          <w:tcPr>
            <w:tcW w:w="1187" w:type="dxa"/>
            <w:noWrap/>
            <w:vAlign w:val="center"/>
            <w:hideMark/>
          </w:tcPr>
          <w:p w14:paraId="6343D6AE" w14:textId="77777777" w:rsidR="00BD34B7" w:rsidRPr="00B16C45" w:rsidRDefault="00BD34B7" w:rsidP="00BD34B7">
            <w:pPr>
              <w:widowControl/>
              <w:autoSpaceDE/>
              <w:autoSpaceDN/>
              <w:spacing w:line="259" w:lineRule="auto"/>
              <w:jc w:val="right"/>
              <w:rPr>
                <w:rFonts w:eastAsia="Aptos"/>
              </w:rPr>
            </w:pPr>
            <w:r w:rsidRPr="00B16C45">
              <w:rPr>
                <w:rFonts w:eastAsia="Aptos"/>
              </w:rPr>
              <w:t>59%</w:t>
            </w:r>
          </w:p>
        </w:tc>
        <w:tc>
          <w:tcPr>
            <w:tcW w:w="962" w:type="dxa"/>
            <w:noWrap/>
            <w:vAlign w:val="center"/>
            <w:hideMark/>
          </w:tcPr>
          <w:p w14:paraId="3C8FCCB1" w14:textId="77777777" w:rsidR="00BD34B7" w:rsidRPr="00B16C45" w:rsidRDefault="00BD34B7" w:rsidP="00BD34B7">
            <w:pPr>
              <w:widowControl/>
              <w:autoSpaceDE/>
              <w:autoSpaceDN/>
              <w:spacing w:line="259" w:lineRule="auto"/>
              <w:jc w:val="right"/>
              <w:rPr>
                <w:rFonts w:eastAsia="Aptos"/>
              </w:rPr>
            </w:pPr>
            <w:r w:rsidRPr="00B16C45">
              <w:rPr>
                <w:rFonts w:eastAsia="Aptos"/>
              </w:rPr>
              <w:t>67%</w:t>
            </w:r>
          </w:p>
        </w:tc>
        <w:tc>
          <w:tcPr>
            <w:tcW w:w="1027" w:type="dxa"/>
            <w:noWrap/>
            <w:vAlign w:val="center"/>
            <w:hideMark/>
          </w:tcPr>
          <w:p w14:paraId="73AC8953" w14:textId="77777777" w:rsidR="00BD34B7" w:rsidRPr="00B16C45" w:rsidRDefault="00BD34B7" w:rsidP="00BD34B7">
            <w:pPr>
              <w:widowControl/>
              <w:autoSpaceDE/>
              <w:autoSpaceDN/>
              <w:spacing w:line="259" w:lineRule="auto"/>
              <w:jc w:val="right"/>
              <w:rPr>
                <w:rFonts w:eastAsia="Aptos"/>
              </w:rPr>
            </w:pPr>
            <w:r w:rsidRPr="00B16C45">
              <w:rPr>
                <w:rFonts w:eastAsia="Aptos"/>
              </w:rPr>
              <w:t>146</w:t>
            </w:r>
          </w:p>
        </w:tc>
        <w:tc>
          <w:tcPr>
            <w:tcW w:w="952" w:type="dxa"/>
            <w:noWrap/>
            <w:vAlign w:val="center"/>
            <w:hideMark/>
          </w:tcPr>
          <w:p w14:paraId="3D1D2BFD" w14:textId="77777777" w:rsidR="00BD34B7" w:rsidRPr="00B16C45" w:rsidRDefault="00BD34B7" w:rsidP="00BD34B7">
            <w:pPr>
              <w:widowControl/>
              <w:autoSpaceDE/>
              <w:autoSpaceDN/>
              <w:spacing w:line="259" w:lineRule="auto"/>
              <w:jc w:val="right"/>
              <w:rPr>
                <w:rFonts w:eastAsia="Aptos"/>
              </w:rPr>
            </w:pPr>
            <w:r w:rsidRPr="00B16C45">
              <w:rPr>
                <w:rFonts w:eastAsia="Aptos"/>
              </w:rPr>
              <w:t>165</w:t>
            </w:r>
          </w:p>
        </w:tc>
        <w:tc>
          <w:tcPr>
            <w:tcW w:w="747" w:type="dxa"/>
            <w:noWrap/>
            <w:vAlign w:val="center"/>
            <w:hideMark/>
          </w:tcPr>
          <w:p w14:paraId="232D660C" w14:textId="77777777" w:rsidR="00BD34B7" w:rsidRPr="00B16C45" w:rsidRDefault="00BD34B7" w:rsidP="00BD34B7">
            <w:pPr>
              <w:widowControl/>
              <w:autoSpaceDE/>
              <w:autoSpaceDN/>
              <w:spacing w:line="259" w:lineRule="auto"/>
              <w:jc w:val="right"/>
              <w:rPr>
                <w:rFonts w:eastAsia="Aptos"/>
              </w:rPr>
            </w:pPr>
            <w:r w:rsidRPr="00B16C45">
              <w:rPr>
                <w:rFonts w:eastAsia="Aptos"/>
              </w:rPr>
              <w:t>246</w:t>
            </w:r>
          </w:p>
        </w:tc>
        <w:tc>
          <w:tcPr>
            <w:tcW w:w="747" w:type="dxa"/>
            <w:noWrap/>
            <w:vAlign w:val="center"/>
            <w:hideMark/>
          </w:tcPr>
          <w:p w14:paraId="1FB0ABBC" w14:textId="77777777" w:rsidR="00BD34B7" w:rsidRPr="00B16C45" w:rsidRDefault="00BD34B7" w:rsidP="00BD34B7">
            <w:pPr>
              <w:widowControl/>
              <w:autoSpaceDE/>
              <w:autoSpaceDN/>
              <w:spacing w:line="259" w:lineRule="auto"/>
              <w:jc w:val="right"/>
              <w:rPr>
                <w:rFonts w:eastAsia="Aptos"/>
              </w:rPr>
            </w:pPr>
            <w:r w:rsidRPr="00B16C45">
              <w:rPr>
                <w:rFonts w:eastAsia="Aptos"/>
              </w:rPr>
              <w:t>246</w:t>
            </w:r>
          </w:p>
        </w:tc>
      </w:tr>
      <w:tr w:rsidR="00BD34B7" w:rsidRPr="00B16C45" w14:paraId="19306EB0" w14:textId="77777777" w:rsidTr="00B234C3">
        <w:trPr>
          <w:cantSplit/>
          <w:trHeight w:val="290"/>
        </w:trPr>
        <w:tc>
          <w:tcPr>
            <w:tcW w:w="2009" w:type="dxa"/>
            <w:noWrap/>
            <w:vAlign w:val="center"/>
            <w:hideMark/>
          </w:tcPr>
          <w:p w14:paraId="7093F245" w14:textId="77777777" w:rsidR="00BD34B7" w:rsidRPr="00B16C45" w:rsidRDefault="00BD34B7" w:rsidP="00BD34B7">
            <w:pPr>
              <w:widowControl/>
              <w:autoSpaceDE/>
              <w:autoSpaceDN/>
              <w:spacing w:line="259" w:lineRule="auto"/>
              <w:rPr>
                <w:rFonts w:eastAsia="Aptos"/>
              </w:rPr>
            </w:pPr>
            <w:r w:rsidRPr="00B16C45">
              <w:rPr>
                <w:rFonts w:eastAsia="Aptos"/>
              </w:rPr>
              <w:t>Sturdy Memorial Hospital</w:t>
            </w:r>
          </w:p>
        </w:tc>
        <w:tc>
          <w:tcPr>
            <w:tcW w:w="982" w:type="dxa"/>
            <w:noWrap/>
            <w:vAlign w:val="center"/>
            <w:hideMark/>
          </w:tcPr>
          <w:p w14:paraId="76C231AE" w14:textId="77777777" w:rsidR="00BD34B7" w:rsidRPr="00B16C45" w:rsidRDefault="00BD34B7" w:rsidP="00BD34B7">
            <w:pPr>
              <w:widowControl/>
              <w:autoSpaceDE/>
              <w:autoSpaceDN/>
              <w:spacing w:line="259" w:lineRule="auto"/>
              <w:jc w:val="right"/>
              <w:rPr>
                <w:rFonts w:eastAsia="Aptos"/>
              </w:rPr>
            </w:pPr>
            <w:r w:rsidRPr="00B16C45">
              <w:rPr>
                <w:rFonts w:eastAsia="Aptos"/>
              </w:rPr>
              <w:t>52,979</w:t>
            </w:r>
          </w:p>
        </w:tc>
        <w:tc>
          <w:tcPr>
            <w:tcW w:w="957" w:type="dxa"/>
            <w:noWrap/>
            <w:vAlign w:val="center"/>
            <w:hideMark/>
          </w:tcPr>
          <w:p w14:paraId="12F8E0B7" w14:textId="77777777" w:rsidR="00BD34B7" w:rsidRPr="00B16C45" w:rsidRDefault="00BD34B7" w:rsidP="00BD34B7">
            <w:pPr>
              <w:widowControl/>
              <w:autoSpaceDE/>
              <w:autoSpaceDN/>
              <w:spacing w:line="259" w:lineRule="auto"/>
              <w:jc w:val="right"/>
              <w:rPr>
                <w:rFonts w:eastAsia="Aptos"/>
              </w:rPr>
            </w:pPr>
            <w:r w:rsidRPr="00B16C45">
              <w:rPr>
                <w:rFonts w:eastAsia="Aptos"/>
              </w:rPr>
              <w:t>26,623</w:t>
            </w:r>
          </w:p>
        </w:tc>
        <w:tc>
          <w:tcPr>
            <w:tcW w:w="1187" w:type="dxa"/>
            <w:noWrap/>
            <w:vAlign w:val="center"/>
            <w:hideMark/>
          </w:tcPr>
          <w:p w14:paraId="70D193BC" w14:textId="77777777" w:rsidR="00BD34B7" w:rsidRPr="00B16C45" w:rsidRDefault="00BD34B7" w:rsidP="00BD34B7">
            <w:pPr>
              <w:widowControl/>
              <w:autoSpaceDE/>
              <w:autoSpaceDN/>
              <w:spacing w:line="259" w:lineRule="auto"/>
              <w:jc w:val="right"/>
              <w:rPr>
                <w:rFonts w:eastAsia="Aptos"/>
              </w:rPr>
            </w:pPr>
            <w:r w:rsidRPr="00B16C45">
              <w:rPr>
                <w:rFonts w:eastAsia="Aptos"/>
              </w:rPr>
              <w:t>113%</w:t>
            </w:r>
          </w:p>
        </w:tc>
        <w:tc>
          <w:tcPr>
            <w:tcW w:w="962" w:type="dxa"/>
            <w:noWrap/>
            <w:vAlign w:val="center"/>
            <w:hideMark/>
          </w:tcPr>
          <w:p w14:paraId="331D8989" w14:textId="77777777" w:rsidR="00BD34B7" w:rsidRPr="00B16C45" w:rsidRDefault="00BD34B7" w:rsidP="00BD34B7">
            <w:pPr>
              <w:widowControl/>
              <w:autoSpaceDE/>
              <w:autoSpaceDN/>
              <w:spacing w:line="259" w:lineRule="auto"/>
              <w:jc w:val="right"/>
              <w:rPr>
                <w:rFonts w:eastAsia="Aptos"/>
              </w:rPr>
            </w:pPr>
            <w:r w:rsidRPr="00B16C45">
              <w:rPr>
                <w:rFonts w:eastAsia="Aptos"/>
              </w:rPr>
              <w:t>119%</w:t>
            </w:r>
          </w:p>
        </w:tc>
        <w:tc>
          <w:tcPr>
            <w:tcW w:w="1027" w:type="dxa"/>
            <w:noWrap/>
            <w:vAlign w:val="center"/>
            <w:hideMark/>
          </w:tcPr>
          <w:p w14:paraId="0F321886" w14:textId="77777777" w:rsidR="00BD34B7" w:rsidRPr="00B16C45" w:rsidRDefault="00BD34B7" w:rsidP="00BD34B7">
            <w:pPr>
              <w:widowControl/>
              <w:autoSpaceDE/>
              <w:autoSpaceDN/>
              <w:spacing w:line="259" w:lineRule="auto"/>
              <w:jc w:val="right"/>
              <w:rPr>
                <w:rFonts w:eastAsia="Aptos"/>
              </w:rPr>
            </w:pPr>
            <w:r w:rsidRPr="00B16C45">
              <w:rPr>
                <w:rFonts w:eastAsia="Aptos"/>
              </w:rPr>
              <w:t>106</w:t>
            </w:r>
          </w:p>
        </w:tc>
        <w:tc>
          <w:tcPr>
            <w:tcW w:w="952" w:type="dxa"/>
            <w:noWrap/>
            <w:vAlign w:val="center"/>
            <w:hideMark/>
          </w:tcPr>
          <w:p w14:paraId="0FE398A9" w14:textId="77777777" w:rsidR="00BD34B7" w:rsidRPr="00B16C45" w:rsidRDefault="00BD34B7" w:rsidP="00BD34B7">
            <w:pPr>
              <w:widowControl/>
              <w:autoSpaceDE/>
              <w:autoSpaceDN/>
              <w:spacing w:line="259" w:lineRule="auto"/>
              <w:jc w:val="right"/>
              <w:rPr>
                <w:rFonts w:eastAsia="Aptos"/>
              </w:rPr>
            </w:pPr>
            <w:r w:rsidRPr="00B16C45">
              <w:rPr>
                <w:rFonts w:eastAsia="Aptos"/>
              </w:rPr>
              <w:t>112</w:t>
            </w:r>
          </w:p>
        </w:tc>
        <w:tc>
          <w:tcPr>
            <w:tcW w:w="747" w:type="dxa"/>
            <w:noWrap/>
            <w:vAlign w:val="center"/>
            <w:hideMark/>
          </w:tcPr>
          <w:p w14:paraId="296445EA" w14:textId="77777777" w:rsidR="00BD34B7" w:rsidRPr="00B16C45" w:rsidRDefault="00BD34B7" w:rsidP="00BD34B7">
            <w:pPr>
              <w:widowControl/>
              <w:autoSpaceDE/>
              <w:autoSpaceDN/>
              <w:spacing w:line="259" w:lineRule="auto"/>
              <w:jc w:val="right"/>
              <w:rPr>
                <w:rFonts w:eastAsia="Aptos"/>
              </w:rPr>
            </w:pPr>
            <w:r w:rsidRPr="00B16C45">
              <w:rPr>
                <w:rFonts w:eastAsia="Aptos"/>
              </w:rPr>
              <w:t>94</w:t>
            </w:r>
          </w:p>
        </w:tc>
        <w:tc>
          <w:tcPr>
            <w:tcW w:w="747" w:type="dxa"/>
            <w:noWrap/>
            <w:vAlign w:val="center"/>
            <w:hideMark/>
          </w:tcPr>
          <w:p w14:paraId="06DAF688" w14:textId="77777777" w:rsidR="00BD34B7" w:rsidRPr="00B16C45" w:rsidRDefault="00BD34B7" w:rsidP="00BD34B7">
            <w:pPr>
              <w:widowControl/>
              <w:autoSpaceDE/>
              <w:autoSpaceDN/>
              <w:spacing w:line="259" w:lineRule="auto"/>
              <w:jc w:val="right"/>
              <w:rPr>
                <w:rFonts w:eastAsia="Aptos"/>
              </w:rPr>
            </w:pPr>
            <w:r w:rsidRPr="00B16C45">
              <w:rPr>
                <w:rFonts w:eastAsia="Aptos"/>
              </w:rPr>
              <w:t>94</w:t>
            </w:r>
          </w:p>
        </w:tc>
      </w:tr>
      <w:tr w:rsidR="00BD34B7" w:rsidRPr="00B16C45" w14:paraId="2A93241D" w14:textId="77777777" w:rsidTr="00B234C3">
        <w:trPr>
          <w:cantSplit/>
          <w:trHeight w:val="290"/>
        </w:trPr>
        <w:tc>
          <w:tcPr>
            <w:tcW w:w="2009" w:type="dxa"/>
            <w:noWrap/>
            <w:vAlign w:val="center"/>
            <w:hideMark/>
          </w:tcPr>
          <w:p w14:paraId="72132103" w14:textId="77777777" w:rsidR="00BD34B7" w:rsidRPr="00B16C45" w:rsidRDefault="00BD34B7" w:rsidP="00BD34B7">
            <w:pPr>
              <w:widowControl/>
              <w:autoSpaceDE/>
              <w:autoSpaceDN/>
              <w:spacing w:line="259" w:lineRule="auto"/>
              <w:rPr>
                <w:rFonts w:eastAsia="Aptos"/>
              </w:rPr>
            </w:pPr>
            <w:r w:rsidRPr="00B16C45">
              <w:rPr>
                <w:rFonts w:eastAsia="Aptos"/>
              </w:rPr>
              <w:t>Good Samaritan Medical Center</w:t>
            </w:r>
          </w:p>
        </w:tc>
        <w:tc>
          <w:tcPr>
            <w:tcW w:w="982" w:type="dxa"/>
            <w:noWrap/>
            <w:vAlign w:val="center"/>
            <w:hideMark/>
          </w:tcPr>
          <w:p w14:paraId="62E67071" w14:textId="77777777" w:rsidR="00BD34B7" w:rsidRPr="00B16C45" w:rsidRDefault="00BD34B7" w:rsidP="00BD34B7">
            <w:pPr>
              <w:widowControl/>
              <w:autoSpaceDE/>
              <w:autoSpaceDN/>
              <w:spacing w:line="259" w:lineRule="auto"/>
              <w:jc w:val="right"/>
              <w:rPr>
                <w:rFonts w:eastAsia="Aptos"/>
              </w:rPr>
            </w:pPr>
            <w:r w:rsidRPr="00B16C45">
              <w:rPr>
                <w:rFonts w:eastAsia="Aptos"/>
              </w:rPr>
              <w:t>72,877</w:t>
            </w:r>
          </w:p>
        </w:tc>
        <w:tc>
          <w:tcPr>
            <w:tcW w:w="957" w:type="dxa"/>
            <w:noWrap/>
            <w:vAlign w:val="center"/>
            <w:hideMark/>
          </w:tcPr>
          <w:p w14:paraId="3D747EBC" w14:textId="77777777" w:rsidR="00BD34B7" w:rsidRPr="00B16C45" w:rsidRDefault="00BD34B7" w:rsidP="00BD34B7">
            <w:pPr>
              <w:widowControl/>
              <w:autoSpaceDE/>
              <w:autoSpaceDN/>
              <w:spacing w:line="259" w:lineRule="auto"/>
              <w:jc w:val="right"/>
              <w:rPr>
                <w:rFonts w:eastAsia="Aptos"/>
              </w:rPr>
            </w:pPr>
            <w:r w:rsidRPr="00B16C45">
              <w:rPr>
                <w:rFonts w:eastAsia="Aptos"/>
              </w:rPr>
              <w:t>34,666</w:t>
            </w:r>
          </w:p>
        </w:tc>
        <w:tc>
          <w:tcPr>
            <w:tcW w:w="1187" w:type="dxa"/>
            <w:noWrap/>
            <w:vAlign w:val="center"/>
            <w:hideMark/>
          </w:tcPr>
          <w:p w14:paraId="392ECA6A" w14:textId="77777777" w:rsidR="00BD34B7" w:rsidRPr="00B16C45" w:rsidRDefault="00BD34B7" w:rsidP="00BD34B7">
            <w:pPr>
              <w:widowControl/>
              <w:autoSpaceDE/>
              <w:autoSpaceDN/>
              <w:spacing w:line="259" w:lineRule="auto"/>
              <w:jc w:val="right"/>
              <w:rPr>
                <w:rFonts w:eastAsia="Aptos"/>
              </w:rPr>
            </w:pPr>
            <w:r w:rsidRPr="00B16C45">
              <w:rPr>
                <w:rFonts w:eastAsia="Aptos"/>
              </w:rPr>
              <w:t>90%</w:t>
            </w:r>
          </w:p>
        </w:tc>
        <w:tc>
          <w:tcPr>
            <w:tcW w:w="962" w:type="dxa"/>
            <w:noWrap/>
            <w:vAlign w:val="center"/>
            <w:hideMark/>
          </w:tcPr>
          <w:p w14:paraId="53180F5C" w14:textId="77777777" w:rsidR="00BD34B7" w:rsidRPr="00B16C45" w:rsidRDefault="00BD34B7" w:rsidP="00BD34B7">
            <w:pPr>
              <w:widowControl/>
              <w:autoSpaceDE/>
              <w:autoSpaceDN/>
              <w:spacing w:line="259" w:lineRule="auto"/>
              <w:jc w:val="right"/>
              <w:rPr>
                <w:rFonts w:eastAsia="Aptos"/>
              </w:rPr>
            </w:pPr>
            <w:r w:rsidRPr="00B16C45">
              <w:rPr>
                <w:rFonts w:eastAsia="Aptos"/>
              </w:rPr>
              <w:t>88%</w:t>
            </w:r>
          </w:p>
        </w:tc>
        <w:tc>
          <w:tcPr>
            <w:tcW w:w="1027" w:type="dxa"/>
            <w:noWrap/>
            <w:vAlign w:val="center"/>
            <w:hideMark/>
          </w:tcPr>
          <w:p w14:paraId="5D1227DE" w14:textId="77777777" w:rsidR="00BD34B7" w:rsidRPr="00B16C45" w:rsidRDefault="00BD34B7" w:rsidP="00BD34B7">
            <w:pPr>
              <w:widowControl/>
              <w:autoSpaceDE/>
              <w:autoSpaceDN/>
              <w:spacing w:line="259" w:lineRule="auto"/>
              <w:jc w:val="right"/>
              <w:rPr>
                <w:rFonts w:eastAsia="Aptos"/>
              </w:rPr>
            </w:pPr>
            <w:r w:rsidRPr="00B16C45">
              <w:rPr>
                <w:rFonts w:eastAsia="Aptos"/>
              </w:rPr>
              <w:t>152</w:t>
            </w:r>
          </w:p>
        </w:tc>
        <w:tc>
          <w:tcPr>
            <w:tcW w:w="952" w:type="dxa"/>
            <w:noWrap/>
            <w:vAlign w:val="center"/>
            <w:hideMark/>
          </w:tcPr>
          <w:p w14:paraId="1C905B9F" w14:textId="77777777" w:rsidR="00BD34B7" w:rsidRPr="00B16C45" w:rsidRDefault="00BD34B7" w:rsidP="00BD34B7">
            <w:pPr>
              <w:widowControl/>
              <w:autoSpaceDE/>
              <w:autoSpaceDN/>
              <w:spacing w:line="259" w:lineRule="auto"/>
              <w:jc w:val="right"/>
              <w:rPr>
                <w:rFonts w:eastAsia="Aptos"/>
              </w:rPr>
            </w:pPr>
            <w:r w:rsidRPr="00B16C45">
              <w:rPr>
                <w:rFonts w:eastAsia="Aptos"/>
              </w:rPr>
              <w:t>148</w:t>
            </w:r>
          </w:p>
        </w:tc>
        <w:tc>
          <w:tcPr>
            <w:tcW w:w="747" w:type="dxa"/>
            <w:noWrap/>
            <w:vAlign w:val="center"/>
            <w:hideMark/>
          </w:tcPr>
          <w:p w14:paraId="6917B2C8" w14:textId="77777777" w:rsidR="00BD34B7" w:rsidRPr="00B16C45" w:rsidRDefault="00BD34B7" w:rsidP="00BD34B7">
            <w:pPr>
              <w:widowControl/>
              <w:autoSpaceDE/>
              <w:autoSpaceDN/>
              <w:spacing w:line="259" w:lineRule="auto"/>
              <w:jc w:val="right"/>
              <w:rPr>
                <w:rFonts w:eastAsia="Aptos"/>
              </w:rPr>
            </w:pPr>
            <w:r w:rsidRPr="00B16C45">
              <w:rPr>
                <w:rFonts w:eastAsia="Aptos"/>
              </w:rPr>
              <w:t>168</w:t>
            </w:r>
          </w:p>
        </w:tc>
        <w:tc>
          <w:tcPr>
            <w:tcW w:w="747" w:type="dxa"/>
            <w:noWrap/>
            <w:vAlign w:val="center"/>
            <w:hideMark/>
          </w:tcPr>
          <w:p w14:paraId="4D32A28F" w14:textId="77777777" w:rsidR="00BD34B7" w:rsidRPr="00B16C45" w:rsidRDefault="00BD34B7" w:rsidP="00BD34B7">
            <w:pPr>
              <w:widowControl/>
              <w:autoSpaceDE/>
              <w:autoSpaceDN/>
              <w:spacing w:line="259" w:lineRule="auto"/>
              <w:jc w:val="right"/>
              <w:rPr>
                <w:rFonts w:eastAsia="Aptos"/>
              </w:rPr>
            </w:pPr>
            <w:r w:rsidRPr="00B16C45">
              <w:rPr>
                <w:rFonts w:eastAsia="Aptos"/>
              </w:rPr>
              <w:t>168</w:t>
            </w:r>
          </w:p>
        </w:tc>
      </w:tr>
      <w:tr w:rsidR="00BD34B7" w:rsidRPr="00B16C45" w14:paraId="37D78366" w14:textId="77777777" w:rsidTr="00B234C3">
        <w:trPr>
          <w:cantSplit/>
          <w:trHeight w:val="290"/>
        </w:trPr>
        <w:tc>
          <w:tcPr>
            <w:tcW w:w="2009" w:type="dxa"/>
            <w:noWrap/>
            <w:vAlign w:val="center"/>
            <w:hideMark/>
          </w:tcPr>
          <w:p w14:paraId="69DD300B" w14:textId="77777777" w:rsidR="00BD34B7" w:rsidRPr="00B16C45" w:rsidRDefault="00BD34B7" w:rsidP="00BD34B7">
            <w:pPr>
              <w:widowControl/>
              <w:autoSpaceDE/>
              <w:autoSpaceDN/>
              <w:spacing w:line="259" w:lineRule="auto"/>
              <w:rPr>
                <w:rFonts w:eastAsia="Aptos"/>
              </w:rPr>
            </w:pPr>
            <w:r w:rsidRPr="00B16C45">
              <w:rPr>
                <w:rFonts w:eastAsia="Aptos"/>
              </w:rPr>
              <w:t>St. Luke’s Hospital</w:t>
            </w:r>
          </w:p>
        </w:tc>
        <w:tc>
          <w:tcPr>
            <w:tcW w:w="982" w:type="dxa"/>
            <w:noWrap/>
            <w:vAlign w:val="center"/>
            <w:hideMark/>
          </w:tcPr>
          <w:p w14:paraId="65890915" w14:textId="77777777" w:rsidR="00BD34B7" w:rsidRPr="00B16C45" w:rsidRDefault="00BD34B7" w:rsidP="00BD34B7">
            <w:pPr>
              <w:widowControl/>
              <w:autoSpaceDE/>
              <w:autoSpaceDN/>
              <w:spacing w:line="259" w:lineRule="auto"/>
              <w:jc w:val="right"/>
              <w:rPr>
                <w:rFonts w:eastAsia="Aptos"/>
              </w:rPr>
            </w:pPr>
            <w:r w:rsidRPr="00B16C45">
              <w:rPr>
                <w:rFonts w:eastAsia="Aptos"/>
              </w:rPr>
              <w:t>87,199</w:t>
            </w:r>
          </w:p>
        </w:tc>
        <w:tc>
          <w:tcPr>
            <w:tcW w:w="957" w:type="dxa"/>
            <w:noWrap/>
            <w:vAlign w:val="center"/>
            <w:hideMark/>
          </w:tcPr>
          <w:p w14:paraId="552E6AD5" w14:textId="77777777" w:rsidR="00BD34B7" w:rsidRPr="00B16C45" w:rsidRDefault="00BD34B7" w:rsidP="00BD34B7">
            <w:pPr>
              <w:widowControl/>
              <w:autoSpaceDE/>
              <w:autoSpaceDN/>
              <w:spacing w:line="259" w:lineRule="auto"/>
              <w:jc w:val="right"/>
              <w:rPr>
                <w:rFonts w:eastAsia="Aptos"/>
              </w:rPr>
            </w:pPr>
            <w:r w:rsidRPr="00B16C45">
              <w:rPr>
                <w:rFonts w:eastAsia="Aptos"/>
              </w:rPr>
              <w:t>44,013</w:t>
            </w:r>
          </w:p>
        </w:tc>
        <w:tc>
          <w:tcPr>
            <w:tcW w:w="1187" w:type="dxa"/>
            <w:noWrap/>
            <w:vAlign w:val="center"/>
            <w:hideMark/>
          </w:tcPr>
          <w:p w14:paraId="70C53F0C" w14:textId="77777777" w:rsidR="00BD34B7" w:rsidRPr="00B16C45" w:rsidRDefault="00BD34B7" w:rsidP="00BD34B7">
            <w:pPr>
              <w:widowControl/>
              <w:autoSpaceDE/>
              <w:autoSpaceDN/>
              <w:spacing w:line="259" w:lineRule="auto"/>
              <w:jc w:val="right"/>
              <w:rPr>
                <w:rFonts w:eastAsia="Aptos"/>
              </w:rPr>
            </w:pPr>
            <w:r w:rsidRPr="00B16C45">
              <w:rPr>
                <w:rFonts w:eastAsia="Aptos"/>
              </w:rPr>
              <w:t>58%</w:t>
            </w:r>
          </w:p>
        </w:tc>
        <w:tc>
          <w:tcPr>
            <w:tcW w:w="962" w:type="dxa"/>
            <w:noWrap/>
            <w:vAlign w:val="center"/>
            <w:hideMark/>
          </w:tcPr>
          <w:p w14:paraId="5A10AF1C" w14:textId="77777777" w:rsidR="00BD34B7" w:rsidRPr="00B16C45" w:rsidRDefault="00BD34B7" w:rsidP="00BD34B7">
            <w:pPr>
              <w:widowControl/>
              <w:autoSpaceDE/>
              <w:autoSpaceDN/>
              <w:spacing w:line="259" w:lineRule="auto"/>
              <w:jc w:val="right"/>
              <w:rPr>
                <w:rFonts w:eastAsia="Aptos"/>
              </w:rPr>
            </w:pPr>
            <w:r w:rsidRPr="00B16C45">
              <w:rPr>
                <w:rFonts w:eastAsia="Aptos"/>
              </w:rPr>
              <w:t>62%</w:t>
            </w:r>
          </w:p>
        </w:tc>
        <w:tc>
          <w:tcPr>
            <w:tcW w:w="1027" w:type="dxa"/>
            <w:noWrap/>
            <w:vAlign w:val="center"/>
            <w:hideMark/>
          </w:tcPr>
          <w:p w14:paraId="4D1AB9D6" w14:textId="77777777" w:rsidR="00BD34B7" w:rsidRPr="00B16C45" w:rsidRDefault="00BD34B7" w:rsidP="00BD34B7">
            <w:pPr>
              <w:widowControl/>
              <w:autoSpaceDE/>
              <w:autoSpaceDN/>
              <w:spacing w:line="259" w:lineRule="auto"/>
              <w:jc w:val="right"/>
              <w:rPr>
                <w:rFonts w:eastAsia="Aptos"/>
              </w:rPr>
            </w:pPr>
            <w:r w:rsidRPr="00B16C45">
              <w:rPr>
                <w:rFonts w:eastAsia="Aptos"/>
              </w:rPr>
              <w:t>188</w:t>
            </w:r>
          </w:p>
        </w:tc>
        <w:tc>
          <w:tcPr>
            <w:tcW w:w="952" w:type="dxa"/>
            <w:noWrap/>
            <w:vAlign w:val="center"/>
            <w:hideMark/>
          </w:tcPr>
          <w:p w14:paraId="15581977" w14:textId="77777777" w:rsidR="00BD34B7" w:rsidRPr="00B16C45" w:rsidRDefault="00BD34B7" w:rsidP="00BD34B7">
            <w:pPr>
              <w:widowControl/>
              <w:autoSpaceDE/>
              <w:autoSpaceDN/>
              <w:spacing w:line="259" w:lineRule="auto"/>
              <w:jc w:val="right"/>
              <w:rPr>
                <w:rFonts w:eastAsia="Aptos"/>
              </w:rPr>
            </w:pPr>
            <w:r w:rsidRPr="00B16C45">
              <w:rPr>
                <w:rFonts w:eastAsia="Aptos"/>
              </w:rPr>
              <w:t>199</w:t>
            </w:r>
          </w:p>
        </w:tc>
        <w:tc>
          <w:tcPr>
            <w:tcW w:w="747" w:type="dxa"/>
            <w:noWrap/>
            <w:vAlign w:val="center"/>
            <w:hideMark/>
          </w:tcPr>
          <w:p w14:paraId="6FD5B216" w14:textId="77777777" w:rsidR="00BD34B7" w:rsidRPr="00B16C45" w:rsidRDefault="00BD34B7" w:rsidP="00BD34B7">
            <w:pPr>
              <w:widowControl/>
              <w:autoSpaceDE/>
              <w:autoSpaceDN/>
              <w:spacing w:line="259" w:lineRule="auto"/>
              <w:jc w:val="right"/>
              <w:rPr>
                <w:rFonts w:eastAsia="Aptos"/>
              </w:rPr>
            </w:pPr>
            <w:r w:rsidRPr="00B16C45">
              <w:rPr>
                <w:rFonts w:eastAsia="Aptos"/>
              </w:rPr>
              <w:t>323</w:t>
            </w:r>
          </w:p>
        </w:tc>
        <w:tc>
          <w:tcPr>
            <w:tcW w:w="747" w:type="dxa"/>
            <w:noWrap/>
            <w:vAlign w:val="center"/>
            <w:hideMark/>
          </w:tcPr>
          <w:p w14:paraId="741DD73F" w14:textId="77777777" w:rsidR="00BD34B7" w:rsidRPr="00B16C45" w:rsidRDefault="00BD34B7" w:rsidP="00BD34B7">
            <w:pPr>
              <w:widowControl/>
              <w:autoSpaceDE/>
              <w:autoSpaceDN/>
              <w:spacing w:line="259" w:lineRule="auto"/>
              <w:jc w:val="right"/>
              <w:rPr>
                <w:rFonts w:eastAsia="Aptos"/>
              </w:rPr>
            </w:pPr>
            <w:r w:rsidRPr="00B16C45">
              <w:rPr>
                <w:rFonts w:eastAsia="Aptos"/>
              </w:rPr>
              <w:t>323</w:t>
            </w:r>
          </w:p>
        </w:tc>
      </w:tr>
      <w:tr w:rsidR="00BD34B7" w:rsidRPr="00B16C45" w14:paraId="5D450D08" w14:textId="77777777" w:rsidTr="00B234C3">
        <w:trPr>
          <w:cantSplit/>
          <w:trHeight w:val="290"/>
        </w:trPr>
        <w:tc>
          <w:tcPr>
            <w:tcW w:w="2009" w:type="dxa"/>
            <w:noWrap/>
            <w:vAlign w:val="center"/>
            <w:hideMark/>
          </w:tcPr>
          <w:p w14:paraId="61D8AF1A" w14:textId="77777777" w:rsidR="00BD34B7" w:rsidRPr="00B16C45" w:rsidRDefault="00BD34B7" w:rsidP="00BD34B7">
            <w:pPr>
              <w:widowControl/>
              <w:autoSpaceDE/>
              <w:autoSpaceDN/>
              <w:spacing w:line="259" w:lineRule="auto"/>
              <w:rPr>
                <w:rFonts w:eastAsia="Aptos"/>
              </w:rPr>
            </w:pPr>
            <w:r w:rsidRPr="00B16C45">
              <w:rPr>
                <w:rFonts w:eastAsia="Aptos"/>
              </w:rPr>
              <w:t>Total</w:t>
            </w:r>
          </w:p>
        </w:tc>
        <w:tc>
          <w:tcPr>
            <w:tcW w:w="982" w:type="dxa"/>
            <w:noWrap/>
            <w:vAlign w:val="center"/>
            <w:hideMark/>
          </w:tcPr>
          <w:p w14:paraId="50C26A7C" w14:textId="77777777" w:rsidR="00BD34B7" w:rsidRPr="00B16C45" w:rsidRDefault="00BD34B7" w:rsidP="00BD34B7">
            <w:pPr>
              <w:widowControl/>
              <w:autoSpaceDE/>
              <w:autoSpaceDN/>
              <w:spacing w:line="259" w:lineRule="auto"/>
              <w:jc w:val="right"/>
              <w:rPr>
                <w:rFonts w:eastAsia="Aptos"/>
              </w:rPr>
            </w:pPr>
            <w:r w:rsidRPr="00B16C45">
              <w:rPr>
                <w:rFonts w:eastAsia="Aptos"/>
              </w:rPr>
              <w:t>372,441</w:t>
            </w:r>
          </w:p>
        </w:tc>
        <w:tc>
          <w:tcPr>
            <w:tcW w:w="957" w:type="dxa"/>
            <w:noWrap/>
            <w:vAlign w:val="center"/>
            <w:hideMark/>
          </w:tcPr>
          <w:p w14:paraId="4D7C026B" w14:textId="77777777" w:rsidR="00BD34B7" w:rsidRPr="00B16C45" w:rsidRDefault="00BD34B7" w:rsidP="00BD34B7">
            <w:pPr>
              <w:widowControl/>
              <w:autoSpaceDE/>
              <w:autoSpaceDN/>
              <w:spacing w:line="259" w:lineRule="auto"/>
              <w:jc w:val="right"/>
              <w:rPr>
                <w:rFonts w:eastAsia="Aptos"/>
              </w:rPr>
            </w:pPr>
            <w:r w:rsidRPr="00B16C45">
              <w:rPr>
                <w:rFonts w:eastAsia="Aptos"/>
              </w:rPr>
              <w:t>184,805</w:t>
            </w:r>
          </w:p>
        </w:tc>
        <w:tc>
          <w:tcPr>
            <w:tcW w:w="1187" w:type="dxa"/>
            <w:noWrap/>
            <w:vAlign w:val="center"/>
            <w:hideMark/>
          </w:tcPr>
          <w:p w14:paraId="2975A7E0" w14:textId="77777777" w:rsidR="00BD34B7" w:rsidRPr="00B16C45" w:rsidRDefault="00BD34B7" w:rsidP="00BD34B7">
            <w:pPr>
              <w:widowControl/>
              <w:autoSpaceDE/>
              <w:autoSpaceDN/>
              <w:spacing w:line="259" w:lineRule="auto"/>
              <w:jc w:val="right"/>
              <w:rPr>
                <w:rFonts w:eastAsia="Aptos"/>
              </w:rPr>
            </w:pPr>
          </w:p>
        </w:tc>
        <w:tc>
          <w:tcPr>
            <w:tcW w:w="962" w:type="dxa"/>
            <w:noWrap/>
            <w:vAlign w:val="center"/>
            <w:hideMark/>
          </w:tcPr>
          <w:p w14:paraId="21B61086" w14:textId="77777777" w:rsidR="00BD34B7" w:rsidRPr="00B16C45" w:rsidRDefault="00BD34B7" w:rsidP="00BD34B7">
            <w:pPr>
              <w:widowControl/>
              <w:autoSpaceDE/>
              <w:autoSpaceDN/>
              <w:spacing w:line="259" w:lineRule="auto"/>
              <w:jc w:val="right"/>
              <w:rPr>
                <w:rFonts w:eastAsia="Aptos"/>
              </w:rPr>
            </w:pPr>
          </w:p>
        </w:tc>
        <w:tc>
          <w:tcPr>
            <w:tcW w:w="1027" w:type="dxa"/>
            <w:noWrap/>
            <w:vAlign w:val="center"/>
            <w:hideMark/>
          </w:tcPr>
          <w:p w14:paraId="60A4977B" w14:textId="77777777" w:rsidR="00BD34B7" w:rsidRPr="00B16C45" w:rsidRDefault="00BD34B7" w:rsidP="00BD34B7">
            <w:pPr>
              <w:widowControl/>
              <w:autoSpaceDE/>
              <w:autoSpaceDN/>
              <w:spacing w:line="259" w:lineRule="auto"/>
              <w:jc w:val="right"/>
              <w:rPr>
                <w:rFonts w:eastAsia="Aptos"/>
              </w:rPr>
            </w:pPr>
          </w:p>
        </w:tc>
        <w:tc>
          <w:tcPr>
            <w:tcW w:w="952" w:type="dxa"/>
            <w:noWrap/>
            <w:vAlign w:val="center"/>
            <w:hideMark/>
          </w:tcPr>
          <w:p w14:paraId="2554295E" w14:textId="77777777" w:rsidR="00BD34B7" w:rsidRPr="00B16C45" w:rsidRDefault="00BD34B7" w:rsidP="00BD34B7">
            <w:pPr>
              <w:widowControl/>
              <w:autoSpaceDE/>
              <w:autoSpaceDN/>
              <w:spacing w:line="259" w:lineRule="auto"/>
              <w:jc w:val="right"/>
              <w:rPr>
                <w:rFonts w:eastAsia="Aptos"/>
              </w:rPr>
            </w:pPr>
            <w:r w:rsidRPr="00B16C45">
              <w:rPr>
                <w:rFonts w:eastAsia="Aptos"/>
              </w:rPr>
              <w:t>815</w:t>
            </w:r>
          </w:p>
        </w:tc>
        <w:tc>
          <w:tcPr>
            <w:tcW w:w="747" w:type="dxa"/>
            <w:noWrap/>
            <w:vAlign w:val="center"/>
            <w:hideMark/>
          </w:tcPr>
          <w:p w14:paraId="28C3D344" w14:textId="77777777" w:rsidR="00BD34B7" w:rsidRPr="00B16C45" w:rsidRDefault="00BD34B7" w:rsidP="00BD34B7">
            <w:pPr>
              <w:widowControl/>
              <w:autoSpaceDE/>
              <w:autoSpaceDN/>
              <w:spacing w:line="259" w:lineRule="auto"/>
              <w:jc w:val="right"/>
              <w:rPr>
                <w:rFonts w:eastAsia="Aptos"/>
              </w:rPr>
            </w:pPr>
            <w:r w:rsidRPr="00B16C45">
              <w:rPr>
                <w:rFonts w:eastAsia="Aptos"/>
              </w:rPr>
              <w:t>1052</w:t>
            </w:r>
          </w:p>
        </w:tc>
        <w:tc>
          <w:tcPr>
            <w:tcW w:w="747" w:type="dxa"/>
            <w:noWrap/>
            <w:vAlign w:val="center"/>
            <w:hideMark/>
          </w:tcPr>
          <w:p w14:paraId="7B8CA28E" w14:textId="77777777" w:rsidR="00BD34B7" w:rsidRPr="00B16C45" w:rsidRDefault="00BD34B7" w:rsidP="00BD34B7">
            <w:pPr>
              <w:widowControl/>
              <w:autoSpaceDE/>
              <w:autoSpaceDN/>
              <w:spacing w:line="259" w:lineRule="auto"/>
              <w:jc w:val="right"/>
              <w:rPr>
                <w:rFonts w:eastAsia="Aptos"/>
              </w:rPr>
            </w:pPr>
            <w:r w:rsidRPr="00B16C45">
              <w:rPr>
                <w:rFonts w:eastAsia="Aptos"/>
              </w:rPr>
              <w:t>1052</w:t>
            </w:r>
          </w:p>
        </w:tc>
      </w:tr>
    </w:tbl>
    <w:p w14:paraId="3486CCBD" w14:textId="77777777" w:rsidR="00B16C45" w:rsidRDefault="00B16C45" w:rsidP="004A3899"/>
    <w:p w14:paraId="1D2AF902" w14:textId="4737429F" w:rsidR="00C9070B" w:rsidRPr="004A3899" w:rsidRDefault="446172C3" w:rsidP="3941F62A">
      <w:pPr>
        <w:pStyle w:val="BodyText"/>
        <w:rPr>
          <w:rFonts w:asciiTheme="minorHAnsi" w:hAnsiTheme="minorHAnsi" w:cstheme="minorBidi"/>
          <w:sz w:val="24"/>
          <w:szCs w:val="24"/>
        </w:rPr>
      </w:pPr>
      <w:r w:rsidRPr="3941F62A">
        <w:rPr>
          <w:sz w:val="24"/>
          <w:szCs w:val="24"/>
        </w:rPr>
        <w:t>Data below show Saint Anne’s Hospital and Morton Hospital utilization, respectively, during FY17 to FY22 (FY23 and FY24 are not included as Steward has not provided the state with financial and inpatient data for those fiscal years).</w:t>
      </w:r>
      <w:r w:rsidRPr="3941F62A">
        <w:rPr>
          <w:rFonts w:asciiTheme="minorHAnsi" w:hAnsiTheme="minorHAnsi" w:cstheme="minorBidi"/>
          <w:sz w:val="24"/>
          <w:szCs w:val="24"/>
        </w:rPr>
        <w:t xml:space="preserve"> </w:t>
      </w:r>
    </w:p>
    <w:p w14:paraId="032296A5" w14:textId="77777777" w:rsidR="009462DA" w:rsidRPr="00C9070B" w:rsidRDefault="009462DA" w:rsidP="00C9070B">
      <w:pPr>
        <w:pStyle w:val="BodyText"/>
        <w:rPr>
          <w:rFonts w:asciiTheme="minorHAnsi" w:hAnsiTheme="minorHAnsi" w:cstheme="minorHAnsi"/>
          <w:sz w:val="24"/>
          <w:szCs w:val="24"/>
        </w:rPr>
      </w:pPr>
    </w:p>
    <w:tbl>
      <w:tblPr>
        <w:tblStyle w:val="TableGrid"/>
        <w:tblW w:w="0" w:type="auto"/>
        <w:jc w:val="center"/>
        <w:tblLook w:val="04A0" w:firstRow="1" w:lastRow="0" w:firstColumn="1" w:lastColumn="0" w:noHBand="0" w:noVBand="1"/>
      </w:tblPr>
      <w:tblGrid>
        <w:gridCol w:w="2500"/>
        <w:gridCol w:w="1006"/>
        <w:gridCol w:w="1006"/>
        <w:gridCol w:w="1006"/>
        <w:gridCol w:w="1006"/>
        <w:gridCol w:w="1006"/>
        <w:gridCol w:w="960"/>
      </w:tblGrid>
      <w:tr w:rsidR="009462DA" w:rsidRPr="009462DA" w14:paraId="05BB87D7" w14:textId="77777777" w:rsidTr="00B234C3">
        <w:trPr>
          <w:cantSplit/>
          <w:trHeight w:val="300"/>
          <w:tblHeader/>
          <w:jc w:val="center"/>
        </w:trPr>
        <w:tc>
          <w:tcPr>
            <w:tcW w:w="2500" w:type="dxa"/>
            <w:noWrap/>
            <w:hideMark/>
          </w:tcPr>
          <w:p w14:paraId="098CB353" w14:textId="66BCA374" w:rsidR="009462DA" w:rsidRPr="009462DA" w:rsidRDefault="009462DA" w:rsidP="009462DA">
            <w:pPr>
              <w:pStyle w:val="BodyText"/>
              <w:rPr>
                <w:rFonts w:asciiTheme="minorHAnsi" w:hAnsiTheme="minorHAnsi" w:cstheme="minorHAnsi"/>
                <w:sz w:val="24"/>
                <w:szCs w:val="24"/>
              </w:rPr>
            </w:pPr>
            <w:r w:rsidRPr="009462DA">
              <w:rPr>
                <w:rFonts w:asciiTheme="minorHAnsi" w:hAnsiTheme="minorHAnsi" w:cstheme="minorHAnsi"/>
                <w:sz w:val="24"/>
                <w:szCs w:val="24"/>
              </w:rPr>
              <w:t>Saint Anne's Hospital</w:t>
            </w:r>
          </w:p>
        </w:tc>
        <w:tc>
          <w:tcPr>
            <w:tcW w:w="960" w:type="dxa"/>
            <w:noWrap/>
            <w:hideMark/>
          </w:tcPr>
          <w:p w14:paraId="75C82D79" w14:textId="77777777" w:rsidR="009462DA" w:rsidRPr="009462DA" w:rsidRDefault="009462DA" w:rsidP="0088778A">
            <w:pPr>
              <w:pStyle w:val="BodyText"/>
              <w:jc w:val="center"/>
              <w:rPr>
                <w:rFonts w:asciiTheme="minorHAnsi" w:hAnsiTheme="minorHAnsi" w:cstheme="minorHAnsi"/>
                <w:b/>
                <w:bCs/>
                <w:sz w:val="24"/>
                <w:szCs w:val="24"/>
              </w:rPr>
            </w:pPr>
            <w:r w:rsidRPr="009462DA">
              <w:rPr>
                <w:rFonts w:asciiTheme="minorHAnsi" w:hAnsiTheme="minorHAnsi" w:cstheme="minorHAnsi"/>
                <w:b/>
                <w:bCs/>
                <w:sz w:val="24"/>
                <w:szCs w:val="24"/>
              </w:rPr>
              <w:t>FY17</w:t>
            </w:r>
          </w:p>
        </w:tc>
        <w:tc>
          <w:tcPr>
            <w:tcW w:w="960" w:type="dxa"/>
            <w:noWrap/>
            <w:hideMark/>
          </w:tcPr>
          <w:p w14:paraId="1B856F40" w14:textId="77777777" w:rsidR="009462DA" w:rsidRPr="009462DA" w:rsidRDefault="009462DA" w:rsidP="0088778A">
            <w:pPr>
              <w:pStyle w:val="BodyText"/>
              <w:jc w:val="center"/>
              <w:rPr>
                <w:rFonts w:asciiTheme="minorHAnsi" w:hAnsiTheme="minorHAnsi" w:cstheme="minorHAnsi"/>
                <w:b/>
                <w:bCs/>
                <w:sz w:val="24"/>
                <w:szCs w:val="24"/>
              </w:rPr>
            </w:pPr>
            <w:r w:rsidRPr="009462DA">
              <w:rPr>
                <w:rFonts w:asciiTheme="minorHAnsi" w:hAnsiTheme="minorHAnsi" w:cstheme="minorHAnsi"/>
                <w:b/>
                <w:bCs/>
                <w:sz w:val="24"/>
                <w:szCs w:val="24"/>
              </w:rPr>
              <w:t>FY18</w:t>
            </w:r>
          </w:p>
        </w:tc>
        <w:tc>
          <w:tcPr>
            <w:tcW w:w="960" w:type="dxa"/>
            <w:noWrap/>
            <w:hideMark/>
          </w:tcPr>
          <w:p w14:paraId="69099A21" w14:textId="77777777" w:rsidR="009462DA" w:rsidRPr="009462DA" w:rsidRDefault="009462DA" w:rsidP="0088778A">
            <w:pPr>
              <w:pStyle w:val="BodyText"/>
              <w:jc w:val="center"/>
              <w:rPr>
                <w:rFonts w:asciiTheme="minorHAnsi" w:hAnsiTheme="minorHAnsi" w:cstheme="minorHAnsi"/>
                <w:b/>
                <w:bCs/>
                <w:sz w:val="24"/>
                <w:szCs w:val="24"/>
              </w:rPr>
            </w:pPr>
            <w:r w:rsidRPr="009462DA">
              <w:rPr>
                <w:rFonts w:asciiTheme="minorHAnsi" w:hAnsiTheme="minorHAnsi" w:cstheme="minorHAnsi"/>
                <w:b/>
                <w:bCs/>
                <w:sz w:val="24"/>
                <w:szCs w:val="24"/>
              </w:rPr>
              <w:t>FY19</w:t>
            </w:r>
          </w:p>
        </w:tc>
        <w:tc>
          <w:tcPr>
            <w:tcW w:w="960" w:type="dxa"/>
            <w:noWrap/>
            <w:hideMark/>
          </w:tcPr>
          <w:p w14:paraId="306AC073" w14:textId="77777777" w:rsidR="009462DA" w:rsidRPr="009462DA" w:rsidRDefault="009462DA" w:rsidP="0088778A">
            <w:pPr>
              <w:pStyle w:val="BodyText"/>
              <w:jc w:val="center"/>
              <w:rPr>
                <w:rFonts w:asciiTheme="minorHAnsi" w:hAnsiTheme="minorHAnsi" w:cstheme="minorHAnsi"/>
                <w:b/>
                <w:bCs/>
                <w:sz w:val="24"/>
                <w:szCs w:val="24"/>
              </w:rPr>
            </w:pPr>
            <w:r w:rsidRPr="009462DA">
              <w:rPr>
                <w:rFonts w:asciiTheme="minorHAnsi" w:hAnsiTheme="minorHAnsi" w:cstheme="minorHAnsi"/>
                <w:b/>
                <w:bCs/>
                <w:sz w:val="24"/>
                <w:szCs w:val="24"/>
              </w:rPr>
              <w:t>FY20</w:t>
            </w:r>
          </w:p>
        </w:tc>
        <w:tc>
          <w:tcPr>
            <w:tcW w:w="960" w:type="dxa"/>
            <w:noWrap/>
            <w:hideMark/>
          </w:tcPr>
          <w:p w14:paraId="0A65DB2A" w14:textId="77777777" w:rsidR="009462DA" w:rsidRPr="009462DA" w:rsidRDefault="009462DA" w:rsidP="0088778A">
            <w:pPr>
              <w:pStyle w:val="BodyText"/>
              <w:jc w:val="center"/>
              <w:rPr>
                <w:rFonts w:asciiTheme="minorHAnsi" w:hAnsiTheme="minorHAnsi" w:cstheme="minorHAnsi"/>
                <w:b/>
                <w:bCs/>
                <w:sz w:val="24"/>
                <w:szCs w:val="24"/>
              </w:rPr>
            </w:pPr>
            <w:r w:rsidRPr="009462DA">
              <w:rPr>
                <w:rFonts w:asciiTheme="minorHAnsi" w:hAnsiTheme="minorHAnsi" w:cstheme="minorHAnsi"/>
                <w:b/>
                <w:bCs/>
                <w:sz w:val="24"/>
                <w:szCs w:val="24"/>
              </w:rPr>
              <w:t>FY21</w:t>
            </w:r>
          </w:p>
        </w:tc>
        <w:tc>
          <w:tcPr>
            <w:tcW w:w="960" w:type="dxa"/>
            <w:noWrap/>
            <w:hideMark/>
          </w:tcPr>
          <w:p w14:paraId="00959681" w14:textId="77777777" w:rsidR="009462DA" w:rsidRPr="009462DA" w:rsidRDefault="009462DA" w:rsidP="0088778A">
            <w:pPr>
              <w:pStyle w:val="BodyText"/>
              <w:jc w:val="center"/>
              <w:rPr>
                <w:rFonts w:asciiTheme="minorHAnsi" w:hAnsiTheme="minorHAnsi" w:cstheme="minorHAnsi"/>
                <w:b/>
                <w:bCs/>
                <w:sz w:val="24"/>
                <w:szCs w:val="24"/>
              </w:rPr>
            </w:pPr>
            <w:r w:rsidRPr="009462DA">
              <w:rPr>
                <w:rFonts w:asciiTheme="minorHAnsi" w:hAnsiTheme="minorHAnsi" w:cstheme="minorHAnsi"/>
                <w:b/>
                <w:bCs/>
                <w:sz w:val="24"/>
                <w:szCs w:val="24"/>
              </w:rPr>
              <w:t>FY22</w:t>
            </w:r>
          </w:p>
        </w:tc>
      </w:tr>
      <w:tr w:rsidR="009462DA" w:rsidRPr="009462DA" w14:paraId="2AC50026" w14:textId="77777777" w:rsidTr="00B234C3">
        <w:trPr>
          <w:cantSplit/>
          <w:trHeight w:val="290"/>
          <w:jc w:val="center"/>
        </w:trPr>
        <w:tc>
          <w:tcPr>
            <w:tcW w:w="2500" w:type="dxa"/>
            <w:noWrap/>
            <w:hideMark/>
          </w:tcPr>
          <w:p w14:paraId="065706B2" w14:textId="77777777" w:rsidR="009462DA" w:rsidRPr="009462DA" w:rsidRDefault="009462DA" w:rsidP="009462DA">
            <w:pPr>
              <w:pStyle w:val="BodyText"/>
              <w:rPr>
                <w:rFonts w:asciiTheme="minorHAnsi" w:hAnsiTheme="minorHAnsi" w:cstheme="minorHAnsi"/>
                <w:sz w:val="24"/>
                <w:szCs w:val="24"/>
              </w:rPr>
            </w:pPr>
            <w:r w:rsidRPr="009462DA">
              <w:rPr>
                <w:rFonts w:asciiTheme="minorHAnsi" w:hAnsiTheme="minorHAnsi" w:cstheme="minorHAnsi"/>
                <w:sz w:val="24"/>
                <w:szCs w:val="24"/>
              </w:rPr>
              <w:t>Inpatient Discharges</w:t>
            </w:r>
          </w:p>
        </w:tc>
        <w:tc>
          <w:tcPr>
            <w:tcW w:w="960" w:type="dxa"/>
            <w:hideMark/>
          </w:tcPr>
          <w:p w14:paraId="53A8937E"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9,975</w:t>
            </w:r>
          </w:p>
        </w:tc>
        <w:tc>
          <w:tcPr>
            <w:tcW w:w="960" w:type="dxa"/>
            <w:noWrap/>
            <w:hideMark/>
          </w:tcPr>
          <w:p w14:paraId="052F2584"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9,730</w:t>
            </w:r>
          </w:p>
        </w:tc>
        <w:tc>
          <w:tcPr>
            <w:tcW w:w="960" w:type="dxa"/>
            <w:noWrap/>
            <w:hideMark/>
          </w:tcPr>
          <w:p w14:paraId="7CBEE7B4"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9,874</w:t>
            </w:r>
          </w:p>
        </w:tc>
        <w:tc>
          <w:tcPr>
            <w:tcW w:w="960" w:type="dxa"/>
            <w:noWrap/>
            <w:hideMark/>
          </w:tcPr>
          <w:p w14:paraId="42CBF1C8"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9,244</w:t>
            </w:r>
          </w:p>
        </w:tc>
        <w:tc>
          <w:tcPr>
            <w:tcW w:w="960" w:type="dxa"/>
            <w:noWrap/>
            <w:hideMark/>
          </w:tcPr>
          <w:p w14:paraId="25075635"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9,514</w:t>
            </w:r>
          </w:p>
        </w:tc>
        <w:tc>
          <w:tcPr>
            <w:tcW w:w="960" w:type="dxa"/>
            <w:noWrap/>
            <w:hideMark/>
          </w:tcPr>
          <w:p w14:paraId="2582ECD9"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9,378</w:t>
            </w:r>
          </w:p>
        </w:tc>
      </w:tr>
      <w:tr w:rsidR="009462DA" w:rsidRPr="009462DA" w14:paraId="0BD7E62B" w14:textId="77777777" w:rsidTr="00B234C3">
        <w:trPr>
          <w:cantSplit/>
          <w:trHeight w:val="290"/>
          <w:jc w:val="center"/>
        </w:trPr>
        <w:tc>
          <w:tcPr>
            <w:tcW w:w="2500" w:type="dxa"/>
            <w:noWrap/>
            <w:hideMark/>
          </w:tcPr>
          <w:p w14:paraId="62A377F0" w14:textId="77777777" w:rsidR="009462DA" w:rsidRPr="009462DA" w:rsidRDefault="009462DA" w:rsidP="009462DA">
            <w:pPr>
              <w:pStyle w:val="BodyText"/>
              <w:rPr>
                <w:rFonts w:asciiTheme="minorHAnsi" w:hAnsiTheme="minorHAnsi" w:cstheme="minorHAnsi"/>
                <w:sz w:val="24"/>
                <w:szCs w:val="24"/>
              </w:rPr>
            </w:pPr>
            <w:r w:rsidRPr="009462DA">
              <w:rPr>
                <w:rFonts w:asciiTheme="minorHAnsi" w:hAnsiTheme="minorHAnsi" w:cstheme="minorHAnsi"/>
                <w:sz w:val="24"/>
                <w:szCs w:val="24"/>
              </w:rPr>
              <w:t>Inpatient Days</w:t>
            </w:r>
          </w:p>
        </w:tc>
        <w:tc>
          <w:tcPr>
            <w:tcW w:w="960" w:type="dxa"/>
            <w:hideMark/>
          </w:tcPr>
          <w:p w14:paraId="343D0CA1"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48,180</w:t>
            </w:r>
          </w:p>
        </w:tc>
        <w:tc>
          <w:tcPr>
            <w:tcW w:w="960" w:type="dxa"/>
            <w:hideMark/>
          </w:tcPr>
          <w:p w14:paraId="251A392F"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48,227</w:t>
            </w:r>
          </w:p>
        </w:tc>
        <w:tc>
          <w:tcPr>
            <w:tcW w:w="960" w:type="dxa"/>
            <w:hideMark/>
          </w:tcPr>
          <w:p w14:paraId="7A10787E"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48,920</w:t>
            </w:r>
          </w:p>
        </w:tc>
        <w:tc>
          <w:tcPr>
            <w:tcW w:w="960" w:type="dxa"/>
            <w:hideMark/>
          </w:tcPr>
          <w:p w14:paraId="64EB715B"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47,346</w:t>
            </w:r>
          </w:p>
        </w:tc>
        <w:tc>
          <w:tcPr>
            <w:tcW w:w="960" w:type="dxa"/>
            <w:noWrap/>
            <w:hideMark/>
          </w:tcPr>
          <w:p w14:paraId="3768AC5E"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50,857</w:t>
            </w:r>
          </w:p>
        </w:tc>
        <w:tc>
          <w:tcPr>
            <w:tcW w:w="960" w:type="dxa"/>
            <w:noWrap/>
            <w:hideMark/>
          </w:tcPr>
          <w:p w14:paraId="45A952BD" w14:textId="006CCBAC" w:rsidR="009462DA" w:rsidRPr="009462DA" w:rsidRDefault="00306F96" w:rsidP="0088778A">
            <w:pPr>
              <w:pStyle w:val="BodyText"/>
              <w:jc w:val="right"/>
              <w:rPr>
                <w:rFonts w:asciiTheme="minorHAnsi" w:hAnsiTheme="minorHAnsi" w:cstheme="minorHAnsi"/>
                <w:sz w:val="24"/>
                <w:szCs w:val="24"/>
              </w:rPr>
            </w:pPr>
            <w:r w:rsidRPr="00306F96">
              <w:rPr>
                <w:rFonts w:asciiTheme="minorHAnsi" w:hAnsiTheme="minorHAnsi" w:cstheme="minorHAnsi"/>
                <w:sz w:val="24"/>
                <w:szCs w:val="24"/>
              </w:rPr>
              <w:t>48,293</w:t>
            </w:r>
          </w:p>
        </w:tc>
      </w:tr>
      <w:tr w:rsidR="009462DA" w:rsidRPr="009462DA" w14:paraId="54A35DE7" w14:textId="77777777" w:rsidTr="00B234C3">
        <w:trPr>
          <w:cantSplit/>
          <w:trHeight w:val="290"/>
          <w:jc w:val="center"/>
        </w:trPr>
        <w:tc>
          <w:tcPr>
            <w:tcW w:w="2500" w:type="dxa"/>
            <w:noWrap/>
            <w:hideMark/>
          </w:tcPr>
          <w:p w14:paraId="74A5BA5D" w14:textId="77777777" w:rsidR="009462DA" w:rsidRPr="009462DA" w:rsidRDefault="009462DA" w:rsidP="009462DA">
            <w:pPr>
              <w:pStyle w:val="BodyText"/>
              <w:rPr>
                <w:rFonts w:asciiTheme="minorHAnsi" w:hAnsiTheme="minorHAnsi" w:cstheme="minorHAnsi"/>
                <w:sz w:val="24"/>
                <w:szCs w:val="24"/>
              </w:rPr>
            </w:pPr>
            <w:r w:rsidRPr="009462DA">
              <w:rPr>
                <w:rFonts w:asciiTheme="minorHAnsi" w:hAnsiTheme="minorHAnsi" w:cstheme="minorHAnsi"/>
                <w:sz w:val="24"/>
                <w:szCs w:val="24"/>
              </w:rPr>
              <w:t>Average LOS</w:t>
            </w:r>
          </w:p>
        </w:tc>
        <w:tc>
          <w:tcPr>
            <w:tcW w:w="960" w:type="dxa"/>
            <w:hideMark/>
          </w:tcPr>
          <w:p w14:paraId="14EB6B36"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4.83</w:t>
            </w:r>
          </w:p>
        </w:tc>
        <w:tc>
          <w:tcPr>
            <w:tcW w:w="960" w:type="dxa"/>
            <w:hideMark/>
          </w:tcPr>
          <w:p w14:paraId="267CBFF9"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4.96</w:t>
            </w:r>
          </w:p>
        </w:tc>
        <w:tc>
          <w:tcPr>
            <w:tcW w:w="960" w:type="dxa"/>
            <w:hideMark/>
          </w:tcPr>
          <w:p w14:paraId="1ADD86A1"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4.95</w:t>
            </w:r>
          </w:p>
        </w:tc>
        <w:tc>
          <w:tcPr>
            <w:tcW w:w="960" w:type="dxa"/>
            <w:hideMark/>
          </w:tcPr>
          <w:p w14:paraId="3F8299CB"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5.12</w:t>
            </w:r>
          </w:p>
        </w:tc>
        <w:tc>
          <w:tcPr>
            <w:tcW w:w="960" w:type="dxa"/>
            <w:noWrap/>
            <w:hideMark/>
          </w:tcPr>
          <w:p w14:paraId="1052C948"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5.35</w:t>
            </w:r>
          </w:p>
        </w:tc>
        <w:tc>
          <w:tcPr>
            <w:tcW w:w="960" w:type="dxa"/>
            <w:noWrap/>
            <w:hideMark/>
          </w:tcPr>
          <w:p w14:paraId="53007C0A"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5.30</w:t>
            </w:r>
          </w:p>
        </w:tc>
      </w:tr>
      <w:tr w:rsidR="009462DA" w:rsidRPr="009462DA" w14:paraId="5E76DB4F" w14:textId="77777777" w:rsidTr="00B234C3">
        <w:trPr>
          <w:cantSplit/>
          <w:trHeight w:val="290"/>
          <w:jc w:val="center"/>
        </w:trPr>
        <w:tc>
          <w:tcPr>
            <w:tcW w:w="2500" w:type="dxa"/>
            <w:noWrap/>
            <w:hideMark/>
          </w:tcPr>
          <w:p w14:paraId="1A5651B2" w14:textId="77777777" w:rsidR="009462DA" w:rsidRPr="009462DA" w:rsidRDefault="009462DA" w:rsidP="009462DA">
            <w:pPr>
              <w:pStyle w:val="BodyText"/>
              <w:rPr>
                <w:rFonts w:asciiTheme="minorHAnsi" w:hAnsiTheme="minorHAnsi" w:cstheme="minorHAnsi"/>
                <w:sz w:val="24"/>
                <w:szCs w:val="24"/>
              </w:rPr>
            </w:pPr>
            <w:r w:rsidRPr="009462DA">
              <w:rPr>
                <w:rFonts w:asciiTheme="minorHAnsi" w:hAnsiTheme="minorHAnsi" w:cstheme="minorHAnsi"/>
                <w:sz w:val="24"/>
                <w:szCs w:val="24"/>
              </w:rPr>
              <w:t>Outpatient Visits</w:t>
            </w:r>
          </w:p>
        </w:tc>
        <w:tc>
          <w:tcPr>
            <w:tcW w:w="960" w:type="dxa"/>
            <w:noWrap/>
            <w:hideMark/>
          </w:tcPr>
          <w:p w14:paraId="7C88C6EB"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191,976</w:t>
            </w:r>
          </w:p>
        </w:tc>
        <w:tc>
          <w:tcPr>
            <w:tcW w:w="960" w:type="dxa"/>
            <w:noWrap/>
            <w:hideMark/>
          </w:tcPr>
          <w:p w14:paraId="26441A7C"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182,217</w:t>
            </w:r>
          </w:p>
        </w:tc>
        <w:tc>
          <w:tcPr>
            <w:tcW w:w="960" w:type="dxa"/>
            <w:noWrap/>
            <w:hideMark/>
          </w:tcPr>
          <w:p w14:paraId="1DB8DD4B"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178,688</w:t>
            </w:r>
          </w:p>
        </w:tc>
        <w:tc>
          <w:tcPr>
            <w:tcW w:w="960" w:type="dxa"/>
            <w:noWrap/>
            <w:hideMark/>
          </w:tcPr>
          <w:p w14:paraId="580E3C58"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156,185</w:t>
            </w:r>
          </w:p>
        </w:tc>
        <w:tc>
          <w:tcPr>
            <w:tcW w:w="960" w:type="dxa"/>
            <w:noWrap/>
            <w:hideMark/>
          </w:tcPr>
          <w:p w14:paraId="352DDB5A" w14:textId="77777777" w:rsidR="009462DA" w:rsidRPr="009462DA" w:rsidRDefault="009462DA" w:rsidP="0088778A">
            <w:pPr>
              <w:pStyle w:val="BodyText"/>
              <w:jc w:val="right"/>
              <w:rPr>
                <w:rFonts w:asciiTheme="minorHAnsi" w:hAnsiTheme="minorHAnsi" w:cstheme="minorHAnsi"/>
                <w:sz w:val="24"/>
                <w:szCs w:val="24"/>
              </w:rPr>
            </w:pPr>
            <w:r w:rsidRPr="009462DA">
              <w:rPr>
                <w:rFonts w:asciiTheme="minorHAnsi" w:hAnsiTheme="minorHAnsi" w:cstheme="minorHAnsi"/>
                <w:sz w:val="24"/>
                <w:szCs w:val="24"/>
              </w:rPr>
              <w:t>175,034</w:t>
            </w:r>
          </w:p>
        </w:tc>
        <w:tc>
          <w:tcPr>
            <w:tcW w:w="960" w:type="dxa"/>
            <w:noWrap/>
            <w:hideMark/>
          </w:tcPr>
          <w:p w14:paraId="3B44EE4D" w14:textId="0B7B5F80" w:rsidR="009462DA" w:rsidRPr="009462DA" w:rsidRDefault="0088778A" w:rsidP="0088778A">
            <w:pPr>
              <w:pStyle w:val="BodyText"/>
              <w:jc w:val="right"/>
              <w:rPr>
                <w:rFonts w:asciiTheme="minorHAnsi" w:hAnsiTheme="minorHAnsi" w:cstheme="minorHAnsi"/>
                <w:sz w:val="24"/>
                <w:szCs w:val="24"/>
              </w:rPr>
            </w:pPr>
            <w:r>
              <w:rPr>
                <w:rFonts w:asciiTheme="minorHAnsi" w:hAnsiTheme="minorHAnsi" w:cstheme="minorHAnsi"/>
                <w:sz w:val="24"/>
                <w:szCs w:val="24"/>
              </w:rPr>
              <w:t>-</w:t>
            </w:r>
          </w:p>
        </w:tc>
      </w:tr>
    </w:tbl>
    <w:p w14:paraId="2AD9361F" w14:textId="77777777" w:rsidR="003B3099" w:rsidRDefault="003B3099" w:rsidP="003C7406">
      <w:pPr>
        <w:pStyle w:val="BodyText"/>
        <w:rPr>
          <w:rFonts w:asciiTheme="minorHAnsi" w:hAnsiTheme="minorHAnsi" w:cstheme="minorHAnsi"/>
          <w:sz w:val="24"/>
          <w:szCs w:val="24"/>
        </w:rPr>
      </w:pPr>
    </w:p>
    <w:p w14:paraId="0319C974" w14:textId="77777777" w:rsidR="00110AFC" w:rsidRDefault="00110AFC" w:rsidP="003C7406">
      <w:pPr>
        <w:pStyle w:val="BodyText"/>
        <w:rPr>
          <w:rFonts w:asciiTheme="minorHAnsi" w:hAnsiTheme="minorHAnsi" w:cstheme="minorHAnsi"/>
          <w:sz w:val="24"/>
          <w:szCs w:val="24"/>
        </w:rPr>
      </w:pPr>
    </w:p>
    <w:tbl>
      <w:tblPr>
        <w:tblStyle w:val="TableGrid"/>
        <w:tblW w:w="0" w:type="auto"/>
        <w:jc w:val="center"/>
        <w:tblLook w:val="04A0" w:firstRow="1" w:lastRow="0" w:firstColumn="1" w:lastColumn="0" w:noHBand="0" w:noVBand="1"/>
      </w:tblPr>
      <w:tblGrid>
        <w:gridCol w:w="2515"/>
        <w:gridCol w:w="990"/>
        <w:gridCol w:w="990"/>
        <w:gridCol w:w="1080"/>
        <w:gridCol w:w="990"/>
        <w:gridCol w:w="990"/>
        <w:gridCol w:w="900"/>
      </w:tblGrid>
      <w:tr w:rsidR="00CD63C8" w:rsidRPr="00FB135A" w14:paraId="42FBC142" w14:textId="77777777" w:rsidTr="00B234C3">
        <w:trPr>
          <w:cantSplit/>
          <w:trHeight w:val="300"/>
          <w:tblHeader/>
          <w:jc w:val="center"/>
        </w:trPr>
        <w:tc>
          <w:tcPr>
            <w:tcW w:w="2515" w:type="dxa"/>
            <w:noWrap/>
            <w:hideMark/>
          </w:tcPr>
          <w:p w14:paraId="66E56C22" w14:textId="77777777" w:rsidR="00CD63C8" w:rsidRPr="00FB135A" w:rsidRDefault="00CD63C8" w:rsidP="00FB135A">
            <w:pPr>
              <w:pStyle w:val="BodyText"/>
              <w:rPr>
                <w:rFonts w:asciiTheme="minorHAnsi" w:hAnsiTheme="minorHAnsi" w:cstheme="minorHAnsi"/>
                <w:sz w:val="24"/>
                <w:szCs w:val="24"/>
              </w:rPr>
            </w:pPr>
            <w:r w:rsidRPr="00FB135A">
              <w:rPr>
                <w:rFonts w:asciiTheme="minorHAnsi" w:hAnsiTheme="minorHAnsi" w:cstheme="minorHAnsi"/>
                <w:sz w:val="24"/>
                <w:szCs w:val="24"/>
              </w:rPr>
              <w:t>Morton Hospital</w:t>
            </w:r>
          </w:p>
        </w:tc>
        <w:tc>
          <w:tcPr>
            <w:tcW w:w="990" w:type="dxa"/>
            <w:noWrap/>
            <w:hideMark/>
          </w:tcPr>
          <w:p w14:paraId="0A7240B4" w14:textId="77777777" w:rsidR="00CD63C8" w:rsidRPr="00FB135A" w:rsidRDefault="00CD63C8" w:rsidP="00FB135A">
            <w:pPr>
              <w:pStyle w:val="BodyText"/>
              <w:rPr>
                <w:rFonts w:asciiTheme="minorHAnsi" w:hAnsiTheme="minorHAnsi" w:cstheme="minorHAnsi"/>
                <w:b/>
                <w:bCs/>
                <w:sz w:val="24"/>
                <w:szCs w:val="24"/>
              </w:rPr>
            </w:pPr>
            <w:r w:rsidRPr="00FB135A">
              <w:rPr>
                <w:rFonts w:asciiTheme="minorHAnsi" w:hAnsiTheme="minorHAnsi" w:cstheme="minorHAnsi"/>
                <w:b/>
                <w:bCs/>
                <w:sz w:val="24"/>
                <w:szCs w:val="24"/>
              </w:rPr>
              <w:t>FY17</w:t>
            </w:r>
          </w:p>
        </w:tc>
        <w:tc>
          <w:tcPr>
            <w:tcW w:w="990" w:type="dxa"/>
            <w:noWrap/>
            <w:hideMark/>
          </w:tcPr>
          <w:p w14:paraId="5C28DF87" w14:textId="77777777" w:rsidR="00CD63C8" w:rsidRPr="00FB135A" w:rsidRDefault="00CD63C8" w:rsidP="00FB135A">
            <w:pPr>
              <w:pStyle w:val="BodyText"/>
              <w:rPr>
                <w:rFonts w:asciiTheme="minorHAnsi" w:hAnsiTheme="minorHAnsi" w:cstheme="minorHAnsi"/>
                <w:b/>
                <w:bCs/>
                <w:sz w:val="24"/>
                <w:szCs w:val="24"/>
              </w:rPr>
            </w:pPr>
            <w:r w:rsidRPr="00FB135A">
              <w:rPr>
                <w:rFonts w:asciiTheme="minorHAnsi" w:hAnsiTheme="minorHAnsi" w:cstheme="minorHAnsi"/>
                <w:b/>
                <w:bCs/>
                <w:sz w:val="24"/>
                <w:szCs w:val="24"/>
              </w:rPr>
              <w:t>FY18</w:t>
            </w:r>
          </w:p>
        </w:tc>
        <w:tc>
          <w:tcPr>
            <w:tcW w:w="1080" w:type="dxa"/>
            <w:noWrap/>
            <w:hideMark/>
          </w:tcPr>
          <w:p w14:paraId="27142958" w14:textId="77777777" w:rsidR="00CD63C8" w:rsidRPr="00FB135A" w:rsidRDefault="00CD63C8" w:rsidP="00FB135A">
            <w:pPr>
              <w:pStyle w:val="BodyText"/>
              <w:rPr>
                <w:rFonts w:asciiTheme="minorHAnsi" w:hAnsiTheme="minorHAnsi" w:cstheme="minorHAnsi"/>
                <w:b/>
                <w:bCs/>
                <w:sz w:val="24"/>
                <w:szCs w:val="24"/>
              </w:rPr>
            </w:pPr>
            <w:r w:rsidRPr="00FB135A">
              <w:rPr>
                <w:rFonts w:asciiTheme="minorHAnsi" w:hAnsiTheme="minorHAnsi" w:cstheme="minorHAnsi"/>
                <w:b/>
                <w:bCs/>
                <w:sz w:val="24"/>
                <w:szCs w:val="24"/>
              </w:rPr>
              <w:t>FY19</w:t>
            </w:r>
          </w:p>
        </w:tc>
        <w:tc>
          <w:tcPr>
            <w:tcW w:w="990" w:type="dxa"/>
            <w:noWrap/>
            <w:hideMark/>
          </w:tcPr>
          <w:p w14:paraId="4B82CCA4" w14:textId="77777777" w:rsidR="00CD63C8" w:rsidRPr="00FB135A" w:rsidRDefault="00CD63C8" w:rsidP="00FB135A">
            <w:pPr>
              <w:pStyle w:val="BodyText"/>
              <w:rPr>
                <w:rFonts w:asciiTheme="minorHAnsi" w:hAnsiTheme="minorHAnsi" w:cstheme="minorHAnsi"/>
                <w:b/>
                <w:bCs/>
                <w:sz w:val="24"/>
                <w:szCs w:val="24"/>
              </w:rPr>
            </w:pPr>
            <w:r w:rsidRPr="00FB135A">
              <w:rPr>
                <w:rFonts w:asciiTheme="minorHAnsi" w:hAnsiTheme="minorHAnsi" w:cstheme="minorHAnsi"/>
                <w:b/>
                <w:bCs/>
                <w:sz w:val="24"/>
                <w:szCs w:val="24"/>
              </w:rPr>
              <w:t>FY20</w:t>
            </w:r>
          </w:p>
        </w:tc>
        <w:tc>
          <w:tcPr>
            <w:tcW w:w="990" w:type="dxa"/>
            <w:noWrap/>
            <w:hideMark/>
          </w:tcPr>
          <w:p w14:paraId="73F187D7" w14:textId="77777777" w:rsidR="00CD63C8" w:rsidRPr="00FB135A" w:rsidRDefault="00CD63C8" w:rsidP="00FB135A">
            <w:pPr>
              <w:pStyle w:val="BodyText"/>
              <w:rPr>
                <w:rFonts w:asciiTheme="minorHAnsi" w:hAnsiTheme="minorHAnsi" w:cstheme="minorHAnsi"/>
                <w:b/>
                <w:bCs/>
                <w:sz w:val="24"/>
                <w:szCs w:val="24"/>
              </w:rPr>
            </w:pPr>
            <w:r w:rsidRPr="00FB135A">
              <w:rPr>
                <w:rFonts w:asciiTheme="minorHAnsi" w:hAnsiTheme="minorHAnsi" w:cstheme="minorHAnsi"/>
                <w:b/>
                <w:bCs/>
                <w:sz w:val="24"/>
                <w:szCs w:val="24"/>
              </w:rPr>
              <w:t>FY21</w:t>
            </w:r>
          </w:p>
        </w:tc>
        <w:tc>
          <w:tcPr>
            <w:tcW w:w="900" w:type="dxa"/>
            <w:noWrap/>
            <w:hideMark/>
          </w:tcPr>
          <w:p w14:paraId="13F54243" w14:textId="77777777" w:rsidR="00CD63C8" w:rsidRPr="00FB135A" w:rsidRDefault="00CD63C8" w:rsidP="00FB135A">
            <w:pPr>
              <w:pStyle w:val="BodyText"/>
              <w:rPr>
                <w:rFonts w:asciiTheme="minorHAnsi" w:hAnsiTheme="minorHAnsi" w:cstheme="minorHAnsi"/>
                <w:b/>
                <w:bCs/>
                <w:sz w:val="24"/>
                <w:szCs w:val="24"/>
              </w:rPr>
            </w:pPr>
            <w:r w:rsidRPr="00FB135A">
              <w:rPr>
                <w:rFonts w:asciiTheme="minorHAnsi" w:hAnsiTheme="minorHAnsi" w:cstheme="minorHAnsi"/>
                <w:b/>
                <w:bCs/>
                <w:sz w:val="24"/>
                <w:szCs w:val="24"/>
              </w:rPr>
              <w:t>FY22</w:t>
            </w:r>
          </w:p>
        </w:tc>
      </w:tr>
      <w:tr w:rsidR="00CD63C8" w:rsidRPr="00FB135A" w14:paraId="25D3D165" w14:textId="0A11D95F" w:rsidTr="00B234C3">
        <w:trPr>
          <w:cantSplit/>
          <w:trHeight w:val="290"/>
          <w:jc w:val="center"/>
        </w:trPr>
        <w:tc>
          <w:tcPr>
            <w:tcW w:w="2515" w:type="dxa"/>
            <w:noWrap/>
            <w:hideMark/>
          </w:tcPr>
          <w:p w14:paraId="4F31CE4D"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Inpatient Discharges</w:t>
            </w:r>
          </w:p>
        </w:tc>
        <w:tc>
          <w:tcPr>
            <w:tcW w:w="990" w:type="dxa"/>
            <w:hideMark/>
          </w:tcPr>
          <w:p w14:paraId="44C44B32"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6,266</w:t>
            </w:r>
          </w:p>
        </w:tc>
        <w:tc>
          <w:tcPr>
            <w:tcW w:w="990" w:type="dxa"/>
            <w:noWrap/>
            <w:hideMark/>
          </w:tcPr>
          <w:p w14:paraId="3985943B"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5,633</w:t>
            </w:r>
          </w:p>
        </w:tc>
        <w:tc>
          <w:tcPr>
            <w:tcW w:w="1080" w:type="dxa"/>
            <w:noWrap/>
            <w:hideMark/>
          </w:tcPr>
          <w:p w14:paraId="549477D2"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5,361</w:t>
            </w:r>
          </w:p>
        </w:tc>
        <w:tc>
          <w:tcPr>
            <w:tcW w:w="990" w:type="dxa"/>
            <w:noWrap/>
            <w:hideMark/>
          </w:tcPr>
          <w:p w14:paraId="5EC58BB4"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5,566</w:t>
            </w:r>
          </w:p>
        </w:tc>
        <w:tc>
          <w:tcPr>
            <w:tcW w:w="990" w:type="dxa"/>
            <w:noWrap/>
            <w:hideMark/>
          </w:tcPr>
          <w:p w14:paraId="5B8D5F1E"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6,158</w:t>
            </w:r>
          </w:p>
        </w:tc>
        <w:tc>
          <w:tcPr>
            <w:tcW w:w="900" w:type="dxa"/>
            <w:noWrap/>
            <w:hideMark/>
          </w:tcPr>
          <w:p w14:paraId="5986DCDC"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6,887</w:t>
            </w:r>
          </w:p>
        </w:tc>
      </w:tr>
      <w:tr w:rsidR="00CD63C8" w:rsidRPr="00FB135A" w14:paraId="687C234B" w14:textId="163B42D2" w:rsidTr="00B234C3">
        <w:trPr>
          <w:cantSplit/>
          <w:trHeight w:val="290"/>
          <w:jc w:val="center"/>
        </w:trPr>
        <w:tc>
          <w:tcPr>
            <w:tcW w:w="2515" w:type="dxa"/>
            <w:noWrap/>
            <w:hideMark/>
          </w:tcPr>
          <w:p w14:paraId="4A14D1A1"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Inpatient Days</w:t>
            </w:r>
          </w:p>
        </w:tc>
        <w:tc>
          <w:tcPr>
            <w:tcW w:w="990" w:type="dxa"/>
            <w:hideMark/>
          </w:tcPr>
          <w:p w14:paraId="1BBAE156"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28,027</w:t>
            </w:r>
          </w:p>
        </w:tc>
        <w:tc>
          <w:tcPr>
            <w:tcW w:w="990" w:type="dxa"/>
            <w:hideMark/>
          </w:tcPr>
          <w:p w14:paraId="6B635D88"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27,145</w:t>
            </w:r>
          </w:p>
        </w:tc>
        <w:tc>
          <w:tcPr>
            <w:tcW w:w="1080" w:type="dxa"/>
            <w:hideMark/>
          </w:tcPr>
          <w:p w14:paraId="5E081A93"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25,977</w:t>
            </w:r>
          </w:p>
        </w:tc>
        <w:tc>
          <w:tcPr>
            <w:tcW w:w="990" w:type="dxa"/>
            <w:hideMark/>
          </w:tcPr>
          <w:p w14:paraId="77F05017"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29,468</w:t>
            </w:r>
          </w:p>
        </w:tc>
        <w:tc>
          <w:tcPr>
            <w:tcW w:w="990" w:type="dxa"/>
            <w:noWrap/>
            <w:hideMark/>
          </w:tcPr>
          <w:p w14:paraId="593D88A0"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32,699</w:t>
            </w:r>
          </w:p>
        </w:tc>
        <w:tc>
          <w:tcPr>
            <w:tcW w:w="900" w:type="dxa"/>
            <w:noWrap/>
            <w:hideMark/>
          </w:tcPr>
          <w:p w14:paraId="28AF4F26"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37,578</w:t>
            </w:r>
          </w:p>
        </w:tc>
      </w:tr>
      <w:tr w:rsidR="00CD63C8" w:rsidRPr="00FB135A" w14:paraId="7EF2BDFC" w14:textId="144C165F" w:rsidTr="00B234C3">
        <w:trPr>
          <w:cantSplit/>
          <w:trHeight w:val="290"/>
          <w:jc w:val="center"/>
        </w:trPr>
        <w:tc>
          <w:tcPr>
            <w:tcW w:w="2515" w:type="dxa"/>
            <w:noWrap/>
            <w:hideMark/>
          </w:tcPr>
          <w:p w14:paraId="7D62E0D0"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Average LOS</w:t>
            </w:r>
          </w:p>
        </w:tc>
        <w:tc>
          <w:tcPr>
            <w:tcW w:w="990" w:type="dxa"/>
            <w:hideMark/>
          </w:tcPr>
          <w:p w14:paraId="55579355"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4.47</w:t>
            </w:r>
          </w:p>
        </w:tc>
        <w:tc>
          <w:tcPr>
            <w:tcW w:w="990" w:type="dxa"/>
            <w:hideMark/>
          </w:tcPr>
          <w:p w14:paraId="1BBC02D1"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4.82</w:t>
            </w:r>
          </w:p>
        </w:tc>
        <w:tc>
          <w:tcPr>
            <w:tcW w:w="1080" w:type="dxa"/>
            <w:hideMark/>
          </w:tcPr>
          <w:p w14:paraId="16C4C4B9"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4.85</w:t>
            </w:r>
          </w:p>
        </w:tc>
        <w:tc>
          <w:tcPr>
            <w:tcW w:w="990" w:type="dxa"/>
            <w:hideMark/>
          </w:tcPr>
          <w:p w14:paraId="15BBBAE9"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5.29</w:t>
            </w:r>
          </w:p>
        </w:tc>
        <w:tc>
          <w:tcPr>
            <w:tcW w:w="990" w:type="dxa"/>
            <w:noWrap/>
            <w:hideMark/>
          </w:tcPr>
          <w:p w14:paraId="5DFE3DFB"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5.31</w:t>
            </w:r>
          </w:p>
        </w:tc>
        <w:tc>
          <w:tcPr>
            <w:tcW w:w="900" w:type="dxa"/>
            <w:noWrap/>
            <w:hideMark/>
          </w:tcPr>
          <w:p w14:paraId="7D9CAF01"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5.30</w:t>
            </w:r>
          </w:p>
        </w:tc>
      </w:tr>
      <w:tr w:rsidR="00CD63C8" w:rsidRPr="00FB135A" w14:paraId="5249E0B0" w14:textId="00B03635" w:rsidTr="00B234C3">
        <w:trPr>
          <w:cantSplit/>
          <w:trHeight w:val="290"/>
          <w:jc w:val="center"/>
        </w:trPr>
        <w:tc>
          <w:tcPr>
            <w:tcW w:w="2515" w:type="dxa"/>
            <w:noWrap/>
            <w:hideMark/>
          </w:tcPr>
          <w:p w14:paraId="416F59DE"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Outpatient Visits</w:t>
            </w:r>
          </w:p>
        </w:tc>
        <w:tc>
          <w:tcPr>
            <w:tcW w:w="990" w:type="dxa"/>
            <w:noWrap/>
            <w:hideMark/>
          </w:tcPr>
          <w:p w14:paraId="67D77416"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59,097</w:t>
            </w:r>
          </w:p>
        </w:tc>
        <w:tc>
          <w:tcPr>
            <w:tcW w:w="990" w:type="dxa"/>
            <w:noWrap/>
            <w:hideMark/>
          </w:tcPr>
          <w:p w14:paraId="4F8D530C"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57,481</w:t>
            </w:r>
          </w:p>
        </w:tc>
        <w:tc>
          <w:tcPr>
            <w:tcW w:w="1080" w:type="dxa"/>
            <w:noWrap/>
            <w:hideMark/>
          </w:tcPr>
          <w:p w14:paraId="7BB7D224"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60,225</w:t>
            </w:r>
          </w:p>
        </w:tc>
        <w:tc>
          <w:tcPr>
            <w:tcW w:w="990" w:type="dxa"/>
            <w:noWrap/>
            <w:hideMark/>
          </w:tcPr>
          <w:p w14:paraId="5605A6AA"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45,750</w:t>
            </w:r>
          </w:p>
        </w:tc>
        <w:tc>
          <w:tcPr>
            <w:tcW w:w="990" w:type="dxa"/>
            <w:noWrap/>
            <w:hideMark/>
          </w:tcPr>
          <w:p w14:paraId="31D79DB4" w14:textId="77777777" w:rsidR="00CD63C8" w:rsidRPr="00FB135A" w:rsidRDefault="00CD63C8" w:rsidP="00110AFC">
            <w:pPr>
              <w:pStyle w:val="BodyText"/>
              <w:rPr>
                <w:rFonts w:asciiTheme="minorHAnsi" w:hAnsiTheme="minorHAnsi" w:cstheme="minorHAnsi"/>
                <w:sz w:val="24"/>
                <w:szCs w:val="24"/>
              </w:rPr>
            </w:pPr>
            <w:r w:rsidRPr="00FB135A">
              <w:rPr>
                <w:rFonts w:asciiTheme="minorHAnsi" w:hAnsiTheme="minorHAnsi" w:cstheme="minorHAnsi"/>
                <w:sz w:val="24"/>
                <w:szCs w:val="24"/>
              </w:rPr>
              <w:t>56,334</w:t>
            </w:r>
          </w:p>
        </w:tc>
        <w:tc>
          <w:tcPr>
            <w:tcW w:w="900" w:type="dxa"/>
            <w:noWrap/>
            <w:hideMark/>
          </w:tcPr>
          <w:p w14:paraId="37C9C2FB" w14:textId="77777777" w:rsidR="00CD63C8" w:rsidRPr="00FB135A" w:rsidRDefault="00CD63C8" w:rsidP="00110AFC">
            <w:pPr>
              <w:pStyle w:val="BodyText"/>
              <w:rPr>
                <w:rFonts w:asciiTheme="minorHAnsi" w:hAnsiTheme="minorHAnsi" w:cstheme="minorHAnsi"/>
                <w:sz w:val="24"/>
                <w:szCs w:val="24"/>
              </w:rPr>
            </w:pPr>
          </w:p>
        </w:tc>
      </w:tr>
    </w:tbl>
    <w:p w14:paraId="713F6D14" w14:textId="77777777" w:rsidR="00471D14" w:rsidRDefault="00471D14" w:rsidP="003C7406">
      <w:pPr>
        <w:pStyle w:val="BodyText"/>
        <w:rPr>
          <w:rFonts w:asciiTheme="minorHAnsi" w:hAnsiTheme="minorHAnsi" w:cstheme="minorHAnsi"/>
          <w:sz w:val="24"/>
          <w:szCs w:val="24"/>
        </w:rPr>
      </w:pPr>
    </w:p>
    <w:p w14:paraId="5FB23510" w14:textId="77777777" w:rsidR="00471D14" w:rsidRDefault="00471D14" w:rsidP="003C7406">
      <w:pPr>
        <w:pStyle w:val="BodyText"/>
        <w:rPr>
          <w:rFonts w:asciiTheme="minorHAnsi" w:hAnsiTheme="minorHAnsi" w:cstheme="minorHAnsi"/>
          <w:sz w:val="24"/>
          <w:szCs w:val="24"/>
        </w:rPr>
      </w:pPr>
    </w:p>
    <w:p w14:paraId="1CF25EC1" w14:textId="14253749" w:rsidR="003C7406" w:rsidRPr="003C7406" w:rsidRDefault="34432DA3" w:rsidP="00B4F071">
      <w:pPr>
        <w:pStyle w:val="BodyText"/>
        <w:rPr>
          <w:rFonts w:asciiTheme="minorHAnsi" w:hAnsiTheme="minorHAnsi" w:cstheme="minorBidi"/>
          <w:sz w:val="24"/>
          <w:szCs w:val="24"/>
        </w:rPr>
      </w:pPr>
      <w:r w:rsidRPr="6B09DEEC">
        <w:rPr>
          <w:rFonts w:asciiTheme="minorHAnsi" w:hAnsiTheme="minorHAnsi" w:cstheme="minorBidi"/>
          <w:sz w:val="24"/>
          <w:szCs w:val="24"/>
        </w:rPr>
        <w:t>Staff notes that</w:t>
      </w:r>
      <w:r w:rsidR="507D2009" w:rsidRPr="6B09DEEC">
        <w:rPr>
          <w:rFonts w:asciiTheme="minorHAnsi" w:hAnsiTheme="minorHAnsi" w:cstheme="minorBidi"/>
          <w:sz w:val="24"/>
          <w:szCs w:val="24"/>
        </w:rPr>
        <w:t xml:space="preserve"> </w:t>
      </w:r>
      <w:r w:rsidR="4663BD48" w:rsidRPr="6B09DEEC">
        <w:rPr>
          <w:rFonts w:asciiTheme="minorHAnsi" w:hAnsiTheme="minorHAnsi" w:cstheme="minorBidi"/>
          <w:sz w:val="24"/>
          <w:szCs w:val="24"/>
        </w:rPr>
        <w:t xml:space="preserve">the primary service area of the </w:t>
      </w:r>
      <w:r w:rsidR="507D2009" w:rsidRPr="6B09DEEC">
        <w:rPr>
          <w:rFonts w:asciiTheme="minorHAnsi" w:hAnsiTheme="minorHAnsi" w:cstheme="minorBidi"/>
          <w:sz w:val="24"/>
          <w:szCs w:val="24"/>
        </w:rPr>
        <w:t>two Hospitals comprise</w:t>
      </w:r>
      <w:r w:rsidR="4663BD48" w:rsidRPr="6B09DEEC">
        <w:rPr>
          <w:rFonts w:asciiTheme="minorHAnsi" w:hAnsiTheme="minorHAnsi" w:cstheme="minorBidi"/>
          <w:sz w:val="24"/>
          <w:szCs w:val="24"/>
        </w:rPr>
        <w:t>s</w:t>
      </w:r>
      <w:r w:rsidR="507D2009" w:rsidRPr="6B09DEEC">
        <w:rPr>
          <w:rFonts w:asciiTheme="minorHAnsi" w:hAnsiTheme="minorHAnsi" w:cstheme="minorBidi"/>
          <w:sz w:val="24"/>
          <w:szCs w:val="24"/>
        </w:rPr>
        <w:t xml:space="preserve"> over 580,000 people</w:t>
      </w:r>
      <w:r w:rsidR="6EE7A27E" w:rsidRPr="6B09DEEC">
        <w:rPr>
          <w:rFonts w:asciiTheme="minorHAnsi" w:hAnsiTheme="minorHAnsi" w:cstheme="minorBidi"/>
          <w:sz w:val="24"/>
          <w:szCs w:val="24"/>
        </w:rPr>
        <w:t>.</w:t>
      </w:r>
      <w:r w:rsidR="00C57E1E" w:rsidRPr="6B09DEEC">
        <w:rPr>
          <w:rStyle w:val="FootnoteReference"/>
          <w:rFonts w:asciiTheme="minorHAnsi" w:hAnsiTheme="minorHAnsi" w:cstheme="minorBidi"/>
          <w:sz w:val="24"/>
          <w:szCs w:val="24"/>
        </w:rPr>
        <w:footnoteReference w:id="9"/>
      </w:r>
      <w:r w:rsidR="507D2009" w:rsidRPr="6B09DEEC">
        <w:rPr>
          <w:rFonts w:asciiTheme="minorHAnsi" w:hAnsiTheme="minorHAnsi" w:cstheme="minorBidi"/>
          <w:sz w:val="24"/>
          <w:szCs w:val="24"/>
        </w:rPr>
        <w:t xml:space="preserve"> </w:t>
      </w:r>
      <w:r w:rsidRPr="6B09DEEC">
        <w:rPr>
          <w:rFonts w:asciiTheme="minorHAnsi" w:hAnsiTheme="minorHAnsi" w:cstheme="minorBidi"/>
          <w:sz w:val="24"/>
          <w:szCs w:val="24"/>
        </w:rPr>
        <w:t xml:space="preserve"> </w:t>
      </w:r>
      <w:r w:rsidR="42F5EC2B" w:rsidRPr="6B09DEEC">
        <w:rPr>
          <w:rFonts w:asciiTheme="minorHAnsi" w:hAnsiTheme="minorHAnsi" w:cstheme="minorBidi"/>
          <w:sz w:val="24"/>
          <w:szCs w:val="24"/>
        </w:rPr>
        <w:t>T</w:t>
      </w:r>
      <w:r w:rsidRPr="6B09DEEC">
        <w:rPr>
          <w:rFonts w:asciiTheme="minorHAnsi" w:hAnsiTheme="minorHAnsi" w:cstheme="minorBidi"/>
          <w:sz w:val="24"/>
          <w:szCs w:val="24"/>
        </w:rPr>
        <w:t xml:space="preserve">he </w:t>
      </w:r>
      <w:r w:rsidR="2525DD2E" w:rsidRPr="6B09DEEC">
        <w:rPr>
          <w:rFonts w:asciiTheme="minorHAnsi" w:hAnsiTheme="minorHAnsi" w:cstheme="minorBidi"/>
          <w:sz w:val="24"/>
          <w:szCs w:val="24"/>
        </w:rPr>
        <w:t xml:space="preserve">residents of </w:t>
      </w:r>
      <w:r w:rsidRPr="6B09DEEC">
        <w:rPr>
          <w:rFonts w:asciiTheme="minorHAnsi" w:hAnsiTheme="minorHAnsi" w:cstheme="minorBidi"/>
          <w:sz w:val="24"/>
          <w:szCs w:val="24"/>
        </w:rPr>
        <w:t>Fall River, Taunton</w:t>
      </w:r>
      <w:r w:rsidR="5E34DD87" w:rsidRPr="6B09DEEC">
        <w:rPr>
          <w:rFonts w:asciiTheme="minorHAnsi" w:hAnsiTheme="minorHAnsi" w:cstheme="minorBidi"/>
          <w:sz w:val="24"/>
          <w:szCs w:val="24"/>
        </w:rPr>
        <w:t>,</w:t>
      </w:r>
      <w:r w:rsidRPr="6B09DEEC">
        <w:rPr>
          <w:rFonts w:asciiTheme="minorHAnsi" w:hAnsiTheme="minorHAnsi" w:cstheme="minorBidi"/>
          <w:sz w:val="24"/>
          <w:szCs w:val="24"/>
        </w:rPr>
        <w:t xml:space="preserve"> and surrounding</w:t>
      </w:r>
      <w:r w:rsidR="4663BD48" w:rsidRPr="6B09DEEC">
        <w:rPr>
          <w:rFonts w:asciiTheme="minorHAnsi" w:hAnsiTheme="minorHAnsi" w:cstheme="minorBidi"/>
          <w:sz w:val="24"/>
          <w:szCs w:val="24"/>
        </w:rPr>
        <w:t xml:space="preserve"> communities </w:t>
      </w:r>
      <w:r w:rsidRPr="6B09DEEC">
        <w:rPr>
          <w:rFonts w:asciiTheme="minorHAnsi" w:hAnsiTheme="minorHAnsi" w:cstheme="minorBidi"/>
          <w:sz w:val="24"/>
          <w:szCs w:val="24"/>
        </w:rPr>
        <w:t xml:space="preserve">of both hospitals </w:t>
      </w:r>
      <w:r w:rsidR="2525DD2E" w:rsidRPr="6B09DEEC">
        <w:rPr>
          <w:rFonts w:asciiTheme="minorHAnsi" w:hAnsiTheme="minorHAnsi" w:cstheme="minorBidi"/>
          <w:sz w:val="24"/>
          <w:szCs w:val="24"/>
        </w:rPr>
        <w:t>rely on the Essential Services of the two entities</w:t>
      </w:r>
      <w:r w:rsidR="3D1921E0" w:rsidRPr="6B09DEEC">
        <w:rPr>
          <w:rFonts w:asciiTheme="minorHAnsi" w:hAnsiTheme="minorHAnsi" w:cstheme="minorBidi"/>
          <w:sz w:val="24"/>
          <w:szCs w:val="24"/>
        </w:rPr>
        <w:t>.</w:t>
      </w:r>
      <w:r w:rsidR="55D3E814" w:rsidRPr="6B09DEEC">
        <w:rPr>
          <w:rFonts w:asciiTheme="minorHAnsi" w:hAnsiTheme="minorHAnsi" w:cstheme="minorBidi"/>
          <w:sz w:val="24"/>
          <w:szCs w:val="24"/>
        </w:rPr>
        <w:t xml:space="preserve"> </w:t>
      </w:r>
      <w:r w:rsidR="5500FA68" w:rsidRPr="6B09DEEC">
        <w:rPr>
          <w:rFonts w:asciiTheme="minorHAnsi" w:hAnsiTheme="minorHAnsi" w:cstheme="minorBidi"/>
          <w:sz w:val="24"/>
          <w:szCs w:val="24"/>
        </w:rPr>
        <w:t>C</w:t>
      </w:r>
      <w:r w:rsidRPr="6B09DEEC">
        <w:rPr>
          <w:rFonts w:asciiTheme="minorHAnsi" w:hAnsiTheme="minorHAnsi" w:cstheme="minorBidi"/>
          <w:sz w:val="24"/>
          <w:szCs w:val="24"/>
        </w:rPr>
        <w:t>losure of these services would require patients to travel distances to access care creating an undue burden on th</w:t>
      </w:r>
      <w:r w:rsidR="2FAA2AD7" w:rsidRPr="6B09DEEC">
        <w:rPr>
          <w:rFonts w:asciiTheme="minorHAnsi" w:hAnsiTheme="minorHAnsi" w:cstheme="minorBidi"/>
          <w:sz w:val="24"/>
          <w:szCs w:val="24"/>
        </w:rPr>
        <w:t>ose patients</w:t>
      </w:r>
      <w:r w:rsidRPr="6B09DEEC">
        <w:rPr>
          <w:rFonts w:asciiTheme="minorHAnsi" w:hAnsiTheme="minorHAnsi" w:cstheme="minorBidi"/>
          <w:sz w:val="24"/>
          <w:szCs w:val="24"/>
        </w:rPr>
        <w:t>, and their accompanying family/caregivers and consequently their outcomes may be negatively impacted.</w:t>
      </w:r>
      <w:r w:rsidR="490AED09" w:rsidRPr="6B09DEEC">
        <w:rPr>
          <w:rFonts w:asciiTheme="minorHAnsi" w:hAnsiTheme="minorHAnsi" w:cstheme="minorBidi"/>
          <w:sz w:val="24"/>
          <w:szCs w:val="24"/>
        </w:rPr>
        <w:t xml:space="preserve"> </w:t>
      </w:r>
    </w:p>
    <w:p w14:paraId="56856B8F" w14:textId="77777777" w:rsidR="003C7406" w:rsidRDefault="003C7406" w:rsidP="00DD6988">
      <w:pPr>
        <w:pStyle w:val="BodyText"/>
        <w:rPr>
          <w:rFonts w:asciiTheme="minorHAnsi" w:hAnsiTheme="minorHAnsi" w:cstheme="minorHAnsi"/>
          <w:sz w:val="24"/>
          <w:szCs w:val="24"/>
        </w:rPr>
      </w:pPr>
    </w:p>
    <w:p w14:paraId="31A4037C" w14:textId="114DF7DA" w:rsidR="00127D0A" w:rsidRPr="00DD6988" w:rsidRDefault="00DD6988" w:rsidP="001B72DB">
      <w:pPr>
        <w:pStyle w:val="BodyText"/>
        <w:rPr>
          <w:rFonts w:asciiTheme="minorHAnsi" w:hAnsiTheme="minorHAnsi" w:cstheme="minorHAnsi"/>
          <w:color w:val="2E74B5" w:themeColor="accent5" w:themeShade="BF"/>
          <w:sz w:val="24"/>
          <w:szCs w:val="24"/>
        </w:rPr>
      </w:pPr>
      <w:r w:rsidRPr="00DD6988">
        <w:rPr>
          <w:rFonts w:asciiTheme="minorHAnsi" w:hAnsiTheme="minorHAnsi" w:cstheme="minorHAnsi"/>
          <w:sz w:val="24"/>
          <w:szCs w:val="24"/>
        </w:rPr>
        <w:t>As such, staff finds the Applicant made a convincing case that there is indeed an Emergency Situation and an urgent need for patients residing in and surrounding communities, to have uninterrupted continuity of care and access to local services.</w:t>
      </w:r>
    </w:p>
    <w:p w14:paraId="69990DAC" w14:textId="77777777" w:rsidR="00685A47" w:rsidRDefault="00685A47" w:rsidP="00127D0A">
      <w:pPr>
        <w:pStyle w:val="BodyText"/>
        <w:rPr>
          <w:rFonts w:asciiTheme="minorHAnsi" w:hAnsiTheme="minorHAnsi" w:cstheme="minorHAnsi"/>
          <w:sz w:val="24"/>
          <w:szCs w:val="24"/>
        </w:rPr>
      </w:pPr>
    </w:p>
    <w:p w14:paraId="0959A6F8" w14:textId="15FE66EA" w:rsidR="00C07147" w:rsidRPr="00B76DED" w:rsidRDefault="00CD61F5" w:rsidP="001B72DB">
      <w:pPr>
        <w:pStyle w:val="BodyText"/>
        <w:rPr>
          <w:rFonts w:asciiTheme="minorHAnsi" w:hAnsiTheme="minorHAnsi" w:cstheme="minorHAnsi"/>
          <w:sz w:val="24"/>
          <w:szCs w:val="24"/>
        </w:rPr>
      </w:pPr>
      <w:bookmarkStart w:id="0" w:name="_Hlk119333558"/>
      <w:r>
        <w:rPr>
          <w:rFonts w:asciiTheme="minorHAnsi" w:hAnsiTheme="minorHAnsi" w:cstheme="minorHAnsi"/>
          <w:sz w:val="24"/>
          <w:szCs w:val="24"/>
        </w:rPr>
        <w:t>S</w:t>
      </w:r>
      <w:r w:rsidR="00C9357D">
        <w:rPr>
          <w:rFonts w:asciiTheme="minorHAnsi" w:hAnsiTheme="minorHAnsi" w:cstheme="minorHAnsi"/>
          <w:sz w:val="24"/>
          <w:szCs w:val="24"/>
        </w:rPr>
        <w:t xml:space="preserve">taff finds that the Proposed </w:t>
      </w:r>
      <w:r w:rsidR="00DA4EA8">
        <w:rPr>
          <w:rFonts w:asciiTheme="minorHAnsi" w:hAnsiTheme="minorHAnsi" w:cstheme="minorHAnsi"/>
          <w:sz w:val="24"/>
          <w:szCs w:val="24"/>
        </w:rPr>
        <w:t xml:space="preserve">Project </w:t>
      </w:r>
      <w:r w:rsidR="00C9357D">
        <w:rPr>
          <w:rFonts w:asciiTheme="minorHAnsi" w:hAnsiTheme="minorHAnsi" w:cstheme="minorHAnsi"/>
          <w:sz w:val="24"/>
          <w:szCs w:val="24"/>
        </w:rPr>
        <w:t>will play a</w:t>
      </w:r>
      <w:r w:rsidR="005C31CF">
        <w:rPr>
          <w:rFonts w:asciiTheme="minorHAnsi" w:hAnsiTheme="minorHAnsi" w:cstheme="minorHAnsi"/>
          <w:sz w:val="24"/>
          <w:szCs w:val="24"/>
        </w:rPr>
        <w:t xml:space="preserve"> critical</w:t>
      </w:r>
      <w:r w:rsidR="00C9357D">
        <w:rPr>
          <w:rFonts w:asciiTheme="minorHAnsi" w:hAnsiTheme="minorHAnsi" w:cstheme="minorHAnsi"/>
          <w:sz w:val="24"/>
          <w:szCs w:val="24"/>
        </w:rPr>
        <w:t xml:space="preserve"> role in mitigating th</w:t>
      </w:r>
      <w:r w:rsidR="005C31CF">
        <w:rPr>
          <w:rFonts w:asciiTheme="minorHAnsi" w:hAnsiTheme="minorHAnsi" w:cstheme="minorHAnsi"/>
          <w:sz w:val="24"/>
          <w:szCs w:val="24"/>
        </w:rPr>
        <w:t>e potential harm that may result from such closures</w:t>
      </w:r>
      <w:r w:rsidR="00C9357D">
        <w:rPr>
          <w:rFonts w:asciiTheme="minorHAnsi" w:hAnsiTheme="minorHAnsi" w:cstheme="minorHAnsi"/>
          <w:sz w:val="24"/>
          <w:szCs w:val="24"/>
        </w:rPr>
        <w:t>.</w:t>
      </w:r>
      <w:r>
        <w:rPr>
          <w:rFonts w:asciiTheme="minorHAnsi" w:hAnsiTheme="minorHAnsi" w:cstheme="minorHAnsi"/>
          <w:sz w:val="24"/>
          <w:szCs w:val="24"/>
        </w:rPr>
        <w:t xml:space="preserve"> </w:t>
      </w:r>
    </w:p>
    <w:bookmarkEnd w:id="0"/>
    <w:p w14:paraId="52CB9CED" w14:textId="77777777" w:rsidR="00DD6988" w:rsidRDefault="00DD6988" w:rsidP="006D23CD">
      <w:pPr>
        <w:ind w:right="-10"/>
        <w:rPr>
          <w:rFonts w:asciiTheme="minorHAnsi" w:hAnsiTheme="minorHAnsi" w:cstheme="minorHAnsi"/>
          <w:b/>
          <w:bCs/>
          <w:sz w:val="24"/>
          <w:szCs w:val="24"/>
          <w:u w:val="single"/>
        </w:rPr>
      </w:pPr>
    </w:p>
    <w:p w14:paraId="6F51F826" w14:textId="6379CD73" w:rsidR="00970791" w:rsidRDefault="009955CD" w:rsidP="006D23CD">
      <w:pPr>
        <w:ind w:right="-10"/>
        <w:rPr>
          <w:rFonts w:asciiTheme="minorHAnsi" w:hAnsiTheme="minorHAnsi" w:cstheme="minorHAnsi"/>
          <w:b/>
          <w:bCs/>
          <w:sz w:val="24"/>
          <w:szCs w:val="24"/>
          <w:u w:val="single"/>
        </w:rPr>
      </w:pPr>
      <w:r w:rsidRPr="00B76DED">
        <w:rPr>
          <w:rFonts w:asciiTheme="minorHAnsi" w:hAnsiTheme="minorHAnsi" w:cstheme="minorHAnsi"/>
          <w:b/>
          <w:bCs/>
          <w:sz w:val="24"/>
          <w:szCs w:val="24"/>
          <w:u w:val="single"/>
        </w:rPr>
        <w:t>Findings</w:t>
      </w:r>
    </w:p>
    <w:p w14:paraId="3E53E372" w14:textId="77777777" w:rsidR="005338FC" w:rsidRDefault="005338FC" w:rsidP="006D23CD">
      <w:pPr>
        <w:ind w:right="-10"/>
        <w:rPr>
          <w:rFonts w:asciiTheme="minorHAnsi" w:hAnsiTheme="minorHAnsi" w:cstheme="minorHAnsi"/>
          <w:b/>
          <w:bCs/>
          <w:sz w:val="24"/>
          <w:szCs w:val="24"/>
          <w:u w:val="single"/>
        </w:rPr>
      </w:pPr>
    </w:p>
    <w:p w14:paraId="6CA8F313" w14:textId="5AAAF81C" w:rsidR="00006FDD" w:rsidRDefault="00006FDD" w:rsidP="6B09DEEC">
      <w:pPr>
        <w:ind w:right="-10"/>
        <w:rPr>
          <w:rFonts w:asciiTheme="minorHAnsi" w:hAnsiTheme="minorHAnsi" w:cstheme="minorBidi"/>
          <w:b/>
          <w:bCs/>
          <w:sz w:val="24"/>
          <w:szCs w:val="24"/>
          <w:u w:val="single"/>
        </w:rPr>
      </w:pPr>
    </w:p>
    <w:p w14:paraId="2829BC6A" w14:textId="77777777" w:rsidR="00F175C0" w:rsidRPr="00F175C0" w:rsidRDefault="00F175C0" w:rsidP="00F175C0">
      <w:pPr>
        <w:ind w:right="-10"/>
        <w:rPr>
          <w:rFonts w:asciiTheme="minorHAnsi" w:hAnsiTheme="minorHAnsi" w:cstheme="minorBidi"/>
          <w:i/>
          <w:iCs/>
          <w:sz w:val="24"/>
          <w:szCs w:val="24"/>
        </w:rPr>
      </w:pPr>
      <w:r w:rsidRPr="00F175C0">
        <w:rPr>
          <w:rFonts w:asciiTheme="minorHAnsi" w:hAnsiTheme="minorHAnsi" w:cstheme="minorBidi"/>
          <w:sz w:val="24"/>
          <w:szCs w:val="24"/>
        </w:rPr>
        <w:t xml:space="preserve">The definition of </w:t>
      </w:r>
      <w:r w:rsidRPr="00F175C0">
        <w:rPr>
          <w:rFonts w:asciiTheme="minorHAnsi" w:hAnsiTheme="minorHAnsi" w:cstheme="minorBidi"/>
          <w:i/>
          <w:iCs/>
          <w:sz w:val="24"/>
          <w:szCs w:val="24"/>
        </w:rPr>
        <w:t>Emergency Situation</w:t>
      </w:r>
      <w:r w:rsidRPr="00F175C0">
        <w:rPr>
          <w:rFonts w:asciiTheme="minorHAnsi" w:hAnsiTheme="minorHAnsi" w:cstheme="minorBidi"/>
          <w:sz w:val="24"/>
          <w:szCs w:val="24"/>
        </w:rPr>
        <w:t xml:space="preserve"> includes “…</w:t>
      </w:r>
      <w:r w:rsidRPr="00F175C0">
        <w:rPr>
          <w:rFonts w:asciiTheme="minorHAnsi" w:hAnsiTheme="minorHAnsi" w:cstheme="minorBidi"/>
          <w:i/>
          <w:iCs/>
          <w:sz w:val="24"/>
          <w:szCs w:val="24"/>
        </w:rPr>
        <w:t xml:space="preserve">a situation involving either: </w:t>
      </w:r>
    </w:p>
    <w:p w14:paraId="642DF7DC" w14:textId="77777777" w:rsidR="00F175C0" w:rsidRPr="00F175C0" w:rsidRDefault="00F175C0" w:rsidP="00F175C0">
      <w:pPr>
        <w:ind w:right="-10"/>
        <w:rPr>
          <w:rFonts w:asciiTheme="minorHAnsi" w:hAnsiTheme="minorHAnsi" w:cstheme="minorBidi"/>
          <w:i/>
          <w:iCs/>
          <w:sz w:val="24"/>
          <w:szCs w:val="24"/>
        </w:rPr>
      </w:pPr>
      <w:r w:rsidRPr="00F175C0">
        <w:rPr>
          <w:rFonts w:asciiTheme="minorHAnsi" w:hAnsiTheme="minorHAnsi" w:cstheme="minorBidi"/>
          <w:i/>
          <w:iCs/>
          <w:sz w:val="24"/>
          <w:szCs w:val="24"/>
        </w:rPr>
        <w:t xml:space="preserve">(1) a Government Declaration of emergency or a Catastrophic Event; or </w:t>
      </w:r>
    </w:p>
    <w:p w14:paraId="528AAC74" w14:textId="77777777" w:rsidR="00F175C0" w:rsidRPr="00F175C0" w:rsidRDefault="00F175C0" w:rsidP="00F175C0">
      <w:pPr>
        <w:ind w:right="-10"/>
        <w:rPr>
          <w:rFonts w:asciiTheme="minorHAnsi" w:hAnsiTheme="minorHAnsi" w:cstheme="minorBidi"/>
          <w:sz w:val="24"/>
          <w:szCs w:val="24"/>
        </w:rPr>
      </w:pPr>
      <w:r w:rsidRPr="00F175C0">
        <w:rPr>
          <w:rFonts w:asciiTheme="minorHAnsi" w:hAnsiTheme="minorHAnsi" w:cstheme="minorBidi"/>
          <w:i/>
          <w:iCs/>
          <w:sz w:val="24"/>
          <w:szCs w:val="24"/>
        </w:rPr>
        <w:t>(2) an existing Health Care Facility which the Commissioner determines has been destroyed, or otherwise substantially damaged, or where there is a clear and present danger of such damage, such that the damage could substantially impact public health…”</w:t>
      </w:r>
      <w:r w:rsidRPr="00F175C0">
        <w:rPr>
          <w:rFonts w:asciiTheme="minorHAnsi" w:hAnsiTheme="minorHAnsi" w:cstheme="minorBidi"/>
          <w:i/>
          <w:iCs/>
          <w:sz w:val="24"/>
          <w:szCs w:val="24"/>
          <w:vertAlign w:val="superscript"/>
        </w:rPr>
        <w:footnoteReference w:id="10"/>
      </w:r>
    </w:p>
    <w:p w14:paraId="599F61E5" w14:textId="77777777" w:rsidR="00F175C0" w:rsidRDefault="00F175C0" w:rsidP="00B4F071">
      <w:pPr>
        <w:ind w:right="-10"/>
        <w:rPr>
          <w:rFonts w:asciiTheme="minorHAnsi" w:hAnsiTheme="minorHAnsi" w:cstheme="minorBidi"/>
          <w:sz w:val="24"/>
          <w:szCs w:val="24"/>
        </w:rPr>
      </w:pPr>
    </w:p>
    <w:p w14:paraId="1E87F10B" w14:textId="15ED4D41" w:rsidR="00142C8A" w:rsidRPr="00006FDD" w:rsidRDefault="00E54540" w:rsidP="00B4F071">
      <w:pPr>
        <w:ind w:right="-10"/>
        <w:rPr>
          <w:rFonts w:asciiTheme="minorHAnsi" w:hAnsiTheme="minorHAnsi" w:cstheme="minorBidi"/>
          <w:sz w:val="24"/>
          <w:szCs w:val="24"/>
        </w:rPr>
      </w:pPr>
      <w:r w:rsidRPr="00B4F071">
        <w:rPr>
          <w:rFonts w:asciiTheme="minorHAnsi" w:hAnsiTheme="minorHAnsi" w:cstheme="minorBidi"/>
          <w:sz w:val="24"/>
          <w:szCs w:val="24"/>
        </w:rPr>
        <w:t>Based upon a review of the Proposed Project as submitted by the Applicant, DoN staff recommend that the Commissioner determine that there is an Emergency Situation, as defined in 105 CMR 100.100</w:t>
      </w:r>
      <w:r w:rsidR="00AB4890" w:rsidRPr="00B4F071">
        <w:rPr>
          <w:rFonts w:asciiTheme="minorHAnsi" w:hAnsiTheme="minorHAnsi" w:cstheme="minorBidi"/>
          <w:sz w:val="24"/>
          <w:szCs w:val="24"/>
        </w:rPr>
        <w:t>.</w:t>
      </w:r>
      <w:r w:rsidR="002D46BA" w:rsidRPr="00B4F071">
        <w:rPr>
          <w:rFonts w:asciiTheme="minorHAnsi" w:hAnsiTheme="minorHAnsi" w:cstheme="minorBidi"/>
          <w:sz w:val="24"/>
          <w:szCs w:val="24"/>
        </w:rPr>
        <w:t xml:space="preserve"> </w:t>
      </w:r>
      <w:r w:rsidR="00142C8A" w:rsidRPr="00B4F071">
        <w:rPr>
          <w:rFonts w:asciiTheme="minorHAnsi" w:hAnsiTheme="minorHAnsi" w:cstheme="minorBidi"/>
          <w:sz w:val="24"/>
          <w:szCs w:val="24"/>
        </w:rPr>
        <w:t xml:space="preserve">Staff further finds that the Applicant convincingly demonstrates that </w:t>
      </w:r>
      <w:r w:rsidR="005C31CF" w:rsidRPr="00B4F071">
        <w:rPr>
          <w:rFonts w:asciiTheme="minorHAnsi" w:hAnsiTheme="minorHAnsi" w:cstheme="minorBidi"/>
          <w:sz w:val="24"/>
          <w:szCs w:val="24"/>
        </w:rPr>
        <w:t xml:space="preserve">the Proposed </w:t>
      </w:r>
      <w:r w:rsidR="00DA4EA8" w:rsidRPr="00B4F071">
        <w:rPr>
          <w:rFonts w:asciiTheme="minorHAnsi" w:hAnsiTheme="minorHAnsi" w:cstheme="minorBidi"/>
          <w:sz w:val="24"/>
          <w:szCs w:val="24"/>
        </w:rPr>
        <w:t xml:space="preserve">Project </w:t>
      </w:r>
      <w:r w:rsidR="00142C8A" w:rsidRPr="00B4F071">
        <w:rPr>
          <w:rFonts w:asciiTheme="minorHAnsi" w:hAnsiTheme="minorHAnsi" w:cstheme="minorBidi"/>
          <w:sz w:val="24"/>
          <w:szCs w:val="24"/>
        </w:rPr>
        <w:t xml:space="preserve">will address the Emergency Situation and </w:t>
      </w:r>
      <w:r w:rsidR="005C31CF" w:rsidRPr="00B4F071">
        <w:rPr>
          <w:rFonts w:asciiTheme="minorHAnsi" w:hAnsiTheme="minorHAnsi" w:cstheme="minorBidi"/>
          <w:sz w:val="24"/>
          <w:szCs w:val="24"/>
        </w:rPr>
        <w:t xml:space="preserve">that </w:t>
      </w:r>
      <w:r w:rsidR="00142C8A" w:rsidRPr="00B4F071">
        <w:rPr>
          <w:rFonts w:asciiTheme="minorHAnsi" w:hAnsiTheme="minorHAnsi" w:cstheme="minorBidi"/>
          <w:sz w:val="24"/>
          <w:szCs w:val="24"/>
        </w:rPr>
        <w:t>without the issuance of a Notice of Determination of Need, the public health will be measurably harmed. Staff further recommend that, in light of the urgent need to maintain access to and continuity of treatment, certain notice and comment regulations be waived, specifically pursuant to 105 CMR 100.435(D) and 105 CMR 100.440 (B), and the related sections of 105 CMR 100.405(C)(2).</w:t>
      </w:r>
    </w:p>
    <w:p w14:paraId="093AB89F" w14:textId="77777777" w:rsidR="00142C8A" w:rsidRDefault="00142C8A" w:rsidP="001B72DB">
      <w:pPr>
        <w:ind w:right="-10"/>
        <w:rPr>
          <w:rFonts w:asciiTheme="minorHAnsi" w:hAnsiTheme="minorHAnsi" w:cstheme="minorHAnsi"/>
          <w:sz w:val="24"/>
          <w:szCs w:val="24"/>
        </w:rPr>
      </w:pPr>
    </w:p>
    <w:p w14:paraId="2E27F238" w14:textId="77777777" w:rsidR="00DD6988" w:rsidRPr="00DD6988" w:rsidRDefault="3AE13594" w:rsidP="00B4F071">
      <w:pPr>
        <w:ind w:right="-10"/>
        <w:rPr>
          <w:rFonts w:asciiTheme="minorHAnsi" w:hAnsiTheme="minorHAnsi" w:cstheme="minorBidi"/>
          <w:b/>
          <w:bCs/>
          <w:sz w:val="24"/>
          <w:szCs w:val="24"/>
        </w:rPr>
      </w:pPr>
      <w:r w:rsidRPr="6B09DEEC">
        <w:rPr>
          <w:rFonts w:asciiTheme="minorHAnsi" w:hAnsiTheme="minorHAnsi" w:cstheme="minorBidi"/>
          <w:sz w:val="24"/>
          <w:szCs w:val="24"/>
        </w:rPr>
        <w:t xml:space="preserve">Based on review of the materials submitted and additional analysis, staff recommend that the </w:t>
      </w:r>
      <w:r w:rsidRPr="6B09DEEC">
        <w:rPr>
          <w:rFonts w:asciiTheme="minorHAnsi" w:hAnsiTheme="minorHAnsi" w:cstheme="minorBidi"/>
          <w:sz w:val="24"/>
          <w:szCs w:val="24"/>
        </w:rPr>
        <w:lastRenderedPageBreak/>
        <w:t>Commissioner issue a Notice of Determination of Need, subject to all Standard Conditions set out in 105 CMR 100.310(A) except 100.310(A)(5), (6), (7), (9), (10) and (13).</w:t>
      </w:r>
      <w:r w:rsidR="00DD6988" w:rsidRPr="6B09DEEC">
        <w:rPr>
          <w:rFonts w:asciiTheme="minorHAnsi" w:hAnsiTheme="minorHAnsi" w:cstheme="minorBidi"/>
          <w:sz w:val="24"/>
          <w:szCs w:val="24"/>
          <w:vertAlign w:val="superscript"/>
        </w:rPr>
        <w:footnoteReference w:id="11"/>
      </w:r>
    </w:p>
    <w:p w14:paraId="4D840E1B" w14:textId="77777777" w:rsidR="00DD6988" w:rsidRPr="00DD6988" w:rsidRDefault="00DD6988" w:rsidP="00DD6988">
      <w:pPr>
        <w:ind w:right="-10"/>
        <w:rPr>
          <w:rFonts w:asciiTheme="minorHAnsi" w:hAnsiTheme="minorHAnsi" w:cstheme="minorHAnsi"/>
          <w:color w:val="2E74B5" w:themeColor="accent5" w:themeShade="BF"/>
          <w:sz w:val="24"/>
          <w:szCs w:val="24"/>
        </w:rPr>
      </w:pPr>
    </w:p>
    <w:p w14:paraId="3B5311DA" w14:textId="6E3D1796" w:rsidR="00765191" w:rsidRDefault="25FAEFA4" w:rsidP="3941F62A">
      <w:pPr>
        <w:ind w:right="-10"/>
        <w:rPr>
          <w:rFonts w:asciiTheme="minorHAnsi" w:hAnsiTheme="minorHAnsi" w:cstheme="minorBidi"/>
          <w:b/>
          <w:bCs/>
          <w:sz w:val="24"/>
          <w:szCs w:val="24"/>
        </w:rPr>
      </w:pPr>
      <w:r w:rsidRPr="2B9A976A">
        <w:rPr>
          <w:rFonts w:asciiTheme="minorHAnsi" w:hAnsiTheme="minorHAnsi" w:cstheme="minorBidi"/>
          <w:b/>
          <w:bCs/>
          <w:sz w:val="24"/>
          <w:szCs w:val="24"/>
        </w:rPr>
        <w:t>Other Conditions </w:t>
      </w:r>
    </w:p>
    <w:p w14:paraId="2C0B3B5A" w14:textId="77777777" w:rsidR="00765191" w:rsidRDefault="00765191" w:rsidP="2B9A976A">
      <w:pPr>
        <w:ind w:right="-10"/>
        <w:rPr>
          <w:rFonts w:asciiTheme="minorHAnsi" w:hAnsiTheme="minorHAnsi" w:cstheme="minorBidi"/>
          <w:b/>
          <w:bCs/>
          <w:sz w:val="24"/>
          <w:szCs w:val="24"/>
        </w:rPr>
      </w:pPr>
    </w:p>
    <w:p w14:paraId="1E2E7E42" w14:textId="77777777" w:rsidR="00765191" w:rsidRPr="00765191" w:rsidRDefault="01E95B6A" w:rsidP="00765191">
      <w:pPr>
        <w:widowControl/>
        <w:autoSpaceDE/>
        <w:autoSpaceDN/>
        <w:rPr>
          <w:rFonts w:eastAsia="Aptos"/>
          <w:kern w:val="2"/>
          <w:sz w:val="24"/>
          <w:szCs w:val="24"/>
          <w:lang w:bidi="ar-SA"/>
          <w14:ligatures w14:val="standardContextual"/>
        </w:rPr>
      </w:pPr>
      <w:r w:rsidRPr="2B9A976A">
        <w:rPr>
          <w:rFonts w:eastAsia="Aptos"/>
          <w:sz w:val="24"/>
          <w:szCs w:val="24"/>
          <w:lang w:bidi="ar-SA"/>
        </w:rPr>
        <w:t>In establishing Conditions, the DoN Program (“Program”) acknowledges that due to the Emergency Situation at the time of closure, the Holder reports that it does not have full access to information that would provide an accurate</w:t>
      </w:r>
      <w:r w:rsidRPr="00765191">
        <w:rPr>
          <w:rFonts w:eastAsia="Aptos"/>
          <w:kern w:val="2"/>
          <w:sz w:val="24"/>
          <w:szCs w:val="24"/>
          <w:lang w:bidi="ar-SA"/>
          <w14:ligatures w14:val="standardContextual"/>
        </w:rPr>
        <w:t xml:space="preserve"> picture of the operations of the Hospital. In the interest of ensuring ongoing viability of the Hospital, the Holder will report to the Department on the following: </w:t>
      </w:r>
    </w:p>
    <w:p w14:paraId="78AE65EB" w14:textId="77777777" w:rsidR="00765191" w:rsidRPr="00765191" w:rsidRDefault="01E95B6A" w:rsidP="00765191">
      <w:pPr>
        <w:widowControl/>
        <w:autoSpaceDE/>
        <w:autoSpaceDN/>
        <w:rPr>
          <w:rFonts w:eastAsia="Aptos"/>
          <w:kern w:val="2"/>
          <w:sz w:val="24"/>
          <w:szCs w:val="24"/>
          <w:lang w:bidi="ar-SA"/>
          <w14:ligatures w14:val="standardContextual"/>
        </w:rPr>
      </w:pPr>
      <w:r w:rsidRPr="00765191">
        <w:rPr>
          <w:rFonts w:eastAsia="Aptos"/>
          <w:kern w:val="2"/>
          <w:sz w:val="24"/>
          <w:szCs w:val="24"/>
          <w:lang w:bidi="ar-SA"/>
          <w14:ligatures w14:val="standardContextual"/>
        </w:rPr>
        <w:t> </w:t>
      </w:r>
    </w:p>
    <w:p w14:paraId="5588CE33" w14:textId="29F6B1DC" w:rsidR="00765191" w:rsidRPr="00765191" w:rsidRDefault="6C032291" w:rsidP="00765191">
      <w:pPr>
        <w:widowControl/>
        <w:numPr>
          <w:ilvl w:val="0"/>
          <w:numId w:val="3"/>
        </w:numPr>
        <w:autoSpaceDE/>
        <w:autoSpaceDN/>
        <w:rPr>
          <w:rFonts w:eastAsia="Aptos"/>
          <w:kern w:val="2"/>
          <w:sz w:val="24"/>
          <w:szCs w:val="24"/>
          <w:lang w:bidi="ar-SA"/>
          <w14:ligatures w14:val="standardContextual"/>
        </w:rPr>
      </w:pPr>
      <w:r w:rsidRPr="2B9A976A">
        <w:rPr>
          <w:rFonts w:eastAsia="Aptos"/>
          <w:sz w:val="24"/>
          <w:szCs w:val="24"/>
          <w:lang w:bidi="ar-SA"/>
        </w:rPr>
        <w:t>Within six months of the transaction’s closing (“the Closing”), the Holder will provide the Department with an initial assessment of the condition of the facilit</w:t>
      </w:r>
      <w:r w:rsidR="6175E934" w:rsidRPr="2B9A976A">
        <w:rPr>
          <w:rFonts w:eastAsia="Aptos"/>
          <w:sz w:val="24"/>
          <w:szCs w:val="24"/>
          <w:lang w:bidi="ar-SA"/>
        </w:rPr>
        <w:t>ies</w:t>
      </w:r>
      <w:r w:rsidRPr="2B9A976A">
        <w:rPr>
          <w:rFonts w:eastAsia="Aptos"/>
          <w:sz w:val="24"/>
          <w:szCs w:val="24"/>
          <w:lang w:bidi="ar-SA"/>
        </w:rPr>
        <w:t xml:space="preserve"> and its operations and an integration plan for incorporating </w:t>
      </w:r>
      <w:r w:rsidRPr="2B9A976A">
        <w:rPr>
          <w:rFonts w:eastAsia="Aptos"/>
          <w:sz w:val="24"/>
          <w:szCs w:val="24"/>
        </w:rPr>
        <w:t>Morton</w:t>
      </w:r>
      <w:r w:rsidR="478725B1" w:rsidRPr="2B9A976A">
        <w:rPr>
          <w:rFonts w:eastAsia="Aptos"/>
          <w:sz w:val="24"/>
          <w:szCs w:val="24"/>
        </w:rPr>
        <w:t xml:space="preserve"> Hospital</w:t>
      </w:r>
      <w:r w:rsidRPr="2B9A976A">
        <w:rPr>
          <w:rFonts w:eastAsia="Aptos"/>
          <w:sz w:val="24"/>
          <w:szCs w:val="24"/>
        </w:rPr>
        <w:t xml:space="preserve"> and St Anne’s Hospital </w:t>
      </w:r>
      <w:r w:rsidRPr="2B9A976A">
        <w:rPr>
          <w:rFonts w:eastAsia="Aptos"/>
          <w:sz w:val="24"/>
          <w:szCs w:val="24"/>
          <w:lang w:bidi="ar-SA"/>
        </w:rPr>
        <w:t xml:space="preserve">into the operations of Lifespan of Massachusetts with definable benchmarks. The Holder will report on the fiscal and operational health of </w:t>
      </w:r>
      <w:r w:rsidRPr="2B9A976A">
        <w:rPr>
          <w:rFonts w:eastAsia="Aptos"/>
          <w:sz w:val="24"/>
          <w:szCs w:val="24"/>
        </w:rPr>
        <w:t xml:space="preserve">Morton </w:t>
      </w:r>
      <w:r w:rsidR="7B788797" w:rsidRPr="2B9A976A">
        <w:rPr>
          <w:rFonts w:eastAsia="Aptos"/>
          <w:sz w:val="24"/>
          <w:szCs w:val="24"/>
        </w:rPr>
        <w:t xml:space="preserve">Hospital </w:t>
      </w:r>
      <w:r w:rsidRPr="2B9A976A">
        <w:rPr>
          <w:rFonts w:eastAsia="Aptos"/>
          <w:sz w:val="24"/>
          <w:szCs w:val="24"/>
        </w:rPr>
        <w:t xml:space="preserve">and St Anne’s Hospital </w:t>
      </w:r>
      <w:r w:rsidRPr="2B9A976A">
        <w:rPr>
          <w:rFonts w:eastAsia="Aptos"/>
          <w:sz w:val="24"/>
          <w:szCs w:val="24"/>
          <w:lang w:bidi="ar-SA"/>
        </w:rPr>
        <w:t>and its ability to achieve its stated benchmarks and measures annually for five years following the Closing (“the Reporting Period”).  </w:t>
      </w:r>
    </w:p>
    <w:p w14:paraId="7C5B4EAB" w14:textId="77777777" w:rsidR="00765191" w:rsidRPr="00765191" w:rsidRDefault="01E95B6A" w:rsidP="00765191">
      <w:pPr>
        <w:widowControl/>
        <w:autoSpaceDE/>
        <w:autoSpaceDN/>
        <w:rPr>
          <w:rFonts w:eastAsia="Aptos"/>
          <w:kern w:val="2"/>
          <w:sz w:val="24"/>
          <w:szCs w:val="24"/>
          <w:lang w:bidi="ar-SA"/>
          <w14:ligatures w14:val="standardContextual"/>
        </w:rPr>
      </w:pPr>
      <w:r w:rsidRPr="00765191">
        <w:rPr>
          <w:rFonts w:eastAsia="Aptos"/>
          <w:kern w:val="2"/>
          <w:sz w:val="24"/>
          <w:szCs w:val="24"/>
          <w:lang w:bidi="ar-SA"/>
          <w14:ligatures w14:val="standardContextual"/>
        </w:rPr>
        <w:t> </w:t>
      </w:r>
    </w:p>
    <w:p w14:paraId="55E5F5A6" w14:textId="77777777" w:rsidR="00765191" w:rsidRPr="00765191" w:rsidRDefault="01E95B6A" w:rsidP="00765191">
      <w:pPr>
        <w:widowControl/>
        <w:autoSpaceDE/>
        <w:autoSpaceDN/>
        <w:rPr>
          <w:rFonts w:eastAsia="Aptos"/>
          <w:kern w:val="2"/>
          <w:sz w:val="24"/>
          <w:szCs w:val="24"/>
          <w:lang w:bidi="ar-SA"/>
          <w14:ligatures w14:val="standardContextual"/>
        </w:rPr>
      </w:pPr>
      <w:r w:rsidRPr="00765191">
        <w:rPr>
          <w:rFonts w:eastAsia="Aptos"/>
          <w:kern w:val="2"/>
          <w:sz w:val="24"/>
          <w:szCs w:val="24"/>
          <w:lang w:bidi="ar-SA"/>
          <w14:ligatures w14:val="standardContextual"/>
        </w:rPr>
        <w:t> </w:t>
      </w:r>
    </w:p>
    <w:p w14:paraId="720DC123" w14:textId="6EB7CEE0" w:rsidR="00765191" w:rsidRPr="00765191" w:rsidRDefault="6C032291" w:rsidP="2B9A976A">
      <w:pPr>
        <w:widowControl/>
        <w:numPr>
          <w:ilvl w:val="0"/>
          <w:numId w:val="4"/>
        </w:numPr>
        <w:rPr>
          <w:rFonts w:eastAsia="Aptos"/>
          <w:sz w:val="24"/>
          <w:szCs w:val="24"/>
          <w:lang w:bidi="ar-SA"/>
        </w:rPr>
      </w:pPr>
      <w:r w:rsidRPr="2B9A976A">
        <w:rPr>
          <w:rFonts w:eastAsia="Aptos"/>
          <w:sz w:val="24"/>
          <w:szCs w:val="24"/>
          <w:lang w:bidi="ar-SA"/>
        </w:rPr>
        <w:t xml:space="preserve">Within six months of the Closing, the Holder will propose measures to assess the impact of the Transaction, including (1) clinical quality metrics such as patient mortality; (2) patient safety, as measured by Patient Safety Indicator (PSI) events; (3) patient experience scores, as measured through patient survey responses; and (4) health equity, as measured by the MassHealth health equity incentive program metrics. As part of its report to the Department, within one year of the Closing, and annually for five years, the Holder will report on </w:t>
      </w:r>
      <w:r w:rsidRPr="2B9A976A">
        <w:rPr>
          <w:rFonts w:eastAsia="Aptos"/>
          <w:sz w:val="24"/>
          <w:szCs w:val="24"/>
        </w:rPr>
        <w:t>Morton</w:t>
      </w:r>
      <w:r w:rsidR="1D933D8C" w:rsidRPr="2B9A976A">
        <w:rPr>
          <w:rFonts w:eastAsia="Aptos"/>
          <w:sz w:val="24"/>
          <w:szCs w:val="24"/>
        </w:rPr>
        <w:t xml:space="preserve"> Hospital’s</w:t>
      </w:r>
      <w:r w:rsidRPr="2B9A976A">
        <w:rPr>
          <w:rFonts w:eastAsia="Aptos"/>
          <w:sz w:val="24"/>
          <w:szCs w:val="24"/>
        </w:rPr>
        <w:t xml:space="preserve"> and St Anne’s Hospital</w:t>
      </w:r>
      <w:r w:rsidR="158C7BBD" w:rsidRPr="2B9A976A">
        <w:rPr>
          <w:rFonts w:eastAsia="Aptos"/>
          <w:sz w:val="24"/>
          <w:szCs w:val="24"/>
        </w:rPr>
        <w:t>’s</w:t>
      </w:r>
      <w:r w:rsidRPr="2B9A976A">
        <w:rPr>
          <w:rFonts w:eastAsia="Aptos"/>
          <w:sz w:val="24"/>
          <w:szCs w:val="24"/>
        </w:rPr>
        <w:t xml:space="preserve"> </w:t>
      </w:r>
      <w:r w:rsidRPr="2B9A976A">
        <w:rPr>
          <w:rFonts w:eastAsia="Aptos"/>
          <w:sz w:val="24"/>
          <w:szCs w:val="24"/>
          <w:lang w:bidi="ar-SA"/>
        </w:rPr>
        <w:t>ability to achieve</w:t>
      </w:r>
      <w:r w:rsidR="24954774" w:rsidRPr="2B9A976A">
        <w:rPr>
          <w:rFonts w:eastAsia="Aptos"/>
          <w:sz w:val="24"/>
          <w:szCs w:val="24"/>
          <w:lang w:bidi="ar-SA"/>
        </w:rPr>
        <w:t xml:space="preserve"> </w:t>
      </w:r>
      <w:r w:rsidR="2C2DB4BB" w:rsidRPr="2B9A976A">
        <w:rPr>
          <w:rFonts w:eastAsia="Aptos"/>
          <w:sz w:val="24"/>
          <w:szCs w:val="24"/>
          <w:lang w:bidi="ar-SA"/>
        </w:rPr>
        <w:t>their</w:t>
      </w:r>
      <w:r w:rsidRPr="2B9A976A">
        <w:rPr>
          <w:rFonts w:eastAsia="Aptos"/>
          <w:sz w:val="24"/>
          <w:szCs w:val="24"/>
          <w:lang w:bidi="ar-SA"/>
        </w:rPr>
        <w:t xml:space="preserve"> stated benchmarks and measures. </w:t>
      </w:r>
    </w:p>
    <w:p w14:paraId="14B741C5" w14:textId="77777777" w:rsidR="00765191" w:rsidRPr="00765191" w:rsidRDefault="01E95B6A" w:rsidP="00765191">
      <w:pPr>
        <w:widowControl/>
        <w:autoSpaceDE/>
        <w:autoSpaceDN/>
        <w:rPr>
          <w:rFonts w:eastAsia="Aptos"/>
          <w:kern w:val="2"/>
          <w:sz w:val="24"/>
          <w:szCs w:val="24"/>
          <w:lang w:bidi="ar-SA"/>
          <w14:ligatures w14:val="standardContextual"/>
        </w:rPr>
      </w:pPr>
      <w:r w:rsidRPr="00765191">
        <w:rPr>
          <w:rFonts w:eastAsia="Aptos"/>
          <w:kern w:val="2"/>
          <w:sz w:val="24"/>
          <w:szCs w:val="24"/>
          <w:lang w:bidi="ar-SA"/>
          <w14:ligatures w14:val="standardContextual"/>
        </w:rPr>
        <w:t> </w:t>
      </w:r>
    </w:p>
    <w:p w14:paraId="5562E554" w14:textId="77777777" w:rsidR="00765191" w:rsidRPr="00765191" w:rsidRDefault="01E95B6A" w:rsidP="00765191">
      <w:pPr>
        <w:widowControl/>
        <w:autoSpaceDE/>
        <w:autoSpaceDN/>
        <w:rPr>
          <w:rFonts w:eastAsia="Aptos"/>
          <w:kern w:val="2"/>
          <w:sz w:val="24"/>
          <w:szCs w:val="24"/>
          <w:lang w:bidi="ar-SA"/>
          <w14:ligatures w14:val="standardContextual"/>
        </w:rPr>
      </w:pPr>
      <w:r w:rsidRPr="00765191">
        <w:rPr>
          <w:rFonts w:eastAsia="Aptos"/>
          <w:kern w:val="2"/>
          <w:sz w:val="24"/>
          <w:szCs w:val="24"/>
          <w:lang w:bidi="ar-SA"/>
          <w14:ligatures w14:val="standardContextual"/>
        </w:rPr>
        <w:t> </w:t>
      </w:r>
    </w:p>
    <w:p w14:paraId="4E049B49" w14:textId="0A16658A" w:rsidR="00765191" w:rsidRPr="00765191" w:rsidRDefault="01E95B6A" w:rsidP="00765191">
      <w:pPr>
        <w:widowControl/>
        <w:numPr>
          <w:ilvl w:val="0"/>
          <w:numId w:val="5"/>
        </w:numPr>
        <w:autoSpaceDE/>
        <w:autoSpaceDN/>
        <w:contextualSpacing/>
        <w:rPr>
          <w:rFonts w:eastAsia="Aptos"/>
          <w:kern w:val="2"/>
          <w:sz w:val="24"/>
          <w:szCs w:val="24"/>
          <w:lang w:bidi="ar-SA"/>
          <w14:ligatures w14:val="standardContextual"/>
        </w:rPr>
      </w:pPr>
      <w:r w:rsidRPr="2B9A976A">
        <w:rPr>
          <w:rFonts w:eastAsia="Aptos"/>
          <w:sz w:val="24"/>
          <w:szCs w:val="24"/>
          <w:lang w:bidi="ar-SA"/>
        </w:rPr>
        <w:t>Within 12 months of the Closing, the Holder will submit a plan outlining ongoing service provision by the Holder, including at</w:t>
      </w:r>
      <w:r w:rsidRPr="2B9A976A">
        <w:rPr>
          <w:sz w:val="24"/>
          <w:szCs w:val="24"/>
        </w:rPr>
        <w:t xml:space="preserve"> </w:t>
      </w:r>
      <w:r w:rsidRPr="2B9A976A">
        <w:rPr>
          <w:rFonts w:eastAsia="Aptos"/>
          <w:sz w:val="24"/>
          <w:szCs w:val="24"/>
        </w:rPr>
        <w:t xml:space="preserve">Morton </w:t>
      </w:r>
      <w:r w:rsidR="79E2AF8E" w:rsidRPr="2B9A976A">
        <w:rPr>
          <w:rFonts w:eastAsia="Aptos"/>
          <w:sz w:val="24"/>
          <w:szCs w:val="24"/>
        </w:rPr>
        <w:t xml:space="preserve">Hospital </w:t>
      </w:r>
      <w:r w:rsidRPr="2B9A976A">
        <w:rPr>
          <w:rFonts w:eastAsia="Aptos"/>
          <w:sz w:val="24"/>
          <w:szCs w:val="24"/>
        </w:rPr>
        <w:t>and St Anne’s Hospital</w:t>
      </w:r>
      <w:r w:rsidRPr="2B9A976A">
        <w:rPr>
          <w:rFonts w:eastAsia="Aptos"/>
          <w:sz w:val="24"/>
          <w:szCs w:val="24"/>
          <w:lang w:bidi="ar-SA"/>
        </w:rPr>
        <w:t xml:space="preserve"> (“the Plan”).  The Plan must address the duration of the reporting period and include an analysis of utilization patterns by service line since the Closing, budgeted and actual Full Time Equivalent (FTE) staffing for each service line, a data supported assessment of community need, and a summary reflecting the Holder’s good faith expectations for potential modification of services, including potential closures or reductions, to </w:t>
      </w:r>
      <w:proofErr w:type="gramStart"/>
      <w:r w:rsidRPr="2B9A976A">
        <w:rPr>
          <w:rFonts w:eastAsia="Aptos"/>
          <w:sz w:val="24"/>
          <w:szCs w:val="24"/>
          <w:lang w:bidi="ar-SA"/>
        </w:rPr>
        <w:t>any  service</w:t>
      </w:r>
      <w:proofErr w:type="gramEnd"/>
      <w:r w:rsidRPr="2B9A976A">
        <w:rPr>
          <w:rFonts w:eastAsia="Aptos"/>
          <w:sz w:val="24"/>
          <w:szCs w:val="24"/>
          <w:lang w:bidi="ar-SA"/>
        </w:rPr>
        <w:t xml:space="preserve"> during the Reporting Period.  The Plan must also include how the Holder will engage in reasonable efforts to inform the public and relevant stakeholders of any such service reductions or closures or other changes with likely impact on the patient panel or local communities. </w:t>
      </w:r>
    </w:p>
    <w:p w14:paraId="21C61C35" w14:textId="77777777" w:rsidR="00765191" w:rsidRPr="00765191" w:rsidRDefault="00765191" w:rsidP="00765191">
      <w:pPr>
        <w:widowControl/>
        <w:autoSpaceDE/>
        <w:autoSpaceDN/>
        <w:ind w:left="720"/>
        <w:rPr>
          <w:rFonts w:eastAsia="Aptos"/>
          <w:kern w:val="2"/>
          <w:sz w:val="24"/>
          <w:szCs w:val="24"/>
          <w:lang w:bidi="ar-SA"/>
          <w14:ligatures w14:val="standardContextual"/>
        </w:rPr>
      </w:pPr>
    </w:p>
    <w:p w14:paraId="4834EB2E" w14:textId="48000693" w:rsidR="00765191" w:rsidRPr="00765191" w:rsidRDefault="6C032291" w:rsidP="00765191">
      <w:pPr>
        <w:widowControl/>
        <w:numPr>
          <w:ilvl w:val="0"/>
          <w:numId w:val="5"/>
        </w:numPr>
        <w:autoSpaceDE/>
        <w:autoSpaceDN/>
        <w:spacing w:line="259" w:lineRule="auto"/>
        <w:rPr>
          <w:rFonts w:eastAsia="Aptos"/>
          <w:kern w:val="2"/>
          <w:sz w:val="24"/>
          <w:szCs w:val="24"/>
          <w:lang w:bidi="ar-SA"/>
          <w14:ligatures w14:val="standardContextual"/>
        </w:rPr>
      </w:pPr>
      <w:r w:rsidRPr="2B9A976A">
        <w:rPr>
          <w:rFonts w:eastAsia="Aptos"/>
          <w:sz w:val="24"/>
          <w:szCs w:val="24"/>
          <w:lang w:bidi="ar-SA"/>
        </w:rPr>
        <w:lastRenderedPageBreak/>
        <w:t xml:space="preserve">To allow for Program monitoring of the Holder's implementation of the Plan on a quarterly basis during the Reporting Period, the Holder must inform the Program of any anticipated material or prolonged reduction of any essential service at </w:t>
      </w:r>
      <w:r w:rsidRPr="2B9A976A">
        <w:rPr>
          <w:rFonts w:eastAsia="Aptos"/>
          <w:sz w:val="24"/>
          <w:szCs w:val="24"/>
        </w:rPr>
        <w:t>Morton</w:t>
      </w:r>
      <w:r w:rsidR="032EEB68" w:rsidRPr="2B9A976A">
        <w:rPr>
          <w:rFonts w:eastAsia="Aptos"/>
          <w:sz w:val="24"/>
          <w:szCs w:val="24"/>
        </w:rPr>
        <w:t xml:space="preserve"> Hospital</w:t>
      </w:r>
      <w:r w:rsidRPr="2B9A976A">
        <w:rPr>
          <w:rFonts w:eastAsia="Aptos"/>
          <w:sz w:val="24"/>
          <w:szCs w:val="24"/>
        </w:rPr>
        <w:t xml:space="preserve"> </w:t>
      </w:r>
      <w:r w:rsidR="0EE43EAD" w:rsidRPr="2B9A976A">
        <w:rPr>
          <w:rFonts w:eastAsia="Aptos"/>
          <w:sz w:val="24"/>
          <w:szCs w:val="24"/>
        </w:rPr>
        <w:t>or</w:t>
      </w:r>
      <w:r w:rsidRPr="2B9A976A">
        <w:rPr>
          <w:rFonts w:eastAsia="Aptos"/>
          <w:sz w:val="24"/>
          <w:szCs w:val="24"/>
        </w:rPr>
        <w:t xml:space="preserve"> St Anne’s Hospital</w:t>
      </w:r>
      <w:r w:rsidRPr="2B9A976A">
        <w:rPr>
          <w:rFonts w:eastAsia="Aptos"/>
          <w:sz w:val="24"/>
          <w:szCs w:val="24"/>
          <w:lang w:bidi="ar-SA"/>
        </w:rPr>
        <w:t xml:space="preserve"> during the upcoming quarter. In any such notice, the Holder will provide an analysis of utilization patterns since the Closing, budgeted and actual FTE staffing for each of the services referenced for reduction, a data supported assessment of community need, and rationale for the reduction the service, including alternatives considered and alternative sites where access can be reasonably assured for its Patient Panel. Following a notice of anticipated reduction of any essential service at</w:t>
      </w:r>
      <w:r w:rsidRPr="2B9A976A">
        <w:rPr>
          <w:rFonts w:eastAsia="Aptos"/>
          <w:sz w:val="24"/>
          <w:szCs w:val="24"/>
        </w:rPr>
        <w:t xml:space="preserve"> Morton</w:t>
      </w:r>
      <w:r w:rsidR="4DDEB850" w:rsidRPr="2B9A976A">
        <w:rPr>
          <w:rFonts w:eastAsia="Aptos"/>
          <w:sz w:val="24"/>
          <w:szCs w:val="24"/>
        </w:rPr>
        <w:t xml:space="preserve"> Hospital</w:t>
      </w:r>
      <w:r w:rsidRPr="2B9A976A">
        <w:rPr>
          <w:rFonts w:eastAsia="Aptos"/>
          <w:sz w:val="24"/>
          <w:szCs w:val="24"/>
        </w:rPr>
        <w:t xml:space="preserve"> </w:t>
      </w:r>
      <w:r w:rsidR="0002D21B" w:rsidRPr="2B9A976A">
        <w:rPr>
          <w:rFonts w:eastAsia="Aptos"/>
          <w:sz w:val="24"/>
          <w:szCs w:val="24"/>
        </w:rPr>
        <w:t>or</w:t>
      </w:r>
      <w:r w:rsidRPr="2B9A976A">
        <w:rPr>
          <w:rFonts w:eastAsia="Aptos"/>
          <w:sz w:val="24"/>
          <w:szCs w:val="24"/>
        </w:rPr>
        <w:t xml:space="preserve"> St Anne’s Hospital</w:t>
      </w:r>
      <w:r w:rsidRPr="2B9A976A">
        <w:rPr>
          <w:rFonts w:eastAsia="Aptos"/>
          <w:sz w:val="24"/>
          <w:szCs w:val="24"/>
          <w:lang w:bidi="ar-SA"/>
        </w:rPr>
        <w:t xml:space="preserve"> during the Reporting </w:t>
      </w:r>
      <w:proofErr w:type="gramStart"/>
      <w:r w:rsidRPr="2B9A976A">
        <w:rPr>
          <w:rFonts w:eastAsia="Aptos"/>
          <w:sz w:val="24"/>
          <w:szCs w:val="24"/>
          <w:lang w:bidi="ar-SA"/>
        </w:rPr>
        <w:t>Period</w:t>
      </w:r>
      <w:proofErr w:type="gramEnd"/>
      <w:r w:rsidRPr="2B9A976A">
        <w:rPr>
          <w:rFonts w:eastAsia="Aptos"/>
          <w:sz w:val="24"/>
          <w:szCs w:val="24"/>
          <w:lang w:bidi="ar-SA"/>
        </w:rPr>
        <w:t xml:space="preserve"> which is not outlined in the Plan, the Holder may be referred to the Public Health Council for review of the long-term implications of such reduction and compliance with the DoN approval. </w:t>
      </w:r>
    </w:p>
    <w:p w14:paraId="312F19F4" w14:textId="77777777" w:rsidR="00765191" w:rsidRPr="00765191" w:rsidRDefault="00765191" w:rsidP="00765191">
      <w:pPr>
        <w:widowControl/>
        <w:autoSpaceDE/>
        <w:autoSpaceDN/>
        <w:ind w:left="720"/>
        <w:contextualSpacing/>
        <w:rPr>
          <w:rFonts w:eastAsia="Aptos"/>
          <w:kern w:val="2"/>
          <w:sz w:val="24"/>
          <w:szCs w:val="24"/>
          <w:lang w:bidi="ar-SA"/>
          <w14:ligatures w14:val="standardContextual"/>
        </w:rPr>
      </w:pPr>
    </w:p>
    <w:p w14:paraId="77038219" w14:textId="156FFC9D" w:rsidR="00765191" w:rsidRPr="00765191" w:rsidRDefault="01E95B6A" w:rsidP="00765191">
      <w:pPr>
        <w:widowControl/>
        <w:numPr>
          <w:ilvl w:val="0"/>
          <w:numId w:val="5"/>
        </w:numPr>
        <w:autoSpaceDE/>
        <w:autoSpaceDN/>
        <w:spacing w:line="259" w:lineRule="auto"/>
        <w:rPr>
          <w:rFonts w:eastAsia="Aptos"/>
          <w:kern w:val="2"/>
          <w:sz w:val="24"/>
          <w:szCs w:val="24"/>
          <w:lang w:bidi="ar-SA"/>
          <w14:ligatures w14:val="standardContextual"/>
        </w:rPr>
      </w:pPr>
      <w:r w:rsidRPr="2B9A976A">
        <w:rPr>
          <w:rFonts w:eastAsia="Aptos"/>
          <w:sz w:val="24"/>
          <w:szCs w:val="24"/>
          <w:lang w:bidi="ar-SA"/>
        </w:rPr>
        <w:t>In its first report to the Department, due 6 months after this approval and annually thereafter during the Reporting Period, the Holder will provide the following</w:t>
      </w:r>
      <w:r w:rsidR="3D1A00DC" w:rsidRPr="2B9A976A">
        <w:rPr>
          <w:rFonts w:eastAsia="Aptos"/>
          <w:sz w:val="24"/>
          <w:szCs w:val="24"/>
          <w:lang w:bidi="ar-SA"/>
        </w:rPr>
        <w:t xml:space="preserve"> </w:t>
      </w:r>
      <w:r w:rsidR="14270AE9" w:rsidRPr="2B9A976A">
        <w:rPr>
          <w:rFonts w:eastAsia="Aptos"/>
          <w:sz w:val="24"/>
          <w:szCs w:val="24"/>
          <w:lang w:bidi="ar-SA"/>
        </w:rPr>
        <w:t>separately for Morton Hospital and St. Anne’s Hospital</w:t>
      </w:r>
      <w:r w:rsidRPr="2B9A976A">
        <w:rPr>
          <w:rFonts w:eastAsia="Aptos"/>
          <w:sz w:val="24"/>
          <w:szCs w:val="24"/>
          <w:lang w:bidi="ar-SA"/>
        </w:rPr>
        <w:t>:  </w:t>
      </w:r>
    </w:p>
    <w:p w14:paraId="5CA2FED4" w14:textId="77777777" w:rsidR="00765191" w:rsidRPr="00765191" w:rsidRDefault="01E95B6A" w:rsidP="00765191">
      <w:pPr>
        <w:widowControl/>
        <w:autoSpaceDE/>
        <w:autoSpaceDN/>
        <w:rPr>
          <w:rFonts w:eastAsia="Aptos"/>
          <w:kern w:val="2"/>
          <w:sz w:val="24"/>
          <w:szCs w:val="24"/>
          <w:lang w:bidi="ar-SA"/>
          <w14:ligatures w14:val="standardContextual"/>
        </w:rPr>
      </w:pPr>
      <w:r w:rsidRPr="00765191">
        <w:rPr>
          <w:rFonts w:eastAsia="Aptos"/>
          <w:kern w:val="2"/>
          <w:sz w:val="24"/>
          <w:szCs w:val="24"/>
          <w:lang w:bidi="ar-SA"/>
          <w14:ligatures w14:val="standardContextual"/>
        </w:rPr>
        <w:t> </w:t>
      </w:r>
    </w:p>
    <w:p w14:paraId="7416EDB1" w14:textId="5F6B06B9" w:rsidR="00765191" w:rsidRPr="00765191" w:rsidRDefault="01E95B6A" w:rsidP="00765191">
      <w:pPr>
        <w:widowControl/>
        <w:numPr>
          <w:ilvl w:val="0"/>
          <w:numId w:val="7"/>
        </w:numPr>
        <w:autoSpaceDE/>
        <w:autoSpaceDN/>
        <w:rPr>
          <w:rFonts w:eastAsia="Aptos"/>
          <w:kern w:val="2"/>
          <w:sz w:val="24"/>
          <w:szCs w:val="24"/>
          <w:lang w:bidi="ar-SA"/>
          <w14:ligatures w14:val="standardContextual"/>
        </w:rPr>
      </w:pPr>
      <w:r w:rsidRPr="2B9A976A">
        <w:rPr>
          <w:rFonts w:eastAsia="Aptos"/>
          <w:sz w:val="24"/>
          <w:szCs w:val="24"/>
          <w:lang w:bidi="ar-SA"/>
        </w:rPr>
        <w:t xml:space="preserve">A report that details the current payer mix of </w:t>
      </w:r>
      <w:r w:rsidRPr="2B9A976A">
        <w:rPr>
          <w:rFonts w:eastAsia="Aptos"/>
          <w:sz w:val="24"/>
          <w:szCs w:val="24"/>
        </w:rPr>
        <w:t xml:space="preserve">Morton </w:t>
      </w:r>
      <w:r w:rsidR="2FFBFB90" w:rsidRPr="2B9A976A">
        <w:rPr>
          <w:rFonts w:eastAsia="Aptos"/>
          <w:sz w:val="24"/>
          <w:szCs w:val="24"/>
        </w:rPr>
        <w:t xml:space="preserve">Hospital </w:t>
      </w:r>
      <w:r w:rsidRPr="2B9A976A">
        <w:rPr>
          <w:rFonts w:eastAsia="Aptos"/>
          <w:sz w:val="24"/>
          <w:szCs w:val="24"/>
        </w:rPr>
        <w:t xml:space="preserve">and St Anne’s Hospital </w:t>
      </w:r>
      <w:r w:rsidRPr="2B9A976A">
        <w:rPr>
          <w:rFonts w:eastAsia="Aptos"/>
          <w:sz w:val="24"/>
          <w:szCs w:val="24"/>
          <w:lang w:bidi="ar-SA"/>
        </w:rPr>
        <w:t>reported by each of the health insurance coverage categories reported on by the Center for Health Information and Analysis (CHIA). </w:t>
      </w:r>
    </w:p>
    <w:p w14:paraId="2EA9A7F9" w14:textId="77777777" w:rsidR="00765191" w:rsidRPr="00765191" w:rsidRDefault="01E95B6A" w:rsidP="00765191">
      <w:pPr>
        <w:widowControl/>
        <w:numPr>
          <w:ilvl w:val="0"/>
          <w:numId w:val="8"/>
        </w:numPr>
        <w:tabs>
          <w:tab w:val="clear" w:pos="720"/>
          <w:tab w:val="num" w:pos="1440"/>
        </w:tabs>
        <w:autoSpaceDE/>
        <w:autoSpaceDN/>
        <w:ind w:left="1440"/>
        <w:rPr>
          <w:rFonts w:eastAsia="Aptos"/>
          <w:kern w:val="2"/>
          <w:sz w:val="24"/>
          <w:szCs w:val="24"/>
          <w:lang w:bidi="ar-SA"/>
          <w14:ligatures w14:val="standardContextual"/>
        </w:rPr>
      </w:pPr>
      <w:r w:rsidRPr="00765191">
        <w:rPr>
          <w:rFonts w:eastAsia="Aptos"/>
          <w:kern w:val="2"/>
          <w:sz w:val="24"/>
          <w:szCs w:val="24"/>
          <w:lang w:bidi="ar-SA"/>
          <w14:ligatures w14:val="standardContextual"/>
        </w:rPr>
        <w:t>Private Commercial – Overall  </w:t>
      </w:r>
    </w:p>
    <w:p w14:paraId="3D9DBAEC" w14:textId="77777777" w:rsidR="00765191" w:rsidRPr="00765191" w:rsidRDefault="01E95B6A" w:rsidP="00765191">
      <w:pPr>
        <w:widowControl/>
        <w:numPr>
          <w:ilvl w:val="0"/>
          <w:numId w:val="9"/>
        </w:numPr>
        <w:tabs>
          <w:tab w:val="clear" w:pos="720"/>
          <w:tab w:val="num" w:pos="1440"/>
        </w:tabs>
        <w:autoSpaceDE/>
        <w:autoSpaceDN/>
        <w:ind w:left="1440"/>
        <w:rPr>
          <w:rFonts w:eastAsia="Aptos"/>
          <w:kern w:val="2"/>
          <w:sz w:val="24"/>
          <w:szCs w:val="24"/>
          <w:lang w:bidi="ar-SA"/>
          <w14:ligatures w14:val="standardContextual"/>
        </w:rPr>
      </w:pPr>
      <w:r w:rsidRPr="00765191">
        <w:rPr>
          <w:rFonts w:eastAsia="Aptos"/>
          <w:kern w:val="2"/>
          <w:sz w:val="24"/>
          <w:szCs w:val="24"/>
          <w:lang w:bidi="ar-SA"/>
          <w14:ligatures w14:val="standardContextual"/>
        </w:rPr>
        <w:t>Private Commercial – MA Health Connector QHPs (Subsidized and Unsubsidized)  </w:t>
      </w:r>
    </w:p>
    <w:p w14:paraId="6718C3CD" w14:textId="77777777" w:rsidR="00765191" w:rsidRPr="00765191" w:rsidRDefault="01E95B6A" w:rsidP="00765191">
      <w:pPr>
        <w:widowControl/>
        <w:numPr>
          <w:ilvl w:val="0"/>
          <w:numId w:val="10"/>
        </w:numPr>
        <w:tabs>
          <w:tab w:val="clear" w:pos="720"/>
          <w:tab w:val="num" w:pos="1440"/>
        </w:tabs>
        <w:autoSpaceDE/>
        <w:autoSpaceDN/>
        <w:ind w:left="1440"/>
        <w:rPr>
          <w:rFonts w:eastAsia="Aptos"/>
          <w:kern w:val="2"/>
          <w:sz w:val="24"/>
          <w:szCs w:val="24"/>
          <w:lang w:bidi="ar-SA"/>
          <w14:ligatures w14:val="standardContextual"/>
        </w:rPr>
      </w:pPr>
      <w:r w:rsidRPr="00765191">
        <w:rPr>
          <w:rFonts w:eastAsia="Aptos"/>
          <w:kern w:val="2"/>
          <w:sz w:val="24"/>
          <w:szCs w:val="24"/>
          <w:lang w:bidi="ar-SA"/>
          <w14:ligatures w14:val="standardContextual"/>
        </w:rPr>
        <w:t>MassHealth – Overall  </w:t>
      </w:r>
    </w:p>
    <w:p w14:paraId="3C1C8808" w14:textId="77777777" w:rsidR="00765191" w:rsidRPr="00765191" w:rsidRDefault="01E95B6A" w:rsidP="00765191">
      <w:pPr>
        <w:widowControl/>
        <w:numPr>
          <w:ilvl w:val="0"/>
          <w:numId w:val="11"/>
        </w:numPr>
        <w:tabs>
          <w:tab w:val="clear" w:pos="720"/>
          <w:tab w:val="num" w:pos="1440"/>
        </w:tabs>
        <w:autoSpaceDE/>
        <w:autoSpaceDN/>
        <w:ind w:left="1440"/>
        <w:rPr>
          <w:rFonts w:eastAsia="Aptos"/>
          <w:kern w:val="2"/>
          <w:sz w:val="24"/>
          <w:szCs w:val="24"/>
          <w:lang w:bidi="ar-SA"/>
          <w14:ligatures w14:val="standardContextual"/>
        </w:rPr>
      </w:pPr>
      <w:r w:rsidRPr="00765191">
        <w:rPr>
          <w:rFonts w:eastAsia="Aptos"/>
          <w:kern w:val="2"/>
          <w:sz w:val="24"/>
          <w:szCs w:val="24"/>
          <w:lang w:bidi="ar-SA"/>
          <w14:ligatures w14:val="standardContextual"/>
        </w:rPr>
        <w:t>MassHealth – Managed Care Organizations (MCO) </w:t>
      </w:r>
    </w:p>
    <w:p w14:paraId="2D9B7EB6" w14:textId="77777777" w:rsidR="00765191" w:rsidRPr="00765191" w:rsidRDefault="01E95B6A" w:rsidP="00765191">
      <w:pPr>
        <w:widowControl/>
        <w:numPr>
          <w:ilvl w:val="0"/>
          <w:numId w:val="12"/>
        </w:numPr>
        <w:tabs>
          <w:tab w:val="clear" w:pos="720"/>
          <w:tab w:val="num" w:pos="1440"/>
        </w:tabs>
        <w:autoSpaceDE/>
        <w:autoSpaceDN/>
        <w:ind w:left="1440"/>
        <w:rPr>
          <w:rFonts w:eastAsia="Aptos"/>
          <w:kern w:val="2"/>
          <w:sz w:val="24"/>
          <w:szCs w:val="24"/>
          <w:lang w:bidi="ar-SA"/>
          <w14:ligatures w14:val="standardContextual"/>
        </w:rPr>
      </w:pPr>
      <w:r w:rsidRPr="00765191">
        <w:rPr>
          <w:rFonts w:eastAsia="Aptos"/>
          <w:kern w:val="2"/>
          <w:sz w:val="24"/>
          <w:szCs w:val="24"/>
          <w:lang w:bidi="ar-SA"/>
          <w14:ligatures w14:val="standardContextual"/>
        </w:rPr>
        <w:t>MassHealth –Accountable Care Organizations (ACO)  </w:t>
      </w:r>
    </w:p>
    <w:p w14:paraId="4158E3DC" w14:textId="77777777" w:rsidR="00765191" w:rsidRPr="00765191" w:rsidRDefault="01E95B6A" w:rsidP="00765191">
      <w:pPr>
        <w:widowControl/>
        <w:numPr>
          <w:ilvl w:val="0"/>
          <w:numId w:val="13"/>
        </w:numPr>
        <w:tabs>
          <w:tab w:val="clear" w:pos="720"/>
          <w:tab w:val="num" w:pos="1440"/>
        </w:tabs>
        <w:autoSpaceDE/>
        <w:autoSpaceDN/>
        <w:ind w:left="1440"/>
        <w:rPr>
          <w:rFonts w:eastAsia="Aptos"/>
          <w:kern w:val="2"/>
          <w:sz w:val="24"/>
          <w:szCs w:val="24"/>
          <w:lang w:bidi="ar-SA"/>
          <w14:ligatures w14:val="standardContextual"/>
        </w:rPr>
      </w:pPr>
      <w:r w:rsidRPr="00765191">
        <w:rPr>
          <w:rFonts w:eastAsia="Aptos"/>
          <w:kern w:val="2"/>
          <w:sz w:val="24"/>
          <w:szCs w:val="24"/>
          <w:lang w:bidi="ar-SA"/>
          <w14:ligatures w14:val="standardContextual"/>
        </w:rPr>
        <w:t>Senior Care Options, One Care, PACE  </w:t>
      </w:r>
    </w:p>
    <w:p w14:paraId="0A2A3D4D" w14:textId="77777777" w:rsidR="00765191" w:rsidRPr="00765191" w:rsidRDefault="01E95B6A" w:rsidP="00765191">
      <w:pPr>
        <w:widowControl/>
        <w:numPr>
          <w:ilvl w:val="0"/>
          <w:numId w:val="14"/>
        </w:numPr>
        <w:tabs>
          <w:tab w:val="clear" w:pos="720"/>
          <w:tab w:val="num" w:pos="1440"/>
        </w:tabs>
        <w:autoSpaceDE/>
        <w:autoSpaceDN/>
        <w:ind w:left="1440"/>
        <w:rPr>
          <w:rFonts w:eastAsia="Aptos"/>
          <w:kern w:val="2"/>
          <w:sz w:val="24"/>
          <w:szCs w:val="24"/>
          <w:lang w:bidi="ar-SA"/>
          <w14:ligatures w14:val="standardContextual"/>
        </w:rPr>
      </w:pPr>
      <w:r w:rsidRPr="00765191">
        <w:rPr>
          <w:rFonts w:eastAsia="Aptos"/>
          <w:kern w:val="2"/>
          <w:sz w:val="24"/>
          <w:szCs w:val="24"/>
          <w:lang w:bidi="ar-SA"/>
          <w14:ligatures w14:val="standardContextual"/>
        </w:rPr>
        <w:t>Medicare Fee-for-Service (Parts A and B)  </w:t>
      </w:r>
    </w:p>
    <w:p w14:paraId="117E664D" w14:textId="77777777" w:rsidR="00765191" w:rsidRPr="00765191" w:rsidRDefault="01E95B6A" w:rsidP="00765191">
      <w:pPr>
        <w:widowControl/>
        <w:numPr>
          <w:ilvl w:val="0"/>
          <w:numId w:val="15"/>
        </w:numPr>
        <w:tabs>
          <w:tab w:val="clear" w:pos="720"/>
          <w:tab w:val="num" w:pos="1440"/>
        </w:tabs>
        <w:autoSpaceDE/>
        <w:autoSpaceDN/>
        <w:ind w:left="1440"/>
        <w:rPr>
          <w:rFonts w:eastAsia="Aptos"/>
          <w:kern w:val="2"/>
          <w:sz w:val="24"/>
          <w:szCs w:val="24"/>
          <w:lang w:bidi="ar-SA"/>
          <w14:ligatures w14:val="standardContextual"/>
        </w:rPr>
      </w:pPr>
      <w:r w:rsidRPr="00765191">
        <w:rPr>
          <w:rFonts w:eastAsia="Aptos"/>
          <w:kern w:val="2"/>
          <w:sz w:val="24"/>
          <w:szCs w:val="24"/>
          <w:lang w:bidi="ar-SA"/>
          <w14:ligatures w14:val="standardContextual"/>
        </w:rPr>
        <w:t>Medicare Advantage  </w:t>
      </w:r>
    </w:p>
    <w:p w14:paraId="39275BB5" w14:textId="76C54237" w:rsidR="00765191" w:rsidRPr="00765191" w:rsidRDefault="01E95B6A" w:rsidP="00765191">
      <w:pPr>
        <w:widowControl/>
        <w:numPr>
          <w:ilvl w:val="0"/>
          <w:numId w:val="16"/>
        </w:numPr>
        <w:autoSpaceDE/>
        <w:autoSpaceDN/>
        <w:rPr>
          <w:rFonts w:eastAsia="Aptos"/>
          <w:kern w:val="2"/>
          <w:sz w:val="24"/>
          <w:szCs w:val="24"/>
          <w:lang w:bidi="ar-SA"/>
          <w14:ligatures w14:val="standardContextual"/>
        </w:rPr>
      </w:pPr>
      <w:r w:rsidRPr="2B9A976A">
        <w:rPr>
          <w:rFonts w:eastAsia="Aptos"/>
          <w:sz w:val="24"/>
          <w:szCs w:val="24"/>
          <w:lang w:bidi="ar-SA"/>
        </w:rPr>
        <w:t xml:space="preserve">A description of the current network participation of </w:t>
      </w:r>
      <w:r w:rsidR="36B42622" w:rsidRPr="2B9A976A">
        <w:rPr>
          <w:rFonts w:eastAsia="Aptos"/>
          <w:sz w:val="24"/>
          <w:szCs w:val="24"/>
          <w:lang w:bidi="ar-SA"/>
        </w:rPr>
        <w:t xml:space="preserve">Morton Hospital and St. Anne’s Hospital </w:t>
      </w:r>
      <w:r w:rsidRPr="2B9A976A">
        <w:rPr>
          <w:rFonts w:eastAsia="Aptos"/>
          <w:sz w:val="24"/>
          <w:szCs w:val="24"/>
          <w:lang w:bidi="ar-SA"/>
        </w:rPr>
        <w:t>including but not limited to the number of:  </w:t>
      </w:r>
    </w:p>
    <w:p w14:paraId="35F61063" w14:textId="77777777" w:rsidR="00765191" w:rsidRPr="00765191" w:rsidRDefault="01E95B6A" w:rsidP="00765191">
      <w:pPr>
        <w:widowControl/>
        <w:numPr>
          <w:ilvl w:val="0"/>
          <w:numId w:val="17"/>
        </w:numPr>
        <w:tabs>
          <w:tab w:val="clear" w:pos="720"/>
          <w:tab w:val="num" w:pos="1440"/>
        </w:tabs>
        <w:autoSpaceDE/>
        <w:autoSpaceDN/>
        <w:ind w:left="1440"/>
        <w:rPr>
          <w:rFonts w:eastAsia="Aptos"/>
          <w:kern w:val="2"/>
          <w:sz w:val="24"/>
          <w:szCs w:val="24"/>
          <w:lang w:bidi="ar-SA"/>
          <w14:ligatures w14:val="standardContextual"/>
        </w:rPr>
      </w:pPr>
      <w:r w:rsidRPr="2B9A976A">
        <w:rPr>
          <w:rFonts w:eastAsia="Aptos"/>
          <w:sz w:val="24"/>
          <w:szCs w:val="24"/>
          <w:lang w:bidi="ar-SA"/>
        </w:rPr>
        <w:t>Limited network products;</w:t>
      </w:r>
      <w:r w:rsidRPr="00765191">
        <w:rPr>
          <w:rFonts w:eastAsia="Aptos"/>
          <w:kern w:val="2"/>
          <w:sz w:val="24"/>
          <w:szCs w:val="24"/>
          <w:lang w:bidi="ar-SA"/>
          <w14:ligatures w14:val="standardContextual"/>
        </w:rPr>
        <w:t> </w:t>
      </w:r>
    </w:p>
    <w:p w14:paraId="3BDF7371" w14:textId="77777777" w:rsidR="00765191" w:rsidRPr="00765191" w:rsidRDefault="01E95B6A" w:rsidP="00765191">
      <w:pPr>
        <w:widowControl/>
        <w:numPr>
          <w:ilvl w:val="0"/>
          <w:numId w:val="18"/>
        </w:numPr>
        <w:tabs>
          <w:tab w:val="clear" w:pos="720"/>
          <w:tab w:val="num" w:pos="1440"/>
        </w:tabs>
        <w:autoSpaceDE/>
        <w:autoSpaceDN/>
        <w:ind w:left="1440"/>
        <w:rPr>
          <w:rFonts w:eastAsia="Aptos"/>
          <w:kern w:val="2"/>
          <w:sz w:val="24"/>
          <w:szCs w:val="24"/>
          <w:lang w:bidi="ar-SA"/>
          <w14:ligatures w14:val="standardContextual"/>
        </w:rPr>
      </w:pPr>
      <w:r w:rsidRPr="2B9A976A">
        <w:rPr>
          <w:rFonts w:eastAsia="Aptos"/>
          <w:sz w:val="24"/>
          <w:szCs w:val="24"/>
          <w:lang w:bidi="ar-SA"/>
        </w:rPr>
        <w:t>Tiered products, including Holder’s and each subsidiary hospitals’ and physician organization’s tier level for each of these products;</w:t>
      </w:r>
      <w:r w:rsidRPr="00765191">
        <w:rPr>
          <w:rFonts w:eastAsia="Aptos"/>
          <w:kern w:val="2"/>
          <w:sz w:val="24"/>
          <w:szCs w:val="24"/>
          <w:lang w:bidi="ar-SA"/>
          <w14:ligatures w14:val="standardContextual"/>
        </w:rPr>
        <w:t>  </w:t>
      </w:r>
    </w:p>
    <w:p w14:paraId="065C88DA" w14:textId="77777777" w:rsidR="00765191" w:rsidRPr="00765191" w:rsidRDefault="01E95B6A" w:rsidP="00765191">
      <w:pPr>
        <w:widowControl/>
        <w:numPr>
          <w:ilvl w:val="0"/>
          <w:numId w:val="19"/>
        </w:numPr>
        <w:tabs>
          <w:tab w:val="clear" w:pos="720"/>
          <w:tab w:val="num" w:pos="1440"/>
        </w:tabs>
        <w:autoSpaceDE/>
        <w:autoSpaceDN/>
        <w:ind w:left="1440"/>
        <w:rPr>
          <w:rFonts w:eastAsia="Aptos"/>
          <w:kern w:val="2"/>
          <w:sz w:val="24"/>
          <w:szCs w:val="24"/>
          <w:lang w:bidi="ar-SA"/>
          <w14:ligatures w14:val="standardContextual"/>
        </w:rPr>
      </w:pPr>
      <w:r w:rsidRPr="2B9A976A">
        <w:rPr>
          <w:rFonts w:eastAsia="Aptos"/>
          <w:sz w:val="24"/>
          <w:szCs w:val="24"/>
          <w:lang w:bidi="ar-SA"/>
        </w:rPr>
        <w:t>Other commercial products;</w:t>
      </w:r>
      <w:r w:rsidRPr="00765191">
        <w:rPr>
          <w:rFonts w:eastAsia="Aptos"/>
          <w:kern w:val="2"/>
          <w:sz w:val="24"/>
          <w:szCs w:val="24"/>
          <w:lang w:bidi="ar-SA"/>
          <w14:ligatures w14:val="standardContextual"/>
        </w:rPr>
        <w:t>  </w:t>
      </w:r>
    </w:p>
    <w:p w14:paraId="26FABBA9" w14:textId="77777777" w:rsidR="00765191" w:rsidRPr="00765191" w:rsidRDefault="01E95B6A" w:rsidP="00765191">
      <w:pPr>
        <w:widowControl/>
        <w:numPr>
          <w:ilvl w:val="0"/>
          <w:numId w:val="20"/>
        </w:numPr>
        <w:tabs>
          <w:tab w:val="clear" w:pos="720"/>
          <w:tab w:val="num" w:pos="1440"/>
        </w:tabs>
        <w:autoSpaceDE/>
        <w:autoSpaceDN/>
        <w:ind w:left="1440"/>
        <w:rPr>
          <w:rFonts w:eastAsia="Aptos"/>
          <w:kern w:val="2"/>
          <w:sz w:val="24"/>
          <w:szCs w:val="24"/>
          <w:lang w:bidi="ar-SA"/>
          <w14:ligatures w14:val="standardContextual"/>
        </w:rPr>
      </w:pPr>
      <w:r w:rsidRPr="2B9A976A">
        <w:rPr>
          <w:rFonts w:eastAsia="Aptos"/>
          <w:sz w:val="24"/>
          <w:szCs w:val="24"/>
          <w:lang w:bidi="ar-SA"/>
        </w:rPr>
        <w:t>MassHealth Fee for Service;</w:t>
      </w:r>
      <w:r w:rsidRPr="00765191">
        <w:rPr>
          <w:rFonts w:eastAsia="Aptos"/>
          <w:kern w:val="2"/>
          <w:sz w:val="24"/>
          <w:szCs w:val="24"/>
          <w:lang w:bidi="ar-SA"/>
          <w14:ligatures w14:val="standardContextual"/>
        </w:rPr>
        <w:t>  </w:t>
      </w:r>
    </w:p>
    <w:p w14:paraId="7BFDF92A" w14:textId="77777777" w:rsidR="00765191" w:rsidRPr="00765191" w:rsidRDefault="01E95B6A" w:rsidP="00765191">
      <w:pPr>
        <w:widowControl/>
        <w:numPr>
          <w:ilvl w:val="0"/>
          <w:numId w:val="21"/>
        </w:numPr>
        <w:tabs>
          <w:tab w:val="clear" w:pos="720"/>
          <w:tab w:val="num" w:pos="1440"/>
        </w:tabs>
        <w:autoSpaceDE/>
        <w:autoSpaceDN/>
        <w:ind w:left="1440"/>
        <w:rPr>
          <w:rFonts w:eastAsia="Aptos"/>
          <w:kern w:val="2"/>
          <w:sz w:val="24"/>
          <w:szCs w:val="24"/>
          <w:lang w:bidi="ar-SA"/>
          <w14:ligatures w14:val="standardContextual"/>
        </w:rPr>
      </w:pPr>
      <w:r w:rsidRPr="2B9A976A">
        <w:rPr>
          <w:rFonts w:eastAsia="Aptos"/>
          <w:sz w:val="24"/>
          <w:szCs w:val="24"/>
          <w:lang w:bidi="ar-SA"/>
        </w:rPr>
        <w:t>MassHealth Managed Care Organizations;</w:t>
      </w:r>
      <w:r w:rsidRPr="00765191">
        <w:rPr>
          <w:rFonts w:eastAsia="Aptos"/>
          <w:kern w:val="2"/>
          <w:sz w:val="24"/>
          <w:szCs w:val="24"/>
          <w:lang w:bidi="ar-SA"/>
          <w14:ligatures w14:val="standardContextual"/>
        </w:rPr>
        <w:t>  </w:t>
      </w:r>
    </w:p>
    <w:p w14:paraId="594CB7FE" w14:textId="77777777" w:rsidR="00765191" w:rsidRPr="00765191" w:rsidRDefault="01E95B6A" w:rsidP="00765191">
      <w:pPr>
        <w:widowControl/>
        <w:numPr>
          <w:ilvl w:val="0"/>
          <w:numId w:val="22"/>
        </w:numPr>
        <w:tabs>
          <w:tab w:val="clear" w:pos="720"/>
          <w:tab w:val="num" w:pos="1440"/>
        </w:tabs>
        <w:autoSpaceDE/>
        <w:autoSpaceDN/>
        <w:ind w:left="1440"/>
        <w:rPr>
          <w:rFonts w:eastAsia="Aptos"/>
          <w:kern w:val="2"/>
          <w:sz w:val="24"/>
          <w:szCs w:val="24"/>
          <w:lang w:bidi="ar-SA"/>
          <w14:ligatures w14:val="standardContextual"/>
        </w:rPr>
      </w:pPr>
      <w:r w:rsidRPr="2B9A976A">
        <w:rPr>
          <w:rFonts w:eastAsia="Aptos"/>
          <w:sz w:val="24"/>
          <w:szCs w:val="24"/>
          <w:lang w:bidi="ar-SA"/>
        </w:rPr>
        <w:t>MassHealth Accountable Care Organizations;</w:t>
      </w:r>
      <w:r w:rsidRPr="00765191">
        <w:rPr>
          <w:rFonts w:eastAsia="Aptos"/>
          <w:kern w:val="2"/>
          <w:sz w:val="24"/>
          <w:szCs w:val="24"/>
          <w:lang w:bidi="ar-SA"/>
          <w14:ligatures w14:val="standardContextual"/>
        </w:rPr>
        <w:t>  </w:t>
      </w:r>
    </w:p>
    <w:p w14:paraId="6F3B6F4D" w14:textId="77777777" w:rsidR="00765191" w:rsidRPr="00765191" w:rsidRDefault="01E95B6A" w:rsidP="00765191">
      <w:pPr>
        <w:widowControl/>
        <w:numPr>
          <w:ilvl w:val="0"/>
          <w:numId w:val="23"/>
        </w:numPr>
        <w:tabs>
          <w:tab w:val="clear" w:pos="720"/>
          <w:tab w:val="num" w:pos="1440"/>
        </w:tabs>
        <w:autoSpaceDE/>
        <w:autoSpaceDN/>
        <w:ind w:left="1440"/>
        <w:rPr>
          <w:rFonts w:eastAsia="Aptos"/>
          <w:kern w:val="2"/>
          <w:sz w:val="24"/>
          <w:szCs w:val="24"/>
          <w:lang w:bidi="ar-SA"/>
          <w14:ligatures w14:val="standardContextual"/>
        </w:rPr>
      </w:pPr>
      <w:r w:rsidRPr="2B9A976A">
        <w:rPr>
          <w:rFonts w:eastAsia="Aptos"/>
          <w:sz w:val="24"/>
          <w:szCs w:val="24"/>
          <w:lang w:bidi="ar-SA"/>
        </w:rPr>
        <w:t>Senior Care Options, One Care, PACE;</w:t>
      </w:r>
      <w:r w:rsidRPr="00765191">
        <w:rPr>
          <w:rFonts w:eastAsia="Aptos"/>
          <w:kern w:val="2"/>
          <w:sz w:val="24"/>
          <w:szCs w:val="24"/>
          <w:lang w:bidi="ar-SA"/>
          <w14:ligatures w14:val="standardContextual"/>
        </w:rPr>
        <w:t>  </w:t>
      </w:r>
    </w:p>
    <w:p w14:paraId="5629C99E" w14:textId="77777777" w:rsidR="00765191" w:rsidRPr="00765191" w:rsidRDefault="01E95B6A" w:rsidP="00765191">
      <w:pPr>
        <w:widowControl/>
        <w:numPr>
          <w:ilvl w:val="0"/>
          <w:numId w:val="24"/>
        </w:numPr>
        <w:tabs>
          <w:tab w:val="clear" w:pos="720"/>
          <w:tab w:val="num" w:pos="1440"/>
        </w:tabs>
        <w:autoSpaceDE/>
        <w:autoSpaceDN/>
        <w:ind w:left="1440"/>
        <w:rPr>
          <w:rFonts w:eastAsia="Aptos"/>
          <w:kern w:val="2"/>
          <w:sz w:val="24"/>
          <w:szCs w:val="24"/>
          <w:lang w:bidi="ar-SA"/>
          <w14:ligatures w14:val="standardContextual"/>
        </w:rPr>
      </w:pPr>
      <w:r w:rsidRPr="00765191">
        <w:rPr>
          <w:rFonts w:eastAsia="Aptos"/>
          <w:kern w:val="2"/>
          <w:sz w:val="24"/>
          <w:szCs w:val="24"/>
          <w:lang w:bidi="ar-SA"/>
          <w14:ligatures w14:val="standardContextual"/>
        </w:rPr>
        <w:t>Medicare Fee for Service; and </w:t>
      </w:r>
    </w:p>
    <w:p w14:paraId="1C289AED" w14:textId="77777777" w:rsidR="00765191" w:rsidRPr="00765191" w:rsidRDefault="01E95B6A" w:rsidP="00765191">
      <w:pPr>
        <w:widowControl/>
        <w:numPr>
          <w:ilvl w:val="0"/>
          <w:numId w:val="25"/>
        </w:numPr>
        <w:tabs>
          <w:tab w:val="clear" w:pos="720"/>
          <w:tab w:val="num" w:pos="1440"/>
        </w:tabs>
        <w:autoSpaceDE/>
        <w:autoSpaceDN/>
        <w:ind w:left="1440"/>
        <w:rPr>
          <w:rFonts w:eastAsia="Aptos"/>
          <w:kern w:val="2"/>
          <w:sz w:val="24"/>
          <w:szCs w:val="24"/>
          <w:lang w:bidi="ar-SA"/>
          <w14:ligatures w14:val="standardContextual"/>
        </w:rPr>
      </w:pPr>
      <w:r w:rsidRPr="00765191">
        <w:rPr>
          <w:rFonts w:eastAsia="Aptos"/>
          <w:kern w:val="2"/>
          <w:sz w:val="24"/>
          <w:szCs w:val="24"/>
          <w:lang w:bidi="ar-SA"/>
          <w14:ligatures w14:val="standardContextual"/>
        </w:rPr>
        <w:t>Medicare Managed Care Organizations. </w:t>
      </w:r>
    </w:p>
    <w:p w14:paraId="5CCC387C" w14:textId="77777777" w:rsidR="00765191" w:rsidRPr="00765191" w:rsidRDefault="01E95B6A" w:rsidP="00765191">
      <w:pPr>
        <w:widowControl/>
        <w:numPr>
          <w:ilvl w:val="0"/>
          <w:numId w:val="26"/>
        </w:numPr>
        <w:autoSpaceDE/>
        <w:autoSpaceDN/>
        <w:rPr>
          <w:rFonts w:eastAsia="Aptos"/>
          <w:kern w:val="2"/>
          <w:sz w:val="24"/>
          <w:szCs w:val="24"/>
          <w:lang w:bidi="ar-SA"/>
          <w14:ligatures w14:val="standardContextual"/>
        </w:rPr>
      </w:pPr>
      <w:r w:rsidRPr="2B9A976A">
        <w:rPr>
          <w:rFonts w:eastAsia="Aptos"/>
          <w:sz w:val="24"/>
          <w:szCs w:val="24"/>
          <w:lang w:bidi="ar-SA"/>
        </w:rPr>
        <w:t>A description of efforts to identify</w:t>
      </w:r>
      <w:r w:rsidRPr="00765191">
        <w:rPr>
          <w:rFonts w:eastAsia="Aptos"/>
          <w:kern w:val="2"/>
          <w:sz w:val="24"/>
          <w:szCs w:val="24"/>
          <w:lang w:bidi="ar-SA"/>
          <w14:ligatures w14:val="standardContextual"/>
        </w:rPr>
        <w:t xml:space="preserve"> and address barriers to access, including for patients insured by or through MassHealth. </w:t>
      </w:r>
    </w:p>
    <w:p w14:paraId="093C088A" w14:textId="2C20B2B1" w:rsidR="00765191" w:rsidRPr="00CF6317" w:rsidRDefault="6C032291" w:rsidP="00F675DE">
      <w:pPr>
        <w:widowControl/>
        <w:numPr>
          <w:ilvl w:val="0"/>
          <w:numId w:val="27"/>
        </w:numPr>
        <w:autoSpaceDE/>
        <w:autoSpaceDN/>
        <w:rPr>
          <w:rFonts w:eastAsia="Aptos"/>
          <w:kern w:val="2"/>
          <w:sz w:val="24"/>
          <w:szCs w:val="24"/>
          <w:lang w:bidi="ar-SA"/>
          <w14:ligatures w14:val="standardContextual"/>
        </w:rPr>
      </w:pPr>
      <w:r w:rsidRPr="00CF6317">
        <w:rPr>
          <w:rFonts w:eastAsia="Aptos"/>
          <w:sz w:val="24"/>
          <w:szCs w:val="24"/>
          <w:lang w:bidi="ar-SA"/>
        </w:rPr>
        <w:lastRenderedPageBreak/>
        <w:t>If, during the pendency of the DoN, the Department determines that the MassHealth payer mix of</w:t>
      </w:r>
      <w:r w:rsidRPr="00CF6317">
        <w:rPr>
          <w:sz w:val="24"/>
          <w:szCs w:val="24"/>
        </w:rPr>
        <w:t xml:space="preserve"> </w:t>
      </w:r>
      <w:r w:rsidRPr="00CF6317">
        <w:rPr>
          <w:rFonts w:eastAsia="Aptos"/>
          <w:sz w:val="24"/>
          <w:szCs w:val="24"/>
        </w:rPr>
        <w:t>Morton</w:t>
      </w:r>
      <w:r w:rsidR="21F85137" w:rsidRPr="00CF6317">
        <w:rPr>
          <w:rFonts w:eastAsia="Aptos"/>
          <w:sz w:val="24"/>
          <w:szCs w:val="24"/>
        </w:rPr>
        <w:t xml:space="preserve"> Hospital</w:t>
      </w:r>
      <w:r w:rsidRPr="00CF6317">
        <w:rPr>
          <w:rFonts w:eastAsia="Aptos"/>
          <w:sz w:val="24"/>
          <w:szCs w:val="24"/>
        </w:rPr>
        <w:t xml:space="preserve"> </w:t>
      </w:r>
      <w:r w:rsidR="68E29CAB" w:rsidRPr="00CF6317">
        <w:rPr>
          <w:rFonts w:eastAsia="Aptos"/>
          <w:sz w:val="24"/>
          <w:szCs w:val="24"/>
        </w:rPr>
        <w:t>or</w:t>
      </w:r>
      <w:r w:rsidRPr="00CF6317">
        <w:rPr>
          <w:rFonts w:eastAsia="Aptos"/>
          <w:sz w:val="24"/>
          <w:szCs w:val="24"/>
        </w:rPr>
        <w:t xml:space="preserve"> St Anne’s Hospital</w:t>
      </w:r>
      <w:r w:rsidRPr="00CF6317">
        <w:rPr>
          <w:rFonts w:eastAsia="Aptos"/>
          <w:sz w:val="24"/>
          <w:szCs w:val="24"/>
          <w:lang w:bidi="ar-SA"/>
        </w:rPr>
        <w:t xml:space="preserve"> has materially decreased since the Closing, then the Holder shall submit a plan to the Department detailing its plan to increase its MassHealth payer mix</w:t>
      </w:r>
      <w:r w:rsidR="29334853" w:rsidRPr="00CF6317">
        <w:rPr>
          <w:rFonts w:eastAsia="Aptos"/>
          <w:sz w:val="24"/>
          <w:szCs w:val="24"/>
          <w:lang w:bidi="ar-SA"/>
        </w:rPr>
        <w:t xml:space="preserve"> at the applicable hospital</w:t>
      </w:r>
      <w:r w:rsidRPr="00CF6317">
        <w:rPr>
          <w:rFonts w:eastAsia="Aptos"/>
          <w:sz w:val="24"/>
          <w:szCs w:val="24"/>
          <w:lang w:bidi="ar-SA"/>
        </w:rPr>
        <w:t>. The plan shall be submitted no later than six months after such time as the Department notifies the Holder that such a plan is required. The Holder shall provide with its annual report to the Department a report on implementation of said plan. </w:t>
      </w:r>
      <w:r w:rsidR="01E95B6A" w:rsidRPr="00CF6317">
        <w:rPr>
          <w:rFonts w:eastAsia="Aptos"/>
          <w:kern w:val="2"/>
          <w:sz w:val="24"/>
          <w:szCs w:val="24"/>
          <w:lang w:bidi="ar-SA"/>
          <w14:ligatures w14:val="standardContextual"/>
        </w:rPr>
        <w:t> </w:t>
      </w:r>
    </w:p>
    <w:p w14:paraId="5F203BD2" w14:textId="77777777" w:rsidR="00765191" w:rsidRPr="00765191" w:rsidRDefault="01E95B6A" w:rsidP="00765191">
      <w:pPr>
        <w:widowControl/>
        <w:autoSpaceDE/>
        <w:autoSpaceDN/>
        <w:rPr>
          <w:rFonts w:eastAsia="Aptos"/>
          <w:kern w:val="2"/>
          <w:sz w:val="24"/>
          <w:szCs w:val="24"/>
          <w:lang w:bidi="ar-SA"/>
          <w14:ligatures w14:val="standardContextual"/>
        </w:rPr>
      </w:pPr>
      <w:r w:rsidRPr="00765191">
        <w:rPr>
          <w:rFonts w:eastAsia="Aptos"/>
          <w:kern w:val="2"/>
          <w:sz w:val="24"/>
          <w:szCs w:val="24"/>
          <w:lang w:bidi="ar-SA"/>
          <w14:ligatures w14:val="standardContextual"/>
        </w:rPr>
        <w:t> </w:t>
      </w:r>
    </w:p>
    <w:p w14:paraId="72A3CF23" w14:textId="51344541" w:rsidR="00765191" w:rsidRPr="00765191" w:rsidRDefault="01E95B6A" w:rsidP="00765191">
      <w:pPr>
        <w:widowControl/>
        <w:numPr>
          <w:ilvl w:val="0"/>
          <w:numId w:val="28"/>
        </w:numPr>
        <w:autoSpaceDE/>
        <w:autoSpaceDN/>
        <w:rPr>
          <w:rFonts w:eastAsia="Aptos"/>
          <w:kern w:val="2"/>
          <w:sz w:val="24"/>
          <w:szCs w:val="24"/>
          <w:lang w:bidi="ar-SA"/>
          <w14:ligatures w14:val="standardContextual"/>
        </w:rPr>
      </w:pPr>
      <w:r w:rsidRPr="2B9A976A">
        <w:rPr>
          <w:rFonts w:eastAsia="Aptos"/>
          <w:sz w:val="24"/>
          <w:szCs w:val="24"/>
          <w:lang w:bidi="ar-SA"/>
        </w:rPr>
        <w:t>The Holder will make good faith efforts</w:t>
      </w:r>
      <w:r w:rsidR="405A66A6" w:rsidRPr="2B9A976A">
        <w:rPr>
          <w:rFonts w:eastAsia="Aptos"/>
          <w:sz w:val="24"/>
          <w:szCs w:val="24"/>
          <w:lang w:bidi="ar-SA"/>
        </w:rPr>
        <w:t xml:space="preserve"> at both Morton Hospital and St. Anne’s Hospital</w:t>
      </w:r>
      <w:r w:rsidRPr="2B9A976A">
        <w:rPr>
          <w:rFonts w:eastAsia="Aptos"/>
          <w:sz w:val="24"/>
          <w:szCs w:val="24"/>
          <w:lang w:bidi="ar-SA"/>
        </w:rPr>
        <w:t xml:space="preserve"> to ensure continuity of care for patients through good faith efforts to participate in the same insurance plans that</w:t>
      </w:r>
      <w:r w:rsidRPr="2B9A976A">
        <w:rPr>
          <w:sz w:val="24"/>
          <w:szCs w:val="24"/>
        </w:rPr>
        <w:t xml:space="preserve"> </w:t>
      </w:r>
      <w:r w:rsidRPr="2B9A976A">
        <w:rPr>
          <w:rFonts w:eastAsia="Aptos"/>
          <w:sz w:val="24"/>
          <w:szCs w:val="24"/>
        </w:rPr>
        <w:t>Morton</w:t>
      </w:r>
      <w:r w:rsidR="124B6D23" w:rsidRPr="2B9A976A">
        <w:rPr>
          <w:rFonts w:eastAsia="Aptos"/>
          <w:sz w:val="24"/>
          <w:szCs w:val="24"/>
        </w:rPr>
        <w:t xml:space="preserve"> Hospital</w:t>
      </w:r>
      <w:r w:rsidRPr="2B9A976A">
        <w:rPr>
          <w:rFonts w:eastAsia="Aptos"/>
          <w:sz w:val="24"/>
          <w:szCs w:val="24"/>
        </w:rPr>
        <w:t xml:space="preserve"> and St Anne’s Hospital</w:t>
      </w:r>
      <w:r w:rsidRPr="2B9A976A">
        <w:rPr>
          <w:rFonts w:eastAsia="Aptos"/>
          <w:sz w:val="24"/>
          <w:szCs w:val="24"/>
          <w:lang w:bidi="ar-SA"/>
        </w:rPr>
        <w:t xml:space="preserve"> participated in as of the Closing and, to the extent possible, at the same rates through the end of the applicable payer contract period.</w:t>
      </w:r>
    </w:p>
    <w:p w14:paraId="114E687B" w14:textId="77777777" w:rsidR="00765191" w:rsidRPr="00765191" w:rsidRDefault="00765191" w:rsidP="00765191">
      <w:pPr>
        <w:widowControl/>
        <w:autoSpaceDE/>
        <w:autoSpaceDN/>
        <w:ind w:left="720"/>
        <w:rPr>
          <w:rFonts w:eastAsia="Aptos"/>
          <w:kern w:val="2"/>
          <w:sz w:val="24"/>
          <w:szCs w:val="24"/>
          <w:lang w:bidi="ar-SA"/>
          <w14:ligatures w14:val="standardContextual"/>
        </w:rPr>
      </w:pPr>
    </w:p>
    <w:p w14:paraId="080AE66B" w14:textId="310BD693" w:rsidR="00765191" w:rsidRPr="00765191" w:rsidRDefault="6C032291" w:rsidP="00765191">
      <w:pPr>
        <w:widowControl/>
        <w:numPr>
          <w:ilvl w:val="0"/>
          <w:numId w:val="32"/>
        </w:numPr>
        <w:autoSpaceDE/>
        <w:autoSpaceDN/>
        <w:rPr>
          <w:rFonts w:eastAsia="Aptos"/>
          <w:kern w:val="2"/>
          <w:sz w:val="24"/>
          <w:szCs w:val="24"/>
          <w:lang w:bidi="ar-SA"/>
          <w14:ligatures w14:val="standardContextual"/>
        </w:rPr>
      </w:pPr>
      <w:r w:rsidRPr="2B9A976A">
        <w:rPr>
          <w:rFonts w:eastAsia="Times New Roman"/>
          <w:sz w:val="24"/>
          <w:szCs w:val="24"/>
          <w:lang w:bidi="ar-SA"/>
        </w:rPr>
        <w:t>The Holder shall develop a plan for review and approval by the Department through which, within two years of the approval of the DoN, all employed physicians and other</w:t>
      </w:r>
      <w:r w:rsidR="1C4E46F9" w:rsidRPr="2B9A976A">
        <w:rPr>
          <w:rFonts w:eastAsia="Times New Roman"/>
          <w:sz w:val="24"/>
          <w:szCs w:val="24"/>
          <w:lang w:bidi="ar-SA"/>
        </w:rPr>
        <w:t xml:space="preserve"> employed</w:t>
      </w:r>
      <w:r w:rsidRPr="2B9A976A">
        <w:rPr>
          <w:rFonts w:eastAsia="Times New Roman"/>
          <w:sz w:val="24"/>
          <w:szCs w:val="24"/>
          <w:lang w:bidi="ar-SA"/>
        </w:rPr>
        <w:t xml:space="preserve"> licensed providers at </w:t>
      </w:r>
      <w:r w:rsidR="1DB06B27" w:rsidRPr="2B9A976A">
        <w:rPr>
          <w:rFonts w:eastAsia="Times New Roman"/>
          <w:sz w:val="24"/>
          <w:szCs w:val="24"/>
          <w:lang w:bidi="ar-SA"/>
        </w:rPr>
        <w:t xml:space="preserve">either </w:t>
      </w:r>
      <w:r w:rsidRPr="2B9A976A">
        <w:rPr>
          <w:rFonts w:eastAsia="Times New Roman"/>
          <w:sz w:val="24"/>
          <w:szCs w:val="24"/>
        </w:rPr>
        <w:t>Morton</w:t>
      </w:r>
      <w:r w:rsidR="386FAD3B" w:rsidRPr="2B9A976A">
        <w:rPr>
          <w:rFonts w:eastAsia="Times New Roman"/>
          <w:sz w:val="24"/>
          <w:szCs w:val="24"/>
        </w:rPr>
        <w:t xml:space="preserve"> Hospital</w:t>
      </w:r>
      <w:r w:rsidRPr="2B9A976A">
        <w:rPr>
          <w:rFonts w:eastAsia="Times New Roman"/>
          <w:sz w:val="24"/>
          <w:szCs w:val="24"/>
        </w:rPr>
        <w:t xml:space="preserve"> </w:t>
      </w:r>
      <w:r w:rsidR="7A268ED9" w:rsidRPr="2B9A976A">
        <w:rPr>
          <w:rFonts w:eastAsia="Times New Roman"/>
          <w:sz w:val="24"/>
          <w:szCs w:val="24"/>
        </w:rPr>
        <w:t xml:space="preserve">or </w:t>
      </w:r>
      <w:r w:rsidRPr="2B9A976A">
        <w:rPr>
          <w:rFonts w:eastAsia="Times New Roman"/>
          <w:sz w:val="24"/>
          <w:szCs w:val="24"/>
        </w:rPr>
        <w:t>St Anne’s Hospital</w:t>
      </w:r>
      <w:r w:rsidRPr="2B9A976A">
        <w:rPr>
          <w:rFonts w:eastAsia="Times New Roman"/>
          <w:sz w:val="24"/>
          <w:szCs w:val="24"/>
          <w:lang w:bidi="ar-SA"/>
        </w:rPr>
        <w:t xml:space="preserve"> who are authorized to participate in MassHealth, shall have applied to participate in MassHealth (the MassHealth Plan). The Holder shall certify annually thereafter during the Reporting Period its continuing compliance with the intent of the MassHealth Plan that all employed physicians and other </w:t>
      </w:r>
      <w:r w:rsidR="7801F4D6" w:rsidRPr="2B9A976A">
        <w:rPr>
          <w:rFonts w:eastAsia="Times New Roman"/>
          <w:sz w:val="24"/>
          <w:szCs w:val="24"/>
          <w:lang w:bidi="ar-SA"/>
        </w:rPr>
        <w:t xml:space="preserve">employed </w:t>
      </w:r>
      <w:r w:rsidRPr="2B9A976A">
        <w:rPr>
          <w:rFonts w:eastAsia="Times New Roman"/>
          <w:sz w:val="24"/>
          <w:szCs w:val="24"/>
          <w:lang w:bidi="ar-SA"/>
        </w:rPr>
        <w:t>licensed providers who are so authorized are participating in MassHealth and its contracted managed care entities. </w:t>
      </w:r>
      <w:r w:rsidRPr="2B9A976A">
        <w:rPr>
          <w:rFonts w:eastAsia="Aptos"/>
          <w:sz w:val="24"/>
          <w:szCs w:val="24"/>
          <w:lang w:bidi="ar-SA"/>
        </w:rPr>
        <w:t> </w:t>
      </w:r>
    </w:p>
    <w:p w14:paraId="25363F09" w14:textId="77777777" w:rsidR="00765191" w:rsidRPr="00765191" w:rsidRDefault="01E95B6A" w:rsidP="00765191">
      <w:pPr>
        <w:widowControl/>
        <w:autoSpaceDE/>
        <w:autoSpaceDN/>
        <w:rPr>
          <w:rFonts w:eastAsia="Aptos"/>
          <w:kern w:val="2"/>
          <w:sz w:val="24"/>
          <w:szCs w:val="24"/>
          <w:lang w:bidi="ar-SA"/>
          <w14:ligatures w14:val="standardContextual"/>
        </w:rPr>
      </w:pPr>
      <w:r w:rsidRPr="00765191">
        <w:rPr>
          <w:rFonts w:eastAsia="Aptos"/>
          <w:kern w:val="2"/>
          <w:sz w:val="24"/>
          <w:szCs w:val="24"/>
          <w:lang w:bidi="ar-SA"/>
          <w14:ligatures w14:val="standardContextual"/>
        </w:rPr>
        <w:t> </w:t>
      </w:r>
    </w:p>
    <w:p w14:paraId="2D1CFD89" w14:textId="26A0A7ED" w:rsidR="00765191" w:rsidRPr="00765191" w:rsidRDefault="01E95B6A" w:rsidP="00765191">
      <w:pPr>
        <w:widowControl/>
        <w:numPr>
          <w:ilvl w:val="0"/>
          <w:numId w:val="30"/>
        </w:numPr>
        <w:autoSpaceDE/>
        <w:autoSpaceDN/>
        <w:rPr>
          <w:rFonts w:eastAsia="Aptos"/>
          <w:kern w:val="2"/>
          <w:sz w:val="24"/>
          <w:szCs w:val="24"/>
          <w:lang w:bidi="ar-SA"/>
          <w14:ligatures w14:val="standardContextual"/>
        </w:rPr>
      </w:pPr>
      <w:r w:rsidRPr="2B9A976A">
        <w:rPr>
          <w:rFonts w:eastAsia="Aptos"/>
          <w:sz w:val="24"/>
          <w:szCs w:val="24"/>
          <w:lang w:bidi="ar-SA"/>
        </w:rPr>
        <w:t xml:space="preserve">The Holder will make good faith efforts to offer jobs to the individuals who had been employed </w:t>
      </w:r>
      <w:r w:rsidR="318D76C7" w:rsidRPr="2B9A976A">
        <w:rPr>
          <w:sz w:val="24"/>
          <w:szCs w:val="24"/>
        </w:rPr>
        <w:t xml:space="preserve">by either </w:t>
      </w:r>
      <w:r w:rsidRPr="2B9A976A">
        <w:rPr>
          <w:rFonts w:eastAsia="Aptos"/>
          <w:sz w:val="24"/>
          <w:szCs w:val="24"/>
        </w:rPr>
        <w:t>Morton</w:t>
      </w:r>
      <w:r w:rsidR="2AF6C36B" w:rsidRPr="2B9A976A">
        <w:rPr>
          <w:rFonts w:eastAsia="Aptos"/>
          <w:sz w:val="24"/>
          <w:szCs w:val="24"/>
        </w:rPr>
        <w:t xml:space="preserve"> Hospital</w:t>
      </w:r>
      <w:r w:rsidRPr="2B9A976A">
        <w:rPr>
          <w:rFonts w:eastAsia="Aptos"/>
          <w:sz w:val="24"/>
          <w:szCs w:val="24"/>
        </w:rPr>
        <w:t xml:space="preserve"> </w:t>
      </w:r>
      <w:r w:rsidR="64B7C979" w:rsidRPr="2B9A976A">
        <w:rPr>
          <w:rFonts w:eastAsia="Aptos"/>
          <w:sz w:val="24"/>
          <w:szCs w:val="24"/>
        </w:rPr>
        <w:t xml:space="preserve">or </w:t>
      </w:r>
      <w:r w:rsidRPr="2B9A976A">
        <w:rPr>
          <w:rFonts w:eastAsia="Aptos"/>
          <w:sz w:val="24"/>
          <w:szCs w:val="24"/>
        </w:rPr>
        <w:t>St Anne’s Hospital</w:t>
      </w:r>
      <w:r w:rsidRPr="2B9A976A">
        <w:rPr>
          <w:rFonts w:eastAsia="Aptos"/>
          <w:sz w:val="24"/>
          <w:szCs w:val="24"/>
          <w:lang w:bidi="ar-SA"/>
        </w:rPr>
        <w:t xml:space="preserve"> as of the Closing by offering continued employment following the Closing, on the same terms as feasible. </w:t>
      </w:r>
    </w:p>
    <w:p w14:paraId="6B17AD25" w14:textId="25B5019A" w:rsidR="00A16BC3" w:rsidRPr="00A16BC3" w:rsidRDefault="00A16BC3" w:rsidP="00A16BC3">
      <w:pPr>
        <w:ind w:right="-10"/>
        <w:rPr>
          <w:rFonts w:asciiTheme="minorHAnsi" w:hAnsiTheme="minorHAnsi" w:cstheme="minorHAnsi"/>
          <w:sz w:val="24"/>
          <w:szCs w:val="24"/>
        </w:rPr>
      </w:pPr>
      <w:r w:rsidRPr="00A16BC3">
        <w:rPr>
          <w:rFonts w:asciiTheme="minorHAnsi" w:hAnsiTheme="minorHAnsi" w:cstheme="minorHAnsi"/>
          <w:sz w:val="24"/>
          <w:szCs w:val="24"/>
        </w:rPr>
        <w:t> </w:t>
      </w:r>
    </w:p>
    <w:p w14:paraId="065A5477" w14:textId="77777777" w:rsidR="00A16BC3" w:rsidRPr="00A16BC3" w:rsidRDefault="1556F868" w:rsidP="00A16BC3">
      <w:pPr>
        <w:ind w:right="-10"/>
        <w:rPr>
          <w:rFonts w:asciiTheme="minorHAnsi" w:hAnsiTheme="minorHAnsi" w:cstheme="minorHAnsi"/>
          <w:sz w:val="24"/>
          <w:szCs w:val="24"/>
        </w:rPr>
      </w:pPr>
      <w:r w:rsidRPr="2B9A976A">
        <w:rPr>
          <w:rFonts w:asciiTheme="minorHAnsi" w:hAnsiTheme="minorHAnsi" w:cstheme="minorBidi"/>
          <w:sz w:val="24"/>
          <w:szCs w:val="24"/>
        </w:rPr>
        <w:t> </w:t>
      </w:r>
    </w:p>
    <w:sectPr w:rsidR="00A16BC3" w:rsidRPr="00A16BC3" w:rsidSect="00A16BC3">
      <w:headerReference w:type="default" r:id="rId8"/>
      <w:pgSz w:w="12240" w:h="15840"/>
      <w:pgMar w:top="1400" w:right="1220" w:bottom="1680" w:left="1260" w:header="720" w:footer="141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790D5" w14:textId="77777777" w:rsidR="00495B97" w:rsidRDefault="00495B97" w:rsidP="005E7C24">
      <w:r>
        <w:separator/>
      </w:r>
    </w:p>
  </w:endnote>
  <w:endnote w:type="continuationSeparator" w:id="0">
    <w:p w14:paraId="0E18E37E" w14:textId="77777777" w:rsidR="00495B97" w:rsidRDefault="00495B97" w:rsidP="005E7C24">
      <w:r>
        <w:continuationSeparator/>
      </w:r>
    </w:p>
  </w:endnote>
  <w:endnote w:type="continuationNotice" w:id="1">
    <w:p w14:paraId="727B942E" w14:textId="77777777" w:rsidR="00495B97" w:rsidRDefault="00495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080CB" w14:textId="77777777" w:rsidR="00495B97" w:rsidRDefault="00495B97" w:rsidP="005E7C24">
      <w:r>
        <w:separator/>
      </w:r>
    </w:p>
  </w:footnote>
  <w:footnote w:type="continuationSeparator" w:id="0">
    <w:p w14:paraId="3A5C97CA" w14:textId="77777777" w:rsidR="00495B97" w:rsidRDefault="00495B97" w:rsidP="005E7C24">
      <w:r>
        <w:continuationSeparator/>
      </w:r>
    </w:p>
  </w:footnote>
  <w:footnote w:type="continuationNotice" w:id="1">
    <w:p w14:paraId="3733D221" w14:textId="77777777" w:rsidR="00495B97" w:rsidRDefault="00495B97"/>
  </w:footnote>
  <w:footnote w:id="2">
    <w:p w14:paraId="421278B2" w14:textId="00121458" w:rsidR="6B09DEEC" w:rsidRPr="00BE5656" w:rsidRDefault="6B09DEEC" w:rsidP="00742CB5">
      <w:pPr>
        <w:pStyle w:val="FootnoteText"/>
      </w:pPr>
      <w:r w:rsidRPr="00BE5656">
        <w:rPr>
          <w:rStyle w:val="FootnoteReference"/>
        </w:rPr>
        <w:footnoteRef/>
      </w:r>
      <w:r w:rsidRPr="00BE5656">
        <w:t xml:space="preserve"> Transfer of Ownership is defined in the applicable regulations at 105 CMR 100 as including but not being limited to “(1) A transfer of a majority interest in the ownership of a Hospital or Clinic; (2) In the case of a privately-held for-profit corporation, transfer of a majority of any class of the stock thereof; (3) In the case of a partnership, transfer of a majority of trustees; (4) In the case of a trust, change of the trustee or a majority of trustees; (5) In the case of a nonprofit corporation, such changes in the corporate membership and/or trustees to constitute a shift in control of the Hospital or Clinic as determined by the Commissioner; or (6) In the case where foreclosure proceedings have been instituted by a mortgagee in possession of a Hospital or Clinic. For the purposes of 105 CMR 100.000, Transfer of Ownership may also mean any change in the ownership interest or structure of the Hospital or Clinic, or of the Hospital or Clinic's organization or parent organization(s), such that the change results in a shift in control of the operation of the Hospital or Clinic, as determined by the Commissioner.”</w:t>
      </w:r>
    </w:p>
  </w:footnote>
  <w:footnote w:id="3">
    <w:p w14:paraId="35AAF5EA" w14:textId="1A8ED3BA" w:rsidR="003F42F8" w:rsidRDefault="003F42F8">
      <w:pPr>
        <w:pStyle w:val="FootnoteText"/>
      </w:pPr>
      <w:r>
        <w:rPr>
          <w:rStyle w:val="FootnoteReference"/>
        </w:rPr>
        <w:footnoteRef/>
      </w:r>
      <w:r>
        <w:t xml:space="preserve"> </w:t>
      </w:r>
      <w:r w:rsidRPr="003F42F8">
        <w:t>Lifespan Corporation’s affiliates provide comprehensive inpatient and outpatient medical, surgical, and psychiatric services, for adults and children, through four hospital campuses, approximately 50 off-campus ambulatory locations, and 83 physician practice locations in Rhode Island and Massachusetts. Lifespan Corporation is the primary teaching affiliate of Brown University’s Warren Alpert Medical School. Lifespan also operates Gateway Healthcare, Inc., which provides community-based behavioral health services; Lifespan Physician Group, Inc., a multi-specialty physician practice; and Coastal Medical Physicians, Inc., a value-based primary care driven medical practice.</w:t>
      </w:r>
    </w:p>
  </w:footnote>
  <w:footnote w:id="4">
    <w:p w14:paraId="6620B20D" w14:textId="77777777" w:rsidR="00DA4EA8" w:rsidRPr="00514A59" w:rsidRDefault="00DA4EA8" w:rsidP="00DA4EA8">
      <w:pPr>
        <w:pStyle w:val="FootnoteText"/>
        <w:rPr>
          <w:rFonts w:cs="Times New Roman"/>
        </w:rPr>
      </w:pPr>
      <w:r w:rsidRPr="00514A59">
        <w:rPr>
          <w:rStyle w:val="FootnoteReference"/>
          <w:rFonts w:cs="Times New Roman"/>
        </w:rPr>
        <w:footnoteRef/>
      </w:r>
      <w:r w:rsidRPr="00514A59">
        <w:rPr>
          <w:rFonts w:cs="Times New Roman"/>
        </w:rPr>
        <w:t xml:space="preserve"> </w:t>
      </w:r>
      <w:r w:rsidRPr="00514A59">
        <w:rPr>
          <w:rFonts w:cs="Times New Roman"/>
          <w:i/>
          <w:iCs/>
        </w:rPr>
        <w:t>See</w:t>
      </w:r>
      <w:r w:rsidRPr="00514A59">
        <w:rPr>
          <w:rFonts w:cs="Times New Roman"/>
        </w:rPr>
        <w:t xml:space="preserve"> </w:t>
      </w:r>
      <w:r w:rsidRPr="00514A59">
        <w:rPr>
          <w:rFonts w:cs="Times New Roman"/>
          <w:i/>
          <w:iCs/>
        </w:rPr>
        <w:t>Order (I) Approving Additional Funding From The Commonwealth Of Massachusetts For The Planned Transition And Sale Of Massachusetts Hospitals; and (II) Granting Related Relief</w:t>
      </w:r>
      <w:r w:rsidRPr="00514A59">
        <w:rPr>
          <w:rFonts w:cs="Times New Roman"/>
        </w:rPr>
        <w:t xml:space="preserve"> (Docket No. 2345); </w:t>
      </w:r>
      <w:r w:rsidRPr="00514A59">
        <w:rPr>
          <w:rFonts w:cs="Times New Roman"/>
          <w:i/>
          <w:iCs/>
        </w:rPr>
        <w:t>Emergency Motion of Debtors for Entry of an Order (I) Approving Additional Funding from the Commonwealth of Massachusetts for the Planned Transition and Sale of Massachusetts Hospitals; and (II) Granting Related Relief</w:t>
      </w:r>
      <w:r w:rsidRPr="00514A59">
        <w:rPr>
          <w:rFonts w:cs="Times New Roman"/>
        </w:rPr>
        <w:t xml:space="preserve"> (Docket 2286) (“Absent the payments to be provided to the  Debtors pursuant to the Payment Agreement, the Debtors would not have sufficient funds to  maintain operations at these hospitals, and would be forced to close the hospitals at a significant social and economic cost”).</w:t>
      </w:r>
    </w:p>
  </w:footnote>
  <w:footnote w:id="5">
    <w:p w14:paraId="6E4A198B" w14:textId="77777777" w:rsidR="000A5B68" w:rsidRPr="00514A59" w:rsidRDefault="000A5B68" w:rsidP="000A5B68">
      <w:pPr>
        <w:pStyle w:val="FootnoteText"/>
        <w:rPr>
          <w:rFonts w:cs="Times New Roman"/>
        </w:rPr>
      </w:pPr>
      <w:r w:rsidRPr="00514A59">
        <w:rPr>
          <w:rStyle w:val="FootnoteReference"/>
          <w:rFonts w:cs="Times New Roman"/>
        </w:rPr>
        <w:footnoteRef/>
      </w:r>
      <w:r w:rsidRPr="00514A59">
        <w:rPr>
          <w:rFonts w:cs="Times New Roman"/>
        </w:rPr>
        <w:t xml:space="preserve"> </w:t>
      </w:r>
      <w:r w:rsidRPr="00514A59">
        <w:rPr>
          <w:rFonts w:cs="Times New Roman"/>
          <w:i/>
          <w:iCs/>
        </w:rPr>
        <w:t>See Notice of Filing of Asset Purchase Agreement, Schedules, and Exhibits by and among Certain Debtors, Lifespan of Massachusetts, Inc., and Lifespan Corporation (Redacted)</w:t>
      </w:r>
      <w:r w:rsidRPr="00514A59">
        <w:rPr>
          <w:rFonts w:cs="Times New Roman"/>
        </w:rPr>
        <w:t xml:space="preserve"> (Docket 2266). </w:t>
      </w:r>
    </w:p>
  </w:footnote>
  <w:footnote w:id="6">
    <w:p w14:paraId="6EC18C8D" w14:textId="35AB689F" w:rsidR="000C5E9D" w:rsidRDefault="000C5E9D">
      <w:pPr>
        <w:pStyle w:val="FootnoteText"/>
      </w:pPr>
      <w:r>
        <w:rPr>
          <w:rStyle w:val="FootnoteReference"/>
        </w:rPr>
        <w:footnoteRef/>
      </w:r>
      <w:r>
        <w:t xml:space="preserve"> </w:t>
      </w:r>
      <w:r w:rsidR="00AD68E2">
        <w:t xml:space="preserve">The Department was informed by Steward that </w:t>
      </w:r>
      <w:r w:rsidR="00AD68E2" w:rsidRPr="00AD68E2">
        <w:t>Morton Hospital will not maintain 32 substance abuse beds and intends to notify the Department that the MORCAP will close effective 10/1/24.</w:t>
      </w:r>
    </w:p>
  </w:footnote>
  <w:footnote w:id="7">
    <w:p w14:paraId="7D22D2A8" w14:textId="4C0AF00A" w:rsidR="008E41A2" w:rsidRDefault="008E41A2" w:rsidP="008E41A2">
      <w:pPr>
        <w:pStyle w:val="FootnoteText"/>
      </w:pPr>
      <w:r>
        <w:rPr>
          <w:rStyle w:val="FootnoteReference"/>
        </w:rPr>
        <w:footnoteRef/>
      </w:r>
      <w:r>
        <w:t xml:space="preserve"> Based on the </w:t>
      </w:r>
      <w:hyperlink r:id="rId1" w:history="1">
        <w:r w:rsidRPr="00BD34B7">
          <w:rPr>
            <w:rStyle w:val="Hyperlink"/>
            <w:color w:val="000000" w:themeColor="text1"/>
            <w:u w:val="none"/>
          </w:rPr>
          <w:t>FY 2022 Cost Report</w:t>
        </w:r>
      </w:hyperlink>
      <w:r w:rsidRPr="00BD34B7">
        <w:rPr>
          <w:color w:val="000000" w:themeColor="text1"/>
        </w:rPr>
        <w:t xml:space="preserve">, </w:t>
      </w:r>
      <w:hyperlink r:id="rId2" w:history="1">
        <w:r w:rsidRPr="005B053D">
          <w:rPr>
            <w:rStyle w:val="Hyperlink"/>
          </w:rPr>
          <w:t>https://www.chiamass.gov/high-public-payer-hospitals</w:t>
        </w:r>
      </w:hyperlink>
      <w:r>
        <w:t xml:space="preserve"> </w:t>
      </w:r>
    </w:p>
  </w:footnote>
  <w:footnote w:id="8">
    <w:p w14:paraId="0715D3D4" w14:textId="77777777" w:rsidR="00BD34B7" w:rsidRDefault="00BD34B7" w:rsidP="75851299">
      <w:pPr>
        <w:rPr>
          <w:sz w:val="20"/>
          <w:szCs w:val="20"/>
        </w:rPr>
      </w:pPr>
      <w:r w:rsidRPr="75851299">
        <w:rPr>
          <w:rStyle w:val="FootnoteReference"/>
        </w:rPr>
        <w:footnoteRef/>
      </w:r>
      <w:r>
        <w:t xml:space="preserve"> </w:t>
      </w:r>
      <w:r w:rsidRPr="75851299">
        <w:rPr>
          <w:sz w:val="20"/>
          <w:szCs w:val="20"/>
        </w:rPr>
        <w:t xml:space="preserve">These data are based on the Massachusetts Department of Public Health, Health Care Capacity Dashboard, including Syndromic Surveillance Program, Division of Surveillance, Analytics and Informatics, Bureau of Infectious Disease and Laboratory Services, Massachusetts Department of Public Health. </w:t>
      </w:r>
      <w:proofErr w:type="spellStart"/>
      <w:r w:rsidRPr="75851299">
        <w:rPr>
          <w:sz w:val="20"/>
          <w:szCs w:val="20"/>
        </w:rPr>
        <w:t>WebEOC</w:t>
      </w:r>
      <w:proofErr w:type="spellEnd"/>
      <w:r w:rsidRPr="75851299">
        <w:rPr>
          <w:sz w:val="20"/>
          <w:szCs w:val="20"/>
        </w:rPr>
        <w:t xml:space="preserve"> is an industry-standard, secure, cloud-based platform specifically built to enhance situational awareness and information gathering capabilities of Emergency Management organizations. Per CMS-3401-IFC, hospitals are required to report a series of data points, including numbers on bed capacity and occupancy, which are collected by MADPH in </w:t>
      </w:r>
      <w:proofErr w:type="spellStart"/>
      <w:r w:rsidRPr="75851299">
        <w:rPr>
          <w:sz w:val="20"/>
          <w:szCs w:val="20"/>
        </w:rPr>
        <w:t>WebEOC</w:t>
      </w:r>
      <w:proofErr w:type="spellEnd"/>
      <w:r w:rsidRPr="75851299">
        <w:rPr>
          <w:sz w:val="20"/>
          <w:szCs w:val="20"/>
        </w:rPr>
        <w:t xml:space="preserve"> and reported to the federal level on behalf of the facilities.</w:t>
      </w:r>
    </w:p>
    <w:p w14:paraId="6B6C20EA" w14:textId="77777777" w:rsidR="00BD34B7" w:rsidRDefault="00BD34B7" w:rsidP="75851299">
      <w:pPr>
        <w:pStyle w:val="FootnoteText"/>
      </w:pPr>
    </w:p>
  </w:footnote>
  <w:footnote w:id="9">
    <w:p w14:paraId="55E570EF" w14:textId="3FE9B407" w:rsidR="00C57E1E" w:rsidRDefault="00C57E1E">
      <w:pPr>
        <w:pStyle w:val="FootnoteText"/>
      </w:pPr>
      <w:r>
        <w:rPr>
          <w:rStyle w:val="FootnoteReference"/>
        </w:rPr>
        <w:footnoteRef/>
      </w:r>
      <w:r>
        <w:t xml:space="preserve"> In the Bristol County area.</w:t>
      </w:r>
    </w:p>
  </w:footnote>
  <w:footnote w:id="10">
    <w:p w14:paraId="2D06CFCF" w14:textId="77777777" w:rsidR="00F175C0" w:rsidRDefault="00F175C0" w:rsidP="00F175C0">
      <w:pPr>
        <w:pStyle w:val="FootnoteText"/>
      </w:pPr>
      <w:r>
        <w:rPr>
          <w:rStyle w:val="FootnoteReference"/>
        </w:rPr>
        <w:footnoteRef/>
      </w:r>
      <w:r>
        <w:t xml:space="preserve"> </w:t>
      </w:r>
      <w:r w:rsidRPr="00D859D8">
        <w:t>105 CMR 100.100</w:t>
      </w:r>
      <w:r>
        <w:t xml:space="preserve"> Definitions</w:t>
      </w:r>
    </w:p>
  </w:footnote>
  <w:footnote w:id="11">
    <w:p w14:paraId="5AA5C140" w14:textId="77777777" w:rsidR="00DD6988" w:rsidRDefault="00DD6988" w:rsidP="00DD6988">
      <w:pPr>
        <w:pStyle w:val="FootnoteText"/>
      </w:pPr>
      <w:r>
        <w:rPr>
          <w:rStyle w:val="FootnoteReference"/>
        </w:rPr>
        <w:footnoteRef/>
      </w:r>
      <w:r>
        <w:t xml:space="preserve"> </w:t>
      </w:r>
      <w:r w:rsidRPr="00AB7675">
        <w:t>(B)(1) A Determination of Need Application for Transfer of Ownership pursuant to 105 CMR 100.735 is exempt from105 CMR 100.310(A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9649171"/>
      <w:docPartObj>
        <w:docPartGallery w:val="Page Numbers (Top of Page)"/>
        <w:docPartUnique/>
      </w:docPartObj>
    </w:sdtPr>
    <w:sdtEndPr>
      <w:rPr>
        <w:noProof/>
      </w:rPr>
    </w:sdtEndPr>
    <w:sdtContent>
      <w:p w14:paraId="50D07679" w14:textId="0CC708D6" w:rsidR="00A04101" w:rsidRDefault="00A04101">
        <w:pPr>
          <w:pStyle w:val="Head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394B8F3" w14:textId="793E787E" w:rsidR="00F25CA5" w:rsidRDefault="00F25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993E"/>
    <w:multiLevelType w:val="multilevel"/>
    <w:tmpl w:val="4B2C348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12B49"/>
    <w:multiLevelType w:val="hybridMultilevel"/>
    <w:tmpl w:val="AD32DC94"/>
    <w:lvl w:ilvl="0" w:tplc="A6F8F8E8">
      <w:start w:val="1"/>
      <w:numFmt w:val="bullet"/>
      <w:lvlText w:val=""/>
      <w:lvlJc w:val="left"/>
      <w:pPr>
        <w:ind w:left="1440" w:hanging="360"/>
      </w:pPr>
      <w:rPr>
        <w:rFonts w:ascii="Symbol" w:hAnsi="Symbol"/>
      </w:rPr>
    </w:lvl>
    <w:lvl w:ilvl="1" w:tplc="8A1AAED0">
      <w:start w:val="1"/>
      <w:numFmt w:val="bullet"/>
      <w:lvlText w:val=""/>
      <w:lvlJc w:val="left"/>
      <w:pPr>
        <w:ind w:left="1440" w:hanging="360"/>
      </w:pPr>
      <w:rPr>
        <w:rFonts w:ascii="Symbol" w:hAnsi="Symbol"/>
      </w:rPr>
    </w:lvl>
    <w:lvl w:ilvl="2" w:tplc="D414C16E">
      <w:start w:val="1"/>
      <w:numFmt w:val="bullet"/>
      <w:lvlText w:val=""/>
      <w:lvlJc w:val="left"/>
      <w:pPr>
        <w:ind w:left="1440" w:hanging="360"/>
      </w:pPr>
      <w:rPr>
        <w:rFonts w:ascii="Symbol" w:hAnsi="Symbol"/>
      </w:rPr>
    </w:lvl>
    <w:lvl w:ilvl="3" w:tplc="20049E24">
      <w:start w:val="1"/>
      <w:numFmt w:val="bullet"/>
      <w:lvlText w:val=""/>
      <w:lvlJc w:val="left"/>
      <w:pPr>
        <w:ind w:left="1440" w:hanging="360"/>
      </w:pPr>
      <w:rPr>
        <w:rFonts w:ascii="Symbol" w:hAnsi="Symbol"/>
      </w:rPr>
    </w:lvl>
    <w:lvl w:ilvl="4" w:tplc="5B6CBEF4">
      <w:start w:val="1"/>
      <w:numFmt w:val="bullet"/>
      <w:lvlText w:val=""/>
      <w:lvlJc w:val="left"/>
      <w:pPr>
        <w:ind w:left="1440" w:hanging="360"/>
      </w:pPr>
      <w:rPr>
        <w:rFonts w:ascii="Symbol" w:hAnsi="Symbol"/>
      </w:rPr>
    </w:lvl>
    <w:lvl w:ilvl="5" w:tplc="202821BE">
      <w:start w:val="1"/>
      <w:numFmt w:val="bullet"/>
      <w:lvlText w:val=""/>
      <w:lvlJc w:val="left"/>
      <w:pPr>
        <w:ind w:left="1440" w:hanging="360"/>
      </w:pPr>
      <w:rPr>
        <w:rFonts w:ascii="Symbol" w:hAnsi="Symbol"/>
      </w:rPr>
    </w:lvl>
    <w:lvl w:ilvl="6" w:tplc="C33A32BA">
      <w:start w:val="1"/>
      <w:numFmt w:val="bullet"/>
      <w:lvlText w:val=""/>
      <w:lvlJc w:val="left"/>
      <w:pPr>
        <w:ind w:left="1440" w:hanging="360"/>
      </w:pPr>
      <w:rPr>
        <w:rFonts w:ascii="Symbol" w:hAnsi="Symbol"/>
      </w:rPr>
    </w:lvl>
    <w:lvl w:ilvl="7" w:tplc="80B4EB00">
      <w:start w:val="1"/>
      <w:numFmt w:val="bullet"/>
      <w:lvlText w:val=""/>
      <w:lvlJc w:val="left"/>
      <w:pPr>
        <w:ind w:left="1440" w:hanging="360"/>
      </w:pPr>
      <w:rPr>
        <w:rFonts w:ascii="Symbol" w:hAnsi="Symbol"/>
      </w:rPr>
    </w:lvl>
    <w:lvl w:ilvl="8" w:tplc="056C6A7C">
      <w:start w:val="1"/>
      <w:numFmt w:val="bullet"/>
      <w:lvlText w:val=""/>
      <w:lvlJc w:val="left"/>
      <w:pPr>
        <w:ind w:left="1440" w:hanging="360"/>
      </w:pPr>
      <w:rPr>
        <w:rFonts w:ascii="Symbol" w:hAnsi="Symbol"/>
      </w:rPr>
    </w:lvl>
  </w:abstractNum>
  <w:abstractNum w:abstractNumId="2" w15:restartNumberingAfterBreak="0">
    <w:nsid w:val="0F5F6928"/>
    <w:multiLevelType w:val="multilevel"/>
    <w:tmpl w:val="E20C83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07F7BC5"/>
    <w:multiLevelType w:val="multilevel"/>
    <w:tmpl w:val="0F045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86DF0"/>
    <w:multiLevelType w:val="multilevel"/>
    <w:tmpl w:val="C2DE7B7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8523869"/>
    <w:multiLevelType w:val="multilevel"/>
    <w:tmpl w:val="B764E9B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D5F7684"/>
    <w:multiLevelType w:val="multilevel"/>
    <w:tmpl w:val="043A75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22D5BA1"/>
    <w:multiLevelType w:val="multilevel"/>
    <w:tmpl w:val="12F0E7A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8AE6682"/>
    <w:multiLevelType w:val="multilevel"/>
    <w:tmpl w:val="9E0469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90C5E0C"/>
    <w:multiLevelType w:val="multilevel"/>
    <w:tmpl w:val="9B1639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A345852"/>
    <w:multiLevelType w:val="multilevel"/>
    <w:tmpl w:val="F370A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905E6"/>
    <w:multiLevelType w:val="multilevel"/>
    <w:tmpl w:val="E8AC97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55544AE"/>
    <w:multiLevelType w:val="multilevel"/>
    <w:tmpl w:val="20B8B6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B032B7A"/>
    <w:multiLevelType w:val="multilevel"/>
    <w:tmpl w:val="23D4C7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717E00"/>
    <w:multiLevelType w:val="multilevel"/>
    <w:tmpl w:val="58C0128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71F2F45"/>
    <w:multiLevelType w:val="multilevel"/>
    <w:tmpl w:val="6F56D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72118A"/>
    <w:multiLevelType w:val="multilevel"/>
    <w:tmpl w:val="1186B4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CC314DD"/>
    <w:multiLevelType w:val="multilevel"/>
    <w:tmpl w:val="439E5B32"/>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D0340E4"/>
    <w:multiLevelType w:val="multilevel"/>
    <w:tmpl w:val="4118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A46384"/>
    <w:multiLevelType w:val="hybridMultilevel"/>
    <w:tmpl w:val="E92E0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1A16C5"/>
    <w:multiLevelType w:val="multilevel"/>
    <w:tmpl w:val="59E2A31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597C29B4"/>
    <w:multiLevelType w:val="multilevel"/>
    <w:tmpl w:val="0FE4E9A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59AA237F"/>
    <w:multiLevelType w:val="multilevel"/>
    <w:tmpl w:val="1002A39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9B12E37"/>
    <w:multiLevelType w:val="multilevel"/>
    <w:tmpl w:val="7F58B6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59C46DE1"/>
    <w:multiLevelType w:val="multilevel"/>
    <w:tmpl w:val="361897A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5B2B50CF"/>
    <w:multiLevelType w:val="multilevel"/>
    <w:tmpl w:val="9DD8121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F446F73"/>
    <w:multiLevelType w:val="multilevel"/>
    <w:tmpl w:val="BB1480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6F137D2A"/>
    <w:multiLevelType w:val="multilevel"/>
    <w:tmpl w:val="212280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6843F7"/>
    <w:multiLevelType w:val="multilevel"/>
    <w:tmpl w:val="5726B9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11E64"/>
    <w:multiLevelType w:val="multilevel"/>
    <w:tmpl w:val="0DCEF7AC"/>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6AE3817"/>
    <w:multiLevelType w:val="multilevel"/>
    <w:tmpl w:val="00529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4583173">
    <w:abstractNumId w:val="0"/>
  </w:num>
  <w:num w:numId="2" w16cid:durableId="1022364451">
    <w:abstractNumId w:val="19"/>
  </w:num>
  <w:num w:numId="3" w16cid:durableId="982080976">
    <w:abstractNumId w:val="15"/>
  </w:num>
  <w:num w:numId="4" w16cid:durableId="1112094706">
    <w:abstractNumId w:val="18"/>
  </w:num>
  <w:num w:numId="5" w16cid:durableId="277298132">
    <w:abstractNumId w:val="3"/>
  </w:num>
  <w:num w:numId="6" w16cid:durableId="1910075890">
    <w:abstractNumId w:val="30"/>
  </w:num>
  <w:num w:numId="7" w16cid:durableId="1522206958">
    <w:abstractNumId w:val="2"/>
  </w:num>
  <w:num w:numId="8" w16cid:durableId="937063355">
    <w:abstractNumId w:val="12"/>
  </w:num>
  <w:num w:numId="9" w16cid:durableId="342782311">
    <w:abstractNumId w:val="6"/>
  </w:num>
  <w:num w:numId="10" w16cid:durableId="772431855">
    <w:abstractNumId w:val="26"/>
  </w:num>
  <w:num w:numId="11" w16cid:durableId="445076923">
    <w:abstractNumId w:val="9"/>
  </w:num>
  <w:num w:numId="12" w16cid:durableId="19161068">
    <w:abstractNumId w:val="14"/>
  </w:num>
  <w:num w:numId="13" w16cid:durableId="914825233">
    <w:abstractNumId w:val="7"/>
  </w:num>
  <w:num w:numId="14" w16cid:durableId="2085640323">
    <w:abstractNumId w:val="22"/>
  </w:num>
  <w:num w:numId="15" w16cid:durableId="231354064">
    <w:abstractNumId w:val="21"/>
  </w:num>
  <w:num w:numId="16" w16cid:durableId="431049420">
    <w:abstractNumId w:val="8"/>
  </w:num>
  <w:num w:numId="17" w16cid:durableId="1568878707">
    <w:abstractNumId w:val="11"/>
  </w:num>
  <w:num w:numId="18" w16cid:durableId="1052271431">
    <w:abstractNumId w:val="23"/>
  </w:num>
  <w:num w:numId="19" w16cid:durableId="880433973">
    <w:abstractNumId w:val="24"/>
  </w:num>
  <w:num w:numId="20" w16cid:durableId="1027219721">
    <w:abstractNumId w:val="25"/>
  </w:num>
  <w:num w:numId="21" w16cid:durableId="660352645">
    <w:abstractNumId w:val="5"/>
  </w:num>
  <w:num w:numId="22" w16cid:durableId="667093896">
    <w:abstractNumId w:val="20"/>
  </w:num>
  <w:num w:numId="23" w16cid:durableId="324162604">
    <w:abstractNumId w:val="4"/>
  </w:num>
  <w:num w:numId="24" w16cid:durableId="484861583">
    <w:abstractNumId w:val="29"/>
  </w:num>
  <w:num w:numId="25" w16cid:durableId="59448197">
    <w:abstractNumId w:val="17"/>
  </w:num>
  <w:num w:numId="26" w16cid:durableId="1146312210">
    <w:abstractNumId w:val="28"/>
  </w:num>
  <w:num w:numId="27" w16cid:durableId="1709836503">
    <w:abstractNumId w:val="16"/>
  </w:num>
  <w:num w:numId="28" w16cid:durableId="1877041009">
    <w:abstractNumId w:val="10"/>
  </w:num>
  <w:num w:numId="29" w16cid:durableId="1650209594">
    <w:abstractNumId w:val="13"/>
  </w:num>
  <w:num w:numId="30" w16cid:durableId="503059969">
    <w:abstractNumId w:val="27"/>
  </w:num>
  <w:num w:numId="31" w16cid:durableId="1246067204">
    <w:abstractNumId w:val="1"/>
  </w:num>
  <w:num w:numId="32" w16cid:durableId="70591244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24"/>
    <w:rsid w:val="000034E0"/>
    <w:rsid w:val="00006FDD"/>
    <w:rsid w:val="0001268A"/>
    <w:rsid w:val="00016CE9"/>
    <w:rsid w:val="00020325"/>
    <w:rsid w:val="0002587F"/>
    <w:rsid w:val="00027440"/>
    <w:rsid w:val="0002D21B"/>
    <w:rsid w:val="00032F1D"/>
    <w:rsid w:val="00040503"/>
    <w:rsid w:val="00055376"/>
    <w:rsid w:val="0005778B"/>
    <w:rsid w:val="00057F36"/>
    <w:rsid w:val="00065E8C"/>
    <w:rsid w:val="000713A3"/>
    <w:rsid w:val="00074C84"/>
    <w:rsid w:val="0007661C"/>
    <w:rsid w:val="00087B35"/>
    <w:rsid w:val="000A5B68"/>
    <w:rsid w:val="000B1BD4"/>
    <w:rsid w:val="000B79B8"/>
    <w:rsid w:val="000C5E9D"/>
    <w:rsid w:val="000D734F"/>
    <w:rsid w:val="000D7595"/>
    <w:rsid w:val="000F589E"/>
    <w:rsid w:val="000F6167"/>
    <w:rsid w:val="0010304D"/>
    <w:rsid w:val="00103D89"/>
    <w:rsid w:val="00104109"/>
    <w:rsid w:val="00110AFC"/>
    <w:rsid w:val="001143C3"/>
    <w:rsid w:val="00116AF0"/>
    <w:rsid w:val="0012367B"/>
    <w:rsid w:val="00127D0A"/>
    <w:rsid w:val="00142C8A"/>
    <w:rsid w:val="00143ACE"/>
    <w:rsid w:val="00153705"/>
    <w:rsid w:val="0016046D"/>
    <w:rsid w:val="00163260"/>
    <w:rsid w:val="00164969"/>
    <w:rsid w:val="0016536B"/>
    <w:rsid w:val="00167C7C"/>
    <w:rsid w:val="0017601C"/>
    <w:rsid w:val="001A79EE"/>
    <w:rsid w:val="001B07B1"/>
    <w:rsid w:val="001B0DBC"/>
    <w:rsid w:val="001B2E43"/>
    <w:rsid w:val="001B5328"/>
    <w:rsid w:val="001B6B3A"/>
    <w:rsid w:val="001B72DB"/>
    <w:rsid w:val="001B75E4"/>
    <w:rsid w:val="001C2421"/>
    <w:rsid w:val="001D41F5"/>
    <w:rsid w:val="001D625A"/>
    <w:rsid w:val="001E519E"/>
    <w:rsid w:val="001F7504"/>
    <w:rsid w:val="00214D1F"/>
    <w:rsid w:val="002159A5"/>
    <w:rsid w:val="002324D5"/>
    <w:rsid w:val="00233048"/>
    <w:rsid w:val="00241407"/>
    <w:rsid w:val="002421DC"/>
    <w:rsid w:val="00255194"/>
    <w:rsid w:val="0026500B"/>
    <w:rsid w:val="00266517"/>
    <w:rsid w:val="00270DD8"/>
    <w:rsid w:val="00270E1C"/>
    <w:rsid w:val="00274DA6"/>
    <w:rsid w:val="002777B1"/>
    <w:rsid w:val="00280194"/>
    <w:rsid w:val="00291518"/>
    <w:rsid w:val="002A45B7"/>
    <w:rsid w:val="002A4959"/>
    <w:rsid w:val="002B37B4"/>
    <w:rsid w:val="002B7B5D"/>
    <w:rsid w:val="002C3DC3"/>
    <w:rsid w:val="002C5ABF"/>
    <w:rsid w:val="002C660C"/>
    <w:rsid w:val="002C7140"/>
    <w:rsid w:val="002C72C4"/>
    <w:rsid w:val="002D2866"/>
    <w:rsid w:val="002D46BA"/>
    <w:rsid w:val="00302380"/>
    <w:rsid w:val="00306F96"/>
    <w:rsid w:val="0031583B"/>
    <w:rsid w:val="00320660"/>
    <w:rsid w:val="0033176E"/>
    <w:rsid w:val="00332EC1"/>
    <w:rsid w:val="00334D2B"/>
    <w:rsid w:val="0034503C"/>
    <w:rsid w:val="0034777F"/>
    <w:rsid w:val="00356AE4"/>
    <w:rsid w:val="00372C0D"/>
    <w:rsid w:val="003907A3"/>
    <w:rsid w:val="003918F0"/>
    <w:rsid w:val="00395726"/>
    <w:rsid w:val="003979E1"/>
    <w:rsid w:val="003A1315"/>
    <w:rsid w:val="003A47B3"/>
    <w:rsid w:val="003A73EB"/>
    <w:rsid w:val="003B3099"/>
    <w:rsid w:val="003B7FEC"/>
    <w:rsid w:val="003C0B8D"/>
    <w:rsid w:val="003C7406"/>
    <w:rsid w:val="003D0340"/>
    <w:rsid w:val="003D2A15"/>
    <w:rsid w:val="003D3122"/>
    <w:rsid w:val="003E0FA3"/>
    <w:rsid w:val="003E32C0"/>
    <w:rsid w:val="003F42F8"/>
    <w:rsid w:val="00404A69"/>
    <w:rsid w:val="00410E35"/>
    <w:rsid w:val="00416BFE"/>
    <w:rsid w:val="00424D41"/>
    <w:rsid w:val="0043190D"/>
    <w:rsid w:val="0043E03B"/>
    <w:rsid w:val="00446D32"/>
    <w:rsid w:val="0046051D"/>
    <w:rsid w:val="00462D70"/>
    <w:rsid w:val="00471D14"/>
    <w:rsid w:val="00472261"/>
    <w:rsid w:val="00473535"/>
    <w:rsid w:val="004814E4"/>
    <w:rsid w:val="004822BA"/>
    <w:rsid w:val="004830BB"/>
    <w:rsid w:val="0048668F"/>
    <w:rsid w:val="00491C54"/>
    <w:rsid w:val="00495B97"/>
    <w:rsid w:val="00495F0E"/>
    <w:rsid w:val="004970AD"/>
    <w:rsid w:val="004A3899"/>
    <w:rsid w:val="004D5C6D"/>
    <w:rsid w:val="004E52BB"/>
    <w:rsid w:val="004E7E35"/>
    <w:rsid w:val="004F6A05"/>
    <w:rsid w:val="005113D2"/>
    <w:rsid w:val="00514A59"/>
    <w:rsid w:val="0052206A"/>
    <w:rsid w:val="00533654"/>
    <w:rsid w:val="005338FC"/>
    <w:rsid w:val="00537F44"/>
    <w:rsid w:val="00541C00"/>
    <w:rsid w:val="00543363"/>
    <w:rsid w:val="005453C1"/>
    <w:rsid w:val="005573CA"/>
    <w:rsid w:val="00564186"/>
    <w:rsid w:val="0058105D"/>
    <w:rsid w:val="005957EF"/>
    <w:rsid w:val="00595DD2"/>
    <w:rsid w:val="00597A43"/>
    <w:rsid w:val="005B3BF9"/>
    <w:rsid w:val="005B4118"/>
    <w:rsid w:val="005C31CF"/>
    <w:rsid w:val="005D11A2"/>
    <w:rsid w:val="005E122D"/>
    <w:rsid w:val="005E23AD"/>
    <w:rsid w:val="005E642B"/>
    <w:rsid w:val="005E7C24"/>
    <w:rsid w:val="005F2880"/>
    <w:rsid w:val="005F42F9"/>
    <w:rsid w:val="00624CED"/>
    <w:rsid w:val="00626FD2"/>
    <w:rsid w:val="006433DB"/>
    <w:rsid w:val="00674610"/>
    <w:rsid w:val="00685A47"/>
    <w:rsid w:val="00686CFC"/>
    <w:rsid w:val="006914A1"/>
    <w:rsid w:val="00691E98"/>
    <w:rsid w:val="00693816"/>
    <w:rsid w:val="00695147"/>
    <w:rsid w:val="006963C4"/>
    <w:rsid w:val="006A42AE"/>
    <w:rsid w:val="006A698E"/>
    <w:rsid w:val="006B5F56"/>
    <w:rsid w:val="006C2F1D"/>
    <w:rsid w:val="006C5D4D"/>
    <w:rsid w:val="006D23CD"/>
    <w:rsid w:val="006D256C"/>
    <w:rsid w:val="006E2736"/>
    <w:rsid w:val="006E5973"/>
    <w:rsid w:val="007021E2"/>
    <w:rsid w:val="00712AC9"/>
    <w:rsid w:val="0072266E"/>
    <w:rsid w:val="00731070"/>
    <w:rsid w:val="007330C5"/>
    <w:rsid w:val="00742CB5"/>
    <w:rsid w:val="00743C5A"/>
    <w:rsid w:val="00750DD9"/>
    <w:rsid w:val="007512F1"/>
    <w:rsid w:val="007626B8"/>
    <w:rsid w:val="00763890"/>
    <w:rsid w:val="007647ED"/>
    <w:rsid w:val="00765191"/>
    <w:rsid w:val="007658AE"/>
    <w:rsid w:val="00774969"/>
    <w:rsid w:val="00774DEE"/>
    <w:rsid w:val="00777D43"/>
    <w:rsid w:val="00785ABE"/>
    <w:rsid w:val="0078714B"/>
    <w:rsid w:val="00790487"/>
    <w:rsid w:val="007904D2"/>
    <w:rsid w:val="00794004"/>
    <w:rsid w:val="007A3751"/>
    <w:rsid w:val="007B0899"/>
    <w:rsid w:val="007B4360"/>
    <w:rsid w:val="007B4C2A"/>
    <w:rsid w:val="007B67E7"/>
    <w:rsid w:val="007C6A83"/>
    <w:rsid w:val="007D7AC9"/>
    <w:rsid w:val="007E319A"/>
    <w:rsid w:val="007E3423"/>
    <w:rsid w:val="007F28D8"/>
    <w:rsid w:val="007F47F9"/>
    <w:rsid w:val="007F486D"/>
    <w:rsid w:val="00810451"/>
    <w:rsid w:val="008112E1"/>
    <w:rsid w:val="00813C3A"/>
    <w:rsid w:val="00817EFD"/>
    <w:rsid w:val="00844F0A"/>
    <w:rsid w:val="008461B3"/>
    <w:rsid w:val="00850531"/>
    <w:rsid w:val="00874D32"/>
    <w:rsid w:val="008771D1"/>
    <w:rsid w:val="00886EC2"/>
    <w:rsid w:val="0088778A"/>
    <w:rsid w:val="008904AB"/>
    <w:rsid w:val="008A4113"/>
    <w:rsid w:val="008E41A2"/>
    <w:rsid w:val="008E58F1"/>
    <w:rsid w:val="008F4022"/>
    <w:rsid w:val="008F66D8"/>
    <w:rsid w:val="009016AF"/>
    <w:rsid w:val="00904410"/>
    <w:rsid w:val="00907F70"/>
    <w:rsid w:val="009253ED"/>
    <w:rsid w:val="009259B2"/>
    <w:rsid w:val="00933E24"/>
    <w:rsid w:val="00933ED0"/>
    <w:rsid w:val="009462DA"/>
    <w:rsid w:val="00953B67"/>
    <w:rsid w:val="0096230C"/>
    <w:rsid w:val="00964227"/>
    <w:rsid w:val="00964B3C"/>
    <w:rsid w:val="00970791"/>
    <w:rsid w:val="0097279F"/>
    <w:rsid w:val="00983008"/>
    <w:rsid w:val="00991E14"/>
    <w:rsid w:val="0099541D"/>
    <w:rsid w:val="009955CD"/>
    <w:rsid w:val="009A5810"/>
    <w:rsid w:val="009A764C"/>
    <w:rsid w:val="009B2365"/>
    <w:rsid w:val="009B3CEF"/>
    <w:rsid w:val="009C6C84"/>
    <w:rsid w:val="009D40AD"/>
    <w:rsid w:val="009D5050"/>
    <w:rsid w:val="009E1CC6"/>
    <w:rsid w:val="009E2920"/>
    <w:rsid w:val="009E5F3F"/>
    <w:rsid w:val="009EA933"/>
    <w:rsid w:val="00A0034C"/>
    <w:rsid w:val="00A007D7"/>
    <w:rsid w:val="00A02DF5"/>
    <w:rsid w:val="00A04101"/>
    <w:rsid w:val="00A13BEC"/>
    <w:rsid w:val="00A1589B"/>
    <w:rsid w:val="00A16BC3"/>
    <w:rsid w:val="00A20FFE"/>
    <w:rsid w:val="00A229B8"/>
    <w:rsid w:val="00A24EF4"/>
    <w:rsid w:val="00A24F2A"/>
    <w:rsid w:val="00A26207"/>
    <w:rsid w:val="00A36385"/>
    <w:rsid w:val="00A36F25"/>
    <w:rsid w:val="00A37B89"/>
    <w:rsid w:val="00A4113D"/>
    <w:rsid w:val="00A41287"/>
    <w:rsid w:val="00A52BC8"/>
    <w:rsid w:val="00A66EEC"/>
    <w:rsid w:val="00A67B37"/>
    <w:rsid w:val="00A80C4D"/>
    <w:rsid w:val="00A856A6"/>
    <w:rsid w:val="00A96F16"/>
    <w:rsid w:val="00AB086C"/>
    <w:rsid w:val="00AB3F18"/>
    <w:rsid w:val="00AB4890"/>
    <w:rsid w:val="00AC0334"/>
    <w:rsid w:val="00AC3B12"/>
    <w:rsid w:val="00AC50BD"/>
    <w:rsid w:val="00AD68E2"/>
    <w:rsid w:val="00B00B34"/>
    <w:rsid w:val="00B01612"/>
    <w:rsid w:val="00B03C6C"/>
    <w:rsid w:val="00B129BC"/>
    <w:rsid w:val="00B14057"/>
    <w:rsid w:val="00B1550C"/>
    <w:rsid w:val="00B16C45"/>
    <w:rsid w:val="00B17487"/>
    <w:rsid w:val="00B234C3"/>
    <w:rsid w:val="00B26F6A"/>
    <w:rsid w:val="00B31041"/>
    <w:rsid w:val="00B327F2"/>
    <w:rsid w:val="00B42D21"/>
    <w:rsid w:val="00B4F071"/>
    <w:rsid w:val="00B50E0F"/>
    <w:rsid w:val="00B5289D"/>
    <w:rsid w:val="00B7334A"/>
    <w:rsid w:val="00B76044"/>
    <w:rsid w:val="00B76DED"/>
    <w:rsid w:val="00B83EB9"/>
    <w:rsid w:val="00B90FE6"/>
    <w:rsid w:val="00B91BC1"/>
    <w:rsid w:val="00B92123"/>
    <w:rsid w:val="00B96510"/>
    <w:rsid w:val="00BA10CA"/>
    <w:rsid w:val="00BB25DF"/>
    <w:rsid w:val="00BD34B7"/>
    <w:rsid w:val="00BD3905"/>
    <w:rsid w:val="00BE4927"/>
    <w:rsid w:val="00BE5656"/>
    <w:rsid w:val="00BE5C48"/>
    <w:rsid w:val="00BF64DE"/>
    <w:rsid w:val="00C07147"/>
    <w:rsid w:val="00C11357"/>
    <w:rsid w:val="00C11E3C"/>
    <w:rsid w:val="00C12D58"/>
    <w:rsid w:val="00C14A6B"/>
    <w:rsid w:val="00C17353"/>
    <w:rsid w:val="00C2261B"/>
    <w:rsid w:val="00C259C5"/>
    <w:rsid w:val="00C435B9"/>
    <w:rsid w:val="00C5308C"/>
    <w:rsid w:val="00C57E1E"/>
    <w:rsid w:val="00C77E59"/>
    <w:rsid w:val="00C81B93"/>
    <w:rsid w:val="00C83AFC"/>
    <w:rsid w:val="00C9070B"/>
    <w:rsid w:val="00C90A64"/>
    <w:rsid w:val="00C92FEE"/>
    <w:rsid w:val="00C9357D"/>
    <w:rsid w:val="00CA07E2"/>
    <w:rsid w:val="00CA274D"/>
    <w:rsid w:val="00CC4982"/>
    <w:rsid w:val="00CC73AD"/>
    <w:rsid w:val="00CD4B8E"/>
    <w:rsid w:val="00CD61F5"/>
    <w:rsid w:val="00CD63C8"/>
    <w:rsid w:val="00CD7A21"/>
    <w:rsid w:val="00CE21CE"/>
    <w:rsid w:val="00CF3BAD"/>
    <w:rsid w:val="00CF6317"/>
    <w:rsid w:val="00CF7D96"/>
    <w:rsid w:val="00D04FDE"/>
    <w:rsid w:val="00D06047"/>
    <w:rsid w:val="00D071D4"/>
    <w:rsid w:val="00D10928"/>
    <w:rsid w:val="00D1424D"/>
    <w:rsid w:val="00D155CE"/>
    <w:rsid w:val="00D20A46"/>
    <w:rsid w:val="00D22907"/>
    <w:rsid w:val="00D26248"/>
    <w:rsid w:val="00D30D8F"/>
    <w:rsid w:val="00D33920"/>
    <w:rsid w:val="00D428D2"/>
    <w:rsid w:val="00D434A0"/>
    <w:rsid w:val="00D44CCC"/>
    <w:rsid w:val="00D538F9"/>
    <w:rsid w:val="00D670B7"/>
    <w:rsid w:val="00D95BF5"/>
    <w:rsid w:val="00D97013"/>
    <w:rsid w:val="00DA4EA8"/>
    <w:rsid w:val="00DB5131"/>
    <w:rsid w:val="00DC61B5"/>
    <w:rsid w:val="00DD21CD"/>
    <w:rsid w:val="00DD4A2B"/>
    <w:rsid w:val="00DD6988"/>
    <w:rsid w:val="00DE4F38"/>
    <w:rsid w:val="00DE5DE4"/>
    <w:rsid w:val="00E06CCD"/>
    <w:rsid w:val="00E1019A"/>
    <w:rsid w:val="00E158E8"/>
    <w:rsid w:val="00E21D3E"/>
    <w:rsid w:val="00E25398"/>
    <w:rsid w:val="00E32726"/>
    <w:rsid w:val="00E40F0E"/>
    <w:rsid w:val="00E453DD"/>
    <w:rsid w:val="00E45BCC"/>
    <w:rsid w:val="00E465CA"/>
    <w:rsid w:val="00E52A0B"/>
    <w:rsid w:val="00E54540"/>
    <w:rsid w:val="00E57C50"/>
    <w:rsid w:val="00E6203F"/>
    <w:rsid w:val="00E66FAD"/>
    <w:rsid w:val="00E71889"/>
    <w:rsid w:val="00E80E5D"/>
    <w:rsid w:val="00EA1970"/>
    <w:rsid w:val="00EA5066"/>
    <w:rsid w:val="00EB65A8"/>
    <w:rsid w:val="00EC7B85"/>
    <w:rsid w:val="00ED5CED"/>
    <w:rsid w:val="00EE4397"/>
    <w:rsid w:val="00EF2867"/>
    <w:rsid w:val="00EF5037"/>
    <w:rsid w:val="00F04982"/>
    <w:rsid w:val="00F1482D"/>
    <w:rsid w:val="00F158A6"/>
    <w:rsid w:val="00F175C0"/>
    <w:rsid w:val="00F222D7"/>
    <w:rsid w:val="00F25CA5"/>
    <w:rsid w:val="00F2645B"/>
    <w:rsid w:val="00F3151B"/>
    <w:rsid w:val="00F31EE6"/>
    <w:rsid w:val="00F46323"/>
    <w:rsid w:val="00F46B44"/>
    <w:rsid w:val="00F546A5"/>
    <w:rsid w:val="00F56118"/>
    <w:rsid w:val="00F6761B"/>
    <w:rsid w:val="00F678DB"/>
    <w:rsid w:val="00F76FF3"/>
    <w:rsid w:val="00F91376"/>
    <w:rsid w:val="00F936EF"/>
    <w:rsid w:val="00FA5E0A"/>
    <w:rsid w:val="00FB135A"/>
    <w:rsid w:val="00FB5BAC"/>
    <w:rsid w:val="00FC7349"/>
    <w:rsid w:val="00FD4AB7"/>
    <w:rsid w:val="00FE51AB"/>
    <w:rsid w:val="00FE7E42"/>
    <w:rsid w:val="011460D1"/>
    <w:rsid w:val="015FD762"/>
    <w:rsid w:val="01BFFAA2"/>
    <w:rsid w:val="01E95B6A"/>
    <w:rsid w:val="020CDD0E"/>
    <w:rsid w:val="022F3CB5"/>
    <w:rsid w:val="027D9C5A"/>
    <w:rsid w:val="0324E743"/>
    <w:rsid w:val="032EEB68"/>
    <w:rsid w:val="0352D8C1"/>
    <w:rsid w:val="0371D591"/>
    <w:rsid w:val="03853FAD"/>
    <w:rsid w:val="038B1D89"/>
    <w:rsid w:val="03995BAF"/>
    <w:rsid w:val="03CDBA40"/>
    <w:rsid w:val="0473E708"/>
    <w:rsid w:val="04EFAE6C"/>
    <w:rsid w:val="05566C65"/>
    <w:rsid w:val="0561D5A1"/>
    <w:rsid w:val="069258F3"/>
    <w:rsid w:val="06C47176"/>
    <w:rsid w:val="070A47FF"/>
    <w:rsid w:val="07181EEB"/>
    <w:rsid w:val="07EB34C5"/>
    <w:rsid w:val="085C036A"/>
    <w:rsid w:val="088C141D"/>
    <w:rsid w:val="08EB6212"/>
    <w:rsid w:val="09B0B6F0"/>
    <w:rsid w:val="0A545D28"/>
    <w:rsid w:val="0A60F170"/>
    <w:rsid w:val="0A62385A"/>
    <w:rsid w:val="0B4AE743"/>
    <w:rsid w:val="0C013C37"/>
    <w:rsid w:val="0C3D0647"/>
    <w:rsid w:val="0C84CE06"/>
    <w:rsid w:val="0E561069"/>
    <w:rsid w:val="0E61FEC7"/>
    <w:rsid w:val="0EE43EAD"/>
    <w:rsid w:val="0F6C60D9"/>
    <w:rsid w:val="0FF80FE5"/>
    <w:rsid w:val="104FA24A"/>
    <w:rsid w:val="10CBCB70"/>
    <w:rsid w:val="10FD8959"/>
    <w:rsid w:val="1134362B"/>
    <w:rsid w:val="11FF9426"/>
    <w:rsid w:val="120A5F11"/>
    <w:rsid w:val="124B6D23"/>
    <w:rsid w:val="1323AC36"/>
    <w:rsid w:val="1330FA5C"/>
    <w:rsid w:val="1372D8F4"/>
    <w:rsid w:val="138034F0"/>
    <w:rsid w:val="13829DED"/>
    <w:rsid w:val="138701B3"/>
    <w:rsid w:val="13962E89"/>
    <w:rsid w:val="139ACF17"/>
    <w:rsid w:val="14270AE9"/>
    <w:rsid w:val="15186925"/>
    <w:rsid w:val="1556F868"/>
    <w:rsid w:val="158C7BBD"/>
    <w:rsid w:val="16181B88"/>
    <w:rsid w:val="1630501E"/>
    <w:rsid w:val="1665E389"/>
    <w:rsid w:val="16F4175D"/>
    <w:rsid w:val="17133E80"/>
    <w:rsid w:val="18C9F94D"/>
    <w:rsid w:val="19F098A4"/>
    <w:rsid w:val="1A3FEF50"/>
    <w:rsid w:val="1A46582C"/>
    <w:rsid w:val="1A489774"/>
    <w:rsid w:val="1A61A5E3"/>
    <w:rsid w:val="1BD35426"/>
    <w:rsid w:val="1C4E46F9"/>
    <w:rsid w:val="1CA639A9"/>
    <w:rsid w:val="1D300078"/>
    <w:rsid w:val="1D8B56FC"/>
    <w:rsid w:val="1D933D8C"/>
    <w:rsid w:val="1DB06B27"/>
    <w:rsid w:val="1E966E58"/>
    <w:rsid w:val="1E9C3F95"/>
    <w:rsid w:val="1F364C4B"/>
    <w:rsid w:val="1F6233B2"/>
    <w:rsid w:val="1F862658"/>
    <w:rsid w:val="1FC285B8"/>
    <w:rsid w:val="2084B3FB"/>
    <w:rsid w:val="20C0C6C3"/>
    <w:rsid w:val="20E179FF"/>
    <w:rsid w:val="20F7C9C9"/>
    <w:rsid w:val="21570D3F"/>
    <w:rsid w:val="215C4574"/>
    <w:rsid w:val="21F85137"/>
    <w:rsid w:val="21FAF211"/>
    <w:rsid w:val="221398AA"/>
    <w:rsid w:val="224A06A4"/>
    <w:rsid w:val="2316A3FC"/>
    <w:rsid w:val="233AC2E7"/>
    <w:rsid w:val="23C6DF23"/>
    <w:rsid w:val="23DDE49B"/>
    <w:rsid w:val="240F8D2A"/>
    <w:rsid w:val="243432B1"/>
    <w:rsid w:val="2437645F"/>
    <w:rsid w:val="2455FD2F"/>
    <w:rsid w:val="2481DB66"/>
    <w:rsid w:val="24954774"/>
    <w:rsid w:val="24DCF766"/>
    <w:rsid w:val="24DFB802"/>
    <w:rsid w:val="24F48211"/>
    <w:rsid w:val="2525DD2E"/>
    <w:rsid w:val="2554F0B8"/>
    <w:rsid w:val="2562D963"/>
    <w:rsid w:val="258C7164"/>
    <w:rsid w:val="25CD6EE9"/>
    <w:rsid w:val="25D97767"/>
    <w:rsid w:val="25FAEFA4"/>
    <w:rsid w:val="2664157A"/>
    <w:rsid w:val="27121FCC"/>
    <w:rsid w:val="27BFC575"/>
    <w:rsid w:val="27EEDC36"/>
    <w:rsid w:val="2820F2D0"/>
    <w:rsid w:val="2847BFD4"/>
    <w:rsid w:val="28816E3C"/>
    <w:rsid w:val="289F2D00"/>
    <w:rsid w:val="292EB998"/>
    <w:rsid w:val="29334853"/>
    <w:rsid w:val="29CEE7AC"/>
    <w:rsid w:val="29D788AA"/>
    <w:rsid w:val="2A38810B"/>
    <w:rsid w:val="2A5C5F99"/>
    <w:rsid w:val="2A84C9CC"/>
    <w:rsid w:val="2AE67373"/>
    <w:rsid w:val="2AF2E6B9"/>
    <w:rsid w:val="2AF6C36B"/>
    <w:rsid w:val="2B816A2D"/>
    <w:rsid w:val="2B97F60B"/>
    <w:rsid w:val="2B9A976A"/>
    <w:rsid w:val="2BE1BE4B"/>
    <w:rsid w:val="2C2DB4BB"/>
    <w:rsid w:val="2C44042E"/>
    <w:rsid w:val="2C8F590A"/>
    <w:rsid w:val="2D300041"/>
    <w:rsid w:val="2E32C72E"/>
    <w:rsid w:val="2E6CED2E"/>
    <w:rsid w:val="2E740C87"/>
    <w:rsid w:val="2E8378A8"/>
    <w:rsid w:val="2EC1A4E6"/>
    <w:rsid w:val="2FAA2AD7"/>
    <w:rsid w:val="2FAC40B6"/>
    <w:rsid w:val="2FFBFB90"/>
    <w:rsid w:val="3046139E"/>
    <w:rsid w:val="3178A272"/>
    <w:rsid w:val="318D76C7"/>
    <w:rsid w:val="32791FBF"/>
    <w:rsid w:val="32D135DD"/>
    <w:rsid w:val="33326143"/>
    <w:rsid w:val="3341B279"/>
    <w:rsid w:val="33F5214E"/>
    <w:rsid w:val="34432DA3"/>
    <w:rsid w:val="346C1570"/>
    <w:rsid w:val="35314D75"/>
    <w:rsid w:val="35353693"/>
    <w:rsid w:val="359D0CC6"/>
    <w:rsid w:val="35AECC1B"/>
    <w:rsid w:val="35B7180E"/>
    <w:rsid w:val="366F9275"/>
    <w:rsid w:val="36B42622"/>
    <w:rsid w:val="370D6632"/>
    <w:rsid w:val="37895D57"/>
    <w:rsid w:val="3799BCD7"/>
    <w:rsid w:val="37BB81A3"/>
    <w:rsid w:val="38154816"/>
    <w:rsid w:val="386FAD3B"/>
    <w:rsid w:val="3941F62A"/>
    <w:rsid w:val="39975917"/>
    <w:rsid w:val="39F9EDD2"/>
    <w:rsid w:val="3A5DE8EB"/>
    <w:rsid w:val="3AB2F6A3"/>
    <w:rsid w:val="3AB9B196"/>
    <w:rsid w:val="3AE13594"/>
    <w:rsid w:val="3B0160AC"/>
    <w:rsid w:val="3B45E107"/>
    <w:rsid w:val="3B485992"/>
    <w:rsid w:val="3B878DDC"/>
    <w:rsid w:val="3C03C051"/>
    <w:rsid w:val="3C2C591C"/>
    <w:rsid w:val="3C7EE990"/>
    <w:rsid w:val="3CC5F2CC"/>
    <w:rsid w:val="3CD9BA00"/>
    <w:rsid w:val="3D1921E0"/>
    <w:rsid w:val="3D1A00DC"/>
    <w:rsid w:val="3D550539"/>
    <w:rsid w:val="3D6D34A5"/>
    <w:rsid w:val="3FB28AD7"/>
    <w:rsid w:val="3FBAC476"/>
    <w:rsid w:val="405A66A6"/>
    <w:rsid w:val="40A3FFAA"/>
    <w:rsid w:val="40B534F7"/>
    <w:rsid w:val="40C57C2E"/>
    <w:rsid w:val="41457988"/>
    <w:rsid w:val="42289EEA"/>
    <w:rsid w:val="42C3A87E"/>
    <w:rsid w:val="42F5EC2B"/>
    <w:rsid w:val="4362652D"/>
    <w:rsid w:val="446172C3"/>
    <w:rsid w:val="44619E9C"/>
    <w:rsid w:val="450A1360"/>
    <w:rsid w:val="453656DC"/>
    <w:rsid w:val="45BBDA28"/>
    <w:rsid w:val="4663BD48"/>
    <w:rsid w:val="4672E13D"/>
    <w:rsid w:val="46C4D97D"/>
    <w:rsid w:val="46E8D4FA"/>
    <w:rsid w:val="476581ED"/>
    <w:rsid w:val="476988A8"/>
    <w:rsid w:val="47831A29"/>
    <w:rsid w:val="478725B1"/>
    <w:rsid w:val="479EFCD2"/>
    <w:rsid w:val="47E0FE80"/>
    <w:rsid w:val="48596C10"/>
    <w:rsid w:val="486636D4"/>
    <w:rsid w:val="48837E45"/>
    <w:rsid w:val="490AED09"/>
    <w:rsid w:val="4976067E"/>
    <w:rsid w:val="4ACE1A6A"/>
    <w:rsid w:val="4CFA0E95"/>
    <w:rsid w:val="4D332357"/>
    <w:rsid w:val="4D793B5B"/>
    <w:rsid w:val="4DC0D349"/>
    <w:rsid w:val="4DDEB850"/>
    <w:rsid w:val="4E564CAA"/>
    <w:rsid w:val="4E7254BD"/>
    <w:rsid w:val="4EC158E9"/>
    <w:rsid w:val="50394C2F"/>
    <w:rsid w:val="507D2009"/>
    <w:rsid w:val="50E4816D"/>
    <w:rsid w:val="5136643B"/>
    <w:rsid w:val="521B85A7"/>
    <w:rsid w:val="5232398D"/>
    <w:rsid w:val="5406BAE9"/>
    <w:rsid w:val="5417031D"/>
    <w:rsid w:val="5452D03D"/>
    <w:rsid w:val="54622F4D"/>
    <w:rsid w:val="546BFB79"/>
    <w:rsid w:val="548E5FE1"/>
    <w:rsid w:val="54F66E13"/>
    <w:rsid w:val="5500FA68"/>
    <w:rsid w:val="552500DE"/>
    <w:rsid w:val="55D3E814"/>
    <w:rsid w:val="55D7193D"/>
    <w:rsid w:val="55E0C466"/>
    <w:rsid w:val="56173844"/>
    <w:rsid w:val="5720B004"/>
    <w:rsid w:val="5805F186"/>
    <w:rsid w:val="5818F917"/>
    <w:rsid w:val="58301D5D"/>
    <w:rsid w:val="5AA665E8"/>
    <w:rsid w:val="5AAE3311"/>
    <w:rsid w:val="5B3FD1E0"/>
    <w:rsid w:val="5BBE6912"/>
    <w:rsid w:val="5C7962A2"/>
    <w:rsid w:val="5C987579"/>
    <w:rsid w:val="5CFA62F5"/>
    <w:rsid w:val="5D3D255E"/>
    <w:rsid w:val="5D97EE9E"/>
    <w:rsid w:val="5E34DD87"/>
    <w:rsid w:val="5F0FE139"/>
    <w:rsid w:val="5FBC4CE8"/>
    <w:rsid w:val="60BD17D0"/>
    <w:rsid w:val="60F210F8"/>
    <w:rsid w:val="612B6C28"/>
    <w:rsid w:val="6174D1A4"/>
    <w:rsid w:val="6175E934"/>
    <w:rsid w:val="61A81C0E"/>
    <w:rsid w:val="623BC0FC"/>
    <w:rsid w:val="627490E9"/>
    <w:rsid w:val="64A09141"/>
    <w:rsid w:val="64B7C979"/>
    <w:rsid w:val="653DE3CA"/>
    <w:rsid w:val="67003F07"/>
    <w:rsid w:val="6771CDC4"/>
    <w:rsid w:val="677520E9"/>
    <w:rsid w:val="678C983A"/>
    <w:rsid w:val="68A35A9C"/>
    <w:rsid w:val="68E29CAB"/>
    <w:rsid w:val="692E401E"/>
    <w:rsid w:val="693D0A7C"/>
    <w:rsid w:val="698826BD"/>
    <w:rsid w:val="69E91741"/>
    <w:rsid w:val="6A531B4F"/>
    <w:rsid w:val="6A842BC4"/>
    <w:rsid w:val="6AC4489A"/>
    <w:rsid w:val="6AD49DB8"/>
    <w:rsid w:val="6B09DEEC"/>
    <w:rsid w:val="6B8F625C"/>
    <w:rsid w:val="6B9C6275"/>
    <w:rsid w:val="6BD30590"/>
    <w:rsid w:val="6C032291"/>
    <w:rsid w:val="6C1EBEE1"/>
    <w:rsid w:val="6D488243"/>
    <w:rsid w:val="6D805CF6"/>
    <w:rsid w:val="6ED36D0D"/>
    <w:rsid w:val="6EE7A27E"/>
    <w:rsid w:val="6F20DCDB"/>
    <w:rsid w:val="6F3B0855"/>
    <w:rsid w:val="6F75B0A5"/>
    <w:rsid w:val="6F8ABFE6"/>
    <w:rsid w:val="6FB27A76"/>
    <w:rsid w:val="706720F3"/>
    <w:rsid w:val="70736A99"/>
    <w:rsid w:val="7291F394"/>
    <w:rsid w:val="731E6EFD"/>
    <w:rsid w:val="73522F1A"/>
    <w:rsid w:val="73D4A064"/>
    <w:rsid w:val="73D65623"/>
    <w:rsid w:val="73E1D01D"/>
    <w:rsid w:val="743A526E"/>
    <w:rsid w:val="74A580B5"/>
    <w:rsid w:val="74E811CB"/>
    <w:rsid w:val="7527FB8C"/>
    <w:rsid w:val="75851299"/>
    <w:rsid w:val="75D63406"/>
    <w:rsid w:val="760DB03B"/>
    <w:rsid w:val="765C9FF4"/>
    <w:rsid w:val="76D1D669"/>
    <w:rsid w:val="77297AD0"/>
    <w:rsid w:val="77AE5D94"/>
    <w:rsid w:val="77AF6567"/>
    <w:rsid w:val="7801F4D6"/>
    <w:rsid w:val="78E67B27"/>
    <w:rsid w:val="78F98942"/>
    <w:rsid w:val="7931B3DF"/>
    <w:rsid w:val="79AAF2EC"/>
    <w:rsid w:val="79B3A137"/>
    <w:rsid w:val="79E2AF8E"/>
    <w:rsid w:val="7A268ED9"/>
    <w:rsid w:val="7A94D9D6"/>
    <w:rsid w:val="7A94DA9F"/>
    <w:rsid w:val="7B26350C"/>
    <w:rsid w:val="7B6BDF8F"/>
    <w:rsid w:val="7B788797"/>
    <w:rsid w:val="7D7179EF"/>
    <w:rsid w:val="7D8EF336"/>
    <w:rsid w:val="7EFF450A"/>
    <w:rsid w:val="7F9F20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E13E8"/>
  <w15:docId w15:val="{B1BA3741-02F5-4C12-AD60-D1183BA8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7C24"/>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5E7C24"/>
    <w:pPr>
      <w:ind w:left="580"/>
      <w:outlineLvl w:val="0"/>
    </w:pPr>
    <w:rPr>
      <w:b/>
      <w:bCs/>
      <w:sz w:val="24"/>
      <w:szCs w:val="24"/>
      <w:u w:val="single" w:color="000000"/>
    </w:rPr>
  </w:style>
  <w:style w:type="paragraph" w:styleId="Heading6">
    <w:name w:val="heading 6"/>
    <w:basedOn w:val="Normal"/>
    <w:next w:val="Normal"/>
    <w:link w:val="Heading6Char"/>
    <w:uiPriority w:val="9"/>
    <w:semiHidden/>
    <w:unhideWhenUsed/>
    <w:qFormat/>
    <w:rsid w:val="007021E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7C24"/>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5E7C24"/>
  </w:style>
  <w:style w:type="character" w:customStyle="1" w:styleId="BodyTextChar">
    <w:name w:val="Body Text Char"/>
    <w:basedOn w:val="DefaultParagraphFont"/>
    <w:link w:val="BodyText"/>
    <w:uiPriority w:val="1"/>
    <w:rsid w:val="005E7C24"/>
    <w:rPr>
      <w:rFonts w:ascii="Calibri" w:eastAsia="Calibri" w:hAnsi="Calibri" w:cs="Calibri"/>
      <w:lang w:bidi="en-US"/>
    </w:rPr>
  </w:style>
  <w:style w:type="paragraph" w:styleId="ListParagraph">
    <w:name w:val="List Paragraph"/>
    <w:basedOn w:val="Normal"/>
    <w:uiPriority w:val="34"/>
    <w:qFormat/>
    <w:rsid w:val="005E7C24"/>
    <w:pPr>
      <w:ind w:left="1300" w:hanging="360"/>
    </w:pPr>
  </w:style>
  <w:style w:type="paragraph" w:styleId="FootnoteText">
    <w:name w:val="footnote text"/>
    <w:basedOn w:val="Normal"/>
    <w:link w:val="FootnoteTextChar"/>
    <w:uiPriority w:val="99"/>
    <w:semiHidden/>
    <w:unhideWhenUsed/>
    <w:rsid w:val="005E7C24"/>
    <w:rPr>
      <w:sz w:val="20"/>
      <w:szCs w:val="20"/>
    </w:rPr>
  </w:style>
  <w:style w:type="character" w:customStyle="1" w:styleId="FootnoteTextChar">
    <w:name w:val="Footnote Text Char"/>
    <w:basedOn w:val="DefaultParagraphFont"/>
    <w:link w:val="FootnoteText"/>
    <w:uiPriority w:val="99"/>
    <w:semiHidden/>
    <w:rsid w:val="005E7C24"/>
    <w:rPr>
      <w:rFonts w:ascii="Calibri" w:eastAsia="Calibri" w:hAnsi="Calibri" w:cs="Calibri"/>
      <w:sz w:val="20"/>
      <w:szCs w:val="20"/>
      <w:lang w:bidi="en-US"/>
    </w:rPr>
  </w:style>
  <w:style w:type="character" w:styleId="FootnoteReference">
    <w:name w:val="footnote reference"/>
    <w:basedOn w:val="DefaultParagraphFont"/>
    <w:uiPriority w:val="99"/>
    <w:unhideWhenUsed/>
    <w:rsid w:val="005E7C24"/>
    <w:rPr>
      <w:vertAlign w:val="superscript"/>
    </w:rPr>
  </w:style>
  <w:style w:type="character" w:styleId="CommentReference">
    <w:name w:val="annotation reference"/>
    <w:rsid w:val="00970791"/>
    <w:rPr>
      <w:sz w:val="16"/>
      <w:szCs w:val="16"/>
    </w:rPr>
  </w:style>
  <w:style w:type="paragraph" w:styleId="CommentText">
    <w:name w:val="annotation text"/>
    <w:basedOn w:val="Normal"/>
    <w:link w:val="CommentTextChar"/>
    <w:rsid w:val="00970791"/>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rsid w:val="009707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29BC"/>
    <w:rPr>
      <w:rFonts w:ascii="Tahoma" w:hAnsi="Tahoma" w:cs="Tahoma"/>
      <w:sz w:val="16"/>
      <w:szCs w:val="16"/>
    </w:rPr>
  </w:style>
  <w:style w:type="character" w:customStyle="1" w:styleId="BalloonTextChar">
    <w:name w:val="Balloon Text Char"/>
    <w:basedOn w:val="DefaultParagraphFont"/>
    <w:link w:val="BalloonText"/>
    <w:uiPriority w:val="99"/>
    <w:semiHidden/>
    <w:rsid w:val="00B129BC"/>
    <w:rPr>
      <w:rFonts w:ascii="Tahoma" w:eastAsia="Calibri"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B129BC"/>
    <w:pPr>
      <w:widowControl w:val="0"/>
      <w:autoSpaceDE w:val="0"/>
      <w:autoSpaceDN w:val="0"/>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B129BC"/>
    <w:rPr>
      <w:rFonts w:ascii="Calibri" w:eastAsia="Calibri" w:hAnsi="Calibri" w:cs="Calibri"/>
      <w:b/>
      <w:bCs/>
      <w:sz w:val="20"/>
      <w:szCs w:val="20"/>
      <w:lang w:bidi="en-US"/>
    </w:rPr>
  </w:style>
  <w:style w:type="character" w:styleId="Hyperlink">
    <w:name w:val="Hyperlink"/>
    <w:basedOn w:val="DefaultParagraphFont"/>
    <w:uiPriority w:val="99"/>
    <w:unhideWhenUsed/>
    <w:rsid w:val="001B75E4"/>
    <w:rPr>
      <w:color w:val="0563C1" w:themeColor="hyperlink"/>
      <w:u w:val="single"/>
    </w:rPr>
  </w:style>
  <w:style w:type="character" w:customStyle="1" w:styleId="UnresolvedMention1">
    <w:name w:val="Unresolved Mention1"/>
    <w:basedOn w:val="DefaultParagraphFont"/>
    <w:uiPriority w:val="99"/>
    <w:semiHidden/>
    <w:unhideWhenUsed/>
    <w:rsid w:val="001B75E4"/>
    <w:rPr>
      <w:color w:val="605E5C"/>
      <w:shd w:val="clear" w:color="auto" w:fill="E1DFDD"/>
    </w:rPr>
  </w:style>
  <w:style w:type="character" w:customStyle="1" w:styleId="Heading6Char">
    <w:name w:val="Heading 6 Char"/>
    <w:basedOn w:val="DefaultParagraphFont"/>
    <w:link w:val="Heading6"/>
    <w:uiPriority w:val="9"/>
    <w:semiHidden/>
    <w:rsid w:val="007021E2"/>
    <w:rPr>
      <w:rFonts w:asciiTheme="majorHAnsi" w:eastAsiaTheme="majorEastAsia" w:hAnsiTheme="majorHAnsi" w:cstheme="majorBidi"/>
      <w:color w:val="1F3763" w:themeColor="accent1" w:themeShade="7F"/>
      <w:lang w:bidi="en-US"/>
    </w:rPr>
  </w:style>
  <w:style w:type="character" w:styleId="UnresolvedMention">
    <w:name w:val="Unresolved Mention"/>
    <w:basedOn w:val="DefaultParagraphFont"/>
    <w:uiPriority w:val="99"/>
    <w:semiHidden/>
    <w:unhideWhenUsed/>
    <w:rsid w:val="00691E98"/>
    <w:rPr>
      <w:color w:val="605E5C"/>
      <w:shd w:val="clear" w:color="auto" w:fill="E1DFDD"/>
    </w:rPr>
  </w:style>
  <w:style w:type="paragraph" w:styleId="EndnoteText">
    <w:name w:val="endnote text"/>
    <w:basedOn w:val="Normal"/>
    <w:link w:val="EndnoteTextChar"/>
    <w:uiPriority w:val="99"/>
    <w:semiHidden/>
    <w:unhideWhenUsed/>
    <w:rsid w:val="00691E98"/>
    <w:rPr>
      <w:sz w:val="20"/>
      <w:szCs w:val="20"/>
    </w:rPr>
  </w:style>
  <w:style w:type="character" w:customStyle="1" w:styleId="EndnoteTextChar">
    <w:name w:val="Endnote Text Char"/>
    <w:basedOn w:val="DefaultParagraphFont"/>
    <w:link w:val="EndnoteText"/>
    <w:uiPriority w:val="99"/>
    <w:semiHidden/>
    <w:rsid w:val="00691E98"/>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691E98"/>
    <w:rPr>
      <w:vertAlign w:val="superscript"/>
    </w:rPr>
  </w:style>
  <w:style w:type="paragraph" w:styleId="Header">
    <w:name w:val="header"/>
    <w:basedOn w:val="Normal"/>
    <w:link w:val="HeaderChar"/>
    <w:uiPriority w:val="99"/>
    <w:unhideWhenUsed/>
    <w:rsid w:val="00F25CA5"/>
    <w:pPr>
      <w:tabs>
        <w:tab w:val="center" w:pos="4680"/>
        <w:tab w:val="right" w:pos="9360"/>
      </w:tabs>
    </w:pPr>
  </w:style>
  <w:style w:type="character" w:customStyle="1" w:styleId="HeaderChar">
    <w:name w:val="Header Char"/>
    <w:basedOn w:val="DefaultParagraphFont"/>
    <w:link w:val="Header"/>
    <w:uiPriority w:val="99"/>
    <w:rsid w:val="00F25CA5"/>
    <w:rPr>
      <w:rFonts w:ascii="Calibri" w:eastAsia="Calibri" w:hAnsi="Calibri" w:cs="Calibri"/>
      <w:lang w:bidi="en-US"/>
    </w:rPr>
  </w:style>
  <w:style w:type="paragraph" w:styleId="Footer">
    <w:name w:val="footer"/>
    <w:basedOn w:val="Normal"/>
    <w:link w:val="FooterChar"/>
    <w:uiPriority w:val="99"/>
    <w:unhideWhenUsed/>
    <w:rsid w:val="00F25CA5"/>
    <w:pPr>
      <w:tabs>
        <w:tab w:val="center" w:pos="4680"/>
        <w:tab w:val="right" w:pos="9360"/>
      </w:tabs>
    </w:pPr>
  </w:style>
  <w:style w:type="character" w:customStyle="1" w:styleId="FooterChar">
    <w:name w:val="Footer Char"/>
    <w:basedOn w:val="DefaultParagraphFont"/>
    <w:link w:val="Footer"/>
    <w:uiPriority w:val="99"/>
    <w:rsid w:val="00F25CA5"/>
    <w:rPr>
      <w:rFonts w:ascii="Calibri" w:eastAsia="Calibri" w:hAnsi="Calibri" w:cs="Calibri"/>
      <w:lang w:bidi="en-US"/>
    </w:rPr>
  </w:style>
  <w:style w:type="paragraph" w:styleId="Subtitle">
    <w:name w:val="Subtitle"/>
    <w:basedOn w:val="Normal"/>
    <w:next w:val="Normal"/>
    <w:link w:val="SubtitleChar"/>
    <w:uiPriority w:val="11"/>
    <w:qFormat/>
    <w:rsid w:val="0056418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64186"/>
    <w:rPr>
      <w:rFonts w:eastAsiaTheme="minorEastAsia"/>
      <w:color w:val="5A5A5A" w:themeColor="text1" w:themeTint="A5"/>
      <w:spacing w:val="15"/>
      <w:lang w:bidi="en-US"/>
    </w:rPr>
  </w:style>
  <w:style w:type="paragraph" w:styleId="Revision">
    <w:name w:val="Revision"/>
    <w:hidden/>
    <w:uiPriority w:val="99"/>
    <w:semiHidden/>
    <w:rsid w:val="00006FDD"/>
    <w:pPr>
      <w:spacing w:after="0" w:line="240" w:lineRule="auto"/>
    </w:pPr>
    <w:rPr>
      <w:rFonts w:ascii="Calibri" w:eastAsia="Calibri" w:hAnsi="Calibri" w:cs="Calibri"/>
      <w:lang w:bidi="en-US"/>
    </w:rPr>
  </w:style>
  <w:style w:type="character" w:styleId="FollowedHyperlink">
    <w:name w:val="FollowedHyperlink"/>
    <w:basedOn w:val="DefaultParagraphFont"/>
    <w:uiPriority w:val="99"/>
    <w:semiHidden/>
    <w:unhideWhenUsed/>
    <w:rsid w:val="00CD7A21"/>
    <w:rPr>
      <w:color w:val="954F72" w:themeColor="followedHyperlink"/>
      <w:u w:val="single"/>
    </w:rPr>
  </w:style>
  <w:style w:type="table" w:styleId="TableGrid">
    <w:name w:val="Table Grid"/>
    <w:basedOn w:val="TableNormal"/>
    <w:uiPriority w:val="39"/>
    <w:rsid w:val="00946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uiPriority w:val="39"/>
    <w:rsid w:val="00B16C45"/>
    <w:pPr>
      <w:spacing w:after="0" w:line="240" w:lineRule="auto"/>
    </w:pPr>
    <w:rPr>
      <w:rFonts w:cs="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3141">
      <w:bodyDiv w:val="1"/>
      <w:marLeft w:val="0"/>
      <w:marRight w:val="0"/>
      <w:marTop w:val="0"/>
      <w:marBottom w:val="0"/>
      <w:divBdr>
        <w:top w:val="none" w:sz="0" w:space="0" w:color="auto"/>
        <w:left w:val="none" w:sz="0" w:space="0" w:color="auto"/>
        <w:bottom w:val="none" w:sz="0" w:space="0" w:color="auto"/>
        <w:right w:val="none" w:sz="0" w:space="0" w:color="auto"/>
      </w:divBdr>
    </w:div>
    <w:div w:id="188497993">
      <w:bodyDiv w:val="1"/>
      <w:marLeft w:val="0"/>
      <w:marRight w:val="0"/>
      <w:marTop w:val="0"/>
      <w:marBottom w:val="0"/>
      <w:divBdr>
        <w:top w:val="none" w:sz="0" w:space="0" w:color="auto"/>
        <w:left w:val="none" w:sz="0" w:space="0" w:color="auto"/>
        <w:bottom w:val="none" w:sz="0" w:space="0" w:color="auto"/>
        <w:right w:val="none" w:sz="0" w:space="0" w:color="auto"/>
      </w:divBdr>
    </w:div>
    <w:div w:id="362900540">
      <w:bodyDiv w:val="1"/>
      <w:marLeft w:val="0"/>
      <w:marRight w:val="0"/>
      <w:marTop w:val="0"/>
      <w:marBottom w:val="0"/>
      <w:divBdr>
        <w:top w:val="none" w:sz="0" w:space="0" w:color="auto"/>
        <w:left w:val="none" w:sz="0" w:space="0" w:color="auto"/>
        <w:bottom w:val="none" w:sz="0" w:space="0" w:color="auto"/>
        <w:right w:val="none" w:sz="0" w:space="0" w:color="auto"/>
      </w:divBdr>
    </w:div>
    <w:div w:id="405878920">
      <w:bodyDiv w:val="1"/>
      <w:marLeft w:val="0"/>
      <w:marRight w:val="0"/>
      <w:marTop w:val="0"/>
      <w:marBottom w:val="0"/>
      <w:divBdr>
        <w:top w:val="none" w:sz="0" w:space="0" w:color="auto"/>
        <w:left w:val="none" w:sz="0" w:space="0" w:color="auto"/>
        <w:bottom w:val="none" w:sz="0" w:space="0" w:color="auto"/>
        <w:right w:val="none" w:sz="0" w:space="0" w:color="auto"/>
      </w:divBdr>
    </w:div>
    <w:div w:id="612782137">
      <w:bodyDiv w:val="1"/>
      <w:marLeft w:val="0"/>
      <w:marRight w:val="0"/>
      <w:marTop w:val="0"/>
      <w:marBottom w:val="0"/>
      <w:divBdr>
        <w:top w:val="none" w:sz="0" w:space="0" w:color="auto"/>
        <w:left w:val="none" w:sz="0" w:space="0" w:color="auto"/>
        <w:bottom w:val="none" w:sz="0" w:space="0" w:color="auto"/>
        <w:right w:val="none" w:sz="0" w:space="0" w:color="auto"/>
      </w:divBdr>
    </w:div>
    <w:div w:id="728110426">
      <w:bodyDiv w:val="1"/>
      <w:marLeft w:val="0"/>
      <w:marRight w:val="0"/>
      <w:marTop w:val="0"/>
      <w:marBottom w:val="0"/>
      <w:divBdr>
        <w:top w:val="none" w:sz="0" w:space="0" w:color="auto"/>
        <w:left w:val="none" w:sz="0" w:space="0" w:color="auto"/>
        <w:bottom w:val="none" w:sz="0" w:space="0" w:color="auto"/>
        <w:right w:val="none" w:sz="0" w:space="0" w:color="auto"/>
      </w:divBdr>
    </w:div>
    <w:div w:id="904874746">
      <w:bodyDiv w:val="1"/>
      <w:marLeft w:val="0"/>
      <w:marRight w:val="0"/>
      <w:marTop w:val="0"/>
      <w:marBottom w:val="0"/>
      <w:divBdr>
        <w:top w:val="none" w:sz="0" w:space="0" w:color="auto"/>
        <w:left w:val="none" w:sz="0" w:space="0" w:color="auto"/>
        <w:bottom w:val="none" w:sz="0" w:space="0" w:color="auto"/>
        <w:right w:val="none" w:sz="0" w:space="0" w:color="auto"/>
      </w:divBdr>
    </w:div>
    <w:div w:id="1057362311">
      <w:bodyDiv w:val="1"/>
      <w:marLeft w:val="0"/>
      <w:marRight w:val="0"/>
      <w:marTop w:val="0"/>
      <w:marBottom w:val="0"/>
      <w:divBdr>
        <w:top w:val="none" w:sz="0" w:space="0" w:color="auto"/>
        <w:left w:val="none" w:sz="0" w:space="0" w:color="auto"/>
        <w:bottom w:val="none" w:sz="0" w:space="0" w:color="auto"/>
        <w:right w:val="none" w:sz="0" w:space="0" w:color="auto"/>
      </w:divBdr>
    </w:div>
    <w:div w:id="1063601596">
      <w:bodyDiv w:val="1"/>
      <w:marLeft w:val="0"/>
      <w:marRight w:val="0"/>
      <w:marTop w:val="0"/>
      <w:marBottom w:val="0"/>
      <w:divBdr>
        <w:top w:val="none" w:sz="0" w:space="0" w:color="auto"/>
        <w:left w:val="none" w:sz="0" w:space="0" w:color="auto"/>
        <w:bottom w:val="none" w:sz="0" w:space="0" w:color="auto"/>
        <w:right w:val="none" w:sz="0" w:space="0" w:color="auto"/>
      </w:divBdr>
    </w:div>
    <w:div w:id="1094741604">
      <w:bodyDiv w:val="1"/>
      <w:marLeft w:val="0"/>
      <w:marRight w:val="0"/>
      <w:marTop w:val="0"/>
      <w:marBottom w:val="0"/>
      <w:divBdr>
        <w:top w:val="none" w:sz="0" w:space="0" w:color="auto"/>
        <w:left w:val="none" w:sz="0" w:space="0" w:color="auto"/>
        <w:bottom w:val="none" w:sz="0" w:space="0" w:color="auto"/>
        <w:right w:val="none" w:sz="0" w:space="0" w:color="auto"/>
      </w:divBdr>
    </w:div>
    <w:div w:id="1284851395">
      <w:bodyDiv w:val="1"/>
      <w:marLeft w:val="0"/>
      <w:marRight w:val="0"/>
      <w:marTop w:val="0"/>
      <w:marBottom w:val="0"/>
      <w:divBdr>
        <w:top w:val="none" w:sz="0" w:space="0" w:color="auto"/>
        <w:left w:val="none" w:sz="0" w:space="0" w:color="auto"/>
        <w:bottom w:val="none" w:sz="0" w:space="0" w:color="auto"/>
        <w:right w:val="none" w:sz="0" w:space="0" w:color="auto"/>
      </w:divBdr>
    </w:div>
    <w:div w:id="1295331810">
      <w:bodyDiv w:val="1"/>
      <w:marLeft w:val="0"/>
      <w:marRight w:val="0"/>
      <w:marTop w:val="0"/>
      <w:marBottom w:val="0"/>
      <w:divBdr>
        <w:top w:val="none" w:sz="0" w:space="0" w:color="auto"/>
        <w:left w:val="none" w:sz="0" w:space="0" w:color="auto"/>
        <w:bottom w:val="none" w:sz="0" w:space="0" w:color="auto"/>
        <w:right w:val="none" w:sz="0" w:space="0" w:color="auto"/>
      </w:divBdr>
    </w:div>
    <w:div w:id="1441532157">
      <w:bodyDiv w:val="1"/>
      <w:marLeft w:val="0"/>
      <w:marRight w:val="0"/>
      <w:marTop w:val="0"/>
      <w:marBottom w:val="0"/>
      <w:divBdr>
        <w:top w:val="none" w:sz="0" w:space="0" w:color="auto"/>
        <w:left w:val="none" w:sz="0" w:space="0" w:color="auto"/>
        <w:bottom w:val="none" w:sz="0" w:space="0" w:color="auto"/>
        <w:right w:val="none" w:sz="0" w:space="0" w:color="auto"/>
      </w:divBdr>
    </w:div>
    <w:div w:id="1642222679">
      <w:bodyDiv w:val="1"/>
      <w:marLeft w:val="0"/>
      <w:marRight w:val="0"/>
      <w:marTop w:val="0"/>
      <w:marBottom w:val="0"/>
      <w:divBdr>
        <w:top w:val="none" w:sz="0" w:space="0" w:color="auto"/>
        <w:left w:val="none" w:sz="0" w:space="0" w:color="auto"/>
        <w:bottom w:val="none" w:sz="0" w:space="0" w:color="auto"/>
        <w:right w:val="none" w:sz="0" w:space="0" w:color="auto"/>
      </w:divBdr>
    </w:div>
    <w:div w:id="1745377433">
      <w:bodyDiv w:val="1"/>
      <w:marLeft w:val="0"/>
      <w:marRight w:val="0"/>
      <w:marTop w:val="0"/>
      <w:marBottom w:val="0"/>
      <w:divBdr>
        <w:top w:val="none" w:sz="0" w:space="0" w:color="auto"/>
        <w:left w:val="none" w:sz="0" w:space="0" w:color="auto"/>
        <w:bottom w:val="none" w:sz="0" w:space="0" w:color="auto"/>
        <w:right w:val="none" w:sz="0" w:space="0" w:color="auto"/>
      </w:divBdr>
    </w:div>
    <w:div w:id="1803035448">
      <w:bodyDiv w:val="1"/>
      <w:marLeft w:val="0"/>
      <w:marRight w:val="0"/>
      <w:marTop w:val="0"/>
      <w:marBottom w:val="0"/>
      <w:divBdr>
        <w:top w:val="none" w:sz="0" w:space="0" w:color="auto"/>
        <w:left w:val="none" w:sz="0" w:space="0" w:color="auto"/>
        <w:bottom w:val="none" w:sz="0" w:space="0" w:color="auto"/>
        <w:right w:val="none" w:sz="0" w:space="0" w:color="auto"/>
      </w:divBdr>
    </w:div>
    <w:div w:id="1901555020">
      <w:bodyDiv w:val="1"/>
      <w:marLeft w:val="0"/>
      <w:marRight w:val="0"/>
      <w:marTop w:val="0"/>
      <w:marBottom w:val="0"/>
      <w:divBdr>
        <w:top w:val="none" w:sz="0" w:space="0" w:color="auto"/>
        <w:left w:val="none" w:sz="0" w:space="0" w:color="auto"/>
        <w:bottom w:val="none" w:sz="0" w:space="0" w:color="auto"/>
        <w:right w:val="none" w:sz="0" w:space="0" w:color="auto"/>
      </w:divBdr>
    </w:div>
    <w:div w:id="1932351691">
      <w:bodyDiv w:val="1"/>
      <w:marLeft w:val="0"/>
      <w:marRight w:val="0"/>
      <w:marTop w:val="0"/>
      <w:marBottom w:val="0"/>
      <w:divBdr>
        <w:top w:val="none" w:sz="0" w:space="0" w:color="auto"/>
        <w:left w:val="none" w:sz="0" w:space="0" w:color="auto"/>
        <w:bottom w:val="none" w:sz="0" w:space="0" w:color="auto"/>
        <w:right w:val="none" w:sz="0" w:space="0" w:color="auto"/>
      </w:divBdr>
    </w:div>
    <w:div w:id="1957760435">
      <w:bodyDiv w:val="1"/>
      <w:marLeft w:val="0"/>
      <w:marRight w:val="0"/>
      <w:marTop w:val="0"/>
      <w:marBottom w:val="0"/>
      <w:divBdr>
        <w:top w:val="none" w:sz="0" w:space="0" w:color="auto"/>
        <w:left w:val="none" w:sz="0" w:space="0" w:color="auto"/>
        <w:bottom w:val="none" w:sz="0" w:space="0" w:color="auto"/>
        <w:right w:val="none" w:sz="0" w:space="0" w:color="auto"/>
      </w:divBdr>
    </w:div>
    <w:div w:id="2034064109">
      <w:bodyDiv w:val="1"/>
      <w:marLeft w:val="0"/>
      <w:marRight w:val="0"/>
      <w:marTop w:val="0"/>
      <w:marBottom w:val="0"/>
      <w:divBdr>
        <w:top w:val="none" w:sz="0" w:space="0" w:color="auto"/>
        <w:left w:val="none" w:sz="0" w:space="0" w:color="auto"/>
        <w:bottom w:val="none" w:sz="0" w:space="0" w:color="auto"/>
        <w:right w:val="none" w:sz="0" w:space="0" w:color="auto"/>
      </w:divBdr>
    </w:div>
    <w:div w:id="212723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hiamass.gov/high-public-payer-hospitals" TargetMode="External"/><Relationship Id="rId1" Type="http://schemas.openxmlformats.org/officeDocument/2006/relationships/hyperlink" Target="https://www.chiamass.gov/high-public-payer-hospitals" TargetMode="External"/></Relationships>
</file>

<file path=word/documenttasks/documenttasks1.xml><?xml version="1.0" encoding="utf-8"?>
<t:Tasks xmlns:t="http://schemas.microsoft.com/office/tasks/2019/documenttasks" xmlns:oel="http://schemas.microsoft.com/office/2019/extlst">
  <t:Task id="{22AA0FE1-A0FA-4738-9C65-8AE9DB9AAE2D}">
    <t:Anchor>
      <t:Comment id="367380014"/>
    </t:Anchor>
    <t:History>
      <t:Event id="{9E85CF8E-791D-4A0C-955C-F965C7A6E790}" time="2024-09-16T13:30:13.24Z">
        <t:Attribution userId="S::lynn.conover@mass.gov::80fca536-9167-4724-8ea0-25041d209e9d" userProvider="AD" userName="Conover, Lynn (DPH)"/>
        <t:Anchor>
          <t:Comment id="1820750614"/>
        </t:Anchor>
        <t:Create/>
      </t:Event>
      <t:Event id="{04F21E78-43DF-4FCE-9CC7-82AC3D88DFA2}" time="2024-09-16T13:30:13.24Z">
        <t:Attribution userId="S::lynn.conover@mass.gov::80fca536-9167-4724-8ea0-25041d209e9d" userProvider="AD" userName="Conover, Lynn (DPH)"/>
        <t:Anchor>
          <t:Comment id="1820750614"/>
        </t:Anchor>
        <t:Assign userId="S::Jaclyn.K.Gagne@mass.gov::ed86fbee-45bc-4148-93bc-182cd80bef14" userProvider="AD" userName="Gagne, Jaclyn K (DPH)"/>
      </t:Event>
      <t:Event id="{92A599CB-8DC1-4762-BA1A-45312D219C45}" time="2024-09-16T13:30:13.24Z">
        <t:Attribution userId="S::lynn.conover@mass.gov::80fca536-9167-4724-8ea0-25041d209e9d" userProvider="AD" userName="Conover, Lynn (DPH)"/>
        <t:Anchor>
          <t:Comment id="1820750614"/>
        </t:Anchor>
        <t:SetTitle title="@Gagne, Jaclyn K (DPH) I think what would be good above right after the utilization data. If there is agreement I will add that on all of them"/>
      </t:Event>
    </t:History>
  </t:Task>
  <t:Task id="{1164338A-391B-4BB6-A4E7-7553C4CFD6CC}">
    <t:Anchor>
      <t:Comment id="104973641"/>
    </t:Anchor>
    <t:History>
      <t:Event id="{B028D077-F106-407F-88C6-91CAA866397D}" time="2024-09-16T17:00:02.569Z">
        <t:Attribution userId="S::lynn.conover@mass.gov::80fca536-9167-4724-8ea0-25041d209e9d" userProvider="AD" userName="Conover, Lynn (DPH)"/>
        <t:Anchor>
          <t:Comment id="152392195"/>
        </t:Anchor>
        <t:Create/>
      </t:Event>
      <t:Event id="{749183F1-B5E6-40E6-9EC1-F493BF5AAA44}" time="2024-09-16T17:00:02.569Z">
        <t:Attribution userId="S::lynn.conover@mass.gov::80fca536-9167-4724-8ea0-25041d209e9d" userProvider="AD" userName="Conover, Lynn (DPH)"/>
        <t:Anchor>
          <t:Comment id="152392195"/>
        </t:Anchor>
        <t:Assign userId="S::Torey.McNamara@mass.gov::b32fb533-af4f-4b36-a14b-9287fe83d78b" userProvider="AD" userName="McNamara, Torey (DPH)"/>
      </t:Event>
      <t:Event id="{FB870802-C9F1-4206-B9FA-2900870D6EF3}" time="2024-09-16T17:00:02.569Z">
        <t:Attribution userId="S::lynn.conover@mass.gov::80fca536-9167-4724-8ea0-25041d209e9d" userProvider="AD" userName="Conover, Lynn (DPH)"/>
        <t:Anchor>
          <t:Comment id="152392195"/>
        </t:Anchor>
        <t:SetTitle title="@McNamara, Torey (DPH) This is the Language of Good Sam. In comparing It does Not include the Sept 30 timeframe. I think it would be a good idea to put it in there, No?"/>
      </t:Event>
    </t:History>
  </t:Task>
  <t:Task id="{14D6286C-4F40-49DA-B0B9-DF7B52543F09}">
    <t:Anchor>
      <t:Comment id="1080775129"/>
    </t:Anchor>
    <t:History>
      <t:Event id="{7198B65D-27A2-423E-B7B3-1B8DC63D97A2}" time="2024-09-24T17:27:44.431Z">
        <t:Attribution userId="S::torey.mcnamara@mass.gov::b32fb533-af4f-4b36-a14b-9287fe83d78b" userProvider="AD" userName="McNamara, Torey (DPH)"/>
        <t:Anchor>
          <t:Comment id="1080775129"/>
        </t:Anchor>
        <t:Create/>
      </t:Event>
      <t:Event id="{904465AA-8CA7-403D-86E0-6FE12F45DA55}" time="2024-09-24T17:27:44.431Z">
        <t:Attribution userId="S::torey.mcnamara@mass.gov::b32fb533-af4f-4b36-a14b-9287fe83d78b" userProvider="AD" userName="McNamara, Torey (DPH)"/>
        <t:Anchor>
          <t:Comment id="1080775129"/>
        </t:Anchor>
        <t:Assign userId="S::Jaclyn.K.Gagne@mass.gov::ed86fbee-45bc-4148-93bc-182cd80bef14" userProvider="AD" userName="Gagne, Jaclyn K (DPH)"/>
      </t:Event>
      <t:Event id="{AFEF38E8-3639-4740-9901-D9C5F9541D38}" time="2024-09-24T17:27:44.431Z">
        <t:Attribution userId="S::torey.mcnamara@mass.gov::b32fb533-af4f-4b36-a14b-9287fe83d78b" userProvider="AD" userName="McNamara, Torey (DPH)"/>
        <t:Anchor>
          <t:Comment id="1080775129"/>
        </t:Anchor>
        <t:SetTitle title="@Gagne, Jaclyn K (DPH) can you review and make sure reference to facilities, etc. in the Lifespan conditions makes sense to you?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4555A-D11F-4F3E-BAB5-C0F5E9F2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3115</Words>
  <Characters>17759</Characters>
  <Application>Microsoft Office Word</Application>
  <DocSecurity>0</DocSecurity>
  <Lines>147</Lines>
  <Paragraphs>41</Paragraphs>
  <ScaleCrop>false</ScaleCrop>
  <Company>EOHHS</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Szent-Gyorgyi, Lara (DPH)</dc:creator>
  <cp:keywords/>
  <cp:lastModifiedBy>Marks, Brett (DPH)</cp:lastModifiedBy>
  <cp:revision>4</cp:revision>
  <dcterms:created xsi:type="dcterms:W3CDTF">2024-09-24T21:03:00Z</dcterms:created>
  <dcterms:modified xsi:type="dcterms:W3CDTF">2024-09-25T16:23:00Z</dcterms:modified>
</cp:coreProperties>
</file>