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0CD8" w:rsidRPr="00B422EC" w:rsidRDefault="00EC32CB">
      <w:pPr>
        <w:jc w:val="center"/>
        <w:rPr>
          <w:b/>
          <w:sz w:val="28"/>
          <w:szCs w:val="28"/>
        </w:rPr>
      </w:pPr>
      <w:r w:rsidRPr="00B422EC">
        <w:rPr>
          <w:b/>
          <w:sz w:val="28"/>
          <w:szCs w:val="28"/>
        </w:rPr>
        <w:t>Memorandum to the Commissioner</w:t>
      </w:r>
    </w:p>
    <w:p w14:paraId="5DCBC302" w14:textId="70A273F4" w:rsidR="00FF0C92" w:rsidRDefault="00EC32CB">
      <w:pPr>
        <w:spacing w:after="0" w:line="240" w:lineRule="auto"/>
      </w:pPr>
      <w:r>
        <w:rPr>
          <w:b/>
        </w:rPr>
        <w:t>Applicant:</w:t>
      </w:r>
      <w:r>
        <w:t xml:space="preserve"> </w:t>
      </w:r>
      <w:r w:rsidR="00FF0C92">
        <w:t>Long Term Centers of Lexington, Inc.</w:t>
      </w:r>
    </w:p>
    <w:p w14:paraId="795DE30C" w14:textId="77777777" w:rsidR="00FF0C92" w:rsidRDefault="00FF0C92" w:rsidP="00FF0C92">
      <w:pPr>
        <w:spacing w:after="0" w:line="240" w:lineRule="auto"/>
        <w:ind w:firstLine="720"/>
      </w:pPr>
      <w:r>
        <w:t xml:space="preserve">     30 Watertown Street </w:t>
      </w:r>
    </w:p>
    <w:p w14:paraId="00000002" w14:textId="1E432C10" w:rsidR="00350CD8" w:rsidRPr="00855BB2" w:rsidRDefault="00FF0C92" w:rsidP="00FF0C92">
      <w:pPr>
        <w:spacing w:after="0" w:line="240" w:lineRule="auto"/>
        <w:ind w:left="720"/>
        <w:rPr>
          <w:color w:val="FF0000"/>
        </w:rPr>
      </w:pPr>
      <w:r>
        <w:t xml:space="preserve">     Lexington, MA 02421 </w:t>
      </w:r>
      <w:r w:rsidR="00EC32CB" w:rsidRPr="00855BB2">
        <w:rPr>
          <w:color w:val="FF0000"/>
        </w:rPr>
        <w:br/>
      </w:r>
    </w:p>
    <w:p w14:paraId="00000003" w14:textId="2723F957" w:rsidR="00350CD8" w:rsidRDefault="00BD2E0A">
      <w:pPr>
        <w:spacing w:after="0" w:line="240" w:lineRule="auto"/>
      </w:pPr>
      <w:r>
        <w:rPr>
          <w:b/>
          <w:bCs/>
        </w:rPr>
        <w:t>Re</w:t>
      </w:r>
      <w:r w:rsidR="00FF0C92" w:rsidRPr="00FF0C92">
        <w:rPr>
          <w:b/>
          <w:bCs/>
        </w:rPr>
        <w:t>:</w:t>
      </w:r>
      <w:r w:rsidR="00FF0C92">
        <w:t xml:space="preserve">     </w:t>
      </w:r>
      <w:r w:rsidR="00324A05">
        <w:tab/>
        <w:t xml:space="preserve">     </w:t>
      </w:r>
      <w:r w:rsidR="00FF0C92">
        <w:t>Pine Knoll Nursing Center</w:t>
      </w:r>
    </w:p>
    <w:p w14:paraId="096535B5" w14:textId="4286C169" w:rsidR="00FF0C92" w:rsidRDefault="00FF0C92">
      <w:pPr>
        <w:spacing w:after="0" w:line="240" w:lineRule="auto"/>
      </w:pPr>
      <w:r>
        <w:t xml:space="preserve">                   30 Watertown Street</w:t>
      </w:r>
    </w:p>
    <w:p w14:paraId="46B6B5D5" w14:textId="2AB977B1" w:rsidR="00FF0C92" w:rsidRDefault="00FF0C92">
      <w:pPr>
        <w:spacing w:after="0" w:line="240" w:lineRule="auto"/>
      </w:pPr>
      <w:r>
        <w:t xml:space="preserve">                   Lexington, MA 02421</w:t>
      </w:r>
    </w:p>
    <w:p w14:paraId="28318BB5" w14:textId="77777777" w:rsidR="00FF0C92" w:rsidRDefault="00FF0C92">
      <w:pPr>
        <w:spacing w:after="0" w:line="240" w:lineRule="auto"/>
      </w:pPr>
    </w:p>
    <w:p w14:paraId="00000004" w14:textId="22C1217F" w:rsidR="00350CD8" w:rsidRDefault="00EC32CB">
      <w:pPr>
        <w:rPr>
          <w:b/>
        </w:rPr>
      </w:pPr>
      <w:r>
        <w:rPr>
          <w:b/>
        </w:rPr>
        <w:t xml:space="preserve">Project Number: </w:t>
      </w:r>
      <w:r w:rsidR="00FF0C92" w:rsidRPr="00FF0C92">
        <w:t>22032813-CL</w:t>
      </w:r>
    </w:p>
    <w:p w14:paraId="00000005" w14:textId="11CDC305" w:rsidR="00350CD8" w:rsidRPr="00855BB2" w:rsidRDefault="00EC32CB">
      <w:pPr>
        <w:spacing w:after="120"/>
        <w:rPr>
          <w:color w:val="FF0000"/>
        </w:rPr>
      </w:pPr>
      <w:r>
        <w:rPr>
          <w:b/>
        </w:rPr>
        <w:t xml:space="preserve">Filing Date: </w:t>
      </w:r>
      <w:r w:rsidR="00324A05" w:rsidRPr="00395F76">
        <w:t>June 3</w:t>
      </w:r>
      <w:r w:rsidR="00324A05" w:rsidRPr="00395F76">
        <w:rPr>
          <w:vertAlign w:val="superscript"/>
        </w:rPr>
        <w:t>rd</w:t>
      </w:r>
      <w:r w:rsidR="00324A05" w:rsidRPr="00395F76">
        <w:t xml:space="preserve">, 2022 </w:t>
      </w:r>
    </w:p>
    <w:p w14:paraId="00000006" w14:textId="77777777" w:rsidR="00350CD8" w:rsidRDefault="00350CD8">
      <w:pPr>
        <w:spacing w:after="120"/>
        <w:rPr>
          <w:b/>
          <w:u w:val="single"/>
        </w:rPr>
      </w:pPr>
    </w:p>
    <w:p w14:paraId="00000007" w14:textId="77777777" w:rsidR="00350CD8" w:rsidRDefault="00EC32CB">
      <w:pPr>
        <w:spacing w:after="120"/>
        <w:rPr>
          <w:b/>
          <w:u w:val="single"/>
        </w:rPr>
      </w:pPr>
      <w:r>
        <w:rPr>
          <w:b/>
          <w:u w:val="single"/>
        </w:rPr>
        <w:t xml:space="preserve">Introduction </w:t>
      </w:r>
    </w:p>
    <w:p w14:paraId="03236B42" w14:textId="6285558D" w:rsidR="0009157E" w:rsidRPr="0009157E" w:rsidRDefault="007C6384" w:rsidP="00404A62">
      <w:pPr>
        <w:spacing w:line="240" w:lineRule="auto"/>
      </w:pPr>
      <w:r w:rsidRPr="00EB6498">
        <w:t xml:space="preserve">This memorandum presents, for Commissioner review and action, the Determination of Need (DoN) Program’s recommendation regarding a request by </w:t>
      </w:r>
      <w:r w:rsidR="00EC1396" w:rsidRPr="00EC1396">
        <w:t>Long Term Centers of Lexington, Inc. for approval of renovations and construction at Pine Knoll Nursing Center</w:t>
      </w:r>
      <w:r w:rsidRPr="00EB6498">
        <w:t>. The Proposed Project includes renovations of patient care units and construction of</w:t>
      </w:r>
      <w:r>
        <w:t xml:space="preserve"> an</w:t>
      </w:r>
      <w:r w:rsidRPr="00EB6498">
        <w:t xml:space="preserve"> addition designed to create the space necessary to de-densify resident rooms to come into compliance with new Department of Public Health (DPH) de-densification licensure requirements for long-term care facilities set out in 105 CMR 150 (the “De-Densification Requirements”). </w:t>
      </w:r>
      <w:r w:rsidR="00321DC9" w:rsidRPr="00321DC9">
        <w:t>The Applicant</w:t>
      </w:r>
      <w:r w:rsidR="00321DC9">
        <w:t xml:space="preserve"> is also proposing to </w:t>
      </w:r>
      <w:r w:rsidR="00321DC9" w:rsidRPr="00321DC9">
        <w:t xml:space="preserve">use its one-time regulatory allowance of an additional twelve beds. </w:t>
      </w:r>
      <w:r w:rsidR="0009157E" w:rsidRPr="0009157E">
        <w:t xml:space="preserve">The capital expenditure for the project is $6,216,750. The CHI commitment is </w:t>
      </w:r>
      <w:r w:rsidR="000659B6">
        <w:t>$</w:t>
      </w:r>
      <w:r w:rsidR="000659B6" w:rsidRPr="000659B6">
        <w:t>62,167.50</w:t>
      </w:r>
      <w:r w:rsidR="0009157E" w:rsidRPr="0009157E">
        <w:t>. The Applicant is a for</w:t>
      </w:r>
      <w:r w:rsidR="003050DF">
        <w:t>-</w:t>
      </w:r>
      <w:r w:rsidR="0009157E" w:rsidRPr="0009157E">
        <w:t xml:space="preserve">profit corporation organized under existing law of the Commonwealth of Massachusetts. </w:t>
      </w:r>
    </w:p>
    <w:p w14:paraId="64A9C6FE" w14:textId="6C9AD021" w:rsidR="007C6384" w:rsidRDefault="007C6384" w:rsidP="00404A62">
      <w:pPr>
        <w:spacing w:line="240" w:lineRule="auto"/>
        <w:rPr>
          <w:u w:val="single"/>
        </w:rPr>
      </w:pPr>
      <w:r w:rsidRPr="006A3FBE">
        <w:t>On April 28, 2021, DPH issued a memo</w:t>
      </w:r>
      <w:r>
        <w:rPr>
          <w:vertAlign w:val="superscript"/>
        </w:rPr>
        <w:footnoteReference w:id="1"/>
      </w:r>
      <w:r w:rsidRPr="006A3FBE">
        <w:t xml:space="preserve"> noting that construction or renovation at a long-term care facility that is planned solely to reduce the number of beds per room to come into compliance with the </w:t>
      </w:r>
      <w:r w:rsidR="00CF4612">
        <w:t>D</w:t>
      </w:r>
      <w:r w:rsidRPr="006A3FBE">
        <w:t xml:space="preserve">e-densification </w:t>
      </w:r>
      <w:r w:rsidR="00776582">
        <w:t>R</w:t>
      </w:r>
      <w:r w:rsidR="00776582" w:rsidRPr="006A3FBE">
        <w:t>equirements</w:t>
      </w:r>
      <w:r w:rsidRPr="006A3FBE">
        <w:t xml:space="preserve"> set out in 105 CMR 150 are considered Conservation projects for the purposes of applying for a Notice of DoN.</w:t>
      </w:r>
      <w:r>
        <w:t xml:space="preserve"> Conservation Projects are defined as “Construction that consists solely of a project(s) that would Sustain or Restore a Health Care Facility or service for its designated purpose, and to its original functionality, without Modernization, Addition, or Expansion.” The construction included in this Proposed Project is solely to enable the facility to come into compliance with the </w:t>
      </w:r>
      <w:r w:rsidR="00CF4612">
        <w:t>D</w:t>
      </w:r>
      <w:r>
        <w:t>e-</w:t>
      </w:r>
      <w:r w:rsidR="004411A2">
        <w:t>d</w:t>
      </w:r>
      <w:r>
        <w:t xml:space="preserve">ensification </w:t>
      </w:r>
      <w:r w:rsidR="00CF4612">
        <w:t>R</w:t>
      </w:r>
      <w:r>
        <w:t>equirements and is therefore appropriately submitted as a Conservation Project. 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03695BE8" w14:textId="77777777" w:rsidR="0009157E" w:rsidRDefault="0009157E">
      <w:pPr>
        <w:rPr>
          <w:b/>
          <w:u w:val="single"/>
        </w:rPr>
      </w:pPr>
    </w:p>
    <w:p w14:paraId="0000000A" w14:textId="66FFEE64" w:rsidR="00350CD8" w:rsidRDefault="00EC32CB">
      <w:pPr>
        <w:rPr>
          <w:b/>
          <w:u w:val="single"/>
        </w:rPr>
      </w:pPr>
      <w:r>
        <w:rPr>
          <w:b/>
          <w:u w:val="single"/>
        </w:rPr>
        <w:t>Background</w:t>
      </w:r>
    </w:p>
    <w:p w14:paraId="02B0F24C" w14:textId="474E98C0" w:rsidR="00C52DC3" w:rsidRDefault="00931A12">
      <w:pPr>
        <w:spacing w:line="240" w:lineRule="auto"/>
      </w:pPr>
      <w:r>
        <w:t>Long Term Centers of Lexington, Inc.</w:t>
      </w:r>
      <w:r w:rsidR="00EC32CB" w:rsidRPr="00855BB2">
        <w:rPr>
          <w:color w:val="FF0000"/>
        </w:rPr>
        <w:t xml:space="preserve"> </w:t>
      </w:r>
      <w:r w:rsidR="00EC32CB">
        <w:t xml:space="preserve">(Applicant) is a </w:t>
      </w:r>
      <w:r>
        <w:t>for</w:t>
      </w:r>
      <w:r w:rsidR="0074005A">
        <w:t>-</w:t>
      </w:r>
      <w:r>
        <w:t>profit</w:t>
      </w:r>
      <w:r w:rsidR="00EC32CB">
        <w:t xml:space="preserve"> corporation located in</w:t>
      </w:r>
      <w:r>
        <w:rPr>
          <w:color w:val="FF0000"/>
        </w:rPr>
        <w:t xml:space="preserve"> </w:t>
      </w:r>
      <w:r>
        <w:t>Lexington</w:t>
      </w:r>
      <w:r w:rsidR="00EC32CB">
        <w:t>, MA that owns and operates</w:t>
      </w:r>
      <w:r>
        <w:t xml:space="preserve"> Pine Knoll Nursing Center</w:t>
      </w:r>
      <w:r w:rsidR="00AE2B38">
        <w:t xml:space="preserve"> (the Facility)</w:t>
      </w:r>
      <w:r>
        <w:t>.</w:t>
      </w:r>
      <w:r w:rsidR="00EC32CB">
        <w:t xml:space="preserve"> The Applicant’s</w:t>
      </w:r>
      <w:r w:rsidR="00EC32CB" w:rsidRPr="00855BB2">
        <w:t xml:space="preserve"> facility</w:t>
      </w:r>
      <w:r w:rsidR="00AE2B38">
        <w:t xml:space="preserve">, Pine Knoll Nursing Center, is an 81-bed skilled nursing facility and rehabilitation center located in Lexington Massachusetts. </w:t>
      </w:r>
      <w:r w:rsidR="00C52DC3" w:rsidRPr="00C52DC3">
        <w:lastRenderedPageBreak/>
        <w:t>Pine Knoll Nursing Center is a two-story, 47,492 square foot skilled nursing facility that was constructed in 1964</w:t>
      </w:r>
      <w:r w:rsidR="00BC6F48">
        <w:t xml:space="preserve"> with no additions since opening</w:t>
      </w:r>
      <w:r w:rsidR="00C52DC3">
        <w:t xml:space="preserve">. </w:t>
      </w:r>
      <w:r w:rsidR="00AE2B38">
        <w:t xml:space="preserve">The </w:t>
      </w:r>
      <w:r w:rsidR="00C52DC3">
        <w:t>F</w:t>
      </w:r>
      <w:r w:rsidR="00AE2B38">
        <w:t xml:space="preserve">acility provides long-term skilled nursing care, rehabilitative care, and hospice and respite care to </w:t>
      </w:r>
      <w:r w:rsidR="0099283C">
        <w:t xml:space="preserve">its </w:t>
      </w:r>
      <w:r w:rsidR="00AE2B38">
        <w:t>residents.</w:t>
      </w:r>
    </w:p>
    <w:p w14:paraId="2CE51A89" w14:textId="2975A90E" w:rsidR="00C52DC3" w:rsidRPr="007E4849" w:rsidRDefault="00C52DC3" w:rsidP="00C52DC3">
      <w:pPr>
        <w:spacing w:line="240" w:lineRule="auto"/>
      </w:pPr>
      <w:r>
        <w:t xml:space="preserve">The average length of stay (ALOS) for all residents discharged in 2021 was </w:t>
      </w:r>
      <w:r w:rsidR="00D5396D">
        <w:t>approximately</w:t>
      </w:r>
      <w:r>
        <w:t xml:space="preserve"> one and a half years. </w:t>
      </w:r>
      <w:r w:rsidR="00533AA6">
        <w:t xml:space="preserve">Based on the 2021 payer mix, the majority of all residents </w:t>
      </w:r>
      <w:r w:rsidR="0008289B">
        <w:t>have their care covered by Medicaid (85%), followed Medicare</w:t>
      </w:r>
      <w:r w:rsidR="00BF3621">
        <w:t xml:space="preserve"> (10%)</w:t>
      </w:r>
      <w:r w:rsidR="0008289B">
        <w:t>, and private pay</w:t>
      </w:r>
      <w:r w:rsidR="00BF3621">
        <w:t xml:space="preserve"> (5%)</w:t>
      </w:r>
      <w:r w:rsidR="0008289B">
        <w:t xml:space="preserve">. </w:t>
      </w:r>
      <w:r w:rsidR="007E4849">
        <w:t xml:space="preserve">The </w:t>
      </w:r>
      <w:r w:rsidR="00D13C9E">
        <w:t xml:space="preserve">Applicant states that historically, Pine Knoll has maintained an </w:t>
      </w:r>
      <w:r w:rsidR="007E4849">
        <w:t xml:space="preserve">occupancy </w:t>
      </w:r>
      <w:r w:rsidR="008B169D">
        <w:t xml:space="preserve">over 90%; the Facility occupancy rate </w:t>
      </w:r>
      <w:r w:rsidR="007E4849">
        <w:t>was 9</w:t>
      </w:r>
      <w:r w:rsidR="008B169D">
        <w:t>5</w:t>
      </w:r>
      <w:r w:rsidR="007E4849">
        <w:t>.</w:t>
      </w:r>
      <w:r w:rsidR="008B169D">
        <w:t>8</w:t>
      </w:r>
      <w:r w:rsidR="007E4849">
        <w:t>% in 2019</w:t>
      </w:r>
      <w:r w:rsidR="008B169D">
        <w:t xml:space="preserve">. </w:t>
      </w:r>
      <w:r w:rsidR="00F16354">
        <w:t xml:space="preserve">Despite </w:t>
      </w:r>
      <w:r w:rsidR="009D0B81" w:rsidRPr="009D0B81">
        <w:t xml:space="preserve">the level of competition and admission limitations caused </w:t>
      </w:r>
      <w:r w:rsidR="00F16354">
        <w:t>COVID-19, the Facility has maintained an occupancy rate of</w:t>
      </w:r>
      <w:r w:rsidR="007E4849">
        <w:t xml:space="preserve"> 8</w:t>
      </w:r>
      <w:r w:rsidR="00B94B91">
        <w:t>3.2</w:t>
      </w:r>
      <w:r w:rsidR="007E4849">
        <w:t>% in 20</w:t>
      </w:r>
      <w:r w:rsidR="00687C78">
        <w:t>20</w:t>
      </w:r>
      <w:r w:rsidR="007E4849">
        <w:t xml:space="preserve">, and </w:t>
      </w:r>
      <w:r w:rsidR="00B94B91">
        <w:t>79.</w:t>
      </w:r>
      <w:r w:rsidR="004B31A2">
        <w:t>1</w:t>
      </w:r>
      <w:r w:rsidR="007E4849">
        <w:t xml:space="preserve">% in 2021.  </w:t>
      </w:r>
    </w:p>
    <w:p w14:paraId="4DCD1EAD" w14:textId="2C030D56" w:rsidR="00AE2B38" w:rsidRDefault="00AE2B38">
      <w:pPr>
        <w:spacing w:line="240" w:lineRule="auto"/>
      </w:pPr>
      <w:r>
        <w:t>The Facility is comprised of 81 Level II licensed beds within</w:t>
      </w:r>
      <w:r w:rsidR="00C52DC3">
        <w:t xml:space="preserve"> three</w:t>
      </w:r>
      <w:r>
        <w:t xml:space="preserve"> nursing units on the first floor of the Facility. </w:t>
      </w:r>
      <w:r w:rsidR="00C52DC3">
        <w:t>T</w:t>
      </w:r>
      <w:r>
        <w:t xml:space="preserve">he </w:t>
      </w:r>
      <w:r w:rsidR="00C52DC3">
        <w:t>F</w:t>
      </w:r>
      <w:r>
        <w:t xml:space="preserve">acility has </w:t>
      </w:r>
      <w:r w:rsidR="00C52DC3">
        <w:t>five</w:t>
      </w:r>
      <w:r>
        <w:t xml:space="preserve"> private rooms, 16 semi-private rooms, and 11 four-bedded rooms. </w:t>
      </w:r>
      <w:r w:rsidR="00406153">
        <w:t xml:space="preserve">The Applicant states that the </w:t>
      </w:r>
      <w:r w:rsidR="00CF4612">
        <w:t>D</w:t>
      </w:r>
      <w:r w:rsidR="00406153">
        <w:t xml:space="preserve">e-densification </w:t>
      </w:r>
      <w:r w:rsidR="00CF4612">
        <w:t>R</w:t>
      </w:r>
      <w:r w:rsidR="00406153">
        <w:t>equirement</w:t>
      </w:r>
      <w:r w:rsidR="00D36E91">
        <w:t xml:space="preserve">s, would reduce Pine Knoll’s licensed bed count from 81 to 59. </w:t>
      </w:r>
      <w:r>
        <w:t xml:space="preserve">The bed configuration of the </w:t>
      </w:r>
      <w:r w:rsidR="00D36E91">
        <w:t>F</w:t>
      </w:r>
      <w:r>
        <w:t xml:space="preserve">acility is presented in Table 1 below. </w:t>
      </w:r>
    </w:p>
    <w:p w14:paraId="1064E8DD" w14:textId="364580C4" w:rsidR="00AE2B38" w:rsidRPr="004E0FAB" w:rsidRDefault="00AE2B38">
      <w:pPr>
        <w:spacing w:line="240" w:lineRule="auto"/>
      </w:pPr>
      <w:r>
        <w:tab/>
      </w:r>
      <w:r>
        <w:tab/>
      </w:r>
      <w:r w:rsidRPr="004E0FAB">
        <w:tab/>
        <w:t>Table 1: Pine Knoll Nursing Center</w:t>
      </w:r>
      <w:r w:rsidR="00195F57">
        <w:t xml:space="preserve"> Current</w:t>
      </w:r>
      <w:r w:rsidRPr="004E0FAB">
        <w:t xml:space="preserve"> Bed Configuration </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779"/>
        <w:gridCol w:w="879"/>
        <w:gridCol w:w="1539"/>
        <w:gridCol w:w="1566"/>
        <w:gridCol w:w="1450"/>
        <w:gridCol w:w="1234"/>
      </w:tblGrid>
      <w:tr w:rsidR="00AE2B38" w:rsidRPr="00A65348" w14:paraId="1FF6D98A" w14:textId="77777777" w:rsidTr="00704101">
        <w:trPr>
          <w:cantSplit/>
          <w:trHeight w:val="251"/>
          <w:tblHeader/>
          <w:jc w:val="center"/>
        </w:trPr>
        <w:tc>
          <w:tcPr>
            <w:tcW w:w="0" w:type="auto"/>
            <w:gridSpan w:val="6"/>
            <w:shd w:val="clear" w:color="auto" w:fill="D9DBDC"/>
          </w:tcPr>
          <w:p w14:paraId="51901808" w14:textId="77777777" w:rsidR="00AE2B38" w:rsidRPr="00404A62" w:rsidRDefault="00AE2B38" w:rsidP="00133E27">
            <w:pPr>
              <w:pStyle w:val="TableParagraph"/>
              <w:spacing w:line="232" w:lineRule="exact"/>
              <w:ind w:left="2435" w:right="2426"/>
              <w:jc w:val="center"/>
              <w:rPr>
                <w:rFonts w:asciiTheme="majorHAnsi" w:hAnsiTheme="majorHAnsi" w:cstheme="majorHAnsi"/>
              </w:rPr>
            </w:pPr>
            <w:r w:rsidRPr="00404A62">
              <w:rPr>
                <w:rFonts w:asciiTheme="majorHAnsi" w:hAnsiTheme="majorHAnsi" w:cstheme="majorHAnsi"/>
                <w:color w:val="231F20"/>
              </w:rPr>
              <w:t>Current</w:t>
            </w:r>
            <w:r w:rsidRPr="00404A62">
              <w:rPr>
                <w:rFonts w:asciiTheme="majorHAnsi" w:hAnsiTheme="majorHAnsi" w:cstheme="majorHAnsi"/>
                <w:color w:val="231F20"/>
                <w:spacing w:val="-2"/>
              </w:rPr>
              <w:t xml:space="preserve"> </w:t>
            </w:r>
            <w:r w:rsidRPr="00404A62">
              <w:rPr>
                <w:rFonts w:asciiTheme="majorHAnsi" w:hAnsiTheme="majorHAnsi" w:cstheme="majorHAnsi"/>
                <w:color w:val="231F20"/>
              </w:rPr>
              <w:t>Facility</w:t>
            </w:r>
            <w:r w:rsidRPr="00404A62">
              <w:rPr>
                <w:rFonts w:asciiTheme="majorHAnsi" w:hAnsiTheme="majorHAnsi" w:cstheme="majorHAnsi"/>
                <w:color w:val="231F20"/>
                <w:spacing w:val="-6"/>
              </w:rPr>
              <w:t xml:space="preserve"> </w:t>
            </w:r>
            <w:r w:rsidRPr="00404A62">
              <w:rPr>
                <w:rFonts w:asciiTheme="majorHAnsi" w:hAnsiTheme="majorHAnsi" w:cstheme="majorHAnsi"/>
                <w:color w:val="231F20"/>
              </w:rPr>
              <w:t>Bedroom</w:t>
            </w:r>
            <w:r w:rsidRPr="00404A62">
              <w:rPr>
                <w:rFonts w:asciiTheme="majorHAnsi" w:hAnsiTheme="majorHAnsi" w:cstheme="majorHAnsi"/>
                <w:color w:val="231F20"/>
                <w:spacing w:val="-6"/>
              </w:rPr>
              <w:t xml:space="preserve"> </w:t>
            </w:r>
            <w:r w:rsidRPr="00404A62">
              <w:rPr>
                <w:rFonts w:asciiTheme="majorHAnsi" w:hAnsiTheme="majorHAnsi" w:cstheme="majorHAnsi"/>
                <w:color w:val="231F20"/>
                <w:spacing w:val="-2"/>
              </w:rPr>
              <w:t>Configuration</w:t>
            </w:r>
          </w:p>
        </w:tc>
      </w:tr>
      <w:tr w:rsidR="00AE2B38" w:rsidRPr="00A65348" w14:paraId="716D944F" w14:textId="77777777" w:rsidTr="00704101">
        <w:trPr>
          <w:cantSplit/>
          <w:trHeight w:val="277"/>
          <w:tblHeader/>
          <w:jc w:val="center"/>
        </w:trPr>
        <w:tc>
          <w:tcPr>
            <w:tcW w:w="0" w:type="auto"/>
            <w:shd w:val="clear" w:color="auto" w:fill="DBE5F1" w:themeFill="accent1" w:themeFillTint="33"/>
          </w:tcPr>
          <w:p w14:paraId="5C045135" w14:textId="05D96030" w:rsidR="00AE2B38" w:rsidRPr="00404A62" w:rsidRDefault="00AE2B38" w:rsidP="00532E0A">
            <w:pPr>
              <w:pStyle w:val="TableParagraph"/>
              <w:spacing w:line="249" w:lineRule="exact"/>
              <w:jc w:val="center"/>
              <w:rPr>
                <w:rFonts w:asciiTheme="majorHAnsi" w:hAnsiTheme="majorHAnsi" w:cstheme="majorHAnsi"/>
              </w:rPr>
            </w:pPr>
            <w:r w:rsidRPr="00404A62">
              <w:rPr>
                <w:rFonts w:asciiTheme="majorHAnsi" w:hAnsiTheme="majorHAnsi" w:cstheme="majorHAnsi"/>
              </w:rPr>
              <w:t>Unit</w:t>
            </w:r>
          </w:p>
        </w:tc>
        <w:tc>
          <w:tcPr>
            <w:tcW w:w="0" w:type="auto"/>
            <w:shd w:val="clear" w:color="auto" w:fill="DBE5F1" w:themeFill="accent1" w:themeFillTint="33"/>
          </w:tcPr>
          <w:p w14:paraId="2CAC426F" w14:textId="5EA17ABD" w:rsidR="00AE2B38" w:rsidRPr="00404A62" w:rsidRDefault="00AE2B38" w:rsidP="00133E27">
            <w:pPr>
              <w:pStyle w:val="TableParagraph"/>
              <w:spacing w:line="258" w:lineRule="exact"/>
              <w:ind w:left="100" w:right="97"/>
              <w:jc w:val="center"/>
              <w:rPr>
                <w:rFonts w:asciiTheme="majorHAnsi" w:hAnsiTheme="majorHAnsi" w:cstheme="majorHAnsi"/>
                <w:sz w:val="24"/>
              </w:rPr>
            </w:pPr>
            <w:r w:rsidRPr="00404A62">
              <w:rPr>
                <w:rFonts w:asciiTheme="majorHAnsi" w:hAnsiTheme="majorHAnsi" w:cstheme="majorHAnsi"/>
                <w:color w:val="231F20"/>
                <w:spacing w:val="-2"/>
                <w:sz w:val="24"/>
              </w:rPr>
              <w:t>Private</w:t>
            </w:r>
          </w:p>
        </w:tc>
        <w:tc>
          <w:tcPr>
            <w:tcW w:w="0" w:type="auto"/>
            <w:shd w:val="clear" w:color="auto" w:fill="DBE5F1" w:themeFill="accent1" w:themeFillTint="33"/>
          </w:tcPr>
          <w:p w14:paraId="677D708B" w14:textId="77777777" w:rsidR="00AE2B38" w:rsidRPr="00404A62" w:rsidRDefault="00AE2B38" w:rsidP="00133E27">
            <w:pPr>
              <w:pStyle w:val="TableParagraph"/>
              <w:spacing w:line="258" w:lineRule="exact"/>
              <w:ind w:left="158" w:right="159"/>
              <w:jc w:val="center"/>
              <w:rPr>
                <w:rFonts w:asciiTheme="majorHAnsi" w:hAnsiTheme="majorHAnsi" w:cstheme="majorHAnsi"/>
                <w:sz w:val="24"/>
              </w:rPr>
            </w:pPr>
            <w:r w:rsidRPr="00404A62">
              <w:rPr>
                <w:rFonts w:asciiTheme="majorHAnsi" w:hAnsiTheme="majorHAnsi" w:cstheme="majorHAnsi"/>
                <w:color w:val="231F20"/>
                <w:spacing w:val="-2"/>
                <w:sz w:val="24"/>
              </w:rPr>
              <w:t>Two-bedded</w:t>
            </w:r>
          </w:p>
        </w:tc>
        <w:tc>
          <w:tcPr>
            <w:tcW w:w="0" w:type="auto"/>
            <w:shd w:val="clear" w:color="auto" w:fill="DBE5F1" w:themeFill="accent1" w:themeFillTint="33"/>
          </w:tcPr>
          <w:p w14:paraId="525364A1" w14:textId="77777777" w:rsidR="00AE2B38" w:rsidRPr="00404A62" w:rsidRDefault="00AE2B38" w:rsidP="00133E27">
            <w:pPr>
              <w:pStyle w:val="TableParagraph"/>
              <w:spacing w:line="258" w:lineRule="exact"/>
              <w:ind w:left="99" w:right="98"/>
              <w:jc w:val="center"/>
              <w:rPr>
                <w:rFonts w:asciiTheme="majorHAnsi" w:hAnsiTheme="majorHAnsi" w:cstheme="majorHAnsi"/>
                <w:sz w:val="24"/>
              </w:rPr>
            </w:pPr>
            <w:r w:rsidRPr="00404A62">
              <w:rPr>
                <w:rFonts w:asciiTheme="majorHAnsi" w:hAnsiTheme="majorHAnsi" w:cstheme="majorHAnsi"/>
                <w:color w:val="231F20"/>
                <w:spacing w:val="-2"/>
                <w:sz w:val="24"/>
              </w:rPr>
              <w:t>Three-bedded</w:t>
            </w:r>
          </w:p>
        </w:tc>
        <w:tc>
          <w:tcPr>
            <w:tcW w:w="0" w:type="auto"/>
            <w:shd w:val="clear" w:color="auto" w:fill="DBE5F1" w:themeFill="accent1" w:themeFillTint="33"/>
          </w:tcPr>
          <w:p w14:paraId="6448500C" w14:textId="77777777" w:rsidR="00AE2B38" w:rsidRPr="00404A62" w:rsidRDefault="00AE2B38" w:rsidP="00133E27">
            <w:pPr>
              <w:pStyle w:val="TableParagraph"/>
              <w:spacing w:line="258" w:lineRule="exact"/>
              <w:ind w:left="100" w:right="98"/>
              <w:jc w:val="center"/>
              <w:rPr>
                <w:rFonts w:asciiTheme="majorHAnsi" w:hAnsiTheme="majorHAnsi" w:cstheme="majorHAnsi"/>
                <w:sz w:val="24"/>
              </w:rPr>
            </w:pPr>
            <w:r w:rsidRPr="00404A62">
              <w:rPr>
                <w:rFonts w:asciiTheme="majorHAnsi" w:hAnsiTheme="majorHAnsi" w:cstheme="majorHAnsi"/>
                <w:color w:val="231F20"/>
                <w:spacing w:val="-2"/>
                <w:sz w:val="24"/>
              </w:rPr>
              <w:t>Four-bedded</w:t>
            </w:r>
          </w:p>
        </w:tc>
        <w:tc>
          <w:tcPr>
            <w:tcW w:w="0" w:type="auto"/>
            <w:shd w:val="clear" w:color="auto" w:fill="DBE5F1" w:themeFill="accent1" w:themeFillTint="33"/>
          </w:tcPr>
          <w:p w14:paraId="4533DB37" w14:textId="77777777" w:rsidR="00AE2B38" w:rsidRPr="00404A62" w:rsidRDefault="00AE2B38" w:rsidP="00133E27">
            <w:pPr>
              <w:pStyle w:val="TableParagraph"/>
              <w:spacing w:line="249" w:lineRule="exact"/>
              <w:ind w:left="158" w:right="150"/>
              <w:jc w:val="center"/>
              <w:rPr>
                <w:rFonts w:asciiTheme="majorHAnsi" w:hAnsiTheme="majorHAnsi" w:cstheme="majorHAnsi"/>
              </w:rPr>
            </w:pPr>
            <w:r w:rsidRPr="00404A62">
              <w:rPr>
                <w:rFonts w:asciiTheme="majorHAnsi" w:hAnsiTheme="majorHAnsi" w:cstheme="majorHAnsi"/>
                <w:color w:val="231F20"/>
              </w:rPr>
              <w:t>Total</w:t>
            </w:r>
            <w:r w:rsidRPr="00404A62">
              <w:rPr>
                <w:rFonts w:asciiTheme="majorHAnsi" w:hAnsiTheme="majorHAnsi" w:cstheme="majorHAnsi"/>
                <w:color w:val="231F20"/>
                <w:spacing w:val="-2"/>
              </w:rPr>
              <w:t xml:space="preserve"> </w:t>
            </w:r>
            <w:r w:rsidRPr="00404A62">
              <w:rPr>
                <w:rFonts w:asciiTheme="majorHAnsi" w:hAnsiTheme="majorHAnsi" w:cstheme="majorHAnsi"/>
                <w:color w:val="231F20"/>
                <w:spacing w:val="-4"/>
              </w:rPr>
              <w:t>Beds</w:t>
            </w:r>
          </w:p>
        </w:tc>
      </w:tr>
      <w:tr w:rsidR="00AE2B38" w:rsidRPr="00A65348" w14:paraId="65B01588" w14:textId="77777777" w:rsidTr="00704101">
        <w:trPr>
          <w:cantSplit/>
          <w:trHeight w:val="251"/>
          <w:jc w:val="center"/>
        </w:trPr>
        <w:tc>
          <w:tcPr>
            <w:tcW w:w="0" w:type="auto"/>
          </w:tcPr>
          <w:p w14:paraId="13DF97E8" w14:textId="22CDDB82" w:rsidR="00AE2B38" w:rsidRPr="00404A62" w:rsidRDefault="00AE2B38" w:rsidP="00AE2B38">
            <w:pPr>
              <w:pStyle w:val="TableParagraph"/>
              <w:spacing w:before="41" w:line="139" w:lineRule="auto"/>
              <w:rPr>
                <w:rFonts w:asciiTheme="majorHAnsi" w:hAnsiTheme="majorHAnsi" w:cstheme="majorHAnsi"/>
              </w:rPr>
            </w:pPr>
            <w:r w:rsidRPr="00404A62">
              <w:rPr>
                <w:rFonts w:asciiTheme="majorHAnsi" w:hAnsiTheme="majorHAnsi" w:cstheme="majorHAnsi"/>
              </w:rPr>
              <w:t xml:space="preserve">  West Unit (secure)</w:t>
            </w:r>
          </w:p>
        </w:tc>
        <w:tc>
          <w:tcPr>
            <w:tcW w:w="0" w:type="auto"/>
          </w:tcPr>
          <w:p w14:paraId="03D366D7" w14:textId="71CE1F1C" w:rsidR="00AE2B38" w:rsidRPr="00404A62" w:rsidRDefault="00AE2B38" w:rsidP="00133E27">
            <w:pPr>
              <w:pStyle w:val="TableParagraph"/>
              <w:spacing w:line="232" w:lineRule="exact"/>
              <w:ind w:left="6"/>
              <w:jc w:val="center"/>
              <w:rPr>
                <w:rFonts w:asciiTheme="majorHAnsi" w:hAnsiTheme="majorHAnsi" w:cstheme="majorHAnsi"/>
              </w:rPr>
            </w:pPr>
            <w:r w:rsidRPr="00404A62">
              <w:rPr>
                <w:rFonts w:asciiTheme="majorHAnsi" w:hAnsiTheme="majorHAnsi" w:cstheme="majorHAnsi"/>
                <w:color w:val="231F20"/>
              </w:rPr>
              <w:t>3</w:t>
            </w:r>
          </w:p>
        </w:tc>
        <w:tc>
          <w:tcPr>
            <w:tcW w:w="0" w:type="auto"/>
          </w:tcPr>
          <w:p w14:paraId="601D0B7D" w14:textId="241E510A" w:rsidR="00AE2B38" w:rsidRPr="00404A62" w:rsidRDefault="00AE2B38" w:rsidP="00133E27">
            <w:pPr>
              <w:pStyle w:val="TableParagraph"/>
              <w:spacing w:line="232" w:lineRule="exact"/>
              <w:ind w:left="3"/>
              <w:jc w:val="center"/>
              <w:rPr>
                <w:rFonts w:asciiTheme="majorHAnsi" w:hAnsiTheme="majorHAnsi" w:cstheme="majorHAnsi"/>
              </w:rPr>
            </w:pPr>
            <w:r w:rsidRPr="00404A62">
              <w:rPr>
                <w:rFonts w:asciiTheme="majorHAnsi" w:hAnsiTheme="majorHAnsi" w:cstheme="majorHAnsi"/>
                <w:color w:val="231F20"/>
              </w:rPr>
              <w:t>4</w:t>
            </w:r>
          </w:p>
        </w:tc>
        <w:tc>
          <w:tcPr>
            <w:tcW w:w="0" w:type="auto"/>
          </w:tcPr>
          <w:p w14:paraId="554E9BE4" w14:textId="3CD28561" w:rsidR="00AE2B38" w:rsidRPr="00404A62" w:rsidRDefault="00AE2B38" w:rsidP="00133E27">
            <w:pPr>
              <w:pStyle w:val="TableParagraph"/>
              <w:spacing w:line="232" w:lineRule="exact"/>
              <w:ind w:left="5"/>
              <w:jc w:val="center"/>
              <w:rPr>
                <w:rFonts w:asciiTheme="majorHAnsi" w:hAnsiTheme="majorHAnsi" w:cstheme="majorHAnsi"/>
              </w:rPr>
            </w:pPr>
            <w:r w:rsidRPr="00404A62">
              <w:rPr>
                <w:rFonts w:asciiTheme="majorHAnsi" w:hAnsiTheme="majorHAnsi" w:cstheme="majorHAnsi"/>
                <w:color w:val="231F20"/>
              </w:rPr>
              <w:t>0</w:t>
            </w:r>
          </w:p>
        </w:tc>
        <w:tc>
          <w:tcPr>
            <w:tcW w:w="0" w:type="auto"/>
          </w:tcPr>
          <w:p w14:paraId="43BF5FBB" w14:textId="77777777" w:rsidR="00AE2B38" w:rsidRPr="00404A62" w:rsidRDefault="00AE2B38" w:rsidP="00133E27">
            <w:pPr>
              <w:pStyle w:val="TableParagraph"/>
              <w:spacing w:line="232" w:lineRule="exact"/>
              <w:ind w:left="9"/>
              <w:jc w:val="center"/>
              <w:rPr>
                <w:rFonts w:asciiTheme="majorHAnsi" w:hAnsiTheme="majorHAnsi" w:cstheme="majorHAnsi"/>
              </w:rPr>
            </w:pPr>
            <w:r w:rsidRPr="00404A62">
              <w:rPr>
                <w:rFonts w:asciiTheme="majorHAnsi" w:hAnsiTheme="majorHAnsi" w:cstheme="majorHAnsi"/>
                <w:color w:val="231F20"/>
              </w:rPr>
              <w:t>4</w:t>
            </w:r>
          </w:p>
        </w:tc>
        <w:tc>
          <w:tcPr>
            <w:tcW w:w="0" w:type="auto"/>
          </w:tcPr>
          <w:p w14:paraId="1FC863F9" w14:textId="101F229F" w:rsidR="00AE2B38" w:rsidRPr="00404A62" w:rsidRDefault="00AE2B38" w:rsidP="00133E27">
            <w:pPr>
              <w:pStyle w:val="TableParagraph"/>
              <w:spacing w:line="232" w:lineRule="exact"/>
              <w:ind w:left="158" w:right="152"/>
              <w:jc w:val="center"/>
              <w:rPr>
                <w:rFonts w:asciiTheme="majorHAnsi" w:hAnsiTheme="majorHAnsi" w:cstheme="majorHAnsi"/>
              </w:rPr>
            </w:pPr>
            <w:r w:rsidRPr="00404A62">
              <w:rPr>
                <w:rFonts w:asciiTheme="majorHAnsi" w:hAnsiTheme="majorHAnsi" w:cstheme="majorHAnsi"/>
              </w:rPr>
              <w:t>27</w:t>
            </w:r>
          </w:p>
        </w:tc>
      </w:tr>
      <w:tr w:rsidR="00AE2B38" w:rsidRPr="00A65348" w14:paraId="550C4FB6" w14:textId="77777777" w:rsidTr="00704101">
        <w:trPr>
          <w:cantSplit/>
          <w:trHeight w:val="253"/>
          <w:jc w:val="center"/>
        </w:trPr>
        <w:tc>
          <w:tcPr>
            <w:tcW w:w="0" w:type="auto"/>
          </w:tcPr>
          <w:p w14:paraId="2F36E696" w14:textId="0B616C62" w:rsidR="00AE2B38" w:rsidRPr="00404A62" w:rsidRDefault="00AE2B38" w:rsidP="00133E27">
            <w:pPr>
              <w:pStyle w:val="TableParagraph"/>
              <w:spacing w:before="41" w:line="139" w:lineRule="auto"/>
              <w:ind w:left="107"/>
              <w:rPr>
                <w:rFonts w:asciiTheme="majorHAnsi" w:hAnsiTheme="majorHAnsi" w:cstheme="majorHAnsi"/>
              </w:rPr>
            </w:pPr>
            <w:r w:rsidRPr="00404A62">
              <w:rPr>
                <w:rFonts w:asciiTheme="majorHAnsi" w:hAnsiTheme="majorHAnsi" w:cstheme="majorHAnsi"/>
              </w:rPr>
              <w:t xml:space="preserve">Central Unit </w:t>
            </w:r>
          </w:p>
        </w:tc>
        <w:tc>
          <w:tcPr>
            <w:tcW w:w="0" w:type="auto"/>
          </w:tcPr>
          <w:p w14:paraId="6838DCB6" w14:textId="77777777" w:rsidR="00AE2B38" w:rsidRPr="00404A62" w:rsidRDefault="00AE2B38" w:rsidP="00133E27">
            <w:pPr>
              <w:pStyle w:val="TableParagraph"/>
              <w:spacing w:line="234" w:lineRule="exact"/>
              <w:ind w:left="6"/>
              <w:jc w:val="center"/>
              <w:rPr>
                <w:rFonts w:asciiTheme="majorHAnsi" w:hAnsiTheme="majorHAnsi" w:cstheme="majorHAnsi"/>
              </w:rPr>
            </w:pPr>
            <w:r w:rsidRPr="00404A62">
              <w:rPr>
                <w:rFonts w:asciiTheme="majorHAnsi" w:hAnsiTheme="majorHAnsi" w:cstheme="majorHAnsi"/>
                <w:color w:val="231F20"/>
              </w:rPr>
              <w:t>1</w:t>
            </w:r>
          </w:p>
        </w:tc>
        <w:tc>
          <w:tcPr>
            <w:tcW w:w="0" w:type="auto"/>
          </w:tcPr>
          <w:p w14:paraId="6878123F" w14:textId="75AC4B66" w:rsidR="00AE2B38" w:rsidRPr="00404A62" w:rsidRDefault="00AE2B38" w:rsidP="00133E27">
            <w:pPr>
              <w:pStyle w:val="TableParagraph"/>
              <w:spacing w:line="234" w:lineRule="exact"/>
              <w:ind w:left="3"/>
              <w:jc w:val="center"/>
              <w:rPr>
                <w:rFonts w:asciiTheme="majorHAnsi" w:hAnsiTheme="majorHAnsi" w:cstheme="majorHAnsi"/>
              </w:rPr>
            </w:pPr>
            <w:r w:rsidRPr="00404A62">
              <w:rPr>
                <w:rFonts w:asciiTheme="majorHAnsi" w:hAnsiTheme="majorHAnsi" w:cstheme="majorHAnsi"/>
              </w:rPr>
              <w:t>6</w:t>
            </w:r>
          </w:p>
        </w:tc>
        <w:tc>
          <w:tcPr>
            <w:tcW w:w="0" w:type="auto"/>
          </w:tcPr>
          <w:p w14:paraId="6160FCD0" w14:textId="77777777" w:rsidR="00AE2B38" w:rsidRPr="00404A62" w:rsidRDefault="00AE2B38" w:rsidP="00133E27">
            <w:pPr>
              <w:pStyle w:val="TableParagraph"/>
              <w:spacing w:line="234" w:lineRule="exact"/>
              <w:ind w:left="5"/>
              <w:jc w:val="center"/>
              <w:rPr>
                <w:rFonts w:asciiTheme="majorHAnsi" w:hAnsiTheme="majorHAnsi" w:cstheme="majorHAnsi"/>
              </w:rPr>
            </w:pPr>
            <w:r w:rsidRPr="00404A62">
              <w:rPr>
                <w:rFonts w:asciiTheme="majorHAnsi" w:hAnsiTheme="majorHAnsi" w:cstheme="majorHAnsi"/>
                <w:color w:val="231F20"/>
              </w:rPr>
              <w:t>0</w:t>
            </w:r>
          </w:p>
        </w:tc>
        <w:tc>
          <w:tcPr>
            <w:tcW w:w="0" w:type="auto"/>
          </w:tcPr>
          <w:p w14:paraId="60CF900D" w14:textId="3343A473" w:rsidR="00AE2B38" w:rsidRPr="00404A62" w:rsidRDefault="00AE2B38" w:rsidP="00133E27">
            <w:pPr>
              <w:pStyle w:val="TableParagraph"/>
              <w:spacing w:line="234" w:lineRule="exact"/>
              <w:ind w:left="9"/>
              <w:jc w:val="center"/>
              <w:rPr>
                <w:rFonts w:asciiTheme="majorHAnsi" w:hAnsiTheme="majorHAnsi" w:cstheme="majorHAnsi"/>
              </w:rPr>
            </w:pPr>
            <w:r w:rsidRPr="00404A62">
              <w:rPr>
                <w:rFonts w:asciiTheme="majorHAnsi" w:hAnsiTheme="majorHAnsi" w:cstheme="majorHAnsi"/>
                <w:color w:val="231F20"/>
              </w:rPr>
              <w:t>3</w:t>
            </w:r>
          </w:p>
        </w:tc>
        <w:tc>
          <w:tcPr>
            <w:tcW w:w="0" w:type="auto"/>
          </w:tcPr>
          <w:p w14:paraId="15D6306C" w14:textId="671305C5" w:rsidR="00AE2B38" w:rsidRPr="00404A62" w:rsidRDefault="00AE2B38" w:rsidP="00133E27">
            <w:pPr>
              <w:pStyle w:val="TableParagraph"/>
              <w:spacing w:line="234" w:lineRule="exact"/>
              <w:ind w:left="158" w:right="152"/>
              <w:jc w:val="center"/>
              <w:rPr>
                <w:rFonts w:asciiTheme="majorHAnsi" w:hAnsiTheme="majorHAnsi" w:cstheme="majorHAnsi"/>
              </w:rPr>
            </w:pPr>
            <w:r w:rsidRPr="00404A62">
              <w:rPr>
                <w:rFonts w:asciiTheme="majorHAnsi" w:hAnsiTheme="majorHAnsi" w:cstheme="majorHAnsi"/>
              </w:rPr>
              <w:t>25</w:t>
            </w:r>
          </w:p>
        </w:tc>
      </w:tr>
      <w:tr w:rsidR="00AE2B38" w:rsidRPr="00A65348" w14:paraId="68061B69" w14:textId="77777777" w:rsidTr="00704101">
        <w:trPr>
          <w:cantSplit/>
          <w:trHeight w:val="251"/>
          <w:jc w:val="center"/>
        </w:trPr>
        <w:tc>
          <w:tcPr>
            <w:tcW w:w="0" w:type="auto"/>
          </w:tcPr>
          <w:p w14:paraId="545AE6F6" w14:textId="02982BB2" w:rsidR="00AE2B38" w:rsidRPr="00404A62" w:rsidRDefault="00AE2B38" w:rsidP="00133E27">
            <w:pPr>
              <w:pStyle w:val="TableParagraph"/>
              <w:spacing w:before="41" w:line="139" w:lineRule="auto"/>
              <w:ind w:left="107"/>
              <w:rPr>
                <w:rFonts w:asciiTheme="majorHAnsi" w:hAnsiTheme="majorHAnsi" w:cstheme="majorHAnsi"/>
              </w:rPr>
            </w:pPr>
            <w:r w:rsidRPr="00404A62">
              <w:rPr>
                <w:rFonts w:asciiTheme="majorHAnsi" w:hAnsiTheme="majorHAnsi" w:cstheme="majorHAnsi"/>
              </w:rPr>
              <w:t xml:space="preserve">North Unit </w:t>
            </w:r>
          </w:p>
        </w:tc>
        <w:tc>
          <w:tcPr>
            <w:tcW w:w="0" w:type="auto"/>
          </w:tcPr>
          <w:p w14:paraId="3E5B5025" w14:textId="77777777" w:rsidR="00AE2B38" w:rsidRPr="00404A62" w:rsidRDefault="00AE2B38" w:rsidP="00133E27">
            <w:pPr>
              <w:pStyle w:val="TableParagraph"/>
              <w:spacing w:line="232" w:lineRule="exact"/>
              <w:ind w:left="6"/>
              <w:jc w:val="center"/>
              <w:rPr>
                <w:rFonts w:asciiTheme="majorHAnsi" w:hAnsiTheme="majorHAnsi" w:cstheme="majorHAnsi"/>
              </w:rPr>
            </w:pPr>
            <w:r w:rsidRPr="00404A62">
              <w:rPr>
                <w:rFonts w:asciiTheme="majorHAnsi" w:hAnsiTheme="majorHAnsi" w:cstheme="majorHAnsi"/>
                <w:color w:val="231F20"/>
              </w:rPr>
              <w:t>1</w:t>
            </w:r>
          </w:p>
        </w:tc>
        <w:tc>
          <w:tcPr>
            <w:tcW w:w="0" w:type="auto"/>
          </w:tcPr>
          <w:p w14:paraId="501E810B" w14:textId="3EBAA7D7" w:rsidR="00AE2B38" w:rsidRPr="00404A62" w:rsidRDefault="00AE2B38" w:rsidP="00133E27">
            <w:pPr>
              <w:pStyle w:val="TableParagraph"/>
              <w:spacing w:line="232" w:lineRule="exact"/>
              <w:ind w:left="3"/>
              <w:jc w:val="center"/>
              <w:rPr>
                <w:rFonts w:asciiTheme="majorHAnsi" w:hAnsiTheme="majorHAnsi" w:cstheme="majorHAnsi"/>
              </w:rPr>
            </w:pPr>
            <w:r w:rsidRPr="00404A62">
              <w:rPr>
                <w:rFonts w:asciiTheme="majorHAnsi" w:hAnsiTheme="majorHAnsi" w:cstheme="majorHAnsi"/>
              </w:rPr>
              <w:t>6</w:t>
            </w:r>
          </w:p>
        </w:tc>
        <w:tc>
          <w:tcPr>
            <w:tcW w:w="0" w:type="auto"/>
          </w:tcPr>
          <w:p w14:paraId="3D496886" w14:textId="5158E84F" w:rsidR="00AE2B38" w:rsidRPr="00404A62" w:rsidRDefault="00AE2B38" w:rsidP="00133E27">
            <w:pPr>
              <w:pStyle w:val="TableParagraph"/>
              <w:spacing w:line="232" w:lineRule="exact"/>
              <w:ind w:left="5"/>
              <w:jc w:val="center"/>
              <w:rPr>
                <w:rFonts w:asciiTheme="majorHAnsi" w:hAnsiTheme="majorHAnsi" w:cstheme="majorHAnsi"/>
              </w:rPr>
            </w:pPr>
            <w:r w:rsidRPr="00404A62">
              <w:rPr>
                <w:rFonts w:asciiTheme="majorHAnsi" w:hAnsiTheme="majorHAnsi" w:cstheme="majorHAnsi"/>
                <w:color w:val="231F20"/>
              </w:rPr>
              <w:t>0</w:t>
            </w:r>
          </w:p>
        </w:tc>
        <w:tc>
          <w:tcPr>
            <w:tcW w:w="0" w:type="auto"/>
          </w:tcPr>
          <w:p w14:paraId="443BBB3D" w14:textId="77777777" w:rsidR="00AE2B38" w:rsidRPr="00404A62" w:rsidRDefault="00AE2B38" w:rsidP="00133E27">
            <w:pPr>
              <w:pStyle w:val="TableParagraph"/>
              <w:spacing w:line="232" w:lineRule="exact"/>
              <w:ind w:left="9"/>
              <w:jc w:val="center"/>
              <w:rPr>
                <w:rFonts w:asciiTheme="majorHAnsi" w:hAnsiTheme="majorHAnsi" w:cstheme="majorHAnsi"/>
              </w:rPr>
            </w:pPr>
            <w:r w:rsidRPr="00404A62">
              <w:rPr>
                <w:rFonts w:asciiTheme="majorHAnsi" w:hAnsiTheme="majorHAnsi" w:cstheme="majorHAnsi"/>
                <w:color w:val="231F20"/>
              </w:rPr>
              <w:t>4</w:t>
            </w:r>
          </w:p>
        </w:tc>
        <w:tc>
          <w:tcPr>
            <w:tcW w:w="0" w:type="auto"/>
          </w:tcPr>
          <w:p w14:paraId="428AF5D7" w14:textId="285D2F15" w:rsidR="00AE2B38" w:rsidRPr="00404A62" w:rsidRDefault="00AE2B38" w:rsidP="00133E27">
            <w:pPr>
              <w:pStyle w:val="TableParagraph"/>
              <w:spacing w:line="232" w:lineRule="exact"/>
              <w:ind w:left="158" w:right="152"/>
              <w:jc w:val="center"/>
              <w:rPr>
                <w:rFonts w:asciiTheme="majorHAnsi" w:hAnsiTheme="majorHAnsi" w:cstheme="majorHAnsi"/>
              </w:rPr>
            </w:pPr>
            <w:r w:rsidRPr="00404A62">
              <w:rPr>
                <w:rFonts w:asciiTheme="majorHAnsi" w:hAnsiTheme="majorHAnsi" w:cstheme="majorHAnsi"/>
                <w:color w:val="231F20"/>
                <w:spacing w:val="-5"/>
              </w:rPr>
              <w:t>29</w:t>
            </w:r>
          </w:p>
        </w:tc>
      </w:tr>
      <w:tr w:rsidR="00AE2B38" w:rsidRPr="00A65348" w14:paraId="1F369D71" w14:textId="77777777" w:rsidTr="00704101">
        <w:trPr>
          <w:cantSplit/>
          <w:trHeight w:val="253"/>
          <w:jc w:val="center"/>
        </w:trPr>
        <w:tc>
          <w:tcPr>
            <w:tcW w:w="0" w:type="auto"/>
          </w:tcPr>
          <w:p w14:paraId="4D5670F9" w14:textId="77777777" w:rsidR="00AE2B38" w:rsidRPr="00404A62" w:rsidRDefault="00AE2B38" w:rsidP="00133E27">
            <w:pPr>
              <w:pStyle w:val="TableParagraph"/>
              <w:spacing w:line="234" w:lineRule="exact"/>
              <w:ind w:left="107"/>
              <w:rPr>
                <w:rFonts w:asciiTheme="majorHAnsi" w:hAnsiTheme="majorHAnsi" w:cstheme="majorHAnsi"/>
              </w:rPr>
            </w:pPr>
            <w:r w:rsidRPr="00404A62">
              <w:rPr>
                <w:rFonts w:asciiTheme="majorHAnsi" w:hAnsiTheme="majorHAnsi" w:cstheme="majorHAnsi"/>
                <w:color w:val="231F20"/>
                <w:spacing w:val="-2"/>
              </w:rPr>
              <w:t>Total</w:t>
            </w:r>
          </w:p>
        </w:tc>
        <w:tc>
          <w:tcPr>
            <w:tcW w:w="0" w:type="auto"/>
          </w:tcPr>
          <w:p w14:paraId="0838D488" w14:textId="55C67A61" w:rsidR="00AE2B38" w:rsidRPr="00404A62" w:rsidRDefault="007E4849" w:rsidP="007E4849">
            <w:pPr>
              <w:pStyle w:val="TableParagraph"/>
              <w:spacing w:line="234" w:lineRule="exact"/>
              <w:ind w:left="4"/>
              <w:jc w:val="center"/>
              <w:rPr>
                <w:rFonts w:asciiTheme="majorHAnsi" w:hAnsiTheme="majorHAnsi" w:cstheme="majorHAnsi"/>
              </w:rPr>
            </w:pPr>
            <w:r w:rsidRPr="00404A62">
              <w:rPr>
                <w:rFonts w:asciiTheme="majorHAnsi" w:hAnsiTheme="majorHAnsi" w:cstheme="majorHAnsi"/>
              </w:rPr>
              <w:t>5</w:t>
            </w:r>
          </w:p>
        </w:tc>
        <w:tc>
          <w:tcPr>
            <w:tcW w:w="0" w:type="auto"/>
          </w:tcPr>
          <w:p w14:paraId="073E113E" w14:textId="557B4303" w:rsidR="00AE2B38" w:rsidRPr="00404A62" w:rsidRDefault="00744BE9" w:rsidP="00744BE9">
            <w:pPr>
              <w:pStyle w:val="TableParagraph"/>
              <w:spacing w:line="234" w:lineRule="exact"/>
              <w:ind w:left="158" w:right="156"/>
              <w:jc w:val="center"/>
              <w:rPr>
                <w:rFonts w:asciiTheme="majorHAnsi" w:hAnsiTheme="majorHAnsi" w:cstheme="majorHAnsi"/>
              </w:rPr>
            </w:pPr>
            <w:r w:rsidRPr="00404A62">
              <w:rPr>
                <w:rFonts w:asciiTheme="majorHAnsi" w:hAnsiTheme="majorHAnsi" w:cstheme="majorHAnsi"/>
              </w:rPr>
              <w:t>16</w:t>
            </w:r>
          </w:p>
        </w:tc>
        <w:tc>
          <w:tcPr>
            <w:tcW w:w="0" w:type="auto"/>
          </w:tcPr>
          <w:p w14:paraId="732834F6" w14:textId="32D3D870" w:rsidR="00AE2B38" w:rsidRPr="00404A62" w:rsidRDefault="00C52DC3" w:rsidP="00133E27">
            <w:pPr>
              <w:pStyle w:val="TableParagraph"/>
              <w:spacing w:line="234" w:lineRule="exact"/>
              <w:ind w:left="100" w:right="96"/>
              <w:jc w:val="center"/>
              <w:rPr>
                <w:rFonts w:asciiTheme="majorHAnsi" w:hAnsiTheme="majorHAnsi" w:cstheme="majorHAnsi"/>
              </w:rPr>
            </w:pPr>
            <w:r w:rsidRPr="00404A62">
              <w:rPr>
                <w:rFonts w:asciiTheme="majorHAnsi" w:hAnsiTheme="majorHAnsi" w:cstheme="majorHAnsi"/>
              </w:rPr>
              <w:t>0</w:t>
            </w:r>
          </w:p>
        </w:tc>
        <w:tc>
          <w:tcPr>
            <w:tcW w:w="0" w:type="auto"/>
          </w:tcPr>
          <w:p w14:paraId="6884BF78" w14:textId="32B83C48" w:rsidR="00AE2B38" w:rsidRPr="00404A62" w:rsidRDefault="00740D2A" w:rsidP="00740D2A">
            <w:pPr>
              <w:pStyle w:val="TableParagraph"/>
              <w:spacing w:line="234" w:lineRule="exact"/>
              <w:ind w:left="100" w:right="92"/>
              <w:jc w:val="center"/>
              <w:rPr>
                <w:rFonts w:asciiTheme="majorHAnsi" w:hAnsiTheme="majorHAnsi" w:cstheme="majorHAnsi"/>
              </w:rPr>
            </w:pPr>
            <w:r w:rsidRPr="00404A62">
              <w:rPr>
                <w:rFonts w:asciiTheme="majorHAnsi" w:hAnsiTheme="majorHAnsi" w:cstheme="majorHAnsi"/>
              </w:rPr>
              <w:t>11</w:t>
            </w:r>
          </w:p>
        </w:tc>
        <w:tc>
          <w:tcPr>
            <w:tcW w:w="0" w:type="auto"/>
          </w:tcPr>
          <w:p w14:paraId="47B25368" w14:textId="2CE036CD" w:rsidR="00AE2B38" w:rsidRPr="00404A62" w:rsidRDefault="00C52DC3" w:rsidP="00133E27">
            <w:pPr>
              <w:pStyle w:val="TableParagraph"/>
              <w:spacing w:line="234" w:lineRule="exact"/>
              <w:ind w:left="158" w:right="152"/>
              <w:jc w:val="center"/>
              <w:rPr>
                <w:rFonts w:asciiTheme="majorHAnsi" w:hAnsiTheme="majorHAnsi" w:cstheme="majorHAnsi"/>
              </w:rPr>
            </w:pPr>
            <w:r w:rsidRPr="00404A62">
              <w:rPr>
                <w:rFonts w:asciiTheme="majorHAnsi" w:hAnsiTheme="majorHAnsi" w:cstheme="majorHAnsi"/>
              </w:rPr>
              <w:t>81</w:t>
            </w:r>
          </w:p>
        </w:tc>
      </w:tr>
    </w:tbl>
    <w:p w14:paraId="103B6240" w14:textId="77777777" w:rsidR="00AE2B38" w:rsidRDefault="00AE2B38">
      <w:pPr>
        <w:spacing w:line="240" w:lineRule="auto"/>
      </w:pPr>
    </w:p>
    <w:p w14:paraId="2049B3D2" w14:textId="280BC9C2" w:rsidR="00AE2B38" w:rsidRDefault="00C52DC3">
      <w:pPr>
        <w:spacing w:line="240" w:lineRule="auto"/>
      </w:pPr>
      <w:r>
        <w:t>T</w:t>
      </w:r>
      <w:r w:rsidR="00AE2B38">
        <w:t xml:space="preserve">he second floor of the facility houses administrative functions, including office space for the administrator, facilities </w:t>
      </w:r>
      <w:r w:rsidR="00D83BE8">
        <w:t>d</w:t>
      </w:r>
      <w:r w:rsidR="00AE2B38">
        <w:t xml:space="preserve">irector, </w:t>
      </w:r>
      <w:r w:rsidR="00D83BE8">
        <w:t>d</w:t>
      </w:r>
      <w:r w:rsidR="00AE2B38">
        <w:t xml:space="preserve">irector of </w:t>
      </w:r>
      <w:r w:rsidR="00D83BE8">
        <w:t>n</w:t>
      </w:r>
      <w:r w:rsidR="00AE2B38">
        <w:t xml:space="preserve">ursing, </w:t>
      </w:r>
      <w:r w:rsidR="00D83BE8">
        <w:t>a</w:t>
      </w:r>
      <w:r w:rsidR="00AE2B38">
        <w:t xml:space="preserve">ctivities </w:t>
      </w:r>
      <w:r w:rsidR="00D83BE8">
        <w:t>d</w:t>
      </w:r>
      <w:r w:rsidR="00AE2B38">
        <w:t xml:space="preserve">irector, and </w:t>
      </w:r>
      <w:r w:rsidR="00D83BE8">
        <w:t>s</w:t>
      </w:r>
      <w:r w:rsidR="00AE2B38">
        <w:t xml:space="preserve">ocial </w:t>
      </w:r>
      <w:r w:rsidR="00D83BE8">
        <w:t>w</w:t>
      </w:r>
      <w:r w:rsidR="00AE2B38">
        <w:t>orker</w:t>
      </w:r>
      <w:r>
        <w:t xml:space="preserve"> and t</w:t>
      </w:r>
      <w:r w:rsidR="00AE2B38">
        <w:t xml:space="preserve">he Facility has a basement which includes laundry and storage areas. </w:t>
      </w:r>
    </w:p>
    <w:p w14:paraId="7F63A605" w14:textId="77777777" w:rsidR="00C52DC3" w:rsidRDefault="00C52DC3">
      <w:pPr>
        <w:spacing w:after="0" w:line="240" w:lineRule="auto"/>
      </w:pPr>
    </w:p>
    <w:p w14:paraId="0000000F" w14:textId="77777777" w:rsidR="00350CD8" w:rsidRPr="000649C1" w:rsidRDefault="00EC32CB">
      <w:pPr>
        <w:spacing w:after="0"/>
        <w:rPr>
          <w:u w:val="single"/>
        </w:rPr>
      </w:pPr>
      <w:r w:rsidRPr="000649C1">
        <w:rPr>
          <w:b/>
          <w:u w:val="single"/>
        </w:rPr>
        <w:t>The Proposed Project</w:t>
      </w:r>
      <w:r w:rsidRPr="000649C1">
        <w:rPr>
          <w:u w:val="single"/>
        </w:rPr>
        <w:t xml:space="preserve"> </w:t>
      </w:r>
    </w:p>
    <w:p w14:paraId="00000010" w14:textId="45E08789" w:rsidR="00350CD8" w:rsidRDefault="00EC32CB">
      <w:pPr>
        <w:spacing w:line="240" w:lineRule="auto"/>
      </w:pPr>
      <w:r>
        <w:t xml:space="preserve">Through the Proposed Project, the Applicant aims to </w:t>
      </w:r>
      <w:r w:rsidR="00C52DC3">
        <w:t xml:space="preserve">improve the quality of patient care and quality of life for all existing and future residents of Pine Knoll Nursing Center. The Applicant is proposing to construct a forty-one bed, 16,900 square foot addition to the existing Facility in order to comply with the Department’s </w:t>
      </w:r>
      <w:r w:rsidR="00CF4612">
        <w:t>D</w:t>
      </w:r>
      <w:r w:rsidR="00C52DC3">
        <w:t xml:space="preserve">e-densification </w:t>
      </w:r>
      <w:r w:rsidR="00CF4612">
        <w:t>R</w:t>
      </w:r>
      <w:r w:rsidR="00C52DC3">
        <w:t xml:space="preserve">equirements. </w:t>
      </w:r>
      <w:r w:rsidR="007E4849">
        <w:t xml:space="preserve">The Facility will relocate 22 beds </w:t>
      </w:r>
      <w:r w:rsidR="00D5396D">
        <w:t>from</w:t>
      </w:r>
      <w:r w:rsidR="007E4849">
        <w:t xml:space="preserve"> the four-bedded rooms to the new addition. </w:t>
      </w:r>
      <w:r w:rsidR="00C52DC3">
        <w:t>The new addition would accommodate all of the beds in the four-bedded rooms and twelve additional beds under the Facility’s one-time regulatory allowance, for a total of 93 licensed beds. All 11 four-bedded rooms will be eliminated.</w:t>
      </w:r>
    </w:p>
    <w:p w14:paraId="680B7B94" w14:textId="11417757" w:rsidR="007E4849" w:rsidRDefault="007E4849">
      <w:pPr>
        <w:spacing w:line="240" w:lineRule="auto"/>
      </w:pPr>
      <w:r>
        <w:t xml:space="preserve">The Proposed Project also includes renovations/upgrades to the existing structure to meet the discharge needs of area hospitals and communities. </w:t>
      </w:r>
    </w:p>
    <w:p w14:paraId="00000013" w14:textId="047D80A9" w:rsidR="00350CD8" w:rsidRDefault="00C52DC3" w:rsidP="00C52DC3">
      <w:pPr>
        <w:pBdr>
          <w:top w:val="nil"/>
          <w:left w:val="nil"/>
          <w:bottom w:val="nil"/>
          <w:right w:val="nil"/>
          <w:between w:val="nil"/>
        </w:pBdr>
        <w:spacing w:after="0" w:line="240" w:lineRule="auto"/>
        <w:rPr>
          <w:color w:val="000000"/>
        </w:rPr>
      </w:pPr>
      <w:r>
        <w:rPr>
          <w:color w:val="000000"/>
        </w:rPr>
        <w:t xml:space="preserve">The proposed bed configuration is presented in Table 2 below. </w:t>
      </w:r>
    </w:p>
    <w:p w14:paraId="6F8D8E6E" w14:textId="249E0068" w:rsidR="00C52DC3" w:rsidRDefault="00C52DC3" w:rsidP="00C52DC3">
      <w:pPr>
        <w:pBdr>
          <w:top w:val="nil"/>
          <w:left w:val="nil"/>
          <w:bottom w:val="nil"/>
          <w:right w:val="nil"/>
          <w:between w:val="nil"/>
        </w:pBdr>
        <w:spacing w:after="0" w:line="240" w:lineRule="auto"/>
        <w:rPr>
          <w:color w:val="000000"/>
        </w:rPr>
      </w:pPr>
    </w:p>
    <w:p w14:paraId="11858982" w14:textId="27926CBE" w:rsidR="00C52DC3" w:rsidRPr="00404A62" w:rsidRDefault="00C52DC3" w:rsidP="00C52DC3">
      <w:pPr>
        <w:spacing w:line="240" w:lineRule="auto"/>
        <w:jc w:val="center"/>
        <w:rPr>
          <w:rFonts w:asciiTheme="majorHAnsi" w:hAnsiTheme="majorHAnsi" w:cstheme="majorHAnsi"/>
        </w:rPr>
      </w:pPr>
      <w:r w:rsidRPr="00404A62">
        <w:rPr>
          <w:rFonts w:asciiTheme="majorHAnsi" w:hAnsiTheme="majorHAnsi" w:cstheme="majorHAnsi"/>
        </w:rPr>
        <w:t xml:space="preserve">Table 2: Pine Knoll Nursing Center </w:t>
      </w:r>
      <w:r w:rsidR="00195F57" w:rsidRPr="00404A62">
        <w:rPr>
          <w:rFonts w:asciiTheme="majorHAnsi" w:hAnsiTheme="majorHAnsi" w:cstheme="majorHAnsi"/>
        </w:rPr>
        <w:t xml:space="preserve">Proposed </w:t>
      </w:r>
      <w:r w:rsidRPr="00404A62">
        <w:rPr>
          <w:rFonts w:asciiTheme="majorHAnsi" w:hAnsiTheme="majorHAnsi" w:cstheme="majorHAnsi"/>
        </w:rPr>
        <w:t>Bed Configuration</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71"/>
        <w:gridCol w:w="1033"/>
        <w:gridCol w:w="1608"/>
        <w:gridCol w:w="1636"/>
        <w:gridCol w:w="1519"/>
        <w:gridCol w:w="1296"/>
      </w:tblGrid>
      <w:tr w:rsidR="00C52DC3" w:rsidRPr="00D5396D" w14:paraId="4CA146F1" w14:textId="77777777" w:rsidTr="00704101">
        <w:trPr>
          <w:cantSplit/>
          <w:trHeight w:val="251"/>
          <w:tblHeader/>
          <w:jc w:val="center"/>
        </w:trPr>
        <w:tc>
          <w:tcPr>
            <w:tcW w:w="8963" w:type="dxa"/>
            <w:gridSpan w:val="6"/>
            <w:shd w:val="clear" w:color="auto" w:fill="D9DBDC"/>
          </w:tcPr>
          <w:p w14:paraId="4AF8FA25" w14:textId="6BC4D254" w:rsidR="00C52DC3" w:rsidRPr="00404A62" w:rsidRDefault="00C52DC3" w:rsidP="00133E27">
            <w:pPr>
              <w:pStyle w:val="TableParagraph"/>
              <w:spacing w:line="232" w:lineRule="exact"/>
              <w:ind w:left="2435" w:right="2426"/>
              <w:jc w:val="center"/>
              <w:rPr>
                <w:rFonts w:asciiTheme="majorHAnsi" w:hAnsiTheme="majorHAnsi" w:cstheme="majorHAnsi"/>
              </w:rPr>
            </w:pPr>
            <w:r w:rsidRPr="00404A62">
              <w:rPr>
                <w:rFonts w:asciiTheme="majorHAnsi" w:hAnsiTheme="majorHAnsi" w:cstheme="majorHAnsi"/>
                <w:color w:val="231F20"/>
              </w:rPr>
              <w:t>Proposed</w:t>
            </w:r>
            <w:r w:rsidRPr="00404A62">
              <w:rPr>
                <w:rFonts w:asciiTheme="majorHAnsi" w:hAnsiTheme="majorHAnsi" w:cstheme="majorHAnsi"/>
                <w:color w:val="231F20"/>
                <w:spacing w:val="-2"/>
              </w:rPr>
              <w:t xml:space="preserve"> </w:t>
            </w:r>
            <w:r w:rsidRPr="00404A62">
              <w:rPr>
                <w:rFonts w:asciiTheme="majorHAnsi" w:hAnsiTheme="majorHAnsi" w:cstheme="majorHAnsi"/>
                <w:color w:val="231F20"/>
              </w:rPr>
              <w:t>Facility</w:t>
            </w:r>
            <w:r w:rsidRPr="00404A62">
              <w:rPr>
                <w:rFonts w:asciiTheme="majorHAnsi" w:hAnsiTheme="majorHAnsi" w:cstheme="majorHAnsi"/>
                <w:color w:val="231F20"/>
                <w:spacing w:val="-6"/>
              </w:rPr>
              <w:t xml:space="preserve"> </w:t>
            </w:r>
            <w:r w:rsidRPr="00404A62">
              <w:rPr>
                <w:rFonts w:asciiTheme="majorHAnsi" w:hAnsiTheme="majorHAnsi" w:cstheme="majorHAnsi"/>
                <w:color w:val="231F20"/>
              </w:rPr>
              <w:t>Bedroom</w:t>
            </w:r>
            <w:r w:rsidRPr="00404A62">
              <w:rPr>
                <w:rFonts w:asciiTheme="majorHAnsi" w:hAnsiTheme="majorHAnsi" w:cstheme="majorHAnsi"/>
                <w:color w:val="231F20"/>
                <w:spacing w:val="-6"/>
              </w:rPr>
              <w:t xml:space="preserve"> </w:t>
            </w:r>
            <w:r w:rsidRPr="00404A62">
              <w:rPr>
                <w:rFonts w:asciiTheme="majorHAnsi" w:hAnsiTheme="majorHAnsi" w:cstheme="majorHAnsi"/>
                <w:color w:val="231F20"/>
                <w:spacing w:val="-2"/>
              </w:rPr>
              <w:t>Configuration</w:t>
            </w:r>
          </w:p>
        </w:tc>
      </w:tr>
      <w:tr w:rsidR="00C52DC3" w:rsidRPr="00D5396D" w14:paraId="57051B3D" w14:textId="77777777" w:rsidTr="00704101">
        <w:trPr>
          <w:cantSplit/>
          <w:trHeight w:val="277"/>
          <w:tblHeader/>
          <w:jc w:val="center"/>
        </w:trPr>
        <w:tc>
          <w:tcPr>
            <w:tcW w:w="1871" w:type="dxa"/>
            <w:shd w:val="clear" w:color="auto" w:fill="DBE5F1" w:themeFill="accent1" w:themeFillTint="33"/>
          </w:tcPr>
          <w:p w14:paraId="622B5BCC" w14:textId="77777777" w:rsidR="00C52DC3" w:rsidRPr="00404A62" w:rsidRDefault="00C52DC3" w:rsidP="00133E27">
            <w:pPr>
              <w:pStyle w:val="TableParagraph"/>
              <w:spacing w:line="249" w:lineRule="exact"/>
              <w:rPr>
                <w:rFonts w:asciiTheme="majorHAnsi" w:hAnsiTheme="majorHAnsi" w:cstheme="majorHAnsi"/>
              </w:rPr>
            </w:pPr>
            <w:r w:rsidRPr="00404A62">
              <w:rPr>
                <w:rFonts w:asciiTheme="majorHAnsi" w:hAnsiTheme="majorHAnsi" w:cstheme="majorHAnsi"/>
              </w:rPr>
              <w:t>Unit</w:t>
            </w:r>
          </w:p>
        </w:tc>
        <w:tc>
          <w:tcPr>
            <w:tcW w:w="1033" w:type="dxa"/>
            <w:shd w:val="clear" w:color="auto" w:fill="DBE5F1" w:themeFill="accent1" w:themeFillTint="33"/>
          </w:tcPr>
          <w:p w14:paraId="346D8F8E" w14:textId="73EE8DB5" w:rsidR="00C52DC3" w:rsidRPr="00404A62" w:rsidRDefault="00C52DC3" w:rsidP="00133E27">
            <w:pPr>
              <w:pStyle w:val="TableParagraph"/>
              <w:spacing w:line="258" w:lineRule="exact"/>
              <w:ind w:left="100" w:right="97"/>
              <w:jc w:val="center"/>
              <w:rPr>
                <w:rFonts w:asciiTheme="majorHAnsi" w:hAnsiTheme="majorHAnsi" w:cstheme="majorHAnsi"/>
                <w:sz w:val="24"/>
              </w:rPr>
            </w:pPr>
            <w:r w:rsidRPr="00404A62">
              <w:rPr>
                <w:rFonts w:asciiTheme="majorHAnsi" w:hAnsiTheme="majorHAnsi" w:cstheme="majorHAnsi"/>
                <w:color w:val="231F20"/>
                <w:spacing w:val="-2"/>
                <w:sz w:val="24"/>
              </w:rPr>
              <w:t>Private</w:t>
            </w:r>
          </w:p>
        </w:tc>
        <w:tc>
          <w:tcPr>
            <w:tcW w:w="1608" w:type="dxa"/>
            <w:shd w:val="clear" w:color="auto" w:fill="DBE5F1" w:themeFill="accent1" w:themeFillTint="33"/>
          </w:tcPr>
          <w:p w14:paraId="6A290A62" w14:textId="77777777" w:rsidR="00C52DC3" w:rsidRPr="00404A62" w:rsidRDefault="00C52DC3" w:rsidP="00133E27">
            <w:pPr>
              <w:pStyle w:val="TableParagraph"/>
              <w:spacing w:line="258" w:lineRule="exact"/>
              <w:ind w:left="158" w:right="159"/>
              <w:jc w:val="center"/>
              <w:rPr>
                <w:rFonts w:asciiTheme="majorHAnsi" w:hAnsiTheme="majorHAnsi" w:cstheme="majorHAnsi"/>
                <w:sz w:val="24"/>
              </w:rPr>
            </w:pPr>
            <w:r w:rsidRPr="00404A62">
              <w:rPr>
                <w:rFonts w:asciiTheme="majorHAnsi" w:hAnsiTheme="majorHAnsi" w:cstheme="majorHAnsi"/>
                <w:color w:val="231F20"/>
                <w:spacing w:val="-2"/>
                <w:sz w:val="24"/>
              </w:rPr>
              <w:t>Two-bedded</w:t>
            </w:r>
          </w:p>
        </w:tc>
        <w:tc>
          <w:tcPr>
            <w:tcW w:w="1636" w:type="dxa"/>
            <w:shd w:val="clear" w:color="auto" w:fill="DBE5F1" w:themeFill="accent1" w:themeFillTint="33"/>
          </w:tcPr>
          <w:p w14:paraId="43803C99" w14:textId="77777777" w:rsidR="00C52DC3" w:rsidRPr="00404A62" w:rsidRDefault="00C52DC3" w:rsidP="00133E27">
            <w:pPr>
              <w:pStyle w:val="TableParagraph"/>
              <w:spacing w:line="258" w:lineRule="exact"/>
              <w:ind w:left="99" w:right="98"/>
              <w:jc w:val="center"/>
              <w:rPr>
                <w:rFonts w:asciiTheme="majorHAnsi" w:hAnsiTheme="majorHAnsi" w:cstheme="majorHAnsi"/>
                <w:sz w:val="24"/>
              </w:rPr>
            </w:pPr>
            <w:r w:rsidRPr="00404A62">
              <w:rPr>
                <w:rFonts w:asciiTheme="majorHAnsi" w:hAnsiTheme="majorHAnsi" w:cstheme="majorHAnsi"/>
                <w:color w:val="231F20"/>
                <w:spacing w:val="-2"/>
                <w:sz w:val="24"/>
              </w:rPr>
              <w:t>Three-bedded</w:t>
            </w:r>
          </w:p>
        </w:tc>
        <w:tc>
          <w:tcPr>
            <w:tcW w:w="1519" w:type="dxa"/>
            <w:shd w:val="clear" w:color="auto" w:fill="DBE5F1" w:themeFill="accent1" w:themeFillTint="33"/>
          </w:tcPr>
          <w:p w14:paraId="29A1A21C" w14:textId="77777777" w:rsidR="00C52DC3" w:rsidRPr="00404A62" w:rsidRDefault="00C52DC3" w:rsidP="00133E27">
            <w:pPr>
              <w:pStyle w:val="TableParagraph"/>
              <w:spacing w:line="258" w:lineRule="exact"/>
              <w:ind w:left="100" w:right="98"/>
              <w:jc w:val="center"/>
              <w:rPr>
                <w:rFonts w:asciiTheme="majorHAnsi" w:hAnsiTheme="majorHAnsi" w:cstheme="majorHAnsi"/>
                <w:sz w:val="24"/>
              </w:rPr>
            </w:pPr>
            <w:r w:rsidRPr="00404A62">
              <w:rPr>
                <w:rFonts w:asciiTheme="majorHAnsi" w:hAnsiTheme="majorHAnsi" w:cstheme="majorHAnsi"/>
                <w:color w:val="231F20"/>
                <w:spacing w:val="-2"/>
                <w:sz w:val="24"/>
              </w:rPr>
              <w:t>Four-bedded</w:t>
            </w:r>
          </w:p>
        </w:tc>
        <w:tc>
          <w:tcPr>
            <w:tcW w:w="1296" w:type="dxa"/>
            <w:shd w:val="clear" w:color="auto" w:fill="DBE5F1" w:themeFill="accent1" w:themeFillTint="33"/>
          </w:tcPr>
          <w:p w14:paraId="38D4CE8F" w14:textId="77777777" w:rsidR="00C52DC3" w:rsidRPr="00404A62" w:rsidRDefault="00C52DC3" w:rsidP="00133E27">
            <w:pPr>
              <w:pStyle w:val="TableParagraph"/>
              <w:spacing w:line="249" w:lineRule="exact"/>
              <w:ind w:left="158" w:right="150"/>
              <w:jc w:val="center"/>
              <w:rPr>
                <w:rFonts w:asciiTheme="majorHAnsi" w:hAnsiTheme="majorHAnsi" w:cstheme="majorHAnsi"/>
              </w:rPr>
            </w:pPr>
            <w:r w:rsidRPr="00404A62">
              <w:rPr>
                <w:rFonts w:asciiTheme="majorHAnsi" w:hAnsiTheme="majorHAnsi" w:cstheme="majorHAnsi"/>
                <w:color w:val="231F20"/>
              </w:rPr>
              <w:t>Total</w:t>
            </w:r>
            <w:r w:rsidRPr="00404A62">
              <w:rPr>
                <w:rFonts w:asciiTheme="majorHAnsi" w:hAnsiTheme="majorHAnsi" w:cstheme="majorHAnsi"/>
                <w:color w:val="231F20"/>
                <w:spacing w:val="-2"/>
              </w:rPr>
              <w:t xml:space="preserve"> </w:t>
            </w:r>
            <w:r w:rsidRPr="00404A62">
              <w:rPr>
                <w:rFonts w:asciiTheme="majorHAnsi" w:hAnsiTheme="majorHAnsi" w:cstheme="majorHAnsi"/>
                <w:color w:val="231F20"/>
                <w:spacing w:val="-4"/>
              </w:rPr>
              <w:t>Beds</w:t>
            </w:r>
          </w:p>
        </w:tc>
      </w:tr>
      <w:tr w:rsidR="00D16CB4" w:rsidRPr="00D5396D" w14:paraId="62652529" w14:textId="77777777" w:rsidTr="00704101">
        <w:trPr>
          <w:cantSplit/>
          <w:trHeight w:val="251"/>
          <w:jc w:val="center"/>
        </w:trPr>
        <w:tc>
          <w:tcPr>
            <w:tcW w:w="1871" w:type="dxa"/>
          </w:tcPr>
          <w:p w14:paraId="79F2E473" w14:textId="77777777" w:rsidR="00D16CB4" w:rsidRPr="00404A62" w:rsidRDefault="00D16CB4" w:rsidP="00D16CB4">
            <w:pPr>
              <w:pStyle w:val="TableParagraph"/>
              <w:spacing w:before="41" w:line="139" w:lineRule="auto"/>
              <w:rPr>
                <w:rFonts w:asciiTheme="majorHAnsi" w:hAnsiTheme="majorHAnsi" w:cstheme="majorHAnsi"/>
              </w:rPr>
            </w:pPr>
            <w:r w:rsidRPr="00404A62">
              <w:rPr>
                <w:rFonts w:asciiTheme="majorHAnsi" w:hAnsiTheme="majorHAnsi" w:cstheme="majorHAnsi"/>
              </w:rPr>
              <w:t xml:space="preserve">  West Unit (secure)</w:t>
            </w:r>
          </w:p>
        </w:tc>
        <w:tc>
          <w:tcPr>
            <w:tcW w:w="1033" w:type="dxa"/>
          </w:tcPr>
          <w:p w14:paraId="76330231" w14:textId="16401BDB" w:rsidR="00D16CB4" w:rsidRPr="00404A62" w:rsidRDefault="00D16CB4" w:rsidP="00D16CB4">
            <w:pPr>
              <w:pStyle w:val="TableParagraph"/>
              <w:spacing w:line="232" w:lineRule="exact"/>
              <w:ind w:left="6"/>
              <w:jc w:val="center"/>
              <w:rPr>
                <w:rFonts w:asciiTheme="majorHAnsi" w:hAnsiTheme="majorHAnsi" w:cstheme="majorHAnsi"/>
              </w:rPr>
            </w:pPr>
            <w:r w:rsidRPr="00404A62">
              <w:rPr>
                <w:rFonts w:asciiTheme="majorHAnsi" w:hAnsiTheme="majorHAnsi" w:cstheme="majorHAnsi"/>
              </w:rPr>
              <w:t>3</w:t>
            </w:r>
          </w:p>
        </w:tc>
        <w:tc>
          <w:tcPr>
            <w:tcW w:w="1608" w:type="dxa"/>
          </w:tcPr>
          <w:p w14:paraId="1DE7F9BB" w14:textId="34795768" w:rsidR="00D16CB4" w:rsidRPr="00404A62" w:rsidRDefault="00D16CB4" w:rsidP="00D16CB4">
            <w:pPr>
              <w:pStyle w:val="TableParagraph"/>
              <w:spacing w:line="232" w:lineRule="exact"/>
              <w:ind w:left="3"/>
              <w:jc w:val="center"/>
              <w:rPr>
                <w:rFonts w:asciiTheme="majorHAnsi" w:hAnsiTheme="majorHAnsi" w:cstheme="majorHAnsi"/>
              </w:rPr>
            </w:pPr>
            <w:r w:rsidRPr="00404A62">
              <w:rPr>
                <w:rFonts w:asciiTheme="majorHAnsi" w:hAnsiTheme="majorHAnsi" w:cstheme="majorHAnsi"/>
              </w:rPr>
              <w:t>8</w:t>
            </w:r>
          </w:p>
        </w:tc>
        <w:tc>
          <w:tcPr>
            <w:tcW w:w="1636" w:type="dxa"/>
          </w:tcPr>
          <w:p w14:paraId="67642C02" w14:textId="2E1B0920" w:rsidR="00D16CB4" w:rsidRPr="00404A62" w:rsidRDefault="00D16CB4" w:rsidP="00D16CB4">
            <w:pPr>
              <w:pStyle w:val="TableParagraph"/>
              <w:spacing w:line="232" w:lineRule="exact"/>
              <w:ind w:left="5"/>
              <w:jc w:val="center"/>
              <w:rPr>
                <w:rFonts w:asciiTheme="majorHAnsi" w:hAnsiTheme="majorHAnsi" w:cstheme="majorHAnsi"/>
              </w:rPr>
            </w:pPr>
            <w:r w:rsidRPr="00404A62">
              <w:rPr>
                <w:rFonts w:asciiTheme="majorHAnsi" w:hAnsiTheme="majorHAnsi" w:cstheme="majorHAnsi"/>
              </w:rPr>
              <w:t>0</w:t>
            </w:r>
          </w:p>
        </w:tc>
        <w:tc>
          <w:tcPr>
            <w:tcW w:w="1519" w:type="dxa"/>
          </w:tcPr>
          <w:p w14:paraId="08F947F5" w14:textId="5E39CA05" w:rsidR="00D16CB4" w:rsidRPr="00404A62" w:rsidRDefault="00D16CB4" w:rsidP="00D16CB4">
            <w:pPr>
              <w:pStyle w:val="TableParagraph"/>
              <w:spacing w:line="232" w:lineRule="exact"/>
              <w:ind w:left="9"/>
              <w:jc w:val="center"/>
              <w:rPr>
                <w:rFonts w:asciiTheme="majorHAnsi" w:hAnsiTheme="majorHAnsi" w:cstheme="majorHAnsi"/>
              </w:rPr>
            </w:pPr>
            <w:r w:rsidRPr="00404A62">
              <w:rPr>
                <w:rFonts w:asciiTheme="majorHAnsi" w:hAnsiTheme="majorHAnsi" w:cstheme="majorHAnsi"/>
              </w:rPr>
              <w:t>0</w:t>
            </w:r>
          </w:p>
        </w:tc>
        <w:tc>
          <w:tcPr>
            <w:tcW w:w="1296" w:type="dxa"/>
          </w:tcPr>
          <w:p w14:paraId="5E4A45D0" w14:textId="6A0800E6" w:rsidR="00D16CB4" w:rsidRPr="00404A62" w:rsidRDefault="00D16CB4" w:rsidP="00D16CB4">
            <w:pPr>
              <w:pStyle w:val="TableParagraph"/>
              <w:spacing w:line="232" w:lineRule="exact"/>
              <w:ind w:left="158" w:right="152"/>
              <w:jc w:val="center"/>
              <w:rPr>
                <w:rFonts w:asciiTheme="majorHAnsi" w:hAnsiTheme="majorHAnsi" w:cstheme="majorHAnsi"/>
              </w:rPr>
            </w:pPr>
            <w:r w:rsidRPr="00404A62">
              <w:rPr>
                <w:rFonts w:asciiTheme="majorHAnsi" w:hAnsiTheme="majorHAnsi" w:cstheme="majorHAnsi"/>
              </w:rPr>
              <w:t>19</w:t>
            </w:r>
          </w:p>
        </w:tc>
      </w:tr>
      <w:tr w:rsidR="00D16CB4" w:rsidRPr="00D5396D" w14:paraId="13B4DEB6" w14:textId="77777777" w:rsidTr="00704101">
        <w:trPr>
          <w:cantSplit/>
          <w:trHeight w:val="253"/>
          <w:jc w:val="center"/>
        </w:trPr>
        <w:tc>
          <w:tcPr>
            <w:tcW w:w="1871" w:type="dxa"/>
          </w:tcPr>
          <w:p w14:paraId="5D4F859C" w14:textId="77777777" w:rsidR="00D16CB4" w:rsidRPr="00404A62" w:rsidRDefault="00D16CB4" w:rsidP="00D16CB4">
            <w:pPr>
              <w:pStyle w:val="TableParagraph"/>
              <w:spacing w:before="41" w:line="139" w:lineRule="auto"/>
              <w:ind w:left="107"/>
              <w:rPr>
                <w:rFonts w:asciiTheme="majorHAnsi" w:hAnsiTheme="majorHAnsi" w:cstheme="majorHAnsi"/>
              </w:rPr>
            </w:pPr>
            <w:r w:rsidRPr="00404A62">
              <w:rPr>
                <w:rFonts w:asciiTheme="majorHAnsi" w:hAnsiTheme="majorHAnsi" w:cstheme="majorHAnsi"/>
              </w:rPr>
              <w:t xml:space="preserve">Central Unit </w:t>
            </w:r>
          </w:p>
        </w:tc>
        <w:tc>
          <w:tcPr>
            <w:tcW w:w="1033" w:type="dxa"/>
          </w:tcPr>
          <w:p w14:paraId="4EC5AB34" w14:textId="501764A6" w:rsidR="00D16CB4" w:rsidRPr="00404A62" w:rsidRDefault="00D16CB4" w:rsidP="00D16CB4">
            <w:pPr>
              <w:pStyle w:val="TableParagraph"/>
              <w:spacing w:line="234" w:lineRule="exact"/>
              <w:ind w:left="6"/>
              <w:jc w:val="center"/>
              <w:rPr>
                <w:rFonts w:asciiTheme="majorHAnsi" w:hAnsiTheme="majorHAnsi" w:cstheme="majorHAnsi"/>
              </w:rPr>
            </w:pPr>
            <w:r w:rsidRPr="00404A62">
              <w:rPr>
                <w:rFonts w:asciiTheme="majorHAnsi" w:hAnsiTheme="majorHAnsi" w:cstheme="majorHAnsi"/>
              </w:rPr>
              <w:t>1</w:t>
            </w:r>
          </w:p>
        </w:tc>
        <w:tc>
          <w:tcPr>
            <w:tcW w:w="1608" w:type="dxa"/>
          </w:tcPr>
          <w:p w14:paraId="1045DB8F" w14:textId="2C7D2021" w:rsidR="00D16CB4" w:rsidRPr="00404A62" w:rsidRDefault="00D16CB4" w:rsidP="00D16CB4">
            <w:pPr>
              <w:pStyle w:val="TableParagraph"/>
              <w:spacing w:line="234" w:lineRule="exact"/>
              <w:ind w:left="3"/>
              <w:jc w:val="center"/>
              <w:rPr>
                <w:rFonts w:asciiTheme="majorHAnsi" w:hAnsiTheme="majorHAnsi" w:cstheme="majorHAnsi"/>
              </w:rPr>
            </w:pPr>
            <w:r w:rsidRPr="00404A62">
              <w:rPr>
                <w:rFonts w:asciiTheme="majorHAnsi" w:hAnsiTheme="majorHAnsi" w:cstheme="majorHAnsi"/>
              </w:rPr>
              <w:t>9</w:t>
            </w:r>
          </w:p>
        </w:tc>
        <w:tc>
          <w:tcPr>
            <w:tcW w:w="1636" w:type="dxa"/>
          </w:tcPr>
          <w:p w14:paraId="6304C57A" w14:textId="57465413" w:rsidR="00D16CB4" w:rsidRPr="00404A62" w:rsidRDefault="00D16CB4" w:rsidP="00D16CB4">
            <w:pPr>
              <w:pStyle w:val="TableParagraph"/>
              <w:spacing w:line="234" w:lineRule="exact"/>
              <w:ind w:left="5"/>
              <w:jc w:val="center"/>
              <w:rPr>
                <w:rFonts w:asciiTheme="majorHAnsi" w:hAnsiTheme="majorHAnsi" w:cstheme="majorHAnsi"/>
              </w:rPr>
            </w:pPr>
            <w:r w:rsidRPr="00404A62">
              <w:rPr>
                <w:rFonts w:asciiTheme="majorHAnsi" w:hAnsiTheme="majorHAnsi" w:cstheme="majorHAnsi"/>
              </w:rPr>
              <w:t>0</w:t>
            </w:r>
          </w:p>
        </w:tc>
        <w:tc>
          <w:tcPr>
            <w:tcW w:w="1519" w:type="dxa"/>
          </w:tcPr>
          <w:p w14:paraId="4918D2EE" w14:textId="40143EAF" w:rsidR="00D16CB4" w:rsidRPr="00404A62" w:rsidRDefault="00D16CB4" w:rsidP="00D16CB4">
            <w:pPr>
              <w:pStyle w:val="TableParagraph"/>
              <w:spacing w:line="234" w:lineRule="exact"/>
              <w:ind w:left="9"/>
              <w:jc w:val="center"/>
              <w:rPr>
                <w:rFonts w:asciiTheme="majorHAnsi" w:hAnsiTheme="majorHAnsi" w:cstheme="majorHAnsi"/>
              </w:rPr>
            </w:pPr>
            <w:r w:rsidRPr="00404A62">
              <w:rPr>
                <w:rFonts w:asciiTheme="majorHAnsi" w:hAnsiTheme="majorHAnsi" w:cstheme="majorHAnsi"/>
              </w:rPr>
              <w:t>0</w:t>
            </w:r>
          </w:p>
        </w:tc>
        <w:tc>
          <w:tcPr>
            <w:tcW w:w="1296" w:type="dxa"/>
          </w:tcPr>
          <w:p w14:paraId="5860C6BB" w14:textId="63B59AFC" w:rsidR="00D16CB4" w:rsidRPr="00404A62" w:rsidRDefault="00D16CB4" w:rsidP="00D16CB4">
            <w:pPr>
              <w:pStyle w:val="TableParagraph"/>
              <w:spacing w:line="234" w:lineRule="exact"/>
              <w:ind w:left="158" w:right="152"/>
              <w:jc w:val="center"/>
              <w:rPr>
                <w:rFonts w:asciiTheme="majorHAnsi" w:hAnsiTheme="majorHAnsi" w:cstheme="majorHAnsi"/>
              </w:rPr>
            </w:pPr>
            <w:r w:rsidRPr="00404A62">
              <w:rPr>
                <w:rFonts w:asciiTheme="majorHAnsi" w:hAnsiTheme="majorHAnsi" w:cstheme="majorHAnsi"/>
              </w:rPr>
              <w:t>19</w:t>
            </w:r>
          </w:p>
        </w:tc>
      </w:tr>
      <w:tr w:rsidR="00D16CB4" w:rsidRPr="00D5396D" w14:paraId="201BD159" w14:textId="77777777" w:rsidTr="00704101">
        <w:trPr>
          <w:cantSplit/>
          <w:trHeight w:val="251"/>
          <w:jc w:val="center"/>
        </w:trPr>
        <w:tc>
          <w:tcPr>
            <w:tcW w:w="1871" w:type="dxa"/>
          </w:tcPr>
          <w:p w14:paraId="1CD09960" w14:textId="77777777" w:rsidR="00D16CB4" w:rsidRPr="00404A62" w:rsidRDefault="00D16CB4" w:rsidP="00D16CB4">
            <w:pPr>
              <w:pStyle w:val="TableParagraph"/>
              <w:spacing w:before="41" w:line="139" w:lineRule="auto"/>
              <w:ind w:left="107"/>
              <w:rPr>
                <w:rFonts w:asciiTheme="majorHAnsi" w:hAnsiTheme="majorHAnsi" w:cstheme="majorHAnsi"/>
              </w:rPr>
            </w:pPr>
            <w:r w:rsidRPr="00404A62">
              <w:rPr>
                <w:rFonts w:asciiTheme="majorHAnsi" w:hAnsiTheme="majorHAnsi" w:cstheme="majorHAnsi"/>
              </w:rPr>
              <w:lastRenderedPageBreak/>
              <w:t xml:space="preserve">North Unit </w:t>
            </w:r>
          </w:p>
        </w:tc>
        <w:tc>
          <w:tcPr>
            <w:tcW w:w="1033" w:type="dxa"/>
          </w:tcPr>
          <w:p w14:paraId="0998C6A1" w14:textId="4907A677" w:rsidR="00D16CB4" w:rsidRPr="00404A62" w:rsidRDefault="00D16CB4" w:rsidP="00D16CB4">
            <w:pPr>
              <w:pStyle w:val="TableParagraph"/>
              <w:spacing w:line="232" w:lineRule="exact"/>
              <w:ind w:left="6"/>
              <w:jc w:val="center"/>
              <w:rPr>
                <w:rFonts w:asciiTheme="majorHAnsi" w:hAnsiTheme="majorHAnsi" w:cstheme="majorHAnsi"/>
              </w:rPr>
            </w:pPr>
            <w:r w:rsidRPr="00404A62">
              <w:rPr>
                <w:rFonts w:asciiTheme="majorHAnsi" w:hAnsiTheme="majorHAnsi" w:cstheme="majorHAnsi"/>
              </w:rPr>
              <w:t>1</w:t>
            </w:r>
          </w:p>
        </w:tc>
        <w:tc>
          <w:tcPr>
            <w:tcW w:w="1608" w:type="dxa"/>
          </w:tcPr>
          <w:p w14:paraId="4508BE4B" w14:textId="4589F2CE" w:rsidR="00D16CB4" w:rsidRPr="00404A62" w:rsidRDefault="00D16CB4" w:rsidP="00D16CB4">
            <w:pPr>
              <w:pStyle w:val="TableParagraph"/>
              <w:spacing w:line="232" w:lineRule="exact"/>
              <w:ind w:left="3"/>
              <w:jc w:val="center"/>
              <w:rPr>
                <w:rFonts w:asciiTheme="majorHAnsi" w:hAnsiTheme="majorHAnsi" w:cstheme="majorHAnsi"/>
              </w:rPr>
            </w:pPr>
            <w:r w:rsidRPr="00404A62">
              <w:rPr>
                <w:rFonts w:asciiTheme="majorHAnsi" w:hAnsiTheme="majorHAnsi" w:cstheme="majorHAnsi"/>
              </w:rPr>
              <w:t>10</w:t>
            </w:r>
          </w:p>
        </w:tc>
        <w:tc>
          <w:tcPr>
            <w:tcW w:w="1636" w:type="dxa"/>
          </w:tcPr>
          <w:p w14:paraId="7B7918BC" w14:textId="58349EED" w:rsidR="00D16CB4" w:rsidRPr="00404A62" w:rsidRDefault="00D16CB4" w:rsidP="00D16CB4">
            <w:pPr>
              <w:pStyle w:val="TableParagraph"/>
              <w:spacing w:line="232" w:lineRule="exact"/>
              <w:ind w:left="5"/>
              <w:jc w:val="center"/>
              <w:rPr>
                <w:rFonts w:asciiTheme="majorHAnsi" w:hAnsiTheme="majorHAnsi" w:cstheme="majorHAnsi"/>
              </w:rPr>
            </w:pPr>
            <w:r w:rsidRPr="00404A62">
              <w:rPr>
                <w:rFonts w:asciiTheme="majorHAnsi" w:hAnsiTheme="majorHAnsi" w:cstheme="majorHAnsi"/>
              </w:rPr>
              <w:t>0</w:t>
            </w:r>
          </w:p>
        </w:tc>
        <w:tc>
          <w:tcPr>
            <w:tcW w:w="1519" w:type="dxa"/>
          </w:tcPr>
          <w:p w14:paraId="6FB6EE2A" w14:textId="75C1DEFC" w:rsidR="00D16CB4" w:rsidRPr="00404A62" w:rsidRDefault="00D16CB4" w:rsidP="00D16CB4">
            <w:pPr>
              <w:pStyle w:val="TableParagraph"/>
              <w:spacing w:line="232" w:lineRule="exact"/>
              <w:ind w:left="9"/>
              <w:jc w:val="center"/>
              <w:rPr>
                <w:rFonts w:asciiTheme="majorHAnsi" w:hAnsiTheme="majorHAnsi" w:cstheme="majorHAnsi"/>
              </w:rPr>
            </w:pPr>
            <w:r w:rsidRPr="00404A62">
              <w:rPr>
                <w:rFonts w:asciiTheme="majorHAnsi" w:hAnsiTheme="majorHAnsi" w:cstheme="majorHAnsi"/>
              </w:rPr>
              <w:t>0</w:t>
            </w:r>
          </w:p>
        </w:tc>
        <w:tc>
          <w:tcPr>
            <w:tcW w:w="1296" w:type="dxa"/>
          </w:tcPr>
          <w:p w14:paraId="57DBA37D" w14:textId="2994512D" w:rsidR="00D16CB4" w:rsidRPr="00404A62" w:rsidRDefault="00D16CB4" w:rsidP="00D16CB4">
            <w:pPr>
              <w:pStyle w:val="TableParagraph"/>
              <w:spacing w:line="232" w:lineRule="exact"/>
              <w:ind w:left="158" w:right="152"/>
              <w:jc w:val="center"/>
              <w:rPr>
                <w:rFonts w:asciiTheme="majorHAnsi" w:hAnsiTheme="majorHAnsi" w:cstheme="majorHAnsi"/>
              </w:rPr>
            </w:pPr>
            <w:r w:rsidRPr="00404A62">
              <w:rPr>
                <w:rFonts w:asciiTheme="majorHAnsi" w:hAnsiTheme="majorHAnsi" w:cstheme="majorHAnsi"/>
              </w:rPr>
              <w:t>21</w:t>
            </w:r>
          </w:p>
        </w:tc>
      </w:tr>
      <w:tr w:rsidR="00D16CB4" w:rsidRPr="00D5396D" w14:paraId="4F2C0CF1" w14:textId="77777777" w:rsidTr="00704101">
        <w:trPr>
          <w:cantSplit/>
          <w:trHeight w:val="253"/>
          <w:jc w:val="center"/>
        </w:trPr>
        <w:tc>
          <w:tcPr>
            <w:tcW w:w="1871" w:type="dxa"/>
          </w:tcPr>
          <w:p w14:paraId="7011FA2B" w14:textId="4F8D7F39" w:rsidR="00D16CB4" w:rsidRPr="00404A62" w:rsidRDefault="00D16CB4" w:rsidP="00D16CB4">
            <w:pPr>
              <w:pStyle w:val="TableParagraph"/>
              <w:spacing w:line="234" w:lineRule="exact"/>
              <w:ind w:left="107"/>
              <w:rPr>
                <w:rFonts w:asciiTheme="majorHAnsi" w:hAnsiTheme="majorHAnsi" w:cstheme="majorHAnsi"/>
                <w:color w:val="231F20"/>
                <w:spacing w:val="-2"/>
              </w:rPr>
            </w:pPr>
            <w:r w:rsidRPr="00404A62">
              <w:rPr>
                <w:rFonts w:asciiTheme="majorHAnsi" w:hAnsiTheme="majorHAnsi" w:cstheme="majorHAnsi"/>
                <w:color w:val="231F20"/>
                <w:spacing w:val="-2"/>
              </w:rPr>
              <w:t>New Addition</w:t>
            </w:r>
          </w:p>
        </w:tc>
        <w:tc>
          <w:tcPr>
            <w:tcW w:w="1033" w:type="dxa"/>
          </w:tcPr>
          <w:p w14:paraId="7CB72F11" w14:textId="39FAE6EB" w:rsidR="00D16CB4" w:rsidRPr="00404A62" w:rsidRDefault="00D16CB4" w:rsidP="00D16CB4">
            <w:pPr>
              <w:pStyle w:val="TableParagraph"/>
              <w:spacing w:line="234" w:lineRule="exact"/>
              <w:ind w:left="4"/>
              <w:jc w:val="center"/>
              <w:rPr>
                <w:rFonts w:asciiTheme="majorHAnsi" w:hAnsiTheme="majorHAnsi" w:cstheme="majorHAnsi"/>
                <w:color w:val="231F20"/>
              </w:rPr>
            </w:pPr>
            <w:r w:rsidRPr="00404A62">
              <w:rPr>
                <w:rFonts w:asciiTheme="majorHAnsi" w:hAnsiTheme="majorHAnsi" w:cstheme="majorHAnsi"/>
              </w:rPr>
              <w:t>2</w:t>
            </w:r>
          </w:p>
        </w:tc>
        <w:tc>
          <w:tcPr>
            <w:tcW w:w="1608" w:type="dxa"/>
          </w:tcPr>
          <w:p w14:paraId="1A958B4D" w14:textId="6979885B" w:rsidR="00D16CB4" w:rsidRPr="00404A62" w:rsidRDefault="00D16CB4" w:rsidP="00D16CB4">
            <w:pPr>
              <w:pStyle w:val="TableParagraph"/>
              <w:spacing w:line="234" w:lineRule="exact"/>
              <w:ind w:left="158" w:right="156"/>
              <w:jc w:val="center"/>
              <w:rPr>
                <w:rFonts w:asciiTheme="majorHAnsi" w:hAnsiTheme="majorHAnsi" w:cstheme="majorHAnsi"/>
                <w:color w:val="231F20"/>
                <w:spacing w:val="-5"/>
              </w:rPr>
            </w:pPr>
            <w:r w:rsidRPr="00404A62">
              <w:rPr>
                <w:rFonts w:asciiTheme="majorHAnsi" w:hAnsiTheme="majorHAnsi" w:cstheme="majorHAnsi"/>
              </w:rPr>
              <w:t>16</w:t>
            </w:r>
          </w:p>
        </w:tc>
        <w:tc>
          <w:tcPr>
            <w:tcW w:w="1636" w:type="dxa"/>
          </w:tcPr>
          <w:p w14:paraId="760DC0A4" w14:textId="7670F3BB" w:rsidR="00D16CB4" w:rsidRPr="00404A62" w:rsidRDefault="00D16CB4" w:rsidP="00D16CB4">
            <w:pPr>
              <w:pStyle w:val="TableParagraph"/>
              <w:spacing w:line="234" w:lineRule="exact"/>
              <w:ind w:left="100" w:right="96"/>
              <w:jc w:val="center"/>
              <w:rPr>
                <w:rFonts w:asciiTheme="majorHAnsi" w:hAnsiTheme="majorHAnsi" w:cstheme="majorHAnsi"/>
              </w:rPr>
            </w:pPr>
            <w:r w:rsidRPr="00404A62">
              <w:rPr>
                <w:rFonts w:asciiTheme="majorHAnsi" w:hAnsiTheme="majorHAnsi" w:cstheme="majorHAnsi"/>
              </w:rPr>
              <w:t>0</w:t>
            </w:r>
          </w:p>
        </w:tc>
        <w:tc>
          <w:tcPr>
            <w:tcW w:w="1519" w:type="dxa"/>
          </w:tcPr>
          <w:p w14:paraId="08A45236" w14:textId="6643439E" w:rsidR="00D16CB4" w:rsidRPr="00404A62" w:rsidRDefault="00D16CB4" w:rsidP="00D16CB4">
            <w:pPr>
              <w:pStyle w:val="TableParagraph"/>
              <w:spacing w:line="234" w:lineRule="exact"/>
              <w:ind w:left="100" w:right="92"/>
              <w:jc w:val="center"/>
              <w:rPr>
                <w:rFonts w:asciiTheme="majorHAnsi" w:hAnsiTheme="majorHAnsi" w:cstheme="majorHAnsi"/>
              </w:rPr>
            </w:pPr>
            <w:r w:rsidRPr="00404A62">
              <w:rPr>
                <w:rFonts w:asciiTheme="majorHAnsi" w:hAnsiTheme="majorHAnsi" w:cstheme="majorHAnsi"/>
              </w:rPr>
              <w:t>0</w:t>
            </w:r>
          </w:p>
        </w:tc>
        <w:tc>
          <w:tcPr>
            <w:tcW w:w="1296" w:type="dxa"/>
          </w:tcPr>
          <w:p w14:paraId="22F29432" w14:textId="3D85F9D0" w:rsidR="00D16CB4" w:rsidRPr="00404A62" w:rsidRDefault="00D16CB4" w:rsidP="00D16CB4">
            <w:pPr>
              <w:pStyle w:val="TableParagraph"/>
              <w:spacing w:line="234" w:lineRule="exact"/>
              <w:ind w:left="158" w:right="152"/>
              <w:jc w:val="center"/>
              <w:rPr>
                <w:rFonts w:asciiTheme="majorHAnsi" w:hAnsiTheme="majorHAnsi" w:cstheme="majorHAnsi"/>
              </w:rPr>
            </w:pPr>
            <w:r w:rsidRPr="00404A62">
              <w:rPr>
                <w:rFonts w:asciiTheme="majorHAnsi" w:hAnsiTheme="majorHAnsi" w:cstheme="majorHAnsi"/>
              </w:rPr>
              <w:t>34</w:t>
            </w:r>
          </w:p>
        </w:tc>
      </w:tr>
      <w:tr w:rsidR="00D16CB4" w:rsidRPr="00D5396D" w14:paraId="606F5D2B" w14:textId="77777777" w:rsidTr="00704101">
        <w:trPr>
          <w:cantSplit/>
          <w:trHeight w:val="253"/>
          <w:jc w:val="center"/>
        </w:trPr>
        <w:tc>
          <w:tcPr>
            <w:tcW w:w="1871" w:type="dxa"/>
          </w:tcPr>
          <w:p w14:paraId="663AFC20" w14:textId="77777777" w:rsidR="00D16CB4" w:rsidRPr="00404A62" w:rsidRDefault="00D16CB4" w:rsidP="00D16CB4">
            <w:pPr>
              <w:pStyle w:val="TableParagraph"/>
              <w:spacing w:line="234" w:lineRule="exact"/>
              <w:ind w:left="107"/>
              <w:rPr>
                <w:rFonts w:asciiTheme="majorHAnsi" w:hAnsiTheme="majorHAnsi" w:cstheme="majorHAnsi"/>
              </w:rPr>
            </w:pPr>
            <w:r w:rsidRPr="00404A62">
              <w:rPr>
                <w:rFonts w:asciiTheme="majorHAnsi" w:hAnsiTheme="majorHAnsi" w:cstheme="majorHAnsi"/>
                <w:color w:val="231F20"/>
                <w:spacing w:val="-2"/>
              </w:rPr>
              <w:t>Total</w:t>
            </w:r>
          </w:p>
        </w:tc>
        <w:tc>
          <w:tcPr>
            <w:tcW w:w="1033" w:type="dxa"/>
          </w:tcPr>
          <w:p w14:paraId="7FE74BAF" w14:textId="57CD6C3D" w:rsidR="00D16CB4" w:rsidRPr="00404A62" w:rsidRDefault="00D16CB4" w:rsidP="00D16CB4">
            <w:pPr>
              <w:pStyle w:val="TableParagraph"/>
              <w:spacing w:line="234" w:lineRule="exact"/>
              <w:ind w:left="4"/>
              <w:jc w:val="center"/>
              <w:rPr>
                <w:rFonts w:asciiTheme="majorHAnsi" w:hAnsiTheme="majorHAnsi" w:cstheme="majorHAnsi"/>
              </w:rPr>
            </w:pPr>
            <w:r w:rsidRPr="00404A62">
              <w:rPr>
                <w:rFonts w:asciiTheme="majorHAnsi" w:hAnsiTheme="majorHAnsi" w:cstheme="majorHAnsi"/>
              </w:rPr>
              <w:t>7</w:t>
            </w:r>
          </w:p>
        </w:tc>
        <w:tc>
          <w:tcPr>
            <w:tcW w:w="1608" w:type="dxa"/>
          </w:tcPr>
          <w:p w14:paraId="674F86A3" w14:textId="4A633F7D" w:rsidR="00D16CB4" w:rsidRPr="00D5396D" w:rsidRDefault="002B4C2D" w:rsidP="002B4C2D">
            <w:pPr>
              <w:pStyle w:val="TableParagraph"/>
              <w:spacing w:line="234" w:lineRule="exact"/>
              <w:ind w:right="156"/>
              <w:jc w:val="center"/>
              <w:rPr>
                <w:rFonts w:asciiTheme="majorHAnsi" w:hAnsiTheme="majorHAnsi" w:cstheme="majorHAnsi"/>
              </w:rPr>
            </w:pPr>
            <w:r w:rsidRPr="00D5396D">
              <w:rPr>
                <w:rFonts w:asciiTheme="majorHAnsi" w:hAnsiTheme="majorHAnsi" w:cstheme="majorHAnsi"/>
              </w:rPr>
              <w:t xml:space="preserve">   43</w:t>
            </w:r>
          </w:p>
        </w:tc>
        <w:tc>
          <w:tcPr>
            <w:tcW w:w="1636" w:type="dxa"/>
          </w:tcPr>
          <w:p w14:paraId="70ED0409" w14:textId="65648568" w:rsidR="00D16CB4" w:rsidRPr="00404A62" w:rsidRDefault="00D16CB4" w:rsidP="00D16CB4">
            <w:pPr>
              <w:pStyle w:val="TableParagraph"/>
              <w:spacing w:line="234" w:lineRule="exact"/>
              <w:ind w:left="100" w:right="96"/>
              <w:jc w:val="center"/>
              <w:rPr>
                <w:rFonts w:asciiTheme="majorHAnsi" w:hAnsiTheme="majorHAnsi" w:cstheme="majorHAnsi"/>
              </w:rPr>
            </w:pPr>
            <w:r w:rsidRPr="00404A62">
              <w:rPr>
                <w:rFonts w:asciiTheme="majorHAnsi" w:hAnsiTheme="majorHAnsi" w:cstheme="majorHAnsi"/>
              </w:rPr>
              <w:t>0</w:t>
            </w:r>
          </w:p>
        </w:tc>
        <w:tc>
          <w:tcPr>
            <w:tcW w:w="1519" w:type="dxa"/>
          </w:tcPr>
          <w:p w14:paraId="4FC0D1E4" w14:textId="5C5EE14A" w:rsidR="00D16CB4" w:rsidRPr="00404A62" w:rsidRDefault="00D16CB4" w:rsidP="00D16CB4">
            <w:pPr>
              <w:pStyle w:val="TableParagraph"/>
              <w:spacing w:line="234" w:lineRule="exact"/>
              <w:ind w:left="100" w:right="92"/>
              <w:jc w:val="center"/>
              <w:rPr>
                <w:rFonts w:asciiTheme="majorHAnsi" w:hAnsiTheme="majorHAnsi" w:cstheme="majorHAnsi"/>
              </w:rPr>
            </w:pPr>
            <w:r w:rsidRPr="00404A62">
              <w:rPr>
                <w:rFonts w:asciiTheme="majorHAnsi" w:hAnsiTheme="majorHAnsi" w:cstheme="majorHAnsi"/>
              </w:rPr>
              <w:t>0</w:t>
            </w:r>
          </w:p>
        </w:tc>
        <w:tc>
          <w:tcPr>
            <w:tcW w:w="1296" w:type="dxa"/>
          </w:tcPr>
          <w:p w14:paraId="33410526" w14:textId="71FC850A" w:rsidR="00D16CB4" w:rsidRPr="00404A62" w:rsidRDefault="00D16CB4" w:rsidP="00D16CB4">
            <w:pPr>
              <w:pStyle w:val="TableParagraph"/>
              <w:spacing w:line="234" w:lineRule="exact"/>
              <w:ind w:left="158" w:right="152"/>
              <w:jc w:val="center"/>
              <w:rPr>
                <w:rFonts w:asciiTheme="majorHAnsi" w:hAnsiTheme="majorHAnsi" w:cstheme="majorHAnsi"/>
              </w:rPr>
            </w:pPr>
            <w:r w:rsidRPr="00404A62">
              <w:rPr>
                <w:rFonts w:asciiTheme="majorHAnsi" w:hAnsiTheme="majorHAnsi" w:cstheme="majorHAnsi"/>
              </w:rPr>
              <w:t>93</w:t>
            </w:r>
          </w:p>
        </w:tc>
      </w:tr>
    </w:tbl>
    <w:p w14:paraId="5C8265BA" w14:textId="77777777" w:rsidR="00C52DC3" w:rsidRDefault="00C52DC3" w:rsidP="00C52DC3">
      <w:pPr>
        <w:pBdr>
          <w:top w:val="nil"/>
          <w:left w:val="nil"/>
          <w:bottom w:val="nil"/>
          <w:right w:val="nil"/>
          <w:between w:val="nil"/>
        </w:pBdr>
        <w:spacing w:after="0" w:line="240" w:lineRule="auto"/>
        <w:rPr>
          <w:color w:val="000000"/>
        </w:rPr>
      </w:pPr>
    </w:p>
    <w:p w14:paraId="71069257" w14:textId="77777777" w:rsidR="00C52DC3" w:rsidRDefault="00C52DC3" w:rsidP="00C52DC3">
      <w:pPr>
        <w:pBdr>
          <w:top w:val="nil"/>
          <w:left w:val="nil"/>
          <w:bottom w:val="nil"/>
          <w:right w:val="nil"/>
          <w:between w:val="nil"/>
        </w:pBdr>
        <w:spacing w:after="0" w:line="240" w:lineRule="auto"/>
        <w:rPr>
          <w:color w:val="000000"/>
        </w:rPr>
      </w:pPr>
    </w:p>
    <w:p w14:paraId="00000014" w14:textId="54671509" w:rsidR="00350CD8" w:rsidRDefault="00A72244">
      <w:pPr>
        <w:spacing w:after="0" w:line="240" w:lineRule="auto"/>
      </w:pPr>
      <w:r w:rsidRPr="00A72244">
        <w:rPr>
          <w:highlight w:val="white"/>
        </w:rPr>
        <w:t>The Applicant expects construction related to the DON project will commence within 18 months of the receipt of the DON approval letter but has stated that the start date is dependent on COVID</w:t>
      </w:r>
      <w:r>
        <w:rPr>
          <w:highlight w:val="white"/>
        </w:rPr>
        <w:t>-19</w:t>
      </w:r>
      <w:r w:rsidRPr="00A72244">
        <w:rPr>
          <w:highlight w:val="white"/>
        </w:rPr>
        <w:t xml:space="preserve"> conditions to ensure the safety of staff and residents.</w:t>
      </w:r>
      <w:r>
        <w:t xml:space="preserve"> </w:t>
      </w:r>
      <w:r w:rsidR="00EC32CB">
        <w:t>The Applicant outlined processes that will be used to minimize disruption of patient care and ensure patient safety and well-being during construction. The Applicant has presented sufficient information to support the position that the proposed construction fits within the definitions in the DoN Regulation of Sustain and/or Restore; that this proposed Conservation Project is necessary to maintain the original functionality of the facility</w:t>
      </w:r>
      <w:r w:rsidR="00B51617">
        <w:t xml:space="preserve">. The Proposed Project will add 12 new beds under the Facility’s one-time regulatory allowance, which will increase the licensed bed count to 93 beds. </w:t>
      </w:r>
    </w:p>
    <w:p w14:paraId="00000015" w14:textId="77777777" w:rsidR="00350CD8" w:rsidRDefault="00350CD8">
      <w:pPr>
        <w:spacing w:after="0" w:line="240" w:lineRule="auto"/>
      </w:pPr>
    </w:p>
    <w:p w14:paraId="00000016" w14:textId="77777777" w:rsidR="00350CD8" w:rsidRDefault="00EC32CB">
      <w:pPr>
        <w:spacing w:after="0" w:line="240" w:lineRule="auto"/>
      </w:pPr>
      <w:r>
        <w:rPr>
          <w:b/>
        </w:rPr>
        <w:t xml:space="preserve">Factor 3 </w:t>
      </w:r>
    </w:p>
    <w:p w14:paraId="00000017" w14:textId="0DCF70D4" w:rsidR="00350CD8" w:rsidRPr="00C44E7C" w:rsidRDefault="00EC32CB">
      <w:pPr>
        <w:spacing w:after="0" w:line="240" w:lineRule="auto"/>
        <w:rPr>
          <w:color w:val="FF0000"/>
        </w:rPr>
      </w:pPr>
      <w:r>
        <w:t xml:space="preserve">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 </w:t>
      </w:r>
    </w:p>
    <w:p w14:paraId="00000018" w14:textId="77777777" w:rsidR="00350CD8" w:rsidRDefault="00350CD8">
      <w:pPr>
        <w:spacing w:after="0"/>
        <w:rPr>
          <w:b/>
        </w:rPr>
      </w:pPr>
    </w:p>
    <w:p w14:paraId="00000019" w14:textId="45843434" w:rsidR="00350CD8" w:rsidRDefault="00EC32CB">
      <w:pPr>
        <w:spacing w:after="0"/>
      </w:pPr>
      <w:r>
        <w:rPr>
          <w:b/>
        </w:rPr>
        <w:t>Factor 4</w:t>
      </w:r>
      <w:r>
        <w:t xml:space="preserve"> </w:t>
      </w:r>
    </w:p>
    <w:p w14:paraId="00000026" w14:textId="478731EF" w:rsidR="00350CD8" w:rsidRDefault="00EC32CB">
      <w:pPr>
        <w:spacing w:line="240" w:lineRule="auto"/>
      </w:pPr>
      <w: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w:t>
      </w:r>
    </w:p>
    <w:p w14:paraId="00000027" w14:textId="76908C1C" w:rsidR="00350CD8" w:rsidRDefault="00EC32CB">
      <w:pPr>
        <w:spacing w:line="240" w:lineRule="auto"/>
      </w:pPr>
      <w:r>
        <w:t xml:space="preserve">The Applicant submitted a report performed by </w:t>
      </w:r>
      <w:r w:rsidR="00A263CF">
        <w:t>John P. Sanella, CPA</w:t>
      </w:r>
      <w:r w:rsidR="00A263CF" w:rsidRPr="00A263CF">
        <w:rPr>
          <w:color w:val="FF0000"/>
        </w:rPr>
        <w:t xml:space="preserve"> </w:t>
      </w:r>
      <w:r>
        <w:t>(CPA Report).</w:t>
      </w:r>
      <w:r w:rsidR="00D84150" w:rsidRPr="00D84150">
        <w:rPr>
          <w:rFonts w:cs="Times New Roman"/>
          <w:vertAlign w:val="superscript"/>
        </w:rPr>
        <w:footnoteReference w:id="2"/>
      </w:r>
      <w:r w:rsidR="00D84150" w:rsidRPr="00D84150">
        <w:rPr>
          <w:vertAlign w:val="superscript"/>
        </w:rPr>
        <w:t>,</w:t>
      </w:r>
      <w:r w:rsidR="002E1FE2" w:rsidRPr="00D84150">
        <w:rPr>
          <w:rStyle w:val="FootnoteReference"/>
        </w:rPr>
        <w:footnoteReference w:id="3"/>
      </w:r>
      <w:r>
        <w:t xml:space="preserve"> </w:t>
      </w:r>
      <w:r w:rsidR="002B264F" w:rsidRPr="002B264F">
        <w:t xml:space="preserve">The scope of the analysis and conclusions in the CPA Report are based upon a detailed review of all relevant information, </w:t>
      </w:r>
      <w:r w:rsidR="002B264F">
        <w:t>including</w:t>
      </w:r>
      <w:r w:rsidR="00105FCB" w:rsidRPr="00105FCB">
        <w:t xml:space="preserve"> financial projections (projection years ending December 2022 through 2026</w:t>
      </w:r>
      <w:r w:rsidR="00FC4928">
        <w:t>)</w:t>
      </w:r>
      <w:r>
        <w:t xml:space="preserve"> and </w:t>
      </w:r>
      <w:r w:rsidR="00B6042B">
        <w:t xml:space="preserve">the related </w:t>
      </w:r>
      <w:r>
        <w:t>supporting documentation.</w:t>
      </w:r>
      <w:r w:rsidR="00100BF7">
        <w:rPr>
          <w:rStyle w:val="FootnoteReference"/>
        </w:rPr>
        <w:footnoteReference w:id="4"/>
      </w:r>
      <w:r>
        <w:t xml:space="preserve"> </w:t>
      </w:r>
    </w:p>
    <w:p w14:paraId="00C38E8F" w14:textId="05AF80E0" w:rsidR="00D262F2" w:rsidRPr="00D262F2" w:rsidRDefault="00D262F2" w:rsidP="00D262F2">
      <w:pPr>
        <w:spacing w:line="240" w:lineRule="auto"/>
      </w:pPr>
      <w:r w:rsidRPr="00D262F2">
        <w:t xml:space="preserve">The CPA reports that the projected revenue consists primarily of net patient service revenue. Revenue projected for the first year of operation is based on financial data for the current period, Management’s historical experience with operating the Facility, and current reimbursement and nursing home reimbursement rates and regulations. Future years were projected utilizing best assumptions for changes in reimbursement rates, payor mix, and occupancy. </w:t>
      </w:r>
    </w:p>
    <w:p w14:paraId="74CF39CD" w14:textId="77777777" w:rsidR="00D8739C" w:rsidRPr="00D8739C" w:rsidRDefault="00D8739C" w:rsidP="00D8739C">
      <w:pPr>
        <w:rPr>
          <w:rFonts w:cs="Times New Roman"/>
        </w:rPr>
      </w:pPr>
      <w:r w:rsidRPr="00D8739C">
        <w:rPr>
          <w:rFonts w:cs="Times New Roman"/>
        </w:rPr>
        <w:t xml:space="preserve">The CPA reviewed the projected operating expenses and states that baseline expenses for the first year of the projection were derived from financial data relevant to current and historical operations of the </w:t>
      </w:r>
      <w:r w:rsidRPr="00D8739C">
        <w:rPr>
          <w:rFonts w:cs="Times New Roman"/>
        </w:rPr>
        <w:lastRenderedPageBreak/>
        <w:t>facility and review of each expense category.</w:t>
      </w:r>
      <w:r w:rsidRPr="00D8739C">
        <w:rPr>
          <w:rFonts w:cs="Times New Roman"/>
          <w:vertAlign w:val="superscript"/>
        </w:rPr>
        <w:footnoteReference w:id="5"/>
      </w:r>
      <w:r w:rsidRPr="00D8739C">
        <w:rPr>
          <w:rFonts w:cs="Times New Roman"/>
        </w:rPr>
        <w:t xml:space="preserve"> Subsequent years factored in anticipated inflation and increases for all expenses.</w:t>
      </w:r>
    </w:p>
    <w:p w14:paraId="6FA5ADB5" w14:textId="76BD25BD" w:rsidR="007E4B8F" w:rsidRDefault="007E4B8F" w:rsidP="007E4B8F">
      <w:pPr>
        <w:spacing w:after="0" w:line="240" w:lineRule="auto"/>
      </w:pPr>
      <w:r w:rsidRPr="007E4B8F">
        <w:t xml:space="preserve">The CPA also reviewed past and present capital expenditures and cash flow to determine whether the Applicant will likely have sufficient funds to service the debt. According to the documents reviewed by the CPA, the Project will be financed by a construction loan with a 25 year amortization period. </w:t>
      </w:r>
    </w:p>
    <w:p w14:paraId="6682D1FF" w14:textId="77777777" w:rsidR="007E4B8F" w:rsidRPr="007E4B8F" w:rsidRDefault="007E4B8F" w:rsidP="007E4B8F">
      <w:pPr>
        <w:spacing w:after="0" w:line="240" w:lineRule="auto"/>
      </w:pPr>
    </w:p>
    <w:p w14:paraId="4205FD87" w14:textId="77777777" w:rsidR="007E4B8F" w:rsidRPr="007E4B8F" w:rsidRDefault="007E4B8F" w:rsidP="007E4B8F">
      <w:pPr>
        <w:spacing w:after="0" w:line="240" w:lineRule="auto"/>
      </w:pPr>
      <w:r w:rsidRPr="007E4B8F">
        <w:t xml:space="preserve">As a result of the foregoing, the CPA stated </w:t>
      </w:r>
      <w:r w:rsidRPr="007E4B8F">
        <w:rPr>
          <w:i/>
          <w:iCs/>
        </w:rPr>
        <w:t>“Based upon my review of the relevant documents and analysis of the projected financial statements, I determined the Projections operating surpluses are reasonable expectations based upon achieving the hypothetical assumptions that Management has included in the Projections. Accordingly, I determined that the Projections are financially feasible and sustainable and not likely to have a negative impact on the patient panel.”</w:t>
      </w:r>
    </w:p>
    <w:p w14:paraId="1F7ECB86" w14:textId="77777777" w:rsidR="00D04C13" w:rsidRDefault="00D04C13">
      <w:pPr>
        <w:spacing w:after="0" w:line="240" w:lineRule="auto"/>
      </w:pPr>
    </w:p>
    <w:p w14:paraId="0000002C" w14:textId="77777777" w:rsidR="00350CD8" w:rsidRDefault="00350CD8">
      <w:pPr>
        <w:spacing w:after="0"/>
      </w:pPr>
    </w:p>
    <w:p w14:paraId="0000002D" w14:textId="77777777" w:rsidR="00350CD8" w:rsidRPr="003D16F6" w:rsidRDefault="00EC32CB">
      <w:pPr>
        <w:spacing w:after="0"/>
      </w:pPr>
      <w:r w:rsidRPr="003D16F6">
        <w:rPr>
          <w:b/>
        </w:rPr>
        <w:t>Factor 6</w:t>
      </w:r>
      <w:r w:rsidRPr="003D16F6">
        <w:t xml:space="preserve"> </w:t>
      </w:r>
    </w:p>
    <w:p w14:paraId="2F1B5B83" w14:textId="429BED1F" w:rsidR="00320F6A" w:rsidRPr="00320F6A" w:rsidRDefault="00320F6A" w:rsidP="00320F6A">
      <w:pPr>
        <w:spacing w:after="0" w:line="240" w:lineRule="auto"/>
      </w:pPr>
      <w:r w:rsidRPr="00320F6A">
        <w:t xml:space="preserve">The Community Health Initiative (CHI) component of the DoN regulation requires Long Term Care Facilities completing a Conservation project to contribute 1% of the total value of the project, to the </w:t>
      </w:r>
      <w:r w:rsidR="00583F0B">
        <w:t>CHI</w:t>
      </w:r>
      <w:r w:rsidR="00344FF4">
        <w:t xml:space="preserve"> </w:t>
      </w:r>
      <w:r w:rsidRPr="00320F6A">
        <w:t xml:space="preserve">Healthy Aging Fund. </w:t>
      </w:r>
      <w:r w:rsidR="000A0ADF" w:rsidRPr="00320F6A">
        <w:t xml:space="preserve">The Applicant has chosen the option to pay in two equal installments. </w:t>
      </w:r>
      <w:r w:rsidRPr="00320F6A">
        <w:t xml:space="preserve">Payment may must be made in two equal installments with the first payment due within </w:t>
      </w:r>
      <w:r w:rsidR="000B1C5D">
        <w:t>six</w:t>
      </w:r>
      <w:r w:rsidRPr="00320F6A">
        <w:t xml:space="preserve"> months of receipt of a duly-approved Notice of Determination of Need, and the second, on the first anniversary of the Notice. Any deviation to this payment schedule will require program approval. For this proposed Conservation Project, the CHI contribution will be </w:t>
      </w:r>
      <w:r w:rsidR="00BD7664" w:rsidRPr="00BD7664">
        <w:t>$62,167.50</w:t>
      </w:r>
      <w:r w:rsidRPr="00320F6A">
        <w:t>. Based on the Applicant’s compliance with the above requirement, the Applicant meets the terms of Factor 6. </w:t>
      </w:r>
    </w:p>
    <w:p w14:paraId="373BE063" w14:textId="77777777" w:rsidR="00740268" w:rsidRDefault="00740268">
      <w:pPr>
        <w:spacing w:after="0" w:line="240" w:lineRule="auto"/>
      </w:pPr>
    </w:p>
    <w:p w14:paraId="00000031" w14:textId="77777777" w:rsidR="00350CD8" w:rsidRDefault="00350CD8">
      <w:pPr>
        <w:spacing w:after="0" w:line="240" w:lineRule="auto"/>
      </w:pPr>
    </w:p>
    <w:p w14:paraId="18BCEE29" w14:textId="2C435913" w:rsidR="003D16F6" w:rsidRPr="003D7068" w:rsidRDefault="003D16F6" w:rsidP="003D16F6">
      <w:pPr>
        <w:spacing w:line="256" w:lineRule="auto"/>
        <w:ind w:hanging="2"/>
      </w:pPr>
      <w:r w:rsidRPr="003D7068">
        <w:rPr>
          <w:b/>
          <w:u w:val="single"/>
        </w:rPr>
        <w:t>Overall Findings</w:t>
      </w:r>
      <w:r w:rsidRPr="003D7068">
        <w:rPr>
          <w:u w:val="single"/>
        </w:rPr>
        <w:t xml:space="preserve"> </w:t>
      </w:r>
    </w:p>
    <w:p w14:paraId="230963BA" w14:textId="7B43E2D6" w:rsidR="003D16F6" w:rsidRDefault="003D16F6" w:rsidP="003D16F6">
      <w:pPr>
        <w:ind w:hanging="2"/>
      </w:pPr>
      <w:r w:rsidRPr="003D7068">
        <w:t xml:space="preserve">Based upon a review of the materials submitted, </w:t>
      </w:r>
      <w:r>
        <w:t xml:space="preserve">staff finds </w:t>
      </w:r>
      <w:r w:rsidRPr="003D7068">
        <w:t xml:space="preserve">that the Proposed Project at </w:t>
      </w:r>
      <w:r w:rsidR="00C643D8" w:rsidRPr="00C643D8">
        <w:t xml:space="preserve">Pine Knoll Nursing Center </w:t>
      </w:r>
      <w:r w:rsidRPr="003D7068">
        <w:t xml:space="preserve">has met </w:t>
      </w:r>
      <w:r w:rsidR="003423F0">
        <w:t xml:space="preserve">each </w:t>
      </w:r>
      <w:r w:rsidRPr="003D7068">
        <w:t>applicable DoN Factor</w:t>
      </w:r>
      <w:r>
        <w:t xml:space="preserve"> and recommends that the </w:t>
      </w:r>
      <w:r w:rsidR="003423F0">
        <w:t xml:space="preserve">Commissioner </w:t>
      </w:r>
      <w:bookmarkStart w:id="0" w:name="_Hlk106373220"/>
      <w:r>
        <w:t xml:space="preserve">approve this Application for Determination of Need, </w:t>
      </w:r>
      <w:r w:rsidRPr="00084566">
        <w:t>subject to all Standard Conditions as provided in the Regulations</w:t>
      </w:r>
      <w:r>
        <w:t xml:space="preserve"> except for 105 MR 100.310(A)(10) and the Other Conditions</w:t>
      </w:r>
      <w:r w:rsidR="00CD7F19">
        <w:t xml:space="preserve">, </w:t>
      </w:r>
      <w:r>
        <w:t>set out below</w:t>
      </w:r>
      <w:r w:rsidRPr="00084566">
        <w:t xml:space="preserve">. </w:t>
      </w:r>
      <w:bookmarkEnd w:id="0"/>
    </w:p>
    <w:p w14:paraId="3A439F54" w14:textId="77777777" w:rsidR="003D16F6" w:rsidRDefault="003D16F6" w:rsidP="003D16F6">
      <w:pPr>
        <w:spacing w:line="256" w:lineRule="auto"/>
        <w:ind w:hanging="2"/>
        <w:rPr>
          <w:b/>
          <w:u w:val="single"/>
        </w:rPr>
      </w:pPr>
    </w:p>
    <w:p w14:paraId="4F441B4D" w14:textId="19DFB3C7" w:rsidR="003D16F6" w:rsidRPr="008F134E" w:rsidRDefault="003D16F6" w:rsidP="000633CC">
      <w:pPr>
        <w:spacing w:line="256" w:lineRule="auto"/>
      </w:pPr>
      <w:r w:rsidRPr="00084566">
        <w:rPr>
          <w:b/>
          <w:u w:val="single"/>
        </w:rPr>
        <w:t>Conditions</w:t>
      </w:r>
    </w:p>
    <w:p w14:paraId="7CF750B1" w14:textId="77777777" w:rsidR="003D16F6" w:rsidRDefault="003D16F6" w:rsidP="003D16F6">
      <w:pPr>
        <w:pStyle w:val="ListParagraph"/>
        <w:numPr>
          <w:ilvl w:val="0"/>
          <w:numId w:val="6"/>
        </w:numPr>
        <w:spacing w:line="256" w:lineRule="auto"/>
        <w:contextualSpacing/>
        <w:rPr>
          <w:rFonts w:asciiTheme="majorHAnsi" w:eastAsia="Calibri" w:hAnsiTheme="majorHAnsi" w:cstheme="majorHAnsi"/>
        </w:rPr>
      </w:pPr>
      <w:r w:rsidRPr="003D16F6">
        <w:rPr>
          <w:rFonts w:asciiTheme="majorHAnsi" w:eastAsia="Calibri" w:hAnsiTheme="majorHAnsi" w:cstheme="majorHAnsi"/>
        </w:rPr>
        <w:t>All Standard Conditions apply except 105 CMR 100.310(A)(10).</w:t>
      </w:r>
    </w:p>
    <w:p w14:paraId="677F4A48" w14:textId="76ED2789" w:rsidR="003D16F6" w:rsidRPr="003D16F6" w:rsidRDefault="00230646" w:rsidP="003D16F6">
      <w:pPr>
        <w:pStyle w:val="ListParagraph"/>
        <w:numPr>
          <w:ilvl w:val="0"/>
          <w:numId w:val="6"/>
        </w:numPr>
        <w:spacing w:line="256" w:lineRule="auto"/>
        <w:contextualSpacing/>
        <w:rPr>
          <w:rFonts w:asciiTheme="majorHAnsi" w:eastAsia="Calibri" w:hAnsiTheme="majorHAnsi" w:cstheme="majorHAnsi"/>
        </w:rPr>
      </w:pPr>
      <w:r w:rsidRPr="00230646">
        <w:rPr>
          <w:rFonts w:asciiTheme="majorHAnsi" w:eastAsia="Calibri" w:hAnsiTheme="majorHAnsi" w:cstheme="majorHAnsi"/>
          <w:position w:val="-1"/>
          <w:lang w:eastAsia="hi-IN" w:bidi="hi-IN"/>
        </w:rPr>
        <w:t>The total required CHI contribution of</w:t>
      </w:r>
      <w:r w:rsidR="003D16F6" w:rsidRPr="003D16F6">
        <w:rPr>
          <w:rFonts w:asciiTheme="majorHAnsi" w:eastAsia="Calibri" w:hAnsiTheme="majorHAnsi" w:cstheme="majorHAnsi"/>
          <w:position w:val="-1"/>
          <w:lang w:eastAsia="hi-IN" w:bidi="hi-IN"/>
        </w:rPr>
        <w:t xml:space="preserve"> $62,167.50</w:t>
      </w:r>
      <w:r>
        <w:rPr>
          <w:rFonts w:asciiTheme="majorHAnsi" w:eastAsia="Calibri" w:hAnsiTheme="majorHAnsi" w:cstheme="majorHAnsi"/>
          <w:position w:val="-1"/>
          <w:lang w:eastAsia="hi-IN" w:bidi="hi-IN"/>
        </w:rPr>
        <w:t xml:space="preserve"> </w:t>
      </w:r>
      <w:r w:rsidR="003D16F6" w:rsidRPr="003D16F6">
        <w:rPr>
          <w:rFonts w:asciiTheme="majorHAnsi" w:eastAsia="Calibri" w:hAnsiTheme="majorHAnsi" w:cstheme="majorHAnsi"/>
          <w:position w:val="-1"/>
          <w:lang w:eastAsia="hi-IN" w:bidi="hi-IN"/>
        </w:rPr>
        <w:t xml:space="preserve">will be directed to the </w:t>
      </w:r>
      <w:r w:rsidR="00F7127A">
        <w:rPr>
          <w:rFonts w:asciiTheme="majorHAnsi" w:eastAsia="Calibri" w:hAnsiTheme="majorHAnsi" w:cstheme="majorHAnsi"/>
          <w:position w:val="-1"/>
          <w:lang w:eastAsia="hi-IN" w:bidi="hi-IN"/>
        </w:rPr>
        <w:t>Massachusetts</w:t>
      </w:r>
      <w:r w:rsidR="003D16F6" w:rsidRPr="003D16F6">
        <w:rPr>
          <w:rFonts w:asciiTheme="majorHAnsi" w:eastAsia="Calibri" w:hAnsiTheme="majorHAnsi" w:cstheme="majorHAnsi"/>
          <w:position w:val="-1"/>
          <w:lang w:eastAsia="hi-IN" w:bidi="hi-IN"/>
        </w:rPr>
        <w:t xml:space="preserve"> Healthy Aging Fund.</w:t>
      </w:r>
    </w:p>
    <w:p w14:paraId="18DDE28D" w14:textId="065104E0" w:rsidR="003D16F6" w:rsidRPr="003D16F6" w:rsidRDefault="003D16F6" w:rsidP="003D16F6">
      <w:pPr>
        <w:pStyle w:val="ListParagraph"/>
        <w:numPr>
          <w:ilvl w:val="0"/>
          <w:numId w:val="6"/>
        </w:numPr>
        <w:spacing w:line="256" w:lineRule="auto"/>
        <w:contextualSpacing/>
        <w:rPr>
          <w:rFonts w:asciiTheme="majorHAnsi" w:eastAsia="Calibri" w:hAnsiTheme="majorHAnsi" w:cstheme="majorHAnsi"/>
        </w:rPr>
      </w:pPr>
      <w:r w:rsidRPr="003D16F6">
        <w:rPr>
          <w:rFonts w:asciiTheme="majorHAnsi" w:eastAsia="Calibri" w:hAnsiTheme="majorHAnsi" w:cstheme="majorHAnsi"/>
        </w:rPr>
        <w:t xml:space="preserve">To comply with the Holder’s obligation to contribute to the </w:t>
      </w:r>
      <w:r w:rsidR="00230646">
        <w:rPr>
          <w:rFonts w:asciiTheme="majorHAnsi" w:eastAsia="Calibri" w:hAnsiTheme="majorHAnsi" w:cstheme="majorHAnsi"/>
        </w:rPr>
        <w:t>Massachusetts Healthy</w:t>
      </w:r>
      <w:r w:rsidRPr="003D16F6">
        <w:rPr>
          <w:rFonts w:asciiTheme="majorHAnsi" w:eastAsia="Calibri" w:hAnsiTheme="majorHAnsi" w:cstheme="majorHAnsi"/>
        </w:rPr>
        <w:t xml:space="preserve"> Aging Fund, the Holder mus</w:t>
      </w:r>
      <w:r>
        <w:rPr>
          <w:rFonts w:asciiTheme="majorHAnsi" w:eastAsia="Calibri" w:hAnsiTheme="majorHAnsi" w:cstheme="majorHAnsi"/>
        </w:rPr>
        <w:t xml:space="preserve">t </w:t>
      </w:r>
      <w:r w:rsidRPr="003D16F6">
        <w:rPr>
          <w:rFonts w:asciiTheme="majorHAnsi" w:eastAsia="Calibri" w:hAnsiTheme="majorHAnsi" w:cstheme="majorHAnsi"/>
        </w:rPr>
        <w:t xml:space="preserve">submit payment to </w:t>
      </w:r>
      <w:r w:rsidRPr="003D16F6">
        <w:rPr>
          <w:rFonts w:asciiTheme="majorHAnsi" w:eastAsia="Calibri" w:hAnsiTheme="majorHAnsi" w:cstheme="majorHAnsi"/>
          <w:position w:val="-1"/>
          <w:lang w:eastAsia="hi-IN" w:bidi="hi-IN"/>
        </w:rPr>
        <w:t>Health Resources in Action (the fiscal agent for the CHI Statewide Initiative) in two equal installments of $3</w:t>
      </w:r>
      <w:r w:rsidR="007E2C31">
        <w:rPr>
          <w:rFonts w:asciiTheme="majorHAnsi" w:eastAsia="Calibri" w:hAnsiTheme="majorHAnsi" w:cstheme="majorHAnsi"/>
          <w:position w:val="-1"/>
          <w:lang w:eastAsia="hi-IN" w:bidi="hi-IN"/>
        </w:rPr>
        <w:t>1</w:t>
      </w:r>
      <w:r w:rsidRPr="003D16F6">
        <w:rPr>
          <w:rFonts w:asciiTheme="majorHAnsi" w:eastAsia="Calibri" w:hAnsiTheme="majorHAnsi" w:cstheme="majorHAnsi"/>
          <w:position w:val="-1"/>
          <w:lang w:eastAsia="hi-IN" w:bidi="hi-IN"/>
        </w:rPr>
        <w:t>,</w:t>
      </w:r>
      <w:r w:rsidR="007E2C31">
        <w:rPr>
          <w:rFonts w:asciiTheme="majorHAnsi" w:eastAsia="Calibri" w:hAnsiTheme="majorHAnsi" w:cstheme="majorHAnsi"/>
          <w:position w:val="-1"/>
          <w:lang w:eastAsia="hi-IN" w:bidi="hi-IN"/>
        </w:rPr>
        <w:t>083.75</w:t>
      </w:r>
      <w:r w:rsidRPr="003D16F6">
        <w:rPr>
          <w:rFonts w:asciiTheme="majorHAnsi" w:eastAsia="Calibri" w:hAnsiTheme="majorHAnsi" w:cstheme="majorHAnsi"/>
          <w:position w:val="-1"/>
          <w:lang w:eastAsia="hi-IN" w:bidi="hi-IN"/>
        </w:rPr>
        <w:t xml:space="preserve"> as follows:</w:t>
      </w:r>
    </w:p>
    <w:p w14:paraId="1348E795" w14:textId="4BDD51BA" w:rsidR="003D16F6" w:rsidRPr="003D16F6" w:rsidRDefault="003D16F6" w:rsidP="003D16F6">
      <w:pPr>
        <w:pStyle w:val="ListParagraph"/>
        <w:widowControl/>
        <w:numPr>
          <w:ilvl w:val="1"/>
          <w:numId w:val="5"/>
        </w:numPr>
        <w:autoSpaceDE/>
        <w:autoSpaceDN/>
        <w:spacing w:after="160" w:line="256" w:lineRule="auto"/>
        <w:contextualSpacing/>
        <w:rPr>
          <w:rFonts w:asciiTheme="majorHAnsi" w:hAnsiTheme="majorHAnsi" w:cstheme="majorHAnsi"/>
          <w:lang w:eastAsia="hi-IN" w:bidi="hi-IN"/>
        </w:rPr>
      </w:pPr>
      <w:r w:rsidRPr="003D16F6">
        <w:rPr>
          <w:rFonts w:asciiTheme="majorHAnsi" w:hAnsiTheme="majorHAnsi" w:cstheme="majorHAnsi"/>
          <w:lang w:eastAsia="hi-IN" w:bidi="hi-IN"/>
        </w:rPr>
        <w:t xml:space="preserve">The Holder must submit the first </w:t>
      </w:r>
      <w:r w:rsidR="007F382B">
        <w:rPr>
          <w:rFonts w:asciiTheme="majorHAnsi" w:hAnsiTheme="majorHAnsi" w:cstheme="majorHAnsi"/>
          <w:lang w:eastAsia="hi-IN" w:bidi="hi-IN"/>
        </w:rPr>
        <w:t xml:space="preserve">check </w:t>
      </w:r>
      <w:r w:rsidRPr="003D16F6">
        <w:rPr>
          <w:rFonts w:asciiTheme="majorHAnsi" w:hAnsiTheme="majorHAnsi" w:cstheme="majorHAnsi"/>
          <w:lang w:eastAsia="hi-IN" w:bidi="hi-IN"/>
        </w:rPr>
        <w:t xml:space="preserve">to HRiA within </w:t>
      </w:r>
      <w:r w:rsidR="007F382B">
        <w:rPr>
          <w:rFonts w:asciiTheme="majorHAnsi" w:hAnsiTheme="majorHAnsi" w:cstheme="majorHAnsi"/>
          <w:lang w:eastAsia="hi-IN" w:bidi="hi-IN"/>
        </w:rPr>
        <w:t>six months</w:t>
      </w:r>
      <w:r w:rsidRPr="003D16F6">
        <w:rPr>
          <w:rFonts w:asciiTheme="majorHAnsi" w:hAnsiTheme="majorHAnsi" w:cstheme="majorHAnsi"/>
          <w:lang w:eastAsia="hi-IN" w:bidi="hi-IN"/>
        </w:rPr>
        <w:t xml:space="preserve"> from the date of the approved Notice of Determination of Need.</w:t>
      </w:r>
    </w:p>
    <w:p w14:paraId="6EE906FC" w14:textId="64AAEFF8" w:rsidR="003D16F6" w:rsidRPr="003D16F6" w:rsidRDefault="003D16F6" w:rsidP="003D16F6">
      <w:pPr>
        <w:pStyle w:val="ListParagraph"/>
        <w:widowControl/>
        <w:numPr>
          <w:ilvl w:val="1"/>
          <w:numId w:val="5"/>
        </w:numPr>
        <w:autoSpaceDE/>
        <w:autoSpaceDN/>
        <w:spacing w:after="160" w:line="256" w:lineRule="auto"/>
        <w:contextualSpacing/>
        <w:rPr>
          <w:rFonts w:asciiTheme="majorHAnsi" w:eastAsia="Calibri" w:hAnsiTheme="majorHAnsi" w:cstheme="majorHAnsi"/>
          <w:position w:val="-1"/>
          <w:lang w:eastAsia="hi-IN" w:bidi="hi-IN"/>
        </w:rPr>
      </w:pPr>
      <w:r w:rsidRPr="003D16F6">
        <w:rPr>
          <w:rFonts w:asciiTheme="majorHAnsi" w:hAnsiTheme="majorHAnsi" w:cstheme="majorHAnsi"/>
          <w:lang w:eastAsia="hi-IN" w:bidi="hi-IN"/>
        </w:rPr>
        <w:t xml:space="preserve">The Holder must submit the second </w:t>
      </w:r>
      <w:r w:rsidR="00F45AD1">
        <w:rPr>
          <w:rFonts w:asciiTheme="majorHAnsi" w:hAnsiTheme="majorHAnsi" w:cstheme="majorHAnsi"/>
          <w:lang w:eastAsia="hi-IN" w:bidi="hi-IN"/>
        </w:rPr>
        <w:t>installment of funds</w:t>
      </w:r>
      <w:r w:rsidR="007E2C31" w:rsidRPr="007E2C31">
        <w:rPr>
          <w:rFonts w:asciiTheme="majorHAnsi" w:hAnsiTheme="majorHAnsi" w:cstheme="majorHAnsi"/>
          <w:lang w:eastAsia="hi-IN" w:bidi="hi-IN"/>
        </w:rPr>
        <w:t xml:space="preserve"> </w:t>
      </w:r>
      <w:r w:rsidRPr="003D16F6">
        <w:rPr>
          <w:rFonts w:asciiTheme="majorHAnsi" w:hAnsiTheme="majorHAnsi" w:cstheme="majorHAnsi"/>
          <w:lang w:eastAsia="hi-IN" w:bidi="hi-IN"/>
        </w:rPr>
        <w:t>to HRiA on the first anniversary of the approved Notice of Determination of Need.</w:t>
      </w:r>
    </w:p>
    <w:p w14:paraId="7CBDD2CD" w14:textId="77777777" w:rsidR="003D16F6" w:rsidRPr="003D16F6" w:rsidRDefault="003D16F6" w:rsidP="003D16F6">
      <w:pPr>
        <w:pStyle w:val="ListParagraph"/>
        <w:widowControl/>
        <w:numPr>
          <w:ilvl w:val="1"/>
          <w:numId w:val="5"/>
        </w:numPr>
        <w:autoSpaceDE/>
        <w:autoSpaceDN/>
        <w:spacing w:after="160" w:line="256" w:lineRule="auto"/>
        <w:contextualSpacing/>
        <w:rPr>
          <w:rFonts w:asciiTheme="majorHAnsi" w:eastAsia="Calibri" w:hAnsiTheme="majorHAnsi" w:cstheme="majorHAnsi"/>
          <w:position w:val="-1"/>
          <w:lang w:eastAsia="hi-IN" w:bidi="hi-IN"/>
        </w:rPr>
      </w:pPr>
      <w:r w:rsidRPr="003D16F6">
        <w:rPr>
          <w:rFonts w:asciiTheme="majorHAnsi" w:hAnsiTheme="majorHAnsi" w:cstheme="majorHAnsi"/>
          <w:lang w:eastAsia="hi-IN" w:bidi="hi-IN"/>
        </w:rPr>
        <w:lastRenderedPageBreak/>
        <w:t>The Holder must promptly notify DPH (CHI contact staff) when each payment has been made.</w:t>
      </w:r>
    </w:p>
    <w:p w14:paraId="194CF9FC" w14:textId="77777777" w:rsidR="003D16F6" w:rsidRPr="00073816" w:rsidRDefault="003D16F6" w:rsidP="003D16F6">
      <w:pPr>
        <w:pStyle w:val="ListParagraph"/>
        <w:spacing w:line="256" w:lineRule="auto"/>
        <w:ind w:left="358"/>
        <w:rPr>
          <w:rFonts w:eastAsia="Calibri" w:cstheme="minorHAnsi"/>
        </w:rPr>
      </w:pPr>
    </w:p>
    <w:p w14:paraId="391F0799" w14:textId="77777777" w:rsidR="003D16F6" w:rsidRPr="008F134E" w:rsidRDefault="003D16F6" w:rsidP="003D16F6">
      <w:pPr>
        <w:spacing w:after="0" w:line="240" w:lineRule="auto"/>
      </w:pPr>
    </w:p>
    <w:p w14:paraId="76734442" w14:textId="77777777" w:rsidR="003D16F6" w:rsidRPr="008F134E" w:rsidRDefault="003D16F6" w:rsidP="003D16F6">
      <w:pPr>
        <w:spacing w:after="0" w:line="240" w:lineRule="auto"/>
      </w:pPr>
      <w:r w:rsidRPr="008F134E">
        <w:t>Payment should be sent to:</w:t>
      </w:r>
    </w:p>
    <w:p w14:paraId="3F0E8359" w14:textId="77777777" w:rsidR="003D16F6" w:rsidRPr="008F134E" w:rsidRDefault="003D16F6" w:rsidP="003D16F6">
      <w:pPr>
        <w:spacing w:after="0" w:line="240" w:lineRule="auto"/>
      </w:pPr>
      <w:r w:rsidRPr="008F134E">
        <w:t>Health Resources in Action, Inc. (HRiA) </w:t>
      </w:r>
    </w:p>
    <w:p w14:paraId="2AD1D269" w14:textId="77777777" w:rsidR="003D16F6" w:rsidRPr="008F134E" w:rsidRDefault="003D16F6" w:rsidP="003D16F6">
      <w:pPr>
        <w:spacing w:after="0" w:line="240" w:lineRule="auto"/>
      </w:pPr>
      <w:r w:rsidRPr="008F134E">
        <w:t>2 Boylston Street, 4th Floor</w:t>
      </w:r>
    </w:p>
    <w:p w14:paraId="4E81E142" w14:textId="77777777" w:rsidR="003D16F6" w:rsidRPr="008F134E" w:rsidRDefault="003D16F6" w:rsidP="003D16F6">
      <w:pPr>
        <w:spacing w:after="0" w:line="240" w:lineRule="auto"/>
      </w:pPr>
      <w:r w:rsidRPr="008F134E">
        <w:t>Boston, MA 02116</w:t>
      </w:r>
    </w:p>
    <w:p w14:paraId="67AB7605" w14:textId="77777777" w:rsidR="003D16F6" w:rsidRPr="008F134E" w:rsidRDefault="003D16F6" w:rsidP="003D16F6">
      <w:pPr>
        <w:spacing w:after="0" w:line="240" w:lineRule="auto"/>
      </w:pPr>
      <w:r w:rsidRPr="008F134E">
        <w:t>Attn: Ms. Bora Toro</w:t>
      </w:r>
    </w:p>
    <w:p w14:paraId="00000032" w14:textId="77777777" w:rsidR="00350CD8" w:rsidRDefault="00350CD8">
      <w:pPr>
        <w:spacing w:after="0"/>
        <w:rPr>
          <w:b/>
        </w:rPr>
      </w:pPr>
    </w:p>
    <w:sectPr w:rsidR="00350C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7BBB9" w14:textId="77777777" w:rsidR="00E814D3" w:rsidRDefault="00E814D3">
      <w:pPr>
        <w:spacing w:after="0" w:line="240" w:lineRule="auto"/>
      </w:pPr>
      <w:r>
        <w:separator/>
      </w:r>
    </w:p>
  </w:endnote>
  <w:endnote w:type="continuationSeparator" w:id="0">
    <w:p w14:paraId="0A2B09CF" w14:textId="77777777" w:rsidR="00E814D3" w:rsidRDefault="00E8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B534" w14:textId="77777777" w:rsidR="000C4770" w:rsidRDefault="000C4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A2C6C38" w:rsidR="00350CD8" w:rsidRDefault="00EC32C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55BB2">
      <w:rPr>
        <w:noProof/>
        <w:color w:val="000000"/>
      </w:rPr>
      <w:t>1</w:t>
    </w:r>
    <w:r>
      <w:rPr>
        <w:color w:val="000000"/>
      </w:rPr>
      <w:fldChar w:fldCharType="end"/>
    </w:r>
  </w:p>
  <w:p w14:paraId="0000004E" w14:textId="77777777" w:rsidR="00350CD8" w:rsidRDefault="00350CD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9DE4" w14:textId="77777777" w:rsidR="000C4770" w:rsidRDefault="000C4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2D6E" w14:textId="77777777" w:rsidR="00E814D3" w:rsidRDefault="00E814D3">
      <w:pPr>
        <w:spacing w:after="0" w:line="240" w:lineRule="auto"/>
      </w:pPr>
      <w:r>
        <w:separator/>
      </w:r>
    </w:p>
  </w:footnote>
  <w:footnote w:type="continuationSeparator" w:id="0">
    <w:p w14:paraId="34A89FF6" w14:textId="77777777" w:rsidR="00E814D3" w:rsidRDefault="00E814D3">
      <w:pPr>
        <w:spacing w:after="0" w:line="240" w:lineRule="auto"/>
      </w:pPr>
      <w:r>
        <w:continuationSeparator/>
      </w:r>
    </w:p>
  </w:footnote>
  <w:footnote w:id="1">
    <w:p w14:paraId="6043F52F" w14:textId="77777777" w:rsidR="007C6384" w:rsidRPr="00BD2B38" w:rsidRDefault="007C6384" w:rsidP="007C6384">
      <w:pPr>
        <w:spacing w:after="0"/>
        <w:ind w:hanging="2"/>
        <w:rPr>
          <w:sz w:val="18"/>
          <w:szCs w:val="18"/>
        </w:rPr>
      </w:pPr>
      <w:r w:rsidRPr="00BD2B38">
        <w:rPr>
          <w:rStyle w:val="FootnoteReference"/>
          <w:sz w:val="18"/>
          <w:szCs w:val="18"/>
        </w:rPr>
        <w:footnoteRef/>
      </w:r>
      <w:r w:rsidRPr="00BD2B38">
        <w:rPr>
          <w:sz w:val="18"/>
          <w:szCs w:val="18"/>
        </w:rPr>
        <w:t xml:space="preserve"> </w:t>
      </w:r>
      <w:hyperlink r:id="rId1" w:history="1">
        <w:r w:rsidRPr="00BD2B38">
          <w:rPr>
            <w:rStyle w:val="Hyperlink"/>
            <w:sz w:val="18"/>
            <w:szCs w:val="18"/>
          </w:rPr>
          <w:t>https://www.mass.gov/doc/long-term-care-notice-pdf/download</w:t>
        </w:r>
      </w:hyperlink>
      <w:r w:rsidRPr="00BD2B38">
        <w:rPr>
          <w:sz w:val="18"/>
          <w:szCs w:val="18"/>
        </w:rPr>
        <w:t xml:space="preserve"> </w:t>
      </w:r>
    </w:p>
  </w:footnote>
  <w:footnote w:id="2">
    <w:p w14:paraId="06317C4E" w14:textId="7CD8AAA7" w:rsidR="00D84150" w:rsidRPr="009535A7" w:rsidRDefault="00D84150" w:rsidP="00D84150">
      <w:pPr>
        <w:pStyle w:val="FootnoteText"/>
        <w:rPr>
          <w:sz w:val="18"/>
          <w:szCs w:val="18"/>
        </w:rPr>
      </w:pPr>
      <w:r w:rsidRPr="009535A7">
        <w:rPr>
          <w:rStyle w:val="FootnoteReference"/>
          <w:sz w:val="18"/>
          <w:szCs w:val="18"/>
        </w:rPr>
        <w:footnoteRef/>
      </w:r>
      <w:r w:rsidRPr="009535A7">
        <w:rPr>
          <w:sz w:val="18"/>
          <w:szCs w:val="18"/>
        </w:rPr>
        <w:t xml:space="preserve"> The CPA states it was </w:t>
      </w:r>
      <w:r w:rsidRPr="009535A7">
        <w:rPr>
          <w:i/>
          <w:iCs/>
          <w:sz w:val="18"/>
          <w:szCs w:val="18"/>
        </w:rPr>
        <w:t>prepared in accordance with the attestation standards established by the American Institute of Certified Public Accountants</w:t>
      </w:r>
      <w:r w:rsidRPr="009535A7">
        <w:rPr>
          <w:sz w:val="18"/>
          <w:szCs w:val="18"/>
        </w:rPr>
        <w:t xml:space="preserve"> for the projected operation of the </w:t>
      </w:r>
      <w:r w:rsidR="00F546C1">
        <w:rPr>
          <w:sz w:val="18"/>
          <w:szCs w:val="18"/>
        </w:rPr>
        <w:t>Pine Knoll Nursing</w:t>
      </w:r>
      <w:r w:rsidRPr="009535A7">
        <w:rPr>
          <w:sz w:val="18"/>
          <w:szCs w:val="18"/>
        </w:rPr>
        <w:t xml:space="preserve"> Center.</w:t>
      </w:r>
    </w:p>
  </w:footnote>
  <w:footnote w:id="3">
    <w:p w14:paraId="3DC42638" w14:textId="79F95904" w:rsidR="002E1FE2" w:rsidRPr="009535A7" w:rsidRDefault="002E1FE2" w:rsidP="002E1FE2">
      <w:pPr>
        <w:pStyle w:val="FootnoteText"/>
        <w:rPr>
          <w:sz w:val="18"/>
          <w:szCs w:val="18"/>
        </w:rPr>
      </w:pPr>
      <w:r w:rsidRPr="009535A7">
        <w:rPr>
          <w:rStyle w:val="FootnoteReference"/>
          <w:sz w:val="18"/>
          <w:szCs w:val="18"/>
        </w:rPr>
        <w:footnoteRef/>
      </w:r>
      <w:r w:rsidRPr="009535A7">
        <w:rPr>
          <w:sz w:val="18"/>
          <w:szCs w:val="18"/>
        </w:rPr>
        <w:t xml:space="preserve"> Reasonableness is defined within the context of this report as supportable and proper, given the underlying information. Feasibility is defined as based on Management achieving the hypothetical assumptions used, the plan is expected to result in “sufficient funds available for capital and ongoing operating costs necessary to support the Proposed Project without negative impacts or consequences to the Applicant’s existing Patient Panel” (per Determination of Need, Factor 4(a)).</w:t>
      </w:r>
    </w:p>
  </w:footnote>
  <w:footnote w:id="4">
    <w:p w14:paraId="3EAE5783" w14:textId="240D9960" w:rsidR="00100BF7" w:rsidRPr="009535A7" w:rsidRDefault="00100BF7">
      <w:pPr>
        <w:pStyle w:val="FootnoteText"/>
        <w:rPr>
          <w:sz w:val="18"/>
          <w:szCs w:val="18"/>
        </w:rPr>
      </w:pPr>
      <w:r w:rsidRPr="009535A7">
        <w:rPr>
          <w:rStyle w:val="FootnoteReference"/>
          <w:sz w:val="18"/>
          <w:szCs w:val="18"/>
        </w:rPr>
        <w:footnoteRef/>
      </w:r>
      <w:r w:rsidRPr="009535A7">
        <w:rPr>
          <w:sz w:val="18"/>
          <w:szCs w:val="18"/>
        </w:rPr>
        <w:t xml:space="preserve"> </w:t>
      </w:r>
      <w:r w:rsidR="0030545B" w:rsidRPr="009535A7">
        <w:rPr>
          <w:sz w:val="18"/>
          <w:szCs w:val="18"/>
        </w:rPr>
        <w:t xml:space="preserve">During the year ended December 31, 2021, the Nursing Home received forgiveness on a loan for approximately $1,417,451 through the Federal Paycheck Protection Program. These amounts are not included in the Projection Period. </w:t>
      </w:r>
    </w:p>
  </w:footnote>
  <w:footnote w:id="5">
    <w:p w14:paraId="4CE95B3E" w14:textId="0D6CDB31" w:rsidR="00D8739C" w:rsidRPr="009535A7" w:rsidRDefault="00D8739C" w:rsidP="00D8739C">
      <w:pPr>
        <w:pStyle w:val="FootnoteText"/>
        <w:rPr>
          <w:sz w:val="18"/>
          <w:szCs w:val="18"/>
        </w:rPr>
      </w:pPr>
      <w:r w:rsidRPr="009535A7">
        <w:rPr>
          <w:rStyle w:val="FootnoteReference"/>
          <w:sz w:val="18"/>
          <w:szCs w:val="18"/>
        </w:rPr>
        <w:footnoteRef/>
      </w:r>
      <w:r w:rsidRPr="009535A7">
        <w:rPr>
          <w:sz w:val="18"/>
          <w:szCs w:val="18"/>
        </w:rPr>
        <w:t xml:space="preserve"> </w:t>
      </w:r>
      <w:r w:rsidR="009535A7" w:rsidRPr="009535A7">
        <w:rPr>
          <w:sz w:val="18"/>
          <w:szCs w:val="18"/>
        </w:rPr>
        <w:t>I</w:t>
      </w:r>
      <w:r w:rsidRPr="009535A7">
        <w:rPr>
          <w:sz w:val="18"/>
          <w:szCs w:val="18"/>
        </w:rPr>
        <w:t>ncluding salaries and benefits, supplies, depreciation and interest expenses</w:t>
      </w:r>
      <w:r w:rsidR="009535A7" w:rsidRPr="009535A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77C6" w14:textId="77777777" w:rsidR="000C4770" w:rsidRDefault="000C4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62E0" w14:textId="77777777" w:rsidR="000C4770" w:rsidRDefault="000C4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518B" w14:textId="77777777" w:rsidR="000C4770" w:rsidRDefault="000C4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4EB5"/>
    <w:multiLevelType w:val="hybridMultilevel"/>
    <w:tmpl w:val="87A6628A"/>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1" w15:restartNumberingAfterBreak="0">
    <w:nsid w:val="51061C84"/>
    <w:multiLevelType w:val="hybridMultilevel"/>
    <w:tmpl w:val="66CABBE2"/>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0409001B">
      <w:start w:val="1"/>
      <w:numFmt w:val="lowerRoman"/>
      <w:lvlText w:val="%2."/>
      <w:lvlJc w:val="right"/>
      <w:pPr>
        <w:ind w:left="1560" w:hanging="361"/>
      </w:pPr>
      <w:rPr>
        <w:rFonts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2" w15:restartNumberingAfterBreak="0">
    <w:nsid w:val="5C7E23C4"/>
    <w:multiLevelType w:val="hybridMultilevel"/>
    <w:tmpl w:val="138082A0"/>
    <w:lvl w:ilvl="0" w:tplc="D7F439A6">
      <w:start w:val="1"/>
      <w:numFmt w:val="decimal"/>
      <w:lvlText w:val="%1."/>
      <w:lvlJc w:val="left"/>
      <w:pPr>
        <w:ind w:left="358" w:hanging="360"/>
      </w:pPr>
      <w:rPr>
        <w:rFonts w:hint="default"/>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0C66519"/>
    <w:multiLevelType w:val="hybridMultilevel"/>
    <w:tmpl w:val="E7241682"/>
    <w:lvl w:ilvl="0" w:tplc="DD8002C0">
      <w:start w:val="1"/>
      <w:numFmt w:val="decimal"/>
      <w:lvlText w:val="%1."/>
      <w:lvlJc w:val="left"/>
      <w:pPr>
        <w:ind w:left="241" w:hanging="360"/>
      </w:pPr>
      <w:rPr>
        <w:rFonts w:hint="default"/>
      </w:rPr>
    </w:lvl>
    <w:lvl w:ilvl="1" w:tplc="04090019" w:tentative="1">
      <w:start w:val="1"/>
      <w:numFmt w:val="lowerLetter"/>
      <w:lvlText w:val="%2."/>
      <w:lvlJc w:val="left"/>
      <w:pPr>
        <w:ind w:left="961" w:hanging="360"/>
      </w:p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5"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466395">
    <w:abstractNumId w:val="0"/>
  </w:num>
  <w:num w:numId="2" w16cid:durableId="75444438">
    <w:abstractNumId w:val="1"/>
  </w:num>
  <w:num w:numId="3" w16cid:durableId="1233347089">
    <w:abstractNumId w:val="5"/>
  </w:num>
  <w:num w:numId="4" w16cid:durableId="1329819978">
    <w:abstractNumId w:val="3"/>
  </w:num>
  <w:num w:numId="5" w16cid:durableId="251738996">
    <w:abstractNumId w:val="2"/>
  </w:num>
  <w:num w:numId="6" w16cid:durableId="1260796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8"/>
    <w:rsid w:val="00000175"/>
    <w:rsid w:val="00027E1C"/>
    <w:rsid w:val="000633CC"/>
    <w:rsid w:val="000649C1"/>
    <w:rsid w:val="000659B6"/>
    <w:rsid w:val="0008289B"/>
    <w:rsid w:val="0009157E"/>
    <w:rsid w:val="00097830"/>
    <w:rsid w:val="000A0ADF"/>
    <w:rsid w:val="000B1C5D"/>
    <w:rsid w:val="000C4770"/>
    <w:rsid w:val="000C5190"/>
    <w:rsid w:val="000C7DC1"/>
    <w:rsid w:val="000D122C"/>
    <w:rsid w:val="00100BF7"/>
    <w:rsid w:val="00105FCB"/>
    <w:rsid w:val="00145B13"/>
    <w:rsid w:val="00165E07"/>
    <w:rsid w:val="00183410"/>
    <w:rsid w:val="00195F57"/>
    <w:rsid w:val="001B7904"/>
    <w:rsid w:val="001C2E68"/>
    <w:rsid w:val="001C40D4"/>
    <w:rsid w:val="001D1113"/>
    <w:rsid w:val="001E1B90"/>
    <w:rsid w:val="002101B1"/>
    <w:rsid w:val="00230646"/>
    <w:rsid w:val="00237ED6"/>
    <w:rsid w:val="00280620"/>
    <w:rsid w:val="00292B57"/>
    <w:rsid w:val="002B264F"/>
    <w:rsid w:val="002B4C2D"/>
    <w:rsid w:val="002D53BB"/>
    <w:rsid w:val="002E1F0F"/>
    <w:rsid w:val="002E1FE2"/>
    <w:rsid w:val="003031C8"/>
    <w:rsid w:val="003050DF"/>
    <w:rsid w:val="0030545B"/>
    <w:rsid w:val="00314448"/>
    <w:rsid w:val="00320F6A"/>
    <w:rsid w:val="00321DC9"/>
    <w:rsid w:val="00324A05"/>
    <w:rsid w:val="003423F0"/>
    <w:rsid w:val="00344FF4"/>
    <w:rsid w:val="00346915"/>
    <w:rsid w:val="00350CD8"/>
    <w:rsid w:val="00357508"/>
    <w:rsid w:val="00366D83"/>
    <w:rsid w:val="003715B8"/>
    <w:rsid w:val="00395F76"/>
    <w:rsid w:val="003D16F6"/>
    <w:rsid w:val="003D3BFD"/>
    <w:rsid w:val="003E7613"/>
    <w:rsid w:val="00404A62"/>
    <w:rsid w:val="00406153"/>
    <w:rsid w:val="004229DC"/>
    <w:rsid w:val="00434BEF"/>
    <w:rsid w:val="004411A2"/>
    <w:rsid w:val="00453C04"/>
    <w:rsid w:val="00460226"/>
    <w:rsid w:val="004A3D94"/>
    <w:rsid w:val="004B31A2"/>
    <w:rsid w:val="004E0FAB"/>
    <w:rsid w:val="00513036"/>
    <w:rsid w:val="00532E0A"/>
    <w:rsid w:val="00533AA6"/>
    <w:rsid w:val="00544BCA"/>
    <w:rsid w:val="0056557C"/>
    <w:rsid w:val="00583F0B"/>
    <w:rsid w:val="005D1861"/>
    <w:rsid w:val="00600359"/>
    <w:rsid w:val="00626466"/>
    <w:rsid w:val="0063305F"/>
    <w:rsid w:val="00653C0C"/>
    <w:rsid w:val="00687C78"/>
    <w:rsid w:val="006B2CF1"/>
    <w:rsid w:val="006E6A91"/>
    <w:rsid w:val="006F1EF9"/>
    <w:rsid w:val="00704101"/>
    <w:rsid w:val="00737DF6"/>
    <w:rsid w:val="0074005A"/>
    <w:rsid w:val="00740268"/>
    <w:rsid w:val="00740D2A"/>
    <w:rsid w:val="00744BE9"/>
    <w:rsid w:val="00763CA9"/>
    <w:rsid w:val="007735FC"/>
    <w:rsid w:val="00776582"/>
    <w:rsid w:val="00776C91"/>
    <w:rsid w:val="00790E09"/>
    <w:rsid w:val="007C2303"/>
    <w:rsid w:val="007C2D3D"/>
    <w:rsid w:val="007C3A53"/>
    <w:rsid w:val="007C6384"/>
    <w:rsid w:val="007E2C31"/>
    <w:rsid w:val="007E4849"/>
    <w:rsid w:val="007E4B8F"/>
    <w:rsid w:val="007E6ED0"/>
    <w:rsid w:val="007F382B"/>
    <w:rsid w:val="00855BB2"/>
    <w:rsid w:val="008736CB"/>
    <w:rsid w:val="00874BC2"/>
    <w:rsid w:val="008A6A5B"/>
    <w:rsid w:val="008B169D"/>
    <w:rsid w:val="008B54D7"/>
    <w:rsid w:val="009168F3"/>
    <w:rsid w:val="00931A12"/>
    <w:rsid w:val="0094030B"/>
    <w:rsid w:val="009509C7"/>
    <w:rsid w:val="009535A7"/>
    <w:rsid w:val="0099283C"/>
    <w:rsid w:val="009D0B81"/>
    <w:rsid w:val="00A263CF"/>
    <w:rsid w:val="00A72244"/>
    <w:rsid w:val="00AA7866"/>
    <w:rsid w:val="00AE2B38"/>
    <w:rsid w:val="00AE5D86"/>
    <w:rsid w:val="00B14B34"/>
    <w:rsid w:val="00B37B38"/>
    <w:rsid w:val="00B37EB6"/>
    <w:rsid w:val="00B422EC"/>
    <w:rsid w:val="00B51617"/>
    <w:rsid w:val="00B6042B"/>
    <w:rsid w:val="00B9136D"/>
    <w:rsid w:val="00B92991"/>
    <w:rsid w:val="00B94B91"/>
    <w:rsid w:val="00BB6FED"/>
    <w:rsid w:val="00BC6F48"/>
    <w:rsid w:val="00BD2E0A"/>
    <w:rsid w:val="00BD7664"/>
    <w:rsid w:val="00BE2055"/>
    <w:rsid w:val="00BF3621"/>
    <w:rsid w:val="00C070CD"/>
    <w:rsid w:val="00C10759"/>
    <w:rsid w:val="00C44A8D"/>
    <w:rsid w:val="00C44E7C"/>
    <w:rsid w:val="00C52DC3"/>
    <w:rsid w:val="00C55500"/>
    <w:rsid w:val="00C6412A"/>
    <w:rsid w:val="00C643D8"/>
    <w:rsid w:val="00C72CE2"/>
    <w:rsid w:val="00CD5367"/>
    <w:rsid w:val="00CD7F19"/>
    <w:rsid w:val="00CF4612"/>
    <w:rsid w:val="00D04C13"/>
    <w:rsid w:val="00D13C9E"/>
    <w:rsid w:val="00D15654"/>
    <w:rsid w:val="00D16CB4"/>
    <w:rsid w:val="00D262F2"/>
    <w:rsid w:val="00D27D43"/>
    <w:rsid w:val="00D30D16"/>
    <w:rsid w:val="00D36E91"/>
    <w:rsid w:val="00D5396D"/>
    <w:rsid w:val="00D67FC3"/>
    <w:rsid w:val="00D76B2F"/>
    <w:rsid w:val="00D83BE8"/>
    <w:rsid w:val="00D84150"/>
    <w:rsid w:val="00D8739C"/>
    <w:rsid w:val="00D9388F"/>
    <w:rsid w:val="00DA056A"/>
    <w:rsid w:val="00DA7918"/>
    <w:rsid w:val="00DC1F3E"/>
    <w:rsid w:val="00DF3E7A"/>
    <w:rsid w:val="00E21A35"/>
    <w:rsid w:val="00E240F6"/>
    <w:rsid w:val="00E24683"/>
    <w:rsid w:val="00E31461"/>
    <w:rsid w:val="00E56053"/>
    <w:rsid w:val="00E814D3"/>
    <w:rsid w:val="00E87872"/>
    <w:rsid w:val="00EC1396"/>
    <w:rsid w:val="00EC32CB"/>
    <w:rsid w:val="00EF1963"/>
    <w:rsid w:val="00EF4B25"/>
    <w:rsid w:val="00F10FF3"/>
    <w:rsid w:val="00F16354"/>
    <w:rsid w:val="00F35C18"/>
    <w:rsid w:val="00F45AD1"/>
    <w:rsid w:val="00F5136D"/>
    <w:rsid w:val="00F51EEB"/>
    <w:rsid w:val="00F521D5"/>
    <w:rsid w:val="00F546C1"/>
    <w:rsid w:val="00F624FE"/>
    <w:rsid w:val="00F63A0D"/>
    <w:rsid w:val="00F7127A"/>
    <w:rsid w:val="00F82C83"/>
    <w:rsid w:val="00F96F44"/>
    <w:rsid w:val="00FC23B1"/>
    <w:rsid w:val="00FC4928"/>
    <w:rsid w:val="00FF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FBF4"/>
  <w15:docId w15:val="{3F142E07-0B0E-47CD-A1B4-0CC9280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C55500"/>
    <w:rPr>
      <w:color w:val="0000FF" w:themeColor="hyperlink"/>
      <w:u w:val="single"/>
    </w:rPr>
  </w:style>
  <w:style w:type="character" w:styleId="UnresolvedMention">
    <w:name w:val="Unresolved Mention"/>
    <w:basedOn w:val="DefaultParagraphFont"/>
    <w:uiPriority w:val="99"/>
    <w:semiHidden/>
    <w:unhideWhenUsed/>
    <w:rsid w:val="00C55500"/>
    <w:rPr>
      <w:color w:val="605E5C"/>
      <w:shd w:val="clear" w:color="auto" w:fill="E1DFDD"/>
    </w:rPr>
  </w:style>
  <w:style w:type="paragraph" w:styleId="ListParagraph">
    <w:name w:val="List Paragraph"/>
    <w:basedOn w:val="Normal"/>
    <w:uiPriority w:val="34"/>
    <w:qFormat/>
    <w:rsid w:val="00FC23B1"/>
    <w:pPr>
      <w:widowControl w:val="0"/>
      <w:autoSpaceDE w:val="0"/>
      <w:autoSpaceDN w:val="0"/>
      <w:spacing w:after="0" w:line="240" w:lineRule="auto"/>
      <w:ind w:left="119" w:hanging="361"/>
    </w:pPr>
    <w:rPr>
      <w:rFonts w:ascii="Times New Roman" w:eastAsia="Times New Roman" w:hAnsi="Times New Roman" w:cs="Times New Roman"/>
      <w:lang w:bidi="en-US"/>
    </w:rPr>
  </w:style>
  <w:style w:type="paragraph" w:styleId="NoSpacing">
    <w:name w:val="No Spacing"/>
    <w:uiPriority w:val="1"/>
    <w:qFormat/>
    <w:rsid w:val="00FC23B1"/>
    <w:pPr>
      <w:spacing w:after="0" w:line="240" w:lineRule="auto"/>
    </w:pPr>
  </w:style>
  <w:style w:type="paragraph" w:customStyle="1" w:styleId="TableParagraph">
    <w:name w:val="Table Paragraph"/>
    <w:basedOn w:val="Normal"/>
    <w:uiPriority w:val="1"/>
    <w:qFormat/>
    <w:rsid w:val="00AE2B38"/>
    <w:pPr>
      <w:widowControl w:val="0"/>
      <w:autoSpaceDE w:val="0"/>
      <w:autoSpaceDN w:val="0"/>
      <w:spacing w:after="0" w:line="145" w:lineRule="exact"/>
    </w:pPr>
  </w:style>
  <w:style w:type="character" w:styleId="FootnoteReference">
    <w:name w:val="footnote reference"/>
    <w:rsid w:val="007C6384"/>
    <w:rPr>
      <w:w w:val="100"/>
      <w:position w:val="-1"/>
      <w:effect w:val="none"/>
      <w:vertAlign w:val="superscript"/>
      <w:cs w:val="0"/>
      <w:em w:val="none"/>
    </w:rPr>
  </w:style>
  <w:style w:type="paragraph" w:styleId="FootnoteText">
    <w:name w:val="footnote text"/>
    <w:basedOn w:val="Normal"/>
    <w:link w:val="FootnoteTextChar"/>
    <w:uiPriority w:val="99"/>
    <w:semiHidden/>
    <w:unhideWhenUsed/>
    <w:rsid w:val="00100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BF7"/>
    <w:rPr>
      <w:sz w:val="20"/>
      <w:szCs w:val="20"/>
    </w:rPr>
  </w:style>
  <w:style w:type="paragraph" w:styleId="BalloonText">
    <w:name w:val="Balloon Text"/>
    <w:basedOn w:val="Normal"/>
    <w:link w:val="BalloonTextChar"/>
    <w:uiPriority w:val="99"/>
    <w:semiHidden/>
    <w:unhideWhenUsed/>
    <w:rsid w:val="00305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0DF"/>
    <w:rPr>
      <w:rFonts w:ascii="Segoe UI" w:hAnsi="Segoe UI" w:cs="Segoe UI"/>
      <w:sz w:val="18"/>
      <w:szCs w:val="18"/>
    </w:rPr>
  </w:style>
  <w:style w:type="paragraph" w:styleId="Header">
    <w:name w:val="header"/>
    <w:basedOn w:val="Normal"/>
    <w:link w:val="HeaderChar"/>
    <w:uiPriority w:val="99"/>
    <w:unhideWhenUsed/>
    <w:rsid w:val="000C4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770"/>
  </w:style>
  <w:style w:type="paragraph" w:styleId="Footer">
    <w:name w:val="footer"/>
    <w:basedOn w:val="Normal"/>
    <w:link w:val="FooterChar"/>
    <w:uiPriority w:val="99"/>
    <w:unhideWhenUsed/>
    <w:rsid w:val="000C4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770"/>
  </w:style>
  <w:style w:type="paragraph" w:styleId="Revision">
    <w:name w:val="Revision"/>
    <w:hidden/>
    <w:uiPriority w:val="99"/>
    <w:semiHidden/>
    <w:rsid w:val="00D5396D"/>
    <w:pPr>
      <w:spacing w:after="0" w:line="240" w:lineRule="auto"/>
    </w:pPr>
  </w:style>
  <w:style w:type="character" w:styleId="CommentReference">
    <w:name w:val="annotation reference"/>
    <w:basedOn w:val="DefaultParagraphFont"/>
    <w:uiPriority w:val="99"/>
    <w:semiHidden/>
    <w:unhideWhenUsed/>
    <w:rsid w:val="003423F0"/>
    <w:rPr>
      <w:sz w:val="16"/>
      <w:szCs w:val="16"/>
    </w:rPr>
  </w:style>
  <w:style w:type="paragraph" w:styleId="CommentText">
    <w:name w:val="annotation text"/>
    <w:basedOn w:val="Normal"/>
    <w:link w:val="CommentTextChar"/>
    <w:uiPriority w:val="99"/>
    <w:semiHidden/>
    <w:unhideWhenUsed/>
    <w:rsid w:val="003423F0"/>
    <w:pPr>
      <w:spacing w:line="240" w:lineRule="auto"/>
    </w:pPr>
    <w:rPr>
      <w:sz w:val="20"/>
      <w:szCs w:val="20"/>
    </w:rPr>
  </w:style>
  <w:style w:type="character" w:customStyle="1" w:styleId="CommentTextChar">
    <w:name w:val="Comment Text Char"/>
    <w:basedOn w:val="DefaultParagraphFont"/>
    <w:link w:val="CommentText"/>
    <w:uiPriority w:val="99"/>
    <w:semiHidden/>
    <w:rsid w:val="003423F0"/>
    <w:rPr>
      <w:sz w:val="20"/>
      <w:szCs w:val="20"/>
    </w:rPr>
  </w:style>
  <w:style w:type="paragraph" w:styleId="CommentSubject">
    <w:name w:val="annotation subject"/>
    <w:basedOn w:val="CommentText"/>
    <w:next w:val="CommentText"/>
    <w:link w:val="CommentSubjectChar"/>
    <w:uiPriority w:val="99"/>
    <w:semiHidden/>
    <w:unhideWhenUsed/>
    <w:rsid w:val="003423F0"/>
    <w:rPr>
      <w:b/>
      <w:bCs/>
    </w:rPr>
  </w:style>
  <w:style w:type="character" w:customStyle="1" w:styleId="CommentSubjectChar">
    <w:name w:val="Comment Subject Char"/>
    <w:basedOn w:val="CommentTextChar"/>
    <w:link w:val="CommentSubject"/>
    <w:uiPriority w:val="99"/>
    <w:semiHidden/>
    <w:rsid w:val="003423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48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long-term-care-notice-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2" ma:contentTypeDescription="Create a new document." ma:contentTypeScope="" ma:versionID="165ea960078262fa8a7f0ac1c7ca937b">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6d1a749b0ddad8e2d66487aff0075ad9"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DF4AC-82C0-4D18-8493-7BF82BFA71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A97C19-A427-4B8B-9193-1675CD4E197A}">
  <ds:schemaRefs>
    <ds:schemaRef ds:uri="http://schemas.microsoft.com/sharepoint/v3/contenttype/forms"/>
  </ds:schemaRefs>
</ds:datastoreItem>
</file>

<file path=customXml/itemProps3.xml><?xml version="1.0" encoding="utf-8"?>
<ds:datastoreItem xmlns:ds="http://schemas.openxmlformats.org/officeDocument/2006/customXml" ds:itemID="{8B1249A1-F0E9-4A1A-885A-F87BB8124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6811B-ACD7-4879-A2CC-A7616D86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Szent-Gyorgyi, Lara (DPH)</dc:creator>
  <cp:lastModifiedBy>Marks, Brett (DPH)</cp:lastModifiedBy>
  <cp:revision>12</cp:revision>
  <cp:lastPrinted>2022-07-28T16:20:00Z</cp:lastPrinted>
  <dcterms:created xsi:type="dcterms:W3CDTF">2022-07-21T19:50:00Z</dcterms:created>
  <dcterms:modified xsi:type="dcterms:W3CDTF">2022-07-28T16:21:00Z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