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C2B13" w14:textId="44AF9CB8" w:rsidR="00767A1D" w:rsidRPr="007C5F16" w:rsidRDefault="00910D52" w:rsidP="00DD6F7E">
      <w:pPr>
        <w:pStyle w:val="Heading1"/>
        <w:jc w:val="center"/>
        <w:rPr>
          <w:sz w:val="28"/>
          <w:szCs w:val="28"/>
        </w:rPr>
      </w:pPr>
      <w:r w:rsidRPr="007C5F16">
        <w:rPr>
          <w:sz w:val="28"/>
          <w:szCs w:val="28"/>
        </w:rPr>
        <w:t>Memorandum to the</w:t>
      </w:r>
      <w:r w:rsidR="00DD6F7E" w:rsidRPr="007C5F16">
        <w:rPr>
          <w:sz w:val="28"/>
          <w:szCs w:val="28"/>
        </w:rPr>
        <w:t xml:space="preserve"> Public Health Council</w:t>
      </w:r>
    </w:p>
    <w:p w14:paraId="6EBD4680" w14:textId="77777777" w:rsidR="00767A1D" w:rsidRPr="007C5F16" w:rsidRDefault="00767A1D">
      <w:pPr>
        <w:pStyle w:val="BodyText"/>
        <w:spacing w:before="11"/>
        <w:rPr>
          <w:b/>
          <w:sz w:val="23"/>
        </w:rPr>
      </w:pPr>
    </w:p>
    <w:p w14:paraId="3605F564" w14:textId="789A0C53" w:rsidR="00B24CD6" w:rsidRPr="007C5F16" w:rsidRDefault="00044DC4" w:rsidP="00882AEE">
      <w:pPr>
        <w:rPr>
          <w:bCs/>
          <w:sz w:val="24"/>
        </w:rPr>
      </w:pPr>
      <w:r w:rsidRPr="007C5F16">
        <w:rPr>
          <w:b/>
          <w:sz w:val="24"/>
        </w:rPr>
        <w:t>APPLICANT:</w:t>
      </w:r>
      <w:r w:rsidR="00CF0E8F" w:rsidRPr="007C5F16">
        <w:rPr>
          <w:b/>
          <w:sz w:val="24"/>
        </w:rPr>
        <w:t xml:space="preserve">  </w:t>
      </w:r>
      <w:r w:rsidR="00CF0E8F" w:rsidRPr="007C5F16">
        <w:rPr>
          <w:bCs/>
          <w:sz w:val="24"/>
        </w:rPr>
        <w:t>Mass General Brigham Incorporated</w:t>
      </w:r>
    </w:p>
    <w:p w14:paraId="48D7B93F" w14:textId="07C72AB3" w:rsidR="00CF0E8F" w:rsidRPr="007C5F16" w:rsidRDefault="00CF0E8F" w:rsidP="00882AEE">
      <w:pPr>
        <w:rPr>
          <w:bCs/>
          <w:sz w:val="24"/>
        </w:rPr>
      </w:pPr>
      <w:r w:rsidRPr="007C5F16">
        <w:rPr>
          <w:bCs/>
          <w:sz w:val="24"/>
        </w:rPr>
        <w:tab/>
      </w:r>
      <w:r w:rsidR="00C529B3" w:rsidRPr="007C5F16">
        <w:rPr>
          <w:bCs/>
          <w:sz w:val="24"/>
        </w:rPr>
        <w:t xml:space="preserve">          </w:t>
      </w:r>
      <w:r w:rsidRPr="007C5F16">
        <w:rPr>
          <w:bCs/>
          <w:sz w:val="24"/>
        </w:rPr>
        <w:t>800 Boylston St, Suite 1150</w:t>
      </w:r>
    </w:p>
    <w:p w14:paraId="45F7E027" w14:textId="20FB81E7" w:rsidR="00CF0E8F" w:rsidRPr="007C5F16" w:rsidRDefault="00CF0E8F" w:rsidP="00882AEE">
      <w:pPr>
        <w:rPr>
          <w:bCs/>
          <w:sz w:val="24"/>
        </w:rPr>
      </w:pPr>
      <w:r w:rsidRPr="007C5F16">
        <w:rPr>
          <w:bCs/>
          <w:sz w:val="24"/>
        </w:rPr>
        <w:tab/>
      </w:r>
      <w:r w:rsidR="00C529B3" w:rsidRPr="007C5F16">
        <w:rPr>
          <w:bCs/>
          <w:sz w:val="24"/>
        </w:rPr>
        <w:t xml:space="preserve">          </w:t>
      </w:r>
      <w:r w:rsidRPr="007C5F16">
        <w:rPr>
          <w:bCs/>
          <w:sz w:val="24"/>
        </w:rPr>
        <w:t>Boston, MA 02199</w:t>
      </w:r>
    </w:p>
    <w:p w14:paraId="1D3902C5" w14:textId="77777777" w:rsidR="00CF0E8F" w:rsidRPr="007C5F16" w:rsidRDefault="00CF0E8F" w:rsidP="00882AEE">
      <w:pPr>
        <w:rPr>
          <w:bCs/>
          <w:sz w:val="24"/>
          <w:highlight w:val="yellow"/>
        </w:rPr>
      </w:pPr>
    </w:p>
    <w:p w14:paraId="140F58C1" w14:textId="3FAD6EA4" w:rsidR="00CF0E8F" w:rsidRPr="00562A94" w:rsidRDefault="00C6739C" w:rsidP="00562A94">
      <w:pPr>
        <w:rPr>
          <w:rFonts w:asciiTheme="minorHAnsi" w:hAnsiTheme="minorHAnsi" w:cstheme="minorHAnsi"/>
          <w:bCs/>
          <w:sz w:val="24"/>
          <w:szCs w:val="24"/>
          <w:highlight w:val="yellow"/>
        </w:rPr>
      </w:pPr>
      <w:r w:rsidRPr="007C5F16">
        <w:rPr>
          <w:b/>
          <w:sz w:val="24"/>
        </w:rPr>
        <w:t>SITE</w:t>
      </w:r>
      <w:r w:rsidR="00CF0E8F" w:rsidRPr="007C5F16">
        <w:rPr>
          <w:b/>
          <w:sz w:val="24"/>
        </w:rPr>
        <w:t xml:space="preserve">: </w:t>
      </w:r>
      <w:r w:rsidR="00CF0E8F" w:rsidRPr="007C5F16">
        <w:rPr>
          <w:bCs/>
          <w:sz w:val="24"/>
        </w:rPr>
        <w:t xml:space="preserve"> </w:t>
      </w:r>
      <w:r w:rsidR="00091493" w:rsidRPr="00562A94">
        <w:rPr>
          <w:rFonts w:asciiTheme="minorHAnsi" w:eastAsiaTheme="minorHAnsi" w:hAnsiTheme="minorHAnsi" w:cstheme="minorHAnsi"/>
          <w:sz w:val="24"/>
          <w:szCs w:val="24"/>
          <w:lang w:bidi="ar-SA"/>
        </w:rPr>
        <w:t>The General Hospital Corporation d/b/a Massachusetts General Hospital</w:t>
      </w:r>
    </w:p>
    <w:p w14:paraId="4F0552B3" w14:textId="73F9A555" w:rsidR="00CF0E8F" w:rsidRPr="00562A94" w:rsidRDefault="00562A94" w:rsidP="00882AEE">
      <w:pPr>
        <w:ind w:left="580"/>
        <w:rPr>
          <w:bCs/>
          <w:sz w:val="24"/>
        </w:rPr>
      </w:pPr>
      <w:r w:rsidRPr="00562A94">
        <w:rPr>
          <w:bCs/>
          <w:sz w:val="24"/>
        </w:rPr>
        <w:t>55 Fruit St</w:t>
      </w:r>
    </w:p>
    <w:p w14:paraId="2823DE97" w14:textId="7C4CFEFF" w:rsidR="00CF0E8F" w:rsidRPr="00562A94" w:rsidRDefault="00562A94" w:rsidP="00882AEE">
      <w:pPr>
        <w:ind w:left="580"/>
        <w:rPr>
          <w:bCs/>
          <w:sz w:val="24"/>
        </w:rPr>
      </w:pPr>
      <w:r w:rsidRPr="00562A94">
        <w:rPr>
          <w:bCs/>
          <w:sz w:val="24"/>
        </w:rPr>
        <w:t>Boston, MA 02114</w:t>
      </w:r>
    </w:p>
    <w:p w14:paraId="34B689E4" w14:textId="1305336E" w:rsidR="00677E5C" w:rsidRPr="00562A94" w:rsidRDefault="001D1C01" w:rsidP="00882AEE">
      <w:pPr>
        <w:ind w:left="1440"/>
        <w:rPr>
          <w:sz w:val="24"/>
        </w:rPr>
      </w:pPr>
      <w:r w:rsidRPr="00562A94">
        <w:rPr>
          <w:sz w:val="24"/>
        </w:rPr>
        <w:t xml:space="preserve"> </w:t>
      </w:r>
    </w:p>
    <w:p w14:paraId="43E7402F" w14:textId="06E3EFCD" w:rsidR="0058507E" w:rsidRPr="007C5F16" w:rsidRDefault="00910D52" w:rsidP="00882AEE">
      <w:pPr>
        <w:rPr>
          <w:b/>
          <w:sz w:val="24"/>
          <w:highlight w:val="yellow"/>
        </w:rPr>
      </w:pPr>
      <w:r w:rsidRPr="00A61F39">
        <w:rPr>
          <w:b/>
          <w:sz w:val="24"/>
        </w:rPr>
        <w:t xml:space="preserve">PROJECT NUMBER: </w:t>
      </w:r>
      <w:r w:rsidR="00C529B3" w:rsidRPr="00A61F39">
        <w:rPr>
          <w:b/>
          <w:sz w:val="24"/>
        </w:rPr>
        <w:t xml:space="preserve"> </w:t>
      </w:r>
      <w:r w:rsidR="0049059E" w:rsidRPr="00CA3480">
        <w:rPr>
          <w:bCs/>
          <w:sz w:val="24"/>
        </w:rPr>
        <w:t>#</w:t>
      </w:r>
      <w:r w:rsidR="00CA3480" w:rsidRPr="00CA3480">
        <w:rPr>
          <w:bCs/>
          <w:sz w:val="24"/>
        </w:rPr>
        <w:t xml:space="preserve"> MGB-20121612-HE </w:t>
      </w:r>
      <w:r w:rsidR="00B410D2" w:rsidRPr="00CA3480">
        <w:rPr>
          <w:bCs/>
          <w:sz w:val="24"/>
        </w:rPr>
        <w:t>(Original)</w:t>
      </w:r>
    </w:p>
    <w:p w14:paraId="0AF44B85" w14:textId="1CA10039" w:rsidR="00114BB7" w:rsidRPr="00A61F39" w:rsidRDefault="00C529B3" w:rsidP="00C529B3">
      <w:pPr>
        <w:rPr>
          <w:sz w:val="24"/>
        </w:rPr>
      </w:pPr>
      <w:r w:rsidRPr="00A61F39">
        <w:rPr>
          <w:sz w:val="24"/>
        </w:rPr>
        <w:t xml:space="preserve">                                     </w:t>
      </w:r>
      <w:r w:rsidR="00B24CD6" w:rsidRPr="00A61F39">
        <w:rPr>
          <w:sz w:val="24"/>
        </w:rPr>
        <w:t>#</w:t>
      </w:r>
      <w:r w:rsidR="00A61F39" w:rsidRPr="00A61F39">
        <w:rPr>
          <w:bCs/>
          <w:sz w:val="24"/>
        </w:rPr>
        <w:t>MGB-23120414-AM</w:t>
      </w:r>
      <w:r w:rsidR="00A61F39" w:rsidRPr="00A61F39">
        <w:rPr>
          <w:sz w:val="24"/>
        </w:rPr>
        <w:t xml:space="preserve"> </w:t>
      </w:r>
      <w:r w:rsidR="00B410D2" w:rsidRPr="00A61F39">
        <w:rPr>
          <w:sz w:val="24"/>
        </w:rPr>
        <w:t>(Amendment)</w:t>
      </w:r>
    </w:p>
    <w:p w14:paraId="13941CD6" w14:textId="66A266AC" w:rsidR="00767A1D" w:rsidRPr="00CA3480" w:rsidRDefault="00B558EB" w:rsidP="00882AEE">
      <w:pPr>
        <w:ind w:left="720"/>
        <w:rPr>
          <w:sz w:val="23"/>
        </w:rPr>
      </w:pPr>
      <w:r w:rsidRPr="00CA3480">
        <w:rPr>
          <w:sz w:val="23"/>
        </w:rPr>
        <w:t xml:space="preserve"> </w:t>
      </w:r>
    </w:p>
    <w:p w14:paraId="3F191A26" w14:textId="419CF542" w:rsidR="00767A1D" w:rsidRPr="007C5F16" w:rsidRDefault="00C6739C" w:rsidP="00882AEE">
      <w:pPr>
        <w:spacing w:before="1"/>
        <w:rPr>
          <w:sz w:val="24"/>
          <w:highlight w:val="yellow"/>
        </w:rPr>
      </w:pPr>
      <w:r w:rsidRPr="00CA3480">
        <w:rPr>
          <w:b/>
          <w:sz w:val="24"/>
        </w:rPr>
        <w:t>FILING DATE</w:t>
      </w:r>
      <w:r w:rsidR="00910D52" w:rsidRPr="00CA3480">
        <w:rPr>
          <w:b/>
          <w:sz w:val="24"/>
        </w:rPr>
        <w:t>:</w:t>
      </w:r>
      <w:r w:rsidR="004F1A1A" w:rsidRPr="00CA3480">
        <w:rPr>
          <w:sz w:val="24"/>
        </w:rPr>
        <w:t xml:space="preserve"> </w:t>
      </w:r>
      <w:r w:rsidR="00AC10EA" w:rsidRPr="00AC10EA">
        <w:rPr>
          <w:sz w:val="24"/>
        </w:rPr>
        <w:t>February 26, 2024</w:t>
      </w:r>
    </w:p>
    <w:p w14:paraId="389E70A5" w14:textId="7A0FF417" w:rsidR="000C02D1" w:rsidRPr="007C5F16" w:rsidRDefault="000C02D1" w:rsidP="00882AEE">
      <w:pPr>
        <w:pStyle w:val="Heading1"/>
        <w:spacing w:before="1"/>
        <w:rPr>
          <w:highlight w:val="yellow"/>
        </w:rPr>
      </w:pPr>
    </w:p>
    <w:p w14:paraId="4564AB4B" w14:textId="38B2ABCB" w:rsidR="00C6739C" w:rsidRPr="00B920BD" w:rsidRDefault="00910D52" w:rsidP="00B920BD">
      <w:pPr>
        <w:pStyle w:val="Heading1"/>
        <w:ind w:left="0"/>
      </w:pPr>
      <w:r w:rsidRPr="00CA3480">
        <w:t>Introduction</w:t>
      </w:r>
    </w:p>
    <w:p w14:paraId="5DC8CCF0" w14:textId="01395D59" w:rsidR="00C72391" w:rsidRPr="00164526" w:rsidRDefault="00910D52" w:rsidP="00164526">
      <w:pPr>
        <w:rPr>
          <w:rFonts w:asciiTheme="minorHAnsi" w:hAnsiTheme="minorHAnsi" w:cstheme="minorBidi"/>
          <w:sz w:val="24"/>
          <w:szCs w:val="24"/>
          <w:highlight w:val="yellow"/>
        </w:rPr>
      </w:pPr>
      <w:r w:rsidRPr="6C67B4D9">
        <w:rPr>
          <w:sz w:val="24"/>
          <w:szCs w:val="24"/>
        </w:rPr>
        <w:t>This memorandum</w:t>
      </w:r>
      <w:r w:rsidR="00B920BD" w:rsidRPr="6C67B4D9">
        <w:rPr>
          <w:sz w:val="24"/>
          <w:szCs w:val="24"/>
        </w:rPr>
        <w:t xml:space="preserve"> </w:t>
      </w:r>
      <w:r w:rsidRPr="6C67B4D9">
        <w:rPr>
          <w:sz w:val="24"/>
          <w:szCs w:val="24"/>
        </w:rPr>
        <w:t>presents, for</w:t>
      </w:r>
      <w:r w:rsidR="22DD5518" w:rsidRPr="6C67B4D9">
        <w:rPr>
          <w:sz w:val="24"/>
          <w:szCs w:val="24"/>
        </w:rPr>
        <w:t xml:space="preserve"> Department of Public Health (Department)</w:t>
      </w:r>
      <w:r w:rsidR="00446C8D" w:rsidRPr="6C67B4D9">
        <w:rPr>
          <w:sz w:val="24"/>
          <w:szCs w:val="24"/>
        </w:rPr>
        <w:t xml:space="preserve"> action</w:t>
      </w:r>
      <w:r w:rsidRPr="6C67B4D9">
        <w:rPr>
          <w:sz w:val="24"/>
          <w:szCs w:val="24"/>
        </w:rPr>
        <w:t>, the Determination of Need (</w:t>
      </w:r>
      <w:proofErr w:type="spellStart"/>
      <w:r w:rsidRPr="6C67B4D9">
        <w:rPr>
          <w:sz w:val="24"/>
          <w:szCs w:val="24"/>
        </w:rPr>
        <w:t>DoN</w:t>
      </w:r>
      <w:proofErr w:type="spellEnd"/>
      <w:r w:rsidRPr="6C67B4D9">
        <w:rPr>
          <w:sz w:val="24"/>
          <w:szCs w:val="24"/>
        </w:rPr>
        <w:t xml:space="preserve">) Program’s recommendation </w:t>
      </w:r>
      <w:r w:rsidR="007D3554" w:rsidRPr="6C67B4D9">
        <w:rPr>
          <w:sz w:val="24"/>
          <w:szCs w:val="24"/>
        </w:rPr>
        <w:t xml:space="preserve">pertaining to </w:t>
      </w:r>
      <w:r w:rsidRPr="6C67B4D9">
        <w:rPr>
          <w:sz w:val="24"/>
          <w:szCs w:val="24"/>
        </w:rPr>
        <w:t>a request b</w:t>
      </w:r>
      <w:r w:rsidR="00B24CD6" w:rsidRPr="6C67B4D9">
        <w:rPr>
          <w:sz w:val="24"/>
          <w:szCs w:val="24"/>
        </w:rPr>
        <w:t>y Mass General Brigham</w:t>
      </w:r>
      <w:r w:rsidRPr="6C67B4D9">
        <w:rPr>
          <w:sz w:val="24"/>
          <w:szCs w:val="24"/>
        </w:rPr>
        <w:t>,</w:t>
      </w:r>
      <w:r w:rsidR="002A3A19" w:rsidRPr="6C67B4D9">
        <w:rPr>
          <w:sz w:val="24"/>
          <w:szCs w:val="24"/>
        </w:rPr>
        <w:t xml:space="preserve"> Inc.,</w:t>
      </w:r>
      <w:r w:rsidRPr="6C67B4D9">
        <w:rPr>
          <w:sz w:val="24"/>
          <w:szCs w:val="24"/>
        </w:rPr>
        <w:t xml:space="preserve"> </w:t>
      </w:r>
      <w:r w:rsidR="5A443E03" w:rsidRPr="6C67B4D9">
        <w:rPr>
          <w:sz w:val="24"/>
          <w:szCs w:val="24"/>
        </w:rPr>
        <w:t>(</w:t>
      </w:r>
      <w:r w:rsidR="6AAC621A" w:rsidRPr="6C67B4D9">
        <w:rPr>
          <w:sz w:val="24"/>
          <w:szCs w:val="24"/>
        </w:rPr>
        <w:t>Holder)</w:t>
      </w:r>
      <w:r w:rsidR="5A443E03" w:rsidRPr="6C67B4D9">
        <w:rPr>
          <w:sz w:val="24"/>
          <w:szCs w:val="24"/>
        </w:rPr>
        <w:t xml:space="preserve"> </w:t>
      </w:r>
      <w:r w:rsidRPr="6C67B4D9">
        <w:rPr>
          <w:sz w:val="24"/>
          <w:szCs w:val="24"/>
        </w:rPr>
        <w:t xml:space="preserve">for </w:t>
      </w:r>
      <w:bookmarkStart w:id="0" w:name="_Hlk113451028"/>
      <w:r w:rsidRPr="6C67B4D9">
        <w:rPr>
          <w:sz w:val="24"/>
          <w:szCs w:val="24"/>
        </w:rPr>
        <w:t xml:space="preserve">a Significant Change </w:t>
      </w:r>
      <w:r w:rsidR="006E241A" w:rsidRPr="6C67B4D9">
        <w:rPr>
          <w:sz w:val="24"/>
          <w:szCs w:val="24"/>
        </w:rPr>
        <w:t>to</w:t>
      </w:r>
      <w:r w:rsidR="00B24CD6" w:rsidRPr="6C67B4D9">
        <w:rPr>
          <w:sz w:val="24"/>
          <w:szCs w:val="24"/>
        </w:rPr>
        <w:t xml:space="preserve"> </w:t>
      </w:r>
      <w:r w:rsidR="00CA3480" w:rsidRPr="6C67B4D9">
        <w:rPr>
          <w:rFonts w:asciiTheme="minorHAnsi" w:eastAsiaTheme="minorEastAsia" w:hAnsiTheme="minorHAnsi" w:cstheme="minorBidi"/>
          <w:sz w:val="24"/>
          <w:szCs w:val="24"/>
          <w:lang w:bidi="ar-SA"/>
        </w:rPr>
        <w:t>The General Hospital Corporation d/b/a Massachusetts General Hospital</w:t>
      </w:r>
      <w:r w:rsidR="002958DF">
        <w:rPr>
          <w:rFonts w:asciiTheme="minorHAnsi" w:eastAsiaTheme="minorEastAsia" w:hAnsiTheme="minorHAnsi" w:cstheme="minorBidi"/>
          <w:sz w:val="24"/>
          <w:szCs w:val="24"/>
          <w:lang w:bidi="ar-SA"/>
        </w:rPr>
        <w:t xml:space="preserve"> </w:t>
      </w:r>
      <w:r w:rsidR="002958DF">
        <w:rPr>
          <w:sz w:val="24"/>
          <w:szCs w:val="24"/>
        </w:rPr>
        <w:t>(the Hospital)</w:t>
      </w:r>
      <w:r w:rsidR="00164526">
        <w:rPr>
          <w:rFonts w:asciiTheme="minorHAnsi" w:eastAsiaTheme="minorEastAsia" w:hAnsiTheme="minorHAnsi" w:cstheme="minorBidi"/>
          <w:sz w:val="24"/>
          <w:szCs w:val="24"/>
          <w:lang w:bidi="ar-SA"/>
        </w:rPr>
        <w:t xml:space="preserve"> </w:t>
      </w:r>
      <w:proofErr w:type="spellStart"/>
      <w:r w:rsidRPr="6F0FA7D6">
        <w:rPr>
          <w:sz w:val="24"/>
          <w:szCs w:val="24"/>
        </w:rPr>
        <w:t>DoN</w:t>
      </w:r>
      <w:proofErr w:type="spellEnd"/>
      <w:r w:rsidR="007C4D49" w:rsidRPr="6F0FA7D6">
        <w:rPr>
          <w:sz w:val="24"/>
          <w:szCs w:val="24"/>
        </w:rPr>
        <w:t xml:space="preserve"> </w:t>
      </w:r>
      <w:r w:rsidR="0049059E" w:rsidRPr="6F0FA7D6">
        <w:rPr>
          <w:sz w:val="24"/>
          <w:szCs w:val="24"/>
        </w:rPr>
        <w:t>#</w:t>
      </w:r>
      <w:r w:rsidR="00CA3480" w:rsidRPr="6F0FA7D6">
        <w:rPr>
          <w:sz w:val="24"/>
          <w:szCs w:val="24"/>
        </w:rPr>
        <w:t xml:space="preserve"> MGB-20121612-HE</w:t>
      </w:r>
      <w:bookmarkStart w:id="1" w:name="_Hlk113378448"/>
      <w:r w:rsidR="002958DF">
        <w:rPr>
          <w:sz w:val="24"/>
          <w:szCs w:val="24"/>
        </w:rPr>
        <w:t xml:space="preserve">. </w:t>
      </w:r>
      <w:r w:rsidR="005B1064" w:rsidRPr="6F0FA7D6">
        <w:rPr>
          <w:rFonts w:asciiTheme="minorHAnsi" w:eastAsiaTheme="minorEastAsia" w:hAnsiTheme="minorHAnsi" w:cstheme="minorBidi"/>
          <w:sz w:val="24"/>
          <w:szCs w:val="24"/>
          <w:lang w:bidi="ar-SA"/>
        </w:rPr>
        <w:t>The proposed change w</w:t>
      </w:r>
      <w:r w:rsidR="00EE202A" w:rsidRPr="6F0FA7D6">
        <w:rPr>
          <w:rFonts w:asciiTheme="minorHAnsi" w:eastAsiaTheme="minorEastAsia" w:hAnsiTheme="minorHAnsi" w:cstheme="minorBidi"/>
          <w:sz w:val="24"/>
          <w:szCs w:val="24"/>
          <w:lang w:bidi="ar-SA"/>
        </w:rPr>
        <w:t>ould</w:t>
      </w:r>
      <w:r w:rsidR="005B1064" w:rsidRPr="6F0FA7D6">
        <w:rPr>
          <w:rFonts w:asciiTheme="minorHAnsi" w:eastAsiaTheme="minorEastAsia" w:hAnsiTheme="minorHAnsi" w:cstheme="minorBidi"/>
          <w:sz w:val="24"/>
          <w:szCs w:val="24"/>
          <w:lang w:bidi="ar-SA"/>
        </w:rPr>
        <w:t xml:space="preserve"> allow the Hospital to add 94 inpatient beds</w:t>
      </w:r>
      <w:r w:rsidR="00C15C08" w:rsidRPr="6F0FA7D6">
        <w:rPr>
          <w:rFonts w:asciiTheme="minorHAnsi" w:eastAsiaTheme="minorEastAsia" w:hAnsiTheme="minorHAnsi" w:cstheme="minorBidi"/>
          <w:sz w:val="24"/>
          <w:szCs w:val="24"/>
          <w:lang w:bidi="ar-SA"/>
        </w:rPr>
        <w:t xml:space="preserve"> to their license</w:t>
      </w:r>
      <w:r w:rsidR="00B24B7C" w:rsidRPr="6F0FA7D6">
        <w:rPr>
          <w:rFonts w:asciiTheme="minorHAnsi" w:eastAsiaTheme="minorEastAsia" w:hAnsiTheme="minorHAnsi" w:cstheme="minorBidi"/>
          <w:sz w:val="24"/>
          <w:szCs w:val="24"/>
          <w:lang w:bidi="ar-SA"/>
        </w:rPr>
        <w:t xml:space="preserve">. </w:t>
      </w:r>
      <w:r w:rsidR="00B2168D" w:rsidRPr="6F0FA7D6">
        <w:rPr>
          <w:sz w:val="24"/>
          <w:szCs w:val="24"/>
        </w:rPr>
        <w:t xml:space="preserve">The total cost of the project is </w:t>
      </w:r>
      <w:r w:rsidR="003A4856" w:rsidRPr="6F0FA7D6">
        <w:rPr>
          <w:sz w:val="24"/>
          <w:szCs w:val="24"/>
        </w:rPr>
        <w:t>$0.00,</w:t>
      </w:r>
      <w:r w:rsidR="5EE06938" w:rsidRPr="6F0FA7D6">
        <w:rPr>
          <w:sz w:val="24"/>
          <w:szCs w:val="24"/>
        </w:rPr>
        <w:t xml:space="preserve"> and </w:t>
      </w:r>
      <w:r w:rsidR="00B2168D" w:rsidRPr="6F0FA7D6">
        <w:rPr>
          <w:sz w:val="24"/>
          <w:szCs w:val="24"/>
        </w:rPr>
        <w:t>the Maximum Capital Expenditure would remain</w:t>
      </w:r>
      <w:r w:rsidR="0049059E" w:rsidRPr="6F0FA7D6">
        <w:rPr>
          <w:sz w:val="24"/>
          <w:szCs w:val="24"/>
        </w:rPr>
        <w:t xml:space="preserve"> </w:t>
      </w:r>
      <w:bookmarkEnd w:id="0"/>
      <w:r w:rsidR="003F1C04" w:rsidRPr="6F0FA7D6">
        <w:rPr>
          <w:sz w:val="24"/>
          <w:szCs w:val="24"/>
        </w:rPr>
        <w:t>unchanged</w:t>
      </w:r>
      <w:r w:rsidR="00E808E6" w:rsidRPr="6F0FA7D6">
        <w:rPr>
          <w:sz w:val="24"/>
          <w:szCs w:val="24"/>
        </w:rPr>
        <w:t xml:space="preserve">. </w:t>
      </w:r>
    </w:p>
    <w:bookmarkEnd w:id="1"/>
    <w:p w14:paraId="16B96803" w14:textId="77777777" w:rsidR="007E71DB" w:rsidRDefault="007E71DB" w:rsidP="00581D90">
      <w:pPr>
        <w:pStyle w:val="Default"/>
        <w:rPr>
          <w:rFonts w:asciiTheme="minorHAnsi" w:hAnsiTheme="minorHAnsi" w:cstheme="minorHAnsi"/>
        </w:rPr>
      </w:pPr>
    </w:p>
    <w:p w14:paraId="525B7CF6" w14:textId="416D3C91" w:rsidR="00C72391" w:rsidRPr="00581D90" w:rsidRDefault="00C72391" w:rsidP="00581D90">
      <w:pPr>
        <w:pStyle w:val="Default"/>
        <w:rPr>
          <w:sz w:val="23"/>
          <w:szCs w:val="23"/>
        </w:rPr>
      </w:pPr>
      <w:r w:rsidRPr="00B73A6D">
        <w:rPr>
          <w:rFonts w:asciiTheme="minorHAnsi" w:hAnsiTheme="minorHAnsi" w:cstheme="minorHAnsi"/>
        </w:rPr>
        <w:t xml:space="preserve">This request falls within the definition for Significant Change that includes “… </w:t>
      </w:r>
      <w:r w:rsidR="00D96E11" w:rsidRPr="00B73A6D">
        <w:rPr>
          <w:rFonts w:asciiTheme="minorHAnsi" w:hAnsiTheme="minorHAnsi" w:cstheme="minorHAnsi"/>
          <w:sz w:val="23"/>
          <w:szCs w:val="23"/>
        </w:rPr>
        <w:t>(1) Any change, modification, or deletion of components within a previously issued Notice of Determination of Need that is not an Immaterial Change</w:t>
      </w:r>
      <w:r w:rsidRPr="004061F4">
        <w:rPr>
          <w:rFonts w:asciiTheme="minorHAnsi" w:hAnsiTheme="minorHAnsi" w:cstheme="minorHAnsi"/>
          <w:sz w:val="23"/>
          <w:szCs w:val="23"/>
        </w:rPr>
        <w:t>” and will be reviewed</w:t>
      </w:r>
      <w:r w:rsidR="00797BB4" w:rsidRPr="004061F4">
        <w:rPr>
          <w:rFonts w:asciiTheme="minorHAnsi" w:hAnsiTheme="minorHAnsi" w:cstheme="minorHAnsi"/>
          <w:sz w:val="23"/>
          <w:szCs w:val="23"/>
        </w:rPr>
        <w:t xml:space="preserve"> </w:t>
      </w:r>
      <w:r w:rsidRPr="004061F4">
        <w:rPr>
          <w:rFonts w:asciiTheme="minorHAnsi" w:hAnsiTheme="minorHAnsi" w:cstheme="minorHAnsi"/>
          <w:sz w:val="23"/>
          <w:szCs w:val="23"/>
        </w:rPr>
        <w:t>pursuant to 105 C.M.R. 100.635(A), which requires that the proposed change falls within the</w:t>
      </w:r>
      <w:r w:rsidR="00797BB4" w:rsidRPr="004061F4">
        <w:rPr>
          <w:rFonts w:asciiTheme="minorHAnsi" w:hAnsiTheme="minorHAnsi" w:cstheme="minorHAnsi"/>
          <w:sz w:val="23"/>
          <w:szCs w:val="23"/>
        </w:rPr>
        <w:t xml:space="preserve"> </w:t>
      </w:r>
      <w:r w:rsidRPr="004061F4">
        <w:rPr>
          <w:rFonts w:asciiTheme="minorHAnsi" w:hAnsiTheme="minorHAnsi" w:cstheme="minorHAnsi"/>
          <w:sz w:val="23"/>
          <w:szCs w:val="23"/>
        </w:rPr>
        <w:t>scope of the Notice of Determination of Need and is reasonable.</w:t>
      </w:r>
    </w:p>
    <w:p w14:paraId="2AB4168B" w14:textId="77777777" w:rsidR="001B2585" w:rsidRPr="007C5F16" w:rsidRDefault="001B2585" w:rsidP="00882AEE">
      <w:pPr>
        <w:ind w:left="140" w:right="-10"/>
        <w:rPr>
          <w:sz w:val="24"/>
          <w:highlight w:val="yellow"/>
        </w:rPr>
      </w:pPr>
    </w:p>
    <w:p w14:paraId="473C348A" w14:textId="4CBD41DC" w:rsidR="0078216E" w:rsidRPr="00B24B7C" w:rsidRDefault="00A602F9" w:rsidP="00882AEE">
      <w:pPr>
        <w:ind w:right="-10"/>
        <w:rPr>
          <w:sz w:val="24"/>
        </w:rPr>
      </w:pPr>
      <w:r w:rsidRPr="00B24B7C">
        <w:rPr>
          <w:sz w:val="24"/>
        </w:rPr>
        <w:t>The</w:t>
      </w:r>
      <w:r w:rsidR="00910D52" w:rsidRPr="00B24B7C">
        <w:rPr>
          <w:sz w:val="24"/>
        </w:rPr>
        <w:t xml:space="preserve"> </w:t>
      </w:r>
      <w:proofErr w:type="spellStart"/>
      <w:r w:rsidR="00910D52" w:rsidRPr="00B24B7C">
        <w:rPr>
          <w:sz w:val="24"/>
        </w:rPr>
        <w:t>D</w:t>
      </w:r>
      <w:r w:rsidR="00B40908">
        <w:rPr>
          <w:sz w:val="24"/>
        </w:rPr>
        <w:t>oN</w:t>
      </w:r>
      <w:proofErr w:type="spellEnd"/>
      <w:r w:rsidR="00B40908">
        <w:rPr>
          <w:sz w:val="24"/>
        </w:rPr>
        <w:t xml:space="preserve"> Program</w:t>
      </w:r>
      <w:r w:rsidR="00910D52" w:rsidRPr="00B24B7C">
        <w:rPr>
          <w:sz w:val="24"/>
        </w:rPr>
        <w:t xml:space="preserve"> </w:t>
      </w:r>
      <w:r w:rsidR="00B24B7C" w:rsidRPr="00B24B7C">
        <w:rPr>
          <w:sz w:val="24"/>
        </w:rPr>
        <w:t xml:space="preserve">received </w:t>
      </w:r>
      <w:r w:rsidR="00F04F74">
        <w:rPr>
          <w:sz w:val="24"/>
        </w:rPr>
        <w:t xml:space="preserve">no </w:t>
      </w:r>
      <w:r w:rsidR="00910D52" w:rsidRPr="00B24B7C">
        <w:rPr>
          <w:sz w:val="24"/>
        </w:rPr>
        <w:t>comment</w:t>
      </w:r>
      <w:r w:rsidR="00B24B7C" w:rsidRPr="00B24B7C">
        <w:rPr>
          <w:sz w:val="24"/>
        </w:rPr>
        <w:t>s</w:t>
      </w:r>
      <w:r w:rsidR="00910D52" w:rsidRPr="00B24B7C">
        <w:rPr>
          <w:sz w:val="24"/>
        </w:rPr>
        <w:t xml:space="preserve"> on this request for Significant Change.</w:t>
      </w:r>
    </w:p>
    <w:p w14:paraId="44AABDBA" w14:textId="77777777" w:rsidR="00A602F9" w:rsidRPr="007C5F16" w:rsidRDefault="00A602F9" w:rsidP="00882AEE">
      <w:pPr>
        <w:pStyle w:val="Heading1"/>
        <w:ind w:left="0"/>
        <w:rPr>
          <w:highlight w:val="yellow"/>
        </w:rPr>
      </w:pPr>
    </w:p>
    <w:p w14:paraId="14D2B580" w14:textId="37C88687" w:rsidR="00D3762B" w:rsidRPr="00623ED3" w:rsidRDefault="00910D52" w:rsidP="00623ED3">
      <w:pPr>
        <w:pStyle w:val="Heading1"/>
        <w:ind w:left="0"/>
      </w:pPr>
      <w:r w:rsidRPr="00AA051F">
        <w:t>Background</w:t>
      </w:r>
    </w:p>
    <w:p w14:paraId="7EDED541" w14:textId="3625C1B2" w:rsidR="00BB5006" w:rsidRPr="007A243B" w:rsidRDefault="009936FF" w:rsidP="6F0FA7D6">
      <w:pPr>
        <w:ind w:right="-10"/>
        <w:rPr>
          <w:sz w:val="24"/>
          <w:szCs w:val="24"/>
        </w:rPr>
      </w:pPr>
      <w:r w:rsidRPr="6F0FA7D6">
        <w:rPr>
          <w:sz w:val="24"/>
          <w:szCs w:val="24"/>
        </w:rPr>
        <w:t xml:space="preserve">On </w:t>
      </w:r>
      <w:r w:rsidR="001B1B14" w:rsidRPr="6F0FA7D6">
        <w:rPr>
          <w:sz w:val="24"/>
          <w:szCs w:val="24"/>
        </w:rPr>
        <w:t>May 11, 2022,</w:t>
      </w:r>
      <w:r w:rsidR="00E808E6" w:rsidRPr="6F0FA7D6">
        <w:rPr>
          <w:sz w:val="24"/>
          <w:szCs w:val="24"/>
        </w:rPr>
        <w:t xml:space="preserve"> the Holder </w:t>
      </w:r>
      <w:r w:rsidR="00E37B99" w:rsidRPr="6F0FA7D6">
        <w:rPr>
          <w:sz w:val="24"/>
          <w:szCs w:val="24"/>
        </w:rPr>
        <w:t xml:space="preserve">received </w:t>
      </w:r>
      <w:proofErr w:type="spellStart"/>
      <w:r w:rsidR="00E808E6" w:rsidRPr="6F0FA7D6">
        <w:rPr>
          <w:sz w:val="24"/>
          <w:szCs w:val="24"/>
        </w:rPr>
        <w:t>DoN</w:t>
      </w:r>
      <w:proofErr w:type="spellEnd"/>
      <w:r w:rsidR="00E808E6" w:rsidRPr="6F0FA7D6">
        <w:rPr>
          <w:sz w:val="24"/>
          <w:szCs w:val="24"/>
        </w:rPr>
        <w:t xml:space="preserve"> </w:t>
      </w:r>
      <w:r w:rsidR="00E37B99" w:rsidRPr="6F0FA7D6">
        <w:rPr>
          <w:sz w:val="24"/>
          <w:szCs w:val="24"/>
        </w:rPr>
        <w:t xml:space="preserve">approval </w:t>
      </w:r>
      <w:r w:rsidR="000753E4" w:rsidRPr="6F0FA7D6">
        <w:rPr>
          <w:sz w:val="24"/>
          <w:szCs w:val="24"/>
        </w:rPr>
        <w:t>for a Substantial</w:t>
      </w:r>
      <w:r w:rsidR="00511396" w:rsidRPr="6F0FA7D6">
        <w:rPr>
          <w:sz w:val="24"/>
          <w:szCs w:val="24"/>
        </w:rPr>
        <w:t xml:space="preserve"> Capital Expenditure and Substantial</w:t>
      </w:r>
      <w:r w:rsidR="000753E4" w:rsidRPr="6F0FA7D6">
        <w:rPr>
          <w:sz w:val="24"/>
          <w:szCs w:val="24"/>
        </w:rPr>
        <w:t xml:space="preserve"> Change in Service</w:t>
      </w:r>
      <w:r w:rsidR="004C28B4" w:rsidRPr="6F0FA7D6">
        <w:rPr>
          <w:sz w:val="24"/>
          <w:szCs w:val="24"/>
        </w:rPr>
        <w:t>.</w:t>
      </w:r>
      <w:r w:rsidR="007A243B" w:rsidRPr="6F0FA7D6">
        <w:rPr>
          <w:sz w:val="24"/>
          <w:szCs w:val="24"/>
        </w:rPr>
        <w:t xml:space="preserve"> </w:t>
      </w:r>
      <w:proofErr w:type="spellStart"/>
      <w:r w:rsidR="004C28B4" w:rsidRPr="009E20FA">
        <w:rPr>
          <w:rFonts w:asciiTheme="minorHAnsi" w:eastAsiaTheme="minorEastAsia" w:hAnsiTheme="minorHAnsi" w:cstheme="minorBidi"/>
          <w:sz w:val="24"/>
          <w:szCs w:val="24"/>
        </w:rPr>
        <w:t>DoN</w:t>
      </w:r>
      <w:proofErr w:type="spellEnd"/>
      <w:r w:rsidR="004C28B4" w:rsidRPr="009E20FA">
        <w:rPr>
          <w:rFonts w:asciiTheme="minorHAnsi" w:eastAsiaTheme="minorEastAsia" w:hAnsiTheme="minorHAnsi" w:cstheme="minorBidi"/>
          <w:sz w:val="24"/>
          <w:szCs w:val="24"/>
        </w:rPr>
        <w:t xml:space="preserve"> </w:t>
      </w:r>
      <w:r w:rsidR="00541A76" w:rsidRPr="009E20FA">
        <w:rPr>
          <w:rFonts w:asciiTheme="minorHAnsi" w:eastAsiaTheme="minorEastAsia" w:hAnsiTheme="minorHAnsi" w:cstheme="minorBidi"/>
          <w:sz w:val="24"/>
          <w:szCs w:val="24"/>
        </w:rPr>
        <w:t>#</w:t>
      </w:r>
      <w:r w:rsidR="00541A76" w:rsidRPr="009E20FA">
        <w:rPr>
          <w:rFonts w:asciiTheme="minorHAnsi" w:eastAsiaTheme="minorEastAsia" w:hAnsiTheme="minorHAnsi" w:cstheme="minorBidi"/>
          <w:sz w:val="24"/>
          <w:szCs w:val="24"/>
          <w:lang w:bidi="ar-SA"/>
        </w:rPr>
        <w:t>MGB-20121612-HE</w:t>
      </w:r>
      <w:r w:rsidR="336926C0" w:rsidRPr="6F0FA7D6">
        <w:rPr>
          <w:rFonts w:asciiTheme="minorHAnsi" w:eastAsiaTheme="minorEastAsia" w:hAnsiTheme="minorHAnsi" w:cstheme="minorBidi"/>
          <w:sz w:val="24"/>
          <w:szCs w:val="24"/>
          <w:lang w:bidi="ar-SA"/>
        </w:rPr>
        <w:t xml:space="preserve"> (the Original </w:t>
      </w:r>
      <w:proofErr w:type="spellStart"/>
      <w:r w:rsidR="336926C0" w:rsidRPr="6F0FA7D6">
        <w:rPr>
          <w:rFonts w:asciiTheme="minorHAnsi" w:eastAsiaTheme="minorEastAsia" w:hAnsiTheme="minorHAnsi" w:cstheme="minorBidi"/>
          <w:sz w:val="24"/>
          <w:szCs w:val="24"/>
          <w:lang w:bidi="ar-SA"/>
        </w:rPr>
        <w:t>DoN</w:t>
      </w:r>
      <w:proofErr w:type="spellEnd"/>
      <w:r w:rsidR="336926C0" w:rsidRPr="6F0FA7D6">
        <w:rPr>
          <w:rFonts w:asciiTheme="minorHAnsi" w:eastAsiaTheme="minorEastAsia" w:hAnsiTheme="minorHAnsi" w:cstheme="minorBidi"/>
          <w:sz w:val="24"/>
          <w:szCs w:val="24"/>
          <w:lang w:bidi="ar-SA"/>
        </w:rPr>
        <w:t>)</w:t>
      </w:r>
      <w:r w:rsidR="004C28B4" w:rsidRPr="009E20FA">
        <w:rPr>
          <w:rFonts w:asciiTheme="minorHAnsi" w:eastAsiaTheme="minorEastAsia" w:hAnsiTheme="minorHAnsi" w:cstheme="minorBidi"/>
          <w:sz w:val="24"/>
          <w:szCs w:val="24"/>
        </w:rPr>
        <w:t xml:space="preserve"> </w:t>
      </w:r>
      <w:r w:rsidR="00F62578">
        <w:rPr>
          <w:rFonts w:asciiTheme="minorHAnsi" w:eastAsiaTheme="minorEastAsia" w:hAnsiTheme="minorHAnsi" w:cstheme="minorBidi"/>
          <w:sz w:val="24"/>
          <w:szCs w:val="24"/>
        </w:rPr>
        <w:t>approved</w:t>
      </w:r>
      <w:r w:rsidR="00F62578" w:rsidRPr="009E20FA">
        <w:rPr>
          <w:rFonts w:asciiTheme="minorHAnsi" w:eastAsiaTheme="minorEastAsia" w:hAnsiTheme="minorHAnsi" w:cstheme="minorBidi"/>
          <w:sz w:val="24"/>
          <w:szCs w:val="24"/>
        </w:rPr>
        <w:t xml:space="preserve"> </w:t>
      </w:r>
      <w:r w:rsidR="00BB5006" w:rsidRPr="009E20FA">
        <w:rPr>
          <w:rFonts w:asciiTheme="minorHAnsi" w:eastAsiaTheme="minorEastAsia" w:hAnsiTheme="minorHAnsi" w:cstheme="minorBidi"/>
          <w:sz w:val="24"/>
          <w:szCs w:val="24"/>
        </w:rPr>
        <w:t xml:space="preserve">the </w:t>
      </w:r>
      <w:r w:rsidR="001B038A" w:rsidRPr="009E20FA">
        <w:rPr>
          <w:rFonts w:asciiTheme="minorHAnsi" w:eastAsiaTheme="minorEastAsia" w:hAnsiTheme="minorHAnsi" w:cstheme="minorBidi"/>
          <w:sz w:val="24"/>
          <w:szCs w:val="24"/>
          <w:lang w:bidi="ar-SA"/>
        </w:rPr>
        <w:t xml:space="preserve">construction of a new tower on the MGH Main Campus </w:t>
      </w:r>
      <w:r w:rsidR="00BB5006" w:rsidRPr="009E20FA">
        <w:rPr>
          <w:rFonts w:asciiTheme="minorHAnsi" w:eastAsiaTheme="minorEastAsia" w:hAnsiTheme="minorHAnsi" w:cstheme="minorBidi"/>
          <w:sz w:val="24"/>
          <w:szCs w:val="24"/>
          <w:lang w:bidi="ar-SA"/>
        </w:rPr>
        <w:t>containing</w:t>
      </w:r>
      <w:r w:rsidR="001B038A" w:rsidRPr="009E20FA">
        <w:rPr>
          <w:rFonts w:asciiTheme="minorHAnsi" w:eastAsiaTheme="minorEastAsia" w:hAnsiTheme="minorHAnsi" w:cstheme="minorBidi"/>
          <w:sz w:val="24"/>
          <w:szCs w:val="24"/>
          <w:lang w:bidi="ar-SA"/>
        </w:rPr>
        <w:t xml:space="preserve"> the following:</w:t>
      </w:r>
      <w:r w:rsidR="00BB5006" w:rsidRPr="6F0FA7D6">
        <w:rPr>
          <w:rFonts w:ascii="CIDFont+F2" w:eastAsiaTheme="minorEastAsia" w:hAnsi="CIDFont+F2" w:cs="CIDFont+F2"/>
          <w:sz w:val="24"/>
          <w:szCs w:val="24"/>
          <w:lang w:bidi="ar-SA"/>
        </w:rPr>
        <w:t xml:space="preserve"> </w:t>
      </w:r>
    </w:p>
    <w:p w14:paraId="5E073978" w14:textId="61849BA2" w:rsidR="001B038A" w:rsidRPr="00034DAF" w:rsidRDefault="001B038A" w:rsidP="6F0FA7D6">
      <w:pPr>
        <w:pStyle w:val="ListParagraph"/>
        <w:widowControl/>
        <w:numPr>
          <w:ilvl w:val="0"/>
          <w:numId w:val="34"/>
        </w:numPr>
        <w:adjustRightInd w:val="0"/>
        <w:rPr>
          <w:rFonts w:asciiTheme="minorHAnsi" w:eastAsiaTheme="minorEastAsia" w:hAnsiTheme="minorHAnsi" w:cstheme="minorBidi"/>
          <w:sz w:val="24"/>
          <w:szCs w:val="24"/>
          <w:lang w:bidi="ar-SA"/>
        </w:rPr>
      </w:pPr>
      <w:r w:rsidRPr="6F0FA7D6">
        <w:rPr>
          <w:rFonts w:asciiTheme="minorHAnsi" w:eastAsiaTheme="minorEastAsia" w:hAnsiTheme="minorHAnsi" w:cstheme="minorBidi"/>
          <w:sz w:val="24"/>
          <w:szCs w:val="24"/>
          <w:lang w:bidi="ar-SA"/>
        </w:rPr>
        <w:t>388 private beds, of which, 364 existing semi-private M/S beds and 24 ICU beds (388 total) beds</w:t>
      </w:r>
      <w:r w:rsidR="00034DAF" w:rsidRPr="6F0FA7D6">
        <w:rPr>
          <w:rFonts w:asciiTheme="minorHAnsi" w:eastAsiaTheme="minorEastAsia" w:hAnsiTheme="minorHAnsi" w:cstheme="minorBidi"/>
          <w:sz w:val="24"/>
          <w:szCs w:val="24"/>
          <w:lang w:bidi="ar-SA"/>
        </w:rPr>
        <w:t xml:space="preserve"> </w:t>
      </w:r>
      <w:r w:rsidR="1ACF18CD" w:rsidRPr="6F0FA7D6">
        <w:rPr>
          <w:rFonts w:asciiTheme="minorHAnsi" w:eastAsiaTheme="minorEastAsia" w:hAnsiTheme="minorHAnsi" w:cstheme="minorBidi"/>
          <w:sz w:val="24"/>
          <w:szCs w:val="24"/>
          <w:lang w:bidi="ar-SA"/>
        </w:rPr>
        <w:t>to be</w:t>
      </w:r>
      <w:r w:rsidRPr="6F0FA7D6">
        <w:rPr>
          <w:rFonts w:asciiTheme="minorHAnsi" w:eastAsiaTheme="minorEastAsia" w:hAnsiTheme="minorHAnsi" w:cstheme="minorBidi"/>
          <w:sz w:val="24"/>
          <w:szCs w:val="24"/>
          <w:lang w:bidi="ar-SA"/>
        </w:rPr>
        <w:t xml:space="preserve"> transferred from Main Campus. The Department did not</w:t>
      </w:r>
      <w:r w:rsidR="00034DAF" w:rsidRPr="6F0FA7D6">
        <w:rPr>
          <w:rFonts w:asciiTheme="minorHAnsi" w:eastAsiaTheme="minorEastAsia" w:hAnsiTheme="minorHAnsi" w:cstheme="minorBidi"/>
          <w:sz w:val="24"/>
          <w:szCs w:val="24"/>
          <w:lang w:bidi="ar-SA"/>
        </w:rPr>
        <w:t xml:space="preserve"> </w:t>
      </w:r>
      <w:r w:rsidRPr="6F0FA7D6">
        <w:rPr>
          <w:rFonts w:asciiTheme="minorHAnsi" w:eastAsiaTheme="minorEastAsia" w:hAnsiTheme="minorHAnsi" w:cstheme="minorBidi"/>
          <w:sz w:val="24"/>
          <w:szCs w:val="24"/>
          <w:lang w:bidi="ar-SA"/>
        </w:rPr>
        <w:t>approve the requested addition of 94 new licensed beds</w:t>
      </w:r>
      <w:r w:rsidR="00760EB4" w:rsidRPr="6F0FA7D6">
        <w:rPr>
          <w:rFonts w:asciiTheme="minorHAnsi" w:eastAsiaTheme="minorEastAsia" w:hAnsiTheme="minorHAnsi" w:cstheme="minorBidi"/>
          <w:sz w:val="24"/>
          <w:szCs w:val="24"/>
          <w:lang w:bidi="ar-SA"/>
        </w:rPr>
        <w:t>.</w:t>
      </w:r>
      <w:r w:rsidR="202BE569" w:rsidRPr="6F0FA7D6">
        <w:rPr>
          <w:rFonts w:asciiTheme="minorHAnsi" w:eastAsiaTheme="minorEastAsia" w:hAnsiTheme="minorHAnsi" w:cstheme="minorBidi"/>
          <w:sz w:val="24"/>
          <w:szCs w:val="24"/>
          <w:lang w:bidi="ar-SA"/>
        </w:rPr>
        <w:t xml:space="preserve"> </w:t>
      </w:r>
    </w:p>
    <w:p w14:paraId="38B555BD" w14:textId="085DF58B" w:rsidR="001B038A" w:rsidRPr="00034DAF" w:rsidRDefault="001B038A" w:rsidP="6F0FA7D6">
      <w:pPr>
        <w:pStyle w:val="ListParagraph"/>
        <w:widowControl/>
        <w:numPr>
          <w:ilvl w:val="0"/>
          <w:numId w:val="34"/>
        </w:numPr>
        <w:adjustRightInd w:val="0"/>
        <w:rPr>
          <w:rFonts w:asciiTheme="minorHAnsi" w:eastAsiaTheme="minorEastAsia" w:hAnsiTheme="minorHAnsi" w:cstheme="minorBidi"/>
          <w:sz w:val="24"/>
          <w:szCs w:val="24"/>
          <w:lang w:bidi="ar-SA"/>
        </w:rPr>
      </w:pPr>
      <w:r w:rsidRPr="6F0FA7D6">
        <w:rPr>
          <w:rFonts w:asciiTheme="minorHAnsi" w:eastAsiaTheme="minorEastAsia" w:hAnsiTheme="minorHAnsi" w:cstheme="minorBidi"/>
          <w:sz w:val="24"/>
          <w:szCs w:val="24"/>
          <w:lang w:bidi="ar-SA"/>
        </w:rPr>
        <w:t>Outpatient oncology services relocated from current buildings on the MGH Main Campus and</w:t>
      </w:r>
      <w:r w:rsidR="00034DAF" w:rsidRPr="6F0FA7D6">
        <w:rPr>
          <w:rFonts w:asciiTheme="minorHAnsi" w:eastAsiaTheme="minorEastAsia" w:hAnsiTheme="minorHAnsi" w:cstheme="minorBidi"/>
          <w:sz w:val="24"/>
          <w:szCs w:val="24"/>
          <w:lang w:bidi="ar-SA"/>
        </w:rPr>
        <w:t xml:space="preserve"> </w:t>
      </w:r>
      <w:r w:rsidRPr="6F0FA7D6">
        <w:rPr>
          <w:rFonts w:asciiTheme="minorHAnsi" w:eastAsiaTheme="minorEastAsia" w:hAnsiTheme="minorHAnsi" w:cstheme="minorBidi"/>
          <w:sz w:val="24"/>
          <w:szCs w:val="24"/>
          <w:lang w:bidi="ar-SA"/>
        </w:rPr>
        <w:t>expanded to include 100 oncology infusion bays and 120 oncology exam rooms.</w:t>
      </w:r>
    </w:p>
    <w:p w14:paraId="1D433D66" w14:textId="1B0CBBA4" w:rsidR="001B038A" w:rsidRPr="00C779A5" w:rsidRDefault="001B038A" w:rsidP="6F0FA7D6">
      <w:pPr>
        <w:pStyle w:val="ListParagraph"/>
        <w:widowControl/>
        <w:numPr>
          <w:ilvl w:val="0"/>
          <w:numId w:val="34"/>
        </w:numPr>
        <w:adjustRightInd w:val="0"/>
        <w:rPr>
          <w:rFonts w:asciiTheme="minorHAnsi" w:eastAsiaTheme="minorEastAsia" w:hAnsiTheme="minorHAnsi" w:cstheme="minorBidi"/>
          <w:sz w:val="24"/>
          <w:szCs w:val="24"/>
          <w:lang w:bidi="ar-SA"/>
        </w:rPr>
      </w:pPr>
      <w:r w:rsidRPr="6F0FA7D6">
        <w:rPr>
          <w:rFonts w:asciiTheme="minorHAnsi" w:eastAsiaTheme="minorEastAsia" w:hAnsiTheme="minorHAnsi" w:cstheme="minorBidi"/>
          <w:sz w:val="24"/>
          <w:szCs w:val="24"/>
          <w:lang w:bidi="ar-SA"/>
        </w:rPr>
        <w:lastRenderedPageBreak/>
        <w:t>Cardiac services relocated from current buildings on the MGH Main Campus and expanded. Five</w:t>
      </w:r>
      <w:r w:rsidR="00034DAF" w:rsidRPr="6F0FA7D6">
        <w:rPr>
          <w:rFonts w:asciiTheme="minorHAnsi" w:eastAsiaTheme="minorEastAsia" w:hAnsiTheme="minorHAnsi" w:cstheme="minorBidi"/>
          <w:sz w:val="24"/>
          <w:szCs w:val="24"/>
          <w:lang w:bidi="ar-SA"/>
        </w:rPr>
        <w:t xml:space="preserve"> </w:t>
      </w:r>
      <w:r w:rsidRPr="6F0FA7D6">
        <w:rPr>
          <w:rFonts w:asciiTheme="minorHAnsi" w:eastAsiaTheme="minorEastAsia" w:hAnsiTheme="minorHAnsi" w:cstheme="minorBidi"/>
          <w:sz w:val="24"/>
          <w:szCs w:val="24"/>
          <w:lang w:bidi="ar-SA"/>
        </w:rPr>
        <w:t>(5) operating rooms (ORs) currently dedicated to cardiology and nine (9) rooms currently</w:t>
      </w:r>
      <w:r w:rsidR="00034DAF" w:rsidRPr="6F0FA7D6">
        <w:rPr>
          <w:rFonts w:asciiTheme="minorHAnsi" w:eastAsiaTheme="minorEastAsia" w:hAnsiTheme="minorHAnsi" w:cstheme="minorBidi"/>
          <w:sz w:val="24"/>
          <w:szCs w:val="24"/>
          <w:lang w:bidi="ar-SA"/>
        </w:rPr>
        <w:t xml:space="preserve"> </w:t>
      </w:r>
      <w:r w:rsidRPr="6F0FA7D6">
        <w:rPr>
          <w:rFonts w:asciiTheme="minorHAnsi" w:eastAsiaTheme="minorEastAsia" w:hAnsiTheme="minorHAnsi" w:cstheme="minorBidi"/>
          <w:sz w:val="24"/>
          <w:szCs w:val="24"/>
          <w:lang w:bidi="ar-SA"/>
        </w:rPr>
        <w:t xml:space="preserve">serving as </w:t>
      </w:r>
      <w:r w:rsidR="00771C53" w:rsidRPr="6F0FA7D6">
        <w:rPr>
          <w:rFonts w:asciiTheme="minorHAnsi" w:eastAsiaTheme="minorEastAsia" w:hAnsiTheme="minorHAnsi" w:cstheme="minorBidi"/>
          <w:sz w:val="24"/>
          <w:szCs w:val="24"/>
          <w:lang w:bidi="ar-SA"/>
        </w:rPr>
        <w:t>catheterization</w:t>
      </w:r>
      <w:r w:rsidRPr="6F0FA7D6">
        <w:rPr>
          <w:rFonts w:asciiTheme="minorHAnsi" w:eastAsiaTheme="minorEastAsia" w:hAnsiTheme="minorHAnsi" w:cstheme="minorBidi"/>
          <w:sz w:val="24"/>
          <w:szCs w:val="24"/>
          <w:lang w:bidi="ar-SA"/>
        </w:rPr>
        <w:t xml:space="preserve"> and electrophysiology (EP) rooms </w:t>
      </w:r>
      <w:r w:rsidR="00094A6C">
        <w:rPr>
          <w:rFonts w:asciiTheme="minorHAnsi" w:eastAsiaTheme="minorEastAsia" w:hAnsiTheme="minorHAnsi" w:cstheme="minorBidi"/>
          <w:sz w:val="24"/>
          <w:szCs w:val="24"/>
          <w:lang w:bidi="ar-SA"/>
        </w:rPr>
        <w:t>to</w:t>
      </w:r>
      <w:r w:rsidR="00094A6C" w:rsidRPr="6F0FA7D6">
        <w:rPr>
          <w:rFonts w:asciiTheme="minorHAnsi" w:eastAsiaTheme="minorEastAsia" w:hAnsiTheme="minorHAnsi" w:cstheme="minorBidi"/>
          <w:sz w:val="24"/>
          <w:szCs w:val="24"/>
          <w:lang w:bidi="ar-SA"/>
        </w:rPr>
        <w:t xml:space="preserve"> </w:t>
      </w:r>
      <w:r w:rsidRPr="6F0FA7D6">
        <w:rPr>
          <w:rFonts w:asciiTheme="minorHAnsi" w:eastAsiaTheme="minorEastAsia" w:hAnsiTheme="minorHAnsi" w:cstheme="minorBidi"/>
          <w:sz w:val="24"/>
          <w:szCs w:val="24"/>
          <w:lang w:bidi="ar-SA"/>
        </w:rPr>
        <w:t>be moved to the new tower as</w:t>
      </w:r>
      <w:r w:rsidR="00034DAF" w:rsidRPr="6F0FA7D6">
        <w:rPr>
          <w:rFonts w:asciiTheme="minorHAnsi" w:eastAsiaTheme="minorEastAsia" w:hAnsiTheme="minorHAnsi" w:cstheme="minorBidi"/>
          <w:sz w:val="24"/>
          <w:szCs w:val="24"/>
          <w:lang w:bidi="ar-SA"/>
        </w:rPr>
        <w:t xml:space="preserve"> </w:t>
      </w:r>
      <w:r w:rsidRPr="6F0FA7D6">
        <w:rPr>
          <w:rFonts w:asciiTheme="minorHAnsi" w:eastAsiaTheme="minorEastAsia" w:hAnsiTheme="minorHAnsi" w:cstheme="minorBidi"/>
          <w:sz w:val="24"/>
          <w:szCs w:val="24"/>
          <w:lang w:bidi="ar-SA"/>
        </w:rPr>
        <w:t>hybrid ORs. In addition, one new OR dedicated to cardiology, eight (8) new hybrid</w:t>
      </w:r>
      <w:r w:rsidR="00C779A5" w:rsidRPr="6F0FA7D6">
        <w:rPr>
          <w:rFonts w:asciiTheme="minorHAnsi" w:eastAsiaTheme="minorEastAsia" w:hAnsiTheme="minorHAnsi" w:cstheme="minorBidi"/>
          <w:sz w:val="24"/>
          <w:szCs w:val="24"/>
          <w:lang w:bidi="ar-SA"/>
        </w:rPr>
        <w:t xml:space="preserve"> </w:t>
      </w:r>
      <w:r w:rsidRPr="6F0FA7D6">
        <w:rPr>
          <w:rFonts w:asciiTheme="minorHAnsi" w:eastAsiaTheme="minorEastAsia" w:hAnsiTheme="minorHAnsi" w:cstheme="minorBidi"/>
          <w:sz w:val="24"/>
          <w:szCs w:val="24"/>
          <w:lang w:bidi="ar-SA"/>
        </w:rPr>
        <w:t>ORs, and three (3) new procedure rooms dedicated to cardiology.</w:t>
      </w:r>
    </w:p>
    <w:p w14:paraId="70E62160" w14:textId="717449AA" w:rsidR="001B038A" w:rsidRPr="00C779A5" w:rsidRDefault="001B038A" w:rsidP="6F0FA7D6">
      <w:pPr>
        <w:pStyle w:val="ListParagraph"/>
        <w:widowControl/>
        <w:numPr>
          <w:ilvl w:val="0"/>
          <w:numId w:val="34"/>
        </w:numPr>
        <w:adjustRightInd w:val="0"/>
        <w:rPr>
          <w:rFonts w:asciiTheme="minorHAnsi" w:eastAsiaTheme="minorEastAsia" w:hAnsiTheme="minorHAnsi" w:cstheme="minorBidi"/>
          <w:sz w:val="24"/>
          <w:szCs w:val="24"/>
          <w:lang w:bidi="ar-SA"/>
        </w:rPr>
      </w:pPr>
      <w:r w:rsidRPr="6F0FA7D6">
        <w:rPr>
          <w:rFonts w:asciiTheme="minorHAnsi" w:eastAsiaTheme="minorEastAsia" w:hAnsiTheme="minorHAnsi" w:cstheme="minorBidi"/>
          <w:sz w:val="24"/>
          <w:szCs w:val="24"/>
          <w:lang w:bidi="ar-SA"/>
        </w:rPr>
        <w:t>New diagnostic imaging equipment. Two (2) new computed tomography (CT) units, two (2) new</w:t>
      </w:r>
      <w:r w:rsidR="00C779A5" w:rsidRPr="6F0FA7D6">
        <w:rPr>
          <w:rFonts w:asciiTheme="minorHAnsi" w:eastAsiaTheme="minorEastAsia" w:hAnsiTheme="minorHAnsi" w:cstheme="minorBidi"/>
          <w:sz w:val="24"/>
          <w:szCs w:val="24"/>
          <w:lang w:bidi="ar-SA"/>
        </w:rPr>
        <w:t xml:space="preserve"> </w:t>
      </w:r>
      <w:r w:rsidRPr="6F0FA7D6">
        <w:rPr>
          <w:rFonts w:asciiTheme="minorHAnsi" w:eastAsiaTheme="minorEastAsia" w:hAnsiTheme="minorHAnsi" w:cstheme="minorBidi"/>
          <w:sz w:val="24"/>
          <w:szCs w:val="24"/>
          <w:lang w:bidi="ar-SA"/>
        </w:rPr>
        <w:t>magnetic resonance imaging (MRI) units, and two (2) new positron emission tomography</w:t>
      </w:r>
      <w:r w:rsidR="00C779A5" w:rsidRPr="6F0FA7D6">
        <w:rPr>
          <w:rFonts w:asciiTheme="minorHAnsi" w:eastAsiaTheme="minorEastAsia" w:hAnsiTheme="minorHAnsi" w:cstheme="minorBidi"/>
          <w:sz w:val="24"/>
          <w:szCs w:val="24"/>
          <w:lang w:bidi="ar-SA"/>
        </w:rPr>
        <w:t xml:space="preserve"> </w:t>
      </w:r>
      <w:r w:rsidRPr="6F0FA7D6">
        <w:rPr>
          <w:rFonts w:asciiTheme="minorHAnsi" w:eastAsiaTheme="minorEastAsia" w:hAnsiTheme="minorHAnsi" w:cstheme="minorBidi"/>
          <w:sz w:val="24"/>
          <w:szCs w:val="24"/>
          <w:lang w:bidi="ar-SA"/>
        </w:rPr>
        <w:t>computed</w:t>
      </w:r>
      <w:r w:rsidR="00C779A5" w:rsidRPr="6F0FA7D6">
        <w:rPr>
          <w:rFonts w:asciiTheme="minorHAnsi" w:eastAsiaTheme="minorEastAsia" w:hAnsiTheme="minorHAnsi" w:cstheme="minorBidi"/>
          <w:sz w:val="24"/>
          <w:szCs w:val="24"/>
          <w:lang w:bidi="ar-SA"/>
        </w:rPr>
        <w:t xml:space="preserve"> </w:t>
      </w:r>
      <w:r w:rsidRPr="6F0FA7D6">
        <w:rPr>
          <w:rFonts w:asciiTheme="minorHAnsi" w:eastAsiaTheme="minorEastAsia" w:hAnsiTheme="minorHAnsi" w:cstheme="minorBidi"/>
          <w:sz w:val="24"/>
          <w:szCs w:val="24"/>
          <w:lang w:bidi="ar-SA"/>
        </w:rPr>
        <w:t>tomography (PET/CT) units. The Department did not approve the addition of a new</w:t>
      </w:r>
      <w:r w:rsidR="00C779A5" w:rsidRPr="6F0FA7D6">
        <w:rPr>
          <w:rFonts w:asciiTheme="minorHAnsi" w:eastAsiaTheme="minorEastAsia" w:hAnsiTheme="minorHAnsi" w:cstheme="minorBidi"/>
          <w:sz w:val="24"/>
          <w:szCs w:val="24"/>
          <w:lang w:bidi="ar-SA"/>
        </w:rPr>
        <w:t xml:space="preserve"> </w:t>
      </w:r>
      <w:r w:rsidRPr="6F0FA7D6">
        <w:rPr>
          <w:rFonts w:asciiTheme="minorHAnsi" w:eastAsiaTheme="minorEastAsia" w:hAnsiTheme="minorHAnsi" w:cstheme="minorBidi"/>
          <w:sz w:val="24"/>
          <w:szCs w:val="24"/>
          <w:lang w:bidi="ar-SA"/>
        </w:rPr>
        <w:t>PET/MR Unit.</w:t>
      </w:r>
    </w:p>
    <w:p w14:paraId="6CE0EBDF" w14:textId="3EAD8424" w:rsidR="00E808E6" w:rsidRPr="00BB5006" w:rsidRDefault="001B038A" w:rsidP="6F0FA7D6">
      <w:pPr>
        <w:pStyle w:val="ListParagraph"/>
        <w:numPr>
          <w:ilvl w:val="0"/>
          <w:numId w:val="34"/>
        </w:numPr>
        <w:ind w:right="-10"/>
        <w:rPr>
          <w:rFonts w:asciiTheme="minorHAnsi" w:eastAsiaTheme="minorEastAsia" w:hAnsiTheme="minorHAnsi" w:cstheme="minorBidi"/>
          <w:sz w:val="24"/>
          <w:szCs w:val="24"/>
          <w:lang w:bidi="ar-SA"/>
        </w:rPr>
      </w:pPr>
      <w:r w:rsidRPr="6F0FA7D6">
        <w:rPr>
          <w:rFonts w:asciiTheme="minorHAnsi" w:eastAsiaTheme="minorEastAsia" w:hAnsiTheme="minorHAnsi" w:cstheme="minorBidi"/>
          <w:sz w:val="24"/>
          <w:szCs w:val="24"/>
          <w:lang w:bidi="ar-SA"/>
        </w:rPr>
        <w:t>Other clinical services renovation projects at Main Campus and licensed satellites.</w:t>
      </w:r>
    </w:p>
    <w:p w14:paraId="4DD3317F" w14:textId="55FAE83B" w:rsidR="001B038A" w:rsidRDefault="001B038A" w:rsidP="6F0FA7D6">
      <w:pPr>
        <w:ind w:right="-10"/>
        <w:rPr>
          <w:sz w:val="24"/>
          <w:szCs w:val="24"/>
        </w:rPr>
      </w:pPr>
    </w:p>
    <w:p w14:paraId="14CA92A8" w14:textId="77246F86" w:rsidR="001B038A" w:rsidRDefault="293A7850" w:rsidP="6F0FA7D6">
      <w:pPr>
        <w:ind w:right="-10"/>
        <w:rPr>
          <w:sz w:val="24"/>
          <w:szCs w:val="24"/>
        </w:rPr>
      </w:pPr>
      <w:r w:rsidRPr="6F0FA7D6">
        <w:rPr>
          <w:sz w:val="24"/>
          <w:szCs w:val="24"/>
        </w:rPr>
        <w:t xml:space="preserve">In the Original </w:t>
      </w:r>
      <w:proofErr w:type="spellStart"/>
      <w:r w:rsidRPr="6F0FA7D6">
        <w:rPr>
          <w:sz w:val="24"/>
          <w:szCs w:val="24"/>
        </w:rPr>
        <w:t>DoN</w:t>
      </w:r>
      <w:proofErr w:type="spellEnd"/>
      <w:r w:rsidRPr="6F0FA7D6">
        <w:rPr>
          <w:sz w:val="24"/>
          <w:szCs w:val="24"/>
        </w:rPr>
        <w:t xml:space="preserve"> filing, the Holder noted the new tower would achieve the following:  </w:t>
      </w:r>
    </w:p>
    <w:p w14:paraId="52C86EBE" w14:textId="54BB7993" w:rsidR="001B038A" w:rsidRDefault="293A7850" w:rsidP="009E20FA">
      <w:pPr>
        <w:pStyle w:val="ListParagraph"/>
        <w:numPr>
          <w:ilvl w:val="0"/>
          <w:numId w:val="2"/>
        </w:numPr>
        <w:rPr>
          <w:sz w:val="24"/>
          <w:szCs w:val="24"/>
        </w:rPr>
      </w:pPr>
      <w:r w:rsidRPr="6F0FA7D6">
        <w:rPr>
          <w:sz w:val="24"/>
          <w:szCs w:val="24"/>
        </w:rPr>
        <w:t>Reduce its number of semi-private rooms and increase the number of private inpatient rooms.</w:t>
      </w:r>
      <w:r w:rsidR="00F33E94" w:rsidRPr="6F0FA7D6">
        <w:rPr>
          <w:rStyle w:val="FootnoteReference"/>
          <w:sz w:val="24"/>
          <w:szCs w:val="24"/>
        </w:rPr>
        <w:footnoteReference w:id="2"/>
      </w:r>
    </w:p>
    <w:p w14:paraId="0AFB6AB7" w14:textId="68D05B51" w:rsidR="001B038A" w:rsidRDefault="555D9211" w:rsidP="009E20FA">
      <w:pPr>
        <w:pStyle w:val="ListParagraph"/>
        <w:numPr>
          <w:ilvl w:val="0"/>
          <w:numId w:val="2"/>
        </w:numPr>
        <w:rPr>
          <w:color w:val="000000" w:themeColor="text1"/>
          <w:sz w:val="24"/>
          <w:szCs w:val="24"/>
        </w:rPr>
      </w:pPr>
      <w:r w:rsidRPr="6F0FA7D6">
        <w:rPr>
          <w:color w:val="000000" w:themeColor="text1"/>
          <w:sz w:val="24"/>
          <w:szCs w:val="24"/>
        </w:rPr>
        <w:t>Reduce operating costs through decrease in length of stay resulting from reduced spread of infection, patient falls, and medication errors.</w:t>
      </w:r>
    </w:p>
    <w:p w14:paraId="63C50E38" w14:textId="7B8DB87A" w:rsidR="001B038A" w:rsidRDefault="293A7850" w:rsidP="009E20FA">
      <w:pPr>
        <w:pStyle w:val="ListParagraph"/>
        <w:numPr>
          <w:ilvl w:val="0"/>
          <w:numId w:val="2"/>
        </w:numPr>
        <w:rPr>
          <w:sz w:val="24"/>
          <w:szCs w:val="24"/>
        </w:rPr>
      </w:pPr>
      <w:r w:rsidRPr="6F0FA7D6">
        <w:rPr>
          <w:sz w:val="24"/>
          <w:szCs w:val="24"/>
        </w:rPr>
        <w:t>Relocate, expand, and co-locate both its cancer and cardiac services.</w:t>
      </w:r>
    </w:p>
    <w:p w14:paraId="7FC72694" w14:textId="4CF48585" w:rsidR="001B038A" w:rsidRDefault="293A7850" w:rsidP="009E20FA">
      <w:pPr>
        <w:pStyle w:val="ListParagraph"/>
        <w:numPr>
          <w:ilvl w:val="0"/>
          <w:numId w:val="2"/>
        </w:numPr>
        <w:rPr>
          <w:sz w:val="24"/>
          <w:szCs w:val="24"/>
        </w:rPr>
      </w:pPr>
      <w:r w:rsidRPr="6F0FA7D6">
        <w:rPr>
          <w:sz w:val="24"/>
          <w:szCs w:val="24"/>
        </w:rPr>
        <w:t>Increase imaging capacity through the addition of diagnostic imaging equipment.</w:t>
      </w:r>
    </w:p>
    <w:p w14:paraId="4756CD1C" w14:textId="7FF08C8A" w:rsidR="001B038A" w:rsidRDefault="293A7850" w:rsidP="009E20FA">
      <w:pPr>
        <w:pStyle w:val="ListParagraph"/>
        <w:numPr>
          <w:ilvl w:val="0"/>
          <w:numId w:val="2"/>
        </w:numPr>
        <w:rPr>
          <w:sz w:val="24"/>
          <w:szCs w:val="24"/>
        </w:rPr>
      </w:pPr>
      <w:r w:rsidRPr="6F0FA7D6">
        <w:rPr>
          <w:sz w:val="24"/>
          <w:szCs w:val="24"/>
        </w:rPr>
        <w:t>Strengthen MGH’s role as a regional resource.</w:t>
      </w:r>
    </w:p>
    <w:p w14:paraId="720A85BA" w14:textId="529516B9" w:rsidR="001B038A" w:rsidRDefault="293A7850" w:rsidP="009E20FA">
      <w:pPr>
        <w:pStyle w:val="ListParagraph"/>
        <w:numPr>
          <w:ilvl w:val="0"/>
          <w:numId w:val="2"/>
        </w:numPr>
        <w:rPr>
          <w:sz w:val="24"/>
          <w:szCs w:val="24"/>
        </w:rPr>
      </w:pPr>
      <w:r w:rsidRPr="6F0FA7D6">
        <w:rPr>
          <w:sz w:val="24"/>
          <w:szCs w:val="24"/>
        </w:rPr>
        <w:t>Improve MGH’s disaster preparedness.</w:t>
      </w:r>
    </w:p>
    <w:p w14:paraId="1548AAC4" w14:textId="07C0BCD9" w:rsidR="001B038A" w:rsidRDefault="001B038A" w:rsidP="009E20FA">
      <w:pPr>
        <w:ind w:left="360"/>
      </w:pPr>
    </w:p>
    <w:p w14:paraId="6090FBCF" w14:textId="2FF5E67A" w:rsidR="001B038A" w:rsidRDefault="5A7CDFFB" w:rsidP="6F0FA7D6">
      <w:pPr>
        <w:rPr>
          <w:sz w:val="24"/>
          <w:szCs w:val="24"/>
        </w:rPr>
      </w:pPr>
      <w:r w:rsidRPr="009E20FA">
        <w:rPr>
          <w:sz w:val="24"/>
          <w:szCs w:val="24"/>
        </w:rPr>
        <w:t>In its analysis</w:t>
      </w:r>
      <w:r w:rsidRPr="6F0FA7D6">
        <w:rPr>
          <w:sz w:val="24"/>
          <w:szCs w:val="24"/>
        </w:rPr>
        <w:t xml:space="preserve"> of the Original </w:t>
      </w:r>
      <w:proofErr w:type="spellStart"/>
      <w:r w:rsidRPr="6F0FA7D6">
        <w:rPr>
          <w:sz w:val="24"/>
          <w:szCs w:val="24"/>
        </w:rPr>
        <w:t>DoN</w:t>
      </w:r>
      <w:proofErr w:type="spellEnd"/>
      <w:r w:rsidRPr="009E20FA">
        <w:rPr>
          <w:sz w:val="24"/>
          <w:szCs w:val="24"/>
        </w:rPr>
        <w:t>,</w:t>
      </w:r>
      <w:r w:rsidRPr="6F0FA7D6">
        <w:rPr>
          <w:sz w:val="24"/>
          <w:szCs w:val="24"/>
        </w:rPr>
        <w:t xml:space="preserve"> </w:t>
      </w:r>
      <w:proofErr w:type="spellStart"/>
      <w:r w:rsidRPr="6F0FA7D6">
        <w:rPr>
          <w:sz w:val="24"/>
          <w:szCs w:val="24"/>
        </w:rPr>
        <w:t>DoN</w:t>
      </w:r>
      <w:proofErr w:type="spellEnd"/>
      <w:r w:rsidRPr="6F0FA7D6">
        <w:rPr>
          <w:sz w:val="24"/>
          <w:szCs w:val="24"/>
        </w:rPr>
        <w:t xml:space="preserve"> Program staff</w:t>
      </w:r>
      <w:r w:rsidR="77263CA6" w:rsidRPr="6F0FA7D6">
        <w:rPr>
          <w:sz w:val="24"/>
          <w:szCs w:val="24"/>
        </w:rPr>
        <w:t>:</w:t>
      </w:r>
      <w:r w:rsidRPr="6F0FA7D6">
        <w:rPr>
          <w:sz w:val="24"/>
          <w:szCs w:val="24"/>
        </w:rPr>
        <w:t xml:space="preserve"> </w:t>
      </w:r>
    </w:p>
    <w:p w14:paraId="60C74FFF" w14:textId="2E3DA84A" w:rsidR="001B038A" w:rsidRPr="0080124E" w:rsidRDefault="2CA184A1" w:rsidP="009E20FA">
      <w:pPr>
        <w:pStyle w:val="ListParagraph"/>
        <w:numPr>
          <w:ilvl w:val="0"/>
          <w:numId w:val="1"/>
        </w:numPr>
        <w:rPr>
          <w:rFonts w:asciiTheme="minorHAnsi" w:hAnsiTheme="minorHAnsi" w:cstheme="minorHAnsi"/>
          <w:sz w:val="24"/>
          <w:szCs w:val="24"/>
        </w:rPr>
      </w:pPr>
      <w:r w:rsidRPr="0080124E">
        <w:rPr>
          <w:rFonts w:asciiTheme="minorHAnsi" w:hAnsiTheme="minorHAnsi" w:cstheme="minorHAnsi"/>
          <w:sz w:val="24"/>
          <w:szCs w:val="24"/>
        </w:rPr>
        <w:t>C</w:t>
      </w:r>
      <w:r w:rsidR="00E13FFF" w:rsidRPr="0080124E">
        <w:rPr>
          <w:rStyle w:val="cf01"/>
          <w:rFonts w:asciiTheme="minorHAnsi" w:hAnsiTheme="minorHAnsi" w:cstheme="minorHAnsi"/>
          <w:sz w:val="24"/>
          <w:szCs w:val="24"/>
        </w:rPr>
        <w:t xml:space="preserve">oncluded that without data </w:t>
      </w:r>
      <w:r w:rsidR="0080124E">
        <w:rPr>
          <w:rStyle w:val="cf01"/>
          <w:rFonts w:asciiTheme="minorHAnsi" w:hAnsiTheme="minorHAnsi" w:cstheme="minorHAnsi"/>
          <w:sz w:val="24"/>
          <w:szCs w:val="24"/>
        </w:rPr>
        <w:t xml:space="preserve">showing </w:t>
      </w:r>
      <w:r w:rsidR="00BD5AE0">
        <w:rPr>
          <w:rStyle w:val="cf01"/>
          <w:rFonts w:asciiTheme="minorHAnsi" w:hAnsiTheme="minorHAnsi" w:cstheme="minorHAnsi"/>
          <w:sz w:val="24"/>
          <w:szCs w:val="24"/>
        </w:rPr>
        <w:t xml:space="preserve">the impact </w:t>
      </w:r>
      <w:r w:rsidR="00727871">
        <w:rPr>
          <w:rStyle w:val="cf01"/>
          <w:rFonts w:asciiTheme="minorHAnsi" w:hAnsiTheme="minorHAnsi" w:cstheme="minorHAnsi"/>
          <w:sz w:val="24"/>
          <w:szCs w:val="24"/>
        </w:rPr>
        <w:t xml:space="preserve">that the </w:t>
      </w:r>
      <w:r w:rsidR="0080124E" w:rsidRPr="0080124E">
        <w:rPr>
          <w:rStyle w:val="cf01"/>
          <w:rFonts w:asciiTheme="minorHAnsi" w:hAnsiTheme="minorHAnsi" w:cstheme="minorHAnsi"/>
          <w:sz w:val="24"/>
          <w:szCs w:val="24"/>
        </w:rPr>
        <w:t>new tower</w:t>
      </w:r>
      <w:r w:rsidR="00E13FFF" w:rsidRPr="0080124E">
        <w:rPr>
          <w:rStyle w:val="cf01"/>
          <w:rFonts w:asciiTheme="minorHAnsi" w:hAnsiTheme="minorHAnsi" w:cstheme="minorHAnsi"/>
          <w:sz w:val="24"/>
          <w:szCs w:val="24"/>
        </w:rPr>
        <w:t xml:space="preserve"> </w:t>
      </w:r>
      <w:r w:rsidR="00727871">
        <w:rPr>
          <w:rStyle w:val="cf01"/>
          <w:rFonts w:asciiTheme="minorHAnsi" w:hAnsiTheme="minorHAnsi" w:cstheme="minorHAnsi"/>
          <w:sz w:val="24"/>
          <w:szCs w:val="24"/>
        </w:rPr>
        <w:t>project (</w:t>
      </w:r>
      <w:r w:rsidR="00727871" w:rsidRPr="0080124E">
        <w:rPr>
          <w:rStyle w:val="cf01"/>
          <w:rFonts w:asciiTheme="minorHAnsi" w:hAnsiTheme="minorHAnsi" w:cstheme="minorHAnsi"/>
          <w:sz w:val="24"/>
          <w:szCs w:val="24"/>
        </w:rPr>
        <w:t>introduction of 388 single-bedded rooms and reactivation of 24 single-bedded rooms</w:t>
      </w:r>
      <w:r w:rsidR="00727871">
        <w:rPr>
          <w:rStyle w:val="cf01"/>
          <w:rFonts w:asciiTheme="minorHAnsi" w:hAnsiTheme="minorHAnsi" w:cstheme="minorHAnsi"/>
          <w:sz w:val="24"/>
          <w:szCs w:val="24"/>
        </w:rPr>
        <w:t>)</w:t>
      </w:r>
      <w:r w:rsidR="00727871" w:rsidRPr="0080124E">
        <w:rPr>
          <w:rStyle w:val="cf01"/>
          <w:rFonts w:asciiTheme="minorHAnsi" w:hAnsiTheme="minorHAnsi" w:cstheme="minorHAnsi"/>
          <w:sz w:val="24"/>
          <w:szCs w:val="24"/>
        </w:rPr>
        <w:t xml:space="preserve"> </w:t>
      </w:r>
      <w:r w:rsidR="00BD5AE0">
        <w:rPr>
          <w:rStyle w:val="cf01"/>
          <w:rFonts w:asciiTheme="minorHAnsi" w:hAnsiTheme="minorHAnsi" w:cstheme="minorHAnsi"/>
          <w:sz w:val="24"/>
          <w:szCs w:val="24"/>
        </w:rPr>
        <w:t xml:space="preserve">would have on </w:t>
      </w:r>
      <w:r w:rsidR="00E13FFF" w:rsidRPr="0080124E">
        <w:rPr>
          <w:rStyle w:val="cf01"/>
          <w:rFonts w:asciiTheme="minorHAnsi" w:hAnsiTheme="minorHAnsi" w:cstheme="minorHAnsi"/>
          <w:sz w:val="24"/>
          <w:szCs w:val="24"/>
        </w:rPr>
        <w:t>ED boarding and throughput iss</w:t>
      </w:r>
      <w:r w:rsidR="00BD5AE0">
        <w:rPr>
          <w:rStyle w:val="cf01"/>
          <w:rFonts w:asciiTheme="minorHAnsi" w:hAnsiTheme="minorHAnsi" w:cstheme="minorHAnsi"/>
          <w:sz w:val="24"/>
          <w:szCs w:val="24"/>
        </w:rPr>
        <w:t>ues</w:t>
      </w:r>
      <w:r w:rsidR="00E13FFF" w:rsidRPr="0080124E">
        <w:rPr>
          <w:rStyle w:val="cf01"/>
          <w:rFonts w:asciiTheme="minorHAnsi" w:hAnsiTheme="minorHAnsi" w:cstheme="minorHAnsi"/>
          <w:sz w:val="24"/>
          <w:szCs w:val="24"/>
        </w:rPr>
        <w:t>, they could not find a clear and convincing need for additional 94 beds</w:t>
      </w:r>
      <w:r w:rsidR="47F680C0" w:rsidRPr="0080124E">
        <w:rPr>
          <w:rFonts w:asciiTheme="minorHAnsi" w:hAnsiTheme="minorHAnsi" w:cstheme="minorHAnsi"/>
          <w:sz w:val="24"/>
          <w:szCs w:val="24"/>
        </w:rPr>
        <w:t>.</w:t>
      </w:r>
    </w:p>
    <w:p w14:paraId="5E087CEF" w14:textId="00D85018" w:rsidR="001B038A" w:rsidRPr="009E20FA" w:rsidRDefault="7A526B4B" w:rsidP="009E20FA">
      <w:pPr>
        <w:pStyle w:val="ListParagraph"/>
        <w:numPr>
          <w:ilvl w:val="0"/>
          <w:numId w:val="1"/>
        </w:numPr>
        <w:rPr>
          <w:sz w:val="24"/>
          <w:szCs w:val="24"/>
        </w:rPr>
      </w:pPr>
      <w:r w:rsidRPr="6F0FA7D6">
        <w:rPr>
          <w:sz w:val="24"/>
          <w:szCs w:val="24"/>
        </w:rPr>
        <w:t>N</w:t>
      </w:r>
      <w:r w:rsidR="5A7CDFFB" w:rsidRPr="6F0FA7D6">
        <w:rPr>
          <w:sz w:val="24"/>
          <w:szCs w:val="24"/>
        </w:rPr>
        <w:t xml:space="preserve">oted </w:t>
      </w:r>
      <w:r w:rsidR="4CA02BB9" w:rsidRPr="6F0FA7D6">
        <w:rPr>
          <w:sz w:val="24"/>
          <w:szCs w:val="24"/>
        </w:rPr>
        <w:t xml:space="preserve">the Health Policy Commission’s analysis indicated the additional inpatient capacity would allow MGB to increase its market share by </w:t>
      </w:r>
      <w:r w:rsidR="73771A97" w:rsidRPr="48243D16">
        <w:rPr>
          <w:sz w:val="24"/>
          <w:szCs w:val="24"/>
        </w:rPr>
        <w:t>2.7</w:t>
      </w:r>
      <w:r w:rsidR="4CA02BB9" w:rsidRPr="6F0FA7D6">
        <w:rPr>
          <w:sz w:val="24"/>
          <w:szCs w:val="24"/>
        </w:rPr>
        <w:t xml:space="preserve">% to </w:t>
      </w:r>
      <w:r w:rsidR="4C863059" w:rsidRPr="48243D16">
        <w:rPr>
          <w:sz w:val="24"/>
          <w:szCs w:val="24"/>
        </w:rPr>
        <w:t>3.8</w:t>
      </w:r>
      <w:r w:rsidR="4CA02BB9" w:rsidRPr="6F0FA7D6">
        <w:rPr>
          <w:sz w:val="24"/>
          <w:szCs w:val="24"/>
        </w:rPr>
        <w:t>%</w:t>
      </w:r>
      <w:r w:rsidR="40C5F9BD" w:rsidRPr="6F0FA7D6">
        <w:rPr>
          <w:sz w:val="24"/>
          <w:szCs w:val="24"/>
        </w:rPr>
        <w:t xml:space="preserve">, resulting in </w:t>
      </w:r>
      <w:r w:rsidR="2445CEE1" w:rsidRPr="6F0FA7D6">
        <w:rPr>
          <w:sz w:val="24"/>
          <w:szCs w:val="24"/>
        </w:rPr>
        <w:t xml:space="preserve">increased health care spending, increased commercial insurance premiums, and a negative impact on health care market functioning, including access and equity. </w:t>
      </w:r>
      <w:r w:rsidR="40C5F9BD" w:rsidRPr="6F0FA7D6">
        <w:rPr>
          <w:sz w:val="24"/>
          <w:szCs w:val="24"/>
        </w:rPr>
        <w:t xml:space="preserve"> </w:t>
      </w:r>
    </w:p>
    <w:p w14:paraId="48314BB8" w14:textId="1D5E6E56" w:rsidR="001B038A" w:rsidRDefault="001B038A" w:rsidP="6F0FA7D6">
      <w:pPr>
        <w:spacing w:line="259" w:lineRule="auto"/>
        <w:rPr>
          <w:sz w:val="24"/>
          <w:szCs w:val="24"/>
        </w:rPr>
      </w:pPr>
    </w:p>
    <w:p w14:paraId="7E52D7AD" w14:textId="56EAEDC4" w:rsidR="001B038A" w:rsidRDefault="6146C339" w:rsidP="6F0FA7D6">
      <w:pPr>
        <w:spacing w:line="259" w:lineRule="auto"/>
        <w:rPr>
          <w:sz w:val="24"/>
          <w:szCs w:val="24"/>
        </w:rPr>
      </w:pPr>
      <w:r w:rsidRPr="6F0FA7D6">
        <w:rPr>
          <w:sz w:val="24"/>
          <w:szCs w:val="24"/>
        </w:rPr>
        <w:t xml:space="preserve">Therefore, </w:t>
      </w:r>
      <w:r w:rsidR="00F33E94" w:rsidRPr="6F0FA7D6">
        <w:rPr>
          <w:sz w:val="24"/>
          <w:szCs w:val="24"/>
        </w:rPr>
        <w:t>Conditions 2 and 3</w:t>
      </w:r>
      <w:r w:rsidRPr="486964B8">
        <w:rPr>
          <w:rStyle w:val="FootnoteReference"/>
          <w:sz w:val="24"/>
          <w:szCs w:val="24"/>
        </w:rPr>
        <w:footnoteReference w:id="3"/>
      </w:r>
      <w:r w:rsidR="00F33E94" w:rsidRPr="6F0FA7D6">
        <w:rPr>
          <w:sz w:val="24"/>
          <w:szCs w:val="24"/>
        </w:rPr>
        <w:t xml:space="preserve"> of the </w:t>
      </w:r>
      <w:r w:rsidR="54275949" w:rsidRPr="6F0FA7D6">
        <w:rPr>
          <w:sz w:val="24"/>
          <w:szCs w:val="24"/>
        </w:rPr>
        <w:t>O</w:t>
      </w:r>
      <w:r w:rsidR="00BC1023" w:rsidRPr="6F0FA7D6">
        <w:rPr>
          <w:sz w:val="24"/>
          <w:szCs w:val="24"/>
        </w:rPr>
        <w:t xml:space="preserve">riginal </w:t>
      </w:r>
      <w:proofErr w:type="spellStart"/>
      <w:r w:rsidR="00BC1023" w:rsidRPr="6F0FA7D6">
        <w:rPr>
          <w:sz w:val="24"/>
          <w:szCs w:val="24"/>
        </w:rPr>
        <w:t>DoN</w:t>
      </w:r>
      <w:proofErr w:type="spellEnd"/>
      <w:r w:rsidR="00BC1023" w:rsidRPr="6F0FA7D6">
        <w:rPr>
          <w:sz w:val="24"/>
          <w:szCs w:val="24"/>
        </w:rPr>
        <w:t xml:space="preserve"> </w:t>
      </w:r>
      <w:r w:rsidR="00237184" w:rsidRPr="6F0FA7D6">
        <w:rPr>
          <w:sz w:val="24"/>
          <w:szCs w:val="24"/>
        </w:rPr>
        <w:t xml:space="preserve">Notice of Final Action </w:t>
      </w:r>
      <w:r w:rsidR="6E1685E3" w:rsidRPr="6F0FA7D6">
        <w:rPr>
          <w:sz w:val="24"/>
          <w:szCs w:val="24"/>
        </w:rPr>
        <w:t>were included to</w:t>
      </w:r>
      <w:r w:rsidR="00B266DC">
        <w:rPr>
          <w:sz w:val="24"/>
          <w:szCs w:val="24"/>
        </w:rPr>
        <w:t xml:space="preserve"> detail </w:t>
      </w:r>
      <w:r w:rsidR="00E04E46">
        <w:rPr>
          <w:sz w:val="24"/>
          <w:szCs w:val="24"/>
        </w:rPr>
        <w:t>the data</w:t>
      </w:r>
      <w:r w:rsidR="00297809">
        <w:rPr>
          <w:sz w:val="24"/>
          <w:szCs w:val="24"/>
        </w:rPr>
        <w:t xml:space="preserve"> required by the Department</w:t>
      </w:r>
      <w:r w:rsidR="00E04E46">
        <w:rPr>
          <w:sz w:val="24"/>
          <w:szCs w:val="24"/>
        </w:rPr>
        <w:t xml:space="preserve"> </w:t>
      </w:r>
      <w:r w:rsidR="00AB1146">
        <w:rPr>
          <w:sz w:val="24"/>
          <w:szCs w:val="24"/>
        </w:rPr>
        <w:t xml:space="preserve">as part of </w:t>
      </w:r>
      <w:r w:rsidR="008B6128">
        <w:rPr>
          <w:sz w:val="24"/>
          <w:szCs w:val="24"/>
        </w:rPr>
        <w:t xml:space="preserve">any request for Significant Change </w:t>
      </w:r>
      <w:r w:rsidR="00D74D37">
        <w:rPr>
          <w:sz w:val="24"/>
          <w:szCs w:val="24"/>
        </w:rPr>
        <w:t xml:space="preserve">submitted by the Holder </w:t>
      </w:r>
      <w:r w:rsidR="008B6128">
        <w:rPr>
          <w:sz w:val="24"/>
          <w:szCs w:val="24"/>
        </w:rPr>
        <w:t xml:space="preserve">for </w:t>
      </w:r>
      <w:r w:rsidR="008D6555">
        <w:rPr>
          <w:sz w:val="24"/>
          <w:szCs w:val="24"/>
        </w:rPr>
        <w:t>project components</w:t>
      </w:r>
      <w:r w:rsidR="005B389D" w:rsidRPr="6F0FA7D6">
        <w:rPr>
          <w:sz w:val="24"/>
          <w:szCs w:val="24"/>
        </w:rPr>
        <w:t xml:space="preserve"> </w:t>
      </w:r>
      <w:r w:rsidR="00237184" w:rsidRPr="6F0FA7D6">
        <w:rPr>
          <w:sz w:val="24"/>
          <w:szCs w:val="24"/>
        </w:rPr>
        <w:t>that were</w:t>
      </w:r>
      <w:r w:rsidR="000A57CF">
        <w:rPr>
          <w:sz w:val="24"/>
          <w:szCs w:val="24"/>
        </w:rPr>
        <w:t xml:space="preserve"> dis</w:t>
      </w:r>
      <w:r w:rsidR="2A1C2DDA" w:rsidRPr="6F0FA7D6">
        <w:rPr>
          <w:sz w:val="24"/>
          <w:szCs w:val="24"/>
        </w:rPr>
        <w:t xml:space="preserve">approved </w:t>
      </w:r>
      <w:r w:rsidR="44CE9720" w:rsidRPr="6F0FA7D6">
        <w:rPr>
          <w:sz w:val="24"/>
          <w:szCs w:val="24"/>
        </w:rPr>
        <w:t>as part of</w:t>
      </w:r>
      <w:r w:rsidR="00237184" w:rsidRPr="6F0FA7D6">
        <w:rPr>
          <w:sz w:val="24"/>
          <w:szCs w:val="24"/>
        </w:rPr>
        <w:t xml:space="preserve"> the original decision</w:t>
      </w:r>
      <w:r w:rsidR="008D6555">
        <w:rPr>
          <w:sz w:val="24"/>
          <w:szCs w:val="24"/>
        </w:rPr>
        <w:t xml:space="preserve"> (which includes the addition of licensed beds)</w:t>
      </w:r>
      <w:r w:rsidR="00237184" w:rsidRPr="6F0FA7D6">
        <w:rPr>
          <w:sz w:val="24"/>
          <w:szCs w:val="24"/>
        </w:rPr>
        <w:t>.</w:t>
      </w:r>
    </w:p>
    <w:p w14:paraId="430DF77D" w14:textId="77777777" w:rsidR="00D7367E" w:rsidRPr="007C5F16" w:rsidRDefault="00D7367E" w:rsidP="00882AEE">
      <w:pPr>
        <w:spacing w:before="52"/>
        <w:ind w:right="-10"/>
        <w:rPr>
          <w:sz w:val="24"/>
          <w:highlight w:val="yellow"/>
        </w:rPr>
      </w:pPr>
    </w:p>
    <w:p w14:paraId="359FE979" w14:textId="2D6B9EB4" w:rsidR="00482351" w:rsidRPr="005F3F14" w:rsidRDefault="00910D52" w:rsidP="00882AEE">
      <w:pPr>
        <w:pStyle w:val="BodyText"/>
        <w:rPr>
          <w:b/>
          <w:bCs/>
          <w:sz w:val="24"/>
          <w:szCs w:val="24"/>
          <w:u w:val="single"/>
        </w:rPr>
      </w:pPr>
      <w:r w:rsidRPr="00FE0D56">
        <w:rPr>
          <w:b/>
          <w:bCs/>
          <w:sz w:val="24"/>
          <w:szCs w:val="24"/>
          <w:u w:val="single"/>
        </w:rPr>
        <w:t>Proposed Amendment</w:t>
      </w:r>
    </w:p>
    <w:p w14:paraId="40518A0A" w14:textId="089E57A3" w:rsidR="001A0EEB" w:rsidRPr="00C6613D" w:rsidRDefault="003351E5" w:rsidP="00C6613D">
      <w:pPr>
        <w:ind w:right="-10"/>
        <w:rPr>
          <w:sz w:val="24"/>
          <w:szCs w:val="24"/>
        </w:rPr>
      </w:pPr>
      <w:r w:rsidRPr="6F0FA7D6">
        <w:rPr>
          <w:sz w:val="24"/>
          <w:szCs w:val="24"/>
        </w:rPr>
        <w:lastRenderedPageBreak/>
        <w:t xml:space="preserve">Under the Approved Project, the </w:t>
      </w:r>
      <w:r w:rsidR="00F565EA" w:rsidRPr="6F0FA7D6">
        <w:rPr>
          <w:sz w:val="24"/>
          <w:szCs w:val="24"/>
        </w:rPr>
        <w:t>388</w:t>
      </w:r>
      <w:r w:rsidRPr="6F0FA7D6">
        <w:rPr>
          <w:sz w:val="24"/>
          <w:szCs w:val="24"/>
        </w:rPr>
        <w:t xml:space="preserve"> beds in the new building </w:t>
      </w:r>
      <w:r w:rsidR="4D7BC7B8" w:rsidRPr="6F0FA7D6">
        <w:rPr>
          <w:sz w:val="24"/>
          <w:szCs w:val="24"/>
        </w:rPr>
        <w:t xml:space="preserve">were to </w:t>
      </w:r>
      <w:r w:rsidRPr="6F0FA7D6">
        <w:rPr>
          <w:sz w:val="24"/>
          <w:szCs w:val="24"/>
        </w:rPr>
        <w:t>be relocated from existing units on the Hospital’s campus</w:t>
      </w:r>
      <w:r w:rsidR="001B57F5">
        <w:rPr>
          <w:rStyle w:val="FootnoteReference"/>
          <w:sz w:val="24"/>
          <w:szCs w:val="24"/>
        </w:rPr>
        <w:footnoteReference w:id="4"/>
      </w:r>
      <w:r w:rsidRPr="6F0FA7D6">
        <w:rPr>
          <w:sz w:val="24"/>
          <w:szCs w:val="24"/>
        </w:rPr>
        <w:t xml:space="preserve"> without an increase in the number of licensed beds</w:t>
      </w:r>
      <w:r w:rsidR="00AD002F">
        <w:rPr>
          <w:sz w:val="24"/>
          <w:szCs w:val="24"/>
        </w:rPr>
        <w:t xml:space="preserve"> and, through </w:t>
      </w:r>
      <w:r w:rsidR="00AD002F" w:rsidRPr="6F0FA7D6">
        <w:rPr>
          <w:sz w:val="24"/>
          <w:szCs w:val="24"/>
        </w:rPr>
        <w:t xml:space="preserve">communication with Department </w:t>
      </w:r>
      <w:r w:rsidR="00AD002F" w:rsidRPr="72C6B8DE">
        <w:rPr>
          <w:sz w:val="24"/>
          <w:szCs w:val="24"/>
        </w:rPr>
        <w:t>staff</w:t>
      </w:r>
      <w:r w:rsidR="00AD002F">
        <w:rPr>
          <w:sz w:val="24"/>
          <w:szCs w:val="24"/>
        </w:rPr>
        <w:t>,</w:t>
      </w:r>
      <w:r w:rsidR="00F85282" w:rsidRPr="00F85282">
        <w:rPr>
          <w:rStyle w:val="FootnoteReference"/>
          <w:sz w:val="24"/>
          <w:szCs w:val="24"/>
        </w:rPr>
        <w:t xml:space="preserve"> </w:t>
      </w:r>
      <w:r w:rsidR="00F85282" w:rsidRPr="6F0FA7D6">
        <w:rPr>
          <w:rStyle w:val="FootnoteReference"/>
          <w:sz w:val="24"/>
          <w:szCs w:val="24"/>
        </w:rPr>
        <w:footnoteReference w:id="5"/>
      </w:r>
      <w:r w:rsidR="00AD002F">
        <w:rPr>
          <w:sz w:val="24"/>
          <w:szCs w:val="24"/>
        </w:rPr>
        <w:t xml:space="preserve"> </w:t>
      </w:r>
      <w:r w:rsidR="00AD002F" w:rsidRPr="6F0FA7D6">
        <w:rPr>
          <w:sz w:val="24"/>
          <w:szCs w:val="24"/>
        </w:rPr>
        <w:t xml:space="preserve">the Holder was approved to relocate </w:t>
      </w:r>
      <w:r w:rsidR="00AD002F">
        <w:rPr>
          <w:sz w:val="24"/>
          <w:szCs w:val="24"/>
        </w:rPr>
        <w:t>an additional 94 beds</w:t>
      </w:r>
      <w:r w:rsidR="000B4F1E" w:rsidRPr="6F0FA7D6">
        <w:rPr>
          <w:sz w:val="24"/>
          <w:szCs w:val="24"/>
        </w:rPr>
        <w:t xml:space="preserve"> from other buildings </w:t>
      </w:r>
      <w:r w:rsidR="00B55ADD">
        <w:rPr>
          <w:sz w:val="24"/>
          <w:szCs w:val="24"/>
        </w:rPr>
        <w:t xml:space="preserve">on campus </w:t>
      </w:r>
      <w:r w:rsidR="000B4F1E" w:rsidRPr="6F0FA7D6">
        <w:rPr>
          <w:sz w:val="24"/>
          <w:szCs w:val="24"/>
        </w:rPr>
        <w:t>to the new building (prioritizing conversion of existing double</w:t>
      </w:r>
      <w:r w:rsidR="000B4F1E">
        <w:rPr>
          <w:sz w:val="24"/>
          <w:szCs w:val="24"/>
        </w:rPr>
        <w:t>-</w:t>
      </w:r>
      <w:r w:rsidR="000B4F1E" w:rsidRPr="6F0FA7D6">
        <w:rPr>
          <w:sz w:val="24"/>
          <w:szCs w:val="24"/>
        </w:rPr>
        <w:t>bedded rooms to private rooms)</w:t>
      </w:r>
      <w:r w:rsidR="000B4F1E">
        <w:rPr>
          <w:sz w:val="24"/>
          <w:szCs w:val="24"/>
        </w:rPr>
        <w:t>,</w:t>
      </w:r>
      <w:r w:rsidR="00AD002F">
        <w:rPr>
          <w:sz w:val="24"/>
          <w:szCs w:val="24"/>
        </w:rPr>
        <w:t xml:space="preserve"> for a total of 482</w:t>
      </w:r>
      <w:r w:rsidR="000B4F1E">
        <w:rPr>
          <w:sz w:val="24"/>
          <w:szCs w:val="24"/>
        </w:rPr>
        <w:t xml:space="preserve"> beds in the new building</w:t>
      </w:r>
      <w:r w:rsidR="00461308" w:rsidRPr="6F0FA7D6">
        <w:rPr>
          <w:sz w:val="24"/>
          <w:szCs w:val="24"/>
        </w:rPr>
        <w:t>.</w:t>
      </w:r>
      <w:r w:rsidR="000843BF" w:rsidRPr="6F0FA7D6">
        <w:rPr>
          <w:sz w:val="24"/>
          <w:szCs w:val="24"/>
        </w:rPr>
        <w:t xml:space="preserve"> </w:t>
      </w:r>
      <w:r w:rsidRPr="6F0FA7D6">
        <w:rPr>
          <w:sz w:val="24"/>
          <w:szCs w:val="24"/>
        </w:rPr>
        <w:t>The Proposed Change will</w:t>
      </w:r>
      <w:r w:rsidR="000843BF" w:rsidRPr="6F0FA7D6">
        <w:rPr>
          <w:sz w:val="24"/>
          <w:szCs w:val="24"/>
        </w:rPr>
        <w:t xml:space="preserve"> allow the Holder to</w:t>
      </w:r>
      <w:r w:rsidRPr="6F0FA7D6">
        <w:rPr>
          <w:sz w:val="24"/>
          <w:szCs w:val="24"/>
        </w:rPr>
        <w:t xml:space="preserve"> add 94 beds to the Hospital’s license without any renovation or capital cost by maintaining </w:t>
      </w:r>
      <w:r w:rsidR="00545CFC">
        <w:rPr>
          <w:sz w:val="24"/>
          <w:szCs w:val="24"/>
        </w:rPr>
        <w:t xml:space="preserve">those </w:t>
      </w:r>
      <w:r w:rsidRPr="6F0FA7D6">
        <w:rPr>
          <w:sz w:val="24"/>
          <w:szCs w:val="24"/>
        </w:rPr>
        <w:t xml:space="preserve">beds </w:t>
      </w:r>
      <w:r w:rsidR="00A92A01">
        <w:rPr>
          <w:sz w:val="24"/>
          <w:szCs w:val="24"/>
        </w:rPr>
        <w:t>that</w:t>
      </w:r>
      <w:r w:rsidR="002048DE">
        <w:rPr>
          <w:sz w:val="24"/>
          <w:szCs w:val="24"/>
        </w:rPr>
        <w:t xml:space="preserve"> are alread</w:t>
      </w:r>
      <w:r w:rsidR="00232B0C">
        <w:rPr>
          <w:sz w:val="24"/>
          <w:szCs w:val="24"/>
        </w:rPr>
        <w:t>y</w:t>
      </w:r>
      <w:r w:rsidR="002048DE">
        <w:rPr>
          <w:sz w:val="24"/>
          <w:szCs w:val="24"/>
        </w:rPr>
        <w:t xml:space="preserve"> operational in</w:t>
      </w:r>
      <w:r w:rsidRPr="6F0FA7D6">
        <w:rPr>
          <w:sz w:val="24"/>
          <w:szCs w:val="24"/>
        </w:rPr>
        <w:t xml:space="preserve"> their existing space</w:t>
      </w:r>
      <w:r w:rsidR="00532A00">
        <w:rPr>
          <w:sz w:val="24"/>
          <w:szCs w:val="24"/>
        </w:rPr>
        <w:t>,</w:t>
      </w:r>
      <w:r w:rsidRPr="6F0FA7D6">
        <w:rPr>
          <w:sz w:val="24"/>
          <w:szCs w:val="24"/>
        </w:rPr>
        <w:t xml:space="preserve"> instead of relocating them to the new building.</w:t>
      </w:r>
      <w:r w:rsidR="21D593DC" w:rsidRPr="6F0FA7D6">
        <w:rPr>
          <w:sz w:val="24"/>
          <w:szCs w:val="24"/>
        </w:rPr>
        <w:t xml:space="preserve">  </w:t>
      </w:r>
      <w:r w:rsidR="001B57F5" w:rsidRPr="6F0FA7D6">
        <w:rPr>
          <w:sz w:val="24"/>
          <w:szCs w:val="24"/>
        </w:rPr>
        <w:t>The Holder states that the 9</w:t>
      </w:r>
      <w:r w:rsidR="001B57F5">
        <w:rPr>
          <w:sz w:val="24"/>
          <w:szCs w:val="24"/>
        </w:rPr>
        <w:t>4</w:t>
      </w:r>
      <w:r w:rsidR="001B57F5" w:rsidRPr="6F0FA7D6">
        <w:rPr>
          <w:sz w:val="24"/>
          <w:szCs w:val="24"/>
        </w:rPr>
        <w:t xml:space="preserve"> beds would be comprised of 54 medical/surgical and 40 ICU beds, with no plan to designate beds to a particular specialty. </w:t>
      </w:r>
      <w:r w:rsidR="21D593DC" w:rsidRPr="6F0FA7D6">
        <w:rPr>
          <w:sz w:val="24"/>
          <w:szCs w:val="24"/>
        </w:rPr>
        <w:t xml:space="preserve">The Holder has estimated the new building will open in late 2027. </w:t>
      </w:r>
      <w:r w:rsidR="001A0EEB">
        <w:rPr>
          <w:sz w:val="24"/>
          <w:szCs w:val="24"/>
        </w:rPr>
        <w:t>Table 1 demonstrates the composition of M/S rooms on the MGH license if the Proposed Project is approved.</w:t>
      </w:r>
    </w:p>
    <w:p w14:paraId="597BF58B" w14:textId="77777777" w:rsidR="00F8444F" w:rsidRDefault="00F8444F" w:rsidP="008D3172">
      <w:pPr>
        <w:ind w:right="-10"/>
        <w:rPr>
          <w:sz w:val="24"/>
          <w:szCs w:val="24"/>
        </w:rPr>
      </w:pPr>
    </w:p>
    <w:p w14:paraId="5AF8A073" w14:textId="019CB2EB" w:rsidR="00F8444F" w:rsidRPr="0022092E" w:rsidRDefault="00F8444F" w:rsidP="008D3172">
      <w:pPr>
        <w:ind w:right="-10"/>
        <w:rPr>
          <w:b/>
          <w:bCs/>
          <w:sz w:val="24"/>
          <w:szCs w:val="24"/>
        </w:rPr>
      </w:pPr>
      <w:r w:rsidRPr="0022092E">
        <w:rPr>
          <w:b/>
          <w:bCs/>
          <w:sz w:val="24"/>
          <w:szCs w:val="24"/>
          <w:u w:val="single"/>
        </w:rPr>
        <w:t xml:space="preserve">Table </w:t>
      </w:r>
      <w:r w:rsidR="0022092E" w:rsidRPr="0022092E">
        <w:rPr>
          <w:b/>
          <w:bCs/>
          <w:sz w:val="24"/>
          <w:szCs w:val="24"/>
          <w:u w:val="single"/>
        </w:rPr>
        <w:t>1</w:t>
      </w:r>
      <w:r w:rsidRPr="0022092E">
        <w:rPr>
          <w:b/>
          <w:bCs/>
          <w:sz w:val="24"/>
          <w:szCs w:val="24"/>
          <w:u w:val="single"/>
        </w:rPr>
        <w:t>:</w:t>
      </w:r>
      <w:r w:rsidRPr="0022092E">
        <w:rPr>
          <w:b/>
          <w:bCs/>
          <w:sz w:val="24"/>
          <w:szCs w:val="24"/>
        </w:rPr>
        <w:t xml:space="preserve"> </w:t>
      </w:r>
      <w:r w:rsidR="00EA310B" w:rsidRPr="0022092E">
        <w:rPr>
          <w:b/>
          <w:bCs/>
          <w:sz w:val="24"/>
          <w:szCs w:val="24"/>
        </w:rPr>
        <w:t xml:space="preserve">Composition of </w:t>
      </w:r>
      <w:r w:rsidR="003C200C" w:rsidRPr="0022092E">
        <w:rPr>
          <w:b/>
          <w:bCs/>
          <w:sz w:val="24"/>
          <w:szCs w:val="24"/>
        </w:rPr>
        <w:t>M/S</w:t>
      </w:r>
      <w:r w:rsidR="00EA310B" w:rsidRPr="0022092E">
        <w:rPr>
          <w:b/>
          <w:bCs/>
          <w:sz w:val="24"/>
          <w:szCs w:val="24"/>
        </w:rPr>
        <w:t xml:space="preserve"> Rooms on the MGH License</w:t>
      </w:r>
    </w:p>
    <w:tbl>
      <w:tblPr>
        <w:tblStyle w:val="TableGrid"/>
        <w:tblW w:w="6475" w:type="dxa"/>
        <w:tblInd w:w="720" w:type="dxa"/>
        <w:tblLook w:val="04A0" w:firstRow="1" w:lastRow="0" w:firstColumn="1" w:lastColumn="0" w:noHBand="0" w:noVBand="1"/>
      </w:tblPr>
      <w:tblGrid>
        <w:gridCol w:w="2784"/>
        <w:gridCol w:w="1531"/>
        <w:gridCol w:w="2160"/>
      </w:tblGrid>
      <w:tr w:rsidR="00000DB3" w:rsidRPr="00181CA6" w14:paraId="57CEA74D" w14:textId="77777777" w:rsidTr="00E706E3">
        <w:trPr>
          <w:cantSplit/>
          <w:trHeight w:val="247"/>
          <w:tblHeader/>
        </w:trPr>
        <w:tc>
          <w:tcPr>
            <w:tcW w:w="2784" w:type="dxa"/>
            <w:shd w:val="clear" w:color="auto" w:fill="95B3D7" w:themeFill="accent1" w:themeFillTint="99"/>
          </w:tcPr>
          <w:p w14:paraId="73C21A35" w14:textId="77777777" w:rsidR="00000DB3" w:rsidRPr="002278E9" w:rsidRDefault="00000DB3" w:rsidP="00FE53BC">
            <w:pPr>
              <w:pStyle w:val="pf0"/>
              <w:spacing w:before="0" w:beforeAutospacing="0"/>
              <w:rPr>
                <w:rStyle w:val="cf01"/>
                <w:rFonts w:asciiTheme="minorHAnsi" w:hAnsiTheme="minorHAnsi" w:cstheme="minorHAnsi"/>
                <w:b/>
                <w:bCs/>
                <w:sz w:val="24"/>
                <w:szCs w:val="24"/>
              </w:rPr>
            </w:pPr>
          </w:p>
        </w:tc>
        <w:tc>
          <w:tcPr>
            <w:tcW w:w="1531" w:type="dxa"/>
            <w:shd w:val="clear" w:color="auto" w:fill="95B3D7" w:themeFill="accent1" w:themeFillTint="99"/>
          </w:tcPr>
          <w:p w14:paraId="78745D16" w14:textId="6BE8282A" w:rsidR="00000DB3" w:rsidRPr="002278E9" w:rsidRDefault="00000DB3" w:rsidP="00FE53BC">
            <w:pPr>
              <w:pStyle w:val="pf0"/>
              <w:spacing w:before="0" w:beforeAutospacing="0"/>
              <w:rPr>
                <w:rStyle w:val="cf01"/>
                <w:rFonts w:asciiTheme="minorHAnsi" w:hAnsiTheme="minorHAnsi" w:cstheme="minorHAnsi"/>
                <w:b/>
                <w:bCs/>
                <w:sz w:val="24"/>
                <w:szCs w:val="24"/>
              </w:rPr>
            </w:pPr>
            <w:r w:rsidRPr="002278E9">
              <w:rPr>
                <w:rStyle w:val="cf01"/>
                <w:rFonts w:asciiTheme="minorHAnsi" w:hAnsiTheme="minorHAnsi" w:cstheme="minorHAnsi"/>
                <w:b/>
                <w:bCs/>
                <w:sz w:val="24"/>
                <w:szCs w:val="24"/>
              </w:rPr>
              <w:t>Today</w:t>
            </w:r>
          </w:p>
        </w:tc>
        <w:tc>
          <w:tcPr>
            <w:tcW w:w="2160" w:type="dxa"/>
            <w:shd w:val="clear" w:color="auto" w:fill="95B3D7" w:themeFill="accent1" w:themeFillTint="99"/>
          </w:tcPr>
          <w:p w14:paraId="36939BD9" w14:textId="77777777" w:rsidR="00000DB3" w:rsidRPr="002278E9" w:rsidRDefault="00000DB3" w:rsidP="00FE53BC">
            <w:pPr>
              <w:pStyle w:val="pf0"/>
              <w:spacing w:before="0" w:beforeAutospacing="0"/>
              <w:rPr>
                <w:rStyle w:val="cf01"/>
                <w:rFonts w:asciiTheme="minorHAnsi" w:hAnsiTheme="minorHAnsi" w:cstheme="minorHAnsi"/>
                <w:b/>
                <w:bCs/>
                <w:sz w:val="24"/>
                <w:szCs w:val="24"/>
              </w:rPr>
            </w:pPr>
            <w:r w:rsidRPr="002278E9">
              <w:rPr>
                <w:rStyle w:val="cf01"/>
                <w:rFonts w:asciiTheme="minorHAnsi" w:hAnsiTheme="minorHAnsi" w:cstheme="minorHAnsi"/>
                <w:b/>
                <w:bCs/>
                <w:sz w:val="24"/>
                <w:szCs w:val="24"/>
              </w:rPr>
              <w:t>If Proposed Change is Approved</w:t>
            </w:r>
          </w:p>
        </w:tc>
      </w:tr>
      <w:tr w:rsidR="00000DB3" w:rsidRPr="00181CA6" w14:paraId="1C30D632" w14:textId="77777777" w:rsidTr="00E706E3">
        <w:trPr>
          <w:cantSplit/>
          <w:trHeight w:val="496"/>
        </w:trPr>
        <w:tc>
          <w:tcPr>
            <w:tcW w:w="2784" w:type="dxa"/>
            <w:shd w:val="clear" w:color="auto" w:fill="C6D9F1" w:themeFill="text2" w:themeFillTint="33"/>
          </w:tcPr>
          <w:p w14:paraId="2DF51C26" w14:textId="070D80C0" w:rsidR="00000DB3" w:rsidRPr="002278E9" w:rsidRDefault="0035733E" w:rsidP="00FE53BC">
            <w:pPr>
              <w:pStyle w:val="pf0"/>
              <w:spacing w:before="0" w:beforeAutospacing="0"/>
              <w:rPr>
                <w:rStyle w:val="cf01"/>
                <w:rFonts w:asciiTheme="minorHAnsi" w:hAnsiTheme="minorHAnsi" w:cstheme="minorHAnsi"/>
                <w:b/>
                <w:bCs/>
                <w:sz w:val="24"/>
                <w:szCs w:val="24"/>
              </w:rPr>
            </w:pPr>
            <w:r w:rsidRPr="002278E9">
              <w:rPr>
                <w:rStyle w:val="cf01"/>
                <w:rFonts w:asciiTheme="minorHAnsi" w:hAnsiTheme="minorHAnsi" w:cstheme="minorHAnsi"/>
                <w:b/>
                <w:bCs/>
                <w:sz w:val="24"/>
                <w:szCs w:val="24"/>
              </w:rPr>
              <w:t xml:space="preserve">Beds in </w:t>
            </w:r>
            <w:r w:rsidR="00000DB3" w:rsidRPr="002278E9">
              <w:rPr>
                <w:rStyle w:val="cf01"/>
                <w:rFonts w:asciiTheme="minorHAnsi" w:hAnsiTheme="minorHAnsi" w:cstheme="minorHAnsi"/>
                <w:b/>
                <w:bCs/>
                <w:sz w:val="24"/>
                <w:szCs w:val="24"/>
              </w:rPr>
              <w:t>Single Bedded Rooms in New Building</w:t>
            </w:r>
          </w:p>
        </w:tc>
        <w:tc>
          <w:tcPr>
            <w:tcW w:w="1531" w:type="dxa"/>
          </w:tcPr>
          <w:p w14:paraId="2F45BC37" w14:textId="7938C357" w:rsidR="00000DB3" w:rsidRPr="002278E9" w:rsidRDefault="00000DB3" w:rsidP="00FE53BC">
            <w:pPr>
              <w:pStyle w:val="pf0"/>
              <w:spacing w:before="0" w:beforeAutospacing="0"/>
              <w:rPr>
                <w:rStyle w:val="cf01"/>
                <w:rFonts w:asciiTheme="minorHAnsi" w:hAnsiTheme="minorHAnsi" w:cstheme="minorHAnsi"/>
                <w:sz w:val="24"/>
                <w:szCs w:val="24"/>
              </w:rPr>
            </w:pPr>
            <w:r w:rsidRPr="002278E9">
              <w:rPr>
                <w:rStyle w:val="cf01"/>
                <w:rFonts w:asciiTheme="minorHAnsi" w:hAnsiTheme="minorHAnsi" w:cstheme="minorHAnsi"/>
                <w:sz w:val="24"/>
                <w:szCs w:val="24"/>
              </w:rPr>
              <w:t>N</w:t>
            </w:r>
            <w:r w:rsidR="00EE7C93" w:rsidRPr="002278E9">
              <w:rPr>
                <w:rStyle w:val="cf01"/>
                <w:rFonts w:asciiTheme="minorHAnsi" w:hAnsiTheme="minorHAnsi" w:cstheme="minorHAnsi"/>
                <w:sz w:val="24"/>
                <w:szCs w:val="24"/>
              </w:rPr>
              <w:t>/</w:t>
            </w:r>
            <w:r w:rsidRPr="002278E9">
              <w:rPr>
                <w:rStyle w:val="cf01"/>
                <w:rFonts w:asciiTheme="minorHAnsi" w:hAnsiTheme="minorHAnsi" w:cstheme="minorHAnsi"/>
                <w:sz w:val="24"/>
                <w:szCs w:val="24"/>
              </w:rPr>
              <w:t>A</w:t>
            </w:r>
          </w:p>
        </w:tc>
        <w:tc>
          <w:tcPr>
            <w:tcW w:w="2160" w:type="dxa"/>
          </w:tcPr>
          <w:p w14:paraId="7008C9C1" w14:textId="101C1AB1" w:rsidR="00000DB3" w:rsidRPr="002278E9" w:rsidRDefault="00CE7E9C" w:rsidP="00FE53BC">
            <w:pPr>
              <w:pStyle w:val="pf0"/>
              <w:spacing w:before="0" w:beforeAutospacing="0"/>
              <w:rPr>
                <w:rStyle w:val="cf01"/>
                <w:rFonts w:asciiTheme="minorHAnsi" w:hAnsiTheme="minorHAnsi" w:cstheme="minorHAnsi"/>
                <w:sz w:val="24"/>
                <w:szCs w:val="24"/>
              </w:rPr>
            </w:pPr>
            <w:r w:rsidRPr="002278E9">
              <w:rPr>
                <w:rStyle w:val="cf01"/>
                <w:rFonts w:asciiTheme="minorHAnsi" w:hAnsiTheme="minorHAnsi" w:cstheme="minorHAnsi"/>
                <w:sz w:val="24"/>
                <w:szCs w:val="24"/>
              </w:rPr>
              <w:t>482</w:t>
            </w:r>
            <w:r w:rsidR="00000DB3" w:rsidRPr="002278E9">
              <w:rPr>
                <w:rStyle w:val="cf01"/>
                <w:rFonts w:asciiTheme="minorHAnsi" w:hAnsiTheme="minorHAnsi" w:cstheme="minorHAnsi"/>
                <w:sz w:val="24"/>
                <w:szCs w:val="24"/>
              </w:rPr>
              <w:t xml:space="preserve"> </w:t>
            </w:r>
          </w:p>
        </w:tc>
      </w:tr>
      <w:tr w:rsidR="00000DB3" w:rsidRPr="00181CA6" w14:paraId="461E1850" w14:textId="77777777" w:rsidTr="00E706E3">
        <w:trPr>
          <w:cantSplit/>
          <w:trHeight w:val="496"/>
        </w:trPr>
        <w:tc>
          <w:tcPr>
            <w:tcW w:w="2784" w:type="dxa"/>
            <w:shd w:val="clear" w:color="auto" w:fill="C6D9F1" w:themeFill="text2" w:themeFillTint="33"/>
          </w:tcPr>
          <w:p w14:paraId="58CFF426" w14:textId="594A11F3" w:rsidR="00000DB3" w:rsidRPr="002278E9" w:rsidRDefault="0035733E" w:rsidP="00FE53BC">
            <w:pPr>
              <w:pStyle w:val="pf0"/>
              <w:spacing w:before="0" w:beforeAutospacing="0"/>
              <w:rPr>
                <w:rStyle w:val="cf01"/>
                <w:rFonts w:asciiTheme="minorHAnsi" w:hAnsiTheme="minorHAnsi" w:cstheme="minorHAnsi"/>
                <w:b/>
                <w:bCs/>
                <w:sz w:val="24"/>
                <w:szCs w:val="24"/>
              </w:rPr>
            </w:pPr>
            <w:r w:rsidRPr="002278E9">
              <w:rPr>
                <w:rStyle w:val="cf01"/>
                <w:rFonts w:asciiTheme="minorHAnsi" w:hAnsiTheme="minorHAnsi" w:cstheme="minorHAnsi"/>
                <w:b/>
                <w:bCs/>
                <w:sz w:val="24"/>
                <w:szCs w:val="24"/>
              </w:rPr>
              <w:t xml:space="preserve">Beds in </w:t>
            </w:r>
            <w:r w:rsidR="00000DB3" w:rsidRPr="002278E9">
              <w:rPr>
                <w:rStyle w:val="cf01"/>
                <w:rFonts w:asciiTheme="minorHAnsi" w:hAnsiTheme="minorHAnsi" w:cstheme="minorHAnsi"/>
                <w:b/>
                <w:bCs/>
                <w:sz w:val="24"/>
                <w:szCs w:val="24"/>
              </w:rPr>
              <w:t>Single Bedded Rooms on the Rest of MGH Main Campus</w:t>
            </w:r>
          </w:p>
        </w:tc>
        <w:tc>
          <w:tcPr>
            <w:tcW w:w="1531" w:type="dxa"/>
          </w:tcPr>
          <w:p w14:paraId="3CD6320B" w14:textId="354C8CCE" w:rsidR="00000DB3" w:rsidRPr="002278E9" w:rsidRDefault="00A06930" w:rsidP="00FE53BC">
            <w:pPr>
              <w:pStyle w:val="pf0"/>
              <w:spacing w:before="0" w:beforeAutospacing="0"/>
              <w:rPr>
                <w:rStyle w:val="cf01"/>
                <w:rFonts w:asciiTheme="minorHAnsi" w:hAnsiTheme="minorHAnsi" w:cstheme="minorHAnsi"/>
                <w:sz w:val="24"/>
                <w:szCs w:val="24"/>
              </w:rPr>
            </w:pPr>
            <w:r w:rsidRPr="002278E9">
              <w:rPr>
                <w:rStyle w:val="cf01"/>
                <w:rFonts w:asciiTheme="minorHAnsi" w:hAnsiTheme="minorHAnsi" w:cstheme="minorHAnsi"/>
                <w:sz w:val="24"/>
                <w:szCs w:val="24"/>
              </w:rPr>
              <w:t>408</w:t>
            </w:r>
          </w:p>
        </w:tc>
        <w:tc>
          <w:tcPr>
            <w:tcW w:w="2160" w:type="dxa"/>
          </w:tcPr>
          <w:p w14:paraId="491502ED" w14:textId="708C7AD3" w:rsidR="00000DB3" w:rsidRPr="002278E9" w:rsidRDefault="00364564" w:rsidP="00FE53BC">
            <w:pPr>
              <w:pStyle w:val="pf0"/>
              <w:spacing w:before="0" w:beforeAutospacing="0"/>
              <w:rPr>
                <w:rStyle w:val="cf01"/>
                <w:rFonts w:asciiTheme="minorHAnsi" w:hAnsiTheme="minorHAnsi" w:cstheme="minorHAnsi"/>
                <w:sz w:val="24"/>
                <w:szCs w:val="24"/>
              </w:rPr>
            </w:pPr>
            <w:r w:rsidRPr="002278E9">
              <w:rPr>
                <w:rStyle w:val="cf01"/>
                <w:rFonts w:asciiTheme="minorHAnsi" w:hAnsiTheme="minorHAnsi" w:cstheme="minorHAnsi"/>
                <w:sz w:val="24"/>
                <w:szCs w:val="24"/>
              </w:rPr>
              <w:t>430</w:t>
            </w:r>
          </w:p>
        </w:tc>
      </w:tr>
      <w:tr w:rsidR="00000DB3" w:rsidRPr="00181CA6" w14:paraId="788D3392" w14:textId="77777777" w:rsidTr="00E706E3">
        <w:trPr>
          <w:cantSplit/>
          <w:trHeight w:val="496"/>
        </w:trPr>
        <w:tc>
          <w:tcPr>
            <w:tcW w:w="2784" w:type="dxa"/>
            <w:shd w:val="clear" w:color="auto" w:fill="C6D9F1" w:themeFill="text2" w:themeFillTint="33"/>
          </w:tcPr>
          <w:p w14:paraId="0B97919A" w14:textId="2D5C36C1" w:rsidR="00000DB3" w:rsidRPr="002278E9" w:rsidRDefault="0035733E" w:rsidP="00FE53BC">
            <w:pPr>
              <w:pStyle w:val="pf0"/>
              <w:spacing w:before="0" w:beforeAutospacing="0"/>
              <w:rPr>
                <w:rStyle w:val="cf01"/>
                <w:rFonts w:asciiTheme="minorHAnsi" w:hAnsiTheme="minorHAnsi" w:cstheme="minorHAnsi"/>
                <w:b/>
                <w:bCs/>
                <w:sz w:val="24"/>
                <w:szCs w:val="24"/>
              </w:rPr>
            </w:pPr>
            <w:r w:rsidRPr="002278E9">
              <w:rPr>
                <w:rStyle w:val="cf01"/>
                <w:rFonts w:asciiTheme="minorHAnsi" w:hAnsiTheme="minorHAnsi" w:cstheme="minorHAnsi"/>
                <w:b/>
                <w:bCs/>
                <w:sz w:val="24"/>
                <w:szCs w:val="24"/>
              </w:rPr>
              <w:t>Beds in Double Bedded rooms</w:t>
            </w:r>
            <w:r w:rsidR="00000DB3" w:rsidRPr="002278E9">
              <w:rPr>
                <w:rStyle w:val="cf01"/>
                <w:rFonts w:asciiTheme="minorHAnsi" w:hAnsiTheme="minorHAnsi" w:cstheme="minorHAnsi"/>
                <w:b/>
                <w:bCs/>
                <w:sz w:val="24"/>
                <w:szCs w:val="24"/>
              </w:rPr>
              <w:t xml:space="preserve"> on the Rest of MGH Main Campus</w:t>
            </w:r>
          </w:p>
        </w:tc>
        <w:tc>
          <w:tcPr>
            <w:tcW w:w="1531" w:type="dxa"/>
          </w:tcPr>
          <w:p w14:paraId="50B980EF" w14:textId="42059573" w:rsidR="00000DB3" w:rsidRPr="002278E9" w:rsidRDefault="00A06930" w:rsidP="00FE53BC">
            <w:pPr>
              <w:pStyle w:val="pf0"/>
              <w:spacing w:before="0" w:beforeAutospacing="0"/>
              <w:rPr>
                <w:rStyle w:val="cf01"/>
                <w:rFonts w:asciiTheme="minorHAnsi" w:hAnsiTheme="minorHAnsi" w:cstheme="minorHAnsi"/>
                <w:sz w:val="24"/>
                <w:szCs w:val="24"/>
              </w:rPr>
            </w:pPr>
            <w:r w:rsidRPr="002278E9">
              <w:rPr>
                <w:rStyle w:val="cf01"/>
                <w:rFonts w:asciiTheme="minorHAnsi" w:hAnsiTheme="minorHAnsi" w:cstheme="minorHAnsi"/>
                <w:sz w:val="24"/>
                <w:szCs w:val="24"/>
              </w:rPr>
              <w:t>492</w:t>
            </w:r>
          </w:p>
        </w:tc>
        <w:tc>
          <w:tcPr>
            <w:tcW w:w="2160" w:type="dxa"/>
          </w:tcPr>
          <w:p w14:paraId="0AE7C56A" w14:textId="3DC23914" w:rsidR="00000DB3" w:rsidRPr="002278E9" w:rsidRDefault="00364564" w:rsidP="00FE53BC">
            <w:pPr>
              <w:pStyle w:val="pf0"/>
              <w:spacing w:before="0" w:beforeAutospacing="0"/>
              <w:rPr>
                <w:rStyle w:val="cf01"/>
                <w:rFonts w:asciiTheme="minorHAnsi" w:hAnsiTheme="minorHAnsi" w:cstheme="minorHAnsi"/>
                <w:sz w:val="24"/>
                <w:szCs w:val="24"/>
              </w:rPr>
            </w:pPr>
            <w:r w:rsidRPr="002278E9">
              <w:rPr>
                <w:rStyle w:val="cf01"/>
                <w:rFonts w:asciiTheme="minorHAnsi" w:hAnsiTheme="minorHAnsi" w:cstheme="minorHAnsi"/>
                <w:sz w:val="24"/>
                <w:szCs w:val="24"/>
              </w:rPr>
              <w:t>82</w:t>
            </w:r>
          </w:p>
        </w:tc>
      </w:tr>
      <w:tr w:rsidR="00000DB3" w:rsidRPr="00181CA6" w14:paraId="25A6A4FE" w14:textId="77777777" w:rsidTr="00E706E3">
        <w:trPr>
          <w:cantSplit/>
          <w:trHeight w:val="247"/>
        </w:trPr>
        <w:tc>
          <w:tcPr>
            <w:tcW w:w="2784" w:type="dxa"/>
            <w:shd w:val="clear" w:color="auto" w:fill="C6D9F1" w:themeFill="text2" w:themeFillTint="33"/>
          </w:tcPr>
          <w:p w14:paraId="5C004D7E" w14:textId="60955921" w:rsidR="00000DB3" w:rsidRPr="002278E9" w:rsidRDefault="00000DB3" w:rsidP="00FE53BC">
            <w:pPr>
              <w:pStyle w:val="pf0"/>
              <w:spacing w:before="0" w:beforeAutospacing="0"/>
              <w:rPr>
                <w:rStyle w:val="cf01"/>
                <w:rFonts w:asciiTheme="minorHAnsi" w:hAnsiTheme="minorHAnsi" w:cstheme="minorHAnsi"/>
                <w:b/>
                <w:bCs/>
                <w:sz w:val="24"/>
                <w:szCs w:val="24"/>
              </w:rPr>
            </w:pPr>
            <w:r w:rsidRPr="002278E9">
              <w:rPr>
                <w:rStyle w:val="cf01"/>
                <w:rFonts w:asciiTheme="minorHAnsi" w:hAnsiTheme="minorHAnsi" w:cstheme="minorHAnsi"/>
                <w:b/>
                <w:bCs/>
                <w:sz w:val="24"/>
                <w:szCs w:val="24"/>
              </w:rPr>
              <w:t>Total Beds</w:t>
            </w:r>
          </w:p>
        </w:tc>
        <w:tc>
          <w:tcPr>
            <w:tcW w:w="1531" w:type="dxa"/>
          </w:tcPr>
          <w:p w14:paraId="12A9B284" w14:textId="20B5913F" w:rsidR="00000DB3" w:rsidRPr="002278E9" w:rsidRDefault="00000DB3" w:rsidP="00FE53BC">
            <w:pPr>
              <w:pStyle w:val="pf0"/>
              <w:spacing w:before="0" w:beforeAutospacing="0"/>
              <w:rPr>
                <w:rStyle w:val="cf01"/>
                <w:rFonts w:asciiTheme="minorHAnsi" w:hAnsiTheme="minorHAnsi" w:cstheme="minorHAnsi"/>
                <w:sz w:val="24"/>
                <w:szCs w:val="24"/>
              </w:rPr>
            </w:pPr>
            <w:r w:rsidRPr="002278E9">
              <w:rPr>
                <w:rStyle w:val="cf01"/>
                <w:rFonts w:asciiTheme="minorHAnsi" w:hAnsiTheme="minorHAnsi" w:cstheme="minorHAnsi"/>
                <w:sz w:val="24"/>
                <w:szCs w:val="24"/>
              </w:rPr>
              <w:t>900</w:t>
            </w:r>
          </w:p>
        </w:tc>
        <w:tc>
          <w:tcPr>
            <w:tcW w:w="2160" w:type="dxa"/>
          </w:tcPr>
          <w:p w14:paraId="09DAB035" w14:textId="77777777" w:rsidR="00000DB3" w:rsidRPr="002278E9" w:rsidRDefault="00000DB3" w:rsidP="00FE53BC">
            <w:pPr>
              <w:pStyle w:val="pf0"/>
              <w:spacing w:before="0" w:beforeAutospacing="0"/>
              <w:rPr>
                <w:rStyle w:val="cf01"/>
                <w:rFonts w:asciiTheme="minorHAnsi" w:hAnsiTheme="minorHAnsi" w:cstheme="minorHAnsi"/>
                <w:sz w:val="24"/>
                <w:szCs w:val="24"/>
              </w:rPr>
            </w:pPr>
            <w:r w:rsidRPr="002278E9">
              <w:rPr>
                <w:rStyle w:val="cf01"/>
                <w:rFonts w:asciiTheme="minorHAnsi" w:hAnsiTheme="minorHAnsi" w:cstheme="minorHAnsi"/>
                <w:sz w:val="24"/>
                <w:szCs w:val="24"/>
              </w:rPr>
              <w:t>994</w:t>
            </w:r>
          </w:p>
        </w:tc>
      </w:tr>
    </w:tbl>
    <w:p w14:paraId="451C54CE" w14:textId="77777777" w:rsidR="007965A7" w:rsidRDefault="007965A7" w:rsidP="008D3172">
      <w:pPr>
        <w:ind w:right="-10"/>
        <w:rPr>
          <w:sz w:val="24"/>
          <w:szCs w:val="24"/>
        </w:rPr>
      </w:pPr>
    </w:p>
    <w:p w14:paraId="366822E6" w14:textId="05F5FC19" w:rsidR="00F20A59" w:rsidRPr="00CD6091" w:rsidRDefault="00612460" w:rsidP="00CD6091">
      <w:pPr>
        <w:pStyle w:val="ListParagraph"/>
        <w:ind w:left="0" w:firstLine="0"/>
        <w:rPr>
          <w:rFonts w:cstheme="minorHAnsi"/>
          <w:sz w:val="24"/>
          <w:szCs w:val="24"/>
        </w:rPr>
      </w:pPr>
      <w:r w:rsidRPr="005354F0">
        <w:rPr>
          <w:sz w:val="24"/>
          <w:szCs w:val="24"/>
        </w:rPr>
        <w:t>For the</w:t>
      </w:r>
      <w:r w:rsidR="002B4A25">
        <w:rPr>
          <w:sz w:val="24"/>
          <w:szCs w:val="24"/>
        </w:rPr>
        <w:t xml:space="preserve"> small number of</w:t>
      </w:r>
      <w:r w:rsidR="005354F0" w:rsidRPr="005354F0">
        <w:rPr>
          <w:sz w:val="24"/>
          <w:szCs w:val="24"/>
        </w:rPr>
        <w:t xml:space="preserve"> double</w:t>
      </w:r>
      <w:r w:rsidR="00000DB3">
        <w:rPr>
          <w:sz w:val="24"/>
          <w:szCs w:val="24"/>
        </w:rPr>
        <w:t>-</w:t>
      </w:r>
      <w:r w:rsidR="005354F0" w:rsidRPr="005354F0">
        <w:rPr>
          <w:sz w:val="24"/>
          <w:szCs w:val="24"/>
        </w:rPr>
        <w:t>bedded rooms that will remain</w:t>
      </w:r>
      <w:r w:rsidR="00A04909">
        <w:rPr>
          <w:sz w:val="24"/>
          <w:szCs w:val="24"/>
        </w:rPr>
        <w:t xml:space="preserve"> on the MGH Campus</w:t>
      </w:r>
      <w:r w:rsidR="005354F0" w:rsidRPr="005354F0">
        <w:rPr>
          <w:sz w:val="24"/>
          <w:szCs w:val="24"/>
        </w:rPr>
        <w:t>, the Holder</w:t>
      </w:r>
      <w:r w:rsidR="005354F0">
        <w:rPr>
          <w:sz w:val="24"/>
          <w:szCs w:val="24"/>
        </w:rPr>
        <w:t xml:space="preserve"> </w:t>
      </w:r>
      <w:r w:rsidR="00DF63C1">
        <w:rPr>
          <w:sz w:val="24"/>
          <w:szCs w:val="24"/>
        </w:rPr>
        <w:t xml:space="preserve">notes that they have policies and procedures in place under </w:t>
      </w:r>
      <w:r w:rsidR="005354F0" w:rsidRPr="005354F0">
        <w:rPr>
          <w:rFonts w:cstheme="minorHAnsi"/>
          <w:sz w:val="24"/>
          <w:szCs w:val="24"/>
        </w:rPr>
        <w:t xml:space="preserve">MGH Infection Control and Prevention Program </w:t>
      </w:r>
      <w:r w:rsidR="00DF63C1">
        <w:rPr>
          <w:rFonts w:cstheme="minorHAnsi"/>
          <w:sz w:val="24"/>
          <w:szCs w:val="24"/>
        </w:rPr>
        <w:t xml:space="preserve">that </w:t>
      </w:r>
      <w:r w:rsidR="005354F0" w:rsidRPr="005354F0">
        <w:rPr>
          <w:rFonts w:cstheme="minorHAnsi"/>
          <w:sz w:val="24"/>
          <w:szCs w:val="24"/>
        </w:rPr>
        <w:t xml:space="preserve">reduce the risk of acquiring and transmitting infection in patients, visitors, and healthcare personnel as well as standards for cleaning/disinfection. </w:t>
      </w:r>
      <w:r w:rsidR="005354F0" w:rsidRPr="00DF63C1">
        <w:rPr>
          <w:rFonts w:cstheme="minorHAnsi"/>
          <w:sz w:val="24"/>
          <w:szCs w:val="24"/>
        </w:rPr>
        <w:t xml:space="preserve">When feasible, MGH manages the patient placement process to minimize the use of double occupancy rooms.  </w:t>
      </w:r>
    </w:p>
    <w:p w14:paraId="5D640EF8" w14:textId="77777777" w:rsidR="00997F00" w:rsidRDefault="00997F00" w:rsidP="00882AEE">
      <w:pPr>
        <w:ind w:right="-10"/>
        <w:rPr>
          <w:sz w:val="24"/>
        </w:rPr>
      </w:pPr>
    </w:p>
    <w:p w14:paraId="647DE4D3" w14:textId="7CC441FE" w:rsidR="00104F1C" w:rsidRPr="006C3698" w:rsidRDefault="00104F1C" w:rsidP="00882AEE">
      <w:pPr>
        <w:ind w:right="-10"/>
        <w:rPr>
          <w:sz w:val="24"/>
        </w:rPr>
      </w:pPr>
      <w:r w:rsidRPr="006C3698">
        <w:rPr>
          <w:sz w:val="24"/>
        </w:rPr>
        <w:t xml:space="preserve">The Holder </w:t>
      </w:r>
      <w:r w:rsidR="00506B15" w:rsidRPr="006C3698">
        <w:rPr>
          <w:sz w:val="24"/>
        </w:rPr>
        <w:t xml:space="preserve">states that the </w:t>
      </w:r>
      <w:r w:rsidR="001703D0">
        <w:rPr>
          <w:sz w:val="24"/>
        </w:rPr>
        <w:t xml:space="preserve">additional beds will allow the Holder to respond </w:t>
      </w:r>
      <w:r w:rsidR="00A67355">
        <w:rPr>
          <w:sz w:val="24"/>
        </w:rPr>
        <w:t xml:space="preserve">to </w:t>
      </w:r>
      <w:r w:rsidR="000F7687">
        <w:rPr>
          <w:sz w:val="24"/>
        </w:rPr>
        <w:t xml:space="preserve">“unprecedented overcrowding”. The Holder </w:t>
      </w:r>
      <w:r w:rsidR="00B22A01">
        <w:rPr>
          <w:sz w:val="24"/>
        </w:rPr>
        <w:t>demonstrates th</w:t>
      </w:r>
      <w:r w:rsidR="00910ABA">
        <w:rPr>
          <w:sz w:val="24"/>
        </w:rPr>
        <w:t>is</w:t>
      </w:r>
      <w:r w:rsidR="00B22A01">
        <w:rPr>
          <w:sz w:val="24"/>
        </w:rPr>
        <w:t xml:space="preserve"> </w:t>
      </w:r>
      <w:r w:rsidR="00506B15" w:rsidRPr="006C3698">
        <w:rPr>
          <w:sz w:val="24"/>
        </w:rPr>
        <w:t xml:space="preserve">need </w:t>
      </w:r>
      <w:r w:rsidR="001F714F" w:rsidRPr="006C3698">
        <w:rPr>
          <w:sz w:val="24"/>
        </w:rPr>
        <w:t xml:space="preserve">through </w:t>
      </w:r>
      <w:r w:rsidR="006C3698" w:rsidRPr="006C3698">
        <w:rPr>
          <w:sz w:val="24"/>
        </w:rPr>
        <w:t xml:space="preserve">Hospital </w:t>
      </w:r>
      <w:r w:rsidR="001F714F" w:rsidRPr="006C3698">
        <w:rPr>
          <w:sz w:val="24"/>
        </w:rPr>
        <w:t>Occupan</w:t>
      </w:r>
      <w:r w:rsidR="007561D7" w:rsidRPr="006C3698">
        <w:rPr>
          <w:sz w:val="24"/>
        </w:rPr>
        <w:t>cy data</w:t>
      </w:r>
      <w:r w:rsidR="0013179B">
        <w:rPr>
          <w:sz w:val="24"/>
        </w:rPr>
        <w:t xml:space="preserve"> </w:t>
      </w:r>
      <w:r w:rsidR="00ED1CBE">
        <w:rPr>
          <w:sz w:val="24"/>
        </w:rPr>
        <w:t xml:space="preserve">and </w:t>
      </w:r>
      <w:r w:rsidR="0013179B">
        <w:rPr>
          <w:sz w:val="24"/>
        </w:rPr>
        <w:t>Emergency Department (ED)</w:t>
      </w:r>
      <w:r w:rsidR="0013179B" w:rsidRPr="006C3698">
        <w:rPr>
          <w:sz w:val="24"/>
        </w:rPr>
        <w:t xml:space="preserve"> Boarding data</w:t>
      </w:r>
      <w:r w:rsidR="007561D7" w:rsidRPr="006C3698">
        <w:rPr>
          <w:sz w:val="24"/>
        </w:rPr>
        <w:t xml:space="preserve">. </w:t>
      </w:r>
    </w:p>
    <w:p w14:paraId="60BBEA19" w14:textId="77777777" w:rsidR="006C3698" w:rsidRDefault="006C3698" w:rsidP="00882AEE">
      <w:pPr>
        <w:ind w:right="-10"/>
        <w:rPr>
          <w:sz w:val="24"/>
        </w:rPr>
      </w:pPr>
    </w:p>
    <w:p w14:paraId="30C5AB59" w14:textId="073BA497" w:rsidR="006C3698" w:rsidRPr="00B50AE1" w:rsidRDefault="007C32E1" w:rsidP="00882AEE">
      <w:pPr>
        <w:ind w:right="-10"/>
        <w:rPr>
          <w:b/>
          <w:bCs/>
          <w:i/>
          <w:iCs/>
          <w:sz w:val="24"/>
        </w:rPr>
      </w:pPr>
      <w:r>
        <w:rPr>
          <w:b/>
          <w:bCs/>
          <w:i/>
          <w:iCs/>
          <w:sz w:val="24"/>
        </w:rPr>
        <w:t>Occupancy</w:t>
      </w:r>
    </w:p>
    <w:p w14:paraId="11E9E818" w14:textId="5E61320E" w:rsidR="00AB03FF" w:rsidRDefault="008C5DD4" w:rsidP="00882AEE">
      <w:pPr>
        <w:ind w:right="-10"/>
        <w:rPr>
          <w:sz w:val="24"/>
        </w:rPr>
      </w:pPr>
      <w:r w:rsidRPr="006C3698">
        <w:rPr>
          <w:sz w:val="24"/>
        </w:rPr>
        <w:t xml:space="preserve">The Hospital </w:t>
      </w:r>
      <w:r w:rsidR="002461E2">
        <w:rPr>
          <w:sz w:val="24"/>
        </w:rPr>
        <w:t xml:space="preserve">reports </w:t>
      </w:r>
      <w:r w:rsidR="00CC3579">
        <w:rPr>
          <w:sz w:val="24"/>
        </w:rPr>
        <w:t xml:space="preserve">that </w:t>
      </w:r>
      <w:r w:rsidR="00E21D60">
        <w:rPr>
          <w:sz w:val="24"/>
        </w:rPr>
        <w:t xml:space="preserve">it </w:t>
      </w:r>
      <w:r w:rsidRPr="006C3698">
        <w:rPr>
          <w:sz w:val="24"/>
        </w:rPr>
        <w:t xml:space="preserve">has experienced increased </w:t>
      </w:r>
      <w:r w:rsidR="006145C8" w:rsidRPr="00F46725">
        <w:rPr>
          <w:sz w:val="24"/>
          <w:szCs w:val="24"/>
        </w:rPr>
        <w:t xml:space="preserve">instances of </w:t>
      </w:r>
      <w:r w:rsidR="00F46725">
        <w:rPr>
          <w:sz w:val="24"/>
          <w:szCs w:val="24"/>
        </w:rPr>
        <w:t>h</w:t>
      </w:r>
      <w:r w:rsidR="006145C8" w:rsidRPr="00F46725">
        <w:rPr>
          <w:sz w:val="24"/>
          <w:szCs w:val="24"/>
        </w:rPr>
        <w:t xml:space="preserve">aving more patients in need of a bed than beds available, which leads to </w:t>
      </w:r>
      <w:r w:rsidR="00A23F37" w:rsidRPr="00F46725">
        <w:rPr>
          <w:sz w:val="24"/>
          <w:szCs w:val="24"/>
        </w:rPr>
        <w:t xml:space="preserve">admitted patients spending their initial nights </w:t>
      </w:r>
      <w:r w:rsidR="00A23F37" w:rsidRPr="00F46725">
        <w:rPr>
          <w:sz w:val="24"/>
          <w:szCs w:val="24"/>
        </w:rPr>
        <w:lastRenderedPageBreak/>
        <w:t xml:space="preserve">in the ED, </w:t>
      </w:r>
      <w:r w:rsidR="0034673E">
        <w:rPr>
          <w:sz w:val="24"/>
          <w:szCs w:val="24"/>
        </w:rPr>
        <w:t>Post Acute Care Unit (</w:t>
      </w:r>
      <w:r w:rsidR="00A23F37" w:rsidRPr="00F46725">
        <w:rPr>
          <w:sz w:val="24"/>
          <w:szCs w:val="24"/>
        </w:rPr>
        <w:t>PACU</w:t>
      </w:r>
      <w:r w:rsidR="0034673E">
        <w:rPr>
          <w:sz w:val="24"/>
          <w:szCs w:val="24"/>
        </w:rPr>
        <w:t>)</w:t>
      </w:r>
      <w:r w:rsidR="00A23F37" w:rsidRPr="00F46725">
        <w:rPr>
          <w:sz w:val="24"/>
          <w:szCs w:val="24"/>
        </w:rPr>
        <w:t>/recovery bay, or alternative spaces like stretchers or chairs in hallways.</w:t>
      </w:r>
      <w:r w:rsidR="00A23F37" w:rsidRPr="00A23F37">
        <w:rPr>
          <w:sz w:val="24"/>
        </w:rPr>
        <w:t xml:space="preserve"> </w:t>
      </w:r>
    </w:p>
    <w:p w14:paraId="66E880B9" w14:textId="77777777" w:rsidR="004B3412" w:rsidRDefault="004B3412" w:rsidP="00882AEE">
      <w:pPr>
        <w:ind w:right="-10"/>
        <w:rPr>
          <w:sz w:val="24"/>
        </w:rPr>
      </w:pPr>
    </w:p>
    <w:p w14:paraId="4E0BBD38" w14:textId="5A13C042" w:rsidR="00AB03FF" w:rsidRDefault="00AB03FF" w:rsidP="00BD1F2B">
      <w:pPr>
        <w:spacing w:after="120"/>
      </w:pPr>
      <w:r w:rsidRPr="004B3412">
        <w:rPr>
          <w:sz w:val="24"/>
          <w:szCs w:val="24"/>
        </w:rPr>
        <w:t xml:space="preserve">Table </w:t>
      </w:r>
      <w:r w:rsidR="00BF52AF">
        <w:rPr>
          <w:sz w:val="24"/>
          <w:szCs w:val="24"/>
        </w:rPr>
        <w:t>2</w:t>
      </w:r>
      <w:r w:rsidRPr="004B3412">
        <w:rPr>
          <w:sz w:val="24"/>
          <w:szCs w:val="24"/>
        </w:rPr>
        <w:t xml:space="preserve"> </w:t>
      </w:r>
      <w:r w:rsidR="004B3412" w:rsidRPr="004B3412">
        <w:rPr>
          <w:sz w:val="24"/>
          <w:szCs w:val="24"/>
        </w:rPr>
        <w:t xml:space="preserve">provides data on the </w:t>
      </w:r>
      <w:r w:rsidRPr="004B3412">
        <w:rPr>
          <w:sz w:val="24"/>
          <w:szCs w:val="24"/>
        </w:rPr>
        <w:t xml:space="preserve">capacity challenges </w:t>
      </w:r>
      <w:r w:rsidR="004B3412" w:rsidRPr="004B3412">
        <w:rPr>
          <w:sz w:val="24"/>
          <w:szCs w:val="24"/>
        </w:rPr>
        <w:t>th</w:t>
      </w:r>
      <w:r w:rsidR="005027D5">
        <w:rPr>
          <w:sz w:val="24"/>
          <w:szCs w:val="24"/>
        </w:rPr>
        <w:t>at</w:t>
      </w:r>
      <w:r w:rsidR="004B3412" w:rsidRPr="004B3412">
        <w:rPr>
          <w:sz w:val="24"/>
          <w:szCs w:val="24"/>
        </w:rPr>
        <w:t xml:space="preserve"> MGH has experienced </w:t>
      </w:r>
      <w:r w:rsidRPr="004B3412">
        <w:rPr>
          <w:sz w:val="24"/>
          <w:szCs w:val="24"/>
        </w:rPr>
        <w:t xml:space="preserve">since the original </w:t>
      </w:r>
      <w:proofErr w:type="spellStart"/>
      <w:r w:rsidRPr="004B3412">
        <w:rPr>
          <w:sz w:val="24"/>
          <w:szCs w:val="24"/>
        </w:rPr>
        <w:t>DoN</w:t>
      </w:r>
      <w:proofErr w:type="spellEnd"/>
      <w:r w:rsidRPr="004B3412">
        <w:rPr>
          <w:sz w:val="24"/>
          <w:szCs w:val="24"/>
        </w:rPr>
        <w:t xml:space="preserve"> application was filed. The table includes two views: one based on all licensed beds even if they are not usable and one based on available beds which accounts for closed headwalls attributable largely to challenges using double occupancy rooms.</w:t>
      </w:r>
      <w:r w:rsidR="004B3412">
        <w:rPr>
          <w:rStyle w:val="FootnoteReference"/>
          <w:sz w:val="24"/>
          <w:szCs w:val="24"/>
        </w:rPr>
        <w:footnoteReference w:id="6"/>
      </w:r>
      <w:r w:rsidRPr="004B3412">
        <w:rPr>
          <w:sz w:val="24"/>
          <w:szCs w:val="24"/>
        </w:rPr>
        <w:t xml:space="preserve"> </w:t>
      </w:r>
    </w:p>
    <w:p w14:paraId="71D5A317" w14:textId="77777777" w:rsidR="004B3412" w:rsidRDefault="004B3412" w:rsidP="00BD1F2B">
      <w:pPr>
        <w:jc w:val="both"/>
        <w:rPr>
          <w:b/>
          <w:bCs/>
        </w:rPr>
      </w:pPr>
    </w:p>
    <w:p w14:paraId="3366F499" w14:textId="6325B0EC" w:rsidR="00AB03FF" w:rsidRPr="002278E9" w:rsidRDefault="00AB03FF" w:rsidP="00BD1F2B">
      <w:pPr>
        <w:spacing w:after="120"/>
        <w:jc w:val="both"/>
        <w:rPr>
          <w:b/>
          <w:bCs/>
          <w:sz w:val="24"/>
          <w:szCs w:val="24"/>
        </w:rPr>
      </w:pPr>
      <w:r w:rsidRPr="002278E9">
        <w:rPr>
          <w:b/>
          <w:bCs/>
          <w:sz w:val="24"/>
          <w:szCs w:val="24"/>
          <w:u w:val="single"/>
        </w:rPr>
        <w:t xml:space="preserve">Table </w:t>
      </w:r>
      <w:r w:rsidR="00BF52AF" w:rsidRPr="002278E9">
        <w:rPr>
          <w:b/>
          <w:bCs/>
          <w:sz w:val="24"/>
          <w:szCs w:val="24"/>
          <w:u w:val="single"/>
        </w:rPr>
        <w:t>2</w:t>
      </w:r>
      <w:r w:rsidRPr="002278E9">
        <w:rPr>
          <w:b/>
          <w:bCs/>
          <w:sz w:val="24"/>
          <w:szCs w:val="24"/>
          <w:u w:val="single"/>
        </w:rPr>
        <w:t>:</w:t>
      </w:r>
      <w:r w:rsidRPr="002278E9">
        <w:rPr>
          <w:b/>
          <w:bCs/>
          <w:sz w:val="24"/>
          <w:szCs w:val="24"/>
        </w:rPr>
        <w:t xml:space="preserve"> </w:t>
      </w:r>
      <w:r w:rsidR="004B3412" w:rsidRPr="002278E9">
        <w:rPr>
          <w:b/>
          <w:bCs/>
          <w:sz w:val="24"/>
          <w:szCs w:val="24"/>
        </w:rPr>
        <w:t xml:space="preserve">MGH Main Campus </w:t>
      </w:r>
      <w:r w:rsidRPr="002278E9">
        <w:rPr>
          <w:b/>
          <w:bCs/>
          <w:sz w:val="24"/>
          <w:szCs w:val="24"/>
        </w:rPr>
        <w:t xml:space="preserve">Historical Utilization </w:t>
      </w:r>
    </w:p>
    <w:tbl>
      <w:tblPr>
        <w:tblStyle w:val="TableGrid"/>
        <w:tblW w:w="9355" w:type="dxa"/>
        <w:tblLook w:val="04A0" w:firstRow="1" w:lastRow="0" w:firstColumn="1" w:lastColumn="0" w:noHBand="0" w:noVBand="1"/>
      </w:tblPr>
      <w:tblGrid>
        <w:gridCol w:w="2965"/>
        <w:gridCol w:w="1597"/>
        <w:gridCol w:w="1598"/>
        <w:gridCol w:w="1597"/>
        <w:gridCol w:w="1598"/>
      </w:tblGrid>
      <w:tr w:rsidR="00AB03FF" w:rsidRPr="006A662B" w14:paraId="53623FF9" w14:textId="77777777" w:rsidTr="0084594D">
        <w:trPr>
          <w:cantSplit/>
          <w:tblHeader/>
        </w:trPr>
        <w:tc>
          <w:tcPr>
            <w:tcW w:w="2965" w:type="dxa"/>
            <w:shd w:val="clear" w:color="auto" w:fill="95B3D7" w:themeFill="accent1" w:themeFillTint="99"/>
          </w:tcPr>
          <w:p w14:paraId="0FC2509A" w14:textId="77777777" w:rsidR="00AB03FF" w:rsidRPr="002278E9" w:rsidRDefault="00AB03FF">
            <w:pPr>
              <w:rPr>
                <w:b/>
                <w:bCs/>
                <w:sz w:val="24"/>
                <w:szCs w:val="24"/>
              </w:rPr>
            </w:pPr>
            <w:r w:rsidRPr="002278E9">
              <w:rPr>
                <w:b/>
                <w:bCs/>
                <w:sz w:val="24"/>
                <w:szCs w:val="24"/>
              </w:rPr>
              <w:t>Metric</w:t>
            </w:r>
          </w:p>
        </w:tc>
        <w:tc>
          <w:tcPr>
            <w:tcW w:w="1597" w:type="dxa"/>
            <w:shd w:val="clear" w:color="auto" w:fill="95B3D7" w:themeFill="accent1" w:themeFillTint="99"/>
          </w:tcPr>
          <w:p w14:paraId="2C9ACE35" w14:textId="39A18060" w:rsidR="00AB03FF" w:rsidRPr="002278E9" w:rsidRDefault="00AB03FF">
            <w:pPr>
              <w:jc w:val="center"/>
              <w:rPr>
                <w:b/>
                <w:bCs/>
                <w:sz w:val="24"/>
                <w:szCs w:val="24"/>
              </w:rPr>
            </w:pPr>
            <w:r w:rsidRPr="002278E9">
              <w:rPr>
                <w:b/>
                <w:bCs/>
                <w:sz w:val="24"/>
                <w:szCs w:val="24"/>
              </w:rPr>
              <w:t>FY</w:t>
            </w:r>
            <w:r w:rsidR="00CD6091" w:rsidRPr="002278E9">
              <w:rPr>
                <w:b/>
                <w:bCs/>
                <w:sz w:val="24"/>
                <w:szCs w:val="24"/>
              </w:rPr>
              <w:t>20</w:t>
            </w:r>
            <w:r w:rsidRPr="002278E9">
              <w:rPr>
                <w:b/>
                <w:bCs/>
                <w:sz w:val="24"/>
                <w:szCs w:val="24"/>
              </w:rPr>
              <w:t>19</w:t>
            </w:r>
          </w:p>
          <w:p w14:paraId="49E58BD0" w14:textId="77777777" w:rsidR="00AB03FF" w:rsidRPr="002278E9" w:rsidRDefault="00AB03FF">
            <w:pPr>
              <w:jc w:val="center"/>
              <w:rPr>
                <w:b/>
                <w:bCs/>
                <w:sz w:val="24"/>
                <w:szCs w:val="24"/>
              </w:rPr>
            </w:pPr>
            <w:r w:rsidRPr="002278E9">
              <w:rPr>
                <w:b/>
                <w:bCs/>
                <w:sz w:val="24"/>
                <w:szCs w:val="24"/>
              </w:rPr>
              <w:t>Licensed Beds</w:t>
            </w:r>
            <w:r w:rsidRPr="002278E9">
              <w:rPr>
                <w:rStyle w:val="FootnoteReference"/>
                <w:b/>
                <w:bCs/>
                <w:sz w:val="24"/>
                <w:szCs w:val="24"/>
              </w:rPr>
              <w:footnoteReference w:id="7"/>
            </w:r>
            <w:r w:rsidRPr="002278E9">
              <w:rPr>
                <w:b/>
                <w:bCs/>
                <w:sz w:val="24"/>
                <w:szCs w:val="24"/>
              </w:rPr>
              <w:t xml:space="preserve"> </w:t>
            </w:r>
          </w:p>
        </w:tc>
        <w:tc>
          <w:tcPr>
            <w:tcW w:w="1598" w:type="dxa"/>
            <w:shd w:val="clear" w:color="auto" w:fill="95B3D7" w:themeFill="accent1" w:themeFillTint="99"/>
          </w:tcPr>
          <w:p w14:paraId="06318C1F" w14:textId="765FF6E5" w:rsidR="00AB03FF" w:rsidRPr="002278E9" w:rsidRDefault="00AB03FF">
            <w:pPr>
              <w:jc w:val="center"/>
              <w:rPr>
                <w:b/>
                <w:bCs/>
                <w:sz w:val="24"/>
                <w:szCs w:val="24"/>
              </w:rPr>
            </w:pPr>
            <w:r w:rsidRPr="002278E9">
              <w:rPr>
                <w:b/>
                <w:bCs/>
                <w:sz w:val="24"/>
                <w:szCs w:val="24"/>
              </w:rPr>
              <w:t>FY</w:t>
            </w:r>
            <w:r w:rsidR="00CD6091" w:rsidRPr="002278E9">
              <w:rPr>
                <w:b/>
                <w:bCs/>
                <w:sz w:val="24"/>
                <w:szCs w:val="24"/>
              </w:rPr>
              <w:t>20</w:t>
            </w:r>
            <w:r w:rsidRPr="002278E9">
              <w:rPr>
                <w:b/>
                <w:bCs/>
                <w:sz w:val="24"/>
                <w:szCs w:val="24"/>
              </w:rPr>
              <w:t>19</w:t>
            </w:r>
          </w:p>
          <w:p w14:paraId="35D947C5" w14:textId="77777777" w:rsidR="00AB03FF" w:rsidRPr="002278E9" w:rsidRDefault="00AB03FF">
            <w:pPr>
              <w:jc w:val="center"/>
              <w:rPr>
                <w:b/>
                <w:bCs/>
                <w:sz w:val="24"/>
                <w:szCs w:val="24"/>
              </w:rPr>
            </w:pPr>
            <w:r w:rsidRPr="002278E9">
              <w:rPr>
                <w:b/>
                <w:bCs/>
                <w:sz w:val="24"/>
                <w:szCs w:val="24"/>
              </w:rPr>
              <w:t>Available Beds</w:t>
            </w:r>
            <w:r w:rsidRPr="002278E9">
              <w:rPr>
                <w:rStyle w:val="FootnoteReference"/>
                <w:b/>
                <w:bCs/>
                <w:sz w:val="24"/>
                <w:szCs w:val="24"/>
              </w:rPr>
              <w:footnoteReference w:id="8"/>
            </w:r>
          </w:p>
        </w:tc>
        <w:tc>
          <w:tcPr>
            <w:tcW w:w="1597" w:type="dxa"/>
            <w:shd w:val="clear" w:color="auto" w:fill="95B3D7" w:themeFill="accent1" w:themeFillTint="99"/>
          </w:tcPr>
          <w:p w14:paraId="6BA3277B" w14:textId="562E7D17" w:rsidR="00AB03FF" w:rsidRPr="002278E9" w:rsidRDefault="00AB03FF">
            <w:pPr>
              <w:jc w:val="center"/>
              <w:rPr>
                <w:b/>
                <w:bCs/>
                <w:sz w:val="24"/>
                <w:szCs w:val="24"/>
              </w:rPr>
            </w:pPr>
            <w:r w:rsidRPr="002278E9">
              <w:rPr>
                <w:b/>
                <w:bCs/>
                <w:sz w:val="24"/>
                <w:szCs w:val="24"/>
              </w:rPr>
              <w:t>FY</w:t>
            </w:r>
            <w:r w:rsidR="00CD6091" w:rsidRPr="002278E9">
              <w:rPr>
                <w:b/>
                <w:bCs/>
                <w:sz w:val="24"/>
                <w:szCs w:val="24"/>
              </w:rPr>
              <w:t>20</w:t>
            </w:r>
            <w:r w:rsidRPr="002278E9">
              <w:rPr>
                <w:b/>
                <w:bCs/>
                <w:sz w:val="24"/>
                <w:szCs w:val="24"/>
              </w:rPr>
              <w:t>23</w:t>
            </w:r>
          </w:p>
          <w:p w14:paraId="6D2E8E7F" w14:textId="77777777" w:rsidR="00AB03FF" w:rsidRPr="002278E9" w:rsidRDefault="00AB03FF">
            <w:pPr>
              <w:jc w:val="center"/>
              <w:rPr>
                <w:b/>
                <w:bCs/>
                <w:sz w:val="24"/>
                <w:szCs w:val="24"/>
              </w:rPr>
            </w:pPr>
            <w:r w:rsidRPr="002278E9">
              <w:rPr>
                <w:b/>
                <w:bCs/>
                <w:sz w:val="24"/>
                <w:szCs w:val="24"/>
              </w:rPr>
              <w:t>Licensed Beds</w:t>
            </w:r>
          </w:p>
        </w:tc>
        <w:tc>
          <w:tcPr>
            <w:tcW w:w="1598" w:type="dxa"/>
            <w:shd w:val="clear" w:color="auto" w:fill="95B3D7" w:themeFill="accent1" w:themeFillTint="99"/>
          </w:tcPr>
          <w:p w14:paraId="2E1D7EDF" w14:textId="1E610AB0" w:rsidR="00AB03FF" w:rsidRPr="002278E9" w:rsidRDefault="00AB03FF">
            <w:pPr>
              <w:jc w:val="center"/>
              <w:rPr>
                <w:b/>
                <w:bCs/>
                <w:sz w:val="24"/>
                <w:szCs w:val="24"/>
              </w:rPr>
            </w:pPr>
            <w:r w:rsidRPr="002278E9">
              <w:rPr>
                <w:b/>
                <w:bCs/>
                <w:sz w:val="24"/>
                <w:szCs w:val="24"/>
              </w:rPr>
              <w:t>FY</w:t>
            </w:r>
            <w:r w:rsidR="00CD6091" w:rsidRPr="002278E9">
              <w:rPr>
                <w:b/>
                <w:bCs/>
                <w:sz w:val="24"/>
                <w:szCs w:val="24"/>
              </w:rPr>
              <w:t>20</w:t>
            </w:r>
            <w:r w:rsidRPr="002278E9">
              <w:rPr>
                <w:b/>
                <w:bCs/>
                <w:sz w:val="24"/>
                <w:szCs w:val="24"/>
              </w:rPr>
              <w:t xml:space="preserve">23 </w:t>
            </w:r>
          </w:p>
          <w:p w14:paraId="3C98F7AB" w14:textId="77777777" w:rsidR="00AB03FF" w:rsidRPr="002278E9" w:rsidRDefault="00AB03FF">
            <w:pPr>
              <w:jc w:val="center"/>
              <w:rPr>
                <w:b/>
                <w:bCs/>
                <w:sz w:val="24"/>
                <w:szCs w:val="24"/>
              </w:rPr>
            </w:pPr>
            <w:r w:rsidRPr="002278E9">
              <w:rPr>
                <w:b/>
                <w:bCs/>
                <w:sz w:val="24"/>
                <w:szCs w:val="24"/>
              </w:rPr>
              <w:t xml:space="preserve">Available Beds </w:t>
            </w:r>
          </w:p>
        </w:tc>
      </w:tr>
      <w:tr w:rsidR="00AB03FF" w:rsidRPr="006A662B" w14:paraId="4270D4DD" w14:textId="77777777" w:rsidTr="0084594D">
        <w:trPr>
          <w:cantSplit/>
        </w:trPr>
        <w:tc>
          <w:tcPr>
            <w:tcW w:w="2965" w:type="dxa"/>
            <w:shd w:val="clear" w:color="auto" w:fill="B8CCE4" w:themeFill="accent1" w:themeFillTint="66"/>
          </w:tcPr>
          <w:p w14:paraId="7B3D2006" w14:textId="77777777" w:rsidR="00AB03FF" w:rsidRPr="002278E9" w:rsidRDefault="00AB03FF">
            <w:pPr>
              <w:rPr>
                <w:sz w:val="24"/>
                <w:szCs w:val="24"/>
              </w:rPr>
            </w:pPr>
            <w:r w:rsidRPr="002278E9">
              <w:rPr>
                <w:sz w:val="24"/>
                <w:szCs w:val="24"/>
              </w:rPr>
              <w:t>Beds</w:t>
            </w:r>
          </w:p>
        </w:tc>
        <w:tc>
          <w:tcPr>
            <w:tcW w:w="1597" w:type="dxa"/>
            <w:shd w:val="clear" w:color="auto" w:fill="B8CCE4" w:themeFill="accent1" w:themeFillTint="66"/>
          </w:tcPr>
          <w:p w14:paraId="73028DF2" w14:textId="77777777" w:rsidR="00AB03FF" w:rsidRPr="002278E9" w:rsidRDefault="00AB03FF">
            <w:pPr>
              <w:jc w:val="center"/>
              <w:rPr>
                <w:sz w:val="24"/>
                <w:szCs w:val="24"/>
              </w:rPr>
            </w:pPr>
            <w:r w:rsidRPr="002278E9">
              <w:rPr>
                <w:color w:val="000000" w:themeColor="text1"/>
                <w:sz w:val="24"/>
                <w:szCs w:val="24"/>
              </w:rPr>
              <w:t>900</w:t>
            </w:r>
          </w:p>
        </w:tc>
        <w:tc>
          <w:tcPr>
            <w:tcW w:w="1598" w:type="dxa"/>
            <w:shd w:val="clear" w:color="auto" w:fill="B8CCE4" w:themeFill="accent1" w:themeFillTint="66"/>
          </w:tcPr>
          <w:p w14:paraId="440C8236" w14:textId="77777777" w:rsidR="00AB03FF" w:rsidRPr="002278E9" w:rsidRDefault="00AB03FF">
            <w:pPr>
              <w:jc w:val="center"/>
              <w:rPr>
                <w:sz w:val="24"/>
                <w:szCs w:val="24"/>
              </w:rPr>
            </w:pPr>
            <w:r w:rsidRPr="002278E9">
              <w:rPr>
                <w:sz w:val="24"/>
                <w:szCs w:val="24"/>
              </w:rPr>
              <w:t>836</w:t>
            </w:r>
          </w:p>
        </w:tc>
        <w:tc>
          <w:tcPr>
            <w:tcW w:w="1597" w:type="dxa"/>
            <w:shd w:val="clear" w:color="auto" w:fill="B8CCE4" w:themeFill="accent1" w:themeFillTint="66"/>
          </w:tcPr>
          <w:p w14:paraId="2EEC30DA" w14:textId="77777777" w:rsidR="00AB03FF" w:rsidRPr="002278E9" w:rsidRDefault="00AB03FF">
            <w:pPr>
              <w:jc w:val="center"/>
              <w:rPr>
                <w:sz w:val="24"/>
                <w:szCs w:val="24"/>
              </w:rPr>
            </w:pPr>
            <w:r w:rsidRPr="002278E9">
              <w:rPr>
                <w:sz w:val="24"/>
                <w:szCs w:val="24"/>
              </w:rPr>
              <w:t>900</w:t>
            </w:r>
          </w:p>
        </w:tc>
        <w:tc>
          <w:tcPr>
            <w:tcW w:w="1598" w:type="dxa"/>
            <w:shd w:val="clear" w:color="auto" w:fill="B8CCE4" w:themeFill="accent1" w:themeFillTint="66"/>
          </w:tcPr>
          <w:p w14:paraId="361AEFDD" w14:textId="77777777" w:rsidR="00AB03FF" w:rsidRPr="002278E9" w:rsidRDefault="00AB03FF">
            <w:pPr>
              <w:jc w:val="center"/>
              <w:rPr>
                <w:sz w:val="24"/>
                <w:szCs w:val="24"/>
              </w:rPr>
            </w:pPr>
            <w:r w:rsidRPr="002278E9">
              <w:rPr>
                <w:sz w:val="24"/>
                <w:szCs w:val="24"/>
              </w:rPr>
              <w:t>836</w:t>
            </w:r>
          </w:p>
        </w:tc>
      </w:tr>
      <w:tr w:rsidR="00AB03FF" w:rsidRPr="006A662B" w14:paraId="479D2C8B" w14:textId="77777777" w:rsidTr="0084594D">
        <w:trPr>
          <w:cantSplit/>
        </w:trPr>
        <w:tc>
          <w:tcPr>
            <w:tcW w:w="2965" w:type="dxa"/>
            <w:shd w:val="clear" w:color="auto" w:fill="DBE5F1" w:themeFill="accent1" w:themeFillTint="33"/>
          </w:tcPr>
          <w:p w14:paraId="7DA30B7B" w14:textId="77777777" w:rsidR="00AB03FF" w:rsidRPr="002278E9" w:rsidRDefault="00AB03FF">
            <w:pPr>
              <w:rPr>
                <w:sz w:val="24"/>
                <w:szCs w:val="24"/>
              </w:rPr>
            </w:pPr>
            <w:r w:rsidRPr="002278E9">
              <w:rPr>
                <w:sz w:val="24"/>
                <w:szCs w:val="24"/>
              </w:rPr>
              <w:t>Inpatient Days</w:t>
            </w:r>
          </w:p>
        </w:tc>
        <w:tc>
          <w:tcPr>
            <w:tcW w:w="1597" w:type="dxa"/>
          </w:tcPr>
          <w:p w14:paraId="72FC6EC8" w14:textId="77777777" w:rsidR="00AB03FF" w:rsidRPr="002278E9" w:rsidRDefault="00AB03FF">
            <w:pPr>
              <w:jc w:val="center"/>
              <w:rPr>
                <w:sz w:val="24"/>
                <w:szCs w:val="24"/>
              </w:rPr>
            </w:pPr>
            <w:r w:rsidRPr="002278E9">
              <w:rPr>
                <w:sz w:val="24"/>
                <w:szCs w:val="24"/>
              </w:rPr>
              <w:t>280,843</w:t>
            </w:r>
          </w:p>
        </w:tc>
        <w:tc>
          <w:tcPr>
            <w:tcW w:w="1598" w:type="dxa"/>
          </w:tcPr>
          <w:p w14:paraId="5932EDA9" w14:textId="77777777" w:rsidR="00AB03FF" w:rsidRPr="002278E9" w:rsidRDefault="00AB03FF">
            <w:pPr>
              <w:jc w:val="center"/>
              <w:rPr>
                <w:sz w:val="24"/>
                <w:szCs w:val="24"/>
              </w:rPr>
            </w:pPr>
            <w:r w:rsidRPr="002278E9">
              <w:rPr>
                <w:sz w:val="24"/>
                <w:szCs w:val="24"/>
              </w:rPr>
              <w:t>280,843</w:t>
            </w:r>
          </w:p>
        </w:tc>
        <w:tc>
          <w:tcPr>
            <w:tcW w:w="1597" w:type="dxa"/>
          </w:tcPr>
          <w:p w14:paraId="11D441BE" w14:textId="77777777" w:rsidR="00AB03FF" w:rsidRPr="002278E9" w:rsidRDefault="00AB03FF">
            <w:pPr>
              <w:jc w:val="center"/>
              <w:rPr>
                <w:sz w:val="24"/>
                <w:szCs w:val="24"/>
              </w:rPr>
            </w:pPr>
            <w:r w:rsidRPr="002278E9">
              <w:rPr>
                <w:sz w:val="24"/>
                <w:szCs w:val="24"/>
              </w:rPr>
              <w:t>292,078</w:t>
            </w:r>
          </w:p>
        </w:tc>
        <w:tc>
          <w:tcPr>
            <w:tcW w:w="1598" w:type="dxa"/>
          </w:tcPr>
          <w:p w14:paraId="16EAC53B" w14:textId="77777777" w:rsidR="00AB03FF" w:rsidRPr="002278E9" w:rsidRDefault="00AB03FF">
            <w:pPr>
              <w:jc w:val="center"/>
              <w:rPr>
                <w:sz w:val="24"/>
                <w:szCs w:val="24"/>
              </w:rPr>
            </w:pPr>
            <w:r w:rsidRPr="002278E9">
              <w:rPr>
                <w:sz w:val="24"/>
                <w:szCs w:val="24"/>
              </w:rPr>
              <w:t>292,078</w:t>
            </w:r>
          </w:p>
        </w:tc>
      </w:tr>
      <w:tr w:rsidR="00AB03FF" w:rsidRPr="006A662B" w14:paraId="3C30047E" w14:textId="77777777" w:rsidTr="0084594D">
        <w:trPr>
          <w:cantSplit/>
        </w:trPr>
        <w:tc>
          <w:tcPr>
            <w:tcW w:w="2965" w:type="dxa"/>
            <w:shd w:val="clear" w:color="auto" w:fill="DBE5F1" w:themeFill="accent1" w:themeFillTint="33"/>
          </w:tcPr>
          <w:p w14:paraId="73C2AE9A" w14:textId="77777777" w:rsidR="00AB03FF" w:rsidRPr="002278E9" w:rsidRDefault="00AB03FF">
            <w:pPr>
              <w:rPr>
                <w:sz w:val="24"/>
                <w:szCs w:val="24"/>
              </w:rPr>
            </w:pPr>
            <w:r w:rsidRPr="002278E9">
              <w:rPr>
                <w:sz w:val="24"/>
                <w:szCs w:val="24"/>
              </w:rPr>
              <w:t>Bedded Outpatient Days</w:t>
            </w:r>
            <w:r w:rsidRPr="002278E9">
              <w:rPr>
                <w:rStyle w:val="FootnoteReference"/>
                <w:sz w:val="24"/>
                <w:szCs w:val="24"/>
              </w:rPr>
              <w:footnoteReference w:id="9"/>
            </w:r>
          </w:p>
        </w:tc>
        <w:tc>
          <w:tcPr>
            <w:tcW w:w="1597" w:type="dxa"/>
          </w:tcPr>
          <w:p w14:paraId="0EB14F8C" w14:textId="77777777" w:rsidR="00AB03FF" w:rsidRPr="002278E9" w:rsidRDefault="00AB03FF">
            <w:pPr>
              <w:jc w:val="center"/>
              <w:rPr>
                <w:sz w:val="24"/>
                <w:szCs w:val="24"/>
              </w:rPr>
            </w:pPr>
            <w:r w:rsidRPr="002278E9">
              <w:rPr>
                <w:sz w:val="24"/>
                <w:szCs w:val="24"/>
              </w:rPr>
              <w:t>12,120</w:t>
            </w:r>
          </w:p>
        </w:tc>
        <w:tc>
          <w:tcPr>
            <w:tcW w:w="1598" w:type="dxa"/>
          </w:tcPr>
          <w:p w14:paraId="43455C3D" w14:textId="77777777" w:rsidR="00AB03FF" w:rsidRPr="002278E9" w:rsidRDefault="00AB03FF">
            <w:pPr>
              <w:jc w:val="center"/>
              <w:rPr>
                <w:sz w:val="24"/>
                <w:szCs w:val="24"/>
              </w:rPr>
            </w:pPr>
            <w:r w:rsidRPr="002278E9">
              <w:rPr>
                <w:sz w:val="24"/>
                <w:szCs w:val="24"/>
              </w:rPr>
              <w:t>12,120</w:t>
            </w:r>
          </w:p>
        </w:tc>
        <w:tc>
          <w:tcPr>
            <w:tcW w:w="1597" w:type="dxa"/>
          </w:tcPr>
          <w:p w14:paraId="56F07AB5" w14:textId="77777777" w:rsidR="00AB03FF" w:rsidRPr="002278E9" w:rsidRDefault="00AB03FF">
            <w:pPr>
              <w:jc w:val="center"/>
              <w:rPr>
                <w:sz w:val="24"/>
                <w:szCs w:val="24"/>
              </w:rPr>
            </w:pPr>
            <w:r w:rsidRPr="002278E9">
              <w:rPr>
                <w:sz w:val="24"/>
                <w:szCs w:val="24"/>
              </w:rPr>
              <w:t>12,013</w:t>
            </w:r>
          </w:p>
        </w:tc>
        <w:tc>
          <w:tcPr>
            <w:tcW w:w="1598" w:type="dxa"/>
          </w:tcPr>
          <w:p w14:paraId="62A056D5" w14:textId="77777777" w:rsidR="00AB03FF" w:rsidRPr="002278E9" w:rsidRDefault="00AB03FF">
            <w:pPr>
              <w:jc w:val="center"/>
              <w:rPr>
                <w:sz w:val="24"/>
                <w:szCs w:val="24"/>
              </w:rPr>
            </w:pPr>
            <w:r w:rsidRPr="002278E9">
              <w:rPr>
                <w:sz w:val="24"/>
                <w:szCs w:val="24"/>
              </w:rPr>
              <w:t>12,013</w:t>
            </w:r>
          </w:p>
        </w:tc>
      </w:tr>
      <w:tr w:rsidR="00AB03FF" w:rsidRPr="006A662B" w14:paraId="07999B58" w14:textId="77777777" w:rsidTr="0084594D">
        <w:trPr>
          <w:cantSplit/>
        </w:trPr>
        <w:tc>
          <w:tcPr>
            <w:tcW w:w="2965" w:type="dxa"/>
            <w:shd w:val="clear" w:color="auto" w:fill="DBE5F1" w:themeFill="accent1" w:themeFillTint="33"/>
          </w:tcPr>
          <w:p w14:paraId="19292AD2" w14:textId="77777777" w:rsidR="00AB03FF" w:rsidRPr="002278E9" w:rsidRDefault="00AB03FF">
            <w:pPr>
              <w:rPr>
                <w:sz w:val="24"/>
                <w:szCs w:val="24"/>
              </w:rPr>
            </w:pPr>
            <w:r w:rsidRPr="002278E9">
              <w:rPr>
                <w:sz w:val="24"/>
                <w:szCs w:val="24"/>
              </w:rPr>
              <w:t>Total Days</w:t>
            </w:r>
          </w:p>
        </w:tc>
        <w:tc>
          <w:tcPr>
            <w:tcW w:w="1597" w:type="dxa"/>
          </w:tcPr>
          <w:p w14:paraId="5B5C73FC" w14:textId="77777777" w:rsidR="00AB03FF" w:rsidRPr="002278E9" w:rsidRDefault="00AB03FF">
            <w:pPr>
              <w:jc w:val="center"/>
              <w:rPr>
                <w:sz w:val="24"/>
                <w:szCs w:val="24"/>
              </w:rPr>
            </w:pPr>
            <w:r w:rsidRPr="002278E9">
              <w:rPr>
                <w:sz w:val="24"/>
                <w:szCs w:val="24"/>
              </w:rPr>
              <w:t>292,963</w:t>
            </w:r>
          </w:p>
        </w:tc>
        <w:tc>
          <w:tcPr>
            <w:tcW w:w="1598" w:type="dxa"/>
          </w:tcPr>
          <w:p w14:paraId="04DA5F25" w14:textId="77777777" w:rsidR="00AB03FF" w:rsidRPr="002278E9" w:rsidRDefault="00AB03FF">
            <w:pPr>
              <w:jc w:val="center"/>
              <w:rPr>
                <w:sz w:val="24"/>
                <w:szCs w:val="24"/>
              </w:rPr>
            </w:pPr>
            <w:r w:rsidRPr="002278E9">
              <w:rPr>
                <w:sz w:val="24"/>
                <w:szCs w:val="24"/>
              </w:rPr>
              <w:t>292,963</w:t>
            </w:r>
          </w:p>
        </w:tc>
        <w:tc>
          <w:tcPr>
            <w:tcW w:w="1597" w:type="dxa"/>
          </w:tcPr>
          <w:p w14:paraId="4880C4B0" w14:textId="77777777" w:rsidR="00AB03FF" w:rsidRPr="002278E9" w:rsidRDefault="00AB03FF">
            <w:pPr>
              <w:jc w:val="center"/>
              <w:rPr>
                <w:sz w:val="24"/>
                <w:szCs w:val="24"/>
              </w:rPr>
            </w:pPr>
            <w:r w:rsidRPr="002278E9">
              <w:rPr>
                <w:sz w:val="24"/>
                <w:szCs w:val="24"/>
              </w:rPr>
              <w:t>304,091</w:t>
            </w:r>
          </w:p>
        </w:tc>
        <w:tc>
          <w:tcPr>
            <w:tcW w:w="1598" w:type="dxa"/>
          </w:tcPr>
          <w:p w14:paraId="0F068143" w14:textId="77777777" w:rsidR="00AB03FF" w:rsidRPr="002278E9" w:rsidRDefault="00AB03FF">
            <w:pPr>
              <w:jc w:val="center"/>
              <w:rPr>
                <w:sz w:val="24"/>
                <w:szCs w:val="24"/>
              </w:rPr>
            </w:pPr>
            <w:r w:rsidRPr="002278E9">
              <w:rPr>
                <w:sz w:val="24"/>
                <w:szCs w:val="24"/>
              </w:rPr>
              <w:t>304,091</w:t>
            </w:r>
          </w:p>
        </w:tc>
      </w:tr>
      <w:tr w:rsidR="00AB03FF" w:rsidRPr="006A662B" w14:paraId="0FC8F77B" w14:textId="77777777" w:rsidTr="0084594D">
        <w:trPr>
          <w:cantSplit/>
        </w:trPr>
        <w:tc>
          <w:tcPr>
            <w:tcW w:w="2965" w:type="dxa"/>
            <w:shd w:val="clear" w:color="auto" w:fill="DBE5F1" w:themeFill="accent1" w:themeFillTint="33"/>
          </w:tcPr>
          <w:p w14:paraId="2AE934B2" w14:textId="77777777" w:rsidR="00AB03FF" w:rsidRPr="002278E9" w:rsidRDefault="00AB03FF">
            <w:pPr>
              <w:rPr>
                <w:sz w:val="24"/>
                <w:szCs w:val="24"/>
              </w:rPr>
            </w:pPr>
            <w:r w:rsidRPr="002278E9">
              <w:rPr>
                <w:sz w:val="24"/>
                <w:szCs w:val="24"/>
              </w:rPr>
              <w:t xml:space="preserve">Inpatient Occupancy </w:t>
            </w:r>
          </w:p>
        </w:tc>
        <w:tc>
          <w:tcPr>
            <w:tcW w:w="1597" w:type="dxa"/>
          </w:tcPr>
          <w:p w14:paraId="4F974D35" w14:textId="77777777" w:rsidR="00AB03FF" w:rsidRPr="002278E9" w:rsidRDefault="00AB03FF">
            <w:pPr>
              <w:jc w:val="center"/>
              <w:rPr>
                <w:sz w:val="24"/>
                <w:szCs w:val="24"/>
              </w:rPr>
            </w:pPr>
            <w:r w:rsidRPr="002278E9">
              <w:rPr>
                <w:sz w:val="24"/>
                <w:szCs w:val="24"/>
              </w:rPr>
              <w:t>85.5%</w:t>
            </w:r>
          </w:p>
        </w:tc>
        <w:tc>
          <w:tcPr>
            <w:tcW w:w="1598" w:type="dxa"/>
          </w:tcPr>
          <w:p w14:paraId="7A79BB19" w14:textId="77777777" w:rsidR="00AB03FF" w:rsidRPr="002278E9" w:rsidRDefault="00AB03FF">
            <w:pPr>
              <w:jc w:val="center"/>
              <w:rPr>
                <w:sz w:val="24"/>
                <w:szCs w:val="24"/>
              </w:rPr>
            </w:pPr>
            <w:r w:rsidRPr="002278E9">
              <w:rPr>
                <w:sz w:val="24"/>
                <w:szCs w:val="24"/>
              </w:rPr>
              <w:t>92.0%</w:t>
            </w:r>
          </w:p>
        </w:tc>
        <w:tc>
          <w:tcPr>
            <w:tcW w:w="1597" w:type="dxa"/>
          </w:tcPr>
          <w:p w14:paraId="2B0BADE9" w14:textId="77777777" w:rsidR="00AB03FF" w:rsidRPr="002278E9" w:rsidRDefault="00AB03FF">
            <w:pPr>
              <w:jc w:val="center"/>
              <w:rPr>
                <w:sz w:val="24"/>
                <w:szCs w:val="24"/>
              </w:rPr>
            </w:pPr>
            <w:r w:rsidRPr="002278E9">
              <w:rPr>
                <w:sz w:val="24"/>
                <w:szCs w:val="24"/>
              </w:rPr>
              <w:t>88.9%</w:t>
            </w:r>
          </w:p>
        </w:tc>
        <w:tc>
          <w:tcPr>
            <w:tcW w:w="1598" w:type="dxa"/>
          </w:tcPr>
          <w:p w14:paraId="7A1B98FC" w14:textId="77777777" w:rsidR="00AB03FF" w:rsidRPr="002278E9" w:rsidRDefault="00AB03FF">
            <w:pPr>
              <w:jc w:val="center"/>
              <w:rPr>
                <w:sz w:val="24"/>
                <w:szCs w:val="24"/>
              </w:rPr>
            </w:pPr>
            <w:r w:rsidRPr="002278E9">
              <w:rPr>
                <w:sz w:val="24"/>
                <w:szCs w:val="24"/>
              </w:rPr>
              <w:t>95.7%</w:t>
            </w:r>
          </w:p>
        </w:tc>
      </w:tr>
      <w:tr w:rsidR="00AB03FF" w:rsidRPr="006A662B" w14:paraId="76ED5B00" w14:textId="77777777" w:rsidTr="0084594D">
        <w:trPr>
          <w:cantSplit/>
        </w:trPr>
        <w:tc>
          <w:tcPr>
            <w:tcW w:w="2965" w:type="dxa"/>
            <w:shd w:val="clear" w:color="auto" w:fill="DBE5F1" w:themeFill="accent1" w:themeFillTint="33"/>
          </w:tcPr>
          <w:p w14:paraId="2BCAEDF2" w14:textId="77777777" w:rsidR="00AB03FF" w:rsidRPr="002278E9" w:rsidRDefault="00AB03FF">
            <w:pPr>
              <w:rPr>
                <w:sz w:val="24"/>
                <w:szCs w:val="24"/>
              </w:rPr>
            </w:pPr>
            <w:r w:rsidRPr="002278E9">
              <w:rPr>
                <w:sz w:val="24"/>
                <w:szCs w:val="24"/>
              </w:rPr>
              <w:t>Bedded Outpatient Occupancy</w:t>
            </w:r>
          </w:p>
        </w:tc>
        <w:tc>
          <w:tcPr>
            <w:tcW w:w="1597" w:type="dxa"/>
          </w:tcPr>
          <w:p w14:paraId="23172299" w14:textId="77777777" w:rsidR="00AB03FF" w:rsidRPr="002278E9" w:rsidRDefault="00AB03FF">
            <w:pPr>
              <w:jc w:val="center"/>
              <w:rPr>
                <w:sz w:val="24"/>
                <w:szCs w:val="24"/>
              </w:rPr>
            </w:pPr>
            <w:r w:rsidRPr="002278E9">
              <w:rPr>
                <w:sz w:val="24"/>
                <w:szCs w:val="24"/>
              </w:rPr>
              <w:t>3.7%</w:t>
            </w:r>
          </w:p>
        </w:tc>
        <w:tc>
          <w:tcPr>
            <w:tcW w:w="1598" w:type="dxa"/>
          </w:tcPr>
          <w:p w14:paraId="49971E93" w14:textId="77777777" w:rsidR="00AB03FF" w:rsidRPr="002278E9" w:rsidRDefault="00AB03FF">
            <w:pPr>
              <w:jc w:val="center"/>
              <w:rPr>
                <w:sz w:val="24"/>
                <w:szCs w:val="24"/>
              </w:rPr>
            </w:pPr>
            <w:r w:rsidRPr="002278E9">
              <w:rPr>
                <w:sz w:val="24"/>
                <w:szCs w:val="24"/>
              </w:rPr>
              <w:t>4.0%</w:t>
            </w:r>
          </w:p>
        </w:tc>
        <w:tc>
          <w:tcPr>
            <w:tcW w:w="1597" w:type="dxa"/>
          </w:tcPr>
          <w:p w14:paraId="457CC2D2" w14:textId="77777777" w:rsidR="00AB03FF" w:rsidRPr="002278E9" w:rsidRDefault="00AB03FF">
            <w:pPr>
              <w:jc w:val="center"/>
              <w:rPr>
                <w:sz w:val="24"/>
                <w:szCs w:val="24"/>
              </w:rPr>
            </w:pPr>
            <w:r w:rsidRPr="002278E9">
              <w:rPr>
                <w:sz w:val="24"/>
                <w:szCs w:val="24"/>
              </w:rPr>
              <w:t>3.7%</w:t>
            </w:r>
          </w:p>
        </w:tc>
        <w:tc>
          <w:tcPr>
            <w:tcW w:w="1598" w:type="dxa"/>
          </w:tcPr>
          <w:p w14:paraId="5E4ACED3" w14:textId="77777777" w:rsidR="00AB03FF" w:rsidRPr="002278E9" w:rsidRDefault="00AB03FF">
            <w:pPr>
              <w:jc w:val="center"/>
              <w:rPr>
                <w:sz w:val="24"/>
                <w:szCs w:val="24"/>
              </w:rPr>
            </w:pPr>
            <w:r w:rsidRPr="002278E9">
              <w:rPr>
                <w:sz w:val="24"/>
                <w:szCs w:val="24"/>
              </w:rPr>
              <w:t>3.9%</w:t>
            </w:r>
          </w:p>
        </w:tc>
      </w:tr>
      <w:tr w:rsidR="00AB03FF" w:rsidRPr="006A662B" w14:paraId="196643B7" w14:textId="77777777" w:rsidTr="0084594D">
        <w:trPr>
          <w:cantSplit/>
        </w:trPr>
        <w:tc>
          <w:tcPr>
            <w:tcW w:w="2965" w:type="dxa"/>
            <w:shd w:val="clear" w:color="auto" w:fill="DBE5F1" w:themeFill="accent1" w:themeFillTint="33"/>
          </w:tcPr>
          <w:p w14:paraId="0AC913DA" w14:textId="77777777" w:rsidR="00AB03FF" w:rsidRPr="002278E9" w:rsidRDefault="00AB03FF">
            <w:pPr>
              <w:rPr>
                <w:sz w:val="24"/>
                <w:szCs w:val="24"/>
              </w:rPr>
            </w:pPr>
            <w:r w:rsidRPr="002278E9">
              <w:rPr>
                <w:sz w:val="24"/>
                <w:szCs w:val="24"/>
              </w:rPr>
              <w:t xml:space="preserve">Total Occupancy </w:t>
            </w:r>
          </w:p>
        </w:tc>
        <w:tc>
          <w:tcPr>
            <w:tcW w:w="1597" w:type="dxa"/>
          </w:tcPr>
          <w:p w14:paraId="5F0B479E" w14:textId="77777777" w:rsidR="00AB03FF" w:rsidRPr="002278E9" w:rsidRDefault="00AB03FF">
            <w:pPr>
              <w:jc w:val="center"/>
              <w:rPr>
                <w:sz w:val="24"/>
                <w:szCs w:val="24"/>
              </w:rPr>
            </w:pPr>
            <w:r w:rsidRPr="002278E9">
              <w:rPr>
                <w:sz w:val="24"/>
                <w:szCs w:val="24"/>
              </w:rPr>
              <w:t>89.2%</w:t>
            </w:r>
          </w:p>
        </w:tc>
        <w:tc>
          <w:tcPr>
            <w:tcW w:w="1598" w:type="dxa"/>
          </w:tcPr>
          <w:p w14:paraId="4EC765CB" w14:textId="77777777" w:rsidR="00AB03FF" w:rsidRPr="002278E9" w:rsidRDefault="00AB03FF">
            <w:pPr>
              <w:jc w:val="center"/>
              <w:rPr>
                <w:sz w:val="24"/>
                <w:szCs w:val="24"/>
              </w:rPr>
            </w:pPr>
            <w:r w:rsidRPr="002278E9">
              <w:rPr>
                <w:sz w:val="24"/>
                <w:szCs w:val="24"/>
              </w:rPr>
              <w:t>96.0%</w:t>
            </w:r>
          </w:p>
        </w:tc>
        <w:tc>
          <w:tcPr>
            <w:tcW w:w="1597" w:type="dxa"/>
          </w:tcPr>
          <w:p w14:paraId="5298FE14" w14:textId="77777777" w:rsidR="00AB03FF" w:rsidRPr="002278E9" w:rsidRDefault="00AB03FF">
            <w:pPr>
              <w:jc w:val="center"/>
              <w:rPr>
                <w:sz w:val="24"/>
                <w:szCs w:val="24"/>
              </w:rPr>
            </w:pPr>
            <w:r w:rsidRPr="002278E9">
              <w:rPr>
                <w:sz w:val="24"/>
                <w:szCs w:val="24"/>
              </w:rPr>
              <w:t>92.6%</w:t>
            </w:r>
          </w:p>
        </w:tc>
        <w:tc>
          <w:tcPr>
            <w:tcW w:w="1598" w:type="dxa"/>
          </w:tcPr>
          <w:p w14:paraId="52581D3B" w14:textId="77777777" w:rsidR="00AB03FF" w:rsidRPr="002278E9" w:rsidRDefault="00AB03FF">
            <w:pPr>
              <w:jc w:val="center"/>
              <w:rPr>
                <w:sz w:val="24"/>
                <w:szCs w:val="24"/>
              </w:rPr>
            </w:pPr>
            <w:r w:rsidRPr="002278E9">
              <w:rPr>
                <w:sz w:val="24"/>
                <w:szCs w:val="24"/>
              </w:rPr>
              <w:t>99.7%</w:t>
            </w:r>
          </w:p>
        </w:tc>
      </w:tr>
    </w:tbl>
    <w:p w14:paraId="7EC75B79" w14:textId="77777777" w:rsidR="00F46725" w:rsidRDefault="00F46725" w:rsidP="00882AEE">
      <w:pPr>
        <w:ind w:right="-10"/>
        <w:rPr>
          <w:sz w:val="24"/>
        </w:rPr>
      </w:pPr>
    </w:p>
    <w:p w14:paraId="749F652A" w14:textId="77777777" w:rsidR="002F7663" w:rsidRDefault="001E79E4" w:rsidP="004F039A">
      <w:pPr>
        <w:adjustRightInd w:val="0"/>
        <w:rPr>
          <w:sz w:val="24"/>
          <w:szCs w:val="24"/>
        </w:rPr>
      </w:pPr>
      <w:r>
        <w:rPr>
          <w:sz w:val="24"/>
          <w:szCs w:val="24"/>
        </w:rPr>
        <w:t>Th</w:t>
      </w:r>
      <w:r w:rsidRPr="6F0FA7D6">
        <w:rPr>
          <w:sz w:val="24"/>
          <w:szCs w:val="24"/>
        </w:rPr>
        <w:t>e</w:t>
      </w:r>
      <w:r>
        <w:rPr>
          <w:sz w:val="24"/>
          <w:szCs w:val="24"/>
        </w:rPr>
        <w:t xml:space="preserve"> above table shows that the</w:t>
      </w:r>
      <w:r w:rsidRPr="6F0FA7D6">
        <w:rPr>
          <w:sz w:val="24"/>
          <w:szCs w:val="24"/>
        </w:rPr>
        <w:t xml:space="preserve"> total number of inpatient days increased by 4% from</w:t>
      </w:r>
      <w:r>
        <w:rPr>
          <w:sz w:val="24"/>
          <w:szCs w:val="24"/>
        </w:rPr>
        <w:t xml:space="preserve"> </w:t>
      </w:r>
      <w:r w:rsidR="00EC7BBA" w:rsidRPr="6F0FA7D6">
        <w:rPr>
          <w:sz w:val="24"/>
          <w:szCs w:val="24"/>
        </w:rPr>
        <w:t>FY2019</w:t>
      </w:r>
      <w:r w:rsidR="00733100">
        <w:rPr>
          <w:sz w:val="24"/>
          <w:szCs w:val="24"/>
        </w:rPr>
        <w:t xml:space="preserve"> to FY2023</w:t>
      </w:r>
      <w:r w:rsidR="007536B6">
        <w:rPr>
          <w:sz w:val="24"/>
          <w:szCs w:val="24"/>
        </w:rPr>
        <w:t>.</w:t>
      </w:r>
      <w:r w:rsidR="00EC7BBA" w:rsidRPr="6F0FA7D6">
        <w:rPr>
          <w:sz w:val="24"/>
          <w:szCs w:val="24"/>
        </w:rPr>
        <w:t xml:space="preserve"> O</w:t>
      </w:r>
      <w:r w:rsidR="008C5DD4" w:rsidRPr="6F0FA7D6">
        <w:rPr>
          <w:sz w:val="24"/>
          <w:szCs w:val="24"/>
        </w:rPr>
        <w:t>ccupancy rate</w:t>
      </w:r>
      <w:r w:rsidR="001761BE" w:rsidRPr="6F0FA7D6">
        <w:rPr>
          <w:sz w:val="24"/>
          <w:szCs w:val="24"/>
        </w:rPr>
        <w:t>s</w:t>
      </w:r>
      <w:r w:rsidR="00EC7BBA" w:rsidRPr="6F0FA7D6">
        <w:rPr>
          <w:sz w:val="24"/>
          <w:szCs w:val="24"/>
        </w:rPr>
        <w:t xml:space="preserve"> </w:t>
      </w:r>
      <w:r w:rsidR="00D95FF8" w:rsidRPr="6F0FA7D6">
        <w:rPr>
          <w:sz w:val="24"/>
          <w:szCs w:val="24"/>
        </w:rPr>
        <w:t xml:space="preserve">for available beds </w:t>
      </w:r>
      <w:r w:rsidR="00EC7BBA" w:rsidRPr="6F0FA7D6">
        <w:rPr>
          <w:sz w:val="24"/>
          <w:szCs w:val="24"/>
        </w:rPr>
        <w:t xml:space="preserve">have also increased </w:t>
      </w:r>
      <w:r w:rsidR="008C5DD4" w:rsidRPr="6F0FA7D6">
        <w:rPr>
          <w:sz w:val="24"/>
          <w:szCs w:val="24"/>
        </w:rPr>
        <w:t xml:space="preserve">from </w:t>
      </w:r>
      <w:r w:rsidR="0008486B" w:rsidRPr="6F0FA7D6">
        <w:rPr>
          <w:sz w:val="24"/>
          <w:szCs w:val="24"/>
        </w:rPr>
        <w:t>96</w:t>
      </w:r>
      <w:r w:rsidR="008C5DD4" w:rsidRPr="6F0FA7D6">
        <w:rPr>
          <w:sz w:val="24"/>
          <w:szCs w:val="24"/>
        </w:rPr>
        <w:t xml:space="preserve">% in 2019 to </w:t>
      </w:r>
      <w:r w:rsidR="0008486B" w:rsidRPr="6F0FA7D6">
        <w:rPr>
          <w:sz w:val="24"/>
          <w:szCs w:val="24"/>
        </w:rPr>
        <w:t>99.7</w:t>
      </w:r>
      <w:r w:rsidR="008C5DD4" w:rsidRPr="6F0FA7D6">
        <w:rPr>
          <w:sz w:val="24"/>
          <w:szCs w:val="24"/>
        </w:rPr>
        <w:t>% in 202</w:t>
      </w:r>
      <w:r w:rsidR="0008486B" w:rsidRPr="6F0FA7D6">
        <w:rPr>
          <w:sz w:val="24"/>
          <w:szCs w:val="24"/>
        </w:rPr>
        <w:t>3</w:t>
      </w:r>
      <w:r w:rsidR="008C5DD4" w:rsidRPr="6F0FA7D6">
        <w:rPr>
          <w:sz w:val="24"/>
          <w:szCs w:val="24"/>
        </w:rPr>
        <w:t xml:space="preserve">. </w:t>
      </w:r>
      <w:r w:rsidR="006556FD" w:rsidRPr="6F0FA7D6">
        <w:rPr>
          <w:sz w:val="24"/>
          <w:szCs w:val="24"/>
        </w:rPr>
        <w:t>T</w:t>
      </w:r>
      <w:r w:rsidR="008C5DD4" w:rsidRPr="6F0FA7D6">
        <w:rPr>
          <w:sz w:val="24"/>
          <w:szCs w:val="24"/>
        </w:rPr>
        <w:t>he</w:t>
      </w:r>
      <w:r w:rsidR="00E64996" w:rsidRPr="6F0FA7D6">
        <w:rPr>
          <w:sz w:val="24"/>
          <w:szCs w:val="24"/>
        </w:rPr>
        <w:t xml:space="preserve"> </w:t>
      </w:r>
      <w:r w:rsidR="008C5DD4" w:rsidRPr="6F0FA7D6">
        <w:rPr>
          <w:sz w:val="24"/>
          <w:szCs w:val="24"/>
        </w:rPr>
        <w:t xml:space="preserve">Hospital is operating above </w:t>
      </w:r>
      <w:r w:rsidR="00E71CD1" w:rsidRPr="6F0FA7D6">
        <w:rPr>
          <w:sz w:val="24"/>
          <w:szCs w:val="24"/>
        </w:rPr>
        <w:t xml:space="preserve">the industry </w:t>
      </w:r>
      <w:r w:rsidR="008C5DD4" w:rsidRPr="6F0FA7D6">
        <w:rPr>
          <w:sz w:val="24"/>
          <w:szCs w:val="24"/>
        </w:rPr>
        <w:t>standard</w:t>
      </w:r>
      <w:r w:rsidR="00E71CD1" w:rsidRPr="6F0FA7D6">
        <w:rPr>
          <w:sz w:val="24"/>
          <w:szCs w:val="24"/>
        </w:rPr>
        <w:t xml:space="preserve"> </w:t>
      </w:r>
      <w:r w:rsidR="00A4470B" w:rsidRPr="6F0FA7D6">
        <w:rPr>
          <w:sz w:val="24"/>
          <w:szCs w:val="24"/>
        </w:rPr>
        <w:t xml:space="preserve">of </w:t>
      </w:r>
      <w:r w:rsidR="00E71CD1" w:rsidRPr="6F0FA7D6">
        <w:rPr>
          <w:sz w:val="24"/>
          <w:szCs w:val="24"/>
        </w:rPr>
        <w:t xml:space="preserve">85% for </w:t>
      </w:r>
      <w:r w:rsidR="00E71CD1" w:rsidRPr="0094621A">
        <w:rPr>
          <w:sz w:val="24"/>
          <w:szCs w:val="24"/>
        </w:rPr>
        <w:t>optimal operating efficiency</w:t>
      </w:r>
      <w:r w:rsidR="00312BB5" w:rsidRPr="0094621A">
        <w:rPr>
          <w:rStyle w:val="EndnoteReference"/>
          <w:sz w:val="24"/>
          <w:szCs w:val="24"/>
        </w:rPr>
        <w:endnoteReference w:id="2"/>
      </w:r>
      <w:r w:rsidR="00312BB5" w:rsidRPr="0094621A">
        <w:rPr>
          <w:sz w:val="24"/>
          <w:szCs w:val="24"/>
        </w:rPr>
        <w:t>,</w:t>
      </w:r>
      <w:r w:rsidR="008C5DD4" w:rsidRPr="0094621A">
        <w:rPr>
          <w:sz w:val="24"/>
          <w:szCs w:val="24"/>
        </w:rPr>
        <w:t xml:space="preserve"> </w:t>
      </w:r>
      <w:r w:rsidR="00CF2106" w:rsidRPr="0094621A">
        <w:rPr>
          <w:sz w:val="24"/>
          <w:szCs w:val="24"/>
        </w:rPr>
        <w:t xml:space="preserve">delaying </w:t>
      </w:r>
      <w:r w:rsidR="008C5DD4" w:rsidRPr="0094621A">
        <w:rPr>
          <w:sz w:val="24"/>
          <w:szCs w:val="24"/>
        </w:rPr>
        <w:t>timely access to inpatient care.</w:t>
      </w:r>
      <w:r w:rsidR="0094621A" w:rsidRPr="0094621A">
        <w:rPr>
          <w:sz w:val="24"/>
          <w:szCs w:val="24"/>
        </w:rPr>
        <w:t xml:space="preserve"> </w:t>
      </w:r>
    </w:p>
    <w:p w14:paraId="34097247" w14:textId="77777777" w:rsidR="0073384F" w:rsidRPr="007C5F16" w:rsidRDefault="0073384F" w:rsidP="00882AEE">
      <w:pPr>
        <w:ind w:right="-10"/>
        <w:rPr>
          <w:sz w:val="24"/>
          <w:highlight w:val="yellow"/>
        </w:rPr>
      </w:pPr>
    </w:p>
    <w:p w14:paraId="36547619" w14:textId="66E13F0D" w:rsidR="0061709E" w:rsidRDefault="00F821CE" w:rsidP="00882AEE">
      <w:pPr>
        <w:ind w:right="-10"/>
        <w:rPr>
          <w:sz w:val="24"/>
          <w:szCs w:val="24"/>
        </w:rPr>
      </w:pPr>
      <w:r w:rsidRPr="0010589C">
        <w:rPr>
          <w:sz w:val="24"/>
          <w:szCs w:val="24"/>
        </w:rPr>
        <w:t xml:space="preserve">Staff inquired how the Holder determined that 94 beds would be the appropriate number to address high occupancy rates. </w:t>
      </w:r>
      <w:r w:rsidR="005E4AF7" w:rsidRPr="0010589C">
        <w:rPr>
          <w:sz w:val="24"/>
          <w:szCs w:val="24"/>
        </w:rPr>
        <w:t>The</w:t>
      </w:r>
      <w:r w:rsidR="005E4AF7">
        <w:rPr>
          <w:sz w:val="24"/>
          <w:szCs w:val="24"/>
        </w:rPr>
        <w:t xml:space="preserve"> Holder referred to </w:t>
      </w:r>
      <w:r w:rsidR="00E04056" w:rsidRPr="6F0FA7D6">
        <w:rPr>
          <w:sz w:val="24"/>
          <w:szCs w:val="24"/>
        </w:rPr>
        <w:t xml:space="preserve">Table </w:t>
      </w:r>
      <w:r w:rsidR="00CC023B">
        <w:rPr>
          <w:sz w:val="24"/>
          <w:szCs w:val="24"/>
        </w:rPr>
        <w:t>3</w:t>
      </w:r>
      <w:r w:rsidR="005E4AF7" w:rsidRPr="6F0FA7D6">
        <w:rPr>
          <w:sz w:val="24"/>
          <w:szCs w:val="24"/>
        </w:rPr>
        <w:t>,</w:t>
      </w:r>
      <w:r w:rsidR="00E04056" w:rsidRPr="6F0FA7D6">
        <w:rPr>
          <w:sz w:val="24"/>
          <w:szCs w:val="24"/>
        </w:rPr>
        <w:t xml:space="preserve"> </w:t>
      </w:r>
      <w:r w:rsidR="00EF4075" w:rsidRPr="6F0FA7D6">
        <w:rPr>
          <w:sz w:val="24"/>
          <w:szCs w:val="24"/>
        </w:rPr>
        <w:t>show</w:t>
      </w:r>
      <w:r w:rsidR="005E4AF7" w:rsidRPr="6F0FA7D6">
        <w:rPr>
          <w:sz w:val="24"/>
          <w:szCs w:val="24"/>
        </w:rPr>
        <w:t>ing</w:t>
      </w:r>
      <w:r w:rsidR="00EF4075" w:rsidRPr="6F0FA7D6">
        <w:rPr>
          <w:sz w:val="24"/>
          <w:szCs w:val="24"/>
        </w:rPr>
        <w:t xml:space="preserve"> that the FY2023 Occupancy rate would have been </w:t>
      </w:r>
      <w:r w:rsidR="00E015A7">
        <w:rPr>
          <w:sz w:val="24"/>
          <w:szCs w:val="24"/>
        </w:rPr>
        <w:t>just below</w:t>
      </w:r>
      <w:r w:rsidR="00EF4075" w:rsidRPr="6F0FA7D6">
        <w:rPr>
          <w:sz w:val="24"/>
          <w:szCs w:val="24"/>
        </w:rPr>
        <w:t xml:space="preserve"> </w:t>
      </w:r>
      <w:r w:rsidR="00CB21CB" w:rsidRPr="6F0FA7D6">
        <w:rPr>
          <w:sz w:val="24"/>
          <w:szCs w:val="24"/>
        </w:rPr>
        <w:t xml:space="preserve">the 85% industry standard with </w:t>
      </w:r>
      <w:r w:rsidR="000426D5" w:rsidRPr="6F0FA7D6">
        <w:rPr>
          <w:sz w:val="24"/>
          <w:szCs w:val="24"/>
        </w:rPr>
        <w:t xml:space="preserve">the </w:t>
      </w:r>
      <w:r w:rsidR="0061709E" w:rsidRPr="6F0FA7D6">
        <w:rPr>
          <w:sz w:val="24"/>
          <w:szCs w:val="24"/>
        </w:rPr>
        <w:t xml:space="preserve">Proposed Change of </w:t>
      </w:r>
      <w:r w:rsidR="000426D5" w:rsidRPr="6F0FA7D6">
        <w:rPr>
          <w:sz w:val="24"/>
          <w:szCs w:val="24"/>
        </w:rPr>
        <w:t>94 beds added to the license</w:t>
      </w:r>
      <w:r w:rsidR="0061709E" w:rsidRPr="6F0FA7D6">
        <w:rPr>
          <w:sz w:val="24"/>
          <w:szCs w:val="24"/>
        </w:rPr>
        <w:t>.</w:t>
      </w:r>
      <w:r w:rsidR="008A10EA" w:rsidRPr="6F0FA7D6">
        <w:rPr>
          <w:sz w:val="24"/>
          <w:szCs w:val="24"/>
        </w:rPr>
        <w:t xml:space="preserve"> </w:t>
      </w:r>
    </w:p>
    <w:p w14:paraId="3E0F6149" w14:textId="77777777" w:rsidR="004F7BAE" w:rsidRDefault="004F7BAE" w:rsidP="00882AEE">
      <w:pPr>
        <w:ind w:right="-10"/>
        <w:rPr>
          <w:sz w:val="24"/>
          <w:szCs w:val="24"/>
        </w:rPr>
      </w:pPr>
    </w:p>
    <w:p w14:paraId="5C9A95CB" w14:textId="35DD10D6" w:rsidR="00EF1870" w:rsidRPr="002278E9" w:rsidRDefault="00EF1870" w:rsidP="00EF1870">
      <w:pPr>
        <w:jc w:val="both"/>
        <w:rPr>
          <w:b/>
          <w:bCs/>
          <w:sz w:val="24"/>
          <w:szCs w:val="24"/>
        </w:rPr>
      </w:pPr>
      <w:r w:rsidRPr="002278E9">
        <w:rPr>
          <w:b/>
          <w:bCs/>
          <w:sz w:val="24"/>
          <w:szCs w:val="24"/>
          <w:u w:val="single"/>
        </w:rPr>
        <w:t xml:space="preserve">Table </w:t>
      </w:r>
      <w:r w:rsidR="00CC023B" w:rsidRPr="002278E9">
        <w:rPr>
          <w:b/>
          <w:bCs/>
          <w:sz w:val="24"/>
          <w:szCs w:val="24"/>
          <w:u w:val="single"/>
        </w:rPr>
        <w:t>3</w:t>
      </w:r>
      <w:r w:rsidRPr="002278E9">
        <w:rPr>
          <w:b/>
          <w:bCs/>
          <w:sz w:val="24"/>
          <w:szCs w:val="24"/>
          <w:u w:val="single"/>
        </w:rPr>
        <w:t>:</w:t>
      </w:r>
      <w:r w:rsidRPr="002278E9">
        <w:rPr>
          <w:b/>
          <w:bCs/>
          <w:sz w:val="24"/>
          <w:szCs w:val="24"/>
        </w:rPr>
        <w:t xml:space="preserve"> MGH Utilization FY2023 </w:t>
      </w:r>
      <w:r w:rsidR="00927EC1" w:rsidRPr="002278E9">
        <w:rPr>
          <w:b/>
          <w:bCs/>
          <w:sz w:val="24"/>
          <w:szCs w:val="24"/>
        </w:rPr>
        <w:t>W</w:t>
      </w:r>
      <w:r w:rsidRPr="002278E9">
        <w:rPr>
          <w:b/>
          <w:bCs/>
          <w:sz w:val="24"/>
          <w:szCs w:val="24"/>
        </w:rPr>
        <w:t>ith 94 Additional Beds</w:t>
      </w:r>
    </w:p>
    <w:tbl>
      <w:tblPr>
        <w:tblStyle w:val="TableGrid"/>
        <w:tblW w:w="6295" w:type="dxa"/>
        <w:tblLook w:val="04A0" w:firstRow="1" w:lastRow="0" w:firstColumn="1" w:lastColumn="0" w:noHBand="0" w:noVBand="1"/>
      </w:tblPr>
      <w:tblGrid>
        <w:gridCol w:w="2425"/>
        <w:gridCol w:w="3870"/>
      </w:tblGrid>
      <w:tr w:rsidR="00EF1870" w:rsidRPr="00CA3556" w14:paraId="23D4661E" w14:textId="77777777" w:rsidTr="00C50136">
        <w:trPr>
          <w:cantSplit/>
          <w:tblHeader/>
        </w:trPr>
        <w:tc>
          <w:tcPr>
            <w:tcW w:w="2425" w:type="dxa"/>
            <w:shd w:val="clear" w:color="auto" w:fill="95B3D7" w:themeFill="accent1" w:themeFillTint="99"/>
          </w:tcPr>
          <w:p w14:paraId="31717BDE" w14:textId="36B0004A" w:rsidR="00EF1870" w:rsidRPr="002278E9" w:rsidRDefault="00EF1870">
            <w:pPr>
              <w:rPr>
                <w:b/>
                <w:bCs/>
                <w:sz w:val="24"/>
                <w:szCs w:val="24"/>
              </w:rPr>
            </w:pPr>
          </w:p>
        </w:tc>
        <w:tc>
          <w:tcPr>
            <w:tcW w:w="3870" w:type="dxa"/>
            <w:shd w:val="clear" w:color="auto" w:fill="95B3D7" w:themeFill="accent1" w:themeFillTint="99"/>
          </w:tcPr>
          <w:p w14:paraId="69A9B56F" w14:textId="0285BD0E" w:rsidR="00EF1870" w:rsidRPr="002278E9" w:rsidRDefault="00EF1870">
            <w:pPr>
              <w:jc w:val="center"/>
              <w:rPr>
                <w:b/>
                <w:bCs/>
                <w:sz w:val="24"/>
                <w:szCs w:val="24"/>
              </w:rPr>
            </w:pPr>
            <w:r w:rsidRPr="002278E9">
              <w:rPr>
                <w:b/>
                <w:bCs/>
                <w:sz w:val="24"/>
                <w:szCs w:val="24"/>
              </w:rPr>
              <w:t>FY</w:t>
            </w:r>
            <w:r w:rsidR="00927EC1" w:rsidRPr="002278E9">
              <w:rPr>
                <w:b/>
                <w:bCs/>
                <w:sz w:val="24"/>
                <w:szCs w:val="24"/>
              </w:rPr>
              <w:t>20</w:t>
            </w:r>
            <w:r w:rsidRPr="002278E9">
              <w:rPr>
                <w:b/>
                <w:bCs/>
                <w:sz w:val="24"/>
                <w:szCs w:val="24"/>
              </w:rPr>
              <w:t>23</w:t>
            </w:r>
            <w:r w:rsidR="00927EC1" w:rsidRPr="002278E9">
              <w:rPr>
                <w:b/>
                <w:bCs/>
                <w:sz w:val="24"/>
                <w:szCs w:val="24"/>
              </w:rPr>
              <w:t xml:space="preserve"> Utilization</w:t>
            </w:r>
          </w:p>
          <w:p w14:paraId="2EA24F99" w14:textId="77777777" w:rsidR="00EF1870" w:rsidRPr="002278E9" w:rsidRDefault="00EF1870">
            <w:pPr>
              <w:jc w:val="center"/>
              <w:rPr>
                <w:b/>
                <w:bCs/>
                <w:sz w:val="24"/>
                <w:szCs w:val="24"/>
              </w:rPr>
            </w:pPr>
            <w:r w:rsidRPr="002278E9">
              <w:rPr>
                <w:b/>
                <w:bCs/>
                <w:sz w:val="24"/>
                <w:szCs w:val="24"/>
              </w:rPr>
              <w:t>Modeled with 94 additional Licensed Beds</w:t>
            </w:r>
            <w:r w:rsidRPr="002278E9">
              <w:rPr>
                <w:rStyle w:val="FootnoteReference"/>
                <w:b/>
                <w:bCs/>
                <w:sz w:val="24"/>
                <w:szCs w:val="24"/>
              </w:rPr>
              <w:footnoteReference w:id="10"/>
            </w:r>
            <w:r w:rsidRPr="002278E9">
              <w:rPr>
                <w:b/>
                <w:bCs/>
                <w:sz w:val="24"/>
                <w:szCs w:val="24"/>
              </w:rPr>
              <w:t xml:space="preserve"> </w:t>
            </w:r>
          </w:p>
        </w:tc>
      </w:tr>
      <w:tr w:rsidR="00EF1870" w:rsidRPr="00CA3556" w14:paraId="023318C4" w14:textId="77777777" w:rsidTr="00C50136">
        <w:trPr>
          <w:cantSplit/>
        </w:trPr>
        <w:tc>
          <w:tcPr>
            <w:tcW w:w="2425" w:type="dxa"/>
            <w:shd w:val="clear" w:color="auto" w:fill="B8CCE4" w:themeFill="accent1" w:themeFillTint="66"/>
          </w:tcPr>
          <w:p w14:paraId="265E55F5" w14:textId="77777777" w:rsidR="00EF1870" w:rsidRPr="002278E9" w:rsidRDefault="00EF1870">
            <w:pPr>
              <w:rPr>
                <w:sz w:val="24"/>
                <w:szCs w:val="24"/>
              </w:rPr>
            </w:pPr>
            <w:r w:rsidRPr="002278E9">
              <w:rPr>
                <w:sz w:val="24"/>
                <w:szCs w:val="24"/>
              </w:rPr>
              <w:t>Licensed Beds</w:t>
            </w:r>
          </w:p>
        </w:tc>
        <w:tc>
          <w:tcPr>
            <w:tcW w:w="3870" w:type="dxa"/>
            <w:shd w:val="clear" w:color="auto" w:fill="B8CCE4" w:themeFill="accent1" w:themeFillTint="66"/>
          </w:tcPr>
          <w:p w14:paraId="0C144F4E" w14:textId="77777777" w:rsidR="00EF1870" w:rsidRPr="002278E9" w:rsidRDefault="00EF1870">
            <w:pPr>
              <w:jc w:val="center"/>
              <w:rPr>
                <w:sz w:val="24"/>
                <w:szCs w:val="24"/>
              </w:rPr>
            </w:pPr>
            <w:r w:rsidRPr="002278E9">
              <w:rPr>
                <w:sz w:val="24"/>
                <w:szCs w:val="24"/>
              </w:rPr>
              <w:t>994</w:t>
            </w:r>
          </w:p>
        </w:tc>
      </w:tr>
      <w:tr w:rsidR="00600634" w:rsidRPr="00CA3556" w14:paraId="2E2F69F0" w14:textId="77777777" w:rsidTr="00C50136">
        <w:trPr>
          <w:cantSplit/>
        </w:trPr>
        <w:tc>
          <w:tcPr>
            <w:tcW w:w="2425" w:type="dxa"/>
            <w:shd w:val="clear" w:color="auto" w:fill="DBE5F1" w:themeFill="accent1" w:themeFillTint="33"/>
          </w:tcPr>
          <w:p w14:paraId="7D49B7DE" w14:textId="77777777" w:rsidR="00600634" w:rsidRPr="002278E9" w:rsidRDefault="00600634" w:rsidP="00600634">
            <w:pPr>
              <w:rPr>
                <w:sz w:val="24"/>
                <w:szCs w:val="24"/>
              </w:rPr>
            </w:pPr>
            <w:r w:rsidRPr="002278E9">
              <w:rPr>
                <w:sz w:val="24"/>
                <w:szCs w:val="24"/>
              </w:rPr>
              <w:lastRenderedPageBreak/>
              <w:t>Inpatient Days</w:t>
            </w:r>
          </w:p>
        </w:tc>
        <w:tc>
          <w:tcPr>
            <w:tcW w:w="3870" w:type="dxa"/>
          </w:tcPr>
          <w:p w14:paraId="101FC759" w14:textId="54B466B9" w:rsidR="00600634" w:rsidRPr="002278E9" w:rsidRDefault="00600634" w:rsidP="00600634">
            <w:pPr>
              <w:jc w:val="center"/>
              <w:rPr>
                <w:sz w:val="24"/>
                <w:szCs w:val="24"/>
              </w:rPr>
            </w:pPr>
            <w:r w:rsidRPr="002278E9">
              <w:rPr>
                <w:rFonts w:cstheme="minorHAnsi"/>
                <w:sz w:val="24"/>
                <w:szCs w:val="24"/>
              </w:rPr>
              <w:t>292,078</w:t>
            </w:r>
          </w:p>
        </w:tc>
      </w:tr>
      <w:tr w:rsidR="00600634" w:rsidRPr="00CA3556" w14:paraId="7408F4E5" w14:textId="77777777" w:rsidTr="00C50136">
        <w:trPr>
          <w:cantSplit/>
        </w:trPr>
        <w:tc>
          <w:tcPr>
            <w:tcW w:w="2425" w:type="dxa"/>
            <w:shd w:val="clear" w:color="auto" w:fill="DBE5F1" w:themeFill="accent1" w:themeFillTint="33"/>
          </w:tcPr>
          <w:p w14:paraId="6BFFF666" w14:textId="77777777" w:rsidR="00600634" w:rsidRPr="002278E9" w:rsidRDefault="00600634" w:rsidP="00600634">
            <w:pPr>
              <w:rPr>
                <w:sz w:val="24"/>
                <w:szCs w:val="24"/>
              </w:rPr>
            </w:pPr>
            <w:r w:rsidRPr="002278E9">
              <w:rPr>
                <w:sz w:val="24"/>
                <w:szCs w:val="24"/>
              </w:rPr>
              <w:t>Bedded Outpatient Days</w:t>
            </w:r>
            <w:r w:rsidRPr="002278E9">
              <w:rPr>
                <w:rStyle w:val="FootnoteReference"/>
                <w:sz w:val="24"/>
                <w:szCs w:val="24"/>
              </w:rPr>
              <w:footnoteReference w:id="11"/>
            </w:r>
          </w:p>
        </w:tc>
        <w:tc>
          <w:tcPr>
            <w:tcW w:w="3870" w:type="dxa"/>
          </w:tcPr>
          <w:p w14:paraId="559C9B91" w14:textId="49E66E27" w:rsidR="00600634" w:rsidRPr="002278E9" w:rsidRDefault="00600634" w:rsidP="00600634">
            <w:pPr>
              <w:jc w:val="center"/>
              <w:rPr>
                <w:sz w:val="24"/>
                <w:szCs w:val="24"/>
              </w:rPr>
            </w:pPr>
            <w:r w:rsidRPr="002278E9">
              <w:rPr>
                <w:rFonts w:cstheme="minorHAnsi"/>
                <w:sz w:val="24"/>
                <w:szCs w:val="24"/>
              </w:rPr>
              <w:t>12,013</w:t>
            </w:r>
          </w:p>
        </w:tc>
      </w:tr>
      <w:tr w:rsidR="00600634" w:rsidRPr="00CA3556" w14:paraId="3F133BF6" w14:textId="77777777" w:rsidTr="00C50136">
        <w:trPr>
          <w:cantSplit/>
        </w:trPr>
        <w:tc>
          <w:tcPr>
            <w:tcW w:w="2425" w:type="dxa"/>
            <w:shd w:val="clear" w:color="auto" w:fill="DBE5F1" w:themeFill="accent1" w:themeFillTint="33"/>
          </w:tcPr>
          <w:p w14:paraId="16A7F2A0" w14:textId="77777777" w:rsidR="00600634" w:rsidRPr="002278E9" w:rsidRDefault="00600634" w:rsidP="00600634">
            <w:pPr>
              <w:rPr>
                <w:sz w:val="24"/>
                <w:szCs w:val="24"/>
              </w:rPr>
            </w:pPr>
            <w:r w:rsidRPr="002278E9">
              <w:rPr>
                <w:sz w:val="24"/>
                <w:szCs w:val="24"/>
              </w:rPr>
              <w:t>Total Days</w:t>
            </w:r>
          </w:p>
        </w:tc>
        <w:tc>
          <w:tcPr>
            <w:tcW w:w="3870" w:type="dxa"/>
          </w:tcPr>
          <w:p w14:paraId="44139A4C" w14:textId="71712359" w:rsidR="00600634" w:rsidRPr="002278E9" w:rsidRDefault="00600634" w:rsidP="00600634">
            <w:pPr>
              <w:jc w:val="center"/>
              <w:rPr>
                <w:sz w:val="24"/>
                <w:szCs w:val="24"/>
              </w:rPr>
            </w:pPr>
            <w:r w:rsidRPr="002278E9">
              <w:rPr>
                <w:rFonts w:cstheme="minorHAnsi"/>
                <w:sz w:val="24"/>
                <w:szCs w:val="24"/>
              </w:rPr>
              <w:t>304,091</w:t>
            </w:r>
          </w:p>
        </w:tc>
      </w:tr>
      <w:tr w:rsidR="00600634" w:rsidRPr="00CA3556" w14:paraId="353052B6" w14:textId="77777777" w:rsidTr="00C50136">
        <w:trPr>
          <w:cantSplit/>
        </w:trPr>
        <w:tc>
          <w:tcPr>
            <w:tcW w:w="2425" w:type="dxa"/>
            <w:shd w:val="clear" w:color="auto" w:fill="DBE5F1" w:themeFill="accent1" w:themeFillTint="33"/>
          </w:tcPr>
          <w:p w14:paraId="5FF02ADA" w14:textId="77777777" w:rsidR="00600634" w:rsidRPr="002278E9" w:rsidRDefault="00600634" w:rsidP="00600634">
            <w:pPr>
              <w:rPr>
                <w:sz w:val="24"/>
                <w:szCs w:val="24"/>
              </w:rPr>
            </w:pPr>
            <w:r w:rsidRPr="002278E9">
              <w:rPr>
                <w:sz w:val="24"/>
                <w:szCs w:val="24"/>
              </w:rPr>
              <w:t xml:space="preserve">Inpatient Occupancy </w:t>
            </w:r>
          </w:p>
        </w:tc>
        <w:tc>
          <w:tcPr>
            <w:tcW w:w="3870" w:type="dxa"/>
          </w:tcPr>
          <w:p w14:paraId="1BA8C8E9" w14:textId="116CFA98" w:rsidR="00600634" w:rsidRPr="002278E9" w:rsidRDefault="00600634" w:rsidP="00600634">
            <w:pPr>
              <w:jc w:val="center"/>
              <w:rPr>
                <w:sz w:val="24"/>
                <w:szCs w:val="24"/>
              </w:rPr>
            </w:pPr>
            <w:r w:rsidRPr="002278E9">
              <w:rPr>
                <w:rFonts w:cstheme="minorHAnsi"/>
                <w:sz w:val="24"/>
                <w:szCs w:val="24"/>
              </w:rPr>
              <w:t>80.5%</w:t>
            </w:r>
          </w:p>
        </w:tc>
      </w:tr>
      <w:tr w:rsidR="00600634" w:rsidRPr="00CA3556" w14:paraId="00887446" w14:textId="77777777" w:rsidTr="00C50136">
        <w:trPr>
          <w:cantSplit/>
        </w:trPr>
        <w:tc>
          <w:tcPr>
            <w:tcW w:w="2425" w:type="dxa"/>
            <w:shd w:val="clear" w:color="auto" w:fill="DBE5F1" w:themeFill="accent1" w:themeFillTint="33"/>
          </w:tcPr>
          <w:p w14:paraId="19E1CF36" w14:textId="77777777" w:rsidR="00600634" w:rsidRPr="002278E9" w:rsidRDefault="00600634" w:rsidP="00600634">
            <w:pPr>
              <w:rPr>
                <w:sz w:val="24"/>
                <w:szCs w:val="24"/>
              </w:rPr>
            </w:pPr>
            <w:r w:rsidRPr="002278E9">
              <w:rPr>
                <w:sz w:val="24"/>
                <w:szCs w:val="24"/>
              </w:rPr>
              <w:t>Bedded Outpatient Occupancy</w:t>
            </w:r>
          </w:p>
        </w:tc>
        <w:tc>
          <w:tcPr>
            <w:tcW w:w="3870" w:type="dxa"/>
          </w:tcPr>
          <w:p w14:paraId="06D6FBD9" w14:textId="62E1CA80" w:rsidR="00600634" w:rsidRPr="002278E9" w:rsidRDefault="00600634" w:rsidP="00600634">
            <w:pPr>
              <w:jc w:val="center"/>
              <w:rPr>
                <w:sz w:val="24"/>
                <w:szCs w:val="24"/>
              </w:rPr>
            </w:pPr>
            <w:r w:rsidRPr="002278E9">
              <w:rPr>
                <w:rFonts w:cstheme="minorHAnsi"/>
                <w:sz w:val="24"/>
                <w:szCs w:val="24"/>
              </w:rPr>
              <w:t>3.3%</w:t>
            </w:r>
          </w:p>
        </w:tc>
      </w:tr>
      <w:tr w:rsidR="00600634" w:rsidRPr="00CA3556" w14:paraId="7E3C36B8" w14:textId="77777777" w:rsidTr="00C50136">
        <w:trPr>
          <w:cantSplit/>
        </w:trPr>
        <w:tc>
          <w:tcPr>
            <w:tcW w:w="2425" w:type="dxa"/>
            <w:shd w:val="clear" w:color="auto" w:fill="DBE5F1" w:themeFill="accent1" w:themeFillTint="33"/>
          </w:tcPr>
          <w:p w14:paraId="0DE15D00" w14:textId="77777777" w:rsidR="00600634" w:rsidRPr="002278E9" w:rsidRDefault="00600634" w:rsidP="00600634">
            <w:pPr>
              <w:rPr>
                <w:sz w:val="24"/>
                <w:szCs w:val="24"/>
              </w:rPr>
            </w:pPr>
            <w:r w:rsidRPr="002278E9">
              <w:rPr>
                <w:sz w:val="24"/>
                <w:szCs w:val="24"/>
              </w:rPr>
              <w:t xml:space="preserve">Total Occupancy </w:t>
            </w:r>
          </w:p>
        </w:tc>
        <w:tc>
          <w:tcPr>
            <w:tcW w:w="3870" w:type="dxa"/>
          </w:tcPr>
          <w:p w14:paraId="19B98BFD" w14:textId="44BAA1BB" w:rsidR="00600634" w:rsidRPr="002278E9" w:rsidRDefault="00600634" w:rsidP="00600634">
            <w:pPr>
              <w:jc w:val="center"/>
              <w:rPr>
                <w:sz w:val="24"/>
                <w:szCs w:val="24"/>
              </w:rPr>
            </w:pPr>
            <w:r w:rsidRPr="002278E9">
              <w:rPr>
                <w:rFonts w:cstheme="minorHAnsi"/>
                <w:sz w:val="24"/>
                <w:szCs w:val="24"/>
              </w:rPr>
              <w:t>83.8%</w:t>
            </w:r>
          </w:p>
        </w:tc>
      </w:tr>
    </w:tbl>
    <w:p w14:paraId="71CEE914" w14:textId="77777777" w:rsidR="0061709E" w:rsidRDefault="0061709E" w:rsidP="00882AEE">
      <w:pPr>
        <w:ind w:right="-10"/>
        <w:rPr>
          <w:sz w:val="24"/>
        </w:rPr>
      </w:pPr>
    </w:p>
    <w:p w14:paraId="14BBDB30" w14:textId="0A8EC0C2" w:rsidR="004A4E14" w:rsidRDefault="007C02A9" w:rsidP="00E11BF9">
      <w:r>
        <w:rPr>
          <w:sz w:val="24"/>
          <w:szCs w:val="24"/>
        </w:rPr>
        <w:t>T</w:t>
      </w:r>
      <w:r w:rsidR="004A4E14" w:rsidRPr="00E11BF9">
        <w:rPr>
          <w:sz w:val="24"/>
          <w:szCs w:val="24"/>
        </w:rPr>
        <w:t xml:space="preserve">he </w:t>
      </w:r>
      <w:r>
        <w:rPr>
          <w:sz w:val="24"/>
          <w:szCs w:val="24"/>
        </w:rPr>
        <w:t>Holder stated that the addition of 94 beds</w:t>
      </w:r>
      <w:r w:rsidR="00AB037B">
        <w:rPr>
          <w:sz w:val="24"/>
          <w:szCs w:val="24"/>
        </w:rPr>
        <w:t xml:space="preserve"> will allow </w:t>
      </w:r>
      <w:r>
        <w:rPr>
          <w:sz w:val="24"/>
          <w:szCs w:val="24"/>
        </w:rPr>
        <w:t>the Hospital</w:t>
      </w:r>
      <w:r w:rsidR="004A4E14" w:rsidRPr="00E11BF9">
        <w:rPr>
          <w:sz w:val="24"/>
          <w:szCs w:val="24"/>
        </w:rPr>
        <w:t xml:space="preserve"> </w:t>
      </w:r>
      <w:r w:rsidR="006019AF" w:rsidRPr="00E11BF9">
        <w:rPr>
          <w:sz w:val="24"/>
          <w:szCs w:val="24"/>
        </w:rPr>
        <w:t>to operate</w:t>
      </w:r>
      <w:r w:rsidR="004A4E14" w:rsidRPr="00E11BF9">
        <w:rPr>
          <w:sz w:val="24"/>
          <w:szCs w:val="24"/>
        </w:rPr>
        <w:t xml:space="preserve"> at 86% of licensed bed capacity in FY</w:t>
      </w:r>
      <w:r w:rsidR="00E11BF9">
        <w:rPr>
          <w:sz w:val="24"/>
          <w:szCs w:val="24"/>
        </w:rPr>
        <w:t>20</w:t>
      </w:r>
      <w:r w:rsidR="004A4E14" w:rsidRPr="00E11BF9">
        <w:rPr>
          <w:sz w:val="24"/>
          <w:szCs w:val="24"/>
        </w:rPr>
        <w:t xml:space="preserve">28 and </w:t>
      </w:r>
      <w:r w:rsidR="00E11BF9">
        <w:rPr>
          <w:sz w:val="24"/>
          <w:szCs w:val="24"/>
        </w:rPr>
        <w:t xml:space="preserve">89.6% by </w:t>
      </w:r>
      <w:r w:rsidR="004A4E14" w:rsidRPr="00E11BF9">
        <w:rPr>
          <w:sz w:val="24"/>
          <w:szCs w:val="24"/>
        </w:rPr>
        <w:t>FY</w:t>
      </w:r>
      <w:r w:rsidR="00E11BF9">
        <w:rPr>
          <w:sz w:val="24"/>
          <w:szCs w:val="24"/>
        </w:rPr>
        <w:t>20</w:t>
      </w:r>
      <w:r w:rsidR="004A4E14" w:rsidRPr="00E11BF9">
        <w:rPr>
          <w:sz w:val="24"/>
          <w:szCs w:val="24"/>
        </w:rPr>
        <w:t>32</w:t>
      </w:r>
      <w:r w:rsidR="009A2504">
        <w:rPr>
          <w:sz w:val="24"/>
          <w:szCs w:val="24"/>
        </w:rPr>
        <w:t xml:space="preserve">, as detailed in Table </w:t>
      </w:r>
      <w:r w:rsidR="002F6370">
        <w:rPr>
          <w:sz w:val="24"/>
          <w:szCs w:val="24"/>
        </w:rPr>
        <w:t>4</w:t>
      </w:r>
      <w:r w:rsidR="004A4E14" w:rsidRPr="00E11BF9">
        <w:rPr>
          <w:sz w:val="24"/>
          <w:szCs w:val="24"/>
        </w:rPr>
        <w:t xml:space="preserve">.  </w:t>
      </w:r>
      <w:r w:rsidR="00954941" w:rsidRPr="00E11BF9">
        <w:rPr>
          <w:sz w:val="24"/>
          <w:szCs w:val="24"/>
        </w:rPr>
        <w:t xml:space="preserve">The Holder states that </w:t>
      </w:r>
      <w:r w:rsidR="004A4E14" w:rsidRPr="00E11BF9">
        <w:rPr>
          <w:sz w:val="24"/>
          <w:szCs w:val="24"/>
        </w:rPr>
        <w:t xml:space="preserve">while </w:t>
      </w:r>
      <w:r w:rsidR="00954941" w:rsidRPr="00E11BF9">
        <w:rPr>
          <w:sz w:val="24"/>
          <w:szCs w:val="24"/>
        </w:rPr>
        <w:t xml:space="preserve">this occupancy rate is </w:t>
      </w:r>
      <w:r w:rsidR="004A4E14" w:rsidRPr="00E11BF9">
        <w:rPr>
          <w:sz w:val="24"/>
          <w:szCs w:val="24"/>
        </w:rPr>
        <w:t xml:space="preserve">still above the industry standard, </w:t>
      </w:r>
      <w:r w:rsidR="00954941" w:rsidRPr="00E11BF9">
        <w:rPr>
          <w:sz w:val="24"/>
          <w:szCs w:val="24"/>
        </w:rPr>
        <w:t xml:space="preserve">it </w:t>
      </w:r>
      <w:r w:rsidR="004A4E14" w:rsidRPr="00E11BF9">
        <w:rPr>
          <w:sz w:val="24"/>
          <w:szCs w:val="24"/>
        </w:rPr>
        <w:t xml:space="preserve">will allow MGH to move patients in a </w:t>
      </w:r>
      <w:r w:rsidR="006019AF">
        <w:rPr>
          <w:sz w:val="24"/>
          <w:szCs w:val="24"/>
        </w:rPr>
        <w:t>timelier</w:t>
      </w:r>
      <w:r w:rsidR="008F2027">
        <w:rPr>
          <w:sz w:val="24"/>
          <w:szCs w:val="24"/>
        </w:rPr>
        <w:t xml:space="preserve"> </w:t>
      </w:r>
      <w:r w:rsidR="004A4E14" w:rsidRPr="00E11BF9">
        <w:rPr>
          <w:sz w:val="24"/>
          <w:szCs w:val="24"/>
        </w:rPr>
        <w:t>manner from the ED to inpatient floors</w:t>
      </w:r>
      <w:r w:rsidR="00CF2106">
        <w:rPr>
          <w:sz w:val="24"/>
          <w:szCs w:val="24"/>
        </w:rPr>
        <w:t>,</w:t>
      </w:r>
      <w:r w:rsidR="004A4E14" w:rsidRPr="00E11BF9">
        <w:rPr>
          <w:sz w:val="24"/>
          <w:szCs w:val="24"/>
        </w:rPr>
        <w:t xml:space="preserve"> as well as provide some capacity for surge and </w:t>
      </w:r>
      <w:r w:rsidR="00954941" w:rsidRPr="00E11BF9">
        <w:rPr>
          <w:sz w:val="24"/>
          <w:szCs w:val="24"/>
        </w:rPr>
        <w:t xml:space="preserve">increases in </w:t>
      </w:r>
      <w:r w:rsidR="00355140">
        <w:rPr>
          <w:sz w:val="24"/>
          <w:szCs w:val="24"/>
        </w:rPr>
        <w:t xml:space="preserve">patient </w:t>
      </w:r>
      <w:r w:rsidR="00E11BF9" w:rsidRPr="00E11BF9">
        <w:rPr>
          <w:sz w:val="24"/>
          <w:szCs w:val="24"/>
        </w:rPr>
        <w:t>volume</w:t>
      </w:r>
      <w:r w:rsidR="00CF2106">
        <w:rPr>
          <w:sz w:val="24"/>
          <w:szCs w:val="24"/>
        </w:rPr>
        <w:t>.</w:t>
      </w:r>
      <w:r w:rsidR="004A4E14" w:rsidRPr="00E11BF9">
        <w:rPr>
          <w:sz w:val="24"/>
          <w:szCs w:val="24"/>
        </w:rPr>
        <w:t xml:space="preserve"> </w:t>
      </w:r>
    </w:p>
    <w:p w14:paraId="05D48347" w14:textId="77777777" w:rsidR="004A4E14" w:rsidRDefault="004A4E14" w:rsidP="00E11BF9"/>
    <w:p w14:paraId="44BCEF2B" w14:textId="1363ADE5" w:rsidR="004A4E14" w:rsidRPr="002278E9" w:rsidRDefault="004A4E14" w:rsidP="004A4E14">
      <w:pPr>
        <w:jc w:val="both"/>
        <w:rPr>
          <w:b/>
          <w:bCs/>
          <w:sz w:val="24"/>
          <w:szCs w:val="24"/>
        </w:rPr>
      </w:pPr>
      <w:r w:rsidRPr="002278E9">
        <w:rPr>
          <w:b/>
          <w:bCs/>
          <w:sz w:val="24"/>
          <w:szCs w:val="24"/>
          <w:u w:val="single"/>
        </w:rPr>
        <w:t xml:space="preserve">Table </w:t>
      </w:r>
      <w:r w:rsidR="002F6370" w:rsidRPr="002278E9">
        <w:rPr>
          <w:b/>
          <w:bCs/>
          <w:sz w:val="24"/>
          <w:szCs w:val="24"/>
          <w:u w:val="single"/>
        </w:rPr>
        <w:t>4</w:t>
      </w:r>
      <w:r w:rsidRPr="002278E9">
        <w:rPr>
          <w:b/>
          <w:bCs/>
          <w:sz w:val="24"/>
          <w:szCs w:val="24"/>
          <w:u w:val="single"/>
        </w:rPr>
        <w:t>:</w:t>
      </w:r>
      <w:r w:rsidRPr="002278E9">
        <w:rPr>
          <w:b/>
          <w:bCs/>
          <w:sz w:val="24"/>
          <w:szCs w:val="24"/>
        </w:rPr>
        <w:t xml:space="preserve"> </w:t>
      </w:r>
      <w:r w:rsidR="00355140" w:rsidRPr="002278E9">
        <w:rPr>
          <w:b/>
          <w:bCs/>
          <w:sz w:val="24"/>
          <w:szCs w:val="24"/>
        </w:rPr>
        <w:t xml:space="preserve">MGH </w:t>
      </w:r>
      <w:r w:rsidRPr="002278E9">
        <w:rPr>
          <w:b/>
          <w:bCs/>
          <w:sz w:val="24"/>
          <w:szCs w:val="24"/>
        </w:rPr>
        <w:t>Projected Utilization</w:t>
      </w:r>
      <w:r w:rsidR="008D2E9F" w:rsidRPr="002278E9">
        <w:rPr>
          <w:rStyle w:val="FootnoteReference"/>
          <w:b/>
          <w:bCs/>
          <w:sz w:val="24"/>
          <w:szCs w:val="24"/>
        </w:rPr>
        <w:footnoteReference w:id="12"/>
      </w:r>
      <w:r w:rsidRPr="002278E9">
        <w:rPr>
          <w:b/>
          <w:bCs/>
          <w:sz w:val="24"/>
          <w:szCs w:val="24"/>
        </w:rPr>
        <w:t xml:space="preserve"> </w:t>
      </w:r>
    </w:p>
    <w:tbl>
      <w:tblPr>
        <w:tblStyle w:val="TableGrid"/>
        <w:tblW w:w="9355" w:type="dxa"/>
        <w:tblLook w:val="04A0" w:firstRow="1" w:lastRow="0" w:firstColumn="1" w:lastColumn="0" w:noHBand="0" w:noVBand="1"/>
      </w:tblPr>
      <w:tblGrid>
        <w:gridCol w:w="2875"/>
        <w:gridCol w:w="1296"/>
        <w:gridCol w:w="1296"/>
        <w:gridCol w:w="1296"/>
        <w:gridCol w:w="1296"/>
        <w:gridCol w:w="1296"/>
      </w:tblGrid>
      <w:tr w:rsidR="004A4E14" w:rsidRPr="00CA3556" w14:paraId="6E7A9A4B" w14:textId="77777777" w:rsidTr="00BD12C4">
        <w:trPr>
          <w:cantSplit/>
          <w:tblHeader/>
        </w:trPr>
        <w:tc>
          <w:tcPr>
            <w:tcW w:w="2875" w:type="dxa"/>
            <w:shd w:val="clear" w:color="auto" w:fill="95B3D7" w:themeFill="accent1" w:themeFillTint="99"/>
          </w:tcPr>
          <w:p w14:paraId="1F301D30" w14:textId="40C904A9" w:rsidR="004A4E14" w:rsidRPr="002278E9" w:rsidRDefault="004A4E14">
            <w:pPr>
              <w:rPr>
                <w:b/>
                <w:bCs/>
                <w:sz w:val="24"/>
                <w:szCs w:val="24"/>
              </w:rPr>
            </w:pPr>
          </w:p>
        </w:tc>
        <w:tc>
          <w:tcPr>
            <w:tcW w:w="1296" w:type="dxa"/>
            <w:shd w:val="clear" w:color="auto" w:fill="95B3D7" w:themeFill="accent1" w:themeFillTint="99"/>
          </w:tcPr>
          <w:p w14:paraId="13DC88BE" w14:textId="6ABEF4B9" w:rsidR="004A4E14" w:rsidRPr="002278E9" w:rsidRDefault="004A4E14">
            <w:pPr>
              <w:jc w:val="center"/>
              <w:rPr>
                <w:b/>
                <w:bCs/>
                <w:sz w:val="24"/>
                <w:szCs w:val="24"/>
              </w:rPr>
            </w:pPr>
            <w:r w:rsidRPr="002278E9">
              <w:rPr>
                <w:b/>
                <w:bCs/>
                <w:sz w:val="24"/>
                <w:szCs w:val="24"/>
              </w:rPr>
              <w:t>FY</w:t>
            </w:r>
            <w:r w:rsidR="009A2504" w:rsidRPr="002278E9">
              <w:rPr>
                <w:b/>
                <w:bCs/>
                <w:sz w:val="24"/>
                <w:szCs w:val="24"/>
              </w:rPr>
              <w:t>20</w:t>
            </w:r>
            <w:r w:rsidRPr="002278E9">
              <w:rPr>
                <w:b/>
                <w:bCs/>
                <w:sz w:val="24"/>
                <w:szCs w:val="24"/>
              </w:rPr>
              <w:t>28</w:t>
            </w:r>
          </w:p>
          <w:p w14:paraId="0E768D62" w14:textId="77777777" w:rsidR="004A4E14" w:rsidRPr="002278E9" w:rsidRDefault="004A4E14">
            <w:pPr>
              <w:jc w:val="center"/>
              <w:rPr>
                <w:b/>
                <w:bCs/>
                <w:sz w:val="24"/>
                <w:szCs w:val="24"/>
              </w:rPr>
            </w:pPr>
          </w:p>
        </w:tc>
        <w:tc>
          <w:tcPr>
            <w:tcW w:w="1296" w:type="dxa"/>
            <w:shd w:val="clear" w:color="auto" w:fill="95B3D7" w:themeFill="accent1" w:themeFillTint="99"/>
          </w:tcPr>
          <w:p w14:paraId="751AB074" w14:textId="57E2D42C" w:rsidR="004A4E14" w:rsidRPr="002278E9" w:rsidRDefault="004A4E14">
            <w:pPr>
              <w:jc w:val="center"/>
              <w:rPr>
                <w:b/>
                <w:bCs/>
                <w:sz w:val="24"/>
                <w:szCs w:val="24"/>
              </w:rPr>
            </w:pPr>
            <w:r w:rsidRPr="002278E9">
              <w:rPr>
                <w:b/>
                <w:bCs/>
                <w:sz w:val="24"/>
                <w:szCs w:val="24"/>
              </w:rPr>
              <w:t>FY</w:t>
            </w:r>
            <w:r w:rsidR="009A2504" w:rsidRPr="002278E9">
              <w:rPr>
                <w:b/>
                <w:bCs/>
                <w:sz w:val="24"/>
                <w:szCs w:val="24"/>
              </w:rPr>
              <w:t>20</w:t>
            </w:r>
            <w:r w:rsidRPr="002278E9">
              <w:rPr>
                <w:b/>
                <w:bCs/>
                <w:sz w:val="24"/>
                <w:szCs w:val="24"/>
              </w:rPr>
              <w:t>29</w:t>
            </w:r>
          </w:p>
          <w:p w14:paraId="1BF059C3" w14:textId="77777777" w:rsidR="004A4E14" w:rsidRPr="002278E9" w:rsidRDefault="004A4E14">
            <w:pPr>
              <w:jc w:val="center"/>
              <w:rPr>
                <w:b/>
                <w:bCs/>
                <w:sz w:val="24"/>
                <w:szCs w:val="24"/>
              </w:rPr>
            </w:pPr>
          </w:p>
        </w:tc>
        <w:tc>
          <w:tcPr>
            <w:tcW w:w="1296" w:type="dxa"/>
            <w:shd w:val="clear" w:color="auto" w:fill="95B3D7" w:themeFill="accent1" w:themeFillTint="99"/>
          </w:tcPr>
          <w:p w14:paraId="6EB05EFC" w14:textId="3CCF3773" w:rsidR="004A4E14" w:rsidRPr="002278E9" w:rsidRDefault="004A4E14">
            <w:pPr>
              <w:jc w:val="center"/>
              <w:rPr>
                <w:b/>
                <w:bCs/>
                <w:sz w:val="24"/>
                <w:szCs w:val="24"/>
              </w:rPr>
            </w:pPr>
            <w:r w:rsidRPr="002278E9">
              <w:rPr>
                <w:b/>
                <w:bCs/>
                <w:sz w:val="24"/>
                <w:szCs w:val="24"/>
              </w:rPr>
              <w:t>FY</w:t>
            </w:r>
            <w:r w:rsidR="009A2504" w:rsidRPr="002278E9">
              <w:rPr>
                <w:b/>
                <w:bCs/>
                <w:sz w:val="24"/>
                <w:szCs w:val="24"/>
              </w:rPr>
              <w:t>20</w:t>
            </w:r>
            <w:r w:rsidRPr="002278E9">
              <w:rPr>
                <w:b/>
                <w:bCs/>
                <w:sz w:val="24"/>
                <w:szCs w:val="24"/>
              </w:rPr>
              <w:t>30</w:t>
            </w:r>
          </w:p>
        </w:tc>
        <w:tc>
          <w:tcPr>
            <w:tcW w:w="1296" w:type="dxa"/>
            <w:shd w:val="clear" w:color="auto" w:fill="95B3D7" w:themeFill="accent1" w:themeFillTint="99"/>
          </w:tcPr>
          <w:p w14:paraId="7F38DEE2" w14:textId="3012C859" w:rsidR="004A4E14" w:rsidRPr="002278E9" w:rsidRDefault="004A4E14">
            <w:pPr>
              <w:jc w:val="center"/>
              <w:rPr>
                <w:b/>
                <w:bCs/>
                <w:sz w:val="24"/>
                <w:szCs w:val="24"/>
              </w:rPr>
            </w:pPr>
            <w:r w:rsidRPr="002278E9">
              <w:rPr>
                <w:b/>
                <w:bCs/>
                <w:sz w:val="24"/>
                <w:szCs w:val="24"/>
              </w:rPr>
              <w:t>FY</w:t>
            </w:r>
            <w:r w:rsidR="009A2504" w:rsidRPr="002278E9">
              <w:rPr>
                <w:b/>
                <w:bCs/>
                <w:sz w:val="24"/>
                <w:szCs w:val="24"/>
              </w:rPr>
              <w:t>20</w:t>
            </w:r>
            <w:r w:rsidRPr="002278E9">
              <w:rPr>
                <w:b/>
                <w:bCs/>
                <w:sz w:val="24"/>
                <w:szCs w:val="24"/>
              </w:rPr>
              <w:t>31</w:t>
            </w:r>
          </w:p>
        </w:tc>
        <w:tc>
          <w:tcPr>
            <w:tcW w:w="1296" w:type="dxa"/>
            <w:shd w:val="clear" w:color="auto" w:fill="95B3D7" w:themeFill="accent1" w:themeFillTint="99"/>
          </w:tcPr>
          <w:p w14:paraId="43CB6F53" w14:textId="27B408F9" w:rsidR="004A4E14" w:rsidRPr="002278E9" w:rsidRDefault="004A4E14">
            <w:pPr>
              <w:jc w:val="center"/>
              <w:rPr>
                <w:b/>
                <w:bCs/>
                <w:sz w:val="24"/>
                <w:szCs w:val="24"/>
              </w:rPr>
            </w:pPr>
            <w:r w:rsidRPr="002278E9">
              <w:rPr>
                <w:b/>
                <w:bCs/>
                <w:sz w:val="24"/>
                <w:szCs w:val="24"/>
              </w:rPr>
              <w:t>FY</w:t>
            </w:r>
            <w:r w:rsidR="009A2504" w:rsidRPr="002278E9">
              <w:rPr>
                <w:b/>
                <w:bCs/>
                <w:sz w:val="24"/>
                <w:szCs w:val="24"/>
              </w:rPr>
              <w:t>20</w:t>
            </w:r>
            <w:r w:rsidRPr="002278E9">
              <w:rPr>
                <w:b/>
                <w:bCs/>
                <w:sz w:val="24"/>
                <w:szCs w:val="24"/>
              </w:rPr>
              <w:t>32</w:t>
            </w:r>
          </w:p>
        </w:tc>
      </w:tr>
      <w:tr w:rsidR="004A4E14" w:rsidRPr="00CA3556" w14:paraId="76AA7C30" w14:textId="77777777" w:rsidTr="00BD12C4">
        <w:trPr>
          <w:cantSplit/>
        </w:trPr>
        <w:tc>
          <w:tcPr>
            <w:tcW w:w="2875" w:type="dxa"/>
            <w:shd w:val="clear" w:color="auto" w:fill="B8CCE4" w:themeFill="accent1" w:themeFillTint="66"/>
          </w:tcPr>
          <w:p w14:paraId="707E1299" w14:textId="77777777" w:rsidR="004A4E14" w:rsidRPr="002278E9" w:rsidRDefault="004A4E14">
            <w:pPr>
              <w:rPr>
                <w:sz w:val="24"/>
                <w:szCs w:val="24"/>
              </w:rPr>
            </w:pPr>
            <w:r w:rsidRPr="002278E9">
              <w:rPr>
                <w:sz w:val="24"/>
                <w:szCs w:val="24"/>
              </w:rPr>
              <w:t>Licensed Beds</w:t>
            </w:r>
          </w:p>
        </w:tc>
        <w:tc>
          <w:tcPr>
            <w:tcW w:w="1296" w:type="dxa"/>
            <w:shd w:val="clear" w:color="auto" w:fill="B8CCE4" w:themeFill="accent1" w:themeFillTint="66"/>
          </w:tcPr>
          <w:p w14:paraId="2F9C7264" w14:textId="77777777" w:rsidR="004A4E14" w:rsidRPr="002278E9" w:rsidRDefault="004A4E14">
            <w:pPr>
              <w:jc w:val="center"/>
              <w:rPr>
                <w:sz w:val="24"/>
                <w:szCs w:val="24"/>
              </w:rPr>
            </w:pPr>
            <w:r w:rsidRPr="002278E9">
              <w:rPr>
                <w:sz w:val="24"/>
                <w:szCs w:val="24"/>
              </w:rPr>
              <w:t>994</w:t>
            </w:r>
          </w:p>
        </w:tc>
        <w:tc>
          <w:tcPr>
            <w:tcW w:w="1296" w:type="dxa"/>
            <w:shd w:val="clear" w:color="auto" w:fill="B8CCE4" w:themeFill="accent1" w:themeFillTint="66"/>
          </w:tcPr>
          <w:p w14:paraId="1FDD3514" w14:textId="77777777" w:rsidR="004A4E14" w:rsidRPr="002278E9" w:rsidRDefault="004A4E14">
            <w:pPr>
              <w:jc w:val="center"/>
              <w:rPr>
                <w:sz w:val="24"/>
                <w:szCs w:val="24"/>
              </w:rPr>
            </w:pPr>
            <w:r w:rsidRPr="002278E9">
              <w:rPr>
                <w:sz w:val="24"/>
                <w:szCs w:val="24"/>
              </w:rPr>
              <w:t>994</w:t>
            </w:r>
          </w:p>
        </w:tc>
        <w:tc>
          <w:tcPr>
            <w:tcW w:w="1296" w:type="dxa"/>
            <w:shd w:val="clear" w:color="auto" w:fill="B8CCE4" w:themeFill="accent1" w:themeFillTint="66"/>
          </w:tcPr>
          <w:p w14:paraId="044A1670" w14:textId="77777777" w:rsidR="004A4E14" w:rsidRPr="002278E9" w:rsidRDefault="004A4E14">
            <w:pPr>
              <w:jc w:val="center"/>
              <w:rPr>
                <w:sz w:val="24"/>
                <w:szCs w:val="24"/>
              </w:rPr>
            </w:pPr>
            <w:r w:rsidRPr="002278E9">
              <w:rPr>
                <w:sz w:val="24"/>
                <w:szCs w:val="24"/>
              </w:rPr>
              <w:t>994</w:t>
            </w:r>
          </w:p>
        </w:tc>
        <w:tc>
          <w:tcPr>
            <w:tcW w:w="1296" w:type="dxa"/>
            <w:shd w:val="clear" w:color="auto" w:fill="B8CCE4" w:themeFill="accent1" w:themeFillTint="66"/>
          </w:tcPr>
          <w:p w14:paraId="294B75D2" w14:textId="77777777" w:rsidR="004A4E14" w:rsidRPr="002278E9" w:rsidRDefault="004A4E14">
            <w:pPr>
              <w:jc w:val="center"/>
              <w:rPr>
                <w:sz w:val="24"/>
                <w:szCs w:val="24"/>
              </w:rPr>
            </w:pPr>
            <w:r w:rsidRPr="002278E9">
              <w:rPr>
                <w:sz w:val="24"/>
                <w:szCs w:val="24"/>
              </w:rPr>
              <w:t>994</w:t>
            </w:r>
          </w:p>
        </w:tc>
        <w:tc>
          <w:tcPr>
            <w:tcW w:w="1296" w:type="dxa"/>
            <w:shd w:val="clear" w:color="auto" w:fill="B8CCE4" w:themeFill="accent1" w:themeFillTint="66"/>
          </w:tcPr>
          <w:p w14:paraId="4EF3B66E" w14:textId="77777777" w:rsidR="004A4E14" w:rsidRPr="002278E9" w:rsidRDefault="004A4E14">
            <w:pPr>
              <w:jc w:val="center"/>
              <w:rPr>
                <w:sz w:val="24"/>
                <w:szCs w:val="24"/>
              </w:rPr>
            </w:pPr>
            <w:r w:rsidRPr="002278E9">
              <w:rPr>
                <w:sz w:val="24"/>
                <w:szCs w:val="24"/>
              </w:rPr>
              <w:t>994</w:t>
            </w:r>
          </w:p>
        </w:tc>
      </w:tr>
      <w:tr w:rsidR="004A4E14" w:rsidRPr="00CA3556" w14:paraId="596E7D91" w14:textId="77777777" w:rsidTr="00BD12C4">
        <w:trPr>
          <w:cantSplit/>
        </w:trPr>
        <w:tc>
          <w:tcPr>
            <w:tcW w:w="2875" w:type="dxa"/>
            <w:shd w:val="clear" w:color="auto" w:fill="DBE5F1" w:themeFill="accent1" w:themeFillTint="33"/>
          </w:tcPr>
          <w:p w14:paraId="056B42AA" w14:textId="77777777" w:rsidR="004A4E14" w:rsidRPr="002278E9" w:rsidRDefault="004A4E14">
            <w:pPr>
              <w:rPr>
                <w:sz w:val="24"/>
                <w:szCs w:val="24"/>
              </w:rPr>
            </w:pPr>
            <w:r w:rsidRPr="002278E9">
              <w:rPr>
                <w:sz w:val="24"/>
                <w:szCs w:val="24"/>
              </w:rPr>
              <w:t>Inpatient Days</w:t>
            </w:r>
          </w:p>
        </w:tc>
        <w:tc>
          <w:tcPr>
            <w:tcW w:w="1296" w:type="dxa"/>
          </w:tcPr>
          <w:p w14:paraId="7EE925BB" w14:textId="77777777" w:rsidR="004A4E14" w:rsidRPr="002278E9" w:rsidRDefault="004A4E14">
            <w:pPr>
              <w:jc w:val="center"/>
              <w:rPr>
                <w:sz w:val="24"/>
                <w:szCs w:val="24"/>
              </w:rPr>
            </w:pPr>
            <w:r w:rsidRPr="002278E9">
              <w:rPr>
                <w:sz w:val="24"/>
                <w:szCs w:val="24"/>
              </w:rPr>
              <w:t>299,985</w:t>
            </w:r>
          </w:p>
        </w:tc>
        <w:tc>
          <w:tcPr>
            <w:tcW w:w="1296" w:type="dxa"/>
          </w:tcPr>
          <w:p w14:paraId="51597D0E" w14:textId="77777777" w:rsidR="004A4E14" w:rsidRPr="002278E9" w:rsidRDefault="004A4E14">
            <w:pPr>
              <w:jc w:val="center"/>
              <w:rPr>
                <w:sz w:val="24"/>
                <w:szCs w:val="24"/>
              </w:rPr>
            </w:pPr>
            <w:r w:rsidRPr="002278E9">
              <w:rPr>
                <w:sz w:val="24"/>
                <w:szCs w:val="24"/>
              </w:rPr>
              <w:t>303,269</w:t>
            </w:r>
          </w:p>
        </w:tc>
        <w:tc>
          <w:tcPr>
            <w:tcW w:w="1296" w:type="dxa"/>
          </w:tcPr>
          <w:p w14:paraId="711F6151" w14:textId="77777777" w:rsidR="004A4E14" w:rsidRPr="002278E9" w:rsidRDefault="004A4E14">
            <w:pPr>
              <w:jc w:val="center"/>
              <w:rPr>
                <w:sz w:val="24"/>
                <w:szCs w:val="24"/>
              </w:rPr>
            </w:pPr>
            <w:r w:rsidRPr="002278E9">
              <w:rPr>
                <w:sz w:val="24"/>
                <w:szCs w:val="24"/>
              </w:rPr>
              <w:t>307,233</w:t>
            </w:r>
          </w:p>
        </w:tc>
        <w:tc>
          <w:tcPr>
            <w:tcW w:w="1296" w:type="dxa"/>
          </w:tcPr>
          <w:p w14:paraId="5BE55B75" w14:textId="77777777" w:rsidR="004A4E14" w:rsidRPr="002278E9" w:rsidRDefault="004A4E14">
            <w:pPr>
              <w:jc w:val="center"/>
              <w:rPr>
                <w:sz w:val="24"/>
                <w:szCs w:val="24"/>
              </w:rPr>
            </w:pPr>
            <w:r w:rsidRPr="002278E9">
              <w:rPr>
                <w:sz w:val="24"/>
                <w:szCs w:val="24"/>
              </w:rPr>
              <w:t>310,093</w:t>
            </w:r>
          </w:p>
        </w:tc>
        <w:tc>
          <w:tcPr>
            <w:tcW w:w="1296" w:type="dxa"/>
          </w:tcPr>
          <w:p w14:paraId="08F27B3D" w14:textId="77777777" w:rsidR="004A4E14" w:rsidRPr="002278E9" w:rsidRDefault="004A4E14">
            <w:pPr>
              <w:jc w:val="center"/>
              <w:rPr>
                <w:sz w:val="24"/>
                <w:szCs w:val="24"/>
              </w:rPr>
            </w:pPr>
            <w:r w:rsidRPr="002278E9">
              <w:rPr>
                <w:sz w:val="24"/>
                <w:szCs w:val="24"/>
              </w:rPr>
              <w:t>312,989</w:t>
            </w:r>
          </w:p>
        </w:tc>
      </w:tr>
      <w:tr w:rsidR="004A4E14" w:rsidRPr="00CA3556" w14:paraId="1A319DDE" w14:textId="77777777" w:rsidTr="00BD12C4">
        <w:trPr>
          <w:cantSplit/>
        </w:trPr>
        <w:tc>
          <w:tcPr>
            <w:tcW w:w="2875" w:type="dxa"/>
            <w:shd w:val="clear" w:color="auto" w:fill="DBE5F1" w:themeFill="accent1" w:themeFillTint="33"/>
          </w:tcPr>
          <w:p w14:paraId="7ED41C88" w14:textId="77777777" w:rsidR="004A4E14" w:rsidRPr="002278E9" w:rsidRDefault="004A4E14">
            <w:pPr>
              <w:rPr>
                <w:sz w:val="24"/>
                <w:szCs w:val="24"/>
              </w:rPr>
            </w:pPr>
            <w:r w:rsidRPr="002278E9">
              <w:rPr>
                <w:sz w:val="24"/>
                <w:szCs w:val="24"/>
              </w:rPr>
              <w:t>Bedded Outpatient Days</w:t>
            </w:r>
            <w:r w:rsidRPr="002278E9">
              <w:rPr>
                <w:rStyle w:val="FootnoteReference"/>
                <w:sz w:val="24"/>
                <w:szCs w:val="24"/>
              </w:rPr>
              <w:footnoteReference w:id="13"/>
            </w:r>
          </w:p>
        </w:tc>
        <w:tc>
          <w:tcPr>
            <w:tcW w:w="1296" w:type="dxa"/>
          </w:tcPr>
          <w:p w14:paraId="2A578D16" w14:textId="77777777" w:rsidR="004A4E14" w:rsidRPr="002278E9" w:rsidRDefault="004A4E14">
            <w:pPr>
              <w:jc w:val="center"/>
              <w:rPr>
                <w:sz w:val="24"/>
                <w:szCs w:val="24"/>
              </w:rPr>
            </w:pPr>
            <w:r w:rsidRPr="002278E9">
              <w:rPr>
                <w:sz w:val="24"/>
                <w:szCs w:val="24"/>
              </w:rPr>
              <w:t>12,013</w:t>
            </w:r>
          </w:p>
        </w:tc>
        <w:tc>
          <w:tcPr>
            <w:tcW w:w="1296" w:type="dxa"/>
          </w:tcPr>
          <w:p w14:paraId="7BCC4C3F" w14:textId="77777777" w:rsidR="004A4E14" w:rsidRPr="002278E9" w:rsidRDefault="004A4E14">
            <w:pPr>
              <w:jc w:val="center"/>
              <w:rPr>
                <w:sz w:val="24"/>
                <w:szCs w:val="24"/>
              </w:rPr>
            </w:pPr>
            <w:r w:rsidRPr="002278E9">
              <w:rPr>
                <w:sz w:val="24"/>
                <w:szCs w:val="24"/>
              </w:rPr>
              <w:t>12,013</w:t>
            </w:r>
          </w:p>
        </w:tc>
        <w:tc>
          <w:tcPr>
            <w:tcW w:w="1296" w:type="dxa"/>
          </w:tcPr>
          <w:p w14:paraId="6796031F" w14:textId="77777777" w:rsidR="004A4E14" w:rsidRPr="002278E9" w:rsidRDefault="004A4E14">
            <w:pPr>
              <w:jc w:val="center"/>
              <w:rPr>
                <w:sz w:val="24"/>
                <w:szCs w:val="24"/>
              </w:rPr>
            </w:pPr>
            <w:r w:rsidRPr="002278E9">
              <w:rPr>
                <w:sz w:val="24"/>
                <w:szCs w:val="24"/>
              </w:rPr>
              <w:t>12,013</w:t>
            </w:r>
          </w:p>
        </w:tc>
        <w:tc>
          <w:tcPr>
            <w:tcW w:w="1296" w:type="dxa"/>
          </w:tcPr>
          <w:p w14:paraId="0102AE62" w14:textId="77777777" w:rsidR="004A4E14" w:rsidRPr="002278E9" w:rsidRDefault="004A4E14">
            <w:pPr>
              <w:jc w:val="center"/>
              <w:rPr>
                <w:sz w:val="24"/>
                <w:szCs w:val="24"/>
              </w:rPr>
            </w:pPr>
            <w:r w:rsidRPr="002278E9">
              <w:rPr>
                <w:sz w:val="24"/>
                <w:szCs w:val="24"/>
              </w:rPr>
              <w:t>12,013</w:t>
            </w:r>
          </w:p>
        </w:tc>
        <w:tc>
          <w:tcPr>
            <w:tcW w:w="1296" w:type="dxa"/>
          </w:tcPr>
          <w:p w14:paraId="5EE88B37" w14:textId="77777777" w:rsidR="004A4E14" w:rsidRPr="002278E9" w:rsidRDefault="004A4E14">
            <w:pPr>
              <w:jc w:val="center"/>
              <w:rPr>
                <w:sz w:val="24"/>
                <w:szCs w:val="24"/>
              </w:rPr>
            </w:pPr>
            <w:r w:rsidRPr="002278E9">
              <w:rPr>
                <w:sz w:val="24"/>
                <w:szCs w:val="24"/>
              </w:rPr>
              <w:t>12,013</w:t>
            </w:r>
          </w:p>
        </w:tc>
      </w:tr>
      <w:tr w:rsidR="004A4E14" w:rsidRPr="00CA3556" w14:paraId="77B4B108" w14:textId="77777777" w:rsidTr="00BD12C4">
        <w:trPr>
          <w:cantSplit/>
        </w:trPr>
        <w:tc>
          <w:tcPr>
            <w:tcW w:w="2875" w:type="dxa"/>
            <w:shd w:val="clear" w:color="auto" w:fill="DBE5F1" w:themeFill="accent1" w:themeFillTint="33"/>
          </w:tcPr>
          <w:p w14:paraId="7C820744" w14:textId="77777777" w:rsidR="004A4E14" w:rsidRPr="002278E9" w:rsidRDefault="004A4E14">
            <w:pPr>
              <w:rPr>
                <w:sz w:val="24"/>
                <w:szCs w:val="24"/>
              </w:rPr>
            </w:pPr>
            <w:r w:rsidRPr="002278E9">
              <w:rPr>
                <w:sz w:val="24"/>
                <w:szCs w:val="24"/>
              </w:rPr>
              <w:t>Total Days</w:t>
            </w:r>
          </w:p>
        </w:tc>
        <w:tc>
          <w:tcPr>
            <w:tcW w:w="1296" w:type="dxa"/>
          </w:tcPr>
          <w:p w14:paraId="235DAFB2" w14:textId="77777777" w:rsidR="004A4E14" w:rsidRPr="002278E9" w:rsidRDefault="004A4E14">
            <w:pPr>
              <w:jc w:val="center"/>
              <w:rPr>
                <w:sz w:val="24"/>
                <w:szCs w:val="24"/>
              </w:rPr>
            </w:pPr>
            <w:r w:rsidRPr="002278E9">
              <w:rPr>
                <w:sz w:val="24"/>
                <w:szCs w:val="24"/>
              </w:rPr>
              <w:t>311,998</w:t>
            </w:r>
          </w:p>
        </w:tc>
        <w:tc>
          <w:tcPr>
            <w:tcW w:w="1296" w:type="dxa"/>
          </w:tcPr>
          <w:p w14:paraId="5C29FA08" w14:textId="77777777" w:rsidR="004A4E14" w:rsidRPr="002278E9" w:rsidRDefault="004A4E14">
            <w:pPr>
              <w:jc w:val="center"/>
              <w:rPr>
                <w:sz w:val="24"/>
                <w:szCs w:val="24"/>
              </w:rPr>
            </w:pPr>
            <w:r w:rsidRPr="002278E9">
              <w:rPr>
                <w:sz w:val="24"/>
                <w:szCs w:val="24"/>
              </w:rPr>
              <w:t>315,282</w:t>
            </w:r>
          </w:p>
        </w:tc>
        <w:tc>
          <w:tcPr>
            <w:tcW w:w="1296" w:type="dxa"/>
          </w:tcPr>
          <w:p w14:paraId="5169F1DA" w14:textId="77777777" w:rsidR="004A4E14" w:rsidRPr="002278E9" w:rsidRDefault="004A4E14">
            <w:pPr>
              <w:jc w:val="center"/>
              <w:rPr>
                <w:sz w:val="24"/>
                <w:szCs w:val="24"/>
              </w:rPr>
            </w:pPr>
            <w:r w:rsidRPr="002278E9">
              <w:rPr>
                <w:sz w:val="24"/>
                <w:szCs w:val="24"/>
              </w:rPr>
              <w:t>319,246</w:t>
            </w:r>
          </w:p>
        </w:tc>
        <w:tc>
          <w:tcPr>
            <w:tcW w:w="1296" w:type="dxa"/>
          </w:tcPr>
          <w:p w14:paraId="68701614" w14:textId="77777777" w:rsidR="004A4E14" w:rsidRPr="002278E9" w:rsidRDefault="004A4E14">
            <w:pPr>
              <w:jc w:val="center"/>
              <w:rPr>
                <w:sz w:val="24"/>
                <w:szCs w:val="24"/>
              </w:rPr>
            </w:pPr>
            <w:r w:rsidRPr="002278E9">
              <w:rPr>
                <w:sz w:val="24"/>
                <w:szCs w:val="24"/>
              </w:rPr>
              <w:t>322,106</w:t>
            </w:r>
          </w:p>
        </w:tc>
        <w:tc>
          <w:tcPr>
            <w:tcW w:w="1296" w:type="dxa"/>
          </w:tcPr>
          <w:p w14:paraId="2F0BEDF6" w14:textId="77777777" w:rsidR="004A4E14" w:rsidRPr="002278E9" w:rsidRDefault="004A4E14">
            <w:pPr>
              <w:jc w:val="center"/>
              <w:rPr>
                <w:sz w:val="24"/>
                <w:szCs w:val="24"/>
              </w:rPr>
            </w:pPr>
            <w:r w:rsidRPr="002278E9">
              <w:rPr>
                <w:sz w:val="24"/>
                <w:szCs w:val="24"/>
              </w:rPr>
              <w:t>325,002</w:t>
            </w:r>
          </w:p>
        </w:tc>
      </w:tr>
      <w:tr w:rsidR="004A4E14" w:rsidRPr="00CA3556" w14:paraId="2D71C2F6" w14:textId="77777777" w:rsidTr="00BD12C4">
        <w:trPr>
          <w:cantSplit/>
        </w:trPr>
        <w:tc>
          <w:tcPr>
            <w:tcW w:w="2875" w:type="dxa"/>
            <w:shd w:val="clear" w:color="auto" w:fill="DBE5F1" w:themeFill="accent1" w:themeFillTint="33"/>
          </w:tcPr>
          <w:p w14:paraId="69F888B9" w14:textId="77777777" w:rsidR="004A4E14" w:rsidRPr="002278E9" w:rsidRDefault="004A4E14">
            <w:pPr>
              <w:rPr>
                <w:sz w:val="24"/>
                <w:szCs w:val="24"/>
              </w:rPr>
            </w:pPr>
            <w:r w:rsidRPr="002278E9">
              <w:rPr>
                <w:sz w:val="24"/>
                <w:szCs w:val="24"/>
              </w:rPr>
              <w:t xml:space="preserve">Inpatient Occupancy </w:t>
            </w:r>
          </w:p>
        </w:tc>
        <w:tc>
          <w:tcPr>
            <w:tcW w:w="1296" w:type="dxa"/>
          </w:tcPr>
          <w:p w14:paraId="7EA2151E" w14:textId="77777777" w:rsidR="004A4E14" w:rsidRPr="002278E9" w:rsidRDefault="004A4E14">
            <w:pPr>
              <w:jc w:val="center"/>
              <w:rPr>
                <w:sz w:val="24"/>
                <w:szCs w:val="24"/>
              </w:rPr>
            </w:pPr>
            <w:r w:rsidRPr="002278E9">
              <w:rPr>
                <w:sz w:val="24"/>
                <w:szCs w:val="24"/>
              </w:rPr>
              <w:t>82.7%</w:t>
            </w:r>
          </w:p>
        </w:tc>
        <w:tc>
          <w:tcPr>
            <w:tcW w:w="1296" w:type="dxa"/>
          </w:tcPr>
          <w:p w14:paraId="2B112007" w14:textId="77777777" w:rsidR="004A4E14" w:rsidRPr="002278E9" w:rsidRDefault="004A4E14">
            <w:pPr>
              <w:jc w:val="center"/>
              <w:rPr>
                <w:sz w:val="24"/>
                <w:szCs w:val="24"/>
              </w:rPr>
            </w:pPr>
            <w:r w:rsidRPr="002278E9">
              <w:rPr>
                <w:sz w:val="24"/>
                <w:szCs w:val="24"/>
              </w:rPr>
              <w:t>83.6%</w:t>
            </w:r>
          </w:p>
        </w:tc>
        <w:tc>
          <w:tcPr>
            <w:tcW w:w="1296" w:type="dxa"/>
          </w:tcPr>
          <w:p w14:paraId="4B067765" w14:textId="77777777" w:rsidR="004A4E14" w:rsidRPr="002278E9" w:rsidRDefault="004A4E14">
            <w:pPr>
              <w:jc w:val="center"/>
              <w:rPr>
                <w:sz w:val="24"/>
                <w:szCs w:val="24"/>
              </w:rPr>
            </w:pPr>
            <w:r w:rsidRPr="002278E9">
              <w:rPr>
                <w:sz w:val="24"/>
                <w:szCs w:val="24"/>
              </w:rPr>
              <w:t>84.7%</w:t>
            </w:r>
          </w:p>
        </w:tc>
        <w:tc>
          <w:tcPr>
            <w:tcW w:w="1296" w:type="dxa"/>
          </w:tcPr>
          <w:p w14:paraId="521F4923" w14:textId="77777777" w:rsidR="004A4E14" w:rsidRPr="002278E9" w:rsidRDefault="004A4E14">
            <w:pPr>
              <w:jc w:val="center"/>
              <w:rPr>
                <w:sz w:val="24"/>
                <w:szCs w:val="24"/>
              </w:rPr>
            </w:pPr>
            <w:r w:rsidRPr="002278E9">
              <w:rPr>
                <w:sz w:val="24"/>
                <w:szCs w:val="24"/>
              </w:rPr>
              <w:t>85.5%</w:t>
            </w:r>
          </w:p>
        </w:tc>
        <w:tc>
          <w:tcPr>
            <w:tcW w:w="1296" w:type="dxa"/>
          </w:tcPr>
          <w:p w14:paraId="1545AFB0" w14:textId="77777777" w:rsidR="004A4E14" w:rsidRPr="002278E9" w:rsidRDefault="004A4E14">
            <w:pPr>
              <w:jc w:val="center"/>
              <w:rPr>
                <w:sz w:val="24"/>
                <w:szCs w:val="24"/>
              </w:rPr>
            </w:pPr>
            <w:r w:rsidRPr="002278E9">
              <w:rPr>
                <w:sz w:val="24"/>
                <w:szCs w:val="24"/>
              </w:rPr>
              <w:t>86.3%</w:t>
            </w:r>
          </w:p>
        </w:tc>
      </w:tr>
      <w:tr w:rsidR="004A4E14" w:rsidRPr="00CA3556" w14:paraId="052E0CBD" w14:textId="77777777" w:rsidTr="00BD12C4">
        <w:trPr>
          <w:cantSplit/>
        </w:trPr>
        <w:tc>
          <w:tcPr>
            <w:tcW w:w="2875" w:type="dxa"/>
            <w:shd w:val="clear" w:color="auto" w:fill="DBE5F1" w:themeFill="accent1" w:themeFillTint="33"/>
          </w:tcPr>
          <w:p w14:paraId="005130E9" w14:textId="77777777" w:rsidR="004A4E14" w:rsidRPr="002278E9" w:rsidRDefault="004A4E14">
            <w:pPr>
              <w:rPr>
                <w:sz w:val="24"/>
                <w:szCs w:val="24"/>
              </w:rPr>
            </w:pPr>
            <w:r w:rsidRPr="002278E9">
              <w:rPr>
                <w:sz w:val="24"/>
                <w:szCs w:val="24"/>
              </w:rPr>
              <w:t>Bedded Outpatient Occupancy</w:t>
            </w:r>
          </w:p>
        </w:tc>
        <w:tc>
          <w:tcPr>
            <w:tcW w:w="1296" w:type="dxa"/>
          </w:tcPr>
          <w:p w14:paraId="45CE1071" w14:textId="77777777" w:rsidR="004A4E14" w:rsidRPr="002278E9" w:rsidRDefault="004A4E14">
            <w:pPr>
              <w:jc w:val="center"/>
              <w:rPr>
                <w:sz w:val="24"/>
                <w:szCs w:val="24"/>
              </w:rPr>
            </w:pPr>
            <w:r w:rsidRPr="002278E9">
              <w:rPr>
                <w:sz w:val="24"/>
                <w:szCs w:val="24"/>
              </w:rPr>
              <w:t>3.3%</w:t>
            </w:r>
          </w:p>
        </w:tc>
        <w:tc>
          <w:tcPr>
            <w:tcW w:w="1296" w:type="dxa"/>
          </w:tcPr>
          <w:p w14:paraId="0D59A8EE" w14:textId="77777777" w:rsidR="004A4E14" w:rsidRPr="002278E9" w:rsidRDefault="004A4E14">
            <w:pPr>
              <w:jc w:val="center"/>
              <w:rPr>
                <w:sz w:val="24"/>
                <w:szCs w:val="24"/>
              </w:rPr>
            </w:pPr>
            <w:r w:rsidRPr="002278E9">
              <w:rPr>
                <w:sz w:val="24"/>
                <w:szCs w:val="24"/>
              </w:rPr>
              <w:t>3.3%</w:t>
            </w:r>
          </w:p>
        </w:tc>
        <w:tc>
          <w:tcPr>
            <w:tcW w:w="1296" w:type="dxa"/>
          </w:tcPr>
          <w:p w14:paraId="43B26736" w14:textId="77777777" w:rsidR="004A4E14" w:rsidRPr="002278E9" w:rsidRDefault="004A4E14">
            <w:pPr>
              <w:jc w:val="center"/>
              <w:rPr>
                <w:sz w:val="24"/>
                <w:szCs w:val="24"/>
              </w:rPr>
            </w:pPr>
            <w:r w:rsidRPr="002278E9">
              <w:rPr>
                <w:sz w:val="24"/>
                <w:szCs w:val="24"/>
              </w:rPr>
              <w:t>3.3%</w:t>
            </w:r>
          </w:p>
        </w:tc>
        <w:tc>
          <w:tcPr>
            <w:tcW w:w="1296" w:type="dxa"/>
          </w:tcPr>
          <w:p w14:paraId="2E2E57AA" w14:textId="77777777" w:rsidR="004A4E14" w:rsidRPr="002278E9" w:rsidRDefault="004A4E14">
            <w:pPr>
              <w:jc w:val="center"/>
              <w:rPr>
                <w:sz w:val="24"/>
                <w:szCs w:val="24"/>
              </w:rPr>
            </w:pPr>
            <w:r w:rsidRPr="002278E9">
              <w:rPr>
                <w:sz w:val="24"/>
                <w:szCs w:val="24"/>
              </w:rPr>
              <w:t>3.3%</w:t>
            </w:r>
          </w:p>
        </w:tc>
        <w:tc>
          <w:tcPr>
            <w:tcW w:w="1296" w:type="dxa"/>
          </w:tcPr>
          <w:p w14:paraId="42E5CE74" w14:textId="77777777" w:rsidR="004A4E14" w:rsidRPr="002278E9" w:rsidRDefault="004A4E14">
            <w:pPr>
              <w:jc w:val="center"/>
              <w:rPr>
                <w:sz w:val="24"/>
                <w:szCs w:val="24"/>
              </w:rPr>
            </w:pPr>
            <w:r w:rsidRPr="002278E9">
              <w:rPr>
                <w:sz w:val="24"/>
                <w:szCs w:val="24"/>
              </w:rPr>
              <w:t>3.3%</w:t>
            </w:r>
          </w:p>
        </w:tc>
      </w:tr>
      <w:tr w:rsidR="004A4E14" w:rsidRPr="00CA3556" w14:paraId="287AD361" w14:textId="77777777" w:rsidTr="00BD12C4">
        <w:trPr>
          <w:cantSplit/>
        </w:trPr>
        <w:tc>
          <w:tcPr>
            <w:tcW w:w="2875" w:type="dxa"/>
            <w:shd w:val="clear" w:color="auto" w:fill="DBE5F1" w:themeFill="accent1" w:themeFillTint="33"/>
          </w:tcPr>
          <w:p w14:paraId="52AB64E8" w14:textId="77777777" w:rsidR="004A4E14" w:rsidRPr="002278E9" w:rsidRDefault="004A4E14">
            <w:pPr>
              <w:rPr>
                <w:b/>
                <w:bCs/>
                <w:sz w:val="24"/>
                <w:szCs w:val="24"/>
              </w:rPr>
            </w:pPr>
            <w:r w:rsidRPr="002278E9">
              <w:rPr>
                <w:b/>
                <w:bCs/>
                <w:sz w:val="24"/>
                <w:szCs w:val="24"/>
              </w:rPr>
              <w:t xml:space="preserve">Total Occupancy </w:t>
            </w:r>
          </w:p>
        </w:tc>
        <w:tc>
          <w:tcPr>
            <w:tcW w:w="1296" w:type="dxa"/>
          </w:tcPr>
          <w:p w14:paraId="144B059B" w14:textId="77777777" w:rsidR="004A4E14" w:rsidRPr="002278E9" w:rsidRDefault="004A4E14">
            <w:pPr>
              <w:jc w:val="center"/>
              <w:rPr>
                <w:b/>
                <w:bCs/>
                <w:sz w:val="24"/>
                <w:szCs w:val="24"/>
              </w:rPr>
            </w:pPr>
            <w:r w:rsidRPr="002278E9">
              <w:rPr>
                <w:b/>
                <w:bCs/>
                <w:sz w:val="24"/>
                <w:szCs w:val="24"/>
              </w:rPr>
              <w:t>86.0%</w:t>
            </w:r>
          </w:p>
        </w:tc>
        <w:tc>
          <w:tcPr>
            <w:tcW w:w="1296" w:type="dxa"/>
          </w:tcPr>
          <w:p w14:paraId="1D22BF50" w14:textId="77777777" w:rsidR="004A4E14" w:rsidRPr="002278E9" w:rsidRDefault="004A4E14">
            <w:pPr>
              <w:jc w:val="center"/>
              <w:rPr>
                <w:b/>
                <w:bCs/>
                <w:sz w:val="24"/>
                <w:szCs w:val="24"/>
              </w:rPr>
            </w:pPr>
            <w:r w:rsidRPr="002278E9">
              <w:rPr>
                <w:b/>
                <w:bCs/>
                <w:sz w:val="24"/>
                <w:szCs w:val="24"/>
              </w:rPr>
              <w:t>86.9%</w:t>
            </w:r>
          </w:p>
        </w:tc>
        <w:tc>
          <w:tcPr>
            <w:tcW w:w="1296" w:type="dxa"/>
          </w:tcPr>
          <w:p w14:paraId="591215C9" w14:textId="77777777" w:rsidR="004A4E14" w:rsidRPr="002278E9" w:rsidRDefault="004A4E14">
            <w:pPr>
              <w:jc w:val="center"/>
              <w:rPr>
                <w:b/>
                <w:bCs/>
                <w:sz w:val="24"/>
                <w:szCs w:val="24"/>
              </w:rPr>
            </w:pPr>
            <w:r w:rsidRPr="002278E9">
              <w:rPr>
                <w:b/>
                <w:bCs/>
                <w:sz w:val="24"/>
                <w:szCs w:val="24"/>
              </w:rPr>
              <w:t>88.0%</w:t>
            </w:r>
          </w:p>
        </w:tc>
        <w:tc>
          <w:tcPr>
            <w:tcW w:w="1296" w:type="dxa"/>
          </w:tcPr>
          <w:p w14:paraId="25DAA2ED" w14:textId="77777777" w:rsidR="004A4E14" w:rsidRPr="002278E9" w:rsidRDefault="004A4E14">
            <w:pPr>
              <w:jc w:val="center"/>
              <w:rPr>
                <w:b/>
                <w:bCs/>
                <w:sz w:val="24"/>
                <w:szCs w:val="24"/>
              </w:rPr>
            </w:pPr>
            <w:r w:rsidRPr="002278E9">
              <w:rPr>
                <w:b/>
                <w:bCs/>
                <w:sz w:val="24"/>
                <w:szCs w:val="24"/>
              </w:rPr>
              <w:t>88.8%</w:t>
            </w:r>
          </w:p>
        </w:tc>
        <w:tc>
          <w:tcPr>
            <w:tcW w:w="1296" w:type="dxa"/>
          </w:tcPr>
          <w:p w14:paraId="4FA92EF2" w14:textId="77777777" w:rsidR="004A4E14" w:rsidRPr="002278E9" w:rsidRDefault="004A4E14">
            <w:pPr>
              <w:jc w:val="center"/>
              <w:rPr>
                <w:b/>
                <w:bCs/>
                <w:sz w:val="24"/>
                <w:szCs w:val="24"/>
              </w:rPr>
            </w:pPr>
            <w:r w:rsidRPr="002278E9">
              <w:rPr>
                <w:b/>
                <w:bCs/>
                <w:sz w:val="24"/>
                <w:szCs w:val="24"/>
              </w:rPr>
              <w:t>89.6%</w:t>
            </w:r>
          </w:p>
        </w:tc>
      </w:tr>
    </w:tbl>
    <w:p w14:paraId="606EC657" w14:textId="77777777" w:rsidR="004A4E14" w:rsidRDefault="004A4E14" w:rsidP="00882AEE">
      <w:pPr>
        <w:ind w:right="-10"/>
        <w:rPr>
          <w:sz w:val="24"/>
        </w:rPr>
      </w:pPr>
    </w:p>
    <w:p w14:paraId="556DA743" w14:textId="48FC6F15" w:rsidR="00DD3255" w:rsidRDefault="00674D97" w:rsidP="6F0FA7D6">
      <w:pPr>
        <w:ind w:right="-10"/>
        <w:rPr>
          <w:rFonts w:cstheme="minorHAnsi"/>
          <w:sz w:val="24"/>
          <w:szCs w:val="24"/>
        </w:rPr>
      </w:pPr>
      <w:r w:rsidRPr="6F0FA7D6">
        <w:rPr>
          <w:sz w:val="24"/>
          <w:szCs w:val="24"/>
        </w:rPr>
        <w:t>The Holder states</w:t>
      </w:r>
      <w:r w:rsidR="008D7E13" w:rsidRPr="6F0FA7D6">
        <w:rPr>
          <w:sz w:val="24"/>
          <w:szCs w:val="24"/>
        </w:rPr>
        <w:t xml:space="preserve"> </w:t>
      </w:r>
      <w:r w:rsidR="00EA7333">
        <w:rPr>
          <w:sz w:val="24"/>
          <w:szCs w:val="24"/>
        </w:rPr>
        <w:t xml:space="preserve">that </w:t>
      </w:r>
      <w:r w:rsidR="00D5599D">
        <w:rPr>
          <w:sz w:val="24"/>
          <w:szCs w:val="24"/>
        </w:rPr>
        <w:t xml:space="preserve">adding bed capacity is </w:t>
      </w:r>
      <w:r w:rsidR="002F4646">
        <w:rPr>
          <w:sz w:val="24"/>
          <w:szCs w:val="24"/>
        </w:rPr>
        <w:t xml:space="preserve">just one part of a </w:t>
      </w:r>
      <w:r w:rsidR="0013470D" w:rsidRPr="6F0FA7D6">
        <w:rPr>
          <w:sz w:val="24"/>
          <w:szCs w:val="24"/>
        </w:rPr>
        <w:t>multi-factor approach to managing capacity issues at the Hospital</w:t>
      </w:r>
      <w:r w:rsidR="00663EA5" w:rsidRPr="6F0FA7D6">
        <w:rPr>
          <w:sz w:val="24"/>
          <w:szCs w:val="24"/>
        </w:rPr>
        <w:t xml:space="preserve">. </w:t>
      </w:r>
      <w:r w:rsidR="002F4646">
        <w:rPr>
          <w:rFonts w:cstheme="minorHAnsi"/>
          <w:sz w:val="24"/>
          <w:szCs w:val="24"/>
        </w:rPr>
        <w:t xml:space="preserve">One </w:t>
      </w:r>
      <w:r w:rsidR="00DD3255">
        <w:rPr>
          <w:rFonts w:cstheme="minorHAnsi"/>
          <w:sz w:val="24"/>
          <w:szCs w:val="24"/>
        </w:rPr>
        <w:t>aspect of the capacity issue</w:t>
      </w:r>
      <w:r w:rsidR="002F4646">
        <w:rPr>
          <w:rFonts w:cstheme="minorHAnsi"/>
          <w:sz w:val="24"/>
          <w:szCs w:val="24"/>
        </w:rPr>
        <w:t xml:space="preserve"> has been</w:t>
      </w:r>
      <w:r w:rsidR="002F4646" w:rsidRPr="0094621A">
        <w:rPr>
          <w:rFonts w:cstheme="minorHAnsi"/>
          <w:sz w:val="24"/>
          <w:szCs w:val="24"/>
        </w:rPr>
        <w:t xml:space="preserve"> delays in transitioning patients to post-acute facilities.  MGH </w:t>
      </w:r>
      <w:r w:rsidR="00DD3255">
        <w:rPr>
          <w:rFonts w:cstheme="minorHAnsi"/>
          <w:sz w:val="24"/>
          <w:szCs w:val="24"/>
        </w:rPr>
        <w:t xml:space="preserve">reports that it </w:t>
      </w:r>
      <w:r w:rsidR="002F4646" w:rsidRPr="0094621A">
        <w:rPr>
          <w:rFonts w:cstheme="minorHAnsi"/>
          <w:sz w:val="24"/>
          <w:szCs w:val="24"/>
        </w:rPr>
        <w:t>has recently established a system to collect data on the number of patient days associated with these delays</w:t>
      </w:r>
      <w:r w:rsidR="00DD3255">
        <w:rPr>
          <w:rFonts w:cstheme="minorHAnsi"/>
          <w:sz w:val="24"/>
          <w:szCs w:val="24"/>
        </w:rPr>
        <w:t xml:space="preserve">, </w:t>
      </w:r>
      <w:r w:rsidR="002F4646" w:rsidRPr="0094621A">
        <w:rPr>
          <w:rFonts w:cstheme="minorHAnsi"/>
          <w:sz w:val="24"/>
          <w:szCs w:val="24"/>
        </w:rPr>
        <w:t xml:space="preserve">inputting an indicator when patients are medically cleared for discharge.  In the future, MGH intends to </w:t>
      </w:r>
      <w:r w:rsidR="002F4646" w:rsidRPr="00200FAD">
        <w:rPr>
          <w:rFonts w:cstheme="minorHAnsi"/>
          <w:sz w:val="24"/>
          <w:szCs w:val="24"/>
        </w:rPr>
        <w:lastRenderedPageBreak/>
        <w:t>r</w:t>
      </w:r>
      <w:r w:rsidR="002F4646" w:rsidRPr="0098609C">
        <w:rPr>
          <w:rFonts w:cstheme="minorHAnsi"/>
          <w:sz w:val="24"/>
          <w:szCs w:val="24"/>
        </w:rPr>
        <w:t>eport on the number of delay days for both med/surg and mental health patient populations.</w:t>
      </w:r>
      <w:r w:rsidR="002F4646" w:rsidRPr="0094621A">
        <w:rPr>
          <w:rFonts w:cstheme="minorHAnsi"/>
          <w:sz w:val="24"/>
          <w:szCs w:val="24"/>
        </w:rPr>
        <w:t xml:space="preserve">    </w:t>
      </w:r>
    </w:p>
    <w:p w14:paraId="56CDF1E0" w14:textId="77777777" w:rsidR="00E21250" w:rsidRDefault="002F4646" w:rsidP="6F0FA7D6">
      <w:pPr>
        <w:ind w:right="-10"/>
        <w:rPr>
          <w:rFonts w:cstheme="minorHAnsi"/>
          <w:sz w:val="20"/>
          <w:szCs w:val="20"/>
        </w:rPr>
      </w:pPr>
      <w:r w:rsidRPr="0094621A">
        <w:rPr>
          <w:rFonts w:cstheme="minorHAnsi"/>
          <w:sz w:val="24"/>
          <w:szCs w:val="24"/>
        </w:rPr>
        <w:t>Since FY</w:t>
      </w:r>
      <w:r>
        <w:rPr>
          <w:rFonts w:cstheme="minorHAnsi"/>
          <w:sz w:val="24"/>
          <w:szCs w:val="24"/>
        </w:rPr>
        <w:t>20</w:t>
      </w:r>
      <w:r w:rsidRPr="0094621A">
        <w:rPr>
          <w:rFonts w:cstheme="minorHAnsi"/>
          <w:sz w:val="24"/>
          <w:szCs w:val="24"/>
        </w:rPr>
        <w:t xml:space="preserve">22, </w:t>
      </w:r>
      <w:r>
        <w:rPr>
          <w:rFonts w:cstheme="minorHAnsi"/>
          <w:sz w:val="24"/>
          <w:szCs w:val="24"/>
        </w:rPr>
        <w:t>the Holder</w:t>
      </w:r>
      <w:r w:rsidRPr="0094621A">
        <w:rPr>
          <w:rFonts w:cstheme="minorHAnsi"/>
          <w:sz w:val="24"/>
          <w:szCs w:val="24"/>
        </w:rPr>
        <w:t xml:space="preserve"> has sought to address the challenge of discharge delays by contracting for access to 69 leased skilled nursing facility (SNF) beds.</w:t>
      </w:r>
      <w:r w:rsidRPr="00181CA6">
        <w:rPr>
          <w:rFonts w:cstheme="minorHAnsi"/>
          <w:sz w:val="20"/>
          <w:szCs w:val="20"/>
        </w:rPr>
        <w:t xml:space="preserve"> </w:t>
      </w:r>
    </w:p>
    <w:p w14:paraId="63D460B9" w14:textId="77777777" w:rsidR="00E21250" w:rsidRDefault="00E21250" w:rsidP="6F0FA7D6">
      <w:pPr>
        <w:ind w:right="-10"/>
        <w:rPr>
          <w:rFonts w:cstheme="minorHAnsi"/>
          <w:sz w:val="20"/>
          <w:szCs w:val="20"/>
        </w:rPr>
      </w:pPr>
    </w:p>
    <w:p w14:paraId="05038D13" w14:textId="1873D9B7" w:rsidR="00B76029" w:rsidRDefault="00663EA5" w:rsidP="6F0FA7D6">
      <w:pPr>
        <w:ind w:right="-10"/>
        <w:rPr>
          <w:sz w:val="24"/>
          <w:szCs w:val="24"/>
        </w:rPr>
      </w:pPr>
      <w:r w:rsidRPr="6F0FA7D6">
        <w:rPr>
          <w:sz w:val="24"/>
          <w:szCs w:val="24"/>
        </w:rPr>
        <w:t xml:space="preserve">The Holder </w:t>
      </w:r>
      <w:r w:rsidR="00E21250">
        <w:rPr>
          <w:sz w:val="24"/>
          <w:szCs w:val="24"/>
        </w:rPr>
        <w:t xml:space="preserve">has also sought to address capacity issues </w:t>
      </w:r>
      <w:r w:rsidR="00C4608A">
        <w:rPr>
          <w:sz w:val="24"/>
          <w:szCs w:val="24"/>
        </w:rPr>
        <w:t xml:space="preserve">by </w:t>
      </w:r>
      <w:r w:rsidR="004E7C33" w:rsidRPr="6F0FA7D6">
        <w:rPr>
          <w:sz w:val="24"/>
          <w:szCs w:val="24"/>
        </w:rPr>
        <w:t>direct</w:t>
      </w:r>
      <w:r w:rsidR="00C4608A">
        <w:rPr>
          <w:sz w:val="24"/>
          <w:szCs w:val="24"/>
        </w:rPr>
        <w:t>ing</w:t>
      </w:r>
      <w:r w:rsidR="004E7C33" w:rsidRPr="6F0FA7D6">
        <w:rPr>
          <w:sz w:val="24"/>
          <w:szCs w:val="24"/>
        </w:rPr>
        <w:t xml:space="preserve"> </w:t>
      </w:r>
      <w:r w:rsidR="00C4608A">
        <w:rPr>
          <w:sz w:val="24"/>
          <w:szCs w:val="24"/>
        </w:rPr>
        <w:t xml:space="preserve">appropriate </w:t>
      </w:r>
      <w:r w:rsidR="004E7C33" w:rsidRPr="6F0FA7D6">
        <w:rPr>
          <w:sz w:val="24"/>
          <w:szCs w:val="24"/>
        </w:rPr>
        <w:t>admissions to community hospitals</w:t>
      </w:r>
      <w:r w:rsidR="0027009B" w:rsidRPr="6F0FA7D6">
        <w:rPr>
          <w:sz w:val="24"/>
          <w:szCs w:val="24"/>
        </w:rPr>
        <w:t>, inc</w:t>
      </w:r>
      <w:r w:rsidR="0028472E" w:rsidRPr="6F0FA7D6">
        <w:rPr>
          <w:sz w:val="24"/>
          <w:szCs w:val="24"/>
        </w:rPr>
        <w:t xml:space="preserve">luding </w:t>
      </w:r>
      <w:r w:rsidR="007D49C9" w:rsidRPr="6F0FA7D6">
        <w:rPr>
          <w:sz w:val="24"/>
          <w:szCs w:val="24"/>
        </w:rPr>
        <w:t>a new affiliation with Cambridge Health Alliance</w:t>
      </w:r>
      <w:r w:rsidR="004E7C33" w:rsidRPr="6F0FA7D6">
        <w:rPr>
          <w:sz w:val="24"/>
          <w:szCs w:val="24"/>
        </w:rPr>
        <w:t xml:space="preserve">. </w:t>
      </w:r>
      <w:r w:rsidR="00E631C6" w:rsidRPr="6F0FA7D6">
        <w:rPr>
          <w:sz w:val="24"/>
          <w:szCs w:val="24"/>
        </w:rPr>
        <w:t>The Mass General Capacity Coordination Center collaborates with clinicians across the Hospital to verify that patients requesting transfers from other hospitals cannot receive the same level of care at their location; operates programs that reduce the length of stay for patients who were transferred from other hospitals and supports inpatient units facing barriers to discharge or care progression, including challenges with tests, imaging, procedures, or other necessary services.</w:t>
      </w:r>
      <w:r w:rsidR="00B21D08" w:rsidRPr="6F0FA7D6">
        <w:rPr>
          <w:sz w:val="24"/>
          <w:szCs w:val="24"/>
        </w:rPr>
        <w:t xml:space="preserve"> </w:t>
      </w:r>
    </w:p>
    <w:p w14:paraId="7E104711" w14:textId="77777777" w:rsidR="00B76029" w:rsidRDefault="00B76029" w:rsidP="00882AEE">
      <w:pPr>
        <w:ind w:right="-10"/>
        <w:rPr>
          <w:sz w:val="24"/>
        </w:rPr>
      </w:pPr>
    </w:p>
    <w:p w14:paraId="170BCB33" w14:textId="0B42559B" w:rsidR="00B76029" w:rsidRDefault="00B21D08" w:rsidP="6F0FA7D6">
      <w:pPr>
        <w:ind w:right="-10"/>
        <w:rPr>
          <w:rStyle w:val="cf01"/>
          <w:rFonts w:asciiTheme="minorHAnsi" w:hAnsiTheme="minorHAnsi" w:cstheme="minorBidi"/>
          <w:sz w:val="24"/>
          <w:szCs w:val="24"/>
        </w:rPr>
      </w:pPr>
      <w:r w:rsidRPr="6F0FA7D6">
        <w:rPr>
          <w:sz w:val="24"/>
          <w:szCs w:val="24"/>
        </w:rPr>
        <w:t>Through the</w:t>
      </w:r>
      <w:r w:rsidR="00387016" w:rsidRPr="6F0FA7D6">
        <w:rPr>
          <w:sz w:val="24"/>
          <w:szCs w:val="24"/>
        </w:rPr>
        <w:t>se</w:t>
      </w:r>
      <w:r w:rsidRPr="6F0FA7D6">
        <w:rPr>
          <w:sz w:val="24"/>
          <w:szCs w:val="24"/>
        </w:rPr>
        <w:t xml:space="preserve"> initiatives, </w:t>
      </w:r>
      <w:r w:rsidR="00663EA5" w:rsidRPr="6F0FA7D6">
        <w:rPr>
          <w:sz w:val="24"/>
          <w:szCs w:val="24"/>
        </w:rPr>
        <w:t>the Holder states they have r</w:t>
      </w:r>
      <w:r w:rsidRPr="6F0FA7D6">
        <w:rPr>
          <w:sz w:val="24"/>
          <w:szCs w:val="24"/>
        </w:rPr>
        <w:t>educed community</w:t>
      </w:r>
      <w:r w:rsidR="52950074" w:rsidRPr="6F0FA7D6">
        <w:rPr>
          <w:sz w:val="24"/>
          <w:szCs w:val="24"/>
        </w:rPr>
        <w:t xml:space="preserve"> hospital-appropriate</w:t>
      </w:r>
      <w:r w:rsidRPr="6F0FA7D6">
        <w:rPr>
          <w:sz w:val="24"/>
          <w:szCs w:val="24"/>
        </w:rPr>
        <w:t xml:space="preserve"> admissions </w:t>
      </w:r>
      <w:r w:rsidR="7235B538" w:rsidRPr="6F0FA7D6">
        <w:rPr>
          <w:sz w:val="24"/>
          <w:szCs w:val="24"/>
        </w:rPr>
        <w:t xml:space="preserve">at MGH </w:t>
      </w:r>
      <w:r w:rsidRPr="6F0FA7D6">
        <w:rPr>
          <w:sz w:val="24"/>
          <w:szCs w:val="24"/>
        </w:rPr>
        <w:t>while simultaneously increasing tertiary care admissions</w:t>
      </w:r>
      <w:r w:rsidR="00663EA5" w:rsidRPr="6F0FA7D6">
        <w:rPr>
          <w:sz w:val="24"/>
          <w:szCs w:val="24"/>
        </w:rPr>
        <w:t>.</w:t>
      </w:r>
      <w:r w:rsidR="00B76029" w:rsidRPr="6F0FA7D6">
        <w:rPr>
          <w:sz w:val="24"/>
          <w:szCs w:val="24"/>
        </w:rPr>
        <w:t xml:space="preserve"> </w:t>
      </w:r>
      <w:r w:rsidR="00F01E0D" w:rsidRPr="6F0FA7D6">
        <w:rPr>
          <w:sz w:val="24"/>
          <w:szCs w:val="24"/>
        </w:rPr>
        <w:t xml:space="preserve">Through a retrospective review, </w:t>
      </w:r>
      <w:r w:rsidR="00B76029" w:rsidRPr="6F0FA7D6">
        <w:rPr>
          <w:rStyle w:val="cf01"/>
          <w:rFonts w:asciiTheme="minorHAnsi" w:hAnsiTheme="minorHAnsi" w:cstheme="minorBidi"/>
          <w:sz w:val="24"/>
          <w:szCs w:val="24"/>
        </w:rPr>
        <w:t xml:space="preserve">MGH determined that </w:t>
      </w:r>
      <w:r w:rsidR="5B34CAB1" w:rsidRPr="6F0FA7D6">
        <w:rPr>
          <w:rStyle w:val="cf01"/>
          <w:rFonts w:asciiTheme="minorHAnsi" w:hAnsiTheme="minorHAnsi" w:cstheme="minorBidi"/>
          <w:sz w:val="24"/>
          <w:szCs w:val="24"/>
        </w:rPr>
        <w:t xml:space="preserve">it has seen a modest decrease in secondary </w:t>
      </w:r>
      <w:r w:rsidR="00B76029" w:rsidRPr="6F0FA7D6">
        <w:rPr>
          <w:rStyle w:val="cf01"/>
          <w:rFonts w:asciiTheme="minorHAnsi" w:hAnsiTheme="minorHAnsi" w:cstheme="minorBidi"/>
          <w:sz w:val="24"/>
          <w:szCs w:val="24"/>
        </w:rPr>
        <w:t>admissions</w:t>
      </w:r>
      <w:r w:rsidR="00843DB6" w:rsidRPr="6F0FA7D6">
        <w:rPr>
          <w:rStyle w:val="cf01"/>
          <w:rFonts w:asciiTheme="minorHAnsi" w:hAnsiTheme="minorHAnsi" w:cstheme="minorBidi"/>
          <w:sz w:val="24"/>
          <w:szCs w:val="24"/>
        </w:rPr>
        <w:t>,</w:t>
      </w:r>
      <w:r w:rsidR="00B76029" w:rsidRPr="6F0FA7D6">
        <w:rPr>
          <w:rStyle w:val="cf01"/>
          <w:rFonts w:asciiTheme="minorHAnsi" w:hAnsiTheme="minorHAnsi" w:cstheme="minorBidi"/>
          <w:sz w:val="24"/>
          <w:szCs w:val="24"/>
        </w:rPr>
        <w:t xml:space="preserve"> while tertiary care has increased</w:t>
      </w:r>
      <w:r w:rsidR="00656314" w:rsidRPr="6F0FA7D6">
        <w:rPr>
          <w:rStyle w:val="cf01"/>
          <w:rFonts w:asciiTheme="minorHAnsi" w:hAnsiTheme="minorHAnsi" w:cstheme="minorBidi"/>
          <w:sz w:val="24"/>
          <w:szCs w:val="24"/>
        </w:rPr>
        <w:t xml:space="preserve">, as shown in Table </w:t>
      </w:r>
      <w:r w:rsidR="00E20426">
        <w:rPr>
          <w:rStyle w:val="cf01"/>
          <w:rFonts w:asciiTheme="minorHAnsi" w:hAnsiTheme="minorHAnsi" w:cstheme="minorBidi"/>
          <w:sz w:val="24"/>
          <w:szCs w:val="24"/>
        </w:rPr>
        <w:t>5</w:t>
      </w:r>
      <w:r w:rsidR="0008658F" w:rsidRPr="6F0FA7D6">
        <w:rPr>
          <w:rStyle w:val="cf01"/>
          <w:rFonts w:asciiTheme="minorHAnsi" w:hAnsiTheme="minorHAnsi" w:cstheme="minorBidi"/>
          <w:sz w:val="24"/>
          <w:szCs w:val="24"/>
        </w:rPr>
        <w:t xml:space="preserve">. Despite </w:t>
      </w:r>
      <w:r w:rsidR="005B1422">
        <w:rPr>
          <w:rStyle w:val="cf01"/>
          <w:rFonts w:asciiTheme="minorHAnsi" w:hAnsiTheme="minorHAnsi" w:cstheme="minorBidi"/>
          <w:sz w:val="24"/>
          <w:szCs w:val="24"/>
        </w:rPr>
        <w:t>th</w:t>
      </w:r>
      <w:r w:rsidR="006E30BE">
        <w:rPr>
          <w:rStyle w:val="cf01"/>
          <w:rFonts w:asciiTheme="minorHAnsi" w:hAnsiTheme="minorHAnsi" w:cstheme="minorBidi"/>
          <w:sz w:val="24"/>
          <w:szCs w:val="24"/>
        </w:rPr>
        <w:t>e</w:t>
      </w:r>
      <w:r w:rsidR="005B1422">
        <w:rPr>
          <w:rStyle w:val="cf01"/>
          <w:rFonts w:asciiTheme="minorHAnsi" w:hAnsiTheme="minorHAnsi" w:cstheme="minorBidi"/>
          <w:sz w:val="24"/>
          <w:szCs w:val="24"/>
        </w:rPr>
        <w:t xml:space="preserve"> m</w:t>
      </w:r>
      <w:r w:rsidR="006E30BE">
        <w:rPr>
          <w:rStyle w:val="cf01"/>
          <w:rFonts w:asciiTheme="minorHAnsi" w:hAnsiTheme="minorHAnsi" w:cstheme="minorBidi"/>
          <w:sz w:val="24"/>
          <w:szCs w:val="24"/>
        </w:rPr>
        <w:t>ulti-factor approach</w:t>
      </w:r>
      <w:r w:rsidR="0008658F" w:rsidRPr="6F0FA7D6">
        <w:rPr>
          <w:rStyle w:val="cf01"/>
          <w:rFonts w:asciiTheme="minorHAnsi" w:hAnsiTheme="minorHAnsi" w:cstheme="minorBidi"/>
          <w:sz w:val="24"/>
          <w:szCs w:val="24"/>
        </w:rPr>
        <w:t>, the Holder</w:t>
      </w:r>
      <w:r w:rsidR="00B25B6E" w:rsidRPr="6F0FA7D6">
        <w:rPr>
          <w:rStyle w:val="cf01"/>
          <w:rFonts w:asciiTheme="minorHAnsi" w:hAnsiTheme="minorHAnsi" w:cstheme="minorBidi"/>
          <w:sz w:val="24"/>
          <w:szCs w:val="24"/>
        </w:rPr>
        <w:t>’s occupancy remains high.</w:t>
      </w:r>
    </w:p>
    <w:p w14:paraId="248ED24A" w14:textId="77777777" w:rsidR="00656314" w:rsidRDefault="00656314" w:rsidP="00882AEE">
      <w:pPr>
        <w:ind w:right="-10"/>
        <w:rPr>
          <w:rStyle w:val="cf01"/>
          <w:rFonts w:asciiTheme="minorHAnsi" w:hAnsiTheme="minorHAnsi" w:cstheme="minorHAnsi"/>
          <w:sz w:val="24"/>
          <w:szCs w:val="24"/>
        </w:rPr>
      </w:pPr>
    </w:p>
    <w:p w14:paraId="793B75FC" w14:textId="115AA53C" w:rsidR="00DB1178" w:rsidRPr="0041394D" w:rsidRDefault="00DB1178" w:rsidP="0041394D">
      <w:pPr>
        <w:ind w:right="-10"/>
        <w:jc w:val="center"/>
        <w:rPr>
          <w:rStyle w:val="cf01"/>
          <w:rFonts w:asciiTheme="minorHAnsi" w:hAnsiTheme="minorHAnsi" w:cstheme="minorHAnsi"/>
          <w:b/>
          <w:bCs/>
          <w:sz w:val="24"/>
          <w:szCs w:val="24"/>
        </w:rPr>
      </w:pPr>
      <w:r w:rsidRPr="6F0FA7D6">
        <w:rPr>
          <w:rStyle w:val="cf01"/>
          <w:rFonts w:asciiTheme="minorHAnsi" w:hAnsiTheme="minorHAnsi" w:cstheme="minorBidi"/>
          <w:b/>
          <w:bCs/>
          <w:sz w:val="24"/>
          <w:szCs w:val="24"/>
          <w:u w:val="single"/>
        </w:rPr>
        <w:t xml:space="preserve">Table </w:t>
      </w:r>
      <w:r w:rsidR="00E20426">
        <w:rPr>
          <w:rStyle w:val="cf01"/>
          <w:rFonts w:asciiTheme="minorHAnsi" w:hAnsiTheme="minorHAnsi" w:cstheme="minorBidi"/>
          <w:b/>
          <w:bCs/>
          <w:sz w:val="24"/>
          <w:szCs w:val="24"/>
          <w:u w:val="single"/>
        </w:rPr>
        <w:t>5</w:t>
      </w:r>
      <w:r w:rsidRPr="6F0FA7D6">
        <w:rPr>
          <w:rStyle w:val="cf01"/>
          <w:rFonts w:asciiTheme="minorHAnsi" w:hAnsiTheme="minorHAnsi" w:cstheme="minorBidi"/>
          <w:b/>
          <w:bCs/>
          <w:sz w:val="24"/>
          <w:szCs w:val="24"/>
          <w:u w:val="single"/>
        </w:rPr>
        <w:t>:</w:t>
      </w:r>
      <w:r w:rsidRPr="6F0FA7D6">
        <w:rPr>
          <w:rStyle w:val="cf01"/>
          <w:rFonts w:asciiTheme="minorHAnsi" w:hAnsiTheme="minorHAnsi" w:cstheme="minorBidi"/>
          <w:b/>
          <w:bCs/>
          <w:sz w:val="24"/>
          <w:szCs w:val="24"/>
        </w:rPr>
        <w:t xml:space="preserve"> </w:t>
      </w:r>
      <w:r w:rsidR="0041394D" w:rsidRPr="6F0FA7D6">
        <w:rPr>
          <w:rStyle w:val="cf01"/>
          <w:rFonts w:asciiTheme="minorHAnsi" w:hAnsiTheme="minorHAnsi" w:cstheme="minorBidi"/>
          <w:b/>
          <w:bCs/>
          <w:sz w:val="24"/>
          <w:szCs w:val="24"/>
        </w:rPr>
        <w:t>Tertiary And Secondary Admissions</w:t>
      </w:r>
      <w:r w:rsidR="00245640" w:rsidRPr="6F0FA7D6">
        <w:rPr>
          <w:rStyle w:val="FootnoteReference"/>
          <w:rFonts w:asciiTheme="minorHAnsi" w:hAnsiTheme="minorHAnsi" w:cstheme="minorBidi"/>
          <w:b/>
          <w:bCs/>
          <w:sz w:val="24"/>
          <w:szCs w:val="24"/>
        </w:rPr>
        <w:footnoteReference w:id="14"/>
      </w:r>
    </w:p>
    <w:tbl>
      <w:tblPr>
        <w:tblStyle w:val="TableGrid"/>
        <w:tblW w:w="0" w:type="auto"/>
        <w:tblInd w:w="720" w:type="dxa"/>
        <w:tblLook w:val="04A0" w:firstRow="1" w:lastRow="0" w:firstColumn="1" w:lastColumn="0" w:noHBand="0" w:noVBand="1"/>
      </w:tblPr>
      <w:tblGrid>
        <w:gridCol w:w="3061"/>
        <w:gridCol w:w="1853"/>
        <w:gridCol w:w="1853"/>
        <w:gridCol w:w="1863"/>
      </w:tblGrid>
      <w:tr w:rsidR="00DB1178" w:rsidRPr="00783AEC" w14:paraId="7AD3458E" w14:textId="77777777" w:rsidTr="00530C5E">
        <w:trPr>
          <w:cantSplit/>
          <w:tblHeader/>
        </w:trPr>
        <w:tc>
          <w:tcPr>
            <w:tcW w:w="3325" w:type="dxa"/>
            <w:shd w:val="clear" w:color="auto" w:fill="95B3D7" w:themeFill="accent1" w:themeFillTint="99"/>
          </w:tcPr>
          <w:p w14:paraId="2412B916" w14:textId="77777777" w:rsidR="00DB1178" w:rsidRPr="002278E9" w:rsidRDefault="00DB1178">
            <w:pPr>
              <w:pStyle w:val="pf0"/>
              <w:spacing w:before="0" w:beforeAutospacing="0" w:after="0" w:afterAutospacing="0"/>
              <w:rPr>
                <w:rStyle w:val="cf01"/>
                <w:rFonts w:asciiTheme="minorHAnsi" w:hAnsiTheme="minorHAnsi" w:cstheme="minorHAnsi"/>
                <w:b/>
                <w:bCs/>
                <w:sz w:val="24"/>
                <w:szCs w:val="24"/>
              </w:rPr>
            </w:pPr>
            <w:r w:rsidRPr="002278E9">
              <w:rPr>
                <w:rStyle w:val="cf01"/>
                <w:rFonts w:asciiTheme="minorHAnsi" w:hAnsiTheme="minorHAnsi" w:cstheme="minorHAnsi"/>
                <w:b/>
                <w:bCs/>
                <w:sz w:val="24"/>
                <w:szCs w:val="24"/>
              </w:rPr>
              <w:t xml:space="preserve">Level of Care Table </w:t>
            </w:r>
          </w:p>
        </w:tc>
        <w:tc>
          <w:tcPr>
            <w:tcW w:w="2008" w:type="dxa"/>
            <w:shd w:val="clear" w:color="auto" w:fill="95B3D7" w:themeFill="accent1" w:themeFillTint="99"/>
          </w:tcPr>
          <w:p w14:paraId="7D535369" w14:textId="77777777" w:rsidR="00DB1178" w:rsidRPr="002278E9" w:rsidRDefault="00DB1178">
            <w:pPr>
              <w:pStyle w:val="pf0"/>
              <w:spacing w:before="0" w:beforeAutospacing="0" w:after="0" w:afterAutospacing="0"/>
              <w:jc w:val="center"/>
              <w:rPr>
                <w:rStyle w:val="cf01"/>
                <w:rFonts w:asciiTheme="minorHAnsi" w:hAnsiTheme="minorHAnsi" w:cstheme="minorHAnsi"/>
                <w:b/>
                <w:bCs/>
                <w:sz w:val="24"/>
                <w:szCs w:val="24"/>
              </w:rPr>
            </w:pPr>
            <w:r w:rsidRPr="002278E9">
              <w:rPr>
                <w:rStyle w:val="cf01"/>
                <w:rFonts w:asciiTheme="minorHAnsi" w:hAnsiTheme="minorHAnsi" w:cstheme="minorHAnsi"/>
                <w:b/>
                <w:bCs/>
                <w:sz w:val="24"/>
                <w:szCs w:val="24"/>
              </w:rPr>
              <w:t>FY22</w:t>
            </w:r>
          </w:p>
        </w:tc>
        <w:tc>
          <w:tcPr>
            <w:tcW w:w="2008" w:type="dxa"/>
            <w:shd w:val="clear" w:color="auto" w:fill="95B3D7" w:themeFill="accent1" w:themeFillTint="99"/>
          </w:tcPr>
          <w:p w14:paraId="00B3DBDC" w14:textId="77777777" w:rsidR="00DB1178" w:rsidRPr="002278E9" w:rsidRDefault="00DB1178">
            <w:pPr>
              <w:pStyle w:val="pf0"/>
              <w:spacing w:before="0" w:beforeAutospacing="0" w:after="0" w:afterAutospacing="0"/>
              <w:jc w:val="center"/>
              <w:rPr>
                <w:rStyle w:val="cf01"/>
                <w:rFonts w:asciiTheme="minorHAnsi" w:hAnsiTheme="minorHAnsi" w:cstheme="minorHAnsi"/>
                <w:b/>
                <w:bCs/>
                <w:sz w:val="24"/>
                <w:szCs w:val="24"/>
              </w:rPr>
            </w:pPr>
            <w:r w:rsidRPr="002278E9">
              <w:rPr>
                <w:rStyle w:val="cf01"/>
                <w:rFonts w:asciiTheme="minorHAnsi" w:hAnsiTheme="minorHAnsi" w:cstheme="minorBidi"/>
                <w:b/>
                <w:bCs/>
                <w:sz w:val="24"/>
                <w:szCs w:val="24"/>
              </w:rPr>
              <w:t>FY23</w:t>
            </w:r>
            <w:r w:rsidRPr="002278E9">
              <w:rPr>
                <w:rStyle w:val="FootnoteReference"/>
                <w:rFonts w:asciiTheme="minorHAnsi" w:hAnsiTheme="minorHAnsi" w:cstheme="minorBidi"/>
                <w:b/>
                <w:bCs/>
              </w:rPr>
              <w:footnoteReference w:id="15"/>
            </w:r>
          </w:p>
        </w:tc>
        <w:tc>
          <w:tcPr>
            <w:tcW w:w="2009" w:type="dxa"/>
            <w:shd w:val="clear" w:color="auto" w:fill="95B3D7" w:themeFill="accent1" w:themeFillTint="99"/>
          </w:tcPr>
          <w:p w14:paraId="0F062C04" w14:textId="77777777" w:rsidR="00DB1178" w:rsidRPr="002278E9" w:rsidRDefault="00DB1178">
            <w:pPr>
              <w:pStyle w:val="pf0"/>
              <w:spacing w:before="0" w:beforeAutospacing="0" w:after="0" w:afterAutospacing="0"/>
              <w:jc w:val="center"/>
              <w:rPr>
                <w:rStyle w:val="cf01"/>
                <w:rFonts w:asciiTheme="minorHAnsi" w:hAnsiTheme="minorHAnsi" w:cstheme="minorHAnsi"/>
                <w:b/>
                <w:bCs/>
                <w:sz w:val="24"/>
                <w:szCs w:val="24"/>
              </w:rPr>
            </w:pPr>
            <w:r w:rsidRPr="002278E9">
              <w:rPr>
                <w:rStyle w:val="cf01"/>
                <w:rFonts w:asciiTheme="minorHAnsi" w:hAnsiTheme="minorHAnsi" w:cstheme="minorHAnsi"/>
                <w:b/>
                <w:bCs/>
                <w:sz w:val="24"/>
                <w:szCs w:val="24"/>
              </w:rPr>
              <w:t>% Change</w:t>
            </w:r>
          </w:p>
        </w:tc>
      </w:tr>
      <w:tr w:rsidR="00DB1178" w:rsidRPr="00783AEC" w14:paraId="40B319FF" w14:textId="77777777" w:rsidTr="00530C5E">
        <w:trPr>
          <w:cantSplit/>
        </w:trPr>
        <w:tc>
          <w:tcPr>
            <w:tcW w:w="3325" w:type="dxa"/>
            <w:shd w:val="clear" w:color="auto" w:fill="DBE5F1" w:themeFill="accent1" w:themeFillTint="33"/>
          </w:tcPr>
          <w:p w14:paraId="16205575" w14:textId="77777777" w:rsidR="00DB1178" w:rsidRPr="002278E9" w:rsidRDefault="00DB1178">
            <w:pPr>
              <w:pStyle w:val="pf0"/>
              <w:spacing w:before="0" w:beforeAutospacing="0" w:after="0" w:afterAutospacing="0"/>
              <w:rPr>
                <w:rStyle w:val="cf01"/>
                <w:rFonts w:asciiTheme="minorHAnsi" w:hAnsiTheme="minorHAnsi" w:cstheme="minorHAnsi"/>
                <w:b/>
                <w:bCs/>
                <w:sz w:val="24"/>
                <w:szCs w:val="24"/>
              </w:rPr>
            </w:pPr>
            <w:r w:rsidRPr="002278E9">
              <w:rPr>
                <w:rStyle w:val="cf01"/>
                <w:rFonts w:asciiTheme="minorHAnsi" w:hAnsiTheme="minorHAnsi" w:cstheme="minorHAnsi"/>
                <w:b/>
                <w:bCs/>
                <w:sz w:val="24"/>
                <w:szCs w:val="24"/>
              </w:rPr>
              <w:t>Secondary</w:t>
            </w:r>
          </w:p>
        </w:tc>
        <w:tc>
          <w:tcPr>
            <w:tcW w:w="2008" w:type="dxa"/>
          </w:tcPr>
          <w:p w14:paraId="717B24EB" w14:textId="77777777" w:rsidR="00DB1178" w:rsidRPr="002278E9" w:rsidRDefault="00DB1178">
            <w:pPr>
              <w:pStyle w:val="pf0"/>
              <w:spacing w:before="0" w:beforeAutospacing="0" w:after="0" w:afterAutospacing="0"/>
              <w:jc w:val="center"/>
              <w:rPr>
                <w:rStyle w:val="cf01"/>
                <w:rFonts w:asciiTheme="minorHAnsi" w:hAnsiTheme="minorHAnsi" w:cstheme="minorHAnsi"/>
                <w:sz w:val="24"/>
                <w:szCs w:val="24"/>
              </w:rPr>
            </w:pPr>
            <w:r w:rsidRPr="002278E9">
              <w:rPr>
                <w:rStyle w:val="cf01"/>
                <w:rFonts w:asciiTheme="minorHAnsi" w:hAnsiTheme="minorHAnsi" w:cstheme="minorHAnsi"/>
                <w:sz w:val="24"/>
                <w:szCs w:val="24"/>
              </w:rPr>
              <w:t>25,567</w:t>
            </w:r>
          </w:p>
        </w:tc>
        <w:tc>
          <w:tcPr>
            <w:tcW w:w="2008" w:type="dxa"/>
          </w:tcPr>
          <w:p w14:paraId="1C444D26" w14:textId="77777777" w:rsidR="00DB1178" w:rsidRPr="002278E9" w:rsidRDefault="00DB1178">
            <w:pPr>
              <w:pStyle w:val="pf0"/>
              <w:spacing w:before="0" w:beforeAutospacing="0" w:after="0" w:afterAutospacing="0"/>
              <w:jc w:val="center"/>
              <w:rPr>
                <w:rStyle w:val="cf01"/>
                <w:rFonts w:asciiTheme="minorHAnsi" w:hAnsiTheme="minorHAnsi" w:cstheme="minorHAnsi"/>
                <w:sz w:val="24"/>
                <w:szCs w:val="24"/>
              </w:rPr>
            </w:pPr>
            <w:r w:rsidRPr="002278E9">
              <w:rPr>
                <w:rStyle w:val="cf01"/>
                <w:rFonts w:asciiTheme="minorHAnsi" w:hAnsiTheme="minorHAnsi" w:cstheme="minorHAnsi"/>
                <w:sz w:val="24"/>
                <w:szCs w:val="24"/>
              </w:rPr>
              <w:t>25,194</w:t>
            </w:r>
          </w:p>
        </w:tc>
        <w:tc>
          <w:tcPr>
            <w:tcW w:w="2009" w:type="dxa"/>
          </w:tcPr>
          <w:p w14:paraId="0350755D" w14:textId="77777777" w:rsidR="00DB1178" w:rsidRPr="002278E9" w:rsidRDefault="00DB1178">
            <w:pPr>
              <w:pStyle w:val="pf0"/>
              <w:spacing w:before="0" w:beforeAutospacing="0" w:after="0" w:afterAutospacing="0"/>
              <w:jc w:val="center"/>
              <w:rPr>
                <w:rStyle w:val="cf01"/>
                <w:rFonts w:asciiTheme="minorHAnsi" w:hAnsiTheme="minorHAnsi" w:cstheme="minorHAnsi"/>
                <w:sz w:val="24"/>
                <w:szCs w:val="24"/>
              </w:rPr>
            </w:pPr>
            <w:r w:rsidRPr="002278E9">
              <w:rPr>
                <w:rStyle w:val="cf01"/>
                <w:rFonts w:asciiTheme="minorHAnsi" w:hAnsiTheme="minorHAnsi" w:cstheme="minorHAnsi"/>
                <w:sz w:val="24"/>
                <w:szCs w:val="24"/>
              </w:rPr>
              <w:t>-1%</w:t>
            </w:r>
          </w:p>
        </w:tc>
      </w:tr>
      <w:tr w:rsidR="00DB1178" w:rsidRPr="00783AEC" w14:paraId="302A1B1A" w14:textId="77777777" w:rsidTr="00530C5E">
        <w:trPr>
          <w:cantSplit/>
        </w:trPr>
        <w:tc>
          <w:tcPr>
            <w:tcW w:w="3325" w:type="dxa"/>
            <w:shd w:val="clear" w:color="auto" w:fill="DBE5F1" w:themeFill="accent1" w:themeFillTint="33"/>
          </w:tcPr>
          <w:p w14:paraId="31F921BC" w14:textId="77777777" w:rsidR="00DB1178" w:rsidRPr="002278E9" w:rsidRDefault="00DB1178">
            <w:pPr>
              <w:pStyle w:val="pf0"/>
              <w:spacing w:before="0" w:beforeAutospacing="0" w:after="0" w:afterAutospacing="0"/>
              <w:rPr>
                <w:rStyle w:val="cf01"/>
                <w:rFonts w:asciiTheme="minorHAnsi" w:hAnsiTheme="minorHAnsi" w:cstheme="minorHAnsi"/>
                <w:b/>
                <w:bCs/>
                <w:sz w:val="24"/>
                <w:szCs w:val="24"/>
              </w:rPr>
            </w:pPr>
            <w:r w:rsidRPr="002278E9">
              <w:rPr>
                <w:rStyle w:val="cf01"/>
                <w:rFonts w:asciiTheme="minorHAnsi" w:hAnsiTheme="minorHAnsi" w:cstheme="minorBidi"/>
                <w:b/>
                <w:bCs/>
                <w:sz w:val="24"/>
                <w:szCs w:val="24"/>
              </w:rPr>
              <w:t>High-End Secondary</w:t>
            </w:r>
            <w:r w:rsidRPr="002278E9">
              <w:rPr>
                <w:rStyle w:val="FootnoteReference"/>
                <w:rFonts w:asciiTheme="minorHAnsi" w:hAnsiTheme="minorHAnsi" w:cstheme="minorBidi"/>
                <w:b/>
                <w:bCs/>
              </w:rPr>
              <w:footnoteReference w:id="16"/>
            </w:r>
          </w:p>
        </w:tc>
        <w:tc>
          <w:tcPr>
            <w:tcW w:w="2008" w:type="dxa"/>
          </w:tcPr>
          <w:p w14:paraId="3D8FE876" w14:textId="77777777" w:rsidR="00DB1178" w:rsidRPr="002278E9" w:rsidRDefault="00DB1178">
            <w:pPr>
              <w:pStyle w:val="pf0"/>
              <w:spacing w:before="0" w:beforeAutospacing="0" w:after="0" w:afterAutospacing="0"/>
              <w:jc w:val="center"/>
              <w:rPr>
                <w:rStyle w:val="cf01"/>
                <w:rFonts w:asciiTheme="minorHAnsi" w:hAnsiTheme="minorHAnsi" w:cstheme="minorHAnsi"/>
                <w:sz w:val="24"/>
                <w:szCs w:val="24"/>
              </w:rPr>
            </w:pPr>
            <w:r w:rsidRPr="002278E9">
              <w:rPr>
                <w:rStyle w:val="cf01"/>
                <w:rFonts w:asciiTheme="minorHAnsi" w:hAnsiTheme="minorHAnsi" w:cstheme="minorHAnsi"/>
                <w:sz w:val="24"/>
                <w:szCs w:val="24"/>
              </w:rPr>
              <w:t>6,435</w:t>
            </w:r>
          </w:p>
        </w:tc>
        <w:tc>
          <w:tcPr>
            <w:tcW w:w="2008" w:type="dxa"/>
          </w:tcPr>
          <w:p w14:paraId="54D5D56D" w14:textId="77777777" w:rsidR="00DB1178" w:rsidRPr="002278E9" w:rsidRDefault="00DB1178">
            <w:pPr>
              <w:pStyle w:val="pf0"/>
              <w:spacing w:before="0" w:beforeAutospacing="0" w:after="0" w:afterAutospacing="0"/>
              <w:jc w:val="center"/>
              <w:rPr>
                <w:rStyle w:val="cf01"/>
                <w:rFonts w:asciiTheme="minorHAnsi" w:hAnsiTheme="minorHAnsi" w:cstheme="minorHAnsi"/>
                <w:sz w:val="24"/>
                <w:szCs w:val="24"/>
              </w:rPr>
            </w:pPr>
            <w:r w:rsidRPr="002278E9">
              <w:rPr>
                <w:rStyle w:val="cf01"/>
                <w:rFonts w:asciiTheme="minorHAnsi" w:hAnsiTheme="minorHAnsi" w:cstheme="minorHAnsi"/>
                <w:sz w:val="24"/>
                <w:szCs w:val="24"/>
              </w:rPr>
              <w:t>6,647</w:t>
            </w:r>
          </w:p>
        </w:tc>
        <w:tc>
          <w:tcPr>
            <w:tcW w:w="2009" w:type="dxa"/>
          </w:tcPr>
          <w:p w14:paraId="2A699948" w14:textId="77777777" w:rsidR="00DB1178" w:rsidRPr="002278E9" w:rsidRDefault="00DB1178">
            <w:pPr>
              <w:pStyle w:val="pf0"/>
              <w:spacing w:before="0" w:beforeAutospacing="0" w:after="0" w:afterAutospacing="0"/>
              <w:jc w:val="center"/>
              <w:rPr>
                <w:rStyle w:val="cf01"/>
                <w:rFonts w:asciiTheme="minorHAnsi" w:hAnsiTheme="minorHAnsi" w:cstheme="minorHAnsi"/>
                <w:sz w:val="24"/>
                <w:szCs w:val="24"/>
              </w:rPr>
            </w:pPr>
            <w:r w:rsidRPr="002278E9">
              <w:rPr>
                <w:rStyle w:val="cf01"/>
                <w:rFonts w:asciiTheme="minorHAnsi" w:hAnsiTheme="minorHAnsi" w:cstheme="minorHAnsi"/>
                <w:sz w:val="24"/>
                <w:szCs w:val="24"/>
              </w:rPr>
              <w:t>3%</w:t>
            </w:r>
          </w:p>
        </w:tc>
      </w:tr>
      <w:tr w:rsidR="00DB1178" w:rsidRPr="00783AEC" w14:paraId="1B409548" w14:textId="77777777" w:rsidTr="00530C5E">
        <w:trPr>
          <w:cantSplit/>
        </w:trPr>
        <w:tc>
          <w:tcPr>
            <w:tcW w:w="3325" w:type="dxa"/>
            <w:shd w:val="clear" w:color="auto" w:fill="DBE5F1" w:themeFill="accent1" w:themeFillTint="33"/>
          </w:tcPr>
          <w:p w14:paraId="5A5E73E9" w14:textId="77777777" w:rsidR="00DB1178" w:rsidRPr="002278E9" w:rsidRDefault="00DB1178">
            <w:pPr>
              <w:pStyle w:val="pf0"/>
              <w:spacing w:before="0" w:beforeAutospacing="0" w:after="0" w:afterAutospacing="0"/>
              <w:rPr>
                <w:rStyle w:val="cf01"/>
                <w:rFonts w:asciiTheme="minorHAnsi" w:hAnsiTheme="minorHAnsi" w:cstheme="minorHAnsi"/>
                <w:b/>
                <w:bCs/>
                <w:sz w:val="24"/>
                <w:szCs w:val="24"/>
              </w:rPr>
            </w:pPr>
            <w:r w:rsidRPr="002278E9">
              <w:rPr>
                <w:rStyle w:val="cf01"/>
                <w:rFonts w:asciiTheme="minorHAnsi" w:hAnsiTheme="minorHAnsi" w:cstheme="minorHAnsi"/>
                <w:b/>
                <w:bCs/>
                <w:sz w:val="24"/>
                <w:szCs w:val="24"/>
              </w:rPr>
              <w:t>Tertiary</w:t>
            </w:r>
          </w:p>
        </w:tc>
        <w:tc>
          <w:tcPr>
            <w:tcW w:w="2008" w:type="dxa"/>
          </w:tcPr>
          <w:p w14:paraId="749185B6" w14:textId="77777777" w:rsidR="00DB1178" w:rsidRPr="002278E9" w:rsidRDefault="00DB1178">
            <w:pPr>
              <w:pStyle w:val="pf0"/>
              <w:spacing w:before="0" w:beforeAutospacing="0" w:after="0" w:afterAutospacing="0"/>
              <w:jc w:val="center"/>
              <w:rPr>
                <w:rStyle w:val="cf01"/>
                <w:rFonts w:asciiTheme="minorHAnsi" w:hAnsiTheme="minorHAnsi" w:cstheme="minorHAnsi"/>
                <w:sz w:val="24"/>
                <w:szCs w:val="24"/>
              </w:rPr>
            </w:pPr>
            <w:r w:rsidRPr="002278E9">
              <w:rPr>
                <w:rStyle w:val="cf01"/>
                <w:rFonts w:asciiTheme="minorHAnsi" w:hAnsiTheme="minorHAnsi" w:cstheme="minorHAnsi"/>
                <w:sz w:val="24"/>
                <w:szCs w:val="24"/>
              </w:rPr>
              <w:t>5,188</w:t>
            </w:r>
          </w:p>
        </w:tc>
        <w:tc>
          <w:tcPr>
            <w:tcW w:w="2008" w:type="dxa"/>
          </w:tcPr>
          <w:p w14:paraId="0DC38FAE" w14:textId="77777777" w:rsidR="00DB1178" w:rsidRPr="002278E9" w:rsidRDefault="00DB1178">
            <w:pPr>
              <w:pStyle w:val="pf0"/>
              <w:spacing w:before="0" w:beforeAutospacing="0" w:after="0" w:afterAutospacing="0"/>
              <w:jc w:val="center"/>
              <w:rPr>
                <w:rStyle w:val="cf01"/>
                <w:rFonts w:asciiTheme="minorHAnsi" w:hAnsiTheme="minorHAnsi" w:cstheme="minorHAnsi"/>
                <w:sz w:val="24"/>
                <w:szCs w:val="24"/>
              </w:rPr>
            </w:pPr>
            <w:r w:rsidRPr="002278E9">
              <w:rPr>
                <w:rStyle w:val="cf01"/>
                <w:rFonts w:asciiTheme="minorHAnsi" w:hAnsiTheme="minorHAnsi" w:cstheme="minorHAnsi"/>
                <w:sz w:val="24"/>
                <w:szCs w:val="24"/>
              </w:rPr>
              <w:t>5,830</w:t>
            </w:r>
          </w:p>
        </w:tc>
        <w:tc>
          <w:tcPr>
            <w:tcW w:w="2009" w:type="dxa"/>
          </w:tcPr>
          <w:p w14:paraId="226BC3BB" w14:textId="77777777" w:rsidR="00DB1178" w:rsidRPr="002278E9" w:rsidRDefault="00DB1178">
            <w:pPr>
              <w:pStyle w:val="pf0"/>
              <w:spacing w:before="0" w:beforeAutospacing="0" w:after="0" w:afterAutospacing="0"/>
              <w:jc w:val="center"/>
              <w:rPr>
                <w:rStyle w:val="cf01"/>
                <w:rFonts w:asciiTheme="minorHAnsi" w:hAnsiTheme="minorHAnsi" w:cstheme="minorHAnsi"/>
                <w:sz w:val="24"/>
                <w:szCs w:val="24"/>
              </w:rPr>
            </w:pPr>
            <w:r w:rsidRPr="002278E9">
              <w:rPr>
                <w:rStyle w:val="cf01"/>
                <w:rFonts w:asciiTheme="minorHAnsi" w:hAnsiTheme="minorHAnsi" w:cstheme="minorHAnsi"/>
                <w:sz w:val="24"/>
                <w:szCs w:val="24"/>
              </w:rPr>
              <w:t>12%</w:t>
            </w:r>
          </w:p>
        </w:tc>
      </w:tr>
    </w:tbl>
    <w:p w14:paraId="4F04724A" w14:textId="77777777" w:rsidR="00656314" w:rsidRDefault="00656314" w:rsidP="00882AEE">
      <w:pPr>
        <w:ind w:right="-10"/>
        <w:rPr>
          <w:rStyle w:val="cf01"/>
          <w:rFonts w:asciiTheme="minorHAnsi" w:hAnsiTheme="minorHAnsi" w:cstheme="minorHAnsi"/>
          <w:sz w:val="24"/>
          <w:szCs w:val="24"/>
        </w:rPr>
      </w:pPr>
    </w:p>
    <w:p w14:paraId="27C8AD10" w14:textId="1FAE4E52" w:rsidR="00223BE2" w:rsidRPr="003600B6" w:rsidRDefault="00A36567" w:rsidP="6F0FA7D6">
      <w:pPr>
        <w:pStyle w:val="pf0"/>
        <w:spacing w:before="0" w:beforeAutospacing="0" w:after="0" w:afterAutospacing="0"/>
        <w:rPr>
          <w:rStyle w:val="cf01"/>
          <w:rFonts w:asciiTheme="minorHAnsi" w:hAnsiTheme="minorHAnsi" w:cstheme="minorBidi"/>
          <w:sz w:val="24"/>
          <w:szCs w:val="24"/>
        </w:rPr>
      </w:pPr>
      <w:r w:rsidRPr="6F0FA7D6">
        <w:rPr>
          <w:rStyle w:val="cf01"/>
          <w:rFonts w:asciiTheme="minorHAnsi" w:hAnsiTheme="minorHAnsi" w:cstheme="minorBidi"/>
          <w:sz w:val="24"/>
          <w:szCs w:val="24"/>
        </w:rPr>
        <w:t xml:space="preserve">Staff inquired </w:t>
      </w:r>
      <w:r w:rsidR="00223BE2" w:rsidRPr="6F0FA7D6">
        <w:rPr>
          <w:rStyle w:val="cf01"/>
          <w:rFonts w:asciiTheme="minorHAnsi" w:hAnsiTheme="minorHAnsi" w:cstheme="minorBidi"/>
          <w:sz w:val="24"/>
          <w:szCs w:val="24"/>
        </w:rPr>
        <w:t>whether other facil</w:t>
      </w:r>
      <w:r w:rsidR="0008658F" w:rsidRPr="6F0FA7D6">
        <w:rPr>
          <w:rStyle w:val="cf01"/>
          <w:rFonts w:asciiTheme="minorHAnsi" w:hAnsiTheme="minorHAnsi" w:cstheme="minorBidi"/>
          <w:sz w:val="24"/>
          <w:szCs w:val="24"/>
        </w:rPr>
        <w:t>i</w:t>
      </w:r>
      <w:r w:rsidR="00223BE2" w:rsidRPr="6F0FA7D6">
        <w:rPr>
          <w:rStyle w:val="cf01"/>
          <w:rFonts w:asciiTheme="minorHAnsi" w:hAnsiTheme="minorHAnsi" w:cstheme="minorBidi"/>
          <w:sz w:val="24"/>
          <w:szCs w:val="24"/>
        </w:rPr>
        <w:t xml:space="preserve">ties in the MGB health system would be able to assist in alleviating </w:t>
      </w:r>
      <w:r w:rsidR="0082423E" w:rsidRPr="6F0FA7D6">
        <w:rPr>
          <w:rStyle w:val="cf01"/>
          <w:rFonts w:asciiTheme="minorHAnsi" w:hAnsiTheme="minorHAnsi" w:cstheme="minorBidi"/>
          <w:sz w:val="24"/>
          <w:szCs w:val="24"/>
        </w:rPr>
        <w:t xml:space="preserve">MGH’s </w:t>
      </w:r>
      <w:r w:rsidR="00223BE2" w:rsidRPr="6F0FA7D6">
        <w:rPr>
          <w:rStyle w:val="cf01"/>
          <w:rFonts w:asciiTheme="minorHAnsi" w:hAnsiTheme="minorHAnsi" w:cstheme="minorBidi"/>
          <w:sz w:val="24"/>
          <w:szCs w:val="24"/>
        </w:rPr>
        <w:t>capacity</w:t>
      </w:r>
      <w:r w:rsidR="0082423E" w:rsidRPr="6F0FA7D6">
        <w:rPr>
          <w:rStyle w:val="cf01"/>
          <w:rFonts w:asciiTheme="minorHAnsi" w:hAnsiTheme="minorHAnsi" w:cstheme="minorBidi"/>
          <w:sz w:val="24"/>
          <w:szCs w:val="24"/>
        </w:rPr>
        <w:t xml:space="preserve"> issues</w:t>
      </w:r>
      <w:r w:rsidR="00223BE2" w:rsidRPr="6F0FA7D6">
        <w:rPr>
          <w:rStyle w:val="cf01"/>
          <w:rFonts w:asciiTheme="minorHAnsi" w:hAnsiTheme="minorHAnsi" w:cstheme="minorBidi"/>
          <w:sz w:val="24"/>
          <w:szCs w:val="24"/>
        </w:rPr>
        <w:t>.  The Holder states that MGH uses MGB community hospital capacity when available for transfers and direct admissions. MGB is also expanding a Home Hospital program for qualified patients. Both programs address the lower acuity (e.g., community-level) patients. However, the three MGB community hospitals in eastern Massachusetts</w:t>
      </w:r>
      <w:r w:rsidR="00223BE2" w:rsidRPr="6F0FA7D6">
        <w:rPr>
          <w:rStyle w:val="FootnoteReference"/>
          <w:rFonts w:asciiTheme="minorHAnsi" w:hAnsiTheme="minorHAnsi" w:cstheme="minorBidi"/>
        </w:rPr>
        <w:footnoteReference w:id="17"/>
      </w:r>
      <w:r w:rsidR="00223BE2" w:rsidRPr="6F0FA7D6">
        <w:rPr>
          <w:rStyle w:val="cf01"/>
          <w:rFonts w:asciiTheme="minorHAnsi" w:hAnsiTheme="minorHAnsi" w:cstheme="minorBidi"/>
          <w:sz w:val="24"/>
          <w:szCs w:val="24"/>
        </w:rPr>
        <w:t xml:space="preserve"> are over the standard 85% occupancy (over 90%). They also note that MGH is the community hospital for segments of Boston, Revere, Chelsea and Winthrop</w:t>
      </w:r>
      <w:r w:rsidR="003600B6" w:rsidRPr="6F0FA7D6">
        <w:rPr>
          <w:rStyle w:val="cf01"/>
          <w:rFonts w:asciiTheme="minorHAnsi" w:hAnsiTheme="minorHAnsi" w:cstheme="minorBidi"/>
          <w:sz w:val="24"/>
          <w:szCs w:val="24"/>
        </w:rPr>
        <w:t xml:space="preserve"> and those patients </w:t>
      </w:r>
      <w:r w:rsidR="00223BE2" w:rsidRPr="6F0FA7D6">
        <w:rPr>
          <w:rStyle w:val="cf01"/>
          <w:rFonts w:asciiTheme="minorHAnsi" w:hAnsiTheme="minorHAnsi" w:cstheme="minorBidi"/>
          <w:sz w:val="24"/>
          <w:szCs w:val="24"/>
        </w:rPr>
        <w:t xml:space="preserve">should not be transferred outside of the community. </w:t>
      </w:r>
    </w:p>
    <w:p w14:paraId="5F3A01AA" w14:textId="77777777" w:rsidR="00674D97" w:rsidRPr="0061709E" w:rsidRDefault="00674D97" w:rsidP="00882AEE">
      <w:pPr>
        <w:ind w:right="-10"/>
        <w:rPr>
          <w:sz w:val="24"/>
        </w:rPr>
      </w:pPr>
    </w:p>
    <w:p w14:paraId="489B013C" w14:textId="1AAE8575" w:rsidR="00A4470B" w:rsidRDefault="00FF0F02" w:rsidP="00882AEE">
      <w:pPr>
        <w:ind w:right="-10"/>
        <w:rPr>
          <w:b/>
          <w:bCs/>
          <w:i/>
          <w:iCs/>
          <w:sz w:val="24"/>
        </w:rPr>
      </w:pPr>
      <w:r w:rsidRPr="00623ED3">
        <w:rPr>
          <w:b/>
          <w:bCs/>
          <w:i/>
          <w:iCs/>
          <w:sz w:val="24"/>
        </w:rPr>
        <w:t>ED Boarding</w:t>
      </w:r>
    </w:p>
    <w:p w14:paraId="3C400A24" w14:textId="49318413" w:rsidR="00DA3BA1" w:rsidRDefault="00A856B3" w:rsidP="00882AEE">
      <w:pPr>
        <w:ind w:right="-10"/>
        <w:rPr>
          <w:sz w:val="24"/>
          <w:szCs w:val="24"/>
        </w:rPr>
      </w:pPr>
      <w:r w:rsidRPr="6F0FA7D6">
        <w:rPr>
          <w:sz w:val="24"/>
          <w:szCs w:val="24"/>
        </w:rPr>
        <w:lastRenderedPageBreak/>
        <w:t>The Holder states that MGH’s high inpatient occupancy rate does not allow ED patients who require an inpatient admission to quickly transition out of the ED. As a result, 24,388 patients</w:t>
      </w:r>
      <w:r w:rsidR="00D05E31" w:rsidRPr="6F0FA7D6">
        <w:rPr>
          <w:sz w:val="24"/>
          <w:szCs w:val="24"/>
        </w:rPr>
        <w:t xml:space="preserve"> </w:t>
      </w:r>
      <w:r w:rsidRPr="6F0FA7D6">
        <w:rPr>
          <w:sz w:val="24"/>
          <w:szCs w:val="24"/>
        </w:rPr>
        <w:t xml:space="preserve">in FY2023 boarded </w:t>
      </w:r>
      <w:r w:rsidRPr="0053228E">
        <w:rPr>
          <w:sz w:val="24"/>
          <w:szCs w:val="24"/>
        </w:rPr>
        <w:t>in the ED</w:t>
      </w:r>
      <w:r w:rsidR="005B1422" w:rsidRPr="0053228E">
        <w:rPr>
          <w:sz w:val="24"/>
          <w:szCs w:val="24"/>
        </w:rPr>
        <w:t xml:space="preserve">, </w:t>
      </w:r>
      <w:r w:rsidR="0053228E" w:rsidRPr="0053228E">
        <w:rPr>
          <w:sz w:val="24"/>
          <w:szCs w:val="24"/>
        </w:rPr>
        <w:t>the vast majority of whom</w:t>
      </w:r>
      <w:r w:rsidR="005B1422" w:rsidRPr="0053228E">
        <w:rPr>
          <w:sz w:val="24"/>
          <w:szCs w:val="24"/>
        </w:rPr>
        <w:t xml:space="preserve"> were waiting for </w:t>
      </w:r>
      <w:r w:rsidR="003A4856" w:rsidRPr="0053228E">
        <w:rPr>
          <w:sz w:val="24"/>
          <w:szCs w:val="24"/>
        </w:rPr>
        <w:t>an M</w:t>
      </w:r>
      <w:r w:rsidR="005B1422" w:rsidRPr="0053228E">
        <w:rPr>
          <w:sz w:val="24"/>
          <w:szCs w:val="24"/>
        </w:rPr>
        <w:t>/S bed</w:t>
      </w:r>
      <w:r w:rsidR="0053228E" w:rsidRPr="0053228E">
        <w:rPr>
          <w:sz w:val="24"/>
          <w:szCs w:val="24"/>
        </w:rPr>
        <w:t xml:space="preserve"> at MGH</w:t>
      </w:r>
      <w:r w:rsidR="005B1422" w:rsidRPr="0053228E">
        <w:rPr>
          <w:sz w:val="24"/>
          <w:szCs w:val="24"/>
        </w:rPr>
        <w:t>.</w:t>
      </w:r>
      <w:r w:rsidR="00681181">
        <w:rPr>
          <w:sz w:val="24"/>
          <w:szCs w:val="24"/>
        </w:rPr>
        <w:t xml:space="preserve"> </w:t>
      </w:r>
      <w:r w:rsidR="00F116EC" w:rsidRPr="6F0FA7D6">
        <w:rPr>
          <w:sz w:val="24"/>
          <w:szCs w:val="24"/>
        </w:rPr>
        <w:t>Th</w:t>
      </w:r>
      <w:r w:rsidR="00255128" w:rsidRPr="6F0FA7D6">
        <w:rPr>
          <w:sz w:val="24"/>
          <w:szCs w:val="24"/>
        </w:rPr>
        <w:t xml:space="preserve">e wait time </w:t>
      </w:r>
      <w:r w:rsidR="00210FAA">
        <w:rPr>
          <w:sz w:val="24"/>
          <w:szCs w:val="24"/>
        </w:rPr>
        <w:t xml:space="preserve">for M/S Boarders increased from approximately </w:t>
      </w:r>
      <w:r w:rsidR="00AB5C2E">
        <w:rPr>
          <w:sz w:val="24"/>
          <w:szCs w:val="24"/>
        </w:rPr>
        <w:t xml:space="preserve">12 hours </w:t>
      </w:r>
      <w:r w:rsidR="009A57CE">
        <w:rPr>
          <w:sz w:val="24"/>
          <w:szCs w:val="24"/>
        </w:rPr>
        <w:t xml:space="preserve">in FY2019 </w:t>
      </w:r>
      <w:r w:rsidR="00AB5C2E">
        <w:rPr>
          <w:sz w:val="24"/>
          <w:szCs w:val="24"/>
        </w:rPr>
        <w:t xml:space="preserve">to </w:t>
      </w:r>
      <w:r w:rsidR="002B78C3">
        <w:rPr>
          <w:sz w:val="24"/>
          <w:szCs w:val="24"/>
        </w:rPr>
        <w:t xml:space="preserve">approximately </w:t>
      </w:r>
      <w:r w:rsidR="009A57CE">
        <w:rPr>
          <w:sz w:val="24"/>
          <w:szCs w:val="24"/>
        </w:rPr>
        <w:t>20 hours in FY2023</w:t>
      </w:r>
      <w:r w:rsidR="00271B41" w:rsidRPr="6F0FA7D6">
        <w:rPr>
          <w:sz w:val="24"/>
          <w:szCs w:val="24"/>
        </w:rPr>
        <w:t>.</w:t>
      </w:r>
      <w:r w:rsidRPr="6F0FA7D6">
        <w:rPr>
          <w:sz w:val="24"/>
          <w:szCs w:val="24"/>
        </w:rPr>
        <w:t xml:space="preserve"> </w:t>
      </w:r>
      <w:r w:rsidR="00122222" w:rsidRPr="6F0FA7D6">
        <w:rPr>
          <w:sz w:val="24"/>
          <w:szCs w:val="24"/>
        </w:rPr>
        <w:t xml:space="preserve">Table </w:t>
      </w:r>
      <w:r w:rsidR="006E30BE">
        <w:rPr>
          <w:sz w:val="24"/>
          <w:szCs w:val="24"/>
        </w:rPr>
        <w:t>6</w:t>
      </w:r>
      <w:r w:rsidR="000B2B73">
        <w:rPr>
          <w:sz w:val="24"/>
          <w:szCs w:val="24"/>
        </w:rPr>
        <w:t xml:space="preserve"> </w:t>
      </w:r>
      <w:r w:rsidR="00122222" w:rsidRPr="6F0FA7D6">
        <w:rPr>
          <w:sz w:val="24"/>
          <w:szCs w:val="24"/>
        </w:rPr>
        <w:t xml:space="preserve">details </w:t>
      </w:r>
      <w:r w:rsidR="002419AC" w:rsidRPr="6F0FA7D6">
        <w:rPr>
          <w:sz w:val="24"/>
          <w:szCs w:val="24"/>
        </w:rPr>
        <w:t>the FY2023 ED Boarding statistics</w:t>
      </w:r>
      <w:r w:rsidR="0075398D">
        <w:rPr>
          <w:sz w:val="24"/>
          <w:szCs w:val="24"/>
        </w:rPr>
        <w:t>.</w:t>
      </w:r>
      <w:r w:rsidR="00C83F08">
        <w:rPr>
          <w:sz w:val="24"/>
          <w:szCs w:val="24"/>
        </w:rPr>
        <w:t xml:space="preserve"> </w:t>
      </w:r>
    </w:p>
    <w:p w14:paraId="330479A7" w14:textId="77777777" w:rsidR="00DA3BA1" w:rsidRDefault="00DA3BA1" w:rsidP="00882AEE">
      <w:pPr>
        <w:ind w:right="-10"/>
        <w:rPr>
          <w:sz w:val="24"/>
          <w:szCs w:val="24"/>
        </w:rPr>
      </w:pPr>
    </w:p>
    <w:p w14:paraId="71F27981" w14:textId="0408DF42" w:rsidR="00984A40" w:rsidRPr="007B3290" w:rsidRDefault="007B3290" w:rsidP="00191D41">
      <w:pPr>
        <w:ind w:right="-10"/>
        <w:jc w:val="center"/>
        <w:rPr>
          <w:b/>
          <w:bCs/>
          <w:sz w:val="24"/>
          <w:szCs w:val="24"/>
        </w:rPr>
      </w:pPr>
      <w:r w:rsidRPr="000B2B73">
        <w:rPr>
          <w:b/>
          <w:bCs/>
          <w:sz w:val="24"/>
          <w:szCs w:val="24"/>
          <w:u w:val="single"/>
        </w:rPr>
        <w:t xml:space="preserve">Table </w:t>
      </w:r>
      <w:r w:rsidR="006E30BE">
        <w:rPr>
          <w:b/>
          <w:bCs/>
          <w:sz w:val="24"/>
          <w:szCs w:val="24"/>
          <w:u w:val="single"/>
        </w:rPr>
        <w:t>6</w:t>
      </w:r>
      <w:r w:rsidRPr="000B2B73">
        <w:rPr>
          <w:b/>
          <w:bCs/>
          <w:sz w:val="24"/>
          <w:szCs w:val="24"/>
          <w:u w:val="single"/>
        </w:rPr>
        <w:t>:</w:t>
      </w:r>
      <w:r w:rsidRPr="007B3290">
        <w:rPr>
          <w:b/>
          <w:bCs/>
          <w:sz w:val="24"/>
          <w:szCs w:val="24"/>
        </w:rPr>
        <w:t xml:space="preserve"> Emergency Department Board</w:t>
      </w:r>
      <w:r w:rsidR="00191D41">
        <w:rPr>
          <w:b/>
          <w:bCs/>
          <w:sz w:val="24"/>
          <w:szCs w:val="24"/>
        </w:rPr>
        <w:t>ers</w:t>
      </w:r>
    </w:p>
    <w:tbl>
      <w:tblPr>
        <w:tblW w:w="0" w:type="auto"/>
        <w:jc w:val="center"/>
        <w:tblCellMar>
          <w:left w:w="0" w:type="dxa"/>
          <w:right w:w="0" w:type="dxa"/>
        </w:tblCellMar>
        <w:tblLook w:val="04A0" w:firstRow="1" w:lastRow="0" w:firstColumn="1" w:lastColumn="0" w:noHBand="0" w:noVBand="1"/>
      </w:tblPr>
      <w:tblGrid>
        <w:gridCol w:w="1342"/>
        <w:gridCol w:w="1604"/>
        <w:gridCol w:w="1649"/>
        <w:gridCol w:w="1673"/>
      </w:tblGrid>
      <w:tr w:rsidR="00577709" w:rsidRPr="00181CA6" w14:paraId="60ED369A" w14:textId="77777777" w:rsidTr="002C4EFC">
        <w:trPr>
          <w:cantSplit/>
          <w:tblHeader/>
          <w:jc w:val="center"/>
        </w:trPr>
        <w:tc>
          <w:tcPr>
            <w:tcW w:w="1342" w:type="dxa"/>
            <w:tcBorders>
              <w:top w:val="single" w:sz="8" w:space="0" w:color="auto"/>
              <w:left w:val="single" w:sz="8" w:space="0" w:color="auto"/>
              <w:bottom w:val="single" w:sz="8" w:space="0" w:color="auto"/>
              <w:right w:val="single" w:sz="8" w:space="0" w:color="auto"/>
            </w:tcBorders>
            <w:shd w:val="clear" w:color="auto" w:fill="95B3D7" w:themeFill="accent1" w:themeFillTint="99"/>
            <w:tcMar>
              <w:top w:w="0" w:type="dxa"/>
              <w:left w:w="108" w:type="dxa"/>
              <w:bottom w:w="0" w:type="dxa"/>
              <w:right w:w="108" w:type="dxa"/>
            </w:tcMar>
            <w:hideMark/>
          </w:tcPr>
          <w:p w14:paraId="40234CA3" w14:textId="77777777" w:rsidR="00577709" w:rsidRPr="002278E9" w:rsidRDefault="00577709" w:rsidP="00FE53BC">
            <w:pPr>
              <w:pStyle w:val="pf0"/>
              <w:spacing w:before="0" w:beforeAutospacing="0"/>
              <w:jc w:val="center"/>
              <w:rPr>
                <w:rFonts w:asciiTheme="minorHAnsi" w:hAnsiTheme="minorHAnsi" w:cstheme="minorHAnsi"/>
              </w:rPr>
            </w:pPr>
          </w:p>
        </w:tc>
        <w:tc>
          <w:tcPr>
            <w:tcW w:w="1604" w:type="dxa"/>
            <w:tcBorders>
              <w:top w:val="single" w:sz="8" w:space="0" w:color="auto"/>
              <w:left w:val="nil"/>
              <w:bottom w:val="single" w:sz="8" w:space="0" w:color="auto"/>
              <w:right w:val="single" w:sz="8" w:space="0" w:color="auto"/>
            </w:tcBorders>
            <w:shd w:val="clear" w:color="auto" w:fill="95B3D7" w:themeFill="accent1" w:themeFillTint="99"/>
            <w:tcMar>
              <w:top w:w="0" w:type="dxa"/>
              <w:left w:w="108" w:type="dxa"/>
              <w:bottom w:w="0" w:type="dxa"/>
              <w:right w:w="108" w:type="dxa"/>
            </w:tcMar>
            <w:hideMark/>
          </w:tcPr>
          <w:p w14:paraId="253FE827" w14:textId="2E9EE396" w:rsidR="00577709" w:rsidRPr="002278E9" w:rsidRDefault="00577709" w:rsidP="00FE53BC">
            <w:pPr>
              <w:pStyle w:val="pf0"/>
              <w:spacing w:before="0" w:beforeAutospacing="0"/>
              <w:jc w:val="center"/>
              <w:rPr>
                <w:rFonts w:asciiTheme="minorHAnsi" w:hAnsiTheme="minorHAnsi" w:cstheme="minorHAnsi"/>
                <w:b/>
                <w:bCs/>
              </w:rPr>
            </w:pPr>
            <w:r w:rsidRPr="002278E9">
              <w:rPr>
                <w:rFonts w:asciiTheme="minorHAnsi" w:hAnsiTheme="minorHAnsi" w:cstheme="minorHAnsi"/>
                <w:b/>
                <w:bCs/>
              </w:rPr>
              <w:t>Total Number of ED Boarders</w:t>
            </w:r>
          </w:p>
        </w:tc>
        <w:tc>
          <w:tcPr>
            <w:tcW w:w="1649" w:type="dxa"/>
            <w:tcBorders>
              <w:top w:val="single" w:sz="8" w:space="0" w:color="auto"/>
              <w:left w:val="nil"/>
              <w:bottom w:val="single" w:sz="8" w:space="0" w:color="auto"/>
              <w:right w:val="single" w:sz="8" w:space="0" w:color="auto"/>
            </w:tcBorders>
            <w:shd w:val="clear" w:color="auto" w:fill="95B3D7" w:themeFill="accent1" w:themeFillTint="99"/>
            <w:tcMar>
              <w:top w:w="0" w:type="dxa"/>
              <w:left w:w="108" w:type="dxa"/>
              <w:bottom w:w="0" w:type="dxa"/>
              <w:right w:w="108" w:type="dxa"/>
            </w:tcMar>
            <w:hideMark/>
          </w:tcPr>
          <w:p w14:paraId="1FB9D8F7" w14:textId="49581945" w:rsidR="00577709" w:rsidRPr="002278E9" w:rsidRDefault="00577709" w:rsidP="00FE53BC">
            <w:pPr>
              <w:pStyle w:val="pf0"/>
              <w:spacing w:before="0" w:beforeAutospacing="0"/>
              <w:jc w:val="center"/>
              <w:rPr>
                <w:rFonts w:asciiTheme="minorHAnsi" w:hAnsiTheme="minorHAnsi" w:cstheme="minorHAnsi"/>
                <w:b/>
                <w:bCs/>
              </w:rPr>
            </w:pPr>
            <w:r w:rsidRPr="002278E9">
              <w:rPr>
                <w:rFonts w:asciiTheme="minorHAnsi" w:hAnsiTheme="minorHAnsi" w:cstheme="minorHAnsi"/>
                <w:b/>
                <w:bCs/>
              </w:rPr>
              <w:t xml:space="preserve">Boarding patients waiting </w:t>
            </w:r>
            <w:r w:rsidR="003A4856" w:rsidRPr="002278E9">
              <w:rPr>
                <w:rFonts w:asciiTheme="minorHAnsi" w:hAnsiTheme="minorHAnsi" w:cstheme="minorHAnsi"/>
                <w:b/>
                <w:bCs/>
              </w:rPr>
              <w:t>for M</w:t>
            </w:r>
            <w:r w:rsidRPr="002278E9">
              <w:rPr>
                <w:rFonts w:asciiTheme="minorHAnsi" w:hAnsiTheme="minorHAnsi" w:cstheme="minorHAnsi"/>
                <w:b/>
                <w:bCs/>
              </w:rPr>
              <w:t>/S bed</w:t>
            </w:r>
            <w:r w:rsidR="00F9646B" w:rsidRPr="002278E9">
              <w:rPr>
                <w:rStyle w:val="FootnoteReference"/>
                <w:rFonts w:asciiTheme="minorHAnsi" w:hAnsiTheme="minorHAnsi" w:cstheme="minorHAnsi"/>
                <w:b/>
                <w:bCs/>
              </w:rPr>
              <w:footnoteReference w:id="18"/>
            </w:r>
          </w:p>
        </w:tc>
        <w:tc>
          <w:tcPr>
            <w:tcW w:w="1673" w:type="dxa"/>
            <w:tcBorders>
              <w:top w:val="single" w:sz="8" w:space="0" w:color="auto"/>
              <w:left w:val="nil"/>
              <w:bottom w:val="single" w:sz="8" w:space="0" w:color="auto"/>
              <w:right w:val="single" w:sz="8" w:space="0" w:color="auto"/>
            </w:tcBorders>
            <w:shd w:val="clear" w:color="auto" w:fill="95B3D7" w:themeFill="accent1" w:themeFillTint="99"/>
            <w:tcMar>
              <w:top w:w="0" w:type="dxa"/>
              <w:left w:w="108" w:type="dxa"/>
              <w:bottom w:w="0" w:type="dxa"/>
              <w:right w:w="108" w:type="dxa"/>
            </w:tcMar>
            <w:hideMark/>
          </w:tcPr>
          <w:p w14:paraId="269EE8AA" w14:textId="3F7EA6A5" w:rsidR="00577709" w:rsidRPr="002278E9" w:rsidRDefault="00577709" w:rsidP="00FE53BC">
            <w:pPr>
              <w:pStyle w:val="pf0"/>
              <w:spacing w:before="0" w:beforeAutospacing="0"/>
              <w:jc w:val="center"/>
              <w:rPr>
                <w:rFonts w:asciiTheme="minorHAnsi" w:hAnsiTheme="minorHAnsi" w:cstheme="minorHAnsi"/>
                <w:b/>
                <w:bCs/>
              </w:rPr>
            </w:pPr>
            <w:r w:rsidRPr="002278E9">
              <w:rPr>
                <w:rFonts w:asciiTheme="minorHAnsi" w:hAnsiTheme="minorHAnsi" w:cstheme="minorHAnsi"/>
                <w:b/>
                <w:bCs/>
              </w:rPr>
              <w:t>Boarding patients waiting for</w:t>
            </w:r>
            <w:r w:rsidR="0053228E" w:rsidRPr="002278E9">
              <w:rPr>
                <w:rFonts w:asciiTheme="minorHAnsi" w:hAnsiTheme="minorHAnsi" w:cstheme="minorHAnsi"/>
                <w:b/>
                <w:bCs/>
              </w:rPr>
              <w:t xml:space="preserve"> a non-</w:t>
            </w:r>
            <w:r w:rsidRPr="002278E9">
              <w:rPr>
                <w:rFonts w:asciiTheme="minorHAnsi" w:hAnsiTheme="minorHAnsi" w:cstheme="minorHAnsi"/>
                <w:b/>
                <w:bCs/>
              </w:rPr>
              <w:t>M/S Bed</w:t>
            </w:r>
            <w:r w:rsidR="00406DD5" w:rsidRPr="002278E9">
              <w:rPr>
                <w:rStyle w:val="FootnoteReference"/>
                <w:rFonts w:asciiTheme="minorHAnsi" w:hAnsiTheme="minorHAnsi" w:cstheme="minorHAnsi"/>
                <w:b/>
                <w:bCs/>
              </w:rPr>
              <w:footnoteReference w:id="19"/>
            </w:r>
          </w:p>
        </w:tc>
      </w:tr>
      <w:tr w:rsidR="00577709" w:rsidRPr="00181CA6" w14:paraId="6B018698" w14:textId="77777777" w:rsidTr="002C4EFC">
        <w:trPr>
          <w:cantSplit/>
          <w:jc w:val="center"/>
        </w:trPr>
        <w:tc>
          <w:tcPr>
            <w:tcW w:w="1342" w:type="dxa"/>
            <w:tcBorders>
              <w:top w:val="nil"/>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14:paraId="07549F1F" w14:textId="77777777" w:rsidR="00577709" w:rsidRPr="002278E9" w:rsidRDefault="00577709" w:rsidP="00FE53BC">
            <w:pPr>
              <w:pStyle w:val="pf0"/>
              <w:spacing w:before="0" w:beforeAutospacing="0"/>
              <w:jc w:val="center"/>
              <w:rPr>
                <w:rFonts w:asciiTheme="minorHAnsi" w:hAnsiTheme="minorHAnsi" w:cstheme="minorHAnsi"/>
                <w:b/>
                <w:bCs/>
              </w:rPr>
            </w:pPr>
            <w:r w:rsidRPr="002278E9">
              <w:rPr>
                <w:rFonts w:asciiTheme="minorHAnsi" w:hAnsiTheme="minorHAnsi" w:cstheme="minorHAnsi"/>
                <w:b/>
                <w:bCs/>
              </w:rPr>
              <w:t>FY2019</w:t>
            </w:r>
          </w:p>
        </w:tc>
        <w:tc>
          <w:tcPr>
            <w:tcW w:w="1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690E53" w14:textId="77777777" w:rsidR="00577709" w:rsidRPr="002278E9" w:rsidRDefault="00577709" w:rsidP="00FE53BC">
            <w:pPr>
              <w:pStyle w:val="pf0"/>
              <w:spacing w:before="0" w:beforeAutospacing="0"/>
              <w:jc w:val="center"/>
              <w:rPr>
                <w:rFonts w:asciiTheme="minorHAnsi" w:hAnsiTheme="minorHAnsi" w:cstheme="minorHAnsi"/>
              </w:rPr>
            </w:pPr>
            <w:r w:rsidRPr="002278E9">
              <w:rPr>
                <w:rFonts w:asciiTheme="minorHAnsi" w:hAnsiTheme="minorHAnsi" w:cstheme="minorHAnsi"/>
              </w:rPr>
              <w:t>23,100</w:t>
            </w:r>
          </w:p>
        </w:tc>
        <w:tc>
          <w:tcPr>
            <w:tcW w:w="16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576A7B" w14:textId="77777777" w:rsidR="00577709" w:rsidRPr="002278E9" w:rsidRDefault="00577709" w:rsidP="00FE53BC">
            <w:pPr>
              <w:pStyle w:val="pf0"/>
              <w:spacing w:before="0" w:beforeAutospacing="0"/>
              <w:jc w:val="center"/>
              <w:rPr>
                <w:rFonts w:asciiTheme="minorHAnsi" w:hAnsiTheme="minorHAnsi" w:cstheme="minorHAnsi"/>
              </w:rPr>
            </w:pPr>
            <w:r w:rsidRPr="002278E9">
              <w:rPr>
                <w:rFonts w:asciiTheme="minorHAnsi" w:hAnsiTheme="minorHAnsi" w:cstheme="minorHAnsi"/>
              </w:rPr>
              <w:t>22,385</w:t>
            </w:r>
          </w:p>
        </w:tc>
        <w:tc>
          <w:tcPr>
            <w:tcW w:w="16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515A00" w14:textId="43F01AE1" w:rsidR="00577709" w:rsidRPr="002278E9" w:rsidRDefault="00577709" w:rsidP="00FE53BC">
            <w:pPr>
              <w:pStyle w:val="pf0"/>
              <w:spacing w:before="0" w:beforeAutospacing="0"/>
              <w:jc w:val="center"/>
              <w:rPr>
                <w:rFonts w:asciiTheme="minorHAnsi" w:hAnsiTheme="minorHAnsi" w:cstheme="minorHAnsi"/>
              </w:rPr>
            </w:pPr>
            <w:r w:rsidRPr="002278E9">
              <w:rPr>
                <w:rFonts w:asciiTheme="minorHAnsi" w:hAnsiTheme="minorHAnsi" w:cstheme="minorHAnsi"/>
              </w:rPr>
              <w:t>715</w:t>
            </w:r>
          </w:p>
        </w:tc>
      </w:tr>
      <w:tr w:rsidR="00577709" w:rsidRPr="00181CA6" w14:paraId="1FC64E30" w14:textId="77777777" w:rsidTr="002C4EFC">
        <w:trPr>
          <w:cantSplit/>
          <w:trHeight w:val="34"/>
          <w:jc w:val="center"/>
        </w:trPr>
        <w:tc>
          <w:tcPr>
            <w:tcW w:w="1342" w:type="dxa"/>
            <w:tcBorders>
              <w:top w:val="nil"/>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14:paraId="34955BF2" w14:textId="77777777" w:rsidR="00577709" w:rsidRPr="002278E9" w:rsidRDefault="00577709" w:rsidP="00FE53BC">
            <w:pPr>
              <w:pStyle w:val="pf0"/>
              <w:spacing w:before="0" w:beforeAutospacing="0"/>
              <w:jc w:val="center"/>
              <w:rPr>
                <w:rFonts w:asciiTheme="minorHAnsi" w:hAnsiTheme="minorHAnsi" w:cstheme="minorHAnsi"/>
                <w:b/>
                <w:bCs/>
              </w:rPr>
            </w:pPr>
            <w:r w:rsidRPr="002278E9">
              <w:rPr>
                <w:rFonts w:asciiTheme="minorHAnsi" w:hAnsiTheme="minorHAnsi" w:cstheme="minorHAnsi"/>
                <w:b/>
                <w:bCs/>
              </w:rPr>
              <w:t>FY2023</w:t>
            </w:r>
          </w:p>
        </w:tc>
        <w:tc>
          <w:tcPr>
            <w:tcW w:w="1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F52DF3" w14:textId="77777777" w:rsidR="00577709" w:rsidRPr="002278E9" w:rsidRDefault="00577709" w:rsidP="00FE53BC">
            <w:pPr>
              <w:jc w:val="center"/>
              <w:rPr>
                <w:rFonts w:cstheme="minorHAnsi"/>
                <w:sz w:val="24"/>
                <w:szCs w:val="24"/>
              </w:rPr>
            </w:pPr>
            <w:r w:rsidRPr="002278E9">
              <w:rPr>
                <w:rFonts w:cstheme="minorHAnsi"/>
                <w:sz w:val="24"/>
                <w:szCs w:val="24"/>
              </w:rPr>
              <w:t>24,388</w:t>
            </w:r>
          </w:p>
        </w:tc>
        <w:tc>
          <w:tcPr>
            <w:tcW w:w="16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F0B7B7" w14:textId="77777777" w:rsidR="00577709" w:rsidRPr="002278E9" w:rsidRDefault="00577709" w:rsidP="00FE53BC">
            <w:pPr>
              <w:pStyle w:val="pf0"/>
              <w:spacing w:before="0" w:beforeAutospacing="0"/>
              <w:jc w:val="center"/>
              <w:rPr>
                <w:rFonts w:asciiTheme="minorHAnsi" w:hAnsiTheme="minorHAnsi" w:cstheme="minorHAnsi"/>
              </w:rPr>
            </w:pPr>
            <w:r w:rsidRPr="002278E9">
              <w:rPr>
                <w:rFonts w:asciiTheme="minorHAnsi" w:hAnsiTheme="minorHAnsi" w:cstheme="minorHAnsi"/>
              </w:rPr>
              <w:t>23,522</w:t>
            </w:r>
          </w:p>
        </w:tc>
        <w:tc>
          <w:tcPr>
            <w:tcW w:w="16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C5E69D" w14:textId="632A7B65" w:rsidR="00577709" w:rsidRPr="002278E9" w:rsidRDefault="00577709" w:rsidP="00FE53BC">
            <w:pPr>
              <w:pStyle w:val="pf0"/>
              <w:spacing w:before="0" w:beforeAutospacing="0"/>
              <w:jc w:val="center"/>
              <w:rPr>
                <w:rFonts w:asciiTheme="minorHAnsi" w:hAnsiTheme="minorHAnsi" w:cstheme="minorHAnsi"/>
              </w:rPr>
            </w:pPr>
            <w:r w:rsidRPr="002278E9">
              <w:rPr>
                <w:rFonts w:asciiTheme="minorHAnsi" w:hAnsiTheme="minorHAnsi" w:cstheme="minorHAnsi"/>
              </w:rPr>
              <w:t>866</w:t>
            </w:r>
          </w:p>
        </w:tc>
      </w:tr>
    </w:tbl>
    <w:p w14:paraId="3B2B6031" w14:textId="77777777" w:rsidR="00DA3BA1" w:rsidRDefault="00DA3BA1" w:rsidP="00882AEE">
      <w:pPr>
        <w:ind w:right="-10"/>
        <w:rPr>
          <w:sz w:val="24"/>
          <w:szCs w:val="24"/>
        </w:rPr>
      </w:pPr>
    </w:p>
    <w:p w14:paraId="4F5C0A3A" w14:textId="6BDB3ADE" w:rsidR="00C4511C" w:rsidRDefault="00CB4295" w:rsidP="00882AEE">
      <w:pPr>
        <w:ind w:right="-10"/>
        <w:rPr>
          <w:sz w:val="24"/>
          <w:szCs w:val="24"/>
        </w:rPr>
      </w:pPr>
      <w:r>
        <w:rPr>
          <w:sz w:val="24"/>
          <w:szCs w:val="24"/>
        </w:rPr>
        <w:t>T</w:t>
      </w:r>
      <w:r w:rsidR="003B08A4" w:rsidRPr="003B08A4">
        <w:rPr>
          <w:sz w:val="24"/>
          <w:szCs w:val="24"/>
        </w:rPr>
        <w:t xml:space="preserve">he Hospital </w:t>
      </w:r>
      <w:r w:rsidR="00543ADE">
        <w:rPr>
          <w:sz w:val="24"/>
          <w:szCs w:val="24"/>
        </w:rPr>
        <w:t xml:space="preserve">reports that it </w:t>
      </w:r>
      <w:r>
        <w:rPr>
          <w:sz w:val="24"/>
          <w:szCs w:val="24"/>
        </w:rPr>
        <w:t>was in</w:t>
      </w:r>
      <w:r w:rsidR="003B08A4" w:rsidRPr="003B08A4">
        <w:rPr>
          <w:sz w:val="24"/>
          <w:szCs w:val="24"/>
        </w:rPr>
        <w:t xml:space="preserve"> Code Help</w:t>
      </w:r>
      <w:r w:rsidR="00C6642B">
        <w:rPr>
          <w:rStyle w:val="FootnoteReference"/>
          <w:sz w:val="24"/>
          <w:szCs w:val="24"/>
        </w:rPr>
        <w:footnoteReference w:id="20"/>
      </w:r>
      <w:r w:rsidR="003B08A4" w:rsidRPr="003B08A4">
        <w:rPr>
          <w:sz w:val="24"/>
          <w:szCs w:val="24"/>
        </w:rPr>
        <w:t xml:space="preserve"> or Capacity Disaster</w:t>
      </w:r>
      <w:r w:rsidR="00611CB5">
        <w:rPr>
          <w:rStyle w:val="FootnoteReference"/>
          <w:sz w:val="24"/>
          <w:szCs w:val="24"/>
        </w:rPr>
        <w:footnoteReference w:id="21"/>
      </w:r>
      <w:r w:rsidR="003B08A4" w:rsidRPr="003B08A4">
        <w:rPr>
          <w:sz w:val="24"/>
          <w:szCs w:val="24"/>
        </w:rPr>
        <w:t xml:space="preserve"> </w:t>
      </w:r>
      <w:r>
        <w:rPr>
          <w:sz w:val="24"/>
          <w:szCs w:val="24"/>
        </w:rPr>
        <w:t xml:space="preserve">status </w:t>
      </w:r>
      <w:r w:rsidR="003B08A4" w:rsidRPr="003B08A4">
        <w:rPr>
          <w:sz w:val="24"/>
          <w:szCs w:val="24"/>
        </w:rPr>
        <w:t xml:space="preserve">for </w:t>
      </w:r>
      <w:r w:rsidR="00F620FA">
        <w:rPr>
          <w:sz w:val="24"/>
          <w:szCs w:val="24"/>
        </w:rPr>
        <w:t>approximate</w:t>
      </w:r>
      <w:r w:rsidR="00C02654">
        <w:rPr>
          <w:sz w:val="24"/>
          <w:szCs w:val="24"/>
        </w:rPr>
        <w:t>ly</w:t>
      </w:r>
      <w:r w:rsidR="00F620FA">
        <w:rPr>
          <w:sz w:val="24"/>
          <w:szCs w:val="24"/>
        </w:rPr>
        <w:t xml:space="preserve"> </w:t>
      </w:r>
      <w:r w:rsidR="003B08A4" w:rsidRPr="003B08A4">
        <w:rPr>
          <w:sz w:val="24"/>
          <w:szCs w:val="24"/>
        </w:rPr>
        <w:t xml:space="preserve">93% of days in </w:t>
      </w:r>
      <w:r>
        <w:rPr>
          <w:sz w:val="24"/>
          <w:szCs w:val="24"/>
        </w:rPr>
        <w:t>FY2023</w:t>
      </w:r>
      <w:r w:rsidR="00810F24">
        <w:rPr>
          <w:sz w:val="24"/>
          <w:szCs w:val="24"/>
        </w:rPr>
        <w:t xml:space="preserve">. </w:t>
      </w:r>
      <w:r w:rsidR="004C1BD6">
        <w:rPr>
          <w:sz w:val="24"/>
          <w:szCs w:val="24"/>
        </w:rPr>
        <w:t xml:space="preserve">This is </w:t>
      </w:r>
      <w:r w:rsidR="000F10D2">
        <w:rPr>
          <w:sz w:val="24"/>
          <w:szCs w:val="24"/>
        </w:rPr>
        <w:t xml:space="preserve">a significant increase from </w:t>
      </w:r>
      <w:r w:rsidR="00563EF9">
        <w:rPr>
          <w:sz w:val="24"/>
          <w:szCs w:val="24"/>
        </w:rPr>
        <w:t xml:space="preserve">the FY2019 figure of </w:t>
      </w:r>
      <w:r w:rsidR="00B81DF5">
        <w:rPr>
          <w:sz w:val="24"/>
          <w:szCs w:val="24"/>
        </w:rPr>
        <w:t xml:space="preserve">operating </w:t>
      </w:r>
      <w:r w:rsidR="00B81DF5" w:rsidRPr="00AB24B2">
        <w:rPr>
          <w:sz w:val="24"/>
          <w:szCs w:val="24"/>
        </w:rPr>
        <w:t xml:space="preserve">in Code Help </w:t>
      </w:r>
      <w:r w:rsidR="00BB21C5">
        <w:rPr>
          <w:sz w:val="24"/>
          <w:szCs w:val="24"/>
        </w:rPr>
        <w:t xml:space="preserve">or Capacity Disaster </w:t>
      </w:r>
      <w:r w:rsidR="00B81DF5" w:rsidRPr="00AB24B2">
        <w:rPr>
          <w:sz w:val="24"/>
          <w:szCs w:val="24"/>
        </w:rPr>
        <w:t>status 2</w:t>
      </w:r>
      <w:r w:rsidR="00C4511C">
        <w:rPr>
          <w:sz w:val="24"/>
          <w:szCs w:val="24"/>
        </w:rPr>
        <w:t>3</w:t>
      </w:r>
      <w:r w:rsidR="00B81DF5" w:rsidRPr="00AB24B2">
        <w:rPr>
          <w:sz w:val="24"/>
          <w:szCs w:val="24"/>
        </w:rPr>
        <w:t>% of the time.</w:t>
      </w:r>
      <w:r w:rsidR="00AB24B2" w:rsidRPr="00AB24B2">
        <w:rPr>
          <w:sz w:val="24"/>
          <w:szCs w:val="24"/>
        </w:rPr>
        <w:t xml:space="preserve"> </w:t>
      </w:r>
      <w:r w:rsidR="004C5659">
        <w:rPr>
          <w:sz w:val="24"/>
          <w:szCs w:val="24"/>
        </w:rPr>
        <w:t xml:space="preserve"> </w:t>
      </w:r>
      <w:r w:rsidR="00B72CBB">
        <w:rPr>
          <w:sz w:val="24"/>
          <w:szCs w:val="24"/>
        </w:rPr>
        <w:t>T</w:t>
      </w:r>
      <w:r w:rsidR="004C5659">
        <w:rPr>
          <w:sz w:val="24"/>
          <w:szCs w:val="24"/>
        </w:rPr>
        <w:t xml:space="preserve">he Holder notes that </w:t>
      </w:r>
      <w:r w:rsidR="008D5F90">
        <w:rPr>
          <w:sz w:val="24"/>
          <w:szCs w:val="24"/>
        </w:rPr>
        <w:t xml:space="preserve">the </w:t>
      </w:r>
      <w:r w:rsidR="004A61F4">
        <w:rPr>
          <w:sz w:val="24"/>
          <w:szCs w:val="24"/>
        </w:rPr>
        <w:t xml:space="preserve">increasing incidences of Code Help and Capacity Disaster have been </w:t>
      </w:r>
      <w:r w:rsidR="00302CD0">
        <w:rPr>
          <w:sz w:val="24"/>
          <w:szCs w:val="24"/>
        </w:rPr>
        <w:t>on a</w:t>
      </w:r>
      <w:r w:rsidR="000B2B73">
        <w:rPr>
          <w:sz w:val="24"/>
          <w:szCs w:val="24"/>
        </w:rPr>
        <w:t xml:space="preserve"> steady</w:t>
      </w:r>
      <w:r w:rsidR="00302CD0">
        <w:rPr>
          <w:sz w:val="24"/>
          <w:szCs w:val="24"/>
        </w:rPr>
        <w:t xml:space="preserve"> upward trend </w:t>
      </w:r>
      <w:r w:rsidR="00296572">
        <w:rPr>
          <w:sz w:val="24"/>
          <w:szCs w:val="24"/>
        </w:rPr>
        <w:t>since 2018.</w:t>
      </w:r>
      <w:r w:rsidR="004A61F4">
        <w:rPr>
          <w:sz w:val="24"/>
          <w:szCs w:val="24"/>
        </w:rPr>
        <w:t xml:space="preserve"> </w:t>
      </w:r>
      <w:r w:rsidR="00B73A9F">
        <w:rPr>
          <w:sz w:val="24"/>
          <w:szCs w:val="24"/>
        </w:rPr>
        <w:t xml:space="preserve">In analyzing the </w:t>
      </w:r>
      <w:r w:rsidR="00EE1D4D">
        <w:rPr>
          <w:sz w:val="24"/>
          <w:szCs w:val="24"/>
        </w:rPr>
        <w:t>underlying causes of the increase, t</w:t>
      </w:r>
      <w:r w:rsidR="00296572" w:rsidRPr="00B73A9F">
        <w:rPr>
          <w:sz w:val="24"/>
          <w:szCs w:val="24"/>
        </w:rPr>
        <w:t xml:space="preserve">he Holder </w:t>
      </w:r>
      <w:r w:rsidR="00B73A9F" w:rsidRPr="00B73A9F">
        <w:rPr>
          <w:sz w:val="24"/>
          <w:szCs w:val="24"/>
        </w:rPr>
        <w:t>states that</w:t>
      </w:r>
      <w:r w:rsidR="00B72CBB">
        <w:rPr>
          <w:sz w:val="24"/>
          <w:szCs w:val="24"/>
        </w:rPr>
        <w:t xml:space="preserve">, </w:t>
      </w:r>
      <w:r w:rsidR="000B2B73">
        <w:rPr>
          <w:sz w:val="24"/>
          <w:szCs w:val="24"/>
        </w:rPr>
        <w:t>“T</w:t>
      </w:r>
      <w:r w:rsidR="004C5659" w:rsidRPr="00B73A9F">
        <w:rPr>
          <w:sz w:val="24"/>
          <w:szCs w:val="24"/>
        </w:rPr>
        <w:t>he health care system has grappled with a global pandemic and its downstream impact, including deferred and delayed care resulting in significantly more patients seeking treatment for more acute conditions, often first seeking care through the ED.</w:t>
      </w:r>
      <w:r w:rsidR="000B2B73">
        <w:rPr>
          <w:sz w:val="24"/>
          <w:szCs w:val="24"/>
        </w:rPr>
        <w:t>”</w:t>
      </w:r>
    </w:p>
    <w:p w14:paraId="5C0B04FD" w14:textId="77777777" w:rsidR="00C4511C" w:rsidRDefault="00C4511C" w:rsidP="00882AEE">
      <w:pPr>
        <w:ind w:right="-10"/>
        <w:rPr>
          <w:sz w:val="24"/>
          <w:szCs w:val="24"/>
        </w:rPr>
      </w:pPr>
    </w:p>
    <w:p w14:paraId="7FD15062" w14:textId="1EECD26B" w:rsidR="004E3FC9" w:rsidRDefault="00AB24B2" w:rsidP="00882AEE">
      <w:pPr>
        <w:ind w:right="-10"/>
        <w:rPr>
          <w:sz w:val="24"/>
          <w:szCs w:val="24"/>
        </w:rPr>
      </w:pPr>
      <w:r w:rsidRPr="00AB24B2">
        <w:rPr>
          <w:sz w:val="24"/>
          <w:szCs w:val="24"/>
        </w:rPr>
        <w:t>In addition</w:t>
      </w:r>
      <w:r w:rsidR="00B72CBB">
        <w:rPr>
          <w:sz w:val="24"/>
          <w:szCs w:val="24"/>
        </w:rPr>
        <w:t xml:space="preserve"> to </w:t>
      </w:r>
      <w:r w:rsidR="008178DE">
        <w:rPr>
          <w:sz w:val="24"/>
          <w:szCs w:val="24"/>
        </w:rPr>
        <w:t>long waits for ED Boarders</w:t>
      </w:r>
      <w:r w:rsidRPr="00AB24B2">
        <w:rPr>
          <w:sz w:val="24"/>
          <w:szCs w:val="24"/>
        </w:rPr>
        <w:t xml:space="preserve">, many patients leave the ED without being seen due to long wait times. In FY2023, 3.7%, of all patients </w:t>
      </w:r>
      <w:r w:rsidRPr="005C0642">
        <w:rPr>
          <w:sz w:val="24"/>
          <w:szCs w:val="24"/>
        </w:rPr>
        <w:t>who presented at the Hospital’s ED left without being seen</w:t>
      </w:r>
      <w:r w:rsidR="005C0642" w:rsidRPr="005C0642">
        <w:rPr>
          <w:sz w:val="24"/>
          <w:szCs w:val="24"/>
        </w:rPr>
        <w:t xml:space="preserve">, </w:t>
      </w:r>
      <w:r w:rsidR="00B840AA">
        <w:rPr>
          <w:sz w:val="24"/>
          <w:szCs w:val="24"/>
        </w:rPr>
        <w:t xml:space="preserve">more than </w:t>
      </w:r>
      <w:r w:rsidR="005C0642" w:rsidRPr="005C0642">
        <w:rPr>
          <w:sz w:val="24"/>
          <w:szCs w:val="24"/>
        </w:rPr>
        <w:t xml:space="preserve">doubling the FY2019 data point of 1.2% of patients </w:t>
      </w:r>
      <w:r w:rsidR="00813013">
        <w:rPr>
          <w:sz w:val="24"/>
          <w:szCs w:val="24"/>
        </w:rPr>
        <w:t>leaving</w:t>
      </w:r>
      <w:r w:rsidR="005C0642" w:rsidRPr="005C0642">
        <w:rPr>
          <w:sz w:val="24"/>
          <w:szCs w:val="24"/>
        </w:rPr>
        <w:t xml:space="preserve"> without being seen, as presented in the original </w:t>
      </w:r>
      <w:proofErr w:type="spellStart"/>
      <w:r w:rsidR="005C0642" w:rsidRPr="005C0642">
        <w:rPr>
          <w:sz w:val="24"/>
          <w:szCs w:val="24"/>
        </w:rPr>
        <w:t>DoN</w:t>
      </w:r>
      <w:proofErr w:type="spellEnd"/>
      <w:r w:rsidRPr="005C0642">
        <w:rPr>
          <w:sz w:val="24"/>
          <w:szCs w:val="24"/>
        </w:rPr>
        <w:t>.</w:t>
      </w:r>
      <w:r w:rsidRPr="00AB24B2">
        <w:rPr>
          <w:sz w:val="24"/>
          <w:szCs w:val="24"/>
        </w:rPr>
        <w:t xml:space="preserve"> MGH estimates that approximately 10% of these </w:t>
      </w:r>
      <w:r w:rsidR="00EF44CB">
        <w:rPr>
          <w:sz w:val="24"/>
          <w:szCs w:val="24"/>
        </w:rPr>
        <w:t xml:space="preserve">FY2023 </w:t>
      </w:r>
      <w:r w:rsidRPr="00AB24B2">
        <w:rPr>
          <w:sz w:val="24"/>
          <w:szCs w:val="24"/>
        </w:rPr>
        <w:t>patients would have been admitted, meaning more than 500 patients further delayed or avoided care altogether.</w:t>
      </w:r>
      <w:r w:rsidRPr="00AB24B2">
        <w:rPr>
          <w:rStyle w:val="FootnoteReference"/>
          <w:sz w:val="24"/>
          <w:szCs w:val="24"/>
        </w:rPr>
        <w:footnoteReference w:id="22"/>
      </w:r>
      <w:r>
        <w:rPr>
          <w:sz w:val="24"/>
          <w:szCs w:val="24"/>
        </w:rPr>
        <w:t xml:space="preserve"> </w:t>
      </w:r>
    </w:p>
    <w:p w14:paraId="7233785D" w14:textId="77777777" w:rsidR="00A856B3" w:rsidRPr="008648F0" w:rsidRDefault="00A856B3" w:rsidP="00882AEE">
      <w:pPr>
        <w:ind w:right="-10"/>
        <w:rPr>
          <w:b/>
          <w:bCs/>
          <w:i/>
          <w:iCs/>
          <w:sz w:val="24"/>
          <w:szCs w:val="24"/>
        </w:rPr>
      </w:pPr>
    </w:p>
    <w:p w14:paraId="09DC1E19" w14:textId="21DC26FB" w:rsidR="001E4077" w:rsidRDefault="001E4077" w:rsidP="00882AEE">
      <w:pPr>
        <w:ind w:right="-10"/>
        <w:rPr>
          <w:sz w:val="24"/>
          <w:szCs w:val="24"/>
        </w:rPr>
      </w:pPr>
      <w:r w:rsidRPr="6F0FA7D6">
        <w:rPr>
          <w:sz w:val="24"/>
          <w:szCs w:val="24"/>
        </w:rPr>
        <w:t xml:space="preserve">The Holder states that without adequate inpatient capacity, patients </w:t>
      </w:r>
      <w:r w:rsidR="002642D7" w:rsidRPr="6F0FA7D6">
        <w:rPr>
          <w:sz w:val="24"/>
          <w:szCs w:val="24"/>
        </w:rPr>
        <w:t xml:space="preserve">will continue to experience delays in transitioning </w:t>
      </w:r>
      <w:r w:rsidRPr="6F0FA7D6">
        <w:rPr>
          <w:sz w:val="24"/>
          <w:szCs w:val="24"/>
        </w:rPr>
        <w:t>out of the ED to inpatient floors. By retaining access to the 94 inpatient beds</w:t>
      </w:r>
      <w:r w:rsidR="0062195A" w:rsidRPr="6F0FA7D6">
        <w:rPr>
          <w:sz w:val="24"/>
          <w:szCs w:val="24"/>
        </w:rPr>
        <w:t xml:space="preserve"> that would otherwise have been relocated to the new building</w:t>
      </w:r>
      <w:r w:rsidRPr="6F0FA7D6">
        <w:rPr>
          <w:sz w:val="24"/>
          <w:szCs w:val="24"/>
        </w:rPr>
        <w:t xml:space="preserve">, </w:t>
      </w:r>
      <w:r w:rsidR="002642D7" w:rsidRPr="6F0FA7D6">
        <w:rPr>
          <w:sz w:val="24"/>
          <w:szCs w:val="24"/>
        </w:rPr>
        <w:t xml:space="preserve">the Holder asserts that </w:t>
      </w:r>
      <w:r w:rsidR="003C4E67" w:rsidRPr="6F0FA7D6">
        <w:rPr>
          <w:sz w:val="24"/>
          <w:szCs w:val="24"/>
        </w:rPr>
        <w:t>they will</w:t>
      </w:r>
      <w:r w:rsidRPr="6F0FA7D6">
        <w:rPr>
          <w:sz w:val="24"/>
          <w:szCs w:val="24"/>
        </w:rPr>
        <w:t xml:space="preserve"> have sufficient capacity to move patients from the ED to an inpatient bed </w:t>
      </w:r>
      <w:r w:rsidR="0062195A" w:rsidRPr="6F0FA7D6">
        <w:rPr>
          <w:sz w:val="24"/>
          <w:szCs w:val="24"/>
        </w:rPr>
        <w:lastRenderedPageBreak/>
        <w:t>expediently</w:t>
      </w:r>
      <w:r w:rsidRPr="6F0FA7D6">
        <w:rPr>
          <w:sz w:val="24"/>
          <w:szCs w:val="24"/>
        </w:rPr>
        <w:t xml:space="preserve">, ensuring appropriate access to both emergency and inpatient care for the community it serves. </w:t>
      </w:r>
      <w:r w:rsidR="0095273B">
        <w:rPr>
          <w:sz w:val="24"/>
          <w:szCs w:val="24"/>
        </w:rPr>
        <w:t xml:space="preserve"> </w:t>
      </w:r>
    </w:p>
    <w:p w14:paraId="7525CF9E" w14:textId="77777777" w:rsidR="0000588E" w:rsidRDefault="0000588E" w:rsidP="00882AEE">
      <w:pPr>
        <w:ind w:right="-10"/>
        <w:rPr>
          <w:sz w:val="24"/>
          <w:szCs w:val="24"/>
        </w:rPr>
      </w:pPr>
    </w:p>
    <w:p w14:paraId="07AD3023" w14:textId="55C0EA99" w:rsidR="00F941A7" w:rsidRDefault="0000588E" w:rsidP="000B3E7D">
      <w:pPr>
        <w:pStyle w:val="pf0"/>
        <w:spacing w:before="0" w:beforeAutospacing="0" w:after="0" w:afterAutospacing="0"/>
        <w:rPr>
          <w:rStyle w:val="cf01"/>
          <w:rFonts w:asciiTheme="minorHAnsi" w:hAnsiTheme="minorHAnsi" w:cstheme="minorHAnsi"/>
          <w:sz w:val="24"/>
          <w:szCs w:val="24"/>
        </w:rPr>
      </w:pPr>
      <w:r w:rsidRPr="000B3E7D">
        <w:rPr>
          <w:rFonts w:asciiTheme="minorHAnsi" w:hAnsiTheme="minorHAnsi" w:cstheme="minorHAnsi"/>
        </w:rPr>
        <w:t xml:space="preserve">Given that the </w:t>
      </w:r>
      <w:r w:rsidR="2474477C" w:rsidRPr="000B3E7D">
        <w:rPr>
          <w:rFonts w:asciiTheme="minorHAnsi" w:hAnsiTheme="minorHAnsi" w:cstheme="minorHAnsi"/>
        </w:rPr>
        <w:t xml:space="preserve">proposed </w:t>
      </w:r>
      <w:r w:rsidRPr="000B3E7D">
        <w:rPr>
          <w:rFonts w:asciiTheme="minorHAnsi" w:hAnsiTheme="minorHAnsi" w:cstheme="minorHAnsi"/>
        </w:rPr>
        <w:t>benefits of an increased bed count</w:t>
      </w:r>
      <w:r w:rsidR="1773C294" w:rsidRPr="000B3E7D">
        <w:rPr>
          <w:rFonts w:asciiTheme="minorHAnsi" w:hAnsiTheme="minorHAnsi" w:cstheme="minorHAnsi"/>
        </w:rPr>
        <w:t xml:space="preserve"> articulated by the </w:t>
      </w:r>
      <w:r w:rsidR="79B6F347" w:rsidRPr="000B3E7D">
        <w:rPr>
          <w:rFonts w:asciiTheme="minorHAnsi" w:hAnsiTheme="minorHAnsi" w:cstheme="minorHAnsi"/>
        </w:rPr>
        <w:t>Holder</w:t>
      </w:r>
      <w:r w:rsidR="00722269" w:rsidRPr="000B3E7D">
        <w:rPr>
          <w:rFonts w:asciiTheme="minorHAnsi" w:hAnsiTheme="minorHAnsi" w:cstheme="minorHAnsi"/>
        </w:rPr>
        <w:t xml:space="preserve"> </w:t>
      </w:r>
      <w:r w:rsidRPr="000B3E7D">
        <w:rPr>
          <w:rFonts w:asciiTheme="minorHAnsi" w:hAnsiTheme="minorHAnsi" w:cstheme="minorHAnsi"/>
        </w:rPr>
        <w:t>would not be realized for several year</w:t>
      </w:r>
      <w:r w:rsidR="00E20DA8" w:rsidRPr="000B3E7D">
        <w:rPr>
          <w:rFonts w:asciiTheme="minorHAnsi" w:hAnsiTheme="minorHAnsi" w:cstheme="minorHAnsi"/>
        </w:rPr>
        <w:t>s</w:t>
      </w:r>
      <w:r w:rsidRPr="000B3E7D">
        <w:rPr>
          <w:rFonts w:asciiTheme="minorHAnsi" w:hAnsiTheme="minorHAnsi" w:cstheme="minorHAnsi"/>
        </w:rPr>
        <w:t xml:space="preserve">, staff inquired about the Holder’s current efforts to alleviate </w:t>
      </w:r>
      <w:r w:rsidR="00CD39CF" w:rsidRPr="000B3E7D">
        <w:rPr>
          <w:rFonts w:asciiTheme="minorHAnsi" w:hAnsiTheme="minorHAnsi" w:cstheme="minorHAnsi"/>
        </w:rPr>
        <w:t xml:space="preserve">ED boarding and overcrowding. </w:t>
      </w:r>
      <w:r w:rsidR="000B3E7D" w:rsidRPr="000B3E7D">
        <w:rPr>
          <w:rStyle w:val="cf01"/>
          <w:rFonts w:asciiTheme="minorHAnsi" w:hAnsiTheme="minorHAnsi" w:cstheme="minorHAnsi"/>
          <w:sz w:val="24"/>
          <w:szCs w:val="24"/>
        </w:rPr>
        <w:t xml:space="preserve">The </w:t>
      </w:r>
      <w:r w:rsidR="000B3E7D">
        <w:rPr>
          <w:rStyle w:val="cf01"/>
          <w:rFonts w:asciiTheme="minorHAnsi" w:hAnsiTheme="minorHAnsi" w:cstheme="minorHAnsi"/>
          <w:sz w:val="24"/>
          <w:szCs w:val="24"/>
        </w:rPr>
        <w:t xml:space="preserve">Holder </w:t>
      </w:r>
      <w:r w:rsidR="004C1A6B">
        <w:rPr>
          <w:rStyle w:val="cf01"/>
          <w:rFonts w:asciiTheme="minorHAnsi" w:hAnsiTheme="minorHAnsi" w:cstheme="minorHAnsi"/>
          <w:sz w:val="24"/>
          <w:szCs w:val="24"/>
        </w:rPr>
        <w:t xml:space="preserve">asserts that the </w:t>
      </w:r>
      <w:r w:rsidR="000B3E7D" w:rsidRPr="000B3E7D">
        <w:rPr>
          <w:rStyle w:val="cf01"/>
          <w:rFonts w:asciiTheme="minorHAnsi" w:hAnsiTheme="minorHAnsi" w:cstheme="minorHAnsi"/>
          <w:sz w:val="24"/>
          <w:szCs w:val="24"/>
        </w:rPr>
        <w:t xml:space="preserve">strategies in place are in the early stages and the capacity generated will continue to ramp up over time.  MGH’s agreement with Cambridge Health Alliance is intended to ramp up to a daily census of </w:t>
      </w:r>
      <w:r w:rsidR="0097127C">
        <w:rPr>
          <w:rStyle w:val="cf01"/>
          <w:rFonts w:asciiTheme="minorHAnsi" w:hAnsiTheme="minorHAnsi" w:cstheme="minorHAnsi"/>
          <w:sz w:val="24"/>
          <w:szCs w:val="24"/>
        </w:rPr>
        <w:t>fifteen</w:t>
      </w:r>
      <w:r w:rsidR="000B3E7D" w:rsidRPr="000B3E7D">
        <w:rPr>
          <w:rStyle w:val="cf01"/>
          <w:rFonts w:asciiTheme="minorHAnsi" w:hAnsiTheme="minorHAnsi" w:cstheme="minorHAnsi"/>
          <w:sz w:val="24"/>
          <w:szCs w:val="24"/>
        </w:rPr>
        <w:t xml:space="preserve"> beds and so far in FY</w:t>
      </w:r>
      <w:r w:rsidR="004C1A6B">
        <w:rPr>
          <w:rStyle w:val="cf01"/>
          <w:rFonts w:asciiTheme="minorHAnsi" w:hAnsiTheme="minorHAnsi" w:cstheme="minorHAnsi"/>
          <w:sz w:val="24"/>
          <w:szCs w:val="24"/>
        </w:rPr>
        <w:t>20</w:t>
      </w:r>
      <w:r w:rsidR="000B3E7D" w:rsidRPr="000B3E7D">
        <w:rPr>
          <w:rStyle w:val="cf01"/>
          <w:rFonts w:asciiTheme="minorHAnsi" w:hAnsiTheme="minorHAnsi" w:cstheme="minorHAnsi"/>
          <w:sz w:val="24"/>
          <w:szCs w:val="24"/>
        </w:rPr>
        <w:t xml:space="preserve">24, MGH has achieved the equivalent of five beds.  </w:t>
      </w:r>
    </w:p>
    <w:p w14:paraId="4D268C86" w14:textId="77777777" w:rsidR="00F941A7" w:rsidRDefault="00F941A7" w:rsidP="000B3E7D">
      <w:pPr>
        <w:pStyle w:val="pf0"/>
        <w:spacing w:before="0" w:beforeAutospacing="0" w:after="0" w:afterAutospacing="0"/>
        <w:rPr>
          <w:rStyle w:val="cf01"/>
          <w:rFonts w:asciiTheme="minorHAnsi" w:hAnsiTheme="minorHAnsi" w:cstheme="minorHAnsi"/>
          <w:sz w:val="24"/>
          <w:szCs w:val="24"/>
        </w:rPr>
      </w:pPr>
    </w:p>
    <w:p w14:paraId="757FD79D" w14:textId="0043A12F" w:rsidR="000B3E7D" w:rsidRPr="000B3E7D" w:rsidRDefault="000B3E7D" w:rsidP="000B3E7D">
      <w:pPr>
        <w:pStyle w:val="pf0"/>
        <w:spacing w:before="0" w:beforeAutospacing="0" w:after="0" w:afterAutospacing="0"/>
        <w:rPr>
          <w:rStyle w:val="cf01"/>
          <w:rFonts w:asciiTheme="minorHAnsi" w:hAnsiTheme="minorHAnsi" w:cstheme="minorHAnsi"/>
          <w:sz w:val="24"/>
          <w:szCs w:val="24"/>
        </w:rPr>
      </w:pPr>
      <w:r w:rsidRPr="000B3E7D">
        <w:rPr>
          <w:rStyle w:val="cf01"/>
          <w:rFonts w:asciiTheme="minorHAnsi" w:hAnsiTheme="minorHAnsi" w:cstheme="minorHAnsi"/>
          <w:sz w:val="24"/>
          <w:szCs w:val="24"/>
        </w:rPr>
        <w:t xml:space="preserve">Similarly, the MGB Home Hospital program is working to hire staff and increase its capacity to accept new patients.  This program has been running at a census of nine </w:t>
      </w:r>
      <w:r w:rsidR="00316C9A">
        <w:rPr>
          <w:rStyle w:val="cf01"/>
          <w:rFonts w:asciiTheme="minorHAnsi" w:hAnsiTheme="minorHAnsi" w:cstheme="minorHAnsi"/>
          <w:sz w:val="24"/>
          <w:szCs w:val="24"/>
        </w:rPr>
        <w:t xml:space="preserve">year-to-date in </w:t>
      </w:r>
      <w:r w:rsidRPr="000B3E7D">
        <w:rPr>
          <w:rStyle w:val="cf01"/>
          <w:rFonts w:asciiTheme="minorHAnsi" w:hAnsiTheme="minorHAnsi" w:cstheme="minorHAnsi"/>
          <w:sz w:val="24"/>
          <w:szCs w:val="24"/>
        </w:rPr>
        <w:t>FY</w:t>
      </w:r>
      <w:r w:rsidR="00316C9A">
        <w:rPr>
          <w:rStyle w:val="cf01"/>
          <w:rFonts w:asciiTheme="minorHAnsi" w:hAnsiTheme="minorHAnsi" w:cstheme="minorHAnsi"/>
          <w:sz w:val="24"/>
          <w:szCs w:val="24"/>
        </w:rPr>
        <w:t>20</w:t>
      </w:r>
      <w:r w:rsidRPr="000B3E7D">
        <w:rPr>
          <w:rStyle w:val="cf01"/>
          <w:rFonts w:asciiTheme="minorHAnsi" w:hAnsiTheme="minorHAnsi" w:cstheme="minorHAnsi"/>
          <w:sz w:val="24"/>
          <w:szCs w:val="24"/>
        </w:rPr>
        <w:t>24 at MGH</w:t>
      </w:r>
      <w:r w:rsidR="003F6DFB">
        <w:rPr>
          <w:rStyle w:val="cf01"/>
          <w:rFonts w:asciiTheme="minorHAnsi" w:hAnsiTheme="minorHAnsi" w:cstheme="minorHAnsi"/>
          <w:sz w:val="24"/>
          <w:szCs w:val="24"/>
        </w:rPr>
        <w:t>,</w:t>
      </w:r>
      <w:r w:rsidRPr="000B3E7D">
        <w:rPr>
          <w:rStyle w:val="cf01"/>
          <w:rFonts w:asciiTheme="minorHAnsi" w:hAnsiTheme="minorHAnsi" w:cstheme="minorHAnsi"/>
          <w:sz w:val="24"/>
          <w:szCs w:val="24"/>
        </w:rPr>
        <w:t xml:space="preserve"> but the MGB-wide program is consistently raising its census to accommodate more patients.  </w:t>
      </w:r>
      <w:proofErr w:type="gramStart"/>
      <w:r w:rsidRPr="000B3E7D">
        <w:rPr>
          <w:rStyle w:val="cf01"/>
          <w:rFonts w:asciiTheme="minorHAnsi" w:hAnsiTheme="minorHAnsi" w:cstheme="minorHAnsi"/>
          <w:sz w:val="24"/>
          <w:szCs w:val="24"/>
        </w:rPr>
        <w:t>Home</w:t>
      </w:r>
      <w:proofErr w:type="gramEnd"/>
      <w:r w:rsidRPr="000B3E7D">
        <w:rPr>
          <w:rStyle w:val="cf01"/>
          <w:rFonts w:asciiTheme="minorHAnsi" w:hAnsiTheme="minorHAnsi" w:cstheme="minorHAnsi"/>
          <w:sz w:val="24"/>
          <w:szCs w:val="24"/>
        </w:rPr>
        <w:t xml:space="preserve"> hospital has no physical constraints to capacity, and it is all about phasing the growth in staff to meet projected demand of eligible patients. This program also allows community hospitals to free up capacity and accept appropriate transfers from the Academic Medical Centers.   </w:t>
      </w:r>
    </w:p>
    <w:p w14:paraId="447FA9F5" w14:textId="77777777" w:rsidR="000B3E7D" w:rsidRPr="000B3E7D" w:rsidRDefault="000B3E7D" w:rsidP="000B3E7D">
      <w:pPr>
        <w:pStyle w:val="pf0"/>
        <w:spacing w:before="0" w:beforeAutospacing="0" w:after="0" w:afterAutospacing="0"/>
        <w:rPr>
          <w:rStyle w:val="cf01"/>
          <w:rFonts w:asciiTheme="minorHAnsi" w:hAnsiTheme="minorHAnsi" w:cstheme="minorHAnsi"/>
          <w:sz w:val="24"/>
          <w:szCs w:val="24"/>
        </w:rPr>
      </w:pPr>
    </w:p>
    <w:p w14:paraId="70A7E2A9" w14:textId="4CE4DC15" w:rsidR="000B3E7D" w:rsidRPr="000B3E7D" w:rsidRDefault="00316C9A" w:rsidP="000B3E7D">
      <w:pPr>
        <w:pStyle w:val="pf0"/>
        <w:spacing w:before="0" w:beforeAutospacing="0" w:after="0" w:afterAutospacing="0"/>
        <w:rPr>
          <w:rStyle w:val="cf01"/>
          <w:rFonts w:asciiTheme="minorHAnsi" w:hAnsiTheme="minorHAnsi" w:cstheme="minorHAnsi"/>
          <w:sz w:val="24"/>
          <w:szCs w:val="24"/>
        </w:rPr>
      </w:pPr>
      <w:r>
        <w:rPr>
          <w:rStyle w:val="cf01"/>
          <w:rFonts w:asciiTheme="minorHAnsi" w:hAnsiTheme="minorHAnsi" w:cstheme="minorHAnsi"/>
          <w:sz w:val="24"/>
          <w:szCs w:val="24"/>
        </w:rPr>
        <w:t>The Holder also stated that MGH</w:t>
      </w:r>
      <w:r w:rsidR="000B3E7D" w:rsidRPr="000B3E7D">
        <w:rPr>
          <w:rStyle w:val="cf01"/>
          <w:rFonts w:asciiTheme="minorHAnsi" w:hAnsiTheme="minorHAnsi" w:cstheme="minorHAnsi"/>
          <w:sz w:val="24"/>
          <w:szCs w:val="24"/>
        </w:rPr>
        <w:t xml:space="preserve"> has a capacity leader on call every day to help eliminate barriers to patient flow (e.g., ensure a specific test can be scheduled and reviewed to get patient discharged).   The individual interventions are tracked to look for any themes that might require more systemic improvements.  </w:t>
      </w:r>
    </w:p>
    <w:p w14:paraId="73AF523F" w14:textId="77777777" w:rsidR="000B3E7D" w:rsidRPr="000B3E7D" w:rsidRDefault="000B3E7D" w:rsidP="000B3E7D">
      <w:pPr>
        <w:pStyle w:val="pf0"/>
        <w:spacing w:before="0" w:beforeAutospacing="0" w:after="0" w:afterAutospacing="0"/>
        <w:rPr>
          <w:rStyle w:val="cf01"/>
          <w:rFonts w:asciiTheme="minorHAnsi" w:hAnsiTheme="minorHAnsi" w:cstheme="minorHAnsi"/>
          <w:sz w:val="24"/>
          <w:szCs w:val="24"/>
        </w:rPr>
      </w:pPr>
    </w:p>
    <w:p w14:paraId="3C7C7EBA" w14:textId="27F3279C" w:rsidR="0000588E" w:rsidRPr="000B3E7D" w:rsidRDefault="000B3E7D" w:rsidP="000B3E7D">
      <w:pPr>
        <w:ind w:right="-10"/>
        <w:rPr>
          <w:rFonts w:asciiTheme="minorHAnsi" w:hAnsiTheme="minorHAnsi" w:cstheme="minorHAnsi"/>
          <w:sz w:val="24"/>
          <w:szCs w:val="24"/>
        </w:rPr>
      </w:pPr>
      <w:r w:rsidRPr="000B3E7D">
        <w:rPr>
          <w:rStyle w:val="cf01"/>
          <w:rFonts w:asciiTheme="minorHAnsi" w:hAnsiTheme="minorHAnsi" w:cstheme="minorHAnsi"/>
          <w:sz w:val="24"/>
          <w:szCs w:val="24"/>
        </w:rPr>
        <w:t xml:space="preserve">Additionally, MGH is currently constructing 17 bays adjacent to the emergency room that will be used as incremental space for boarded patients.  This is the only physical location available to provide some improvement in the crowding or density. These bays are expected to come online in September.  </w:t>
      </w:r>
    </w:p>
    <w:p w14:paraId="2957B68D" w14:textId="77777777" w:rsidR="00D200F1" w:rsidRPr="007C5F16" w:rsidRDefault="00D200F1" w:rsidP="00882AEE">
      <w:pPr>
        <w:spacing w:before="52"/>
        <w:ind w:right="-10"/>
        <w:rPr>
          <w:sz w:val="24"/>
          <w:highlight w:val="yellow"/>
        </w:rPr>
      </w:pPr>
    </w:p>
    <w:p w14:paraId="570CB22C" w14:textId="1A9BFE8C" w:rsidR="00120FFE" w:rsidRPr="005A0362" w:rsidRDefault="00120FFE" w:rsidP="00882AEE">
      <w:pPr>
        <w:spacing w:before="52"/>
        <w:ind w:right="-10"/>
        <w:rPr>
          <w:b/>
          <w:bCs/>
          <w:sz w:val="24"/>
        </w:rPr>
      </w:pPr>
      <w:r w:rsidRPr="005A0362">
        <w:rPr>
          <w:b/>
          <w:bCs/>
          <w:sz w:val="24"/>
        </w:rPr>
        <w:t>Analysis</w:t>
      </w:r>
    </w:p>
    <w:p w14:paraId="03CFF47E" w14:textId="0D4F01E1" w:rsidR="00515667" w:rsidRPr="002E59BA" w:rsidRDefault="00476A62" w:rsidP="6F0FA7D6">
      <w:pPr>
        <w:spacing w:before="52"/>
        <w:ind w:right="-10"/>
        <w:rPr>
          <w:sz w:val="24"/>
        </w:rPr>
      </w:pPr>
      <w:r w:rsidRPr="6F0FA7D6">
        <w:rPr>
          <w:sz w:val="24"/>
          <w:szCs w:val="24"/>
        </w:rPr>
        <w:t>Staff has reviewed the Amendment request</w:t>
      </w:r>
      <w:r w:rsidR="00EB15FF" w:rsidRPr="6F0FA7D6">
        <w:rPr>
          <w:sz w:val="24"/>
          <w:szCs w:val="24"/>
        </w:rPr>
        <w:t xml:space="preserve"> and has </w:t>
      </w:r>
      <w:r w:rsidRPr="6F0FA7D6">
        <w:rPr>
          <w:sz w:val="24"/>
          <w:szCs w:val="24"/>
        </w:rPr>
        <w:t>determine</w:t>
      </w:r>
      <w:r w:rsidR="00EB15FF" w:rsidRPr="6F0FA7D6">
        <w:rPr>
          <w:sz w:val="24"/>
          <w:szCs w:val="24"/>
        </w:rPr>
        <w:t>d</w:t>
      </w:r>
      <w:r w:rsidRPr="6F0FA7D6">
        <w:rPr>
          <w:sz w:val="24"/>
          <w:szCs w:val="24"/>
        </w:rPr>
        <w:t xml:space="preserve"> </w:t>
      </w:r>
      <w:r w:rsidR="00EB15FF" w:rsidRPr="6F0FA7D6">
        <w:rPr>
          <w:sz w:val="24"/>
          <w:szCs w:val="24"/>
        </w:rPr>
        <w:t xml:space="preserve">that </w:t>
      </w:r>
      <w:r w:rsidRPr="6F0FA7D6">
        <w:rPr>
          <w:sz w:val="24"/>
          <w:szCs w:val="24"/>
        </w:rPr>
        <w:t xml:space="preserve">it falls within the scope of the original </w:t>
      </w:r>
      <w:r w:rsidR="00CD1D49">
        <w:rPr>
          <w:sz w:val="24"/>
          <w:szCs w:val="24"/>
        </w:rPr>
        <w:t xml:space="preserve">Approved </w:t>
      </w:r>
      <w:proofErr w:type="spellStart"/>
      <w:r w:rsidR="008572F9">
        <w:rPr>
          <w:sz w:val="24"/>
          <w:szCs w:val="24"/>
        </w:rPr>
        <w:t>DoN</w:t>
      </w:r>
      <w:proofErr w:type="spellEnd"/>
      <w:r w:rsidR="008572F9">
        <w:rPr>
          <w:sz w:val="24"/>
          <w:szCs w:val="24"/>
        </w:rPr>
        <w:t xml:space="preserve"> under Condition 2</w:t>
      </w:r>
      <w:r w:rsidR="00FE0CA9">
        <w:rPr>
          <w:sz w:val="24"/>
          <w:szCs w:val="24"/>
        </w:rPr>
        <w:t>, and that the Holder has provided the necessary information stipulated in Condition 2</w:t>
      </w:r>
      <w:r w:rsidR="00CD1D49">
        <w:rPr>
          <w:sz w:val="24"/>
          <w:szCs w:val="24"/>
        </w:rPr>
        <w:t>.</w:t>
      </w:r>
      <w:r w:rsidR="00120FFE" w:rsidRPr="6F0FA7D6">
        <w:rPr>
          <w:sz w:val="24"/>
          <w:szCs w:val="24"/>
        </w:rPr>
        <w:t xml:space="preserve"> Staff finds that</w:t>
      </w:r>
      <w:r w:rsidR="00E91064" w:rsidRPr="6F0FA7D6">
        <w:rPr>
          <w:sz w:val="24"/>
          <w:szCs w:val="24"/>
        </w:rPr>
        <w:t xml:space="preserve"> the </w:t>
      </w:r>
      <w:r w:rsidR="005F1A5C" w:rsidRPr="6F0FA7D6">
        <w:rPr>
          <w:sz w:val="24"/>
          <w:szCs w:val="24"/>
        </w:rPr>
        <w:t xml:space="preserve">Holder has demonstrated an increase in patient days, </w:t>
      </w:r>
      <w:r w:rsidR="001B39B7" w:rsidRPr="6F0FA7D6">
        <w:rPr>
          <w:sz w:val="24"/>
          <w:szCs w:val="24"/>
        </w:rPr>
        <w:t xml:space="preserve">occupancy rate, and ED Boarding since the </w:t>
      </w:r>
      <w:r w:rsidR="009E310B" w:rsidRPr="6F0FA7D6">
        <w:rPr>
          <w:sz w:val="24"/>
          <w:szCs w:val="24"/>
        </w:rPr>
        <w:t xml:space="preserve">2019 data provided in the </w:t>
      </w:r>
      <w:r w:rsidR="1587526A" w:rsidRPr="6F0FA7D6">
        <w:rPr>
          <w:sz w:val="24"/>
          <w:szCs w:val="24"/>
        </w:rPr>
        <w:t>O</w:t>
      </w:r>
      <w:r w:rsidR="009E310B" w:rsidRPr="6F0FA7D6">
        <w:rPr>
          <w:sz w:val="24"/>
          <w:szCs w:val="24"/>
        </w:rPr>
        <w:t xml:space="preserve">riginal </w:t>
      </w:r>
      <w:proofErr w:type="spellStart"/>
      <w:proofErr w:type="gramStart"/>
      <w:r w:rsidR="009E310B" w:rsidRPr="6F0FA7D6">
        <w:rPr>
          <w:sz w:val="24"/>
          <w:szCs w:val="24"/>
        </w:rPr>
        <w:t>DoN</w:t>
      </w:r>
      <w:proofErr w:type="spellEnd"/>
      <w:r w:rsidR="00446F7D">
        <w:rPr>
          <w:sz w:val="24"/>
          <w:szCs w:val="24"/>
        </w:rPr>
        <w:t>,</w:t>
      </w:r>
      <w:r w:rsidR="00FE0CA9">
        <w:rPr>
          <w:sz w:val="24"/>
          <w:szCs w:val="24"/>
        </w:rPr>
        <w:t xml:space="preserve"> and</w:t>
      </w:r>
      <w:proofErr w:type="gramEnd"/>
      <w:r w:rsidR="00CF467B">
        <w:rPr>
          <w:sz w:val="24"/>
          <w:szCs w:val="24"/>
        </w:rPr>
        <w:t xml:space="preserve"> anticipates that these trends will continue</w:t>
      </w:r>
      <w:r w:rsidR="009E310B" w:rsidRPr="6F0FA7D6">
        <w:rPr>
          <w:sz w:val="24"/>
          <w:szCs w:val="24"/>
        </w:rPr>
        <w:t>.</w:t>
      </w:r>
      <w:r w:rsidR="00716F99" w:rsidRPr="6F0FA7D6">
        <w:rPr>
          <w:sz w:val="24"/>
          <w:szCs w:val="24"/>
        </w:rPr>
        <w:t xml:space="preserve"> </w:t>
      </w:r>
      <w:r w:rsidR="00E20DA8" w:rsidRPr="6F0FA7D6">
        <w:rPr>
          <w:sz w:val="24"/>
          <w:szCs w:val="24"/>
        </w:rPr>
        <w:t xml:space="preserve">The Holder </w:t>
      </w:r>
      <w:r w:rsidR="00AF5473" w:rsidRPr="6F0FA7D6">
        <w:rPr>
          <w:sz w:val="24"/>
          <w:szCs w:val="24"/>
        </w:rPr>
        <w:t>provided details on the steps they have taken to alleviate capacity issues</w:t>
      </w:r>
      <w:r w:rsidR="00716F99" w:rsidRPr="6F0FA7D6">
        <w:rPr>
          <w:sz w:val="24"/>
          <w:szCs w:val="24"/>
        </w:rPr>
        <w:t xml:space="preserve"> to demonstrate that an increased bed count is </w:t>
      </w:r>
      <w:r w:rsidR="005430AB">
        <w:rPr>
          <w:sz w:val="24"/>
          <w:szCs w:val="24"/>
        </w:rPr>
        <w:t>one of several approaches</w:t>
      </w:r>
      <w:r w:rsidR="00823668">
        <w:rPr>
          <w:sz w:val="24"/>
          <w:szCs w:val="24"/>
        </w:rPr>
        <w:t xml:space="preserve"> </w:t>
      </w:r>
      <w:r w:rsidR="00716F99" w:rsidRPr="6F0FA7D6">
        <w:rPr>
          <w:sz w:val="24"/>
          <w:szCs w:val="24"/>
        </w:rPr>
        <w:t>to resolving the issue.</w:t>
      </w:r>
      <w:r w:rsidR="00652520" w:rsidRPr="6F0FA7D6">
        <w:rPr>
          <w:sz w:val="24"/>
          <w:szCs w:val="24"/>
        </w:rPr>
        <w:t xml:space="preserve"> </w:t>
      </w:r>
      <w:r w:rsidR="002E59BA" w:rsidRPr="009D3018">
        <w:rPr>
          <w:sz w:val="24"/>
        </w:rPr>
        <w:t xml:space="preserve">Based on these points, staff finds that the Holder has established a reasonable basis for </w:t>
      </w:r>
      <w:r w:rsidR="002E59BA">
        <w:rPr>
          <w:sz w:val="24"/>
        </w:rPr>
        <w:t>the addition of 94 beds to the Hospital’s license</w:t>
      </w:r>
      <w:r w:rsidR="002E59BA" w:rsidRPr="009D3018">
        <w:rPr>
          <w:sz w:val="24"/>
        </w:rPr>
        <w:t>.</w:t>
      </w:r>
    </w:p>
    <w:p w14:paraId="5F01952A" w14:textId="77777777" w:rsidR="003E76C4" w:rsidRPr="007C5F16" w:rsidRDefault="003E76C4" w:rsidP="003E76C4">
      <w:pPr>
        <w:spacing w:before="52"/>
        <w:ind w:right="-10"/>
        <w:rPr>
          <w:sz w:val="24"/>
          <w:highlight w:val="yellow"/>
        </w:rPr>
      </w:pPr>
    </w:p>
    <w:p w14:paraId="52FF5177" w14:textId="1DDA0ECD" w:rsidR="00571F0A" w:rsidRPr="001E283B" w:rsidRDefault="00571F0A" w:rsidP="00285B47">
      <w:pPr>
        <w:pStyle w:val="BodyText"/>
        <w:rPr>
          <w:b/>
          <w:bCs/>
          <w:sz w:val="24"/>
          <w:szCs w:val="24"/>
          <w:u w:val="single"/>
        </w:rPr>
      </w:pPr>
      <w:r w:rsidRPr="001E283B">
        <w:rPr>
          <w:b/>
          <w:bCs/>
          <w:sz w:val="24"/>
          <w:szCs w:val="24"/>
          <w:u w:val="single"/>
        </w:rPr>
        <w:t>Impact on Cost</w:t>
      </w:r>
    </w:p>
    <w:p w14:paraId="03893CDA" w14:textId="63E413CC" w:rsidR="00144795" w:rsidRDefault="00C03475" w:rsidP="00091F5A">
      <w:r w:rsidRPr="6F0FA7D6">
        <w:rPr>
          <w:sz w:val="24"/>
          <w:szCs w:val="24"/>
        </w:rPr>
        <w:t xml:space="preserve">The regulation requires that a Holder submit a description of </w:t>
      </w:r>
      <w:r w:rsidR="00D64A95" w:rsidRPr="6F0FA7D6">
        <w:rPr>
          <w:sz w:val="24"/>
          <w:szCs w:val="24"/>
        </w:rPr>
        <w:t xml:space="preserve">any </w:t>
      </w:r>
      <w:r w:rsidRPr="6F0FA7D6">
        <w:rPr>
          <w:sz w:val="24"/>
          <w:szCs w:val="24"/>
        </w:rPr>
        <w:t>cost implications</w:t>
      </w:r>
      <w:r w:rsidR="007F6016" w:rsidRPr="6F0FA7D6">
        <w:rPr>
          <w:sz w:val="24"/>
          <w:szCs w:val="24"/>
        </w:rPr>
        <w:t xml:space="preserve"> </w:t>
      </w:r>
      <w:r w:rsidR="00D64A95" w:rsidRPr="6F0FA7D6">
        <w:rPr>
          <w:sz w:val="24"/>
          <w:szCs w:val="24"/>
        </w:rPr>
        <w:t xml:space="preserve">associated with the </w:t>
      </w:r>
      <w:r w:rsidR="00F80E7A" w:rsidRPr="6F0FA7D6">
        <w:rPr>
          <w:sz w:val="24"/>
          <w:szCs w:val="24"/>
        </w:rPr>
        <w:t xml:space="preserve">Proposed Change </w:t>
      </w:r>
      <w:r w:rsidR="007F6016" w:rsidRPr="6F0FA7D6">
        <w:rPr>
          <w:sz w:val="24"/>
          <w:szCs w:val="24"/>
        </w:rPr>
        <w:t>for the Holder and the</w:t>
      </w:r>
      <w:r w:rsidR="00D863B6" w:rsidRPr="6F0FA7D6">
        <w:rPr>
          <w:sz w:val="24"/>
          <w:szCs w:val="24"/>
        </w:rPr>
        <w:t xml:space="preserve"> </w:t>
      </w:r>
      <w:r w:rsidR="007F6016" w:rsidRPr="6F0FA7D6">
        <w:rPr>
          <w:sz w:val="24"/>
          <w:szCs w:val="24"/>
        </w:rPr>
        <w:t>Patient Panel</w:t>
      </w:r>
      <w:r w:rsidRPr="6F0FA7D6">
        <w:rPr>
          <w:sz w:val="24"/>
          <w:szCs w:val="24"/>
        </w:rPr>
        <w:t>.</w:t>
      </w:r>
      <w:r w:rsidR="00753718" w:rsidRPr="6F0FA7D6">
        <w:rPr>
          <w:sz w:val="24"/>
          <w:szCs w:val="24"/>
        </w:rPr>
        <w:t xml:space="preserve"> </w:t>
      </w:r>
      <w:r w:rsidR="001E283B" w:rsidRPr="6F0FA7D6">
        <w:rPr>
          <w:sz w:val="24"/>
          <w:szCs w:val="24"/>
        </w:rPr>
        <w:t xml:space="preserve">The Holder states that the </w:t>
      </w:r>
      <w:r w:rsidR="001E283B" w:rsidRPr="6F0FA7D6">
        <w:rPr>
          <w:sz w:val="24"/>
          <w:szCs w:val="24"/>
        </w:rPr>
        <w:lastRenderedPageBreak/>
        <w:t xml:space="preserve">Proposed Change does not require any renovation or further construction and can be achieved without any additional </w:t>
      </w:r>
      <w:r w:rsidR="00091F5A">
        <w:rPr>
          <w:sz w:val="24"/>
          <w:szCs w:val="24"/>
        </w:rPr>
        <w:t xml:space="preserve">capital </w:t>
      </w:r>
      <w:r w:rsidR="006019AF" w:rsidRPr="6F0FA7D6">
        <w:rPr>
          <w:sz w:val="24"/>
          <w:szCs w:val="24"/>
        </w:rPr>
        <w:t>expenditure</w:t>
      </w:r>
      <w:r w:rsidR="001E283B" w:rsidRPr="6F0FA7D6">
        <w:rPr>
          <w:sz w:val="24"/>
          <w:szCs w:val="24"/>
        </w:rPr>
        <w:t xml:space="preserve">. </w:t>
      </w:r>
      <w:r w:rsidR="00091F5A" w:rsidRPr="00091F5A">
        <w:rPr>
          <w:sz w:val="24"/>
          <w:szCs w:val="24"/>
        </w:rPr>
        <w:t xml:space="preserve">There would be some minor, one-time operating expenses associated with using internal facilities staff to </w:t>
      </w:r>
      <w:r w:rsidR="00091F5A">
        <w:rPr>
          <w:sz w:val="24"/>
          <w:szCs w:val="24"/>
        </w:rPr>
        <w:t>move</w:t>
      </w:r>
      <w:r w:rsidR="00091F5A" w:rsidRPr="00091F5A">
        <w:rPr>
          <w:sz w:val="24"/>
          <w:szCs w:val="24"/>
        </w:rPr>
        <w:t xml:space="preserve"> furniture, and movable equipment.  </w:t>
      </w:r>
      <w:r w:rsidR="001E283B" w:rsidRPr="6F0FA7D6">
        <w:rPr>
          <w:sz w:val="24"/>
          <w:szCs w:val="24"/>
        </w:rPr>
        <w:t xml:space="preserve">The Holder expects that operating expenses associated with approval of the Proposed Change will be neutral or net positive because staffing needs will not change. </w:t>
      </w:r>
      <w:r w:rsidR="003126BF" w:rsidRPr="003126BF">
        <w:rPr>
          <w:sz w:val="24"/>
          <w:szCs w:val="24"/>
        </w:rPr>
        <w:t>The teams of nurses, physicians, and associated support personnel currently caring for these patients in an overcrowded setting would be shifted to provide similar care in licensed beds on an inpatient unit.  There may also be cost efficiencies associated with reduced patient boarding</w:t>
      </w:r>
      <w:r w:rsidR="00235938">
        <w:rPr>
          <w:sz w:val="24"/>
          <w:szCs w:val="24"/>
        </w:rPr>
        <w:t xml:space="preserve"> such as</w:t>
      </w:r>
      <w:r w:rsidR="003126BF" w:rsidRPr="003126BF">
        <w:rPr>
          <w:sz w:val="24"/>
          <w:szCs w:val="24"/>
        </w:rPr>
        <w:t xml:space="preserve"> improved wait times and patient flow, lower length of stay, and better coordination of care.</w:t>
      </w:r>
    </w:p>
    <w:p w14:paraId="2161F8FA" w14:textId="77777777" w:rsidR="000C5016" w:rsidRPr="003A6FD2" w:rsidRDefault="000C5016" w:rsidP="00F80E7A">
      <w:pPr>
        <w:jc w:val="both"/>
        <w:rPr>
          <w:sz w:val="24"/>
        </w:rPr>
      </w:pPr>
    </w:p>
    <w:p w14:paraId="7980CB7F" w14:textId="4B98FA68" w:rsidR="00244D27" w:rsidRPr="00446F7D" w:rsidRDefault="00244D27" w:rsidP="00446F7D">
      <w:pPr>
        <w:rPr>
          <w:sz w:val="24"/>
          <w:szCs w:val="24"/>
        </w:rPr>
      </w:pPr>
      <w:r w:rsidRPr="00446F7D">
        <w:rPr>
          <w:sz w:val="24"/>
          <w:szCs w:val="24"/>
        </w:rPr>
        <w:t>The Holder anticipates that its Patient Panel will not experience any impact on cost from the</w:t>
      </w:r>
    </w:p>
    <w:p w14:paraId="35F8AEF3" w14:textId="4ADE8511" w:rsidR="003A6FD2" w:rsidRPr="00446F7D" w:rsidRDefault="00244D27" w:rsidP="00446F7D">
      <w:pPr>
        <w:rPr>
          <w:sz w:val="24"/>
          <w:szCs w:val="24"/>
        </w:rPr>
      </w:pPr>
      <w:r w:rsidRPr="00446F7D">
        <w:rPr>
          <w:sz w:val="24"/>
          <w:szCs w:val="24"/>
        </w:rPr>
        <w:t xml:space="preserve">Project </w:t>
      </w:r>
      <w:proofErr w:type="gramStart"/>
      <w:r w:rsidRPr="00446F7D">
        <w:rPr>
          <w:sz w:val="24"/>
          <w:szCs w:val="24"/>
        </w:rPr>
        <w:t>as a result of</w:t>
      </w:r>
      <w:proofErr w:type="gramEnd"/>
      <w:r w:rsidRPr="00446F7D">
        <w:rPr>
          <w:sz w:val="24"/>
          <w:szCs w:val="24"/>
        </w:rPr>
        <w:t xml:space="preserve"> adding </w:t>
      </w:r>
      <w:r w:rsidR="000C5016" w:rsidRPr="00446F7D">
        <w:rPr>
          <w:sz w:val="24"/>
          <w:szCs w:val="24"/>
        </w:rPr>
        <w:t>94</w:t>
      </w:r>
      <w:r w:rsidRPr="00446F7D">
        <w:rPr>
          <w:sz w:val="24"/>
          <w:szCs w:val="24"/>
        </w:rPr>
        <w:t xml:space="preserve"> beds to </w:t>
      </w:r>
      <w:r w:rsidR="000C5016" w:rsidRPr="00446F7D">
        <w:rPr>
          <w:sz w:val="24"/>
          <w:szCs w:val="24"/>
        </w:rPr>
        <w:t>the license</w:t>
      </w:r>
      <w:r w:rsidR="003A6FD2" w:rsidRPr="00446F7D">
        <w:rPr>
          <w:sz w:val="24"/>
          <w:szCs w:val="24"/>
        </w:rPr>
        <w:t>.</w:t>
      </w:r>
      <w:r w:rsidRPr="00446F7D">
        <w:rPr>
          <w:sz w:val="24"/>
          <w:szCs w:val="24"/>
        </w:rPr>
        <w:t xml:space="preserve"> </w:t>
      </w:r>
      <w:r w:rsidR="003A6FD2" w:rsidRPr="00446F7D">
        <w:rPr>
          <w:sz w:val="24"/>
          <w:szCs w:val="24"/>
        </w:rPr>
        <w:t xml:space="preserve">The Hospital currently provides inpatient medical/surgical services, and the </w:t>
      </w:r>
      <w:r w:rsidR="002D293C" w:rsidRPr="00446F7D">
        <w:rPr>
          <w:sz w:val="24"/>
          <w:szCs w:val="24"/>
        </w:rPr>
        <w:t xml:space="preserve">Holder asserts that the </w:t>
      </w:r>
      <w:r w:rsidR="003A6FD2" w:rsidRPr="00446F7D">
        <w:rPr>
          <w:sz w:val="24"/>
          <w:szCs w:val="24"/>
        </w:rPr>
        <w:t>additional beds will not result in any change to price for the Holder’s existing Patient Panel.</w:t>
      </w:r>
    </w:p>
    <w:p w14:paraId="0F0D7B35" w14:textId="205C728D" w:rsidR="00C42605" w:rsidRPr="007C5F16" w:rsidRDefault="00C42605" w:rsidP="003A6FD2">
      <w:pPr>
        <w:ind w:right="-10"/>
        <w:rPr>
          <w:b/>
          <w:bCs/>
          <w:sz w:val="24"/>
          <w:szCs w:val="24"/>
          <w:highlight w:val="yellow"/>
        </w:rPr>
      </w:pPr>
    </w:p>
    <w:p w14:paraId="395CA4B2" w14:textId="531EF7BB" w:rsidR="00D92FD6" w:rsidRPr="00285B47" w:rsidRDefault="00571F0A" w:rsidP="00285B47">
      <w:pPr>
        <w:pStyle w:val="BodyText"/>
        <w:rPr>
          <w:b/>
          <w:bCs/>
          <w:sz w:val="24"/>
          <w:szCs w:val="24"/>
        </w:rPr>
      </w:pPr>
      <w:r w:rsidRPr="00285B47">
        <w:rPr>
          <w:b/>
          <w:bCs/>
          <w:sz w:val="24"/>
          <w:szCs w:val="24"/>
          <w:u w:val="single"/>
        </w:rPr>
        <w:t>Impact on Community Health Initiative Funding​</w:t>
      </w:r>
    </w:p>
    <w:p w14:paraId="49BCDDCB" w14:textId="5711F4F3" w:rsidR="00285B47" w:rsidRPr="00285B47" w:rsidRDefault="00285B47" w:rsidP="00890AB0">
      <w:pPr>
        <w:rPr>
          <w:sz w:val="24"/>
        </w:rPr>
      </w:pPr>
      <w:r w:rsidRPr="00285B47">
        <w:rPr>
          <w:sz w:val="24"/>
        </w:rPr>
        <w:t xml:space="preserve">Mass General Brigham Incorporated at MGH is applying for an Amendment project that will be achieved without accruing any additional expenditures. With no costs associated with this </w:t>
      </w:r>
      <w:r w:rsidR="00F80E7A">
        <w:rPr>
          <w:sz w:val="24"/>
        </w:rPr>
        <w:t>P</w:t>
      </w:r>
      <w:r w:rsidRPr="00285B47">
        <w:rPr>
          <w:sz w:val="24"/>
        </w:rPr>
        <w:t>roject, there are no CHI contributions for this application. </w:t>
      </w:r>
    </w:p>
    <w:p w14:paraId="7243DDF9" w14:textId="77777777" w:rsidR="0024383D" w:rsidRPr="007C5F16" w:rsidRDefault="0024383D" w:rsidP="00AE61D9">
      <w:pPr>
        <w:pStyle w:val="BodyText"/>
        <w:rPr>
          <w:highlight w:val="yellow"/>
          <w:vertAlign w:val="superscript"/>
        </w:rPr>
      </w:pPr>
    </w:p>
    <w:p w14:paraId="3F8809BF" w14:textId="475B33C7" w:rsidR="00994318" w:rsidRPr="003A6FD2" w:rsidRDefault="00994318" w:rsidP="007B6007">
      <w:pPr>
        <w:pStyle w:val="BodyText"/>
        <w:rPr>
          <w:b/>
          <w:bCs/>
          <w:sz w:val="24"/>
          <w:szCs w:val="24"/>
        </w:rPr>
      </w:pPr>
      <w:r w:rsidRPr="003A6FD2">
        <w:rPr>
          <w:b/>
          <w:bCs/>
          <w:sz w:val="24"/>
          <w:szCs w:val="24"/>
        </w:rPr>
        <w:t>Staff Summary and Findings</w:t>
      </w:r>
    </w:p>
    <w:p w14:paraId="2A817611" w14:textId="72007ADE" w:rsidR="00D96874" w:rsidRPr="00F80E7A" w:rsidRDefault="004B74D5" w:rsidP="6F0FA7D6">
      <w:pPr>
        <w:ind w:right="-10"/>
        <w:rPr>
          <w:sz w:val="24"/>
          <w:szCs w:val="24"/>
        </w:rPr>
      </w:pPr>
      <w:r w:rsidRPr="6F0FA7D6">
        <w:rPr>
          <w:sz w:val="24"/>
          <w:szCs w:val="24"/>
        </w:rPr>
        <w:t xml:space="preserve">Staff reviewed the </w:t>
      </w:r>
      <w:r w:rsidR="000913E6" w:rsidRPr="6F0FA7D6">
        <w:rPr>
          <w:sz w:val="24"/>
          <w:szCs w:val="24"/>
        </w:rPr>
        <w:t>20</w:t>
      </w:r>
      <w:r w:rsidR="003A6FD2" w:rsidRPr="6F0FA7D6">
        <w:rPr>
          <w:sz w:val="24"/>
          <w:szCs w:val="24"/>
        </w:rPr>
        <w:t>22</w:t>
      </w:r>
      <w:r w:rsidR="000913E6" w:rsidRPr="6F0FA7D6">
        <w:rPr>
          <w:sz w:val="24"/>
          <w:szCs w:val="24"/>
        </w:rPr>
        <w:t xml:space="preserve"> </w:t>
      </w:r>
      <w:r w:rsidRPr="6F0FA7D6">
        <w:rPr>
          <w:sz w:val="24"/>
          <w:szCs w:val="24"/>
        </w:rPr>
        <w:t xml:space="preserve">Staff </w:t>
      </w:r>
      <w:r w:rsidR="00571F0A" w:rsidRPr="6F0FA7D6">
        <w:rPr>
          <w:sz w:val="24"/>
          <w:szCs w:val="24"/>
        </w:rPr>
        <w:t xml:space="preserve">Report </w:t>
      </w:r>
      <w:r w:rsidR="000913E6" w:rsidRPr="6F0FA7D6">
        <w:rPr>
          <w:sz w:val="24"/>
          <w:szCs w:val="24"/>
        </w:rPr>
        <w:t xml:space="preserve">and </w:t>
      </w:r>
      <w:r w:rsidR="005A0362" w:rsidRPr="6F0FA7D6">
        <w:rPr>
          <w:sz w:val="24"/>
          <w:szCs w:val="24"/>
        </w:rPr>
        <w:t xml:space="preserve">Notice of Final </w:t>
      </w:r>
      <w:r w:rsidR="00B14B1D" w:rsidRPr="6F0FA7D6">
        <w:rPr>
          <w:sz w:val="24"/>
          <w:szCs w:val="24"/>
        </w:rPr>
        <w:t>Action</w:t>
      </w:r>
      <w:r w:rsidR="000913E6" w:rsidRPr="6F0FA7D6">
        <w:rPr>
          <w:sz w:val="24"/>
          <w:szCs w:val="24"/>
        </w:rPr>
        <w:t xml:space="preserve"> for </w:t>
      </w:r>
      <w:r w:rsidR="0082765C" w:rsidRPr="6F0FA7D6">
        <w:rPr>
          <w:sz w:val="24"/>
          <w:szCs w:val="24"/>
        </w:rPr>
        <w:t xml:space="preserve">the </w:t>
      </w:r>
      <w:r w:rsidR="0B59EF82" w:rsidRPr="6F0FA7D6">
        <w:rPr>
          <w:sz w:val="24"/>
          <w:szCs w:val="24"/>
        </w:rPr>
        <w:t xml:space="preserve">Original </w:t>
      </w:r>
      <w:proofErr w:type="spellStart"/>
      <w:r w:rsidR="003A6FD2" w:rsidRPr="6F0FA7D6">
        <w:rPr>
          <w:sz w:val="24"/>
          <w:szCs w:val="24"/>
        </w:rPr>
        <w:t>DoN</w:t>
      </w:r>
      <w:proofErr w:type="spellEnd"/>
      <w:r w:rsidR="00682DD7" w:rsidRPr="6F0FA7D6">
        <w:rPr>
          <w:sz w:val="24"/>
          <w:szCs w:val="24"/>
        </w:rPr>
        <w:t xml:space="preserve"> </w:t>
      </w:r>
      <w:r w:rsidRPr="6F0FA7D6">
        <w:rPr>
          <w:sz w:val="24"/>
          <w:szCs w:val="24"/>
        </w:rPr>
        <w:t>to determine whether the request falls within the scope of that Approval</w:t>
      </w:r>
      <w:r w:rsidR="00171267">
        <w:rPr>
          <w:sz w:val="24"/>
          <w:szCs w:val="24"/>
        </w:rPr>
        <w:t xml:space="preserve"> and whether the Holder met the requirements established in Condition </w:t>
      </w:r>
      <w:r w:rsidR="00657596">
        <w:rPr>
          <w:sz w:val="24"/>
          <w:szCs w:val="24"/>
        </w:rPr>
        <w:t xml:space="preserve">2 of the original </w:t>
      </w:r>
      <w:proofErr w:type="spellStart"/>
      <w:r w:rsidR="00657596">
        <w:rPr>
          <w:sz w:val="24"/>
          <w:szCs w:val="24"/>
        </w:rPr>
        <w:t>DoN</w:t>
      </w:r>
      <w:proofErr w:type="spellEnd"/>
      <w:r w:rsidRPr="6F0FA7D6">
        <w:rPr>
          <w:sz w:val="24"/>
          <w:szCs w:val="24"/>
        </w:rPr>
        <w:t>.</w:t>
      </w:r>
      <w:r w:rsidR="00571F0A" w:rsidRPr="6F0FA7D6">
        <w:rPr>
          <w:sz w:val="24"/>
          <w:szCs w:val="24"/>
        </w:rPr>
        <w:t xml:space="preserve"> </w:t>
      </w:r>
      <w:r w:rsidR="00D96874" w:rsidRPr="6F0FA7D6">
        <w:rPr>
          <w:sz w:val="24"/>
          <w:szCs w:val="24"/>
        </w:rPr>
        <w:t xml:space="preserve">Based upon the information submitted, </w:t>
      </w:r>
      <w:r w:rsidR="000913E6" w:rsidRPr="6F0FA7D6">
        <w:rPr>
          <w:sz w:val="24"/>
          <w:szCs w:val="24"/>
        </w:rPr>
        <w:t xml:space="preserve">and information in the record, </w:t>
      </w:r>
      <w:r w:rsidR="00D96874" w:rsidRPr="6F0FA7D6">
        <w:rPr>
          <w:sz w:val="24"/>
          <w:szCs w:val="24"/>
        </w:rPr>
        <w:t>the Department can find that “the proposed</w:t>
      </w:r>
      <w:r w:rsidR="000913E6" w:rsidRPr="6F0FA7D6">
        <w:rPr>
          <w:sz w:val="24"/>
          <w:szCs w:val="24"/>
        </w:rPr>
        <w:t xml:space="preserve"> </w:t>
      </w:r>
      <w:r w:rsidR="00D96874" w:rsidRPr="6F0FA7D6">
        <w:rPr>
          <w:sz w:val="24"/>
          <w:szCs w:val="24"/>
        </w:rPr>
        <w:t>change or modification falls within the scope of the Notice of Determination of Need as</w:t>
      </w:r>
      <w:r w:rsidR="000913E6" w:rsidRPr="6F0FA7D6">
        <w:rPr>
          <w:sz w:val="24"/>
          <w:szCs w:val="24"/>
        </w:rPr>
        <w:t xml:space="preserve"> </w:t>
      </w:r>
      <w:r w:rsidR="00D96874" w:rsidRPr="6F0FA7D6">
        <w:rPr>
          <w:sz w:val="24"/>
          <w:szCs w:val="24"/>
        </w:rPr>
        <w:t>previously approved by the Department, and … is reasonable”</w:t>
      </w:r>
      <w:r w:rsidR="005C1A9D" w:rsidRPr="6F0FA7D6">
        <w:rPr>
          <w:sz w:val="24"/>
          <w:szCs w:val="24"/>
        </w:rPr>
        <w:t xml:space="preserve"> </w:t>
      </w:r>
      <w:r w:rsidR="00D96874" w:rsidRPr="6F0FA7D6">
        <w:rPr>
          <w:sz w:val="24"/>
          <w:szCs w:val="24"/>
        </w:rPr>
        <w:t xml:space="preserve">105 C.M.R. 100.635(A)(3), which are the requirements for approval of an Amendment. </w:t>
      </w:r>
    </w:p>
    <w:p w14:paraId="547A2F41" w14:textId="77777777" w:rsidR="00D92FD6" w:rsidRPr="007C5F16" w:rsidRDefault="00D92FD6" w:rsidP="001D1C01">
      <w:pPr>
        <w:pStyle w:val="BodyText"/>
        <w:rPr>
          <w:b/>
          <w:bCs/>
          <w:sz w:val="24"/>
          <w:szCs w:val="24"/>
          <w:highlight w:val="yellow"/>
        </w:rPr>
      </w:pPr>
    </w:p>
    <w:p w14:paraId="12541D4B" w14:textId="63E49F6B" w:rsidR="00DA0E9C" w:rsidRPr="003A6FD2" w:rsidRDefault="00A13C57" w:rsidP="00FE0DA3">
      <w:pPr>
        <w:pStyle w:val="BodyText"/>
        <w:rPr>
          <w:b/>
          <w:bCs/>
          <w:sz w:val="24"/>
          <w:szCs w:val="24"/>
        </w:rPr>
      </w:pPr>
      <w:r w:rsidRPr="6F0FA7D6">
        <w:rPr>
          <w:b/>
          <w:bCs/>
          <w:sz w:val="24"/>
          <w:szCs w:val="24"/>
        </w:rPr>
        <w:t xml:space="preserve">Other </w:t>
      </w:r>
      <w:r w:rsidR="00D92FD6" w:rsidRPr="6F0FA7D6">
        <w:rPr>
          <w:b/>
          <w:bCs/>
          <w:sz w:val="24"/>
          <w:szCs w:val="24"/>
        </w:rPr>
        <w:t>C</w:t>
      </w:r>
      <w:r w:rsidR="00DA0E9C" w:rsidRPr="6F0FA7D6">
        <w:rPr>
          <w:b/>
          <w:bCs/>
          <w:sz w:val="24"/>
          <w:szCs w:val="24"/>
        </w:rPr>
        <w:t xml:space="preserve">onditions to the </w:t>
      </w:r>
      <w:proofErr w:type="spellStart"/>
      <w:r w:rsidR="00DA0E9C" w:rsidRPr="6F0FA7D6">
        <w:rPr>
          <w:b/>
          <w:bCs/>
          <w:sz w:val="24"/>
          <w:szCs w:val="24"/>
        </w:rPr>
        <w:t>DoN</w:t>
      </w:r>
      <w:proofErr w:type="spellEnd"/>
    </w:p>
    <w:p w14:paraId="77054E3B" w14:textId="1C8A6B62" w:rsidR="002E59BA" w:rsidRPr="002E59BA" w:rsidRDefault="00E310F9" w:rsidP="00753DCA">
      <w:pPr>
        <w:pStyle w:val="ListParagraph"/>
        <w:numPr>
          <w:ilvl w:val="0"/>
          <w:numId w:val="56"/>
        </w:numPr>
        <w:rPr>
          <w:rFonts w:asciiTheme="minorHAnsi" w:hAnsiTheme="minorHAnsi" w:cstheme="minorHAnsi"/>
          <w:bCs/>
          <w:sz w:val="24"/>
        </w:rPr>
      </w:pPr>
      <w:r>
        <w:rPr>
          <w:rFonts w:asciiTheme="minorHAnsi" w:hAnsiTheme="minorHAnsi" w:cstheme="minorHAnsi"/>
          <w:bCs/>
          <w:sz w:val="24"/>
        </w:rPr>
        <w:t xml:space="preserve">To better </w:t>
      </w:r>
      <w:r w:rsidR="009E4170">
        <w:rPr>
          <w:rFonts w:asciiTheme="minorHAnsi" w:hAnsiTheme="minorHAnsi" w:cstheme="minorHAnsi"/>
          <w:bCs/>
          <w:sz w:val="24"/>
        </w:rPr>
        <w:t>track the</w:t>
      </w:r>
      <w:r>
        <w:rPr>
          <w:rFonts w:asciiTheme="minorHAnsi" w:hAnsiTheme="minorHAnsi" w:cstheme="minorHAnsi"/>
          <w:bCs/>
          <w:sz w:val="24"/>
        </w:rPr>
        <w:t xml:space="preserve"> role of post-acute placement in </w:t>
      </w:r>
      <w:r w:rsidR="00F57057">
        <w:rPr>
          <w:rFonts w:asciiTheme="minorHAnsi" w:hAnsiTheme="minorHAnsi" w:cstheme="minorHAnsi"/>
          <w:bCs/>
          <w:sz w:val="24"/>
        </w:rPr>
        <w:t xml:space="preserve">discharge delays, the Holder shall provide </w:t>
      </w:r>
      <w:r w:rsidR="00F57057" w:rsidRPr="0094621A">
        <w:rPr>
          <w:rFonts w:cstheme="minorHAnsi"/>
          <w:sz w:val="24"/>
          <w:szCs w:val="24"/>
        </w:rPr>
        <w:t>number of patient days associated with these delays</w:t>
      </w:r>
      <w:r w:rsidR="0098609C">
        <w:rPr>
          <w:rFonts w:cstheme="minorHAnsi"/>
          <w:sz w:val="24"/>
          <w:szCs w:val="24"/>
        </w:rPr>
        <w:t xml:space="preserve"> for the M/S population.</w:t>
      </w:r>
    </w:p>
    <w:p w14:paraId="25EB433F" w14:textId="65B54AD9" w:rsidR="00344C0E" w:rsidRPr="00B62C6E" w:rsidRDefault="00AA35DE" w:rsidP="00753DCA">
      <w:pPr>
        <w:pStyle w:val="ListParagraph"/>
        <w:numPr>
          <w:ilvl w:val="0"/>
          <w:numId w:val="56"/>
        </w:numPr>
        <w:rPr>
          <w:rFonts w:asciiTheme="minorHAnsi" w:hAnsiTheme="minorHAnsi" w:cstheme="minorHAnsi"/>
          <w:bCs/>
          <w:sz w:val="24"/>
        </w:rPr>
      </w:pPr>
      <w:r w:rsidRPr="00753DCA">
        <w:rPr>
          <w:sz w:val="24"/>
          <w:szCs w:val="24"/>
        </w:rPr>
        <w:t xml:space="preserve">To track the effectiveness of the Holder’s efforts to direct admissions to community hospitals, </w:t>
      </w:r>
      <w:r w:rsidR="00D824AE" w:rsidRPr="00753DCA">
        <w:rPr>
          <w:sz w:val="24"/>
          <w:szCs w:val="24"/>
        </w:rPr>
        <w:t xml:space="preserve">the Holder shall report on the </w:t>
      </w:r>
      <w:r w:rsidR="00753DCA" w:rsidRPr="00753DCA">
        <w:rPr>
          <w:sz w:val="24"/>
          <w:szCs w:val="24"/>
        </w:rPr>
        <w:t xml:space="preserve">Secondary and Tertiary admissions in the annual Post </w:t>
      </w:r>
      <w:proofErr w:type="spellStart"/>
      <w:r w:rsidR="00753DCA" w:rsidRPr="00753DCA">
        <w:rPr>
          <w:sz w:val="24"/>
          <w:szCs w:val="24"/>
        </w:rPr>
        <w:t>DoN</w:t>
      </w:r>
      <w:proofErr w:type="spellEnd"/>
      <w:r w:rsidR="00753DCA" w:rsidRPr="00753DCA">
        <w:rPr>
          <w:sz w:val="24"/>
          <w:szCs w:val="24"/>
        </w:rPr>
        <w:t xml:space="preserve"> reporting for</w:t>
      </w:r>
      <w:r w:rsidR="00753DCA" w:rsidRPr="00753DCA">
        <w:rPr>
          <w:sz w:val="24"/>
          <w:szCs w:val="24"/>
          <w:lang w:bidi="ar-SA"/>
        </w:rPr>
        <w:t xml:space="preserve"> the original project #</w:t>
      </w:r>
      <w:r w:rsidR="00753DCA" w:rsidRPr="00753DCA">
        <w:rPr>
          <w:bCs/>
          <w:sz w:val="24"/>
        </w:rPr>
        <w:t>MGB-20121612-HE</w:t>
      </w:r>
      <w:r w:rsidR="00753DCA" w:rsidRPr="00753DCA">
        <w:rPr>
          <w:sz w:val="24"/>
          <w:szCs w:val="24"/>
          <w:lang w:bidi="ar-SA"/>
        </w:rPr>
        <w:t>.</w:t>
      </w:r>
    </w:p>
    <w:p w14:paraId="11EB54CC" w14:textId="77777777" w:rsidR="00B62C6E" w:rsidRPr="00B62C6E" w:rsidRDefault="00B62C6E" w:rsidP="00B62C6E">
      <w:pPr>
        <w:ind w:left="360"/>
        <w:rPr>
          <w:rFonts w:asciiTheme="minorHAnsi" w:hAnsiTheme="minorHAnsi" w:cstheme="minorHAnsi"/>
          <w:bCs/>
          <w:sz w:val="24"/>
        </w:rPr>
      </w:pPr>
    </w:p>
    <w:p w14:paraId="2D35DE4F" w14:textId="564198DF" w:rsidR="0024383D" w:rsidRDefault="00087A4C" w:rsidP="00890AB0">
      <w:pPr>
        <w:rPr>
          <w:rFonts w:asciiTheme="minorHAnsi" w:hAnsiTheme="minorHAnsi" w:cstheme="minorHAnsi"/>
          <w:bCs/>
          <w:sz w:val="24"/>
        </w:rPr>
      </w:pPr>
      <w:r>
        <w:rPr>
          <w:sz w:val="24"/>
          <w:szCs w:val="24"/>
          <w:lang w:bidi="ar-SA"/>
        </w:rPr>
        <w:t xml:space="preserve">Upon approval of the Proposed Change, the Holder will </w:t>
      </w:r>
      <w:r w:rsidR="00743BC0">
        <w:rPr>
          <w:sz w:val="24"/>
          <w:szCs w:val="24"/>
          <w:lang w:bidi="ar-SA"/>
        </w:rPr>
        <w:t xml:space="preserve">include the </w:t>
      </w:r>
      <w:r w:rsidR="004B18B1">
        <w:rPr>
          <w:sz w:val="24"/>
          <w:szCs w:val="24"/>
          <w:lang w:bidi="ar-SA"/>
        </w:rPr>
        <w:t xml:space="preserve">additional </w:t>
      </w:r>
      <w:r w:rsidR="00CB5642">
        <w:rPr>
          <w:sz w:val="24"/>
          <w:szCs w:val="24"/>
          <w:lang w:bidi="ar-SA"/>
        </w:rPr>
        <w:t xml:space="preserve">94 licensed beds </w:t>
      </w:r>
      <w:r w:rsidR="00FE0DA3">
        <w:rPr>
          <w:sz w:val="24"/>
          <w:szCs w:val="24"/>
          <w:lang w:bidi="ar-SA"/>
        </w:rPr>
        <w:t>in</w:t>
      </w:r>
      <w:r w:rsidR="00CB5642">
        <w:rPr>
          <w:sz w:val="24"/>
          <w:szCs w:val="24"/>
          <w:lang w:bidi="ar-SA"/>
        </w:rPr>
        <w:t xml:space="preserve"> </w:t>
      </w:r>
      <w:r w:rsidR="002C242B">
        <w:rPr>
          <w:sz w:val="24"/>
          <w:szCs w:val="24"/>
          <w:lang w:bidi="ar-SA"/>
        </w:rPr>
        <w:t>al</w:t>
      </w:r>
      <w:r w:rsidR="00BC7A30">
        <w:rPr>
          <w:sz w:val="24"/>
          <w:szCs w:val="24"/>
          <w:lang w:bidi="ar-SA"/>
        </w:rPr>
        <w:t xml:space="preserve">l </w:t>
      </w:r>
      <w:r w:rsidR="00D55E91">
        <w:rPr>
          <w:sz w:val="24"/>
          <w:szCs w:val="24"/>
          <w:lang w:bidi="ar-SA"/>
        </w:rPr>
        <w:t xml:space="preserve">Post </w:t>
      </w:r>
      <w:proofErr w:type="spellStart"/>
      <w:r w:rsidR="00D55E91">
        <w:rPr>
          <w:sz w:val="24"/>
          <w:szCs w:val="24"/>
          <w:lang w:bidi="ar-SA"/>
        </w:rPr>
        <w:t>DoN</w:t>
      </w:r>
      <w:proofErr w:type="spellEnd"/>
      <w:r w:rsidR="00D55E91">
        <w:rPr>
          <w:sz w:val="24"/>
          <w:szCs w:val="24"/>
          <w:lang w:bidi="ar-SA"/>
        </w:rPr>
        <w:t xml:space="preserve"> </w:t>
      </w:r>
      <w:r w:rsidR="00FB230C">
        <w:rPr>
          <w:sz w:val="24"/>
          <w:szCs w:val="24"/>
          <w:lang w:bidi="ar-SA"/>
        </w:rPr>
        <w:t>R</w:t>
      </w:r>
      <w:r w:rsidR="00CB5642">
        <w:rPr>
          <w:sz w:val="24"/>
          <w:szCs w:val="24"/>
          <w:lang w:bidi="ar-SA"/>
        </w:rPr>
        <w:t xml:space="preserve">eporting </w:t>
      </w:r>
      <w:r w:rsidR="002C242B">
        <w:rPr>
          <w:sz w:val="24"/>
          <w:szCs w:val="24"/>
          <w:lang w:bidi="ar-SA"/>
        </w:rPr>
        <w:t>C</w:t>
      </w:r>
      <w:r w:rsidR="00CB5642">
        <w:rPr>
          <w:sz w:val="24"/>
          <w:szCs w:val="24"/>
          <w:lang w:bidi="ar-SA"/>
        </w:rPr>
        <w:t xml:space="preserve">onditions and </w:t>
      </w:r>
      <w:r w:rsidR="002C242B">
        <w:rPr>
          <w:sz w:val="24"/>
          <w:szCs w:val="24"/>
          <w:lang w:bidi="ar-SA"/>
        </w:rPr>
        <w:t>O</w:t>
      </w:r>
      <w:r w:rsidR="00CB5642">
        <w:rPr>
          <w:sz w:val="24"/>
          <w:szCs w:val="24"/>
          <w:lang w:bidi="ar-SA"/>
        </w:rPr>
        <w:t xml:space="preserve">utcome </w:t>
      </w:r>
      <w:r w:rsidR="002C242B">
        <w:rPr>
          <w:sz w:val="24"/>
          <w:szCs w:val="24"/>
          <w:lang w:bidi="ar-SA"/>
        </w:rPr>
        <w:t>M</w:t>
      </w:r>
      <w:r w:rsidR="00CB5642">
        <w:rPr>
          <w:sz w:val="24"/>
          <w:szCs w:val="24"/>
          <w:lang w:bidi="ar-SA"/>
        </w:rPr>
        <w:t>easures</w:t>
      </w:r>
      <w:r w:rsidR="00D55E91">
        <w:rPr>
          <w:sz w:val="24"/>
          <w:szCs w:val="24"/>
          <w:lang w:bidi="ar-SA"/>
        </w:rPr>
        <w:t xml:space="preserve"> </w:t>
      </w:r>
      <w:r w:rsidR="00BC7A30">
        <w:rPr>
          <w:sz w:val="24"/>
          <w:szCs w:val="24"/>
          <w:lang w:bidi="ar-SA"/>
        </w:rPr>
        <w:t xml:space="preserve">data </w:t>
      </w:r>
      <w:r w:rsidR="00004FBA">
        <w:rPr>
          <w:sz w:val="24"/>
          <w:szCs w:val="24"/>
          <w:lang w:bidi="ar-SA"/>
        </w:rPr>
        <w:t xml:space="preserve">for the original </w:t>
      </w:r>
      <w:r w:rsidR="002C242B">
        <w:rPr>
          <w:sz w:val="24"/>
          <w:szCs w:val="24"/>
          <w:lang w:bidi="ar-SA"/>
        </w:rPr>
        <w:t>project #</w:t>
      </w:r>
      <w:r w:rsidR="002C242B" w:rsidRPr="00CA3480">
        <w:rPr>
          <w:bCs/>
          <w:sz w:val="24"/>
        </w:rPr>
        <w:t>MGB-20121612-HE</w:t>
      </w:r>
      <w:r w:rsidR="00D55E91">
        <w:rPr>
          <w:sz w:val="24"/>
          <w:szCs w:val="24"/>
          <w:lang w:bidi="ar-SA"/>
        </w:rPr>
        <w:t>.</w:t>
      </w:r>
    </w:p>
    <w:p w14:paraId="7642790D" w14:textId="77777777" w:rsidR="00890AB0" w:rsidRDefault="00890AB0" w:rsidP="00890AB0">
      <w:pPr>
        <w:rPr>
          <w:rFonts w:asciiTheme="minorHAnsi" w:hAnsiTheme="minorHAnsi" w:cstheme="minorHAnsi"/>
          <w:bCs/>
          <w:sz w:val="24"/>
        </w:rPr>
      </w:pPr>
    </w:p>
    <w:p w14:paraId="1495BA68" w14:textId="57809F42" w:rsidR="486A60D7" w:rsidRPr="006577F8" w:rsidRDefault="00CF46C1" w:rsidP="006577F8">
      <w:pPr>
        <w:pStyle w:val="Heading1"/>
        <w:ind w:left="0"/>
      </w:pPr>
      <w:r>
        <w:t>Appendix I</w:t>
      </w:r>
      <w:r w:rsidR="00666E91">
        <w:t>:</w:t>
      </w:r>
      <w:r w:rsidR="006577F8">
        <w:t xml:space="preserve"> </w:t>
      </w:r>
      <w:r w:rsidR="76FDF141" w:rsidRPr="009E20FA">
        <w:t xml:space="preserve">Conditions 2 and 3 as approved for Original </w:t>
      </w:r>
      <w:proofErr w:type="spellStart"/>
      <w:r w:rsidR="76FDF141" w:rsidRPr="009E20FA">
        <w:t>DoN</w:t>
      </w:r>
      <w:proofErr w:type="spellEnd"/>
      <w:r w:rsidR="76FDF141" w:rsidRPr="009E20FA">
        <w:t xml:space="preserve"> Application # MGB-20121612-HE</w:t>
      </w:r>
      <w:r w:rsidR="2CC551E7" w:rsidRPr="541DD8FF">
        <w:t xml:space="preserve"> </w:t>
      </w:r>
    </w:p>
    <w:p w14:paraId="058B2917" w14:textId="0C18D7E7" w:rsidR="541DD8FF" w:rsidRDefault="2CC551E7" w:rsidP="541DD8FF">
      <w:pPr>
        <w:spacing w:after="160" w:line="257" w:lineRule="auto"/>
        <w:rPr>
          <w:sz w:val="24"/>
          <w:szCs w:val="24"/>
        </w:rPr>
      </w:pPr>
      <w:r w:rsidRPr="541DD8FF">
        <w:rPr>
          <w:b/>
          <w:bCs/>
          <w:sz w:val="24"/>
          <w:szCs w:val="24"/>
        </w:rPr>
        <w:lastRenderedPageBreak/>
        <w:t>Condition 2</w:t>
      </w:r>
      <w:r w:rsidRPr="541DD8FF">
        <w:rPr>
          <w:sz w:val="24"/>
          <w:szCs w:val="24"/>
        </w:rPr>
        <w:t xml:space="preserve"> – If the Holder submits any request for Significant Change to add any of the 94 new inpatient beds</w:t>
      </w:r>
      <w:r w:rsidR="0080384A">
        <w:rPr>
          <w:rStyle w:val="FootnoteReference"/>
          <w:sz w:val="24"/>
          <w:szCs w:val="24"/>
        </w:rPr>
        <w:footnoteReference w:id="23"/>
      </w:r>
      <w:r w:rsidRPr="541DD8FF">
        <w:rPr>
          <w:sz w:val="24"/>
          <w:szCs w:val="24"/>
        </w:rPr>
        <w:t xml:space="preserve"> related to the Proposed Project, the Holder must include the following data as part of its </w:t>
      </w:r>
      <w:proofErr w:type="gramStart"/>
      <w:r w:rsidRPr="541DD8FF">
        <w:rPr>
          <w:sz w:val="24"/>
          <w:szCs w:val="24"/>
        </w:rPr>
        <w:t>Application</w:t>
      </w:r>
      <w:proofErr w:type="gramEnd"/>
      <w:r w:rsidRPr="541DD8FF">
        <w:rPr>
          <w:sz w:val="24"/>
          <w:szCs w:val="24"/>
        </w:rPr>
        <w:t>:</w:t>
      </w:r>
    </w:p>
    <w:p w14:paraId="31FE1E99" w14:textId="667A30FC" w:rsidR="2CC551E7" w:rsidRPr="002278E9" w:rsidRDefault="2CC551E7" w:rsidP="009E20FA">
      <w:pPr>
        <w:pStyle w:val="ListParagraph"/>
        <w:numPr>
          <w:ilvl w:val="1"/>
          <w:numId w:val="53"/>
        </w:numPr>
        <w:spacing w:line="254" w:lineRule="auto"/>
        <w:rPr>
          <w:sz w:val="24"/>
          <w:szCs w:val="24"/>
        </w:rPr>
      </w:pPr>
      <w:r w:rsidRPr="002278E9">
        <w:rPr>
          <w:sz w:val="24"/>
          <w:szCs w:val="24"/>
        </w:rPr>
        <w:t xml:space="preserve">Emergency Department (ED) boarders waiting for a medical/surgical (M/S) bed </w:t>
      </w:r>
      <w:proofErr w:type="gramStart"/>
      <w:r w:rsidRPr="002278E9">
        <w:rPr>
          <w:sz w:val="24"/>
          <w:szCs w:val="24"/>
        </w:rPr>
        <w:t>including</w:t>
      </w:r>
      <w:proofErr w:type="gramEnd"/>
      <w:r w:rsidRPr="002278E9">
        <w:rPr>
          <w:sz w:val="24"/>
          <w:szCs w:val="24"/>
        </w:rPr>
        <w:t xml:space="preserve"> </w:t>
      </w:r>
    </w:p>
    <w:p w14:paraId="20DF1772" w14:textId="50D2083D" w:rsidR="2CC551E7" w:rsidRPr="002278E9" w:rsidRDefault="2CC551E7" w:rsidP="009E20FA">
      <w:pPr>
        <w:pStyle w:val="ListParagraph"/>
        <w:numPr>
          <w:ilvl w:val="2"/>
          <w:numId w:val="53"/>
        </w:numPr>
        <w:spacing w:line="254" w:lineRule="auto"/>
        <w:rPr>
          <w:sz w:val="24"/>
          <w:szCs w:val="24"/>
        </w:rPr>
      </w:pPr>
      <w:r w:rsidRPr="002278E9">
        <w:rPr>
          <w:sz w:val="24"/>
          <w:szCs w:val="24"/>
        </w:rPr>
        <w:t xml:space="preserve">Number of patients and length of stay </w:t>
      </w:r>
    </w:p>
    <w:p w14:paraId="1D0BEA1D" w14:textId="6758EA61" w:rsidR="2CC551E7" w:rsidRPr="002278E9" w:rsidRDefault="2CC551E7" w:rsidP="009E20FA">
      <w:pPr>
        <w:pStyle w:val="ListParagraph"/>
        <w:numPr>
          <w:ilvl w:val="2"/>
          <w:numId w:val="53"/>
        </w:numPr>
        <w:spacing w:line="254" w:lineRule="auto"/>
        <w:rPr>
          <w:sz w:val="24"/>
          <w:szCs w:val="24"/>
        </w:rPr>
      </w:pPr>
      <w:r w:rsidRPr="002278E9">
        <w:rPr>
          <w:sz w:val="24"/>
          <w:szCs w:val="24"/>
        </w:rPr>
        <w:t>Location of bed (inpatient or observation)</w:t>
      </w:r>
    </w:p>
    <w:p w14:paraId="03D0216B" w14:textId="5A288163" w:rsidR="2CC551E7" w:rsidRPr="002278E9" w:rsidRDefault="2CC551E7" w:rsidP="009E20FA">
      <w:pPr>
        <w:pStyle w:val="ListParagraph"/>
        <w:numPr>
          <w:ilvl w:val="1"/>
          <w:numId w:val="53"/>
        </w:numPr>
        <w:spacing w:line="254" w:lineRule="auto"/>
        <w:rPr>
          <w:sz w:val="24"/>
          <w:szCs w:val="24"/>
        </w:rPr>
      </w:pPr>
      <w:r w:rsidRPr="002278E9">
        <w:rPr>
          <w:sz w:val="24"/>
          <w:szCs w:val="24"/>
        </w:rPr>
        <w:t xml:space="preserve">Post-Acute Care Unit (PACU) patient data </w:t>
      </w:r>
      <w:proofErr w:type="gramStart"/>
      <w:r w:rsidRPr="002278E9">
        <w:rPr>
          <w:sz w:val="24"/>
          <w:szCs w:val="24"/>
        </w:rPr>
        <w:t>including</w:t>
      </w:r>
      <w:proofErr w:type="gramEnd"/>
      <w:r w:rsidRPr="002278E9">
        <w:rPr>
          <w:sz w:val="24"/>
          <w:szCs w:val="24"/>
        </w:rPr>
        <w:t xml:space="preserve"> </w:t>
      </w:r>
    </w:p>
    <w:p w14:paraId="7E5ECC3B" w14:textId="189A63E1" w:rsidR="2CC551E7" w:rsidRPr="002278E9" w:rsidRDefault="2CC551E7" w:rsidP="009E20FA">
      <w:pPr>
        <w:pStyle w:val="ListParagraph"/>
        <w:numPr>
          <w:ilvl w:val="2"/>
          <w:numId w:val="53"/>
        </w:numPr>
        <w:spacing w:line="254" w:lineRule="auto"/>
        <w:rPr>
          <w:sz w:val="24"/>
          <w:szCs w:val="24"/>
        </w:rPr>
      </w:pPr>
      <w:r w:rsidRPr="002278E9">
        <w:rPr>
          <w:sz w:val="24"/>
          <w:szCs w:val="24"/>
        </w:rPr>
        <w:t>Number of patients and length of stay</w:t>
      </w:r>
    </w:p>
    <w:p w14:paraId="5F0F6A13" w14:textId="649E1604" w:rsidR="2CC551E7" w:rsidRPr="002278E9" w:rsidRDefault="2CC551E7" w:rsidP="009E20FA">
      <w:pPr>
        <w:pStyle w:val="ListParagraph"/>
        <w:numPr>
          <w:ilvl w:val="2"/>
          <w:numId w:val="53"/>
        </w:numPr>
        <w:spacing w:line="254" w:lineRule="auto"/>
        <w:rPr>
          <w:sz w:val="24"/>
          <w:szCs w:val="24"/>
        </w:rPr>
      </w:pPr>
      <w:r w:rsidRPr="002278E9">
        <w:rPr>
          <w:sz w:val="24"/>
          <w:szCs w:val="24"/>
        </w:rPr>
        <w:t>Location of bed (inpatient or observation)</w:t>
      </w:r>
    </w:p>
    <w:p w14:paraId="73DDCA1B" w14:textId="6F5A4351" w:rsidR="2CC551E7" w:rsidRPr="002278E9" w:rsidRDefault="2CC551E7" w:rsidP="009E20FA">
      <w:pPr>
        <w:pStyle w:val="ListParagraph"/>
        <w:numPr>
          <w:ilvl w:val="1"/>
          <w:numId w:val="53"/>
        </w:numPr>
        <w:spacing w:line="257" w:lineRule="auto"/>
        <w:rPr>
          <w:sz w:val="24"/>
          <w:szCs w:val="24"/>
        </w:rPr>
      </w:pPr>
      <w:r w:rsidRPr="002278E9">
        <w:rPr>
          <w:sz w:val="24"/>
          <w:szCs w:val="24"/>
        </w:rPr>
        <w:t>Average daily number of blocked M/S beds</w:t>
      </w:r>
    </w:p>
    <w:p w14:paraId="44493AB8" w14:textId="7B679A24" w:rsidR="2CC551E7" w:rsidRPr="002278E9" w:rsidRDefault="2CC551E7" w:rsidP="009E20FA">
      <w:pPr>
        <w:pStyle w:val="ListParagraph"/>
        <w:numPr>
          <w:ilvl w:val="1"/>
          <w:numId w:val="53"/>
        </w:numPr>
        <w:spacing w:line="257" w:lineRule="auto"/>
        <w:rPr>
          <w:sz w:val="24"/>
          <w:szCs w:val="24"/>
        </w:rPr>
      </w:pPr>
      <w:r w:rsidRPr="002278E9">
        <w:rPr>
          <w:sz w:val="24"/>
          <w:szCs w:val="24"/>
        </w:rPr>
        <w:t xml:space="preserve">Percentage (with numerator and denominator) of MGH </w:t>
      </w:r>
      <w:proofErr w:type="spellStart"/>
      <w:r w:rsidRPr="002278E9">
        <w:rPr>
          <w:sz w:val="24"/>
          <w:szCs w:val="24"/>
        </w:rPr>
        <w:t>inpatients</w:t>
      </w:r>
      <w:proofErr w:type="spellEnd"/>
      <w:r w:rsidRPr="002278E9">
        <w:rPr>
          <w:sz w:val="24"/>
          <w:szCs w:val="24"/>
        </w:rPr>
        <w:t xml:space="preserve"> who were part of MGB’s Patient Panel prior to the MGH </w:t>
      </w:r>
      <w:proofErr w:type="gramStart"/>
      <w:r w:rsidRPr="002278E9">
        <w:rPr>
          <w:sz w:val="24"/>
          <w:szCs w:val="24"/>
        </w:rPr>
        <w:t>admission</w:t>
      </w:r>
      <w:proofErr w:type="gramEnd"/>
    </w:p>
    <w:p w14:paraId="7ABD656D" w14:textId="733DA1A4" w:rsidR="2CC551E7" w:rsidRPr="002278E9" w:rsidRDefault="2CC551E7" w:rsidP="009E20FA">
      <w:pPr>
        <w:pStyle w:val="ListParagraph"/>
        <w:numPr>
          <w:ilvl w:val="1"/>
          <w:numId w:val="53"/>
        </w:numPr>
        <w:spacing w:line="257" w:lineRule="auto"/>
        <w:rPr>
          <w:sz w:val="24"/>
          <w:szCs w:val="24"/>
        </w:rPr>
      </w:pPr>
      <w:r w:rsidRPr="002278E9">
        <w:rPr>
          <w:sz w:val="24"/>
          <w:szCs w:val="24"/>
        </w:rPr>
        <w:t>Operating capacity and occupancy rate</w:t>
      </w:r>
    </w:p>
    <w:p w14:paraId="0BFD2697" w14:textId="741A8EAA" w:rsidR="2CC551E7" w:rsidRPr="002278E9" w:rsidRDefault="2CC551E7" w:rsidP="009E20FA">
      <w:pPr>
        <w:pStyle w:val="ListParagraph"/>
        <w:numPr>
          <w:ilvl w:val="1"/>
          <w:numId w:val="53"/>
        </w:numPr>
        <w:spacing w:line="257" w:lineRule="auto"/>
        <w:rPr>
          <w:sz w:val="24"/>
          <w:szCs w:val="24"/>
        </w:rPr>
      </w:pPr>
      <w:r w:rsidRPr="002278E9">
        <w:rPr>
          <w:sz w:val="24"/>
          <w:szCs w:val="24"/>
        </w:rPr>
        <w:t>Acuity level by case mix index, and number of discharges for M/S patients at MGH by service line:</w:t>
      </w:r>
    </w:p>
    <w:p w14:paraId="1746E67E" w14:textId="60243312" w:rsidR="2CC551E7" w:rsidRPr="002278E9" w:rsidRDefault="2CC551E7" w:rsidP="009E20FA">
      <w:pPr>
        <w:pStyle w:val="ListParagraph"/>
        <w:numPr>
          <w:ilvl w:val="2"/>
          <w:numId w:val="53"/>
        </w:numPr>
        <w:spacing w:line="257" w:lineRule="auto"/>
        <w:rPr>
          <w:sz w:val="24"/>
          <w:szCs w:val="24"/>
        </w:rPr>
      </w:pPr>
      <w:r w:rsidRPr="002278E9">
        <w:rPr>
          <w:sz w:val="24"/>
          <w:szCs w:val="24"/>
        </w:rPr>
        <w:t>Cancer</w:t>
      </w:r>
    </w:p>
    <w:p w14:paraId="446DC161" w14:textId="27DF8AB8" w:rsidR="2CC551E7" w:rsidRPr="002278E9" w:rsidRDefault="2CC551E7" w:rsidP="009E20FA">
      <w:pPr>
        <w:pStyle w:val="ListParagraph"/>
        <w:numPr>
          <w:ilvl w:val="2"/>
          <w:numId w:val="53"/>
        </w:numPr>
        <w:spacing w:line="257" w:lineRule="auto"/>
        <w:rPr>
          <w:sz w:val="24"/>
          <w:szCs w:val="24"/>
        </w:rPr>
      </w:pPr>
      <w:r w:rsidRPr="002278E9">
        <w:rPr>
          <w:sz w:val="24"/>
          <w:szCs w:val="24"/>
        </w:rPr>
        <w:t>Cardiac</w:t>
      </w:r>
    </w:p>
    <w:p w14:paraId="0221CD59" w14:textId="742EDCFC" w:rsidR="2CC551E7" w:rsidRPr="002278E9" w:rsidRDefault="2CC551E7" w:rsidP="009E20FA">
      <w:pPr>
        <w:pStyle w:val="ListParagraph"/>
        <w:numPr>
          <w:ilvl w:val="2"/>
          <w:numId w:val="53"/>
        </w:numPr>
        <w:spacing w:line="257" w:lineRule="auto"/>
        <w:rPr>
          <w:color w:val="000000" w:themeColor="text1"/>
          <w:sz w:val="24"/>
          <w:szCs w:val="24"/>
        </w:rPr>
      </w:pPr>
      <w:r w:rsidRPr="002278E9">
        <w:rPr>
          <w:sz w:val="24"/>
          <w:szCs w:val="24"/>
        </w:rPr>
        <w:t>Other Adult M/S (with e</w:t>
      </w:r>
      <w:r w:rsidRPr="002278E9">
        <w:rPr>
          <w:color w:val="000000" w:themeColor="text1"/>
          <w:sz w:val="24"/>
          <w:szCs w:val="24"/>
        </w:rPr>
        <w:t>xclusion of obstetric, pediatric, and psychiatric discharges)</w:t>
      </w:r>
    </w:p>
    <w:p w14:paraId="0669AA68" w14:textId="516D4B0E" w:rsidR="2CC551E7" w:rsidRPr="002278E9" w:rsidRDefault="2CC551E7" w:rsidP="009E20FA">
      <w:pPr>
        <w:pStyle w:val="ListParagraph"/>
        <w:numPr>
          <w:ilvl w:val="1"/>
          <w:numId w:val="53"/>
        </w:numPr>
        <w:spacing w:line="257" w:lineRule="auto"/>
        <w:rPr>
          <w:sz w:val="24"/>
          <w:szCs w:val="24"/>
        </w:rPr>
      </w:pPr>
      <w:r w:rsidRPr="002278E9">
        <w:rPr>
          <w:sz w:val="24"/>
          <w:szCs w:val="24"/>
        </w:rPr>
        <w:t xml:space="preserve">Average monthly lost transfer number and rate (calculated as the number of transfers not accepted over the number of requests for transfers) from community </w:t>
      </w:r>
      <w:proofErr w:type="gramStart"/>
      <w:r w:rsidRPr="002278E9">
        <w:rPr>
          <w:sz w:val="24"/>
          <w:szCs w:val="24"/>
        </w:rPr>
        <w:t>hospitals</w:t>
      </w:r>
      <w:proofErr w:type="gramEnd"/>
    </w:p>
    <w:p w14:paraId="0A3CFD38" w14:textId="36898682" w:rsidR="2CC551E7" w:rsidRPr="002278E9" w:rsidRDefault="2CC551E7" w:rsidP="009E20FA">
      <w:pPr>
        <w:jc w:val="center"/>
        <w:rPr>
          <w:sz w:val="24"/>
          <w:szCs w:val="24"/>
          <w:u w:val="single"/>
        </w:rPr>
      </w:pPr>
      <w:r w:rsidRPr="002278E9">
        <w:rPr>
          <w:sz w:val="24"/>
          <w:szCs w:val="24"/>
          <w:u w:val="single"/>
        </w:rPr>
        <w:t xml:space="preserve">Number of transfers not accepted by </w:t>
      </w:r>
      <w:proofErr w:type="gramStart"/>
      <w:r w:rsidRPr="002278E9">
        <w:rPr>
          <w:sz w:val="24"/>
          <w:szCs w:val="24"/>
          <w:u w:val="single"/>
        </w:rPr>
        <w:t>Holder</w:t>
      </w:r>
      <w:proofErr w:type="gramEnd"/>
    </w:p>
    <w:p w14:paraId="7D2B293F" w14:textId="402E5A19" w:rsidR="2CC551E7" w:rsidRPr="002278E9" w:rsidRDefault="2CC551E7" w:rsidP="009E20FA">
      <w:pPr>
        <w:jc w:val="center"/>
        <w:rPr>
          <w:sz w:val="24"/>
          <w:szCs w:val="24"/>
        </w:rPr>
      </w:pPr>
      <w:r w:rsidRPr="002278E9">
        <w:rPr>
          <w:sz w:val="24"/>
          <w:szCs w:val="24"/>
        </w:rPr>
        <w:t>Number of requests for transfers to Holder</w:t>
      </w:r>
    </w:p>
    <w:p w14:paraId="13E48D78" w14:textId="2CF74368" w:rsidR="2CC551E7" w:rsidRPr="002278E9" w:rsidRDefault="2CC551E7">
      <w:pPr>
        <w:rPr>
          <w:sz w:val="24"/>
          <w:szCs w:val="24"/>
        </w:rPr>
      </w:pPr>
      <w:r w:rsidRPr="002278E9">
        <w:rPr>
          <w:sz w:val="24"/>
          <w:szCs w:val="24"/>
        </w:rPr>
        <w:t xml:space="preserve"> </w:t>
      </w:r>
    </w:p>
    <w:p w14:paraId="12B36DE4" w14:textId="3ECEF5DB" w:rsidR="2CC551E7" w:rsidRPr="002278E9" w:rsidRDefault="2CC551E7" w:rsidP="009E20FA">
      <w:pPr>
        <w:spacing w:line="257" w:lineRule="auto"/>
        <w:rPr>
          <w:sz w:val="24"/>
          <w:szCs w:val="24"/>
        </w:rPr>
      </w:pPr>
      <w:r w:rsidRPr="002278E9">
        <w:rPr>
          <w:b/>
          <w:bCs/>
          <w:sz w:val="24"/>
          <w:szCs w:val="24"/>
        </w:rPr>
        <w:t>Condition 3</w:t>
      </w:r>
      <w:r w:rsidRPr="002278E9">
        <w:rPr>
          <w:sz w:val="24"/>
          <w:szCs w:val="24"/>
        </w:rPr>
        <w:t xml:space="preserve"> – If the Holder submits any request for Significant Change to add a new PET/MR unit, </w:t>
      </w:r>
      <w:r w:rsidRPr="002278E9">
        <w:rPr>
          <w:color w:val="000000" w:themeColor="text1"/>
          <w:sz w:val="24"/>
          <w:szCs w:val="24"/>
        </w:rPr>
        <w:t>the</w:t>
      </w:r>
      <w:r w:rsidRPr="002278E9">
        <w:rPr>
          <w:sz w:val="24"/>
          <w:szCs w:val="24"/>
        </w:rPr>
        <w:t xml:space="preserve"> Holder must include the following:</w:t>
      </w:r>
    </w:p>
    <w:p w14:paraId="06B1E2D2" w14:textId="604FB624" w:rsidR="2CC551E7" w:rsidRPr="002278E9" w:rsidRDefault="2CC551E7" w:rsidP="009E20FA">
      <w:pPr>
        <w:pStyle w:val="ListParagraph"/>
        <w:numPr>
          <w:ilvl w:val="0"/>
          <w:numId w:val="39"/>
        </w:numPr>
        <w:spacing w:line="254" w:lineRule="auto"/>
        <w:rPr>
          <w:sz w:val="24"/>
          <w:szCs w:val="24"/>
        </w:rPr>
      </w:pPr>
      <w:r w:rsidRPr="002278E9">
        <w:rPr>
          <w:sz w:val="24"/>
          <w:szCs w:val="24"/>
        </w:rPr>
        <w:t>Number of PET/MR scans conducted at MGH, separated by research and clinical scans. Include the number of scans broken out by PET/MR and MRI only.</w:t>
      </w:r>
    </w:p>
    <w:p w14:paraId="7A73B6DD" w14:textId="3AAA6782" w:rsidR="2CC551E7" w:rsidRPr="002278E9" w:rsidRDefault="2CC551E7" w:rsidP="009E20FA">
      <w:pPr>
        <w:pStyle w:val="ListParagraph"/>
        <w:numPr>
          <w:ilvl w:val="0"/>
          <w:numId w:val="39"/>
        </w:numPr>
        <w:spacing w:line="254" w:lineRule="auto"/>
        <w:rPr>
          <w:sz w:val="24"/>
          <w:szCs w:val="24"/>
        </w:rPr>
      </w:pPr>
      <w:r w:rsidRPr="002278E9">
        <w:rPr>
          <w:sz w:val="24"/>
          <w:szCs w:val="24"/>
        </w:rPr>
        <w:t>Wait times for PET/MR scans at MGH.</w:t>
      </w:r>
    </w:p>
    <w:p w14:paraId="54F80D52" w14:textId="74756CE5" w:rsidR="2CC551E7" w:rsidRPr="002278E9" w:rsidRDefault="2CC551E7" w:rsidP="009E20FA">
      <w:pPr>
        <w:pStyle w:val="ListParagraph"/>
        <w:numPr>
          <w:ilvl w:val="0"/>
          <w:numId w:val="39"/>
        </w:numPr>
        <w:spacing w:line="254" w:lineRule="auto"/>
        <w:rPr>
          <w:sz w:val="24"/>
          <w:szCs w:val="24"/>
        </w:rPr>
      </w:pPr>
      <w:r w:rsidRPr="002278E9">
        <w:rPr>
          <w:sz w:val="24"/>
          <w:szCs w:val="24"/>
        </w:rPr>
        <w:t>Acuity by case mix index of patients receiving PET/MR scans at MGH.</w:t>
      </w:r>
    </w:p>
    <w:p w14:paraId="5F5436B8" w14:textId="7AF71E58" w:rsidR="2CC551E7" w:rsidRPr="002278E9" w:rsidRDefault="2CC551E7" w:rsidP="009E20FA">
      <w:pPr>
        <w:pStyle w:val="ListParagraph"/>
        <w:numPr>
          <w:ilvl w:val="0"/>
          <w:numId w:val="39"/>
        </w:numPr>
        <w:spacing w:line="254" w:lineRule="auto"/>
        <w:rPr>
          <w:sz w:val="24"/>
          <w:szCs w:val="24"/>
        </w:rPr>
      </w:pPr>
      <w:r w:rsidRPr="002278E9">
        <w:rPr>
          <w:sz w:val="24"/>
          <w:szCs w:val="24"/>
        </w:rPr>
        <w:t xml:space="preserve">Average time per PET/MR scan. </w:t>
      </w:r>
    </w:p>
    <w:p w14:paraId="5487621D" w14:textId="3327F32B" w:rsidR="2CC551E7" w:rsidRPr="002278E9" w:rsidRDefault="2CC551E7" w:rsidP="009E20FA">
      <w:pPr>
        <w:pStyle w:val="ListParagraph"/>
        <w:numPr>
          <w:ilvl w:val="0"/>
          <w:numId w:val="39"/>
        </w:numPr>
        <w:spacing w:line="254" w:lineRule="auto"/>
        <w:rPr>
          <w:sz w:val="24"/>
          <w:szCs w:val="24"/>
        </w:rPr>
      </w:pPr>
      <w:r w:rsidRPr="002278E9">
        <w:rPr>
          <w:sz w:val="24"/>
          <w:szCs w:val="24"/>
        </w:rPr>
        <w:t>Hours current PET/MR scan is available for clinical use.</w:t>
      </w:r>
    </w:p>
    <w:p w14:paraId="60293A23" w14:textId="616952E7" w:rsidR="541DD8FF" w:rsidRPr="002278E9" w:rsidRDefault="541DD8FF" w:rsidP="541DD8FF">
      <w:pPr>
        <w:pStyle w:val="Heading1"/>
        <w:ind w:left="0"/>
      </w:pPr>
    </w:p>
    <w:p w14:paraId="755716AD" w14:textId="410B7333" w:rsidR="45E87C85" w:rsidRPr="002278E9" w:rsidRDefault="45E87C85">
      <w:pPr>
        <w:rPr>
          <w:sz w:val="24"/>
          <w:szCs w:val="24"/>
        </w:rPr>
      </w:pPr>
    </w:p>
    <w:p w14:paraId="2B03AF33" w14:textId="68619F87" w:rsidR="01B65AB8" w:rsidRDefault="01B65AB8">
      <w:r>
        <w:br w:type="page"/>
      </w:r>
    </w:p>
    <w:p w14:paraId="56D96EAF" w14:textId="7C6A890E" w:rsidR="008F4656" w:rsidRPr="006577F8" w:rsidRDefault="006577F8" w:rsidP="006577F8">
      <w:pPr>
        <w:pStyle w:val="Heading1"/>
        <w:ind w:left="0"/>
      </w:pPr>
      <w:r>
        <w:lastRenderedPageBreak/>
        <w:t xml:space="preserve">Appendix </w:t>
      </w:r>
      <w:r w:rsidRPr="006577F8">
        <w:t xml:space="preserve">II: </w:t>
      </w:r>
      <w:r w:rsidR="0080384A" w:rsidRPr="006577F8">
        <w:t xml:space="preserve">Data Provided </w:t>
      </w:r>
      <w:r w:rsidR="0059747F" w:rsidRPr="006577F8">
        <w:t xml:space="preserve">in Accordance with </w:t>
      </w:r>
      <w:r w:rsidR="0080384A" w:rsidRPr="006577F8">
        <w:t>Condition</w:t>
      </w:r>
      <w:r w:rsidR="0080384A" w:rsidRPr="009E20FA">
        <w:t xml:space="preserve"> 2 </w:t>
      </w:r>
      <w:r w:rsidR="00F72292">
        <w:t>A</w:t>
      </w:r>
      <w:r w:rsidR="0080384A" w:rsidRPr="009E20FA">
        <w:t xml:space="preserve">s </w:t>
      </w:r>
      <w:r w:rsidR="00F72292">
        <w:t>A</w:t>
      </w:r>
      <w:r w:rsidR="0080384A" w:rsidRPr="009E20FA">
        <w:t xml:space="preserve">pproved </w:t>
      </w:r>
      <w:r w:rsidR="00F72292">
        <w:t>in</w:t>
      </w:r>
      <w:r w:rsidR="0080384A" w:rsidRPr="009E20FA">
        <w:t xml:space="preserve"> Original </w:t>
      </w:r>
      <w:proofErr w:type="spellStart"/>
      <w:r w:rsidR="0080384A" w:rsidRPr="009E20FA">
        <w:t>DoN</w:t>
      </w:r>
      <w:proofErr w:type="spellEnd"/>
      <w:r w:rsidR="0080384A" w:rsidRPr="009E20FA">
        <w:t xml:space="preserve"> </w:t>
      </w:r>
    </w:p>
    <w:p w14:paraId="53270EFC" w14:textId="6EE43BF8" w:rsidR="008F4656" w:rsidRPr="002278E9" w:rsidRDefault="008F4656" w:rsidP="002278E9">
      <w:pPr>
        <w:pStyle w:val="Default"/>
        <w:spacing w:after="120"/>
        <w:rPr>
          <w:rFonts w:asciiTheme="minorHAnsi" w:hAnsiTheme="minorHAnsi" w:cstheme="minorHAnsi"/>
        </w:rPr>
      </w:pPr>
      <w:r w:rsidRPr="008F4656">
        <w:rPr>
          <w:rFonts w:asciiTheme="minorHAnsi" w:hAnsiTheme="minorHAnsi" w:cstheme="minorHAnsi"/>
        </w:rPr>
        <w:t xml:space="preserve">In compliance with the conditions of the Determination of Need # MGB-20121612-HE, the Holder </w:t>
      </w:r>
      <w:r>
        <w:rPr>
          <w:rFonts w:asciiTheme="minorHAnsi" w:hAnsiTheme="minorHAnsi" w:cstheme="minorHAnsi"/>
        </w:rPr>
        <w:t>submitted</w:t>
      </w:r>
      <w:r w:rsidRPr="008F4656">
        <w:rPr>
          <w:rFonts w:asciiTheme="minorHAnsi" w:hAnsiTheme="minorHAnsi" w:cstheme="minorHAnsi"/>
        </w:rPr>
        <w:t xml:space="preserve"> the following information in support of the Proposed Change.  </w:t>
      </w:r>
    </w:p>
    <w:p w14:paraId="3B3C8B1A" w14:textId="77777777" w:rsidR="00762CBD" w:rsidRPr="0080534A" w:rsidRDefault="00762CBD" w:rsidP="008F4656">
      <w:pPr>
        <w:adjustRightInd w:val="0"/>
        <w:spacing w:after="120"/>
        <w:jc w:val="both"/>
      </w:pPr>
    </w:p>
    <w:p w14:paraId="1C76B197" w14:textId="77777777" w:rsidR="008F4656" w:rsidRPr="002278E9" w:rsidRDefault="008F4656" w:rsidP="008F4656">
      <w:pPr>
        <w:pStyle w:val="ListParagraph"/>
        <w:widowControl/>
        <w:numPr>
          <w:ilvl w:val="0"/>
          <w:numId w:val="57"/>
        </w:numPr>
        <w:adjustRightInd w:val="0"/>
        <w:spacing w:after="120"/>
        <w:jc w:val="both"/>
        <w:rPr>
          <w:rFonts w:asciiTheme="minorHAnsi" w:hAnsiTheme="minorHAnsi" w:cstheme="minorHAnsi"/>
          <w:b/>
          <w:bCs/>
          <w:sz w:val="24"/>
          <w:szCs w:val="24"/>
        </w:rPr>
      </w:pPr>
      <w:r w:rsidRPr="002278E9">
        <w:rPr>
          <w:rFonts w:asciiTheme="minorHAnsi" w:hAnsiTheme="minorHAnsi" w:cstheme="minorHAnsi"/>
          <w:b/>
          <w:bCs/>
          <w:sz w:val="24"/>
          <w:szCs w:val="24"/>
        </w:rPr>
        <w:t xml:space="preserve">Emergency Department (ED) boarders waiting for a medical/surgical (M/S) bed including: </w:t>
      </w:r>
    </w:p>
    <w:p w14:paraId="1087B1BE" w14:textId="77777777" w:rsidR="008F4656" w:rsidRPr="002278E9" w:rsidRDefault="008F4656" w:rsidP="008F4656">
      <w:pPr>
        <w:pStyle w:val="ListParagraph"/>
        <w:widowControl/>
        <w:numPr>
          <w:ilvl w:val="1"/>
          <w:numId w:val="57"/>
        </w:numPr>
        <w:adjustRightInd w:val="0"/>
        <w:spacing w:after="120"/>
        <w:jc w:val="both"/>
        <w:rPr>
          <w:rFonts w:asciiTheme="minorHAnsi" w:hAnsiTheme="minorHAnsi" w:cstheme="minorHAnsi"/>
          <w:b/>
          <w:bCs/>
          <w:sz w:val="24"/>
          <w:szCs w:val="24"/>
        </w:rPr>
      </w:pPr>
      <w:r w:rsidRPr="002278E9">
        <w:rPr>
          <w:rFonts w:asciiTheme="minorHAnsi" w:hAnsiTheme="minorHAnsi" w:cstheme="minorHAnsi"/>
          <w:b/>
          <w:bCs/>
          <w:sz w:val="24"/>
          <w:szCs w:val="24"/>
        </w:rPr>
        <w:t xml:space="preserve">Number of patients and length of stay: </w:t>
      </w:r>
      <w:r w:rsidRPr="002278E9">
        <w:rPr>
          <w:rFonts w:asciiTheme="minorHAnsi" w:hAnsiTheme="minorHAnsi" w:cstheme="minorHAnsi"/>
          <w:sz w:val="24"/>
          <w:szCs w:val="24"/>
        </w:rPr>
        <w:t>24,388 patients, with an average length of stay of 15.5 hours in FY23.</w:t>
      </w:r>
    </w:p>
    <w:p w14:paraId="40BA8F3B" w14:textId="77777777" w:rsidR="008F4656" w:rsidRPr="002278E9" w:rsidRDefault="008F4656" w:rsidP="008F4656">
      <w:pPr>
        <w:pStyle w:val="ListParagraph"/>
        <w:widowControl/>
        <w:numPr>
          <w:ilvl w:val="1"/>
          <w:numId w:val="57"/>
        </w:numPr>
        <w:adjustRightInd w:val="0"/>
        <w:spacing w:after="120"/>
        <w:jc w:val="both"/>
        <w:rPr>
          <w:rFonts w:asciiTheme="minorHAnsi" w:hAnsiTheme="minorHAnsi" w:cstheme="minorHAnsi"/>
          <w:b/>
          <w:bCs/>
          <w:sz w:val="24"/>
          <w:szCs w:val="24"/>
        </w:rPr>
      </w:pPr>
      <w:r w:rsidRPr="002278E9">
        <w:rPr>
          <w:rFonts w:asciiTheme="minorHAnsi" w:hAnsiTheme="minorHAnsi" w:cstheme="minorHAnsi"/>
          <w:b/>
          <w:bCs/>
          <w:sz w:val="24"/>
          <w:szCs w:val="24"/>
        </w:rPr>
        <w:t xml:space="preserve">Location of bed (inpatient or observation): </w:t>
      </w:r>
      <w:r w:rsidRPr="002278E9">
        <w:rPr>
          <w:rFonts w:asciiTheme="minorHAnsi" w:hAnsiTheme="minorHAnsi" w:cstheme="minorHAnsi"/>
          <w:sz w:val="24"/>
          <w:szCs w:val="24"/>
        </w:rPr>
        <w:t xml:space="preserve">By definition, a “boarder” has a written order for inpatient admission, meaning that all 24,388 patients are inpatients.   </w:t>
      </w:r>
    </w:p>
    <w:p w14:paraId="50158FAB" w14:textId="77777777" w:rsidR="008F4656" w:rsidRPr="002278E9" w:rsidRDefault="008F4656" w:rsidP="008F4656">
      <w:pPr>
        <w:adjustRightInd w:val="0"/>
        <w:spacing w:after="120"/>
        <w:jc w:val="both"/>
        <w:rPr>
          <w:rFonts w:asciiTheme="minorHAnsi" w:hAnsiTheme="minorHAnsi" w:cstheme="minorHAnsi"/>
          <w:b/>
          <w:bCs/>
          <w:sz w:val="24"/>
          <w:szCs w:val="24"/>
        </w:rPr>
      </w:pPr>
    </w:p>
    <w:p w14:paraId="663566AA" w14:textId="77777777" w:rsidR="008F4656" w:rsidRPr="002278E9" w:rsidRDefault="008F4656" w:rsidP="008F4656">
      <w:pPr>
        <w:pStyle w:val="ListParagraph"/>
        <w:widowControl/>
        <w:numPr>
          <w:ilvl w:val="0"/>
          <w:numId w:val="57"/>
        </w:numPr>
        <w:adjustRightInd w:val="0"/>
        <w:spacing w:after="120"/>
        <w:jc w:val="both"/>
        <w:rPr>
          <w:rFonts w:asciiTheme="minorHAnsi" w:hAnsiTheme="minorHAnsi" w:cstheme="minorHAnsi"/>
          <w:b/>
          <w:bCs/>
          <w:sz w:val="24"/>
          <w:szCs w:val="24"/>
        </w:rPr>
      </w:pPr>
      <w:r w:rsidRPr="002278E9">
        <w:rPr>
          <w:rFonts w:asciiTheme="minorHAnsi" w:hAnsiTheme="minorHAnsi" w:cstheme="minorHAnsi"/>
          <w:b/>
          <w:bCs/>
          <w:sz w:val="24"/>
          <w:szCs w:val="24"/>
        </w:rPr>
        <w:t xml:space="preserve">Post-Acute Care Unit (PACU) patient data including: </w:t>
      </w:r>
    </w:p>
    <w:p w14:paraId="29B075E7" w14:textId="77777777" w:rsidR="008F4656" w:rsidRPr="002278E9" w:rsidRDefault="008F4656" w:rsidP="008F4656">
      <w:pPr>
        <w:pStyle w:val="ListParagraph"/>
        <w:widowControl/>
        <w:numPr>
          <w:ilvl w:val="1"/>
          <w:numId w:val="57"/>
        </w:numPr>
        <w:adjustRightInd w:val="0"/>
        <w:spacing w:after="120"/>
        <w:jc w:val="both"/>
        <w:rPr>
          <w:rFonts w:asciiTheme="minorHAnsi" w:hAnsiTheme="minorHAnsi" w:cstheme="minorHAnsi"/>
          <w:b/>
          <w:bCs/>
          <w:sz w:val="24"/>
          <w:szCs w:val="24"/>
        </w:rPr>
      </w:pPr>
      <w:r w:rsidRPr="002278E9">
        <w:rPr>
          <w:rFonts w:asciiTheme="minorHAnsi" w:hAnsiTheme="minorHAnsi" w:cstheme="minorHAnsi"/>
          <w:b/>
          <w:bCs/>
          <w:sz w:val="24"/>
          <w:szCs w:val="24"/>
        </w:rPr>
        <w:t xml:space="preserve">Number of patients and length of stay: </w:t>
      </w:r>
      <w:r w:rsidRPr="002278E9">
        <w:rPr>
          <w:rFonts w:asciiTheme="minorHAnsi" w:hAnsiTheme="minorHAnsi" w:cstheme="minorHAnsi"/>
          <w:sz w:val="24"/>
          <w:szCs w:val="24"/>
        </w:rPr>
        <w:t xml:space="preserve">4,799 patients with an average length of stay of 17.1 hours. </w:t>
      </w:r>
    </w:p>
    <w:p w14:paraId="71A7F934" w14:textId="77777777" w:rsidR="008F4656" w:rsidRPr="002278E9" w:rsidRDefault="008F4656" w:rsidP="008F4656">
      <w:pPr>
        <w:pStyle w:val="ListParagraph"/>
        <w:widowControl/>
        <w:numPr>
          <w:ilvl w:val="1"/>
          <w:numId w:val="57"/>
        </w:numPr>
        <w:adjustRightInd w:val="0"/>
        <w:spacing w:after="120"/>
        <w:jc w:val="both"/>
        <w:rPr>
          <w:rFonts w:asciiTheme="minorHAnsi" w:hAnsiTheme="minorHAnsi" w:cstheme="minorHAnsi"/>
          <w:b/>
          <w:bCs/>
          <w:sz w:val="24"/>
          <w:szCs w:val="24"/>
        </w:rPr>
      </w:pPr>
      <w:r w:rsidRPr="002278E9">
        <w:rPr>
          <w:rFonts w:asciiTheme="minorHAnsi" w:hAnsiTheme="minorHAnsi" w:cstheme="minorHAnsi"/>
          <w:b/>
          <w:bCs/>
          <w:sz w:val="24"/>
          <w:szCs w:val="24"/>
        </w:rPr>
        <w:t xml:space="preserve">Location of bed (inpatient or observation): </w:t>
      </w:r>
      <w:r w:rsidRPr="002278E9">
        <w:rPr>
          <w:rFonts w:asciiTheme="minorHAnsi" w:hAnsiTheme="minorHAnsi" w:cstheme="minorHAnsi"/>
          <w:sz w:val="24"/>
          <w:szCs w:val="24"/>
        </w:rPr>
        <w:t xml:space="preserve">By definition, a “boarder” has a written order for inpatient admission, meaning that all 4,799 patients are inpatients.   </w:t>
      </w:r>
    </w:p>
    <w:p w14:paraId="54103B5F" w14:textId="77777777" w:rsidR="008F4656" w:rsidRPr="002278E9" w:rsidRDefault="008F4656" w:rsidP="008F4656">
      <w:pPr>
        <w:adjustRightInd w:val="0"/>
        <w:spacing w:after="120"/>
        <w:jc w:val="both"/>
        <w:rPr>
          <w:rFonts w:asciiTheme="minorHAnsi" w:hAnsiTheme="minorHAnsi" w:cstheme="minorHAnsi"/>
          <w:b/>
          <w:bCs/>
          <w:sz w:val="24"/>
          <w:szCs w:val="24"/>
        </w:rPr>
      </w:pPr>
    </w:p>
    <w:p w14:paraId="0DC2928B" w14:textId="77777777" w:rsidR="008F4656" w:rsidRPr="002278E9" w:rsidRDefault="008F4656" w:rsidP="008F4656">
      <w:pPr>
        <w:pStyle w:val="ListParagraph"/>
        <w:widowControl/>
        <w:numPr>
          <w:ilvl w:val="0"/>
          <w:numId w:val="57"/>
        </w:numPr>
        <w:adjustRightInd w:val="0"/>
        <w:spacing w:after="120"/>
        <w:jc w:val="both"/>
        <w:rPr>
          <w:rFonts w:asciiTheme="minorHAnsi" w:hAnsiTheme="minorHAnsi" w:cstheme="minorHAnsi"/>
          <w:b/>
          <w:bCs/>
          <w:sz w:val="24"/>
          <w:szCs w:val="24"/>
        </w:rPr>
      </w:pPr>
      <w:r w:rsidRPr="002278E9">
        <w:rPr>
          <w:rFonts w:asciiTheme="minorHAnsi" w:hAnsiTheme="minorHAnsi" w:cstheme="minorHAnsi"/>
          <w:b/>
          <w:bCs/>
          <w:sz w:val="24"/>
          <w:szCs w:val="24"/>
        </w:rPr>
        <w:t xml:space="preserve">Average daily number of blocked M/S beds: </w:t>
      </w:r>
      <w:r w:rsidRPr="002278E9">
        <w:rPr>
          <w:rFonts w:asciiTheme="minorHAnsi" w:hAnsiTheme="minorHAnsi" w:cstheme="minorHAnsi"/>
          <w:sz w:val="24"/>
          <w:szCs w:val="24"/>
        </w:rPr>
        <w:t>The average number of blocked beds is 40 beds, with a range of 32-75 beds. 134 days in FY23 had 50 or more blocked M/S beds.</w:t>
      </w:r>
    </w:p>
    <w:p w14:paraId="7C7C889A" w14:textId="77777777" w:rsidR="008F4656" w:rsidRPr="002278E9" w:rsidRDefault="008F4656" w:rsidP="008F4656">
      <w:pPr>
        <w:adjustRightInd w:val="0"/>
        <w:spacing w:after="120"/>
        <w:jc w:val="both"/>
        <w:rPr>
          <w:rFonts w:asciiTheme="minorHAnsi" w:hAnsiTheme="minorHAnsi" w:cstheme="minorHAnsi"/>
          <w:b/>
          <w:bCs/>
          <w:sz w:val="24"/>
          <w:szCs w:val="24"/>
        </w:rPr>
      </w:pPr>
    </w:p>
    <w:p w14:paraId="50917F4B" w14:textId="77777777" w:rsidR="008F4656" w:rsidRPr="002278E9" w:rsidRDefault="008F4656" w:rsidP="008F4656">
      <w:pPr>
        <w:pStyle w:val="ListParagraph"/>
        <w:widowControl/>
        <w:numPr>
          <w:ilvl w:val="0"/>
          <w:numId w:val="57"/>
        </w:numPr>
        <w:adjustRightInd w:val="0"/>
        <w:spacing w:after="120"/>
        <w:jc w:val="both"/>
        <w:rPr>
          <w:rFonts w:asciiTheme="minorHAnsi" w:hAnsiTheme="minorHAnsi" w:cstheme="minorHAnsi"/>
          <w:b/>
          <w:bCs/>
          <w:sz w:val="24"/>
          <w:szCs w:val="24"/>
        </w:rPr>
      </w:pPr>
      <w:bookmarkStart w:id="2" w:name="_Hlk157368344"/>
      <w:r w:rsidRPr="002278E9">
        <w:rPr>
          <w:rFonts w:asciiTheme="minorHAnsi" w:hAnsiTheme="minorHAnsi" w:cstheme="minorHAnsi"/>
          <w:b/>
          <w:bCs/>
          <w:sz w:val="24"/>
          <w:szCs w:val="24"/>
        </w:rPr>
        <w:t xml:space="preserve">Percentage (with numerator and denominator) of MGH </w:t>
      </w:r>
      <w:proofErr w:type="spellStart"/>
      <w:r w:rsidRPr="002278E9">
        <w:rPr>
          <w:rFonts w:asciiTheme="minorHAnsi" w:hAnsiTheme="minorHAnsi" w:cstheme="minorHAnsi"/>
          <w:b/>
          <w:bCs/>
          <w:sz w:val="24"/>
          <w:szCs w:val="24"/>
        </w:rPr>
        <w:t>inpatients</w:t>
      </w:r>
      <w:proofErr w:type="spellEnd"/>
      <w:r w:rsidRPr="002278E9">
        <w:rPr>
          <w:rFonts w:asciiTheme="minorHAnsi" w:hAnsiTheme="minorHAnsi" w:cstheme="minorHAnsi"/>
          <w:b/>
          <w:bCs/>
          <w:sz w:val="24"/>
          <w:szCs w:val="24"/>
        </w:rPr>
        <w:t xml:space="preserve"> who were part of MGB’s Patient Panel before their admission to MGH.</w:t>
      </w:r>
    </w:p>
    <w:p w14:paraId="78CD4A1E" w14:textId="77777777" w:rsidR="008F4656" w:rsidRPr="002278E9" w:rsidRDefault="008F4656" w:rsidP="008F4656">
      <w:pPr>
        <w:pStyle w:val="ListParagraph"/>
        <w:rPr>
          <w:rFonts w:asciiTheme="minorHAnsi" w:hAnsiTheme="minorHAnsi" w:cstheme="minorHAnsi"/>
          <w:b/>
          <w:bCs/>
          <w:sz w:val="24"/>
          <w:szCs w:val="24"/>
          <w:highlight w:val="yellow"/>
        </w:rPr>
      </w:pP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030"/>
        <w:gridCol w:w="1260"/>
        <w:gridCol w:w="1350"/>
      </w:tblGrid>
      <w:tr w:rsidR="008F4656" w:rsidRPr="002278E9" w14:paraId="3A767D7F" w14:textId="77777777" w:rsidTr="00D3564F">
        <w:trPr>
          <w:cantSplit/>
          <w:trHeight w:val="288"/>
          <w:tblHeader/>
        </w:trPr>
        <w:tc>
          <w:tcPr>
            <w:tcW w:w="6030" w:type="dxa"/>
            <w:shd w:val="clear" w:color="auto" w:fill="95B3D7" w:themeFill="accent1" w:themeFillTint="99"/>
            <w:noWrap/>
            <w:tcMar>
              <w:top w:w="0" w:type="dxa"/>
              <w:left w:w="108" w:type="dxa"/>
              <w:bottom w:w="0" w:type="dxa"/>
              <w:right w:w="108" w:type="dxa"/>
            </w:tcMar>
            <w:vAlign w:val="bottom"/>
          </w:tcPr>
          <w:p w14:paraId="76A153FC" w14:textId="77777777" w:rsidR="008F4656" w:rsidRPr="002278E9" w:rsidRDefault="008F4656" w:rsidP="00FE53BC">
            <w:pPr>
              <w:rPr>
                <w:rFonts w:asciiTheme="minorHAnsi" w:hAnsiTheme="minorHAnsi" w:cstheme="minorHAnsi"/>
                <w:b/>
                <w:bCs/>
                <w:sz w:val="24"/>
                <w:szCs w:val="24"/>
              </w:rPr>
            </w:pPr>
          </w:p>
        </w:tc>
        <w:tc>
          <w:tcPr>
            <w:tcW w:w="1260" w:type="dxa"/>
            <w:shd w:val="clear" w:color="auto" w:fill="95B3D7" w:themeFill="accent1" w:themeFillTint="99"/>
            <w:noWrap/>
            <w:tcMar>
              <w:top w:w="0" w:type="dxa"/>
              <w:left w:w="108" w:type="dxa"/>
              <w:bottom w:w="0" w:type="dxa"/>
              <w:right w:w="108" w:type="dxa"/>
            </w:tcMar>
            <w:vAlign w:val="bottom"/>
          </w:tcPr>
          <w:p w14:paraId="261FEAC0" w14:textId="77777777" w:rsidR="008F4656" w:rsidRPr="002278E9" w:rsidRDefault="008F4656" w:rsidP="00FE53BC">
            <w:pPr>
              <w:jc w:val="center"/>
              <w:rPr>
                <w:rFonts w:asciiTheme="minorHAnsi" w:hAnsiTheme="minorHAnsi" w:cstheme="minorHAnsi"/>
                <w:b/>
                <w:bCs/>
                <w:sz w:val="24"/>
                <w:szCs w:val="24"/>
              </w:rPr>
            </w:pPr>
            <w:r w:rsidRPr="002278E9">
              <w:rPr>
                <w:rFonts w:asciiTheme="minorHAnsi" w:hAnsiTheme="minorHAnsi" w:cstheme="minorHAnsi"/>
                <w:b/>
                <w:bCs/>
                <w:sz w:val="24"/>
                <w:szCs w:val="24"/>
              </w:rPr>
              <w:t>FY22</w:t>
            </w:r>
          </w:p>
        </w:tc>
        <w:tc>
          <w:tcPr>
            <w:tcW w:w="1350" w:type="dxa"/>
            <w:shd w:val="clear" w:color="auto" w:fill="95B3D7" w:themeFill="accent1" w:themeFillTint="99"/>
            <w:noWrap/>
            <w:tcMar>
              <w:top w:w="0" w:type="dxa"/>
              <w:left w:w="108" w:type="dxa"/>
              <w:bottom w:w="0" w:type="dxa"/>
              <w:right w:w="108" w:type="dxa"/>
            </w:tcMar>
            <w:vAlign w:val="bottom"/>
          </w:tcPr>
          <w:p w14:paraId="317D997F" w14:textId="77777777" w:rsidR="008F4656" w:rsidRPr="002278E9" w:rsidRDefault="008F4656" w:rsidP="00FE53BC">
            <w:pPr>
              <w:jc w:val="center"/>
              <w:rPr>
                <w:rFonts w:asciiTheme="minorHAnsi" w:hAnsiTheme="minorHAnsi" w:cstheme="minorHAnsi"/>
                <w:b/>
                <w:bCs/>
                <w:sz w:val="24"/>
                <w:szCs w:val="24"/>
              </w:rPr>
            </w:pPr>
            <w:r w:rsidRPr="002278E9">
              <w:rPr>
                <w:rFonts w:asciiTheme="minorHAnsi" w:hAnsiTheme="minorHAnsi" w:cstheme="minorHAnsi"/>
                <w:b/>
                <w:bCs/>
                <w:sz w:val="24"/>
                <w:szCs w:val="24"/>
              </w:rPr>
              <w:t>FY23</w:t>
            </w:r>
          </w:p>
        </w:tc>
      </w:tr>
      <w:tr w:rsidR="008F4656" w:rsidRPr="002278E9" w14:paraId="11D337E8" w14:textId="77777777" w:rsidTr="00D3564F">
        <w:trPr>
          <w:cantSplit/>
          <w:trHeight w:val="288"/>
        </w:trPr>
        <w:tc>
          <w:tcPr>
            <w:tcW w:w="6030" w:type="dxa"/>
            <w:shd w:val="clear" w:color="auto" w:fill="DBE5F1" w:themeFill="accent1" w:themeFillTint="33"/>
            <w:noWrap/>
            <w:tcMar>
              <w:top w:w="0" w:type="dxa"/>
              <w:left w:w="108" w:type="dxa"/>
              <w:bottom w:w="0" w:type="dxa"/>
              <w:right w:w="108" w:type="dxa"/>
            </w:tcMar>
            <w:vAlign w:val="bottom"/>
            <w:hideMark/>
          </w:tcPr>
          <w:p w14:paraId="6EB93B3D" w14:textId="77777777" w:rsidR="008F4656" w:rsidRPr="002278E9" w:rsidRDefault="008F4656" w:rsidP="00FE53BC">
            <w:pPr>
              <w:rPr>
                <w:rFonts w:asciiTheme="minorHAnsi" w:hAnsiTheme="minorHAnsi" w:cstheme="minorHAnsi"/>
                <w:b/>
                <w:bCs/>
                <w:sz w:val="24"/>
                <w:szCs w:val="24"/>
              </w:rPr>
            </w:pPr>
            <w:r w:rsidRPr="002278E9">
              <w:rPr>
                <w:rFonts w:asciiTheme="minorHAnsi" w:hAnsiTheme="minorHAnsi" w:cstheme="minorHAnsi"/>
                <w:b/>
                <w:bCs/>
                <w:sz w:val="24"/>
                <w:szCs w:val="24"/>
              </w:rPr>
              <w:t xml:space="preserve">Unique Inpatients </w:t>
            </w:r>
          </w:p>
        </w:tc>
        <w:tc>
          <w:tcPr>
            <w:tcW w:w="1260" w:type="dxa"/>
            <w:shd w:val="clear" w:color="auto" w:fill="FFFFFF"/>
            <w:noWrap/>
            <w:tcMar>
              <w:top w:w="0" w:type="dxa"/>
              <w:left w:w="108" w:type="dxa"/>
              <w:bottom w:w="0" w:type="dxa"/>
              <w:right w:w="108" w:type="dxa"/>
            </w:tcMar>
            <w:vAlign w:val="bottom"/>
            <w:hideMark/>
          </w:tcPr>
          <w:p w14:paraId="532285A6" w14:textId="77777777" w:rsidR="008F4656" w:rsidRPr="002278E9" w:rsidRDefault="008F4656" w:rsidP="00FE53BC">
            <w:pPr>
              <w:jc w:val="center"/>
              <w:rPr>
                <w:rFonts w:asciiTheme="minorHAnsi" w:hAnsiTheme="minorHAnsi" w:cstheme="minorHAnsi"/>
                <w:sz w:val="24"/>
                <w:szCs w:val="24"/>
              </w:rPr>
            </w:pPr>
            <w:r w:rsidRPr="002278E9">
              <w:rPr>
                <w:rFonts w:asciiTheme="minorHAnsi" w:hAnsiTheme="minorHAnsi" w:cstheme="minorHAnsi"/>
                <w:sz w:val="24"/>
                <w:szCs w:val="24"/>
              </w:rPr>
              <w:t>37,265</w:t>
            </w:r>
          </w:p>
        </w:tc>
        <w:tc>
          <w:tcPr>
            <w:tcW w:w="1350" w:type="dxa"/>
            <w:shd w:val="clear" w:color="auto" w:fill="FFFFFF"/>
            <w:noWrap/>
            <w:tcMar>
              <w:top w:w="0" w:type="dxa"/>
              <w:left w:w="108" w:type="dxa"/>
              <w:bottom w:w="0" w:type="dxa"/>
              <w:right w:w="108" w:type="dxa"/>
            </w:tcMar>
            <w:vAlign w:val="bottom"/>
            <w:hideMark/>
          </w:tcPr>
          <w:p w14:paraId="6E6E201F" w14:textId="77777777" w:rsidR="008F4656" w:rsidRPr="002278E9" w:rsidRDefault="008F4656" w:rsidP="00FE53BC">
            <w:pPr>
              <w:jc w:val="center"/>
              <w:rPr>
                <w:rFonts w:asciiTheme="minorHAnsi" w:hAnsiTheme="minorHAnsi" w:cstheme="minorHAnsi"/>
                <w:sz w:val="24"/>
                <w:szCs w:val="24"/>
              </w:rPr>
            </w:pPr>
            <w:r w:rsidRPr="002278E9">
              <w:rPr>
                <w:rFonts w:asciiTheme="minorHAnsi" w:hAnsiTheme="minorHAnsi" w:cstheme="minorHAnsi"/>
                <w:sz w:val="24"/>
                <w:szCs w:val="24"/>
              </w:rPr>
              <w:t>37,722</w:t>
            </w:r>
          </w:p>
        </w:tc>
      </w:tr>
      <w:tr w:rsidR="008F4656" w:rsidRPr="002278E9" w14:paraId="18090049" w14:textId="77777777" w:rsidTr="00D3564F">
        <w:trPr>
          <w:cantSplit/>
          <w:trHeight w:val="288"/>
        </w:trPr>
        <w:tc>
          <w:tcPr>
            <w:tcW w:w="6030" w:type="dxa"/>
            <w:shd w:val="clear" w:color="auto" w:fill="DBE5F1" w:themeFill="accent1" w:themeFillTint="33"/>
            <w:noWrap/>
            <w:tcMar>
              <w:top w:w="0" w:type="dxa"/>
              <w:left w:w="108" w:type="dxa"/>
              <w:bottom w:w="0" w:type="dxa"/>
              <w:right w:w="108" w:type="dxa"/>
            </w:tcMar>
            <w:vAlign w:val="bottom"/>
            <w:hideMark/>
          </w:tcPr>
          <w:p w14:paraId="6F146F75" w14:textId="77777777" w:rsidR="008F4656" w:rsidRPr="002278E9" w:rsidRDefault="008F4656" w:rsidP="00FE53BC">
            <w:pPr>
              <w:rPr>
                <w:rFonts w:asciiTheme="minorHAnsi" w:hAnsiTheme="minorHAnsi" w:cstheme="minorHAnsi"/>
                <w:b/>
                <w:bCs/>
                <w:sz w:val="24"/>
                <w:szCs w:val="24"/>
              </w:rPr>
            </w:pPr>
            <w:r w:rsidRPr="002278E9">
              <w:rPr>
                <w:rFonts w:asciiTheme="minorHAnsi" w:hAnsiTheme="minorHAnsi" w:cstheme="minorHAnsi"/>
                <w:b/>
                <w:bCs/>
                <w:sz w:val="24"/>
                <w:szCs w:val="24"/>
              </w:rPr>
              <w:t xml:space="preserve">MGB Panel </w:t>
            </w:r>
          </w:p>
        </w:tc>
        <w:tc>
          <w:tcPr>
            <w:tcW w:w="1260" w:type="dxa"/>
            <w:shd w:val="clear" w:color="auto" w:fill="FFFFFF"/>
            <w:noWrap/>
            <w:tcMar>
              <w:top w:w="0" w:type="dxa"/>
              <w:left w:w="108" w:type="dxa"/>
              <w:bottom w:w="0" w:type="dxa"/>
              <w:right w:w="108" w:type="dxa"/>
            </w:tcMar>
            <w:vAlign w:val="bottom"/>
            <w:hideMark/>
          </w:tcPr>
          <w:p w14:paraId="7E04D3D6" w14:textId="77777777" w:rsidR="008F4656" w:rsidRPr="002278E9" w:rsidRDefault="008F4656" w:rsidP="00FE53BC">
            <w:pPr>
              <w:jc w:val="center"/>
              <w:rPr>
                <w:rFonts w:asciiTheme="minorHAnsi" w:hAnsiTheme="minorHAnsi" w:cstheme="minorHAnsi"/>
                <w:sz w:val="24"/>
                <w:szCs w:val="24"/>
              </w:rPr>
            </w:pPr>
            <w:r w:rsidRPr="002278E9">
              <w:rPr>
                <w:rFonts w:asciiTheme="minorHAnsi" w:hAnsiTheme="minorHAnsi" w:cstheme="minorHAnsi"/>
                <w:sz w:val="24"/>
                <w:szCs w:val="24"/>
              </w:rPr>
              <w:t>23,157</w:t>
            </w:r>
          </w:p>
        </w:tc>
        <w:tc>
          <w:tcPr>
            <w:tcW w:w="1350" w:type="dxa"/>
            <w:shd w:val="clear" w:color="auto" w:fill="FFFFFF"/>
            <w:noWrap/>
            <w:tcMar>
              <w:top w:w="0" w:type="dxa"/>
              <w:left w:w="108" w:type="dxa"/>
              <w:bottom w:w="0" w:type="dxa"/>
              <w:right w:w="108" w:type="dxa"/>
            </w:tcMar>
            <w:vAlign w:val="bottom"/>
            <w:hideMark/>
          </w:tcPr>
          <w:p w14:paraId="1A3FAE28" w14:textId="77777777" w:rsidR="008F4656" w:rsidRPr="002278E9" w:rsidRDefault="008F4656" w:rsidP="00FE53BC">
            <w:pPr>
              <w:jc w:val="center"/>
              <w:rPr>
                <w:rFonts w:asciiTheme="minorHAnsi" w:hAnsiTheme="minorHAnsi" w:cstheme="minorHAnsi"/>
                <w:sz w:val="24"/>
                <w:szCs w:val="24"/>
              </w:rPr>
            </w:pPr>
            <w:r w:rsidRPr="002278E9">
              <w:rPr>
                <w:rFonts w:asciiTheme="minorHAnsi" w:hAnsiTheme="minorHAnsi" w:cstheme="minorHAnsi"/>
                <w:sz w:val="24"/>
                <w:szCs w:val="24"/>
              </w:rPr>
              <w:t>23,786</w:t>
            </w:r>
          </w:p>
        </w:tc>
      </w:tr>
      <w:tr w:rsidR="008F4656" w:rsidRPr="002278E9" w14:paraId="69C319E2" w14:textId="77777777" w:rsidTr="00D3564F">
        <w:trPr>
          <w:cantSplit/>
          <w:trHeight w:val="288"/>
        </w:trPr>
        <w:tc>
          <w:tcPr>
            <w:tcW w:w="6030" w:type="dxa"/>
            <w:shd w:val="clear" w:color="auto" w:fill="DBE5F1" w:themeFill="accent1" w:themeFillTint="33"/>
            <w:noWrap/>
            <w:tcMar>
              <w:top w:w="0" w:type="dxa"/>
              <w:left w:w="108" w:type="dxa"/>
              <w:bottom w:w="0" w:type="dxa"/>
              <w:right w:w="108" w:type="dxa"/>
            </w:tcMar>
            <w:vAlign w:val="bottom"/>
            <w:hideMark/>
          </w:tcPr>
          <w:p w14:paraId="2C5CBC80" w14:textId="77777777" w:rsidR="008F4656" w:rsidRPr="002278E9" w:rsidRDefault="008F4656" w:rsidP="00FE53BC">
            <w:pPr>
              <w:rPr>
                <w:rFonts w:asciiTheme="minorHAnsi" w:hAnsiTheme="minorHAnsi" w:cstheme="minorHAnsi"/>
                <w:b/>
                <w:bCs/>
                <w:sz w:val="24"/>
                <w:szCs w:val="24"/>
              </w:rPr>
            </w:pPr>
            <w:r w:rsidRPr="002278E9">
              <w:rPr>
                <w:rFonts w:asciiTheme="minorHAnsi" w:hAnsiTheme="minorHAnsi" w:cstheme="minorHAnsi"/>
                <w:b/>
                <w:bCs/>
                <w:sz w:val="24"/>
                <w:szCs w:val="24"/>
              </w:rPr>
              <w:t xml:space="preserve">Percent of MGH </w:t>
            </w:r>
            <w:proofErr w:type="spellStart"/>
            <w:r w:rsidRPr="002278E9">
              <w:rPr>
                <w:rFonts w:asciiTheme="minorHAnsi" w:hAnsiTheme="minorHAnsi" w:cstheme="minorHAnsi"/>
                <w:b/>
                <w:bCs/>
                <w:sz w:val="24"/>
                <w:szCs w:val="24"/>
              </w:rPr>
              <w:t>inpatients</w:t>
            </w:r>
            <w:proofErr w:type="spellEnd"/>
            <w:r w:rsidRPr="002278E9">
              <w:rPr>
                <w:rFonts w:asciiTheme="minorHAnsi" w:hAnsiTheme="minorHAnsi" w:cstheme="minorHAnsi"/>
                <w:b/>
                <w:bCs/>
                <w:sz w:val="24"/>
                <w:szCs w:val="24"/>
              </w:rPr>
              <w:t xml:space="preserve"> who were part of MGB’s Patient Panel before their MGH admission</w:t>
            </w:r>
          </w:p>
        </w:tc>
        <w:tc>
          <w:tcPr>
            <w:tcW w:w="1260" w:type="dxa"/>
            <w:shd w:val="clear" w:color="auto" w:fill="FFFFFF"/>
            <w:noWrap/>
            <w:tcMar>
              <w:top w:w="0" w:type="dxa"/>
              <w:left w:w="108" w:type="dxa"/>
              <w:bottom w:w="0" w:type="dxa"/>
              <w:right w:w="108" w:type="dxa"/>
            </w:tcMar>
            <w:vAlign w:val="bottom"/>
            <w:hideMark/>
          </w:tcPr>
          <w:p w14:paraId="7CB83504" w14:textId="77777777" w:rsidR="008F4656" w:rsidRPr="002278E9" w:rsidRDefault="008F4656" w:rsidP="00FE53BC">
            <w:pPr>
              <w:jc w:val="center"/>
              <w:rPr>
                <w:rFonts w:asciiTheme="minorHAnsi" w:hAnsiTheme="minorHAnsi" w:cstheme="minorHAnsi"/>
                <w:sz w:val="24"/>
                <w:szCs w:val="24"/>
              </w:rPr>
            </w:pPr>
            <w:r w:rsidRPr="002278E9">
              <w:rPr>
                <w:rFonts w:asciiTheme="minorHAnsi" w:hAnsiTheme="minorHAnsi" w:cstheme="minorHAnsi"/>
                <w:sz w:val="24"/>
                <w:szCs w:val="24"/>
              </w:rPr>
              <w:t>62%</w:t>
            </w:r>
          </w:p>
        </w:tc>
        <w:tc>
          <w:tcPr>
            <w:tcW w:w="1350" w:type="dxa"/>
            <w:shd w:val="clear" w:color="auto" w:fill="FFFFFF"/>
            <w:noWrap/>
            <w:tcMar>
              <w:top w:w="0" w:type="dxa"/>
              <w:left w:w="108" w:type="dxa"/>
              <w:bottom w:w="0" w:type="dxa"/>
              <w:right w:w="108" w:type="dxa"/>
            </w:tcMar>
            <w:vAlign w:val="bottom"/>
            <w:hideMark/>
          </w:tcPr>
          <w:p w14:paraId="41D6D556" w14:textId="77777777" w:rsidR="008F4656" w:rsidRPr="002278E9" w:rsidRDefault="008F4656" w:rsidP="00FE53BC">
            <w:pPr>
              <w:jc w:val="center"/>
              <w:rPr>
                <w:rFonts w:asciiTheme="minorHAnsi" w:hAnsiTheme="minorHAnsi" w:cstheme="minorHAnsi"/>
                <w:sz w:val="24"/>
                <w:szCs w:val="24"/>
              </w:rPr>
            </w:pPr>
            <w:r w:rsidRPr="002278E9">
              <w:rPr>
                <w:rFonts w:asciiTheme="minorHAnsi" w:hAnsiTheme="minorHAnsi" w:cstheme="minorHAnsi"/>
                <w:sz w:val="24"/>
                <w:szCs w:val="24"/>
              </w:rPr>
              <w:t>63%</w:t>
            </w:r>
          </w:p>
        </w:tc>
      </w:tr>
    </w:tbl>
    <w:p w14:paraId="7CC4E48A" w14:textId="77777777" w:rsidR="008F4656" w:rsidRPr="002278E9" w:rsidRDefault="008F4656" w:rsidP="008F4656">
      <w:pPr>
        <w:pStyle w:val="ListParagraph"/>
        <w:adjustRightInd w:val="0"/>
        <w:spacing w:after="120"/>
        <w:rPr>
          <w:rFonts w:asciiTheme="minorHAnsi" w:hAnsiTheme="minorHAnsi" w:cstheme="minorHAnsi"/>
          <w:b/>
          <w:bCs/>
          <w:sz w:val="24"/>
          <w:szCs w:val="24"/>
          <w:highlight w:val="yellow"/>
        </w:rPr>
      </w:pPr>
    </w:p>
    <w:bookmarkEnd w:id="2"/>
    <w:p w14:paraId="2880827D" w14:textId="77777777" w:rsidR="008F4656" w:rsidRPr="002278E9" w:rsidRDefault="008F4656" w:rsidP="008F4656">
      <w:pPr>
        <w:pStyle w:val="ListParagraph"/>
        <w:widowControl/>
        <w:numPr>
          <w:ilvl w:val="0"/>
          <w:numId w:val="57"/>
        </w:numPr>
        <w:adjustRightInd w:val="0"/>
        <w:spacing w:after="120"/>
        <w:jc w:val="both"/>
        <w:rPr>
          <w:rFonts w:asciiTheme="minorHAnsi" w:hAnsiTheme="minorHAnsi" w:cstheme="minorHAnsi"/>
          <w:sz w:val="24"/>
          <w:szCs w:val="24"/>
        </w:rPr>
      </w:pPr>
      <w:r w:rsidRPr="002278E9">
        <w:rPr>
          <w:rFonts w:asciiTheme="minorHAnsi" w:hAnsiTheme="minorHAnsi" w:cstheme="minorHAnsi"/>
          <w:b/>
          <w:bCs/>
          <w:sz w:val="24"/>
          <w:szCs w:val="24"/>
        </w:rPr>
        <w:t xml:space="preserve">Operating capacity and occupancy rate: </w:t>
      </w:r>
      <w:r w:rsidRPr="002278E9">
        <w:rPr>
          <w:rFonts w:asciiTheme="minorHAnsi" w:hAnsiTheme="minorHAnsi" w:cstheme="minorHAnsi"/>
          <w:sz w:val="24"/>
          <w:szCs w:val="24"/>
        </w:rPr>
        <w:t>Operating capacity was 836 beds (inclusive of ICU beds) and a 99.7% occupancy rate.</w:t>
      </w:r>
    </w:p>
    <w:p w14:paraId="651AAEBA" w14:textId="77777777" w:rsidR="008F4656" w:rsidRPr="002278E9" w:rsidRDefault="008F4656" w:rsidP="008F4656">
      <w:pPr>
        <w:adjustRightInd w:val="0"/>
        <w:spacing w:after="120"/>
        <w:jc w:val="both"/>
        <w:rPr>
          <w:rFonts w:asciiTheme="minorHAnsi" w:hAnsiTheme="minorHAnsi" w:cstheme="minorHAnsi"/>
          <w:b/>
          <w:bCs/>
          <w:sz w:val="24"/>
          <w:szCs w:val="24"/>
        </w:rPr>
      </w:pPr>
    </w:p>
    <w:p w14:paraId="4BAE140D" w14:textId="77777777" w:rsidR="008F4656" w:rsidRPr="002278E9" w:rsidRDefault="008F4656" w:rsidP="008F4656">
      <w:pPr>
        <w:pStyle w:val="ListParagraph"/>
        <w:widowControl/>
        <w:numPr>
          <w:ilvl w:val="0"/>
          <w:numId w:val="57"/>
        </w:numPr>
        <w:adjustRightInd w:val="0"/>
        <w:spacing w:after="120"/>
        <w:rPr>
          <w:rFonts w:asciiTheme="minorHAnsi" w:hAnsiTheme="minorHAnsi" w:cstheme="minorHAnsi"/>
          <w:b/>
          <w:bCs/>
          <w:sz w:val="24"/>
          <w:szCs w:val="24"/>
        </w:rPr>
      </w:pPr>
      <w:r w:rsidRPr="002278E9">
        <w:rPr>
          <w:rFonts w:asciiTheme="minorHAnsi" w:hAnsiTheme="minorHAnsi" w:cstheme="minorHAnsi"/>
          <w:b/>
          <w:bCs/>
          <w:sz w:val="24"/>
          <w:szCs w:val="24"/>
        </w:rPr>
        <w:lastRenderedPageBreak/>
        <w:t>Acuity level by case mix index, and number of discharges for M/S patients at MGH by service line:</w:t>
      </w:r>
    </w:p>
    <w:tbl>
      <w:tblPr>
        <w:tblStyle w:val="TableGrid"/>
        <w:tblW w:w="0" w:type="auto"/>
        <w:tblInd w:w="1300" w:type="dxa"/>
        <w:tblLook w:val="04A0" w:firstRow="1" w:lastRow="0" w:firstColumn="1" w:lastColumn="0" w:noHBand="0" w:noVBand="1"/>
      </w:tblPr>
      <w:tblGrid>
        <w:gridCol w:w="1699"/>
        <w:gridCol w:w="1587"/>
        <w:gridCol w:w="1588"/>
        <w:gridCol w:w="1588"/>
        <w:gridCol w:w="1588"/>
      </w:tblGrid>
      <w:tr w:rsidR="00344562" w:rsidRPr="002278E9" w14:paraId="571BA8D6" w14:textId="77777777" w:rsidTr="007F62BC">
        <w:trPr>
          <w:cantSplit/>
          <w:tblHeader/>
        </w:trPr>
        <w:tc>
          <w:tcPr>
            <w:tcW w:w="1699" w:type="dxa"/>
            <w:shd w:val="clear" w:color="auto" w:fill="95B3D7" w:themeFill="accent1" w:themeFillTint="99"/>
            <w:vAlign w:val="center"/>
          </w:tcPr>
          <w:p w14:paraId="6DD395E0" w14:textId="7E255695" w:rsidR="00344562" w:rsidRPr="002278E9" w:rsidRDefault="00344562" w:rsidP="00344562">
            <w:pPr>
              <w:pStyle w:val="ListParagraph"/>
              <w:ind w:left="0" w:firstLine="0"/>
              <w:rPr>
                <w:rFonts w:asciiTheme="minorHAnsi" w:hAnsiTheme="minorHAnsi" w:cstheme="minorHAnsi"/>
                <w:b/>
                <w:bCs/>
                <w:sz w:val="24"/>
                <w:szCs w:val="24"/>
              </w:rPr>
            </w:pPr>
            <w:r w:rsidRPr="002278E9">
              <w:rPr>
                <w:rFonts w:asciiTheme="minorHAnsi" w:hAnsiTheme="minorHAnsi" w:cstheme="minorHAnsi"/>
                <w:b/>
                <w:bCs/>
                <w:sz w:val="24"/>
                <w:szCs w:val="24"/>
              </w:rPr>
              <w:t>Inpatient Type</w:t>
            </w:r>
          </w:p>
        </w:tc>
        <w:tc>
          <w:tcPr>
            <w:tcW w:w="1587" w:type="dxa"/>
            <w:shd w:val="clear" w:color="auto" w:fill="95B3D7" w:themeFill="accent1" w:themeFillTint="99"/>
            <w:vAlign w:val="center"/>
          </w:tcPr>
          <w:p w14:paraId="6929A8AF" w14:textId="79779207" w:rsidR="00344562" w:rsidRPr="002278E9" w:rsidRDefault="00344562" w:rsidP="00344562">
            <w:pPr>
              <w:pStyle w:val="ListParagraph"/>
              <w:ind w:left="0" w:firstLine="0"/>
              <w:rPr>
                <w:rFonts w:asciiTheme="minorHAnsi" w:hAnsiTheme="minorHAnsi" w:cstheme="minorHAnsi"/>
                <w:b/>
                <w:bCs/>
                <w:sz w:val="24"/>
                <w:szCs w:val="24"/>
              </w:rPr>
            </w:pPr>
            <w:r w:rsidRPr="002278E9">
              <w:rPr>
                <w:rFonts w:asciiTheme="minorHAnsi" w:hAnsiTheme="minorHAnsi" w:cstheme="minorHAnsi"/>
                <w:b/>
                <w:bCs/>
                <w:sz w:val="24"/>
                <w:szCs w:val="24"/>
              </w:rPr>
              <w:t>FY22 Cases</w:t>
            </w:r>
          </w:p>
        </w:tc>
        <w:tc>
          <w:tcPr>
            <w:tcW w:w="1588" w:type="dxa"/>
            <w:shd w:val="clear" w:color="auto" w:fill="95B3D7" w:themeFill="accent1" w:themeFillTint="99"/>
            <w:vAlign w:val="center"/>
          </w:tcPr>
          <w:p w14:paraId="7E393A94" w14:textId="7B2A1924" w:rsidR="00344562" w:rsidRPr="002278E9" w:rsidRDefault="00344562" w:rsidP="00344562">
            <w:pPr>
              <w:pStyle w:val="ListParagraph"/>
              <w:ind w:left="0" w:firstLine="0"/>
              <w:rPr>
                <w:rFonts w:asciiTheme="minorHAnsi" w:hAnsiTheme="minorHAnsi" w:cstheme="minorHAnsi"/>
                <w:b/>
                <w:bCs/>
                <w:sz w:val="24"/>
                <w:szCs w:val="24"/>
              </w:rPr>
            </w:pPr>
            <w:r w:rsidRPr="002278E9">
              <w:rPr>
                <w:rFonts w:asciiTheme="minorHAnsi" w:hAnsiTheme="minorHAnsi" w:cstheme="minorHAnsi"/>
                <w:b/>
                <w:bCs/>
                <w:sz w:val="24"/>
                <w:szCs w:val="24"/>
              </w:rPr>
              <w:t>FY22 CMI</w:t>
            </w:r>
          </w:p>
        </w:tc>
        <w:tc>
          <w:tcPr>
            <w:tcW w:w="1588" w:type="dxa"/>
            <w:shd w:val="clear" w:color="auto" w:fill="95B3D7" w:themeFill="accent1" w:themeFillTint="99"/>
            <w:vAlign w:val="center"/>
          </w:tcPr>
          <w:p w14:paraId="74894D61" w14:textId="19136AFF" w:rsidR="00344562" w:rsidRPr="002278E9" w:rsidRDefault="00344562" w:rsidP="00344562">
            <w:pPr>
              <w:pStyle w:val="ListParagraph"/>
              <w:ind w:left="0" w:firstLine="0"/>
              <w:rPr>
                <w:rFonts w:asciiTheme="minorHAnsi" w:hAnsiTheme="minorHAnsi" w:cstheme="minorHAnsi"/>
                <w:b/>
                <w:bCs/>
                <w:sz w:val="24"/>
                <w:szCs w:val="24"/>
              </w:rPr>
            </w:pPr>
            <w:r w:rsidRPr="002278E9">
              <w:rPr>
                <w:rFonts w:asciiTheme="minorHAnsi" w:hAnsiTheme="minorHAnsi" w:cstheme="minorHAnsi"/>
                <w:b/>
                <w:bCs/>
                <w:sz w:val="24"/>
                <w:szCs w:val="24"/>
              </w:rPr>
              <w:t>FY23 Cases</w:t>
            </w:r>
          </w:p>
        </w:tc>
        <w:tc>
          <w:tcPr>
            <w:tcW w:w="1588" w:type="dxa"/>
            <w:shd w:val="clear" w:color="auto" w:fill="95B3D7" w:themeFill="accent1" w:themeFillTint="99"/>
            <w:vAlign w:val="center"/>
          </w:tcPr>
          <w:p w14:paraId="526A67C4" w14:textId="18FC884A" w:rsidR="00344562" w:rsidRPr="002278E9" w:rsidRDefault="00344562" w:rsidP="00344562">
            <w:pPr>
              <w:pStyle w:val="ListParagraph"/>
              <w:ind w:left="0" w:firstLine="0"/>
              <w:rPr>
                <w:rFonts w:asciiTheme="minorHAnsi" w:hAnsiTheme="minorHAnsi" w:cstheme="minorHAnsi"/>
                <w:b/>
                <w:bCs/>
                <w:sz w:val="24"/>
                <w:szCs w:val="24"/>
              </w:rPr>
            </w:pPr>
            <w:r w:rsidRPr="002278E9">
              <w:rPr>
                <w:rFonts w:asciiTheme="minorHAnsi" w:hAnsiTheme="minorHAnsi" w:cstheme="minorHAnsi"/>
                <w:b/>
                <w:bCs/>
                <w:sz w:val="24"/>
                <w:szCs w:val="24"/>
              </w:rPr>
              <w:t>FY23 CMI</w:t>
            </w:r>
          </w:p>
        </w:tc>
      </w:tr>
      <w:tr w:rsidR="00344562" w:rsidRPr="002278E9" w14:paraId="6DEF4BEB" w14:textId="77777777" w:rsidTr="007F62BC">
        <w:trPr>
          <w:cantSplit/>
        </w:trPr>
        <w:tc>
          <w:tcPr>
            <w:tcW w:w="1699" w:type="dxa"/>
            <w:shd w:val="clear" w:color="auto" w:fill="DBE5F1" w:themeFill="accent1" w:themeFillTint="33"/>
            <w:vAlign w:val="center"/>
          </w:tcPr>
          <w:p w14:paraId="0A75F2A3" w14:textId="785301DC" w:rsidR="00344562" w:rsidRPr="002278E9" w:rsidRDefault="00344562" w:rsidP="00344562">
            <w:pPr>
              <w:pStyle w:val="ListParagraph"/>
              <w:ind w:left="0" w:firstLine="0"/>
              <w:rPr>
                <w:rFonts w:asciiTheme="minorHAnsi" w:hAnsiTheme="minorHAnsi" w:cstheme="minorHAnsi"/>
                <w:b/>
                <w:bCs/>
                <w:sz w:val="24"/>
                <w:szCs w:val="24"/>
              </w:rPr>
            </w:pPr>
            <w:r w:rsidRPr="002278E9">
              <w:rPr>
                <w:rFonts w:asciiTheme="minorHAnsi" w:hAnsiTheme="minorHAnsi" w:cstheme="minorHAnsi"/>
                <w:b/>
                <w:bCs/>
                <w:sz w:val="24"/>
                <w:szCs w:val="24"/>
              </w:rPr>
              <w:t>Cancer</w:t>
            </w:r>
          </w:p>
        </w:tc>
        <w:tc>
          <w:tcPr>
            <w:tcW w:w="1587" w:type="dxa"/>
            <w:vAlign w:val="center"/>
          </w:tcPr>
          <w:p w14:paraId="69EA01B2" w14:textId="237B4A30" w:rsidR="00344562" w:rsidRPr="002278E9" w:rsidRDefault="00344562" w:rsidP="00344562">
            <w:pPr>
              <w:pStyle w:val="ListParagraph"/>
              <w:ind w:left="0" w:firstLine="0"/>
              <w:rPr>
                <w:rFonts w:asciiTheme="minorHAnsi" w:hAnsiTheme="minorHAnsi" w:cstheme="minorHAnsi"/>
                <w:b/>
                <w:bCs/>
                <w:sz w:val="24"/>
                <w:szCs w:val="24"/>
              </w:rPr>
            </w:pPr>
            <w:r w:rsidRPr="002278E9">
              <w:rPr>
                <w:rFonts w:asciiTheme="minorHAnsi" w:hAnsiTheme="minorHAnsi" w:cstheme="minorHAnsi"/>
                <w:sz w:val="24"/>
                <w:szCs w:val="24"/>
              </w:rPr>
              <w:t>8,576</w:t>
            </w:r>
          </w:p>
        </w:tc>
        <w:tc>
          <w:tcPr>
            <w:tcW w:w="1588" w:type="dxa"/>
            <w:vAlign w:val="center"/>
          </w:tcPr>
          <w:p w14:paraId="5150097E" w14:textId="4BD9D141" w:rsidR="00344562" w:rsidRPr="002278E9" w:rsidRDefault="00344562" w:rsidP="00344562">
            <w:pPr>
              <w:pStyle w:val="ListParagraph"/>
              <w:ind w:left="0" w:firstLine="0"/>
              <w:rPr>
                <w:rFonts w:asciiTheme="minorHAnsi" w:hAnsiTheme="minorHAnsi" w:cstheme="minorHAnsi"/>
                <w:b/>
                <w:bCs/>
                <w:sz w:val="24"/>
                <w:szCs w:val="24"/>
              </w:rPr>
            </w:pPr>
            <w:r w:rsidRPr="002278E9">
              <w:rPr>
                <w:rFonts w:asciiTheme="minorHAnsi" w:hAnsiTheme="minorHAnsi" w:cstheme="minorHAnsi"/>
                <w:sz w:val="24"/>
                <w:szCs w:val="24"/>
              </w:rPr>
              <w:t>2.78</w:t>
            </w:r>
          </w:p>
        </w:tc>
        <w:tc>
          <w:tcPr>
            <w:tcW w:w="1588" w:type="dxa"/>
            <w:vAlign w:val="center"/>
          </w:tcPr>
          <w:p w14:paraId="0688FBF9" w14:textId="7E3D7ED4" w:rsidR="00344562" w:rsidRPr="002278E9" w:rsidRDefault="00344562" w:rsidP="00344562">
            <w:pPr>
              <w:pStyle w:val="ListParagraph"/>
              <w:ind w:left="0" w:firstLine="0"/>
              <w:rPr>
                <w:rFonts w:asciiTheme="minorHAnsi" w:hAnsiTheme="minorHAnsi" w:cstheme="minorHAnsi"/>
                <w:b/>
                <w:bCs/>
                <w:sz w:val="24"/>
                <w:szCs w:val="24"/>
              </w:rPr>
            </w:pPr>
            <w:r w:rsidRPr="002278E9">
              <w:rPr>
                <w:rFonts w:asciiTheme="minorHAnsi" w:hAnsiTheme="minorHAnsi" w:cstheme="minorHAnsi"/>
                <w:sz w:val="24"/>
                <w:szCs w:val="24"/>
              </w:rPr>
              <w:t>8,793</w:t>
            </w:r>
          </w:p>
        </w:tc>
        <w:tc>
          <w:tcPr>
            <w:tcW w:w="1588" w:type="dxa"/>
            <w:vAlign w:val="center"/>
          </w:tcPr>
          <w:p w14:paraId="503720B9" w14:textId="18379184" w:rsidR="00344562" w:rsidRPr="002278E9" w:rsidRDefault="00344562" w:rsidP="00344562">
            <w:pPr>
              <w:pStyle w:val="ListParagraph"/>
              <w:ind w:left="0" w:firstLine="0"/>
              <w:rPr>
                <w:rFonts w:asciiTheme="minorHAnsi" w:hAnsiTheme="minorHAnsi" w:cstheme="minorHAnsi"/>
                <w:b/>
                <w:bCs/>
                <w:sz w:val="24"/>
                <w:szCs w:val="24"/>
              </w:rPr>
            </w:pPr>
            <w:r w:rsidRPr="002278E9">
              <w:rPr>
                <w:rFonts w:asciiTheme="minorHAnsi" w:hAnsiTheme="minorHAnsi" w:cstheme="minorHAnsi"/>
                <w:sz w:val="24"/>
                <w:szCs w:val="24"/>
              </w:rPr>
              <w:t>2.99</w:t>
            </w:r>
          </w:p>
        </w:tc>
      </w:tr>
      <w:tr w:rsidR="00344562" w:rsidRPr="002278E9" w14:paraId="6557C8EB" w14:textId="77777777" w:rsidTr="007F62BC">
        <w:trPr>
          <w:cantSplit/>
        </w:trPr>
        <w:tc>
          <w:tcPr>
            <w:tcW w:w="1699" w:type="dxa"/>
            <w:shd w:val="clear" w:color="auto" w:fill="DBE5F1" w:themeFill="accent1" w:themeFillTint="33"/>
            <w:vAlign w:val="center"/>
          </w:tcPr>
          <w:p w14:paraId="030FA670" w14:textId="26D62A3B" w:rsidR="00344562" w:rsidRPr="002278E9" w:rsidRDefault="00344562" w:rsidP="00344562">
            <w:pPr>
              <w:pStyle w:val="ListParagraph"/>
              <w:ind w:left="0" w:firstLine="0"/>
              <w:rPr>
                <w:rFonts w:asciiTheme="minorHAnsi" w:hAnsiTheme="minorHAnsi" w:cstheme="minorHAnsi"/>
                <w:b/>
                <w:bCs/>
                <w:sz w:val="24"/>
                <w:szCs w:val="24"/>
              </w:rPr>
            </w:pPr>
            <w:r w:rsidRPr="002278E9">
              <w:rPr>
                <w:rFonts w:asciiTheme="minorHAnsi" w:hAnsiTheme="minorHAnsi" w:cstheme="minorHAnsi"/>
                <w:b/>
                <w:bCs/>
                <w:sz w:val="24"/>
                <w:szCs w:val="24"/>
              </w:rPr>
              <w:t>Cardiac</w:t>
            </w:r>
          </w:p>
        </w:tc>
        <w:tc>
          <w:tcPr>
            <w:tcW w:w="1587" w:type="dxa"/>
            <w:vAlign w:val="center"/>
          </w:tcPr>
          <w:p w14:paraId="0A70D9C0" w14:textId="011ED288" w:rsidR="00344562" w:rsidRPr="002278E9" w:rsidRDefault="00344562" w:rsidP="00344562">
            <w:pPr>
              <w:pStyle w:val="ListParagraph"/>
              <w:ind w:left="0" w:firstLine="0"/>
              <w:rPr>
                <w:rFonts w:asciiTheme="minorHAnsi" w:hAnsiTheme="minorHAnsi" w:cstheme="minorHAnsi"/>
                <w:b/>
                <w:bCs/>
                <w:sz w:val="24"/>
                <w:szCs w:val="24"/>
              </w:rPr>
            </w:pPr>
            <w:r w:rsidRPr="002278E9">
              <w:rPr>
                <w:rFonts w:asciiTheme="minorHAnsi" w:hAnsiTheme="minorHAnsi" w:cstheme="minorHAnsi"/>
                <w:sz w:val="24"/>
                <w:szCs w:val="24"/>
              </w:rPr>
              <w:t>5,920</w:t>
            </w:r>
          </w:p>
        </w:tc>
        <w:tc>
          <w:tcPr>
            <w:tcW w:w="1588" w:type="dxa"/>
            <w:vAlign w:val="center"/>
          </w:tcPr>
          <w:p w14:paraId="265E6409" w14:textId="167F6E9F" w:rsidR="00344562" w:rsidRPr="002278E9" w:rsidRDefault="00344562" w:rsidP="00344562">
            <w:pPr>
              <w:pStyle w:val="ListParagraph"/>
              <w:ind w:left="0" w:firstLine="0"/>
              <w:rPr>
                <w:rFonts w:asciiTheme="minorHAnsi" w:hAnsiTheme="minorHAnsi" w:cstheme="minorHAnsi"/>
                <w:b/>
                <w:bCs/>
                <w:sz w:val="24"/>
                <w:szCs w:val="24"/>
              </w:rPr>
            </w:pPr>
            <w:r w:rsidRPr="002278E9">
              <w:rPr>
                <w:rFonts w:asciiTheme="minorHAnsi" w:hAnsiTheme="minorHAnsi" w:cstheme="minorHAnsi"/>
                <w:sz w:val="24"/>
                <w:szCs w:val="24"/>
              </w:rPr>
              <w:t>3.54</w:t>
            </w:r>
          </w:p>
        </w:tc>
        <w:tc>
          <w:tcPr>
            <w:tcW w:w="1588" w:type="dxa"/>
            <w:vAlign w:val="center"/>
          </w:tcPr>
          <w:p w14:paraId="0E306A1B" w14:textId="31C37A9E" w:rsidR="00344562" w:rsidRPr="002278E9" w:rsidRDefault="00344562" w:rsidP="00344562">
            <w:pPr>
              <w:pStyle w:val="ListParagraph"/>
              <w:ind w:left="0" w:firstLine="0"/>
              <w:rPr>
                <w:rFonts w:asciiTheme="minorHAnsi" w:hAnsiTheme="minorHAnsi" w:cstheme="minorHAnsi"/>
                <w:b/>
                <w:bCs/>
                <w:sz w:val="24"/>
                <w:szCs w:val="24"/>
              </w:rPr>
            </w:pPr>
            <w:r w:rsidRPr="002278E9">
              <w:rPr>
                <w:rFonts w:asciiTheme="minorHAnsi" w:hAnsiTheme="minorHAnsi" w:cstheme="minorHAnsi"/>
                <w:sz w:val="24"/>
                <w:szCs w:val="24"/>
              </w:rPr>
              <w:t>5,730</w:t>
            </w:r>
          </w:p>
        </w:tc>
        <w:tc>
          <w:tcPr>
            <w:tcW w:w="1588" w:type="dxa"/>
            <w:vAlign w:val="center"/>
          </w:tcPr>
          <w:p w14:paraId="726344EA" w14:textId="3343CEDC" w:rsidR="00344562" w:rsidRPr="002278E9" w:rsidRDefault="00344562" w:rsidP="00344562">
            <w:pPr>
              <w:pStyle w:val="ListParagraph"/>
              <w:ind w:left="0" w:firstLine="0"/>
              <w:rPr>
                <w:rFonts w:asciiTheme="minorHAnsi" w:hAnsiTheme="minorHAnsi" w:cstheme="minorHAnsi"/>
                <w:b/>
                <w:bCs/>
                <w:sz w:val="24"/>
                <w:szCs w:val="24"/>
              </w:rPr>
            </w:pPr>
            <w:r w:rsidRPr="002278E9">
              <w:rPr>
                <w:rFonts w:asciiTheme="minorHAnsi" w:hAnsiTheme="minorHAnsi" w:cstheme="minorHAnsi"/>
                <w:sz w:val="24"/>
                <w:szCs w:val="24"/>
              </w:rPr>
              <w:t>3.62</w:t>
            </w:r>
          </w:p>
        </w:tc>
      </w:tr>
      <w:tr w:rsidR="00344562" w:rsidRPr="002278E9" w14:paraId="668DE0C6" w14:textId="77777777" w:rsidTr="007F62BC">
        <w:trPr>
          <w:cantSplit/>
        </w:trPr>
        <w:tc>
          <w:tcPr>
            <w:tcW w:w="1699" w:type="dxa"/>
            <w:shd w:val="clear" w:color="auto" w:fill="DBE5F1" w:themeFill="accent1" w:themeFillTint="33"/>
            <w:vAlign w:val="center"/>
          </w:tcPr>
          <w:p w14:paraId="1E6A16AC" w14:textId="4B63ACBE" w:rsidR="00344562" w:rsidRPr="002278E9" w:rsidRDefault="00344562" w:rsidP="00344562">
            <w:pPr>
              <w:pStyle w:val="ListParagraph"/>
              <w:ind w:left="0" w:firstLine="0"/>
              <w:rPr>
                <w:rFonts w:asciiTheme="minorHAnsi" w:hAnsiTheme="minorHAnsi" w:cstheme="minorHAnsi"/>
                <w:b/>
                <w:bCs/>
                <w:sz w:val="24"/>
                <w:szCs w:val="24"/>
              </w:rPr>
            </w:pPr>
            <w:r w:rsidRPr="002278E9">
              <w:rPr>
                <w:rFonts w:asciiTheme="minorHAnsi" w:hAnsiTheme="minorHAnsi" w:cstheme="minorHAnsi"/>
                <w:b/>
                <w:bCs/>
                <w:sz w:val="24"/>
                <w:szCs w:val="24"/>
              </w:rPr>
              <w:t>All other Med/Surg</w:t>
            </w:r>
          </w:p>
        </w:tc>
        <w:tc>
          <w:tcPr>
            <w:tcW w:w="1587" w:type="dxa"/>
            <w:vAlign w:val="center"/>
          </w:tcPr>
          <w:p w14:paraId="66F49747" w14:textId="49E6DCE9" w:rsidR="00344562" w:rsidRPr="002278E9" w:rsidRDefault="00344562" w:rsidP="00344562">
            <w:pPr>
              <w:pStyle w:val="ListParagraph"/>
              <w:ind w:left="0" w:firstLine="0"/>
              <w:rPr>
                <w:rFonts w:asciiTheme="minorHAnsi" w:hAnsiTheme="minorHAnsi" w:cstheme="minorHAnsi"/>
                <w:b/>
                <w:bCs/>
                <w:sz w:val="24"/>
                <w:szCs w:val="24"/>
              </w:rPr>
            </w:pPr>
            <w:r w:rsidRPr="002278E9">
              <w:rPr>
                <w:rFonts w:asciiTheme="minorHAnsi" w:hAnsiTheme="minorHAnsi" w:cstheme="minorHAnsi"/>
                <w:sz w:val="24"/>
                <w:szCs w:val="24"/>
              </w:rPr>
              <w:t>22,694</w:t>
            </w:r>
          </w:p>
        </w:tc>
        <w:tc>
          <w:tcPr>
            <w:tcW w:w="1588" w:type="dxa"/>
            <w:vAlign w:val="center"/>
          </w:tcPr>
          <w:p w14:paraId="505C73FB" w14:textId="38B5BDBF" w:rsidR="00344562" w:rsidRPr="002278E9" w:rsidRDefault="00344562" w:rsidP="00344562">
            <w:pPr>
              <w:pStyle w:val="ListParagraph"/>
              <w:ind w:left="0" w:firstLine="0"/>
              <w:rPr>
                <w:rFonts w:asciiTheme="minorHAnsi" w:hAnsiTheme="minorHAnsi" w:cstheme="minorHAnsi"/>
                <w:b/>
                <w:bCs/>
                <w:sz w:val="24"/>
                <w:szCs w:val="24"/>
              </w:rPr>
            </w:pPr>
            <w:r w:rsidRPr="002278E9">
              <w:rPr>
                <w:rFonts w:asciiTheme="minorHAnsi" w:hAnsiTheme="minorHAnsi" w:cstheme="minorHAnsi"/>
                <w:sz w:val="24"/>
                <w:szCs w:val="24"/>
              </w:rPr>
              <w:t>2.46</w:t>
            </w:r>
          </w:p>
        </w:tc>
        <w:tc>
          <w:tcPr>
            <w:tcW w:w="1588" w:type="dxa"/>
            <w:vAlign w:val="center"/>
          </w:tcPr>
          <w:p w14:paraId="05DA4153" w14:textId="2F3D1FD4" w:rsidR="00344562" w:rsidRPr="002278E9" w:rsidRDefault="00344562" w:rsidP="00344562">
            <w:pPr>
              <w:pStyle w:val="ListParagraph"/>
              <w:ind w:left="0" w:firstLine="0"/>
              <w:rPr>
                <w:rFonts w:asciiTheme="minorHAnsi" w:hAnsiTheme="minorHAnsi" w:cstheme="minorHAnsi"/>
                <w:b/>
                <w:bCs/>
                <w:sz w:val="24"/>
                <w:szCs w:val="24"/>
              </w:rPr>
            </w:pPr>
            <w:r w:rsidRPr="002278E9">
              <w:rPr>
                <w:rFonts w:asciiTheme="minorHAnsi" w:hAnsiTheme="minorHAnsi" w:cstheme="minorHAnsi"/>
                <w:sz w:val="24"/>
                <w:szCs w:val="24"/>
              </w:rPr>
              <w:t>23,148</w:t>
            </w:r>
          </w:p>
        </w:tc>
        <w:tc>
          <w:tcPr>
            <w:tcW w:w="1588" w:type="dxa"/>
            <w:vAlign w:val="center"/>
          </w:tcPr>
          <w:p w14:paraId="2108B82A" w14:textId="56FAE0E1" w:rsidR="00344562" w:rsidRPr="002278E9" w:rsidRDefault="00344562" w:rsidP="00344562">
            <w:pPr>
              <w:pStyle w:val="ListParagraph"/>
              <w:ind w:left="0" w:firstLine="0"/>
              <w:rPr>
                <w:rFonts w:asciiTheme="minorHAnsi" w:hAnsiTheme="minorHAnsi" w:cstheme="minorHAnsi"/>
                <w:b/>
                <w:bCs/>
                <w:sz w:val="24"/>
                <w:szCs w:val="24"/>
              </w:rPr>
            </w:pPr>
            <w:r w:rsidRPr="002278E9">
              <w:rPr>
                <w:rFonts w:asciiTheme="minorHAnsi" w:hAnsiTheme="minorHAnsi" w:cstheme="minorHAnsi"/>
                <w:sz w:val="24"/>
                <w:szCs w:val="24"/>
              </w:rPr>
              <w:t>2.52</w:t>
            </w:r>
          </w:p>
        </w:tc>
      </w:tr>
    </w:tbl>
    <w:p w14:paraId="1DB26115" w14:textId="77777777" w:rsidR="008F4656" w:rsidRPr="002278E9" w:rsidRDefault="008F4656" w:rsidP="008F4656">
      <w:pPr>
        <w:adjustRightInd w:val="0"/>
        <w:spacing w:after="120"/>
        <w:rPr>
          <w:rFonts w:asciiTheme="minorHAnsi" w:hAnsiTheme="minorHAnsi" w:cstheme="minorHAnsi"/>
          <w:b/>
          <w:bCs/>
          <w:sz w:val="24"/>
          <w:szCs w:val="24"/>
        </w:rPr>
      </w:pPr>
    </w:p>
    <w:p w14:paraId="5F433413" w14:textId="77777777" w:rsidR="008F4656" w:rsidRPr="002278E9" w:rsidRDefault="008F4656" w:rsidP="008F4656">
      <w:pPr>
        <w:pStyle w:val="ListParagraph"/>
        <w:widowControl/>
        <w:numPr>
          <w:ilvl w:val="0"/>
          <w:numId w:val="57"/>
        </w:numPr>
        <w:adjustRightInd w:val="0"/>
        <w:spacing w:after="120"/>
        <w:rPr>
          <w:rFonts w:asciiTheme="minorHAnsi" w:hAnsiTheme="minorHAnsi" w:cstheme="minorHAnsi"/>
          <w:b/>
          <w:bCs/>
          <w:sz w:val="24"/>
          <w:szCs w:val="24"/>
        </w:rPr>
      </w:pPr>
      <w:r w:rsidRPr="002278E9">
        <w:rPr>
          <w:rFonts w:asciiTheme="minorHAnsi" w:hAnsiTheme="minorHAnsi" w:cstheme="minorHAnsi"/>
          <w:b/>
          <w:bCs/>
          <w:sz w:val="24"/>
          <w:szCs w:val="24"/>
        </w:rPr>
        <w:t xml:space="preserve">Average monthly lost transfer number and rate (calculated as the number of transfers not accepted over the number of requests for transfers) from community </w:t>
      </w:r>
      <w:proofErr w:type="gramStart"/>
      <w:r w:rsidRPr="002278E9">
        <w:rPr>
          <w:rFonts w:asciiTheme="minorHAnsi" w:hAnsiTheme="minorHAnsi" w:cstheme="minorHAnsi"/>
          <w:b/>
          <w:bCs/>
          <w:sz w:val="24"/>
          <w:szCs w:val="24"/>
        </w:rPr>
        <w:t>hospitals</w:t>
      </w:r>
      <w:proofErr w:type="gramEnd"/>
    </w:p>
    <w:p w14:paraId="3031A7C0" w14:textId="77777777" w:rsidR="008F4656" w:rsidRPr="002278E9" w:rsidRDefault="008F4656" w:rsidP="008F4656">
      <w:pPr>
        <w:adjustRightInd w:val="0"/>
        <w:spacing w:after="120"/>
        <w:rPr>
          <w:rFonts w:asciiTheme="minorHAnsi" w:hAnsiTheme="minorHAnsi" w:cstheme="minorHAnsi"/>
          <w:b/>
          <w:bCs/>
          <w:sz w:val="24"/>
          <w:szCs w:val="24"/>
        </w:rPr>
      </w:pPr>
    </w:p>
    <w:p w14:paraId="7BFD4B56" w14:textId="77777777" w:rsidR="008F4656" w:rsidRPr="002278E9" w:rsidRDefault="008F4656" w:rsidP="008F4656">
      <w:pPr>
        <w:adjustRightInd w:val="0"/>
        <w:spacing w:after="120"/>
        <w:jc w:val="center"/>
        <w:rPr>
          <w:rFonts w:asciiTheme="minorHAnsi" w:hAnsiTheme="minorHAnsi" w:cstheme="minorHAnsi"/>
          <w:b/>
          <w:bCs/>
          <w:sz w:val="24"/>
          <w:szCs w:val="24"/>
          <w:u w:val="single"/>
        </w:rPr>
      </w:pPr>
      <w:r w:rsidRPr="002278E9">
        <w:rPr>
          <w:rFonts w:asciiTheme="minorHAnsi" w:hAnsiTheme="minorHAnsi" w:cstheme="minorHAnsi"/>
          <w:b/>
          <w:bCs/>
          <w:sz w:val="24"/>
          <w:szCs w:val="24"/>
          <w:u w:val="single"/>
        </w:rPr>
        <w:t xml:space="preserve">Number of transfers not accepted by </w:t>
      </w:r>
      <w:proofErr w:type="gramStart"/>
      <w:r w:rsidRPr="002278E9">
        <w:rPr>
          <w:rFonts w:asciiTheme="minorHAnsi" w:hAnsiTheme="minorHAnsi" w:cstheme="minorHAnsi"/>
          <w:b/>
          <w:bCs/>
          <w:sz w:val="24"/>
          <w:szCs w:val="24"/>
          <w:u w:val="single"/>
        </w:rPr>
        <w:t>Holder</w:t>
      </w:r>
      <w:proofErr w:type="gramEnd"/>
    </w:p>
    <w:p w14:paraId="3F40133C" w14:textId="77777777" w:rsidR="008F4656" w:rsidRPr="002278E9" w:rsidRDefault="008F4656" w:rsidP="008F4656">
      <w:pPr>
        <w:adjustRightInd w:val="0"/>
        <w:spacing w:after="120"/>
        <w:jc w:val="center"/>
        <w:rPr>
          <w:rFonts w:asciiTheme="minorHAnsi" w:hAnsiTheme="minorHAnsi" w:cstheme="minorHAnsi"/>
          <w:b/>
          <w:bCs/>
          <w:sz w:val="24"/>
          <w:szCs w:val="24"/>
        </w:rPr>
      </w:pPr>
      <w:r w:rsidRPr="002278E9">
        <w:rPr>
          <w:rFonts w:asciiTheme="minorHAnsi" w:hAnsiTheme="minorHAnsi" w:cstheme="minorHAnsi"/>
          <w:b/>
          <w:bCs/>
          <w:sz w:val="24"/>
          <w:szCs w:val="24"/>
        </w:rPr>
        <w:t>Number of requests for transfers to Holder</w:t>
      </w:r>
    </w:p>
    <w:p w14:paraId="182EBB58" w14:textId="77777777" w:rsidR="008F4656" w:rsidRPr="002278E9" w:rsidRDefault="008F4656" w:rsidP="008F4656">
      <w:pPr>
        <w:adjustRightInd w:val="0"/>
        <w:spacing w:after="120"/>
        <w:rPr>
          <w:rFonts w:asciiTheme="minorHAnsi" w:hAnsiTheme="minorHAnsi" w:cstheme="minorHAnsi"/>
          <w:sz w:val="24"/>
          <w:szCs w:val="24"/>
        </w:rPr>
      </w:pPr>
    </w:p>
    <w:p w14:paraId="53D5CA93" w14:textId="77777777" w:rsidR="008F4656" w:rsidRPr="002278E9" w:rsidRDefault="008F4656" w:rsidP="008F4656">
      <w:pPr>
        <w:ind w:left="720"/>
        <w:jc w:val="both"/>
        <w:rPr>
          <w:rFonts w:asciiTheme="minorHAnsi" w:hAnsiTheme="minorHAnsi" w:cstheme="minorHAnsi"/>
          <w:sz w:val="24"/>
          <w:szCs w:val="24"/>
        </w:rPr>
      </w:pPr>
      <w:r w:rsidRPr="002278E9">
        <w:rPr>
          <w:rFonts w:asciiTheme="minorHAnsi" w:hAnsiTheme="minorHAnsi" w:cstheme="minorHAnsi"/>
          <w:sz w:val="24"/>
          <w:szCs w:val="24"/>
        </w:rPr>
        <w:t xml:space="preserve">The average monthly lost transfer rate was 49%. The monthly average volume of requests was 736, of which an average of 362 were declined.  There were 8,834 requested transfers in FY23. Of those requests, MGH declined 4,344 cases. </w:t>
      </w:r>
    </w:p>
    <w:p w14:paraId="4BC95EAA" w14:textId="77777777" w:rsidR="008F4656" w:rsidRPr="002278E9" w:rsidRDefault="008F4656" w:rsidP="008F4656">
      <w:pPr>
        <w:adjustRightInd w:val="0"/>
        <w:spacing w:after="120"/>
        <w:jc w:val="both"/>
        <w:rPr>
          <w:rFonts w:asciiTheme="minorHAnsi" w:hAnsiTheme="minorHAnsi" w:cstheme="minorHAnsi"/>
          <w:sz w:val="24"/>
          <w:szCs w:val="24"/>
        </w:rPr>
      </w:pPr>
    </w:p>
    <w:p w14:paraId="074183DE" w14:textId="77777777" w:rsidR="008F4656" w:rsidRPr="0080534A" w:rsidRDefault="008F4656" w:rsidP="008F4656">
      <w:pPr>
        <w:adjustRightInd w:val="0"/>
        <w:spacing w:after="120"/>
        <w:jc w:val="both"/>
      </w:pPr>
    </w:p>
    <w:p w14:paraId="776C8288" w14:textId="77777777" w:rsidR="008F4656" w:rsidRPr="0080534A" w:rsidRDefault="008F4656" w:rsidP="008F4656">
      <w:pPr>
        <w:adjustRightInd w:val="0"/>
        <w:spacing w:after="120"/>
      </w:pPr>
    </w:p>
    <w:p w14:paraId="18D8A607" w14:textId="77777777" w:rsidR="008F4656" w:rsidRPr="0080534A" w:rsidRDefault="008F4656" w:rsidP="008F4656">
      <w:pPr>
        <w:spacing w:after="120"/>
      </w:pPr>
      <w:r w:rsidRPr="0080534A">
        <w:t xml:space="preserve"> </w:t>
      </w:r>
    </w:p>
    <w:p w14:paraId="10F397D1" w14:textId="77777777" w:rsidR="008F4656" w:rsidRDefault="008F4656" w:rsidP="0080384A">
      <w:pPr>
        <w:spacing w:after="160" w:line="257" w:lineRule="auto"/>
        <w:rPr>
          <w:b/>
          <w:sz w:val="24"/>
          <w:szCs w:val="24"/>
        </w:rPr>
      </w:pPr>
    </w:p>
    <w:p w14:paraId="74323B3A" w14:textId="77777777" w:rsidR="0080384A" w:rsidRDefault="0080384A"/>
    <w:p w14:paraId="49DDC7D5" w14:textId="2C1E9E81" w:rsidR="00887934" w:rsidRPr="00CF46C1" w:rsidRDefault="00CF46C1" w:rsidP="00CF46C1">
      <w:pPr>
        <w:pStyle w:val="Heading1"/>
        <w:ind w:left="0"/>
      </w:pPr>
      <w:r>
        <w:t>References</w:t>
      </w:r>
    </w:p>
    <w:sectPr w:rsidR="00887934" w:rsidRPr="00CF46C1" w:rsidSect="00046119">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0" w:footer="14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4E56D" w14:textId="77777777" w:rsidR="00046119" w:rsidRDefault="00046119">
      <w:r>
        <w:separator/>
      </w:r>
    </w:p>
  </w:endnote>
  <w:endnote w:type="continuationSeparator" w:id="0">
    <w:p w14:paraId="1993413C" w14:textId="77777777" w:rsidR="00046119" w:rsidRDefault="00046119">
      <w:r>
        <w:continuationSeparator/>
      </w:r>
    </w:p>
  </w:endnote>
  <w:endnote w:type="continuationNotice" w:id="1">
    <w:p w14:paraId="7404EEAB" w14:textId="77777777" w:rsidR="00046119" w:rsidRDefault="00046119"/>
  </w:endnote>
  <w:endnote w:id="2">
    <w:p w14:paraId="59083446" w14:textId="5B595278" w:rsidR="00312BB5" w:rsidRPr="002278E9" w:rsidRDefault="00312BB5" w:rsidP="00A4470B">
      <w:pPr>
        <w:pStyle w:val="EndnoteText"/>
        <w:rPr>
          <w:rFonts w:asciiTheme="minorHAnsi" w:hAnsiTheme="minorHAnsi" w:cstheme="minorHAnsi"/>
          <w:sz w:val="24"/>
          <w:szCs w:val="24"/>
        </w:rPr>
      </w:pPr>
      <w:r w:rsidRPr="002278E9">
        <w:rPr>
          <w:rStyle w:val="EndnoteReference"/>
          <w:rFonts w:asciiTheme="minorHAnsi" w:hAnsiTheme="minorHAnsi" w:cstheme="minorHAnsi"/>
          <w:sz w:val="24"/>
          <w:szCs w:val="24"/>
        </w:rPr>
        <w:endnoteRef/>
      </w:r>
      <w:r w:rsidRPr="002278E9">
        <w:rPr>
          <w:rFonts w:asciiTheme="minorHAnsi" w:hAnsiTheme="minorHAnsi" w:cstheme="minorHAnsi"/>
          <w:sz w:val="24"/>
          <w:szCs w:val="24"/>
        </w:rPr>
        <w:t xml:space="preserve"> </w:t>
      </w:r>
      <w:r w:rsidR="00FC4019" w:rsidRPr="002278E9">
        <w:rPr>
          <w:rFonts w:asciiTheme="minorHAnsi" w:hAnsiTheme="minorHAnsi" w:cstheme="minorHAnsi"/>
          <w:sz w:val="24"/>
          <w:szCs w:val="24"/>
        </w:rPr>
        <w:t xml:space="preserve">Kelen GD﻿, Richard W﻿, D’Onofrio G﻿, et al.  Emergency department crowding: the canary in the health care system. ﻿NEJM </w:t>
      </w:r>
      <w:proofErr w:type="spellStart"/>
      <w:r w:rsidR="00FC4019" w:rsidRPr="002278E9">
        <w:rPr>
          <w:rFonts w:asciiTheme="minorHAnsi" w:hAnsiTheme="minorHAnsi" w:cstheme="minorHAnsi"/>
          <w:sz w:val="24"/>
          <w:szCs w:val="24"/>
        </w:rPr>
        <w:t>Catal</w:t>
      </w:r>
      <w:proofErr w:type="spellEnd"/>
      <w:r w:rsidR="00FC4019" w:rsidRPr="002278E9">
        <w:rPr>
          <w:rFonts w:asciiTheme="minorHAnsi" w:hAnsiTheme="minorHAnsi" w:cstheme="minorHAnsi"/>
          <w:sz w:val="24"/>
          <w:szCs w:val="24"/>
        </w:rPr>
        <w:t>. Published online September 28, 2021. doi:10.1056/CAT.21.0217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2">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QIEQ S+ Times New">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7CEF2" w14:textId="77777777" w:rsidR="00D70499" w:rsidRDefault="00D70499">
    <w:pPr>
      <w:pStyle w:val="Footer"/>
    </w:pPr>
  </w:p>
  <w:p w14:paraId="2E6B4650" w14:textId="77777777" w:rsidR="00F60F03" w:rsidRDefault="00F60F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4183205"/>
      <w:docPartObj>
        <w:docPartGallery w:val="Page Numbers (Bottom of Page)"/>
        <w:docPartUnique/>
      </w:docPartObj>
    </w:sdtPr>
    <w:sdtEndPr>
      <w:rPr>
        <w:noProof/>
      </w:rPr>
    </w:sdtEndPr>
    <w:sdtContent>
      <w:p w14:paraId="5009C523" w14:textId="5466EEC0" w:rsidR="00727C41" w:rsidRDefault="00727C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9A7512" w14:textId="308A6E22" w:rsidR="00982286" w:rsidRDefault="00982286">
    <w:pPr>
      <w:pStyle w:val="BodyText"/>
      <w:spacing w:line="14" w:lineRule="auto"/>
      <w:rPr>
        <w:sz w:val="14"/>
      </w:rPr>
    </w:pPr>
  </w:p>
  <w:p w14:paraId="6F920819" w14:textId="77777777" w:rsidR="00F60F03" w:rsidRDefault="00F60F0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D69DF" w14:textId="77777777" w:rsidR="00D70499" w:rsidRDefault="00D704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A67C9" w14:textId="77777777" w:rsidR="00046119" w:rsidRDefault="00046119">
      <w:r>
        <w:separator/>
      </w:r>
    </w:p>
  </w:footnote>
  <w:footnote w:type="continuationSeparator" w:id="0">
    <w:p w14:paraId="4393D98A" w14:textId="77777777" w:rsidR="00046119" w:rsidRDefault="00046119">
      <w:r>
        <w:continuationSeparator/>
      </w:r>
    </w:p>
  </w:footnote>
  <w:footnote w:type="continuationNotice" w:id="1">
    <w:p w14:paraId="0B19AC23" w14:textId="77777777" w:rsidR="00046119" w:rsidRDefault="00046119"/>
  </w:footnote>
  <w:footnote w:id="2">
    <w:p w14:paraId="2BB66209" w14:textId="197D138B" w:rsidR="6F0FA7D6" w:rsidRPr="00927298" w:rsidRDefault="6F0FA7D6" w:rsidP="00927298">
      <w:pPr>
        <w:spacing w:line="259" w:lineRule="auto"/>
        <w:rPr>
          <w:color w:val="000000" w:themeColor="text1"/>
          <w:sz w:val="16"/>
          <w:szCs w:val="16"/>
        </w:rPr>
      </w:pPr>
      <w:r w:rsidRPr="00927298">
        <w:rPr>
          <w:rStyle w:val="FootnoteReference"/>
          <w:sz w:val="16"/>
          <w:szCs w:val="16"/>
        </w:rPr>
        <w:footnoteRef/>
      </w:r>
      <w:r w:rsidRPr="00927298">
        <w:rPr>
          <w:sz w:val="16"/>
          <w:szCs w:val="16"/>
        </w:rPr>
        <w:t xml:space="preserve"> In the filing, </w:t>
      </w:r>
      <w:r w:rsidRPr="00927298">
        <w:rPr>
          <w:color w:val="000000" w:themeColor="text1"/>
          <w:sz w:val="16"/>
          <w:szCs w:val="16"/>
        </w:rPr>
        <w:t>the Hospital indicated it would close 388 existing semi-private beds and construct 482 new private rooms, increasing the overall percentage of single-bed medical/surgical rooms across the Hospital from 38% to 88%.</w:t>
      </w:r>
    </w:p>
  </w:footnote>
  <w:footnote w:id="3">
    <w:p w14:paraId="77EF25A8" w14:textId="1E18D560" w:rsidR="486964B8" w:rsidRDefault="486964B8" w:rsidP="009E20FA">
      <w:pPr>
        <w:pStyle w:val="FootnoteText"/>
      </w:pPr>
      <w:r w:rsidRPr="00927298">
        <w:rPr>
          <w:rStyle w:val="FootnoteReference"/>
          <w:sz w:val="16"/>
          <w:szCs w:val="16"/>
        </w:rPr>
        <w:footnoteRef/>
      </w:r>
      <w:r w:rsidR="48705524" w:rsidRPr="00927298">
        <w:rPr>
          <w:sz w:val="16"/>
          <w:szCs w:val="16"/>
        </w:rPr>
        <w:t xml:space="preserve"> The language of Conditions 2 and 3 as approved in </w:t>
      </w:r>
      <w:r w:rsidR="38F264B7" w:rsidRPr="00927298">
        <w:rPr>
          <w:sz w:val="16"/>
          <w:szCs w:val="16"/>
        </w:rPr>
        <w:t xml:space="preserve">the Original </w:t>
      </w:r>
      <w:proofErr w:type="spellStart"/>
      <w:r w:rsidR="7B44BB53" w:rsidRPr="00927298">
        <w:rPr>
          <w:sz w:val="16"/>
          <w:szCs w:val="16"/>
        </w:rPr>
        <w:t>DoN</w:t>
      </w:r>
      <w:proofErr w:type="spellEnd"/>
      <w:r w:rsidR="7B44BB53" w:rsidRPr="00927298">
        <w:rPr>
          <w:sz w:val="16"/>
          <w:szCs w:val="16"/>
        </w:rPr>
        <w:t xml:space="preserve"> final action can be found in </w:t>
      </w:r>
      <w:r w:rsidR="4D59F94C" w:rsidRPr="00927298">
        <w:rPr>
          <w:sz w:val="16"/>
          <w:szCs w:val="16"/>
        </w:rPr>
        <w:t xml:space="preserve">Appendix </w:t>
      </w:r>
      <w:r w:rsidR="70504DE7" w:rsidRPr="00927298">
        <w:rPr>
          <w:sz w:val="16"/>
          <w:szCs w:val="16"/>
        </w:rPr>
        <w:t>I</w:t>
      </w:r>
      <w:r w:rsidR="4686A42F" w:rsidRPr="00927298">
        <w:rPr>
          <w:sz w:val="16"/>
          <w:szCs w:val="16"/>
        </w:rPr>
        <w:t>.</w:t>
      </w:r>
      <w:r w:rsidR="4686A42F">
        <w:t xml:space="preserve"> </w:t>
      </w:r>
    </w:p>
  </w:footnote>
  <w:footnote w:id="4">
    <w:p w14:paraId="3147A59E" w14:textId="7EA829B3" w:rsidR="001B57F5" w:rsidRPr="001B57F5" w:rsidRDefault="001B57F5">
      <w:pPr>
        <w:pStyle w:val="FootnoteText"/>
        <w:rPr>
          <w:sz w:val="16"/>
          <w:szCs w:val="16"/>
        </w:rPr>
      </w:pPr>
      <w:r w:rsidRPr="001B57F5">
        <w:rPr>
          <w:rStyle w:val="FootnoteReference"/>
          <w:sz w:val="16"/>
          <w:szCs w:val="16"/>
        </w:rPr>
        <w:footnoteRef/>
      </w:r>
      <w:r w:rsidRPr="001B57F5">
        <w:rPr>
          <w:sz w:val="16"/>
          <w:szCs w:val="16"/>
        </w:rPr>
        <w:t xml:space="preserve"> The Holder will relocate 277 beds in existing facilities and convert existing double-bedded rooms on the MGH Main Campus into 111 singles in existing rooms for a total of 388 beds.</w:t>
      </w:r>
    </w:p>
  </w:footnote>
  <w:footnote w:id="5">
    <w:p w14:paraId="4D59179E" w14:textId="77777777" w:rsidR="00F85282" w:rsidRPr="00000DB3" w:rsidRDefault="00F85282" w:rsidP="00F85282">
      <w:pPr>
        <w:pStyle w:val="FootnoteText"/>
        <w:rPr>
          <w:sz w:val="16"/>
          <w:szCs w:val="16"/>
        </w:rPr>
      </w:pPr>
      <w:r w:rsidRPr="00000DB3">
        <w:rPr>
          <w:rStyle w:val="FootnoteReference"/>
          <w:sz w:val="16"/>
          <w:szCs w:val="16"/>
        </w:rPr>
        <w:footnoteRef/>
      </w:r>
      <w:r w:rsidRPr="00000DB3">
        <w:rPr>
          <w:sz w:val="16"/>
          <w:szCs w:val="16"/>
        </w:rPr>
        <w:t xml:space="preserve"> Department staff confirmed for the Holder’s regulatory counsel this was permissible via email on April 5, 2022.</w:t>
      </w:r>
    </w:p>
  </w:footnote>
  <w:footnote w:id="6">
    <w:p w14:paraId="3C2DDDF5" w14:textId="427D4646" w:rsidR="004B3412" w:rsidRPr="00AC5247" w:rsidRDefault="004B3412">
      <w:pPr>
        <w:pStyle w:val="FootnoteText"/>
        <w:rPr>
          <w:sz w:val="16"/>
          <w:szCs w:val="16"/>
        </w:rPr>
      </w:pPr>
      <w:r w:rsidRPr="00AC5247">
        <w:rPr>
          <w:rStyle w:val="FootnoteReference"/>
          <w:sz w:val="16"/>
          <w:szCs w:val="16"/>
        </w:rPr>
        <w:footnoteRef/>
      </w:r>
      <w:r w:rsidRPr="00AC5247">
        <w:rPr>
          <w:sz w:val="16"/>
          <w:szCs w:val="16"/>
        </w:rPr>
        <w:t xml:space="preserve"> For example, double occupancy rooms cannot accommodate two patients in situations involving infectious disease, behavioral and mental health </w:t>
      </w:r>
      <w:r w:rsidR="00B3373E" w:rsidRPr="00AC5247">
        <w:rPr>
          <w:sz w:val="16"/>
          <w:szCs w:val="16"/>
        </w:rPr>
        <w:t>issues,</w:t>
      </w:r>
      <w:r w:rsidRPr="00AC5247">
        <w:rPr>
          <w:sz w:val="16"/>
          <w:szCs w:val="16"/>
        </w:rPr>
        <w:t xml:space="preserve"> or end of life.</w:t>
      </w:r>
    </w:p>
  </w:footnote>
  <w:footnote w:id="7">
    <w:p w14:paraId="034090CF" w14:textId="77777777" w:rsidR="00AB03FF" w:rsidRPr="00AC5247" w:rsidRDefault="00AB03FF" w:rsidP="00AB03FF">
      <w:pPr>
        <w:pStyle w:val="FootnoteText"/>
        <w:rPr>
          <w:sz w:val="16"/>
          <w:szCs w:val="16"/>
        </w:rPr>
      </w:pPr>
      <w:r w:rsidRPr="00AC5247">
        <w:rPr>
          <w:rStyle w:val="FootnoteReference"/>
          <w:sz w:val="16"/>
          <w:szCs w:val="16"/>
        </w:rPr>
        <w:footnoteRef/>
      </w:r>
      <w:r w:rsidRPr="00AC5247">
        <w:rPr>
          <w:sz w:val="16"/>
          <w:szCs w:val="16"/>
        </w:rPr>
        <w:t xml:space="preserve"> Inclusive of medical/surgical and intensive care unit beds. </w:t>
      </w:r>
    </w:p>
  </w:footnote>
  <w:footnote w:id="8">
    <w:p w14:paraId="5F001A0F" w14:textId="77777777" w:rsidR="00AB03FF" w:rsidRPr="00AC5247" w:rsidRDefault="00AB03FF" w:rsidP="00AB03FF">
      <w:pPr>
        <w:pStyle w:val="FootnoteText"/>
        <w:rPr>
          <w:sz w:val="16"/>
          <w:szCs w:val="16"/>
        </w:rPr>
      </w:pPr>
      <w:r w:rsidRPr="00AC5247">
        <w:rPr>
          <w:rStyle w:val="FootnoteReference"/>
          <w:sz w:val="16"/>
          <w:szCs w:val="16"/>
        </w:rPr>
        <w:footnoteRef/>
      </w:r>
      <w:r w:rsidRPr="00AC5247">
        <w:rPr>
          <w:sz w:val="16"/>
          <w:szCs w:val="16"/>
        </w:rPr>
        <w:t xml:space="preserve"> Adjusted for closed headwalls. </w:t>
      </w:r>
    </w:p>
  </w:footnote>
  <w:footnote w:id="9">
    <w:p w14:paraId="21F48885" w14:textId="77777777" w:rsidR="00AB03FF" w:rsidRPr="00927EC1" w:rsidRDefault="00AB03FF" w:rsidP="00AB03FF">
      <w:pPr>
        <w:pStyle w:val="FootnoteText"/>
        <w:rPr>
          <w:sz w:val="16"/>
          <w:szCs w:val="16"/>
        </w:rPr>
      </w:pPr>
      <w:r w:rsidRPr="00AC5247">
        <w:rPr>
          <w:rStyle w:val="FootnoteReference"/>
          <w:sz w:val="16"/>
          <w:szCs w:val="16"/>
        </w:rPr>
        <w:footnoteRef/>
      </w:r>
      <w:r w:rsidRPr="00AC5247">
        <w:rPr>
          <w:sz w:val="16"/>
          <w:szCs w:val="16"/>
        </w:rPr>
        <w:t xml:space="preserve"> Outpatient beds refer to outpatients occupying an inpatient bed (PPRs, Admit to Observation, including Short Stay Unit) </w:t>
      </w:r>
    </w:p>
  </w:footnote>
  <w:footnote w:id="10">
    <w:p w14:paraId="670C362D" w14:textId="77777777" w:rsidR="00EF1870" w:rsidRPr="008D2E9F" w:rsidRDefault="00EF1870" w:rsidP="00EF1870">
      <w:pPr>
        <w:pStyle w:val="FootnoteText"/>
        <w:rPr>
          <w:sz w:val="16"/>
          <w:szCs w:val="16"/>
        </w:rPr>
      </w:pPr>
      <w:r w:rsidRPr="008D2E9F">
        <w:rPr>
          <w:rStyle w:val="FootnoteReference"/>
          <w:sz w:val="16"/>
          <w:szCs w:val="16"/>
        </w:rPr>
        <w:footnoteRef/>
      </w:r>
      <w:r w:rsidRPr="008D2E9F">
        <w:rPr>
          <w:sz w:val="16"/>
          <w:szCs w:val="16"/>
        </w:rPr>
        <w:t xml:space="preserve"> Inclusive of medical/surgical and intensive care unit beds. </w:t>
      </w:r>
    </w:p>
  </w:footnote>
  <w:footnote w:id="11">
    <w:p w14:paraId="5A875235" w14:textId="77777777" w:rsidR="00600634" w:rsidRPr="008D2E9F" w:rsidRDefault="00600634" w:rsidP="00EF1870">
      <w:pPr>
        <w:pStyle w:val="FootnoteText"/>
        <w:rPr>
          <w:sz w:val="16"/>
          <w:szCs w:val="16"/>
        </w:rPr>
      </w:pPr>
      <w:r w:rsidRPr="008D2E9F">
        <w:rPr>
          <w:rStyle w:val="FootnoteReference"/>
          <w:sz w:val="16"/>
          <w:szCs w:val="16"/>
        </w:rPr>
        <w:footnoteRef/>
      </w:r>
      <w:r w:rsidRPr="008D2E9F">
        <w:rPr>
          <w:sz w:val="16"/>
          <w:szCs w:val="16"/>
        </w:rPr>
        <w:t xml:space="preserve"> Outpatient beds refer to outpatients occupying an inpatient bed (PPRs, Admit to Observation, including Short Stay Unit) </w:t>
      </w:r>
    </w:p>
  </w:footnote>
  <w:footnote w:id="12">
    <w:p w14:paraId="1F722B7B" w14:textId="662F279A" w:rsidR="008D2E9F" w:rsidRPr="008D2E9F" w:rsidRDefault="008D2E9F">
      <w:pPr>
        <w:pStyle w:val="FootnoteText"/>
        <w:rPr>
          <w:sz w:val="16"/>
          <w:szCs w:val="16"/>
        </w:rPr>
      </w:pPr>
      <w:r w:rsidRPr="008D2E9F">
        <w:rPr>
          <w:rStyle w:val="FootnoteReference"/>
          <w:sz w:val="16"/>
          <w:szCs w:val="16"/>
        </w:rPr>
        <w:footnoteRef/>
      </w:r>
      <w:r w:rsidRPr="008D2E9F">
        <w:rPr>
          <w:sz w:val="16"/>
          <w:szCs w:val="16"/>
        </w:rPr>
        <w:t xml:space="preserve"> </w:t>
      </w:r>
      <w:r w:rsidRPr="008D2E9F">
        <w:rPr>
          <w:rStyle w:val="cf01"/>
          <w:rFonts w:asciiTheme="minorHAnsi" w:hAnsiTheme="minorHAnsi" w:cstheme="minorHAnsi"/>
          <w:sz w:val="16"/>
          <w:szCs w:val="16"/>
        </w:rPr>
        <w:t>Th</w:t>
      </w:r>
      <w:r>
        <w:rPr>
          <w:rStyle w:val="cf01"/>
          <w:rFonts w:asciiTheme="minorHAnsi" w:hAnsiTheme="minorHAnsi" w:cstheme="minorHAnsi"/>
          <w:sz w:val="16"/>
          <w:szCs w:val="16"/>
        </w:rPr>
        <w:t xml:space="preserve">e Holder notes that these projections </w:t>
      </w:r>
      <w:r w:rsidRPr="008D2E9F">
        <w:rPr>
          <w:rStyle w:val="cf01"/>
          <w:rFonts w:asciiTheme="minorHAnsi" w:hAnsiTheme="minorHAnsi" w:cstheme="minorHAnsi"/>
          <w:sz w:val="16"/>
          <w:szCs w:val="16"/>
        </w:rPr>
        <w:t>do not account for any potential growth or change in length of stay between now and when the new building will open (estimated to be late 2027).</w:t>
      </w:r>
    </w:p>
  </w:footnote>
  <w:footnote w:id="13">
    <w:p w14:paraId="15707A2B" w14:textId="4DD5DC72" w:rsidR="004F61D6" w:rsidRPr="004F61D6" w:rsidRDefault="004A4E14" w:rsidP="004F61D6">
      <w:pPr>
        <w:pStyle w:val="FootnoteText"/>
        <w:rPr>
          <w:rStyle w:val="cf01"/>
          <w:rFonts w:asciiTheme="minorHAnsi" w:hAnsiTheme="minorHAnsi" w:cstheme="minorHAnsi"/>
          <w:sz w:val="16"/>
          <w:szCs w:val="16"/>
        </w:rPr>
      </w:pPr>
      <w:r w:rsidRPr="008D2E9F">
        <w:rPr>
          <w:rStyle w:val="FootnoteReference"/>
          <w:rFonts w:asciiTheme="minorHAnsi" w:hAnsiTheme="minorHAnsi" w:cstheme="minorHAnsi"/>
          <w:sz w:val="16"/>
          <w:szCs w:val="16"/>
        </w:rPr>
        <w:footnoteRef/>
      </w:r>
      <w:r w:rsidRPr="008D2E9F">
        <w:rPr>
          <w:rFonts w:asciiTheme="minorHAnsi" w:hAnsiTheme="minorHAnsi" w:cstheme="minorHAnsi"/>
          <w:sz w:val="16"/>
          <w:szCs w:val="16"/>
        </w:rPr>
        <w:t xml:space="preserve"> </w:t>
      </w:r>
      <w:r w:rsidRPr="004F61D6">
        <w:rPr>
          <w:rStyle w:val="cf01"/>
          <w:rFonts w:asciiTheme="minorHAnsi" w:hAnsiTheme="minorHAnsi" w:cstheme="minorHAnsi"/>
          <w:sz w:val="16"/>
          <w:szCs w:val="16"/>
        </w:rPr>
        <w:t xml:space="preserve">Outpatient beds refer to outpatients occupying an inpatient bed (PPRs, Admit to Observation, including Short Stay Unit) </w:t>
      </w:r>
      <w:r w:rsidR="004F61D6" w:rsidRPr="004F61D6">
        <w:rPr>
          <w:rStyle w:val="cf01"/>
          <w:rFonts w:asciiTheme="minorHAnsi" w:hAnsiTheme="minorHAnsi" w:cstheme="minorHAnsi"/>
          <w:sz w:val="16"/>
          <w:szCs w:val="16"/>
        </w:rPr>
        <w:t>The projection for bedded outpatient days assumed they would remain flat with 2023 actual levels (noting 2023 was slightly lower than 2019).</w:t>
      </w:r>
      <w:r w:rsidR="004F61D6">
        <w:rPr>
          <w:rStyle w:val="cf01"/>
          <w:rFonts w:asciiTheme="minorHAnsi" w:hAnsiTheme="minorHAnsi" w:cstheme="minorHAnsi"/>
          <w:sz w:val="16"/>
          <w:szCs w:val="16"/>
        </w:rPr>
        <w:t xml:space="preserve"> </w:t>
      </w:r>
      <w:r w:rsidR="004F61D6" w:rsidRPr="004F61D6">
        <w:rPr>
          <w:rStyle w:val="cf01"/>
          <w:rFonts w:asciiTheme="minorHAnsi" w:hAnsiTheme="minorHAnsi" w:cstheme="minorHAnsi"/>
          <w:sz w:val="16"/>
          <w:szCs w:val="16"/>
        </w:rPr>
        <w:t xml:space="preserve">Outpatients are placed in inpatient beds when a post-acute care unit or recovery bed is not available. The new building design includes 13 additional peri-operative bays to care for patients during recovery as well as expanded urgent care capacity in the oncology unit for observation care. </w:t>
      </w:r>
    </w:p>
    <w:p w14:paraId="0B0C056F" w14:textId="170B8483" w:rsidR="004A4E14" w:rsidRPr="005A1F95" w:rsidRDefault="004A4E14" w:rsidP="004A4E14">
      <w:pPr>
        <w:pStyle w:val="FootnoteText"/>
        <w:rPr>
          <w:rFonts w:asciiTheme="minorHAnsi" w:hAnsiTheme="minorHAnsi" w:cstheme="minorHAnsi"/>
          <w:sz w:val="16"/>
          <w:szCs w:val="16"/>
        </w:rPr>
      </w:pPr>
    </w:p>
  </w:footnote>
  <w:footnote w:id="14">
    <w:p w14:paraId="5B8AFC5D" w14:textId="2A52F8B5" w:rsidR="00245640" w:rsidRPr="0082423E" w:rsidRDefault="00245640">
      <w:pPr>
        <w:pStyle w:val="FootnoteText"/>
        <w:rPr>
          <w:sz w:val="16"/>
          <w:szCs w:val="16"/>
        </w:rPr>
      </w:pPr>
      <w:r w:rsidRPr="0082423E">
        <w:rPr>
          <w:rStyle w:val="FootnoteReference"/>
          <w:sz w:val="16"/>
          <w:szCs w:val="16"/>
        </w:rPr>
        <w:footnoteRef/>
      </w:r>
      <w:r w:rsidRPr="0082423E">
        <w:rPr>
          <w:sz w:val="16"/>
          <w:szCs w:val="16"/>
        </w:rPr>
        <w:t xml:space="preserve"> To determine this data, the Holder </w:t>
      </w:r>
      <w:r w:rsidRPr="0082423E">
        <w:rPr>
          <w:rStyle w:val="cf01"/>
          <w:rFonts w:asciiTheme="minorHAnsi" w:hAnsiTheme="minorHAnsi" w:cstheme="minorHAnsi"/>
          <w:sz w:val="16"/>
          <w:szCs w:val="16"/>
        </w:rPr>
        <w:t>ran each patient’s final diagnosis related group (“DRG”) disposition through an algorithm used by vendors like Vizient and SG2 to classify the level of care.</w:t>
      </w:r>
      <w:r w:rsidR="0082423E" w:rsidRPr="0082423E">
        <w:rPr>
          <w:rStyle w:val="cf01"/>
          <w:rFonts w:asciiTheme="minorHAnsi" w:hAnsiTheme="minorHAnsi" w:cstheme="minorHAnsi"/>
          <w:sz w:val="16"/>
          <w:szCs w:val="16"/>
        </w:rPr>
        <w:t xml:space="preserve"> </w:t>
      </w:r>
      <w:r w:rsidR="0082423E" w:rsidRPr="0082423E">
        <w:rPr>
          <w:sz w:val="16"/>
          <w:szCs w:val="16"/>
        </w:rPr>
        <w:t>DRGs are a patient classification scheme which provides a means of relating the type of patients a hospital treats (i.e., its case mix) to the costs incurred by the hospital.</w:t>
      </w:r>
    </w:p>
  </w:footnote>
  <w:footnote w:id="15">
    <w:p w14:paraId="17ABB56A" w14:textId="77777777" w:rsidR="00DB1178" w:rsidRPr="00245640" w:rsidRDefault="00DB1178" w:rsidP="00DB1178">
      <w:pPr>
        <w:pStyle w:val="FootnoteText"/>
        <w:rPr>
          <w:rFonts w:asciiTheme="minorHAnsi" w:hAnsiTheme="minorHAnsi" w:cstheme="minorHAnsi"/>
          <w:sz w:val="16"/>
          <w:szCs w:val="16"/>
        </w:rPr>
      </w:pPr>
      <w:r w:rsidRPr="0082423E">
        <w:rPr>
          <w:rStyle w:val="FootnoteReference"/>
          <w:rFonts w:asciiTheme="minorHAnsi" w:hAnsiTheme="minorHAnsi" w:cstheme="minorHAnsi"/>
          <w:sz w:val="16"/>
          <w:szCs w:val="16"/>
        </w:rPr>
        <w:footnoteRef/>
      </w:r>
      <w:r w:rsidRPr="0082423E">
        <w:rPr>
          <w:rFonts w:asciiTheme="minorHAnsi" w:hAnsiTheme="minorHAnsi" w:cstheme="minorHAnsi"/>
          <w:sz w:val="16"/>
          <w:szCs w:val="16"/>
        </w:rPr>
        <w:t xml:space="preserve"> The number of patients in the Level of Care Table varies slightly from the Change in Service Form because the table is based on the discharge DRG of the patient and therefore likely includes some young adult patients who had a medical DRG but were cared for</w:t>
      </w:r>
      <w:r w:rsidRPr="00245640">
        <w:rPr>
          <w:rFonts w:asciiTheme="minorHAnsi" w:hAnsiTheme="minorHAnsi" w:cstheme="minorHAnsi"/>
          <w:sz w:val="16"/>
          <w:szCs w:val="16"/>
        </w:rPr>
        <w:t xml:space="preserve"> on the pediatric unit.  </w:t>
      </w:r>
    </w:p>
  </w:footnote>
  <w:footnote w:id="16">
    <w:p w14:paraId="315B5736" w14:textId="77777777" w:rsidR="00DB1178" w:rsidRPr="00245640" w:rsidRDefault="00DB1178" w:rsidP="00DB1178">
      <w:pPr>
        <w:pStyle w:val="Default"/>
        <w:rPr>
          <w:sz w:val="16"/>
          <w:szCs w:val="16"/>
        </w:rPr>
      </w:pPr>
      <w:r w:rsidRPr="00245640">
        <w:rPr>
          <w:rStyle w:val="FootnoteReference"/>
          <w:rFonts w:asciiTheme="minorHAnsi" w:hAnsiTheme="minorHAnsi" w:cstheme="minorHAnsi"/>
          <w:sz w:val="16"/>
          <w:szCs w:val="16"/>
        </w:rPr>
        <w:footnoteRef/>
      </w:r>
      <w:r w:rsidRPr="00245640">
        <w:rPr>
          <w:rFonts w:asciiTheme="minorHAnsi" w:hAnsiTheme="minorHAnsi" w:cstheme="minorHAnsi"/>
          <w:sz w:val="16"/>
          <w:szCs w:val="16"/>
        </w:rPr>
        <w:t xml:space="preserve"> High end secondary cases are those patients whose diagnosis related group could be treated in the community hospital if the hospital had the capability to do so (e.g., access to cardiac catheterization). Secondary cases are patients with acuity levels that typically are treated in a community hospital. </w:t>
      </w:r>
    </w:p>
  </w:footnote>
  <w:footnote w:id="17">
    <w:p w14:paraId="258447B1" w14:textId="77777777" w:rsidR="00223BE2" w:rsidRPr="00245640" w:rsidRDefault="00223BE2" w:rsidP="00223BE2">
      <w:pPr>
        <w:pStyle w:val="FootnoteText"/>
        <w:rPr>
          <w:sz w:val="16"/>
          <w:szCs w:val="16"/>
        </w:rPr>
      </w:pPr>
      <w:r w:rsidRPr="00245640">
        <w:rPr>
          <w:rStyle w:val="FootnoteReference"/>
          <w:sz w:val="16"/>
          <w:szCs w:val="16"/>
        </w:rPr>
        <w:footnoteRef/>
      </w:r>
      <w:r w:rsidRPr="00245640">
        <w:rPr>
          <w:sz w:val="16"/>
          <w:szCs w:val="16"/>
        </w:rPr>
        <w:t xml:space="preserve"> Brigham &amp; Women’s Faulkner Hospital, Salem Hospital, and Newton Wellesley Hospital </w:t>
      </w:r>
    </w:p>
  </w:footnote>
  <w:footnote w:id="18">
    <w:p w14:paraId="4D428321" w14:textId="4CC454D5" w:rsidR="00F9646B" w:rsidRPr="00106CE7" w:rsidRDefault="00F9646B">
      <w:pPr>
        <w:pStyle w:val="FootnoteText"/>
        <w:rPr>
          <w:rFonts w:asciiTheme="minorHAnsi" w:hAnsiTheme="minorHAnsi" w:cstheme="minorHAnsi"/>
          <w:sz w:val="16"/>
          <w:szCs w:val="16"/>
        </w:rPr>
      </w:pPr>
      <w:r w:rsidRPr="00106CE7">
        <w:rPr>
          <w:rStyle w:val="FootnoteReference"/>
          <w:rFonts w:asciiTheme="minorHAnsi" w:hAnsiTheme="minorHAnsi" w:cstheme="minorHAnsi"/>
          <w:sz w:val="16"/>
          <w:szCs w:val="16"/>
        </w:rPr>
        <w:footnoteRef/>
      </w:r>
      <w:r w:rsidRPr="00106CE7">
        <w:rPr>
          <w:rFonts w:asciiTheme="minorHAnsi" w:hAnsiTheme="minorHAnsi" w:cstheme="minorHAnsi"/>
          <w:sz w:val="16"/>
          <w:szCs w:val="16"/>
        </w:rPr>
        <w:t xml:space="preserve"> </w:t>
      </w:r>
      <w:r w:rsidR="00643B24" w:rsidRPr="00106CE7">
        <w:rPr>
          <w:rFonts w:asciiTheme="minorHAnsi" w:hAnsiTheme="minorHAnsi" w:cstheme="minorHAnsi"/>
          <w:sz w:val="16"/>
          <w:szCs w:val="16"/>
        </w:rPr>
        <w:t xml:space="preserve">The Holder notes that </w:t>
      </w:r>
      <w:r w:rsidR="008B5C6E" w:rsidRPr="00106CE7">
        <w:rPr>
          <w:rFonts w:asciiTheme="minorHAnsi" w:hAnsiTheme="minorHAnsi" w:cstheme="minorHAnsi"/>
          <w:color w:val="000000"/>
          <w:sz w:val="16"/>
          <w:szCs w:val="16"/>
        </w:rPr>
        <w:t>many</w:t>
      </w:r>
      <w:r w:rsidR="00643B24" w:rsidRPr="00106CE7">
        <w:rPr>
          <w:rFonts w:asciiTheme="minorHAnsi" w:hAnsiTheme="minorHAnsi" w:cstheme="minorHAnsi"/>
          <w:color w:val="000000"/>
          <w:sz w:val="16"/>
          <w:szCs w:val="16"/>
        </w:rPr>
        <w:t xml:space="preserve"> patients </w:t>
      </w:r>
      <w:r w:rsidR="00A30E77" w:rsidRPr="00106CE7">
        <w:rPr>
          <w:rFonts w:asciiTheme="minorHAnsi" w:hAnsiTheme="minorHAnsi" w:cstheme="minorHAnsi"/>
          <w:color w:val="000000"/>
          <w:sz w:val="16"/>
          <w:szCs w:val="16"/>
        </w:rPr>
        <w:t xml:space="preserve">waiting for an M/S bed </w:t>
      </w:r>
      <w:r w:rsidR="00106CE7" w:rsidRPr="00106CE7">
        <w:rPr>
          <w:rFonts w:asciiTheme="minorHAnsi" w:hAnsiTheme="minorHAnsi" w:cstheme="minorHAnsi"/>
          <w:color w:val="000000"/>
          <w:sz w:val="16"/>
          <w:szCs w:val="16"/>
        </w:rPr>
        <w:t xml:space="preserve">may </w:t>
      </w:r>
      <w:r w:rsidR="00643B24" w:rsidRPr="00106CE7">
        <w:rPr>
          <w:rFonts w:asciiTheme="minorHAnsi" w:hAnsiTheme="minorHAnsi" w:cstheme="minorHAnsi"/>
          <w:color w:val="000000"/>
          <w:sz w:val="16"/>
          <w:szCs w:val="16"/>
        </w:rPr>
        <w:t xml:space="preserve">have an acute medical issue </w:t>
      </w:r>
      <w:r w:rsidR="00106CE7">
        <w:rPr>
          <w:rFonts w:asciiTheme="minorHAnsi" w:hAnsiTheme="minorHAnsi" w:cstheme="minorHAnsi"/>
          <w:color w:val="000000"/>
          <w:sz w:val="16"/>
          <w:szCs w:val="16"/>
        </w:rPr>
        <w:t xml:space="preserve">as well as </w:t>
      </w:r>
      <w:r w:rsidR="00643B24" w:rsidRPr="00106CE7">
        <w:rPr>
          <w:rFonts w:asciiTheme="minorHAnsi" w:hAnsiTheme="minorHAnsi" w:cstheme="minorHAnsi"/>
          <w:color w:val="000000"/>
          <w:sz w:val="16"/>
          <w:szCs w:val="16"/>
        </w:rPr>
        <w:t xml:space="preserve">co-occurring </w:t>
      </w:r>
      <w:r w:rsidR="00A30E77" w:rsidRPr="00106CE7">
        <w:rPr>
          <w:rFonts w:asciiTheme="minorHAnsi" w:hAnsiTheme="minorHAnsi" w:cstheme="minorHAnsi"/>
          <w:color w:val="000000"/>
          <w:sz w:val="16"/>
          <w:szCs w:val="16"/>
        </w:rPr>
        <w:t>behavioral health</w:t>
      </w:r>
      <w:r w:rsidR="00643B24" w:rsidRPr="00106CE7">
        <w:rPr>
          <w:rFonts w:asciiTheme="minorHAnsi" w:hAnsiTheme="minorHAnsi" w:cstheme="minorHAnsi"/>
          <w:color w:val="000000"/>
          <w:sz w:val="16"/>
          <w:szCs w:val="16"/>
        </w:rPr>
        <w:t xml:space="preserve"> needs</w:t>
      </w:r>
      <w:r w:rsidR="008B5C6E" w:rsidRPr="00106CE7">
        <w:rPr>
          <w:rFonts w:asciiTheme="minorHAnsi" w:hAnsiTheme="minorHAnsi" w:cstheme="minorHAnsi"/>
          <w:color w:val="000000"/>
          <w:sz w:val="16"/>
          <w:szCs w:val="16"/>
        </w:rPr>
        <w:t xml:space="preserve">. </w:t>
      </w:r>
    </w:p>
  </w:footnote>
  <w:footnote w:id="19">
    <w:p w14:paraId="652DCFF2" w14:textId="746FD1F7" w:rsidR="00406DD5" w:rsidRPr="00F9646B" w:rsidRDefault="00406DD5">
      <w:pPr>
        <w:pStyle w:val="FootnoteText"/>
        <w:rPr>
          <w:sz w:val="16"/>
          <w:szCs w:val="16"/>
        </w:rPr>
      </w:pPr>
      <w:r w:rsidRPr="00F9646B">
        <w:rPr>
          <w:rStyle w:val="FootnoteReference"/>
          <w:sz w:val="16"/>
          <w:szCs w:val="16"/>
        </w:rPr>
        <w:footnoteRef/>
      </w:r>
      <w:r w:rsidRPr="00F9646B">
        <w:rPr>
          <w:sz w:val="16"/>
          <w:szCs w:val="16"/>
        </w:rPr>
        <w:t xml:space="preserve"> </w:t>
      </w:r>
      <w:r w:rsidR="00261B51" w:rsidRPr="00F9646B">
        <w:rPr>
          <w:sz w:val="16"/>
          <w:szCs w:val="16"/>
        </w:rPr>
        <w:t xml:space="preserve">This number </w:t>
      </w:r>
      <w:r w:rsidR="00261B51" w:rsidRPr="00A44242">
        <w:rPr>
          <w:rFonts w:asciiTheme="minorHAnsi" w:hAnsiTheme="minorHAnsi" w:cstheme="minorHAnsi"/>
          <w:sz w:val="16"/>
          <w:szCs w:val="16"/>
        </w:rPr>
        <w:t xml:space="preserve">reflects </w:t>
      </w:r>
      <w:r w:rsidR="00261B51" w:rsidRPr="009A1CA0">
        <w:rPr>
          <w:rFonts w:asciiTheme="minorHAnsi" w:hAnsiTheme="minorHAnsi" w:cstheme="minorHAnsi"/>
          <w:sz w:val="16"/>
          <w:szCs w:val="16"/>
        </w:rPr>
        <w:t xml:space="preserve">patients </w:t>
      </w:r>
      <w:r w:rsidR="007A0BEA" w:rsidRPr="009A1CA0">
        <w:rPr>
          <w:rFonts w:asciiTheme="minorHAnsi" w:hAnsiTheme="minorHAnsi" w:cstheme="minorHAnsi"/>
          <w:sz w:val="16"/>
          <w:szCs w:val="16"/>
        </w:rPr>
        <w:t>who may have been waiting for behavioral health, pediatric,</w:t>
      </w:r>
      <w:r w:rsidR="00DB7B6C" w:rsidRPr="009A1CA0">
        <w:rPr>
          <w:rFonts w:asciiTheme="minorHAnsi" w:hAnsiTheme="minorHAnsi" w:cstheme="minorHAnsi"/>
          <w:sz w:val="16"/>
          <w:szCs w:val="16"/>
        </w:rPr>
        <w:t xml:space="preserve"> or maternal newborn beds</w:t>
      </w:r>
      <w:r w:rsidR="00A44242">
        <w:rPr>
          <w:rFonts w:asciiTheme="minorHAnsi" w:hAnsiTheme="minorHAnsi" w:cstheme="minorHAnsi"/>
          <w:sz w:val="16"/>
          <w:szCs w:val="16"/>
        </w:rPr>
        <w:t xml:space="preserve"> </w:t>
      </w:r>
      <w:r w:rsidR="00A44242" w:rsidRPr="00A44242">
        <w:rPr>
          <w:rFonts w:asciiTheme="minorHAnsi" w:hAnsiTheme="minorHAnsi" w:cstheme="minorHAnsi"/>
          <w:sz w:val="16"/>
          <w:szCs w:val="16"/>
        </w:rPr>
        <w:t>at MGH, but does not include patients waiting for placement outside of MGH, which is the case for the majority of MGH’s behavioral health patients.</w:t>
      </w:r>
    </w:p>
  </w:footnote>
  <w:footnote w:id="20">
    <w:p w14:paraId="05A91D40" w14:textId="5B3EE126" w:rsidR="00436E1D" w:rsidRPr="00EF44CB" w:rsidRDefault="00C6642B" w:rsidP="00436E1D">
      <w:pPr>
        <w:widowControl/>
        <w:adjustRightInd w:val="0"/>
        <w:rPr>
          <w:rFonts w:asciiTheme="minorHAnsi" w:eastAsiaTheme="minorHAnsi" w:hAnsiTheme="minorHAnsi" w:cstheme="minorHAnsi"/>
          <w:sz w:val="16"/>
          <w:szCs w:val="16"/>
          <w:lang w:bidi="ar-SA"/>
        </w:rPr>
      </w:pPr>
      <w:r w:rsidRPr="005A1F95">
        <w:rPr>
          <w:rStyle w:val="FootnoteReference"/>
          <w:rFonts w:asciiTheme="minorHAnsi" w:hAnsiTheme="minorHAnsi" w:cstheme="minorHAnsi"/>
          <w:sz w:val="16"/>
          <w:szCs w:val="16"/>
        </w:rPr>
        <w:footnoteRef/>
      </w:r>
      <w:r w:rsidRPr="005A1F95">
        <w:rPr>
          <w:rFonts w:asciiTheme="minorHAnsi" w:hAnsiTheme="minorHAnsi" w:cstheme="minorHAnsi"/>
          <w:sz w:val="16"/>
          <w:szCs w:val="16"/>
        </w:rPr>
        <w:t xml:space="preserve"> </w:t>
      </w:r>
      <w:r w:rsidR="00436E1D" w:rsidRPr="005A1F95">
        <w:rPr>
          <w:rFonts w:asciiTheme="minorHAnsi" w:hAnsiTheme="minorHAnsi" w:cstheme="minorHAnsi"/>
          <w:color w:val="000000"/>
          <w:sz w:val="16"/>
          <w:szCs w:val="16"/>
        </w:rPr>
        <w:t>T</w:t>
      </w:r>
      <w:r w:rsidRPr="005A1F95">
        <w:rPr>
          <w:rFonts w:asciiTheme="minorHAnsi" w:hAnsiTheme="minorHAnsi" w:cstheme="minorHAnsi"/>
          <w:color w:val="000000"/>
          <w:sz w:val="16"/>
          <w:szCs w:val="16"/>
        </w:rPr>
        <w:t>he Applicant defines Code Help status as</w:t>
      </w:r>
      <w:r w:rsidR="0034558E" w:rsidRPr="005A1F95">
        <w:rPr>
          <w:rFonts w:asciiTheme="minorHAnsi" w:hAnsiTheme="minorHAnsi" w:cstheme="minorHAnsi"/>
          <w:color w:val="000000"/>
          <w:sz w:val="16"/>
          <w:szCs w:val="16"/>
        </w:rPr>
        <w:t>:</w:t>
      </w:r>
      <w:r w:rsidRPr="005A1F95">
        <w:rPr>
          <w:rFonts w:asciiTheme="minorHAnsi" w:hAnsiTheme="minorHAnsi" w:cstheme="minorHAnsi"/>
          <w:color w:val="000000"/>
          <w:sz w:val="16"/>
          <w:szCs w:val="16"/>
        </w:rPr>
        <w:t xml:space="preserve"> </w:t>
      </w:r>
      <w:r w:rsidR="00436E1D" w:rsidRPr="005A1F95">
        <w:rPr>
          <w:rFonts w:asciiTheme="minorHAnsi" w:eastAsiaTheme="minorHAnsi" w:hAnsiTheme="minorHAnsi" w:cstheme="minorHAnsi"/>
          <w:sz w:val="16"/>
          <w:szCs w:val="16"/>
          <w:lang w:bidi="ar-SA"/>
        </w:rPr>
        <w:t xml:space="preserve">All ED patient rooms are full and </w:t>
      </w:r>
      <w:proofErr w:type="gramStart"/>
      <w:r w:rsidR="00436E1D" w:rsidRPr="005A1F95">
        <w:rPr>
          <w:rFonts w:asciiTheme="minorHAnsi" w:eastAsiaTheme="minorHAnsi" w:hAnsiTheme="minorHAnsi" w:cstheme="minorHAnsi"/>
          <w:sz w:val="16"/>
          <w:szCs w:val="16"/>
          <w:lang w:bidi="ar-SA"/>
        </w:rPr>
        <w:t>all of</w:t>
      </w:r>
      <w:proofErr w:type="gramEnd"/>
      <w:r w:rsidR="00436E1D" w:rsidRPr="005A1F95">
        <w:rPr>
          <w:rFonts w:asciiTheme="minorHAnsi" w:eastAsiaTheme="minorHAnsi" w:hAnsiTheme="minorHAnsi" w:cstheme="minorHAnsi"/>
          <w:sz w:val="16"/>
          <w:szCs w:val="16"/>
          <w:lang w:bidi="ar-SA"/>
        </w:rPr>
        <w:t xml:space="preserve"> the hallway stretcher spaces with cardiac monitoring</w:t>
      </w:r>
      <w:r w:rsidR="00436E1D" w:rsidRPr="00436E1D">
        <w:rPr>
          <w:rFonts w:asciiTheme="minorHAnsi" w:eastAsiaTheme="minorHAnsi" w:hAnsiTheme="minorHAnsi" w:cstheme="minorHAnsi"/>
          <w:sz w:val="16"/>
          <w:szCs w:val="16"/>
          <w:lang w:bidi="ar-SA"/>
        </w:rPr>
        <w:t xml:space="preserve"> </w:t>
      </w:r>
      <w:r w:rsidR="00436E1D" w:rsidRPr="00EF44CB">
        <w:rPr>
          <w:rFonts w:asciiTheme="minorHAnsi" w:eastAsiaTheme="minorHAnsi" w:hAnsiTheme="minorHAnsi" w:cstheme="minorHAnsi"/>
          <w:sz w:val="16"/>
          <w:szCs w:val="16"/>
          <w:lang w:bidi="ar-SA"/>
        </w:rPr>
        <w:t>capacity are also full.</w:t>
      </w:r>
    </w:p>
  </w:footnote>
  <w:footnote w:id="21">
    <w:p w14:paraId="652EA53D" w14:textId="163A7248" w:rsidR="00611CB5" w:rsidRPr="00EF44CB" w:rsidRDefault="00611CB5">
      <w:pPr>
        <w:pStyle w:val="FootnoteText"/>
        <w:rPr>
          <w:sz w:val="16"/>
          <w:szCs w:val="16"/>
        </w:rPr>
      </w:pPr>
      <w:r w:rsidRPr="00EF44CB">
        <w:rPr>
          <w:rStyle w:val="FootnoteReference"/>
          <w:sz w:val="16"/>
          <w:szCs w:val="16"/>
        </w:rPr>
        <w:footnoteRef/>
      </w:r>
      <w:r w:rsidRPr="00EF44CB">
        <w:rPr>
          <w:sz w:val="16"/>
          <w:szCs w:val="16"/>
        </w:rPr>
        <w:t xml:space="preserve"> </w:t>
      </w:r>
      <w:r w:rsidRPr="00EF44CB">
        <w:rPr>
          <w:rFonts w:asciiTheme="minorHAnsi" w:hAnsiTheme="minorHAnsi" w:cstheme="minorHAnsi"/>
          <w:color w:val="000000"/>
          <w:sz w:val="16"/>
          <w:szCs w:val="16"/>
        </w:rPr>
        <w:t>The Applicant defines Capacity Disaster</w:t>
      </w:r>
      <w:r w:rsidR="0034558E" w:rsidRPr="00EF44CB">
        <w:rPr>
          <w:rFonts w:asciiTheme="minorHAnsi" w:hAnsiTheme="minorHAnsi" w:cstheme="minorHAnsi"/>
          <w:color w:val="000000"/>
          <w:sz w:val="16"/>
          <w:szCs w:val="16"/>
        </w:rPr>
        <w:t xml:space="preserve"> status as: there</w:t>
      </w:r>
      <w:r w:rsidRPr="00EF44CB">
        <w:rPr>
          <w:rFonts w:asciiTheme="minorHAnsi" w:hAnsiTheme="minorHAnsi" w:cstheme="minorHAnsi"/>
          <w:color w:val="000000"/>
          <w:sz w:val="16"/>
          <w:szCs w:val="16"/>
        </w:rPr>
        <w:t xml:space="preserve"> are </w:t>
      </w:r>
      <w:r w:rsidRPr="00EF44CB">
        <w:rPr>
          <w:rFonts w:asciiTheme="minorHAnsi" w:hAnsiTheme="minorHAnsi" w:cstheme="minorHAnsi" w:hint="eastAsia"/>
          <w:color w:val="000000"/>
          <w:sz w:val="16"/>
          <w:szCs w:val="16"/>
        </w:rPr>
        <w:t>≥</w:t>
      </w:r>
      <w:r w:rsidRPr="00EF44CB">
        <w:rPr>
          <w:rFonts w:asciiTheme="minorHAnsi" w:hAnsiTheme="minorHAnsi" w:cstheme="minorHAnsi"/>
          <w:color w:val="000000"/>
          <w:sz w:val="16"/>
          <w:szCs w:val="16"/>
        </w:rPr>
        <w:t>45 boarders in the MGH ED.</w:t>
      </w:r>
    </w:p>
  </w:footnote>
  <w:footnote w:id="22">
    <w:p w14:paraId="5A9D8A83" w14:textId="77777777" w:rsidR="00AB24B2" w:rsidRDefault="00AB24B2" w:rsidP="00AB24B2">
      <w:pPr>
        <w:pStyle w:val="FootnoteText"/>
        <w:jc w:val="both"/>
      </w:pPr>
      <w:r w:rsidRPr="00EF44CB">
        <w:rPr>
          <w:rStyle w:val="FootnoteReference"/>
          <w:sz w:val="16"/>
          <w:szCs w:val="16"/>
        </w:rPr>
        <w:footnoteRef/>
      </w:r>
      <w:r w:rsidRPr="00EF44CB">
        <w:rPr>
          <w:sz w:val="16"/>
          <w:szCs w:val="16"/>
        </w:rPr>
        <w:t xml:space="preserve"> According to the most recent data analyzed by the Centers for Disease Control and Prevention, 13.1% of all ED visits resulted in an inpatient admission. Therefore, MGH conservatively estimates 10% of ED visits would result in an inpatient admission. </w:t>
      </w:r>
    </w:p>
  </w:footnote>
  <w:footnote w:id="23">
    <w:p w14:paraId="301F62CE" w14:textId="4090279E" w:rsidR="0080384A" w:rsidRPr="0080384A" w:rsidRDefault="0080384A">
      <w:pPr>
        <w:pStyle w:val="FootnoteText"/>
        <w:rPr>
          <w:sz w:val="16"/>
          <w:szCs w:val="16"/>
        </w:rPr>
      </w:pPr>
      <w:r w:rsidRPr="0080384A">
        <w:rPr>
          <w:rStyle w:val="FootnoteReference"/>
          <w:sz w:val="16"/>
          <w:szCs w:val="16"/>
        </w:rPr>
        <w:footnoteRef/>
      </w:r>
      <w:r w:rsidRPr="0080384A">
        <w:rPr>
          <w:sz w:val="16"/>
          <w:szCs w:val="16"/>
        </w:rPr>
        <w:t xml:space="preserve"> The Applicant can request to add any of these beds via a Significant Change request and the beds may </w:t>
      </w:r>
      <w:proofErr w:type="gramStart"/>
      <w:r w:rsidRPr="0080384A">
        <w:rPr>
          <w:sz w:val="16"/>
          <w:szCs w:val="16"/>
        </w:rPr>
        <w:t>be located in</w:t>
      </w:r>
      <w:proofErr w:type="gramEnd"/>
      <w:r w:rsidRPr="0080384A">
        <w:rPr>
          <w:sz w:val="16"/>
          <w:szCs w:val="16"/>
        </w:rPr>
        <w:t xml:space="preserve"> any appropriate space on the MGH campus.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C189C" w14:textId="6ABF2662" w:rsidR="00D70499" w:rsidRDefault="00D70499">
    <w:pPr>
      <w:pStyle w:val="Header"/>
    </w:pPr>
  </w:p>
  <w:p w14:paraId="655AEB7F" w14:textId="77777777" w:rsidR="00F60F03" w:rsidRDefault="00F60F0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82F83" w14:textId="42306A53" w:rsidR="00D70499" w:rsidRDefault="00D70499">
    <w:pPr>
      <w:pStyle w:val="Header"/>
    </w:pPr>
  </w:p>
  <w:p w14:paraId="12C13589" w14:textId="77777777" w:rsidR="00F60F03" w:rsidRDefault="00F60F0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11432" w14:textId="1F070107" w:rsidR="00D70499" w:rsidRDefault="00D704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7474"/>
    <w:multiLevelType w:val="hybridMultilevel"/>
    <w:tmpl w:val="A29CBF7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02FC21A8"/>
    <w:multiLevelType w:val="hybridMultilevel"/>
    <w:tmpl w:val="DF685DBC"/>
    <w:lvl w:ilvl="0" w:tplc="540006DE">
      <w:numFmt w:val="bullet"/>
      <w:lvlText w:val=""/>
      <w:lvlJc w:val="left"/>
      <w:pPr>
        <w:ind w:left="466" w:hanging="361"/>
      </w:pPr>
      <w:rPr>
        <w:rFonts w:ascii="Symbol" w:eastAsia="Symbol" w:hAnsi="Symbol" w:cs="Symbol" w:hint="default"/>
        <w:w w:val="99"/>
        <w:sz w:val="14"/>
        <w:szCs w:val="14"/>
        <w:lang w:val="en-US" w:eastAsia="en-US" w:bidi="en-US"/>
      </w:rPr>
    </w:lvl>
    <w:lvl w:ilvl="1" w:tplc="ECE46F64">
      <w:numFmt w:val="bullet"/>
      <w:lvlText w:val="•"/>
      <w:lvlJc w:val="left"/>
      <w:pPr>
        <w:ind w:left="559" w:hanging="361"/>
      </w:pPr>
      <w:rPr>
        <w:rFonts w:hint="default"/>
        <w:lang w:val="en-US" w:eastAsia="en-US" w:bidi="en-US"/>
      </w:rPr>
    </w:lvl>
    <w:lvl w:ilvl="2" w:tplc="EF08C0DA">
      <w:numFmt w:val="bullet"/>
      <w:lvlText w:val="•"/>
      <w:lvlJc w:val="left"/>
      <w:pPr>
        <w:ind w:left="658" w:hanging="361"/>
      </w:pPr>
      <w:rPr>
        <w:rFonts w:hint="default"/>
        <w:lang w:val="en-US" w:eastAsia="en-US" w:bidi="en-US"/>
      </w:rPr>
    </w:lvl>
    <w:lvl w:ilvl="3" w:tplc="E22C57AE">
      <w:numFmt w:val="bullet"/>
      <w:lvlText w:val="•"/>
      <w:lvlJc w:val="left"/>
      <w:pPr>
        <w:ind w:left="757" w:hanging="361"/>
      </w:pPr>
      <w:rPr>
        <w:rFonts w:hint="default"/>
        <w:lang w:val="en-US" w:eastAsia="en-US" w:bidi="en-US"/>
      </w:rPr>
    </w:lvl>
    <w:lvl w:ilvl="4" w:tplc="05DE67DC">
      <w:numFmt w:val="bullet"/>
      <w:lvlText w:val="•"/>
      <w:lvlJc w:val="left"/>
      <w:pPr>
        <w:ind w:left="856" w:hanging="361"/>
      </w:pPr>
      <w:rPr>
        <w:rFonts w:hint="default"/>
        <w:lang w:val="en-US" w:eastAsia="en-US" w:bidi="en-US"/>
      </w:rPr>
    </w:lvl>
    <w:lvl w:ilvl="5" w:tplc="FF18D65A">
      <w:numFmt w:val="bullet"/>
      <w:lvlText w:val="•"/>
      <w:lvlJc w:val="left"/>
      <w:pPr>
        <w:ind w:left="956" w:hanging="361"/>
      </w:pPr>
      <w:rPr>
        <w:rFonts w:hint="default"/>
        <w:lang w:val="en-US" w:eastAsia="en-US" w:bidi="en-US"/>
      </w:rPr>
    </w:lvl>
    <w:lvl w:ilvl="6" w:tplc="E8A6C2D8">
      <w:numFmt w:val="bullet"/>
      <w:lvlText w:val="•"/>
      <w:lvlJc w:val="left"/>
      <w:pPr>
        <w:ind w:left="1055" w:hanging="361"/>
      </w:pPr>
      <w:rPr>
        <w:rFonts w:hint="default"/>
        <w:lang w:val="en-US" w:eastAsia="en-US" w:bidi="en-US"/>
      </w:rPr>
    </w:lvl>
    <w:lvl w:ilvl="7" w:tplc="50821FFE">
      <w:numFmt w:val="bullet"/>
      <w:lvlText w:val="•"/>
      <w:lvlJc w:val="left"/>
      <w:pPr>
        <w:ind w:left="1154" w:hanging="361"/>
      </w:pPr>
      <w:rPr>
        <w:rFonts w:hint="default"/>
        <w:lang w:val="en-US" w:eastAsia="en-US" w:bidi="en-US"/>
      </w:rPr>
    </w:lvl>
    <w:lvl w:ilvl="8" w:tplc="DC705CA2">
      <w:numFmt w:val="bullet"/>
      <w:lvlText w:val="•"/>
      <w:lvlJc w:val="left"/>
      <w:pPr>
        <w:ind w:left="1253" w:hanging="361"/>
      </w:pPr>
      <w:rPr>
        <w:rFonts w:hint="default"/>
        <w:lang w:val="en-US" w:eastAsia="en-US" w:bidi="en-US"/>
      </w:rPr>
    </w:lvl>
  </w:abstractNum>
  <w:abstractNum w:abstractNumId="2" w15:restartNumberingAfterBreak="0">
    <w:nsid w:val="083E7442"/>
    <w:multiLevelType w:val="hybridMultilevel"/>
    <w:tmpl w:val="B76653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CC72F"/>
    <w:multiLevelType w:val="hybridMultilevel"/>
    <w:tmpl w:val="FFFFFFFF"/>
    <w:lvl w:ilvl="0" w:tplc="D2489DD2">
      <w:start w:val="1"/>
      <w:numFmt w:val="decimal"/>
      <w:lvlText w:val="%1."/>
      <w:lvlJc w:val="left"/>
      <w:pPr>
        <w:ind w:left="720" w:hanging="360"/>
      </w:pPr>
    </w:lvl>
    <w:lvl w:ilvl="1" w:tplc="103070A4">
      <w:start w:val="1"/>
      <w:numFmt w:val="lowerLetter"/>
      <w:lvlText w:val="%2."/>
      <w:lvlJc w:val="left"/>
      <w:pPr>
        <w:ind w:left="1440" w:hanging="360"/>
      </w:pPr>
    </w:lvl>
    <w:lvl w:ilvl="2" w:tplc="D316968C">
      <w:start w:val="2"/>
      <w:numFmt w:val="lowerRoman"/>
      <w:lvlText w:val="%3."/>
      <w:lvlJc w:val="right"/>
      <w:pPr>
        <w:ind w:left="2160" w:hanging="180"/>
      </w:pPr>
    </w:lvl>
    <w:lvl w:ilvl="3" w:tplc="0422DF68">
      <w:start w:val="1"/>
      <w:numFmt w:val="decimal"/>
      <w:lvlText w:val="%4."/>
      <w:lvlJc w:val="left"/>
      <w:pPr>
        <w:ind w:left="2880" w:hanging="360"/>
      </w:pPr>
    </w:lvl>
    <w:lvl w:ilvl="4" w:tplc="27EAA788">
      <w:start w:val="1"/>
      <w:numFmt w:val="lowerLetter"/>
      <w:lvlText w:val="%5."/>
      <w:lvlJc w:val="left"/>
      <w:pPr>
        <w:ind w:left="3600" w:hanging="360"/>
      </w:pPr>
    </w:lvl>
    <w:lvl w:ilvl="5" w:tplc="8084C02C">
      <w:start w:val="1"/>
      <w:numFmt w:val="lowerRoman"/>
      <w:lvlText w:val="%6."/>
      <w:lvlJc w:val="right"/>
      <w:pPr>
        <w:ind w:left="4320" w:hanging="180"/>
      </w:pPr>
    </w:lvl>
    <w:lvl w:ilvl="6" w:tplc="0320492E">
      <w:start w:val="1"/>
      <w:numFmt w:val="decimal"/>
      <w:lvlText w:val="%7."/>
      <w:lvlJc w:val="left"/>
      <w:pPr>
        <w:ind w:left="5040" w:hanging="360"/>
      </w:pPr>
    </w:lvl>
    <w:lvl w:ilvl="7" w:tplc="DA44F2EE">
      <w:start w:val="1"/>
      <w:numFmt w:val="lowerLetter"/>
      <w:lvlText w:val="%8."/>
      <w:lvlJc w:val="left"/>
      <w:pPr>
        <w:ind w:left="5760" w:hanging="360"/>
      </w:pPr>
    </w:lvl>
    <w:lvl w:ilvl="8" w:tplc="59209AC0">
      <w:start w:val="1"/>
      <w:numFmt w:val="lowerRoman"/>
      <w:lvlText w:val="%9."/>
      <w:lvlJc w:val="right"/>
      <w:pPr>
        <w:ind w:left="6480" w:hanging="180"/>
      </w:pPr>
    </w:lvl>
  </w:abstractNum>
  <w:abstractNum w:abstractNumId="4" w15:restartNumberingAfterBreak="0">
    <w:nsid w:val="0A9B0F4D"/>
    <w:multiLevelType w:val="hybridMultilevel"/>
    <w:tmpl w:val="2508F410"/>
    <w:lvl w:ilvl="0" w:tplc="A04CEB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C375ABE"/>
    <w:multiLevelType w:val="hybridMultilevel"/>
    <w:tmpl w:val="DC16B57E"/>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10D20670"/>
    <w:multiLevelType w:val="hybridMultilevel"/>
    <w:tmpl w:val="732851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E752F1"/>
    <w:multiLevelType w:val="hybridMultilevel"/>
    <w:tmpl w:val="4ABED0B0"/>
    <w:lvl w:ilvl="0" w:tplc="A0AC7EE0">
      <w:numFmt w:val="bullet"/>
      <w:lvlText w:val=""/>
      <w:lvlJc w:val="left"/>
      <w:pPr>
        <w:ind w:left="467" w:hanging="361"/>
      </w:pPr>
      <w:rPr>
        <w:rFonts w:ascii="Symbol" w:eastAsia="Symbol" w:hAnsi="Symbol" w:cs="Symbol" w:hint="default"/>
        <w:color w:val="0070C0"/>
        <w:w w:val="100"/>
        <w:sz w:val="16"/>
        <w:szCs w:val="16"/>
        <w:lang w:val="en-US" w:eastAsia="en-US" w:bidi="en-US"/>
      </w:rPr>
    </w:lvl>
    <w:lvl w:ilvl="1" w:tplc="C36CB17E">
      <w:numFmt w:val="bullet"/>
      <w:lvlText w:val="•"/>
      <w:lvlJc w:val="left"/>
      <w:pPr>
        <w:ind w:left="577" w:hanging="361"/>
      </w:pPr>
      <w:rPr>
        <w:rFonts w:hint="default"/>
        <w:lang w:val="en-US" w:eastAsia="en-US" w:bidi="en-US"/>
      </w:rPr>
    </w:lvl>
    <w:lvl w:ilvl="2" w:tplc="B0068100">
      <w:numFmt w:val="bullet"/>
      <w:lvlText w:val="•"/>
      <w:lvlJc w:val="left"/>
      <w:pPr>
        <w:ind w:left="694" w:hanging="361"/>
      </w:pPr>
      <w:rPr>
        <w:rFonts w:hint="default"/>
        <w:lang w:val="en-US" w:eastAsia="en-US" w:bidi="en-US"/>
      </w:rPr>
    </w:lvl>
    <w:lvl w:ilvl="3" w:tplc="7D98C414">
      <w:numFmt w:val="bullet"/>
      <w:lvlText w:val="•"/>
      <w:lvlJc w:val="left"/>
      <w:pPr>
        <w:ind w:left="811" w:hanging="361"/>
      </w:pPr>
      <w:rPr>
        <w:rFonts w:hint="default"/>
        <w:lang w:val="en-US" w:eastAsia="en-US" w:bidi="en-US"/>
      </w:rPr>
    </w:lvl>
    <w:lvl w:ilvl="4" w:tplc="B32074CC">
      <w:numFmt w:val="bullet"/>
      <w:lvlText w:val="•"/>
      <w:lvlJc w:val="left"/>
      <w:pPr>
        <w:ind w:left="928" w:hanging="361"/>
      </w:pPr>
      <w:rPr>
        <w:rFonts w:hint="default"/>
        <w:lang w:val="en-US" w:eastAsia="en-US" w:bidi="en-US"/>
      </w:rPr>
    </w:lvl>
    <w:lvl w:ilvl="5" w:tplc="50B46874">
      <w:numFmt w:val="bullet"/>
      <w:lvlText w:val="•"/>
      <w:lvlJc w:val="left"/>
      <w:pPr>
        <w:ind w:left="1046" w:hanging="361"/>
      </w:pPr>
      <w:rPr>
        <w:rFonts w:hint="default"/>
        <w:lang w:val="en-US" w:eastAsia="en-US" w:bidi="en-US"/>
      </w:rPr>
    </w:lvl>
    <w:lvl w:ilvl="6" w:tplc="BD58489C">
      <w:numFmt w:val="bullet"/>
      <w:lvlText w:val="•"/>
      <w:lvlJc w:val="left"/>
      <w:pPr>
        <w:ind w:left="1163" w:hanging="361"/>
      </w:pPr>
      <w:rPr>
        <w:rFonts w:hint="default"/>
        <w:lang w:val="en-US" w:eastAsia="en-US" w:bidi="en-US"/>
      </w:rPr>
    </w:lvl>
    <w:lvl w:ilvl="7" w:tplc="DC182420">
      <w:numFmt w:val="bullet"/>
      <w:lvlText w:val="•"/>
      <w:lvlJc w:val="left"/>
      <w:pPr>
        <w:ind w:left="1280" w:hanging="361"/>
      </w:pPr>
      <w:rPr>
        <w:rFonts w:hint="default"/>
        <w:lang w:val="en-US" w:eastAsia="en-US" w:bidi="en-US"/>
      </w:rPr>
    </w:lvl>
    <w:lvl w:ilvl="8" w:tplc="68D8B6EC">
      <w:numFmt w:val="bullet"/>
      <w:lvlText w:val="•"/>
      <w:lvlJc w:val="left"/>
      <w:pPr>
        <w:ind w:left="1397" w:hanging="361"/>
      </w:pPr>
      <w:rPr>
        <w:rFonts w:hint="default"/>
        <w:lang w:val="en-US" w:eastAsia="en-US" w:bidi="en-US"/>
      </w:rPr>
    </w:lvl>
  </w:abstractNum>
  <w:abstractNum w:abstractNumId="8" w15:restartNumberingAfterBreak="0">
    <w:nsid w:val="14581D55"/>
    <w:multiLevelType w:val="hybridMultilevel"/>
    <w:tmpl w:val="808E5E96"/>
    <w:lvl w:ilvl="0" w:tplc="38883D42">
      <w:start w:val="1"/>
      <w:numFmt w:val="lowerLetter"/>
      <w:lvlText w:val="%1."/>
      <w:lvlJc w:val="left"/>
      <w:pPr>
        <w:ind w:left="720" w:hanging="360"/>
      </w:pPr>
      <w:rPr>
        <w:rFonts w:ascii="CIDFont+F2" w:eastAsia="Times New Roman" w:hAnsi="CIDFont+F2" w:cs="CIDFont+F2"/>
      </w:rPr>
    </w:lvl>
    <w:lvl w:ilvl="1" w:tplc="190EB24A">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DC9FA9"/>
    <w:multiLevelType w:val="hybridMultilevel"/>
    <w:tmpl w:val="FFFFFFFF"/>
    <w:lvl w:ilvl="0" w:tplc="F5C4E712">
      <w:start w:val="1"/>
      <w:numFmt w:val="decimal"/>
      <w:lvlText w:val="%1."/>
      <w:lvlJc w:val="left"/>
      <w:pPr>
        <w:ind w:left="720" w:hanging="360"/>
      </w:pPr>
    </w:lvl>
    <w:lvl w:ilvl="1" w:tplc="36801998">
      <w:start w:val="1"/>
      <w:numFmt w:val="lowerLetter"/>
      <w:lvlText w:val="%2."/>
      <w:lvlJc w:val="left"/>
      <w:pPr>
        <w:ind w:left="1440" w:hanging="360"/>
      </w:pPr>
    </w:lvl>
    <w:lvl w:ilvl="2" w:tplc="1A14FA86">
      <w:start w:val="1"/>
      <w:numFmt w:val="lowerRoman"/>
      <w:lvlText w:val="%3."/>
      <w:lvlJc w:val="right"/>
      <w:pPr>
        <w:ind w:left="2160" w:hanging="180"/>
      </w:pPr>
    </w:lvl>
    <w:lvl w:ilvl="3" w:tplc="9F7CE88C">
      <w:start w:val="1"/>
      <w:numFmt w:val="decimal"/>
      <w:lvlText w:val="%4."/>
      <w:lvlJc w:val="left"/>
      <w:pPr>
        <w:ind w:left="2880" w:hanging="360"/>
      </w:pPr>
    </w:lvl>
    <w:lvl w:ilvl="4" w:tplc="DCEE35D4">
      <w:start w:val="1"/>
      <w:numFmt w:val="lowerLetter"/>
      <w:lvlText w:val="%5."/>
      <w:lvlJc w:val="left"/>
      <w:pPr>
        <w:ind w:left="3600" w:hanging="360"/>
      </w:pPr>
    </w:lvl>
    <w:lvl w:ilvl="5" w:tplc="651C499C">
      <w:start w:val="1"/>
      <w:numFmt w:val="lowerRoman"/>
      <w:lvlText w:val="%6."/>
      <w:lvlJc w:val="right"/>
      <w:pPr>
        <w:ind w:left="4320" w:hanging="180"/>
      </w:pPr>
    </w:lvl>
    <w:lvl w:ilvl="6" w:tplc="53A090A2">
      <w:start w:val="1"/>
      <w:numFmt w:val="decimal"/>
      <w:lvlText w:val="%7."/>
      <w:lvlJc w:val="left"/>
      <w:pPr>
        <w:ind w:left="5040" w:hanging="360"/>
      </w:pPr>
    </w:lvl>
    <w:lvl w:ilvl="7" w:tplc="3ABA46BA">
      <w:start w:val="1"/>
      <w:numFmt w:val="lowerLetter"/>
      <w:lvlText w:val="%8."/>
      <w:lvlJc w:val="left"/>
      <w:pPr>
        <w:ind w:left="5760" w:hanging="360"/>
      </w:pPr>
    </w:lvl>
    <w:lvl w:ilvl="8" w:tplc="CCDA8454">
      <w:start w:val="1"/>
      <w:numFmt w:val="lowerRoman"/>
      <w:lvlText w:val="%9."/>
      <w:lvlJc w:val="right"/>
      <w:pPr>
        <w:ind w:left="6480" w:hanging="180"/>
      </w:pPr>
    </w:lvl>
  </w:abstractNum>
  <w:abstractNum w:abstractNumId="10" w15:restartNumberingAfterBreak="0">
    <w:nsid w:val="1817C13F"/>
    <w:multiLevelType w:val="hybridMultilevel"/>
    <w:tmpl w:val="FFFFFFFF"/>
    <w:lvl w:ilvl="0" w:tplc="9F9A6E8C">
      <w:start w:val="5"/>
      <w:numFmt w:val="lowerLetter"/>
      <w:lvlText w:val="%1."/>
      <w:lvlJc w:val="left"/>
      <w:pPr>
        <w:ind w:left="720" w:hanging="360"/>
      </w:pPr>
    </w:lvl>
    <w:lvl w:ilvl="1" w:tplc="6BCABBC0">
      <w:start w:val="1"/>
      <w:numFmt w:val="lowerLetter"/>
      <w:lvlText w:val="%2."/>
      <w:lvlJc w:val="left"/>
      <w:pPr>
        <w:ind w:left="1440" w:hanging="360"/>
      </w:pPr>
    </w:lvl>
    <w:lvl w:ilvl="2" w:tplc="438A562A">
      <w:start w:val="1"/>
      <w:numFmt w:val="lowerRoman"/>
      <w:lvlText w:val="%3."/>
      <w:lvlJc w:val="right"/>
      <w:pPr>
        <w:ind w:left="2160" w:hanging="180"/>
      </w:pPr>
    </w:lvl>
    <w:lvl w:ilvl="3" w:tplc="0CB4B13C">
      <w:start w:val="1"/>
      <w:numFmt w:val="decimal"/>
      <w:lvlText w:val="%4."/>
      <w:lvlJc w:val="left"/>
      <w:pPr>
        <w:ind w:left="2880" w:hanging="360"/>
      </w:pPr>
    </w:lvl>
    <w:lvl w:ilvl="4" w:tplc="0042341E">
      <w:start w:val="1"/>
      <w:numFmt w:val="lowerLetter"/>
      <w:lvlText w:val="%5."/>
      <w:lvlJc w:val="left"/>
      <w:pPr>
        <w:ind w:left="3600" w:hanging="360"/>
      </w:pPr>
    </w:lvl>
    <w:lvl w:ilvl="5" w:tplc="DA50B3E2">
      <w:start w:val="1"/>
      <w:numFmt w:val="lowerRoman"/>
      <w:lvlText w:val="%6."/>
      <w:lvlJc w:val="right"/>
      <w:pPr>
        <w:ind w:left="4320" w:hanging="180"/>
      </w:pPr>
    </w:lvl>
    <w:lvl w:ilvl="6" w:tplc="81063A80">
      <w:start w:val="1"/>
      <w:numFmt w:val="decimal"/>
      <w:lvlText w:val="%7."/>
      <w:lvlJc w:val="left"/>
      <w:pPr>
        <w:ind w:left="5040" w:hanging="360"/>
      </w:pPr>
    </w:lvl>
    <w:lvl w:ilvl="7" w:tplc="9CDC2824">
      <w:start w:val="1"/>
      <w:numFmt w:val="lowerLetter"/>
      <w:lvlText w:val="%8."/>
      <w:lvlJc w:val="left"/>
      <w:pPr>
        <w:ind w:left="5760" w:hanging="360"/>
      </w:pPr>
    </w:lvl>
    <w:lvl w:ilvl="8" w:tplc="558A0894">
      <w:start w:val="1"/>
      <w:numFmt w:val="lowerRoman"/>
      <w:lvlText w:val="%9."/>
      <w:lvlJc w:val="right"/>
      <w:pPr>
        <w:ind w:left="6480" w:hanging="180"/>
      </w:pPr>
    </w:lvl>
  </w:abstractNum>
  <w:abstractNum w:abstractNumId="11" w15:restartNumberingAfterBreak="0">
    <w:nsid w:val="186807E9"/>
    <w:multiLevelType w:val="hybridMultilevel"/>
    <w:tmpl w:val="1168343E"/>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2" w15:restartNumberingAfterBreak="0">
    <w:nsid w:val="18BD3CCA"/>
    <w:multiLevelType w:val="hybridMultilevel"/>
    <w:tmpl w:val="87625B08"/>
    <w:lvl w:ilvl="0" w:tplc="D96A571E">
      <w:start w:val="2"/>
      <w:numFmt w:val="decimal"/>
      <w:lvlText w:val="%1."/>
      <w:lvlJc w:val="left"/>
      <w:pPr>
        <w:ind w:left="800" w:hanging="221"/>
      </w:pPr>
      <w:rPr>
        <w:rFonts w:ascii="Calibri" w:eastAsia="Calibri" w:hAnsi="Calibri" w:cs="Calibri" w:hint="default"/>
        <w:b/>
        <w:bCs/>
        <w:w w:val="100"/>
        <w:sz w:val="22"/>
        <w:szCs w:val="22"/>
        <w:lang w:val="en-US" w:eastAsia="en-US" w:bidi="en-US"/>
      </w:rPr>
    </w:lvl>
    <w:lvl w:ilvl="1" w:tplc="95683872">
      <w:numFmt w:val="bullet"/>
      <w:lvlText w:val=""/>
      <w:lvlJc w:val="left"/>
      <w:pPr>
        <w:ind w:left="1300" w:hanging="361"/>
      </w:pPr>
      <w:rPr>
        <w:rFonts w:ascii="Symbol" w:eastAsia="Symbol" w:hAnsi="Symbol" w:cs="Symbol" w:hint="default"/>
        <w:w w:val="100"/>
        <w:sz w:val="22"/>
        <w:szCs w:val="22"/>
        <w:lang w:val="en-US" w:eastAsia="en-US" w:bidi="en-US"/>
      </w:rPr>
    </w:lvl>
    <w:lvl w:ilvl="2" w:tplc="FD5086E0">
      <w:numFmt w:val="bullet"/>
      <w:lvlText w:val="•"/>
      <w:lvlJc w:val="left"/>
      <w:pPr>
        <w:ind w:left="2284" w:hanging="361"/>
      </w:pPr>
      <w:rPr>
        <w:rFonts w:hint="default"/>
        <w:lang w:val="en-US" w:eastAsia="en-US" w:bidi="en-US"/>
      </w:rPr>
    </w:lvl>
    <w:lvl w:ilvl="3" w:tplc="DEBC684A">
      <w:numFmt w:val="bullet"/>
      <w:lvlText w:val="•"/>
      <w:lvlJc w:val="left"/>
      <w:pPr>
        <w:ind w:left="3268" w:hanging="361"/>
      </w:pPr>
      <w:rPr>
        <w:rFonts w:hint="default"/>
        <w:lang w:val="en-US" w:eastAsia="en-US" w:bidi="en-US"/>
      </w:rPr>
    </w:lvl>
    <w:lvl w:ilvl="4" w:tplc="449C8830">
      <w:numFmt w:val="bullet"/>
      <w:lvlText w:val="•"/>
      <w:lvlJc w:val="left"/>
      <w:pPr>
        <w:ind w:left="4253" w:hanging="361"/>
      </w:pPr>
      <w:rPr>
        <w:rFonts w:hint="default"/>
        <w:lang w:val="en-US" w:eastAsia="en-US" w:bidi="en-US"/>
      </w:rPr>
    </w:lvl>
    <w:lvl w:ilvl="5" w:tplc="FACAAABE">
      <w:numFmt w:val="bullet"/>
      <w:lvlText w:val="•"/>
      <w:lvlJc w:val="left"/>
      <w:pPr>
        <w:ind w:left="5237" w:hanging="361"/>
      </w:pPr>
      <w:rPr>
        <w:rFonts w:hint="default"/>
        <w:lang w:val="en-US" w:eastAsia="en-US" w:bidi="en-US"/>
      </w:rPr>
    </w:lvl>
    <w:lvl w:ilvl="6" w:tplc="C9B80A74">
      <w:numFmt w:val="bullet"/>
      <w:lvlText w:val="•"/>
      <w:lvlJc w:val="left"/>
      <w:pPr>
        <w:ind w:left="6222" w:hanging="361"/>
      </w:pPr>
      <w:rPr>
        <w:rFonts w:hint="default"/>
        <w:lang w:val="en-US" w:eastAsia="en-US" w:bidi="en-US"/>
      </w:rPr>
    </w:lvl>
    <w:lvl w:ilvl="7" w:tplc="8440206C">
      <w:numFmt w:val="bullet"/>
      <w:lvlText w:val="•"/>
      <w:lvlJc w:val="left"/>
      <w:pPr>
        <w:ind w:left="7206" w:hanging="361"/>
      </w:pPr>
      <w:rPr>
        <w:rFonts w:hint="default"/>
        <w:lang w:val="en-US" w:eastAsia="en-US" w:bidi="en-US"/>
      </w:rPr>
    </w:lvl>
    <w:lvl w:ilvl="8" w:tplc="21C4A282">
      <w:numFmt w:val="bullet"/>
      <w:lvlText w:val="•"/>
      <w:lvlJc w:val="left"/>
      <w:pPr>
        <w:ind w:left="8191" w:hanging="361"/>
      </w:pPr>
      <w:rPr>
        <w:rFonts w:hint="default"/>
        <w:lang w:val="en-US" w:eastAsia="en-US" w:bidi="en-US"/>
      </w:rPr>
    </w:lvl>
  </w:abstractNum>
  <w:abstractNum w:abstractNumId="13" w15:restartNumberingAfterBreak="0">
    <w:nsid w:val="1AD09031"/>
    <w:multiLevelType w:val="hybridMultilevel"/>
    <w:tmpl w:val="FFFFFFFF"/>
    <w:lvl w:ilvl="0" w:tplc="F97A52EA">
      <w:start w:val="1"/>
      <w:numFmt w:val="decimal"/>
      <w:lvlText w:val="%1."/>
      <w:lvlJc w:val="left"/>
      <w:pPr>
        <w:ind w:left="720" w:hanging="360"/>
      </w:pPr>
    </w:lvl>
    <w:lvl w:ilvl="1" w:tplc="4EC2FF40">
      <w:start w:val="1"/>
      <w:numFmt w:val="lowerLetter"/>
      <w:lvlText w:val="%2."/>
      <w:lvlJc w:val="left"/>
      <w:pPr>
        <w:ind w:left="1440" w:hanging="360"/>
      </w:pPr>
    </w:lvl>
    <w:lvl w:ilvl="2" w:tplc="EBCA26D0">
      <w:start w:val="2"/>
      <w:numFmt w:val="lowerRoman"/>
      <w:lvlText w:val="%3."/>
      <w:lvlJc w:val="right"/>
      <w:pPr>
        <w:ind w:left="2160" w:hanging="180"/>
      </w:pPr>
    </w:lvl>
    <w:lvl w:ilvl="3" w:tplc="763EC270">
      <w:start w:val="1"/>
      <w:numFmt w:val="decimal"/>
      <w:lvlText w:val="%4."/>
      <w:lvlJc w:val="left"/>
      <w:pPr>
        <w:ind w:left="2880" w:hanging="360"/>
      </w:pPr>
    </w:lvl>
    <w:lvl w:ilvl="4" w:tplc="EA008E66">
      <w:start w:val="1"/>
      <w:numFmt w:val="lowerLetter"/>
      <w:lvlText w:val="%5."/>
      <w:lvlJc w:val="left"/>
      <w:pPr>
        <w:ind w:left="3600" w:hanging="360"/>
      </w:pPr>
    </w:lvl>
    <w:lvl w:ilvl="5" w:tplc="507C2C6E">
      <w:start w:val="1"/>
      <w:numFmt w:val="lowerRoman"/>
      <w:lvlText w:val="%6."/>
      <w:lvlJc w:val="right"/>
      <w:pPr>
        <w:ind w:left="4320" w:hanging="180"/>
      </w:pPr>
    </w:lvl>
    <w:lvl w:ilvl="6" w:tplc="DA3EFE78">
      <w:start w:val="1"/>
      <w:numFmt w:val="decimal"/>
      <w:lvlText w:val="%7."/>
      <w:lvlJc w:val="left"/>
      <w:pPr>
        <w:ind w:left="5040" w:hanging="360"/>
      </w:pPr>
    </w:lvl>
    <w:lvl w:ilvl="7" w:tplc="D028140E">
      <w:start w:val="1"/>
      <w:numFmt w:val="lowerLetter"/>
      <w:lvlText w:val="%8."/>
      <w:lvlJc w:val="left"/>
      <w:pPr>
        <w:ind w:left="5760" w:hanging="360"/>
      </w:pPr>
    </w:lvl>
    <w:lvl w:ilvl="8" w:tplc="D6CE4F78">
      <w:start w:val="1"/>
      <w:numFmt w:val="lowerRoman"/>
      <w:lvlText w:val="%9."/>
      <w:lvlJc w:val="right"/>
      <w:pPr>
        <w:ind w:left="6480" w:hanging="180"/>
      </w:pPr>
    </w:lvl>
  </w:abstractNum>
  <w:abstractNum w:abstractNumId="14" w15:restartNumberingAfterBreak="0">
    <w:nsid w:val="1B960BD7"/>
    <w:multiLevelType w:val="hybridMultilevel"/>
    <w:tmpl w:val="D87460F2"/>
    <w:lvl w:ilvl="0" w:tplc="93E8938C">
      <w:numFmt w:val="bullet"/>
      <w:lvlText w:val=""/>
      <w:lvlJc w:val="left"/>
      <w:pPr>
        <w:ind w:left="467" w:hanging="361"/>
      </w:pPr>
      <w:rPr>
        <w:rFonts w:ascii="Symbol" w:eastAsia="Symbol" w:hAnsi="Symbol" w:cs="Symbol" w:hint="default"/>
        <w:color w:val="0070C0"/>
        <w:w w:val="100"/>
        <w:sz w:val="16"/>
        <w:szCs w:val="16"/>
        <w:lang w:val="en-US" w:eastAsia="en-US" w:bidi="en-US"/>
      </w:rPr>
    </w:lvl>
    <w:lvl w:ilvl="1" w:tplc="D9DC5A70">
      <w:numFmt w:val="bullet"/>
      <w:lvlText w:val="•"/>
      <w:lvlJc w:val="left"/>
      <w:pPr>
        <w:ind w:left="577" w:hanging="361"/>
      </w:pPr>
      <w:rPr>
        <w:rFonts w:hint="default"/>
        <w:lang w:val="en-US" w:eastAsia="en-US" w:bidi="en-US"/>
      </w:rPr>
    </w:lvl>
    <w:lvl w:ilvl="2" w:tplc="E0CCAE2C">
      <w:numFmt w:val="bullet"/>
      <w:lvlText w:val="•"/>
      <w:lvlJc w:val="left"/>
      <w:pPr>
        <w:ind w:left="694" w:hanging="361"/>
      </w:pPr>
      <w:rPr>
        <w:rFonts w:hint="default"/>
        <w:lang w:val="en-US" w:eastAsia="en-US" w:bidi="en-US"/>
      </w:rPr>
    </w:lvl>
    <w:lvl w:ilvl="3" w:tplc="45EA875A">
      <w:numFmt w:val="bullet"/>
      <w:lvlText w:val="•"/>
      <w:lvlJc w:val="left"/>
      <w:pPr>
        <w:ind w:left="811" w:hanging="361"/>
      </w:pPr>
      <w:rPr>
        <w:rFonts w:hint="default"/>
        <w:lang w:val="en-US" w:eastAsia="en-US" w:bidi="en-US"/>
      </w:rPr>
    </w:lvl>
    <w:lvl w:ilvl="4" w:tplc="229067B8">
      <w:numFmt w:val="bullet"/>
      <w:lvlText w:val="•"/>
      <w:lvlJc w:val="left"/>
      <w:pPr>
        <w:ind w:left="928" w:hanging="361"/>
      </w:pPr>
      <w:rPr>
        <w:rFonts w:hint="default"/>
        <w:lang w:val="en-US" w:eastAsia="en-US" w:bidi="en-US"/>
      </w:rPr>
    </w:lvl>
    <w:lvl w:ilvl="5" w:tplc="7DAEF5C6">
      <w:numFmt w:val="bullet"/>
      <w:lvlText w:val="•"/>
      <w:lvlJc w:val="left"/>
      <w:pPr>
        <w:ind w:left="1046" w:hanging="361"/>
      </w:pPr>
      <w:rPr>
        <w:rFonts w:hint="default"/>
        <w:lang w:val="en-US" w:eastAsia="en-US" w:bidi="en-US"/>
      </w:rPr>
    </w:lvl>
    <w:lvl w:ilvl="6" w:tplc="61B84C66">
      <w:numFmt w:val="bullet"/>
      <w:lvlText w:val="•"/>
      <w:lvlJc w:val="left"/>
      <w:pPr>
        <w:ind w:left="1163" w:hanging="361"/>
      </w:pPr>
      <w:rPr>
        <w:rFonts w:hint="default"/>
        <w:lang w:val="en-US" w:eastAsia="en-US" w:bidi="en-US"/>
      </w:rPr>
    </w:lvl>
    <w:lvl w:ilvl="7" w:tplc="44721ED6">
      <w:numFmt w:val="bullet"/>
      <w:lvlText w:val="•"/>
      <w:lvlJc w:val="left"/>
      <w:pPr>
        <w:ind w:left="1280" w:hanging="361"/>
      </w:pPr>
      <w:rPr>
        <w:rFonts w:hint="default"/>
        <w:lang w:val="en-US" w:eastAsia="en-US" w:bidi="en-US"/>
      </w:rPr>
    </w:lvl>
    <w:lvl w:ilvl="8" w:tplc="4C607AD8">
      <w:numFmt w:val="bullet"/>
      <w:lvlText w:val="•"/>
      <w:lvlJc w:val="left"/>
      <w:pPr>
        <w:ind w:left="1397" w:hanging="361"/>
      </w:pPr>
      <w:rPr>
        <w:rFonts w:hint="default"/>
        <w:lang w:val="en-US" w:eastAsia="en-US" w:bidi="en-US"/>
      </w:rPr>
    </w:lvl>
  </w:abstractNum>
  <w:abstractNum w:abstractNumId="15" w15:restartNumberingAfterBreak="0">
    <w:nsid w:val="1BD31456"/>
    <w:multiLevelType w:val="hybridMultilevel"/>
    <w:tmpl w:val="C05400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DD94D93"/>
    <w:multiLevelType w:val="hybridMultilevel"/>
    <w:tmpl w:val="71F8D68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BB5E29"/>
    <w:multiLevelType w:val="hybridMultilevel"/>
    <w:tmpl w:val="FFFFFFFF"/>
    <w:lvl w:ilvl="0" w:tplc="60483262">
      <w:start w:val="4"/>
      <w:numFmt w:val="lowerLetter"/>
      <w:lvlText w:val="%1."/>
      <w:lvlJc w:val="left"/>
      <w:pPr>
        <w:ind w:left="720" w:hanging="360"/>
      </w:pPr>
    </w:lvl>
    <w:lvl w:ilvl="1" w:tplc="4F96815A">
      <w:start w:val="1"/>
      <w:numFmt w:val="lowerLetter"/>
      <w:lvlText w:val="%2."/>
      <w:lvlJc w:val="left"/>
      <w:pPr>
        <w:ind w:left="1440" w:hanging="360"/>
      </w:pPr>
    </w:lvl>
    <w:lvl w:ilvl="2" w:tplc="0150AC66">
      <w:start w:val="1"/>
      <w:numFmt w:val="lowerRoman"/>
      <w:lvlText w:val="%3."/>
      <w:lvlJc w:val="right"/>
      <w:pPr>
        <w:ind w:left="2160" w:hanging="180"/>
      </w:pPr>
    </w:lvl>
    <w:lvl w:ilvl="3" w:tplc="4914DFCA">
      <w:start w:val="1"/>
      <w:numFmt w:val="decimal"/>
      <w:lvlText w:val="%4."/>
      <w:lvlJc w:val="left"/>
      <w:pPr>
        <w:ind w:left="2880" w:hanging="360"/>
      </w:pPr>
    </w:lvl>
    <w:lvl w:ilvl="4" w:tplc="DD7EAA5E">
      <w:start w:val="1"/>
      <w:numFmt w:val="lowerLetter"/>
      <w:lvlText w:val="%5."/>
      <w:lvlJc w:val="left"/>
      <w:pPr>
        <w:ind w:left="3600" w:hanging="360"/>
      </w:pPr>
    </w:lvl>
    <w:lvl w:ilvl="5" w:tplc="48425E7C">
      <w:start w:val="1"/>
      <w:numFmt w:val="lowerRoman"/>
      <w:lvlText w:val="%6."/>
      <w:lvlJc w:val="right"/>
      <w:pPr>
        <w:ind w:left="4320" w:hanging="180"/>
      </w:pPr>
    </w:lvl>
    <w:lvl w:ilvl="6" w:tplc="1454486C">
      <w:start w:val="1"/>
      <w:numFmt w:val="decimal"/>
      <w:lvlText w:val="%7."/>
      <w:lvlJc w:val="left"/>
      <w:pPr>
        <w:ind w:left="5040" w:hanging="360"/>
      </w:pPr>
    </w:lvl>
    <w:lvl w:ilvl="7" w:tplc="D6400342">
      <w:start w:val="1"/>
      <w:numFmt w:val="lowerLetter"/>
      <w:lvlText w:val="%8."/>
      <w:lvlJc w:val="left"/>
      <w:pPr>
        <w:ind w:left="5760" w:hanging="360"/>
      </w:pPr>
    </w:lvl>
    <w:lvl w:ilvl="8" w:tplc="66DED1CC">
      <w:start w:val="1"/>
      <w:numFmt w:val="lowerRoman"/>
      <w:lvlText w:val="%9."/>
      <w:lvlJc w:val="right"/>
      <w:pPr>
        <w:ind w:left="6480" w:hanging="180"/>
      </w:pPr>
    </w:lvl>
  </w:abstractNum>
  <w:abstractNum w:abstractNumId="18" w15:restartNumberingAfterBreak="0">
    <w:nsid w:val="21EA40A2"/>
    <w:multiLevelType w:val="hybridMultilevel"/>
    <w:tmpl w:val="7BB43C5C"/>
    <w:lvl w:ilvl="0" w:tplc="0F045690">
      <w:numFmt w:val="bullet"/>
      <w:lvlText w:val=""/>
      <w:lvlJc w:val="left"/>
      <w:pPr>
        <w:ind w:left="466" w:hanging="361"/>
      </w:pPr>
      <w:rPr>
        <w:rFonts w:ascii="Symbol" w:eastAsia="Symbol" w:hAnsi="Symbol" w:cs="Symbol" w:hint="default"/>
        <w:w w:val="99"/>
        <w:sz w:val="14"/>
        <w:szCs w:val="14"/>
        <w:lang w:val="en-US" w:eastAsia="en-US" w:bidi="en-US"/>
      </w:rPr>
    </w:lvl>
    <w:lvl w:ilvl="1" w:tplc="4E8CAE2C">
      <w:numFmt w:val="bullet"/>
      <w:lvlText w:val="•"/>
      <w:lvlJc w:val="left"/>
      <w:pPr>
        <w:ind w:left="559" w:hanging="361"/>
      </w:pPr>
      <w:rPr>
        <w:rFonts w:hint="default"/>
        <w:lang w:val="en-US" w:eastAsia="en-US" w:bidi="en-US"/>
      </w:rPr>
    </w:lvl>
    <w:lvl w:ilvl="2" w:tplc="44F857EA">
      <w:numFmt w:val="bullet"/>
      <w:lvlText w:val="•"/>
      <w:lvlJc w:val="left"/>
      <w:pPr>
        <w:ind w:left="658" w:hanging="361"/>
      </w:pPr>
      <w:rPr>
        <w:rFonts w:hint="default"/>
        <w:lang w:val="en-US" w:eastAsia="en-US" w:bidi="en-US"/>
      </w:rPr>
    </w:lvl>
    <w:lvl w:ilvl="3" w:tplc="2146D800">
      <w:numFmt w:val="bullet"/>
      <w:lvlText w:val="•"/>
      <w:lvlJc w:val="left"/>
      <w:pPr>
        <w:ind w:left="757" w:hanging="361"/>
      </w:pPr>
      <w:rPr>
        <w:rFonts w:hint="default"/>
        <w:lang w:val="en-US" w:eastAsia="en-US" w:bidi="en-US"/>
      </w:rPr>
    </w:lvl>
    <w:lvl w:ilvl="4" w:tplc="F54616FE">
      <w:numFmt w:val="bullet"/>
      <w:lvlText w:val="•"/>
      <w:lvlJc w:val="left"/>
      <w:pPr>
        <w:ind w:left="856" w:hanging="361"/>
      </w:pPr>
      <w:rPr>
        <w:rFonts w:hint="default"/>
        <w:lang w:val="en-US" w:eastAsia="en-US" w:bidi="en-US"/>
      </w:rPr>
    </w:lvl>
    <w:lvl w:ilvl="5" w:tplc="54303B34">
      <w:numFmt w:val="bullet"/>
      <w:lvlText w:val="•"/>
      <w:lvlJc w:val="left"/>
      <w:pPr>
        <w:ind w:left="956" w:hanging="361"/>
      </w:pPr>
      <w:rPr>
        <w:rFonts w:hint="default"/>
        <w:lang w:val="en-US" w:eastAsia="en-US" w:bidi="en-US"/>
      </w:rPr>
    </w:lvl>
    <w:lvl w:ilvl="6" w:tplc="8F2852CA">
      <w:numFmt w:val="bullet"/>
      <w:lvlText w:val="•"/>
      <w:lvlJc w:val="left"/>
      <w:pPr>
        <w:ind w:left="1055" w:hanging="361"/>
      </w:pPr>
      <w:rPr>
        <w:rFonts w:hint="default"/>
        <w:lang w:val="en-US" w:eastAsia="en-US" w:bidi="en-US"/>
      </w:rPr>
    </w:lvl>
    <w:lvl w:ilvl="7" w:tplc="63EA838C">
      <w:numFmt w:val="bullet"/>
      <w:lvlText w:val="•"/>
      <w:lvlJc w:val="left"/>
      <w:pPr>
        <w:ind w:left="1154" w:hanging="361"/>
      </w:pPr>
      <w:rPr>
        <w:rFonts w:hint="default"/>
        <w:lang w:val="en-US" w:eastAsia="en-US" w:bidi="en-US"/>
      </w:rPr>
    </w:lvl>
    <w:lvl w:ilvl="8" w:tplc="054221BE">
      <w:numFmt w:val="bullet"/>
      <w:lvlText w:val="•"/>
      <w:lvlJc w:val="left"/>
      <w:pPr>
        <w:ind w:left="1253" w:hanging="361"/>
      </w:pPr>
      <w:rPr>
        <w:rFonts w:hint="default"/>
        <w:lang w:val="en-US" w:eastAsia="en-US" w:bidi="en-US"/>
      </w:rPr>
    </w:lvl>
  </w:abstractNum>
  <w:abstractNum w:abstractNumId="19" w15:restartNumberingAfterBreak="0">
    <w:nsid w:val="2512A49B"/>
    <w:multiLevelType w:val="hybridMultilevel"/>
    <w:tmpl w:val="324041F4"/>
    <w:lvl w:ilvl="0" w:tplc="BA0E4BF6">
      <w:start w:val="1"/>
      <w:numFmt w:val="decimal"/>
      <w:lvlText w:val="%1."/>
      <w:lvlJc w:val="left"/>
      <w:pPr>
        <w:ind w:left="720" w:hanging="360"/>
      </w:pPr>
    </w:lvl>
    <w:lvl w:ilvl="1" w:tplc="B5669CEE">
      <w:start w:val="1"/>
      <w:numFmt w:val="lowerLetter"/>
      <w:lvlText w:val="%2."/>
      <w:lvlJc w:val="left"/>
      <w:pPr>
        <w:ind w:left="1440" w:hanging="360"/>
      </w:pPr>
    </w:lvl>
    <w:lvl w:ilvl="2" w:tplc="CF769794">
      <w:start w:val="1"/>
      <w:numFmt w:val="lowerRoman"/>
      <w:lvlText w:val="%3."/>
      <w:lvlJc w:val="right"/>
      <w:pPr>
        <w:ind w:left="2160" w:hanging="180"/>
      </w:pPr>
    </w:lvl>
    <w:lvl w:ilvl="3" w:tplc="ABBE2E7C">
      <w:start w:val="1"/>
      <w:numFmt w:val="decimal"/>
      <w:lvlText w:val="%4."/>
      <w:lvlJc w:val="left"/>
      <w:pPr>
        <w:ind w:left="2880" w:hanging="360"/>
      </w:pPr>
    </w:lvl>
    <w:lvl w:ilvl="4" w:tplc="D57CA23E">
      <w:start w:val="1"/>
      <w:numFmt w:val="lowerLetter"/>
      <w:lvlText w:val="%5."/>
      <w:lvlJc w:val="left"/>
      <w:pPr>
        <w:ind w:left="3600" w:hanging="360"/>
      </w:pPr>
    </w:lvl>
    <w:lvl w:ilvl="5" w:tplc="913AF33E">
      <w:start w:val="1"/>
      <w:numFmt w:val="lowerRoman"/>
      <w:lvlText w:val="%6."/>
      <w:lvlJc w:val="right"/>
      <w:pPr>
        <w:ind w:left="4320" w:hanging="180"/>
      </w:pPr>
    </w:lvl>
    <w:lvl w:ilvl="6" w:tplc="1D62ABD0">
      <w:start w:val="1"/>
      <w:numFmt w:val="decimal"/>
      <w:lvlText w:val="%7."/>
      <w:lvlJc w:val="left"/>
      <w:pPr>
        <w:ind w:left="5040" w:hanging="360"/>
      </w:pPr>
    </w:lvl>
    <w:lvl w:ilvl="7" w:tplc="E9305B42">
      <w:start w:val="1"/>
      <w:numFmt w:val="lowerLetter"/>
      <w:lvlText w:val="%8."/>
      <w:lvlJc w:val="left"/>
      <w:pPr>
        <w:ind w:left="5760" w:hanging="360"/>
      </w:pPr>
    </w:lvl>
    <w:lvl w:ilvl="8" w:tplc="6C406730">
      <w:start w:val="1"/>
      <w:numFmt w:val="lowerRoman"/>
      <w:lvlText w:val="%9."/>
      <w:lvlJc w:val="right"/>
      <w:pPr>
        <w:ind w:left="6480" w:hanging="180"/>
      </w:pPr>
    </w:lvl>
  </w:abstractNum>
  <w:abstractNum w:abstractNumId="20" w15:restartNumberingAfterBreak="0">
    <w:nsid w:val="284925E9"/>
    <w:multiLevelType w:val="hybridMultilevel"/>
    <w:tmpl w:val="2018A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FB704A"/>
    <w:multiLevelType w:val="hybridMultilevel"/>
    <w:tmpl w:val="FFFFFFFF"/>
    <w:lvl w:ilvl="0" w:tplc="C19634A6">
      <w:start w:val="1"/>
      <w:numFmt w:val="decimal"/>
      <w:lvlText w:val="%1."/>
      <w:lvlJc w:val="left"/>
      <w:pPr>
        <w:ind w:left="720" w:hanging="360"/>
      </w:pPr>
    </w:lvl>
    <w:lvl w:ilvl="1" w:tplc="2BE8D474">
      <w:start w:val="5"/>
      <w:numFmt w:val="lowerLetter"/>
      <w:lvlText w:val="%2."/>
      <w:lvlJc w:val="left"/>
      <w:pPr>
        <w:ind w:left="1440" w:hanging="360"/>
      </w:pPr>
    </w:lvl>
    <w:lvl w:ilvl="2" w:tplc="05EEE056">
      <w:start w:val="1"/>
      <w:numFmt w:val="lowerRoman"/>
      <w:lvlText w:val="%3."/>
      <w:lvlJc w:val="right"/>
      <w:pPr>
        <w:ind w:left="2160" w:hanging="180"/>
      </w:pPr>
    </w:lvl>
    <w:lvl w:ilvl="3" w:tplc="C994E75C">
      <w:start w:val="1"/>
      <w:numFmt w:val="decimal"/>
      <w:lvlText w:val="%4."/>
      <w:lvlJc w:val="left"/>
      <w:pPr>
        <w:ind w:left="2880" w:hanging="360"/>
      </w:pPr>
    </w:lvl>
    <w:lvl w:ilvl="4" w:tplc="54CC6984">
      <w:start w:val="1"/>
      <w:numFmt w:val="lowerLetter"/>
      <w:lvlText w:val="%5."/>
      <w:lvlJc w:val="left"/>
      <w:pPr>
        <w:ind w:left="3600" w:hanging="360"/>
      </w:pPr>
    </w:lvl>
    <w:lvl w:ilvl="5" w:tplc="522E2594">
      <w:start w:val="1"/>
      <w:numFmt w:val="lowerRoman"/>
      <w:lvlText w:val="%6."/>
      <w:lvlJc w:val="right"/>
      <w:pPr>
        <w:ind w:left="4320" w:hanging="180"/>
      </w:pPr>
    </w:lvl>
    <w:lvl w:ilvl="6" w:tplc="2780B62C">
      <w:start w:val="1"/>
      <w:numFmt w:val="decimal"/>
      <w:lvlText w:val="%7."/>
      <w:lvlJc w:val="left"/>
      <w:pPr>
        <w:ind w:left="5040" w:hanging="360"/>
      </w:pPr>
    </w:lvl>
    <w:lvl w:ilvl="7" w:tplc="26FACB68">
      <w:start w:val="1"/>
      <w:numFmt w:val="lowerLetter"/>
      <w:lvlText w:val="%8."/>
      <w:lvlJc w:val="left"/>
      <w:pPr>
        <w:ind w:left="5760" w:hanging="360"/>
      </w:pPr>
    </w:lvl>
    <w:lvl w:ilvl="8" w:tplc="CDF857C4">
      <w:start w:val="1"/>
      <w:numFmt w:val="lowerRoman"/>
      <w:lvlText w:val="%9."/>
      <w:lvlJc w:val="right"/>
      <w:pPr>
        <w:ind w:left="6480" w:hanging="180"/>
      </w:pPr>
    </w:lvl>
  </w:abstractNum>
  <w:abstractNum w:abstractNumId="22" w15:restartNumberingAfterBreak="0">
    <w:nsid w:val="37170F7B"/>
    <w:multiLevelType w:val="hybridMultilevel"/>
    <w:tmpl w:val="FFFFFFFF"/>
    <w:lvl w:ilvl="0" w:tplc="37120CFE">
      <w:start w:val="1"/>
      <w:numFmt w:val="decimal"/>
      <w:lvlText w:val="%1."/>
      <w:lvlJc w:val="left"/>
      <w:pPr>
        <w:ind w:left="720" w:hanging="360"/>
      </w:pPr>
    </w:lvl>
    <w:lvl w:ilvl="1" w:tplc="ACD01234">
      <w:start w:val="4"/>
      <w:numFmt w:val="lowerLetter"/>
      <w:lvlText w:val="%2."/>
      <w:lvlJc w:val="left"/>
      <w:pPr>
        <w:ind w:left="1440" w:hanging="360"/>
      </w:pPr>
    </w:lvl>
    <w:lvl w:ilvl="2" w:tplc="94AC0000">
      <w:start w:val="1"/>
      <w:numFmt w:val="lowerRoman"/>
      <w:lvlText w:val="%3."/>
      <w:lvlJc w:val="right"/>
      <w:pPr>
        <w:ind w:left="2160" w:hanging="180"/>
      </w:pPr>
    </w:lvl>
    <w:lvl w:ilvl="3" w:tplc="3A2C35CC">
      <w:start w:val="1"/>
      <w:numFmt w:val="decimal"/>
      <w:lvlText w:val="%4."/>
      <w:lvlJc w:val="left"/>
      <w:pPr>
        <w:ind w:left="2880" w:hanging="360"/>
      </w:pPr>
    </w:lvl>
    <w:lvl w:ilvl="4" w:tplc="34A4FDD8">
      <w:start w:val="1"/>
      <w:numFmt w:val="lowerLetter"/>
      <w:lvlText w:val="%5."/>
      <w:lvlJc w:val="left"/>
      <w:pPr>
        <w:ind w:left="3600" w:hanging="360"/>
      </w:pPr>
    </w:lvl>
    <w:lvl w:ilvl="5" w:tplc="0D864BA2">
      <w:start w:val="1"/>
      <w:numFmt w:val="lowerRoman"/>
      <w:lvlText w:val="%6."/>
      <w:lvlJc w:val="right"/>
      <w:pPr>
        <w:ind w:left="4320" w:hanging="180"/>
      </w:pPr>
    </w:lvl>
    <w:lvl w:ilvl="6" w:tplc="DD1E6878">
      <w:start w:val="1"/>
      <w:numFmt w:val="decimal"/>
      <w:lvlText w:val="%7."/>
      <w:lvlJc w:val="left"/>
      <w:pPr>
        <w:ind w:left="5040" w:hanging="360"/>
      </w:pPr>
    </w:lvl>
    <w:lvl w:ilvl="7" w:tplc="1F7E6648">
      <w:start w:val="1"/>
      <w:numFmt w:val="lowerLetter"/>
      <w:lvlText w:val="%8."/>
      <w:lvlJc w:val="left"/>
      <w:pPr>
        <w:ind w:left="5760" w:hanging="360"/>
      </w:pPr>
    </w:lvl>
    <w:lvl w:ilvl="8" w:tplc="4718D3D2">
      <w:start w:val="1"/>
      <w:numFmt w:val="lowerRoman"/>
      <w:lvlText w:val="%9."/>
      <w:lvlJc w:val="right"/>
      <w:pPr>
        <w:ind w:left="6480" w:hanging="180"/>
      </w:pPr>
    </w:lvl>
  </w:abstractNum>
  <w:abstractNum w:abstractNumId="23" w15:restartNumberingAfterBreak="0">
    <w:nsid w:val="39082A45"/>
    <w:multiLevelType w:val="hybridMultilevel"/>
    <w:tmpl w:val="E2E87D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D55321"/>
    <w:multiLevelType w:val="hybridMultilevel"/>
    <w:tmpl w:val="FFFFFFFF"/>
    <w:lvl w:ilvl="0" w:tplc="9E5EF706">
      <w:start w:val="1"/>
      <w:numFmt w:val="decimal"/>
      <w:lvlText w:val="%1."/>
      <w:lvlJc w:val="left"/>
      <w:pPr>
        <w:ind w:left="720" w:hanging="360"/>
      </w:pPr>
    </w:lvl>
    <w:lvl w:ilvl="1" w:tplc="39FE3180">
      <w:start w:val="2"/>
      <w:numFmt w:val="lowerLetter"/>
      <w:lvlText w:val="%2."/>
      <w:lvlJc w:val="left"/>
      <w:pPr>
        <w:ind w:left="1440" w:hanging="360"/>
      </w:pPr>
    </w:lvl>
    <w:lvl w:ilvl="2" w:tplc="4A1C6658">
      <w:start w:val="1"/>
      <w:numFmt w:val="lowerRoman"/>
      <w:lvlText w:val="%3."/>
      <w:lvlJc w:val="right"/>
      <w:pPr>
        <w:ind w:left="2160" w:hanging="180"/>
      </w:pPr>
    </w:lvl>
    <w:lvl w:ilvl="3" w:tplc="CCFC57BC">
      <w:start w:val="1"/>
      <w:numFmt w:val="decimal"/>
      <w:lvlText w:val="%4."/>
      <w:lvlJc w:val="left"/>
      <w:pPr>
        <w:ind w:left="2880" w:hanging="360"/>
      </w:pPr>
    </w:lvl>
    <w:lvl w:ilvl="4" w:tplc="462A04F6">
      <w:start w:val="1"/>
      <w:numFmt w:val="lowerLetter"/>
      <w:lvlText w:val="%5."/>
      <w:lvlJc w:val="left"/>
      <w:pPr>
        <w:ind w:left="3600" w:hanging="360"/>
      </w:pPr>
    </w:lvl>
    <w:lvl w:ilvl="5" w:tplc="A0E613C0">
      <w:start w:val="1"/>
      <w:numFmt w:val="lowerRoman"/>
      <w:lvlText w:val="%6."/>
      <w:lvlJc w:val="right"/>
      <w:pPr>
        <w:ind w:left="4320" w:hanging="180"/>
      </w:pPr>
    </w:lvl>
    <w:lvl w:ilvl="6" w:tplc="1FF0A5E0">
      <w:start w:val="1"/>
      <w:numFmt w:val="decimal"/>
      <w:lvlText w:val="%7."/>
      <w:lvlJc w:val="left"/>
      <w:pPr>
        <w:ind w:left="5040" w:hanging="360"/>
      </w:pPr>
    </w:lvl>
    <w:lvl w:ilvl="7" w:tplc="0CDCD5CA">
      <w:start w:val="1"/>
      <w:numFmt w:val="lowerLetter"/>
      <w:lvlText w:val="%8."/>
      <w:lvlJc w:val="left"/>
      <w:pPr>
        <w:ind w:left="5760" w:hanging="360"/>
      </w:pPr>
    </w:lvl>
    <w:lvl w:ilvl="8" w:tplc="4A6A4C1A">
      <w:start w:val="1"/>
      <w:numFmt w:val="lowerRoman"/>
      <w:lvlText w:val="%9."/>
      <w:lvlJc w:val="right"/>
      <w:pPr>
        <w:ind w:left="6480" w:hanging="180"/>
      </w:pPr>
    </w:lvl>
  </w:abstractNum>
  <w:abstractNum w:abstractNumId="25" w15:restartNumberingAfterBreak="0">
    <w:nsid w:val="4003626B"/>
    <w:multiLevelType w:val="hybridMultilevel"/>
    <w:tmpl w:val="281E932A"/>
    <w:lvl w:ilvl="0" w:tplc="0409000F">
      <w:start w:val="1"/>
      <w:numFmt w:val="decimal"/>
      <w:lvlText w:val="%1."/>
      <w:lvlJc w:val="left"/>
      <w:pPr>
        <w:ind w:left="1530" w:hanging="360"/>
      </w:pPr>
    </w:lvl>
    <w:lvl w:ilvl="1" w:tplc="04090001">
      <w:start w:val="1"/>
      <w:numFmt w:val="bullet"/>
      <w:lvlText w:val=""/>
      <w:lvlJc w:val="left"/>
      <w:pPr>
        <w:ind w:left="2250" w:hanging="360"/>
      </w:pPr>
      <w:rPr>
        <w:rFonts w:ascii="Symbol" w:hAnsi="Symbol" w:hint="default"/>
      </w:r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26" w15:restartNumberingAfterBreak="0">
    <w:nsid w:val="4084D3BD"/>
    <w:multiLevelType w:val="hybridMultilevel"/>
    <w:tmpl w:val="FFFFFFFF"/>
    <w:lvl w:ilvl="0" w:tplc="63C04EA8">
      <w:start w:val="1"/>
      <w:numFmt w:val="decimal"/>
      <w:lvlText w:val="%1."/>
      <w:lvlJc w:val="left"/>
      <w:pPr>
        <w:ind w:left="720" w:hanging="360"/>
      </w:pPr>
    </w:lvl>
    <w:lvl w:ilvl="1" w:tplc="1A988274">
      <w:start w:val="7"/>
      <w:numFmt w:val="lowerLetter"/>
      <w:lvlText w:val="%2."/>
      <w:lvlJc w:val="left"/>
      <w:pPr>
        <w:ind w:left="1440" w:hanging="360"/>
      </w:pPr>
    </w:lvl>
    <w:lvl w:ilvl="2" w:tplc="202C9FBC">
      <w:start w:val="1"/>
      <w:numFmt w:val="lowerRoman"/>
      <w:lvlText w:val="%3."/>
      <w:lvlJc w:val="right"/>
      <w:pPr>
        <w:ind w:left="2160" w:hanging="180"/>
      </w:pPr>
    </w:lvl>
    <w:lvl w:ilvl="3" w:tplc="774E4D2C">
      <w:start w:val="1"/>
      <w:numFmt w:val="decimal"/>
      <w:lvlText w:val="%4."/>
      <w:lvlJc w:val="left"/>
      <w:pPr>
        <w:ind w:left="2880" w:hanging="360"/>
      </w:pPr>
    </w:lvl>
    <w:lvl w:ilvl="4" w:tplc="E73C6CFA">
      <w:start w:val="1"/>
      <w:numFmt w:val="lowerLetter"/>
      <w:lvlText w:val="%5."/>
      <w:lvlJc w:val="left"/>
      <w:pPr>
        <w:ind w:left="3600" w:hanging="360"/>
      </w:pPr>
    </w:lvl>
    <w:lvl w:ilvl="5" w:tplc="49A2426C">
      <w:start w:val="1"/>
      <w:numFmt w:val="lowerRoman"/>
      <w:lvlText w:val="%6."/>
      <w:lvlJc w:val="right"/>
      <w:pPr>
        <w:ind w:left="4320" w:hanging="180"/>
      </w:pPr>
    </w:lvl>
    <w:lvl w:ilvl="6" w:tplc="8ACC2B2C">
      <w:start w:val="1"/>
      <w:numFmt w:val="decimal"/>
      <w:lvlText w:val="%7."/>
      <w:lvlJc w:val="left"/>
      <w:pPr>
        <w:ind w:left="5040" w:hanging="360"/>
      </w:pPr>
    </w:lvl>
    <w:lvl w:ilvl="7" w:tplc="A1FCA844">
      <w:start w:val="1"/>
      <w:numFmt w:val="lowerLetter"/>
      <w:lvlText w:val="%8."/>
      <w:lvlJc w:val="left"/>
      <w:pPr>
        <w:ind w:left="5760" w:hanging="360"/>
      </w:pPr>
    </w:lvl>
    <w:lvl w:ilvl="8" w:tplc="AAD2C41E">
      <w:start w:val="1"/>
      <w:numFmt w:val="lowerRoman"/>
      <w:lvlText w:val="%9."/>
      <w:lvlJc w:val="right"/>
      <w:pPr>
        <w:ind w:left="6480" w:hanging="180"/>
      </w:pPr>
    </w:lvl>
  </w:abstractNum>
  <w:abstractNum w:abstractNumId="27" w15:restartNumberingAfterBreak="0">
    <w:nsid w:val="43E34191"/>
    <w:multiLevelType w:val="hybridMultilevel"/>
    <w:tmpl w:val="FFFFFFFF"/>
    <w:lvl w:ilvl="0" w:tplc="CB309390">
      <w:start w:val="1"/>
      <w:numFmt w:val="decimal"/>
      <w:lvlText w:val="%1."/>
      <w:lvlJc w:val="left"/>
      <w:pPr>
        <w:ind w:left="720" w:hanging="360"/>
      </w:pPr>
    </w:lvl>
    <w:lvl w:ilvl="1" w:tplc="96F48CC6">
      <w:start w:val="1"/>
      <w:numFmt w:val="lowerLetter"/>
      <w:lvlText w:val="%2."/>
      <w:lvlJc w:val="left"/>
      <w:pPr>
        <w:ind w:left="1440" w:hanging="360"/>
      </w:pPr>
    </w:lvl>
    <w:lvl w:ilvl="2" w:tplc="1C7E6554">
      <w:start w:val="1"/>
      <w:numFmt w:val="lowerRoman"/>
      <w:lvlText w:val="%3."/>
      <w:lvlJc w:val="right"/>
      <w:pPr>
        <w:ind w:left="2160" w:hanging="180"/>
      </w:pPr>
    </w:lvl>
    <w:lvl w:ilvl="3" w:tplc="ABB6FA42">
      <w:start w:val="1"/>
      <w:numFmt w:val="decimal"/>
      <w:lvlText w:val="%4."/>
      <w:lvlJc w:val="left"/>
      <w:pPr>
        <w:ind w:left="2880" w:hanging="360"/>
      </w:pPr>
    </w:lvl>
    <w:lvl w:ilvl="4" w:tplc="67024CE8">
      <w:start w:val="1"/>
      <w:numFmt w:val="lowerLetter"/>
      <w:lvlText w:val="%5."/>
      <w:lvlJc w:val="left"/>
      <w:pPr>
        <w:ind w:left="3600" w:hanging="360"/>
      </w:pPr>
    </w:lvl>
    <w:lvl w:ilvl="5" w:tplc="F184D3E8">
      <w:start w:val="1"/>
      <w:numFmt w:val="lowerRoman"/>
      <w:lvlText w:val="%6."/>
      <w:lvlJc w:val="right"/>
      <w:pPr>
        <w:ind w:left="4320" w:hanging="180"/>
      </w:pPr>
    </w:lvl>
    <w:lvl w:ilvl="6" w:tplc="1D2C7778">
      <w:start w:val="1"/>
      <w:numFmt w:val="decimal"/>
      <w:lvlText w:val="%7."/>
      <w:lvlJc w:val="left"/>
      <w:pPr>
        <w:ind w:left="5040" w:hanging="360"/>
      </w:pPr>
    </w:lvl>
    <w:lvl w:ilvl="7" w:tplc="922C2FDC">
      <w:start w:val="1"/>
      <w:numFmt w:val="lowerLetter"/>
      <w:lvlText w:val="%8."/>
      <w:lvlJc w:val="left"/>
      <w:pPr>
        <w:ind w:left="5760" w:hanging="360"/>
      </w:pPr>
    </w:lvl>
    <w:lvl w:ilvl="8" w:tplc="7D88528A">
      <w:start w:val="1"/>
      <w:numFmt w:val="lowerRoman"/>
      <w:lvlText w:val="%9."/>
      <w:lvlJc w:val="right"/>
      <w:pPr>
        <w:ind w:left="6480" w:hanging="180"/>
      </w:pPr>
    </w:lvl>
  </w:abstractNum>
  <w:abstractNum w:abstractNumId="28" w15:restartNumberingAfterBreak="0">
    <w:nsid w:val="455E7497"/>
    <w:multiLevelType w:val="hybridMultilevel"/>
    <w:tmpl w:val="39BA2356"/>
    <w:lvl w:ilvl="0" w:tplc="E0941E24">
      <w:numFmt w:val="bullet"/>
      <w:lvlText w:val=""/>
      <w:lvlJc w:val="left"/>
      <w:pPr>
        <w:ind w:left="1300" w:hanging="360"/>
      </w:pPr>
      <w:rPr>
        <w:rFonts w:ascii="Symbol" w:eastAsia="Symbol" w:hAnsi="Symbol" w:cs="Symbol" w:hint="default"/>
        <w:w w:val="100"/>
        <w:sz w:val="24"/>
        <w:szCs w:val="24"/>
        <w:lang w:val="en-US" w:eastAsia="en-US" w:bidi="en-US"/>
      </w:rPr>
    </w:lvl>
    <w:lvl w:ilvl="1" w:tplc="C186CAB8">
      <w:numFmt w:val="bullet"/>
      <w:lvlText w:val="•"/>
      <w:lvlJc w:val="left"/>
      <w:pPr>
        <w:ind w:left="2186" w:hanging="360"/>
      </w:pPr>
      <w:rPr>
        <w:rFonts w:hint="default"/>
        <w:lang w:val="en-US" w:eastAsia="en-US" w:bidi="en-US"/>
      </w:rPr>
    </w:lvl>
    <w:lvl w:ilvl="2" w:tplc="A4E68D94">
      <w:numFmt w:val="bullet"/>
      <w:lvlText w:val="•"/>
      <w:lvlJc w:val="left"/>
      <w:pPr>
        <w:ind w:left="3072" w:hanging="360"/>
      </w:pPr>
      <w:rPr>
        <w:rFonts w:hint="default"/>
        <w:lang w:val="en-US" w:eastAsia="en-US" w:bidi="en-US"/>
      </w:rPr>
    </w:lvl>
    <w:lvl w:ilvl="3" w:tplc="05D0780E">
      <w:numFmt w:val="bullet"/>
      <w:lvlText w:val="•"/>
      <w:lvlJc w:val="left"/>
      <w:pPr>
        <w:ind w:left="3958" w:hanging="360"/>
      </w:pPr>
      <w:rPr>
        <w:rFonts w:hint="default"/>
        <w:lang w:val="en-US" w:eastAsia="en-US" w:bidi="en-US"/>
      </w:rPr>
    </w:lvl>
    <w:lvl w:ilvl="4" w:tplc="213EAED4">
      <w:numFmt w:val="bullet"/>
      <w:lvlText w:val="•"/>
      <w:lvlJc w:val="left"/>
      <w:pPr>
        <w:ind w:left="4844" w:hanging="360"/>
      </w:pPr>
      <w:rPr>
        <w:rFonts w:hint="default"/>
        <w:lang w:val="en-US" w:eastAsia="en-US" w:bidi="en-US"/>
      </w:rPr>
    </w:lvl>
    <w:lvl w:ilvl="5" w:tplc="A23E941E">
      <w:numFmt w:val="bullet"/>
      <w:lvlText w:val="•"/>
      <w:lvlJc w:val="left"/>
      <w:pPr>
        <w:ind w:left="5730" w:hanging="360"/>
      </w:pPr>
      <w:rPr>
        <w:rFonts w:hint="default"/>
        <w:lang w:val="en-US" w:eastAsia="en-US" w:bidi="en-US"/>
      </w:rPr>
    </w:lvl>
    <w:lvl w:ilvl="6" w:tplc="EE8CFCCC">
      <w:numFmt w:val="bullet"/>
      <w:lvlText w:val="•"/>
      <w:lvlJc w:val="left"/>
      <w:pPr>
        <w:ind w:left="6616" w:hanging="360"/>
      </w:pPr>
      <w:rPr>
        <w:rFonts w:hint="default"/>
        <w:lang w:val="en-US" w:eastAsia="en-US" w:bidi="en-US"/>
      </w:rPr>
    </w:lvl>
    <w:lvl w:ilvl="7" w:tplc="D9066D2A">
      <w:numFmt w:val="bullet"/>
      <w:lvlText w:val="•"/>
      <w:lvlJc w:val="left"/>
      <w:pPr>
        <w:ind w:left="7502" w:hanging="360"/>
      </w:pPr>
      <w:rPr>
        <w:rFonts w:hint="default"/>
        <w:lang w:val="en-US" w:eastAsia="en-US" w:bidi="en-US"/>
      </w:rPr>
    </w:lvl>
    <w:lvl w:ilvl="8" w:tplc="5FDCD2EC">
      <w:numFmt w:val="bullet"/>
      <w:lvlText w:val="•"/>
      <w:lvlJc w:val="left"/>
      <w:pPr>
        <w:ind w:left="8388" w:hanging="360"/>
      </w:pPr>
      <w:rPr>
        <w:rFonts w:hint="default"/>
        <w:lang w:val="en-US" w:eastAsia="en-US" w:bidi="en-US"/>
      </w:rPr>
    </w:lvl>
  </w:abstractNum>
  <w:abstractNum w:abstractNumId="29" w15:restartNumberingAfterBreak="0">
    <w:nsid w:val="46A451CD"/>
    <w:multiLevelType w:val="hybridMultilevel"/>
    <w:tmpl w:val="FFFFFFFF"/>
    <w:lvl w:ilvl="0" w:tplc="441AE692">
      <w:start w:val="2"/>
      <w:numFmt w:val="lowerLetter"/>
      <w:lvlText w:val="%1."/>
      <w:lvlJc w:val="left"/>
      <w:pPr>
        <w:ind w:left="720" w:hanging="360"/>
      </w:pPr>
    </w:lvl>
    <w:lvl w:ilvl="1" w:tplc="FA809176">
      <w:start w:val="1"/>
      <w:numFmt w:val="lowerLetter"/>
      <w:lvlText w:val="%2."/>
      <w:lvlJc w:val="left"/>
      <w:pPr>
        <w:ind w:left="1440" w:hanging="360"/>
      </w:pPr>
    </w:lvl>
    <w:lvl w:ilvl="2" w:tplc="DC5AF446">
      <w:start w:val="1"/>
      <w:numFmt w:val="lowerRoman"/>
      <w:lvlText w:val="%3."/>
      <w:lvlJc w:val="right"/>
      <w:pPr>
        <w:ind w:left="2160" w:hanging="180"/>
      </w:pPr>
    </w:lvl>
    <w:lvl w:ilvl="3" w:tplc="C9B8453C">
      <w:start w:val="1"/>
      <w:numFmt w:val="decimal"/>
      <w:lvlText w:val="%4."/>
      <w:lvlJc w:val="left"/>
      <w:pPr>
        <w:ind w:left="2880" w:hanging="360"/>
      </w:pPr>
    </w:lvl>
    <w:lvl w:ilvl="4" w:tplc="5A8ADB8A">
      <w:start w:val="1"/>
      <w:numFmt w:val="lowerLetter"/>
      <w:lvlText w:val="%5."/>
      <w:lvlJc w:val="left"/>
      <w:pPr>
        <w:ind w:left="3600" w:hanging="360"/>
      </w:pPr>
    </w:lvl>
    <w:lvl w:ilvl="5" w:tplc="F37A1F72">
      <w:start w:val="1"/>
      <w:numFmt w:val="lowerRoman"/>
      <w:lvlText w:val="%6."/>
      <w:lvlJc w:val="right"/>
      <w:pPr>
        <w:ind w:left="4320" w:hanging="180"/>
      </w:pPr>
    </w:lvl>
    <w:lvl w:ilvl="6" w:tplc="C804D1BC">
      <w:start w:val="1"/>
      <w:numFmt w:val="decimal"/>
      <w:lvlText w:val="%7."/>
      <w:lvlJc w:val="left"/>
      <w:pPr>
        <w:ind w:left="5040" w:hanging="360"/>
      </w:pPr>
    </w:lvl>
    <w:lvl w:ilvl="7" w:tplc="AFF49EEC">
      <w:start w:val="1"/>
      <w:numFmt w:val="lowerLetter"/>
      <w:lvlText w:val="%8."/>
      <w:lvlJc w:val="left"/>
      <w:pPr>
        <w:ind w:left="5760" w:hanging="360"/>
      </w:pPr>
    </w:lvl>
    <w:lvl w:ilvl="8" w:tplc="583A3962">
      <w:start w:val="1"/>
      <w:numFmt w:val="lowerRoman"/>
      <w:lvlText w:val="%9."/>
      <w:lvlJc w:val="right"/>
      <w:pPr>
        <w:ind w:left="6480" w:hanging="180"/>
      </w:pPr>
    </w:lvl>
  </w:abstractNum>
  <w:abstractNum w:abstractNumId="30" w15:restartNumberingAfterBreak="0">
    <w:nsid w:val="4AD93BCB"/>
    <w:multiLevelType w:val="hybridMultilevel"/>
    <w:tmpl w:val="425ADF1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4B888DB1"/>
    <w:multiLevelType w:val="hybridMultilevel"/>
    <w:tmpl w:val="FFFFFFFF"/>
    <w:lvl w:ilvl="0" w:tplc="B600BCF2">
      <w:start w:val="1"/>
      <w:numFmt w:val="decimal"/>
      <w:lvlText w:val="%1."/>
      <w:lvlJc w:val="left"/>
      <w:pPr>
        <w:ind w:left="720" w:hanging="360"/>
      </w:pPr>
    </w:lvl>
    <w:lvl w:ilvl="1" w:tplc="1B0E553E">
      <w:start w:val="1"/>
      <w:numFmt w:val="lowerLetter"/>
      <w:lvlText w:val="%2."/>
      <w:lvlJc w:val="left"/>
      <w:pPr>
        <w:ind w:left="1440" w:hanging="360"/>
      </w:pPr>
    </w:lvl>
    <w:lvl w:ilvl="2" w:tplc="A7D66B3C">
      <w:start w:val="3"/>
      <w:numFmt w:val="lowerRoman"/>
      <w:lvlText w:val="%3."/>
      <w:lvlJc w:val="right"/>
      <w:pPr>
        <w:ind w:left="2160" w:hanging="180"/>
      </w:pPr>
    </w:lvl>
    <w:lvl w:ilvl="3" w:tplc="69F2C0E8">
      <w:start w:val="1"/>
      <w:numFmt w:val="decimal"/>
      <w:lvlText w:val="%4."/>
      <w:lvlJc w:val="left"/>
      <w:pPr>
        <w:ind w:left="2880" w:hanging="360"/>
      </w:pPr>
    </w:lvl>
    <w:lvl w:ilvl="4" w:tplc="1EECCEDE">
      <w:start w:val="1"/>
      <w:numFmt w:val="lowerLetter"/>
      <w:lvlText w:val="%5."/>
      <w:lvlJc w:val="left"/>
      <w:pPr>
        <w:ind w:left="3600" w:hanging="360"/>
      </w:pPr>
    </w:lvl>
    <w:lvl w:ilvl="5" w:tplc="A6627342">
      <w:start w:val="1"/>
      <w:numFmt w:val="lowerRoman"/>
      <w:lvlText w:val="%6."/>
      <w:lvlJc w:val="right"/>
      <w:pPr>
        <w:ind w:left="4320" w:hanging="180"/>
      </w:pPr>
    </w:lvl>
    <w:lvl w:ilvl="6" w:tplc="0B284C22">
      <w:start w:val="1"/>
      <w:numFmt w:val="decimal"/>
      <w:lvlText w:val="%7."/>
      <w:lvlJc w:val="left"/>
      <w:pPr>
        <w:ind w:left="5040" w:hanging="360"/>
      </w:pPr>
    </w:lvl>
    <w:lvl w:ilvl="7" w:tplc="188E474A">
      <w:start w:val="1"/>
      <w:numFmt w:val="lowerLetter"/>
      <w:lvlText w:val="%8."/>
      <w:lvlJc w:val="left"/>
      <w:pPr>
        <w:ind w:left="5760" w:hanging="360"/>
      </w:pPr>
    </w:lvl>
    <w:lvl w:ilvl="8" w:tplc="476ECA02">
      <w:start w:val="1"/>
      <w:numFmt w:val="lowerRoman"/>
      <w:lvlText w:val="%9."/>
      <w:lvlJc w:val="right"/>
      <w:pPr>
        <w:ind w:left="6480" w:hanging="180"/>
      </w:pPr>
    </w:lvl>
  </w:abstractNum>
  <w:abstractNum w:abstractNumId="32" w15:restartNumberingAfterBreak="0">
    <w:nsid w:val="4EE110F5"/>
    <w:multiLevelType w:val="hybridMultilevel"/>
    <w:tmpl w:val="FFFFFFFF"/>
    <w:lvl w:ilvl="0" w:tplc="5530AEA2">
      <w:start w:val="1"/>
      <w:numFmt w:val="decimal"/>
      <w:lvlText w:val="%1."/>
      <w:lvlJc w:val="left"/>
      <w:pPr>
        <w:ind w:left="720" w:hanging="360"/>
      </w:pPr>
    </w:lvl>
    <w:lvl w:ilvl="1" w:tplc="2EC24CE6">
      <w:start w:val="1"/>
      <w:numFmt w:val="lowerLetter"/>
      <w:lvlText w:val="%2."/>
      <w:lvlJc w:val="left"/>
      <w:pPr>
        <w:ind w:left="1440" w:hanging="360"/>
      </w:pPr>
    </w:lvl>
    <w:lvl w:ilvl="2" w:tplc="A0345F5A">
      <w:start w:val="1"/>
      <w:numFmt w:val="lowerRoman"/>
      <w:lvlText w:val="%3."/>
      <w:lvlJc w:val="right"/>
      <w:pPr>
        <w:ind w:left="2160" w:hanging="180"/>
      </w:pPr>
    </w:lvl>
    <w:lvl w:ilvl="3" w:tplc="5CD6F448">
      <w:start w:val="1"/>
      <w:numFmt w:val="decimal"/>
      <w:lvlText w:val="%4."/>
      <w:lvlJc w:val="left"/>
      <w:pPr>
        <w:ind w:left="2880" w:hanging="360"/>
      </w:pPr>
    </w:lvl>
    <w:lvl w:ilvl="4" w:tplc="F02C7C56">
      <w:start w:val="1"/>
      <w:numFmt w:val="lowerLetter"/>
      <w:lvlText w:val="%5."/>
      <w:lvlJc w:val="left"/>
      <w:pPr>
        <w:ind w:left="3600" w:hanging="360"/>
      </w:pPr>
    </w:lvl>
    <w:lvl w:ilvl="5" w:tplc="574EC6DA">
      <w:start w:val="1"/>
      <w:numFmt w:val="lowerRoman"/>
      <w:lvlText w:val="%6."/>
      <w:lvlJc w:val="right"/>
      <w:pPr>
        <w:ind w:left="4320" w:hanging="180"/>
      </w:pPr>
    </w:lvl>
    <w:lvl w:ilvl="6" w:tplc="33E40ECA">
      <w:start w:val="1"/>
      <w:numFmt w:val="decimal"/>
      <w:lvlText w:val="%7."/>
      <w:lvlJc w:val="left"/>
      <w:pPr>
        <w:ind w:left="5040" w:hanging="360"/>
      </w:pPr>
    </w:lvl>
    <w:lvl w:ilvl="7" w:tplc="BD70ECB4">
      <w:start w:val="1"/>
      <w:numFmt w:val="lowerLetter"/>
      <w:lvlText w:val="%8."/>
      <w:lvlJc w:val="left"/>
      <w:pPr>
        <w:ind w:left="5760" w:hanging="360"/>
      </w:pPr>
    </w:lvl>
    <w:lvl w:ilvl="8" w:tplc="40DEF914">
      <w:start w:val="1"/>
      <w:numFmt w:val="lowerRoman"/>
      <w:lvlText w:val="%9."/>
      <w:lvlJc w:val="right"/>
      <w:pPr>
        <w:ind w:left="6480" w:hanging="180"/>
      </w:pPr>
    </w:lvl>
  </w:abstractNum>
  <w:abstractNum w:abstractNumId="33" w15:restartNumberingAfterBreak="0">
    <w:nsid w:val="4F175DB0"/>
    <w:multiLevelType w:val="hybridMultilevel"/>
    <w:tmpl w:val="29AE4B0E"/>
    <w:lvl w:ilvl="0" w:tplc="0409000F">
      <w:start w:val="1"/>
      <w:numFmt w:val="decimal"/>
      <w:lvlText w:val="%1."/>
      <w:lvlJc w:val="left"/>
      <w:pPr>
        <w:ind w:left="1890" w:hanging="720"/>
      </w:pPr>
      <w:rPr>
        <w:rFonts w:hint="default"/>
      </w:rPr>
    </w:lvl>
    <w:lvl w:ilvl="1" w:tplc="B7C8F6A0">
      <w:start w:val="1"/>
      <w:numFmt w:val="lowerLetter"/>
      <w:lvlText w:val="%2."/>
      <w:lvlJc w:val="left"/>
      <w:pPr>
        <w:ind w:left="2340" w:hanging="360"/>
      </w:pPr>
      <w:rPr>
        <w:b w:val="0"/>
      </w:r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4" w15:restartNumberingAfterBreak="0">
    <w:nsid w:val="51C3544E"/>
    <w:multiLevelType w:val="hybridMultilevel"/>
    <w:tmpl w:val="FFFFFFFF"/>
    <w:lvl w:ilvl="0" w:tplc="3ABE0016">
      <w:start w:val="1"/>
      <w:numFmt w:val="decimal"/>
      <w:lvlText w:val="%1."/>
      <w:lvlJc w:val="left"/>
      <w:pPr>
        <w:ind w:left="720" w:hanging="360"/>
      </w:pPr>
    </w:lvl>
    <w:lvl w:ilvl="1" w:tplc="BEF4289C">
      <w:start w:val="1"/>
      <w:numFmt w:val="lowerLetter"/>
      <w:lvlText w:val="%2."/>
      <w:lvlJc w:val="left"/>
      <w:pPr>
        <w:ind w:left="1440" w:hanging="360"/>
      </w:pPr>
    </w:lvl>
    <w:lvl w:ilvl="2" w:tplc="3ED25828">
      <w:start w:val="2"/>
      <w:numFmt w:val="lowerRoman"/>
      <w:lvlText w:val="%3."/>
      <w:lvlJc w:val="right"/>
      <w:pPr>
        <w:ind w:left="2160" w:hanging="180"/>
      </w:pPr>
    </w:lvl>
    <w:lvl w:ilvl="3" w:tplc="84E47CE2">
      <w:start w:val="1"/>
      <w:numFmt w:val="decimal"/>
      <w:lvlText w:val="%4."/>
      <w:lvlJc w:val="left"/>
      <w:pPr>
        <w:ind w:left="2880" w:hanging="360"/>
      </w:pPr>
    </w:lvl>
    <w:lvl w:ilvl="4" w:tplc="81A054AA">
      <w:start w:val="1"/>
      <w:numFmt w:val="lowerLetter"/>
      <w:lvlText w:val="%5."/>
      <w:lvlJc w:val="left"/>
      <w:pPr>
        <w:ind w:left="3600" w:hanging="360"/>
      </w:pPr>
    </w:lvl>
    <w:lvl w:ilvl="5" w:tplc="6B088ACA">
      <w:start w:val="1"/>
      <w:numFmt w:val="lowerRoman"/>
      <w:lvlText w:val="%6."/>
      <w:lvlJc w:val="right"/>
      <w:pPr>
        <w:ind w:left="4320" w:hanging="180"/>
      </w:pPr>
    </w:lvl>
    <w:lvl w:ilvl="6" w:tplc="D786C59C">
      <w:start w:val="1"/>
      <w:numFmt w:val="decimal"/>
      <w:lvlText w:val="%7."/>
      <w:lvlJc w:val="left"/>
      <w:pPr>
        <w:ind w:left="5040" w:hanging="360"/>
      </w:pPr>
    </w:lvl>
    <w:lvl w:ilvl="7" w:tplc="942A74A2">
      <w:start w:val="1"/>
      <w:numFmt w:val="lowerLetter"/>
      <w:lvlText w:val="%8."/>
      <w:lvlJc w:val="left"/>
      <w:pPr>
        <w:ind w:left="5760" w:hanging="360"/>
      </w:pPr>
    </w:lvl>
    <w:lvl w:ilvl="8" w:tplc="F498098C">
      <w:start w:val="1"/>
      <w:numFmt w:val="lowerRoman"/>
      <w:lvlText w:val="%9."/>
      <w:lvlJc w:val="right"/>
      <w:pPr>
        <w:ind w:left="6480" w:hanging="180"/>
      </w:pPr>
    </w:lvl>
  </w:abstractNum>
  <w:abstractNum w:abstractNumId="35" w15:restartNumberingAfterBreak="0">
    <w:nsid w:val="58E47170"/>
    <w:multiLevelType w:val="hybridMultilevel"/>
    <w:tmpl w:val="2FC616BC"/>
    <w:lvl w:ilvl="0" w:tplc="8AFC788C">
      <w:numFmt w:val="bullet"/>
      <w:lvlText w:val=""/>
      <w:lvlJc w:val="left"/>
      <w:pPr>
        <w:ind w:left="467" w:hanging="361"/>
      </w:pPr>
      <w:rPr>
        <w:rFonts w:ascii="Symbol" w:eastAsia="Symbol" w:hAnsi="Symbol" w:cs="Symbol" w:hint="default"/>
        <w:color w:val="0070C0"/>
        <w:w w:val="100"/>
        <w:sz w:val="16"/>
        <w:szCs w:val="16"/>
        <w:lang w:val="en-US" w:eastAsia="en-US" w:bidi="en-US"/>
      </w:rPr>
    </w:lvl>
    <w:lvl w:ilvl="1" w:tplc="28AA7CE0">
      <w:numFmt w:val="bullet"/>
      <w:lvlText w:val="•"/>
      <w:lvlJc w:val="left"/>
      <w:pPr>
        <w:ind w:left="577" w:hanging="361"/>
      </w:pPr>
      <w:rPr>
        <w:rFonts w:hint="default"/>
        <w:lang w:val="en-US" w:eastAsia="en-US" w:bidi="en-US"/>
      </w:rPr>
    </w:lvl>
    <w:lvl w:ilvl="2" w:tplc="F9444114">
      <w:numFmt w:val="bullet"/>
      <w:lvlText w:val="•"/>
      <w:lvlJc w:val="left"/>
      <w:pPr>
        <w:ind w:left="694" w:hanging="361"/>
      </w:pPr>
      <w:rPr>
        <w:rFonts w:hint="default"/>
        <w:lang w:val="en-US" w:eastAsia="en-US" w:bidi="en-US"/>
      </w:rPr>
    </w:lvl>
    <w:lvl w:ilvl="3" w:tplc="EAEE6786">
      <w:numFmt w:val="bullet"/>
      <w:lvlText w:val="•"/>
      <w:lvlJc w:val="left"/>
      <w:pPr>
        <w:ind w:left="811" w:hanging="361"/>
      </w:pPr>
      <w:rPr>
        <w:rFonts w:hint="default"/>
        <w:lang w:val="en-US" w:eastAsia="en-US" w:bidi="en-US"/>
      </w:rPr>
    </w:lvl>
    <w:lvl w:ilvl="4" w:tplc="1CC63110">
      <w:numFmt w:val="bullet"/>
      <w:lvlText w:val="•"/>
      <w:lvlJc w:val="left"/>
      <w:pPr>
        <w:ind w:left="928" w:hanging="361"/>
      </w:pPr>
      <w:rPr>
        <w:rFonts w:hint="default"/>
        <w:lang w:val="en-US" w:eastAsia="en-US" w:bidi="en-US"/>
      </w:rPr>
    </w:lvl>
    <w:lvl w:ilvl="5" w:tplc="B7D0310C">
      <w:numFmt w:val="bullet"/>
      <w:lvlText w:val="•"/>
      <w:lvlJc w:val="left"/>
      <w:pPr>
        <w:ind w:left="1046" w:hanging="361"/>
      </w:pPr>
      <w:rPr>
        <w:rFonts w:hint="default"/>
        <w:lang w:val="en-US" w:eastAsia="en-US" w:bidi="en-US"/>
      </w:rPr>
    </w:lvl>
    <w:lvl w:ilvl="6" w:tplc="00669EBA">
      <w:numFmt w:val="bullet"/>
      <w:lvlText w:val="•"/>
      <w:lvlJc w:val="left"/>
      <w:pPr>
        <w:ind w:left="1163" w:hanging="361"/>
      </w:pPr>
      <w:rPr>
        <w:rFonts w:hint="default"/>
        <w:lang w:val="en-US" w:eastAsia="en-US" w:bidi="en-US"/>
      </w:rPr>
    </w:lvl>
    <w:lvl w:ilvl="7" w:tplc="B69401A6">
      <w:numFmt w:val="bullet"/>
      <w:lvlText w:val="•"/>
      <w:lvlJc w:val="left"/>
      <w:pPr>
        <w:ind w:left="1280" w:hanging="361"/>
      </w:pPr>
      <w:rPr>
        <w:rFonts w:hint="default"/>
        <w:lang w:val="en-US" w:eastAsia="en-US" w:bidi="en-US"/>
      </w:rPr>
    </w:lvl>
    <w:lvl w:ilvl="8" w:tplc="767612BA">
      <w:numFmt w:val="bullet"/>
      <w:lvlText w:val="•"/>
      <w:lvlJc w:val="left"/>
      <w:pPr>
        <w:ind w:left="1397" w:hanging="361"/>
      </w:pPr>
      <w:rPr>
        <w:rFonts w:hint="default"/>
        <w:lang w:val="en-US" w:eastAsia="en-US" w:bidi="en-US"/>
      </w:rPr>
    </w:lvl>
  </w:abstractNum>
  <w:abstractNum w:abstractNumId="36" w15:restartNumberingAfterBreak="0">
    <w:nsid w:val="5D888A1F"/>
    <w:multiLevelType w:val="hybridMultilevel"/>
    <w:tmpl w:val="FFFFFFFF"/>
    <w:lvl w:ilvl="0" w:tplc="6C30E4F8">
      <w:start w:val="1"/>
      <w:numFmt w:val="decimal"/>
      <w:lvlText w:val="%1."/>
      <w:lvlJc w:val="left"/>
      <w:pPr>
        <w:ind w:left="720" w:hanging="360"/>
      </w:pPr>
    </w:lvl>
    <w:lvl w:ilvl="1" w:tplc="AD44B6FA">
      <w:start w:val="6"/>
      <w:numFmt w:val="lowerLetter"/>
      <w:lvlText w:val="%2."/>
      <w:lvlJc w:val="left"/>
      <w:pPr>
        <w:ind w:left="1440" w:hanging="360"/>
      </w:pPr>
    </w:lvl>
    <w:lvl w:ilvl="2" w:tplc="25AA598C">
      <w:start w:val="1"/>
      <w:numFmt w:val="lowerRoman"/>
      <w:lvlText w:val="%3."/>
      <w:lvlJc w:val="right"/>
      <w:pPr>
        <w:ind w:left="2160" w:hanging="180"/>
      </w:pPr>
    </w:lvl>
    <w:lvl w:ilvl="3" w:tplc="D4BE1472">
      <w:start w:val="1"/>
      <w:numFmt w:val="decimal"/>
      <w:lvlText w:val="%4."/>
      <w:lvlJc w:val="left"/>
      <w:pPr>
        <w:ind w:left="2880" w:hanging="360"/>
      </w:pPr>
    </w:lvl>
    <w:lvl w:ilvl="4" w:tplc="AB44E6D6">
      <w:start w:val="1"/>
      <w:numFmt w:val="lowerLetter"/>
      <w:lvlText w:val="%5."/>
      <w:lvlJc w:val="left"/>
      <w:pPr>
        <w:ind w:left="3600" w:hanging="360"/>
      </w:pPr>
    </w:lvl>
    <w:lvl w:ilvl="5" w:tplc="3B14023E">
      <w:start w:val="1"/>
      <w:numFmt w:val="lowerRoman"/>
      <w:lvlText w:val="%6."/>
      <w:lvlJc w:val="right"/>
      <w:pPr>
        <w:ind w:left="4320" w:hanging="180"/>
      </w:pPr>
    </w:lvl>
    <w:lvl w:ilvl="6" w:tplc="5B844B70">
      <w:start w:val="1"/>
      <w:numFmt w:val="decimal"/>
      <w:lvlText w:val="%7."/>
      <w:lvlJc w:val="left"/>
      <w:pPr>
        <w:ind w:left="5040" w:hanging="360"/>
      </w:pPr>
    </w:lvl>
    <w:lvl w:ilvl="7" w:tplc="826282D2">
      <w:start w:val="1"/>
      <w:numFmt w:val="lowerLetter"/>
      <w:lvlText w:val="%8."/>
      <w:lvlJc w:val="left"/>
      <w:pPr>
        <w:ind w:left="5760" w:hanging="360"/>
      </w:pPr>
    </w:lvl>
    <w:lvl w:ilvl="8" w:tplc="4E8E0772">
      <w:start w:val="1"/>
      <w:numFmt w:val="lowerRoman"/>
      <w:lvlText w:val="%9."/>
      <w:lvlJc w:val="right"/>
      <w:pPr>
        <w:ind w:left="6480" w:hanging="180"/>
      </w:pPr>
    </w:lvl>
  </w:abstractNum>
  <w:abstractNum w:abstractNumId="37" w15:restartNumberingAfterBreak="0">
    <w:nsid w:val="5F9F1B03"/>
    <w:multiLevelType w:val="hybridMultilevel"/>
    <w:tmpl w:val="E11ED51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8" w15:restartNumberingAfterBreak="0">
    <w:nsid w:val="60BA0739"/>
    <w:multiLevelType w:val="hybridMultilevel"/>
    <w:tmpl w:val="FFFFFFFF"/>
    <w:lvl w:ilvl="0" w:tplc="16C253C8">
      <w:start w:val="3"/>
      <w:numFmt w:val="lowerLetter"/>
      <w:lvlText w:val="%1."/>
      <w:lvlJc w:val="left"/>
      <w:pPr>
        <w:ind w:left="720" w:hanging="360"/>
      </w:pPr>
    </w:lvl>
    <w:lvl w:ilvl="1" w:tplc="AF608EEA">
      <w:start w:val="1"/>
      <w:numFmt w:val="lowerLetter"/>
      <w:lvlText w:val="%2."/>
      <w:lvlJc w:val="left"/>
      <w:pPr>
        <w:ind w:left="1440" w:hanging="360"/>
      </w:pPr>
    </w:lvl>
    <w:lvl w:ilvl="2" w:tplc="3C9CA2D0">
      <w:start w:val="1"/>
      <w:numFmt w:val="lowerRoman"/>
      <w:lvlText w:val="%3."/>
      <w:lvlJc w:val="right"/>
      <w:pPr>
        <w:ind w:left="2160" w:hanging="180"/>
      </w:pPr>
    </w:lvl>
    <w:lvl w:ilvl="3" w:tplc="9078C2A0">
      <w:start w:val="1"/>
      <w:numFmt w:val="decimal"/>
      <w:lvlText w:val="%4."/>
      <w:lvlJc w:val="left"/>
      <w:pPr>
        <w:ind w:left="2880" w:hanging="360"/>
      </w:pPr>
    </w:lvl>
    <w:lvl w:ilvl="4" w:tplc="2E68BCBE">
      <w:start w:val="1"/>
      <w:numFmt w:val="lowerLetter"/>
      <w:lvlText w:val="%5."/>
      <w:lvlJc w:val="left"/>
      <w:pPr>
        <w:ind w:left="3600" w:hanging="360"/>
      </w:pPr>
    </w:lvl>
    <w:lvl w:ilvl="5" w:tplc="553073BC">
      <w:start w:val="1"/>
      <w:numFmt w:val="lowerRoman"/>
      <w:lvlText w:val="%6."/>
      <w:lvlJc w:val="right"/>
      <w:pPr>
        <w:ind w:left="4320" w:hanging="180"/>
      </w:pPr>
    </w:lvl>
    <w:lvl w:ilvl="6" w:tplc="7F1840FC">
      <w:start w:val="1"/>
      <w:numFmt w:val="decimal"/>
      <w:lvlText w:val="%7."/>
      <w:lvlJc w:val="left"/>
      <w:pPr>
        <w:ind w:left="5040" w:hanging="360"/>
      </w:pPr>
    </w:lvl>
    <w:lvl w:ilvl="7" w:tplc="7DE0659A">
      <w:start w:val="1"/>
      <w:numFmt w:val="lowerLetter"/>
      <w:lvlText w:val="%8."/>
      <w:lvlJc w:val="left"/>
      <w:pPr>
        <w:ind w:left="5760" w:hanging="360"/>
      </w:pPr>
    </w:lvl>
    <w:lvl w:ilvl="8" w:tplc="254AF900">
      <w:start w:val="1"/>
      <w:numFmt w:val="lowerRoman"/>
      <w:lvlText w:val="%9."/>
      <w:lvlJc w:val="right"/>
      <w:pPr>
        <w:ind w:left="6480" w:hanging="180"/>
      </w:pPr>
    </w:lvl>
  </w:abstractNum>
  <w:abstractNum w:abstractNumId="39" w15:restartNumberingAfterBreak="0">
    <w:nsid w:val="60C66519"/>
    <w:multiLevelType w:val="hybridMultilevel"/>
    <w:tmpl w:val="E7241682"/>
    <w:lvl w:ilvl="0" w:tplc="DD8002C0">
      <w:start w:val="1"/>
      <w:numFmt w:val="decimal"/>
      <w:lvlText w:val="%1."/>
      <w:lvlJc w:val="left"/>
      <w:pPr>
        <w:ind w:left="241" w:hanging="360"/>
      </w:pPr>
    </w:lvl>
    <w:lvl w:ilvl="1" w:tplc="04090019">
      <w:start w:val="1"/>
      <w:numFmt w:val="lowerLetter"/>
      <w:lvlText w:val="%2."/>
      <w:lvlJc w:val="left"/>
      <w:pPr>
        <w:ind w:left="961" w:hanging="360"/>
      </w:pPr>
    </w:lvl>
    <w:lvl w:ilvl="2" w:tplc="0409001B">
      <w:start w:val="1"/>
      <w:numFmt w:val="lowerRoman"/>
      <w:lvlText w:val="%3."/>
      <w:lvlJc w:val="right"/>
      <w:pPr>
        <w:ind w:left="1681" w:hanging="180"/>
      </w:pPr>
    </w:lvl>
    <w:lvl w:ilvl="3" w:tplc="0409000F">
      <w:start w:val="1"/>
      <w:numFmt w:val="decimal"/>
      <w:lvlText w:val="%4."/>
      <w:lvlJc w:val="left"/>
      <w:pPr>
        <w:ind w:left="2401" w:hanging="360"/>
      </w:pPr>
    </w:lvl>
    <w:lvl w:ilvl="4" w:tplc="04090019">
      <w:start w:val="1"/>
      <w:numFmt w:val="lowerLetter"/>
      <w:lvlText w:val="%5."/>
      <w:lvlJc w:val="left"/>
      <w:pPr>
        <w:ind w:left="3121" w:hanging="360"/>
      </w:pPr>
    </w:lvl>
    <w:lvl w:ilvl="5" w:tplc="0409001B">
      <w:start w:val="1"/>
      <w:numFmt w:val="lowerRoman"/>
      <w:lvlText w:val="%6."/>
      <w:lvlJc w:val="right"/>
      <w:pPr>
        <w:ind w:left="3841" w:hanging="180"/>
      </w:pPr>
    </w:lvl>
    <w:lvl w:ilvl="6" w:tplc="0409000F">
      <w:start w:val="1"/>
      <w:numFmt w:val="decimal"/>
      <w:lvlText w:val="%7."/>
      <w:lvlJc w:val="left"/>
      <w:pPr>
        <w:ind w:left="4561" w:hanging="360"/>
      </w:pPr>
    </w:lvl>
    <w:lvl w:ilvl="7" w:tplc="04090019">
      <w:start w:val="1"/>
      <w:numFmt w:val="lowerLetter"/>
      <w:lvlText w:val="%8."/>
      <w:lvlJc w:val="left"/>
      <w:pPr>
        <w:ind w:left="5281" w:hanging="360"/>
      </w:pPr>
    </w:lvl>
    <w:lvl w:ilvl="8" w:tplc="0409001B">
      <w:start w:val="1"/>
      <w:numFmt w:val="lowerRoman"/>
      <w:lvlText w:val="%9."/>
      <w:lvlJc w:val="right"/>
      <w:pPr>
        <w:ind w:left="6001" w:hanging="180"/>
      </w:pPr>
    </w:lvl>
  </w:abstractNum>
  <w:abstractNum w:abstractNumId="40" w15:restartNumberingAfterBreak="0">
    <w:nsid w:val="646369AD"/>
    <w:multiLevelType w:val="hybridMultilevel"/>
    <w:tmpl w:val="229E4C56"/>
    <w:lvl w:ilvl="0" w:tplc="C5889A04">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8C7860"/>
    <w:multiLevelType w:val="hybridMultilevel"/>
    <w:tmpl w:val="29924626"/>
    <w:lvl w:ilvl="0" w:tplc="7E10C056">
      <w:start w:val="1"/>
      <w:numFmt w:val="bullet"/>
      <w:lvlText w:val=""/>
      <w:lvlJc w:val="left"/>
      <w:pPr>
        <w:ind w:left="720" w:hanging="360"/>
      </w:pPr>
      <w:rPr>
        <w:rFonts w:ascii="Symbol" w:hAnsi="Symbol" w:hint="default"/>
      </w:rPr>
    </w:lvl>
    <w:lvl w:ilvl="1" w:tplc="1C4E2D74">
      <w:start w:val="1"/>
      <w:numFmt w:val="bullet"/>
      <w:lvlText w:val="o"/>
      <w:lvlJc w:val="left"/>
      <w:pPr>
        <w:ind w:left="1440" w:hanging="360"/>
      </w:pPr>
      <w:rPr>
        <w:rFonts w:ascii="Courier New" w:hAnsi="Courier New" w:hint="default"/>
      </w:rPr>
    </w:lvl>
    <w:lvl w:ilvl="2" w:tplc="045EC54A">
      <w:start w:val="1"/>
      <w:numFmt w:val="bullet"/>
      <w:lvlText w:val=""/>
      <w:lvlJc w:val="left"/>
      <w:pPr>
        <w:ind w:left="2160" w:hanging="360"/>
      </w:pPr>
      <w:rPr>
        <w:rFonts w:ascii="Wingdings" w:hAnsi="Wingdings" w:hint="default"/>
      </w:rPr>
    </w:lvl>
    <w:lvl w:ilvl="3" w:tplc="653AB90A">
      <w:start w:val="1"/>
      <w:numFmt w:val="bullet"/>
      <w:lvlText w:val=""/>
      <w:lvlJc w:val="left"/>
      <w:pPr>
        <w:ind w:left="2880" w:hanging="360"/>
      </w:pPr>
      <w:rPr>
        <w:rFonts w:ascii="Symbol" w:hAnsi="Symbol" w:hint="default"/>
      </w:rPr>
    </w:lvl>
    <w:lvl w:ilvl="4" w:tplc="5E72D138">
      <w:start w:val="1"/>
      <w:numFmt w:val="bullet"/>
      <w:lvlText w:val="o"/>
      <w:lvlJc w:val="left"/>
      <w:pPr>
        <w:ind w:left="3600" w:hanging="360"/>
      </w:pPr>
      <w:rPr>
        <w:rFonts w:ascii="Courier New" w:hAnsi="Courier New" w:hint="default"/>
      </w:rPr>
    </w:lvl>
    <w:lvl w:ilvl="5" w:tplc="CA0EF7E6">
      <w:start w:val="1"/>
      <w:numFmt w:val="bullet"/>
      <w:lvlText w:val=""/>
      <w:lvlJc w:val="left"/>
      <w:pPr>
        <w:ind w:left="4320" w:hanging="360"/>
      </w:pPr>
      <w:rPr>
        <w:rFonts w:ascii="Wingdings" w:hAnsi="Wingdings" w:hint="default"/>
      </w:rPr>
    </w:lvl>
    <w:lvl w:ilvl="6" w:tplc="BA0E1E6A">
      <w:start w:val="1"/>
      <w:numFmt w:val="bullet"/>
      <w:lvlText w:val=""/>
      <w:lvlJc w:val="left"/>
      <w:pPr>
        <w:ind w:left="5040" w:hanging="360"/>
      </w:pPr>
      <w:rPr>
        <w:rFonts w:ascii="Symbol" w:hAnsi="Symbol" w:hint="default"/>
      </w:rPr>
    </w:lvl>
    <w:lvl w:ilvl="7" w:tplc="3588EBD6">
      <w:start w:val="1"/>
      <w:numFmt w:val="bullet"/>
      <w:lvlText w:val="o"/>
      <w:lvlJc w:val="left"/>
      <w:pPr>
        <w:ind w:left="5760" w:hanging="360"/>
      </w:pPr>
      <w:rPr>
        <w:rFonts w:ascii="Courier New" w:hAnsi="Courier New" w:hint="default"/>
      </w:rPr>
    </w:lvl>
    <w:lvl w:ilvl="8" w:tplc="1E3438B8">
      <w:start w:val="1"/>
      <w:numFmt w:val="bullet"/>
      <w:lvlText w:val=""/>
      <w:lvlJc w:val="left"/>
      <w:pPr>
        <w:ind w:left="6480" w:hanging="360"/>
      </w:pPr>
      <w:rPr>
        <w:rFonts w:ascii="Wingdings" w:hAnsi="Wingdings" w:hint="default"/>
      </w:rPr>
    </w:lvl>
  </w:abstractNum>
  <w:abstractNum w:abstractNumId="42" w15:restartNumberingAfterBreak="0">
    <w:nsid w:val="683D28FF"/>
    <w:multiLevelType w:val="hybridMultilevel"/>
    <w:tmpl w:val="09CAFCBA"/>
    <w:lvl w:ilvl="0" w:tplc="334EC87C">
      <w:numFmt w:val="bullet"/>
      <w:lvlText w:val=""/>
      <w:lvlJc w:val="left"/>
      <w:pPr>
        <w:ind w:left="467" w:hanging="361"/>
      </w:pPr>
      <w:rPr>
        <w:rFonts w:ascii="Symbol" w:eastAsia="Symbol" w:hAnsi="Symbol" w:cs="Symbol" w:hint="default"/>
        <w:color w:val="0070C0"/>
        <w:w w:val="100"/>
        <w:sz w:val="16"/>
        <w:szCs w:val="16"/>
        <w:lang w:val="en-US" w:eastAsia="en-US" w:bidi="en-US"/>
      </w:rPr>
    </w:lvl>
    <w:lvl w:ilvl="1" w:tplc="B914A6FE">
      <w:numFmt w:val="bullet"/>
      <w:lvlText w:val="•"/>
      <w:lvlJc w:val="left"/>
      <w:pPr>
        <w:ind w:left="577" w:hanging="361"/>
      </w:pPr>
      <w:rPr>
        <w:rFonts w:hint="default"/>
        <w:lang w:val="en-US" w:eastAsia="en-US" w:bidi="en-US"/>
      </w:rPr>
    </w:lvl>
    <w:lvl w:ilvl="2" w:tplc="E05000F0">
      <w:numFmt w:val="bullet"/>
      <w:lvlText w:val="•"/>
      <w:lvlJc w:val="left"/>
      <w:pPr>
        <w:ind w:left="694" w:hanging="361"/>
      </w:pPr>
      <w:rPr>
        <w:rFonts w:hint="default"/>
        <w:lang w:val="en-US" w:eastAsia="en-US" w:bidi="en-US"/>
      </w:rPr>
    </w:lvl>
    <w:lvl w:ilvl="3" w:tplc="47AC18DC">
      <w:numFmt w:val="bullet"/>
      <w:lvlText w:val="•"/>
      <w:lvlJc w:val="left"/>
      <w:pPr>
        <w:ind w:left="811" w:hanging="361"/>
      </w:pPr>
      <w:rPr>
        <w:rFonts w:hint="default"/>
        <w:lang w:val="en-US" w:eastAsia="en-US" w:bidi="en-US"/>
      </w:rPr>
    </w:lvl>
    <w:lvl w:ilvl="4" w:tplc="13EED880">
      <w:numFmt w:val="bullet"/>
      <w:lvlText w:val="•"/>
      <w:lvlJc w:val="left"/>
      <w:pPr>
        <w:ind w:left="928" w:hanging="361"/>
      </w:pPr>
      <w:rPr>
        <w:rFonts w:hint="default"/>
        <w:lang w:val="en-US" w:eastAsia="en-US" w:bidi="en-US"/>
      </w:rPr>
    </w:lvl>
    <w:lvl w:ilvl="5" w:tplc="1D7EAB0E">
      <w:numFmt w:val="bullet"/>
      <w:lvlText w:val="•"/>
      <w:lvlJc w:val="left"/>
      <w:pPr>
        <w:ind w:left="1046" w:hanging="361"/>
      </w:pPr>
      <w:rPr>
        <w:rFonts w:hint="default"/>
        <w:lang w:val="en-US" w:eastAsia="en-US" w:bidi="en-US"/>
      </w:rPr>
    </w:lvl>
    <w:lvl w:ilvl="6" w:tplc="C10201DC">
      <w:numFmt w:val="bullet"/>
      <w:lvlText w:val="•"/>
      <w:lvlJc w:val="left"/>
      <w:pPr>
        <w:ind w:left="1163" w:hanging="361"/>
      </w:pPr>
      <w:rPr>
        <w:rFonts w:hint="default"/>
        <w:lang w:val="en-US" w:eastAsia="en-US" w:bidi="en-US"/>
      </w:rPr>
    </w:lvl>
    <w:lvl w:ilvl="7" w:tplc="9EAEDFBE">
      <w:numFmt w:val="bullet"/>
      <w:lvlText w:val="•"/>
      <w:lvlJc w:val="left"/>
      <w:pPr>
        <w:ind w:left="1280" w:hanging="361"/>
      </w:pPr>
      <w:rPr>
        <w:rFonts w:hint="default"/>
        <w:lang w:val="en-US" w:eastAsia="en-US" w:bidi="en-US"/>
      </w:rPr>
    </w:lvl>
    <w:lvl w:ilvl="8" w:tplc="3BC20D3C">
      <w:numFmt w:val="bullet"/>
      <w:lvlText w:val="•"/>
      <w:lvlJc w:val="left"/>
      <w:pPr>
        <w:ind w:left="1397" w:hanging="361"/>
      </w:pPr>
      <w:rPr>
        <w:rFonts w:hint="default"/>
        <w:lang w:val="en-US" w:eastAsia="en-US" w:bidi="en-US"/>
      </w:rPr>
    </w:lvl>
  </w:abstractNum>
  <w:abstractNum w:abstractNumId="43" w15:restartNumberingAfterBreak="0">
    <w:nsid w:val="69A121CA"/>
    <w:multiLevelType w:val="hybridMultilevel"/>
    <w:tmpl w:val="3C3C1876"/>
    <w:lvl w:ilvl="0" w:tplc="8FBC9590">
      <w:numFmt w:val="bullet"/>
      <w:lvlText w:val="•"/>
      <w:lvlJc w:val="left"/>
      <w:pPr>
        <w:ind w:left="1440" w:hanging="540"/>
      </w:pPr>
      <w:rPr>
        <w:rFonts w:ascii="Calibri" w:eastAsia="Calibri" w:hAnsi="Calibri" w:cs="Calibr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4" w15:restartNumberingAfterBreak="0">
    <w:nsid w:val="6A03521B"/>
    <w:multiLevelType w:val="hybridMultilevel"/>
    <w:tmpl w:val="A470EE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B1F5A3B"/>
    <w:multiLevelType w:val="hybridMultilevel"/>
    <w:tmpl w:val="A17A564E"/>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6" w15:restartNumberingAfterBreak="0">
    <w:nsid w:val="6D25707B"/>
    <w:multiLevelType w:val="hybridMultilevel"/>
    <w:tmpl w:val="7F9E4374"/>
    <w:lvl w:ilvl="0" w:tplc="24983C6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EB73D70"/>
    <w:multiLevelType w:val="hybridMultilevel"/>
    <w:tmpl w:val="1E24C498"/>
    <w:lvl w:ilvl="0" w:tplc="18FCCF4C">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8" w15:restartNumberingAfterBreak="0">
    <w:nsid w:val="7026C363"/>
    <w:multiLevelType w:val="hybridMultilevel"/>
    <w:tmpl w:val="FFFFFFFF"/>
    <w:lvl w:ilvl="0" w:tplc="1E7019BA">
      <w:start w:val="1"/>
      <w:numFmt w:val="decimal"/>
      <w:lvlText w:val="%1."/>
      <w:lvlJc w:val="left"/>
      <w:pPr>
        <w:ind w:left="720" w:hanging="360"/>
      </w:pPr>
    </w:lvl>
    <w:lvl w:ilvl="1" w:tplc="509CF690">
      <w:start w:val="1"/>
      <w:numFmt w:val="lowerLetter"/>
      <w:lvlText w:val="%2."/>
      <w:lvlJc w:val="left"/>
      <w:pPr>
        <w:ind w:left="1440" w:hanging="360"/>
      </w:pPr>
    </w:lvl>
    <w:lvl w:ilvl="2" w:tplc="7F7429B0">
      <w:start w:val="1"/>
      <w:numFmt w:val="lowerRoman"/>
      <w:lvlText w:val="%3."/>
      <w:lvlJc w:val="right"/>
      <w:pPr>
        <w:ind w:left="2160" w:hanging="180"/>
      </w:pPr>
    </w:lvl>
    <w:lvl w:ilvl="3" w:tplc="9330023C">
      <w:start w:val="1"/>
      <w:numFmt w:val="decimal"/>
      <w:lvlText w:val="%4."/>
      <w:lvlJc w:val="left"/>
      <w:pPr>
        <w:ind w:left="2880" w:hanging="360"/>
      </w:pPr>
    </w:lvl>
    <w:lvl w:ilvl="4" w:tplc="EFB0D552">
      <w:start w:val="1"/>
      <w:numFmt w:val="lowerLetter"/>
      <w:lvlText w:val="%5."/>
      <w:lvlJc w:val="left"/>
      <w:pPr>
        <w:ind w:left="3600" w:hanging="360"/>
      </w:pPr>
    </w:lvl>
    <w:lvl w:ilvl="5" w:tplc="448C14A0">
      <w:start w:val="1"/>
      <w:numFmt w:val="lowerRoman"/>
      <w:lvlText w:val="%6."/>
      <w:lvlJc w:val="right"/>
      <w:pPr>
        <w:ind w:left="4320" w:hanging="180"/>
      </w:pPr>
    </w:lvl>
    <w:lvl w:ilvl="6" w:tplc="9A261A24">
      <w:start w:val="1"/>
      <w:numFmt w:val="decimal"/>
      <w:lvlText w:val="%7."/>
      <w:lvlJc w:val="left"/>
      <w:pPr>
        <w:ind w:left="5040" w:hanging="360"/>
      </w:pPr>
    </w:lvl>
    <w:lvl w:ilvl="7" w:tplc="41DA9E78">
      <w:start w:val="1"/>
      <w:numFmt w:val="lowerLetter"/>
      <w:lvlText w:val="%8."/>
      <w:lvlJc w:val="left"/>
      <w:pPr>
        <w:ind w:left="5760" w:hanging="360"/>
      </w:pPr>
    </w:lvl>
    <w:lvl w:ilvl="8" w:tplc="0922A97E">
      <w:start w:val="1"/>
      <w:numFmt w:val="lowerRoman"/>
      <w:lvlText w:val="%9."/>
      <w:lvlJc w:val="right"/>
      <w:pPr>
        <w:ind w:left="6480" w:hanging="180"/>
      </w:pPr>
    </w:lvl>
  </w:abstractNum>
  <w:abstractNum w:abstractNumId="49" w15:restartNumberingAfterBreak="0">
    <w:nsid w:val="70D5E551"/>
    <w:multiLevelType w:val="hybridMultilevel"/>
    <w:tmpl w:val="FFFFFFFF"/>
    <w:lvl w:ilvl="0" w:tplc="6130FD32">
      <w:start w:val="1"/>
      <w:numFmt w:val="decimal"/>
      <w:lvlText w:val="%1."/>
      <w:lvlJc w:val="left"/>
      <w:pPr>
        <w:ind w:left="720" w:hanging="360"/>
      </w:pPr>
    </w:lvl>
    <w:lvl w:ilvl="1" w:tplc="FAE00F66">
      <w:start w:val="3"/>
      <w:numFmt w:val="lowerLetter"/>
      <w:lvlText w:val="%2."/>
      <w:lvlJc w:val="left"/>
      <w:pPr>
        <w:ind w:left="1440" w:hanging="360"/>
      </w:pPr>
    </w:lvl>
    <w:lvl w:ilvl="2" w:tplc="322E57F6">
      <w:start w:val="1"/>
      <w:numFmt w:val="lowerRoman"/>
      <w:lvlText w:val="%3."/>
      <w:lvlJc w:val="right"/>
      <w:pPr>
        <w:ind w:left="2160" w:hanging="180"/>
      </w:pPr>
    </w:lvl>
    <w:lvl w:ilvl="3" w:tplc="CD302438">
      <w:start w:val="1"/>
      <w:numFmt w:val="decimal"/>
      <w:lvlText w:val="%4."/>
      <w:lvlJc w:val="left"/>
      <w:pPr>
        <w:ind w:left="2880" w:hanging="360"/>
      </w:pPr>
    </w:lvl>
    <w:lvl w:ilvl="4" w:tplc="F95E47E2">
      <w:start w:val="1"/>
      <w:numFmt w:val="lowerLetter"/>
      <w:lvlText w:val="%5."/>
      <w:lvlJc w:val="left"/>
      <w:pPr>
        <w:ind w:left="3600" w:hanging="360"/>
      </w:pPr>
    </w:lvl>
    <w:lvl w:ilvl="5" w:tplc="0890D73E">
      <w:start w:val="1"/>
      <w:numFmt w:val="lowerRoman"/>
      <w:lvlText w:val="%6."/>
      <w:lvlJc w:val="right"/>
      <w:pPr>
        <w:ind w:left="4320" w:hanging="180"/>
      </w:pPr>
    </w:lvl>
    <w:lvl w:ilvl="6" w:tplc="045A503A">
      <w:start w:val="1"/>
      <w:numFmt w:val="decimal"/>
      <w:lvlText w:val="%7."/>
      <w:lvlJc w:val="left"/>
      <w:pPr>
        <w:ind w:left="5040" w:hanging="360"/>
      </w:pPr>
    </w:lvl>
    <w:lvl w:ilvl="7" w:tplc="1AC40FAA">
      <w:start w:val="1"/>
      <w:numFmt w:val="lowerLetter"/>
      <w:lvlText w:val="%8."/>
      <w:lvlJc w:val="left"/>
      <w:pPr>
        <w:ind w:left="5760" w:hanging="360"/>
      </w:pPr>
    </w:lvl>
    <w:lvl w:ilvl="8" w:tplc="5CC6A3F2">
      <w:start w:val="1"/>
      <w:numFmt w:val="lowerRoman"/>
      <w:lvlText w:val="%9."/>
      <w:lvlJc w:val="right"/>
      <w:pPr>
        <w:ind w:left="6480" w:hanging="180"/>
      </w:pPr>
    </w:lvl>
  </w:abstractNum>
  <w:abstractNum w:abstractNumId="50" w15:restartNumberingAfterBreak="0">
    <w:nsid w:val="7462363D"/>
    <w:multiLevelType w:val="hybridMultilevel"/>
    <w:tmpl w:val="EDBE277E"/>
    <w:lvl w:ilvl="0" w:tplc="883E31BE">
      <w:numFmt w:val="bullet"/>
      <w:lvlText w:val=""/>
      <w:lvlJc w:val="left"/>
      <w:pPr>
        <w:ind w:left="467" w:hanging="361"/>
      </w:pPr>
      <w:rPr>
        <w:rFonts w:ascii="Symbol" w:eastAsia="Symbol" w:hAnsi="Symbol" w:cs="Symbol" w:hint="default"/>
        <w:color w:val="0070C0"/>
        <w:w w:val="100"/>
        <w:sz w:val="16"/>
        <w:szCs w:val="16"/>
        <w:lang w:val="en-US" w:eastAsia="en-US" w:bidi="en-US"/>
      </w:rPr>
    </w:lvl>
    <w:lvl w:ilvl="1" w:tplc="BDC24B6C">
      <w:numFmt w:val="bullet"/>
      <w:lvlText w:val="•"/>
      <w:lvlJc w:val="left"/>
      <w:pPr>
        <w:ind w:left="577" w:hanging="361"/>
      </w:pPr>
      <w:rPr>
        <w:rFonts w:hint="default"/>
        <w:lang w:val="en-US" w:eastAsia="en-US" w:bidi="en-US"/>
      </w:rPr>
    </w:lvl>
    <w:lvl w:ilvl="2" w:tplc="049E9AAE">
      <w:numFmt w:val="bullet"/>
      <w:lvlText w:val="•"/>
      <w:lvlJc w:val="left"/>
      <w:pPr>
        <w:ind w:left="694" w:hanging="361"/>
      </w:pPr>
      <w:rPr>
        <w:rFonts w:hint="default"/>
        <w:lang w:val="en-US" w:eastAsia="en-US" w:bidi="en-US"/>
      </w:rPr>
    </w:lvl>
    <w:lvl w:ilvl="3" w:tplc="A96AEB1A">
      <w:numFmt w:val="bullet"/>
      <w:lvlText w:val="•"/>
      <w:lvlJc w:val="left"/>
      <w:pPr>
        <w:ind w:left="811" w:hanging="361"/>
      </w:pPr>
      <w:rPr>
        <w:rFonts w:hint="default"/>
        <w:lang w:val="en-US" w:eastAsia="en-US" w:bidi="en-US"/>
      </w:rPr>
    </w:lvl>
    <w:lvl w:ilvl="4" w:tplc="CA247018">
      <w:numFmt w:val="bullet"/>
      <w:lvlText w:val="•"/>
      <w:lvlJc w:val="left"/>
      <w:pPr>
        <w:ind w:left="928" w:hanging="361"/>
      </w:pPr>
      <w:rPr>
        <w:rFonts w:hint="default"/>
        <w:lang w:val="en-US" w:eastAsia="en-US" w:bidi="en-US"/>
      </w:rPr>
    </w:lvl>
    <w:lvl w:ilvl="5" w:tplc="B58642CC">
      <w:numFmt w:val="bullet"/>
      <w:lvlText w:val="•"/>
      <w:lvlJc w:val="left"/>
      <w:pPr>
        <w:ind w:left="1046" w:hanging="361"/>
      </w:pPr>
      <w:rPr>
        <w:rFonts w:hint="default"/>
        <w:lang w:val="en-US" w:eastAsia="en-US" w:bidi="en-US"/>
      </w:rPr>
    </w:lvl>
    <w:lvl w:ilvl="6" w:tplc="EEC6E9E2">
      <w:numFmt w:val="bullet"/>
      <w:lvlText w:val="•"/>
      <w:lvlJc w:val="left"/>
      <w:pPr>
        <w:ind w:left="1163" w:hanging="361"/>
      </w:pPr>
      <w:rPr>
        <w:rFonts w:hint="default"/>
        <w:lang w:val="en-US" w:eastAsia="en-US" w:bidi="en-US"/>
      </w:rPr>
    </w:lvl>
    <w:lvl w:ilvl="7" w:tplc="363620FE">
      <w:numFmt w:val="bullet"/>
      <w:lvlText w:val="•"/>
      <w:lvlJc w:val="left"/>
      <w:pPr>
        <w:ind w:left="1280" w:hanging="361"/>
      </w:pPr>
      <w:rPr>
        <w:rFonts w:hint="default"/>
        <w:lang w:val="en-US" w:eastAsia="en-US" w:bidi="en-US"/>
      </w:rPr>
    </w:lvl>
    <w:lvl w:ilvl="8" w:tplc="20F6C554">
      <w:numFmt w:val="bullet"/>
      <w:lvlText w:val="•"/>
      <w:lvlJc w:val="left"/>
      <w:pPr>
        <w:ind w:left="1397" w:hanging="361"/>
      </w:pPr>
      <w:rPr>
        <w:rFonts w:hint="default"/>
        <w:lang w:val="en-US" w:eastAsia="en-US" w:bidi="en-US"/>
      </w:rPr>
    </w:lvl>
  </w:abstractNum>
  <w:abstractNum w:abstractNumId="51" w15:restartNumberingAfterBreak="0">
    <w:nsid w:val="747278E0"/>
    <w:multiLevelType w:val="hybridMultilevel"/>
    <w:tmpl w:val="016AA75E"/>
    <w:lvl w:ilvl="0" w:tplc="52166F04">
      <w:numFmt w:val="bullet"/>
      <w:lvlText w:val=""/>
      <w:lvlJc w:val="left"/>
      <w:pPr>
        <w:ind w:left="465" w:hanging="361"/>
      </w:pPr>
      <w:rPr>
        <w:rFonts w:ascii="Symbol" w:eastAsia="Symbol" w:hAnsi="Symbol" w:cs="Symbol" w:hint="default"/>
        <w:w w:val="99"/>
        <w:sz w:val="14"/>
        <w:szCs w:val="14"/>
        <w:lang w:val="en-US" w:eastAsia="en-US" w:bidi="en-US"/>
      </w:rPr>
    </w:lvl>
    <w:lvl w:ilvl="1" w:tplc="76E6D008">
      <w:numFmt w:val="bullet"/>
      <w:lvlText w:val="•"/>
      <w:lvlJc w:val="left"/>
      <w:pPr>
        <w:ind w:left="553" w:hanging="361"/>
      </w:pPr>
      <w:rPr>
        <w:rFonts w:hint="default"/>
        <w:lang w:val="en-US" w:eastAsia="en-US" w:bidi="en-US"/>
      </w:rPr>
    </w:lvl>
    <w:lvl w:ilvl="2" w:tplc="7DAA5980">
      <w:numFmt w:val="bullet"/>
      <w:lvlText w:val="•"/>
      <w:lvlJc w:val="left"/>
      <w:pPr>
        <w:ind w:left="647" w:hanging="361"/>
      </w:pPr>
      <w:rPr>
        <w:rFonts w:hint="default"/>
        <w:lang w:val="en-US" w:eastAsia="en-US" w:bidi="en-US"/>
      </w:rPr>
    </w:lvl>
    <w:lvl w:ilvl="3" w:tplc="06F2EA30">
      <w:numFmt w:val="bullet"/>
      <w:lvlText w:val="•"/>
      <w:lvlJc w:val="left"/>
      <w:pPr>
        <w:ind w:left="741" w:hanging="361"/>
      </w:pPr>
      <w:rPr>
        <w:rFonts w:hint="default"/>
        <w:lang w:val="en-US" w:eastAsia="en-US" w:bidi="en-US"/>
      </w:rPr>
    </w:lvl>
    <w:lvl w:ilvl="4" w:tplc="F15E261E">
      <w:numFmt w:val="bullet"/>
      <w:lvlText w:val="•"/>
      <w:lvlJc w:val="left"/>
      <w:pPr>
        <w:ind w:left="834" w:hanging="361"/>
      </w:pPr>
      <w:rPr>
        <w:rFonts w:hint="default"/>
        <w:lang w:val="en-US" w:eastAsia="en-US" w:bidi="en-US"/>
      </w:rPr>
    </w:lvl>
    <w:lvl w:ilvl="5" w:tplc="A7C6D748">
      <w:numFmt w:val="bullet"/>
      <w:lvlText w:val="•"/>
      <w:lvlJc w:val="left"/>
      <w:pPr>
        <w:ind w:left="928" w:hanging="361"/>
      </w:pPr>
      <w:rPr>
        <w:rFonts w:hint="default"/>
        <w:lang w:val="en-US" w:eastAsia="en-US" w:bidi="en-US"/>
      </w:rPr>
    </w:lvl>
    <w:lvl w:ilvl="6" w:tplc="89282BF8">
      <w:numFmt w:val="bullet"/>
      <w:lvlText w:val="•"/>
      <w:lvlJc w:val="left"/>
      <w:pPr>
        <w:ind w:left="1022" w:hanging="361"/>
      </w:pPr>
      <w:rPr>
        <w:rFonts w:hint="default"/>
        <w:lang w:val="en-US" w:eastAsia="en-US" w:bidi="en-US"/>
      </w:rPr>
    </w:lvl>
    <w:lvl w:ilvl="7" w:tplc="1E3E7FAE">
      <w:numFmt w:val="bullet"/>
      <w:lvlText w:val="•"/>
      <w:lvlJc w:val="left"/>
      <w:pPr>
        <w:ind w:left="1115" w:hanging="361"/>
      </w:pPr>
      <w:rPr>
        <w:rFonts w:hint="default"/>
        <w:lang w:val="en-US" w:eastAsia="en-US" w:bidi="en-US"/>
      </w:rPr>
    </w:lvl>
    <w:lvl w:ilvl="8" w:tplc="97F2AA7E">
      <w:numFmt w:val="bullet"/>
      <w:lvlText w:val="•"/>
      <w:lvlJc w:val="left"/>
      <w:pPr>
        <w:ind w:left="1209" w:hanging="361"/>
      </w:pPr>
      <w:rPr>
        <w:rFonts w:hint="default"/>
        <w:lang w:val="en-US" w:eastAsia="en-US" w:bidi="en-US"/>
      </w:rPr>
    </w:lvl>
  </w:abstractNum>
  <w:abstractNum w:abstractNumId="52" w15:restartNumberingAfterBreak="0">
    <w:nsid w:val="748B7904"/>
    <w:multiLevelType w:val="hybridMultilevel"/>
    <w:tmpl w:val="FFFFFFFF"/>
    <w:lvl w:ilvl="0" w:tplc="AD32FF96">
      <w:start w:val="1"/>
      <w:numFmt w:val="lowerLetter"/>
      <w:lvlText w:val="%1."/>
      <w:lvlJc w:val="left"/>
      <w:pPr>
        <w:ind w:left="720" w:hanging="360"/>
      </w:pPr>
    </w:lvl>
    <w:lvl w:ilvl="1" w:tplc="B572799C">
      <w:start w:val="1"/>
      <w:numFmt w:val="lowerLetter"/>
      <w:lvlText w:val="%2."/>
      <w:lvlJc w:val="left"/>
      <w:pPr>
        <w:ind w:left="1440" w:hanging="360"/>
      </w:pPr>
    </w:lvl>
    <w:lvl w:ilvl="2" w:tplc="E74871F2">
      <w:start w:val="1"/>
      <w:numFmt w:val="lowerRoman"/>
      <w:lvlText w:val="%3."/>
      <w:lvlJc w:val="right"/>
      <w:pPr>
        <w:ind w:left="2160" w:hanging="180"/>
      </w:pPr>
    </w:lvl>
    <w:lvl w:ilvl="3" w:tplc="B6F2EE5E">
      <w:start w:val="1"/>
      <w:numFmt w:val="decimal"/>
      <w:lvlText w:val="%4."/>
      <w:lvlJc w:val="left"/>
      <w:pPr>
        <w:ind w:left="2880" w:hanging="360"/>
      </w:pPr>
    </w:lvl>
    <w:lvl w:ilvl="4" w:tplc="0A4A10D2">
      <w:start w:val="1"/>
      <w:numFmt w:val="lowerLetter"/>
      <w:lvlText w:val="%5."/>
      <w:lvlJc w:val="left"/>
      <w:pPr>
        <w:ind w:left="3600" w:hanging="360"/>
      </w:pPr>
    </w:lvl>
    <w:lvl w:ilvl="5" w:tplc="A0D80548">
      <w:start w:val="1"/>
      <w:numFmt w:val="lowerRoman"/>
      <w:lvlText w:val="%6."/>
      <w:lvlJc w:val="right"/>
      <w:pPr>
        <w:ind w:left="4320" w:hanging="180"/>
      </w:pPr>
    </w:lvl>
    <w:lvl w:ilvl="6" w:tplc="E6F4AA70">
      <w:start w:val="1"/>
      <w:numFmt w:val="decimal"/>
      <w:lvlText w:val="%7."/>
      <w:lvlJc w:val="left"/>
      <w:pPr>
        <w:ind w:left="5040" w:hanging="360"/>
      </w:pPr>
    </w:lvl>
    <w:lvl w:ilvl="7" w:tplc="31A4CE04">
      <w:start w:val="1"/>
      <w:numFmt w:val="lowerLetter"/>
      <w:lvlText w:val="%8."/>
      <w:lvlJc w:val="left"/>
      <w:pPr>
        <w:ind w:left="5760" w:hanging="360"/>
      </w:pPr>
    </w:lvl>
    <w:lvl w:ilvl="8" w:tplc="21808606">
      <w:start w:val="1"/>
      <w:numFmt w:val="lowerRoman"/>
      <w:lvlText w:val="%9."/>
      <w:lvlJc w:val="right"/>
      <w:pPr>
        <w:ind w:left="6480" w:hanging="180"/>
      </w:pPr>
    </w:lvl>
  </w:abstractNum>
  <w:abstractNum w:abstractNumId="53" w15:restartNumberingAfterBreak="0">
    <w:nsid w:val="74D135EC"/>
    <w:multiLevelType w:val="hybridMultilevel"/>
    <w:tmpl w:val="DBA4A9D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 w15:restartNumberingAfterBreak="0">
    <w:nsid w:val="78EA6A6A"/>
    <w:multiLevelType w:val="hybridMultilevel"/>
    <w:tmpl w:val="5934A5AA"/>
    <w:lvl w:ilvl="0" w:tplc="E37CB832">
      <w:start w:val="1"/>
      <w:numFmt w:val="decimal"/>
      <w:lvlText w:val="(%1)"/>
      <w:lvlJc w:val="left"/>
      <w:pPr>
        <w:ind w:left="1621" w:hanging="322"/>
      </w:pPr>
      <w:rPr>
        <w:rFonts w:ascii="Calibri" w:eastAsia="Calibri" w:hAnsi="Calibri" w:cs="Calibri" w:hint="default"/>
        <w:spacing w:val="-3"/>
        <w:w w:val="100"/>
        <w:sz w:val="24"/>
        <w:szCs w:val="24"/>
        <w:lang w:val="en-US" w:eastAsia="en-US" w:bidi="en-US"/>
      </w:rPr>
    </w:lvl>
    <w:lvl w:ilvl="1" w:tplc="D2C8CE16">
      <w:start w:val="1"/>
      <w:numFmt w:val="lowerLetter"/>
      <w:lvlText w:val="(%2)"/>
      <w:lvlJc w:val="left"/>
      <w:pPr>
        <w:ind w:left="2334" w:hanging="315"/>
      </w:pPr>
      <w:rPr>
        <w:rFonts w:ascii="Calibri" w:eastAsia="Calibri" w:hAnsi="Calibri" w:cs="Calibri" w:hint="default"/>
        <w:spacing w:val="-3"/>
        <w:w w:val="100"/>
        <w:sz w:val="24"/>
        <w:szCs w:val="24"/>
        <w:lang w:val="en-US" w:eastAsia="en-US" w:bidi="en-US"/>
      </w:rPr>
    </w:lvl>
    <w:lvl w:ilvl="2" w:tplc="9A08C8FC">
      <w:numFmt w:val="bullet"/>
      <w:lvlText w:val="•"/>
      <w:lvlJc w:val="left"/>
      <w:pPr>
        <w:ind w:left="3208" w:hanging="315"/>
      </w:pPr>
      <w:rPr>
        <w:rFonts w:hint="default"/>
        <w:lang w:val="en-US" w:eastAsia="en-US" w:bidi="en-US"/>
      </w:rPr>
    </w:lvl>
    <w:lvl w:ilvl="3" w:tplc="13D40EDC">
      <w:numFmt w:val="bullet"/>
      <w:lvlText w:val="•"/>
      <w:lvlJc w:val="left"/>
      <w:pPr>
        <w:ind w:left="4077" w:hanging="315"/>
      </w:pPr>
      <w:rPr>
        <w:rFonts w:hint="default"/>
        <w:lang w:val="en-US" w:eastAsia="en-US" w:bidi="en-US"/>
      </w:rPr>
    </w:lvl>
    <w:lvl w:ilvl="4" w:tplc="788E5198">
      <w:numFmt w:val="bullet"/>
      <w:lvlText w:val="•"/>
      <w:lvlJc w:val="left"/>
      <w:pPr>
        <w:ind w:left="4946" w:hanging="315"/>
      </w:pPr>
      <w:rPr>
        <w:rFonts w:hint="default"/>
        <w:lang w:val="en-US" w:eastAsia="en-US" w:bidi="en-US"/>
      </w:rPr>
    </w:lvl>
    <w:lvl w:ilvl="5" w:tplc="B11AB274">
      <w:numFmt w:val="bullet"/>
      <w:lvlText w:val="•"/>
      <w:lvlJc w:val="left"/>
      <w:pPr>
        <w:ind w:left="5815" w:hanging="315"/>
      </w:pPr>
      <w:rPr>
        <w:rFonts w:hint="default"/>
        <w:lang w:val="en-US" w:eastAsia="en-US" w:bidi="en-US"/>
      </w:rPr>
    </w:lvl>
    <w:lvl w:ilvl="6" w:tplc="B0261918">
      <w:numFmt w:val="bullet"/>
      <w:lvlText w:val="•"/>
      <w:lvlJc w:val="left"/>
      <w:pPr>
        <w:ind w:left="6684" w:hanging="315"/>
      </w:pPr>
      <w:rPr>
        <w:rFonts w:hint="default"/>
        <w:lang w:val="en-US" w:eastAsia="en-US" w:bidi="en-US"/>
      </w:rPr>
    </w:lvl>
    <w:lvl w:ilvl="7" w:tplc="116A5958">
      <w:numFmt w:val="bullet"/>
      <w:lvlText w:val="•"/>
      <w:lvlJc w:val="left"/>
      <w:pPr>
        <w:ind w:left="7553" w:hanging="315"/>
      </w:pPr>
      <w:rPr>
        <w:rFonts w:hint="default"/>
        <w:lang w:val="en-US" w:eastAsia="en-US" w:bidi="en-US"/>
      </w:rPr>
    </w:lvl>
    <w:lvl w:ilvl="8" w:tplc="F5625E84">
      <w:numFmt w:val="bullet"/>
      <w:lvlText w:val="•"/>
      <w:lvlJc w:val="left"/>
      <w:pPr>
        <w:ind w:left="8422" w:hanging="315"/>
      </w:pPr>
      <w:rPr>
        <w:rFonts w:hint="default"/>
        <w:lang w:val="en-US" w:eastAsia="en-US" w:bidi="en-US"/>
      </w:rPr>
    </w:lvl>
  </w:abstractNum>
  <w:abstractNum w:abstractNumId="55" w15:restartNumberingAfterBreak="0">
    <w:nsid w:val="797F45E4"/>
    <w:multiLevelType w:val="hybridMultilevel"/>
    <w:tmpl w:val="00344CC8"/>
    <w:lvl w:ilvl="0" w:tplc="15E40EC0">
      <w:start w:val="1"/>
      <w:numFmt w:val="decimal"/>
      <w:lvlText w:val="%1."/>
      <w:lvlJc w:val="left"/>
      <w:pPr>
        <w:ind w:left="1300" w:hanging="360"/>
      </w:pPr>
      <w:rPr>
        <w:rFonts w:ascii="Calibri" w:eastAsia="Calibri" w:hAnsi="Calibri" w:cs="Calibri" w:hint="default"/>
        <w:spacing w:val="-4"/>
        <w:w w:val="100"/>
        <w:sz w:val="24"/>
        <w:szCs w:val="24"/>
        <w:lang w:val="en-US" w:eastAsia="en-US" w:bidi="en-US"/>
      </w:rPr>
    </w:lvl>
    <w:lvl w:ilvl="1" w:tplc="4A2272B0">
      <w:numFmt w:val="bullet"/>
      <w:lvlText w:val="•"/>
      <w:lvlJc w:val="left"/>
      <w:pPr>
        <w:ind w:left="2186" w:hanging="360"/>
      </w:pPr>
      <w:rPr>
        <w:rFonts w:hint="default"/>
        <w:lang w:val="en-US" w:eastAsia="en-US" w:bidi="en-US"/>
      </w:rPr>
    </w:lvl>
    <w:lvl w:ilvl="2" w:tplc="50CAACB4">
      <w:numFmt w:val="bullet"/>
      <w:lvlText w:val="•"/>
      <w:lvlJc w:val="left"/>
      <w:pPr>
        <w:ind w:left="3072" w:hanging="360"/>
      </w:pPr>
      <w:rPr>
        <w:rFonts w:hint="default"/>
        <w:lang w:val="en-US" w:eastAsia="en-US" w:bidi="en-US"/>
      </w:rPr>
    </w:lvl>
    <w:lvl w:ilvl="3" w:tplc="E354CDAC">
      <w:numFmt w:val="bullet"/>
      <w:lvlText w:val="•"/>
      <w:lvlJc w:val="left"/>
      <w:pPr>
        <w:ind w:left="3958" w:hanging="360"/>
      </w:pPr>
      <w:rPr>
        <w:rFonts w:hint="default"/>
        <w:lang w:val="en-US" w:eastAsia="en-US" w:bidi="en-US"/>
      </w:rPr>
    </w:lvl>
    <w:lvl w:ilvl="4" w:tplc="DABE4C7E">
      <w:numFmt w:val="bullet"/>
      <w:lvlText w:val="•"/>
      <w:lvlJc w:val="left"/>
      <w:pPr>
        <w:ind w:left="4844" w:hanging="360"/>
      </w:pPr>
      <w:rPr>
        <w:rFonts w:hint="default"/>
        <w:lang w:val="en-US" w:eastAsia="en-US" w:bidi="en-US"/>
      </w:rPr>
    </w:lvl>
    <w:lvl w:ilvl="5" w:tplc="016000D2">
      <w:numFmt w:val="bullet"/>
      <w:lvlText w:val="•"/>
      <w:lvlJc w:val="left"/>
      <w:pPr>
        <w:ind w:left="5730" w:hanging="360"/>
      </w:pPr>
      <w:rPr>
        <w:rFonts w:hint="default"/>
        <w:lang w:val="en-US" w:eastAsia="en-US" w:bidi="en-US"/>
      </w:rPr>
    </w:lvl>
    <w:lvl w:ilvl="6" w:tplc="FABEE7D2">
      <w:numFmt w:val="bullet"/>
      <w:lvlText w:val="•"/>
      <w:lvlJc w:val="left"/>
      <w:pPr>
        <w:ind w:left="6616" w:hanging="360"/>
      </w:pPr>
      <w:rPr>
        <w:rFonts w:hint="default"/>
        <w:lang w:val="en-US" w:eastAsia="en-US" w:bidi="en-US"/>
      </w:rPr>
    </w:lvl>
    <w:lvl w:ilvl="7" w:tplc="08449D00">
      <w:numFmt w:val="bullet"/>
      <w:lvlText w:val="•"/>
      <w:lvlJc w:val="left"/>
      <w:pPr>
        <w:ind w:left="7502" w:hanging="360"/>
      </w:pPr>
      <w:rPr>
        <w:rFonts w:hint="default"/>
        <w:lang w:val="en-US" w:eastAsia="en-US" w:bidi="en-US"/>
      </w:rPr>
    </w:lvl>
    <w:lvl w:ilvl="8" w:tplc="B45CAF4E">
      <w:numFmt w:val="bullet"/>
      <w:lvlText w:val="•"/>
      <w:lvlJc w:val="left"/>
      <w:pPr>
        <w:ind w:left="8388" w:hanging="360"/>
      </w:pPr>
      <w:rPr>
        <w:rFonts w:hint="default"/>
        <w:lang w:val="en-US" w:eastAsia="en-US" w:bidi="en-US"/>
      </w:rPr>
    </w:lvl>
  </w:abstractNum>
  <w:abstractNum w:abstractNumId="56" w15:restartNumberingAfterBreak="0">
    <w:nsid w:val="7DEF1BD0"/>
    <w:multiLevelType w:val="multilevel"/>
    <w:tmpl w:val="49AE0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98738159">
    <w:abstractNumId w:val="19"/>
  </w:num>
  <w:num w:numId="2" w16cid:durableId="796677052">
    <w:abstractNumId w:val="41"/>
  </w:num>
  <w:num w:numId="3" w16cid:durableId="1562131556">
    <w:abstractNumId w:val="7"/>
  </w:num>
  <w:num w:numId="4" w16cid:durableId="1794708900">
    <w:abstractNumId w:val="50"/>
  </w:num>
  <w:num w:numId="5" w16cid:durableId="1413039124">
    <w:abstractNumId w:val="35"/>
  </w:num>
  <w:num w:numId="6" w16cid:durableId="1196384745">
    <w:abstractNumId w:val="51"/>
  </w:num>
  <w:num w:numId="7" w16cid:durableId="1333678498">
    <w:abstractNumId w:val="18"/>
  </w:num>
  <w:num w:numId="8" w16cid:durableId="75174669">
    <w:abstractNumId w:val="42"/>
  </w:num>
  <w:num w:numId="9" w16cid:durableId="1874924194">
    <w:abstractNumId w:val="1"/>
  </w:num>
  <w:num w:numId="10" w16cid:durableId="1502695598">
    <w:abstractNumId w:val="14"/>
  </w:num>
  <w:num w:numId="11" w16cid:durableId="162668558">
    <w:abstractNumId w:val="12"/>
  </w:num>
  <w:num w:numId="12" w16cid:durableId="889414204">
    <w:abstractNumId w:val="55"/>
  </w:num>
  <w:num w:numId="13" w16cid:durableId="2029329234">
    <w:abstractNumId w:val="54"/>
  </w:num>
  <w:num w:numId="14" w16cid:durableId="818807170">
    <w:abstractNumId w:val="28"/>
  </w:num>
  <w:num w:numId="15" w16cid:durableId="278221357">
    <w:abstractNumId w:val="11"/>
  </w:num>
  <w:num w:numId="16" w16cid:durableId="931161461">
    <w:abstractNumId w:val="33"/>
  </w:num>
  <w:num w:numId="17" w16cid:durableId="370963231">
    <w:abstractNumId w:val="30"/>
  </w:num>
  <w:num w:numId="18" w16cid:durableId="850801919">
    <w:abstractNumId w:val="0"/>
  </w:num>
  <w:num w:numId="19" w16cid:durableId="1381979443">
    <w:abstractNumId w:val="53"/>
  </w:num>
  <w:num w:numId="20" w16cid:durableId="2134907095">
    <w:abstractNumId w:val="4"/>
  </w:num>
  <w:num w:numId="21" w16cid:durableId="511531435">
    <w:abstractNumId w:val="45"/>
  </w:num>
  <w:num w:numId="22" w16cid:durableId="1688866642">
    <w:abstractNumId w:val="37"/>
  </w:num>
  <w:num w:numId="23" w16cid:durableId="391274091">
    <w:abstractNumId w:val="43"/>
  </w:num>
  <w:num w:numId="24" w16cid:durableId="1869827316">
    <w:abstractNumId w:val="5"/>
  </w:num>
  <w:num w:numId="25" w16cid:durableId="832720722">
    <w:abstractNumId w:val="25"/>
  </w:num>
  <w:num w:numId="26" w16cid:durableId="70471688">
    <w:abstractNumId w:val="16"/>
  </w:num>
  <w:num w:numId="27" w16cid:durableId="2023387620">
    <w:abstractNumId w:val="15"/>
  </w:num>
  <w:num w:numId="28" w16cid:durableId="1419131209">
    <w:abstractNumId w:val="56"/>
  </w:num>
  <w:num w:numId="29" w16cid:durableId="1750695409">
    <w:abstractNumId w:val="47"/>
  </w:num>
  <w:num w:numId="30" w16cid:durableId="1248613826">
    <w:abstractNumId w:val="46"/>
  </w:num>
  <w:num w:numId="31" w16cid:durableId="154941705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08068199">
    <w:abstractNumId w:val="23"/>
  </w:num>
  <w:num w:numId="33" w16cid:durableId="936980250">
    <w:abstractNumId w:val="2"/>
  </w:num>
  <w:num w:numId="34" w16cid:durableId="1368216965">
    <w:abstractNumId w:val="20"/>
  </w:num>
  <w:num w:numId="35" w16cid:durableId="389427469">
    <w:abstractNumId w:val="10"/>
  </w:num>
  <w:num w:numId="36" w16cid:durableId="1729838778">
    <w:abstractNumId w:val="17"/>
  </w:num>
  <w:num w:numId="37" w16cid:durableId="1026521728">
    <w:abstractNumId w:val="38"/>
  </w:num>
  <w:num w:numId="38" w16cid:durableId="1868985650">
    <w:abstractNumId w:val="29"/>
  </w:num>
  <w:num w:numId="39" w16cid:durableId="540172701">
    <w:abstractNumId w:val="52"/>
  </w:num>
  <w:num w:numId="40" w16cid:durableId="545678670">
    <w:abstractNumId w:val="26"/>
  </w:num>
  <w:num w:numId="41" w16cid:durableId="876967401">
    <w:abstractNumId w:val="31"/>
  </w:num>
  <w:num w:numId="42" w16cid:durableId="981736705">
    <w:abstractNumId w:val="3"/>
  </w:num>
  <w:num w:numId="43" w16cid:durableId="2081561123">
    <w:abstractNumId w:val="9"/>
  </w:num>
  <w:num w:numId="44" w16cid:durableId="141847083">
    <w:abstractNumId w:val="36"/>
  </w:num>
  <w:num w:numId="45" w16cid:durableId="1651323029">
    <w:abstractNumId w:val="21"/>
  </w:num>
  <w:num w:numId="46" w16cid:durableId="242834165">
    <w:abstractNumId w:val="22"/>
  </w:num>
  <w:num w:numId="47" w16cid:durableId="82458520">
    <w:abstractNumId w:val="49"/>
  </w:num>
  <w:num w:numId="48" w16cid:durableId="501164073">
    <w:abstractNumId w:val="13"/>
  </w:num>
  <w:num w:numId="49" w16cid:durableId="1143352099">
    <w:abstractNumId w:val="32"/>
  </w:num>
  <w:num w:numId="50" w16cid:durableId="1945920692">
    <w:abstractNumId w:val="24"/>
  </w:num>
  <w:num w:numId="51" w16cid:durableId="316157174">
    <w:abstractNumId w:val="34"/>
  </w:num>
  <w:num w:numId="52" w16cid:durableId="1215460085">
    <w:abstractNumId w:val="27"/>
  </w:num>
  <w:num w:numId="53" w16cid:durableId="742071132">
    <w:abstractNumId w:val="48"/>
  </w:num>
  <w:num w:numId="54" w16cid:durableId="2109226999">
    <w:abstractNumId w:val="6"/>
  </w:num>
  <w:num w:numId="55" w16cid:durableId="1258296266">
    <w:abstractNumId w:val="44"/>
  </w:num>
  <w:num w:numId="56" w16cid:durableId="1630357794">
    <w:abstractNumId w:val="40"/>
  </w:num>
  <w:num w:numId="57" w16cid:durableId="1627194601">
    <w:abstractNumId w:val="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A1D"/>
    <w:rsid w:val="00000DB3"/>
    <w:rsid w:val="00001347"/>
    <w:rsid w:val="00002AA9"/>
    <w:rsid w:val="00004FBA"/>
    <w:rsid w:val="000054CA"/>
    <w:rsid w:val="0000588E"/>
    <w:rsid w:val="00006A3E"/>
    <w:rsid w:val="00010E1E"/>
    <w:rsid w:val="00011E44"/>
    <w:rsid w:val="0001798F"/>
    <w:rsid w:val="00017FA3"/>
    <w:rsid w:val="00021AB6"/>
    <w:rsid w:val="000268A7"/>
    <w:rsid w:val="00027018"/>
    <w:rsid w:val="00027792"/>
    <w:rsid w:val="000301B3"/>
    <w:rsid w:val="00031995"/>
    <w:rsid w:val="00031DE6"/>
    <w:rsid w:val="000334F9"/>
    <w:rsid w:val="000338B7"/>
    <w:rsid w:val="00034DAF"/>
    <w:rsid w:val="00036698"/>
    <w:rsid w:val="00040DD7"/>
    <w:rsid w:val="000414E0"/>
    <w:rsid w:val="000426D5"/>
    <w:rsid w:val="00042FBE"/>
    <w:rsid w:val="00043D3F"/>
    <w:rsid w:val="00043DDE"/>
    <w:rsid w:val="00044B4A"/>
    <w:rsid w:val="00044D77"/>
    <w:rsid w:val="00044DC4"/>
    <w:rsid w:val="00045E19"/>
    <w:rsid w:val="000460A6"/>
    <w:rsid w:val="00046116"/>
    <w:rsid w:val="00046119"/>
    <w:rsid w:val="0004622C"/>
    <w:rsid w:val="0005002A"/>
    <w:rsid w:val="0005240C"/>
    <w:rsid w:val="000563A5"/>
    <w:rsid w:val="00056A2A"/>
    <w:rsid w:val="0005746F"/>
    <w:rsid w:val="000579B9"/>
    <w:rsid w:val="000603F6"/>
    <w:rsid w:val="00061193"/>
    <w:rsid w:val="0006132B"/>
    <w:rsid w:val="00061528"/>
    <w:rsid w:val="000616C1"/>
    <w:rsid w:val="00061980"/>
    <w:rsid w:val="00061A11"/>
    <w:rsid w:val="0006569A"/>
    <w:rsid w:val="00065B79"/>
    <w:rsid w:val="0006613D"/>
    <w:rsid w:val="00066344"/>
    <w:rsid w:val="00066639"/>
    <w:rsid w:val="000679B9"/>
    <w:rsid w:val="00072055"/>
    <w:rsid w:val="0007326A"/>
    <w:rsid w:val="000753E4"/>
    <w:rsid w:val="0007787C"/>
    <w:rsid w:val="00077B57"/>
    <w:rsid w:val="00080949"/>
    <w:rsid w:val="000843BF"/>
    <w:rsid w:val="00084501"/>
    <w:rsid w:val="0008486B"/>
    <w:rsid w:val="0008658F"/>
    <w:rsid w:val="00087A4C"/>
    <w:rsid w:val="00090B89"/>
    <w:rsid w:val="000913E6"/>
    <w:rsid w:val="00091493"/>
    <w:rsid w:val="00091F5A"/>
    <w:rsid w:val="00093243"/>
    <w:rsid w:val="00094A6C"/>
    <w:rsid w:val="00094C73"/>
    <w:rsid w:val="00095693"/>
    <w:rsid w:val="0009598C"/>
    <w:rsid w:val="00095CDB"/>
    <w:rsid w:val="00097300"/>
    <w:rsid w:val="000A0ED4"/>
    <w:rsid w:val="000A1A36"/>
    <w:rsid w:val="000A3580"/>
    <w:rsid w:val="000A57CF"/>
    <w:rsid w:val="000B0F34"/>
    <w:rsid w:val="000B23A7"/>
    <w:rsid w:val="000B2B73"/>
    <w:rsid w:val="000B3E7D"/>
    <w:rsid w:val="000B4F1E"/>
    <w:rsid w:val="000B5F4C"/>
    <w:rsid w:val="000B6B84"/>
    <w:rsid w:val="000C02D1"/>
    <w:rsid w:val="000C5016"/>
    <w:rsid w:val="000C5857"/>
    <w:rsid w:val="000C672C"/>
    <w:rsid w:val="000C719D"/>
    <w:rsid w:val="000C7367"/>
    <w:rsid w:val="000C7D6C"/>
    <w:rsid w:val="000D2EA4"/>
    <w:rsid w:val="000D3E4B"/>
    <w:rsid w:val="000D5A01"/>
    <w:rsid w:val="000E017C"/>
    <w:rsid w:val="000E0CBF"/>
    <w:rsid w:val="000E1CFA"/>
    <w:rsid w:val="000E2354"/>
    <w:rsid w:val="000E2B4D"/>
    <w:rsid w:val="000E39DD"/>
    <w:rsid w:val="000F10A6"/>
    <w:rsid w:val="000F10D2"/>
    <w:rsid w:val="000F113C"/>
    <w:rsid w:val="000F366D"/>
    <w:rsid w:val="000F4AE3"/>
    <w:rsid w:val="000F4D39"/>
    <w:rsid w:val="000F4E06"/>
    <w:rsid w:val="000F7687"/>
    <w:rsid w:val="00101121"/>
    <w:rsid w:val="00103253"/>
    <w:rsid w:val="001046B8"/>
    <w:rsid w:val="00104F1C"/>
    <w:rsid w:val="00105862"/>
    <w:rsid w:val="0010589C"/>
    <w:rsid w:val="00105FF1"/>
    <w:rsid w:val="001067F6"/>
    <w:rsid w:val="00106CE7"/>
    <w:rsid w:val="00107993"/>
    <w:rsid w:val="001144F7"/>
    <w:rsid w:val="00114BB7"/>
    <w:rsid w:val="0011510C"/>
    <w:rsid w:val="00115970"/>
    <w:rsid w:val="00117B00"/>
    <w:rsid w:val="0012029C"/>
    <w:rsid w:val="00120FFE"/>
    <w:rsid w:val="00122222"/>
    <w:rsid w:val="00122D92"/>
    <w:rsid w:val="00124F3F"/>
    <w:rsid w:val="00125B10"/>
    <w:rsid w:val="00126D65"/>
    <w:rsid w:val="001270B8"/>
    <w:rsid w:val="00127874"/>
    <w:rsid w:val="0013179B"/>
    <w:rsid w:val="001317D7"/>
    <w:rsid w:val="001325DD"/>
    <w:rsid w:val="00132699"/>
    <w:rsid w:val="00133B5A"/>
    <w:rsid w:val="0013470D"/>
    <w:rsid w:val="00134EDB"/>
    <w:rsid w:val="00136F3F"/>
    <w:rsid w:val="00137558"/>
    <w:rsid w:val="001376B3"/>
    <w:rsid w:val="00143420"/>
    <w:rsid w:val="00144795"/>
    <w:rsid w:val="00144877"/>
    <w:rsid w:val="00144EF3"/>
    <w:rsid w:val="00145452"/>
    <w:rsid w:val="00151711"/>
    <w:rsid w:val="00151F9A"/>
    <w:rsid w:val="00152D22"/>
    <w:rsid w:val="00155CF7"/>
    <w:rsid w:val="00156C03"/>
    <w:rsid w:val="00161159"/>
    <w:rsid w:val="00162418"/>
    <w:rsid w:val="00162FA0"/>
    <w:rsid w:val="00164526"/>
    <w:rsid w:val="00165363"/>
    <w:rsid w:val="001703D0"/>
    <w:rsid w:val="00170E7D"/>
    <w:rsid w:val="0017116A"/>
    <w:rsid w:val="00171267"/>
    <w:rsid w:val="001719D2"/>
    <w:rsid w:val="00172977"/>
    <w:rsid w:val="001729CF"/>
    <w:rsid w:val="001749E3"/>
    <w:rsid w:val="001761BE"/>
    <w:rsid w:val="00181595"/>
    <w:rsid w:val="001834A1"/>
    <w:rsid w:val="0018453E"/>
    <w:rsid w:val="0018722B"/>
    <w:rsid w:val="00191A62"/>
    <w:rsid w:val="00191D41"/>
    <w:rsid w:val="00195EBE"/>
    <w:rsid w:val="00197B19"/>
    <w:rsid w:val="001A0EEB"/>
    <w:rsid w:val="001A1645"/>
    <w:rsid w:val="001A38BF"/>
    <w:rsid w:val="001A4EA3"/>
    <w:rsid w:val="001A700B"/>
    <w:rsid w:val="001B038A"/>
    <w:rsid w:val="001B1B14"/>
    <w:rsid w:val="001B1DEC"/>
    <w:rsid w:val="001B2585"/>
    <w:rsid w:val="001B2CE3"/>
    <w:rsid w:val="001B2F47"/>
    <w:rsid w:val="001B39B7"/>
    <w:rsid w:val="001B49BF"/>
    <w:rsid w:val="001B57F5"/>
    <w:rsid w:val="001B5F1F"/>
    <w:rsid w:val="001B5FDF"/>
    <w:rsid w:val="001B676F"/>
    <w:rsid w:val="001C390F"/>
    <w:rsid w:val="001C683C"/>
    <w:rsid w:val="001D03F5"/>
    <w:rsid w:val="001D0E40"/>
    <w:rsid w:val="001D1631"/>
    <w:rsid w:val="001D168B"/>
    <w:rsid w:val="001D1885"/>
    <w:rsid w:val="001D1C01"/>
    <w:rsid w:val="001D3505"/>
    <w:rsid w:val="001D6517"/>
    <w:rsid w:val="001D6D6E"/>
    <w:rsid w:val="001D7123"/>
    <w:rsid w:val="001D7A6D"/>
    <w:rsid w:val="001E042D"/>
    <w:rsid w:val="001E283B"/>
    <w:rsid w:val="001E2841"/>
    <w:rsid w:val="001E2D60"/>
    <w:rsid w:val="001E4077"/>
    <w:rsid w:val="001E6426"/>
    <w:rsid w:val="001E7655"/>
    <w:rsid w:val="001E79E4"/>
    <w:rsid w:val="001F24AF"/>
    <w:rsid w:val="001F34B8"/>
    <w:rsid w:val="001F58F3"/>
    <w:rsid w:val="001F5A3A"/>
    <w:rsid w:val="001F714F"/>
    <w:rsid w:val="001F7BB2"/>
    <w:rsid w:val="00200375"/>
    <w:rsid w:val="00200964"/>
    <w:rsid w:val="00200FAD"/>
    <w:rsid w:val="002016FA"/>
    <w:rsid w:val="002024DA"/>
    <w:rsid w:val="00203123"/>
    <w:rsid w:val="0020352E"/>
    <w:rsid w:val="00203B6A"/>
    <w:rsid w:val="00203E62"/>
    <w:rsid w:val="002048DE"/>
    <w:rsid w:val="00204CCA"/>
    <w:rsid w:val="00205EE4"/>
    <w:rsid w:val="002072EE"/>
    <w:rsid w:val="0021064E"/>
    <w:rsid w:val="00210FAA"/>
    <w:rsid w:val="00211446"/>
    <w:rsid w:val="002127E7"/>
    <w:rsid w:val="00212C0B"/>
    <w:rsid w:val="00214006"/>
    <w:rsid w:val="0021535E"/>
    <w:rsid w:val="0021537A"/>
    <w:rsid w:val="0021791C"/>
    <w:rsid w:val="0022092E"/>
    <w:rsid w:val="00221EC0"/>
    <w:rsid w:val="002238EE"/>
    <w:rsid w:val="00223BE2"/>
    <w:rsid w:val="00224887"/>
    <w:rsid w:val="00227086"/>
    <w:rsid w:val="002278E9"/>
    <w:rsid w:val="00231C57"/>
    <w:rsid w:val="00232B0C"/>
    <w:rsid w:val="00233FFC"/>
    <w:rsid w:val="00235938"/>
    <w:rsid w:val="00236040"/>
    <w:rsid w:val="00237184"/>
    <w:rsid w:val="002373DB"/>
    <w:rsid w:val="002419AC"/>
    <w:rsid w:val="002429C8"/>
    <w:rsid w:val="0024383D"/>
    <w:rsid w:val="00243AB1"/>
    <w:rsid w:val="00244A4E"/>
    <w:rsid w:val="00244D27"/>
    <w:rsid w:val="00245640"/>
    <w:rsid w:val="002461E2"/>
    <w:rsid w:val="00246E12"/>
    <w:rsid w:val="0025322D"/>
    <w:rsid w:val="002532E9"/>
    <w:rsid w:val="00254A6C"/>
    <w:rsid w:val="00255128"/>
    <w:rsid w:val="002606A1"/>
    <w:rsid w:val="00261B51"/>
    <w:rsid w:val="00263E01"/>
    <w:rsid w:val="002642D7"/>
    <w:rsid w:val="0026603F"/>
    <w:rsid w:val="00266CC4"/>
    <w:rsid w:val="0027009B"/>
    <w:rsid w:val="00270CDE"/>
    <w:rsid w:val="002719F9"/>
    <w:rsid w:val="00271B41"/>
    <w:rsid w:val="002734BA"/>
    <w:rsid w:val="00273E29"/>
    <w:rsid w:val="00273F67"/>
    <w:rsid w:val="00275914"/>
    <w:rsid w:val="0028472E"/>
    <w:rsid w:val="002848E0"/>
    <w:rsid w:val="00285B47"/>
    <w:rsid w:val="00287241"/>
    <w:rsid w:val="0028732B"/>
    <w:rsid w:val="00287708"/>
    <w:rsid w:val="00287F0C"/>
    <w:rsid w:val="002921D3"/>
    <w:rsid w:val="002958DF"/>
    <w:rsid w:val="00296572"/>
    <w:rsid w:val="00297809"/>
    <w:rsid w:val="002A0F9A"/>
    <w:rsid w:val="002A15E3"/>
    <w:rsid w:val="002A2A1D"/>
    <w:rsid w:val="002A39E7"/>
    <w:rsid w:val="002A3A19"/>
    <w:rsid w:val="002A7680"/>
    <w:rsid w:val="002B0029"/>
    <w:rsid w:val="002B180D"/>
    <w:rsid w:val="002B1A50"/>
    <w:rsid w:val="002B4A25"/>
    <w:rsid w:val="002B5704"/>
    <w:rsid w:val="002B7508"/>
    <w:rsid w:val="002B78C3"/>
    <w:rsid w:val="002C0110"/>
    <w:rsid w:val="002C0862"/>
    <w:rsid w:val="002C0E58"/>
    <w:rsid w:val="002C1CC4"/>
    <w:rsid w:val="002C1F4A"/>
    <w:rsid w:val="002C21FE"/>
    <w:rsid w:val="002C242B"/>
    <w:rsid w:val="002C3FCF"/>
    <w:rsid w:val="002C4EFC"/>
    <w:rsid w:val="002C637A"/>
    <w:rsid w:val="002C72C3"/>
    <w:rsid w:val="002D18F4"/>
    <w:rsid w:val="002D236D"/>
    <w:rsid w:val="002D293C"/>
    <w:rsid w:val="002D30E9"/>
    <w:rsid w:val="002D599B"/>
    <w:rsid w:val="002D5C5D"/>
    <w:rsid w:val="002E011A"/>
    <w:rsid w:val="002E12A2"/>
    <w:rsid w:val="002E1F44"/>
    <w:rsid w:val="002E59BA"/>
    <w:rsid w:val="002E5A9C"/>
    <w:rsid w:val="002E606C"/>
    <w:rsid w:val="002E6CB1"/>
    <w:rsid w:val="002F0971"/>
    <w:rsid w:val="002F1A9F"/>
    <w:rsid w:val="002F250D"/>
    <w:rsid w:val="002F4582"/>
    <w:rsid w:val="002F4646"/>
    <w:rsid w:val="002F6370"/>
    <w:rsid w:val="002F7663"/>
    <w:rsid w:val="00301AFE"/>
    <w:rsid w:val="00302CD0"/>
    <w:rsid w:val="00303071"/>
    <w:rsid w:val="0030400B"/>
    <w:rsid w:val="00305370"/>
    <w:rsid w:val="003126BF"/>
    <w:rsid w:val="00312BB5"/>
    <w:rsid w:val="00313A8A"/>
    <w:rsid w:val="00316C9A"/>
    <w:rsid w:val="00316E61"/>
    <w:rsid w:val="003176C5"/>
    <w:rsid w:val="003209C6"/>
    <w:rsid w:val="00322198"/>
    <w:rsid w:val="00323A72"/>
    <w:rsid w:val="003321B6"/>
    <w:rsid w:val="003335DA"/>
    <w:rsid w:val="00334EFD"/>
    <w:rsid w:val="003351E5"/>
    <w:rsid w:val="003433AA"/>
    <w:rsid w:val="00343ED0"/>
    <w:rsid w:val="00344562"/>
    <w:rsid w:val="00344C0E"/>
    <w:rsid w:val="0034558E"/>
    <w:rsid w:val="00345B1C"/>
    <w:rsid w:val="0034673E"/>
    <w:rsid w:val="003512D3"/>
    <w:rsid w:val="003520F6"/>
    <w:rsid w:val="00355140"/>
    <w:rsid w:val="00355173"/>
    <w:rsid w:val="003563D1"/>
    <w:rsid w:val="0035733A"/>
    <w:rsid w:val="0035733E"/>
    <w:rsid w:val="003573DA"/>
    <w:rsid w:val="00357C3D"/>
    <w:rsid w:val="00357E89"/>
    <w:rsid w:val="003600B6"/>
    <w:rsid w:val="00364564"/>
    <w:rsid w:val="003653F6"/>
    <w:rsid w:val="003664EB"/>
    <w:rsid w:val="003671AD"/>
    <w:rsid w:val="00367ED9"/>
    <w:rsid w:val="00372647"/>
    <w:rsid w:val="00372C86"/>
    <w:rsid w:val="003749C6"/>
    <w:rsid w:val="003753CB"/>
    <w:rsid w:val="00376A46"/>
    <w:rsid w:val="00376FA8"/>
    <w:rsid w:val="0038040D"/>
    <w:rsid w:val="00380EC8"/>
    <w:rsid w:val="00385DD3"/>
    <w:rsid w:val="0038655C"/>
    <w:rsid w:val="00387016"/>
    <w:rsid w:val="003903A8"/>
    <w:rsid w:val="003913AA"/>
    <w:rsid w:val="00391CBD"/>
    <w:rsid w:val="00395FE1"/>
    <w:rsid w:val="00396004"/>
    <w:rsid w:val="003975FA"/>
    <w:rsid w:val="003A0728"/>
    <w:rsid w:val="003A1247"/>
    <w:rsid w:val="003A2962"/>
    <w:rsid w:val="003A4856"/>
    <w:rsid w:val="003A6FD2"/>
    <w:rsid w:val="003B08A4"/>
    <w:rsid w:val="003B0D74"/>
    <w:rsid w:val="003B14A8"/>
    <w:rsid w:val="003B2CA9"/>
    <w:rsid w:val="003B4461"/>
    <w:rsid w:val="003B64D6"/>
    <w:rsid w:val="003B6722"/>
    <w:rsid w:val="003B7C60"/>
    <w:rsid w:val="003C172A"/>
    <w:rsid w:val="003C200C"/>
    <w:rsid w:val="003C3590"/>
    <w:rsid w:val="003C3AF9"/>
    <w:rsid w:val="003C45B7"/>
    <w:rsid w:val="003C4E67"/>
    <w:rsid w:val="003D7084"/>
    <w:rsid w:val="003D7120"/>
    <w:rsid w:val="003D7F91"/>
    <w:rsid w:val="003E1282"/>
    <w:rsid w:val="003E18C6"/>
    <w:rsid w:val="003E23F6"/>
    <w:rsid w:val="003E4792"/>
    <w:rsid w:val="003E76C4"/>
    <w:rsid w:val="003E7BA3"/>
    <w:rsid w:val="003F0F22"/>
    <w:rsid w:val="003F116B"/>
    <w:rsid w:val="003F14C7"/>
    <w:rsid w:val="003F1C04"/>
    <w:rsid w:val="003F6DFB"/>
    <w:rsid w:val="003F7083"/>
    <w:rsid w:val="00400919"/>
    <w:rsid w:val="004052CA"/>
    <w:rsid w:val="004061F4"/>
    <w:rsid w:val="004069B4"/>
    <w:rsid w:val="00406DD5"/>
    <w:rsid w:val="00407781"/>
    <w:rsid w:val="0041394D"/>
    <w:rsid w:val="00413B84"/>
    <w:rsid w:val="004148A6"/>
    <w:rsid w:val="004202FD"/>
    <w:rsid w:val="004233D6"/>
    <w:rsid w:val="0042432A"/>
    <w:rsid w:val="00427FEA"/>
    <w:rsid w:val="0043016C"/>
    <w:rsid w:val="0043178E"/>
    <w:rsid w:val="00431DD7"/>
    <w:rsid w:val="00432E53"/>
    <w:rsid w:val="004333D9"/>
    <w:rsid w:val="004337BC"/>
    <w:rsid w:val="00433C7B"/>
    <w:rsid w:val="00436BB4"/>
    <w:rsid w:val="00436E1D"/>
    <w:rsid w:val="00437EBB"/>
    <w:rsid w:val="0044019B"/>
    <w:rsid w:val="00442F3F"/>
    <w:rsid w:val="004438BB"/>
    <w:rsid w:val="00446C8D"/>
    <w:rsid w:val="00446F7D"/>
    <w:rsid w:val="004472F4"/>
    <w:rsid w:val="00447FF0"/>
    <w:rsid w:val="00453446"/>
    <w:rsid w:val="004534AA"/>
    <w:rsid w:val="004550EB"/>
    <w:rsid w:val="0045595D"/>
    <w:rsid w:val="00457375"/>
    <w:rsid w:val="00457669"/>
    <w:rsid w:val="00460936"/>
    <w:rsid w:val="00461308"/>
    <w:rsid w:val="00462C14"/>
    <w:rsid w:val="00463923"/>
    <w:rsid w:val="00465BBB"/>
    <w:rsid w:val="00467F30"/>
    <w:rsid w:val="00470EEA"/>
    <w:rsid w:val="004737BC"/>
    <w:rsid w:val="00474D1A"/>
    <w:rsid w:val="00476A62"/>
    <w:rsid w:val="00482351"/>
    <w:rsid w:val="00482752"/>
    <w:rsid w:val="00482AC7"/>
    <w:rsid w:val="00485F7A"/>
    <w:rsid w:val="00486983"/>
    <w:rsid w:val="00487039"/>
    <w:rsid w:val="0049059E"/>
    <w:rsid w:val="00492C58"/>
    <w:rsid w:val="004945C1"/>
    <w:rsid w:val="00495226"/>
    <w:rsid w:val="004965C5"/>
    <w:rsid w:val="00497543"/>
    <w:rsid w:val="004A1055"/>
    <w:rsid w:val="004A1444"/>
    <w:rsid w:val="004A231A"/>
    <w:rsid w:val="004A242D"/>
    <w:rsid w:val="004A2B4B"/>
    <w:rsid w:val="004A3541"/>
    <w:rsid w:val="004A3CC7"/>
    <w:rsid w:val="004A4809"/>
    <w:rsid w:val="004A4E14"/>
    <w:rsid w:val="004A61F4"/>
    <w:rsid w:val="004A6E7F"/>
    <w:rsid w:val="004B18B1"/>
    <w:rsid w:val="004B1FA8"/>
    <w:rsid w:val="004B3412"/>
    <w:rsid w:val="004B3AF7"/>
    <w:rsid w:val="004B4BDD"/>
    <w:rsid w:val="004B5703"/>
    <w:rsid w:val="004B5A50"/>
    <w:rsid w:val="004B6F0E"/>
    <w:rsid w:val="004B7244"/>
    <w:rsid w:val="004B74D5"/>
    <w:rsid w:val="004C1A6B"/>
    <w:rsid w:val="004C1BD6"/>
    <w:rsid w:val="004C28B4"/>
    <w:rsid w:val="004C5151"/>
    <w:rsid w:val="004C5659"/>
    <w:rsid w:val="004C5ECB"/>
    <w:rsid w:val="004C6243"/>
    <w:rsid w:val="004C714C"/>
    <w:rsid w:val="004D0DD3"/>
    <w:rsid w:val="004D1B82"/>
    <w:rsid w:val="004D2752"/>
    <w:rsid w:val="004D2E44"/>
    <w:rsid w:val="004D530F"/>
    <w:rsid w:val="004E08E8"/>
    <w:rsid w:val="004E199B"/>
    <w:rsid w:val="004E3FC9"/>
    <w:rsid w:val="004E5EAF"/>
    <w:rsid w:val="004E7C33"/>
    <w:rsid w:val="004E7E17"/>
    <w:rsid w:val="004F039A"/>
    <w:rsid w:val="004F0D90"/>
    <w:rsid w:val="004F1369"/>
    <w:rsid w:val="004F1A1A"/>
    <w:rsid w:val="004F31E2"/>
    <w:rsid w:val="004F46B6"/>
    <w:rsid w:val="004F55E3"/>
    <w:rsid w:val="004F61D6"/>
    <w:rsid w:val="004F6EFE"/>
    <w:rsid w:val="004F7BAE"/>
    <w:rsid w:val="005027D5"/>
    <w:rsid w:val="005065D3"/>
    <w:rsid w:val="00506B15"/>
    <w:rsid w:val="00506D7F"/>
    <w:rsid w:val="005079EE"/>
    <w:rsid w:val="0051137F"/>
    <w:rsid w:val="00511396"/>
    <w:rsid w:val="00511431"/>
    <w:rsid w:val="00511A0F"/>
    <w:rsid w:val="005122AB"/>
    <w:rsid w:val="00514399"/>
    <w:rsid w:val="00514680"/>
    <w:rsid w:val="00515667"/>
    <w:rsid w:val="00516832"/>
    <w:rsid w:val="0051686B"/>
    <w:rsid w:val="00516E81"/>
    <w:rsid w:val="005227FA"/>
    <w:rsid w:val="00523A6A"/>
    <w:rsid w:val="00523C0C"/>
    <w:rsid w:val="00530A84"/>
    <w:rsid w:val="00530C5E"/>
    <w:rsid w:val="0053228E"/>
    <w:rsid w:val="00532759"/>
    <w:rsid w:val="00532A00"/>
    <w:rsid w:val="00533D42"/>
    <w:rsid w:val="005354F0"/>
    <w:rsid w:val="005355D4"/>
    <w:rsid w:val="00536465"/>
    <w:rsid w:val="00536CF0"/>
    <w:rsid w:val="00537C88"/>
    <w:rsid w:val="00541A76"/>
    <w:rsid w:val="005430AB"/>
    <w:rsid w:val="005432B3"/>
    <w:rsid w:val="00543ADE"/>
    <w:rsid w:val="00545861"/>
    <w:rsid w:val="00545B16"/>
    <w:rsid w:val="00545CFC"/>
    <w:rsid w:val="00547ABF"/>
    <w:rsid w:val="00550470"/>
    <w:rsid w:val="00554319"/>
    <w:rsid w:val="00554A45"/>
    <w:rsid w:val="00560C88"/>
    <w:rsid w:val="00562A94"/>
    <w:rsid w:val="00563CC0"/>
    <w:rsid w:val="00563EF9"/>
    <w:rsid w:val="005645D0"/>
    <w:rsid w:val="00570B84"/>
    <w:rsid w:val="00571F0A"/>
    <w:rsid w:val="005725AC"/>
    <w:rsid w:val="00572C68"/>
    <w:rsid w:val="00572C7B"/>
    <w:rsid w:val="0057325B"/>
    <w:rsid w:val="005748BD"/>
    <w:rsid w:val="00575D5B"/>
    <w:rsid w:val="005765D6"/>
    <w:rsid w:val="00577709"/>
    <w:rsid w:val="00580DAB"/>
    <w:rsid w:val="005817D6"/>
    <w:rsid w:val="00581D90"/>
    <w:rsid w:val="0058507E"/>
    <w:rsid w:val="00590233"/>
    <w:rsid w:val="00591B1D"/>
    <w:rsid w:val="00592A01"/>
    <w:rsid w:val="005944AD"/>
    <w:rsid w:val="0059727A"/>
    <w:rsid w:val="0059747F"/>
    <w:rsid w:val="005A0362"/>
    <w:rsid w:val="005A0568"/>
    <w:rsid w:val="005A1034"/>
    <w:rsid w:val="005A13EF"/>
    <w:rsid w:val="005A1F95"/>
    <w:rsid w:val="005A20D8"/>
    <w:rsid w:val="005A293F"/>
    <w:rsid w:val="005A327E"/>
    <w:rsid w:val="005A34D2"/>
    <w:rsid w:val="005B1064"/>
    <w:rsid w:val="005B1422"/>
    <w:rsid w:val="005B2495"/>
    <w:rsid w:val="005B2B74"/>
    <w:rsid w:val="005B389D"/>
    <w:rsid w:val="005B5548"/>
    <w:rsid w:val="005B6AD7"/>
    <w:rsid w:val="005C0642"/>
    <w:rsid w:val="005C1670"/>
    <w:rsid w:val="005C1A9D"/>
    <w:rsid w:val="005C2BD5"/>
    <w:rsid w:val="005C60EC"/>
    <w:rsid w:val="005C7363"/>
    <w:rsid w:val="005D02EF"/>
    <w:rsid w:val="005D13E6"/>
    <w:rsid w:val="005D1C4A"/>
    <w:rsid w:val="005D5AD8"/>
    <w:rsid w:val="005D5D34"/>
    <w:rsid w:val="005D683F"/>
    <w:rsid w:val="005D6A9E"/>
    <w:rsid w:val="005E18CC"/>
    <w:rsid w:val="005E285D"/>
    <w:rsid w:val="005E3FAF"/>
    <w:rsid w:val="005E4AF7"/>
    <w:rsid w:val="005E4E14"/>
    <w:rsid w:val="005F1A5C"/>
    <w:rsid w:val="005F2B8A"/>
    <w:rsid w:val="005F3F14"/>
    <w:rsid w:val="005F5521"/>
    <w:rsid w:val="005F57BF"/>
    <w:rsid w:val="005F6096"/>
    <w:rsid w:val="005F6A2A"/>
    <w:rsid w:val="00600634"/>
    <w:rsid w:val="006019AF"/>
    <w:rsid w:val="0060248D"/>
    <w:rsid w:val="00604A57"/>
    <w:rsid w:val="00611CB5"/>
    <w:rsid w:val="00612460"/>
    <w:rsid w:val="00612DE0"/>
    <w:rsid w:val="00613351"/>
    <w:rsid w:val="006145C8"/>
    <w:rsid w:val="00615C0B"/>
    <w:rsid w:val="006165C8"/>
    <w:rsid w:val="0061709E"/>
    <w:rsid w:val="0061794C"/>
    <w:rsid w:val="0062195A"/>
    <w:rsid w:val="00623ED3"/>
    <w:rsid w:val="0063070A"/>
    <w:rsid w:val="0063164B"/>
    <w:rsid w:val="00633150"/>
    <w:rsid w:val="0063603A"/>
    <w:rsid w:val="00636882"/>
    <w:rsid w:val="00637F28"/>
    <w:rsid w:val="00637F8D"/>
    <w:rsid w:val="006409CC"/>
    <w:rsid w:val="00643B24"/>
    <w:rsid w:val="006469F2"/>
    <w:rsid w:val="00650218"/>
    <w:rsid w:val="00650293"/>
    <w:rsid w:val="00650CF4"/>
    <w:rsid w:val="00652520"/>
    <w:rsid w:val="00654D53"/>
    <w:rsid w:val="006556FD"/>
    <w:rsid w:val="00655B17"/>
    <w:rsid w:val="0065609B"/>
    <w:rsid w:val="00656314"/>
    <w:rsid w:val="00657596"/>
    <w:rsid w:val="006577F8"/>
    <w:rsid w:val="00657BB9"/>
    <w:rsid w:val="006625BE"/>
    <w:rsid w:val="00662E83"/>
    <w:rsid w:val="00663EA5"/>
    <w:rsid w:val="00664DFC"/>
    <w:rsid w:val="00666148"/>
    <w:rsid w:val="00666563"/>
    <w:rsid w:val="00666E91"/>
    <w:rsid w:val="00674698"/>
    <w:rsid w:val="00674D97"/>
    <w:rsid w:val="00675BA3"/>
    <w:rsid w:val="0067774D"/>
    <w:rsid w:val="00677E5C"/>
    <w:rsid w:val="00681181"/>
    <w:rsid w:val="00682863"/>
    <w:rsid w:val="00682DD7"/>
    <w:rsid w:val="00683ABB"/>
    <w:rsid w:val="00685A66"/>
    <w:rsid w:val="0068760C"/>
    <w:rsid w:val="00690073"/>
    <w:rsid w:val="00693793"/>
    <w:rsid w:val="006953D0"/>
    <w:rsid w:val="006958D8"/>
    <w:rsid w:val="006A1540"/>
    <w:rsid w:val="006A2AD4"/>
    <w:rsid w:val="006A3A55"/>
    <w:rsid w:val="006A3C11"/>
    <w:rsid w:val="006A5BD6"/>
    <w:rsid w:val="006B14DE"/>
    <w:rsid w:val="006B1524"/>
    <w:rsid w:val="006B1574"/>
    <w:rsid w:val="006B524D"/>
    <w:rsid w:val="006B6A1D"/>
    <w:rsid w:val="006B6BAE"/>
    <w:rsid w:val="006B7DCC"/>
    <w:rsid w:val="006C3698"/>
    <w:rsid w:val="006C6B0F"/>
    <w:rsid w:val="006D0204"/>
    <w:rsid w:val="006D238B"/>
    <w:rsid w:val="006D2743"/>
    <w:rsid w:val="006D28F2"/>
    <w:rsid w:val="006D2FBC"/>
    <w:rsid w:val="006D40A7"/>
    <w:rsid w:val="006D4FD6"/>
    <w:rsid w:val="006D5627"/>
    <w:rsid w:val="006D6071"/>
    <w:rsid w:val="006D6A43"/>
    <w:rsid w:val="006D6C22"/>
    <w:rsid w:val="006D7267"/>
    <w:rsid w:val="006E170E"/>
    <w:rsid w:val="006E241A"/>
    <w:rsid w:val="006E2573"/>
    <w:rsid w:val="006E30BE"/>
    <w:rsid w:val="006E42E9"/>
    <w:rsid w:val="006E5974"/>
    <w:rsid w:val="006E7156"/>
    <w:rsid w:val="006E7C22"/>
    <w:rsid w:val="006F17F3"/>
    <w:rsid w:val="006F327F"/>
    <w:rsid w:val="006F412E"/>
    <w:rsid w:val="006F454E"/>
    <w:rsid w:val="006F4895"/>
    <w:rsid w:val="006F5964"/>
    <w:rsid w:val="006F69E7"/>
    <w:rsid w:val="006F791C"/>
    <w:rsid w:val="006F7DE3"/>
    <w:rsid w:val="00700C90"/>
    <w:rsid w:val="00704C4A"/>
    <w:rsid w:val="00707DA0"/>
    <w:rsid w:val="00711C3C"/>
    <w:rsid w:val="00712F8C"/>
    <w:rsid w:val="00713213"/>
    <w:rsid w:val="007146D2"/>
    <w:rsid w:val="007167F8"/>
    <w:rsid w:val="00716F99"/>
    <w:rsid w:val="00722269"/>
    <w:rsid w:val="007226AC"/>
    <w:rsid w:val="00724A4E"/>
    <w:rsid w:val="00725EEA"/>
    <w:rsid w:val="007276C3"/>
    <w:rsid w:val="00727871"/>
    <w:rsid w:val="00727C41"/>
    <w:rsid w:val="00731CC5"/>
    <w:rsid w:val="00733100"/>
    <w:rsid w:val="0073384F"/>
    <w:rsid w:val="00733DB2"/>
    <w:rsid w:val="00737D59"/>
    <w:rsid w:val="00740852"/>
    <w:rsid w:val="00743480"/>
    <w:rsid w:val="00743BC0"/>
    <w:rsid w:val="00743FD2"/>
    <w:rsid w:val="00747D3B"/>
    <w:rsid w:val="007516D6"/>
    <w:rsid w:val="0075173C"/>
    <w:rsid w:val="007518C4"/>
    <w:rsid w:val="007528B0"/>
    <w:rsid w:val="007536B6"/>
    <w:rsid w:val="00753718"/>
    <w:rsid w:val="0075398D"/>
    <w:rsid w:val="00753B7C"/>
    <w:rsid w:val="00753DCA"/>
    <w:rsid w:val="00754897"/>
    <w:rsid w:val="00755168"/>
    <w:rsid w:val="007561D7"/>
    <w:rsid w:val="00756A9E"/>
    <w:rsid w:val="007573C3"/>
    <w:rsid w:val="007609A5"/>
    <w:rsid w:val="00760EB4"/>
    <w:rsid w:val="007618C8"/>
    <w:rsid w:val="00762CBD"/>
    <w:rsid w:val="007632FD"/>
    <w:rsid w:val="00763920"/>
    <w:rsid w:val="00764C7B"/>
    <w:rsid w:val="00766E35"/>
    <w:rsid w:val="00767A1D"/>
    <w:rsid w:val="00770BE9"/>
    <w:rsid w:val="00771C53"/>
    <w:rsid w:val="007729B7"/>
    <w:rsid w:val="00772AFE"/>
    <w:rsid w:val="00773684"/>
    <w:rsid w:val="00774158"/>
    <w:rsid w:val="00776726"/>
    <w:rsid w:val="00776F8D"/>
    <w:rsid w:val="0078216E"/>
    <w:rsid w:val="00783F6E"/>
    <w:rsid w:val="007875F7"/>
    <w:rsid w:val="007879F2"/>
    <w:rsid w:val="00794195"/>
    <w:rsid w:val="00795BC8"/>
    <w:rsid w:val="007965A7"/>
    <w:rsid w:val="0079685E"/>
    <w:rsid w:val="0079786C"/>
    <w:rsid w:val="00797BB4"/>
    <w:rsid w:val="007A012F"/>
    <w:rsid w:val="007A0BEA"/>
    <w:rsid w:val="007A1830"/>
    <w:rsid w:val="007A18ED"/>
    <w:rsid w:val="007A1CAA"/>
    <w:rsid w:val="007A1CE0"/>
    <w:rsid w:val="007A243B"/>
    <w:rsid w:val="007A3E4E"/>
    <w:rsid w:val="007A4990"/>
    <w:rsid w:val="007A4BE2"/>
    <w:rsid w:val="007A4E67"/>
    <w:rsid w:val="007A700A"/>
    <w:rsid w:val="007B155D"/>
    <w:rsid w:val="007B3290"/>
    <w:rsid w:val="007B5AB2"/>
    <w:rsid w:val="007B6007"/>
    <w:rsid w:val="007C02A9"/>
    <w:rsid w:val="007C1051"/>
    <w:rsid w:val="007C30A8"/>
    <w:rsid w:val="007C32E1"/>
    <w:rsid w:val="007C4D49"/>
    <w:rsid w:val="007C5F16"/>
    <w:rsid w:val="007C5FA2"/>
    <w:rsid w:val="007D03A9"/>
    <w:rsid w:val="007D218D"/>
    <w:rsid w:val="007D27DE"/>
    <w:rsid w:val="007D3554"/>
    <w:rsid w:val="007D4512"/>
    <w:rsid w:val="007D49C9"/>
    <w:rsid w:val="007D6F2C"/>
    <w:rsid w:val="007D7AEC"/>
    <w:rsid w:val="007E1EFA"/>
    <w:rsid w:val="007E2311"/>
    <w:rsid w:val="007E5C03"/>
    <w:rsid w:val="007E6A56"/>
    <w:rsid w:val="007E71DB"/>
    <w:rsid w:val="007F06FE"/>
    <w:rsid w:val="007F2021"/>
    <w:rsid w:val="007F2A18"/>
    <w:rsid w:val="007F52A7"/>
    <w:rsid w:val="007F6016"/>
    <w:rsid w:val="007F62BC"/>
    <w:rsid w:val="007F7257"/>
    <w:rsid w:val="0080124E"/>
    <w:rsid w:val="0080275D"/>
    <w:rsid w:val="0080290A"/>
    <w:rsid w:val="00802BA1"/>
    <w:rsid w:val="0080384A"/>
    <w:rsid w:val="008059F0"/>
    <w:rsid w:val="00810567"/>
    <w:rsid w:val="00810F24"/>
    <w:rsid w:val="00813013"/>
    <w:rsid w:val="00813495"/>
    <w:rsid w:val="00813948"/>
    <w:rsid w:val="008144D4"/>
    <w:rsid w:val="0081462B"/>
    <w:rsid w:val="00817508"/>
    <w:rsid w:val="0081754B"/>
    <w:rsid w:val="008178DE"/>
    <w:rsid w:val="00817DA3"/>
    <w:rsid w:val="00820F0E"/>
    <w:rsid w:val="00822856"/>
    <w:rsid w:val="00823668"/>
    <w:rsid w:val="0082423E"/>
    <w:rsid w:val="00825A1C"/>
    <w:rsid w:val="0082617A"/>
    <w:rsid w:val="00826C7F"/>
    <w:rsid w:val="0082765C"/>
    <w:rsid w:val="00827A3F"/>
    <w:rsid w:val="00831472"/>
    <w:rsid w:val="00835425"/>
    <w:rsid w:val="008356E3"/>
    <w:rsid w:val="008358A9"/>
    <w:rsid w:val="00836364"/>
    <w:rsid w:val="008411F0"/>
    <w:rsid w:val="00843887"/>
    <w:rsid w:val="00843DB6"/>
    <w:rsid w:val="00844992"/>
    <w:rsid w:val="00844999"/>
    <w:rsid w:val="0084594D"/>
    <w:rsid w:val="00845FC8"/>
    <w:rsid w:val="008478AA"/>
    <w:rsid w:val="00847C4D"/>
    <w:rsid w:val="0085126C"/>
    <w:rsid w:val="008529B2"/>
    <w:rsid w:val="008552F5"/>
    <w:rsid w:val="00855BD5"/>
    <w:rsid w:val="00856469"/>
    <w:rsid w:val="008572F9"/>
    <w:rsid w:val="008613D3"/>
    <w:rsid w:val="0086442D"/>
    <w:rsid w:val="008648F0"/>
    <w:rsid w:val="00865C74"/>
    <w:rsid w:val="008674E6"/>
    <w:rsid w:val="00870112"/>
    <w:rsid w:val="008712F7"/>
    <w:rsid w:val="00872CA4"/>
    <w:rsid w:val="00875237"/>
    <w:rsid w:val="00875E78"/>
    <w:rsid w:val="008776C7"/>
    <w:rsid w:val="00880FBA"/>
    <w:rsid w:val="00881389"/>
    <w:rsid w:val="00882AEE"/>
    <w:rsid w:val="0088335A"/>
    <w:rsid w:val="00883A48"/>
    <w:rsid w:val="00886B06"/>
    <w:rsid w:val="00887702"/>
    <w:rsid w:val="00887934"/>
    <w:rsid w:val="00890AB0"/>
    <w:rsid w:val="00890C5E"/>
    <w:rsid w:val="00894575"/>
    <w:rsid w:val="008A00AB"/>
    <w:rsid w:val="008A10EA"/>
    <w:rsid w:val="008A137C"/>
    <w:rsid w:val="008A46D2"/>
    <w:rsid w:val="008B3386"/>
    <w:rsid w:val="008B366A"/>
    <w:rsid w:val="008B4C5C"/>
    <w:rsid w:val="008B5C6E"/>
    <w:rsid w:val="008B6017"/>
    <w:rsid w:val="008B6128"/>
    <w:rsid w:val="008C0114"/>
    <w:rsid w:val="008C1A1B"/>
    <w:rsid w:val="008C2169"/>
    <w:rsid w:val="008C2216"/>
    <w:rsid w:val="008C23F7"/>
    <w:rsid w:val="008C34AF"/>
    <w:rsid w:val="008C5DD4"/>
    <w:rsid w:val="008C6EDF"/>
    <w:rsid w:val="008D0E1D"/>
    <w:rsid w:val="008D1326"/>
    <w:rsid w:val="008D141E"/>
    <w:rsid w:val="008D2703"/>
    <w:rsid w:val="008D2E9F"/>
    <w:rsid w:val="008D3172"/>
    <w:rsid w:val="008D331D"/>
    <w:rsid w:val="008D3BF0"/>
    <w:rsid w:val="008D5C4F"/>
    <w:rsid w:val="008D5F90"/>
    <w:rsid w:val="008D623D"/>
    <w:rsid w:val="008D6487"/>
    <w:rsid w:val="008D6555"/>
    <w:rsid w:val="008D7E13"/>
    <w:rsid w:val="008E47E5"/>
    <w:rsid w:val="008E648A"/>
    <w:rsid w:val="008E7B65"/>
    <w:rsid w:val="008E7C4C"/>
    <w:rsid w:val="008F087C"/>
    <w:rsid w:val="008F0957"/>
    <w:rsid w:val="008F1881"/>
    <w:rsid w:val="008F1DD3"/>
    <w:rsid w:val="008F2027"/>
    <w:rsid w:val="008F385F"/>
    <w:rsid w:val="008F4656"/>
    <w:rsid w:val="008F4702"/>
    <w:rsid w:val="008F5E03"/>
    <w:rsid w:val="0090041B"/>
    <w:rsid w:val="00906C2F"/>
    <w:rsid w:val="00910ABA"/>
    <w:rsid w:val="00910D52"/>
    <w:rsid w:val="00914153"/>
    <w:rsid w:val="00915603"/>
    <w:rsid w:val="00915DEC"/>
    <w:rsid w:val="009167DD"/>
    <w:rsid w:val="009208A3"/>
    <w:rsid w:val="0092343D"/>
    <w:rsid w:val="00923A2F"/>
    <w:rsid w:val="0092436C"/>
    <w:rsid w:val="00925306"/>
    <w:rsid w:val="00927298"/>
    <w:rsid w:val="00927EC1"/>
    <w:rsid w:val="00931480"/>
    <w:rsid w:val="00932B5E"/>
    <w:rsid w:val="00934B21"/>
    <w:rsid w:val="00936274"/>
    <w:rsid w:val="009374EC"/>
    <w:rsid w:val="009410D0"/>
    <w:rsid w:val="009424B7"/>
    <w:rsid w:val="0094621A"/>
    <w:rsid w:val="00950248"/>
    <w:rsid w:val="009511F7"/>
    <w:rsid w:val="00952364"/>
    <w:rsid w:val="0095273B"/>
    <w:rsid w:val="009529F6"/>
    <w:rsid w:val="00953D5A"/>
    <w:rsid w:val="00954941"/>
    <w:rsid w:val="00957868"/>
    <w:rsid w:val="00960433"/>
    <w:rsid w:val="009630EB"/>
    <w:rsid w:val="00967965"/>
    <w:rsid w:val="00967A9F"/>
    <w:rsid w:val="0097127C"/>
    <w:rsid w:val="0097145B"/>
    <w:rsid w:val="00974D43"/>
    <w:rsid w:val="009764C0"/>
    <w:rsid w:val="00980224"/>
    <w:rsid w:val="00981386"/>
    <w:rsid w:val="00982286"/>
    <w:rsid w:val="00983CBB"/>
    <w:rsid w:val="00984A40"/>
    <w:rsid w:val="00984E5D"/>
    <w:rsid w:val="009856CC"/>
    <w:rsid w:val="0098609C"/>
    <w:rsid w:val="00991967"/>
    <w:rsid w:val="009936FF"/>
    <w:rsid w:val="00994318"/>
    <w:rsid w:val="00994B27"/>
    <w:rsid w:val="00997533"/>
    <w:rsid w:val="009978DD"/>
    <w:rsid w:val="00997F00"/>
    <w:rsid w:val="009A0137"/>
    <w:rsid w:val="009A0E29"/>
    <w:rsid w:val="009A19ED"/>
    <w:rsid w:val="009A1CA0"/>
    <w:rsid w:val="009A2504"/>
    <w:rsid w:val="009A44D3"/>
    <w:rsid w:val="009A57CE"/>
    <w:rsid w:val="009A6992"/>
    <w:rsid w:val="009A6BB5"/>
    <w:rsid w:val="009A7319"/>
    <w:rsid w:val="009B0820"/>
    <w:rsid w:val="009B119B"/>
    <w:rsid w:val="009B120B"/>
    <w:rsid w:val="009B1515"/>
    <w:rsid w:val="009B225D"/>
    <w:rsid w:val="009B4054"/>
    <w:rsid w:val="009B5635"/>
    <w:rsid w:val="009B60A6"/>
    <w:rsid w:val="009B60B5"/>
    <w:rsid w:val="009B7F1A"/>
    <w:rsid w:val="009C2430"/>
    <w:rsid w:val="009C33EE"/>
    <w:rsid w:val="009C407A"/>
    <w:rsid w:val="009C7EBA"/>
    <w:rsid w:val="009D118A"/>
    <w:rsid w:val="009D1946"/>
    <w:rsid w:val="009D48DB"/>
    <w:rsid w:val="009D4BE1"/>
    <w:rsid w:val="009D5732"/>
    <w:rsid w:val="009D57DB"/>
    <w:rsid w:val="009D5ACA"/>
    <w:rsid w:val="009D6E4F"/>
    <w:rsid w:val="009E20FA"/>
    <w:rsid w:val="009E310B"/>
    <w:rsid w:val="009E4170"/>
    <w:rsid w:val="009E72F8"/>
    <w:rsid w:val="009F0EC3"/>
    <w:rsid w:val="009F2971"/>
    <w:rsid w:val="009F2E78"/>
    <w:rsid w:val="009F6856"/>
    <w:rsid w:val="00A03526"/>
    <w:rsid w:val="00A03B77"/>
    <w:rsid w:val="00A04909"/>
    <w:rsid w:val="00A04917"/>
    <w:rsid w:val="00A06930"/>
    <w:rsid w:val="00A13C57"/>
    <w:rsid w:val="00A17788"/>
    <w:rsid w:val="00A179E8"/>
    <w:rsid w:val="00A21D4B"/>
    <w:rsid w:val="00A22048"/>
    <w:rsid w:val="00A22A01"/>
    <w:rsid w:val="00A23F37"/>
    <w:rsid w:val="00A30E77"/>
    <w:rsid w:val="00A32160"/>
    <w:rsid w:val="00A358A5"/>
    <w:rsid w:val="00A35C9A"/>
    <w:rsid w:val="00A36567"/>
    <w:rsid w:val="00A3723A"/>
    <w:rsid w:val="00A407FE"/>
    <w:rsid w:val="00A40FB3"/>
    <w:rsid w:val="00A43312"/>
    <w:rsid w:val="00A44242"/>
    <w:rsid w:val="00A4470B"/>
    <w:rsid w:val="00A44E2D"/>
    <w:rsid w:val="00A46D4C"/>
    <w:rsid w:val="00A504F0"/>
    <w:rsid w:val="00A52D38"/>
    <w:rsid w:val="00A57182"/>
    <w:rsid w:val="00A602F9"/>
    <w:rsid w:val="00A60442"/>
    <w:rsid w:val="00A610C4"/>
    <w:rsid w:val="00A61A49"/>
    <w:rsid w:val="00A61F39"/>
    <w:rsid w:val="00A62B63"/>
    <w:rsid w:val="00A6326E"/>
    <w:rsid w:val="00A63F17"/>
    <w:rsid w:val="00A6462C"/>
    <w:rsid w:val="00A67355"/>
    <w:rsid w:val="00A67573"/>
    <w:rsid w:val="00A67875"/>
    <w:rsid w:val="00A712B1"/>
    <w:rsid w:val="00A715A8"/>
    <w:rsid w:val="00A72443"/>
    <w:rsid w:val="00A72C10"/>
    <w:rsid w:val="00A773EE"/>
    <w:rsid w:val="00A77C41"/>
    <w:rsid w:val="00A803B1"/>
    <w:rsid w:val="00A81C4D"/>
    <w:rsid w:val="00A83F19"/>
    <w:rsid w:val="00A85539"/>
    <w:rsid w:val="00A856B3"/>
    <w:rsid w:val="00A85983"/>
    <w:rsid w:val="00A9043E"/>
    <w:rsid w:val="00A92A01"/>
    <w:rsid w:val="00A93A3E"/>
    <w:rsid w:val="00A93C69"/>
    <w:rsid w:val="00A94DFC"/>
    <w:rsid w:val="00A95831"/>
    <w:rsid w:val="00A95A8E"/>
    <w:rsid w:val="00AA051F"/>
    <w:rsid w:val="00AA059E"/>
    <w:rsid w:val="00AA0B3D"/>
    <w:rsid w:val="00AA12FB"/>
    <w:rsid w:val="00AA35DE"/>
    <w:rsid w:val="00AA3AFA"/>
    <w:rsid w:val="00AA4E00"/>
    <w:rsid w:val="00AA5AB8"/>
    <w:rsid w:val="00AA6CE3"/>
    <w:rsid w:val="00AB037B"/>
    <w:rsid w:val="00AB03FF"/>
    <w:rsid w:val="00AB1146"/>
    <w:rsid w:val="00AB24B2"/>
    <w:rsid w:val="00AB2570"/>
    <w:rsid w:val="00AB40E4"/>
    <w:rsid w:val="00AB4A54"/>
    <w:rsid w:val="00AB5C2E"/>
    <w:rsid w:val="00AC0B50"/>
    <w:rsid w:val="00AC10EA"/>
    <w:rsid w:val="00AC4970"/>
    <w:rsid w:val="00AC4D92"/>
    <w:rsid w:val="00AC5247"/>
    <w:rsid w:val="00AC7610"/>
    <w:rsid w:val="00AD002F"/>
    <w:rsid w:val="00AD0BD8"/>
    <w:rsid w:val="00AD1C9C"/>
    <w:rsid w:val="00AD2A77"/>
    <w:rsid w:val="00AD620C"/>
    <w:rsid w:val="00AD660F"/>
    <w:rsid w:val="00AD7237"/>
    <w:rsid w:val="00AD758A"/>
    <w:rsid w:val="00AE130F"/>
    <w:rsid w:val="00AE4DE8"/>
    <w:rsid w:val="00AE61D9"/>
    <w:rsid w:val="00AF189C"/>
    <w:rsid w:val="00AF29B7"/>
    <w:rsid w:val="00AF5473"/>
    <w:rsid w:val="00AF6C01"/>
    <w:rsid w:val="00AF6C8E"/>
    <w:rsid w:val="00B03A90"/>
    <w:rsid w:val="00B06F77"/>
    <w:rsid w:val="00B073D4"/>
    <w:rsid w:val="00B10FF7"/>
    <w:rsid w:val="00B127EA"/>
    <w:rsid w:val="00B1336A"/>
    <w:rsid w:val="00B140FD"/>
    <w:rsid w:val="00B14384"/>
    <w:rsid w:val="00B14B1D"/>
    <w:rsid w:val="00B14D97"/>
    <w:rsid w:val="00B14F7E"/>
    <w:rsid w:val="00B20B56"/>
    <w:rsid w:val="00B2168D"/>
    <w:rsid w:val="00B21D08"/>
    <w:rsid w:val="00B22A01"/>
    <w:rsid w:val="00B24B7C"/>
    <w:rsid w:val="00B24CD6"/>
    <w:rsid w:val="00B25B6E"/>
    <w:rsid w:val="00B260FE"/>
    <w:rsid w:val="00B266DC"/>
    <w:rsid w:val="00B322F1"/>
    <w:rsid w:val="00B32E3D"/>
    <w:rsid w:val="00B335FE"/>
    <w:rsid w:val="00B3373E"/>
    <w:rsid w:val="00B340BE"/>
    <w:rsid w:val="00B34C15"/>
    <w:rsid w:val="00B364D1"/>
    <w:rsid w:val="00B36A91"/>
    <w:rsid w:val="00B37653"/>
    <w:rsid w:val="00B37A11"/>
    <w:rsid w:val="00B40707"/>
    <w:rsid w:val="00B40908"/>
    <w:rsid w:val="00B410D2"/>
    <w:rsid w:val="00B42674"/>
    <w:rsid w:val="00B442BB"/>
    <w:rsid w:val="00B45FA4"/>
    <w:rsid w:val="00B460F3"/>
    <w:rsid w:val="00B50333"/>
    <w:rsid w:val="00B50AE1"/>
    <w:rsid w:val="00B52BAC"/>
    <w:rsid w:val="00B539EF"/>
    <w:rsid w:val="00B54534"/>
    <w:rsid w:val="00B558EB"/>
    <w:rsid w:val="00B55ADD"/>
    <w:rsid w:val="00B55EAC"/>
    <w:rsid w:val="00B56623"/>
    <w:rsid w:val="00B5684E"/>
    <w:rsid w:val="00B57707"/>
    <w:rsid w:val="00B60D5A"/>
    <w:rsid w:val="00B60FA2"/>
    <w:rsid w:val="00B61D5A"/>
    <w:rsid w:val="00B61E03"/>
    <w:rsid w:val="00B62C6E"/>
    <w:rsid w:val="00B65AB3"/>
    <w:rsid w:val="00B65FAC"/>
    <w:rsid w:val="00B7121F"/>
    <w:rsid w:val="00B71691"/>
    <w:rsid w:val="00B72CBB"/>
    <w:rsid w:val="00B73A6D"/>
    <w:rsid w:val="00B73A9F"/>
    <w:rsid w:val="00B7419A"/>
    <w:rsid w:val="00B76029"/>
    <w:rsid w:val="00B816CE"/>
    <w:rsid w:val="00B81DF5"/>
    <w:rsid w:val="00B8284F"/>
    <w:rsid w:val="00B83718"/>
    <w:rsid w:val="00B840AA"/>
    <w:rsid w:val="00B87D0B"/>
    <w:rsid w:val="00B918E4"/>
    <w:rsid w:val="00B920BD"/>
    <w:rsid w:val="00BA3197"/>
    <w:rsid w:val="00BA3D30"/>
    <w:rsid w:val="00BA416F"/>
    <w:rsid w:val="00BB0158"/>
    <w:rsid w:val="00BB21C5"/>
    <w:rsid w:val="00BB305E"/>
    <w:rsid w:val="00BB3556"/>
    <w:rsid w:val="00BB3B8F"/>
    <w:rsid w:val="00BB4EC4"/>
    <w:rsid w:val="00BB5006"/>
    <w:rsid w:val="00BC1023"/>
    <w:rsid w:val="00BC2629"/>
    <w:rsid w:val="00BC2837"/>
    <w:rsid w:val="00BC3CF6"/>
    <w:rsid w:val="00BC6763"/>
    <w:rsid w:val="00BC6F83"/>
    <w:rsid w:val="00BC7A30"/>
    <w:rsid w:val="00BD05A9"/>
    <w:rsid w:val="00BD12C4"/>
    <w:rsid w:val="00BD1F2B"/>
    <w:rsid w:val="00BD4EC9"/>
    <w:rsid w:val="00BD5AE0"/>
    <w:rsid w:val="00BD5B42"/>
    <w:rsid w:val="00BD7C58"/>
    <w:rsid w:val="00BE283F"/>
    <w:rsid w:val="00BE41B0"/>
    <w:rsid w:val="00BE548D"/>
    <w:rsid w:val="00BE61A7"/>
    <w:rsid w:val="00BE6670"/>
    <w:rsid w:val="00BE6A3C"/>
    <w:rsid w:val="00BF03F7"/>
    <w:rsid w:val="00BF31BB"/>
    <w:rsid w:val="00BF3B8C"/>
    <w:rsid w:val="00BF3EDE"/>
    <w:rsid w:val="00BF4CEF"/>
    <w:rsid w:val="00BF52AF"/>
    <w:rsid w:val="00C0179C"/>
    <w:rsid w:val="00C022AE"/>
    <w:rsid w:val="00C02654"/>
    <w:rsid w:val="00C03475"/>
    <w:rsid w:val="00C0566E"/>
    <w:rsid w:val="00C05BE8"/>
    <w:rsid w:val="00C15C08"/>
    <w:rsid w:val="00C222AB"/>
    <w:rsid w:val="00C25076"/>
    <w:rsid w:val="00C275CD"/>
    <w:rsid w:val="00C27CC6"/>
    <w:rsid w:val="00C27E41"/>
    <w:rsid w:val="00C30633"/>
    <w:rsid w:val="00C32F88"/>
    <w:rsid w:val="00C3346F"/>
    <w:rsid w:val="00C36005"/>
    <w:rsid w:val="00C4016C"/>
    <w:rsid w:val="00C414F5"/>
    <w:rsid w:val="00C42605"/>
    <w:rsid w:val="00C42CD2"/>
    <w:rsid w:val="00C43CB8"/>
    <w:rsid w:val="00C44F8C"/>
    <w:rsid w:val="00C4511C"/>
    <w:rsid w:val="00C45609"/>
    <w:rsid w:val="00C45AE5"/>
    <w:rsid w:val="00C4608A"/>
    <w:rsid w:val="00C4662D"/>
    <w:rsid w:val="00C46C3A"/>
    <w:rsid w:val="00C50136"/>
    <w:rsid w:val="00C509B0"/>
    <w:rsid w:val="00C51869"/>
    <w:rsid w:val="00C529B3"/>
    <w:rsid w:val="00C54233"/>
    <w:rsid w:val="00C54924"/>
    <w:rsid w:val="00C54A63"/>
    <w:rsid w:val="00C55D48"/>
    <w:rsid w:val="00C56390"/>
    <w:rsid w:val="00C5694D"/>
    <w:rsid w:val="00C6529F"/>
    <w:rsid w:val="00C65FB3"/>
    <w:rsid w:val="00C6613D"/>
    <w:rsid w:val="00C6642B"/>
    <w:rsid w:val="00C6739C"/>
    <w:rsid w:val="00C675D1"/>
    <w:rsid w:val="00C701A9"/>
    <w:rsid w:val="00C71881"/>
    <w:rsid w:val="00C72391"/>
    <w:rsid w:val="00C779A5"/>
    <w:rsid w:val="00C80327"/>
    <w:rsid w:val="00C81AC9"/>
    <w:rsid w:val="00C83F08"/>
    <w:rsid w:val="00C842B7"/>
    <w:rsid w:val="00C844DB"/>
    <w:rsid w:val="00C867C8"/>
    <w:rsid w:val="00C875E9"/>
    <w:rsid w:val="00C90753"/>
    <w:rsid w:val="00C90C2A"/>
    <w:rsid w:val="00C90EFE"/>
    <w:rsid w:val="00C924DF"/>
    <w:rsid w:val="00C97E12"/>
    <w:rsid w:val="00CA070D"/>
    <w:rsid w:val="00CA3480"/>
    <w:rsid w:val="00CA37CD"/>
    <w:rsid w:val="00CA6380"/>
    <w:rsid w:val="00CA69DE"/>
    <w:rsid w:val="00CA6DB4"/>
    <w:rsid w:val="00CB00D2"/>
    <w:rsid w:val="00CB0BB9"/>
    <w:rsid w:val="00CB1A94"/>
    <w:rsid w:val="00CB21CB"/>
    <w:rsid w:val="00CB39A9"/>
    <w:rsid w:val="00CB4295"/>
    <w:rsid w:val="00CB492A"/>
    <w:rsid w:val="00CB5642"/>
    <w:rsid w:val="00CB793D"/>
    <w:rsid w:val="00CC023B"/>
    <w:rsid w:val="00CC19FC"/>
    <w:rsid w:val="00CC1E57"/>
    <w:rsid w:val="00CC3579"/>
    <w:rsid w:val="00CD0CCF"/>
    <w:rsid w:val="00CD128B"/>
    <w:rsid w:val="00CD1B1E"/>
    <w:rsid w:val="00CD1D49"/>
    <w:rsid w:val="00CD39CF"/>
    <w:rsid w:val="00CD6091"/>
    <w:rsid w:val="00CE0252"/>
    <w:rsid w:val="00CE2684"/>
    <w:rsid w:val="00CE2A89"/>
    <w:rsid w:val="00CE384F"/>
    <w:rsid w:val="00CE428D"/>
    <w:rsid w:val="00CE72A8"/>
    <w:rsid w:val="00CE7E9C"/>
    <w:rsid w:val="00CF0E8F"/>
    <w:rsid w:val="00CF1912"/>
    <w:rsid w:val="00CF2106"/>
    <w:rsid w:val="00CF3DA4"/>
    <w:rsid w:val="00CF4247"/>
    <w:rsid w:val="00CF467B"/>
    <w:rsid w:val="00CF46C1"/>
    <w:rsid w:val="00CF55CA"/>
    <w:rsid w:val="00CF7FEB"/>
    <w:rsid w:val="00D00642"/>
    <w:rsid w:val="00D01B34"/>
    <w:rsid w:val="00D05E31"/>
    <w:rsid w:val="00D064DD"/>
    <w:rsid w:val="00D06A52"/>
    <w:rsid w:val="00D10134"/>
    <w:rsid w:val="00D10F24"/>
    <w:rsid w:val="00D1307B"/>
    <w:rsid w:val="00D200F1"/>
    <w:rsid w:val="00D21BAF"/>
    <w:rsid w:val="00D22881"/>
    <w:rsid w:val="00D228A4"/>
    <w:rsid w:val="00D233EB"/>
    <w:rsid w:val="00D23EE7"/>
    <w:rsid w:val="00D26E82"/>
    <w:rsid w:val="00D31586"/>
    <w:rsid w:val="00D35512"/>
    <w:rsid w:val="00D3564F"/>
    <w:rsid w:val="00D3762B"/>
    <w:rsid w:val="00D4185C"/>
    <w:rsid w:val="00D450D8"/>
    <w:rsid w:val="00D45875"/>
    <w:rsid w:val="00D46BA6"/>
    <w:rsid w:val="00D520ED"/>
    <w:rsid w:val="00D521A1"/>
    <w:rsid w:val="00D53A73"/>
    <w:rsid w:val="00D55210"/>
    <w:rsid w:val="00D5599D"/>
    <w:rsid w:val="00D55E91"/>
    <w:rsid w:val="00D62DAB"/>
    <w:rsid w:val="00D63478"/>
    <w:rsid w:val="00D64A95"/>
    <w:rsid w:val="00D67F6A"/>
    <w:rsid w:val="00D70499"/>
    <w:rsid w:val="00D7367E"/>
    <w:rsid w:val="00D74062"/>
    <w:rsid w:val="00D7498E"/>
    <w:rsid w:val="00D74D37"/>
    <w:rsid w:val="00D74EBE"/>
    <w:rsid w:val="00D824AE"/>
    <w:rsid w:val="00D82CEB"/>
    <w:rsid w:val="00D836BD"/>
    <w:rsid w:val="00D858DA"/>
    <w:rsid w:val="00D863B6"/>
    <w:rsid w:val="00D9162F"/>
    <w:rsid w:val="00D91BCB"/>
    <w:rsid w:val="00D92FD6"/>
    <w:rsid w:val="00D93160"/>
    <w:rsid w:val="00D93AA8"/>
    <w:rsid w:val="00D95FF8"/>
    <w:rsid w:val="00D96874"/>
    <w:rsid w:val="00D96E11"/>
    <w:rsid w:val="00DA0005"/>
    <w:rsid w:val="00DA0D71"/>
    <w:rsid w:val="00DA0E9C"/>
    <w:rsid w:val="00DA3BA1"/>
    <w:rsid w:val="00DB1178"/>
    <w:rsid w:val="00DB15FC"/>
    <w:rsid w:val="00DB35C6"/>
    <w:rsid w:val="00DB7331"/>
    <w:rsid w:val="00DB7B6C"/>
    <w:rsid w:val="00DC1CA5"/>
    <w:rsid w:val="00DD108E"/>
    <w:rsid w:val="00DD111B"/>
    <w:rsid w:val="00DD2203"/>
    <w:rsid w:val="00DD3255"/>
    <w:rsid w:val="00DD6853"/>
    <w:rsid w:val="00DD6C78"/>
    <w:rsid w:val="00DD6F7E"/>
    <w:rsid w:val="00DE0015"/>
    <w:rsid w:val="00DE1FBB"/>
    <w:rsid w:val="00DE3E0A"/>
    <w:rsid w:val="00DF099A"/>
    <w:rsid w:val="00DF0ECD"/>
    <w:rsid w:val="00DF4EA3"/>
    <w:rsid w:val="00DF6252"/>
    <w:rsid w:val="00DF63C1"/>
    <w:rsid w:val="00DF6B86"/>
    <w:rsid w:val="00DF7B4D"/>
    <w:rsid w:val="00E015A7"/>
    <w:rsid w:val="00E017DF"/>
    <w:rsid w:val="00E04056"/>
    <w:rsid w:val="00E04E46"/>
    <w:rsid w:val="00E055DF"/>
    <w:rsid w:val="00E056AE"/>
    <w:rsid w:val="00E05B17"/>
    <w:rsid w:val="00E07C67"/>
    <w:rsid w:val="00E11BF9"/>
    <w:rsid w:val="00E12214"/>
    <w:rsid w:val="00E126BC"/>
    <w:rsid w:val="00E13058"/>
    <w:rsid w:val="00E13FFF"/>
    <w:rsid w:val="00E15142"/>
    <w:rsid w:val="00E16A2C"/>
    <w:rsid w:val="00E20426"/>
    <w:rsid w:val="00E20DA8"/>
    <w:rsid w:val="00E21250"/>
    <w:rsid w:val="00E21D60"/>
    <w:rsid w:val="00E2217B"/>
    <w:rsid w:val="00E246A7"/>
    <w:rsid w:val="00E25A83"/>
    <w:rsid w:val="00E27699"/>
    <w:rsid w:val="00E310F9"/>
    <w:rsid w:val="00E312CB"/>
    <w:rsid w:val="00E316F6"/>
    <w:rsid w:val="00E323FC"/>
    <w:rsid w:val="00E32FCB"/>
    <w:rsid w:val="00E33207"/>
    <w:rsid w:val="00E37175"/>
    <w:rsid w:val="00E37B99"/>
    <w:rsid w:val="00E407A6"/>
    <w:rsid w:val="00E41018"/>
    <w:rsid w:val="00E42006"/>
    <w:rsid w:val="00E42363"/>
    <w:rsid w:val="00E4261C"/>
    <w:rsid w:val="00E53697"/>
    <w:rsid w:val="00E53909"/>
    <w:rsid w:val="00E54342"/>
    <w:rsid w:val="00E54465"/>
    <w:rsid w:val="00E55890"/>
    <w:rsid w:val="00E63102"/>
    <w:rsid w:val="00E631C6"/>
    <w:rsid w:val="00E645AF"/>
    <w:rsid w:val="00E64996"/>
    <w:rsid w:val="00E706E3"/>
    <w:rsid w:val="00E70B6A"/>
    <w:rsid w:val="00E71CD1"/>
    <w:rsid w:val="00E71EF9"/>
    <w:rsid w:val="00E72196"/>
    <w:rsid w:val="00E7288E"/>
    <w:rsid w:val="00E73518"/>
    <w:rsid w:val="00E74D89"/>
    <w:rsid w:val="00E808E6"/>
    <w:rsid w:val="00E84F8A"/>
    <w:rsid w:val="00E8511B"/>
    <w:rsid w:val="00E86144"/>
    <w:rsid w:val="00E91064"/>
    <w:rsid w:val="00E93137"/>
    <w:rsid w:val="00E95AC2"/>
    <w:rsid w:val="00EA09F7"/>
    <w:rsid w:val="00EA1980"/>
    <w:rsid w:val="00EA1987"/>
    <w:rsid w:val="00EA310B"/>
    <w:rsid w:val="00EA31CE"/>
    <w:rsid w:val="00EA3AC7"/>
    <w:rsid w:val="00EA4CF8"/>
    <w:rsid w:val="00EA5BA3"/>
    <w:rsid w:val="00EA5BC9"/>
    <w:rsid w:val="00EA7333"/>
    <w:rsid w:val="00EB15FF"/>
    <w:rsid w:val="00EB328A"/>
    <w:rsid w:val="00EB38EA"/>
    <w:rsid w:val="00EB4581"/>
    <w:rsid w:val="00EB4768"/>
    <w:rsid w:val="00EB6191"/>
    <w:rsid w:val="00EB7AD0"/>
    <w:rsid w:val="00EC0591"/>
    <w:rsid w:val="00EC072A"/>
    <w:rsid w:val="00EC2F45"/>
    <w:rsid w:val="00EC41CF"/>
    <w:rsid w:val="00EC7BBA"/>
    <w:rsid w:val="00ED1CBE"/>
    <w:rsid w:val="00ED2B13"/>
    <w:rsid w:val="00ED3357"/>
    <w:rsid w:val="00ED3A34"/>
    <w:rsid w:val="00ED3F74"/>
    <w:rsid w:val="00ED76F4"/>
    <w:rsid w:val="00EE1D4D"/>
    <w:rsid w:val="00EE202A"/>
    <w:rsid w:val="00EE2EA9"/>
    <w:rsid w:val="00EE41BF"/>
    <w:rsid w:val="00EE6D7E"/>
    <w:rsid w:val="00EE7C47"/>
    <w:rsid w:val="00EE7C93"/>
    <w:rsid w:val="00EF092C"/>
    <w:rsid w:val="00EF1870"/>
    <w:rsid w:val="00EF21E6"/>
    <w:rsid w:val="00EF2ECF"/>
    <w:rsid w:val="00EF4075"/>
    <w:rsid w:val="00EF44CB"/>
    <w:rsid w:val="00EF459B"/>
    <w:rsid w:val="00F00BDB"/>
    <w:rsid w:val="00F01E0D"/>
    <w:rsid w:val="00F028F2"/>
    <w:rsid w:val="00F04F74"/>
    <w:rsid w:val="00F071F9"/>
    <w:rsid w:val="00F10462"/>
    <w:rsid w:val="00F116DB"/>
    <w:rsid w:val="00F116EC"/>
    <w:rsid w:val="00F16411"/>
    <w:rsid w:val="00F20A59"/>
    <w:rsid w:val="00F22507"/>
    <w:rsid w:val="00F23C19"/>
    <w:rsid w:val="00F27457"/>
    <w:rsid w:val="00F3017C"/>
    <w:rsid w:val="00F30D3D"/>
    <w:rsid w:val="00F33E94"/>
    <w:rsid w:val="00F34856"/>
    <w:rsid w:val="00F3794A"/>
    <w:rsid w:val="00F407C8"/>
    <w:rsid w:val="00F408BA"/>
    <w:rsid w:val="00F422AC"/>
    <w:rsid w:val="00F43B15"/>
    <w:rsid w:val="00F44E15"/>
    <w:rsid w:val="00F45221"/>
    <w:rsid w:val="00F46725"/>
    <w:rsid w:val="00F51F2D"/>
    <w:rsid w:val="00F54593"/>
    <w:rsid w:val="00F54A12"/>
    <w:rsid w:val="00F55E10"/>
    <w:rsid w:val="00F565EA"/>
    <w:rsid w:val="00F56F22"/>
    <w:rsid w:val="00F57057"/>
    <w:rsid w:val="00F60209"/>
    <w:rsid w:val="00F60E69"/>
    <w:rsid w:val="00F60F03"/>
    <w:rsid w:val="00F620FA"/>
    <w:rsid w:val="00F62578"/>
    <w:rsid w:val="00F63859"/>
    <w:rsid w:val="00F64715"/>
    <w:rsid w:val="00F665A6"/>
    <w:rsid w:val="00F66831"/>
    <w:rsid w:val="00F66D8F"/>
    <w:rsid w:val="00F720A5"/>
    <w:rsid w:val="00F72292"/>
    <w:rsid w:val="00F72417"/>
    <w:rsid w:val="00F73408"/>
    <w:rsid w:val="00F7425C"/>
    <w:rsid w:val="00F768A6"/>
    <w:rsid w:val="00F80E7A"/>
    <w:rsid w:val="00F821CE"/>
    <w:rsid w:val="00F8444F"/>
    <w:rsid w:val="00F85282"/>
    <w:rsid w:val="00F859FD"/>
    <w:rsid w:val="00F87AD6"/>
    <w:rsid w:val="00F92072"/>
    <w:rsid w:val="00F92187"/>
    <w:rsid w:val="00F925A8"/>
    <w:rsid w:val="00F92BEA"/>
    <w:rsid w:val="00F941A7"/>
    <w:rsid w:val="00F9646B"/>
    <w:rsid w:val="00FA0C72"/>
    <w:rsid w:val="00FA7309"/>
    <w:rsid w:val="00FA7B42"/>
    <w:rsid w:val="00FB0705"/>
    <w:rsid w:val="00FB1F34"/>
    <w:rsid w:val="00FB230C"/>
    <w:rsid w:val="00FB243D"/>
    <w:rsid w:val="00FB594C"/>
    <w:rsid w:val="00FB6F5A"/>
    <w:rsid w:val="00FB7024"/>
    <w:rsid w:val="00FC2837"/>
    <w:rsid w:val="00FC2B71"/>
    <w:rsid w:val="00FC37F0"/>
    <w:rsid w:val="00FC4019"/>
    <w:rsid w:val="00FC5212"/>
    <w:rsid w:val="00FC5C7E"/>
    <w:rsid w:val="00FC5F44"/>
    <w:rsid w:val="00FC63DD"/>
    <w:rsid w:val="00FC7EDD"/>
    <w:rsid w:val="00FC7FAB"/>
    <w:rsid w:val="00FD3FC4"/>
    <w:rsid w:val="00FD418A"/>
    <w:rsid w:val="00FD4B43"/>
    <w:rsid w:val="00FD5444"/>
    <w:rsid w:val="00FD5F41"/>
    <w:rsid w:val="00FD6BD1"/>
    <w:rsid w:val="00FD7453"/>
    <w:rsid w:val="00FE0A6C"/>
    <w:rsid w:val="00FE0CA9"/>
    <w:rsid w:val="00FE0D56"/>
    <w:rsid w:val="00FE0DA3"/>
    <w:rsid w:val="00FE1A5F"/>
    <w:rsid w:val="00FE2B88"/>
    <w:rsid w:val="00FE61F7"/>
    <w:rsid w:val="00FE69C0"/>
    <w:rsid w:val="00FE69E1"/>
    <w:rsid w:val="00FE6FE5"/>
    <w:rsid w:val="00FE71F0"/>
    <w:rsid w:val="00FF0F02"/>
    <w:rsid w:val="00FF1D15"/>
    <w:rsid w:val="00FF37A3"/>
    <w:rsid w:val="01B65AB8"/>
    <w:rsid w:val="02B6B349"/>
    <w:rsid w:val="02D0678B"/>
    <w:rsid w:val="03068088"/>
    <w:rsid w:val="046C37EC"/>
    <w:rsid w:val="04D3D75A"/>
    <w:rsid w:val="0608084D"/>
    <w:rsid w:val="078E9CD9"/>
    <w:rsid w:val="0A2010B4"/>
    <w:rsid w:val="0B47F7FD"/>
    <w:rsid w:val="0B59EF82"/>
    <w:rsid w:val="0D493CBD"/>
    <w:rsid w:val="0E00412C"/>
    <w:rsid w:val="0F06DD25"/>
    <w:rsid w:val="0FEE94C0"/>
    <w:rsid w:val="106EBE9D"/>
    <w:rsid w:val="13A50931"/>
    <w:rsid w:val="1418055C"/>
    <w:rsid w:val="144C4D51"/>
    <w:rsid w:val="1476EDEE"/>
    <w:rsid w:val="1587526A"/>
    <w:rsid w:val="1773C294"/>
    <w:rsid w:val="18950748"/>
    <w:rsid w:val="18EE74DA"/>
    <w:rsid w:val="19522EAB"/>
    <w:rsid w:val="198AFF18"/>
    <w:rsid w:val="1ACF18CD"/>
    <w:rsid w:val="1B1FC9AC"/>
    <w:rsid w:val="1C01AF5C"/>
    <w:rsid w:val="1C72F00B"/>
    <w:rsid w:val="1F04296F"/>
    <w:rsid w:val="1FF33ACF"/>
    <w:rsid w:val="20187D9C"/>
    <w:rsid w:val="202BE569"/>
    <w:rsid w:val="21D593DC"/>
    <w:rsid w:val="22DD5518"/>
    <w:rsid w:val="2332FA91"/>
    <w:rsid w:val="235313B6"/>
    <w:rsid w:val="2445CEE1"/>
    <w:rsid w:val="2474477C"/>
    <w:rsid w:val="250350B4"/>
    <w:rsid w:val="257CB063"/>
    <w:rsid w:val="260960C8"/>
    <w:rsid w:val="263021A0"/>
    <w:rsid w:val="275F982A"/>
    <w:rsid w:val="290EC37D"/>
    <w:rsid w:val="293A7850"/>
    <w:rsid w:val="2A1C2DDA"/>
    <w:rsid w:val="2AECFB17"/>
    <w:rsid w:val="2BC371C1"/>
    <w:rsid w:val="2BEF9B01"/>
    <w:rsid w:val="2CA184A1"/>
    <w:rsid w:val="2CC551E7"/>
    <w:rsid w:val="2D10C01D"/>
    <w:rsid w:val="2D4B2919"/>
    <w:rsid w:val="2D9C7463"/>
    <w:rsid w:val="2E583AAC"/>
    <w:rsid w:val="30E5CA2F"/>
    <w:rsid w:val="324A0EB6"/>
    <w:rsid w:val="32E1427F"/>
    <w:rsid w:val="32F62A4A"/>
    <w:rsid w:val="336926C0"/>
    <w:rsid w:val="33D63367"/>
    <w:rsid w:val="33D8E43C"/>
    <w:rsid w:val="3439515C"/>
    <w:rsid w:val="34455290"/>
    <w:rsid w:val="3511F732"/>
    <w:rsid w:val="3749EC67"/>
    <w:rsid w:val="377E4A8F"/>
    <w:rsid w:val="38F264B7"/>
    <w:rsid w:val="391A1AF0"/>
    <w:rsid w:val="3AC351F6"/>
    <w:rsid w:val="3B236980"/>
    <w:rsid w:val="3CE2C235"/>
    <w:rsid w:val="405E9A35"/>
    <w:rsid w:val="40C5F9BD"/>
    <w:rsid w:val="42439C52"/>
    <w:rsid w:val="4243AD0B"/>
    <w:rsid w:val="42B88CC0"/>
    <w:rsid w:val="44CE9720"/>
    <w:rsid w:val="44ED3CA2"/>
    <w:rsid w:val="45A2D75D"/>
    <w:rsid w:val="45CC2D56"/>
    <w:rsid w:val="45E87C85"/>
    <w:rsid w:val="4686A42F"/>
    <w:rsid w:val="4690EE9A"/>
    <w:rsid w:val="471A910B"/>
    <w:rsid w:val="47F680C0"/>
    <w:rsid w:val="48243D16"/>
    <w:rsid w:val="486964B8"/>
    <w:rsid w:val="486A60D7"/>
    <w:rsid w:val="48705524"/>
    <w:rsid w:val="4A1AD0A6"/>
    <w:rsid w:val="4AA8ECC5"/>
    <w:rsid w:val="4AC2469C"/>
    <w:rsid w:val="4C4489F9"/>
    <w:rsid w:val="4C863059"/>
    <w:rsid w:val="4CA02BB9"/>
    <w:rsid w:val="4D2385A1"/>
    <w:rsid w:val="4D59F94C"/>
    <w:rsid w:val="4D7BC7B8"/>
    <w:rsid w:val="4D90451A"/>
    <w:rsid w:val="4DD73F3B"/>
    <w:rsid w:val="4F245AC6"/>
    <w:rsid w:val="4F33AD62"/>
    <w:rsid w:val="4F730F9C"/>
    <w:rsid w:val="4F74A2D7"/>
    <w:rsid w:val="500660F6"/>
    <w:rsid w:val="50D5E0D2"/>
    <w:rsid w:val="512C2B4B"/>
    <w:rsid w:val="5136BE13"/>
    <w:rsid w:val="51491BFB"/>
    <w:rsid w:val="51AB7410"/>
    <w:rsid w:val="52950074"/>
    <w:rsid w:val="53FEFCE2"/>
    <w:rsid w:val="541DD8FF"/>
    <w:rsid w:val="54275949"/>
    <w:rsid w:val="555D9211"/>
    <w:rsid w:val="5618100E"/>
    <w:rsid w:val="56D61413"/>
    <w:rsid w:val="599925BA"/>
    <w:rsid w:val="5A443E03"/>
    <w:rsid w:val="5A60B6F5"/>
    <w:rsid w:val="5A7CDFFB"/>
    <w:rsid w:val="5B167BDD"/>
    <w:rsid w:val="5B34CAB1"/>
    <w:rsid w:val="5BB8DCFF"/>
    <w:rsid w:val="5BBDB509"/>
    <w:rsid w:val="5CDB4DB1"/>
    <w:rsid w:val="5D4913E1"/>
    <w:rsid w:val="5D758F77"/>
    <w:rsid w:val="5DE1E9AA"/>
    <w:rsid w:val="5EE06938"/>
    <w:rsid w:val="5F84DD48"/>
    <w:rsid w:val="60BED8D9"/>
    <w:rsid w:val="6146C339"/>
    <w:rsid w:val="636AA7A2"/>
    <w:rsid w:val="63ACA800"/>
    <w:rsid w:val="63CFCCE6"/>
    <w:rsid w:val="65F5C9AB"/>
    <w:rsid w:val="665A5280"/>
    <w:rsid w:val="6788CBF0"/>
    <w:rsid w:val="67FDD67C"/>
    <w:rsid w:val="689D70FA"/>
    <w:rsid w:val="68FC8C09"/>
    <w:rsid w:val="6A38FF07"/>
    <w:rsid w:val="6AAAFC96"/>
    <w:rsid w:val="6AAC621A"/>
    <w:rsid w:val="6B6C9CD3"/>
    <w:rsid w:val="6C67B4D9"/>
    <w:rsid w:val="6D73D775"/>
    <w:rsid w:val="6E1685E3"/>
    <w:rsid w:val="6E399851"/>
    <w:rsid w:val="6F0FA7D6"/>
    <w:rsid w:val="6F88700D"/>
    <w:rsid w:val="6FE48B88"/>
    <w:rsid w:val="70504DE7"/>
    <w:rsid w:val="706A17B5"/>
    <w:rsid w:val="70E9E980"/>
    <w:rsid w:val="716DB4B9"/>
    <w:rsid w:val="72152FB7"/>
    <w:rsid w:val="7235B538"/>
    <w:rsid w:val="7255CB80"/>
    <w:rsid w:val="72C6B8DE"/>
    <w:rsid w:val="72DDEAE6"/>
    <w:rsid w:val="73771A97"/>
    <w:rsid w:val="7541E98E"/>
    <w:rsid w:val="76F7E903"/>
    <w:rsid w:val="76FDF141"/>
    <w:rsid w:val="77263CA6"/>
    <w:rsid w:val="77B87F46"/>
    <w:rsid w:val="78ECFA74"/>
    <w:rsid w:val="79298544"/>
    <w:rsid w:val="79B6F347"/>
    <w:rsid w:val="7A526B4B"/>
    <w:rsid w:val="7B44BB53"/>
    <w:rsid w:val="7D334731"/>
    <w:rsid w:val="7D70DD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F90BF"/>
  <w15:docId w15:val="{C80BCD58-D816-47F4-8CFB-F22F6D2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580"/>
      <w:outlineLvl w:val="0"/>
    </w:pPr>
    <w:rPr>
      <w:b/>
      <w:bCs/>
      <w:sz w:val="24"/>
      <w:szCs w:val="24"/>
      <w:u w:val="single" w:color="000000"/>
    </w:rPr>
  </w:style>
  <w:style w:type="paragraph" w:styleId="Heading2">
    <w:name w:val="heading 2"/>
    <w:basedOn w:val="Normal"/>
    <w:uiPriority w:val="1"/>
    <w:qFormat/>
    <w:pPr>
      <w:ind w:left="800" w:hanging="2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link w:val="ListParagraphChar"/>
    <w:uiPriority w:val="34"/>
    <w:qFormat/>
    <w:pPr>
      <w:ind w:left="1300" w:hanging="360"/>
    </w:pPr>
  </w:style>
  <w:style w:type="paragraph" w:customStyle="1" w:styleId="TableParagraph">
    <w:name w:val="Table Paragraph"/>
    <w:basedOn w:val="Normal"/>
    <w:uiPriority w:val="1"/>
    <w:qFormat/>
    <w:rPr>
      <w:rFonts w:ascii="Arial" w:eastAsia="Arial" w:hAnsi="Arial" w:cs="Arial"/>
    </w:rPr>
  </w:style>
  <w:style w:type="character" w:styleId="CommentReference">
    <w:name w:val="annotation reference"/>
    <w:basedOn w:val="DefaultParagraphFont"/>
    <w:uiPriority w:val="99"/>
    <w:semiHidden/>
    <w:unhideWhenUsed/>
    <w:rsid w:val="0075173C"/>
    <w:rPr>
      <w:sz w:val="16"/>
      <w:szCs w:val="16"/>
    </w:rPr>
  </w:style>
  <w:style w:type="paragraph" w:styleId="CommentText">
    <w:name w:val="annotation text"/>
    <w:basedOn w:val="Normal"/>
    <w:link w:val="CommentTextChar"/>
    <w:uiPriority w:val="99"/>
    <w:unhideWhenUsed/>
    <w:rsid w:val="0075173C"/>
    <w:rPr>
      <w:sz w:val="20"/>
      <w:szCs w:val="20"/>
    </w:rPr>
  </w:style>
  <w:style w:type="character" w:customStyle="1" w:styleId="CommentTextChar">
    <w:name w:val="Comment Text Char"/>
    <w:basedOn w:val="DefaultParagraphFont"/>
    <w:link w:val="CommentText"/>
    <w:uiPriority w:val="99"/>
    <w:rsid w:val="0075173C"/>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75173C"/>
    <w:rPr>
      <w:b/>
      <w:bCs/>
    </w:rPr>
  </w:style>
  <w:style w:type="character" w:customStyle="1" w:styleId="CommentSubjectChar">
    <w:name w:val="Comment Subject Char"/>
    <w:basedOn w:val="CommentTextChar"/>
    <w:link w:val="CommentSubject"/>
    <w:uiPriority w:val="99"/>
    <w:semiHidden/>
    <w:rsid w:val="0075173C"/>
    <w:rPr>
      <w:rFonts w:ascii="Calibri" w:eastAsia="Calibri" w:hAnsi="Calibri" w:cs="Calibri"/>
      <w:b/>
      <w:bCs/>
      <w:sz w:val="20"/>
      <w:szCs w:val="20"/>
      <w:lang w:bidi="en-US"/>
    </w:rPr>
  </w:style>
  <w:style w:type="paragraph" w:styleId="BalloonText">
    <w:name w:val="Balloon Text"/>
    <w:basedOn w:val="Normal"/>
    <w:link w:val="BalloonTextChar"/>
    <w:uiPriority w:val="99"/>
    <w:semiHidden/>
    <w:unhideWhenUsed/>
    <w:rsid w:val="0075173C"/>
    <w:rPr>
      <w:rFonts w:ascii="Tahoma" w:hAnsi="Tahoma" w:cs="Tahoma"/>
      <w:sz w:val="16"/>
      <w:szCs w:val="16"/>
    </w:rPr>
  </w:style>
  <w:style w:type="character" w:customStyle="1" w:styleId="BalloonTextChar">
    <w:name w:val="Balloon Text Char"/>
    <w:basedOn w:val="DefaultParagraphFont"/>
    <w:link w:val="BalloonText"/>
    <w:uiPriority w:val="99"/>
    <w:semiHidden/>
    <w:rsid w:val="0075173C"/>
    <w:rPr>
      <w:rFonts w:ascii="Tahoma" w:eastAsia="Calibri" w:hAnsi="Tahoma" w:cs="Tahoma"/>
      <w:sz w:val="16"/>
      <w:szCs w:val="16"/>
      <w:lang w:bidi="en-US"/>
    </w:rPr>
  </w:style>
  <w:style w:type="paragraph" w:styleId="FootnoteText">
    <w:name w:val="footnote text"/>
    <w:basedOn w:val="Normal"/>
    <w:link w:val="FootnoteTextChar"/>
    <w:uiPriority w:val="99"/>
    <w:unhideWhenUsed/>
    <w:rsid w:val="00FB594C"/>
    <w:rPr>
      <w:sz w:val="20"/>
      <w:szCs w:val="20"/>
    </w:rPr>
  </w:style>
  <w:style w:type="character" w:customStyle="1" w:styleId="FootnoteTextChar">
    <w:name w:val="Footnote Text Char"/>
    <w:basedOn w:val="DefaultParagraphFont"/>
    <w:link w:val="FootnoteText"/>
    <w:uiPriority w:val="99"/>
    <w:rsid w:val="00FB594C"/>
    <w:rPr>
      <w:rFonts w:ascii="Calibri" w:eastAsia="Calibri" w:hAnsi="Calibri" w:cs="Calibri"/>
      <w:sz w:val="20"/>
      <w:szCs w:val="20"/>
      <w:lang w:bidi="en-US"/>
    </w:rPr>
  </w:style>
  <w:style w:type="character" w:styleId="FootnoteReference">
    <w:name w:val="footnote reference"/>
    <w:basedOn w:val="DefaultParagraphFont"/>
    <w:uiPriority w:val="99"/>
    <w:unhideWhenUsed/>
    <w:rsid w:val="00FB594C"/>
    <w:rPr>
      <w:vertAlign w:val="superscript"/>
    </w:rPr>
  </w:style>
  <w:style w:type="paragraph" w:styleId="EndnoteText">
    <w:name w:val="endnote text"/>
    <w:basedOn w:val="Normal"/>
    <w:link w:val="EndnoteTextChar"/>
    <w:uiPriority w:val="99"/>
    <w:semiHidden/>
    <w:unhideWhenUsed/>
    <w:rsid w:val="00263E01"/>
    <w:rPr>
      <w:sz w:val="20"/>
      <w:szCs w:val="20"/>
    </w:rPr>
  </w:style>
  <w:style w:type="character" w:customStyle="1" w:styleId="EndnoteTextChar">
    <w:name w:val="Endnote Text Char"/>
    <w:basedOn w:val="DefaultParagraphFont"/>
    <w:link w:val="EndnoteText"/>
    <w:uiPriority w:val="99"/>
    <w:semiHidden/>
    <w:rsid w:val="00263E01"/>
    <w:rPr>
      <w:rFonts w:ascii="Calibri" w:eastAsia="Calibri" w:hAnsi="Calibri" w:cs="Calibri"/>
      <w:sz w:val="20"/>
      <w:szCs w:val="20"/>
      <w:lang w:bidi="en-US"/>
    </w:rPr>
  </w:style>
  <w:style w:type="character" w:styleId="EndnoteReference">
    <w:name w:val="endnote reference"/>
    <w:basedOn w:val="DefaultParagraphFont"/>
    <w:uiPriority w:val="99"/>
    <w:semiHidden/>
    <w:unhideWhenUsed/>
    <w:rsid w:val="00263E01"/>
    <w:rPr>
      <w:vertAlign w:val="superscript"/>
    </w:rPr>
  </w:style>
  <w:style w:type="character" w:styleId="Hyperlink">
    <w:name w:val="Hyperlink"/>
    <w:basedOn w:val="DefaultParagraphFont"/>
    <w:uiPriority w:val="99"/>
    <w:unhideWhenUsed/>
    <w:rsid w:val="00F66D8F"/>
    <w:rPr>
      <w:color w:val="0000FF" w:themeColor="hyperlink"/>
      <w:u w:val="single"/>
    </w:rPr>
  </w:style>
  <w:style w:type="paragraph" w:styleId="Header">
    <w:name w:val="header"/>
    <w:basedOn w:val="Normal"/>
    <w:link w:val="HeaderChar"/>
    <w:uiPriority w:val="99"/>
    <w:unhideWhenUsed/>
    <w:rsid w:val="000C5857"/>
    <w:pPr>
      <w:tabs>
        <w:tab w:val="center" w:pos="4680"/>
        <w:tab w:val="right" w:pos="9360"/>
      </w:tabs>
    </w:pPr>
  </w:style>
  <w:style w:type="character" w:customStyle="1" w:styleId="HeaderChar">
    <w:name w:val="Header Char"/>
    <w:basedOn w:val="DefaultParagraphFont"/>
    <w:link w:val="Header"/>
    <w:uiPriority w:val="99"/>
    <w:rsid w:val="000C5857"/>
    <w:rPr>
      <w:rFonts w:ascii="Calibri" w:eastAsia="Calibri" w:hAnsi="Calibri" w:cs="Calibri"/>
      <w:lang w:bidi="en-US"/>
    </w:rPr>
  </w:style>
  <w:style w:type="paragraph" w:styleId="Footer">
    <w:name w:val="footer"/>
    <w:basedOn w:val="Normal"/>
    <w:link w:val="FooterChar"/>
    <w:uiPriority w:val="99"/>
    <w:unhideWhenUsed/>
    <w:rsid w:val="000C5857"/>
    <w:pPr>
      <w:tabs>
        <w:tab w:val="center" w:pos="4680"/>
        <w:tab w:val="right" w:pos="9360"/>
      </w:tabs>
    </w:pPr>
  </w:style>
  <w:style w:type="character" w:customStyle="1" w:styleId="FooterChar">
    <w:name w:val="Footer Char"/>
    <w:basedOn w:val="DefaultParagraphFont"/>
    <w:link w:val="Footer"/>
    <w:uiPriority w:val="99"/>
    <w:rsid w:val="000C5857"/>
    <w:rPr>
      <w:rFonts w:ascii="Calibri" w:eastAsia="Calibri" w:hAnsi="Calibri" w:cs="Calibri"/>
      <w:lang w:bidi="en-US"/>
    </w:rPr>
  </w:style>
  <w:style w:type="paragraph" w:styleId="PlainText">
    <w:name w:val="Plain Text"/>
    <w:basedOn w:val="Normal"/>
    <w:link w:val="PlainTextChar"/>
    <w:uiPriority w:val="99"/>
    <w:unhideWhenUsed/>
    <w:rsid w:val="0057325B"/>
    <w:pPr>
      <w:widowControl/>
      <w:autoSpaceDE/>
      <w:autoSpaceDN/>
    </w:pPr>
    <w:rPr>
      <w:rFonts w:eastAsiaTheme="minorHAnsi"/>
      <w:lang w:bidi="ar-SA"/>
    </w:rPr>
  </w:style>
  <w:style w:type="character" w:customStyle="1" w:styleId="PlainTextChar">
    <w:name w:val="Plain Text Char"/>
    <w:basedOn w:val="DefaultParagraphFont"/>
    <w:link w:val="PlainText"/>
    <w:uiPriority w:val="99"/>
    <w:rsid w:val="0057325B"/>
    <w:rPr>
      <w:rFonts w:ascii="Calibri" w:hAnsi="Calibri" w:cs="Calibri"/>
    </w:rPr>
  </w:style>
  <w:style w:type="paragraph" w:styleId="NormalWeb">
    <w:name w:val="Normal (Web)"/>
    <w:basedOn w:val="Normal"/>
    <w:uiPriority w:val="99"/>
    <w:semiHidden/>
    <w:unhideWhenUsed/>
    <w:rsid w:val="008F087C"/>
    <w:pPr>
      <w:widowControl/>
      <w:autoSpaceDE/>
      <w:autoSpaceDN/>
    </w:pPr>
    <w:rPr>
      <w:rFonts w:eastAsiaTheme="minorHAnsi"/>
      <w:lang w:bidi="ar-SA"/>
    </w:rPr>
  </w:style>
  <w:style w:type="table" w:customStyle="1" w:styleId="TableGrid1">
    <w:name w:val="Table Grid1"/>
    <w:basedOn w:val="TableNormal"/>
    <w:next w:val="TableGrid"/>
    <w:uiPriority w:val="39"/>
    <w:rsid w:val="00C03475"/>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unhideWhenUsed/>
    <w:rsid w:val="00C03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40A7"/>
    <w:rPr>
      <w:color w:val="800080" w:themeColor="followedHyperlink"/>
      <w:u w:val="single"/>
    </w:rPr>
  </w:style>
  <w:style w:type="character" w:styleId="UnresolvedMention">
    <w:name w:val="Unresolved Mention"/>
    <w:basedOn w:val="DefaultParagraphFont"/>
    <w:uiPriority w:val="99"/>
    <w:semiHidden/>
    <w:unhideWhenUsed/>
    <w:rsid w:val="00B322F1"/>
    <w:rPr>
      <w:color w:val="605E5C"/>
      <w:shd w:val="clear" w:color="auto" w:fill="E1DFDD"/>
    </w:rPr>
  </w:style>
  <w:style w:type="paragraph" w:styleId="Revision">
    <w:name w:val="Revision"/>
    <w:hidden/>
    <w:uiPriority w:val="99"/>
    <w:semiHidden/>
    <w:rsid w:val="00273F67"/>
    <w:pPr>
      <w:widowControl/>
      <w:autoSpaceDE/>
      <w:autoSpaceDN/>
    </w:pPr>
    <w:rPr>
      <w:rFonts w:ascii="Calibri" w:eastAsia="Calibri" w:hAnsi="Calibri" w:cs="Calibri"/>
      <w:lang w:bidi="en-US"/>
    </w:rPr>
  </w:style>
  <w:style w:type="paragraph" w:customStyle="1" w:styleId="Default">
    <w:name w:val="Default"/>
    <w:rsid w:val="00D96E11"/>
    <w:pPr>
      <w:widowControl/>
      <w:adjustRightInd w:val="0"/>
    </w:pPr>
    <w:rPr>
      <w:rFonts w:ascii="HQIEQ S+ Times New" w:hAnsi="HQIEQ S+ Times New" w:cs="HQIEQ S+ Times New"/>
      <w:color w:val="000000"/>
      <w:sz w:val="24"/>
      <w:szCs w:val="24"/>
    </w:rPr>
  </w:style>
  <w:style w:type="character" w:customStyle="1" w:styleId="cf01">
    <w:name w:val="cf01"/>
    <w:basedOn w:val="DefaultParagraphFont"/>
    <w:rsid w:val="008E7B65"/>
    <w:rPr>
      <w:rFonts w:ascii="Segoe UI" w:hAnsi="Segoe UI" w:cs="Segoe UI" w:hint="default"/>
      <w:sz w:val="18"/>
      <w:szCs w:val="18"/>
    </w:rPr>
  </w:style>
  <w:style w:type="paragraph" w:customStyle="1" w:styleId="pf0">
    <w:name w:val="pf0"/>
    <w:basedOn w:val="Normal"/>
    <w:rsid w:val="008E7B6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Mention">
    <w:name w:val="Mention"/>
    <w:basedOn w:val="DefaultParagraphFont"/>
    <w:uiPriority w:val="99"/>
    <w:unhideWhenUsed/>
    <w:rsid w:val="00B57707"/>
    <w:rPr>
      <w:color w:val="2B579A"/>
      <w:shd w:val="clear" w:color="auto" w:fill="E1DFDD"/>
    </w:rPr>
  </w:style>
  <w:style w:type="character" w:customStyle="1" w:styleId="ListParagraphChar">
    <w:name w:val="List Paragraph Char"/>
    <w:basedOn w:val="DefaultParagraphFont"/>
    <w:link w:val="ListParagraph"/>
    <w:uiPriority w:val="34"/>
    <w:rsid w:val="005354F0"/>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18839">
      <w:bodyDiv w:val="1"/>
      <w:marLeft w:val="0"/>
      <w:marRight w:val="0"/>
      <w:marTop w:val="0"/>
      <w:marBottom w:val="0"/>
      <w:divBdr>
        <w:top w:val="none" w:sz="0" w:space="0" w:color="auto"/>
        <w:left w:val="none" w:sz="0" w:space="0" w:color="auto"/>
        <w:bottom w:val="none" w:sz="0" w:space="0" w:color="auto"/>
        <w:right w:val="none" w:sz="0" w:space="0" w:color="auto"/>
      </w:divBdr>
    </w:div>
    <w:div w:id="193008172">
      <w:bodyDiv w:val="1"/>
      <w:marLeft w:val="0"/>
      <w:marRight w:val="0"/>
      <w:marTop w:val="0"/>
      <w:marBottom w:val="0"/>
      <w:divBdr>
        <w:top w:val="none" w:sz="0" w:space="0" w:color="auto"/>
        <w:left w:val="none" w:sz="0" w:space="0" w:color="auto"/>
        <w:bottom w:val="none" w:sz="0" w:space="0" w:color="auto"/>
        <w:right w:val="none" w:sz="0" w:space="0" w:color="auto"/>
      </w:divBdr>
    </w:div>
    <w:div w:id="237983839">
      <w:bodyDiv w:val="1"/>
      <w:marLeft w:val="0"/>
      <w:marRight w:val="0"/>
      <w:marTop w:val="0"/>
      <w:marBottom w:val="0"/>
      <w:divBdr>
        <w:top w:val="none" w:sz="0" w:space="0" w:color="auto"/>
        <w:left w:val="none" w:sz="0" w:space="0" w:color="auto"/>
        <w:bottom w:val="none" w:sz="0" w:space="0" w:color="auto"/>
        <w:right w:val="none" w:sz="0" w:space="0" w:color="auto"/>
      </w:divBdr>
    </w:div>
    <w:div w:id="493227959">
      <w:bodyDiv w:val="1"/>
      <w:marLeft w:val="0"/>
      <w:marRight w:val="0"/>
      <w:marTop w:val="0"/>
      <w:marBottom w:val="0"/>
      <w:divBdr>
        <w:top w:val="none" w:sz="0" w:space="0" w:color="auto"/>
        <w:left w:val="none" w:sz="0" w:space="0" w:color="auto"/>
        <w:bottom w:val="none" w:sz="0" w:space="0" w:color="auto"/>
        <w:right w:val="none" w:sz="0" w:space="0" w:color="auto"/>
      </w:divBdr>
    </w:div>
    <w:div w:id="624432362">
      <w:bodyDiv w:val="1"/>
      <w:marLeft w:val="0"/>
      <w:marRight w:val="0"/>
      <w:marTop w:val="0"/>
      <w:marBottom w:val="0"/>
      <w:divBdr>
        <w:top w:val="none" w:sz="0" w:space="0" w:color="auto"/>
        <w:left w:val="none" w:sz="0" w:space="0" w:color="auto"/>
        <w:bottom w:val="none" w:sz="0" w:space="0" w:color="auto"/>
        <w:right w:val="none" w:sz="0" w:space="0" w:color="auto"/>
      </w:divBdr>
    </w:div>
    <w:div w:id="651297556">
      <w:bodyDiv w:val="1"/>
      <w:marLeft w:val="0"/>
      <w:marRight w:val="0"/>
      <w:marTop w:val="0"/>
      <w:marBottom w:val="0"/>
      <w:divBdr>
        <w:top w:val="none" w:sz="0" w:space="0" w:color="auto"/>
        <w:left w:val="none" w:sz="0" w:space="0" w:color="auto"/>
        <w:bottom w:val="none" w:sz="0" w:space="0" w:color="auto"/>
        <w:right w:val="none" w:sz="0" w:space="0" w:color="auto"/>
      </w:divBdr>
    </w:div>
    <w:div w:id="733814219">
      <w:bodyDiv w:val="1"/>
      <w:marLeft w:val="0"/>
      <w:marRight w:val="0"/>
      <w:marTop w:val="0"/>
      <w:marBottom w:val="0"/>
      <w:divBdr>
        <w:top w:val="none" w:sz="0" w:space="0" w:color="auto"/>
        <w:left w:val="none" w:sz="0" w:space="0" w:color="auto"/>
        <w:bottom w:val="none" w:sz="0" w:space="0" w:color="auto"/>
        <w:right w:val="none" w:sz="0" w:space="0" w:color="auto"/>
      </w:divBdr>
    </w:div>
    <w:div w:id="778840131">
      <w:bodyDiv w:val="1"/>
      <w:marLeft w:val="0"/>
      <w:marRight w:val="0"/>
      <w:marTop w:val="0"/>
      <w:marBottom w:val="0"/>
      <w:divBdr>
        <w:top w:val="none" w:sz="0" w:space="0" w:color="auto"/>
        <w:left w:val="none" w:sz="0" w:space="0" w:color="auto"/>
        <w:bottom w:val="none" w:sz="0" w:space="0" w:color="auto"/>
        <w:right w:val="none" w:sz="0" w:space="0" w:color="auto"/>
      </w:divBdr>
    </w:div>
    <w:div w:id="815803569">
      <w:bodyDiv w:val="1"/>
      <w:marLeft w:val="0"/>
      <w:marRight w:val="0"/>
      <w:marTop w:val="0"/>
      <w:marBottom w:val="0"/>
      <w:divBdr>
        <w:top w:val="none" w:sz="0" w:space="0" w:color="auto"/>
        <w:left w:val="none" w:sz="0" w:space="0" w:color="auto"/>
        <w:bottom w:val="none" w:sz="0" w:space="0" w:color="auto"/>
        <w:right w:val="none" w:sz="0" w:space="0" w:color="auto"/>
      </w:divBdr>
    </w:div>
    <w:div w:id="931550479">
      <w:bodyDiv w:val="1"/>
      <w:marLeft w:val="0"/>
      <w:marRight w:val="0"/>
      <w:marTop w:val="0"/>
      <w:marBottom w:val="0"/>
      <w:divBdr>
        <w:top w:val="none" w:sz="0" w:space="0" w:color="auto"/>
        <w:left w:val="none" w:sz="0" w:space="0" w:color="auto"/>
        <w:bottom w:val="none" w:sz="0" w:space="0" w:color="auto"/>
        <w:right w:val="none" w:sz="0" w:space="0" w:color="auto"/>
      </w:divBdr>
    </w:div>
    <w:div w:id="987440889">
      <w:bodyDiv w:val="1"/>
      <w:marLeft w:val="0"/>
      <w:marRight w:val="0"/>
      <w:marTop w:val="0"/>
      <w:marBottom w:val="0"/>
      <w:divBdr>
        <w:top w:val="none" w:sz="0" w:space="0" w:color="auto"/>
        <w:left w:val="none" w:sz="0" w:space="0" w:color="auto"/>
        <w:bottom w:val="none" w:sz="0" w:space="0" w:color="auto"/>
        <w:right w:val="none" w:sz="0" w:space="0" w:color="auto"/>
      </w:divBdr>
    </w:div>
    <w:div w:id="1125153590">
      <w:bodyDiv w:val="1"/>
      <w:marLeft w:val="0"/>
      <w:marRight w:val="0"/>
      <w:marTop w:val="0"/>
      <w:marBottom w:val="0"/>
      <w:divBdr>
        <w:top w:val="none" w:sz="0" w:space="0" w:color="auto"/>
        <w:left w:val="none" w:sz="0" w:space="0" w:color="auto"/>
        <w:bottom w:val="none" w:sz="0" w:space="0" w:color="auto"/>
        <w:right w:val="none" w:sz="0" w:space="0" w:color="auto"/>
      </w:divBdr>
    </w:div>
    <w:div w:id="1278482875">
      <w:bodyDiv w:val="1"/>
      <w:marLeft w:val="0"/>
      <w:marRight w:val="0"/>
      <w:marTop w:val="0"/>
      <w:marBottom w:val="0"/>
      <w:divBdr>
        <w:top w:val="none" w:sz="0" w:space="0" w:color="auto"/>
        <w:left w:val="none" w:sz="0" w:space="0" w:color="auto"/>
        <w:bottom w:val="none" w:sz="0" w:space="0" w:color="auto"/>
        <w:right w:val="none" w:sz="0" w:space="0" w:color="auto"/>
      </w:divBdr>
    </w:div>
    <w:div w:id="1307275401">
      <w:bodyDiv w:val="1"/>
      <w:marLeft w:val="0"/>
      <w:marRight w:val="0"/>
      <w:marTop w:val="0"/>
      <w:marBottom w:val="0"/>
      <w:divBdr>
        <w:top w:val="none" w:sz="0" w:space="0" w:color="auto"/>
        <w:left w:val="none" w:sz="0" w:space="0" w:color="auto"/>
        <w:bottom w:val="none" w:sz="0" w:space="0" w:color="auto"/>
        <w:right w:val="none" w:sz="0" w:space="0" w:color="auto"/>
      </w:divBdr>
    </w:div>
    <w:div w:id="1472744441">
      <w:bodyDiv w:val="1"/>
      <w:marLeft w:val="0"/>
      <w:marRight w:val="0"/>
      <w:marTop w:val="0"/>
      <w:marBottom w:val="0"/>
      <w:divBdr>
        <w:top w:val="none" w:sz="0" w:space="0" w:color="auto"/>
        <w:left w:val="none" w:sz="0" w:space="0" w:color="auto"/>
        <w:bottom w:val="none" w:sz="0" w:space="0" w:color="auto"/>
        <w:right w:val="none" w:sz="0" w:space="0" w:color="auto"/>
      </w:divBdr>
    </w:div>
    <w:div w:id="1573345631">
      <w:bodyDiv w:val="1"/>
      <w:marLeft w:val="0"/>
      <w:marRight w:val="0"/>
      <w:marTop w:val="0"/>
      <w:marBottom w:val="0"/>
      <w:divBdr>
        <w:top w:val="none" w:sz="0" w:space="0" w:color="auto"/>
        <w:left w:val="none" w:sz="0" w:space="0" w:color="auto"/>
        <w:bottom w:val="none" w:sz="0" w:space="0" w:color="auto"/>
        <w:right w:val="none" w:sz="0" w:space="0" w:color="auto"/>
      </w:divBdr>
    </w:div>
    <w:div w:id="1588003023">
      <w:bodyDiv w:val="1"/>
      <w:marLeft w:val="0"/>
      <w:marRight w:val="0"/>
      <w:marTop w:val="0"/>
      <w:marBottom w:val="0"/>
      <w:divBdr>
        <w:top w:val="none" w:sz="0" w:space="0" w:color="auto"/>
        <w:left w:val="none" w:sz="0" w:space="0" w:color="auto"/>
        <w:bottom w:val="none" w:sz="0" w:space="0" w:color="auto"/>
        <w:right w:val="none" w:sz="0" w:space="0" w:color="auto"/>
      </w:divBdr>
    </w:div>
    <w:div w:id="1640265974">
      <w:bodyDiv w:val="1"/>
      <w:marLeft w:val="0"/>
      <w:marRight w:val="0"/>
      <w:marTop w:val="0"/>
      <w:marBottom w:val="0"/>
      <w:divBdr>
        <w:top w:val="none" w:sz="0" w:space="0" w:color="auto"/>
        <w:left w:val="none" w:sz="0" w:space="0" w:color="auto"/>
        <w:bottom w:val="none" w:sz="0" w:space="0" w:color="auto"/>
        <w:right w:val="none" w:sz="0" w:space="0" w:color="auto"/>
      </w:divBdr>
    </w:div>
    <w:div w:id="1814326136">
      <w:bodyDiv w:val="1"/>
      <w:marLeft w:val="0"/>
      <w:marRight w:val="0"/>
      <w:marTop w:val="0"/>
      <w:marBottom w:val="0"/>
      <w:divBdr>
        <w:top w:val="none" w:sz="0" w:space="0" w:color="auto"/>
        <w:left w:val="none" w:sz="0" w:space="0" w:color="auto"/>
        <w:bottom w:val="none" w:sz="0" w:space="0" w:color="auto"/>
        <w:right w:val="none" w:sz="0" w:space="0" w:color="auto"/>
      </w:divBdr>
    </w:div>
    <w:div w:id="1817333049">
      <w:bodyDiv w:val="1"/>
      <w:marLeft w:val="0"/>
      <w:marRight w:val="0"/>
      <w:marTop w:val="0"/>
      <w:marBottom w:val="0"/>
      <w:divBdr>
        <w:top w:val="none" w:sz="0" w:space="0" w:color="auto"/>
        <w:left w:val="none" w:sz="0" w:space="0" w:color="auto"/>
        <w:bottom w:val="none" w:sz="0" w:space="0" w:color="auto"/>
        <w:right w:val="none" w:sz="0" w:space="0" w:color="auto"/>
      </w:divBdr>
    </w:div>
    <w:div w:id="1843278600">
      <w:bodyDiv w:val="1"/>
      <w:marLeft w:val="0"/>
      <w:marRight w:val="0"/>
      <w:marTop w:val="0"/>
      <w:marBottom w:val="0"/>
      <w:divBdr>
        <w:top w:val="none" w:sz="0" w:space="0" w:color="auto"/>
        <w:left w:val="none" w:sz="0" w:space="0" w:color="auto"/>
        <w:bottom w:val="none" w:sz="0" w:space="0" w:color="auto"/>
        <w:right w:val="none" w:sz="0" w:space="0" w:color="auto"/>
      </w:divBdr>
    </w:div>
    <w:div w:id="1974434145">
      <w:bodyDiv w:val="1"/>
      <w:marLeft w:val="0"/>
      <w:marRight w:val="0"/>
      <w:marTop w:val="0"/>
      <w:marBottom w:val="0"/>
      <w:divBdr>
        <w:top w:val="none" w:sz="0" w:space="0" w:color="auto"/>
        <w:left w:val="none" w:sz="0" w:space="0" w:color="auto"/>
        <w:bottom w:val="none" w:sz="0" w:space="0" w:color="auto"/>
        <w:right w:val="none" w:sz="0" w:space="0" w:color="auto"/>
      </w:divBdr>
    </w:div>
    <w:div w:id="1981109621">
      <w:bodyDiv w:val="1"/>
      <w:marLeft w:val="0"/>
      <w:marRight w:val="0"/>
      <w:marTop w:val="0"/>
      <w:marBottom w:val="0"/>
      <w:divBdr>
        <w:top w:val="none" w:sz="0" w:space="0" w:color="auto"/>
        <w:left w:val="none" w:sz="0" w:space="0" w:color="auto"/>
        <w:bottom w:val="none" w:sz="0" w:space="0" w:color="auto"/>
        <w:right w:val="none" w:sz="0" w:space="0" w:color="auto"/>
      </w:divBdr>
    </w:div>
    <w:div w:id="2030913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FCC5F2C8880F45B59EA6BBBA4E1A66" ma:contentTypeVersion="12" ma:contentTypeDescription="Create a new document." ma:contentTypeScope="" ma:versionID="531441a1cad88b88c9b666a1e40204dc">
  <xsd:schema xmlns:xsd="http://www.w3.org/2001/XMLSchema" xmlns:xs="http://www.w3.org/2001/XMLSchema" xmlns:p="http://schemas.microsoft.com/office/2006/metadata/properties" xmlns:ns2="fb1e1941-e971-4fcd-9647-5c92aa44abc0" xmlns:ns3="c5e887a9-3264-4a11-98fe-00f96354db3e" targetNamespace="http://schemas.microsoft.com/office/2006/metadata/properties" ma:root="true" ma:fieldsID="9db079af382645e289e217b83ec7c37a" ns2:_="" ns3:_="">
    <xsd:import namespace="fb1e1941-e971-4fcd-9647-5c92aa44abc0"/>
    <xsd:import namespace="c5e887a9-3264-4a11-98fe-00f96354db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e1941-e971-4fcd-9647-5c92aa44abc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e887a9-3264-4a11-98fe-00f96354db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fb1e1941-e971-4fcd-9647-5c92aa44abc0">
      <UserInfo>
        <DisplayName>Catulle, Fabiola (DPH)</DisplayName>
        <AccountId>52</AccountId>
        <AccountType/>
      </UserInfo>
      <UserInfo>
        <DisplayName>Renaud, Dennis (DPH)</DisplayName>
        <AccountId>53</AccountId>
        <AccountType/>
      </UserInfo>
      <UserInfo>
        <DisplayName>McNamara, Torey (DPH)</DisplayName>
        <AccountId>12</AccountId>
        <AccountType/>
      </UserInfo>
      <UserInfo>
        <DisplayName>Kaye, Rebecca (DPH)</DisplayName>
        <AccountId>77</AccountId>
        <AccountType/>
      </UserInfo>
      <UserInfo>
        <DisplayName>Kelley, Elizabeth D. (DPH)</DisplayName>
        <AccountId>6</AccountId>
        <AccountType/>
      </UserInfo>
      <UserInfo>
        <DisplayName>Goldstein, Robert (DPH)</DisplayName>
        <AccountId>82</AccountId>
        <AccountType/>
      </UserInfo>
    </SharedWithUsers>
  </documentManagement>
</p:properties>
</file>

<file path=customXml/itemProps1.xml><?xml version="1.0" encoding="utf-8"?>
<ds:datastoreItem xmlns:ds="http://schemas.openxmlformats.org/officeDocument/2006/customXml" ds:itemID="{E2CA5503-3966-4EC3-B458-E7EEA1AF4AB2}">
  <ds:schemaRefs>
    <ds:schemaRef ds:uri="http://schemas.openxmlformats.org/officeDocument/2006/bibliography"/>
  </ds:schemaRefs>
</ds:datastoreItem>
</file>

<file path=customXml/itemProps2.xml><?xml version="1.0" encoding="utf-8"?>
<ds:datastoreItem xmlns:ds="http://schemas.openxmlformats.org/officeDocument/2006/customXml" ds:itemID="{37094661-5C94-4F5C-AA2E-0D376EE99D8D}">
  <ds:schemaRefs>
    <ds:schemaRef ds:uri="http://schemas.microsoft.com/sharepoint/v3/contenttype/forms"/>
  </ds:schemaRefs>
</ds:datastoreItem>
</file>

<file path=customXml/itemProps3.xml><?xml version="1.0" encoding="utf-8"?>
<ds:datastoreItem xmlns:ds="http://schemas.openxmlformats.org/officeDocument/2006/customXml" ds:itemID="{84B315E2-6B11-4313-A74D-FF762565FC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e1941-e971-4fcd-9647-5c92aa44abc0"/>
    <ds:schemaRef ds:uri="c5e887a9-3264-4a11-98fe-00f96354d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9D2A6F-9A8F-480D-8E1B-75CD837C781B}">
  <ds:schemaRefs>
    <ds:schemaRef ds:uri="http://schemas.microsoft.com/office/2006/metadata/properties"/>
    <ds:schemaRef ds:uri="http://schemas.microsoft.com/office/infopath/2007/PartnerControls"/>
    <ds:schemaRef ds:uri="fb1e1941-e971-4fcd-9647-5c92aa44abc0"/>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3554</Words>
  <Characters>20259</Characters>
  <Application>Microsoft Office Word</Application>
  <DocSecurity>0</DocSecurity>
  <Lines>168</Lines>
  <Paragraphs>47</Paragraphs>
  <ScaleCrop>false</ScaleCrop>
  <Company>Toshiba</Company>
  <LinksUpToDate>false</LinksUpToDate>
  <CharactersWithSpaces>23766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Villaruz, Darrell (DPH)</dc:creator>
  <cp:keywords/>
  <cp:lastModifiedBy>Marks, Brett (DPH)</cp:lastModifiedBy>
  <cp:revision>13</cp:revision>
  <cp:lastPrinted>2022-08-12T02:25:00Z</cp:lastPrinted>
  <dcterms:created xsi:type="dcterms:W3CDTF">2024-04-01T12:44:00Z</dcterms:created>
  <dcterms:modified xsi:type="dcterms:W3CDTF">2024-04-03T15:52:00Z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2018-11-07T00:00:00Z</vt:filetime>
  </property>
  <property fmtid="{D5CDD505-2E9C-101B-9397-08002B2CF9AE}" pid="3" name="Creator">
    <vt:lpwstr>Acrobat PDFMaker 15 for Word</vt:lpwstr>
  </property>
  <property fmtid="{D5CDD505-2E9C-101B-9397-08002B2CF9AE}" pid="4" name="LastSaved">
    <vt:filetime>2020-07-15T00:00:00Z</vt:filetime>
  </property>
  <property fmtid="{D5CDD505-2E9C-101B-9397-08002B2CF9AE}" pid="5" name="ContentTypeId">
    <vt:lpwstr>0x01010041FCC5F2C8880F45B59EA6BBBA4E1A66</vt:lpwstr>
  </property>
</Properties>
</file>