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0CD8" w:rsidRDefault="00EC32CB">
      <w:pPr>
        <w:jc w:val="center"/>
        <w:rPr>
          <w:b/>
          <w:sz w:val="24"/>
          <w:szCs w:val="24"/>
        </w:rPr>
      </w:pPr>
      <w:r>
        <w:rPr>
          <w:b/>
          <w:sz w:val="24"/>
          <w:szCs w:val="24"/>
        </w:rPr>
        <w:t>Memorandum to the Commissioner</w:t>
      </w:r>
    </w:p>
    <w:p w14:paraId="6CFE9178" w14:textId="77777777" w:rsidR="005917B5" w:rsidRPr="002931A9" w:rsidRDefault="00EC32CB" w:rsidP="005917B5">
      <w:pPr>
        <w:spacing w:after="0" w:line="240" w:lineRule="auto"/>
      </w:pPr>
      <w:r>
        <w:rPr>
          <w:b/>
        </w:rPr>
        <w:t>Applicant:</w:t>
      </w:r>
      <w:r>
        <w:t xml:space="preserve"> </w:t>
      </w:r>
      <w:r w:rsidR="005917B5" w:rsidRPr="002931A9">
        <w:t>Royal Norwell Nursing &amp; Rehabilitation Center, LLC</w:t>
      </w:r>
      <w:r w:rsidR="005917B5" w:rsidRPr="002931A9">
        <w:br/>
        <w:t>329 Washington Street</w:t>
      </w:r>
    </w:p>
    <w:p w14:paraId="7D1F893F" w14:textId="77777777" w:rsidR="005917B5" w:rsidRPr="002931A9" w:rsidRDefault="005917B5" w:rsidP="005917B5">
      <w:pPr>
        <w:spacing w:after="0" w:line="240" w:lineRule="auto"/>
      </w:pPr>
      <w:r w:rsidRPr="002931A9">
        <w:t xml:space="preserve">Norwell, MA 02061 </w:t>
      </w:r>
    </w:p>
    <w:p w14:paraId="00000003" w14:textId="3DE14261" w:rsidR="00350CD8" w:rsidRDefault="00350CD8">
      <w:pPr>
        <w:spacing w:after="0" w:line="240" w:lineRule="auto"/>
      </w:pPr>
    </w:p>
    <w:p w14:paraId="3A1B6185" w14:textId="77777777" w:rsidR="005917B5" w:rsidRDefault="00EC32CB" w:rsidP="005917B5">
      <w:pPr>
        <w:rPr>
          <w:b/>
        </w:rPr>
      </w:pPr>
      <w:r>
        <w:rPr>
          <w:b/>
        </w:rPr>
        <w:t xml:space="preserve">Project Number: </w:t>
      </w:r>
      <w:r w:rsidR="005917B5" w:rsidRPr="002931A9">
        <w:rPr>
          <w:rFonts w:ascii="Calibri-Bold" w:hAnsi="Calibri-Bold" w:cs="Calibri-Bold"/>
        </w:rPr>
        <w:t>22031611</w:t>
      </w:r>
      <w:r w:rsidR="005917B5" w:rsidRPr="002931A9">
        <w:t>-</w:t>
      </w:r>
      <w:r w:rsidR="005917B5" w:rsidRPr="002931A9">
        <w:rPr>
          <w:rFonts w:ascii="Calibri-Bold" w:hAnsi="Calibri-Bold" w:cs="Calibri-Bold"/>
        </w:rPr>
        <w:t>CL</w:t>
      </w:r>
      <w:r w:rsidR="005917B5">
        <w:rPr>
          <w:b/>
        </w:rPr>
        <w:t xml:space="preserve"> </w:t>
      </w:r>
    </w:p>
    <w:p w14:paraId="00000006" w14:textId="3FA2020B" w:rsidR="00350CD8" w:rsidRDefault="00EC32CB" w:rsidP="00785AB1">
      <w:pPr>
        <w:rPr>
          <w:b/>
          <w:u w:val="single"/>
        </w:rPr>
      </w:pPr>
      <w:r>
        <w:rPr>
          <w:b/>
        </w:rPr>
        <w:t xml:space="preserve">Filing Date: </w:t>
      </w:r>
      <w:r w:rsidR="00785AB1" w:rsidRPr="002931A9">
        <w:t>May 1</w:t>
      </w:r>
      <w:r w:rsidR="00785AB1">
        <w:t>8</w:t>
      </w:r>
      <w:r w:rsidR="00785AB1" w:rsidRPr="002931A9">
        <w:t>, 2022</w:t>
      </w:r>
    </w:p>
    <w:p w14:paraId="00000007" w14:textId="77777777" w:rsidR="00350CD8" w:rsidRDefault="00EC32CB">
      <w:pPr>
        <w:spacing w:after="120"/>
        <w:rPr>
          <w:b/>
          <w:u w:val="single"/>
        </w:rPr>
      </w:pPr>
      <w:r>
        <w:rPr>
          <w:b/>
          <w:u w:val="single"/>
        </w:rPr>
        <w:t xml:space="preserve">Introduction </w:t>
      </w:r>
    </w:p>
    <w:p w14:paraId="3F3FA3D2" w14:textId="1911A893" w:rsidR="00E5378B" w:rsidRDefault="00EC32CB">
      <w:pPr>
        <w:spacing w:line="240" w:lineRule="auto"/>
      </w:pPr>
      <w:r>
        <w:t>This memorandum presents, for Commissioner review and action, the Determination of Need (</w:t>
      </w:r>
      <w:proofErr w:type="spellStart"/>
      <w:r>
        <w:t>DoN</w:t>
      </w:r>
      <w:proofErr w:type="spellEnd"/>
      <w:r>
        <w:t xml:space="preserve">) Program’s recommendation regarding a request by </w:t>
      </w:r>
      <w:r w:rsidR="00785AB1" w:rsidRPr="00785AB1">
        <w:t xml:space="preserve">Royal Norwell Nursing &amp; Rehabilitation Center, </w:t>
      </w:r>
      <w:r w:rsidR="00A938CF" w:rsidRPr="00785AB1">
        <w:t>LLC, for</w:t>
      </w:r>
      <w:r w:rsidR="00933FEB">
        <w:t xml:space="preserve"> construction of an addition to the facility</w:t>
      </w:r>
      <w:r>
        <w:t xml:space="preserve">. </w:t>
      </w:r>
      <w:r w:rsidR="001A6308">
        <w:t>The Proposed Project includes</w:t>
      </w:r>
      <w:r w:rsidR="00933FEB">
        <w:t xml:space="preserve"> relocating eight (8) beds </w:t>
      </w:r>
      <w:r w:rsidR="00C977F5">
        <w:t xml:space="preserve">currently </w:t>
      </w:r>
      <w:r w:rsidR="00933FEB">
        <w:t>in three-bedded rooms within the facility by constructi</w:t>
      </w:r>
      <w:r w:rsidR="0040293F">
        <w:t>ng an</w:t>
      </w:r>
      <w:r w:rsidR="00A938CF">
        <w:t xml:space="preserve"> eight</w:t>
      </w:r>
      <w:r w:rsidR="007408B7">
        <w:t>-</w:t>
      </w:r>
      <w:r w:rsidR="00A938CF">
        <w:t>bed</w:t>
      </w:r>
      <w:r w:rsidR="0040293F">
        <w:t xml:space="preserve"> addition </w:t>
      </w:r>
      <w:r w:rsidR="001A6308">
        <w:t xml:space="preserve">designed to create the space necessary to de-densify </w:t>
      </w:r>
      <w:r w:rsidR="001A6308" w:rsidRPr="00785AB1">
        <w:t xml:space="preserve">resident rooms to come into compliance with Department of Public Health (DPH) de-densification licensure requirements for long-term care facilities set out in 105 CMR 150 (the “De-Densification Requirements”). </w:t>
      </w:r>
      <w:r w:rsidRPr="00785AB1">
        <w:t xml:space="preserve">The capital expenditure for the project is </w:t>
      </w:r>
      <w:r w:rsidR="00785AB1" w:rsidRPr="00785AB1">
        <w:t>$3,579,537.00</w:t>
      </w:r>
      <w:r w:rsidR="002729EE">
        <w:t xml:space="preserve"> (March 2022 dollars)</w:t>
      </w:r>
      <w:r w:rsidR="00785AB1" w:rsidRPr="00785AB1">
        <w:t xml:space="preserve">. </w:t>
      </w:r>
      <w:r w:rsidRPr="00785AB1">
        <w:t>The CHI commitment is</w:t>
      </w:r>
      <w:r w:rsidR="00785AB1" w:rsidRPr="00785AB1">
        <w:t xml:space="preserve"> $35,795.37</w:t>
      </w:r>
      <w:r w:rsidRPr="00785AB1">
        <w:t xml:space="preserve">. The Applicant is </w:t>
      </w:r>
      <w:r w:rsidR="00E5378B" w:rsidRPr="00E5378B">
        <w:t>a limited liability corporation that delivers health care and related services for elders and disabled persons in the Commonwealth of Massachusetts</w:t>
      </w:r>
      <w:r>
        <w:t xml:space="preserve">. </w:t>
      </w:r>
    </w:p>
    <w:p w14:paraId="20239896" w14:textId="281CC901" w:rsidR="001A6308" w:rsidRDefault="001A6308">
      <w:pPr>
        <w:spacing w:line="240" w:lineRule="auto"/>
      </w:pPr>
      <w:r w:rsidRPr="00A83AFE">
        <w:t>On April 28, 2021, DPH issued a memo</w:t>
      </w:r>
      <w:r>
        <w:rPr>
          <w:vertAlign w:val="superscript"/>
        </w:rPr>
        <w:footnoteReference w:id="1"/>
      </w:r>
      <w:r w:rsidRPr="00A83AFE">
        <w:t xml:space="preserve"> noting that construction or renovation at a long-term care facility that is planned solely to reduce the number of beds per room to come into compliance with the </w:t>
      </w:r>
      <w:r w:rsidR="00882418">
        <w:t>D</w:t>
      </w:r>
      <w:r w:rsidRPr="00A83AFE">
        <w:t xml:space="preserve">e-densification </w:t>
      </w:r>
      <w:r w:rsidR="00882418">
        <w:t>R</w:t>
      </w:r>
      <w:r w:rsidRPr="00A83AFE">
        <w:t xml:space="preserve">equirements set out in 105 CMR 150 are considered Conservation projects for the purposes of applying for a Notice of </w:t>
      </w:r>
      <w:proofErr w:type="spellStart"/>
      <w:r w:rsidRPr="00A83AFE">
        <w:t>DoN</w:t>
      </w:r>
      <w:proofErr w:type="spellEnd"/>
      <w:r w:rsidRPr="00A83AFE">
        <w:t>.</w:t>
      </w:r>
      <w:r>
        <w:t xml:space="preserve"> Conservation Projects are defined as “Construction that consists solely of a project(s) that would Sustain or Restore a Health Care Facility or service for its designated purpose, and to its original functionality, without Modernization, Addition, or Expansion.” The construction included in this Proposed Project is solely to enable the facility to come into compliance with the </w:t>
      </w:r>
      <w:r w:rsidR="003C6BEB">
        <w:t>D</w:t>
      </w:r>
      <w:r>
        <w:t xml:space="preserve">e-densification </w:t>
      </w:r>
      <w:r w:rsidR="003C6BEB">
        <w:t>R</w:t>
      </w:r>
      <w:r>
        <w:t>equirements and is therefore appropriately submitted as a Conservation Project. 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0000000A" w14:textId="77777777" w:rsidR="00350CD8" w:rsidRDefault="00EC32CB">
      <w:pPr>
        <w:rPr>
          <w:b/>
          <w:u w:val="single"/>
        </w:rPr>
      </w:pPr>
      <w:r>
        <w:rPr>
          <w:b/>
          <w:u w:val="single"/>
        </w:rPr>
        <w:t>Background</w:t>
      </w:r>
    </w:p>
    <w:p w14:paraId="0000000B" w14:textId="2E5C6D24" w:rsidR="00350CD8" w:rsidRPr="003924C0" w:rsidRDefault="00A938CF">
      <w:pPr>
        <w:spacing w:line="240" w:lineRule="auto"/>
      </w:pPr>
      <w:r w:rsidRPr="00785AB1">
        <w:t>Royal Norwell Nursing &amp; Rehabilitation Center, LLC,</w:t>
      </w:r>
      <w:r>
        <w:t xml:space="preserve"> </w:t>
      </w:r>
      <w:r w:rsidR="00EC32CB">
        <w:t>(Applicant) is a</w:t>
      </w:r>
      <w:r w:rsidRPr="00E5378B">
        <w:t xml:space="preserve"> limited liability corporation</w:t>
      </w:r>
      <w:r w:rsidR="001A6308" w:rsidRPr="00855BB2">
        <w:rPr>
          <w:color w:val="FF0000"/>
        </w:rPr>
        <w:t xml:space="preserve"> </w:t>
      </w:r>
      <w:r w:rsidR="00EC32CB">
        <w:t>located in</w:t>
      </w:r>
      <w:r>
        <w:t xml:space="preserve"> Norwell</w:t>
      </w:r>
      <w:r w:rsidR="00EC32CB">
        <w:t>, M</w:t>
      </w:r>
      <w:r>
        <w:t>A</w:t>
      </w:r>
      <w:r w:rsidR="00EC32CB">
        <w:t xml:space="preserve"> that owns and </w:t>
      </w:r>
      <w:r w:rsidR="00EC32CB" w:rsidRPr="003924C0">
        <w:t xml:space="preserve">operates </w:t>
      </w:r>
      <w:r w:rsidR="003924C0" w:rsidRPr="003924C0">
        <w:t>ten (10) skilled nursing facilities in Massachusetts and manages</w:t>
      </w:r>
      <w:r w:rsidR="000F47BB">
        <w:t xml:space="preserve"> one</w:t>
      </w:r>
      <w:r w:rsidR="003924C0" w:rsidRPr="003924C0">
        <w:t xml:space="preserve"> other facility</w:t>
      </w:r>
      <w:r w:rsidR="00EC32CB" w:rsidRPr="003924C0">
        <w:t>.</w:t>
      </w:r>
      <w:r w:rsidR="0025509E" w:rsidRPr="0025509E">
        <w:t xml:space="preserve"> The facility was purchased by the Royal Health Group in 2013</w:t>
      </w:r>
      <w:r w:rsidR="0025509E">
        <w:t>;</w:t>
      </w:r>
      <w:r w:rsidR="0025509E" w:rsidRPr="0025509E">
        <w:t xml:space="preserve"> </w:t>
      </w:r>
      <w:r w:rsidR="0025509E">
        <w:t>i</w:t>
      </w:r>
      <w:r w:rsidR="0025509E" w:rsidRPr="0025509E">
        <w:t>t was formerly known as Norwell Knoll.</w:t>
      </w:r>
      <w:r w:rsidR="0025509E">
        <w:t xml:space="preserve"> </w:t>
      </w:r>
      <w:r w:rsidR="00562F99">
        <w:t xml:space="preserve">The Applicant provides its services through the operation of its skilled nursing facilities </w:t>
      </w:r>
      <w:r w:rsidR="00562F99" w:rsidRPr="003924C0">
        <w:t>for elders and disabled persons who need skilled nursing care, long term care services, dementia-specific care, and rehabilitation</w:t>
      </w:r>
      <w:r w:rsidR="00562F99">
        <w:t xml:space="preserve">. </w:t>
      </w:r>
      <w:r w:rsidR="003924C0" w:rsidRPr="003924C0">
        <w:t xml:space="preserve">The Massachusetts-owned facilities are in Eastern and Southeastern Massachusetts and on Cape Cod. All the skilled nursing facilities are </w:t>
      </w:r>
      <w:proofErr w:type="gramStart"/>
      <w:r w:rsidR="003924C0" w:rsidRPr="003924C0">
        <w:t>dually-certified</w:t>
      </w:r>
      <w:proofErr w:type="gramEnd"/>
      <w:r w:rsidR="003924C0" w:rsidRPr="003924C0">
        <w:t xml:space="preserve"> by Medicaid and Medicare.</w:t>
      </w:r>
      <w:r w:rsidR="003924C0">
        <w:t xml:space="preserve"> </w:t>
      </w:r>
    </w:p>
    <w:p w14:paraId="06107A8E" w14:textId="44184037" w:rsidR="001C4771" w:rsidRDefault="00CB0B7E" w:rsidP="001B0B07">
      <w:pPr>
        <w:spacing w:line="240" w:lineRule="auto"/>
      </w:pPr>
      <w:r>
        <w:t xml:space="preserve">Royal </w:t>
      </w:r>
      <w:r w:rsidR="005F24F0">
        <w:t xml:space="preserve">Norwell </w:t>
      </w:r>
      <w:r>
        <w:t xml:space="preserve">has had a 90% occupancy rate over the past few years. </w:t>
      </w:r>
      <w:r w:rsidR="005F24F0">
        <w:t xml:space="preserve">The Applicant noted </w:t>
      </w:r>
      <w:r w:rsidR="008D20ED">
        <w:t>it has</w:t>
      </w:r>
      <w:r w:rsidR="005F24F0">
        <w:t xml:space="preserve"> had a 49% increase in admissions (161 to 240) between 2020 and 2021. </w:t>
      </w:r>
      <w:r>
        <w:t xml:space="preserve">The average length of stay (ALOS) for </w:t>
      </w:r>
      <w:r>
        <w:lastRenderedPageBreak/>
        <w:t xml:space="preserve">all residents discharged in 2021 was 111 days. ALOS ranged from 32 days for Medicare A patients to 515 days for Medicaid patients. </w:t>
      </w:r>
      <w:r w:rsidR="00E322AB">
        <w:t xml:space="preserve">In 2021, </w:t>
      </w:r>
      <w:proofErr w:type="gramStart"/>
      <w:r w:rsidR="00E322AB">
        <w:t>a</w:t>
      </w:r>
      <w:r>
        <w:t xml:space="preserve"> majority of</w:t>
      </w:r>
      <w:proofErr w:type="gramEnd"/>
      <w:r>
        <w:t xml:space="preserve"> the facility’s residents (76.8%) were covered by Medicaid</w:t>
      </w:r>
      <w:r w:rsidR="003E769B">
        <w:t>,</w:t>
      </w:r>
      <w:r>
        <w:rPr>
          <w:rStyle w:val="FootnoteReference"/>
        </w:rPr>
        <w:footnoteReference w:id="2"/>
      </w:r>
      <w:r w:rsidR="003E769B">
        <w:t xml:space="preserve"> 8.3% were private pay, </w:t>
      </w:r>
      <w:r>
        <w:t>8.0% managed care, 3.</w:t>
      </w:r>
      <w:r w:rsidR="003E769B">
        <w:t>1</w:t>
      </w:r>
      <w:r>
        <w:t>% Medicare Part A or Medicare Part A hospice, and 3.</w:t>
      </w:r>
      <w:r w:rsidR="003E769B">
        <w:t>8</w:t>
      </w:r>
      <w:r>
        <w:t xml:space="preserve">% </w:t>
      </w:r>
      <w:r w:rsidR="003E769B">
        <w:t xml:space="preserve">were </w:t>
      </w:r>
      <w:r>
        <w:t>paid for by the PACE program or hospice private.</w:t>
      </w:r>
      <w:r w:rsidR="003E769B">
        <w:t xml:space="preserve"> Royal Norwell</w:t>
      </w:r>
      <w:r w:rsidR="008D20ED">
        <w:t>’s</w:t>
      </w:r>
      <w:r w:rsidR="003E769B">
        <w:t xml:space="preserve"> return home rate is above the national average,</w:t>
      </w:r>
      <w:r w:rsidR="00A47B9B">
        <w:t xml:space="preserve"> 73.6% and 52.9, respectively,</w:t>
      </w:r>
      <w:r w:rsidR="003E769B">
        <w:t xml:space="preserve"> which the Applicant states it reflects its strong post-acute, rehabilitative services.</w:t>
      </w:r>
      <w:r w:rsidR="00A47B9B">
        <w:t xml:space="preserve"> </w:t>
      </w:r>
      <w:r w:rsidR="00BA0139">
        <w:t xml:space="preserve">The facility, a 27,701 square foot, is comprised of two nursing units. In 1994, the East Wing, a 12 bed, </w:t>
      </w:r>
      <w:r w:rsidR="00BA0139" w:rsidRPr="00A44885">
        <w:t>short-term, sub-acute transitional care unit</w:t>
      </w:r>
      <w:r w:rsidR="00BA0139">
        <w:t xml:space="preserve"> was built. </w:t>
      </w:r>
    </w:p>
    <w:p w14:paraId="16A7EBEE" w14:textId="73DE592A" w:rsidR="006B276A" w:rsidRPr="001C4771" w:rsidRDefault="001C4771" w:rsidP="001C4771">
      <w:pPr>
        <w:spacing w:after="0" w:line="240" w:lineRule="auto"/>
      </w:pPr>
      <w:r>
        <w:t>The Applicant’s</w:t>
      </w:r>
      <w:r w:rsidRPr="00855BB2">
        <w:t xml:space="preserve"> facility </w:t>
      </w:r>
      <w:r w:rsidRPr="0025509E">
        <w:t xml:space="preserve">is an 86-bed, 3-unit </w:t>
      </w:r>
      <w:r w:rsidRPr="001C4771">
        <w:t xml:space="preserve">skilled nursing and rehabilitation center and provides both short-term, sub-acute transitional care (TCU) and long-term care services. </w:t>
      </w:r>
      <w:r w:rsidR="006B276A" w:rsidRPr="001C4771">
        <w:t xml:space="preserve">The configuration for licensed beds is </w:t>
      </w:r>
      <w:r w:rsidR="00A26CEB">
        <w:t>presented in Table 1 below.</w:t>
      </w:r>
    </w:p>
    <w:p w14:paraId="3966BB25" w14:textId="38AAEB51" w:rsidR="006B276A" w:rsidRDefault="006B276A" w:rsidP="00CE0C1D">
      <w:pPr>
        <w:spacing w:after="0" w:line="240" w:lineRule="auto"/>
      </w:pPr>
    </w:p>
    <w:p w14:paraId="31F18345" w14:textId="396E68BE" w:rsidR="00A26CEB" w:rsidRDefault="00A26CEB" w:rsidP="00A26CEB">
      <w:pPr>
        <w:spacing w:line="240" w:lineRule="auto"/>
        <w:jc w:val="center"/>
      </w:pPr>
      <w:r>
        <w:t xml:space="preserve">Table 1: </w:t>
      </w:r>
      <w:r w:rsidR="00DA267E" w:rsidRPr="00785AB1">
        <w:t>Royal Norwell Nursing &amp; Rehabilitation Center</w:t>
      </w:r>
      <w:r w:rsidR="00DA267E">
        <w:t xml:space="preserve"> </w:t>
      </w:r>
      <w:r>
        <w:t>Current Bed Configuration</w:t>
      </w:r>
    </w:p>
    <w:tbl>
      <w:tblPr>
        <w:tblStyle w:val="TableGrid"/>
        <w:tblW w:w="0" w:type="auto"/>
        <w:tblLook w:val="04A0" w:firstRow="1" w:lastRow="0" w:firstColumn="1" w:lastColumn="0" w:noHBand="0" w:noVBand="1"/>
      </w:tblPr>
      <w:tblGrid>
        <w:gridCol w:w="1870"/>
        <w:gridCol w:w="1870"/>
        <w:gridCol w:w="1870"/>
        <w:gridCol w:w="1870"/>
        <w:gridCol w:w="1870"/>
      </w:tblGrid>
      <w:tr w:rsidR="00DF001D" w14:paraId="4858133A" w14:textId="77777777" w:rsidTr="00867B77">
        <w:trPr>
          <w:cantSplit/>
          <w:tblHeader/>
        </w:trPr>
        <w:tc>
          <w:tcPr>
            <w:tcW w:w="9350" w:type="dxa"/>
            <w:gridSpan w:val="5"/>
            <w:shd w:val="clear" w:color="auto" w:fill="D9D9D9" w:themeFill="background1" w:themeFillShade="D9"/>
          </w:tcPr>
          <w:p w14:paraId="0DA9DB8B" w14:textId="209B51EC" w:rsidR="00DF001D" w:rsidRDefault="00DF001D" w:rsidP="00A26CEB">
            <w:pPr>
              <w:jc w:val="center"/>
            </w:pPr>
            <w:r>
              <w:rPr>
                <w:rFonts w:asciiTheme="majorHAnsi" w:hAnsiTheme="majorHAnsi" w:cstheme="majorHAnsi"/>
                <w:color w:val="231F20"/>
              </w:rPr>
              <w:t>Current</w:t>
            </w:r>
            <w:r>
              <w:rPr>
                <w:rFonts w:asciiTheme="majorHAnsi" w:hAnsiTheme="majorHAnsi" w:cstheme="majorHAnsi"/>
                <w:color w:val="231F20"/>
                <w:spacing w:val="-2"/>
              </w:rPr>
              <w:t xml:space="preserve"> </w:t>
            </w:r>
            <w:r>
              <w:rPr>
                <w:rFonts w:asciiTheme="majorHAnsi" w:hAnsiTheme="majorHAnsi" w:cstheme="majorHAnsi"/>
                <w:color w:val="231F20"/>
              </w:rPr>
              <w:t>Facility</w:t>
            </w:r>
            <w:r>
              <w:rPr>
                <w:rFonts w:asciiTheme="majorHAnsi" w:hAnsiTheme="majorHAnsi" w:cstheme="majorHAnsi"/>
                <w:color w:val="231F20"/>
                <w:spacing w:val="-6"/>
              </w:rPr>
              <w:t xml:space="preserve"> </w:t>
            </w:r>
            <w:r>
              <w:rPr>
                <w:rFonts w:asciiTheme="majorHAnsi" w:hAnsiTheme="majorHAnsi" w:cstheme="majorHAnsi"/>
                <w:color w:val="231F20"/>
              </w:rPr>
              <w:t>Bedroom</w:t>
            </w:r>
            <w:r>
              <w:rPr>
                <w:rFonts w:asciiTheme="majorHAnsi" w:hAnsiTheme="majorHAnsi" w:cstheme="majorHAnsi"/>
                <w:color w:val="231F20"/>
                <w:spacing w:val="-6"/>
              </w:rPr>
              <w:t xml:space="preserve"> </w:t>
            </w:r>
            <w:r>
              <w:rPr>
                <w:rFonts w:asciiTheme="majorHAnsi" w:hAnsiTheme="majorHAnsi" w:cstheme="majorHAnsi"/>
                <w:color w:val="231F20"/>
                <w:spacing w:val="-2"/>
              </w:rPr>
              <w:t>Configuration</w:t>
            </w:r>
          </w:p>
        </w:tc>
      </w:tr>
      <w:tr w:rsidR="00DF001D" w14:paraId="23B35F0B" w14:textId="77777777" w:rsidTr="00867B77">
        <w:trPr>
          <w:cantSplit/>
          <w:tblHeader/>
        </w:trPr>
        <w:tc>
          <w:tcPr>
            <w:tcW w:w="1870" w:type="dxa"/>
            <w:shd w:val="clear" w:color="auto" w:fill="DBE5F1" w:themeFill="accent1" w:themeFillTint="33"/>
          </w:tcPr>
          <w:p w14:paraId="75E66698" w14:textId="1A9BE6F9" w:rsidR="00DF001D" w:rsidRPr="00C0538A" w:rsidRDefault="00DF001D" w:rsidP="00DF001D">
            <w:pPr>
              <w:jc w:val="center"/>
              <w:rPr>
                <w:b/>
                <w:bCs/>
              </w:rPr>
            </w:pPr>
            <w:r w:rsidRPr="00C0538A">
              <w:rPr>
                <w:rFonts w:asciiTheme="majorHAnsi" w:hAnsiTheme="majorHAnsi" w:cstheme="majorHAnsi"/>
                <w:b/>
                <w:bCs/>
              </w:rPr>
              <w:t>Unit</w:t>
            </w:r>
          </w:p>
        </w:tc>
        <w:tc>
          <w:tcPr>
            <w:tcW w:w="1870" w:type="dxa"/>
            <w:shd w:val="clear" w:color="auto" w:fill="DBE5F1" w:themeFill="accent1" w:themeFillTint="33"/>
          </w:tcPr>
          <w:p w14:paraId="22FABCD9" w14:textId="69F8A39D" w:rsidR="00DF001D" w:rsidRPr="00C0538A" w:rsidRDefault="00DF001D" w:rsidP="00DF001D">
            <w:pPr>
              <w:jc w:val="center"/>
              <w:rPr>
                <w:b/>
                <w:bCs/>
              </w:rPr>
            </w:pPr>
            <w:r w:rsidRPr="00C0538A">
              <w:rPr>
                <w:rFonts w:asciiTheme="majorHAnsi" w:hAnsiTheme="majorHAnsi" w:cstheme="majorHAnsi"/>
                <w:b/>
                <w:bCs/>
                <w:color w:val="231F20"/>
                <w:spacing w:val="-2"/>
              </w:rPr>
              <w:t>Private</w:t>
            </w:r>
          </w:p>
        </w:tc>
        <w:tc>
          <w:tcPr>
            <w:tcW w:w="1870" w:type="dxa"/>
            <w:shd w:val="clear" w:color="auto" w:fill="DBE5F1" w:themeFill="accent1" w:themeFillTint="33"/>
          </w:tcPr>
          <w:p w14:paraId="082B8C67" w14:textId="02A9B0FB" w:rsidR="00DF001D" w:rsidRPr="00C0538A" w:rsidRDefault="00DF001D" w:rsidP="00DF001D">
            <w:pPr>
              <w:jc w:val="center"/>
              <w:rPr>
                <w:b/>
                <w:bCs/>
              </w:rPr>
            </w:pPr>
            <w:r w:rsidRPr="00C0538A">
              <w:rPr>
                <w:rFonts w:asciiTheme="majorHAnsi" w:hAnsiTheme="majorHAnsi" w:cstheme="majorHAnsi"/>
                <w:b/>
                <w:bCs/>
                <w:color w:val="231F20"/>
                <w:spacing w:val="-2"/>
              </w:rPr>
              <w:t>Two-bedded</w:t>
            </w:r>
          </w:p>
        </w:tc>
        <w:tc>
          <w:tcPr>
            <w:tcW w:w="1870" w:type="dxa"/>
            <w:shd w:val="clear" w:color="auto" w:fill="DBE5F1" w:themeFill="accent1" w:themeFillTint="33"/>
          </w:tcPr>
          <w:p w14:paraId="09B60E68" w14:textId="42F732B9" w:rsidR="00DF001D" w:rsidRPr="00C0538A" w:rsidRDefault="00DF001D" w:rsidP="00DF001D">
            <w:pPr>
              <w:jc w:val="center"/>
              <w:rPr>
                <w:b/>
                <w:bCs/>
              </w:rPr>
            </w:pPr>
            <w:r w:rsidRPr="00C0538A">
              <w:rPr>
                <w:rFonts w:asciiTheme="majorHAnsi" w:hAnsiTheme="majorHAnsi" w:cstheme="majorHAnsi"/>
                <w:b/>
                <w:bCs/>
                <w:color w:val="231F20"/>
                <w:spacing w:val="-2"/>
              </w:rPr>
              <w:t>Three-bedded</w:t>
            </w:r>
          </w:p>
        </w:tc>
        <w:tc>
          <w:tcPr>
            <w:tcW w:w="1870" w:type="dxa"/>
            <w:shd w:val="clear" w:color="auto" w:fill="DBE5F1" w:themeFill="accent1" w:themeFillTint="33"/>
          </w:tcPr>
          <w:p w14:paraId="28536E18" w14:textId="7C7EFB4F" w:rsidR="00DF001D" w:rsidRPr="00C0538A" w:rsidRDefault="00DF001D" w:rsidP="00DF001D">
            <w:pPr>
              <w:jc w:val="center"/>
              <w:rPr>
                <w:b/>
                <w:bCs/>
              </w:rPr>
            </w:pPr>
            <w:r w:rsidRPr="00C0538A">
              <w:rPr>
                <w:b/>
                <w:bCs/>
              </w:rPr>
              <w:t>Total Beds</w:t>
            </w:r>
          </w:p>
        </w:tc>
      </w:tr>
      <w:tr w:rsidR="00DF001D" w14:paraId="244C1AAC" w14:textId="77777777" w:rsidTr="00867B77">
        <w:trPr>
          <w:cantSplit/>
        </w:trPr>
        <w:tc>
          <w:tcPr>
            <w:tcW w:w="1870" w:type="dxa"/>
          </w:tcPr>
          <w:p w14:paraId="3351F80C" w14:textId="330E25B9" w:rsidR="00DF001D" w:rsidRPr="00C0538A" w:rsidRDefault="00DF001D" w:rsidP="00DF001D">
            <w:pPr>
              <w:jc w:val="center"/>
              <w:rPr>
                <w:b/>
                <w:bCs/>
              </w:rPr>
            </w:pPr>
            <w:r w:rsidRPr="00C0538A">
              <w:rPr>
                <w:rFonts w:asciiTheme="majorHAnsi" w:hAnsiTheme="majorHAnsi" w:cstheme="majorHAnsi"/>
                <w:b/>
                <w:bCs/>
              </w:rPr>
              <w:t>East Wing</w:t>
            </w:r>
          </w:p>
        </w:tc>
        <w:tc>
          <w:tcPr>
            <w:tcW w:w="1870" w:type="dxa"/>
          </w:tcPr>
          <w:p w14:paraId="6AA5B009" w14:textId="519A92CC" w:rsidR="00DF001D" w:rsidRDefault="00DF001D" w:rsidP="00DF001D">
            <w:pPr>
              <w:jc w:val="right"/>
            </w:pPr>
            <w:r>
              <w:t>12</w:t>
            </w:r>
          </w:p>
        </w:tc>
        <w:tc>
          <w:tcPr>
            <w:tcW w:w="1870" w:type="dxa"/>
          </w:tcPr>
          <w:p w14:paraId="715F34A4" w14:textId="31FE6A7D" w:rsidR="00DF001D" w:rsidRDefault="00DF001D" w:rsidP="00DF001D">
            <w:pPr>
              <w:jc w:val="right"/>
            </w:pPr>
            <w:r>
              <w:t>0</w:t>
            </w:r>
          </w:p>
        </w:tc>
        <w:tc>
          <w:tcPr>
            <w:tcW w:w="1870" w:type="dxa"/>
          </w:tcPr>
          <w:p w14:paraId="6C735C94" w14:textId="0847FC34" w:rsidR="00DF001D" w:rsidRDefault="00DF001D" w:rsidP="00DF001D">
            <w:pPr>
              <w:jc w:val="right"/>
            </w:pPr>
            <w:r>
              <w:t>0</w:t>
            </w:r>
          </w:p>
        </w:tc>
        <w:tc>
          <w:tcPr>
            <w:tcW w:w="1870" w:type="dxa"/>
          </w:tcPr>
          <w:p w14:paraId="20B39447" w14:textId="270DBB99" w:rsidR="00DF001D" w:rsidRDefault="00DF001D" w:rsidP="00DF001D">
            <w:pPr>
              <w:jc w:val="right"/>
            </w:pPr>
            <w:r>
              <w:t>12</w:t>
            </w:r>
          </w:p>
        </w:tc>
      </w:tr>
      <w:tr w:rsidR="00DF001D" w14:paraId="5B9CC0BF" w14:textId="77777777" w:rsidTr="00867B77">
        <w:trPr>
          <w:cantSplit/>
        </w:trPr>
        <w:tc>
          <w:tcPr>
            <w:tcW w:w="1870" w:type="dxa"/>
            <w:tcBorders>
              <w:bottom w:val="single" w:sz="4" w:space="0" w:color="auto"/>
            </w:tcBorders>
          </w:tcPr>
          <w:p w14:paraId="16A7F8C7" w14:textId="40C9FB81" w:rsidR="00DF001D" w:rsidRPr="00C0538A" w:rsidRDefault="00DF001D" w:rsidP="00DF001D">
            <w:pPr>
              <w:jc w:val="center"/>
              <w:rPr>
                <w:b/>
                <w:bCs/>
              </w:rPr>
            </w:pPr>
            <w:r w:rsidRPr="00C0538A">
              <w:rPr>
                <w:rFonts w:asciiTheme="majorHAnsi" w:hAnsiTheme="majorHAnsi" w:cstheme="majorHAnsi"/>
                <w:b/>
                <w:bCs/>
              </w:rPr>
              <w:t>North Wing</w:t>
            </w:r>
          </w:p>
        </w:tc>
        <w:tc>
          <w:tcPr>
            <w:tcW w:w="1870" w:type="dxa"/>
            <w:tcBorders>
              <w:bottom w:val="single" w:sz="4" w:space="0" w:color="auto"/>
            </w:tcBorders>
          </w:tcPr>
          <w:p w14:paraId="44FF97ED" w14:textId="6E782207" w:rsidR="00DF001D" w:rsidRDefault="00DF001D" w:rsidP="00DF001D">
            <w:pPr>
              <w:jc w:val="right"/>
            </w:pPr>
            <w:r>
              <w:t>1</w:t>
            </w:r>
          </w:p>
        </w:tc>
        <w:tc>
          <w:tcPr>
            <w:tcW w:w="1870" w:type="dxa"/>
            <w:tcBorders>
              <w:bottom w:val="single" w:sz="4" w:space="0" w:color="auto"/>
            </w:tcBorders>
          </w:tcPr>
          <w:p w14:paraId="1C742A54" w14:textId="13AE531A" w:rsidR="00DF001D" w:rsidRDefault="00DF001D" w:rsidP="00DF001D">
            <w:pPr>
              <w:jc w:val="right"/>
            </w:pPr>
            <w:r>
              <w:t>9</w:t>
            </w:r>
          </w:p>
        </w:tc>
        <w:tc>
          <w:tcPr>
            <w:tcW w:w="1870" w:type="dxa"/>
            <w:tcBorders>
              <w:bottom w:val="single" w:sz="4" w:space="0" w:color="auto"/>
            </w:tcBorders>
          </w:tcPr>
          <w:p w14:paraId="2F889A14" w14:textId="2FE0FA43" w:rsidR="00DF001D" w:rsidRDefault="00DF001D" w:rsidP="00DF001D">
            <w:pPr>
              <w:jc w:val="right"/>
            </w:pPr>
            <w:r>
              <w:t>7</w:t>
            </w:r>
          </w:p>
        </w:tc>
        <w:tc>
          <w:tcPr>
            <w:tcW w:w="1870" w:type="dxa"/>
            <w:tcBorders>
              <w:bottom w:val="single" w:sz="4" w:space="0" w:color="auto"/>
            </w:tcBorders>
          </w:tcPr>
          <w:p w14:paraId="268BC8A2" w14:textId="13BA55BE" w:rsidR="00DF001D" w:rsidRDefault="00DF001D" w:rsidP="00DF001D">
            <w:pPr>
              <w:jc w:val="right"/>
            </w:pPr>
            <w:r>
              <w:t>40</w:t>
            </w:r>
          </w:p>
        </w:tc>
      </w:tr>
      <w:tr w:rsidR="00DF001D" w14:paraId="5A92C107" w14:textId="77777777" w:rsidTr="00867B77">
        <w:trPr>
          <w:cantSplit/>
        </w:trPr>
        <w:tc>
          <w:tcPr>
            <w:tcW w:w="1870" w:type="dxa"/>
            <w:tcBorders>
              <w:bottom w:val="single" w:sz="4" w:space="0" w:color="auto"/>
            </w:tcBorders>
          </w:tcPr>
          <w:p w14:paraId="279B4DAF" w14:textId="1FC260C7" w:rsidR="00DF001D" w:rsidRPr="00C0538A" w:rsidRDefault="00DF001D" w:rsidP="00DF001D">
            <w:pPr>
              <w:jc w:val="center"/>
              <w:rPr>
                <w:b/>
                <w:bCs/>
              </w:rPr>
            </w:pPr>
            <w:r w:rsidRPr="00C0538A">
              <w:rPr>
                <w:rFonts w:asciiTheme="majorHAnsi" w:hAnsiTheme="majorHAnsi" w:cstheme="majorHAnsi"/>
                <w:b/>
                <w:bCs/>
              </w:rPr>
              <w:t>South Wing</w:t>
            </w:r>
          </w:p>
        </w:tc>
        <w:tc>
          <w:tcPr>
            <w:tcW w:w="1870" w:type="dxa"/>
            <w:tcBorders>
              <w:bottom w:val="single" w:sz="4" w:space="0" w:color="auto"/>
            </w:tcBorders>
          </w:tcPr>
          <w:p w14:paraId="0BFFF471" w14:textId="03229DF6" w:rsidR="00DF001D" w:rsidRDefault="00DF001D" w:rsidP="00DF001D">
            <w:pPr>
              <w:jc w:val="right"/>
            </w:pPr>
            <w:r>
              <w:t>1</w:t>
            </w:r>
          </w:p>
        </w:tc>
        <w:tc>
          <w:tcPr>
            <w:tcW w:w="1870" w:type="dxa"/>
            <w:tcBorders>
              <w:bottom w:val="single" w:sz="4" w:space="0" w:color="auto"/>
            </w:tcBorders>
          </w:tcPr>
          <w:p w14:paraId="75513990" w14:textId="56FB4EE1" w:rsidR="00DF001D" w:rsidRDefault="00DF001D" w:rsidP="00DF001D">
            <w:pPr>
              <w:jc w:val="right"/>
            </w:pPr>
            <w:r>
              <w:t>15</w:t>
            </w:r>
          </w:p>
        </w:tc>
        <w:tc>
          <w:tcPr>
            <w:tcW w:w="1870" w:type="dxa"/>
            <w:tcBorders>
              <w:bottom w:val="single" w:sz="4" w:space="0" w:color="auto"/>
            </w:tcBorders>
          </w:tcPr>
          <w:p w14:paraId="481A3117" w14:textId="0C61EC2F" w:rsidR="00DF001D" w:rsidRDefault="00DF001D" w:rsidP="00DF001D">
            <w:pPr>
              <w:jc w:val="right"/>
            </w:pPr>
            <w:r>
              <w:t>1</w:t>
            </w:r>
          </w:p>
        </w:tc>
        <w:tc>
          <w:tcPr>
            <w:tcW w:w="1870" w:type="dxa"/>
            <w:tcBorders>
              <w:bottom w:val="single" w:sz="4" w:space="0" w:color="auto"/>
            </w:tcBorders>
          </w:tcPr>
          <w:p w14:paraId="2FDA08DD" w14:textId="7B2986BB" w:rsidR="00DF001D" w:rsidRDefault="00DF001D" w:rsidP="00DF001D">
            <w:pPr>
              <w:jc w:val="right"/>
            </w:pPr>
            <w:r>
              <w:t>34</w:t>
            </w:r>
          </w:p>
        </w:tc>
      </w:tr>
      <w:tr w:rsidR="00F42379" w14:paraId="73F6C79A" w14:textId="77777777" w:rsidTr="00867B77">
        <w:trPr>
          <w:cantSplit/>
        </w:trPr>
        <w:tc>
          <w:tcPr>
            <w:tcW w:w="1870" w:type="dxa"/>
            <w:tcBorders>
              <w:top w:val="single" w:sz="4" w:space="0" w:color="auto"/>
              <w:left w:val="nil"/>
              <w:bottom w:val="nil"/>
              <w:right w:val="nil"/>
            </w:tcBorders>
          </w:tcPr>
          <w:p w14:paraId="1A3959E9" w14:textId="77777777" w:rsidR="00F42379" w:rsidRDefault="00F42379" w:rsidP="00DF001D">
            <w:pPr>
              <w:jc w:val="center"/>
              <w:rPr>
                <w:rFonts w:asciiTheme="majorHAnsi" w:hAnsiTheme="majorHAnsi" w:cstheme="majorHAnsi"/>
              </w:rPr>
            </w:pPr>
          </w:p>
        </w:tc>
        <w:tc>
          <w:tcPr>
            <w:tcW w:w="1870" w:type="dxa"/>
            <w:tcBorders>
              <w:top w:val="single" w:sz="4" w:space="0" w:color="auto"/>
              <w:left w:val="nil"/>
              <w:bottom w:val="nil"/>
              <w:right w:val="nil"/>
            </w:tcBorders>
          </w:tcPr>
          <w:p w14:paraId="253B1118" w14:textId="77777777" w:rsidR="00F42379" w:rsidRDefault="00F42379" w:rsidP="00DF001D">
            <w:pPr>
              <w:jc w:val="right"/>
            </w:pPr>
          </w:p>
        </w:tc>
        <w:tc>
          <w:tcPr>
            <w:tcW w:w="1870" w:type="dxa"/>
            <w:tcBorders>
              <w:top w:val="single" w:sz="4" w:space="0" w:color="auto"/>
              <w:left w:val="nil"/>
              <w:bottom w:val="nil"/>
              <w:right w:val="nil"/>
            </w:tcBorders>
          </w:tcPr>
          <w:p w14:paraId="660B8A34" w14:textId="77777777" w:rsidR="00F42379" w:rsidRDefault="00F42379" w:rsidP="00DF001D">
            <w:pPr>
              <w:jc w:val="right"/>
            </w:pPr>
          </w:p>
        </w:tc>
        <w:tc>
          <w:tcPr>
            <w:tcW w:w="1870" w:type="dxa"/>
            <w:tcBorders>
              <w:top w:val="single" w:sz="4" w:space="0" w:color="auto"/>
              <w:left w:val="nil"/>
              <w:bottom w:val="nil"/>
              <w:right w:val="single" w:sz="4" w:space="0" w:color="auto"/>
            </w:tcBorders>
          </w:tcPr>
          <w:p w14:paraId="63C1C77A" w14:textId="77777777" w:rsidR="00F42379" w:rsidRDefault="00F42379" w:rsidP="00DF001D">
            <w:pPr>
              <w:jc w:val="right"/>
            </w:pPr>
          </w:p>
        </w:tc>
        <w:tc>
          <w:tcPr>
            <w:tcW w:w="1870" w:type="dxa"/>
            <w:tcBorders>
              <w:top w:val="single" w:sz="4" w:space="0" w:color="auto"/>
              <w:left w:val="single" w:sz="4" w:space="0" w:color="auto"/>
            </w:tcBorders>
          </w:tcPr>
          <w:p w14:paraId="1C0E8451" w14:textId="038C3191" w:rsidR="00F42379" w:rsidRPr="00435AEC" w:rsidRDefault="00435AEC" w:rsidP="00DF001D">
            <w:pPr>
              <w:jc w:val="right"/>
              <w:rPr>
                <w:b/>
                <w:bCs/>
              </w:rPr>
            </w:pPr>
            <w:r w:rsidRPr="00435AEC">
              <w:rPr>
                <w:b/>
                <w:bCs/>
              </w:rPr>
              <w:t>86</w:t>
            </w:r>
          </w:p>
        </w:tc>
      </w:tr>
    </w:tbl>
    <w:p w14:paraId="7BD9552B" w14:textId="77777777" w:rsidR="00A26CEB" w:rsidRDefault="00A26CEB" w:rsidP="00CE0C1D">
      <w:pPr>
        <w:spacing w:after="0" w:line="240" w:lineRule="auto"/>
      </w:pPr>
    </w:p>
    <w:p w14:paraId="0000000F" w14:textId="5664C542" w:rsidR="00350CD8" w:rsidRDefault="00EC32CB">
      <w:pPr>
        <w:spacing w:after="0"/>
      </w:pPr>
      <w:r>
        <w:rPr>
          <w:b/>
        </w:rPr>
        <w:t>The Proposed Project</w:t>
      </w:r>
      <w:r>
        <w:t xml:space="preserve"> </w:t>
      </w:r>
    </w:p>
    <w:p w14:paraId="00000010" w14:textId="0F87F333" w:rsidR="00350CD8" w:rsidRDefault="00EC32CB" w:rsidP="00935539">
      <w:pPr>
        <w:spacing w:after="0" w:line="240" w:lineRule="auto"/>
      </w:pPr>
      <w:r>
        <w:t xml:space="preserve">Through the Proposed Project, the Applicant aims to </w:t>
      </w:r>
      <w:r w:rsidR="004A6C5D">
        <w:t>come into compliance with the De-Densification Requirements limiting nursing facilities to no more than two beds and updates spacing/square footage room requirements</w:t>
      </w:r>
      <w:r>
        <w:t>. The Applicant states that</w:t>
      </w:r>
      <w:r w:rsidR="006F4271">
        <w:t xml:space="preserve"> this would reduce its 86 licensed beds by eight (8) beds to 78 beds, </w:t>
      </w:r>
      <w:r w:rsidR="00C37503">
        <w:t xml:space="preserve">thus, </w:t>
      </w:r>
      <w:r w:rsidR="006F4271">
        <w:t>the Applicant proposes to de-densify the eight</w:t>
      </w:r>
      <w:r w:rsidR="00EB77EB">
        <w:t xml:space="preserve"> (8)</w:t>
      </w:r>
      <w:r w:rsidR="006F4271">
        <w:t xml:space="preserve"> beds in three-bedded rooms within the facility</w:t>
      </w:r>
      <w:r w:rsidR="00EB77EB">
        <w:t xml:space="preserve"> (seven (7) in the North Wing and one (1) in South Wing)</w:t>
      </w:r>
      <w:r w:rsidR="006F4271">
        <w:t xml:space="preserve">. </w:t>
      </w:r>
      <w:r w:rsidR="00E268E0">
        <w:t xml:space="preserve">The Applicant states that the Proposed Project will bring the facility into compliance with </w:t>
      </w:r>
      <w:r w:rsidR="00882418">
        <w:t>D</w:t>
      </w:r>
      <w:r w:rsidR="00E268E0">
        <w:t xml:space="preserve">e-densification </w:t>
      </w:r>
      <w:r w:rsidR="00882418">
        <w:t>R</w:t>
      </w:r>
      <w:r w:rsidR="00E268E0">
        <w:t>equirements and maintain all 86 licensed beds.</w:t>
      </w:r>
    </w:p>
    <w:p w14:paraId="1CA72057" w14:textId="555564D8" w:rsidR="00935539" w:rsidRDefault="00935539" w:rsidP="00935539">
      <w:pPr>
        <w:spacing w:after="0" w:line="240" w:lineRule="auto"/>
      </w:pPr>
    </w:p>
    <w:p w14:paraId="66DD877E" w14:textId="075E57A4" w:rsidR="00827FB7" w:rsidRDefault="00827FB7" w:rsidP="00B631B5">
      <w:pPr>
        <w:spacing w:after="0"/>
      </w:pPr>
      <w:r>
        <w:t xml:space="preserve">The Facility proposes to accomplish this through the following: </w:t>
      </w:r>
    </w:p>
    <w:p w14:paraId="4954D0AC" w14:textId="4E8776F6" w:rsidR="00E268E0" w:rsidRDefault="00B631B5" w:rsidP="00E268E0">
      <w:pPr>
        <w:pStyle w:val="ListParagraph"/>
        <w:numPr>
          <w:ilvl w:val="0"/>
          <w:numId w:val="6"/>
        </w:numPr>
        <w:rPr>
          <w:rFonts w:asciiTheme="majorHAnsi" w:hAnsiTheme="majorHAnsi" w:cstheme="majorHAnsi"/>
        </w:rPr>
      </w:pPr>
      <w:r>
        <w:rPr>
          <w:rFonts w:asciiTheme="majorHAnsi" w:hAnsiTheme="majorHAnsi" w:cstheme="majorHAnsi"/>
        </w:rPr>
        <w:t>r</w:t>
      </w:r>
      <w:r w:rsidR="00E268E0" w:rsidRPr="00E268E0">
        <w:rPr>
          <w:rFonts w:asciiTheme="majorHAnsi" w:hAnsiTheme="majorHAnsi" w:cstheme="majorHAnsi"/>
        </w:rPr>
        <w:t>elocate</w:t>
      </w:r>
      <w:r w:rsidR="00E268E0">
        <w:rPr>
          <w:rFonts w:asciiTheme="majorHAnsi" w:hAnsiTheme="majorHAnsi" w:cstheme="majorHAnsi"/>
        </w:rPr>
        <w:t xml:space="preserve"> the eight (8) beds to a constructed eight bed, 2,527 square foot addition off the East </w:t>
      </w:r>
      <w:proofErr w:type="gramStart"/>
      <w:r w:rsidR="00E268E0">
        <w:rPr>
          <w:rFonts w:asciiTheme="majorHAnsi" w:hAnsiTheme="majorHAnsi" w:cstheme="majorHAnsi"/>
        </w:rPr>
        <w:t>Wing</w:t>
      </w:r>
      <w:r w:rsidR="006B276A">
        <w:rPr>
          <w:rFonts w:asciiTheme="majorHAnsi" w:hAnsiTheme="majorHAnsi" w:cstheme="majorHAnsi"/>
        </w:rPr>
        <w:t>;</w:t>
      </w:r>
      <w:proofErr w:type="gramEnd"/>
    </w:p>
    <w:p w14:paraId="0C741978" w14:textId="311716CB" w:rsidR="00E268E0" w:rsidRDefault="00B631B5" w:rsidP="00E268E0">
      <w:pPr>
        <w:pStyle w:val="ListParagraph"/>
        <w:numPr>
          <w:ilvl w:val="0"/>
          <w:numId w:val="6"/>
        </w:numPr>
        <w:rPr>
          <w:rFonts w:asciiTheme="majorHAnsi" w:hAnsiTheme="majorHAnsi" w:cstheme="majorHAnsi"/>
        </w:rPr>
      </w:pPr>
      <w:r>
        <w:rPr>
          <w:rFonts w:asciiTheme="majorHAnsi" w:hAnsiTheme="majorHAnsi" w:cstheme="majorHAnsi"/>
        </w:rPr>
        <w:t>a</w:t>
      </w:r>
      <w:r w:rsidR="00E268E0">
        <w:rPr>
          <w:rFonts w:asciiTheme="majorHAnsi" w:hAnsiTheme="majorHAnsi" w:cstheme="majorHAnsi"/>
        </w:rPr>
        <w:t>ll the beds will be private (as are all existing beds in the East Unit)</w:t>
      </w:r>
      <w:r w:rsidR="006B276A">
        <w:rPr>
          <w:rFonts w:asciiTheme="majorHAnsi" w:hAnsiTheme="majorHAnsi" w:cstheme="majorHAnsi"/>
        </w:rPr>
        <w:t>; and</w:t>
      </w:r>
    </w:p>
    <w:p w14:paraId="283C331C" w14:textId="6643E57D" w:rsidR="00E268E0" w:rsidRPr="00E268E0" w:rsidRDefault="00B631B5" w:rsidP="00E268E0">
      <w:pPr>
        <w:pStyle w:val="ListParagraph"/>
        <w:numPr>
          <w:ilvl w:val="0"/>
          <w:numId w:val="6"/>
        </w:numPr>
        <w:rPr>
          <w:rFonts w:asciiTheme="majorHAnsi" w:hAnsiTheme="majorHAnsi" w:cstheme="majorHAnsi"/>
        </w:rPr>
      </w:pPr>
      <w:r>
        <w:rPr>
          <w:rFonts w:asciiTheme="majorHAnsi" w:hAnsiTheme="majorHAnsi" w:cstheme="majorHAnsi"/>
        </w:rPr>
        <w:t>n</w:t>
      </w:r>
      <w:r w:rsidR="00E268E0">
        <w:rPr>
          <w:rFonts w:asciiTheme="majorHAnsi" w:hAnsiTheme="majorHAnsi" w:cstheme="majorHAnsi"/>
        </w:rPr>
        <w:t>ew addition also include</w:t>
      </w:r>
      <w:r w:rsidR="00E268E0" w:rsidRPr="00E268E0">
        <w:rPr>
          <w:rFonts w:asciiTheme="majorHAnsi" w:hAnsiTheme="majorHAnsi" w:cstheme="majorHAnsi"/>
        </w:rPr>
        <w:t xml:space="preserve"> access to the Needlepoint Bipolar Ionization (NPBI) to provide high quality air purification</w:t>
      </w:r>
      <w:r w:rsidR="00E268E0">
        <w:rPr>
          <w:rFonts w:asciiTheme="majorHAnsi" w:hAnsiTheme="majorHAnsi" w:cstheme="majorHAnsi"/>
        </w:rPr>
        <w:t xml:space="preserve"> and </w:t>
      </w:r>
      <w:r w:rsidR="00E268E0" w:rsidRPr="00E268E0">
        <w:rPr>
          <w:rFonts w:asciiTheme="majorHAnsi" w:hAnsiTheme="majorHAnsi" w:cstheme="majorHAnsi"/>
        </w:rPr>
        <w:t xml:space="preserve">designed </w:t>
      </w:r>
      <w:r w:rsidR="00E268E0">
        <w:rPr>
          <w:rFonts w:asciiTheme="majorHAnsi" w:hAnsiTheme="majorHAnsi" w:cstheme="majorHAnsi"/>
        </w:rPr>
        <w:t>with</w:t>
      </w:r>
      <w:r w:rsidR="00E268E0" w:rsidRPr="00E268E0">
        <w:rPr>
          <w:rFonts w:asciiTheme="majorHAnsi" w:hAnsiTheme="majorHAnsi" w:cstheme="majorHAnsi"/>
        </w:rPr>
        <w:t xml:space="preserve"> infection control measures and features.</w:t>
      </w:r>
    </w:p>
    <w:p w14:paraId="51A56073" w14:textId="4FB570A1" w:rsidR="006B276A" w:rsidRDefault="006B276A" w:rsidP="006B276A">
      <w:pPr>
        <w:spacing w:after="0" w:line="240" w:lineRule="auto"/>
      </w:pPr>
    </w:p>
    <w:p w14:paraId="45D49270" w14:textId="77777777" w:rsidR="003435B1" w:rsidRDefault="003435B1" w:rsidP="003435B1">
      <w:pPr>
        <w:spacing w:after="0" w:line="240" w:lineRule="auto"/>
        <w:rPr>
          <w:color w:val="000000"/>
        </w:rPr>
      </w:pPr>
      <w:r>
        <w:rPr>
          <w:color w:val="000000"/>
        </w:rPr>
        <w:t xml:space="preserve">The proposed bed configuration is presented in Table 2 below. </w:t>
      </w:r>
    </w:p>
    <w:p w14:paraId="7EAEB291" w14:textId="77777777" w:rsidR="003435B1" w:rsidRDefault="003435B1" w:rsidP="006B276A">
      <w:pPr>
        <w:spacing w:after="0" w:line="240" w:lineRule="auto"/>
      </w:pPr>
    </w:p>
    <w:p w14:paraId="78AD8D74" w14:textId="3C91F722" w:rsidR="003435B1" w:rsidRDefault="003435B1" w:rsidP="003435B1">
      <w:pPr>
        <w:spacing w:line="240" w:lineRule="auto"/>
        <w:jc w:val="center"/>
      </w:pPr>
      <w:r>
        <w:t xml:space="preserve">Table 2: </w:t>
      </w:r>
      <w:r w:rsidRPr="00785AB1">
        <w:t>Royal Norwell Nursing &amp; Rehabilitation Center</w:t>
      </w:r>
      <w:r>
        <w:t xml:space="preserve"> </w:t>
      </w:r>
      <w:r>
        <w:rPr>
          <w:rFonts w:asciiTheme="majorHAnsi" w:hAnsiTheme="majorHAnsi" w:cstheme="majorHAnsi"/>
        </w:rPr>
        <w:t>Proposed Bed Configuration</w:t>
      </w:r>
    </w:p>
    <w:tbl>
      <w:tblPr>
        <w:tblStyle w:val="TableGrid"/>
        <w:tblW w:w="0" w:type="auto"/>
        <w:tblLook w:val="04A0" w:firstRow="1" w:lastRow="0" w:firstColumn="1" w:lastColumn="0" w:noHBand="0" w:noVBand="1"/>
      </w:tblPr>
      <w:tblGrid>
        <w:gridCol w:w="1870"/>
        <w:gridCol w:w="1870"/>
        <w:gridCol w:w="1870"/>
        <w:gridCol w:w="1870"/>
        <w:gridCol w:w="1870"/>
      </w:tblGrid>
      <w:tr w:rsidR="003435B1" w14:paraId="0A2F2630" w14:textId="77777777" w:rsidTr="007634A5">
        <w:trPr>
          <w:cantSplit/>
          <w:tblHeader/>
        </w:trPr>
        <w:tc>
          <w:tcPr>
            <w:tcW w:w="9350" w:type="dxa"/>
            <w:gridSpan w:val="5"/>
            <w:shd w:val="clear" w:color="auto" w:fill="D9D9D9" w:themeFill="background1" w:themeFillShade="D9"/>
          </w:tcPr>
          <w:p w14:paraId="35188EE8" w14:textId="4142821B" w:rsidR="003435B1" w:rsidRDefault="003435B1" w:rsidP="00A46F38">
            <w:pPr>
              <w:jc w:val="center"/>
            </w:pPr>
            <w:r>
              <w:rPr>
                <w:rFonts w:asciiTheme="majorHAnsi" w:hAnsiTheme="majorHAnsi" w:cstheme="majorHAnsi"/>
                <w:color w:val="231F20"/>
              </w:rPr>
              <w:t>Proposed</w:t>
            </w:r>
            <w:r>
              <w:rPr>
                <w:rFonts w:asciiTheme="majorHAnsi" w:hAnsiTheme="majorHAnsi" w:cstheme="majorHAnsi"/>
                <w:color w:val="231F20"/>
                <w:spacing w:val="-2"/>
              </w:rPr>
              <w:t xml:space="preserve"> </w:t>
            </w:r>
            <w:r>
              <w:rPr>
                <w:rFonts w:asciiTheme="majorHAnsi" w:hAnsiTheme="majorHAnsi" w:cstheme="majorHAnsi"/>
                <w:color w:val="231F20"/>
              </w:rPr>
              <w:t>Facility</w:t>
            </w:r>
            <w:r>
              <w:rPr>
                <w:rFonts w:asciiTheme="majorHAnsi" w:hAnsiTheme="majorHAnsi" w:cstheme="majorHAnsi"/>
                <w:color w:val="231F20"/>
                <w:spacing w:val="-6"/>
              </w:rPr>
              <w:t xml:space="preserve"> </w:t>
            </w:r>
            <w:r>
              <w:rPr>
                <w:rFonts w:asciiTheme="majorHAnsi" w:hAnsiTheme="majorHAnsi" w:cstheme="majorHAnsi"/>
                <w:color w:val="231F20"/>
              </w:rPr>
              <w:t>Bedroom</w:t>
            </w:r>
            <w:r>
              <w:rPr>
                <w:rFonts w:asciiTheme="majorHAnsi" w:hAnsiTheme="majorHAnsi" w:cstheme="majorHAnsi"/>
                <w:color w:val="231F20"/>
                <w:spacing w:val="-6"/>
              </w:rPr>
              <w:t xml:space="preserve"> </w:t>
            </w:r>
            <w:r>
              <w:rPr>
                <w:rFonts w:asciiTheme="majorHAnsi" w:hAnsiTheme="majorHAnsi" w:cstheme="majorHAnsi"/>
                <w:color w:val="231F20"/>
                <w:spacing w:val="-2"/>
              </w:rPr>
              <w:t>Configuration</w:t>
            </w:r>
          </w:p>
        </w:tc>
      </w:tr>
      <w:tr w:rsidR="003435B1" w14:paraId="5FD2926A" w14:textId="77777777" w:rsidTr="007634A5">
        <w:trPr>
          <w:cantSplit/>
          <w:tblHeader/>
        </w:trPr>
        <w:tc>
          <w:tcPr>
            <w:tcW w:w="1870" w:type="dxa"/>
            <w:shd w:val="clear" w:color="auto" w:fill="DBE5F1" w:themeFill="accent1" w:themeFillTint="33"/>
          </w:tcPr>
          <w:p w14:paraId="4DD8B2FD" w14:textId="77777777" w:rsidR="003435B1" w:rsidRPr="00C0538A" w:rsidRDefault="003435B1" w:rsidP="00A46F38">
            <w:pPr>
              <w:jc w:val="center"/>
              <w:rPr>
                <w:b/>
                <w:bCs/>
              </w:rPr>
            </w:pPr>
            <w:r w:rsidRPr="00C0538A">
              <w:rPr>
                <w:rFonts w:asciiTheme="majorHAnsi" w:hAnsiTheme="majorHAnsi" w:cstheme="majorHAnsi"/>
                <w:b/>
                <w:bCs/>
              </w:rPr>
              <w:t>Unit</w:t>
            </w:r>
          </w:p>
        </w:tc>
        <w:tc>
          <w:tcPr>
            <w:tcW w:w="1870" w:type="dxa"/>
            <w:shd w:val="clear" w:color="auto" w:fill="DBE5F1" w:themeFill="accent1" w:themeFillTint="33"/>
          </w:tcPr>
          <w:p w14:paraId="0D576C8E" w14:textId="77777777" w:rsidR="003435B1" w:rsidRPr="00C0538A" w:rsidRDefault="003435B1" w:rsidP="00A46F38">
            <w:pPr>
              <w:jc w:val="center"/>
              <w:rPr>
                <w:b/>
                <w:bCs/>
              </w:rPr>
            </w:pPr>
            <w:r w:rsidRPr="00C0538A">
              <w:rPr>
                <w:rFonts w:asciiTheme="majorHAnsi" w:hAnsiTheme="majorHAnsi" w:cstheme="majorHAnsi"/>
                <w:b/>
                <w:bCs/>
                <w:color w:val="231F20"/>
                <w:spacing w:val="-2"/>
              </w:rPr>
              <w:t>Private</w:t>
            </w:r>
          </w:p>
        </w:tc>
        <w:tc>
          <w:tcPr>
            <w:tcW w:w="1870" w:type="dxa"/>
            <w:shd w:val="clear" w:color="auto" w:fill="DBE5F1" w:themeFill="accent1" w:themeFillTint="33"/>
          </w:tcPr>
          <w:p w14:paraId="6DEC327D" w14:textId="77777777" w:rsidR="003435B1" w:rsidRPr="00C0538A" w:rsidRDefault="003435B1" w:rsidP="00A46F38">
            <w:pPr>
              <w:jc w:val="center"/>
              <w:rPr>
                <w:b/>
                <w:bCs/>
              </w:rPr>
            </w:pPr>
            <w:r w:rsidRPr="00C0538A">
              <w:rPr>
                <w:rFonts w:asciiTheme="majorHAnsi" w:hAnsiTheme="majorHAnsi" w:cstheme="majorHAnsi"/>
                <w:b/>
                <w:bCs/>
                <w:color w:val="231F20"/>
                <w:spacing w:val="-2"/>
              </w:rPr>
              <w:t>Two-bedded</w:t>
            </w:r>
          </w:p>
        </w:tc>
        <w:tc>
          <w:tcPr>
            <w:tcW w:w="1870" w:type="dxa"/>
            <w:shd w:val="clear" w:color="auto" w:fill="DBE5F1" w:themeFill="accent1" w:themeFillTint="33"/>
          </w:tcPr>
          <w:p w14:paraId="1959DA60" w14:textId="77777777" w:rsidR="003435B1" w:rsidRPr="00C0538A" w:rsidRDefault="003435B1" w:rsidP="00A46F38">
            <w:pPr>
              <w:jc w:val="center"/>
              <w:rPr>
                <w:b/>
                <w:bCs/>
              </w:rPr>
            </w:pPr>
            <w:r w:rsidRPr="00C0538A">
              <w:rPr>
                <w:rFonts w:asciiTheme="majorHAnsi" w:hAnsiTheme="majorHAnsi" w:cstheme="majorHAnsi"/>
                <w:b/>
                <w:bCs/>
                <w:color w:val="231F20"/>
                <w:spacing w:val="-2"/>
              </w:rPr>
              <w:t>Three-bedded</w:t>
            </w:r>
          </w:p>
        </w:tc>
        <w:tc>
          <w:tcPr>
            <w:tcW w:w="1870" w:type="dxa"/>
            <w:shd w:val="clear" w:color="auto" w:fill="DBE5F1" w:themeFill="accent1" w:themeFillTint="33"/>
          </w:tcPr>
          <w:p w14:paraId="271B5D2F" w14:textId="77777777" w:rsidR="003435B1" w:rsidRPr="00C0538A" w:rsidRDefault="003435B1" w:rsidP="00A46F38">
            <w:pPr>
              <w:jc w:val="center"/>
              <w:rPr>
                <w:b/>
                <w:bCs/>
              </w:rPr>
            </w:pPr>
            <w:r w:rsidRPr="00C0538A">
              <w:rPr>
                <w:b/>
                <w:bCs/>
              </w:rPr>
              <w:t>Total Beds</w:t>
            </w:r>
          </w:p>
        </w:tc>
      </w:tr>
      <w:tr w:rsidR="003435B1" w14:paraId="1486AB6A" w14:textId="77777777" w:rsidTr="007634A5">
        <w:trPr>
          <w:cantSplit/>
        </w:trPr>
        <w:tc>
          <w:tcPr>
            <w:tcW w:w="1870" w:type="dxa"/>
          </w:tcPr>
          <w:p w14:paraId="2C47CB25" w14:textId="77777777" w:rsidR="003435B1" w:rsidRPr="00C0538A" w:rsidRDefault="003435B1" w:rsidP="00A46F38">
            <w:pPr>
              <w:jc w:val="center"/>
              <w:rPr>
                <w:b/>
                <w:bCs/>
              </w:rPr>
            </w:pPr>
            <w:r w:rsidRPr="00C0538A">
              <w:rPr>
                <w:rFonts w:asciiTheme="majorHAnsi" w:hAnsiTheme="majorHAnsi" w:cstheme="majorHAnsi"/>
                <w:b/>
                <w:bCs/>
              </w:rPr>
              <w:t>East Wing</w:t>
            </w:r>
          </w:p>
        </w:tc>
        <w:tc>
          <w:tcPr>
            <w:tcW w:w="1870" w:type="dxa"/>
          </w:tcPr>
          <w:p w14:paraId="59490DBA" w14:textId="77777777" w:rsidR="003435B1" w:rsidRDefault="003435B1" w:rsidP="00A46F38">
            <w:pPr>
              <w:jc w:val="right"/>
            </w:pPr>
            <w:r>
              <w:t>12</w:t>
            </w:r>
          </w:p>
        </w:tc>
        <w:tc>
          <w:tcPr>
            <w:tcW w:w="1870" w:type="dxa"/>
          </w:tcPr>
          <w:p w14:paraId="62A076C1" w14:textId="77777777" w:rsidR="003435B1" w:rsidRDefault="003435B1" w:rsidP="00A46F38">
            <w:pPr>
              <w:jc w:val="right"/>
            </w:pPr>
            <w:r>
              <w:t>0</w:t>
            </w:r>
          </w:p>
        </w:tc>
        <w:tc>
          <w:tcPr>
            <w:tcW w:w="1870" w:type="dxa"/>
          </w:tcPr>
          <w:p w14:paraId="40F8B051" w14:textId="77777777" w:rsidR="003435B1" w:rsidRDefault="003435B1" w:rsidP="00A46F38">
            <w:pPr>
              <w:jc w:val="right"/>
            </w:pPr>
            <w:r>
              <w:t>0</w:t>
            </w:r>
          </w:p>
        </w:tc>
        <w:tc>
          <w:tcPr>
            <w:tcW w:w="1870" w:type="dxa"/>
          </w:tcPr>
          <w:p w14:paraId="1F90E3FA" w14:textId="77777777" w:rsidR="003435B1" w:rsidRDefault="003435B1" w:rsidP="00A46F38">
            <w:pPr>
              <w:jc w:val="right"/>
            </w:pPr>
            <w:r>
              <w:t>12</w:t>
            </w:r>
          </w:p>
        </w:tc>
      </w:tr>
      <w:tr w:rsidR="003435B1" w14:paraId="5473DD98" w14:textId="77777777" w:rsidTr="007634A5">
        <w:trPr>
          <w:cantSplit/>
        </w:trPr>
        <w:tc>
          <w:tcPr>
            <w:tcW w:w="1870" w:type="dxa"/>
          </w:tcPr>
          <w:p w14:paraId="0D6AC0D3" w14:textId="77777777" w:rsidR="003435B1" w:rsidRPr="00C0538A" w:rsidRDefault="003435B1" w:rsidP="00A46F38">
            <w:pPr>
              <w:jc w:val="center"/>
              <w:rPr>
                <w:b/>
                <w:bCs/>
              </w:rPr>
            </w:pPr>
            <w:r w:rsidRPr="00C0538A">
              <w:rPr>
                <w:rFonts w:asciiTheme="majorHAnsi" w:hAnsiTheme="majorHAnsi" w:cstheme="majorHAnsi"/>
                <w:b/>
                <w:bCs/>
              </w:rPr>
              <w:t>North Wing</w:t>
            </w:r>
          </w:p>
        </w:tc>
        <w:tc>
          <w:tcPr>
            <w:tcW w:w="1870" w:type="dxa"/>
          </w:tcPr>
          <w:p w14:paraId="537424C9" w14:textId="77777777" w:rsidR="003435B1" w:rsidRDefault="003435B1" w:rsidP="00A46F38">
            <w:pPr>
              <w:jc w:val="right"/>
            </w:pPr>
            <w:r>
              <w:t>1</w:t>
            </w:r>
          </w:p>
        </w:tc>
        <w:tc>
          <w:tcPr>
            <w:tcW w:w="1870" w:type="dxa"/>
          </w:tcPr>
          <w:p w14:paraId="29B40D76" w14:textId="1310ADDB" w:rsidR="003435B1" w:rsidRDefault="00435AEC" w:rsidP="00A46F38">
            <w:pPr>
              <w:jc w:val="right"/>
            </w:pPr>
            <w:r>
              <w:t>16</w:t>
            </w:r>
          </w:p>
        </w:tc>
        <w:tc>
          <w:tcPr>
            <w:tcW w:w="1870" w:type="dxa"/>
          </w:tcPr>
          <w:p w14:paraId="7B75248E" w14:textId="792658D6" w:rsidR="003435B1" w:rsidRDefault="00F42379" w:rsidP="00A46F38">
            <w:pPr>
              <w:jc w:val="right"/>
            </w:pPr>
            <w:r>
              <w:t>0</w:t>
            </w:r>
          </w:p>
        </w:tc>
        <w:tc>
          <w:tcPr>
            <w:tcW w:w="1870" w:type="dxa"/>
          </w:tcPr>
          <w:p w14:paraId="580860BB" w14:textId="3C63560D" w:rsidR="003435B1" w:rsidRDefault="00435AEC" w:rsidP="00A46F38">
            <w:pPr>
              <w:jc w:val="right"/>
            </w:pPr>
            <w:r>
              <w:t>33</w:t>
            </w:r>
          </w:p>
        </w:tc>
      </w:tr>
      <w:tr w:rsidR="003435B1" w14:paraId="2CA51A26" w14:textId="77777777" w:rsidTr="007634A5">
        <w:trPr>
          <w:cantSplit/>
        </w:trPr>
        <w:tc>
          <w:tcPr>
            <w:tcW w:w="1870" w:type="dxa"/>
          </w:tcPr>
          <w:p w14:paraId="7C08ED20" w14:textId="77777777" w:rsidR="003435B1" w:rsidRPr="00C0538A" w:rsidRDefault="003435B1" w:rsidP="00A46F38">
            <w:pPr>
              <w:jc w:val="center"/>
              <w:rPr>
                <w:b/>
                <w:bCs/>
              </w:rPr>
            </w:pPr>
            <w:r w:rsidRPr="00C0538A">
              <w:rPr>
                <w:rFonts w:asciiTheme="majorHAnsi" w:hAnsiTheme="majorHAnsi" w:cstheme="majorHAnsi"/>
                <w:b/>
                <w:bCs/>
              </w:rPr>
              <w:lastRenderedPageBreak/>
              <w:t>South Wing</w:t>
            </w:r>
          </w:p>
        </w:tc>
        <w:tc>
          <w:tcPr>
            <w:tcW w:w="1870" w:type="dxa"/>
          </w:tcPr>
          <w:p w14:paraId="7D7DEDD1" w14:textId="77777777" w:rsidR="003435B1" w:rsidRDefault="003435B1" w:rsidP="00A46F38">
            <w:pPr>
              <w:jc w:val="right"/>
            </w:pPr>
            <w:r>
              <w:t>1</w:t>
            </w:r>
          </w:p>
        </w:tc>
        <w:tc>
          <w:tcPr>
            <w:tcW w:w="1870" w:type="dxa"/>
          </w:tcPr>
          <w:p w14:paraId="63195B3E" w14:textId="5A030FFE" w:rsidR="003435B1" w:rsidRDefault="003435B1" w:rsidP="00A46F38">
            <w:pPr>
              <w:jc w:val="right"/>
            </w:pPr>
            <w:r>
              <w:t>1</w:t>
            </w:r>
            <w:r w:rsidR="00435AEC">
              <w:t>6</w:t>
            </w:r>
          </w:p>
        </w:tc>
        <w:tc>
          <w:tcPr>
            <w:tcW w:w="1870" w:type="dxa"/>
          </w:tcPr>
          <w:p w14:paraId="5ECE3E27" w14:textId="1D4639EC" w:rsidR="003435B1" w:rsidRDefault="00F42379" w:rsidP="00A46F38">
            <w:pPr>
              <w:jc w:val="right"/>
            </w:pPr>
            <w:r>
              <w:t>0</w:t>
            </w:r>
          </w:p>
        </w:tc>
        <w:tc>
          <w:tcPr>
            <w:tcW w:w="1870" w:type="dxa"/>
          </w:tcPr>
          <w:p w14:paraId="293335D6" w14:textId="2CEAFA82" w:rsidR="003435B1" w:rsidRDefault="003435B1" w:rsidP="00A46F38">
            <w:pPr>
              <w:jc w:val="right"/>
            </w:pPr>
            <w:r>
              <w:t>3</w:t>
            </w:r>
            <w:r w:rsidR="00435AEC">
              <w:t>3</w:t>
            </w:r>
          </w:p>
        </w:tc>
      </w:tr>
      <w:tr w:rsidR="00F42379" w14:paraId="61920AA7" w14:textId="77777777" w:rsidTr="007634A5">
        <w:trPr>
          <w:cantSplit/>
        </w:trPr>
        <w:tc>
          <w:tcPr>
            <w:tcW w:w="1870" w:type="dxa"/>
            <w:tcBorders>
              <w:bottom w:val="single" w:sz="4" w:space="0" w:color="auto"/>
            </w:tcBorders>
          </w:tcPr>
          <w:p w14:paraId="5B132E6B" w14:textId="77777777" w:rsidR="00776839" w:rsidRPr="00C0538A" w:rsidRDefault="00F42379" w:rsidP="00A46F38">
            <w:pPr>
              <w:jc w:val="center"/>
              <w:rPr>
                <w:rFonts w:asciiTheme="majorHAnsi" w:hAnsiTheme="majorHAnsi" w:cstheme="majorHAnsi"/>
                <w:b/>
                <w:bCs/>
              </w:rPr>
            </w:pPr>
            <w:r w:rsidRPr="00C0538A">
              <w:rPr>
                <w:rFonts w:asciiTheme="majorHAnsi" w:hAnsiTheme="majorHAnsi" w:cstheme="majorHAnsi"/>
                <w:b/>
                <w:bCs/>
              </w:rPr>
              <w:t xml:space="preserve">East Wing </w:t>
            </w:r>
          </w:p>
          <w:p w14:paraId="5C97DB04" w14:textId="6BCE0E9B" w:rsidR="00F42379" w:rsidRPr="00C0538A" w:rsidRDefault="00776839" w:rsidP="00A46F38">
            <w:pPr>
              <w:jc w:val="center"/>
              <w:rPr>
                <w:rFonts w:asciiTheme="majorHAnsi" w:hAnsiTheme="majorHAnsi" w:cstheme="majorHAnsi"/>
                <w:b/>
                <w:bCs/>
              </w:rPr>
            </w:pPr>
            <w:r w:rsidRPr="00C0538A">
              <w:rPr>
                <w:rFonts w:asciiTheme="majorHAnsi" w:hAnsiTheme="majorHAnsi" w:cstheme="majorHAnsi"/>
                <w:b/>
                <w:bCs/>
              </w:rPr>
              <w:t xml:space="preserve">New </w:t>
            </w:r>
            <w:r w:rsidR="00F42379" w:rsidRPr="00C0538A">
              <w:rPr>
                <w:rFonts w:asciiTheme="majorHAnsi" w:hAnsiTheme="majorHAnsi" w:cstheme="majorHAnsi"/>
                <w:b/>
                <w:bCs/>
              </w:rPr>
              <w:t>Addition</w:t>
            </w:r>
          </w:p>
        </w:tc>
        <w:tc>
          <w:tcPr>
            <w:tcW w:w="1870" w:type="dxa"/>
            <w:tcBorders>
              <w:bottom w:val="single" w:sz="4" w:space="0" w:color="auto"/>
            </w:tcBorders>
          </w:tcPr>
          <w:p w14:paraId="48BA1553" w14:textId="4FFAF33E" w:rsidR="00F42379" w:rsidRDefault="00F42379" w:rsidP="00A46F38">
            <w:pPr>
              <w:jc w:val="right"/>
            </w:pPr>
            <w:r>
              <w:t>8</w:t>
            </w:r>
          </w:p>
        </w:tc>
        <w:tc>
          <w:tcPr>
            <w:tcW w:w="1870" w:type="dxa"/>
            <w:tcBorders>
              <w:bottom w:val="single" w:sz="4" w:space="0" w:color="auto"/>
            </w:tcBorders>
          </w:tcPr>
          <w:p w14:paraId="25D0E812" w14:textId="28B557ED" w:rsidR="00F42379" w:rsidRDefault="00F42379" w:rsidP="00A46F38">
            <w:pPr>
              <w:jc w:val="right"/>
            </w:pPr>
            <w:r>
              <w:t>0</w:t>
            </w:r>
          </w:p>
        </w:tc>
        <w:tc>
          <w:tcPr>
            <w:tcW w:w="1870" w:type="dxa"/>
            <w:tcBorders>
              <w:bottom w:val="single" w:sz="4" w:space="0" w:color="auto"/>
            </w:tcBorders>
          </w:tcPr>
          <w:p w14:paraId="5A63C8FD" w14:textId="42AF50C0" w:rsidR="00F42379" w:rsidRDefault="00D85B38" w:rsidP="00A46F38">
            <w:pPr>
              <w:jc w:val="right"/>
            </w:pPr>
            <w:r>
              <w:t>0</w:t>
            </w:r>
          </w:p>
        </w:tc>
        <w:tc>
          <w:tcPr>
            <w:tcW w:w="1870" w:type="dxa"/>
            <w:tcBorders>
              <w:bottom w:val="single" w:sz="4" w:space="0" w:color="auto"/>
            </w:tcBorders>
          </w:tcPr>
          <w:p w14:paraId="41227291" w14:textId="1596A23B" w:rsidR="00F42379" w:rsidRDefault="00F42379" w:rsidP="00A46F38">
            <w:pPr>
              <w:jc w:val="right"/>
            </w:pPr>
            <w:r>
              <w:t>8</w:t>
            </w:r>
          </w:p>
        </w:tc>
      </w:tr>
      <w:tr w:rsidR="00D85B38" w14:paraId="6705FB7C" w14:textId="77777777" w:rsidTr="007634A5">
        <w:trPr>
          <w:cantSplit/>
        </w:trPr>
        <w:tc>
          <w:tcPr>
            <w:tcW w:w="1870" w:type="dxa"/>
            <w:tcBorders>
              <w:left w:val="nil"/>
              <w:bottom w:val="nil"/>
              <w:right w:val="nil"/>
            </w:tcBorders>
          </w:tcPr>
          <w:p w14:paraId="57F42282" w14:textId="77777777" w:rsidR="00D85B38" w:rsidRDefault="00D85B38" w:rsidP="00A46F38">
            <w:pPr>
              <w:jc w:val="center"/>
              <w:rPr>
                <w:rFonts w:asciiTheme="majorHAnsi" w:hAnsiTheme="majorHAnsi" w:cstheme="majorHAnsi"/>
              </w:rPr>
            </w:pPr>
          </w:p>
        </w:tc>
        <w:tc>
          <w:tcPr>
            <w:tcW w:w="1870" w:type="dxa"/>
            <w:tcBorders>
              <w:left w:val="nil"/>
              <w:bottom w:val="nil"/>
              <w:right w:val="nil"/>
            </w:tcBorders>
          </w:tcPr>
          <w:p w14:paraId="4BDCBF1A" w14:textId="77777777" w:rsidR="00D85B38" w:rsidRDefault="00D85B38" w:rsidP="00A46F38">
            <w:pPr>
              <w:jc w:val="right"/>
            </w:pPr>
          </w:p>
        </w:tc>
        <w:tc>
          <w:tcPr>
            <w:tcW w:w="1870" w:type="dxa"/>
            <w:tcBorders>
              <w:left w:val="nil"/>
              <w:bottom w:val="nil"/>
              <w:right w:val="nil"/>
            </w:tcBorders>
          </w:tcPr>
          <w:p w14:paraId="6E9C152B" w14:textId="77777777" w:rsidR="00D85B38" w:rsidRDefault="00D85B38" w:rsidP="00A46F38">
            <w:pPr>
              <w:jc w:val="right"/>
            </w:pPr>
          </w:p>
        </w:tc>
        <w:tc>
          <w:tcPr>
            <w:tcW w:w="1870" w:type="dxa"/>
            <w:tcBorders>
              <w:left w:val="nil"/>
              <w:bottom w:val="nil"/>
              <w:right w:val="single" w:sz="4" w:space="0" w:color="auto"/>
            </w:tcBorders>
          </w:tcPr>
          <w:p w14:paraId="74E512D2" w14:textId="77777777" w:rsidR="00D85B38" w:rsidRDefault="00D85B38" w:rsidP="00A46F38">
            <w:pPr>
              <w:jc w:val="right"/>
            </w:pPr>
          </w:p>
        </w:tc>
        <w:tc>
          <w:tcPr>
            <w:tcW w:w="1870" w:type="dxa"/>
            <w:tcBorders>
              <w:left w:val="single" w:sz="4" w:space="0" w:color="auto"/>
            </w:tcBorders>
          </w:tcPr>
          <w:p w14:paraId="130FFA67" w14:textId="375E4C0E" w:rsidR="00D85B38" w:rsidRPr="00D85B38" w:rsidRDefault="00D85B38" w:rsidP="00A46F38">
            <w:pPr>
              <w:jc w:val="right"/>
              <w:rPr>
                <w:b/>
                <w:bCs/>
              </w:rPr>
            </w:pPr>
            <w:r w:rsidRPr="00D85B38">
              <w:rPr>
                <w:b/>
                <w:bCs/>
              </w:rPr>
              <w:t>86</w:t>
            </w:r>
          </w:p>
        </w:tc>
      </w:tr>
    </w:tbl>
    <w:p w14:paraId="1962A701" w14:textId="77777777" w:rsidR="003435B1" w:rsidRDefault="003435B1" w:rsidP="006B276A">
      <w:pPr>
        <w:spacing w:after="0" w:line="240" w:lineRule="auto"/>
      </w:pPr>
    </w:p>
    <w:p w14:paraId="5CC1F6DE" w14:textId="6C8CD298" w:rsidR="006B276A" w:rsidRDefault="006B276A" w:rsidP="0041445D">
      <w:pPr>
        <w:spacing w:after="0" w:line="240" w:lineRule="auto"/>
        <w:rPr>
          <w:color w:val="000000"/>
        </w:rPr>
      </w:pPr>
      <w:r>
        <w:t xml:space="preserve">The Applicant noted that the addition would be able to accommodate skilled short-term, subacute transitional care (TCU) patients, who are about 26% of the population, and meet the growing discharge needs of the area hospitals and community. Also, this Proposed Project will include renovations and </w:t>
      </w:r>
      <w:r w:rsidRPr="00955CCF">
        <w:rPr>
          <w:color w:val="000000"/>
        </w:rPr>
        <w:t>upgrades to the existing facility structure and systems</w:t>
      </w:r>
      <w:r>
        <w:rPr>
          <w:color w:val="000000"/>
        </w:rPr>
        <w:t xml:space="preserve"> (</w:t>
      </w:r>
      <w:r w:rsidRPr="00955CCF">
        <w:rPr>
          <w:color w:val="000000"/>
        </w:rPr>
        <w:t>2,770 gross square feet</w:t>
      </w:r>
      <w:r>
        <w:rPr>
          <w:color w:val="000000"/>
        </w:rPr>
        <w:t>)</w:t>
      </w:r>
      <w:r w:rsidRPr="00955CCF">
        <w:rPr>
          <w:color w:val="000000"/>
        </w:rPr>
        <w:t>.</w:t>
      </w:r>
      <w:r w:rsidR="00B631B5">
        <w:rPr>
          <w:color w:val="000000"/>
        </w:rPr>
        <w:t xml:space="preserve"> </w:t>
      </w:r>
      <w:r w:rsidR="008D20ED">
        <w:rPr>
          <w:color w:val="000000"/>
        </w:rPr>
        <w:t>T</w:t>
      </w:r>
      <w:r w:rsidR="00B631B5">
        <w:rPr>
          <w:color w:val="000000"/>
        </w:rPr>
        <w:t>he</w:t>
      </w:r>
      <w:r w:rsidR="0041445D">
        <w:rPr>
          <w:color w:val="000000"/>
        </w:rPr>
        <w:t xml:space="preserve"> Applicant will change only one (1) bed from a Level III to a Level II bed.</w:t>
      </w:r>
    </w:p>
    <w:p w14:paraId="5F5CBD86" w14:textId="77777777" w:rsidR="0041445D" w:rsidRDefault="0041445D" w:rsidP="0041445D">
      <w:pPr>
        <w:spacing w:after="0" w:line="240" w:lineRule="auto"/>
      </w:pPr>
    </w:p>
    <w:p w14:paraId="00000014" w14:textId="6D89A897" w:rsidR="00350CD8" w:rsidRDefault="00EC32CB">
      <w:pPr>
        <w:spacing w:after="0" w:line="240" w:lineRule="auto"/>
      </w:pPr>
      <w:r>
        <w:t>The Applicant</w:t>
      </w:r>
      <w:r w:rsidR="00D07B29">
        <w:t xml:space="preserve"> stated that because the </w:t>
      </w:r>
      <w:r w:rsidR="00D07B29" w:rsidRPr="00D07B29">
        <w:t xml:space="preserve">proposed addition will be </w:t>
      </w:r>
      <w:r w:rsidR="003C6BEB">
        <w:t xml:space="preserve">added to </w:t>
      </w:r>
      <w:r w:rsidR="00D07B29" w:rsidRPr="00D07B29">
        <w:t>the existing East Unit, it will not have a significant impact on existing resident quality of care during the construction project.</w:t>
      </w:r>
      <w:r w:rsidR="00D07B29">
        <w:t xml:space="preserve"> </w:t>
      </w:r>
      <w:r>
        <w:t xml:space="preserve">The Applicant has presented sufficient information to support the position that the proposed construction fits within the definitions in the </w:t>
      </w:r>
      <w:proofErr w:type="spellStart"/>
      <w:r>
        <w:t>DoN</w:t>
      </w:r>
      <w:proofErr w:type="spellEnd"/>
      <w:r>
        <w:t xml:space="preserve"> Regulation of Sustain and/or </w:t>
      </w:r>
      <w:proofErr w:type="gramStart"/>
      <w:r>
        <w:t>Restore</w:t>
      </w:r>
      <w:proofErr w:type="gramEnd"/>
      <w:r>
        <w:t>; that this proposed Conservation Project is necessary to maintain the original functionality of the facility, and does not add any new beds.</w:t>
      </w:r>
      <w:r w:rsidR="003A6C4E">
        <w:t xml:space="preserve"> </w:t>
      </w:r>
    </w:p>
    <w:p w14:paraId="00000015" w14:textId="15D1A87E" w:rsidR="00350CD8" w:rsidRDefault="00350CD8">
      <w:pPr>
        <w:spacing w:after="0" w:line="240" w:lineRule="auto"/>
      </w:pPr>
    </w:p>
    <w:p w14:paraId="00000016" w14:textId="77777777" w:rsidR="00350CD8" w:rsidRDefault="00EC32CB">
      <w:pPr>
        <w:spacing w:after="0" w:line="240" w:lineRule="auto"/>
      </w:pPr>
      <w:r>
        <w:rPr>
          <w:b/>
        </w:rPr>
        <w:t xml:space="preserve">Factor 3 </w:t>
      </w:r>
    </w:p>
    <w:p w14:paraId="00000017" w14:textId="39BF4D5D" w:rsidR="00350CD8" w:rsidRPr="00C44E7C" w:rsidRDefault="00EC32CB">
      <w:pPr>
        <w:spacing w:after="0" w:line="240" w:lineRule="auto"/>
        <w:rPr>
          <w:color w:val="FF0000"/>
        </w:rPr>
      </w:pPr>
      <w:r>
        <w:t xml:space="preserve">The Applicant has certified that it </w:t>
      </w:r>
      <w:proofErr w:type="gramStart"/>
      <w:r>
        <w:t>is in compliance</w:t>
      </w:r>
      <w:proofErr w:type="gramEnd"/>
      <w:r>
        <w:t xml:space="preserv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00000018" w14:textId="77777777" w:rsidR="00350CD8" w:rsidRDefault="00350CD8">
      <w:pPr>
        <w:spacing w:after="0"/>
        <w:rPr>
          <w:b/>
        </w:rPr>
      </w:pPr>
    </w:p>
    <w:p w14:paraId="00000019" w14:textId="77777777" w:rsidR="00350CD8" w:rsidRDefault="00EC32CB">
      <w:pPr>
        <w:spacing w:after="0"/>
      </w:pPr>
      <w:r>
        <w:rPr>
          <w:b/>
        </w:rPr>
        <w:t>Factor 4</w:t>
      </w:r>
      <w:r>
        <w:t xml:space="preserve"> </w:t>
      </w:r>
    </w:p>
    <w:p w14:paraId="00000026" w14:textId="361883C1" w:rsidR="00350CD8" w:rsidRDefault="00EC32CB">
      <w:pPr>
        <w:spacing w:line="240" w:lineRule="auto"/>
      </w:pPr>
      <w: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w:t>
      </w:r>
      <w:r w:rsidR="00927ED3">
        <w:t xml:space="preserve"> </w:t>
      </w:r>
    </w:p>
    <w:p w14:paraId="00000027" w14:textId="7177FCD0" w:rsidR="00350CD8" w:rsidRDefault="00EC32CB">
      <w:pPr>
        <w:spacing w:line="240" w:lineRule="auto"/>
      </w:pPr>
      <w:r>
        <w:t>The Applicant submitted a report performed by</w:t>
      </w:r>
      <w:r w:rsidR="00927ED3">
        <w:t xml:space="preserve"> Marcum LLP (CPA)</w:t>
      </w:r>
      <w:r>
        <w:t xml:space="preserve">. </w:t>
      </w:r>
      <w:proofErr w:type="gramStart"/>
      <w:r>
        <w:t>In order to</w:t>
      </w:r>
      <w:proofErr w:type="gramEnd"/>
      <w:r>
        <w:t xml:space="preserve"> assess the reasonableness of assumptions used and the feasibility of the projections for the Proposed Project, the CPA Report reflects a review and analysis of </w:t>
      </w:r>
      <w:r w:rsidR="00927ED3" w:rsidRPr="00785AB1">
        <w:t>Royal Norwell Nursing &amp; Rehabilitation Center, LLC</w:t>
      </w:r>
      <w:r w:rsidR="00927ED3">
        <w:t xml:space="preserve"> </w:t>
      </w:r>
      <w:r>
        <w:t>audited financial statements, current financial position, and industry metrics. Additionally, the CPA reviewed the</w:t>
      </w:r>
      <w:r w:rsidR="00927ED3">
        <w:t xml:space="preserve"> (projections years </w:t>
      </w:r>
      <w:r w:rsidR="00F23671">
        <w:t xml:space="preserve">ending December </w:t>
      </w:r>
      <w:r w:rsidR="00927ED3">
        <w:t xml:space="preserve">2023 through </w:t>
      </w:r>
      <w:r w:rsidR="00F23671">
        <w:t xml:space="preserve">December </w:t>
      </w:r>
      <w:r w:rsidR="00927ED3">
        <w:t>2027)</w:t>
      </w:r>
      <w:r w:rsidRPr="00C44E7C">
        <w:rPr>
          <w:color w:val="FF0000"/>
        </w:rPr>
        <w:t xml:space="preserve"> </w:t>
      </w:r>
      <w:r>
        <w:t>financial projections and supporting documentation, including underlying assumptions prepared by Management, and determined they were reasonable</w:t>
      </w:r>
      <w:r w:rsidRPr="00DC6D7B">
        <w:t>.</w:t>
      </w:r>
    </w:p>
    <w:p w14:paraId="00000028" w14:textId="4AB4A980" w:rsidR="00350CD8" w:rsidRDefault="00EC32CB">
      <w:pPr>
        <w:spacing w:line="240" w:lineRule="auto"/>
      </w:pPr>
      <w:r>
        <w:t xml:space="preserve">The CPA reports that </w:t>
      </w:r>
      <w:r w:rsidR="00AE50D8">
        <w:t>the</w:t>
      </w:r>
      <w:r>
        <w:t xml:space="preserve"> projected </w:t>
      </w:r>
      <w:r w:rsidR="00AE50D8">
        <w:t>revenues</w:t>
      </w:r>
      <w:r>
        <w:t xml:space="preserve"> </w:t>
      </w:r>
      <w:r w:rsidR="00AE50D8">
        <w:t>are</w:t>
      </w:r>
      <w:r>
        <w:t xml:space="preserve"> based on </w:t>
      </w:r>
      <w:r w:rsidR="00AE50D8" w:rsidRPr="00AE50D8">
        <w:t>historical information, current available reimbursement rates and/or known / expected changes to commercial and governmental reimbursement rates</w:t>
      </w:r>
      <w:r>
        <w:t>. Future years were projected utilizing</w:t>
      </w:r>
      <w:r w:rsidR="00704EB3">
        <w:t xml:space="preserve"> Management’s</w:t>
      </w:r>
      <w:r>
        <w:t xml:space="preserve"> assumptions </w:t>
      </w:r>
      <w:r w:rsidR="008441C8" w:rsidRPr="008441C8">
        <w:t>of historical data with adjustments to reimbursement rates, payor mix and</w:t>
      </w:r>
      <w:r w:rsidR="00F11D83">
        <w:t xml:space="preserve"> patient</w:t>
      </w:r>
      <w:r w:rsidR="008441C8" w:rsidRPr="008441C8">
        <w:t xml:space="preserve"> occupancy percentages</w:t>
      </w:r>
      <w:r>
        <w:t xml:space="preserve">. Based on the foregoing, the CPA’s opinion is that the growth projections </w:t>
      </w:r>
      <w:r w:rsidRPr="008441C8">
        <w:t xml:space="preserve">for </w:t>
      </w:r>
      <w:r w:rsidR="00785AB1" w:rsidRPr="008441C8">
        <w:t>Royal Norwell Nursing &amp; Rehabilitation Center, LLC</w:t>
      </w:r>
      <w:r w:rsidR="00A938CF" w:rsidRPr="008441C8">
        <w:t xml:space="preserve"> </w:t>
      </w:r>
      <w:r>
        <w:t xml:space="preserve">reflect a reasonable estimation of future revenues. </w:t>
      </w:r>
    </w:p>
    <w:p w14:paraId="00000029" w14:textId="25C23D10" w:rsidR="00350CD8" w:rsidRDefault="00EC32CB" w:rsidP="00C071CA">
      <w:pPr>
        <w:spacing w:after="0" w:line="240" w:lineRule="auto"/>
      </w:pPr>
      <w:r>
        <w:t xml:space="preserve">The CPA reviewed the projected operating expenses and states that projected expenses were derived </w:t>
      </w:r>
      <w:r w:rsidR="004F0F4F">
        <w:t>by comparing historical</w:t>
      </w:r>
      <w:r>
        <w:t xml:space="preserve"> financial data </w:t>
      </w:r>
      <w:r w:rsidR="004F0F4F">
        <w:t>provided by the Applicant and Strategic Care Solutions (SCS)</w:t>
      </w:r>
      <w:r w:rsidR="000317C8">
        <w:t>,</w:t>
      </w:r>
      <w:r w:rsidR="000317C8" w:rsidRPr="000317C8">
        <w:t xml:space="preserve"> </w:t>
      </w:r>
      <w:r w:rsidR="000317C8" w:rsidRPr="000317C8">
        <w:lastRenderedPageBreak/>
        <w:t>inflationary factors utilized</w:t>
      </w:r>
      <w:r w:rsidR="000317C8">
        <w:rPr>
          <w:rStyle w:val="FootnoteReference"/>
        </w:rPr>
        <w:footnoteReference w:id="3"/>
      </w:r>
      <w:r w:rsidR="000317C8" w:rsidRPr="000317C8">
        <w:t xml:space="preserve"> and categorization of variable expenses versus fixed</w:t>
      </w:r>
      <w:r>
        <w:t>.</w:t>
      </w:r>
      <w:r w:rsidR="00C071CA">
        <w:t xml:space="preserve"> Management expects expenses to remain increasing with the inflation factor decreasing over time. </w:t>
      </w:r>
    </w:p>
    <w:p w14:paraId="27AD649B" w14:textId="77777777" w:rsidR="00C071CA" w:rsidRDefault="00C071CA" w:rsidP="00C071CA">
      <w:pPr>
        <w:spacing w:after="0" w:line="240" w:lineRule="auto"/>
        <w:rPr>
          <w:color w:val="FF0000"/>
        </w:rPr>
      </w:pPr>
    </w:p>
    <w:p w14:paraId="0000002A" w14:textId="402F209B" w:rsidR="00350CD8" w:rsidRDefault="00EC32CB">
      <w:pPr>
        <w:spacing w:line="240" w:lineRule="auto"/>
      </w:pPr>
      <w:r>
        <w:t>The CPA also reviewed past and present capital expenditures and cash flow to determine whether the Applicant will likely have sufficient funds to service the debt. According to the documents reviewed by the CPA, the Project will be financed by</w:t>
      </w:r>
      <w:r w:rsidR="00C7184F">
        <w:t xml:space="preserve"> a loan and assumes a </w:t>
      </w:r>
      <w:proofErr w:type="gramStart"/>
      <w:r w:rsidR="00C7184F">
        <w:t>20 year</w:t>
      </w:r>
      <w:proofErr w:type="gramEnd"/>
      <w:r w:rsidR="00C7184F">
        <w:t xml:space="preserve"> amortization period</w:t>
      </w:r>
      <w:r>
        <w:t>.</w:t>
      </w:r>
      <w:r>
        <w:rPr>
          <w:vertAlign w:val="superscript"/>
        </w:rPr>
        <w:footnoteReference w:id="4"/>
      </w:r>
      <w:r>
        <w:t xml:space="preserve"> </w:t>
      </w:r>
    </w:p>
    <w:p w14:paraId="0000002B" w14:textId="355B6976" w:rsidR="00350CD8" w:rsidRDefault="00EC32CB">
      <w:pPr>
        <w:spacing w:after="0" w:line="240" w:lineRule="auto"/>
      </w:pPr>
      <w:r>
        <w:t xml:space="preserve">As a result of the foregoing, the CPA </w:t>
      </w:r>
      <w:r w:rsidR="00C071CA">
        <w:t>stated</w:t>
      </w:r>
      <w:r>
        <w:t xml:space="preserve"> that “the projections are reasonable and feasible, and not likely to have a negative impact on the patient panel or result in a liquidation of assets.”</w:t>
      </w:r>
    </w:p>
    <w:p w14:paraId="6A9295D5" w14:textId="1814ABFA" w:rsidR="00DC6D7B" w:rsidRDefault="00DC6D7B">
      <w:pPr>
        <w:spacing w:after="0"/>
      </w:pPr>
    </w:p>
    <w:p w14:paraId="0000002D" w14:textId="77777777" w:rsidR="00350CD8" w:rsidRDefault="00EC32CB">
      <w:pPr>
        <w:spacing w:after="0"/>
      </w:pPr>
      <w:r>
        <w:rPr>
          <w:b/>
        </w:rPr>
        <w:t>Factor 6</w:t>
      </w:r>
      <w:r>
        <w:t xml:space="preserve"> </w:t>
      </w:r>
    </w:p>
    <w:p w14:paraId="0000002F" w14:textId="40DCD349" w:rsidR="00350CD8" w:rsidRDefault="00EC32CB">
      <w:pPr>
        <w:spacing w:after="0" w:line="240" w:lineRule="auto"/>
      </w:pPr>
      <w:r>
        <w:t xml:space="preserve">The Community Health Initiative (CHI) component of the </w:t>
      </w:r>
      <w:proofErr w:type="spellStart"/>
      <w:r>
        <w:t>DoN</w:t>
      </w:r>
      <w:proofErr w:type="spellEnd"/>
      <w:r>
        <w:t xml:space="preserve"> regulation requires Long Term Care Facilities completing a Conservation project to contribute 1% of the total value of the project, to the CHI Healthy Aging Fund. Payment </w:t>
      </w:r>
      <w:r w:rsidR="001A6308">
        <w:t>m</w:t>
      </w:r>
      <w:r w:rsidR="0037337B">
        <w:t>ust</w:t>
      </w:r>
      <w:r>
        <w:t xml:space="preserve"> be made in two equal installments with the first payment due </w:t>
      </w:r>
      <w:r w:rsidR="001A6308">
        <w:t xml:space="preserve">within </w:t>
      </w:r>
      <w:r w:rsidR="004B37D1">
        <w:t>6 months</w:t>
      </w:r>
      <w:r>
        <w:t xml:space="preserve"> of receipt of a </w:t>
      </w:r>
      <w:proofErr w:type="gramStart"/>
      <w:r>
        <w:t>duly-approved</w:t>
      </w:r>
      <w:proofErr w:type="gramEnd"/>
      <w:r>
        <w:t xml:space="preserve"> Notice of Determination of Need, and the second, on the first anniversary of the Notice. </w:t>
      </w:r>
      <w:r w:rsidR="0037337B">
        <w:t>Any</w:t>
      </w:r>
      <w:r>
        <w:t xml:space="preserve"> deviation to this payment schedule will require program approval. For this proposed Conservation Project, the CHI contribution will be $</w:t>
      </w:r>
      <w:r w:rsidR="00C071CA" w:rsidRPr="00C071CA">
        <w:t>35,795.37</w:t>
      </w:r>
      <w:r w:rsidRPr="00C071CA">
        <w:t>.</w:t>
      </w:r>
      <w:r w:rsidRPr="00AA7866">
        <w:rPr>
          <w:color w:val="FF0000"/>
        </w:rPr>
        <w:t xml:space="preserve"> </w:t>
      </w:r>
      <w:r>
        <w:t>Based on the Applicant’s compliance with the above requirement, the Applicant meets the terms of Factor 6.</w:t>
      </w:r>
    </w:p>
    <w:p w14:paraId="00000032" w14:textId="77777777" w:rsidR="00350CD8" w:rsidRDefault="00350CD8">
      <w:pPr>
        <w:spacing w:after="0"/>
        <w:rPr>
          <w:b/>
        </w:rPr>
      </w:pPr>
    </w:p>
    <w:p w14:paraId="00000033" w14:textId="71A7465D" w:rsidR="00350CD8" w:rsidRDefault="001A6308">
      <w:pPr>
        <w:spacing w:after="0"/>
      </w:pPr>
      <w:r>
        <w:rPr>
          <w:b/>
        </w:rPr>
        <w:t xml:space="preserve">Overall </w:t>
      </w:r>
      <w:r w:rsidR="00EC32CB">
        <w:rPr>
          <w:b/>
        </w:rPr>
        <w:t>Findings</w:t>
      </w:r>
      <w:r w:rsidR="00EC32CB">
        <w:t xml:space="preserve"> </w:t>
      </w:r>
    </w:p>
    <w:p w14:paraId="6F1186AA" w14:textId="1D89E591" w:rsidR="00C977F5" w:rsidRPr="00084566" w:rsidRDefault="007F1473" w:rsidP="00C977F5">
      <w:pPr>
        <w:ind w:hanging="2"/>
      </w:pPr>
      <w:bookmarkStart w:id="0" w:name="_gjdgxs" w:colFirst="0" w:colLast="0"/>
      <w:bookmarkEnd w:id="0"/>
      <w:r w:rsidRPr="003D7068">
        <w:t xml:space="preserve">Based upon a review of the materials submitted, </w:t>
      </w:r>
      <w:r>
        <w:t xml:space="preserve">staff finds </w:t>
      </w:r>
      <w:r w:rsidRPr="003D7068">
        <w:t xml:space="preserve">that </w:t>
      </w:r>
      <w:bookmarkStart w:id="1" w:name="_Hlk106373244"/>
      <w:r w:rsidRPr="003D7068">
        <w:t xml:space="preserve">the </w:t>
      </w:r>
      <w:bookmarkStart w:id="2" w:name="_Hlk106372599"/>
      <w:bookmarkStart w:id="3" w:name="_Hlk106373125"/>
      <w:r w:rsidR="00C977F5">
        <w:t xml:space="preserve">Applicant has met each applicable </w:t>
      </w:r>
      <w:proofErr w:type="spellStart"/>
      <w:r w:rsidR="00C977F5">
        <w:t>DoN</w:t>
      </w:r>
      <w:proofErr w:type="spellEnd"/>
      <w:r w:rsidR="00C977F5">
        <w:t xml:space="preserve"> Factor and recommends that the Commissioner approve this Application for Determination of Need, subject to all Standard Conditions</w:t>
      </w:r>
      <w:bookmarkEnd w:id="2"/>
      <w:r w:rsidR="00532449" w:rsidRPr="00084566">
        <w:t xml:space="preserve"> as provided in the Regulations</w:t>
      </w:r>
      <w:r w:rsidR="00532449">
        <w:t xml:space="preserve"> except for 105 MR 100.310(A)(10) and the Other Conditions set out below</w:t>
      </w:r>
      <w:bookmarkEnd w:id="1"/>
      <w:r w:rsidR="00532449" w:rsidRPr="00084566">
        <w:t xml:space="preserve">. </w:t>
      </w:r>
      <w:r w:rsidR="00532449">
        <w:rPr>
          <w:color w:val="FF0000"/>
        </w:rPr>
        <w:t xml:space="preserve"> </w:t>
      </w:r>
      <w:bookmarkEnd w:id="3"/>
    </w:p>
    <w:p w14:paraId="473B5957" w14:textId="77777777" w:rsidR="00C071CA" w:rsidRDefault="00C071CA">
      <w:pPr>
        <w:spacing w:after="0" w:line="240" w:lineRule="auto"/>
        <w:rPr>
          <w:color w:val="FF0000"/>
        </w:rPr>
      </w:pPr>
    </w:p>
    <w:p w14:paraId="18147354" w14:textId="0B849721" w:rsidR="00FC23B1" w:rsidRPr="00FC23B1" w:rsidRDefault="00FC23B1" w:rsidP="00FC23B1">
      <w:pPr>
        <w:pStyle w:val="NoSpacing"/>
        <w:rPr>
          <w:b/>
          <w:bCs/>
        </w:rPr>
      </w:pPr>
      <w:bookmarkStart w:id="4" w:name="_Hlk97557263"/>
      <w:r w:rsidRPr="00626C7C">
        <w:rPr>
          <w:b/>
          <w:bCs/>
        </w:rPr>
        <w:t>Conditions</w:t>
      </w:r>
    </w:p>
    <w:p w14:paraId="0B4E2F8C" w14:textId="77777777" w:rsidR="001A6308" w:rsidRDefault="001A6308" w:rsidP="00FC23B1">
      <w:pPr>
        <w:pStyle w:val="NoSpacing"/>
        <w:numPr>
          <w:ilvl w:val="0"/>
          <w:numId w:val="3"/>
        </w:numPr>
      </w:pPr>
      <w:r>
        <w:t xml:space="preserve">All standard conditions apply except 100.310(A)(10). </w:t>
      </w:r>
    </w:p>
    <w:p w14:paraId="63992C6A" w14:textId="603A6CC0" w:rsidR="00FC23B1" w:rsidRPr="00FC23B1" w:rsidRDefault="00FC23B1" w:rsidP="00FC23B1">
      <w:pPr>
        <w:pStyle w:val="NoSpacing"/>
        <w:numPr>
          <w:ilvl w:val="0"/>
          <w:numId w:val="3"/>
        </w:numPr>
      </w:pPr>
      <w:r w:rsidRPr="00FC23B1">
        <w:t>The total required CHI contribution of $</w:t>
      </w:r>
      <w:r w:rsidR="00C071CA" w:rsidRPr="00C071CA">
        <w:t>35,795.37</w:t>
      </w:r>
      <w:r w:rsidRPr="00FC23B1">
        <w:t xml:space="preserve"> will be directed to the Massachusetts Healthy Aging Fund. </w:t>
      </w:r>
    </w:p>
    <w:p w14:paraId="0649C29E" w14:textId="591BB104" w:rsidR="00FC23B1" w:rsidRPr="00FC23B1" w:rsidRDefault="00FC23B1" w:rsidP="00FC23B1">
      <w:pPr>
        <w:pStyle w:val="NoSpacing"/>
        <w:numPr>
          <w:ilvl w:val="0"/>
          <w:numId w:val="3"/>
        </w:numPr>
      </w:pPr>
      <w:r w:rsidRPr="00FC23B1">
        <w:t xml:space="preserve">To comply with the Holder’s obligation to contribute to the Massachusetts Healthy Aging Fund, the Holder </w:t>
      </w:r>
      <w:proofErr w:type="gramStart"/>
      <w:r w:rsidRPr="00FC23B1">
        <w:t>must to</w:t>
      </w:r>
      <w:proofErr w:type="gramEnd"/>
      <w:r w:rsidRPr="00FC23B1">
        <w:t xml:space="preserve"> Health Resources in Action (the fiscal agent for the CHI Statewide Initiative)</w:t>
      </w:r>
      <w:r w:rsidR="001A6308">
        <w:t xml:space="preserve"> in two equal installments of </w:t>
      </w:r>
      <w:r w:rsidR="001A6308" w:rsidRPr="00626C7C">
        <w:t>$</w:t>
      </w:r>
      <w:r w:rsidR="004B37D1">
        <w:t>17,897.68</w:t>
      </w:r>
      <w:r w:rsidR="001A6308">
        <w:t xml:space="preserve"> as follows:</w:t>
      </w:r>
    </w:p>
    <w:p w14:paraId="56BBCE49" w14:textId="4D61E8BA" w:rsidR="00FC23B1" w:rsidRDefault="00FC23B1" w:rsidP="00FC23B1">
      <w:pPr>
        <w:pStyle w:val="NoSpacing"/>
        <w:numPr>
          <w:ilvl w:val="0"/>
          <w:numId w:val="4"/>
        </w:numPr>
      </w:pPr>
      <w:r w:rsidRPr="00FC23B1">
        <w:t xml:space="preserve">The Holder must submit the </w:t>
      </w:r>
      <w:r w:rsidR="001A6308">
        <w:t xml:space="preserve">first check </w:t>
      </w:r>
      <w:r w:rsidRPr="00FC23B1">
        <w:t xml:space="preserve">to </w:t>
      </w:r>
      <w:proofErr w:type="spellStart"/>
      <w:r w:rsidRPr="00FC23B1">
        <w:t>HRiA</w:t>
      </w:r>
      <w:proofErr w:type="spellEnd"/>
      <w:r w:rsidRPr="00FC23B1">
        <w:t xml:space="preserve"> within </w:t>
      </w:r>
      <w:r w:rsidR="00626C7C">
        <w:t>6 months</w:t>
      </w:r>
      <w:r w:rsidRPr="00FC23B1">
        <w:t xml:space="preserve"> from the date of the </w:t>
      </w:r>
      <w:r w:rsidR="001A6308">
        <w:t xml:space="preserve">approved </w:t>
      </w:r>
      <w:r w:rsidRPr="00FC23B1">
        <w:t xml:space="preserve">Notice of </w:t>
      </w:r>
      <w:r w:rsidR="001A6308">
        <w:t>Determination of Need</w:t>
      </w:r>
      <w:r w:rsidRPr="00FC23B1">
        <w:t>.</w:t>
      </w:r>
    </w:p>
    <w:p w14:paraId="15AC58FB" w14:textId="585E7CB6" w:rsidR="00FC23B1" w:rsidRPr="00FC23B1" w:rsidRDefault="00FC23B1" w:rsidP="00FC23B1">
      <w:pPr>
        <w:pStyle w:val="NoSpacing"/>
        <w:numPr>
          <w:ilvl w:val="0"/>
          <w:numId w:val="4"/>
        </w:numPr>
      </w:pPr>
      <w:r>
        <w:t>T</w:t>
      </w:r>
      <w:r w:rsidRPr="00FC23B1">
        <w:t xml:space="preserve">he Holder must submit the second installment of funds to </w:t>
      </w:r>
      <w:proofErr w:type="spellStart"/>
      <w:r w:rsidRPr="00FC23B1">
        <w:t>HRiA</w:t>
      </w:r>
      <w:proofErr w:type="spellEnd"/>
      <w:r w:rsidRPr="00FC23B1">
        <w:t xml:space="preserve"> </w:t>
      </w:r>
      <w:r w:rsidR="003374B6">
        <w:t xml:space="preserve">on the first anniversary </w:t>
      </w:r>
      <w:r w:rsidR="001A6308" w:rsidRPr="00FC23B1">
        <w:t xml:space="preserve">of the </w:t>
      </w:r>
      <w:r w:rsidR="001A6308">
        <w:t xml:space="preserve">approved </w:t>
      </w:r>
      <w:r w:rsidR="001A6308" w:rsidRPr="00FC23B1">
        <w:t xml:space="preserve">Notice of </w:t>
      </w:r>
      <w:r w:rsidR="001A6308">
        <w:t>Determination of Need</w:t>
      </w:r>
      <w:r w:rsidR="001A6308" w:rsidRPr="00FC23B1">
        <w:t>.</w:t>
      </w:r>
    </w:p>
    <w:p w14:paraId="6ED5491D" w14:textId="7A269BC7" w:rsidR="00FC23B1" w:rsidRPr="00FC23B1" w:rsidRDefault="00FC23B1" w:rsidP="00FC23B1">
      <w:pPr>
        <w:pStyle w:val="NoSpacing"/>
        <w:numPr>
          <w:ilvl w:val="0"/>
          <w:numId w:val="4"/>
        </w:numPr>
      </w:pPr>
      <w:r w:rsidRPr="00FC23B1">
        <w:t>The Holder must promptly notify DPH (CHI contact staff) when each payment has been made.</w:t>
      </w:r>
    </w:p>
    <w:bookmarkEnd w:id="4"/>
    <w:p w14:paraId="2D6F77DC" w14:textId="77777777" w:rsidR="00FC23B1" w:rsidRPr="00FC23B1" w:rsidRDefault="00FC23B1" w:rsidP="00FC23B1">
      <w:pPr>
        <w:pStyle w:val="NoSpacing"/>
      </w:pPr>
      <w:r w:rsidRPr="00FC23B1">
        <w:t>Payment should be sent to:</w:t>
      </w:r>
    </w:p>
    <w:p w14:paraId="28560844" w14:textId="77777777" w:rsidR="00FC23B1" w:rsidRPr="00FC23B1" w:rsidRDefault="00FC23B1" w:rsidP="00FC23B1">
      <w:pPr>
        <w:pStyle w:val="NoSpacing"/>
      </w:pPr>
      <w:r w:rsidRPr="00FC23B1">
        <w:t>Health Resources in Action, Inc. (</w:t>
      </w:r>
      <w:proofErr w:type="spellStart"/>
      <w:r w:rsidRPr="00FC23B1">
        <w:t>HRiA</w:t>
      </w:r>
      <w:proofErr w:type="spellEnd"/>
      <w:r w:rsidRPr="00FC23B1">
        <w:t>) </w:t>
      </w:r>
    </w:p>
    <w:p w14:paraId="0787EE46" w14:textId="77777777" w:rsidR="00FC23B1" w:rsidRPr="00FC23B1" w:rsidRDefault="00FC23B1" w:rsidP="00FC23B1">
      <w:pPr>
        <w:pStyle w:val="NoSpacing"/>
      </w:pPr>
      <w:r w:rsidRPr="00FC23B1">
        <w:t>2 Boylston Street, 4th Floor</w:t>
      </w:r>
    </w:p>
    <w:p w14:paraId="04CCB78B" w14:textId="77777777" w:rsidR="00FC23B1" w:rsidRPr="00FC23B1" w:rsidRDefault="00FC23B1" w:rsidP="00FC23B1">
      <w:pPr>
        <w:pStyle w:val="NoSpacing"/>
      </w:pPr>
      <w:r w:rsidRPr="00FC23B1">
        <w:t>Boston, MA 02116</w:t>
      </w:r>
    </w:p>
    <w:p w14:paraId="6D6A0A27" w14:textId="54E9648E" w:rsidR="00FC23B1" w:rsidRPr="00FC23B1" w:rsidRDefault="00FC23B1" w:rsidP="00FC23B1">
      <w:pPr>
        <w:pStyle w:val="NoSpacing"/>
      </w:pPr>
      <w:r w:rsidRPr="00FC23B1">
        <w:t>Attn: Ms. Bora Toro</w:t>
      </w:r>
    </w:p>
    <w:sectPr w:rsidR="00FC23B1" w:rsidRPr="00FC23B1">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CFF5" w14:textId="77777777" w:rsidR="00CF6F72" w:rsidRDefault="00CF6F72">
      <w:pPr>
        <w:spacing w:after="0" w:line="240" w:lineRule="auto"/>
      </w:pPr>
      <w:r>
        <w:separator/>
      </w:r>
    </w:p>
  </w:endnote>
  <w:endnote w:type="continuationSeparator" w:id="0">
    <w:p w14:paraId="0569ABFC" w14:textId="77777777" w:rsidR="00CF6F72" w:rsidRDefault="00CF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A2C6C38" w:rsidR="00350CD8" w:rsidRDefault="00EC32C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55BB2">
      <w:rPr>
        <w:noProof/>
        <w:color w:val="000000"/>
      </w:rPr>
      <w:t>1</w:t>
    </w:r>
    <w:r>
      <w:rPr>
        <w:color w:val="000000"/>
      </w:rPr>
      <w:fldChar w:fldCharType="end"/>
    </w:r>
  </w:p>
  <w:p w14:paraId="0000004E" w14:textId="77777777" w:rsidR="00350CD8" w:rsidRDefault="00350C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B93D9" w14:textId="77777777" w:rsidR="00CF6F72" w:rsidRDefault="00CF6F72">
      <w:pPr>
        <w:spacing w:after="0" w:line="240" w:lineRule="auto"/>
      </w:pPr>
      <w:r>
        <w:separator/>
      </w:r>
    </w:p>
  </w:footnote>
  <w:footnote w:type="continuationSeparator" w:id="0">
    <w:p w14:paraId="22BFC282" w14:textId="77777777" w:rsidR="00CF6F72" w:rsidRDefault="00CF6F72">
      <w:pPr>
        <w:spacing w:after="0" w:line="240" w:lineRule="auto"/>
      </w:pPr>
      <w:r>
        <w:continuationSeparator/>
      </w:r>
    </w:p>
  </w:footnote>
  <w:footnote w:id="1">
    <w:p w14:paraId="1A89D000" w14:textId="77777777" w:rsidR="001A6308" w:rsidRDefault="001A6308" w:rsidP="001A6308">
      <w:pPr>
        <w:spacing w:after="0"/>
        <w:ind w:hanging="2"/>
      </w:pPr>
      <w:r>
        <w:rPr>
          <w:rStyle w:val="FootnoteReference"/>
        </w:rPr>
        <w:footnoteRef/>
      </w:r>
      <w:r>
        <w:rPr>
          <w:color w:val="000000"/>
          <w:sz w:val="18"/>
          <w:szCs w:val="18"/>
        </w:rPr>
        <w:t xml:space="preserve"> </w:t>
      </w:r>
      <w:r w:rsidRPr="00A83AFE">
        <w:rPr>
          <w:color w:val="000000"/>
          <w:sz w:val="18"/>
          <w:szCs w:val="18"/>
        </w:rPr>
        <w:t>https://www.mass.gov/doc/long-term-care-notice-pdf/download</w:t>
      </w:r>
    </w:p>
  </w:footnote>
  <w:footnote w:id="2">
    <w:p w14:paraId="03E5CE8F" w14:textId="1F31C5DB" w:rsidR="00CB0B7E" w:rsidRDefault="00CB0B7E">
      <w:pPr>
        <w:pStyle w:val="FootnoteText"/>
      </w:pPr>
      <w:r>
        <w:rPr>
          <w:rStyle w:val="FootnoteReference"/>
        </w:rPr>
        <w:footnoteRef/>
      </w:r>
      <w:r>
        <w:t xml:space="preserve"> </w:t>
      </w:r>
      <w:r w:rsidRPr="00CB0B7E">
        <w:rPr>
          <w:color w:val="000000"/>
          <w:sz w:val="18"/>
          <w:szCs w:val="18"/>
        </w:rPr>
        <w:t>This represents primarily longer stay residents who were either admitted to the facility on Medicaid or who spent down their private resources over time and then converted to Medicaid.</w:t>
      </w:r>
    </w:p>
  </w:footnote>
  <w:footnote w:id="3">
    <w:p w14:paraId="53389570" w14:textId="213308A7" w:rsidR="000317C8" w:rsidRDefault="000317C8">
      <w:pPr>
        <w:pStyle w:val="FootnoteText"/>
      </w:pPr>
      <w:r>
        <w:rPr>
          <w:rStyle w:val="FootnoteReference"/>
        </w:rPr>
        <w:footnoteRef/>
      </w:r>
      <w:r>
        <w:t xml:space="preserve"> </w:t>
      </w:r>
      <w:r w:rsidRPr="000317C8">
        <w:rPr>
          <w:sz w:val="18"/>
          <w:szCs w:val="18"/>
        </w:rPr>
        <w:t>inflationary factors used ranges from two percent to three percent depending on the type of expense</w:t>
      </w:r>
    </w:p>
  </w:footnote>
  <w:footnote w:id="4">
    <w:p w14:paraId="0000004C" w14:textId="421EEC29" w:rsidR="00350CD8" w:rsidRDefault="00EC32CB">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00C7184F" w:rsidRPr="00C7184F">
        <w:rPr>
          <w:color w:val="000000"/>
          <w:sz w:val="18"/>
          <w:szCs w:val="18"/>
        </w:rPr>
        <w:t>amortization at an interest rate of 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94AF6"/>
    <w:multiLevelType w:val="hybridMultilevel"/>
    <w:tmpl w:val="1E4C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54EB5"/>
    <w:multiLevelType w:val="hybridMultilevel"/>
    <w:tmpl w:val="87A6628A"/>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2" w15:restartNumberingAfterBreak="0">
    <w:nsid w:val="30556D0E"/>
    <w:multiLevelType w:val="hybridMultilevel"/>
    <w:tmpl w:val="E9F6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07F8B"/>
    <w:multiLevelType w:val="hybridMultilevel"/>
    <w:tmpl w:val="7DD83484"/>
    <w:lvl w:ilvl="0" w:tplc="93B2A1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15579"/>
    <w:multiLevelType w:val="hybridMultilevel"/>
    <w:tmpl w:val="9A4C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61C84"/>
    <w:multiLevelType w:val="hybridMultilevel"/>
    <w:tmpl w:val="66CABBE2"/>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0409001B">
      <w:start w:val="1"/>
      <w:numFmt w:val="lowerRoman"/>
      <w:lvlText w:val="%2."/>
      <w:lvlJc w:val="right"/>
      <w:pPr>
        <w:ind w:left="1560" w:hanging="361"/>
      </w:pPr>
      <w:rPr>
        <w:rFonts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6"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558693">
    <w:abstractNumId w:val="1"/>
  </w:num>
  <w:num w:numId="2" w16cid:durableId="1208293748">
    <w:abstractNumId w:val="5"/>
  </w:num>
  <w:num w:numId="3" w16cid:durableId="228003928">
    <w:abstractNumId w:val="7"/>
  </w:num>
  <w:num w:numId="4" w16cid:durableId="607813405">
    <w:abstractNumId w:val="6"/>
  </w:num>
  <w:num w:numId="5" w16cid:durableId="1611159405">
    <w:abstractNumId w:val="2"/>
  </w:num>
  <w:num w:numId="6" w16cid:durableId="1301960811">
    <w:abstractNumId w:val="0"/>
  </w:num>
  <w:num w:numId="7" w16cid:durableId="988554654">
    <w:abstractNumId w:val="4"/>
  </w:num>
  <w:num w:numId="8" w16cid:durableId="165872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8"/>
    <w:rsid w:val="000317C8"/>
    <w:rsid w:val="00052F86"/>
    <w:rsid w:val="000F464A"/>
    <w:rsid w:val="000F47BB"/>
    <w:rsid w:val="0011193A"/>
    <w:rsid w:val="0018018B"/>
    <w:rsid w:val="001A6308"/>
    <w:rsid w:val="001B0B07"/>
    <w:rsid w:val="001C40D4"/>
    <w:rsid w:val="001C4771"/>
    <w:rsid w:val="00232C1E"/>
    <w:rsid w:val="0025509E"/>
    <w:rsid w:val="002729EE"/>
    <w:rsid w:val="002A75E2"/>
    <w:rsid w:val="003374B6"/>
    <w:rsid w:val="003435B1"/>
    <w:rsid w:val="00350CD8"/>
    <w:rsid w:val="003715B8"/>
    <w:rsid w:val="0037337B"/>
    <w:rsid w:val="00376DFB"/>
    <w:rsid w:val="003924C0"/>
    <w:rsid w:val="003A6C4E"/>
    <w:rsid w:val="003C6BEB"/>
    <w:rsid w:val="003E769B"/>
    <w:rsid w:val="0040293F"/>
    <w:rsid w:val="0041445D"/>
    <w:rsid w:val="00435AEC"/>
    <w:rsid w:val="004A6C5D"/>
    <w:rsid w:val="004B37D1"/>
    <w:rsid w:val="004F0F4F"/>
    <w:rsid w:val="00532449"/>
    <w:rsid w:val="00562F99"/>
    <w:rsid w:val="005917B5"/>
    <w:rsid w:val="005A11CE"/>
    <w:rsid w:val="005F1B4C"/>
    <w:rsid w:val="005F1FA9"/>
    <w:rsid w:val="005F24F0"/>
    <w:rsid w:val="00626C7C"/>
    <w:rsid w:val="006654A9"/>
    <w:rsid w:val="006B276A"/>
    <w:rsid w:val="006E04B7"/>
    <w:rsid w:val="006F4271"/>
    <w:rsid w:val="00704EB3"/>
    <w:rsid w:val="007408B7"/>
    <w:rsid w:val="00753DA9"/>
    <w:rsid w:val="007634A5"/>
    <w:rsid w:val="00776839"/>
    <w:rsid w:val="00785AB1"/>
    <w:rsid w:val="007B48B7"/>
    <w:rsid w:val="007C4249"/>
    <w:rsid w:val="007D523B"/>
    <w:rsid w:val="007E1EF8"/>
    <w:rsid w:val="007E31FC"/>
    <w:rsid w:val="007F1473"/>
    <w:rsid w:val="00813E89"/>
    <w:rsid w:val="00827FB7"/>
    <w:rsid w:val="008441C8"/>
    <w:rsid w:val="00850EBA"/>
    <w:rsid w:val="00855BB2"/>
    <w:rsid w:val="00867B77"/>
    <w:rsid w:val="00870F8F"/>
    <w:rsid w:val="00882418"/>
    <w:rsid w:val="008A5208"/>
    <w:rsid w:val="008D20ED"/>
    <w:rsid w:val="008E0BE9"/>
    <w:rsid w:val="00904FE5"/>
    <w:rsid w:val="0090564E"/>
    <w:rsid w:val="00927ED3"/>
    <w:rsid w:val="00933FEB"/>
    <w:rsid w:val="00935539"/>
    <w:rsid w:val="00955CCF"/>
    <w:rsid w:val="009A639D"/>
    <w:rsid w:val="009C4126"/>
    <w:rsid w:val="009F234B"/>
    <w:rsid w:val="00A2594B"/>
    <w:rsid w:val="00A26CEB"/>
    <w:rsid w:val="00A360AA"/>
    <w:rsid w:val="00A44885"/>
    <w:rsid w:val="00A47B9B"/>
    <w:rsid w:val="00A938CF"/>
    <w:rsid w:val="00AA7866"/>
    <w:rsid w:val="00AB7BBE"/>
    <w:rsid w:val="00AE50D8"/>
    <w:rsid w:val="00B631B5"/>
    <w:rsid w:val="00B941A2"/>
    <w:rsid w:val="00BA0139"/>
    <w:rsid w:val="00BB6DFD"/>
    <w:rsid w:val="00BF3DE9"/>
    <w:rsid w:val="00BF73D1"/>
    <w:rsid w:val="00C0538A"/>
    <w:rsid w:val="00C071CA"/>
    <w:rsid w:val="00C31A9B"/>
    <w:rsid w:val="00C37503"/>
    <w:rsid w:val="00C44E7C"/>
    <w:rsid w:val="00C55500"/>
    <w:rsid w:val="00C7184F"/>
    <w:rsid w:val="00C977F5"/>
    <w:rsid w:val="00CB0B7E"/>
    <w:rsid w:val="00CB7E2A"/>
    <w:rsid w:val="00CE0C1D"/>
    <w:rsid w:val="00CF6F72"/>
    <w:rsid w:val="00D07B29"/>
    <w:rsid w:val="00D26AF8"/>
    <w:rsid w:val="00D63B7A"/>
    <w:rsid w:val="00D85B38"/>
    <w:rsid w:val="00DA267E"/>
    <w:rsid w:val="00DC6D7B"/>
    <w:rsid w:val="00DE59FD"/>
    <w:rsid w:val="00DF001D"/>
    <w:rsid w:val="00E268E0"/>
    <w:rsid w:val="00E322AB"/>
    <w:rsid w:val="00E330CE"/>
    <w:rsid w:val="00E5378B"/>
    <w:rsid w:val="00E638D0"/>
    <w:rsid w:val="00EB035D"/>
    <w:rsid w:val="00EB77EB"/>
    <w:rsid w:val="00EC32CB"/>
    <w:rsid w:val="00ED3160"/>
    <w:rsid w:val="00F10FF3"/>
    <w:rsid w:val="00F11D83"/>
    <w:rsid w:val="00F23671"/>
    <w:rsid w:val="00F42379"/>
    <w:rsid w:val="00F954BF"/>
    <w:rsid w:val="00FA695F"/>
    <w:rsid w:val="00FA6DBA"/>
    <w:rsid w:val="00FC23B1"/>
    <w:rsid w:val="00FE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FBF4"/>
  <w15:docId w15:val="{3F142E07-0B0E-47CD-A1B4-0CC9280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C55500"/>
    <w:rPr>
      <w:color w:val="0000FF" w:themeColor="hyperlink"/>
      <w:u w:val="single"/>
    </w:rPr>
  </w:style>
  <w:style w:type="character" w:styleId="UnresolvedMention">
    <w:name w:val="Unresolved Mention"/>
    <w:basedOn w:val="DefaultParagraphFont"/>
    <w:uiPriority w:val="99"/>
    <w:semiHidden/>
    <w:unhideWhenUsed/>
    <w:rsid w:val="00C55500"/>
    <w:rPr>
      <w:color w:val="605E5C"/>
      <w:shd w:val="clear" w:color="auto" w:fill="E1DFDD"/>
    </w:rPr>
  </w:style>
  <w:style w:type="paragraph" w:styleId="ListParagraph">
    <w:name w:val="List Paragraph"/>
    <w:basedOn w:val="Normal"/>
    <w:uiPriority w:val="1"/>
    <w:qFormat/>
    <w:rsid w:val="00FC23B1"/>
    <w:pPr>
      <w:widowControl w:val="0"/>
      <w:autoSpaceDE w:val="0"/>
      <w:autoSpaceDN w:val="0"/>
      <w:spacing w:after="0" w:line="240" w:lineRule="auto"/>
      <w:ind w:left="119" w:hanging="361"/>
    </w:pPr>
    <w:rPr>
      <w:rFonts w:ascii="Times New Roman" w:eastAsia="Times New Roman" w:hAnsi="Times New Roman" w:cs="Times New Roman"/>
      <w:lang w:bidi="en-US"/>
    </w:rPr>
  </w:style>
  <w:style w:type="paragraph" w:styleId="NoSpacing">
    <w:name w:val="No Spacing"/>
    <w:uiPriority w:val="1"/>
    <w:qFormat/>
    <w:rsid w:val="00FC23B1"/>
    <w:pPr>
      <w:spacing w:after="0" w:line="240" w:lineRule="auto"/>
    </w:pPr>
  </w:style>
  <w:style w:type="character" w:styleId="FootnoteReference">
    <w:name w:val="footnote reference"/>
    <w:uiPriority w:val="99"/>
    <w:rsid w:val="001A6308"/>
    <w:rPr>
      <w:w w:val="100"/>
      <w:position w:val="-1"/>
      <w:effect w:val="none"/>
      <w:vertAlign w:val="superscript"/>
      <w:cs w:val="0"/>
      <w:em w:val="none"/>
    </w:rPr>
  </w:style>
  <w:style w:type="paragraph" w:styleId="FootnoteText">
    <w:name w:val="footnote text"/>
    <w:basedOn w:val="Normal"/>
    <w:link w:val="FootnoteTextChar"/>
    <w:uiPriority w:val="99"/>
    <w:semiHidden/>
    <w:unhideWhenUsed/>
    <w:rsid w:val="00CB0B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B7E"/>
    <w:rPr>
      <w:sz w:val="20"/>
      <w:szCs w:val="20"/>
    </w:rPr>
  </w:style>
  <w:style w:type="paragraph" w:styleId="Revision">
    <w:name w:val="Revision"/>
    <w:hidden/>
    <w:uiPriority w:val="99"/>
    <w:semiHidden/>
    <w:rsid w:val="007408B7"/>
    <w:pPr>
      <w:spacing w:after="0" w:line="240" w:lineRule="auto"/>
    </w:pPr>
  </w:style>
  <w:style w:type="character" w:styleId="CommentReference">
    <w:name w:val="annotation reference"/>
    <w:basedOn w:val="DefaultParagraphFont"/>
    <w:uiPriority w:val="99"/>
    <w:semiHidden/>
    <w:unhideWhenUsed/>
    <w:rsid w:val="008D20ED"/>
    <w:rPr>
      <w:sz w:val="16"/>
      <w:szCs w:val="16"/>
    </w:rPr>
  </w:style>
  <w:style w:type="paragraph" w:styleId="CommentText">
    <w:name w:val="annotation text"/>
    <w:basedOn w:val="Normal"/>
    <w:link w:val="CommentTextChar"/>
    <w:uiPriority w:val="99"/>
    <w:semiHidden/>
    <w:unhideWhenUsed/>
    <w:rsid w:val="008D20ED"/>
    <w:pPr>
      <w:spacing w:line="240" w:lineRule="auto"/>
    </w:pPr>
    <w:rPr>
      <w:sz w:val="20"/>
      <w:szCs w:val="20"/>
    </w:rPr>
  </w:style>
  <w:style w:type="character" w:customStyle="1" w:styleId="CommentTextChar">
    <w:name w:val="Comment Text Char"/>
    <w:basedOn w:val="DefaultParagraphFont"/>
    <w:link w:val="CommentText"/>
    <w:uiPriority w:val="99"/>
    <w:semiHidden/>
    <w:rsid w:val="008D20ED"/>
    <w:rPr>
      <w:sz w:val="20"/>
      <w:szCs w:val="20"/>
    </w:rPr>
  </w:style>
  <w:style w:type="paragraph" w:styleId="CommentSubject">
    <w:name w:val="annotation subject"/>
    <w:basedOn w:val="CommentText"/>
    <w:next w:val="CommentText"/>
    <w:link w:val="CommentSubjectChar"/>
    <w:uiPriority w:val="99"/>
    <w:semiHidden/>
    <w:unhideWhenUsed/>
    <w:rsid w:val="008D20ED"/>
    <w:rPr>
      <w:b/>
      <w:bCs/>
    </w:rPr>
  </w:style>
  <w:style w:type="character" w:customStyle="1" w:styleId="CommentSubjectChar">
    <w:name w:val="Comment Subject Char"/>
    <w:basedOn w:val="CommentTextChar"/>
    <w:link w:val="CommentSubject"/>
    <w:uiPriority w:val="99"/>
    <w:semiHidden/>
    <w:rsid w:val="008D20ED"/>
    <w:rPr>
      <w:b/>
      <w:bCs/>
      <w:sz w:val="20"/>
      <w:szCs w:val="20"/>
    </w:rPr>
  </w:style>
  <w:style w:type="paragraph" w:customStyle="1" w:styleId="TableParagraph">
    <w:name w:val="Table Paragraph"/>
    <w:basedOn w:val="Normal"/>
    <w:uiPriority w:val="1"/>
    <w:qFormat/>
    <w:rsid w:val="00A26CEB"/>
    <w:pPr>
      <w:widowControl w:val="0"/>
      <w:autoSpaceDE w:val="0"/>
      <w:autoSpaceDN w:val="0"/>
      <w:spacing w:after="0" w:line="145" w:lineRule="exact"/>
    </w:pPr>
  </w:style>
  <w:style w:type="table" w:styleId="TableGrid">
    <w:name w:val="Table Grid"/>
    <w:basedOn w:val="TableNormal"/>
    <w:uiPriority w:val="39"/>
    <w:rsid w:val="00DA2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7970">
      <w:bodyDiv w:val="1"/>
      <w:marLeft w:val="0"/>
      <w:marRight w:val="0"/>
      <w:marTop w:val="0"/>
      <w:marBottom w:val="0"/>
      <w:divBdr>
        <w:top w:val="none" w:sz="0" w:space="0" w:color="auto"/>
        <w:left w:val="none" w:sz="0" w:space="0" w:color="auto"/>
        <w:bottom w:val="none" w:sz="0" w:space="0" w:color="auto"/>
        <w:right w:val="none" w:sz="0" w:space="0" w:color="auto"/>
      </w:divBdr>
    </w:div>
    <w:div w:id="380255828">
      <w:bodyDiv w:val="1"/>
      <w:marLeft w:val="0"/>
      <w:marRight w:val="0"/>
      <w:marTop w:val="0"/>
      <w:marBottom w:val="0"/>
      <w:divBdr>
        <w:top w:val="none" w:sz="0" w:space="0" w:color="auto"/>
        <w:left w:val="none" w:sz="0" w:space="0" w:color="auto"/>
        <w:bottom w:val="none" w:sz="0" w:space="0" w:color="auto"/>
        <w:right w:val="none" w:sz="0" w:space="0" w:color="auto"/>
      </w:divBdr>
    </w:div>
    <w:div w:id="117591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E73C2-199A-47B6-97A1-C4A27106DA4E}">
  <ds:schemaRefs>
    <ds:schemaRef ds:uri="http://schemas.openxmlformats.org/officeDocument/2006/bibliography"/>
  </ds:schemaRefs>
</ds:datastoreItem>
</file>

<file path=customXml/itemProps2.xml><?xml version="1.0" encoding="utf-8"?>
<ds:datastoreItem xmlns:ds="http://schemas.openxmlformats.org/officeDocument/2006/customXml" ds:itemID="{6C6458D4-8BE7-4BAD-96D5-9B2D2E82F72A}">
  <ds:schemaRefs>
    <ds:schemaRef ds:uri="http://schemas.microsoft.com/sharepoint/v3/contenttype/forms"/>
  </ds:schemaRefs>
</ds:datastoreItem>
</file>

<file path=customXml/itemProps3.xml><?xml version="1.0" encoding="utf-8"?>
<ds:datastoreItem xmlns:ds="http://schemas.openxmlformats.org/officeDocument/2006/customXml" ds:itemID="{5C8118BA-1F65-4F58-B461-DD96B9E5F8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C08B44-D26A-41CF-A814-9260A57EA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Szent-Gyorgyi, Lara (DPH)</dc:creator>
  <cp:lastModifiedBy>Marks, Brett (DPH)</cp:lastModifiedBy>
  <cp:revision>7</cp:revision>
  <dcterms:created xsi:type="dcterms:W3CDTF">2022-07-15T06:34:00Z</dcterms:created>
  <dcterms:modified xsi:type="dcterms:W3CDTF">2022-07-28T16:32:00Z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