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50CD8" w:rsidRPr="00323E72" w:rsidRDefault="00EC32CB" w:rsidP="00D642AB">
      <w:pPr>
        <w:spacing w:line="240" w:lineRule="auto"/>
        <w:rPr>
          <w:rFonts w:asciiTheme="majorHAnsi" w:hAnsiTheme="majorHAnsi" w:cstheme="majorHAnsi"/>
          <w:b/>
          <w:sz w:val="24"/>
          <w:szCs w:val="24"/>
          <w:highlight w:val="yellow"/>
        </w:rPr>
      </w:pPr>
      <w:r w:rsidRPr="00772279">
        <w:rPr>
          <w:rFonts w:asciiTheme="majorHAnsi" w:hAnsiTheme="majorHAnsi" w:cstheme="majorHAnsi"/>
          <w:b/>
          <w:sz w:val="24"/>
          <w:szCs w:val="24"/>
        </w:rPr>
        <w:t>Memorandum to the Commissioner</w:t>
      </w:r>
    </w:p>
    <w:p w14:paraId="0755DB6A" w14:textId="2D74EC5A" w:rsidR="00D054BD" w:rsidRPr="00444E8E" w:rsidRDefault="00EC32CB" w:rsidP="00D642AB">
      <w:pPr>
        <w:spacing w:after="0" w:line="240" w:lineRule="auto"/>
        <w:rPr>
          <w:rFonts w:asciiTheme="majorHAnsi" w:hAnsiTheme="majorHAnsi" w:cstheme="majorHAnsi"/>
          <w:bCs/>
          <w:sz w:val="24"/>
          <w:szCs w:val="24"/>
        </w:rPr>
      </w:pPr>
      <w:r w:rsidRPr="00444E8E">
        <w:rPr>
          <w:rFonts w:asciiTheme="majorHAnsi" w:hAnsiTheme="majorHAnsi" w:cstheme="majorHAnsi"/>
          <w:b/>
          <w:sz w:val="24"/>
          <w:szCs w:val="24"/>
        </w:rPr>
        <w:t>Applicant:</w:t>
      </w:r>
      <w:r w:rsidR="00D054BD" w:rsidRPr="00444E8E">
        <w:rPr>
          <w:rFonts w:asciiTheme="majorHAnsi" w:hAnsiTheme="majorHAnsi" w:cstheme="majorHAnsi"/>
          <w:b/>
          <w:sz w:val="24"/>
          <w:szCs w:val="24"/>
        </w:rPr>
        <w:t xml:space="preserve"> </w:t>
      </w:r>
      <w:r w:rsidR="00444E8E" w:rsidRPr="00444E8E">
        <w:rPr>
          <w:rFonts w:asciiTheme="majorHAnsi" w:hAnsiTheme="majorHAnsi" w:cstheme="majorHAnsi"/>
          <w:bCs/>
          <w:sz w:val="24"/>
          <w:szCs w:val="24"/>
        </w:rPr>
        <w:t>Royal Wayland Nursing Home LLC</w:t>
      </w:r>
    </w:p>
    <w:p w14:paraId="00000002" w14:textId="34239EB1" w:rsidR="00350CD8" w:rsidRPr="00444E8E" w:rsidRDefault="00D054BD" w:rsidP="00D642AB">
      <w:pPr>
        <w:spacing w:after="0" w:line="240" w:lineRule="auto"/>
        <w:ind w:left="720"/>
        <w:rPr>
          <w:rFonts w:asciiTheme="majorHAnsi" w:hAnsiTheme="majorHAnsi" w:cstheme="majorHAnsi"/>
          <w:sz w:val="24"/>
          <w:szCs w:val="24"/>
        </w:rPr>
      </w:pPr>
      <w:r w:rsidRPr="00444E8E">
        <w:rPr>
          <w:rFonts w:asciiTheme="majorHAnsi" w:hAnsiTheme="majorHAnsi" w:cstheme="majorHAnsi"/>
          <w:sz w:val="24"/>
          <w:szCs w:val="24"/>
        </w:rPr>
        <w:t xml:space="preserve">     </w:t>
      </w:r>
      <w:r w:rsidR="00F45E99" w:rsidRPr="00444E8E">
        <w:rPr>
          <w:rFonts w:asciiTheme="majorHAnsi" w:hAnsiTheme="majorHAnsi" w:cstheme="majorHAnsi"/>
          <w:sz w:val="24"/>
          <w:szCs w:val="24"/>
        </w:rPr>
        <w:t xml:space="preserve"> </w:t>
      </w:r>
      <w:r w:rsidR="00444E8E" w:rsidRPr="00444E8E">
        <w:rPr>
          <w:rFonts w:asciiTheme="majorHAnsi" w:hAnsiTheme="majorHAnsi" w:cstheme="majorHAnsi"/>
          <w:sz w:val="24"/>
          <w:szCs w:val="24"/>
        </w:rPr>
        <w:t>188 Commonwealth Avenue</w:t>
      </w:r>
    </w:p>
    <w:p w14:paraId="3C774CF8" w14:textId="686A15FD" w:rsidR="00D054BD" w:rsidRPr="00444E8E" w:rsidRDefault="00D054BD" w:rsidP="00D642AB">
      <w:pPr>
        <w:spacing w:after="0" w:line="240" w:lineRule="auto"/>
        <w:ind w:left="720"/>
        <w:rPr>
          <w:rFonts w:asciiTheme="majorHAnsi" w:hAnsiTheme="majorHAnsi" w:cstheme="majorHAnsi"/>
          <w:sz w:val="24"/>
          <w:szCs w:val="24"/>
        </w:rPr>
      </w:pPr>
      <w:r w:rsidRPr="00444E8E">
        <w:rPr>
          <w:rFonts w:asciiTheme="majorHAnsi" w:hAnsiTheme="majorHAnsi" w:cstheme="majorHAnsi"/>
          <w:sz w:val="24"/>
          <w:szCs w:val="24"/>
        </w:rPr>
        <w:t xml:space="preserve">     </w:t>
      </w:r>
      <w:r w:rsidR="00F45E99" w:rsidRPr="00444E8E">
        <w:rPr>
          <w:rFonts w:asciiTheme="majorHAnsi" w:hAnsiTheme="majorHAnsi" w:cstheme="majorHAnsi"/>
          <w:sz w:val="24"/>
          <w:szCs w:val="24"/>
        </w:rPr>
        <w:t xml:space="preserve"> </w:t>
      </w:r>
      <w:r w:rsidR="00444E8E" w:rsidRPr="00444E8E">
        <w:rPr>
          <w:rFonts w:asciiTheme="majorHAnsi" w:hAnsiTheme="majorHAnsi" w:cstheme="majorHAnsi"/>
          <w:sz w:val="24"/>
          <w:szCs w:val="24"/>
        </w:rPr>
        <w:t>Wayland</w:t>
      </w:r>
      <w:r w:rsidRPr="00444E8E">
        <w:rPr>
          <w:rFonts w:asciiTheme="majorHAnsi" w:hAnsiTheme="majorHAnsi" w:cstheme="majorHAnsi"/>
          <w:sz w:val="24"/>
          <w:szCs w:val="24"/>
        </w:rPr>
        <w:t xml:space="preserve">, MA </w:t>
      </w:r>
      <w:r w:rsidR="00444E8E" w:rsidRPr="00444E8E">
        <w:rPr>
          <w:rFonts w:asciiTheme="majorHAnsi" w:hAnsiTheme="majorHAnsi" w:cstheme="majorHAnsi"/>
          <w:sz w:val="24"/>
          <w:szCs w:val="24"/>
        </w:rPr>
        <w:t>01778</w:t>
      </w:r>
    </w:p>
    <w:p w14:paraId="00000003" w14:textId="1E27CAA1" w:rsidR="00350CD8" w:rsidRPr="00980B8F" w:rsidRDefault="00D054BD" w:rsidP="00D642AB">
      <w:pPr>
        <w:spacing w:after="0" w:line="240" w:lineRule="auto"/>
        <w:rPr>
          <w:rFonts w:asciiTheme="majorHAnsi" w:hAnsiTheme="majorHAnsi" w:cstheme="majorHAnsi"/>
          <w:sz w:val="24"/>
          <w:szCs w:val="24"/>
        </w:rPr>
      </w:pPr>
      <w:r w:rsidRPr="00980B8F">
        <w:rPr>
          <w:rFonts w:asciiTheme="majorHAnsi" w:hAnsiTheme="majorHAnsi" w:cstheme="majorHAnsi"/>
          <w:b/>
          <w:bCs/>
          <w:sz w:val="24"/>
          <w:szCs w:val="24"/>
        </w:rPr>
        <w:t>Facility:</w:t>
      </w:r>
      <w:r w:rsidRPr="00980B8F">
        <w:rPr>
          <w:rFonts w:asciiTheme="majorHAnsi" w:hAnsiTheme="majorHAnsi" w:cstheme="majorHAnsi"/>
          <w:sz w:val="24"/>
          <w:szCs w:val="24"/>
        </w:rPr>
        <w:t xml:space="preserve"> </w:t>
      </w:r>
      <w:r w:rsidR="00D471A1">
        <w:rPr>
          <w:rFonts w:asciiTheme="majorHAnsi" w:hAnsiTheme="majorHAnsi" w:cstheme="majorHAnsi"/>
          <w:sz w:val="24"/>
          <w:szCs w:val="24"/>
        </w:rPr>
        <w:t>R</w:t>
      </w:r>
      <w:r w:rsidR="00D471A1" w:rsidRPr="00D471A1">
        <w:rPr>
          <w:rFonts w:asciiTheme="majorHAnsi" w:hAnsiTheme="majorHAnsi" w:cstheme="majorHAnsi"/>
          <w:sz w:val="24"/>
          <w:szCs w:val="24"/>
        </w:rPr>
        <w:t>oyal Wayland Nursing &amp; Rehabilitation Center</w:t>
      </w:r>
    </w:p>
    <w:p w14:paraId="752B911B" w14:textId="77777777" w:rsidR="00D054BD" w:rsidRPr="00323E72" w:rsidRDefault="00D054BD" w:rsidP="00D642AB">
      <w:pPr>
        <w:spacing w:after="0" w:line="240" w:lineRule="auto"/>
        <w:rPr>
          <w:rFonts w:asciiTheme="majorHAnsi" w:hAnsiTheme="majorHAnsi" w:cstheme="majorHAnsi"/>
          <w:sz w:val="24"/>
          <w:szCs w:val="24"/>
          <w:highlight w:val="yellow"/>
        </w:rPr>
      </w:pPr>
    </w:p>
    <w:p w14:paraId="00000004" w14:textId="4EBD1052" w:rsidR="00350CD8" w:rsidRPr="00980B8F" w:rsidRDefault="00EC32CB" w:rsidP="00D642AB">
      <w:pPr>
        <w:spacing w:line="240" w:lineRule="auto"/>
        <w:rPr>
          <w:rFonts w:asciiTheme="majorHAnsi" w:hAnsiTheme="majorHAnsi" w:cstheme="majorHAnsi"/>
          <w:b/>
          <w:sz w:val="24"/>
          <w:szCs w:val="24"/>
        </w:rPr>
      </w:pPr>
      <w:r w:rsidRPr="00980B8F">
        <w:rPr>
          <w:rFonts w:asciiTheme="majorHAnsi" w:hAnsiTheme="majorHAnsi" w:cstheme="majorHAnsi"/>
          <w:b/>
          <w:sz w:val="24"/>
          <w:szCs w:val="24"/>
        </w:rPr>
        <w:t xml:space="preserve">Project Number: </w:t>
      </w:r>
      <w:r w:rsidR="00980B8F" w:rsidRPr="008A3712">
        <w:rPr>
          <w:rFonts w:asciiTheme="majorHAnsi" w:hAnsiTheme="majorHAnsi" w:cstheme="majorHAnsi"/>
          <w:bCs/>
          <w:sz w:val="24"/>
          <w:szCs w:val="24"/>
        </w:rPr>
        <w:t>NONE-22091314-CL</w:t>
      </w:r>
    </w:p>
    <w:p w14:paraId="00000006" w14:textId="6E2D39E9" w:rsidR="00350CD8" w:rsidRPr="00323E72" w:rsidRDefault="00EC32CB" w:rsidP="00D642AB">
      <w:pPr>
        <w:spacing w:after="120" w:line="240" w:lineRule="auto"/>
        <w:rPr>
          <w:rFonts w:asciiTheme="majorHAnsi" w:hAnsiTheme="majorHAnsi" w:cstheme="majorHAnsi"/>
          <w:color w:val="FF0000"/>
          <w:sz w:val="24"/>
          <w:szCs w:val="24"/>
          <w:highlight w:val="yellow"/>
        </w:rPr>
      </w:pPr>
      <w:r w:rsidRPr="00980B8F">
        <w:rPr>
          <w:rFonts w:asciiTheme="majorHAnsi" w:hAnsiTheme="majorHAnsi" w:cstheme="majorHAnsi"/>
          <w:b/>
          <w:sz w:val="24"/>
          <w:szCs w:val="24"/>
        </w:rPr>
        <w:t xml:space="preserve">Filing Date: </w:t>
      </w:r>
      <w:r w:rsidR="00B025B7" w:rsidRPr="00B025B7">
        <w:rPr>
          <w:rFonts w:asciiTheme="majorHAnsi" w:hAnsiTheme="majorHAnsi" w:cstheme="majorHAnsi"/>
          <w:bCs/>
          <w:sz w:val="24"/>
          <w:szCs w:val="24"/>
        </w:rPr>
        <w:t>November 29, 2022</w:t>
      </w:r>
    </w:p>
    <w:p w14:paraId="7CC6C265" w14:textId="77777777" w:rsidR="001C2480" w:rsidRPr="00323E72" w:rsidRDefault="001C2480" w:rsidP="00D642AB">
      <w:pPr>
        <w:spacing w:after="120" w:line="240" w:lineRule="auto"/>
        <w:rPr>
          <w:rFonts w:asciiTheme="majorHAnsi" w:hAnsiTheme="majorHAnsi" w:cstheme="majorHAnsi"/>
          <w:b/>
          <w:sz w:val="24"/>
          <w:szCs w:val="24"/>
          <w:highlight w:val="yellow"/>
          <w:u w:val="single"/>
        </w:rPr>
      </w:pPr>
    </w:p>
    <w:p w14:paraId="00000007" w14:textId="310A8CC2" w:rsidR="00350CD8" w:rsidRPr="00980B8F" w:rsidRDefault="00EC32CB" w:rsidP="00D642AB">
      <w:pPr>
        <w:spacing w:after="120" w:line="240" w:lineRule="auto"/>
        <w:rPr>
          <w:rFonts w:asciiTheme="majorHAnsi" w:hAnsiTheme="majorHAnsi" w:cstheme="majorHAnsi"/>
          <w:b/>
          <w:sz w:val="24"/>
          <w:szCs w:val="24"/>
          <w:u w:val="single"/>
        </w:rPr>
      </w:pPr>
      <w:r w:rsidRPr="00980B8F">
        <w:rPr>
          <w:rFonts w:asciiTheme="majorHAnsi" w:hAnsiTheme="majorHAnsi" w:cstheme="majorHAnsi"/>
          <w:b/>
          <w:sz w:val="24"/>
          <w:szCs w:val="24"/>
          <w:u w:val="single"/>
        </w:rPr>
        <w:t xml:space="preserve">Introduction </w:t>
      </w:r>
    </w:p>
    <w:p w14:paraId="6465BD7F" w14:textId="38283CAB" w:rsidR="00CE3121" w:rsidRDefault="004107FF" w:rsidP="00D642AB">
      <w:pPr>
        <w:spacing w:line="240" w:lineRule="auto"/>
        <w:rPr>
          <w:rFonts w:asciiTheme="majorHAnsi" w:hAnsiTheme="majorHAnsi" w:cstheme="majorHAnsi"/>
          <w:sz w:val="24"/>
          <w:szCs w:val="24"/>
        </w:rPr>
      </w:pPr>
      <w:r w:rsidRPr="00B025B7">
        <w:rPr>
          <w:rStyle w:val="cf01"/>
          <w:rFonts w:asciiTheme="majorHAnsi" w:hAnsiTheme="majorHAnsi" w:cstheme="majorHAnsi"/>
          <w:sz w:val="24"/>
          <w:szCs w:val="24"/>
        </w:rPr>
        <w:t xml:space="preserve">This memorandum presents, for Commissioner review and action, the Determination of Need (DoN) Program’s recommendation regarding a request by </w:t>
      </w:r>
      <w:r w:rsidR="00311A0D" w:rsidRPr="00B025B7">
        <w:rPr>
          <w:rFonts w:asciiTheme="majorHAnsi" w:hAnsiTheme="majorHAnsi" w:cstheme="majorHAnsi"/>
          <w:bCs/>
          <w:sz w:val="24"/>
          <w:szCs w:val="24"/>
        </w:rPr>
        <w:t xml:space="preserve">Royal Wayland Nursing Home LLC </w:t>
      </w:r>
      <w:r w:rsidRPr="00B025B7">
        <w:rPr>
          <w:rStyle w:val="cf01"/>
          <w:rFonts w:asciiTheme="majorHAnsi" w:hAnsiTheme="majorHAnsi" w:cstheme="majorHAnsi"/>
          <w:sz w:val="24"/>
          <w:szCs w:val="24"/>
        </w:rPr>
        <w:t xml:space="preserve">for approval of renovations and construction at </w:t>
      </w:r>
      <w:r w:rsidR="00311A0D" w:rsidRPr="00B025B7">
        <w:rPr>
          <w:rFonts w:asciiTheme="majorHAnsi" w:hAnsiTheme="majorHAnsi" w:cstheme="majorHAnsi"/>
          <w:bCs/>
          <w:sz w:val="24"/>
          <w:szCs w:val="24"/>
        </w:rPr>
        <w:t>Royal Wayland Nursing &amp; Rehabilitation Center</w:t>
      </w:r>
      <w:r w:rsidRPr="00B025B7">
        <w:rPr>
          <w:rStyle w:val="cf01"/>
          <w:rFonts w:asciiTheme="majorHAnsi" w:hAnsiTheme="majorHAnsi" w:cstheme="majorHAnsi"/>
          <w:sz w:val="24"/>
          <w:szCs w:val="24"/>
        </w:rPr>
        <w:t xml:space="preserve">. The Proposed Project includes renovations of </w:t>
      </w:r>
      <w:r w:rsidR="00EC5EDD">
        <w:rPr>
          <w:rStyle w:val="cf01"/>
          <w:rFonts w:asciiTheme="majorHAnsi" w:hAnsiTheme="majorHAnsi" w:cstheme="majorHAnsi"/>
          <w:sz w:val="24"/>
          <w:szCs w:val="24"/>
        </w:rPr>
        <w:t xml:space="preserve">the </w:t>
      </w:r>
      <w:r w:rsidRPr="00B025B7">
        <w:rPr>
          <w:rStyle w:val="cf01"/>
          <w:rFonts w:asciiTheme="majorHAnsi" w:hAnsiTheme="majorHAnsi" w:cstheme="majorHAnsi"/>
          <w:sz w:val="24"/>
          <w:szCs w:val="24"/>
        </w:rPr>
        <w:t xml:space="preserve">patient care unit and construction of an addition designed to create the space necessary to de-densify resident rooms to come into compliance with new Department of Public Health (DPH) de-densification licensure requirements for long-term care facilities set out in 105 CMR 150 (the “De-Densification Requirements”). The Applicant is also proposing to use its one-time regulatory allowance </w:t>
      </w:r>
      <w:r w:rsidR="0090545D">
        <w:rPr>
          <w:rStyle w:val="cf01"/>
          <w:rFonts w:asciiTheme="majorHAnsi" w:hAnsiTheme="majorHAnsi" w:cstheme="majorHAnsi"/>
          <w:sz w:val="24"/>
          <w:szCs w:val="24"/>
        </w:rPr>
        <w:t xml:space="preserve">to add </w:t>
      </w:r>
      <w:r w:rsidRPr="00B025B7">
        <w:rPr>
          <w:rStyle w:val="cf01"/>
          <w:rFonts w:asciiTheme="majorHAnsi" w:hAnsiTheme="majorHAnsi" w:cstheme="majorHAnsi"/>
          <w:sz w:val="24"/>
          <w:szCs w:val="24"/>
        </w:rPr>
        <w:t xml:space="preserve">twelve beds. The capital expenditure for the project is </w:t>
      </w:r>
      <w:r w:rsidR="00CE3121" w:rsidRPr="00B025B7">
        <w:rPr>
          <w:rFonts w:asciiTheme="majorHAnsi" w:hAnsiTheme="majorHAnsi" w:cstheme="majorHAnsi"/>
          <w:sz w:val="24"/>
          <w:szCs w:val="24"/>
        </w:rPr>
        <w:t xml:space="preserve">$8,262,515. The CHI commitment is $82,625.15. </w:t>
      </w:r>
      <w:r w:rsidRPr="00B025B7">
        <w:rPr>
          <w:rStyle w:val="cf01"/>
          <w:rFonts w:asciiTheme="majorHAnsi" w:hAnsiTheme="majorHAnsi" w:cstheme="majorHAnsi"/>
          <w:sz w:val="24"/>
          <w:szCs w:val="24"/>
        </w:rPr>
        <w:t>The Applicant is a for-profit corporation organized under existing law of the Commonwealth of Massachusetts.</w:t>
      </w:r>
      <w:r w:rsidR="00EC32CB" w:rsidRPr="00B025B7">
        <w:rPr>
          <w:rFonts w:asciiTheme="majorHAnsi" w:hAnsiTheme="majorHAnsi" w:cstheme="majorHAnsi"/>
          <w:sz w:val="24"/>
          <w:szCs w:val="24"/>
        </w:rPr>
        <w:t xml:space="preserve"> </w:t>
      </w:r>
    </w:p>
    <w:p w14:paraId="7AAC42A9" w14:textId="77777777" w:rsidR="003004C8" w:rsidRPr="00CE3121" w:rsidRDefault="003004C8" w:rsidP="003004C8">
      <w:pPr>
        <w:spacing w:after="0" w:line="240" w:lineRule="auto"/>
        <w:rPr>
          <w:rFonts w:asciiTheme="majorHAnsi" w:hAnsiTheme="majorHAnsi" w:cstheme="majorHAnsi"/>
          <w:sz w:val="24"/>
          <w:szCs w:val="24"/>
        </w:rPr>
      </w:pPr>
    </w:p>
    <w:p w14:paraId="00000009" w14:textId="02A19C6C" w:rsidR="00350CD8" w:rsidRDefault="001C2480" w:rsidP="00D642AB">
      <w:pPr>
        <w:spacing w:line="240" w:lineRule="auto"/>
        <w:rPr>
          <w:rFonts w:asciiTheme="majorHAnsi" w:hAnsiTheme="majorHAnsi" w:cstheme="majorHAnsi"/>
          <w:sz w:val="24"/>
          <w:szCs w:val="24"/>
        </w:rPr>
      </w:pPr>
      <w:r w:rsidRPr="002C0A49">
        <w:rPr>
          <w:sz w:val="24"/>
          <w:szCs w:val="24"/>
        </w:rPr>
        <w:t>On April 28, 2021, DPH issued a memo</w:t>
      </w:r>
      <w:r w:rsidRPr="002C0A49">
        <w:rPr>
          <w:sz w:val="24"/>
          <w:szCs w:val="24"/>
          <w:vertAlign w:val="superscript"/>
        </w:rPr>
        <w:footnoteReference w:id="1"/>
      </w:r>
      <w:r w:rsidRPr="002C0A49">
        <w:rPr>
          <w:sz w:val="24"/>
          <w:szCs w:val="24"/>
        </w:rPr>
        <w:t xml:space="preserve"> noting that construction or renovations at a long-term care facility that is planned solely to reduce the number of beds per room to come into compliance with the De-Densification Requirements set out in 105 CMR 150 are considered Conservation projects for the purposes of applying for a Notice of DoN.</w:t>
      </w:r>
      <w:r w:rsidRPr="002C0A49">
        <w:t xml:space="preserve"> </w:t>
      </w:r>
      <w:r w:rsidR="00374E2E" w:rsidRPr="002C0A49">
        <w:rPr>
          <w:sz w:val="24"/>
          <w:szCs w:val="24"/>
        </w:rPr>
        <w:t>Conservation Projects are defined as “Construction that consists solely of a project(s) that would Sustain or Restore a Health Care Facility or service for its designated purpose, and to its original functionality, without Modernization, Addition, or Expansion.</w:t>
      </w:r>
      <w:r w:rsidR="008B3F85">
        <w:rPr>
          <w:sz w:val="24"/>
          <w:szCs w:val="24"/>
        </w:rPr>
        <w:t>”</w:t>
      </w:r>
      <w:r w:rsidR="00966AC9">
        <w:rPr>
          <w:rStyle w:val="FootnoteReference"/>
          <w:sz w:val="24"/>
          <w:szCs w:val="24"/>
        </w:rPr>
        <w:footnoteReference w:id="2"/>
      </w:r>
      <w:r w:rsidR="00374E2E" w:rsidRPr="002C0A49">
        <w:rPr>
          <w:sz w:val="24"/>
          <w:szCs w:val="24"/>
        </w:rPr>
        <w:t xml:space="preserve"> </w:t>
      </w:r>
      <w:r w:rsidR="00374E2E" w:rsidRPr="00CF4BDF">
        <w:t>T</w:t>
      </w:r>
      <w:r w:rsidR="00374E2E" w:rsidRPr="00CF4BDF">
        <w:rPr>
          <w:sz w:val="24"/>
          <w:szCs w:val="24"/>
        </w:rPr>
        <w:t xml:space="preserve">he construction included in this Proposed Project is solely to enable the facility to come into compliance with the updated De-densification Requirements and is therefore appropriately submitted as a Conservation Project. </w:t>
      </w:r>
      <w:r w:rsidR="00EC32CB" w:rsidRPr="00CF4BDF">
        <w:rPr>
          <w:rFonts w:asciiTheme="majorHAnsi" w:hAnsiTheme="majorHAnsi" w:cstheme="majorHAnsi"/>
          <w:sz w:val="24"/>
          <w:szCs w:val="24"/>
        </w:rPr>
        <w:t>Pursuant to 105 CMR 100.210(B)(2), Factors 1, 2, and 5 do not apply to Conservation Projects. Therefore, Staff reviewed this proposal in the context of Factors 3 (Compliance), 4 (Financial Feasibility), and 6 (Community Health Initiatives). Pursuant to 105 CMR 100.630, this Application has been delegated by the Department for review and Final Action by the Commissioner.</w:t>
      </w:r>
    </w:p>
    <w:p w14:paraId="0E745105" w14:textId="77777777" w:rsidR="008A7752" w:rsidRPr="00323E72" w:rsidRDefault="008A7752" w:rsidP="00D642AB">
      <w:pPr>
        <w:spacing w:line="240" w:lineRule="auto"/>
        <w:rPr>
          <w:rFonts w:asciiTheme="majorHAnsi" w:hAnsiTheme="majorHAnsi" w:cstheme="majorHAnsi"/>
          <w:sz w:val="24"/>
          <w:szCs w:val="24"/>
          <w:highlight w:val="yellow"/>
        </w:rPr>
      </w:pPr>
    </w:p>
    <w:p w14:paraId="0000000A" w14:textId="77777777" w:rsidR="00350CD8" w:rsidRPr="00CF4A16" w:rsidRDefault="00EC32CB" w:rsidP="00D642AB">
      <w:pPr>
        <w:spacing w:line="240" w:lineRule="auto"/>
        <w:rPr>
          <w:rFonts w:asciiTheme="majorHAnsi" w:hAnsiTheme="majorHAnsi" w:cstheme="majorHAnsi"/>
          <w:b/>
          <w:sz w:val="24"/>
          <w:szCs w:val="24"/>
        </w:rPr>
      </w:pPr>
      <w:r w:rsidRPr="00CF4A16">
        <w:rPr>
          <w:rFonts w:asciiTheme="majorHAnsi" w:hAnsiTheme="majorHAnsi" w:cstheme="majorHAnsi"/>
          <w:b/>
          <w:sz w:val="24"/>
          <w:szCs w:val="24"/>
        </w:rPr>
        <w:lastRenderedPageBreak/>
        <w:t>Background</w:t>
      </w:r>
    </w:p>
    <w:p w14:paraId="51613B61" w14:textId="1CB2FB89" w:rsidR="00CD0C1D" w:rsidRDefault="00AA4312" w:rsidP="004F4DE8">
      <w:pPr>
        <w:spacing w:after="0" w:line="240" w:lineRule="auto"/>
        <w:rPr>
          <w:rFonts w:asciiTheme="majorHAnsi" w:hAnsiTheme="majorHAnsi" w:cstheme="majorHAnsi"/>
          <w:sz w:val="24"/>
          <w:szCs w:val="24"/>
        </w:rPr>
      </w:pPr>
      <w:r w:rsidRPr="00A67C9E">
        <w:rPr>
          <w:rFonts w:asciiTheme="majorHAnsi" w:hAnsiTheme="majorHAnsi" w:cstheme="majorHAnsi"/>
          <w:sz w:val="24"/>
          <w:szCs w:val="24"/>
        </w:rPr>
        <w:t xml:space="preserve">The Applicant, </w:t>
      </w:r>
      <w:r w:rsidR="00A81F76" w:rsidRPr="00A67C9E">
        <w:rPr>
          <w:rFonts w:asciiTheme="majorHAnsi" w:hAnsiTheme="majorHAnsi" w:cstheme="majorHAnsi"/>
          <w:bCs/>
          <w:sz w:val="24"/>
          <w:szCs w:val="24"/>
        </w:rPr>
        <w:t>Royal Wayland Nursing Home LLC</w:t>
      </w:r>
      <w:r w:rsidRPr="00A67C9E">
        <w:rPr>
          <w:rFonts w:asciiTheme="majorHAnsi" w:hAnsiTheme="majorHAnsi" w:cstheme="majorHAnsi"/>
          <w:sz w:val="24"/>
          <w:szCs w:val="24"/>
        </w:rPr>
        <w:t xml:space="preserve">, is a </w:t>
      </w:r>
      <w:r w:rsidR="0090545D">
        <w:rPr>
          <w:rFonts w:asciiTheme="majorHAnsi" w:hAnsiTheme="majorHAnsi" w:cstheme="majorHAnsi"/>
          <w:sz w:val="24"/>
          <w:szCs w:val="24"/>
        </w:rPr>
        <w:t xml:space="preserve">for-profit, </w:t>
      </w:r>
      <w:r w:rsidR="00C433D4" w:rsidRPr="00A67C9E">
        <w:rPr>
          <w:rFonts w:asciiTheme="majorHAnsi" w:hAnsiTheme="majorHAnsi" w:cstheme="majorHAnsi"/>
          <w:sz w:val="24"/>
          <w:szCs w:val="24"/>
        </w:rPr>
        <w:t>limited liability corporation</w:t>
      </w:r>
      <w:r w:rsidR="00747B32" w:rsidRPr="00A67C9E">
        <w:rPr>
          <w:rFonts w:asciiTheme="majorHAnsi" w:hAnsiTheme="majorHAnsi" w:cstheme="majorHAnsi"/>
          <w:sz w:val="24"/>
          <w:szCs w:val="24"/>
        </w:rPr>
        <w:t xml:space="preserve"> </w:t>
      </w:r>
      <w:r w:rsidR="00C433D4" w:rsidRPr="00A67C9E">
        <w:rPr>
          <w:rFonts w:asciiTheme="majorHAnsi" w:hAnsiTheme="majorHAnsi" w:cstheme="majorHAnsi"/>
          <w:sz w:val="24"/>
          <w:szCs w:val="24"/>
        </w:rPr>
        <w:t>doing business as Royal Wayland Nursing &amp; Rehabilitation Center</w:t>
      </w:r>
      <w:r w:rsidRPr="00A67C9E">
        <w:rPr>
          <w:rFonts w:asciiTheme="majorHAnsi" w:hAnsiTheme="majorHAnsi" w:cstheme="majorHAnsi"/>
          <w:sz w:val="24"/>
          <w:szCs w:val="24"/>
        </w:rPr>
        <w:t xml:space="preserve">. </w:t>
      </w:r>
      <w:r w:rsidR="005F502F" w:rsidRPr="00A67C9E">
        <w:rPr>
          <w:sz w:val="24"/>
          <w:szCs w:val="24"/>
        </w:rPr>
        <w:t>The facility was purchased by the Royal Health Group in 2016</w:t>
      </w:r>
      <w:r w:rsidR="0090545D">
        <w:rPr>
          <w:sz w:val="24"/>
          <w:szCs w:val="24"/>
        </w:rPr>
        <w:t xml:space="preserve"> and was</w:t>
      </w:r>
      <w:r w:rsidR="005F502F" w:rsidRPr="00A67C9E">
        <w:rPr>
          <w:sz w:val="24"/>
          <w:szCs w:val="24"/>
        </w:rPr>
        <w:t xml:space="preserve"> formerly known as </w:t>
      </w:r>
      <w:r w:rsidR="00A67C9E" w:rsidRPr="00A67C9E">
        <w:rPr>
          <w:sz w:val="24"/>
          <w:szCs w:val="24"/>
        </w:rPr>
        <w:t>Wayland Nursing and Rehab Center</w:t>
      </w:r>
      <w:r w:rsidR="005F502F" w:rsidRPr="00A67C9E">
        <w:rPr>
          <w:sz w:val="24"/>
          <w:szCs w:val="24"/>
        </w:rPr>
        <w:t>.</w:t>
      </w:r>
      <w:r w:rsidR="005F502F">
        <w:t xml:space="preserve"> </w:t>
      </w:r>
      <w:r w:rsidR="00184BAF">
        <w:t>T</w:t>
      </w:r>
      <w:r w:rsidR="00184BAF" w:rsidRPr="00184BAF">
        <w:rPr>
          <w:rFonts w:asciiTheme="majorHAnsi" w:hAnsiTheme="majorHAnsi" w:cstheme="majorHAnsi"/>
          <w:sz w:val="24"/>
          <w:szCs w:val="24"/>
        </w:rPr>
        <w:t xml:space="preserve">he facility </w:t>
      </w:r>
      <w:r w:rsidR="00D72C19">
        <w:rPr>
          <w:rFonts w:asciiTheme="majorHAnsi" w:hAnsiTheme="majorHAnsi" w:cstheme="majorHAnsi"/>
          <w:sz w:val="24"/>
          <w:szCs w:val="24"/>
        </w:rPr>
        <w:t>is licensed as a</w:t>
      </w:r>
      <w:r w:rsidR="00184BAF" w:rsidRPr="00184BAF">
        <w:rPr>
          <w:rFonts w:asciiTheme="majorHAnsi" w:hAnsiTheme="majorHAnsi" w:cstheme="majorHAnsi"/>
          <w:sz w:val="24"/>
          <w:szCs w:val="24"/>
        </w:rPr>
        <w:t xml:space="preserve"> Dementia Special Care Unit (DSCU) </w:t>
      </w:r>
      <w:r w:rsidR="00D72C19">
        <w:rPr>
          <w:rFonts w:asciiTheme="majorHAnsi" w:hAnsiTheme="majorHAnsi" w:cstheme="majorHAnsi"/>
          <w:sz w:val="24"/>
          <w:szCs w:val="24"/>
        </w:rPr>
        <w:t>serving a</w:t>
      </w:r>
      <w:r w:rsidR="00EA7CA6">
        <w:rPr>
          <w:rFonts w:asciiTheme="majorHAnsi" w:hAnsiTheme="majorHAnsi" w:cstheme="majorHAnsi"/>
          <w:sz w:val="24"/>
          <w:szCs w:val="24"/>
        </w:rPr>
        <w:t xml:space="preserve"> </w:t>
      </w:r>
      <w:r w:rsidR="00184BAF" w:rsidRPr="00184BAF">
        <w:rPr>
          <w:rFonts w:asciiTheme="majorHAnsi" w:hAnsiTheme="majorHAnsi" w:cstheme="majorHAnsi"/>
          <w:sz w:val="24"/>
          <w:szCs w:val="24"/>
        </w:rPr>
        <w:t>primarily a geriatric population</w:t>
      </w:r>
      <w:r w:rsidR="005F7773" w:rsidRPr="00442B60">
        <w:rPr>
          <w:rFonts w:asciiTheme="majorHAnsi" w:hAnsiTheme="majorHAnsi" w:cstheme="majorHAnsi"/>
          <w:sz w:val="24"/>
          <w:szCs w:val="24"/>
        </w:rPr>
        <w:t xml:space="preserve">.  </w:t>
      </w:r>
      <w:bookmarkStart w:id="0" w:name="_Hlk106123009"/>
    </w:p>
    <w:p w14:paraId="19687EC7" w14:textId="77777777" w:rsidR="004F4DE8" w:rsidRDefault="004F4DE8" w:rsidP="004F4DE8">
      <w:pPr>
        <w:spacing w:after="0" w:line="240" w:lineRule="auto"/>
        <w:rPr>
          <w:rFonts w:asciiTheme="majorHAnsi" w:hAnsiTheme="majorHAnsi" w:cstheme="majorHAnsi"/>
          <w:sz w:val="24"/>
          <w:szCs w:val="24"/>
          <w:highlight w:val="yellow"/>
        </w:rPr>
      </w:pPr>
    </w:p>
    <w:bookmarkEnd w:id="0"/>
    <w:p w14:paraId="68D1976C" w14:textId="42A93FAF" w:rsidR="00D925ED" w:rsidRDefault="005B5D87" w:rsidP="004F4DE8">
      <w:pPr>
        <w:spacing w:after="0" w:line="240" w:lineRule="auto"/>
        <w:rPr>
          <w:rFonts w:asciiTheme="majorHAnsi" w:hAnsiTheme="majorHAnsi" w:cstheme="majorBidi"/>
          <w:sz w:val="24"/>
          <w:szCs w:val="24"/>
        </w:rPr>
      </w:pPr>
      <w:r w:rsidRPr="514AC64C">
        <w:rPr>
          <w:rFonts w:asciiTheme="majorHAnsi" w:hAnsiTheme="majorHAnsi" w:cstheme="majorBidi"/>
          <w:sz w:val="24"/>
          <w:szCs w:val="24"/>
        </w:rPr>
        <w:t xml:space="preserve">The </w:t>
      </w:r>
      <w:r w:rsidR="001E0908" w:rsidRPr="514AC64C">
        <w:rPr>
          <w:rFonts w:asciiTheme="majorHAnsi" w:hAnsiTheme="majorHAnsi" w:cstheme="majorBidi"/>
          <w:sz w:val="24"/>
          <w:szCs w:val="24"/>
        </w:rPr>
        <w:t>single-story</w:t>
      </w:r>
      <w:r w:rsidRPr="514AC64C">
        <w:rPr>
          <w:rFonts w:asciiTheme="majorHAnsi" w:hAnsiTheme="majorHAnsi" w:cstheme="majorBidi"/>
          <w:sz w:val="24"/>
          <w:szCs w:val="24"/>
        </w:rPr>
        <w:t xml:space="preserve"> facility was constructed in 1966 and is comprised of one</w:t>
      </w:r>
      <w:r w:rsidR="00FD77B7" w:rsidRPr="514AC64C">
        <w:rPr>
          <w:rFonts w:asciiTheme="majorHAnsi" w:hAnsiTheme="majorHAnsi" w:cstheme="majorBidi"/>
          <w:sz w:val="24"/>
          <w:szCs w:val="24"/>
        </w:rPr>
        <w:t xml:space="preserve"> unit with</w:t>
      </w:r>
      <w:r w:rsidRPr="514AC64C">
        <w:rPr>
          <w:rFonts w:asciiTheme="majorHAnsi" w:hAnsiTheme="majorHAnsi" w:cstheme="majorBidi"/>
          <w:sz w:val="24"/>
          <w:szCs w:val="24"/>
        </w:rPr>
        <w:t xml:space="preserve"> </w:t>
      </w:r>
      <w:r w:rsidR="00FD77B7" w:rsidRPr="514AC64C">
        <w:rPr>
          <w:rFonts w:asciiTheme="majorHAnsi" w:hAnsiTheme="majorHAnsi" w:cstheme="majorBidi"/>
          <w:sz w:val="24"/>
          <w:szCs w:val="24"/>
        </w:rPr>
        <w:t xml:space="preserve">40 Level II </w:t>
      </w:r>
      <w:r w:rsidR="00E15E17" w:rsidRPr="514AC64C">
        <w:rPr>
          <w:rFonts w:asciiTheme="majorHAnsi" w:hAnsiTheme="majorHAnsi" w:cstheme="majorBidi"/>
          <w:sz w:val="24"/>
          <w:szCs w:val="24"/>
        </w:rPr>
        <w:t>l</w:t>
      </w:r>
      <w:r w:rsidR="00FD77B7" w:rsidRPr="514AC64C">
        <w:rPr>
          <w:rFonts w:asciiTheme="majorHAnsi" w:hAnsiTheme="majorHAnsi" w:cstheme="majorBidi"/>
          <w:sz w:val="24"/>
          <w:szCs w:val="24"/>
        </w:rPr>
        <w:t xml:space="preserve">icensed beds. </w:t>
      </w:r>
      <w:r w:rsidR="00865B92" w:rsidRPr="514AC64C">
        <w:rPr>
          <w:rFonts w:asciiTheme="majorHAnsi" w:hAnsiTheme="majorHAnsi" w:cstheme="majorBidi"/>
          <w:sz w:val="24"/>
          <w:szCs w:val="24"/>
        </w:rPr>
        <w:t xml:space="preserve">The current configuration of rooms and beds </w:t>
      </w:r>
      <w:r w:rsidR="003C26A5" w:rsidRPr="514AC64C">
        <w:rPr>
          <w:rFonts w:asciiTheme="majorHAnsi" w:hAnsiTheme="majorHAnsi" w:cstheme="majorBidi"/>
          <w:sz w:val="24"/>
          <w:szCs w:val="24"/>
        </w:rPr>
        <w:t>includes</w:t>
      </w:r>
      <w:r w:rsidR="00F46A76" w:rsidRPr="514AC64C">
        <w:rPr>
          <w:rFonts w:asciiTheme="majorHAnsi" w:hAnsiTheme="majorHAnsi" w:cstheme="majorBidi"/>
          <w:sz w:val="24"/>
          <w:szCs w:val="24"/>
        </w:rPr>
        <w:t xml:space="preserve"> </w:t>
      </w:r>
      <w:r w:rsidR="00633F23" w:rsidRPr="514AC64C">
        <w:rPr>
          <w:rFonts w:asciiTheme="majorHAnsi" w:hAnsiTheme="majorHAnsi" w:cstheme="majorBidi"/>
          <w:sz w:val="24"/>
          <w:szCs w:val="24"/>
        </w:rPr>
        <w:t xml:space="preserve">4 private rooms, 8 </w:t>
      </w:r>
      <w:r w:rsidR="0005155E" w:rsidRPr="514AC64C">
        <w:rPr>
          <w:rFonts w:asciiTheme="majorHAnsi" w:hAnsiTheme="majorHAnsi" w:cstheme="majorBidi"/>
          <w:sz w:val="24"/>
          <w:szCs w:val="24"/>
        </w:rPr>
        <w:t xml:space="preserve">two-bedded </w:t>
      </w:r>
      <w:r w:rsidR="00633F23" w:rsidRPr="514AC64C">
        <w:rPr>
          <w:rFonts w:asciiTheme="majorHAnsi" w:hAnsiTheme="majorHAnsi" w:cstheme="majorBidi"/>
          <w:sz w:val="24"/>
          <w:szCs w:val="24"/>
        </w:rPr>
        <w:t>rooms, and 5</w:t>
      </w:r>
      <w:r w:rsidR="0005155E" w:rsidRPr="514AC64C">
        <w:rPr>
          <w:rFonts w:asciiTheme="majorHAnsi" w:hAnsiTheme="majorHAnsi" w:cstheme="majorBidi"/>
          <w:sz w:val="24"/>
          <w:szCs w:val="24"/>
        </w:rPr>
        <w:t xml:space="preserve"> four-bedded </w:t>
      </w:r>
      <w:r w:rsidR="00633F23" w:rsidRPr="514AC64C">
        <w:rPr>
          <w:rFonts w:asciiTheme="majorHAnsi" w:hAnsiTheme="majorHAnsi" w:cstheme="majorBidi"/>
          <w:sz w:val="24"/>
          <w:szCs w:val="24"/>
        </w:rPr>
        <w:t xml:space="preserve">rooms. </w:t>
      </w:r>
      <w:r w:rsidR="00480EE8">
        <w:rPr>
          <w:rFonts w:asciiTheme="majorHAnsi" w:hAnsiTheme="majorHAnsi" w:cstheme="majorBidi"/>
          <w:sz w:val="24"/>
          <w:szCs w:val="24"/>
        </w:rPr>
        <w:t xml:space="preserve">Because </w:t>
      </w:r>
      <w:r w:rsidR="00A11A9D" w:rsidRPr="514AC64C">
        <w:rPr>
          <w:rFonts w:asciiTheme="majorHAnsi" w:hAnsiTheme="majorHAnsi" w:cstheme="majorBidi"/>
          <w:sz w:val="24"/>
          <w:szCs w:val="24"/>
        </w:rPr>
        <w:t xml:space="preserve">of the state’s new </w:t>
      </w:r>
      <w:r w:rsidR="00572414">
        <w:rPr>
          <w:rFonts w:asciiTheme="majorHAnsi" w:hAnsiTheme="majorHAnsi" w:cstheme="majorBidi"/>
          <w:sz w:val="24"/>
          <w:szCs w:val="24"/>
        </w:rPr>
        <w:t>d</w:t>
      </w:r>
      <w:r w:rsidR="00A11A9D" w:rsidRPr="514AC64C">
        <w:rPr>
          <w:rFonts w:asciiTheme="majorHAnsi" w:hAnsiTheme="majorHAnsi" w:cstheme="majorBidi"/>
          <w:sz w:val="24"/>
          <w:szCs w:val="24"/>
        </w:rPr>
        <w:t>e-</w:t>
      </w:r>
      <w:r w:rsidR="00572414">
        <w:rPr>
          <w:rFonts w:asciiTheme="majorHAnsi" w:hAnsiTheme="majorHAnsi" w:cstheme="majorBidi"/>
          <w:sz w:val="24"/>
          <w:szCs w:val="24"/>
        </w:rPr>
        <w:t>d</w:t>
      </w:r>
      <w:r w:rsidR="00A11A9D" w:rsidRPr="514AC64C">
        <w:rPr>
          <w:rFonts w:asciiTheme="majorHAnsi" w:hAnsiTheme="majorHAnsi" w:cstheme="majorBidi"/>
          <w:sz w:val="24"/>
          <w:szCs w:val="24"/>
        </w:rPr>
        <w:t xml:space="preserve">ensification </w:t>
      </w:r>
      <w:r w:rsidR="00572414">
        <w:rPr>
          <w:rFonts w:asciiTheme="majorHAnsi" w:hAnsiTheme="majorHAnsi" w:cstheme="majorBidi"/>
          <w:sz w:val="24"/>
          <w:szCs w:val="24"/>
        </w:rPr>
        <w:t>l</w:t>
      </w:r>
      <w:r w:rsidR="00A11A9D" w:rsidRPr="514AC64C">
        <w:rPr>
          <w:rFonts w:asciiTheme="majorHAnsi" w:hAnsiTheme="majorHAnsi" w:cstheme="majorBidi"/>
          <w:sz w:val="24"/>
          <w:szCs w:val="24"/>
        </w:rPr>
        <w:t xml:space="preserve">icensure </w:t>
      </w:r>
      <w:r w:rsidR="00572414">
        <w:rPr>
          <w:rFonts w:asciiTheme="majorHAnsi" w:hAnsiTheme="majorHAnsi" w:cstheme="majorBidi"/>
          <w:sz w:val="24"/>
          <w:szCs w:val="24"/>
        </w:rPr>
        <w:t>r</w:t>
      </w:r>
      <w:r w:rsidR="00A11A9D" w:rsidRPr="514AC64C">
        <w:rPr>
          <w:rFonts w:asciiTheme="majorHAnsi" w:hAnsiTheme="majorHAnsi" w:cstheme="majorBidi"/>
          <w:sz w:val="24"/>
          <w:szCs w:val="24"/>
        </w:rPr>
        <w:t xml:space="preserve">equirements </w:t>
      </w:r>
      <w:r w:rsidR="00E8196B" w:rsidRPr="514AC64C">
        <w:rPr>
          <w:rFonts w:asciiTheme="majorHAnsi" w:hAnsiTheme="majorHAnsi" w:cstheme="majorBidi"/>
          <w:sz w:val="24"/>
          <w:szCs w:val="24"/>
        </w:rPr>
        <w:t>prohibiting the placement of</w:t>
      </w:r>
      <w:r w:rsidR="00A11A9D" w:rsidRPr="514AC64C">
        <w:rPr>
          <w:rFonts w:asciiTheme="majorHAnsi" w:hAnsiTheme="majorHAnsi" w:cstheme="majorBidi"/>
          <w:sz w:val="24"/>
          <w:szCs w:val="24"/>
        </w:rPr>
        <w:t xml:space="preserve"> residents in three and four-bedded rooms, the facility’s allowable bed capacity with</w:t>
      </w:r>
      <w:r w:rsidR="00572414">
        <w:rPr>
          <w:rFonts w:asciiTheme="majorHAnsi" w:hAnsiTheme="majorHAnsi" w:cstheme="majorBidi"/>
          <w:sz w:val="24"/>
          <w:szCs w:val="24"/>
        </w:rPr>
        <w:t xml:space="preserve">out the </w:t>
      </w:r>
      <w:r w:rsidR="009E206C">
        <w:rPr>
          <w:rFonts w:asciiTheme="majorHAnsi" w:hAnsiTheme="majorHAnsi" w:cstheme="majorBidi"/>
          <w:sz w:val="24"/>
          <w:szCs w:val="24"/>
        </w:rPr>
        <w:t>P</w:t>
      </w:r>
      <w:r w:rsidR="00572414">
        <w:rPr>
          <w:rFonts w:asciiTheme="majorHAnsi" w:hAnsiTheme="majorHAnsi" w:cstheme="majorBidi"/>
          <w:sz w:val="24"/>
          <w:szCs w:val="24"/>
        </w:rPr>
        <w:t xml:space="preserve">roposed </w:t>
      </w:r>
      <w:r w:rsidR="009E206C">
        <w:rPr>
          <w:rFonts w:asciiTheme="majorHAnsi" w:hAnsiTheme="majorHAnsi" w:cstheme="majorBidi"/>
          <w:sz w:val="24"/>
          <w:szCs w:val="24"/>
        </w:rPr>
        <w:t>P</w:t>
      </w:r>
      <w:r w:rsidR="00572414">
        <w:rPr>
          <w:rFonts w:asciiTheme="majorHAnsi" w:hAnsiTheme="majorHAnsi" w:cstheme="majorBidi"/>
          <w:sz w:val="24"/>
          <w:szCs w:val="24"/>
        </w:rPr>
        <w:t>roject</w:t>
      </w:r>
      <w:r w:rsidR="00A11A9D" w:rsidRPr="514AC64C">
        <w:rPr>
          <w:rFonts w:asciiTheme="majorHAnsi" w:hAnsiTheme="majorHAnsi" w:cstheme="majorBidi"/>
          <w:sz w:val="24"/>
          <w:szCs w:val="24"/>
        </w:rPr>
        <w:t xml:space="preserve"> would be reduced by 10 beds. </w:t>
      </w:r>
      <w:r w:rsidR="00FB744D" w:rsidRPr="514AC64C">
        <w:rPr>
          <w:rFonts w:asciiTheme="majorHAnsi" w:hAnsiTheme="majorHAnsi" w:cstheme="majorBidi"/>
          <w:sz w:val="24"/>
          <w:szCs w:val="24"/>
        </w:rPr>
        <w:t>The Applicant states that a</w:t>
      </w:r>
      <w:r w:rsidR="00FB5C79" w:rsidRPr="514AC64C">
        <w:rPr>
          <w:rFonts w:asciiTheme="majorHAnsi" w:hAnsiTheme="majorHAnsi" w:cstheme="majorBidi"/>
          <w:sz w:val="24"/>
          <w:szCs w:val="24"/>
        </w:rPr>
        <w:t xml:space="preserve"> 30-bed </w:t>
      </w:r>
      <w:r w:rsidR="00F561AA" w:rsidRPr="514AC64C">
        <w:rPr>
          <w:rFonts w:asciiTheme="majorHAnsi" w:hAnsiTheme="majorHAnsi" w:cstheme="majorBidi"/>
          <w:sz w:val="24"/>
          <w:szCs w:val="24"/>
        </w:rPr>
        <w:t xml:space="preserve">facility </w:t>
      </w:r>
      <w:r w:rsidR="00FB5C79" w:rsidRPr="514AC64C">
        <w:rPr>
          <w:rFonts w:asciiTheme="majorHAnsi" w:hAnsiTheme="majorHAnsi" w:cstheme="majorBidi"/>
          <w:sz w:val="24"/>
          <w:szCs w:val="24"/>
        </w:rPr>
        <w:t>would not be able to accommodate the demand for admissions</w:t>
      </w:r>
      <w:r w:rsidR="002B72E4" w:rsidRPr="514AC64C">
        <w:rPr>
          <w:rFonts w:asciiTheme="majorHAnsi" w:hAnsiTheme="majorHAnsi" w:cstheme="majorBidi"/>
          <w:sz w:val="24"/>
          <w:szCs w:val="24"/>
        </w:rPr>
        <w:t>.</w:t>
      </w:r>
    </w:p>
    <w:p w14:paraId="1A6480EE" w14:textId="77777777" w:rsidR="004F4DE8" w:rsidRDefault="004F4DE8" w:rsidP="004F4DE8">
      <w:pPr>
        <w:spacing w:after="0" w:line="240" w:lineRule="auto"/>
        <w:rPr>
          <w:rFonts w:asciiTheme="majorHAnsi" w:hAnsiTheme="majorHAnsi" w:cstheme="majorBidi"/>
          <w:sz w:val="24"/>
          <w:szCs w:val="24"/>
        </w:rPr>
      </w:pPr>
    </w:p>
    <w:p w14:paraId="28A40871" w14:textId="706E96E1" w:rsidR="008C3DB5" w:rsidRPr="008C3DB5" w:rsidRDefault="008C3DB5" w:rsidP="00F06736">
      <w:pPr>
        <w:spacing w:after="0" w:line="240" w:lineRule="auto"/>
        <w:rPr>
          <w:rFonts w:asciiTheme="majorHAnsi" w:hAnsiTheme="majorHAnsi" w:cstheme="majorBidi"/>
          <w:sz w:val="24"/>
          <w:szCs w:val="24"/>
        </w:rPr>
      </w:pPr>
      <w:r w:rsidRPr="514AC64C">
        <w:rPr>
          <w:rFonts w:asciiTheme="majorHAnsi" w:hAnsiTheme="majorHAnsi" w:cstheme="majorBidi"/>
          <w:sz w:val="24"/>
          <w:szCs w:val="24"/>
        </w:rPr>
        <w:t>Despite admission limitations from COVID-19, the facility has been able to maintain approximately 85% occupancy.</w:t>
      </w:r>
      <w:r w:rsidR="00D925ED">
        <w:rPr>
          <w:rFonts w:asciiTheme="majorHAnsi" w:hAnsiTheme="majorHAnsi" w:cstheme="majorBidi"/>
          <w:sz w:val="24"/>
          <w:szCs w:val="24"/>
        </w:rPr>
        <w:t xml:space="preserve"> </w:t>
      </w:r>
      <w:r w:rsidRPr="514AC64C">
        <w:rPr>
          <w:rFonts w:asciiTheme="majorHAnsi" w:hAnsiTheme="majorHAnsi" w:cstheme="majorBidi"/>
          <w:sz w:val="24"/>
          <w:szCs w:val="24"/>
        </w:rPr>
        <w:t>Resident and staff COVID</w:t>
      </w:r>
      <w:r w:rsidR="1465B51D" w:rsidRPr="514AC64C">
        <w:rPr>
          <w:rFonts w:asciiTheme="majorHAnsi" w:hAnsiTheme="majorHAnsi" w:cstheme="majorBidi"/>
          <w:sz w:val="24"/>
          <w:szCs w:val="24"/>
        </w:rPr>
        <w:t>-19</w:t>
      </w:r>
      <w:r w:rsidRPr="514AC64C">
        <w:rPr>
          <w:rFonts w:asciiTheme="majorHAnsi" w:hAnsiTheme="majorHAnsi" w:cstheme="majorBidi"/>
          <w:sz w:val="24"/>
          <w:szCs w:val="24"/>
        </w:rPr>
        <w:t xml:space="preserve"> vaccination rates </w:t>
      </w:r>
      <w:r w:rsidR="00572414">
        <w:rPr>
          <w:rFonts w:asciiTheme="majorHAnsi" w:hAnsiTheme="majorHAnsi" w:cstheme="majorBidi"/>
          <w:sz w:val="24"/>
          <w:szCs w:val="24"/>
        </w:rPr>
        <w:t xml:space="preserve">at the facility </w:t>
      </w:r>
      <w:r w:rsidRPr="514AC64C">
        <w:rPr>
          <w:rFonts w:asciiTheme="majorHAnsi" w:hAnsiTheme="majorHAnsi" w:cstheme="majorBidi"/>
          <w:sz w:val="24"/>
          <w:szCs w:val="24"/>
        </w:rPr>
        <w:t xml:space="preserve">are above the national and state averages, </w:t>
      </w:r>
      <w:r w:rsidR="004F14B5">
        <w:rPr>
          <w:rFonts w:asciiTheme="majorHAnsi" w:hAnsiTheme="majorHAnsi" w:cstheme="majorBidi"/>
          <w:sz w:val="24"/>
          <w:szCs w:val="24"/>
        </w:rPr>
        <w:t>as demonstrated by</w:t>
      </w:r>
      <w:r w:rsidR="004F14B5" w:rsidRPr="514AC64C">
        <w:rPr>
          <w:rFonts w:asciiTheme="majorHAnsi" w:hAnsiTheme="majorHAnsi" w:cstheme="majorBidi"/>
          <w:sz w:val="24"/>
          <w:szCs w:val="24"/>
        </w:rPr>
        <w:t xml:space="preserve"> </w:t>
      </w:r>
      <w:r w:rsidRPr="514AC64C">
        <w:rPr>
          <w:rFonts w:asciiTheme="majorHAnsi" w:hAnsiTheme="majorHAnsi" w:cstheme="majorBidi"/>
          <w:sz w:val="24"/>
          <w:szCs w:val="24"/>
        </w:rPr>
        <w:t xml:space="preserve">Care Compare. </w:t>
      </w:r>
      <w:r w:rsidR="00572414">
        <w:rPr>
          <w:rFonts w:asciiTheme="majorHAnsi" w:hAnsiTheme="majorHAnsi" w:cstheme="majorBidi"/>
          <w:sz w:val="24"/>
          <w:szCs w:val="24"/>
        </w:rPr>
        <w:t xml:space="preserve">The facility cites </w:t>
      </w:r>
      <w:r w:rsidR="00715B86" w:rsidRPr="514AC64C">
        <w:rPr>
          <w:rFonts w:asciiTheme="majorHAnsi" w:hAnsiTheme="majorHAnsi" w:cstheme="majorBidi"/>
          <w:sz w:val="24"/>
          <w:szCs w:val="24"/>
        </w:rPr>
        <w:t>the installation of a state-of-the-art air purification system Needlepoint Bipolar Ionization (NPBI) installed in the air handler system in February 2021</w:t>
      </w:r>
      <w:r w:rsidR="00715B86">
        <w:rPr>
          <w:rFonts w:asciiTheme="majorHAnsi" w:hAnsiTheme="majorHAnsi" w:cstheme="majorBidi"/>
          <w:sz w:val="24"/>
          <w:szCs w:val="24"/>
        </w:rPr>
        <w:t xml:space="preserve"> </w:t>
      </w:r>
      <w:r w:rsidR="00572414">
        <w:rPr>
          <w:rFonts w:asciiTheme="majorHAnsi" w:hAnsiTheme="majorHAnsi" w:cstheme="majorBidi"/>
          <w:sz w:val="24"/>
          <w:szCs w:val="24"/>
        </w:rPr>
        <w:t>as an</w:t>
      </w:r>
      <w:r w:rsidRPr="514AC64C">
        <w:rPr>
          <w:rFonts w:asciiTheme="majorHAnsi" w:hAnsiTheme="majorHAnsi" w:cstheme="majorBidi"/>
          <w:sz w:val="24"/>
          <w:szCs w:val="24"/>
        </w:rPr>
        <w:t xml:space="preserve"> example of their focus on infection control safety measures</w:t>
      </w:r>
      <w:r w:rsidR="00572414">
        <w:rPr>
          <w:rFonts w:asciiTheme="majorHAnsi" w:hAnsiTheme="majorHAnsi" w:cstheme="majorBidi"/>
          <w:sz w:val="24"/>
          <w:szCs w:val="24"/>
        </w:rPr>
        <w:t>. This new system improves air quality in the facility and</w:t>
      </w:r>
      <w:r w:rsidRPr="514AC64C">
        <w:rPr>
          <w:rFonts w:asciiTheme="majorHAnsi" w:hAnsiTheme="majorHAnsi" w:cstheme="majorBidi"/>
          <w:sz w:val="24"/>
          <w:szCs w:val="24"/>
        </w:rPr>
        <w:t xml:space="preserve"> provides additional protection to residents, staff, and family members.</w:t>
      </w:r>
    </w:p>
    <w:p w14:paraId="04B30EF7" w14:textId="77777777" w:rsidR="008C3DB5" w:rsidRPr="006618EA" w:rsidRDefault="008C3DB5" w:rsidP="00D642AB">
      <w:pPr>
        <w:spacing w:after="0" w:line="240" w:lineRule="auto"/>
        <w:rPr>
          <w:b/>
        </w:rPr>
      </w:pPr>
    </w:p>
    <w:p w14:paraId="41BFAD3E" w14:textId="6DE1D1BA" w:rsidR="0062788B" w:rsidRDefault="00CD0C1D" w:rsidP="00F06736">
      <w:pPr>
        <w:spacing w:after="0" w:line="240" w:lineRule="auto"/>
        <w:rPr>
          <w:rFonts w:asciiTheme="majorHAnsi" w:hAnsiTheme="majorHAnsi" w:cstheme="majorHAnsi"/>
          <w:sz w:val="24"/>
          <w:szCs w:val="24"/>
        </w:rPr>
      </w:pPr>
      <w:r w:rsidRPr="005D08D4">
        <w:rPr>
          <w:rFonts w:asciiTheme="majorHAnsi" w:hAnsiTheme="majorHAnsi" w:cstheme="majorHAnsi"/>
          <w:sz w:val="24"/>
          <w:szCs w:val="24"/>
        </w:rPr>
        <w:t xml:space="preserve">The average age of </w:t>
      </w:r>
      <w:r w:rsidR="004835EE">
        <w:rPr>
          <w:rFonts w:asciiTheme="majorHAnsi" w:hAnsiTheme="majorHAnsi" w:cstheme="majorHAnsi"/>
          <w:sz w:val="24"/>
          <w:szCs w:val="24"/>
        </w:rPr>
        <w:t xml:space="preserve">Royal Wayland </w:t>
      </w:r>
      <w:r w:rsidRPr="005D08D4">
        <w:rPr>
          <w:rFonts w:asciiTheme="majorHAnsi" w:hAnsiTheme="majorHAnsi" w:cstheme="majorHAnsi"/>
          <w:sz w:val="24"/>
          <w:szCs w:val="24"/>
        </w:rPr>
        <w:t xml:space="preserve">residents is </w:t>
      </w:r>
      <w:r w:rsidR="009D6DF8">
        <w:rPr>
          <w:rFonts w:asciiTheme="majorHAnsi" w:hAnsiTheme="majorHAnsi" w:cstheme="majorHAnsi"/>
          <w:sz w:val="24"/>
          <w:szCs w:val="24"/>
        </w:rPr>
        <w:t>79</w:t>
      </w:r>
      <w:r w:rsidRPr="005D08D4">
        <w:rPr>
          <w:rFonts w:asciiTheme="majorHAnsi" w:hAnsiTheme="majorHAnsi" w:cstheme="majorHAnsi"/>
          <w:sz w:val="24"/>
          <w:szCs w:val="24"/>
        </w:rPr>
        <w:t xml:space="preserve"> years. The average length of stay (ALOS) in </w:t>
      </w:r>
      <w:r w:rsidR="001640EE">
        <w:rPr>
          <w:rFonts w:asciiTheme="majorHAnsi" w:hAnsiTheme="majorHAnsi" w:cstheme="majorHAnsi"/>
          <w:sz w:val="24"/>
          <w:szCs w:val="24"/>
        </w:rPr>
        <w:t>Fiscal Year (FY)2022</w:t>
      </w:r>
      <w:r w:rsidRPr="005D08D4">
        <w:rPr>
          <w:rFonts w:asciiTheme="majorHAnsi" w:hAnsiTheme="majorHAnsi" w:cstheme="majorHAnsi"/>
          <w:sz w:val="24"/>
          <w:szCs w:val="24"/>
        </w:rPr>
        <w:t xml:space="preserve"> was 1</w:t>
      </w:r>
      <w:r w:rsidR="00A74DC4">
        <w:rPr>
          <w:rFonts w:asciiTheme="majorHAnsi" w:hAnsiTheme="majorHAnsi" w:cstheme="majorHAnsi"/>
          <w:sz w:val="24"/>
          <w:szCs w:val="24"/>
        </w:rPr>
        <w:t>06 days</w:t>
      </w:r>
      <w:r w:rsidRPr="005D08D4">
        <w:rPr>
          <w:rFonts w:asciiTheme="majorHAnsi" w:hAnsiTheme="majorHAnsi" w:cstheme="majorHAnsi"/>
          <w:sz w:val="24"/>
          <w:szCs w:val="24"/>
        </w:rPr>
        <w:t xml:space="preserve">. </w:t>
      </w:r>
      <w:r w:rsidR="00350F9D">
        <w:rPr>
          <w:rFonts w:asciiTheme="majorHAnsi" w:hAnsiTheme="majorHAnsi" w:cstheme="majorHAnsi"/>
          <w:sz w:val="24"/>
          <w:szCs w:val="24"/>
        </w:rPr>
        <w:t xml:space="preserve">In </w:t>
      </w:r>
      <w:r w:rsidR="007A2254">
        <w:rPr>
          <w:rFonts w:asciiTheme="majorHAnsi" w:hAnsiTheme="majorHAnsi" w:cstheme="majorHAnsi"/>
          <w:sz w:val="24"/>
          <w:szCs w:val="24"/>
        </w:rPr>
        <w:t>FY</w:t>
      </w:r>
      <w:r w:rsidR="00350F9D">
        <w:rPr>
          <w:rFonts w:asciiTheme="majorHAnsi" w:hAnsiTheme="majorHAnsi" w:cstheme="majorHAnsi"/>
          <w:sz w:val="24"/>
          <w:szCs w:val="24"/>
        </w:rPr>
        <w:t xml:space="preserve">2022, </w:t>
      </w:r>
      <w:r w:rsidR="006353C6">
        <w:rPr>
          <w:rFonts w:asciiTheme="majorHAnsi" w:hAnsiTheme="majorHAnsi" w:cstheme="majorHAnsi"/>
          <w:sz w:val="24"/>
          <w:szCs w:val="24"/>
        </w:rPr>
        <w:t xml:space="preserve">the facility </w:t>
      </w:r>
      <w:r w:rsidR="004D1767">
        <w:rPr>
          <w:rFonts w:asciiTheme="majorHAnsi" w:hAnsiTheme="majorHAnsi" w:cstheme="majorHAnsi"/>
          <w:sz w:val="24"/>
          <w:szCs w:val="24"/>
        </w:rPr>
        <w:t>provided 5</w:t>
      </w:r>
      <w:r w:rsidR="0058284D">
        <w:rPr>
          <w:rFonts w:asciiTheme="majorHAnsi" w:hAnsiTheme="majorHAnsi" w:cstheme="majorHAnsi"/>
          <w:sz w:val="24"/>
          <w:szCs w:val="24"/>
        </w:rPr>
        <w:t>4</w:t>
      </w:r>
      <w:r w:rsidR="004D1767">
        <w:rPr>
          <w:rFonts w:asciiTheme="majorHAnsi" w:hAnsiTheme="majorHAnsi" w:cstheme="majorHAnsi"/>
          <w:sz w:val="24"/>
          <w:szCs w:val="24"/>
        </w:rPr>
        <w:t xml:space="preserve">% </w:t>
      </w:r>
      <w:r w:rsidR="000A2E67">
        <w:rPr>
          <w:rFonts w:asciiTheme="majorHAnsi" w:hAnsiTheme="majorHAnsi" w:cstheme="majorHAnsi"/>
          <w:sz w:val="24"/>
          <w:szCs w:val="24"/>
        </w:rPr>
        <w:t>L</w:t>
      </w:r>
      <w:r w:rsidR="004D1767">
        <w:rPr>
          <w:rFonts w:asciiTheme="majorHAnsi" w:hAnsiTheme="majorHAnsi" w:cstheme="majorHAnsi"/>
          <w:sz w:val="24"/>
          <w:szCs w:val="24"/>
        </w:rPr>
        <w:t xml:space="preserve">ong </w:t>
      </w:r>
      <w:r w:rsidR="000A2E67">
        <w:rPr>
          <w:rFonts w:asciiTheme="majorHAnsi" w:hAnsiTheme="majorHAnsi" w:cstheme="majorHAnsi"/>
          <w:sz w:val="24"/>
          <w:szCs w:val="24"/>
        </w:rPr>
        <w:t>T</w:t>
      </w:r>
      <w:r w:rsidR="004D1767">
        <w:rPr>
          <w:rFonts w:asciiTheme="majorHAnsi" w:hAnsiTheme="majorHAnsi" w:cstheme="majorHAnsi"/>
          <w:sz w:val="24"/>
          <w:szCs w:val="24"/>
        </w:rPr>
        <w:t xml:space="preserve">erm </w:t>
      </w:r>
      <w:r w:rsidR="000A2E67">
        <w:rPr>
          <w:rFonts w:asciiTheme="majorHAnsi" w:hAnsiTheme="majorHAnsi" w:cstheme="majorHAnsi"/>
          <w:sz w:val="24"/>
          <w:szCs w:val="24"/>
        </w:rPr>
        <w:t>C</w:t>
      </w:r>
      <w:r w:rsidR="004D1767">
        <w:rPr>
          <w:rFonts w:asciiTheme="majorHAnsi" w:hAnsiTheme="majorHAnsi" w:cstheme="majorHAnsi"/>
          <w:sz w:val="24"/>
          <w:szCs w:val="24"/>
        </w:rPr>
        <w:t xml:space="preserve">are </w:t>
      </w:r>
      <w:r w:rsidR="008D10E7">
        <w:rPr>
          <w:rFonts w:asciiTheme="majorHAnsi" w:hAnsiTheme="majorHAnsi" w:cstheme="majorHAnsi"/>
          <w:sz w:val="24"/>
          <w:szCs w:val="24"/>
        </w:rPr>
        <w:t>services</w:t>
      </w:r>
      <w:r w:rsidR="004D1767">
        <w:rPr>
          <w:rFonts w:asciiTheme="majorHAnsi" w:hAnsiTheme="majorHAnsi" w:cstheme="majorHAnsi"/>
          <w:sz w:val="24"/>
          <w:szCs w:val="24"/>
        </w:rPr>
        <w:t xml:space="preserve"> and </w:t>
      </w:r>
      <w:r w:rsidR="00D37304">
        <w:rPr>
          <w:rFonts w:asciiTheme="majorHAnsi" w:hAnsiTheme="majorHAnsi" w:cstheme="majorHAnsi"/>
          <w:sz w:val="24"/>
          <w:szCs w:val="24"/>
        </w:rPr>
        <w:t xml:space="preserve">46% Short Term Rehabilitative </w:t>
      </w:r>
      <w:r w:rsidR="000A2E67">
        <w:rPr>
          <w:rFonts w:asciiTheme="majorHAnsi" w:hAnsiTheme="majorHAnsi" w:cstheme="majorHAnsi"/>
          <w:sz w:val="24"/>
          <w:szCs w:val="24"/>
        </w:rPr>
        <w:t>s</w:t>
      </w:r>
      <w:r w:rsidR="00D37304">
        <w:rPr>
          <w:rFonts w:asciiTheme="majorHAnsi" w:hAnsiTheme="majorHAnsi" w:cstheme="majorHAnsi"/>
          <w:sz w:val="24"/>
          <w:szCs w:val="24"/>
        </w:rPr>
        <w:t>ervices.</w:t>
      </w:r>
      <w:r w:rsidR="008971E4">
        <w:rPr>
          <w:rFonts w:asciiTheme="majorHAnsi" w:hAnsiTheme="majorHAnsi" w:cstheme="majorHAnsi"/>
          <w:sz w:val="24"/>
          <w:szCs w:val="24"/>
        </w:rPr>
        <w:t xml:space="preserve"> </w:t>
      </w:r>
      <w:r w:rsidRPr="005D08D4">
        <w:rPr>
          <w:rFonts w:asciiTheme="majorHAnsi" w:hAnsiTheme="majorHAnsi" w:cstheme="majorHAnsi"/>
          <w:sz w:val="24"/>
          <w:szCs w:val="24"/>
        </w:rPr>
        <w:t>The payor mix shows that the majority (7</w:t>
      </w:r>
      <w:r w:rsidRPr="00903514">
        <w:rPr>
          <w:rFonts w:asciiTheme="majorHAnsi" w:hAnsiTheme="majorHAnsi" w:cstheme="majorHAnsi"/>
          <w:sz w:val="24"/>
          <w:szCs w:val="24"/>
        </w:rPr>
        <w:t>6</w:t>
      </w:r>
      <w:r w:rsidRPr="005D08D4">
        <w:rPr>
          <w:rFonts w:asciiTheme="majorHAnsi" w:hAnsiTheme="majorHAnsi" w:cstheme="majorHAnsi"/>
          <w:sz w:val="24"/>
          <w:szCs w:val="24"/>
        </w:rPr>
        <w:t xml:space="preserve">%) of </w:t>
      </w:r>
      <w:r w:rsidR="004C3D78">
        <w:rPr>
          <w:rFonts w:asciiTheme="majorHAnsi" w:hAnsiTheme="majorHAnsi" w:cstheme="majorHAnsi"/>
          <w:sz w:val="24"/>
          <w:szCs w:val="24"/>
        </w:rPr>
        <w:t>Royal Wayland</w:t>
      </w:r>
      <w:r w:rsidRPr="005D08D4">
        <w:rPr>
          <w:rFonts w:asciiTheme="majorHAnsi" w:hAnsiTheme="majorHAnsi" w:cstheme="majorHAnsi"/>
          <w:sz w:val="24"/>
          <w:szCs w:val="24"/>
        </w:rPr>
        <w:t xml:space="preserve"> facility residents </w:t>
      </w:r>
      <w:r w:rsidR="0013654D">
        <w:rPr>
          <w:rFonts w:asciiTheme="majorHAnsi" w:hAnsiTheme="majorHAnsi" w:cstheme="majorHAnsi"/>
          <w:sz w:val="24"/>
          <w:szCs w:val="24"/>
        </w:rPr>
        <w:t>were</w:t>
      </w:r>
      <w:r w:rsidRPr="005D08D4">
        <w:rPr>
          <w:rFonts w:asciiTheme="majorHAnsi" w:hAnsiTheme="majorHAnsi" w:cstheme="majorHAnsi"/>
          <w:sz w:val="24"/>
          <w:szCs w:val="24"/>
        </w:rPr>
        <w:t xml:space="preserve"> covered by </w:t>
      </w:r>
      <w:r w:rsidRPr="005F6CC1">
        <w:rPr>
          <w:rFonts w:asciiTheme="majorHAnsi" w:hAnsiTheme="majorHAnsi" w:cstheme="majorHAnsi"/>
          <w:sz w:val="24"/>
          <w:szCs w:val="24"/>
        </w:rPr>
        <w:t>Medicaid</w:t>
      </w:r>
      <w:r w:rsidR="00753DE1" w:rsidRPr="005F6CC1">
        <w:rPr>
          <w:rFonts w:asciiTheme="majorHAnsi" w:hAnsiTheme="majorHAnsi" w:cstheme="majorHAnsi"/>
          <w:sz w:val="24"/>
          <w:szCs w:val="24"/>
        </w:rPr>
        <w:t>,</w:t>
      </w:r>
      <w:r w:rsidRPr="005D08D4">
        <w:rPr>
          <w:rFonts w:asciiTheme="majorHAnsi" w:hAnsiTheme="majorHAnsi" w:cstheme="majorHAnsi"/>
          <w:sz w:val="24"/>
          <w:szCs w:val="24"/>
        </w:rPr>
        <w:t xml:space="preserve"> </w:t>
      </w:r>
      <w:r w:rsidR="00DE0D4D">
        <w:rPr>
          <w:rFonts w:asciiTheme="majorHAnsi" w:hAnsiTheme="majorHAnsi" w:cstheme="majorHAnsi"/>
          <w:sz w:val="24"/>
          <w:szCs w:val="24"/>
        </w:rPr>
        <w:t xml:space="preserve">3% </w:t>
      </w:r>
      <w:r w:rsidR="0013654D">
        <w:rPr>
          <w:rFonts w:asciiTheme="majorHAnsi" w:hAnsiTheme="majorHAnsi" w:cstheme="majorHAnsi"/>
          <w:sz w:val="24"/>
          <w:szCs w:val="24"/>
        </w:rPr>
        <w:t>were</w:t>
      </w:r>
      <w:r w:rsidR="00DE0D4D">
        <w:rPr>
          <w:rFonts w:asciiTheme="majorHAnsi" w:hAnsiTheme="majorHAnsi" w:cstheme="majorHAnsi"/>
          <w:sz w:val="24"/>
          <w:szCs w:val="24"/>
        </w:rPr>
        <w:t xml:space="preserve"> covered by Medicare, 5% </w:t>
      </w:r>
      <w:r w:rsidR="0013654D">
        <w:rPr>
          <w:rFonts w:asciiTheme="majorHAnsi" w:hAnsiTheme="majorHAnsi" w:cstheme="majorHAnsi"/>
          <w:sz w:val="24"/>
          <w:szCs w:val="24"/>
        </w:rPr>
        <w:t>were covered by Managed Care,</w:t>
      </w:r>
      <w:r w:rsidR="00753DE1" w:rsidRPr="005D08D4">
        <w:rPr>
          <w:rFonts w:asciiTheme="majorHAnsi" w:hAnsiTheme="majorHAnsi" w:cstheme="majorHAnsi"/>
          <w:sz w:val="24"/>
          <w:szCs w:val="24"/>
        </w:rPr>
        <w:t xml:space="preserve"> and </w:t>
      </w:r>
      <w:r w:rsidR="00C10212">
        <w:rPr>
          <w:rFonts w:asciiTheme="majorHAnsi" w:hAnsiTheme="majorHAnsi" w:cstheme="majorHAnsi"/>
          <w:sz w:val="24"/>
          <w:szCs w:val="24"/>
        </w:rPr>
        <w:t>15</w:t>
      </w:r>
      <w:r w:rsidR="00753DE1" w:rsidRPr="005D08D4">
        <w:rPr>
          <w:rFonts w:asciiTheme="majorHAnsi" w:hAnsiTheme="majorHAnsi" w:cstheme="majorHAnsi"/>
          <w:sz w:val="24"/>
          <w:szCs w:val="24"/>
        </w:rPr>
        <w:t>% were private pay residents.</w:t>
      </w:r>
    </w:p>
    <w:p w14:paraId="0B37C2E3" w14:textId="77777777" w:rsidR="00F06736" w:rsidRPr="00DA3F75" w:rsidRDefault="00F06736" w:rsidP="00F06736">
      <w:pPr>
        <w:spacing w:after="0" w:line="240" w:lineRule="auto"/>
        <w:rPr>
          <w:rFonts w:asciiTheme="majorHAnsi" w:hAnsiTheme="majorHAnsi" w:cstheme="majorHAnsi"/>
          <w:sz w:val="24"/>
          <w:szCs w:val="24"/>
        </w:rPr>
      </w:pPr>
    </w:p>
    <w:p w14:paraId="6E4CF605" w14:textId="640CA0B2" w:rsidR="00F45E99" w:rsidRPr="006F0C8B" w:rsidRDefault="00EC32CB" w:rsidP="00D642AB">
      <w:pPr>
        <w:spacing w:after="0"/>
        <w:rPr>
          <w:rFonts w:asciiTheme="majorHAnsi" w:hAnsiTheme="majorHAnsi" w:cstheme="majorHAnsi"/>
          <w:sz w:val="24"/>
          <w:szCs w:val="24"/>
        </w:rPr>
      </w:pPr>
      <w:r w:rsidRPr="00DA3F75">
        <w:rPr>
          <w:rFonts w:asciiTheme="majorHAnsi" w:hAnsiTheme="majorHAnsi" w:cstheme="majorHAnsi"/>
          <w:b/>
          <w:sz w:val="24"/>
          <w:szCs w:val="24"/>
        </w:rPr>
        <w:t>The Proposed Project</w:t>
      </w:r>
      <w:r w:rsidRPr="00DA3F75">
        <w:rPr>
          <w:rFonts w:asciiTheme="majorHAnsi" w:hAnsiTheme="majorHAnsi" w:cstheme="majorHAnsi"/>
          <w:sz w:val="24"/>
          <w:szCs w:val="24"/>
        </w:rPr>
        <w:t xml:space="preserve"> </w:t>
      </w:r>
    </w:p>
    <w:p w14:paraId="3A6616DF" w14:textId="16D29434" w:rsidR="00F21EF8" w:rsidRPr="006F0C8B" w:rsidRDefault="00EC32CB" w:rsidP="00F21EF8">
      <w:pPr>
        <w:spacing w:line="240" w:lineRule="auto"/>
        <w:rPr>
          <w:rFonts w:asciiTheme="majorHAnsi" w:hAnsiTheme="majorHAnsi" w:cstheme="majorHAnsi"/>
          <w:sz w:val="24"/>
          <w:szCs w:val="24"/>
        </w:rPr>
      </w:pPr>
      <w:r w:rsidRPr="00B85456">
        <w:rPr>
          <w:rFonts w:asciiTheme="majorHAnsi" w:hAnsiTheme="majorHAnsi" w:cstheme="majorHAnsi"/>
          <w:sz w:val="24"/>
          <w:szCs w:val="24"/>
        </w:rPr>
        <w:t xml:space="preserve">Through the Proposed Project, the Applicant aims to </w:t>
      </w:r>
      <w:r w:rsidR="00753DE1" w:rsidRPr="00B85456">
        <w:rPr>
          <w:rFonts w:asciiTheme="majorHAnsi" w:hAnsiTheme="majorHAnsi" w:cstheme="majorHAnsi"/>
          <w:sz w:val="24"/>
          <w:szCs w:val="24"/>
        </w:rPr>
        <w:t>bring the facility into compliance</w:t>
      </w:r>
      <w:r w:rsidR="00572414">
        <w:rPr>
          <w:rFonts w:asciiTheme="majorHAnsi" w:hAnsiTheme="majorHAnsi" w:cstheme="majorHAnsi"/>
          <w:sz w:val="24"/>
          <w:szCs w:val="24"/>
        </w:rPr>
        <w:t xml:space="preserve"> with the </w:t>
      </w:r>
      <w:r w:rsidR="00C65671">
        <w:rPr>
          <w:rFonts w:asciiTheme="majorHAnsi" w:hAnsiTheme="majorHAnsi" w:cstheme="majorHAnsi"/>
          <w:sz w:val="24"/>
          <w:szCs w:val="24"/>
        </w:rPr>
        <w:t xml:space="preserve">De-Densification Requirements </w:t>
      </w:r>
      <w:r w:rsidR="000D62AB">
        <w:rPr>
          <w:rFonts w:asciiTheme="majorHAnsi" w:hAnsiTheme="majorHAnsi" w:cstheme="majorHAnsi"/>
          <w:sz w:val="24"/>
          <w:szCs w:val="24"/>
        </w:rPr>
        <w:t xml:space="preserve">through renovation and construction of a new addition to its </w:t>
      </w:r>
      <w:r w:rsidR="00EA5483" w:rsidRPr="000B2A15">
        <w:rPr>
          <w:rFonts w:asciiTheme="majorHAnsi" w:hAnsiTheme="majorHAnsi" w:cstheme="majorHAnsi"/>
          <w:sz w:val="24"/>
          <w:szCs w:val="24"/>
        </w:rPr>
        <w:t xml:space="preserve">Dementia Special Care Unit </w:t>
      </w:r>
      <w:r w:rsidR="00EA5483">
        <w:rPr>
          <w:rFonts w:asciiTheme="majorHAnsi" w:hAnsiTheme="majorHAnsi" w:cstheme="majorHAnsi"/>
          <w:sz w:val="24"/>
          <w:szCs w:val="24"/>
        </w:rPr>
        <w:t>(</w:t>
      </w:r>
      <w:r w:rsidR="000D62AB">
        <w:rPr>
          <w:rFonts w:asciiTheme="majorHAnsi" w:hAnsiTheme="majorHAnsi" w:cstheme="majorHAnsi"/>
          <w:sz w:val="24"/>
          <w:szCs w:val="24"/>
        </w:rPr>
        <w:t>DSCU</w:t>
      </w:r>
      <w:r w:rsidR="00EA5483">
        <w:rPr>
          <w:rFonts w:asciiTheme="majorHAnsi" w:hAnsiTheme="majorHAnsi" w:cstheme="majorHAnsi"/>
          <w:sz w:val="24"/>
          <w:szCs w:val="24"/>
        </w:rPr>
        <w:t>)</w:t>
      </w:r>
      <w:r w:rsidR="000D62AB">
        <w:rPr>
          <w:rFonts w:asciiTheme="majorHAnsi" w:hAnsiTheme="majorHAnsi" w:cstheme="majorHAnsi"/>
          <w:sz w:val="24"/>
          <w:szCs w:val="24"/>
        </w:rPr>
        <w:t xml:space="preserve">. </w:t>
      </w:r>
      <w:r w:rsidR="00834BE2" w:rsidRPr="00B025B7">
        <w:rPr>
          <w:rStyle w:val="cf01"/>
          <w:rFonts w:asciiTheme="majorHAnsi" w:hAnsiTheme="majorHAnsi" w:cstheme="majorHAnsi"/>
          <w:sz w:val="24"/>
          <w:szCs w:val="24"/>
        </w:rPr>
        <w:t xml:space="preserve">The Applicant </w:t>
      </w:r>
      <w:r w:rsidR="00834BE2">
        <w:rPr>
          <w:rStyle w:val="cf01"/>
          <w:rFonts w:asciiTheme="majorHAnsi" w:hAnsiTheme="majorHAnsi" w:cstheme="majorHAnsi"/>
          <w:sz w:val="24"/>
          <w:szCs w:val="24"/>
        </w:rPr>
        <w:t>seeks</w:t>
      </w:r>
      <w:r w:rsidR="00834BE2" w:rsidRPr="00B025B7">
        <w:rPr>
          <w:rStyle w:val="cf01"/>
          <w:rFonts w:asciiTheme="majorHAnsi" w:hAnsiTheme="majorHAnsi" w:cstheme="majorHAnsi"/>
          <w:sz w:val="24"/>
          <w:szCs w:val="24"/>
        </w:rPr>
        <w:t xml:space="preserve"> to use its one-time regulatory allowance </w:t>
      </w:r>
      <w:r w:rsidR="00834BE2">
        <w:rPr>
          <w:rStyle w:val="cf01"/>
          <w:rFonts w:asciiTheme="majorHAnsi" w:hAnsiTheme="majorHAnsi" w:cstheme="majorHAnsi"/>
          <w:sz w:val="24"/>
          <w:szCs w:val="24"/>
        </w:rPr>
        <w:t xml:space="preserve">to add </w:t>
      </w:r>
      <w:r w:rsidR="00834BE2" w:rsidRPr="00B025B7">
        <w:rPr>
          <w:rStyle w:val="cf01"/>
          <w:rFonts w:asciiTheme="majorHAnsi" w:hAnsiTheme="majorHAnsi" w:cstheme="majorHAnsi"/>
          <w:sz w:val="24"/>
          <w:szCs w:val="24"/>
        </w:rPr>
        <w:t>twelve beds</w:t>
      </w:r>
      <w:r w:rsidR="00834BE2">
        <w:rPr>
          <w:rStyle w:val="cf01"/>
          <w:rFonts w:asciiTheme="majorHAnsi" w:hAnsiTheme="majorHAnsi" w:cstheme="majorHAnsi"/>
          <w:sz w:val="24"/>
          <w:szCs w:val="24"/>
        </w:rPr>
        <w:t xml:space="preserve"> </w:t>
      </w:r>
      <w:r w:rsidR="00B85456" w:rsidRPr="00B85456">
        <w:rPr>
          <w:rFonts w:asciiTheme="majorHAnsi" w:hAnsiTheme="majorHAnsi" w:cstheme="majorHAnsi"/>
          <w:sz w:val="24"/>
          <w:szCs w:val="24"/>
        </w:rPr>
        <w:t>to the current</w:t>
      </w:r>
      <w:r w:rsidR="005969A1">
        <w:rPr>
          <w:rFonts w:asciiTheme="majorHAnsi" w:hAnsiTheme="majorHAnsi" w:cstheme="majorHAnsi"/>
          <w:sz w:val="24"/>
          <w:szCs w:val="24"/>
        </w:rPr>
        <w:t>ly</w:t>
      </w:r>
      <w:r w:rsidR="00B85456" w:rsidRPr="00B85456">
        <w:rPr>
          <w:rFonts w:asciiTheme="majorHAnsi" w:hAnsiTheme="majorHAnsi" w:cstheme="majorHAnsi"/>
          <w:sz w:val="24"/>
          <w:szCs w:val="24"/>
        </w:rPr>
        <w:t xml:space="preserve"> licensed 40 beds</w:t>
      </w:r>
      <w:r w:rsidR="00823AFF">
        <w:rPr>
          <w:rFonts w:asciiTheme="majorHAnsi" w:hAnsiTheme="majorHAnsi" w:cstheme="majorHAnsi"/>
          <w:sz w:val="24"/>
          <w:szCs w:val="24"/>
        </w:rPr>
        <w:t>, for a total of 52 beds</w:t>
      </w:r>
      <w:r w:rsidR="00B85456" w:rsidRPr="00B85456">
        <w:rPr>
          <w:rFonts w:asciiTheme="majorHAnsi" w:hAnsiTheme="majorHAnsi" w:cstheme="majorHAnsi"/>
          <w:sz w:val="24"/>
          <w:szCs w:val="24"/>
        </w:rPr>
        <w:t xml:space="preserve">. </w:t>
      </w:r>
      <w:r w:rsidR="00B72172" w:rsidRPr="00CF7D86">
        <w:rPr>
          <w:sz w:val="24"/>
          <w:szCs w:val="24"/>
        </w:rPr>
        <w:t xml:space="preserve">The expanded and renovated facility will have </w:t>
      </w:r>
      <w:r w:rsidR="00823AFF">
        <w:rPr>
          <w:sz w:val="24"/>
          <w:szCs w:val="24"/>
        </w:rPr>
        <w:t>4</w:t>
      </w:r>
      <w:r w:rsidR="00B72172" w:rsidRPr="00CF7D86">
        <w:rPr>
          <w:sz w:val="24"/>
          <w:szCs w:val="24"/>
        </w:rPr>
        <w:t xml:space="preserve"> private </w:t>
      </w:r>
      <w:r w:rsidR="00794731">
        <w:rPr>
          <w:sz w:val="24"/>
          <w:szCs w:val="24"/>
        </w:rPr>
        <w:t xml:space="preserve">(single) </w:t>
      </w:r>
      <w:r w:rsidR="00B72172" w:rsidRPr="00CF7D86">
        <w:rPr>
          <w:sz w:val="24"/>
          <w:szCs w:val="24"/>
        </w:rPr>
        <w:t>bedrooms</w:t>
      </w:r>
      <w:r w:rsidR="00686B03">
        <w:rPr>
          <w:sz w:val="24"/>
          <w:szCs w:val="24"/>
        </w:rPr>
        <w:t xml:space="preserve"> and 24 two-bedded rooms</w:t>
      </w:r>
      <w:r w:rsidR="005575F7">
        <w:rPr>
          <w:sz w:val="24"/>
          <w:szCs w:val="24"/>
        </w:rPr>
        <w:t xml:space="preserve"> </w:t>
      </w:r>
      <w:r w:rsidR="00EA5483" w:rsidRPr="00686B03">
        <w:rPr>
          <w:sz w:val="24"/>
          <w:szCs w:val="24"/>
        </w:rPr>
        <w:t>on</w:t>
      </w:r>
      <w:r w:rsidR="008B7BC4">
        <w:rPr>
          <w:sz w:val="24"/>
          <w:szCs w:val="24"/>
        </w:rPr>
        <w:t xml:space="preserve"> one</w:t>
      </w:r>
      <w:r w:rsidR="00EA5483" w:rsidRPr="00686B03">
        <w:rPr>
          <w:sz w:val="24"/>
          <w:szCs w:val="24"/>
        </w:rPr>
        <w:t xml:space="preserve"> floor</w:t>
      </w:r>
      <w:r w:rsidR="00B72172" w:rsidRPr="00686B03">
        <w:rPr>
          <w:sz w:val="24"/>
          <w:szCs w:val="24"/>
        </w:rPr>
        <w:t>.</w:t>
      </w:r>
      <w:r w:rsidR="00B72172" w:rsidRPr="000F387B">
        <w:rPr>
          <w:sz w:val="24"/>
          <w:szCs w:val="24"/>
        </w:rPr>
        <w:t xml:space="preserve"> </w:t>
      </w:r>
      <w:r w:rsidR="003C4091" w:rsidRPr="000F387B">
        <w:rPr>
          <w:sz w:val="24"/>
          <w:szCs w:val="24"/>
        </w:rPr>
        <w:t xml:space="preserve">The Applicant states that all 52 beds will be </w:t>
      </w:r>
      <w:r w:rsidR="000F387B" w:rsidRPr="000F387B">
        <w:rPr>
          <w:sz w:val="24"/>
          <w:szCs w:val="24"/>
        </w:rPr>
        <w:t xml:space="preserve">both Medicaid and Medicare certified. </w:t>
      </w:r>
      <w:r w:rsidR="00F21EF8">
        <w:rPr>
          <w:rFonts w:asciiTheme="majorHAnsi" w:hAnsiTheme="majorHAnsi" w:cstheme="majorHAnsi"/>
          <w:sz w:val="24"/>
          <w:szCs w:val="24"/>
        </w:rPr>
        <w:t>Upon</w:t>
      </w:r>
      <w:r w:rsidR="00F21EF8" w:rsidRPr="006F0C8B">
        <w:rPr>
          <w:rFonts w:asciiTheme="majorHAnsi" w:hAnsiTheme="majorHAnsi" w:cstheme="majorHAnsi"/>
          <w:sz w:val="24"/>
          <w:szCs w:val="24"/>
        </w:rPr>
        <w:t xml:space="preserve"> Staff </w:t>
      </w:r>
      <w:r w:rsidR="00F21EF8">
        <w:rPr>
          <w:rFonts w:asciiTheme="majorHAnsi" w:hAnsiTheme="majorHAnsi" w:cstheme="majorHAnsi"/>
          <w:sz w:val="24"/>
          <w:szCs w:val="24"/>
        </w:rPr>
        <w:t>request</w:t>
      </w:r>
      <w:r w:rsidR="00F21EF8" w:rsidRPr="006F0C8B">
        <w:rPr>
          <w:rFonts w:asciiTheme="majorHAnsi" w:hAnsiTheme="majorHAnsi" w:cstheme="majorHAnsi"/>
          <w:sz w:val="24"/>
          <w:szCs w:val="24"/>
        </w:rPr>
        <w:t xml:space="preserve">, the Applicant provided </w:t>
      </w:r>
      <w:r w:rsidR="00C05928">
        <w:rPr>
          <w:rFonts w:asciiTheme="majorHAnsi" w:hAnsiTheme="majorHAnsi" w:cstheme="majorHAnsi"/>
          <w:sz w:val="24"/>
          <w:szCs w:val="24"/>
        </w:rPr>
        <w:t xml:space="preserve">historical and projected </w:t>
      </w:r>
      <w:r w:rsidR="00F21EF8">
        <w:rPr>
          <w:rFonts w:asciiTheme="majorHAnsi" w:hAnsiTheme="majorHAnsi" w:cstheme="majorHAnsi"/>
          <w:sz w:val="24"/>
          <w:szCs w:val="24"/>
        </w:rPr>
        <w:t xml:space="preserve">payer mix </w:t>
      </w:r>
      <w:r w:rsidR="000621F8">
        <w:rPr>
          <w:rFonts w:asciiTheme="majorHAnsi" w:hAnsiTheme="majorHAnsi" w:cstheme="majorHAnsi"/>
          <w:sz w:val="24"/>
          <w:szCs w:val="24"/>
        </w:rPr>
        <w:t>patient data</w:t>
      </w:r>
      <w:r w:rsidR="00F21EF8">
        <w:rPr>
          <w:rFonts w:asciiTheme="majorHAnsi" w:hAnsiTheme="majorHAnsi" w:cstheme="majorHAnsi"/>
          <w:sz w:val="24"/>
          <w:szCs w:val="24"/>
        </w:rPr>
        <w:t xml:space="preserve"> </w:t>
      </w:r>
      <w:r w:rsidR="00693121">
        <w:rPr>
          <w:rFonts w:asciiTheme="majorHAnsi" w:hAnsiTheme="majorHAnsi" w:cstheme="majorHAnsi"/>
          <w:sz w:val="24"/>
          <w:szCs w:val="24"/>
        </w:rPr>
        <w:t xml:space="preserve">demonstrating that </w:t>
      </w:r>
      <w:r w:rsidR="005531C6">
        <w:rPr>
          <w:rFonts w:asciiTheme="majorHAnsi" w:hAnsiTheme="majorHAnsi" w:cstheme="majorHAnsi"/>
          <w:sz w:val="24"/>
          <w:szCs w:val="24"/>
        </w:rPr>
        <w:t>in the first three years of post-project operation</w:t>
      </w:r>
      <w:r w:rsidR="003F2C01">
        <w:rPr>
          <w:rFonts w:asciiTheme="majorHAnsi" w:hAnsiTheme="majorHAnsi" w:cstheme="majorHAnsi"/>
          <w:sz w:val="24"/>
          <w:szCs w:val="24"/>
        </w:rPr>
        <w:t>, it intends to maintain its current level of Medicaid patients</w:t>
      </w:r>
      <w:r w:rsidR="005531C6">
        <w:rPr>
          <w:rFonts w:asciiTheme="majorHAnsi" w:hAnsiTheme="majorHAnsi" w:cstheme="majorHAnsi"/>
          <w:sz w:val="24"/>
          <w:szCs w:val="24"/>
        </w:rPr>
        <w:t>.</w:t>
      </w:r>
      <w:r w:rsidR="003F2C01">
        <w:rPr>
          <w:rFonts w:asciiTheme="majorHAnsi" w:hAnsiTheme="majorHAnsi" w:cstheme="majorHAnsi"/>
          <w:sz w:val="24"/>
          <w:szCs w:val="24"/>
        </w:rPr>
        <w:t xml:space="preserve"> </w:t>
      </w:r>
      <w:r w:rsidR="00A1746A">
        <w:rPr>
          <w:rFonts w:asciiTheme="majorHAnsi" w:hAnsiTheme="majorHAnsi" w:cstheme="majorHAnsi"/>
          <w:sz w:val="24"/>
          <w:szCs w:val="24"/>
        </w:rPr>
        <w:t>T</w:t>
      </w:r>
      <w:r w:rsidR="003F2C01">
        <w:rPr>
          <w:rFonts w:asciiTheme="majorHAnsi" w:hAnsiTheme="majorHAnsi" w:cstheme="majorHAnsi"/>
          <w:sz w:val="24"/>
          <w:szCs w:val="24"/>
        </w:rPr>
        <w:t xml:space="preserve">he projections </w:t>
      </w:r>
      <w:r w:rsidR="00A1746A">
        <w:rPr>
          <w:rFonts w:asciiTheme="majorHAnsi" w:hAnsiTheme="majorHAnsi" w:cstheme="majorHAnsi"/>
          <w:sz w:val="24"/>
          <w:szCs w:val="24"/>
        </w:rPr>
        <w:t xml:space="preserve">also </w:t>
      </w:r>
      <w:r w:rsidR="003F2C01">
        <w:rPr>
          <w:rFonts w:asciiTheme="majorHAnsi" w:hAnsiTheme="majorHAnsi" w:cstheme="majorHAnsi"/>
          <w:sz w:val="24"/>
          <w:szCs w:val="24"/>
        </w:rPr>
        <w:t>reflect an increase in the number of Medicare and private pay patients.</w:t>
      </w:r>
    </w:p>
    <w:p w14:paraId="79884C10" w14:textId="0ACD1716" w:rsidR="00F21EF8" w:rsidRPr="00931A4E" w:rsidRDefault="00F21EF8" w:rsidP="00F21EF8">
      <w:pPr>
        <w:spacing w:line="240" w:lineRule="auto"/>
        <w:rPr>
          <w:b/>
          <w:bCs/>
        </w:rPr>
      </w:pPr>
      <w:r w:rsidRPr="002D0DB9">
        <w:rPr>
          <w:b/>
          <w:bCs/>
          <w:u w:val="single"/>
        </w:rPr>
        <w:lastRenderedPageBreak/>
        <w:t>Table 1:</w:t>
      </w:r>
      <w:r w:rsidRPr="00931A4E">
        <w:rPr>
          <w:b/>
          <w:bCs/>
        </w:rPr>
        <w:t xml:space="preserve"> Royal Wayland </w:t>
      </w:r>
      <w:r w:rsidR="00572414">
        <w:rPr>
          <w:b/>
          <w:bCs/>
        </w:rPr>
        <w:t xml:space="preserve">Average </w:t>
      </w:r>
      <w:r w:rsidRPr="00931A4E">
        <w:rPr>
          <w:b/>
          <w:bCs/>
        </w:rPr>
        <w:t>Number of Patients By Payer</w:t>
      </w:r>
      <w:r w:rsidR="00926A1B">
        <w:rPr>
          <w:rStyle w:val="FootnoteReference"/>
          <w:b/>
          <w:bCs/>
        </w:rPr>
        <w:footnoteReference w:id="3"/>
      </w:r>
    </w:p>
    <w:tbl>
      <w:tblPr>
        <w:tblStyle w:val="TableGrid"/>
        <w:tblW w:w="0" w:type="auto"/>
        <w:tblLook w:val="04A0" w:firstRow="1" w:lastRow="0" w:firstColumn="1" w:lastColumn="0" w:noHBand="0" w:noVBand="1"/>
      </w:tblPr>
      <w:tblGrid>
        <w:gridCol w:w="1183"/>
        <w:gridCol w:w="858"/>
        <w:gridCol w:w="858"/>
        <w:gridCol w:w="1116"/>
        <w:gridCol w:w="1025"/>
        <w:gridCol w:w="1459"/>
        <w:gridCol w:w="1369"/>
        <w:gridCol w:w="1482"/>
      </w:tblGrid>
      <w:tr w:rsidR="00F21EF8" w14:paraId="07FE74A3" w14:textId="77777777" w:rsidTr="00BE2323">
        <w:trPr>
          <w:cantSplit/>
          <w:tblHeader/>
        </w:trPr>
        <w:tc>
          <w:tcPr>
            <w:tcW w:w="1231" w:type="dxa"/>
            <w:shd w:val="clear" w:color="auto" w:fill="D9D9D9" w:themeFill="background1" w:themeFillShade="D9"/>
          </w:tcPr>
          <w:p w14:paraId="7CDB06F5" w14:textId="77777777" w:rsidR="00F21EF8" w:rsidRPr="00EC21E0" w:rsidRDefault="00F21EF8" w:rsidP="005E6676">
            <w:pPr>
              <w:rPr>
                <w:rFonts w:eastAsia="Times New Roman"/>
                <w:b/>
                <w:bCs/>
                <w:sz w:val="20"/>
                <w:szCs w:val="20"/>
              </w:rPr>
            </w:pPr>
            <w:r w:rsidRPr="00EC21E0">
              <w:rPr>
                <w:rFonts w:eastAsia="Times New Roman"/>
                <w:b/>
                <w:bCs/>
                <w:sz w:val="20"/>
                <w:szCs w:val="20"/>
              </w:rPr>
              <w:t>Payer</w:t>
            </w:r>
          </w:p>
        </w:tc>
        <w:tc>
          <w:tcPr>
            <w:tcW w:w="869" w:type="dxa"/>
            <w:shd w:val="clear" w:color="auto" w:fill="D9D9D9" w:themeFill="background1" w:themeFillShade="D9"/>
          </w:tcPr>
          <w:p w14:paraId="79A6DCA9" w14:textId="77777777" w:rsidR="00F21EF8" w:rsidRPr="00EC21E0" w:rsidRDefault="00F21EF8" w:rsidP="005E6676">
            <w:pPr>
              <w:rPr>
                <w:rFonts w:eastAsia="Times New Roman"/>
                <w:b/>
                <w:bCs/>
                <w:sz w:val="20"/>
                <w:szCs w:val="20"/>
              </w:rPr>
            </w:pPr>
            <w:r>
              <w:rPr>
                <w:rFonts w:eastAsia="Times New Roman"/>
                <w:b/>
                <w:bCs/>
                <w:sz w:val="20"/>
                <w:szCs w:val="20"/>
              </w:rPr>
              <w:t>CY</w:t>
            </w:r>
            <w:r w:rsidRPr="00EC21E0">
              <w:rPr>
                <w:rFonts w:eastAsia="Times New Roman"/>
                <w:b/>
                <w:bCs/>
                <w:sz w:val="20"/>
                <w:szCs w:val="20"/>
              </w:rPr>
              <w:t>2019</w:t>
            </w:r>
          </w:p>
        </w:tc>
        <w:tc>
          <w:tcPr>
            <w:tcW w:w="869" w:type="dxa"/>
            <w:shd w:val="clear" w:color="auto" w:fill="D9D9D9" w:themeFill="background1" w:themeFillShade="D9"/>
          </w:tcPr>
          <w:p w14:paraId="116C42BF" w14:textId="77777777" w:rsidR="00F21EF8" w:rsidRPr="00EC21E0" w:rsidRDefault="00F21EF8" w:rsidP="005E6676">
            <w:pPr>
              <w:rPr>
                <w:rFonts w:eastAsia="Times New Roman"/>
                <w:b/>
                <w:bCs/>
                <w:sz w:val="20"/>
                <w:szCs w:val="20"/>
              </w:rPr>
            </w:pPr>
            <w:r>
              <w:rPr>
                <w:rFonts w:eastAsia="Times New Roman"/>
                <w:b/>
                <w:bCs/>
                <w:sz w:val="20"/>
                <w:szCs w:val="20"/>
              </w:rPr>
              <w:t>CY</w:t>
            </w:r>
            <w:r w:rsidRPr="00EC21E0">
              <w:rPr>
                <w:rFonts w:eastAsia="Times New Roman"/>
                <w:b/>
                <w:bCs/>
                <w:sz w:val="20"/>
                <w:szCs w:val="20"/>
              </w:rPr>
              <w:t>2020</w:t>
            </w:r>
          </w:p>
        </w:tc>
        <w:tc>
          <w:tcPr>
            <w:tcW w:w="1232" w:type="dxa"/>
            <w:shd w:val="clear" w:color="auto" w:fill="D9D9D9" w:themeFill="background1" w:themeFillShade="D9"/>
          </w:tcPr>
          <w:p w14:paraId="01495CE7" w14:textId="77777777" w:rsidR="00F21EF8" w:rsidRPr="00EC21E0" w:rsidRDefault="00F21EF8" w:rsidP="005E6676">
            <w:pPr>
              <w:rPr>
                <w:rFonts w:eastAsia="Times New Roman"/>
                <w:b/>
                <w:bCs/>
                <w:sz w:val="20"/>
                <w:szCs w:val="20"/>
              </w:rPr>
            </w:pPr>
            <w:r>
              <w:rPr>
                <w:rFonts w:eastAsia="Times New Roman"/>
                <w:b/>
                <w:bCs/>
                <w:sz w:val="20"/>
                <w:szCs w:val="20"/>
              </w:rPr>
              <w:t>CY</w:t>
            </w:r>
            <w:r w:rsidRPr="00EC21E0">
              <w:rPr>
                <w:rFonts w:eastAsia="Times New Roman"/>
                <w:b/>
                <w:bCs/>
                <w:sz w:val="20"/>
                <w:szCs w:val="20"/>
              </w:rPr>
              <w:t>2021</w:t>
            </w:r>
          </w:p>
        </w:tc>
        <w:tc>
          <w:tcPr>
            <w:tcW w:w="1104" w:type="dxa"/>
            <w:shd w:val="clear" w:color="auto" w:fill="D9D9D9" w:themeFill="background1" w:themeFillShade="D9"/>
          </w:tcPr>
          <w:p w14:paraId="767DB047" w14:textId="77777777" w:rsidR="00F21EF8" w:rsidRPr="00EC21E0" w:rsidRDefault="00F21EF8" w:rsidP="005E6676">
            <w:pPr>
              <w:rPr>
                <w:rFonts w:eastAsia="Times New Roman"/>
                <w:b/>
                <w:bCs/>
                <w:sz w:val="20"/>
                <w:szCs w:val="20"/>
              </w:rPr>
            </w:pPr>
            <w:r>
              <w:rPr>
                <w:rFonts w:eastAsia="Times New Roman"/>
                <w:b/>
                <w:bCs/>
                <w:sz w:val="20"/>
                <w:szCs w:val="20"/>
              </w:rPr>
              <w:t>CY</w:t>
            </w:r>
            <w:r w:rsidRPr="00EC21E0">
              <w:rPr>
                <w:rFonts w:eastAsia="Times New Roman"/>
                <w:b/>
                <w:bCs/>
                <w:sz w:val="20"/>
                <w:szCs w:val="20"/>
              </w:rPr>
              <w:t xml:space="preserve">2022 </w:t>
            </w:r>
          </w:p>
        </w:tc>
        <w:tc>
          <w:tcPr>
            <w:tcW w:w="1620" w:type="dxa"/>
            <w:shd w:val="clear" w:color="auto" w:fill="D9D9D9" w:themeFill="background1" w:themeFillShade="D9"/>
          </w:tcPr>
          <w:p w14:paraId="4EE093FF" w14:textId="77777777" w:rsidR="00F21EF8" w:rsidRPr="00EC21E0" w:rsidRDefault="00F21EF8" w:rsidP="005E6676">
            <w:pPr>
              <w:rPr>
                <w:rFonts w:eastAsia="Times New Roman"/>
                <w:b/>
                <w:bCs/>
                <w:sz w:val="20"/>
                <w:szCs w:val="20"/>
              </w:rPr>
            </w:pPr>
            <w:r w:rsidRPr="00EC21E0">
              <w:rPr>
                <w:rFonts w:eastAsia="Times New Roman"/>
                <w:b/>
                <w:bCs/>
                <w:sz w:val="20"/>
                <w:szCs w:val="20"/>
              </w:rPr>
              <w:t>Year 1 Post-Project Operation</w:t>
            </w:r>
          </w:p>
        </w:tc>
        <w:tc>
          <w:tcPr>
            <w:tcW w:w="1493" w:type="dxa"/>
            <w:shd w:val="clear" w:color="auto" w:fill="D9D9D9" w:themeFill="background1" w:themeFillShade="D9"/>
          </w:tcPr>
          <w:p w14:paraId="189A7AED" w14:textId="77777777" w:rsidR="00F21EF8" w:rsidRPr="00EC21E0" w:rsidRDefault="00F21EF8" w:rsidP="005E6676">
            <w:pPr>
              <w:rPr>
                <w:rFonts w:eastAsia="Times New Roman"/>
                <w:b/>
                <w:bCs/>
                <w:sz w:val="20"/>
                <w:szCs w:val="20"/>
              </w:rPr>
            </w:pPr>
            <w:r w:rsidRPr="00EC21E0">
              <w:rPr>
                <w:rFonts w:eastAsia="Times New Roman"/>
                <w:b/>
                <w:bCs/>
                <w:sz w:val="20"/>
                <w:szCs w:val="20"/>
              </w:rPr>
              <w:t>Year 2 Post-Project Operation</w:t>
            </w:r>
          </w:p>
        </w:tc>
        <w:tc>
          <w:tcPr>
            <w:tcW w:w="1652" w:type="dxa"/>
            <w:shd w:val="clear" w:color="auto" w:fill="D9D9D9" w:themeFill="background1" w:themeFillShade="D9"/>
          </w:tcPr>
          <w:p w14:paraId="796A8F0A" w14:textId="77777777" w:rsidR="00F21EF8" w:rsidRPr="00EC21E0" w:rsidRDefault="00F21EF8" w:rsidP="005E6676">
            <w:pPr>
              <w:rPr>
                <w:rFonts w:eastAsia="Times New Roman"/>
                <w:b/>
                <w:bCs/>
                <w:sz w:val="20"/>
                <w:szCs w:val="20"/>
              </w:rPr>
            </w:pPr>
            <w:r w:rsidRPr="00EC21E0">
              <w:rPr>
                <w:rFonts w:eastAsia="Times New Roman"/>
                <w:b/>
                <w:bCs/>
                <w:sz w:val="20"/>
                <w:szCs w:val="20"/>
              </w:rPr>
              <w:t xml:space="preserve">Year </w:t>
            </w:r>
            <w:r>
              <w:rPr>
                <w:rFonts w:eastAsia="Times New Roman"/>
                <w:b/>
                <w:bCs/>
                <w:sz w:val="20"/>
                <w:szCs w:val="20"/>
              </w:rPr>
              <w:t>3</w:t>
            </w:r>
            <w:r w:rsidRPr="00EC21E0">
              <w:rPr>
                <w:rFonts w:eastAsia="Times New Roman"/>
                <w:b/>
                <w:bCs/>
                <w:sz w:val="20"/>
                <w:szCs w:val="20"/>
              </w:rPr>
              <w:t xml:space="preserve"> Post-Project Operation</w:t>
            </w:r>
          </w:p>
        </w:tc>
      </w:tr>
      <w:tr w:rsidR="00F21EF8" w14:paraId="5781D894" w14:textId="77777777" w:rsidTr="00BE2323">
        <w:trPr>
          <w:cantSplit/>
        </w:trPr>
        <w:tc>
          <w:tcPr>
            <w:tcW w:w="1231" w:type="dxa"/>
          </w:tcPr>
          <w:p w14:paraId="47CD4A63" w14:textId="77777777" w:rsidR="00F21EF8" w:rsidRDefault="00F21EF8" w:rsidP="005E6676">
            <w:pPr>
              <w:rPr>
                <w:rFonts w:eastAsia="Times New Roman"/>
              </w:rPr>
            </w:pPr>
            <w:r>
              <w:rPr>
                <w:rFonts w:eastAsia="Times New Roman"/>
              </w:rPr>
              <w:t>Medicaid</w:t>
            </w:r>
          </w:p>
        </w:tc>
        <w:tc>
          <w:tcPr>
            <w:tcW w:w="869" w:type="dxa"/>
          </w:tcPr>
          <w:p w14:paraId="29AB8225" w14:textId="77777777" w:rsidR="00F21EF8" w:rsidRDefault="00F21EF8" w:rsidP="005E6676">
            <w:pPr>
              <w:rPr>
                <w:rFonts w:eastAsia="Times New Roman"/>
              </w:rPr>
            </w:pPr>
            <w:r>
              <w:rPr>
                <w:rFonts w:eastAsia="Times New Roman"/>
              </w:rPr>
              <w:t>27.38</w:t>
            </w:r>
          </w:p>
        </w:tc>
        <w:tc>
          <w:tcPr>
            <w:tcW w:w="869" w:type="dxa"/>
          </w:tcPr>
          <w:p w14:paraId="33AC988A" w14:textId="77777777" w:rsidR="00F21EF8" w:rsidRDefault="00F21EF8" w:rsidP="005E6676">
            <w:pPr>
              <w:rPr>
                <w:rFonts w:eastAsia="Times New Roman"/>
              </w:rPr>
            </w:pPr>
            <w:r>
              <w:rPr>
                <w:rFonts w:eastAsia="Times New Roman"/>
              </w:rPr>
              <w:t>23.20</w:t>
            </w:r>
          </w:p>
        </w:tc>
        <w:tc>
          <w:tcPr>
            <w:tcW w:w="1232" w:type="dxa"/>
          </w:tcPr>
          <w:p w14:paraId="7F64AA77" w14:textId="77777777" w:rsidR="00F21EF8" w:rsidRDefault="00F21EF8" w:rsidP="005E6676">
            <w:pPr>
              <w:rPr>
                <w:rFonts w:eastAsia="Times New Roman"/>
              </w:rPr>
            </w:pPr>
            <w:r>
              <w:rPr>
                <w:rFonts w:eastAsia="Times New Roman"/>
              </w:rPr>
              <w:t>27.69</w:t>
            </w:r>
          </w:p>
        </w:tc>
        <w:tc>
          <w:tcPr>
            <w:tcW w:w="1104" w:type="dxa"/>
          </w:tcPr>
          <w:p w14:paraId="53EC8A3F" w14:textId="77777777" w:rsidR="00F21EF8" w:rsidRDefault="00F21EF8" w:rsidP="005E6676">
            <w:pPr>
              <w:rPr>
                <w:rFonts w:eastAsia="Times New Roman"/>
              </w:rPr>
            </w:pPr>
            <w:r>
              <w:rPr>
                <w:rFonts w:eastAsia="Times New Roman"/>
              </w:rPr>
              <w:t>25.89</w:t>
            </w:r>
          </w:p>
        </w:tc>
        <w:tc>
          <w:tcPr>
            <w:tcW w:w="1620" w:type="dxa"/>
          </w:tcPr>
          <w:p w14:paraId="348065D5" w14:textId="77777777" w:rsidR="00F21EF8" w:rsidRDefault="00F21EF8" w:rsidP="005E6676">
            <w:pPr>
              <w:rPr>
                <w:rFonts w:eastAsia="Times New Roman"/>
              </w:rPr>
            </w:pPr>
            <w:r>
              <w:rPr>
                <w:rFonts w:eastAsia="Times New Roman"/>
              </w:rPr>
              <w:t>24.19</w:t>
            </w:r>
          </w:p>
        </w:tc>
        <w:tc>
          <w:tcPr>
            <w:tcW w:w="1493" w:type="dxa"/>
          </w:tcPr>
          <w:p w14:paraId="3CCF7924" w14:textId="77777777" w:rsidR="00F21EF8" w:rsidRDefault="00F21EF8" w:rsidP="005E6676">
            <w:pPr>
              <w:rPr>
                <w:rFonts w:eastAsia="Times New Roman"/>
              </w:rPr>
            </w:pPr>
            <w:r>
              <w:rPr>
                <w:rFonts w:eastAsia="Times New Roman"/>
              </w:rPr>
              <w:t>27.79</w:t>
            </w:r>
          </w:p>
        </w:tc>
        <w:tc>
          <w:tcPr>
            <w:tcW w:w="1652" w:type="dxa"/>
          </w:tcPr>
          <w:p w14:paraId="7E672EF8" w14:textId="77777777" w:rsidR="00F21EF8" w:rsidRDefault="00F21EF8" w:rsidP="005E6676">
            <w:pPr>
              <w:rPr>
                <w:rFonts w:eastAsia="Times New Roman"/>
              </w:rPr>
            </w:pPr>
            <w:r>
              <w:rPr>
                <w:rFonts w:eastAsia="Times New Roman"/>
              </w:rPr>
              <w:t>25.30</w:t>
            </w:r>
          </w:p>
        </w:tc>
      </w:tr>
      <w:tr w:rsidR="00F21EF8" w14:paraId="63D70505" w14:textId="77777777" w:rsidTr="00BE2323">
        <w:trPr>
          <w:cantSplit/>
        </w:trPr>
        <w:tc>
          <w:tcPr>
            <w:tcW w:w="1231" w:type="dxa"/>
          </w:tcPr>
          <w:p w14:paraId="2B5E829A" w14:textId="77777777" w:rsidR="00F21EF8" w:rsidRDefault="00F21EF8" w:rsidP="005E6676">
            <w:pPr>
              <w:rPr>
                <w:rFonts w:eastAsia="Times New Roman"/>
              </w:rPr>
            </w:pPr>
            <w:r>
              <w:rPr>
                <w:rFonts w:eastAsia="Times New Roman"/>
              </w:rPr>
              <w:t>Medicare</w:t>
            </w:r>
          </w:p>
        </w:tc>
        <w:tc>
          <w:tcPr>
            <w:tcW w:w="869" w:type="dxa"/>
          </w:tcPr>
          <w:p w14:paraId="63C529CE" w14:textId="77777777" w:rsidR="00F21EF8" w:rsidRDefault="00F21EF8" w:rsidP="005E6676">
            <w:pPr>
              <w:rPr>
                <w:rFonts w:eastAsia="Times New Roman"/>
              </w:rPr>
            </w:pPr>
            <w:r>
              <w:rPr>
                <w:rFonts w:eastAsia="Times New Roman"/>
              </w:rPr>
              <w:t>1.06</w:t>
            </w:r>
          </w:p>
        </w:tc>
        <w:tc>
          <w:tcPr>
            <w:tcW w:w="869" w:type="dxa"/>
          </w:tcPr>
          <w:p w14:paraId="1DE1B834" w14:textId="77777777" w:rsidR="00F21EF8" w:rsidRDefault="00F21EF8" w:rsidP="005E6676">
            <w:pPr>
              <w:rPr>
                <w:rFonts w:eastAsia="Times New Roman"/>
              </w:rPr>
            </w:pPr>
            <w:r>
              <w:rPr>
                <w:rFonts w:eastAsia="Times New Roman"/>
              </w:rPr>
              <w:t>1.70</w:t>
            </w:r>
          </w:p>
        </w:tc>
        <w:tc>
          <w:tcPr>
            <w:tcW w:w="1232" w:type="dxa"/>
          </w:tcPr>
          <w:p w14:paraId="776459BC" w14:textId="77777777" w:rsidR="00F21EF8" w:rsidRDefault="00F21EF8" w:rsidP="005E6676">
            <w:pPr>
              <w:rPr>
                <w:rFonts w:eastAsia="Times New Roman"/>
              </w:rPr>
            </w:pPr>
            <w:r>
              <w:rPr>
                <w:rFonts w:eastAsia="Times New Roman"/>
              </w:rPr>
              <w:t>1.02</w:t>
            </w:r>
          </w:p>
        </w:tc>
        <w:tc>
          <w:tcPr>
            <w:tcW w:w="1104" w:type="dxa"/>
          </w:tcPr>
          <w:p w14:paraId="5FD38000" w14:textId="77777777" w:rsidR="00F21EF8" w:rsidRDefault="00F21EF8" w:rsidP="005E6676">
            <w:pPr>
              <w:rPr>
                <w:rFonts w:eastAsia="Times New Roman"/>
              </w:rPr>
            </w:pPr>
            <w:r>
              <w:rPr>
                <w:rFonts w:eastAsia="Times New Roman"/>
              </w:rPr>
              <w:t>1.64</w:t>
            </w:r>
          </w:p>
        </w:tc>
        <w:tc>
          <w:tcPr>
            <w:tcW w:w="1620" w:type="dxa"/>
          </w:tcPr>
          <w:p w14:paraId="4FE25FD5" w14:textId="77777777" w:rsidR="00F21EF8" w:rsidRDefault="00F21EF8" w:rsidP="005E6676">
            <w:pPr>
              <w:rPr>
                <w:rFonts w:eastAsia="Times New Roman"/>
              </w:rPr>
            </w:pPr>
            <w:r>
              <w:rPr>
                <w:rFonts w:eastAsia="Times New Roman"/>
              </w:rPr>
              <w:t>3.02</w:t>
            </w:r>
          </w:p>
        </w:tc>
        <w:tc>
          <w:tcPr>
            <w:tcW w:w="1493" w:type="dxa"/>
          </w:tcPr>
          <w:p w14:paraId="3A83546F" w14:textId="77777777" w:rsidR="00F21EF8" w:rsidRDefault="00F21EF8" w:rsidP="005E6676">
            <w:pPr>
              <w:rPr>
                <w:rFonts w:eastAsia="Times New Roman"/>
              </w:rPr>
            </w:pPr>
            <w:r>
              <w:rPr>
                <w:rFonts w:eastAsia="Times New Roman"/>
              </w:rPr>
              <w:t>5.56</w:t>
            </w:r>
          </w:p>
        </w:tc>
        <w:tc>
          <w:tcPr>
            <w:tcW w:w="1652" w:type="dxa"/>
          </w:tcPr>
          <w:p w14:paraId="5B4AE8EF" w14:textId="77777777" w:rsidR="00F21EF8" w:rsidRDefault="00F21EF8" w:rsidP="005E6676">
            <w:pPr>
              <w:rPr>
                <w:rFonts w:eastAsia="Times New Roman"/>
              </w:rPr>
            </w:pPr>
            <w:r>
              <w:rPr>
                <w:rFonts w:eastAsia="Times New Roman"/>
              </w:rPr>
              <w:t>6.56</w:t>
            </w:r>
          </w:p>
        </w:tc>
      </w:tr>
      <w:tr w:rsidR="00F21EF8" w14:paraId="26507229" w14:textId="77777777" w:rsidTr="00BE2323">
        <w:trPr>
          <w:cantSplit/>
        </w:trPr>
        <w:tc>
          <w:tcPr>
            <w:tcW w:w="1231" w:type="dxa"/>
          </w:tcPr>
          <w:p w14:paraId="4AE875BF" w14:textId="77777777" w:rsidR="00F21EF8" w:rsidRDefault="00F21EF8" w:rsidP="005E6676">
            <w:pPr>
              <w:rPr>
                <w:rFonts w:eastAsia="Times New Roman"/>
              </w:rPr>
            </w:pPr>
            <w:r>
              <w:rPr>
                <w:rFonts w:eastAsia="Times New Roman"/>
              </w:rPr>
              <w:t>Managed Care</w:t>
            </w:r>
          </w:p>
        </w:tc>
        <w:tc>
          <w:tcPr>
            <w:tcW w:w="869" w:type="dxa"/>
          </w:tcPr>
          <w:p w14:paraId="52F9ED90" w14:textId="77777777" w:rsidR="00F21EF8" w:rsidRDefault="00F21EF8" w:rsidP="005E6676">
            <w:pPr>
              <w:rPr>
                <w:rFonts w:eastAsia="Times New Roman"/>
              </w:rPr>
            </w:pPr>
            <w:r>
              <w:rPr>
                <w:rFonts w:eastAsia="Times New Roman"/>
              </w:rPr>
              <w:t>.19</w:t>
            </w:r>
          </w:p>
        </w:tc>
        <w:tc>
          <w:tcPr>
            <w:tcW w:w="869" w:type="dxa"/>
          </w:tcPr>
          <w:p w14:paraId="591B8A99" w14:textId="77777777" w:rsidR="00F21EF8" w:rsidRDefault="00F21EF8" w:rsidP="005E6676">
            <w:pPr>
              <w:rPr>
                <w:rFonts w:eastAsia="Times New Roman"/>
              </w:rPr>
            </w:pPr>
            <w:r>
              <w:rPr>
                <w:rFonts w:eastAsia="Times New Roman"/>
              </w:rPr>
              <w:t>.44</w:t>
            </w:r>
          </w:p>
        </w:tc>
        <w:tc>
          <w:tcPr>
            <w:tcW w:w="1232" w:type="dxa"/>
          </w:tcPr>
          <w:p w14:paraId="10A0EEE5" w14:textId="77777777" w:rsidR="00F21EF8" w:rsidRDefault="00F21EF8" w:rsidP="005E6676">
            <w:pPr>
              <w:rPr>
                <w:rFonts w:eastAsia="Times New Roman"/>
              </w:rPr>
            </w:pPr>
            <w:r>
              <w:rPr>
                <w:rFonts w:eastAsia="Times New Roman"/>
              </w:rPr>
              <w:t>.17</w:t>
            </w:r>
          </w:p>
        </w:tc>
        <w:tc>
          <w:tcPr>
            <w:tcW w:w="1104" w:type="dxa"/>
          </w:tcPr>
          <w:p w14:paraId="08F97C78" w14:textId="77777777" w:rsidR="00F21EF8" w:rsidRDefault="00F21EF8" w:rsidP="005E6676">
            <w:pPr>
              <w:rPr>
                <w:rFonts w:eastAsia="Times New Roman"/>
              </w:rPr>
            </w:pPr>
            <w:r>
              <w:rPr>
                <w:rFonts w:eastAsia="Times New Roman"/>
              </w:rPr>
              <w:t>.65</w:t>
            </w:r>
          </w:p>
        </w:tc>
        <w:tc>
          <w:tcPr>
            <w:tcW w:w="1620" w:type="dxa"/>
          </w:tcPr>
          <w:p w14:paraId="6628C0B0" w14:textId="77777777" w:rsidR="00F21EF8" w:rsidRDefault="00F21EF8" w:rsidP="005E6676">
            <w:pPr>
              <w:rPr>
                <w:rFonts w:eastAsia="Times New Roman"/>
              </w:rPr>
            </w:pPr>
            <w:r>
              <w:rPr>
                <w:rFonts w:eastAsia="Times New Roman"/>
              </w:rPr>
              <w:t>1.35</w:t>
            </w:r>
          </w:p>
        </w:tc>
        <w:tc>
          <w:tcPr>
            <w:tcW w:w="1493" w:type="dxa"/>
          </w:tcPr>
          <w:p w14:paraId="44750983" w14:textId="77777777" w:rsidR="00F21EF8" w:rsidRDefault="00F21EF8" w:rsidP="005E6676">
            <w:pPr>
              <w:rPr>
                <w:rFonts w:eastAsia="Times New Roman"/>
              </w:rPr>
            </w:pPr>
            <w:r>
              <w:rPr>
                <w:rFonts w:eastAsia="Times New Roman"/>
              </w:rPr>
              <w:t>2.78</w:t>
            </w:r>
          </w:p>
        </w:tc>
        <w:tc>
          <w:tcPr>
            <w:tcW w:w="1652" w:type="dxa"/>
          </w:tcPr>
          <w:p w14:paraId="58FABDCE" w14:textId="77777777" w:rsidR="00F21EF8" w:rsidRDefault="00F21EF8" w:rsidP="005E6676">
            <w:pPr>
              <w:rPr>
                <w:rFonts w:eastAsia="Times New Roman"/>
              </w:rPr>
            </w:pPr>
            <w:r>
              <w:rPr>
                <w:rFonts w:eastAsia="Times New Roman"/>
              </w:rPr>
              <w:t>3.75</w:t>
            </w:r>
          </w:p>
        </w:tc>
      </w:tr>
      <w:tr w:rsidR="00F21EF8" w14:paraId="053ABC26" w14:textId="77777777" w:rsidTr="00BE2323">
        <w:trPr>
          <w:cantSplit/>
        </w:trPr>
        <w:tc>
          <w:tcPr>
            <w:tcW w:w="1231" w:type="dxa"/>
          </w:tcPr>
          <w:p w14:paraId="77385F11" w14:textId="77777777" w:rsidR="00F21EF8" w:rsidRDefault="00F21EF8" w:rsidP="005E6676">
            <w:pPr>
              <w:rPr>
                <w:rFonts w:eastAsia="Times New Roman"/>
              </w:rPr>
            </w:pPr>
            <w:r>
              <w:rPr>
                <w:rFonts w:eastAsia="Times New Roman"/>
              </w:rPr>
              <w:t>Private Pay</w:t>
            </w:r>
          </w:p>
        </w:tc>
        <w:tc>
          <w:tcPr>
            <w:tcW w:w="869" w:type="dxa"/>
          </w:tcPr>
          <w:p w14:paraId="48A3F6A7" w14:textId="77777777" w:rsidR="00F21EF8" w:rsidRDefault="00F21EF8" w:rsidP="005E6676">
            <w:pPr>
              <w:rPr>
                <w:rFonts w:eastAsia="Times New Roman"/>
              </w:rPr>
            </w:pPr>
            <w:r>
              <w:rPr>
                <w:rFonts w:eastAsia="Times New Roman"/>
              </w:rPr>
              <w:t>2.74</w:t>
            </w:r>
          </w:p>
          <w:p w14:paraId="553A38A9" w14:textId="77777777" w:rsidR="00F21EF8" w:rsidRDefault="00F21EF8" w:rsidP="005E6676">
            <w:pPr>
              <w:rPr>
                <w:rFonts w:eastAsia="Times New Roman"/>
              </w:rPr>
            </w:pPr>
          </w:p>
        </w:tc>
        <w:tc>
          <w:tcPr>
            <w:tcW w:w="869" w:type="dxa"/>
          </w:tcPr>
          <w:p w14:paraId="359C9CFD" w14:textId="77777777" w:rsidR="00F21EF8" w:rsidRDefault="00F21EF8" w:rsidP="005E6676">
            <w:pPr>
              <w:rPr>
                <w:rFonts w:eastAsia="Times New Roman"/>
              </w:rPr>
            </w:pPr>
            <w:r>
              <w:rPr>
                <w:rFonts w:eastAsia="Times New Roman"/>
              </w:rPr>
              <w:t>2.88</w:t>
            </w:r>
          </w:p>
        </w:tc>
        <w:tc>
          <w:tcPr>
            <w:tcW w:w="1232" w:type="dxa"/>
          </w:tcPr>
          <w:p w14:paraId="543F5779" w14:textId="77777777" w:rsidR="00F21EF8" w:rsidRDefault="00F21EF8" w:rsidP="005E6676">
            <w:pPr>
              <w:rPr>
                <w:rFonts w:eastAsia="Times New Roman"/>
              </w:rPr>
            </w:pPr>
            <w:r>
              <w:rPr>
                <w:rFonts w:eastAsia="Times New Roman"/>
              </w:rPr>
              <w:t>3.89</w:t>
            </w:r>
          </w:p>
        </w:tc>
        <w:tc>
          <w:tcPr>
            <w:tcW w:w="1104" w:type="dxa"/>
          </w:tcPr>
          <w:p w14:paraId="1D0B9453" w14:textId="77777777" w:rsidR="00F21EF8" w:rsidRDefault="00F21EF8" w:rsidP="005E6676">
            <w:pPr>
              <w:rPr>
                <w:rFonts w:eastAsia="Times New Roman"/>
              </w:rPr>
            </w:pPr>
            <w:r>
              <w:rPr>
                <w:rFonts w:eastAsia="Times New Roman"/>
              </w:rPr>
              <w:t>4.59</w:t>
            </w:r>
          </w:p>
        </w:tc>
        <w:tc>
          <w:tcPr>
            <w:tcW w:w="1620" w:type="dxa"/>
          </w:tcPr>
          <w:p w14:paraId="6046060C" w14:textId="77777777" w:rsidR="00F21EF8" w:rsidRDefault="00F21EF8" w:rsidP="005E6676">
            <w:pPr>
              <w:rPr>
                <w:rFonts w:eastAsia="Times New Roman"/>
              </w:rPr>
            </w:pPr>
            <w:r>
              <w:rPr>
                <w:rFonts w:eastAsia="Times New Roman"/>
              </w:rPr>
              <w:t>5.04</w:t>
            </w:r>
          </w:p>
        </w:tc>
        <w:tc>
          <w:tcPr>
            <w:tcW w:w="1493" w:type="dxa"/>
          </w:tcPr>
          <w:p w14:paraId="7962E8A7" w14:textId="77777777" w:rsidR="00F21EF8" w:rsidRDefault="00F21EF8" w:rsidP="005E6676">
            <w:pPr>
              <w:rPr>
                <w:rFonts w:eastAsia="Times New Roman"/>
              </w:rPr>
            </w:pPr>
            <w:r>
              <w:rPr>
                <w:rFonts w:eastAsia="Times New Roman"/>
              </w:rPr>
              <w:t>10.19</w:t>
            </w:r>
          </w:p>
        </w:tc>
        <w:tc>
          <w:tcPr>
            <w:tcW w:w="1652" w:type="dxa"/>
          </w:tcPr>
          <w:p w14:paraId="628436E4" w14:textId="77777777" w:rsidR="00F21EF8" w:rsidRDefault="00F21EF8" w:rsidP="005E6676">
            <w:pPr>
              <w:rPr>
                <w:rFonts w:eastAsia="Times New Roman"/>
              </w:rPr>
            </w:pPr>
            <w:r>
              <w:rPr>
                <w:rFonts w:eastAsia="Times New Roman"/>
              </w:rPr>
              <w:t>11.24</w:t>
            </w:r>
          </w:p>
        </w:tc>
      </w:tr>
      <w:tr w:rsidR="00F21EF8" w14:paraId="43727C38" w14:textId="77777777" w:rsidTr="00BE2323">
        <w:trPr>
          <w:cantSplit/>
        </w:trPr>
        <w:tc>
          <w:tcPr>
            <w:tcW w:w="1231" w:type="dxa"/>
          </w:tcPr>
          <w:p w14:paraId="39509FD3" w14:textId="77777777" w:rsidR="00F21EF8" w:rsidRPr="00EC21E0" w:rsidRDefault="00F21EF8" w:rsidP="005E6676">
            <w:pPr>
              <w:rPr>
                <w:rFonts w:eastAsia="Times New Roman"/>
                <w:b/>
                <w:bCs/>
              </w:rPr>
            </w:pPr>
            <w:r w:rsidRPr="00EC21E0">
              <w:rPr>
                <w:rFonts w:eastAsia="Times New Roman"/>
                <w:b/>
                <w:bCs/>
              </w:rPr>
              <w:t>Total</w:t>
            </w:r>
          </w:p>
        </w:tc>
        <w:tc>
          <w:tcPr>
            <w:tcW w:w="869" w:type="dxa"/>
          </w:tcPr>
          <w:p w14:paraId="651026F6" w14:textId="77777777" w:rsidR="00F21EF8" w:rsidRPr="00EC21E0" w:rsidRDefault="00F21EF8" w:rsidP="005E6676">
            <w:pPr>
              <w:rPr>
                <w:rFonts w:eastAsia="Times New Roman"/>
                <w:b/>
                <w:bCs/>
              </w:rPr>
            </w:pPr>
            <w:r>
              <w:rPr>
                <w:rFonts w:eastAsia="Times New Roman"/>
                <w:b/>
                <w:bCs/>
              </w:rPr>
              <w:t>31.37</w:t>
            </w:r>
          </w:p>
        </w:tc>
        <w:tc>
          <w:tcPr>
            <w:tcW w:w="869" w:type="dxa"/>
          </w:tcPr>
          <w:p w14:paraId="37B385E2" w14:textId="77777777" w:rsidR="00F21EF8" w:rsidRPr="00EC21E0" w:rsidRDefault="00F21EF8" w:rsidP="005E6676">
            <w:pPr>
              <w:rPr>
                <w:rFonts w:eastAsia="Times New Roman"/>
                <w:b/>
                <w:bCs/>
              </w:rPr>
            </w:pPr>
            <w:r>
              <w:rPr>
                <w:rFonts w:eastAsia="Times New Roman"/>
                <w:b/>
                <w:bCs/>
              </w:rPr>
              <w:t>28.22</w:t>
            </w:r>
          </w:p>
        </w:tc>
        <w:tc>
          <w:tcPr>
            <w:tcW w:w="1232" w:type="dxa"/>
          </w:tcPr>
          <w:p w14:paraId="7D23F2C2" w14:textId="77777777" w:rsidR="00F21EF8" w:rsidRPr="00EC21E0" w:rsidRDefault="00F21EF8" w:rsidP="005E6676">
            <w:pPr>
              <w:rPr>
                <w:rFonts w:eastAsia="Times New Roman"/>
                <w:b/>
                <w:bCs/>
              </w:rPr>
            </w:pPr>
            <w:r>
              <w:rPr>
                <w:rFonts w:eastAsia="Times New Roman"/>
                <w:b/>
                <w:bCs/>
              </w:rPr>
              <w:t>32.78</w:t>
            </w:r>
          </w:p>
        </w:tc>
        <w:tc>
          <w:tcPr>
            <w:tcW w:w="1104" w:type="dxa"/>
          </w:tcPr>
          <w:p w14:paraId="6724FD80" w14:textId="77777777" w:rsidR="00F21EF8" w:rsidRPr="00EC21E0" w:rsidRDefault="00F21EF8" w:rsidP="005E6676">
            <w:pPr>
              <w:rPr>
                <w:rFonts w:eastAsia="Times New Roman"/>
                <w:b/>
                <w:bCs/>
              </w:rPr>
            </w:pPr>
            <w:r>
              <w:rPr>
                <w:rFonts w:eastAsia="Times New Roman"/>
                <w:b/>
                <w:bCs/>
              </w:rPr>
              <w:t>32.78</w:t>
            </w:r>
          </w:p>
        </w:tc>
        <w:tc>
          <w:tcPr>
            <w:tcW w:w="1620" w:type="dxa"/>
          </w:tcPr>
          <w:p w14:paraId="111E0F9D" w14:textId="77777777" w:rsidR="00F21EF8" w:rsidRPr="00EC21E0" w:rsidRDefault="00F21EF8" w:rsidP="005E6676">
            <w:pPr>
              <w:rPr>
                <w:rFonts w:eastAsia="Times New Roman"/>
                <w:b/>
                <w:bCs/>
              </w:rPr>
            </w:pPr>
            <w:r>
              <w:rPr>
                <w:rFonts w:eastAsia="Times New Roman"/>
                <w:b/>
                <w:bCs/>
              </w:rPr>
              <w:t>33.60</w:t>
            </w:r>
          </w:p>
        </w:tc>
        <w:tc>
          <w:tcPr>
            <w:tcW w:w="1493" w:type="dxa"/>
          </w:tcPr>
          <w:p w14:paraId="4949B408" w14:textId="77777777" w:rsidR="00F21EF8" w:rsidRPr="00EC21E0" w:rsidRDefault="00F21EF8" w:rsidP="005E6676">
            <w:pPr>
              <w:rPr>
                <w:rFonts w:eastAsia="Times New Roman"/>
                <w:b/>
                <w:bCs/>
              </w:rPr>
            </w:pPr>
            <w:r>
              <w:rPr>
                <w:rFonts w:eastAsia="Times New Roman"/>
                <w:b/>
                <w:bCs/>
              </w:rPr>
              <w:t>46.32</w:t>
            </w:r>
          </w:p>
        </w:tc>
        <w:tc>
          <w:tcPr>
            <w:tcW w:w="1652" w:type="dxa"/>
          </w:tcPr>
          <w:p w14:paraId="2B8C6103" w14:textId="77777777" w:rsidR="00F21EF8" w:rsidRPr="00EC21E0" w:rsidRDefault="00F21EF8" w:rsidP="005E6676">
            <w:pPr>
              <w:rPr>
                <w:rFonts w:eastAsia="Times New Roman"/>
                <w:b/>
                <w:bCs/>
              </w:rPr>
            </w:pPr>
            <w:r>
              <w:rPr>
                <w:rFonts w:eastAsia="Times New Roman"/>
                <w:b/>
                <w:bCs/>
              </w:rPr>
              <w:t>46.85</w:t>
            </w:r>
          </w:p>
        </w:tc>
      </w:tr>
    </w:tbl>
    <w:p w14:paraId="2421A93C" w14:textId="77777777" w:rsidR="00F21EF8" w:rsidRDefault="00F21EF8" w:rsidP="00D642AB">
      <w:pPr>
        <w:spacing w:line="240" w:lineRule="auto"/>
        <w:rPr>
          <w:sz w:val="24"/>
          <w:szCs w:val="24"/>
        </w:rPr>
      </w:pPr>
    </w:p>
    <w:p w14:paraId="10E1C068" w14:textId="131658E4" w:rsidR="003F2C01" w:rsidRDefault="00B85456" w:rsidP="514AC64C">
      <w:pPr>
        <w:spacing w:line="240" w:lineRule="auto"/>
        <w:rPr>
          <w:rFonts w:asciiTheme="majorHAnsi" w:hAnsiTheme="majorHAnsi" w:cstheme="majorBidi"/>
          <w:sz w:val="24"/>
          <w:szCs w:val="24"/>
        </w:rPr>
      </w:pPr>
      <w:r w:rsidRPr="514AC64C">
        <w:rPr>
          <w:sz w:val="24"/>
          <w:szCs w:val="24"/>
        </w:rPr>
        <w:t>The conservation project</w:t>
      </w:r>
      <w:r w:rsidRPr="514AC64C">
        <w:rPr>
          <w:rFonts w:asciiTheme="majorHAnsi" w:hAnsiTheme="majorHAnsi" w:cstheme="majorBidi"/>
          <w:sz w:val="24"/>
          <w:szCs w:val="24"/>
        </w:rPr>
        <w:t xml:space="preserve"> will </w:t>
      </w:r>
      <w:r w:rsidR="00890D60" w:rsidRPr="514AC64C">
        <w:rPr>
          <w:rFonts w:asciiTheme="majorHAnsi" w:hAnsiTheme="majorHAnsi" w:cstheme="majorBidi"/>
          <w:sz w:val="24"/>
          <w:szCs w:val="24"/>
        </w:rPr>
        <w:t>re</w:t>
      </w:r>
      <w:r w:rsidR="00135E62" w:rsidRPr="514AC64C">
        <w:rPr>
          <w:rFonts w:asciiTheme="majorHAnsi" w:hAnsiTheme="majorHAnsi" w:cstheme="majorBidi"/>
          <w:sz w:val="24"/>
          <w:szCs w:val="24"/>
        </w:rPr>
        <w:t>n</w:t>
      </w:r>
      <w:r w:rsidR="00890D60" w:rsidRPr="514AC64C">
        <w:rPr>
          <w:rFonts w:asciiTheme="majorHAnsi" w:hAnsiTheme="majorHAnsi" w:cstheme="majorBidi"/>
          <w:sz w:val="24"/>
          <w:szCs w:val="24"/>
        </w:rPr>
        <w:t xml:space="preserve">ovate 13,066 square feet </w:t>
      </w:r>
      <w:r w:rsidR="00135E62" w:rsidRPr="514AC64C">
        <w:rPr>
          <w:rFonts w:asciiTheme="majorHAnsi" w:hAnsiTheme="majorHAnsi" w:cstheme="majorBidi"/>
          <w:sz w:val="24"/>
          <w:szCs w:val="24"/>
        </w:rPr>
        <w:t xml:space="preserve">of the existing facility </w:t>
      </w:r>
      <w:r w:rsidR="00890D60" w:rsidRPr="514AC64C">
        <w:rPr>
          <w:rFonts w:asciiTheme="majorHAnsi" w:hAnsiTheme="majorHAnsi" w:cstheme="majorBidi"/>
          <w:sz w:val="24"/>
          <w:szCs w:val="24"/>
        </w:rPr>
        <w:t xml:space="preserve">and add </w:t>
      </w:r>
      <w:r w:rsidR="00C70BDA" w:rsidRPr="514AC64C">
        <w:rPr>
          <w:rFonts w:asciiTheme="majorHAnsi" w:hAnsiTheme="majorHAnsi" w:cstheme="majorBidi"/>
          <w:sz w:val="24"/>
          <w:szCs w:val="24"/>
        </w:rPr>
        <w:t>8</w:t>
      </w:r>
      <w:r w:rsidR="00135E62" w:rsidRPr="514AC64C">
        <w:rPr>
          <w:rFonts w:asciiTheme="majorHAnsi" w:hAnsiTheme="majorHAnsi" w:cstheme="majorBidi"/>
          <w:sz w:val="24"/>
          <w:szCs w:val="24"/>
        </w:rPr>
        <w:t>,</w:t>
      </w:r>
      <w:r w:rsidR="00C70BDA" w:rsidRPr="514AC64C">
        <w:rPr>
          <w:rFonts w:asciiTheme="majorHAnsi" w:hAnsiTheme="majorHAnsi" w:cstheme="majorBidi"/>
          <w:sz w:val="24"/>
          <w:szCs w:val="24"/>
        </w:rPr>
        <w:t>031 square feet of new construction</w:t>
      </w:r>
      <w:r w:rsidR="00135E62" w:rsidRPr="514AC64C">
        <w:rPr>
          <w:rFonts w:asciiTheme="majorHAnsi" w:hAnsiTheme="majorHAnsi" w:cstheme="majorBidi"/>
          <w:sz w:val="24"/>
          <w:szCs w:val="24"/>
        </w:rPr>
        <w:t xml:space="preserve">, resulting in a 21,097 square foot </w:t>
      </w:r>
      <w:r w:rsidR="00655B0F" w:rsidRPr="514AC64C">
        <w:rPr>
          <w:rFonts w:asciiTheme="majorHAnsi" w:hAnsiTheme="majorHAnsi" w:cstheme="majorBidi"/>
          <w:sz w:val="24"/>
          <w:szCs w:val="24"/>
        </w:rPr>
        <w:t>f</w:t>
      </w:r>
      <w:r w:rsidRPr="514AC64C">
        <w:rPr>
          <w:rFonts w:asciiTheme="majorHAnsi" w:hAnsiTheme="majorHAnsi" w:cstheme="majorBidi"/>
          <w:sz w:val="24"/>
          <w:szCs w:val="24"/>
        </w:rPr>
        <w:t>acility</w:t>
      </w:r>
      <w:r w:rsidR="00ED28BC" w:rsidRPr="514AC64C">
        <w:rPr>
          <w:rFonts w:asciiTheme="majorHAnsi" w:hAnsiTheme="majorHAnsi" w:cstheme="majorBidi"/>
          <w:sz w:val="24"/>
          <w:szCs w:val="24"/>
        </w:rPr>
        <w:t xml:space="preserve">. </w:t>
      </w:r>
      <w:r w:rsidR="004F42E9" w:rsidRPr="514AC64C">
        <w:rPr>
          <w:rFonts w:asciiTheme="majorHAnsi" w:hAnsiTheme="majorHAnsi" w:cstheme="majorBidi"/>
          <w:sz w:val="24"/>
          <w:szCs w:val="24"/>
        </w:rPr>
        <w:t>T</w:t>
      </w:r>
      <w:r w:rsidR="00413AB5" w:rsidRPr="514AC64C">
        <w:rPr>
          <w:rFonts w:asciiTheme="majorHAnsi" w:hAnsiTheme="majorHAnsi" w:cstheme="majorBidi"/>
          <w:sz w:val="24"/>
          <w:szCs w:val="24"/>
        </w:rPr>
        <w:t xml:space="preserve">he </w:t>
      </w:r>
      <w:r w:rsidR="000D62AB" w:rsidRPr="514AC64C">
        <w:rPr>
          <w:rFonts w:asciiTheme="majorHAnsi" w:hAnsiTheme="majorHAnsi" w:cstheme="majorBidi"/>
          <w:sz w:val="24"/>
          <w:szCs w:val="24"/>
        </w:rPr>
        <w:t xml:space="preserve">new </w:t>
      </w:r>
      <w:r w:rsidR="00413AB5" w:rsidRPr="514AC64C">
        <w:rPr>
          <w:rFonts w:asciiTheme="majorHAnsi" w:hAnsiTheme="majorHAnsi" w:cstheme="majorBidi"/>
          <w:sz w:val="24"/>
          <w:szCs w:val="24"/>
        </w:rPr>
        <w:t xml:space="preserve">addition will </w:t>
      </w:r>
      <w:r w:rsidR="008E77AC" w:rsidRPr="514AC64C">
        <w:rPr>
          <w:rFonts w:asciiTheme="majorHAnsi" w:hAnsiTheme="majorHAnsi" w:cstheme="majorBidi"/>
          <w:sz w:val="24"/>
          <w:szCs w:val="24"/>
        </w:rPr>
        <w:t>include</w:t>
      </w:r>
      <w:r w:rsidR="000027CA" w:rsidRPr="514AC64C">
        <w:rPr>
          <w:rFonts w:asciiTheme="majorHAnsi" w:hAnsiTheme="majorHAnsi" w:cstheme="majorBidi"/>
          <w:sz w:val="24"/>
          <w:szCs w:val="24"/>
        </w:rPr>
        <w:t xml:space="preserve"> 52</w:t>
      </w:r>
      <w:r w:rsidR="008E77AC" w:rsidRPr="514AC64C">
        <w:rPr>
          <w:rFonts w:asciiTheme="majorHAnsi" w:hAnsiTheme="majorHAnsi" w:cstheme="majorBidi"/>
          <w:sz w:val="24"/>
          <w:szCs w:val="24"/>
        </w:rPr>
        <w:t xml:space="preserve"> </w:t>
      </w:r>
      <w:r w:rsidR="000B2A15" w:rsidRPr="514AC64C">
        <w:rPr>
          <w:rFonts w:asciiTheme="majorHAnsi" w:hAnsiTheme="majorHAnsi" w:cstheme="majorBidi"/>
          <w:sz w:val="24"/>
          <w:szCs w:val="24"/>
        </w:rPr>
        <w:t xml:space="preserve">Memory Care </w:t>
      </w:r>
      <w:r w:rsidR="00F45C9D" w:rsidRPr="514AC64C">
        <w:rPr>
          <w:rFonts w:asciiTheme="majorHAnsi" w:hAnsiTheme="majorHAnsi" w:cstheme="majorBidi"/>
          <w:sz w:val="24"/>
          <w:szCs w:val="24"/>
        </w:rPr>
        <w:t xml:space="preserve">beds </w:t>
      </w:r>
      <w:r w:rsidR="00246F3B" w:rsidRPr="514AC64C">
        <w:rPr>
          <w:rFonts w:asciiTheme="majorHAnsi" w:hAnsiTheme="majorHAnsi" w:cstheme="majorBidi"/>
          <w:sz w:val="24"/>
          <w:szCs w:val="24"/>
        </w:rPr>
        <w:t xml:space="preserve">on one unit </w:t>
      </w:r>
      <w:r w:rsidR="00615160">
        <w:rPr>
          <w:rFonts w:asciiTheme="majorHAnsi" w:hAnsiTheme="majorHAnsi" w:cstheme="majorBidi"/>
          <w:sz w:val="24"/>
          <w:szCs w:val="24"/>
        </w:rPr>
        <w:t>with</w:t>
      </w:r>
      <w:r w:rsidR="000B2A15" w:rsidRPr="514AC64C">
        <w:rPr>
          <w:rFonts w:asciiTheme="majorHAnsi" w:hAnsiTheme="majorHAnsi" w:cstheme="majorBidi"/>
          <w:sz w:val="24"/>
          <w:szCs w:val="24"/>
        </w:rPr>
        <w:t xml:space="preserve"> </w:t>
      </w:r>
      <w:r w:rsidR="00F11299">
        <w:rPr>
          <w:rFonts w:asciiTheme="majorHAnsi" w:hAnsiTheme="majorHAnsi" w:cstheme="majorBidi"/>
          <w:sz w:val="24"/>
          <w:szCs w:val="24"/>
        </w:rPr>
        <w:t>continued</w:t>
      </w:r>
      <w:r w:rsidR="00615160">
        <w:rPr>
          <w:rFonts w:asciiTheme="majorHAnsi" w:hAnsiTheme="majorHAnsi" w:cstheme="majorBidi"/>
          <w:sz w:val="24"/>
          <w:szCs w:val="24"/>
        </w:rPr>
        <w:t xml:space="preserve"> licensure as </w:t>
      </w:r>
      <w:r w:rsidR="000B2A15" w:rsidRPr="514AC64C">
        <w:rPr>
          <w:rFonts w:asciiTheme="majorHAnsi" w:hAnsiTheme="majorHAnsi" w:cstheme="majorBidi"/>
          <w:sz w:val="24"/>
          <w:szCs w:val="24"/>
        </w:rPr>
        <w:t>a</w:t>
      </w:r>
      <w:r w:rsidR="00EA5483" w:rsidRPr="514AC64C">
        <w:rPr>
          <w:rFonts w:asciiTheme="majorHAnsi" w:hAnsiTheme="majorHAnsi" w:cstheme="majorBidi"/>
          <w:sz w:val="24"/>
          <w:szCs w:val="24"/>
        </w:rPr>
        <w:t xml:space="preserve"> </w:t>
      </w:r>
      <w:r w:rsidR="000B2A15" w:rsidRPr="514AC64C">
        <w:rPr>
          <w:rFonts w:asciiTheme="majorHAnsi" w:hAnsiTheme="majorHAnsi" w:cstheme="majorBidi"/>
          <w:sz w:val="24"/>
          <w:szCs w:val="24"/>
        </w:rPr>
        <w:t>DSCU.</w:t>
      </w:r>
      <w:r w:rsidR="006001B9" w:rsidRPr="514AC64C">
        <w:rPr>
          <w:rFonts w:asciiTheme="majorHAnsi" w:hAnsiTheme="majorHAnsi" w:cstheme="majorBidi"/>
          <w:sz w:val="24"/>
          <w:szCs w:val="24"/>
        </w:rPr>
        <w:t xml:space="preserve"> The Applicant outlined processes that will be used to minimize disruption of patient care and ensure patient safety and well-being during construction. </w:t>
      </w:r>
    </w:p>
    <w:p w14:paraId="1056B4E1" w14:textId="135DE062" w:rsidR="00413AB5" w:rsidRPr="000B2A15" w:rsidRDefault="003F2C01" w:rsidP="00434FC9">
      <w:pPr>
        <w:spacing w:after="0" w:line="240" w:lineRule="auto"/>
        <w:rPr>
          <w:rFonts w:asciiTheme="majorHAnsi" w:hAnsiTheme="majorHAnsi" w:cstheme="majorHAnsi"/>
          <w:sz w:val="24"/>
          <w:szCs w:val="24"/>
        </w:rPr>
      </w:pPr>
      <w:r>
        <w:rPr>
          <w:rFonts w:asciiTheme="majorHAnsi" w:hAnsiTheme="majorHAnsi" w:cstheme="majorHAnsi"/>
          <w:sz w:val="24"/>
          <w:szCs w:val="24"/>
        </w:rPr>
        <w:t>Staff finds that t</w:t>
      </w:r>
      <w:r w:rsidR="006001B9" w:rsidRPr="006001B9">
        <w:rPr>
          <w:rFonts w:asciiTheme="majorHAnsi" w:hAnsiTheme="majorHAnsi" w:cstheme="majorHAnsi"/>
          <w:sz w:val="24"/>
          <w:szCs w:val="24"/>
        </w:rPr>
        <w:t>he Applicant has presented sufficient information to support the position that the proposed construction fits within the definitions in the DoN Regulation of Sustain and/or Restore; that this proposed Conservation Project is necessary to maintain the original functionality of the facility.</w:t>
      </w:r>
    </w:p>
    <w:p w14:paraId="00000015" w14:textId="77777777" w:rsidR="00350CD8" w:rsidRPr="00323E72" w:rsidRDefault="00350CD8" w:rsidP="00D642AB">
      <w:pPr>
        <w:spacing w:after="0" w:line="240" w:lineRule="auto"/>
        <w:rPr>
          <w:rFonts w:asciiTheme="majorHAnsi" w:hAnsiTheme="majorHAnsi" w:cstheme="majorHAnsi"/>
          <w:sz w:val="24"/>
          <w:szCs w:val="24"/>
          <w:highlight w:val="yellow"/>
        </w:rPr>
      </w:pPr>
    </w:p>
    <w:p w14:paraId="133498BF" w14:textId="1D78E29D" w:rsidR="00F45E99" w:rsidRPr="000A0998" w:rsidRDefault="00EC32CB" w:rsidP="00D642AB">
      <w:pPr>
        <w:spacing w:after="0" w:line="240" w:lineRule="auto"/>
        <w:rPr>
          <w:rFonts w:asciiTheme="majorHAnsi" w:hAnsiTheme="majorHAnsi" w:cstheme="majorHAnsi"/>
          <w:b/>
          <w:sz w:val="24"/>
          <w:szCs w:val="24"/>
        </w:rPr>
      </w:pPr>
      <w:r w:rsidRPr="00EF38AB">
        <w:rPr>
          <w:rFonts w:asciiTheme="majorHAnsi" w:hAnsiTheme="majorHAnsi" w:cstheme="majorHAnsi"/>
          <w:b/>
          <w:sz w:val="24"/>
          <w:szCs w:val="24"/>
        </w:rPr>
        <w:t xml:space="preserve">Factor 3 </w:t>
      </w:r>
    </w:p>
    <w:p w14:paraId="7E95E4F3" w14:textId="77777777" w:rsidR="00641FDB" w:rsidRPr="000602B5" w:rsidRDefault="00641FDB" w:rsidP="000602B5">
      <w:pPr>
        <w:spacing w:line="240" w:lineRule="auto"/>
        <w:rPr>
          <w:rFonts w:asciiTheme="majorHAnsi" w:hAnsiTheme="majorHAnsi" w:cstheme="majorHAnsi"/>
          <w:sz w:val="24"/>
          <w:szCs w:val="24"/>
        </w:rPr>
      </w:pPr>
      <w:r w:rsidRPr="000602B5">
        <w:rPr>
          <w:rFonts w:asciiTheme="majorHAnsi" w:hAnsiTheme="majorHAnsi" w:cstheme="majorHAnsi"/>
          <w:sz w:val="24"/>
          <w:szCs w:val="24"/>
        </w:rPr>
        <w:t xml:space="preserve">The Applicant has certified that it is in compliance and in good standing with federal, state, and local laws and regulations, including, but not limited to M.G.L. c. 30, §§ 61 through 62H and the applicable regulations thereunder, and in compliance with all previously issued notices of Determination of Need and the terms and conditions attached therein. </w:t>
      </w:r>
    </w:p>
    <w:p w14:paraId="00000018" w14:textId="77777777" w:rsidR="00350CD8" w:rsidRPr="002F422A" w:rsidRDefault="00350CD8" w:rsidP="00D642AB">
      <w:pPr>
        <w:spacing w:after="0"/>
        <w:rPr>
          <w:rFonts w:asciiTheme="majorHAnsi" w:hAnsiTheme="majorHAnsi" w:cstheme="majorHAnsi"/>
          <w:b/>
          <w:sz w:val="24"/>
          <w:szCs w:val="24"/>
        </w:rPr>
      </w:pPr>
    </w:p>
    <w:p w14:paraId="563E8777" w14:textId="2C284648" w:rsidR="00F45E99" w:rsidRPr="002F422A" w:rsidRDefault="00F45E99" w:rsidP="00D642AB">
      <w:pPr>
        <w:spacing w:after="0"/>
        <w:rPr>
          <w:rFonts w:asciiTheme="majorHAnsi" w:hAnsiTheme="majorHAnsi" w:cstheme="majorHAnsi"/>
          <w:sz w:val="24"/>
          <w:szCs w:val="24"/>
        </w:rPr>
      </w:pPr>
      <w:r w:rsidRPr="002F422A">
        <w:rPr>
          <w:rFonts w:asciiTheme="majorHAnsi" w:hAnsiTheme="majorHAnsi" w:cstheme="majorHAnsi"/>
          <w:b/>
          <w:sz w:val="24"/>
          <w:szCs w:val="24"/>
        </w:rPr>
        <w:t>Factor 4</w:t>
      </w:r>
      <w:r w:rsidRPr="002F422A">
        <w:rPr>
          <w:rFonts w:asciiTheme="majorHAnsi" w:hAnsiTheme="majorHAnsi" w:cstheme="majorHAnsi"/>
          <w:sz w:val="24"/>
          <w:szCs w:val="24"/>
        </w:rPr>
        <w:t xml:space="preserve"> </w:t>
      </w:r>
    </w:p>
    <w:p w14:paraId="37DFC011" w14:textId="0B5365BE" w:rsidR="00F45E99" w:rsidRDefault="00F45E99" w:rsidP="00D642AB">
      <w:pPr>
        <w:spacing w:line="240" w:lineRule="auto"/>
        <w:rPr>
          <w:rFonts w:asciiTheme="majorHAnsi" w:hAnsiTheme="majorHAnsi" w:cstheme="majorHAnsi"/>
          <w:sz w:val="24"/>
          <w:szCs w:val="24"/>
        </w:rPr>
      </w:pPr>
      <w:r w:rsidRPr="002F422A">
        <w:rPr>
          <w:rFonts w:asciiTheme="majorHAnsi" w:hAnsiTheme="majorHAnsi" w:cstheme="majorHAnsi"/>
          <w:sz w:val="24"/>
          <w:szCs w:val="24"/>
        </w:rPr>
        <w:t>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conducted by an independent CPA.</w:t>
      </w:r>
    </w:p>
    <w:p w14:paraId="1972CEE4" w14:textId="77777777" w:rsidR="006F0C8B" w:rsidRDefault="006F0C8B" w:rsidP="00432542">
      <w:pPr>
        <w:spacing w:after="0" w:line="240" w:lineRule="auto"/>
        <w:rPr>
          <w:rFonts w:asciiTheme="majorHAnsi" w:hAnsiTheme="majorHAnsi" w:cstheme="majorHAnsi"/>
          <w:sz w:val="24"/>
          <w:szCs w:val="24"/>
        </w:rPr>
      </w:pPr>
    </w:p>
    <w:p w14:paraId="0CE8ABE2" w14:textId="01B5973F" w:rsidR="006F0C8B" w:rsidRDefault="006F0C8B" w:rsidP="00641AE2">
      <w:pPr>
        <w:spacing w:after="0" w:line="240" w:lineRule="auto"/>
        <w:rPr>
          <w:rFonts w:asciiTheme="majorHAnsi" w:hAnsiTheme="majorHAnsi" w:cstheme="majorHAnsi"/>
          <w:sz w:val="24"/>
          <w:szCs w:val="24"/>
        </w:rPr>
      </w:pPr>
      <w:r w:rsidRPr="006F0C8B">
        <w:rPr>
          <w:rFonts w:asciiTheme="majorHAnsi" w:hAnsiTheme="majorHAnsi" w:cstheme="majorHAnsi"/>
          <w:sz w:val="24"/>
          <w:szCs w:val="24"/>
        </w:rPr>
        <w:t>The Applicant submitted a report performed by Marcum LLP (CPA Report).</w:t>
      </w:r>
      <w:r w:rsidRPr="00246F3B">
        <w:rPr>
          <w:rStyle w:val="FootnoteReference"/>
          <w:sz w:val="24"/>
          <w:szCs w:val="24"/>
        </w:rPr>
        <w:footnoteReference w:id="4"/>
      </w:r>
      <w:r w:rsidRPr="00246F3B">
        <w:rPr>
          <w:rFonts w:asciiTheme="majorHAnsi" w:hAnsiTheme="majorHAnsi" w:cstheme="majorHAnsi"/>
          <w:sz w:val="18"/>
          <w:szCs w:val="18"/>
        </w:rPr>
        <w:t xml:space="preserve"> </w:t>
      </w:r>
      <w:r w:rsidRPr="006F0C8B">
        <w:rPr>
          <w:rFonts w:asciiTheme="majorHAnsi" w:hAnsiTheme="majorHAnsi" w:cstheme="majorHAnsi"/>
          <w:sz w:val="24"/>
          <w:szCs w:val="24"/>
        </w:rPr>
        <w:t xml:space="preserve">The scope of the analysis and conclusions in the CPA Report are based upon a detailed review of all relevant </w:t>
      </w:r>
      <w:r w:rsidRPr="006F0C8B">
        <w:rPr>
          <w:rFonts w:asciiTheme="majorHAnsi" w:hAnsiTheme="majorHAnsi" w:cstheme="majorHAnsi"/>
          <w:sz w:val="24"/>
          <w:szCs w:val="24"/>
        </w:rPr>
        <w:lastRenderedPageBreak/>
        <w:t>information, including financial projections (projections covered calendar years ended 2025 through 2029) and the related supporting documentation.</w:t>
      </w:r>
    </w:p>
    <w:p w14:paraId="2E780DC0" w14:textId="77777777" w:rsidR="006F0C8B" w:rsidRPr="006F0C8B" w:rsidRDefault="006F0C8B" w:rsidP="00432542">
      <w:pPr>
        <w:spacing w:after="0" w:line="240" w:lineRule="auto"/>
        <w:rPr>
          <w:rFonts w:asciiTheme="majorHAnsi" w:hAnsiTheme="majorHAnsi" w:cstheme="majorHAnsi"/>
          <w:sz w:val="24"/>
          <w:szCs w:val="24"/>
        </w:rPr>
      </w:pPr>
    </w:p>
    <w:p w14:paraId="4032FE8C" w14:textId="2A4F7F6A" w:rsidR="006F0C8B" w:rsidRDefault="006F0C8B" w:rsidP="005734A1">
      <w:pPr>
        <w:spacing w:after="0" w:line="240" w:lineRule="auto"/>
        <w:rPr>
          <w:rFonts w:asciiTheme="majorHAnsi" w:hAnsiTheme="majorHAnsi" w:cstheme="majorHAnsi"/>
          <w:sz w:val="24"/>
          <w:szCs w:val="24"/>
        </w:rPr>
      </w:pPr>
      <w:r w:rsidRPr="006F0C8B">
        <w:rPr>
          <w:rFonts w:asciiTheme="majorHAnsi" w:hAnsiTheme="majorHAnsi" w:cstheme="majorHAnsi"/>
          <w:sz w:val="24"/>
          <w:szCs w:val="24"/>
        </w:rPr>
        <w:t xml:space="preserve">The CPA reports that the projected revenue consists primarily of net patient service revenue. Projected revenues are based on historical information, current available reimbursement rates, expected changes to reimbursement rates, and best assumptions for changes in reimbursement rates, payor mix, and occupancy. </w:t>
      </w:r>
    </w:p>
    <w:p w14:paraId="46D7BE14" w14:textId="77777777" w:rsidR="00545091" w:rsidRDefault="00545091" w:rsidP="00545091">
      <w:pPr>
        <w:spacing w:after="0" w:line="240" w:lineRule="auto"/>
      </w:pPr>
    </w:p>
    <w:p w14:paraId="0B5C57FF" w14:textId="3CEFD3EB" w:rsidR="006F0C8B" w:rsidRDefault="006F0C8B" w:rsidP="005734A1">
      <w:pPr>
        <w:spacing w:after="0" w:line="240" w:lineRule="auto"/>
      </w:pPr>
      <w:r w:rsidRPr="006F0C8B">
        <w:rPr>
          <w:rFonts w:asciiTheme="majorHAnsi" w:hAnsiTheme="majorHAnsi" w:cstheme="majorHAnsi"/>
          <w:sz w:val="24"/>
          <w:szCs w:val="24"/>
        </w:rPr>
        <w:t xml:space="preserve">The CPA reviewed the projected expenses in comparison to historical financial data provided by the Applicant, inflationary factors utilized and categorization of variable expenses versus fixed used to project the five-year period. Due to the current conditions of excess inflation and staffing shortages, management expects expenses to increase steadily over the five-year period </w:t>
      </w:r>
      <w:r w:rsidR="007173B2">
        <w:rPr>
          <w:rFonts w:asciiTheme="majorHAnsi" w:hAnsiTheme="majorHAnsi" w:cstheme="majorHAnsi"/>
          <w:sz w:val="24"/>
          <w:szCs w:val="24"/>
        </w:rPr>
        <w:t>with the</w:t>
      </w:r>
      <w:r w:rsidRPr="006F0C8B">
        <w:rPr>
          <w:rFonts w:asciiTheme="majorHAnsi" w:hAnsiTheme="majorHAnsi" w:cstheme="majorHAnsi"/>
          <w:sz w:val="24"/>
          <w:szCs w:val="24"/>
        </w:rPr>
        <w:t xml:space="preserve"> first year </w:t>
      </w:r>
      <w:r w:rsidR="005441DF">
        <w:rPr>
          <w:rFonts w:asciiTheme="majorHAnsi" w:hAnsiTheme="majorHAnsi" w:cstheme="majorHAnsi"/>
          <w:sz w:val="24"/>
          <w:szCs w:val="24"/>
        </w:rPr>
        <w:t>of post-construction operation</w:t>
      </w:r>
      <w:r w:rsidRPr="006F0C8B">
        <w:rPr>
          <w:sz w:val="24"/>
          <w:szCs w:val="24"/>
        </w:rPr>
        <w:t xml:space="preserve"> in 2025</w:t>
      </w:r>
      <w:r>
        <w:t>.</w:t>
      </w:r>
      <w:r>
        <w:rPr>
          <w:rStyle w:val="FootnoteReference"/>
        </w:rPr>
        <w:footnoteReference w:id="5"/>
      </w:r>
    </w:p>
    <w:p w14:paraId="5A70B44A" w14:textId="77777777" w:rsidR="00246F3B" w:rsidRDefault="00246F3B" w:rsidP="002D0DB9">
      <w:pPr>
        <w:spacing w:after="0" w:line="240" w:lineRule="auto"/>
      </w:pPr>
    </w:p>
    <w:p w14:paraId="0C637712" w14:textId="57A1ACE5" w:rsidR="006F0C8B" w:rsidRDefault="006F0C8B" w:rsidP="005734A1">
      <w:pPr>
        <w:spacing w:after="0" w:line="240" w:lineRule="auto"/>
        <w:rPr>
          <w:sz w:val="24"/>
          <w:szCs w:val="24"/>
        </w:rPr>
      </w:pPr>
      <w:r w:rsidRPr="006F0C8B">
        <w:rPr>
          <w:sz w:val="24"/>
          <w:szCs w:val="24"/>
        </w:rPr>
        <w:t xml:space="preserve">The CPA also reviewed past and present capital expenditures and cash flow to determine whether the Applicant will likely have sufficient funds to service the debt. The projected financing assumes a twenty-year amortization at an interest rate of 5%. Based upon this review of these assumptions, the </w:t>
      </w:r>
      <w:r w:rsidR="004B7FF1">
        <w:rPr>
          <w:sz w:val="24"/>
          <w:szCs w:val="24"/>
        </w:rPr>
        <w:t xml:space="preserve">CPA </w:t>
      </w:r>
      <w:r w:rsidR="00CF4A16">
        <w:rPr>
          <w:sz w:val="24"/>
          <w:szCs w:val="24"/>
        </w:rPr>
        <w:t xml:space="preserve">determined that the </w:t>
      </w:r>
      <w:r w:rsidRPr="006F0C8B">
        <w:rPr>
          <w:sz w:val="24"/>
          <w:szCs w:val="24"/>
        </w:rPr>
        <w:t xml:space="preserve">length of the loan and the interest rate appear reasonable. In response to Staff questions, Applicant further states that it anticipates that the resulting Medicaid maximum capital rate of $37.50 per day will fully cover the renovated facility’s capital cost, providing greater accessibility for Medicaid-funded patients.  </w:t>
      </w:r>
    </w:p>
    <w:p w14:paraId="036BF3ED" w14:textId="77777777" w:rsidR="00246F3B" w:rsidRPr="006F0C8B" w:rsidRDefault="00246F3B" w:rsidP="002D0DB9">
      <w:pPr>
        <w:spacing w:after="0" w:line="240" w:lineRule="auto"/>
        <w:rPr>
          <w:sz w:val="24"/>
          <w:szCs w:val="24"/>
        </w:rPr>
      </w:pPr>
    </w:p>
    <w:p w14:paraId="65FE37D0" w14:textId="28EBA090" w:rsidR="00641FDB" w:rsidRDefault="006F0C8B" w:rsidP="000B4FFE">
      <w:pPr>
        <w:spacing w:after="0" w:line="240" w:lineRule="auto"/>
        <w:rPr>
          <w:i/>
          <w:iCs/>
          <w:sz w:val="24"/>
          <w:szCs w:val="24"/>
        </w:rPr>
      </w:pPr>
      <w:r w:rsidRPr="006F0C8B">
        <w:rPr>
          <w:sz w:val="24"/>
          <w:szCs w:val="24"/>
        </w:rPr>
        <w:t>As a result of the foregoing, the CPA stated “</w:t>
      </w:r>
      <w:r w:rsidRPr="006F0C8B">
        <w:rPr>
          <w:i/>
          <w:iCs/>
          <w:sz w:val="24"/>
          <w:szCs w:val="24"/>
        </w:rPr>
        <w:t xml:space="preserve">Based upon the related financial information provided, the Projections illustrate a trend of continued increases in revenues and net for the five years from 2025 through 2029. Based upon our analysis of the relevant documentation provided and the projections prepared, we determined the anticipated operating margin is within reasonable expectation and based upon feasible financial assumptions. Accordingly, we determined that the Projections are reasonable and feasible, and not likely to have a negative impact on the </w:t>
      </w:r>
      <w:r w:rsidR="00CF4A16">
        <w:rPr>
          <w:i/>
          <w:iCs/>
          <w:sz w:val="24"/>
          <w:szCs w:val="24"/>
        </w:rPr>
        <w:t>P</w:t>
      </w:r>
      <w:r w:rsidRPr="006F0C8B">
        <w:rPr>
          <w:i/>
          <w:iCs/>
          <w:sz w:val="24"/>
          <w:szCs w:val="24"/>
        </w:rPr>
        <w:t xml:space="preserve">atient </w:t>
      </w:r>
      <w:r w:rsidR="00CF4A16">
        <w:rPr>
          <w:i/>
          <w:iCs/>
          <w:sz w:val="24"/>
          <w:szCs w:val="24"/>
        </w:rPr>
        <w:t>P</w:t>
      </w:r>
      <w:r w:rsidRPr="006F0C8B">
        <w:rPr>
          <w:i/>
          <w:iCs/>
          <w:sz w:val="24"/>
          <w:szCs w:val="24"/>
        </w:rPr>
        <w:t>anel or result in significant liquidation of assets of the Center.”</w:t>
      </w:r>
    </w:p>
    <w:p w14:paraId="727B81B6" w14:textId="77777777" w:rsidR="00641FDB" w:rsidRDefault="00641FDB" w:rsidP="00641FDB">
      <w:pPr>
        <w:spacing w:after="0" w:line="240" w:lineRule="auto"/>
        <w:rPr>
          <w:i/>
          <w:iCs/>
          <w:sz w:val="24"/>
          <w:szCs w:val="24"/>
        </w:rPr>
      </w:pPr>
    </w:p>
    <w:p w14:paraId="7F23BADD" w14:textId="62ED88F7" w:rsidR="00296565" w:rsidRPr="00D323E0" w:rsidRDefault="00296565" w:rsidP="000B4FFE">
      <w:pPr>
        <w:spacing w:after="0" w:line="240" w:lineRule="auto"/>
        <w:rPr>
          <w:sz w:val="24"/>
          <w:szCs w:val="24"/>
        </w:rPr>
      </w:pPr>
      <w:r>
        <w:rPr>
          <w:sz w:val="24"/>
          <w:szCs w:val="24"/>
        </w:rPr>
        <w:t>Staff finds that the Applicant has met the requirements of Factor 4.</w:t>
      </w:r>
    </w:p>
    <w:p w14:paraId="62643CC8" w14:textId="77777777" w:rsidR="00545091" w:rsidRPr="00545091" w:rsidRDefault="00545091" w:rsidP="00545091">
      <w:pPr>
        <w:spacing w:after="0" w:line="240" w:lineRule="auto"/>
        <w:rPr>
          <w:i/>
          <w:iCs/>
          <w:sz w:val="24"/>
          <w:szCs w:val="24"/>
        </w:rPr>
      </w:pPr>
    </w:p>
    <w:p w14:paraId="53A279B1" w14:textId="14F46270" w:rsidR="00A96105" w:rsidRPr="00545091" w:rsidRDefault="00A96105" w:rsidP="00545091">
      <w:pPr>
        <w:spacing w:after="0"/>
        <w:rPr>
          <w:rFonts w:asciiTheme="majorHAnsi" w:hAnsiTheme="majorHAnsi" w:cstheme="majorHAnsi"/>
          <w:b/>
          <w:sz w:val="24"/>
          <w:szCs w:val="24"/>
        </w:rPr>
      </w:pPr>
      <w:r w:rsidRPr="00545091">
        <w:rPr>
          <w:rFonts w:asciiTheme="majorHAnsi" w:hAnsiTheme="majorHAnsi" w:cstheme="majorHAnsi"/>
          <w:b/>
          <w:sz w:val="24"/>
          <w:szCs w:val="24"/>
        </w:rPr>
        <w:t xml:space="preserve">Factor 6 </w:t>
      </w:r>
    </w:p>
    <w:p w14:paraId="1B235F68" w14:textId="269449D7" w:rsidR="00A96105" w:rsidRDefault="00A96105" w:rsidP="000B4FFE">
      <w:pPr>
        <w:spacing w:after="0"/>
        <w:rPr>
          <w:rFonts w:asciiTheme="majorHAnsi" w:hAnsiTheme="majorHAnsi" w:cstheme="majorHAnsi"/>
          <w:sz w:val="24"/>
          <w:szCs w:val="24"/>
        </w:rPr>
      </w:pPr>
      <w:r w:rsidRPr="00A96105">
        <w:rPr>
          <w:rFonts w:asciiTheme="majorHAnsi" w:hAnsiTheme="majorHAnsi" w:cstheme="majorHAnsi"/>
          <w:sz w:val="24"/>
          <w:szCs w:val="24"/>
        </w:rPr>
        <w:t>The Community-based Health Initiative (CHI) component of the DoN regulation requires Long Term Care Facilities, such as Royal Wayland Nursing Home LLC, completing a Conservation Project to contribute 1% of the total value of the project, to the CHI Statewide Community Health and Healthy Aging Fund.</w:t>
      </w:r>
    </w:p>
    <w:p w14:paraId="21E17C32" w14:textId="77777777" w:rsidR="00CF4A16" w:rsidRPr="00A96105" w:rsidRDefault="00CF4A16" w:rsidP="00545091">
      <w:pPr>
        <w:spacing w:after="0"/>
        <w:rPr>
          <w:rFonts w:asciiTheme="majorHAnsi" w:hAnsiTheme="majorHAnsi" w:cstheme="majorHAnsi"/>
          <w:sz w:val="24"/>
          <w:szCs w:val="24"/>
        </w:rPr>
      </w:pPr>
    </w:p>
    <w:p w14:paraId="0000002F" w14:textId="626661C1" w:rsidR="00350CD8" w:rsidRDefault="00A96105" w:rsidP="00835765">
      <w:pPr>
        <w:spacing w:after="0"/>
        <w:rPr>
          <w:rFonts w:asciiTheme="majorHAnsi" w:hAnsiTheme="majorHAnsi" w:cstheme="majorHAnsi"/>
          <w:sz w:val="24"/>
          <w:szCs w:val="24"/>
        </w:rPr>
      </w:pPr>
      <w:r w:rsidRPr="00A96105">
        <w:rPr>
          <w:rFonts w:asciiTheme="majorHAnsi" w:hAnsiTheme="majorHAnsi" w:cstheme="majorHAnsi"/>
          <w:sz w:val="24"/>
          <w:szCs w:val="24"/>
        </w:rPr>
        <w:t xml:space="preserve">Payment shall be made in full in two equal installments with the first payment due within 30 days of receipt of a duly approved Notice of Determination of Need, and the second, on the first anniversary of the approved Notice of Determination of Need. Any deviation to this </w:t>
      </w:r>
      <w:r w:rsidRPr="00A96105">
        <w:rPr>
          <w:rFonts w:asciiTheme="majorHAnsi" w:hAnsiTheme="majorHAnsi" w:cstheme="majorHAnsi"/>
          <w:sz w:val="24"/>
          <w:szCs w:val="24"/>
        </w:rPr>
        <w:lastRenderedPageBreak/>
        <w:t>payment schedule will require program approval. For this proposed Conservation Project, the CHI contribution will be $82,625.15. Based on the Applicant’s compliance with the above requirement, the Applicant meets the terms of Factor 6.</w:t>
      </w:r>
    </w:p>
    <w:p w14:paraId="0CC10FEB" w14:textId="77777777" w:rsidR="00CF4A16" w:rsidRPr="00CF4A16" w:rsidRDefault="00CF4A16" w:rsidP="00545091">
      <w:pPr>
        <w:spacing w:after="0"/>
        <w:rPr>
          <w:rFonts w:asciiTheme="majorHAnsi" w:hAnsiTheme="majorHAnsi" w:cstheme="majorHAnsi"/>
          <w:sz w:val="24"/>
          <w:szCs w:val="24"/>
        </w:rPr>
      </w:pPr>
    </w:p>
    <w:p w14:paraId="00000033" w14:textId="77777777" w:rsidR="00350CD8" w:rsidRPr="007A7111" w:rsidRDefault="00EC32CB" w:rsidP="00D642AB">
      <w:pPr>
        <w:spacing w:after="0"/>
        <w:rPr>
          <w:rFonts w:asciiTheme="majorHAnsi" w:hAnsiTheme="majorHAnsi" w:cstheme="majorHAnsi"/>
          <w:sz w:val="24"/>
          <w:szCs w:val="24"/>
        </w:rPr>
      </w:pPr>
      <w:r w:rsidRPr="007A7111">
        <w:rPr>
          <w:rFonts w:asciiTheme="majorHAnsi" w:hAnsiTheme="majorHAnsi" w:cstheme="majorHAnsi"/>
          <w:b/>
          <w:sz w:val="24"/>
          <w:szCs w:val="24"/>
        </w:rPr>
        <w:t>Findings</w:t>
      </w:r>
      <w:r w:rsidRPr="007A7111">
        <w:rPr>
          <w:rFonts w:asciiTheme="majorHAnsi" w:hAnsiTheme="majorHAnsi" w:cstheme="majorHAnsi"/>
          <w:sz w:val="24"/>
          <w:szCs w:val="24"/>
        </w:rPr>
        <w:t xml:space="preserve"> </w:t>
      </w:r>
    </w:p>
    <w:p w14:paraId="27F2E9CD" w14:textId="6C3B1444" w:rsidR="00374E2E" w:rsidRPr="00284803" w:rsidRDefault="00284803" w:rsidP="00D642AB">
      <w:pPr>
        <w:spacing w:after="0" w:line="240" w:lineRule="auto"/>
        <w:rPr>
          <w:sz w:val="24"/>
          <w:szCs w:val="24"/>
        </w:rPr>
      </w:pPr>
      <w:bookmarkStart w:id="1" w:name="_gjdgxs" w:colFirst="0" w:colLast="0"/>
      <w:bookmarkEnd w:id="1"/>
      <w:r w:rsidRPr="00284803">
        <w:rPr>
          <w:sz w:val="24"/>
          <w:szCs w:val="24"/>
        </w:rPr>
        <w:t xml:space="preserve">Based on a review of the materials submitted, the Department finds that the Proposed </w:t>
      </w:r>
      <w:r w:rsidR="005B6F43" w:rsidRPr="00284803">
        <w:rPr>
          <w:sz w:val="24"/>
          <w:szCs w:val="24"/>
        </w:rPr>
        <w:t>Project has</w:t>
      </w:r>
      <w:r w:rsidRPr="00284803">
        <w:rPr>
          <w:sz w:val="24"/>
          <w:szCs w:val="24"/>
        </w:rPr>
        <w:t xml:space="preserve"> met </w:t>
      </w:r>
      <w:r w:rsidR="004F14B5">
        <w:rPr>
          <w:sz w:val="24"/>
          <w:szCs w:val="24"/>
        </w:rPr>
        <w:t xml:space="preserve">each </w:t>
      </w:r>
      <w:r w:rsidRPr="00284803">
        <w:rPr>
          <w:sz w:val="24"/>
          <w:szCs w:val="24"/>
        </w:rPr>
        <w:t>applicable DoN Factor and recommends that the Commissioner approve this Application for Determination of Need, subject to all Standard Conditions as provided in the Regulations except for 105 CMR 100.310(A)(10) and the Other Conditions set out below.</w:t>
      </w:r>
    </w:p>
    <w:p w14:paraId="5A283744" w14:textId="77777777" w:rsidR="00284803" w:rsidRDefault="00284803" w:rsidP="00D642AB">
      <w:pPr>
        <w:spacing w:after="0" w:line="240" w:lineRule="auto"/>
        <w:rPr>
          <w:rFonts w:asciiTheme="majorHAnsi" w:hAnsiTheme="majorHAnsi" w:cstheme="majorHAnsi"/>
          <w:b/>
          <w:bCs/>
          <w:sz w:val="24"/>
          <w:szCs w:val="24"/>
        </w:rPr>
      </w:pPr>
    </w:p>
    <w:p w14:paraId="69730855" w14:textId="61ADF9EB" w:rsidR="003A5C48" w:rsidRPr="003A5C48" w:rsidRDefault="00250225" w:rsidP="003A5C48">
      <w:pPr>
        <w:spacing w:after="0" w:line="240" w:lineRule="auto"/>
        <w:rPr>
          <w:rFonts w:asciiTheme="majorHAnsi" w:hAnsiTheme="majorHAnsi" w:cstheme="majorHAnsi"/>
          <w:b/>
          <w:bCs/>
          <w:sz w:val="24"/>
          <w:szCs w:val="24"/>
        </w:rPr>
      </w:pPr>
      <w:r>
        <w:rPr>
          <w:rFonts w:asciiTheme="majorHAnsi" w:hAnsiTheme="majorHAnsi" w:cstheme="majorHAnsi"/>
          <w:b/>
          <w:bCs/>
          <w:sz w:val="24"/>
          <w:szCs w:val="24"/>
        </w:rPr>
        <w:t xml:space="preserve">Other </w:t>
      </w:r>
      <w:r w:rsidR="00AA0D60" w:rsidRPr="00A96105">
        <w:rPr>
          <w:rFonts w:asciiTheme="majorHAnsi" w:hAnsiTheme="majorHAnsi" w:cstheme="majorHAnsi"/>
          <w:b/>
          <w:bCs/>
          <w:sz w:val="24"/>
          <w:szCs w:val="24"/>
        </w:rPr>
        <w:t>Conditions </w:t>
      </w:r>
    </w:p>
    <w:p w14:paraId="013B3626" w14:textId="31B99353" w:rsidR="003A5C48" w:rsidRPr="003A5C48" w:rsidRDefault="003A5C48" w:rsidP="003A5C48">
      <w:pPr>
        <w:rPr>
          <w:rFonts w:asciiTheme="majorHAnsi" w:hAnsiTheme="majorHAnsi" w:cstheme="majorHAnsi"/>
          <w:b/>
          <w:bCs/>
          <w:color w:val="2F5496"/>
          <w:sz w:val="24"/>
          <w:szCs w:val="24"/>
        </w:rPr>
      </w:pPr>
      <w:r w:rsidRPr="003A5C48">
        <w:rPr>
          <w:rFonts w:asciiTheme="majorHAnsi" w:hAnsiTheme="majorHAnsi" w:cstheme="majorHAnsi"/>
          <w:sz w:val="24"/>
          <w:szCs w:val="24"/>
        </w:rPr>
        <w:t xml:space="preserve">CHI Contribution </w:t>
      </w:r>
    </w:p>
    <w:p w14:paraId="2C2752AB" w14:textId="77777777" w:rsidR="00A96105" w:rsidRPr="00A96105" w:rsidRDefault="00A96105" w:rsidP="00A96105">
      <w:pPr>
        <w:pStyle w:val="ListParagraph"/>
        <w:widowControl/>
        <w:numPr>
          <w:ilvl w:val="0"/>
          <w:numId w:val="9"/>
        </w:numPr>
        <w:autoSpaceDE/>
        <w:autoSpaceDN/>
        <w:spacing w:after="160" w:line="259" w:lineRule="auto"/>
        <w:contextualSpacing/>
        <w:rPr>
          <w:rFonts w:asciiTheme="majorHAnsi" w:eastAsiaTheme="minorEastAsia" w:hAnsiTheme="majorHAnsi" w:cstheme="majorHAnsi"/>
          <w:color w:val="000000" w:themeColor="text1"/>
          <w:sz w:val="24"/>
          <w:szCs w:val="24"/>
        </w:rPr>
      </w:pPr>
      <w:r w:rsidRPr="00A96105">
        <w:rPr>
          <w:rFonts w:asciiTheme="majorHAnsi" w:eastAsia="Calibri" w:hAnsiTheme="majorHAnsi" w:cstheme="majorHAnsi"/>
          <w:color w:val="000000" w:themeColor="text1"/>
          <w:sz w:val="24"/>
          <w:szCs w:val="24"/>
        </w:rPr>
        <w:t>The total required CHI contribution of $</w:t>
      </w:r>
      <w:r w:rsidRPr="00A96105">
        <w:rPr>
          <w:rFonts w:asciiTheme="majorHAnsi" w:eastAsia="Calibri" w:hAnsiTheme="majorHAnsi" w:cstheme="majorHAnsi"/>
          <w:sz w:val="24"/>
          <w:szCs w:val="24"/>
        </w:rPr>
        <w:t>82,625.15</w:t>
      </w:r>
      <w:r w:rsidRPr="00A96105">
        <w:rPr>
          <w:rFonts w:asciiTheme="majorHAnsi" w:eastAsia="Calibri" w:hAnsiTheme="majorHAnsi" w:cstheme="majorHAnsi"/>
          <w:color w:val="000000" w:themeColor="text1"/>
          <w:sz w:val="24"/>
          <w:szCs w:val="24"/>
        </w:rPr>
        <w:t xml:space="preserve"> will be directed to the Massachusetts Statewide Healthy Aging Fund. </w:t>
      </w:r>
    </w:p>
    <w:p w14:paraId="7B9B3186" w14:textId="77777777" w:rsidR="00A96105" w:rsidRPr="00A96105" w:rsidRDefault="00A96105" w:rsidP="00A96105">
      <w:pPr>
        <w:pStyle w:val="ListParagraph"/>
        <w:widowControl/>
        <w:numPr>
          <w:ilvl w:val="0"/>
          <w:numId w:val="9"/>
        </w:numPr>
        <w:autoSpaceDE/>
        <w:autoSpaceDN/>
        <w:spacing w:after="160" w:line="259" w:lineRule="auto"/>
        <w:contextualSpacing/>
        <w:rPr>
          <w:rFonts w:asciiTheme="majorHAnsi" w:eastAsiaTheme="minorEastAsia" w:hAnsiTheme="majorHAnsi" w:cstheme="majorHAnsi"/>
          <w:color w:val="000000" w:themeColor="text1"/>
          <w:sz w:val="24"/>
          <w:szCs w:val="24"/>
        </w:rPr>
      </w:pPr>
      <w:r w:rsidRPr="00A96105">
        <w:rPr>
          <w:rFonts w:asciiTheme="majorHAnsi" w:eastAsia="Calibri" w:hAnsiTheme="majorHAnsi" w:cstheme="majorHAnsi"/>
          <w:color w:val="000000" w:themeColor="text1"/>
          <w:sz w:val="24"/>
          <w:szCs w:val="24"/>
        </w:rPr>
        <w:t>To comply with the Holder’s obligation to contribute to the Massachusetts Statewide Community Health Funds, the Holder must submit the first installment, a check for $41,312.57, to Health Resources in Action (the fiscal agent for the CHI Statewide Initiative).</w:t>
      </w:r>
    </w:p>
    <w:p w14:paraId="0BC7E5DB" w14:textId="77777777" w:rsidR="00A96105" w:rsidRPr="00A96105" w:rsidRDefault="00A96105" w:rsidP="00A96105">
      <w:pPr>
        <w:pStyle w:val="ListParagraph"/>
        <w:widowControl/>
        <w:numPr>
          <w:ilvl w:val="1"/>
          <w:numId w:val="8"/>
        </w:numPr>
        <w:autoSpaceDE/>
        <w:autoSpaceDN/>
        <w:spacing w:after="160" w:line="259" w:lineRule="auto"/>
        <w:contextualSpacing/>
        <w:rPr>
          <w:rFonts w:asciiTheme="majorHAnsi" w:eastAsiaTheme="minorEastAsia" w:hAnsiTheme="majorHAnsi" w:cstheme="majorHAnsi"/>
          <w:color w:val="000000" w:themeColor="text1"/>
          <w:sz w:val="24"/>
          <w:szCs w:val="24"/>
        </w:rPr>
      </w:pPr>
      <w:r w:rsidRPr="00A96105">
        <w:rPr>
          <w:rFonts w:asciiTheme="majorHAnsi" w:eastAsia="Calibri" w:hAnsiTheme="majorHAnsi" w:cstheme="majorHAnsi"/>
          <w:color w:val="000000" w:themeColor="text1"/>
          <w:sz w:val="24"/>
          <w:szCs w:val="24"/>
        </w:rPr>
        <w:t>The Holder must submit the funds to HRiA within 30 days from the date of the Notice of Approval.</w:t>
      </w:r>
    </w:p>
    <w:p w14:paraId="0EC9C5EC" w14:textId="77777777" w:rsidR="00A96105" w:rsidRPr="00A96105" w:rsidRDefault="00A96105" w:rsidP="00A96105">
      <w:pPr>
        <w:pStyle w:val="ListParagraph"/>
        <w:widowControl/>
        <w:numPr>
          <w:ilvl w:val="1"/>
          <w:numId w:val="8"/>
        </w:numPr>
        <w:autoSpaceDE/>
        <w:autoSpaceDN/>
        <w:spacing w:after="160" w:line="259" w:lineRule="auto"/>
        <w:contextualSpacing/>
        <w:rPr>
          <w:rFonts w:asciiTheme="majorHAnsi" w:eastAsiaTheme="minorEastAsia" w:hAnsiTheme="majorHAnsi" w:cstheme="majorHAnsi"/>
          <w:color w:val="000000" w:themeColor="text1"/>
          <w:sz w:val="24"/>
          <w:szCs w:val="24"/>
        </w:rPr>
      </w:pPr>
      <w:r w:rsidRPr="00A96105">
        <w:rPr>
          <w:rFonts w:asciiTheme="majorHAnsi" w:eastAsia="Calibri" w:hAnsiTheme="majorHAnsi" w:cstheme="majorHAnsi"/>
          <w:color w:val="000000" w:themeColor="text1"/>
          <w:sz w:val="24"/>
          <w:szCs w:val="24"/>
        </w:rPr>
        <w:t xml:space="preserve">The Holder must submit the second installment of $41,312.58 to HRiA within one year from the date of the Notice of Approval. </w:t>
      </w:r>
    </w:p>
    <w:p w14:paraId="6DBAAD86" w14:textId="77777777" w:rsidR="00A96105" w:rsidRPr="00A96105" w:rsidRDefault="00A96105" w:rsidP="00A96105">
      <w:pPr>
        <w:pStyle w:val="ListParagraph"/>
        <w:widowControl/>
        <w:numPr>
          <w:ilvl w:val="1"/>
          <w:numId w:val="8"/>
        </w:numPr>
        <w:autoSpaceDE/>
        <w:autoSpaceDN/>
        <w:spacing w:after="160" w:line="259" w:lineRule="auto"/>
        <w:contextualSpacing/>
        <w:rPr>
          <w:rFonts w:asciiTheme="majorHAnsi" w:eastAsiaTheme="minorEastAsia" w:hAnsiTheme="majorHAnsi" w:cstheme="majorHAnsi"/>
          <w:color w:val="000000" w:themeColor="text1"/>
          <w:sz w:val="24"/>
          <w:szCs w:val="24"/>
        </w:rPr>
      </w:pPr>
      <w:r w:rsidRPr="00A96105">
        <w:rPr>
          <w:rFonts w:asciiTheme="majorHAnsi" w:eastAsia="Calibri" w:hAnsiTheme="majorHAnsi" w:cstheme="majorHAnsi"/>
          <w:color w:val="000000" w:themeColor="text1"/>
          <w:sz w:val="24"/>
          <w:szCs w:val="24"/>
        </w:rPr>
        <w:t>The Holder must promptly notify DPH (CHI contact staff) when each payment has been made.</w:t>
      </w:r>
    </w:p>
    <w:p w14:paraId="2D9FCFC3" w14:textId="77777777" w:rsidR="00A96105" w:rsidRPr="00A96105" w:rsidRDefault="00A96105" w:rsidP="007B5698">
      <w:pPr>
        <w:spacing w:after="0"/>
        <w:ind w:left="1980"/>
        <w:rPr>
          <w:rFonts w:asciiTheme="majorHAnsi" w:hAnsiTheme="majorHAnsi" w:cstheme="majorHAnsi"/>
          <w:sz w:val="24"/>
          <w:szCs w:val="24"/>
        </w:rPr>
      </w:pPr>
      <w:r w:rsidRPr="00A96105">
        <w:rPr>
          <w:rFonts w:asciiTheme="majorHAnsi" w:hAnsiTheme="majorHAnsi" w:cstheme="majorHAnsi"/>
          <w:color w:val="000000" w:themeColor="text1"/>
          <w:sz w:val="24"/>
          <w:szCs w:val="24"/>
        </w:rPr>
        <w:t>Payment should be sent to:</w:t>
      </w:r>
    </w:p>
    <w:p w14:paraId="66F23CD6" w14:textId="77777777" w:rsidR="00A96105" w:rsidRPr="00A96105" w:rsidRDefault="00A96105" w:rsidP="007B5698">
      <w:pPr>
        <w:spacing w:after="0"/>
        <w:ind w:left="1980"/>
        <w:rPr>
          <w:rFonts w:asciiTheme="majorHAnsi" w:hAnsiTheme="majorHAnsi" w:cstheme="majorHAnsi"/>
          <w:sz w:val="24"/>
          <w:szCs w:val="24"/>
        </w:rPr>
      </w:pPr>
      <w:r w:rsidRPr="00A96105">
        <w:rPr>
          <w:rFonts w:asciiTheme="majorHAnsi" w:hAnsiTheme="majorHAnsi" w:cstheme="majorHAnsi"/>
          <w:color w:val="000000" w:themeColor="text1"/>
          <w:sz w:val="24"/>
          <w:szCs w:val="24"/>
        </w:rPr>
        <w:t>Health Resources in Action, Inc., (HRiA)</w:t>
      </w:r>
    </w:p>
    <w:p w14:paraId="7614C524" w14:textId="77777777" w:rsidR="00A96105" w:rsidRPr="00A96105" w:rsidRDefault="00A96105" w:rsidP="007B5698">
      <w:pPr>
        <w:spacing w:after="0"/>
        <w:ind w:left="1980"/>
        <w:rPr>
          <w:rFonts w:asciiTheme="majorHAnsi" w:hAnsiTheme="majorHAnsi" w:cstheme="majorHAnsi"/>
          <w:sz w:val="24"/>
          <w:szCs w:val="24"/>
        </w:rPr>
      </w:pPr>
      <w:r w:rsidRPr="00A96105">
        <w:rPr>
          <w:rFonts w:asciiTheme="majorHAnsi" w:hAnsiTheme="majorHAnsi" w:cstheme="majorHAnsi"/>
          <w:color w:val="000000" w:themeColor="text1"/>
          <w:sz w:val="24"/>
          <w:szCs w:val="24"/>
        </w:rPr>
        <w:t>2 Boylston Street, 4th Floor</w:t>
      </w:r>
    </w:p>
    <w:p w14:paraId="15DBE965" w14:textId="77777777" w:rsidR="00A96105" w:rsidRPr="00A96105" w:rsidRDefault="00A96105" w:rsidP="007B5698">
      <w:pPr>
        <w:spacing w:after="0"/>
        <w:ind w:left="1980"/>
        <w:rPr>
          <w:rFonts w:asciiTheme="majorHAnsi" w:hAnsiTheme="majorHAnsi" w:cstheme="majorHAnsi"/>
          <w:sz w:val="24"/>
          <w:szCs w:val="24"/>
        </w:rPr>
      </w:pPr>
      <w:r w:rsidRPr="00A96105">
        <w:rPr>
          <w:rFonts w:asciiTheme="majorHAnsi" w:hAnsiTheme="majorHAnsi" w:cstheme="majorHAnsi"/>
          <w:color w:val="000000" w:themeColor="text1"/>
          <w:sz w:val="24"/>
          <w:szCs w:val="24"/>
        </w:rPr>
        <w:t>Boston, MA 02116</w:t>
      </w:r>
    </w:p>
    <w:p w14:paraId="30959026" w14:textId="77777777" w:rsidR="00A96105" w:rsidRPr="00A96105" w:rsidRDefault="00A96105" w:rsidP="007B5698">
      <w:pPr>
        <w:spacing w:after="0"/>
        <w:ind w:left="1980"/>
        <w:rPr>
          <w:rFonts w:asciiTheme="majorHAnsi" w:hAnsiTheme="majorHAnsi" w:cstheme="majorHAnsi"/>
          <w:sz w:val="24"/>
          <w:szCs w:val="24"/>
        </w:rPr>
      </w:pPr>
      <w:r w:rsidRPr="00A96105">
        <w:rPr>
          <w:rFonts w:asciiTheme="majorHAnsi" w:hAnsiTheme="majorHAnsi" w:cstheme="majorHAnsi"/>
          <w:color w:val="000000" w:themeColor="text1"/>
          <w:sz w:val="24"/>
          <w:szCs w:val="24"/>
        </w:rPr>
        <w:t>Attn: Ms. Bora Toro</w:t>
      </w:r>
    </w:p>
    <w:p w14:paraId="6D6A0A27" w14:textId="5DB22F70" w:rsidR="00FC23B1" w:rsidRDefault="00FC23B1" w:rsidP="00D642AB">
      <w:pPr>
        <w:pStyle w:val="NoSpacing"/>
        <w:rPr>
          <w:rFonts w:asciiTheme="majorHAnsi" w:hAnsiTheme="majorHAnsi" w:cstheme="majorHAnsi"/>
          <w:sz w:val="24"/>
          <w:szCs w:val="24"/>
        </w:rPr>
      </w:pPr>
    </w:p>
    <w:p w14:paraId="17D2D633" w14:textId="1E0256D9" w:rsidR="00250225" w:rsidRPr="00D173EE" w:rsidRDefault="000C7941" w:rsidP="00D173EE">
      <w:pPr>
        <w:spacing w:after="0" w:line="240" w:lineRule="auto"/>
        <w:rPr>
          <w:rFonts w:asciiTheme="majorHAnsi" w:hAnsiTheme="majorHAnsi" w:cstheme="majorHAnsi"/>
          <w:b/>
          <w:bCs/>
          <w:sz w:val="24"/>
          <w:szCs w:val="24"/>
        </w:rPr>
      </w:pPr>
      <w:bookmarkStart w:id="2" w:name="_Toc118903980"/>
      <w:r w:rsidRPr="000C7941">
        <w:rPr>
          <w:rFonts w:asciiTheme="majorHAnsi" w:hAnsiTheme="majorHAnsi" w:cstheme="majorHAnsi"/>
          <w:b/>
          <w:bCs/>
          <w:sz w:val="24"/>
          <w:szCs w:val="24"/>
        </w:rPr>
        <w:t>Appendix I: Measures for Annual Reporting</w:t>
      </w:r>
      <w:bookmarkEnd w:id="2"/>
    </w:p>
    <w:p w14:paraId="4572D967" w14:textId="501ADDBE" w:rsidR="00A75477" w:rsidRPr="007C50D0" w:rsidRDefault="00A75477" w:rsidP="007C50D0">
      <w:pPr>
        <w:jc w:val="both"/>
        <w:rPr>
          <w:rFonts w:asciiTheme="minorHAnsi" w:hAnsiTheme="minorHAnsi" w:cstheme="minorHAnsi"/>
        </w:rPr>
      </w:pPr>
      <w:r w:rsidRPr="00F2421B">
        <w:rPr>
          <w:rFonts w:asciiTheme="majorHAnsi" w:hAnsiTheme="majorHAnsi" w:cstheme="majorHAnsi"/>
          <w:sz w:val="24"/>
          <w:szCs w:val="24"/>
        </w:rPr>
        <w:t>The Holder shall, on an annual basis, commencing with the approval of this DoN, and continuing for a period of five years after the Proposed Project is complete, provide the following information as part of the annual report required by 105 CMR 100.310(A)(12)</w:t>
      </w:r>
      <w:r w:rsidR="007C50D0">
        <w:rPr>
          <w:rFonts w:asciiTheme="majorHAnsi" w:hAnsiTheme="majorHAnsi" w:cstheme="majorHAnsi"/>
          <w:sz w:val="24"/>
          <w:szCs w:val="24"/>
        </w:rPr>
        <w:t xml:space="preserve">.  </w:t>
      </w:r>
      <w:r w:rsidR="007C50D0" w:rsidRPr="007C50D0">
        <w:rPr>
          <w:rFonts w:asciiTheme="majorHAnsi" w:hAnsiTheme="majorHAnsi" w:cstheme="majorHAnsi"/>
          <w:sz w:val="24"/>
          <w:szCs w:val="24"/>
        </w:rPr>
        <w:t>For all measures, the Applicant will provide to the program a baseline upon implementation of each project component, along with updated projections, which the program will use for comparison with the annual data submitted.</w:t>
      </w:r>
      <w:r w:rsidRPr="00F2421B">
        <w:rPr>
          <w:rFonts w:asciiTheme="majorHAnsi" w:hAnsiTheme="majorHAnsi" w:cstheme="majorHAnsi"/>
          <w:sz w:val="24"/>
          <w:szCs w:val="24"/>
        </w:rPr>
        <w:t xml:space="preserve"> </w:t>
      </w:r>
    </w:p>
    <w:p w14:paraId="0078254C" w14:textId="093E8BEA" w:rsidR="00674FA5" w:rsidRPr="00A859D3" w:rsidRDefault="007E6720" w:rsidP="00250225">
      <w:pPr>
        <w:pStyle w:val="ListParagraph"/>
        <w:widowControl/>
        <w:numPr>
          <w:ilvl w:val="0"/>
          <w:numId w:val="10"/>
        </w:numPr>
        <w:autoSpaceDE/>
        <w:autoSpaceDN/>
        <w:rPr>
          <w:rFonts w:asciiTheme="majorHAnsi" w:hAnsiTheme="majorHAnsi" w:cstheme="majorHAnsi"/>
          <w:sz w:val="24"/>
          <w:szCs w:val="24"/>
        </w:rPr>
      </w:pPr>
      <w:r w:rsidRPr="006E76C4">
        <w:rPr>
          <w:rFonts w:asciiTheme="majorHAnsi" w:hAnsiTheme="majorHAnsi" w:cstheme="majorHAnsi"/>
          <w:b/>
          <w:bCs/>
          <w:sz w:val="24"/>
          <w:szCs w:val="24"/>
        </w:rPr>
        <w:t>Medicaid Patients Served:</w:t>
      </w:r>
      <w:r w:rsidR="00F2421B" w:rsidRPr="00A859D3">
        <w:rPr>
          <w:rFonts w:asciiTheme="majorHAnsi" w:hAnsiTheme="majorHAnsi" w:cstheme="majorHAnsi"/>
          <w:sz w:val="24"/>
          <w:szCs w:val="24"/>
        </w:rPr>
        <w:t xml:space="preserve"> Please </w:t>
      </w:r>
      <w:r w:rsidR="00A859D3">
        <w:rPr>
          <w:rFonts w:asciiTheme="majorHAnsi" w:hAnsiTheme="majorHAnsi" w:cstheme="majorHAnsi"/>
          <w:sz w:val="24"/>
          <w:szCs w:val="24"/>
        </w:rPr>
        <w:t>report on the</w:t>
      </w:r>
      <w:r w:rsidR="00F2421B" w:rsidRPr="00A859D3">
        <w:rPr>
          <w:rFonts w:asciiTheme="majorHAnsi" w:hAnsiTheme="majorHAnsi" w:cstheme="majorHAnsi"/>
          <w:sz w:val="24"/>
          <w:szCs w:val="24"/>
        </w:rPr>
        <w:t xml:space="preserve"> number of Medicaid patients served</w:t>
      </w:r>
      <w:r w:rsidR="00A859D3">
        <w:rPr>
          <w:rFonts w:asciiTheme="majorHAnsi" w:hAnsiTheme="majorHAnsi" w:cstheme="majorHAnsi"/>
          <w:sz w:val="24"/>
          <w:szCs w:val="24"/>
        </w:rPr>
        <w:t>, defined by either calendar year or fiscal year.</w:t>
      </w:r>
    </w:p>
    <w:p w14:paraId="40B29FCC" w14:textId="77777777" w:rsidR="00250225" w:rsidRPr="00865B92" w:rsidRDefault="00250225" w:rsidP="00D642AB">
      <w:pPr>
        <w:pStyle w:val="NoSpacing"/>
        <w:rPr>
          <w:rFonts w:asciiTheme="majorHAnsi" w:hAnsiTheme="majorHAnsi" w:cstheme="majorHAnsi"/>
          <w:sz w:val="24"/>
          <w:szCs w:val="24"/>
        </w:rPr>
      </w:pPr>
    </w:p>
    <w:sectPr w:rsidR="00250225" w:rsidRPr="00865B92">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735F6" w14:textId="77777777" w:rsidR="00C22AD0" w:rsidRDefault="00C22AD0">
      <w:pPr>
        <w:spacing w:after="0" w:line="240" w:lineRule="auto"/>
      </w:pPr>
      <w:r>
        <w:separator/>
      </w:r>
    </w:p>
  </w:endnote>
  <w:endnote w:type="continuationSeparator" w:id="0">
    <w:p w14:paraId="0A4816FE" w14:textId="77777777" w:rsidR="00C22AD0" w:rsidRDefault="00C22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D" w14:textId="7A2C6C38" w:rsidR="00350CD8" w:rsidRDefault="00EC32CB">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55BB2">
      <w:rPr>
        <w:noProof/>
        <w:color w:val="000000"/>
      </w:rPr>
      <w:t>1</w:t>
    </w:r>
    <w:r>
      <w:rPr>
        <w:color w:val="000000"/>
      </w:rPr>
      <w:fldChar w:fldCharType="end"/>
    </w:r>
  </w:p>
  <w:p w14:paraId="0000004E" w14:textId="77777777" w:rsidR="00350CD8" w:rsidRDefault="00350CD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341C0" w14:textId="77777777" w:rsidR="00C22AD0" w:rsidRDefault="00C22AD0">
      <w:pPr>
        <w:spacing w:after="0" w:line="240" w:lineRule="auto"/>
      </w:pPr>
      <w:r>
        <w:separator/>
      </w:r>
    </w:p>
  </w:footnote>
  <w:footnote w:type="continuationSeparator" w:id="0">
    <w:p w14:paraId="4E91F0C3" w14:textId="77777777" w:rsidR="00C22AD0" w:rsidRDefault="00C22AD0">
      <w:pPr>
        <w:spacing w:after="0" w:line="240" w:lineRule="auto"/>
      </w:pPr>
      <w:r>
        <w:continuationSeparator/>
      </w:r>
    </w:p>
  </w:footnote>
  <w:footnote w:id="1">
    <w:p w14:paraId="2D9D99A0" w14:textId="68323652" w:rsidR="001C2480" w:rsidRPr="00936B25" w:rsidRDefault="001C2480" w:rsidP="001C2480">
      <w:pPr>
        <w:spacing w:after="0"/>
        <w:ind w:hanging="2"/>
        <w:rPr>
          <w:color w:val="365F91" w:themeColor="accent1" w:themeShade="BF"/>
          <w:sz w:val="18"/>
          <w:szCs w:val="18"/>
        </w:rPr>
      </w:pPr>
      <w:r w:rsidRPr="00936B25">
        <w:rPr>
          <w:rStyle w:val="FootnoteReference"/>
          <w:sz w:val="18"/>
          <w:szCs w:val="18"/>
        </w:rPr>
        <w:footnoteRef/>
      </w:r>
      <w:r w:rsidRPr="00936B25">
        <w:rPr>
          <w:color w:val="000000"/>
          <w:sz w:val="18"/>
          <w:szCs w:val="18"/>
        </w:rPr>
        <w:t xml:space="preserve"> </w:t>
      </w:r>
      <w:hyperlink r:id="rId1" w:history="1">
        <w:r w:rsidR="00936B25" w:rsidRPr="00936B25">
          <w:rPr>
            <w:rStyle w:val="Hyperlink"/>
            <w:color w:val="365F91" w:themeColor="accent1" w:themeShade="BF"/>
            <w:sz w:val="18"/>
            <w:szCs w:val="18"/>
          </w:rPr>
          <w:t>Long Term Care Notice</w:t>
        </w:r>
      </w:hyperlink>
    </w:p>
  </w:footnote>
  <w:footnote w:id="2">
    <w:p w14:paraId="0CFA8413" w14:textId="52C29DDB" w:rsidR="00966AC9" w:rsidRPr="00A20BA5" w:rsidRDefault="00966AC9">
      <w:pPr>
        <w:pStyle w:val="FootnoteText"/>
        <w:rPr>
          <w:sz w:val="24"/>
          <w:szCs w:val="24"/>
        </w:rPr>
      </w:pPr>
      <w:r w:rsidRPr="00936B25">
        <w:rPr>
          <w:rStyle w:val="FootnoteReference"/>
          <w:sz w:val="18"/>
          <w:szCs w:val="18"/>
        </w:rPr>
        <w:footnoteRef/>
      </w:r>
      <w:r w:rsidRPr="00936B25">
        <w:rPr>
          <w:color w:val="365F91" w:themeColor="accent1" w:themeShade="BF"/>
          <w:sz w:val="18"/>
          <w:szCs w:val="18"/>
        </w:rPr>
        <w:t xml:space="preserve"> </w:t>
      </w:r>
      <w:hyperlink r:id="rId2" w:history="1">
        <w:r w:rsidR="00A20BA5" w:rsidRPr="00936B25">
          <w:rPr>
            <w:rStyle w:val="Hyperlink"/>
            <w:color w:val="365F91" w:themeColor="accent1" w:themeShade="BF"/>
            <w:sz w:val="18"/>
            <w:szCs w:val="18"/>
          </w:rPr>
          <w:t>105-CMR-100 Regulation</w:t>
        </w:r>
      </w:hyperlink>
    </w:p>
  </w:footnote>
  <w:footnote w:id="3">
    <w:p w14:paraId="78FB5C1D" w14:textId="1AB9BF36" w:rsidR="00926A1B" w:rsidRDefault="00926A1B">
      <w:pPr>
        <w:pStyle w:val="FootnoteText"/>
      </w:pPr>
      <w:r>
        <w:rPr>
          <w:rStyle w:val="FootnoteReference"/>
        </w:rPr>
        <w:footnoteRef/>
      </w:r>
      <w:r>
        <w:t xml:space="preserve"> </w:t>
      </w:r>
      <w:r w:rsidR="00112610">
        <w:rPr>
          <w:sz w:val="18"/>
          <w:szCs w:val="18"/>
        </w:rPr>
        <w:t>Historical numbers</w:t>
      </w:r>
      <w:r w:rsidR="00CE373D">
        <w:rPr>
          <w:sz w:val="18"/>
          <w:szCs w:val="18"/>
        </w:rPr>
        <w:t xml:space="preserve"> based</w:t>
      </w:r>
      <w:r w:rsidRPr="0064141E">
        <w:rPr>
          <w:sz w:val="18"/>
          <w:szCs w:val="18"/>
        </w:rPr>
        <w:t xml:space="preserve"> </w:t>
      </w:r>
      <w:r w:rsidR="006C5F05">
        <w:rPr>
          <w:sz w:val="18"/>
          <w:szCs w:val="18"/>
        </w:rPr>
        <w:t xml:space="preserve">82% occupancy </w:t>
      </w:r>
      <w:r w:rsidR="009C0590">
        <w:rPr>
          <w:sz w:val="18"/>
          <w:szCs w:val="18"/>
        </w:rPr>
        <w:t xml:space="preserve">pre-Covid-19 and </w:t>
      </w:r>
      <w:r w:rsidR="00112610">
        <w:rPr>
          <w:sz w:val="18"/>
          <w:szCs w:val="18"/>
        </w:rPr>
        <w:t xml:space="preserve">projected numbers </w:t>
      </w:r>
      <w:r w:rsidR="00CE373D">
        <w:rPr>
          <w:sz w:val="18"/>
          <w:szCs w:val="18"/>
        </w:rPr>
        <w:t>assumed a</w:t>
      </w:r>
      <w:r w:rsidR="00112610">
        <w:rPr>
          <w:sz w:val="18"/>
          <w:szCs w:val="18"/>
        </w:rPr>
        <w:t xml:space="preserve"> </w:t>
      </w:r>
      <w:r w:rsidRPr="0064141E">
        <w:rPr>
          <w:sz w:val="18"/>
          <w:szCs w:val="18"/>
        </w:rPr>
        <w:t xml:space="preserve">92% </w:t>
      </w:r>
      <w:r w:rsidR="00FE3DA2">
        <w:rPr>
          <w:sz w:val="18"/>
          <w:szCs w:val="18"/>
        </w:rPr>
        <w:t xml:space="preserve">Post Project </w:t>
      </w:r>
      <w:r w:rsidR="009C0590">
        <w:rPr>
          <w:sz w:val="18"/>
          <w:szCs w:val="18"/>
        </w:rPr>
        <w:t>o</w:t>
      </w:r>
      <w:r w:rsidRPr="0064141E">
        <w:rPr>
          <w:sz w:val="18"/>
          <w:szCs w:val="18"/>
        </w:rPr>
        <w:t xml:space="preserve">ccupancy </w:t>
      </w:r>
      <w:r w:rsidR="009C0590">
        <w:rPr>
          <w:sz w:val="18"/>
          <w:szCs w:val="18"/>
        </w:rPr>
        <w:t>r</w:t>
      </w:r>
      <w:r w:rsidRPr="0064141E">
        <w:rPr>
          <w:sz w:val="18"/>
          <w:szCs w:val="18"/>
        </w:rPr>
        <w:t>ate</w:t>
      </w:r>
      <w:r w:rsidR="00F11299">
        <w:rPr>
          <w:sz w:val="18"/>
          <w:szCs w:val="18"/>
        </w:rPr>
        <w:t>, as noted in the CPA Report.</w:t>
      </w:r>
    </w:p>
  </w:footnote>
  <w:footnote w:id="4">
    <w:p w14:paraId="55377A43" w14:textId="77777777" w:rsidR="006F0C8B" w:rsidRDefault="006F0C8B" w:rsidP="006F0C8B">
      <w:pPr>
        <w:pStyle w:val="FootnoteText"/>
      </w:pPr>
      <w:r>
        <w:rPr>
          <w:rStyle w:val="FootnoteReference"/>
        </w:rPr>
        <w:footnoteRef/>
      </w:r>
      <w:r>
        <w:t xml:space="preserve"> </w:t>
      </w:r>
      <w:r w:rsidRPr="009535A7">
        <w:rPr>
          <w:sz w:val="18"/>
          <w:szCs w:val="18"/>
        </w:rPr>
        <w:t>Reasonableness is defined within the context of this report as supportable and proper, given the underlying information. Feasibility is defined as based on Management achieving the hypothetical assumptions used, the plan is expected to result in “sufficient funds available for capital and ongoing operating costs necessary to support the Proposed Project without negative impacts or consequences to the Applicant’s existing Patient Panel” (per Determination of Need, Factor 4(a)).</w:t>
      </w:r>
    </w:p>
  </w:footnote>
  <w:footnote w:id="5">
    <w:p w14:paraId="4C5A4BC3" w14:textId="77777777" w:rsidR="006F0C8B" w:rsidRPr="0028012D" w:rsidRDefault="006F0C8B" w:rsidP="006F0C8B">
      <w:pPr>
        <w:pStyle w:val="FootnoteText"/>
        <w:rPr>
          <w:sz w:val="18"/>
          <w:szCs w:val="18"/>
        </w:rPr>
      </w:pPr>
      <w:r>
        <w:rPr>
          <w:rStyle w:val="FootnoteReference"/>
        </w:rPr>
        <w:footnoteRef/>
      </w:r>
      <w:r>
        <w:t xml:space="preserve"> </w:t>
      </w:r>
      <w:r w:rsidRPr="00611F6D">
        <w:rPr>
          <w:rFonts w:cstheme="minorHAnsi"/>
          <w:sz w:val="18"/>
          <w:szCs w:val="18"/>
        </w:rPr>
        <w:t>The inflation factors used were 2.25% in year 2025 and 2.00% for the years 2026 through 2029.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8C70"/>
    <w:multiLevelType w:val="hybridMultilevel"/>
    <w:tmpl w:val="FB4E632E"/>
    <w:lvl w:ilvl="0" w:tplc="6852AAAC">
      <w:start w:val="1"/>
      <w:numFmt w:val="decimal"/>
      <w:lvlText w:val="%1."/>
      <w:lvlJc w:val="left"/>
      <w:pPr>
        <w:ind w:left="720" w:hanging="360"/>
      </w:pPr>
    </w:lvl>
    <w:lvl w:ilvl="1" w:tplc="070CBD40">
      <w:start w:val="1"/>
      <w:numFmt w:val="lowerLetter"/>
      <w:lvlText w:val="%2."/>
      <w:lvlJc w:val="left"/>
      <w:pPr>
        <w:ind w:left="1440" w:hanging="360"/>
      </w:pPr>
    </w:lvl>
    <w:lvl w:ilvl="2" w:tplc="D0F61950">
      <w:start w:val="1"/>
      <w:numFmt w:val="lowerRoman"/>
      <w:lvlText w:val="%3."/>
      <w:lvlJc w:val="right"/>
      <w:pPr>
        <w:ind w:left="2160" w:hanging="180"/>
      </w:pPr>
    </w:lvl>
    <w:lvl w:ilvl="3" w:tplc="8AC4F6AE">
      <w:start w:val="1"/>
      <w:numFmt w:val="decimal"/>
      <w:lvlText w:val="%4."/>
      <w:lvlJc w:val="left"/>
      <w:pPr>
        <w:ind w:left="2880" w:hanging="360"/>
      </w:pPr>
    </w:lvl>
    <w:lvl w:ilvl="4" w:tplc="337A3070">
      <w:start w:val="1"/>
      <w:numFmt w:val="lowerLetter"/>
      <w:lvlText w:val="%5."/>
      <w:lvlJc w:val="left"/>
      <w:pPr>
        <w:ind w:left="3600" w:hanging="360"/>
      </w:pPr>
    </w:lvl>
    <w:lvl w:ilvl="5" w:tplc="C05E7B4A">
      <w:start w:val="1"/>
      <w:numFmt w:val="lowerRoman"/>
      <w:lvlText w:val="%6."/>
      <w:lvlJc w:val="right"/>
      <w:pPr>
        <w:ind w:left="4320" w:hanging="180"/>
      </w:pPr>
    </w:lvl>
    <w:lvl w:ilvl="6" w:tplc="40C8CE2A">
      <w:start w:val="1"/>
      <w:numFmt w:val="decimal"/>
      <w:lvlText w:val="%7."/>
      <w:lvlJc w:val="left"/>
      <w:pPr>
        <w:ind w:left="5040" w:hanging="360"/>
      </w:pPr>
    </w:lvl>
    <w:lvl w:ilvl="7" w:tplc="DBD4EC28">
      <w:start w:val="1"/>
      <w:numFmt w:val="lowerLetter"/>
      <w:lvlText w:val="%8."/>
      <w:lvlJc w:val="left"/>
      <w:pPr>
        <w:ind w:left="5760" w:hanging="360"/>
      </w:pPr>
    </w:lvl>
    <w:lvl w:ilvl="8" w:tplc="67FC9782">
      <w:start w:val="1"/>
      <w:numFmt w:val="lowerRoman"/>
      <w:lvlText w:val="%9."/>
      <w:lvlJc w:val="right"/>
      <w:pPr>
        <w:ind w:left="6480" w:hanging="180"/>
      </w:pPr>
    </w:lvl>
  </w:abstractNum>
  <w:abstractNum w:abstractNumId="1" w15:restartNumberingAfterBreak="0">
    <w:nsid w:val="14FA5F07"/>
    <w:multiLevelType w:val="multilevel"/>
    <w:tmpl w:val="CEC0168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 w15:restartNumberingAfterBreak="0">
    <w:nsid w:val="2C154EB5"/>
    <w:multiLevelType w:val="hybridMultilevel"/>
    <w:tmpl w:val="87A6628A"/>
    <w:lvl w:ilvl="0" w:tplc="A8425F08">
      <w:start w:val="1"/>
      <w:numFmt w:val="decimal"/>
      <w:lvlText w:val="%1."/>
      <w:lvlJc w:val="left"/>
      <w:pPr>
        <w:ind w:left="871" w:hanging="392"/>
      </w:pPr>
      <w:rPr>
        <w:rFonts w:ascii="Times New Roman" w:eastAsia="Times New Roman" w:hAnsi="Times New Roman" w:cs="Times New Roman" w:hint="default"/>
        <w:w w:val="100"/>
        <w:sz w:val="22"/>
        <w:szCs w:val="22"/>
        <w:lang w:val="en-US" w:eastAsia="en-US" w:bidi="en-US"/>
      </w:rPr>
    </w:lvl>
    <w:lvl w:ilvl="1" w:tplc="116E300A">
      <w:start w:val="1"/>
      <w:numFmt w:val="lowerLetter"/>
      <w:lvlText w:val="%2."/>
      <w:lvlJc w:val="left"/>
      <w:pPr>
        <w:ind w:left="1560" w:hanging="361"/>
      </w:pPr>
      <w:rPr>
        <w:rFonts w:ascii="Times New Roman" w:eastAsia="Times New Roman" w:hAnsi="Times New Roman" w:cs="Times New Roman" w:hint="default"/>
        <w:w w:val="100"/>
        <w:sz w:val="22"/>
        <w:szCs w:val="22"/>
        <w:lang w:val="en-US" w:eastAsia="en-US" w:bidi="en-US"/>
      </w:rPr>
    </w:lvl>
    <w:lvl w:ilvl="2" w:tplc="445045CA">
      <w:numFmt w:val="bullet"/>
      <w:lvlText w:val="•"/>
      <w:lvlJc w:val="left"/>
      <w:pPr>
        <w:ind w:left="2453" w:hanging="361"/>
      </w:pPr>
      <w:rPr>
        <w:rFonts w:hint="default"/>
        <w:lang w:val="en-US" w:eastAsia="en-US" w:bidi="en-US"/>
      </w:rPr>
    </w:lvl>
    <w:lvl w:ilvl="3" w:tplc="CAE40C18">
      <w:numFmt w:val="bullet"/>
      <w:lvlText w:val="•"/>
      <w:lvlJc w:val="left"/>
      <w:pPr>
        <w:ind w:left="3346" w:hanging="361"/>
      </w:pPr>
      <w:rPr>
        <w:rFonts w:hint="default"/>
        <w:lang w:val="en-US" w:eastAsia="en-US" w:bidi="en-US"/>
      </w:rPr>
    </w:lvl>
    <w:lvl w:ilvl="4" w:tplc="4502D350">
      <w:numFmt w:val="bullet"/>
      <w:lvlText w:val="•"/>
      <w:lvlJc w:val="left"/>
      <w:pPr>
        <w:ind w:left="4240" w:hanging="361"/>
      </w:pPr>
      <w:rPr>
        <w:rFonts w:hint="default"/>
        <w:lang w:val="en-US" w:eastAsia="en-US" w:bidi="en-US"/>
      </w:rPr>
    </w:lvl>
    <w:lvl w:ilvl="5" w:tplc="28ACCA4C">
      <w:numFmt w:val="bullet"/>
      <w:lvlText w:val="•"/>
      <w:lvlJc w:val="left"/>
      <w:pPr>
        <w:ind w:left="5133" w:hanging="361"/>
      </w:pPr>
      <w:rPr>
        <w:rFonts w:hint="default"/>
        <w:lang w:val="en-US" w:eastAsia="en-US" w:bidi="en-US"/>
      </w:rPr>
    </w:lvl>
    <w:lvl w:ilvl="6" w:tplc="79BA553A">
      <w:numFmt w:val="bullet"/>
      <w:lvlText w:val="•"/>
      <w:lvlJc w:val="left"/>
      <w:pPr>
        <w:ind w:left="6026" w:hanging="361"/>
      </w:pPr>
      <w:rPr>
        <w:rFonts w:hint="default"/>
        <w:lang w:val="en-US" w:eastAsia="en-US" w:bidi="en-US"/>
      </w:rPr>
    </w:lvl>
    <w:lvl w:ilvl="7" w:tplc="EF00813C">
      <w:numFmt w:val="bullet"/>
      <w:lvlText w:val="•"/>
      <w:lvlJc w:val="left"/>
      <w:pPr>
        <w:ind w:left="6920" w:hanging="361"/>
      </w:pPr>
      <w:rPr>
        <w:rFonts w:hint="default"/>
        <w:lang w:val="en-US" w:eastAsia="en-US" w:bidi="en-US"/>
      </w:rPr>
    </w:lvl>
    <w:lvl w:ilvl="8" w:tplc="779658C4">
      <w:numFmt w:val="bullet"/>
      <w:lvlText w:val="•"/>
      <w:lvlJc w:val="left"/>
      <w:pPr>
        <w:ind w:left="7813" w:hanging="361"/>
      </w:pPr>
      <w:rPr>
        <w:rFonts w:hint="default"/>
        <w:lang w:val="en-US" w:eastAsia="en-US" w:bidi="en-US"/>
      </w:rPr>
    </w:lvl>
  </w:abstractNum>
  <w:abstractNum w:abstractNumId="3" w15:restartNumberingAfterBreak="0">
    <w:nsid w:val="40344EF8"/>
    <w:multiLevelType w:val="hybridMultilevel"/>
    <w:tmpl w:val="6F5CB9A4"/>
    <w:lvl w:ilvl="0" w:tplc="3E7EBBC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1061C84"/>
    <w:multiLevelType w:val="hybridMultilevel"/>
    <w:tmpl w:val="66CABBE2"/>
    <w:lvl w:ilvl="0" w:tplc="A8425F08">
      <w:start w:val="1"/>
      <w:numFmt w:val="decimal"/>
      <w:lvlText w:val="%1."/>
      <w:lvlJc w:val="left"/>
      <w:pPr>
        <w:ind w:left="871" w:hanging="392"/>
      </w:pPr>
      <w:rPr>
        <w:rFonts w:ascii="Times New Roman" w:eastAsia="Times New Roman" w:hAnsi="Times New Roman" w:cs="Times New Roman" w:hint="default"/>
        <w:w w:val="100"/>
        <w:sz w:val="22"/>
        <w:szCs w:val="22"/>
        <w:lang w:val="en-US" w:eastAsia="en-US" w:bidi="en-US"/>
      </w:rPr>
    </w:lvl>
    <w:lvl w:ilvl="1" w:tplc="0409001B">
      <w:start w:val="1"/>
      <w:numFmt w:val="lowerRoman"/>
      <w:lvlText w:val="%2."/>
      <w:lvlJc w:val="right"/>
      <w:pPr>
        <w:ind w:left="1560" w:hanging="361"/>
      </w:pPr>
      <w:rPr>
        <w:rFonts w:hint="default"/>
        <w:w w:val="100"/>
        <w:sz w:val="22"/>
        <w:szCs w:val="22"/>
        <w:lang w:val="en-US" w:eastAsia="en-US" w:bidi="en-US"/>
      </w:rPr>
    </w:lvl>
    <w:lvl w:ilvl="2" w:tplc="445045CA">
      <w:numFmt w:val="bullet"/>
      <w:lvlText w:val="•"/>
      <w:lvlJc w:val="left"/>
      <w:pPr>
        <w:ind w:left="2453" w:hanging="361"/>
      </w:pPr>
      <w:rPr>
        <w:rFonts w:hint="default"/>
        <w:lang w:val="en-US" w:eastAsia="en-US" w:bidi="en-US"/>
      </w:rPr>
    </w:lvl>
    <w:lvl w:ilvl="3" w:tplc="CAE40C18">
      <w:numFmt w:val="bullet"/>
      <w:lvlText w:val="•"/>
      <w:lvlJc w:val="left"/>
      <w:pPr>
        <w:ind w:left="3346" w:hanging="361"/>
      </w:pPr>
      <w:rPr>
        <w:rFonts w:hint="default"/>
        <w:lang w:val="en-US" w:eastAsia="en-US" w:bidi="en-US"/>
      </w:rPr>
    </w:lvl>
    <w:lvl w:ilvl="4" w:tplc="4502D350">
      <w:numFmt w:val="bullet"/>
      <w:lvlText w:val="•"/>
      <w:lvlJc w:val="left"/>
      <w:pPr>
        <w:ind w:left="4240" w:hanging="361"/>
      </w:pPr>
      <w:rPr>
        <w:rFonts w:hint="default"/>
        <w:lang w:val="en-US" w:eastAsia="en-US" w:bidi="en-US"/>
      </w:rPr>
    </w:lvl>
    <w:lvl w:ilvl="5" w:tplc="28ACCA4C">
      <w:numFmt w:val="bullet"/>
      <w:lvlText w:val="•"/>
      <w:lvlJc w:val="left"/>
      <w:pPr>
        <w:ind w:left="5133" w:hanging="361"/>
      </w:pPr>
      <w:rPr>
        <w:rFonts w:hint="default"/>
        <w:lang w:val="en-US" w:eastAsia="en-US" w:bidi="en-US"/>
      </w:rPr>
    </w:lvl>
    <w:lvl w:ilvl="6" w:tplc="79BA553A">
      <w:numFmt w:val="bullet"/>
      <w:lvlText w:val="•"/>
      <w:lvlJc w:val="left"/>
      <w:pPr>
        <w:ind w:left="6026" w:hanging="361"/>
      </w:pPr>
      <w:rPr>
        <w:rFonts w:hint="default"/>
        <w:lang w:val="en-US" w:eastAsia="en-US" w:bidi="en-US"/>
      </w:rPr>
    </w:lvl>
    <w:lvl w:ilvl="7" w:tplc="EF00813C">
      <w:numFmt w:val="bullet"/>
      <w:lvlText w:val="•"/>
      <w:lvlJc w:val="left"/>
      <w:pPr>
        <w:ind w:left="6920" w:hanging="361"/>
      </w:pPr>
      <w:rPr>
        <w:rFonts w:hint="default"/>
        <w:lang w:val="en-US" w:eastAsia="en-US" w:bidi="en-US"/>
      </w:rPr>
    </w:lvl>
    <w:lvl w:ilvl="8" w:tplc="779658C4">
      <w:numFmt w:val="bullet"/>
      <w:lvlText w:val="•"/>
      <w:lvlJc w:val="left"/>
      <w:pPr>
        <w:ind w:left="7813" w:hanging="361"/>
      </w:pPr>
      <w:rPr>
        <w:rFonts w:hint="default"/>
        <w:lang w:val="en-US" w:eastAsia="en-US" w:bidi="en-US"/>
      </w:rPr>
    </w:lvl>
  </w:abstractNum>
  <w:abstractNum w:abstractNumId="5" w15:restartNumberingAfterBreak="0">
    <w:nsid w:val="514557B2"/>
    <w:multiLevelType w:val="hybridMultilevel"/>
    <w:tmpl w:val="3DB603E4"/>
    <w:lvl w:ilvl="0" w:tplc="99F6E0EE">
      <w:start w:val="1"/>
      <w:numFmt w:val="decimal"/>
      <w:lvlText w:val="%1."/>
      <w:lvlJc w:val="left"/>
      <w:pPr>
        <w:ind w:left="720" w:hanging="360"/>
      </w:pPr>
    </w:lvl>
    <w:lvl w:ilvl="1" w:tplc="8FBCC110">
      <w:start w:val="1"/>
      <w:numFmt w:val="lowerLetter"/>
      <w:lvlText w:val="%2."/>
      <w:lvlJc w:val="left"/>
      <w:pPr>
        <w:ind w:left="1440" w:hanging="360"/>
      </w:pPr>
    </w:lvl>
    <w:lvl w:ilvl="2" w:tplc="288245AE">
      <w:start w:val="1"/>
      <w:numFmt w:val="lowerRoman"/>
      <w:lvlText w:val="%3."/>
      <w:lvlJc w:val="right"/>
      <w:pPr>
        <w:ind w:left="2160" w:hanging="180"/>
      </w:pPr>
    </w:lvl>
    <w:lvl w:ilvl="3" w:tplc="9AF8A754">
      <w:start w:val="1"/>
      <w:numFmt w:val="decimal"/>
      <w:lvlText w:val="%4."/>
      <w:lvlJc w:val="left"/>
      <w:pPr>
        <w:ind w:left="2880" w:hanging="360"/>
      </w:pPr>
    </w:lvl>
    <w:lvl w:ilvl="4" w:tplc="B008D954">
      <w:start w:val="1"/>
      <w:numFmt w:val="lowerLetter"/>
      <w:lvlText w:val="%5."/>
      <w:lvlJc w:val="left"/>
      <w:pPr>
        <w:ind w:left="3600" w:hanging="360"/>
      </w:pPr>
    </w:lvl>
    <w:lvl w:ilvl="5" w:tplc="1002985E">
      <w:start w:val="1"/>
      <w:numFmt w:val="lowerRoman"/>
      <w:lvlText w:val="%6."/>
      <w:lvlJc w:val="right"/>
      <w:pPr>
        <w:ind w:left="4320" w:hanging="180"/>
      </w:pPr>
    </w:lvl>
    <w:lvl w:ilvl="6" w:tplc="B30447D2">
      <w:start w:val="1"/>
      <w:numFmt w:val="decimal"/>
      <w:lvlText w:val="%7."/>
      <w:lvlJc w:val="left"/>
      <w:pPr>
        <w:ind w:left="5040" w:hanging="360"/>
      </w:pPr>
    </w:lvl>
    <w:lvl w:ilvl="7" w:tplc="BD0AC722">
      <w:start w:val="1"/>
      <w:numFmt w:val="lowerLetter"/>
      <w:lvlText w:val="%8."/>
      <w:lvlJc w:val="left"/>
      <w:pPr>
        <w:ind w:left="5760" w:hanging="360"/>
      </w:pPr>
    </w:lvl>
    <w:lvl w:ilvl="8" w:tplc="F9060366">
      <w:start w:val="1"/>
      <w:numFmt w:val="lowerRoman"/>
      <w:lvlText w:val="%9."/>
      <w:lvlJc w:val="right"/>
      <w:pPr>
        <w:ind w:left="6480" w:hanging="180"/>
      </w:pPr>
    </w:lvl>
  </w:abstractNum>
  <w:abstractNum w:abstractNumId="6" w15:restartNumberingAfterBreak="0">
    <w:nsid w:val="55654B43"/>
    <w:multiLevelType w:val="multilevel"/>
    <w:tmpl w:val="423C737E"/>
    <w:lvl w:ilvl="0">
      <w:start w:val="1"/>
      <w:numFmt w:val="lowerLetter"/>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7" w15:restartNumberingAfterBreak="0">
    <w:nsid w:val="60741CF6"/>
    <w:multiLevelType w:val="hybridMultilevel"/>
    <w:tmpl w:val="3AC053C4"/>
    <w:lvl w:ilvl="0" w:tplc="FA7AE36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9897CA4"/>
    <w:multiLevelType w:val="hybridMultilevel"/>
    <w:tmpl w:val="02C45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EE49BD"/>
    <w:multiLevelType w:val="multilevel"/>
    <w:tmpl w:val="46A0F8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19455045">
    <w:abstractNumId w:val="2"/>
  </w:num>
  <w:num w:numId="2" w16cid:durableId="1482622090">
    <w:abstractNumId w:val="4"/>
  </w:num>
  <w:num w:numId="3" w16cid:durableId="869806694">
    <w:abstractNumId w:val="8"/>
  </w:num>
  <w:num w:numId="4" w16cid:durableId="2123568850">
    <w:abstractNumId w:val="7"/>
  </w:num>
  <w:num w:numId="5" w16cid:durableId="10020499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7878309">
    <w:abstractNumId w:val="1"/>
  </w:num>
  <w:num w:numId="7" w16cid:durableId="597373523">
    <w:abstractNumId w:val="6"/>
  </w:num>
  <w:num w:numId="8" w16cid:durableId="1513497350">
    <w:abstractNumId w:val="5"/>
  </w:num>
  <w:num w:numId="9" w16cid:durableId="602566146">
    <w:abstractNumId w:val="0"/>
  </w:num>
  <w:num w:numId="10" w16cid:durableId="3780957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CD8"/>
    <w:rsid w:val="000027CA"/>
    <w:rsid w:val="000231B7"/>
    <w:rsid w:val="0005155E"/>
    <w:rsid w:val="000602B5"/>
    <w:rsid w:val="000621F8"/>
    <w:rsid w:val="000662AB"/>
    <w:rsid w:val="000719A0"/>
    <w:rsid w:val="00082D6A"/>
    <w:rsid w:val="000847C0"/>
    <w:rsid w:val="000A083C"/>
    <w:rsid w:val="000A0998"/>
    <w:rsid w:val="000A0FE0"/>
    <w:rsid w:val="000A2E67"/>
    <w:rsid w:val="000A5CF6"/>
    <w:rsid w:val="000B2A15"/>
    <w:rsid w:val="000B4FFE"/>
    <w:rsid w:val="000B58CF"/>
    <w:rsid w:val="000C0C91"/>
    <w:rsid w:val="000C6D2F"/>
    <w:rsid w:val="000C7941"/>
    <w:rsid w:val="000D088D"/>
    <w:rsid w:val="000D62AB"/>
    <w:rsid w:val="000F387B"/>
    <w:rsid w:val="00112610"/>
    <w:rsid w:val="00122CF5"/>
    <w:rsid w:val="00131E6F"/>
    <w:rsid w:val="00135E62"/>
    <w:rsid w:val="0013654D"/>
    <w:rsid w:val="0014613C"/>
    <w:rsid w:val="00157379"/>
    <w:rsid w:val="00157C8B"/>
    <w:rsid w:val="00162381"/>
    <w:rsid w:val="001640EE"/>
    <w:rsid w:val="001648B3"/>
    <w:rsid w:val="00182D47"/>
    <w:rsid w:val="00183A73"/>
    <w:rsid w:val="00184BAF"/>
    <w:rsid w:val="00191994"/>
    <w:rsid w:val="001939B2"/>
    <w:rsid w:val="001953E3"/>
    <w:rsid w:val="001A27D1"/>
    <w:rsid w:val="001B365E"/>
    <w:rsid w:val="001C237C"/>
    <w:rsid w:val="001C2480"/>
    <w:rsid w:val="001C40D4"/>
    <w:rsid w:val="001D4510"/>
    <w:rsid w:val="001E0908"/>
    <w:rsid w:val="001E427D"/>
    <w:rsid w:val="0020282B"/>
    <w:rsid w:val="00206106"/>
    <w:rsid w:val="002253A6"/>
    <w:rsid w:val="00236B27"/>
    <w:rsid w:val="00236F32"/>
    <w:rsid w:val="00246F3B"/>
    <w:rsid w:val="00250225"/>
    <w:rsid w:val="0025309C"/>
    <w:rsid w:val="00270474"/>
    <w:rsid w:val="00274E2F"/>
    <w:rsid w:val="00284803"/>
    <w:rsid w:val="00286DE7"/>
    <w:rsid w:val="00296565"/>
    <w:rsid w:val="002B72E4"/>
    <w:rsid w:val="002C0A49"/>
    <w:rsid w:val="002D0996"/>
    <w:rsid w:val="002D0DB9"/>
    <w:rsid w:val="002D1299"/>
    <w:rsid w:val="002D173E"/>
    <w:rsid w:val="002F33D4"/>
    <w:rsid w:val="002F422A"/>
    <w:rsid w:val="002F6609"/>
    <w:rsid w:val="003004C8"/>
    <w:rsid w:val="00311A0D"/>
    <w:rsid w:val="0031618B"/>
    <w:rsid w:val="00323E72"/>
    <w:rsid w:val="00350CD8"/>
    <w:rsid w:val="00350F9D"/>
    <w:rsid w:val="00356D28"/>
    <w:rsid w:val="00367F8C"/>
    <w:rsid w:val="003715B8"/>
    <w:rsid w:val="00374E2E"/>
    <w:rsid w:val="003848A8"/>
    <w:rsid w:val="00385855"/>
    <w:rsid w:val="003A5C48"/>
    <w:rsid w:val="003B06D4"/>
    <w:rsid w:val="003C26A5"/>
    <w:rsid w:val="003C4091"/>
    <w:rsid w:val="003E7EAC"/>
    <w:rsid w:val="003F2C01"/>
    <w:rsid w:val="003F6922"/>
    <w:rsid w:val="0040798C"/>
    <w:rsid w:val="004107FF"/>
    <w:rsid w:val="00413AB5"/>
    <w:rsid w:val="00415090"/>
    <w:rsid w:val="004250FB"/>
    <w:rsid w:val="00432542"/>
    <w:rsid w:val="00434FC9"/>
    <w:rsid w:val="00442B60"/>
    <w:rsid w:val="00443544"/>
    <w:rsid w:val="00443F84"/>
    <w:rsid w:val="00444E8E"/>
    <w:rsid w:val="004528EA"/>
    <w:rsid w:val="00455B33"/>
    <w:rsid w:val="00466500"/>
    <w:rsid w:val="00472958"/>
    <w:rsid w:val="00480EE8"/>
    <w:rsid w:val="004835EE"/>
    <w:rsid w:val="00483D8D"/>
    <w:rsid w:val="00485520"/>
    <w:rsid w:val="00487005"/>
    <w:rsid w:val="004955BD"/>
    <w:rsid w:val="004B1BBF"/>
    <w:rsid w:val="004B7FF1"/>
    <w:rsid w:val="004C10FF"/>
    <w:rsid w:val="004C3292"/>
    <w:rsid w:val="004C3D78"/>
    <w:rsid w:val="004D1767"/>
    <w:rsid w:val="004D1958"/>
    <w:rsid w:val="004D757F"/>
    <w:rsid w:val="004E40BA"/>
    <w:rsid w:val="004E5FD7"/>
    <w:rsid w:val="004F14B5"/>
    <w:rsid w:val="004F42E9"/>
    <w:rsid w:val="004F4C56"/>
    <w:rsid w:val="004F4DE8"/>
    <w:rsid w:val="005063A4"/>
    <w:rsid w:val="005157BF"/>
    <w:rsid w:val="0052695E"/>
    <w:rsid w:val="00541C44"/>
    <w:rsid w:val="00542B98"/>
    <w:rsid w:val="005441DF"/>
    <w:rsid w:val="00545091"/>
    <w:rsid w:val="005531C6"/>
    <w:rsid w:val="005575F7"/>
    <w:rsid w:val="00571AA2"/>
    <w:rsid w:val="00572414"/>
    <w:rsid w:val="005734A1"/>
    <w:rsid w:val="005739EE"/>
    <w:rsid w:val="0058284D"/>
    <w:rsid w:val="00593044"/>
    <w:rsid w:val="005969A1"/>
    <w:rsid w:val="00596C92"/>
    <w:rsid w:val="005A3389"/>
    <w:rsid w:val="005B5D87"/>
    <w:rsid w:val="005B6F43"/>
    <w:rsid w:val="005D08D4"/>
    <w:rsid w:val="005D2C76"/>
    <w:rsid w:val="005D5691"/>
    <w:rsid w:val="005E3504"/>
    <w:rsid w:val="005E66EC"/>
    <w:rsid w:val="005E6BDD"/>
    <w:rsid w:val="005F502F"/>
    <w:rsid w:val="005F6CC1"/>
    <w:rsid w:val="005F7601"/>
    <w:rsid w:val="005F7773"/>
    <w:rsid w:val="006001B9"/>
    <w:rsid w:val="006002DB"/>
    <w:rsid w:val="00601BCC"/>
    <w:rsid w:val="00606C69"/>
    <w:rsid w:val="00615160"/>
    <w:rsid w:val="0062788B"/>
    <w:rsid w:val="006278DD"/>
    <w:rsid w:val="006323C3"/>
    <w:rsid w:val="00633F23"/>
    <w:rsid w:val="006353C6"/>
    <w:rsid w:val="0064141E"/>
    <w:rsid w:val="00641AE2"/>
    <w:rsid w:val="00641FDB"/>
    <w:rsid w:val="00646AC6"/>
    <w:rsid w:val="00650F7E"/>
    <w:rsid w:val="00655B0F"/>
    <w:rsid w:val="00660C90"/>
    <w:rsid w:val="00674FA5"/>
    <w:rsid w:val="00684474"/>
    <w:rsid w:val="00685019"/>
    <w:rsid w:val="00686B03"/>
    <w:rsid w:val="006913D4"/>
    <w:rsid w:val="00693121"/>
    <w:rsid w:val="006A5E53"/>
    <w:rsid w:val="006A7014"/>
    <w:rsid w:val="006C5F05"/>
    <w:rsid w:val="006E553B"/>
    <w:rsid w:val="006E5DB2"/>
    <w:rsid w:val="006E76C4"/>
    <w:rsid w:val="006F0C8B"/>
    <w:rsid w:val="007120BB"/>
    <w:rsid w:val="00715B86"/>
    <w:rsid w:val="00716C5E"/>
    <w:rsid w:val="007173B2"/>
    <w:rsid w:val="00717D58"/>
    <w:rsid w:val="00732403"/>
    <w:rsid w:val="00747B32"/>
    <w:rsid w:val="00753DE1"/>
    <w:rsid w:val="00755704"/>
    <w:rsid w:val="00772215"/>
    <w:rsid w:val="00772279"/>
    <w:rsid w:val="007779D9"/>
    <w:rsid w:val="0079107D"/>
    <w:rsid w:val="00794731"/>
    <w:rsid w:val="007A2254"/>
    <w:rsid w:val="007A3A02"/>
    <w:rsid w:val="007A47B2"/>
    <w:rsid w:val="007A7111"/>
    <w:rsid w:val="007B5698"/>
    <w:rsid w:val="007C00F7"/>
    <w:rsid w:val="007C089D"/>
    <w:rsid w:val="007C352F"/>
    <w:rsid w:val="007C50D0"/>
    <w:rsid w:val="007D3574"/>
    <w:rsid w:val="007E6720"/>
    <w:rsid w:val="007F799F"/>
    <w:rsid w:val="00816E53"/>
    <w:rsid w:val="00823AFF"/>
    <w:rsid w:val="0083183E"/>
    <w:rsid w:val="00834BE2"/>
    <w:rsid w:val="00835765"/>
    <w:rsid w:val="008366A5"/>
    <w:rsid w:val="00840E5A"/>
    <w:rsid w:val="00855BB2"/>
    <w:rsid w:val="00865B92"/>
    <w:rsid w:val="00866ED6"/>
    <w:rsid w:val="00876E3A"/>
    <w:rsid w:val="008817C6"/>
    <w:rsid w:val="00890D60"/>
    <w:rsid w:val="008971E4"/>
    <w:rsid w:val="008A3712"/>
    <w:rsid w:val="008A73F2"/>
    <w:rsid w:val="008A7752"/>
    <w:rsid w:val="008B2575"/>
    <w:rsid w:val="008B30B3"/>
    <w:rsid w:val="008B3F85"/>
    <w:rsid w:val="008B7BC4"/>
    <w:rsid w:val="008C3DB5"/>
    <w:rsid w:val="008D10E7"/>
    <w:rsid w:val="008E2AB5"/>
    <w:rsid w:val="008E77AC"/>
    <w:rsid w:val="008F107D"/>
    <w:rsid w:val="00903514"/>
    <w:rsid w:val="0090545D"/>
    <w:rsid w:val="00910616"/>
    <w:rsid w:val="00912E6C"/>
    <w:rsid w:val="00926A1B"/>
    <w:rsid w:val="00931F7B"/>
    <w:rsid w:val="00936B25"/>
    <w:rsid w:val="00941D41"/>
    <w:rsid w:val="00942575"/>
    <w:rsid w:val="00952E23"/>
    <w:rsid w:val="0095596C"/>
    <w:rsid w:val="00957947"/>
    <w:rsid w:val="00966AC9"/>
    <w:rsid w:val="00976EC6"/>
    <w:rsid w:val="009804B0"/>
    <w:rsid w:val="00980B8F"/>
    <w:rsid w:val="00982B6A"/>
    <w:rsid w:val="00994378"/>
    <w:rsid w:val="009A703F"/>
    <w:rsid w:val="009B602E"/>
    <w:rsid w:val="009C0590"/>
    <w:rsid w:val="009D6DF8"/>
    <w:rsid w:val="009E206C"/>
    <w:rsid w:val="00A103F0"/>
    <w:rsid w:val="00A11A9D"/>
    <w:rsid w:val="00A1746A"/>
    <w:rsid w:val="00A20BA5"/>
    <w:rsid w:val="00A34459"/>
    <w:rsid w:val="00A3451D"/>
    <w:rsid w:val="00A5335C"/>
    <w:rsid w:val="00A55C13"/>
    <w:rsid w:val="00A613B6"/>
    <w:rsid w:val="00A67C9E"/>
    <w:rsid w:val="00A734F7"/>
    <w:rsid w:val="00A74DC4"/>
    <w:rsid w:val="00A75477"/>
    <w:rsid w:val="00A81A6A"/>
    <w:rsid w:val="00A81F76"/>
    <w:rsid w:val="00A859D3"/>
    <w:rsid w:val="00A96105"/>
    <w:rsid w:val="00AA09C7"/>
    <w:rsid w:val="00AA0D60"/>
    <w:rsid w:val="00AA4312"/>
    <w:rsid w:val="00AA6A75"/>
    <w:rsid w:val="00AA7866"/>
    <w:rsid w:val="00AE79D5"/>
    <w:rsid w:val="00AF5639"/>
    <w:rsid w:val="00B025B7"/>
    <w:rsid w:val="00B03005"/>
    <w:rsid w:val="00B07B89"/>
    <w:rsid w:val="00B224CF"/>
    <w:rsid w:val="00B22BA2"/>
    <w:rsid w:val="00B56EE5"/>
    <w:rsid w:val="00B60EF2"/>
    <w:rsid w:val="00B6783F"/>
    <w:rsid w:val="00B72172"/>
    <w:rsid w:val="00B75C51"/>
    <w:rsid w:val="00B76AAA"/>
    <w:rsid w:val="00B76BBD"/>
    <w:rsid w:val="00B81F43"/>
    <w:rsid w:val="00B830B2"/>
    <w:rsid w:val="00B85456"/>
    <w:rsid w:val="00BB7F09"/>
    <w:rsid w:val="00BC21F9"/>
    <w:rsid w:val="00BC3A16"/>
    <w:rsid w:val="00BD13DC"/>
    <w:rsid w:val="00BD613B"/>
    <w:rsid w:val="00BD6891"/>
    <w:rsid w:val="00BE2323"/>
    <w:rsid w:val="00BF6356"/>
    <w:rsid w:val="00BF6CD4"/>
    <w:rsid w:val="00C05928"/>
    <w:rsid w:val="00C10212"/>
    <w:rsid w:val="00C22AD0"/>
    <w:rsid w:val="00C334C7"/>
    <w:rsid w:val="00C40260"/>
    <w:rsid w:val="00C433D4"/>
    <w:rsid w:val="00C44E7C"/>
    <w:rsid w:val="00C55500"/>
    <w:rsid w:val="00C5620B"/>
    <w:rsid w:val="00C64027"/>
    <w:rsid w:val="00C65671"/>
    <w:rsid w:val="00C70BDA"/>
    <w:rsid w:val="00C862DE"/>
    <w:rsid w:val="00C95722"/>
    <w:rsid w:val="00CA338D"/>
    <w:rsid w:val="00CB0198"/>
    <w:rsid w:val="00CC74D7"/>
    <w:rsid w:val="00CD0C1D"/>
    <w:rsid w:val="00CE3121"/>
    <w:rsid w:val="00CE373D"/>
    <w:rsid w:val="00CE702E"/>
    <w:rsid w:val="00CF36C8"/>
    <w:rsid w:val="00CF4A16"/>
    <w:rsid w:val="00CF4BDF"/>
    <w:rsid w:val="00CF7D86"/>
    <w:rsid w:val="00D054BD"/>
    <w:rsid w:val="00D173EE"/>
    <w:rsid w:val="00D323E0"/>
    <w:rsid w:val="00D37304"/>
    <w:rsid w:val="00D418BE"/>
    <w:rsid w:val="00D471A1"/>
    <w:rsid w:val="00D564AA"/>
    <w:rsid w:val="00D642AB"/>
    <w:rsid w:val="00D66F64"/>
    <w:rsid w:val="00D71DAC"/>
    <w:rsid w:val="00D72C19"/>
    <w:rsid w:val="00D83AB0"/>
    <w:rsid w:val="00D922BF"/>
    <w:rsid w:val="00D925ED"/>
    <w:rsid w:val="00DA3F75"/>
    <w:rsid w:val="00DA407E"/>
    <w:rsid w:val="00DB1494"/>
    <w:rsid w:val="00DB4264"/>
    <w:rsid w:val="00DC47C1"/>
    <w:rsid w:val="00DD013E"/>
    <w:rsid w:val="00DD5624"/>
    <w:rsid w:val="00DE0D4D"/>
    <w:rsid w:val="00DE3775"/>
    <w:rsid w:val="00E05151"/>
    <w:rsid w:val="00E15E17"/>
    <w:rsid w:val="00E309B4"/>
    <w:rsid w:val="00E516E8"/>
    <w:rsid w:val="00E7657B"/>
    <w:rsid w:val="00E8196B"/>
    <w:rsid w:val="00E87065"/>
    <w:rsid w:val="00E94709"/>
    <w:rsid w:val="00EA5483"/>
    <w:rsid w:val="00EA7CA6"/>
    <w:rsid w:val="00EB0AC6"/>
    <w:rsid w:val="00EB1AA5"/>
    <w:rsid w:val="00EC32CB"/>
    <w:rsid w:val="00EC5EDD"/>
    <w:rsid w:val="00ED28BC"/>
    <w:rsid w:val="00ED5583"/>
    <w:rsid w:val="00EE03BB"/>
    <w:rsid w:val="00EF232C"/>
    <w:rsid w:val="00EF38AB"/>
    <w:rsid w:val="00EF5DDD"/>
    <w:rsid w:val="00F06736"/>
    <w:rsid w:val="00F10FF3"/>
    <w:rsid w:val="00F11299"/>
    <w:rsid w:val="00F13489"/>
    <w:rsid w:val="00F207D5"/>
    <w:rsid w:val="00F21EF8"/>
    <w:rsid w:val="00F22D86"/>
    <w:rsid w:val="00F2421B"/>
    <w:rsid w:val="00F32713"/>
    <w:rsid w:val="00F3575B"/>
    <w:rsid w:val="00F40F2E"/>
    <w:rsid w:val="00F45186"/>
    <w:rsid w:val="00F45C9D"/>
    <w:rsid w:val="00F45E99"/>
    <w:rsid w:val="00F46A76"/>
    <w:rsid w:val="00F561AA"/>
    <w:rsid w:val="00F64FE7"/>
    <w:rsid w:val="00F700E0"/>
    <w:rsid w:val="00F92038"/>
    <w:rsid w:val="00F9769F"/>
    <w:rsid w:val="00FA0A85"/>
    <w:rsid w:val="00FA0B46"/>
    <w:rsid w:val="00FB5C79"/>
    <w:rsid w:val="00FB744D"/>
    <w:rsid w:val="00FC1664"/>
    <w:rsid w:val="00FC23B1"/>
    <w:rsid w:val="00FC3671"/>
    <w:rsid w:val="00FD57C6"/>
    <w:rsid w:val="00FD77B7"/>
    <w:rsid w:val="00FE3DA2"/>
    <w:rsid w:val="00FF54FF"/>
    <w:rsid w:val="1465B51D"/>
    <w:rsid w:val="1A44333A"/>
    <w:rsid w:val="2BB20B92"/>
    <w:rsid w:val="33928137"/>
    <w:rsid w:val="476E2B53"/>
    <w:rsid w:val="47A909AD"/>
    <w:rsid w:val="514AC64C"/>
    <w:rsid w:val="63887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8FBF4"/>
  <w15:docId w15:val="{3F142E07-0B0E-47CD-A1B4-0CC928039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character" w:styleId="Hyperlink">
    <w:name w:val="Hyperlink"/>
    <w:basedOn w:val="DefaultParagraphFont"/>
    <w:uiPriority w:val="99"/>
    <w:unhideWhenUsed/>
    <w:rsid w:val="00C55500"/>
    <w:rPr>
      <w:color w:val="0000FF" w:themeColor="hyperlink"/>
      <w:u w:val="single"/>
    </w:rPr>
  </w:style>
  <w:style w:type="character" w:styleId="UnresolvedMention">
    <w:name w:val="Unresolved Mention"/>
    <w:basedOn w:val="DefaultParagraphFont"/>
    <w:uiPriority w:val="99"/>
    <w:semiHidden/>
    <w:unhideWhenUsed/>
    <w:rsid w:val="00C55500"/>
    <w:rPr>
      <w:color w:val="605E5C"/>
      <w:shd w:val="clear" w:color="auto" w:fill="E1DFDD"/>
    </w:rPr>
  </w:style>
  <w:style w:type="paragraph" w:styleId="ListParagraph">
    <w:name w:val="List Paragraph"/>
    <w:basedOn w:val="Normal"/>
    <w:link w:val="ListParagraphChar"/>
    <w:uiPriority w:val="34"/>
    <w:qFormat/>
    <w:rsid w:val="00FC23B1"/>
    <w:pPr>
      <w:widowControl w:val="0"/>
      <w:autoSpaceDE w:val="0"/>
      <w:autoSpaceDN w:val="0"/>
      <w:spacing w:after="0" w:line="240" w:lineRule="auto"/>
      <w:ind w:left="119" w:hanging="361"/>
    </w:pPr>
    <w:rPr>
      <w:rFonts w:ascii="Times New Roman" w:eastAsia="Times New Roman" w:hAnsi="Times New Roman" w:cs="Times New Roman"/>
      <w:lang w:bidi="en-US"/>
    </w:rPr>
  </w:style>
  <w:style w:type="paragraph" w:styleId="NoSpacing">
    <w:name w:val="No Spacing"/>
    <w:uiPriority w:val="1"/>
    <w:qFormat/>
    <w:rsid w:val="00FC23B1"/>
    <w:pPr>
      <w:spacing w:after="0" w:line="240" w:lineRule="auto"/>
    </w:pPr>
  </w:style>
  <w:style w:type="paragraph" w:styleId="FootnoteText">
    <w:name w:val="footnote text"/>
    <w:basedOn w:val="Normal"/>
    <w:link w:val="FootnoteTextChar"/>
    <w:uiPriority w:val="99"/>
    <w:semiHidden/>
    <w:unhideWhenUsed/>
    <w:rsid w:val="00753D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3DE1"/>
    <w:rPr>
      <w:sz w:val="20"/>
      <w:szCs w:val="20"/>
    </w:rPr>
  </w:style>
  <w:style w:type="character" w:styleId="FootnoteReference">
    <w:name w:val="footnote reference"/>
    <w:basedOn w:val="DefaultParagraphFont"/>
    <w:unhideWhenUsed/>
    <w:rsid w:val="00753DE1"/>
    <w:rPr>
      <w:vertAlign w:val="superscript"/>
    </w:rPr>
  </w:style>
  <w:style w:type="character" w:styleId="CommentReference">
    <w:name w:val="annotation reference"/>
    <w:basedOn w:val="DefaultParagraphFont"/>
    <w:uiPriority w:val="99"/>
    <w:semiHidden/>
    <w:unhideWhenUsed/>
    <w:rsid w:val="007C352F"/>
    <w:rPr>
      <w:sz w:val="16"/>
      <w:szCs w:val="16"/>
    </w:rPr>
  </w:style>
  <w:style w:type="paragraph" w:styleId="CommentText">
    <w:name w:val="annotation text"/>
    <w:basedOn w:val="Normal"/>
    <w:link w:val="CommentTextChar"/>
    <w:uiPriority w:val="99"/>
    <w:unhideWhenUsed/>
    <w:rsid w:val="007C352F"/>
    <w:pPr>
      <w:spacing w:line="240" w:lineRule="auto"/>
    </w:pPr>
    <w:rPr>
      <w:sz w:val="20"/>
      <w:szCs w:val="20"/>
    </w:rPr>
  </w:style>
  <w:style w:type="character" w:customStyle="1" w:styleId="CommentTextChar">
    <w:name w:val="Comment Text Char"/>
    <w:basedOn w:val="DefaultParagraphFont"/>
    <w:link w:val="CommentText"/>
    <w:uiPriority w:val="99"/>
    <w:rsid w:val="007C352F"/>
    <w:rPr>
      <w:sz w:val="20"/>
      <w:szCs w:val="20"/>
    </w:rPr>
  </w:style>
  <w:style w:type="paragraph" w:styleId="CommentSubject">
    <w:name w:val="annotation subject"/>
    <w:basedOn w:val="CommentText"/>
    <w:next w:val="CommentText"/>
    <w:link w:val="CommentSubjectChar"/>
    <w:uiPriority w:val="99"/>
    <w:semiHidden/>
    <w:unhideWhenUsed/>
    <w:rsid w:val="007C352F"/>
    <w:rPr>
      <w:b/>
      <w:bCs/>
    </w:rPr>
  </w:style>
  <w:style w:type="character" w:customStyle="1" w:styleId="CommentSubjectChar">
    <w:name w:val="Comment Subject Char"/>
    <w:basedOn w:val="CommentTextChar"/>
    <w:link w:val="CommentSubject"/>
    <w:uiPriority w:val="99"/>
    <w:semiHidden/>
    <w:rsid w:val="007C352F"/>
    <w:rPr>
      <w:b/>
      <w:bCs/>
      <w:sz w:val="20"/>
      <w:szCs w:val="20"/>
    </w:rPr>
  </w:style>
  <w:style w:type="paragraph" w:styleId="BalloonText">
    <w:name w:val="Balloon Text"/>
    <w:basedOn w:val="Normal"/>
    <w:link w:val="BalloonTextChar"/>
    <w:uiPriority w:val="99"/>
    <w:semiHidden/>
    <w:unhideWhenUsed/>
    <w:rsid w:val="007C35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52F"/>
    <w:rPr>
      <w:rFonts w:ascii="Segoe UI" w:hAnsi="Segoe UI" w:cs="Segoe UI"/>
      <w:sz w:val="18"/>
      <w:szCs w:val="18"/>
    </w:rPr>
  </w:style>
  <w:style w:type="paragraph" w:styleId="BodyText">
    <w:name w:val="Body Text"/>
    <w:basedOn w:val="Normal"/>
    <w:link w:val="BodyTextChar"/>
    <w:uiPriority w:val="99"/>
    <w:unhideWhenUsed/>
    <w:rsid w:val="007F799F"/>
    <w:pPr>
      <w:spacing w:after="120"/>
    </w:pPr>
  </w:style>
  <w:style w:type="character" w:customStyle="1" w:styleId="BodyTextChar">
    <w:name w:val="Body Text Char"/>
    <w:basedOn w:val="DefaultParagraphFont"/>
    <w:link w:val="BodyText"/>
    <w:uiPriority w:val="99"/>
    <w:rsid w:val="007F799F"/>
  </w:style>
  <w:style w:type="paragraph" w:styleId="Revision">
    <w:name w:val="Revision"/>
    <w:hidden/>
    <w:uiPriority w:val="99"/>
    <w:semiHidden/>
    <w:rsid w:val="001C2480"/>
    <w:pPr>
      <w:spacing w:after="0" w:line="240" w:lineRule="auto"/>
    </w:pPr>
  </w:style>
  <w:style w:type="paragraph" w:customStyle="1" w:styleId="xxxmsonormal">
    <w:name w:val="x_xxmsonormal"/>
    <w:basedOn w:val="Normal"/>
    <w:rsid w:val="00AA0D60"/>
    <w:pPr>
      <w:spacing w:after="0" w:line="240" w:lineRule="auto"/>
    </w:pPr>
  </w:style>
  <w:style w:type="table" w:styleId="TableGrid">
    <w:name w:val="Table Grid"/>
    <w:basedOn w:val="TableNormal"/>
    <w:uiPriority w:val="59"/>
    <w:rsid w:val="00ED5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4107FF"/>
    <w:rPr>
      <w:rFonts w:ascii="Segoe UI" w:hAnsi="Segoe UI" w:cs="Segoe UI" w:hint="default"/>
      <w:sz w:val="18"/>
      <w:szCs w:val="18"/>
    </w:rPr>
  </w:style>
  <w:style w:type="character" w:customStyle="1" w:styleId="ListParagraphChar">
    <w:name w:val="List Paragraph Char"/>
    <w:basedOn w:val="DefaultParagraphFont"/>
    <w:link w:val="ListParagraph"/>
    <w:uiPriority w:val="34"/>
    <w:rsid w:val="00F2421B"/>
    <w:rPr>
      <w:rFonts w:ascii="Times New Roman" w:eastAsia="Times New Roman" w:hAnsi="Times New Roman" w:cs="Times New Roman"/>
      <w:lang w:bidi="en-US"/>
    </w:rPr>
  </w:style>
  <w:style w:type="character" w:styleId="FollowedHyperlink">
    <w:name w:val="FollowedHyperlink"/>
    <w:basedOn w:val="DefaultParagraphFont"/>
    <w:uiPriority w:val="99"/>
    <w:semiHidden/>
    <w:unhideWhenUsed/>
    <w:rsid w:val="00A20B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432973">
      <w:bodyDiv w:val="1"/>
      <w:marLeft w:val="0"/>
      <w:marRight w:val="0"/>
      <w:marTop w:val="0"/>
      <w:marBottom w:val="0"/>
      <w:divBdr>
        <w:top w:val="none" w:sz="0" w:space="0" w:color="auto"/>
        <w:left w:val="none" w:sz="0" w:space="0" w:color="auto"/>
        <w:bottom w:val="none" w:sz="0" w:space="0" w:color="auto"/>
        <w:right w:val="none" w:sz="0" w:space="0" w:color="auto"/>
      </w:divBdr>
    </w:div>
    <w:div w:id="326710778">
      <w:bodyDiv w:val="1"/>
      <w:marLeft w:val="0"/>
      <w:marRight w:val="0"/>
      <w:marTop w:val="0"/>
      <w:marBottom w:val="0"/>
      <w:divBdr>
        <w:top w:val="none" w:sz="0" w:space="0" w:color="auto"/>
        <w:left w:val="none" w:sz="0" w:space="0" w:color="auto"/>
        <w:bottom w:val="none" w:sz="0" w:space="0" w:color="auto"/>
        <w:right w:val="none" w:sz="0" w:space="0" w:color="auto"/>
      </w:divBdr>
    </w:div>
    <w:div w:id="551311028">
      <w:bodyDiv w:val="1"/>
      <w:marLeft w:val="0"/>
      <w:marRight w:val="0"/>
      <w:marTop w:val="0"/>
      <w:marBottom w:val="0"/>
      <w:divBdr>
        <w:top w:val="none" w:sz="0" w:space="0" w:color="auto"/>
        <w:left w:val="none" w:sz="0" w:space="0" w:color="auto"/>
        <w:bottom w:val="none" w:sz="0" w:space="0" w:color="auto"/>
        <w:right w:val="none" w:sz="0" w:space="0" w:color="auto"/>
      </w:divBdr>
    </w:div>
    <w:div w:id="605117299">
      <w:bodyDiv w:val="1"/>
      <w:marLeft w:val="0"/>
      <w:marRight w:val="0"/>
      <w:marTop w:val="0"/>
      <w:marBottom w:val="0"/>
      <w:divBdr>
        <w:top w:val="none" w:sz="0" w:space="0" w:color="auto"/>
        <w:left w:val="none" w:sz="0" w:space="0" w:color="auto"/>
        <w:bottom w:val="none" w:sz="0" w:space="0" w:color="auto"/>
        <w:right w:val="none" w:sz="0" w:space="0" w:color="auto"/>
      </w:divBdr>
    </w:div>
    <w:div w:id="778914284">
      <w:bodyDiv w:val="1"/>
      <w:marLeft w:val="0"/>
      <w:marRight w:val="0"/>
      <w:marTop w:val="0"/>
      <w:marBottom w:val="0"/>
      <w:divBdr>
        <w:top w:val="none" w:sz="0" w:space="0" w:color="auto"/>
        <w:left w:val="none" w:sz="0" w:space="0" w:color="auto"/>
        <w:bottom w:val="none" w:sz="0" w:space="0" w:color="auto"/>
        <w:right w:val="none" w:sz="0" w:space="0" w:color="auto"/>
      </w:divBdr>
    </w:div>
    <w:div w:id="958730104">
      <w:bodyDiv w:val="1"/>
      <w:marLeft w:val="0"/>
      <w:marRight w:val="0"/>
      <w:marTop w:val="0"/>
      <w:marBottom w:val="0"/>
      <w:divBdr>
        <w:top w:val="none" w:sz="0" w:space="0" w:color="auto"/>
        <w:left w:val="none" w:sz="0" w:space="0" w:color="auto"/>
        <w:bottom w:val="none" w:sz="0" w:space="0" w:color="auto"/>
        <w:right w:val="none" w:sz="0" w:space="0" w:color="auto"/>
      </w:divBdr>
    </w:div>
    <w:div w:id="995452183">
      <w:bodyDiv w:val="1"/>
      <w:marLeft w:val="0"/>
      <w:marRight w:val="0"/>
      <w:marTop w:val="0"/>
      <w:marBottom w:val="0"/>
      <w:divBdr>
        <w:top w:val="none" w:sz="0" w:space="0" w:color="auto"/>
        <w:left w:val="none" w:sz="0" w:space="0" w:color="auto"/>
        <w:bottom w:val="none" w:sz="0" w:space="0" w:color="auto"/>
        <w:right w:val="none" w:sz="0" w:space="0" w:color="auto"/>
      </w:divBdr>
    </w:div>
    <w:div w:id="1400906446">
      <w:bodyDiv w:val="1"/>
      <w:marLeft w:val="0"/>
      <w:marRight w:val="0"/>
      <w:marTop w:val="0"/>
      <w:marBottom w:val="0"/>
      <w:divBdr>
        <w:top w:val="none" w:sz="0" w:space="0" w:color="auto"/>
        <w:left w:val="none" w:sz="0" w:space="0" w:color="auto"/>
        <w:bottom w:val="none" w:sz="0" w:space="0" w:color="auto"/>
        <w:right w:val="none" w:sz="0" w:space="0" w:color="auto"/>
      </w:divBdr>
    </w:div>
    <w:div w:id="1448696966">
      <w:bodyDiv w:val="1"/>
      <w:marLeft w:val="0"/>
      <w:marRight w:val="0"/>
      <w:marTop w:val="0"/>
      <w:marBottom w:val="0"/>
      <w:divBdr>
        <w:top w:val="none" w:sz="0" w:space="0" w:color="auto"/>
        <w:left w:val="none" w:sz="0" w:space="0" w:color="auto"/>
        <w:bottom w:val="none" w:sz="0" w:space="0" w:color="auto"/>
        <w:right w:val="none" w:sz="0" w:space="0" w:color="auto"/>
      </w:divBdr>
    </w:div>
    <w:div w:id="1671133789">
      <w:bodyDiv w:val="1"/>
      <w:marLeft w:val="0"/>
      <w:marRight w:val="0"/>
      <w:marTop w:val="0"/>
      <w:marBottom w:val="0"/>
      <w:divBdr>
        <w:top w:val="none" w:sz="0" w:space="0" w:color="auto"/>
        <w:left w:val="none" w:sz="0" w:space="0" w:color="auto"/>
        <w:bottom w:val="none" w:sz="0" w:space="0" w:color="auto"/>
        <w:right w:val="none" w:sz="0" w:space="0" w:color="auto"/>
      </w:divBdr>
    </w:div>
    <w:div w:id="1753233960">
      <w:bodyDiv w:val="1"/>
      <w:marLeft w:val="0"/>
      <w:marRight w:val="0"/>
      <w:marTop w:val="0"/>
      <w:marBottom w:val="0"/>
      <w:divBdr>
        <w:top w:val="none" w:sz="0" w:space="0" w:color="auto"/>
        <w:left w:val="none" w:sz="0" w:space="0" w:color="auto"/>
        <w:bottom w:val="none" w:sz="0" w:space="0" w:color="auto"/>
        <w:right w:val="none" w:sz="0" w:space="0" w:color="auto"/>
      </w:divBdr>
    </w:div>
    <w:div w:id="1785879698">
      <w:bodyDiv w:val="1"/>
      <w:marLeft w:val="0"/>
      <w:marRight w:val="0"/>
      <w:marTop w:val="0"/>
      <w:marBottom w:val="0"/>
      <w:divBdr>
        <w:top w:val="none" w:sz="0" w:space="0" w:color="auto"/>
        <w:left w:val="none" w:sz="0" w:space="0" w:color="auto"/>
        <w:bottom w:val="none" w:sz="0" w:space="0" w:color="auto"/>
        <w:right w:val="none" w:sz="0" w:space="0" w:color="auto"/>
      </w:divBdr>
    </w:div>
    <w:div w:id="1793398906">
      <w:bodyDiv w:val="1"/>
      <w:marLeft w:val="0"/>
      <w:marRight w:val="0"/>
      <w:marTop w:val="0"/>
      <w:marBottom w:val="0"/>
      <w:divBdr>
        <w:top w:val="none" w:sz="0" w:space="0" w:color="auto"/>
        <w:left w:val="none" w:sz="0" w:space="0" w:color="auto"/>
        <w:bottom w:val="none" w:sz="0" w:space="0" w:color="auto"/>
        <w:right w:val="none" w:sz="0" w:space="0" w:color="auto"/>
      </w:divBdr>
    </w:div>
    <w:div w:id="1866478090">
      <w:bodyDiv w:val="1"/>
      <w:marLeft w:val="0"/>
      <w:marRight w:val="0"/>
      <w:marTop w:val="0"/>
      <w:marBottom w:val="0"/>
      <w:divBdr>
        <w:top w:val="none" w:sz="0" w:space="0" w:color="auto"/>
        <w:left w:val="none" w:sz="0" w:space="0" w:color="auto"/>
        <w:bottom w:val="none" w:sz="0" w:space="0" w:color="auto"/>
        <w:right w:val="none" w:sz="0" w:space="0" w:color="auto"/>
      </w:divBdr>
    </w:div>
    <w:div w:id="1899437982">
      <w:bodyDiv w:val="1"/>
      <w:marLeft w:val="0"/>
      <w:marRight w:val="0"/>
      <w:marTop w:val="0"/>
      <w:marBottom w:val="0"/>
      <w:divBdr>
        <w:top w:val="none" w:sz="0" w:space="0" w:color="auto"/>
        <w:left w:val="none" w:sz="0" w:space="0" w:color="auto"/>
        <w:bottom w:val="none" w:sz="0" w:space="0" w:color="auto"/>
        <w:right w:val="none" w:sz="0" w:space="0" w:color="auto"/>
      </w:divBdr>
    </w:div>
    <w:div w:id="1961497315">
      <w:bodyDiv w:val="1"/>
      <w:marLeft w:val="0"/>
      <w:marRight w:val="0"/>
      <w:marTop w:val="0"/>
      <w:marBottom w:val="0"/>
      <w:divBdr>
        <w:top w:val="none" w:sz="0" w:space="0" w:color="auto"/>
        <w:left w:val="none" w:sz="0" w:space="0" w:color="auto"/>
        <w:bottom w:val="none" w:sz="0" w:space="0" w:color="auto"/>
        <w:right w:val="none" w:sz="0" w:space="0" w:color="auto"/>
      </w:divBdr>
    </w:div>
    <w:div w:id="2084863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mass.gov/doc/105-cmr-100-determination-of-need/download?_ga=2.31536894.1591043129.1674484786-560454085.1659364293" TargetMode="External"/><Relationship Id="rId1" Type="http://schemas.openxmlformats.org/officeDocument/2006/relationships/hyperlink" Target="https://www.mass.gov/doc/long-term-care-notice-pdf/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9" ma:contentTypeDescription="Create a new document." ma:contentTypeScope="" ma:versionID="6034ed3ccd04fd089959b9760f1bf6e4">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e1569c82de055a1f5a51e24a78a393fd"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EA92A3-18F0-4C94-9EE1-56B780DF21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018612-3C00-4894-B738-DE10BD6A3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DE451C-A106-4E17-869C-72BD81E0185B}">
  <ds:schemaRefs>
    <ds:schemaRef ds:uri="http://schemas.openxmlformats.org/officeDocument/2006/bibliography"/>
  </ds:schemaRefs>
</ds:datastoreItem>
</file>

<file path=customXml/itemProps4.xml><?xml version="1.0" encoding="utf-8"?>
<ds:datastoreItem xmlns:ds="http://schemas.openxmlformats.org/officeDocument/2006/customXml" ds:itemID="{A2E3E4FD-D680-4F93-901A-6841B57B0E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1845</Words>
  <Characters>10521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Szent-Gyorgyi, Lara (DPH)</dc:creator>
  <cp:lastModifiedBy>Marks, Brett (DPH)</cp:lastModifiedBy>
  <cp:revision>41</cp:revision>
  <dcterms:created xsi:type="dcterms:W3CDTF">2023-01-23T15:39:00Z</dcterms:created>
  <dcterms:modified xsi:type="dcterms:W3CDTF">2023-01-27T14:00:00Z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ies>
</file>