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55512" w14:textId="77777777" w:rsidR="002A0158" w:rsidRPr="002A0158" w:rsidRDefault="0020271A" w:rsidP="00E821AF">
      <w:pPr>
        <w:spacing w:before="26"/>
        <w:ind w:left="120" w:right="2057" w:firstLine="2894"/>
        <w:rPr>
          <w:b/>
          <w:sz w:val="28"/>
          <w:szCs w:val="28"/>
        </w:rPr>
      </w:pPr>
      <w:r w:rsidRPr="002A0158">
        <w:rPr>
          <w:b/>
          <w:sz w:val="28"/>
          <w:szCs w:val="28"/>
        </w:rPr>
        <w:t>Memorandum</w:t>
      </w:r>
      <w:r w:rsidRPr="002A0158">
        <w:rPr>
          <w:b/>
          <w:spacing w:val="-12"/>
          <w:sz w:val="28"/>
          <w:szCs w:val="28"/>
        </w:rPr>
        <w:t xml:space="preserve"> </w:t>
      </w:r>
      <w:r w:rsidRPr="002A0158">
        <w:rPr>
          <w:b/>
          <w:sz w:val="28"/>
          <w:szCs w:val="28"/>
        </w:rPr>
        <w:t>to</w:t>
      </w:r>
      <w:r w:rsidRPr="002A0158">
        <w:rPr>
          <w:b/>
          <w:spacing w:val="-13"/>
          <w:sz w:val="28"/>
          <w:szCs w:val="28"/>
        </w:rPr>
        <w:t xml:space="preserve"> </w:t>
      </w:r>
      <w:r w:rsidRPr="002A0158">
        <w:rPr>
          <w:b/>
          <w:sz w:val="28"/>
          <w:szCs w:val="28"/>
        </w:rPr>
        <w:t>the</w:t>
      </w:r>
      <w:r w:rsidRPr="002A0158">
        <w:rPr>
          <w:b/>
          <w:spacing w:val="-12"/>
          <w:sz w:val="28"/>
          <w:szCs w:val="28"/>
        </w:rPr>
        <w:t xml:space="preserve"> </w:t>
      </w:r>
      <w:r w:rsidRPr="002A0158">
        <w:rPr>
          <w:b/>
          <w:sz w:val="28"/>
          <w:szCs w:val="28"/>
        </w:rPr>
        <w:t xml:space="preserve">Commissioner </w:t>
      </w:r>
    </w:p>
    <w:p w14:paraId="4693F3DB" w14:textId="77777777" w:rsidR="002A0158" w:rsidRDefault="002A0158" w:rsidP="00E821AF">
      <w:pPr>
        <w:spacing w:before="26"/>
        <w:ind w:left="120" w:right="2057" w:firstLine="2894"/>
        <w:rPr>
          <w:b/>
          <w:sz w:val="24"/>
          <w:szCs w:val="24"/>
        </w:rPr>
      </w:pPr>
    </w:p>
    <w:p w14:paraId="30E5C46A" w14:textId="77777777" w:rsidR="002A0158" w:rsidRDefault="002A0158" w:rsidP="00E821AF">
      <w:pPr>
        <w:spacing w:before="26"/>
        <w:ind w:left="120" w:right="2057" w:firstLine="2894"/>
        <w:rPr>
          <w:b/>
          <w:sz w:val="24"/>
          <w:szCs w:val="24"/>
        </w:rPr>
      </w:pPr>
    </w:p>
    <w:p w14:paraId="2F9C745C" w14:textId="15AF0CB2" w:rsidR="00BD5477" w:rsidRPr="00E821AF" w:rsidRDefault="0020271A" w:rsidP="002A0158">
      <w:pPr>
        <w:ind w:right="2057" w:firstLine="90"/>
        <w:rPr>
          <w:sz w:val="24"/>
          <w:szCs w:val="24"/>
        </w:rPr>
      </w:pPr>
      <w:r w:rsidRPr="00E821AF">
        <w:rPr>
          <w:b/>
          <w:sz w:val="24"/>
          <w:szCs w:val="24"/>
        </w:rPr>
        <w:t xml:space="preserve">Applicant: </w:t>
      </w:r>
      <w:r w:rsidR="00823045" w:rsidRPr="00E821AF">
        <w:rPr>
          <w:bCs/>
          <w:sz w:val="24"/>
          <w:szCs w:val="24"/>
        </w:rPr>
        <w:t>Shields Imaging at Heywood Healthcare, LLC</w:t>
      </w:r>
    </w:p>
    <w:p w14:paraId="2F9C745D" w14:textId="4119CBDF" w:rsidR="00BD5477" w:rsidRPr="00E821AF" w:rsidRDefault="0020271A" w:rsidP="00E821AF">
      <w:pPr>
        <w:pStyle w:val="BodyText"/>
        <w:ind w:left="480" w:right="6720" w:hanging="360"/>
      </w:pPr>
      <w:r w:rsidRPr="00E821AF">
        <w:rPr>
          <w:b/>
        </w:rPr>
        <w:t>At</w:t>
      </w:r>
      <w:r w:rsidRPr="00E821AF">
        <w:t>:</w:t>
      </w:r>
      <w:r w:rsidRPr="00E821AF">
        <w:rPr>
          <w:spacing w:val="-11"/>
        </w:rPr>
        <w:t xml:space="preserve"> </w:t>
      </w:r>
      <w:r w:rsidR="00DE4653" w:rsidRPr="00E821AF">
        <w:rPr>
          <w:spacing w:val="-11"/>
        </w:rPr>
        <w:t>242 Green Street, Suite 1 Gardner, MA 01440</w:t>
      </w:r>
    </w:p>
    <w:p w14:paraId="2F9C745E" w14:textId="77777777" w:rsidR="00BD5477" w:rsidRPr="00E821AF" w:rsidRDefault="00BD5477" w:rsidP="00E821AF">
      <w:pPr>
        <w:pStyle w:val="BodyText"/>
        <w:ind w:left="0"/>
      </w:pPr>
    </w:p>
    <w:p w14:paraId="2F9C745F" w14:textId="56E88DB4" w:rsidR="00BD5477" w:rsidRPr="00E821AF" w:rsidRDefault="0020271A" w:rsidP="00E821AF">
      <w:pPr>
        <w:pStyle w:val="Heading1"/>
        <w:spacing w:before="1"/>
        <w:rPr>
          <w:b w:val="0"/>
        </w:rPr>
      </w:pPr>
      <w:r w:rsidRPr="00E821AF">
        <w:t>PROJECT</w:t>
      </w:r>
      <w:r w:rsidRPr="00E821AF">
        <w:rPr>
          <w:spacing w:val="-3"/>
        </w:rPr>
        <w:t xml:space="preserve"> </w:t>
      </w:r>
      <w:r w:rsidRPr="00E821AF">
        <w:t>NUMBER:</w:t>
      </w:r>
      <w:r w:rsidRPr="00E821AF">
        <w:rPr>
          <w:spacing w:val="-4"/>
        </w:rPr>
        <w:t xml:space="preserve"> </w:t>
      </w:r>
      <w:r w:rsidRPr="00E821AF">
        <w:rPr>
          <w:b w:val="0"/>
          <w:bCs w:val="0"/>
        </w:rPr>
        <w:t>Application</w:t>
      </w:r>
      <w:r w:rsidRPr="00E821AF">
        <w:rPr>
          <w:b w:val="0"/>
          <w:bCs w:val="0"/>
          <w:spacing w:val="-3"/>
        </w:rPr>
        <w:t xml:space="preserve"> </w:t>
      </w:r>
      <w:r w:rsidR="000257B7" w:rsidRPr="00E821AF">
        <w:rPr>
          <w:b w:val="0"/>
          <w:bCs w:val="0"/>
          <w:spacing w:val="-3"/>
        </w:rPr>
        <w:t>DoN #21021213-HS</w:t>
      </w:r>
    </w:p>
    <w:p w14:paraId="2F9C7460" w14:textId="2BB8C9D3" w:rsidR="00BD5477" w:rsidRPr="00E821AF" w:rsidRDefault="00DE4653" w:rsidP="00E821AF">
      <w:pPr>
        <w:pStyle w:val="BodyText"/>
        <w:ind w:left="0" w:right="64"/>
      </w:pPr>
      <w:r w:rsidRPr="00E821AF">
        <w:t xml:space="preserve">                                      </w:t>
      </w:r>
      <w:r w:rsidR="0020271A" w:rsidRPr="00E821AF">
        <w:t>Amendment</w:t>
      </w:r>
      <w:r w:rsidR="0020271A" w:rsidRPr="00E821AF">
        <w:rPr>
          <w:spacing w:val="-5"/>
        </w:rPr>
        <w:t xml:space="preserve"> </w:t>
      </w:r>
      <w:r w:rsidR="0020271A" w:rsidRPr="00E821AF">
        <w:t>#</w:t>
      </w:r>
      <w:r w:rsidRPr="00E821AF">
        <w:rPr>
          <w:spacing w:val="-2"/>
        </w:rPr>
        <w:t xml:space="preserve">25042215-AM </w:t>
      </w:r>
      <w:r w:rsidR="0020271A" w:rsidRPr="00E821AF">
        <w:t>(Significant</w:t>
      </w:r>
      <w:r w:rsidR="0020271A" w:rsidRPr="00E821AF">
        <w:rPr>
          <w:spacing w:val="-1"/>
        </w:rPr>
        <w:t xml:space="preserve"> </w:t>
      </w:r>
      <w:r w:rsidR="0020271A" w:rsidRPr="00E821AF">
        <w:rPr>
          <w:spacing w:val="-2"/>
        </w:rPr>
        <w:t>Change)</w:t>
      </w:r>
    </w:p>
    <w:p w14:paraId="2F9C7461" w14:textId="2D4E68F2" w:rsidR="00BD5477" w:rsidRPr="00E821AF" w:rsidRDefault="0020271A" w:rsidP="00E821AF">
      <w:pPr>
        <w:spacing w:before="292"/>
        <w:ind w:left="120"/>
        <w:rPr>
          <w:sz w:val="24"/>
          <w:szCs w:val="24"/>
        </w:rPr>
      </w:pPr>
      <w:r w:rsidRPr="00E821AF">
        <w:rPr>
          <w:b/>
          <w:sz w:val="24"/>
          <w:szCs w:val="24"/>
        </w:rPr>
        <w:t>Filing</w:t>
      </w:r>
      <w:r w:rsidRPr="00E821AF">
        <w:rPr>
          <w:b/>
          <w:spacing w:val="-2"/>
          <w:sz w:val="24"/>
          <w:szCs w:val="24"/>
        </w:rPr>
        <w:t xml:space="preserve"> </w:t>
      </w:r>
      <w:r w:rsidRPr="00E821AF">
        <w:rPr>
          <w:b/>
          <w:sz w:val="24"/>
          <w:szCs w:val="24"/>
        </w:rPr>
        <w:t>DATE:</w:t>
      </w:r>
      <w:r w:rsidR="00352ECC" w:rsidRPr="00E821AF">
        <w:rPr>
          <w:b/>
          <w:sz w:val="24"/>
          <w:szCs w:val="24"/>
        </w:rPr>
        <w:t xml:space="preserve"> </w:t>
      </w:r>
      <w:r w:rsidR="00CC2D1D" w:rsidRPr="00E821AF">
        <w:rPr>
          <w:bCs/>
          <w:sz w:val="24"/>
          <w:szCs w:val="24"/>
        </w:rPr>
        <w:t>August 1</w:t>
      </w:r>
      <w:r w:rsidRPr="00E821AF">
        <w:rPr>
          <w:bCs/>
          <w:sz w:val="24"/>
          <w:szCs w:val="24"/>
        </w:rPr>
        <w:t>,</w:t>
      </w:r>
      <w:r w:rsidRPr="00E821AF">
        <w:rPr>
          <w:spacing w:val="-2"/>
          <w:sz w:val="24"/>
          <w:szCs w:val="24"/>
        </w:rPr>
        <w:t xml:space="preserve"> </w:t>
      </w:r>
      <w:r w:rsidRPr="00E821AF">
        <w:rPr>
          <w:spacing w:val="-4"/>
          <w:sz w:val="24"/>
          <w:szCs w:val="24"/>
        </w:rPr>
        <w:t>2025</w:t>
      </w:r>
    </w:p>
    <w:p w14:paraId="2F9C7462" w14:textId="3B17BD12" w:rsidR="00BD5477" w:rsidRPr="00E821AF" w:rsidRDefault="0020271A" w:rsidP="00E821AF">
      <w:pPr>
        <w:pStyle w:val="Heading1"/>
        <w:spacing w:before="293"/>
      </w:pPr>
      <w:r w:rsidRPr="00E821AF">
        <w:t>Introduction</w:t>
      </w:r>
      <w:r w:rsidRPr="00E821AF">
        <w:rPr>
          <w:spacing w:val="-7"/>
        </w:rPr>
        <w:t xml:space="preserve"> </w:t>
      </w:r>
    </w:p>
    <w:p w14:paraId="31C4A228" w14:textId="289E55FE" w:rsidR="00962F57" w:rsidRPr="00E821AF" w:rsidRDefault="0020271A" w:rsidP="00E821AF">
      <w:pPr>
        <w:pStyle w:val="BodyText"/>
        <w:spacing w:before="239"/>
        <w:ind w:left="119" w:right="136"/>
        <w:rPr>
          <w:lang w:bidi="en-US"/>
        </w:rPr>
      </w:pPr>
      <w:r w:rsidRPr="00E821AF">
        <w:t xml:space="preserve">The </w:t>
      </w:r>
      <w:r w:rsidR="0048022F" w:rsidRPr="00E821AF">
        <w:t>P</w:t>
      </w:r>
      <w:r w:rsidRPr="00E821AF">
        <w:t xml:space="preserve">roposed Amendment is filed with respect to DoN # </w:t>
      </w:r>
      <w:r w:rsidR="000257B7" w:rsidRPr="00E821AF">
        <w:t xml:space="preserve">21021213-HS </w:t>
      </w:r>
      <w:r w:rsidRPr="00E821AF">
        <w:t>where Shields</w:t>
      </w:r>
      <w:r w:rsidR="000257B7" w:rsidRPr="00E821AF">
        <w:t xml:space="preserve"> Imaging at Heywood Healthcare, LLC</w:t>
      </w:r>
      <w:r w:rsidR="00BF6B6F" w:rsidRPr="00E821AF">
        <w:t xml:space="preserve"> (formerly Shields PET-CT at Heywood Healthcare)</w:t>
      </w:r>
      <w:r w:rsidRPr="00E821AF">
        <w:t xml:space="preserve"> is </w:t>
      </w:r>
      <w:r w:rsidR="00F95FC7" w:rsidRPr="00E821AF">
        <w:t xml:space="preserve">requesting approval </w:t>
      </w:r>
      <w:r w:rsidR="0048022F" w:rsidRPr="00E821AF">
        <w:t xml:space="preserve">for a Significant Change </w:t>
      </w:r>
      <w:r w:rsidR="00F95FC7" w:rsidRPr="00E821AF">
        <w:t xml:space="preserve">to operate </w:t>
      </w:r>
      <w:r w:rsidR="0048022F" w:rsidRPr="00E821AF">
        <w:t>one</w:t>
      </w:r>
      <w:r w:rsidR="00F95FC7" w:rsidRPr="00E821AF">
        <w:t xml:space="preserve"> additional day of fixed MRI services </w:t>
      </w:r>
      <w:r w:rsidR="0048022F" w:rsidRPr="00E821AF">
        <w:t xml:space="preserve">for </w:t>
      </w:r>
      <w:r w:rsidR="00257F8D" w:rsidRPr="00E821AF">
        <w:t>b</w:t>
      </w:r>
      <w:r w:rsidR="00010442" w:rsidRPr="00E821AF">
        <w:t>oth</w:t>
      </w:r>
      <w:r w:rsidR="00257F8D" w:rsidRPr="00E821AF">
        <w:t xml:space="preserve"> </w:t>
      </w:r>
      <w:r w:rsidR="000257B7" w:rsidRPr="00E821AF">
        <w:t xml:space="preserve">inpatients and outpatients </w:t>
      </w:r>
      <w:r w:rsidR="000257B7" w:rsidRPr="00E821AF">
        <w:rPr>
          <w:spacing w:val="-4"/>
        </w:rPr>
        <w:t xml:space="preserve">at Heywood </w:t>
      </w:r>
      <w:r w:rsidRPr="00E821AF">
        <w:t>Hospital</w:t>
      </w:r>
      <w:r w:rsidR="00BF6B6F" w:rsidRPr="00E821AF">
        <w:t>, 242 Green St, Suite 1, Gardner,</w:t>
      </w:r>
      <w:r w:rsidRPr="00E821AF">
        <w:rPr>
          <w:spacing w:val="-1"/>
        </w:rPr>
        <w:t xml:space="preserve"> </w:t>
      </w:r>
      <w:r w:rsidR="00F95FC7" w:rsidRPr="00E821AF">
        <w:rPr>
          <w:spacing w:val="-1"/>
        </w:rPr>
        <w:t>for a total of</w:t>
      </w:r>
      <w:r w:rsidR="001F0050" w:rsidRPr="00E821AF">
        <w:rPr>
          <w:spacing w:val="-1"/>
        </w:rPr>
        <w:t xml:space="preserve"> seven </w:t>
      </w:r>
      <w:r w:rsidR="00C11792" w:rsidRPr="00E821AF">
        <w:rPr>
          <w:spacing w:val="-1"/>
        </w:rPr>
        <w:t xml:space="preserve">(7) </w:t>
      </w:r>
      <w:r w:rsidR="00F95FC7" w:rsidRPr="00E821AF">
        <w:rPr>
          <w:spacing w:val="-1"/>
        </w:rPr>
        <w:t xml:space="preserve">days. The Holder is </w:t>
      </w:r>
      <w:r w:rsidRPr="00E821AF">
        <w:t>a</w:t>
      </w:r>
      <w:r w:rsidRPr="00E821AF">
        <w:rPr>
          <w:spacing w:val="-1"/>
        </w:rPr>
        <w:t xml:space="preserve"> </w:t>
      </w:r>
      <w:r w:rsidRPr="00E821AF">
        <w:t>joint</w:t>
      </w:r>
      <w:r w:rsidRPr="00E821AF">
        <w:rPr>
          <w:spacing w:val="-3"/>
        </w:rPr>
        <w:t xml:space="preserve"> </w:t>
      </w:r>
      <w:r w:rsidRPr="00E821AF">
        <w:t>venture</w:t>
      </w:r>
      <w:r w:rsidR="000257B7" w:rsidRPr="00E821AF">
        <w:t xml:space="preserve"> between Shields Health Care Group, Inc. and Heywood Healthcare, Inc.</w:t>
      </w:r>
      <w:r w:rsidR="00E569F7" w:rsidRPr="00E821AF">
        <w:t xml:space="preserve"> </w:t>
      </w:r>
      <w:bookmarkStart w:id="0" w:name="_Hlk113378448"/>
      <w:r w:rsidR="00962F57" w:rsidRPr="00E821AF">
        <w:rPr>
          <w:lang w:bidi="en-US"/>
        </w:rPr>
        <w:t>There is no increase to the Maximum Capital Expenditure (</w:t>
      </w:r>
      <w:r w:rsidR="002A0158">
        <w:rPr>
          <w:lang w:bidi="en-US"/>
        </w:rPr>
        <w:t>“</w:t>
      </w:r>
      <w:r w:rsidR="00962F57" w:rsidRPr="00E821AF">
        <w:rPr>
          <w:lang w:bidi="en-US"/>
        </w:rPr>
        <w:t>MCE</w:t>
      </w:r>
      <w:r w:rsidR="002A0158">
        <w:rPr>
          <w:lang w:bidi="en-US"/>
        </w:rPr>
        <w:t>”</w:t>
      </w:r>
      <w:r w:rsidR="00962F57" w:rsidRPr="00E821AF">
        <w:rPr>
          <w:lang w:bidi="en-US"/>
        </w:rPr>
        <w:t xml:space="preserve">) associated with the Significant Change Application and therefore no change to the </w:t>
      </w:r>
      <w:bookmarkStart w:id="1" w:name="_Hlk113452232"/>
      <w:r w:rsidR="00962F57" w:rsidRPr="00E821AF">
        <w:rPr>
          <w:lang w:bidi="en-US"/>
        </w:rPr>
        <w:t>Community Health Initiatives (</w:t>
      </w:r>
      <w:r w:rsidR="002A0158">
        <w:rPr>
          <w:lang w:bidi="en-US"/>
        </w:rPr>
        <w:t>“</w:t>
      </w:r>
      <w:r w:rsidR="00962F57" w:rsidRPr="00E821AF">
        <w:rPr>
          <w:lang w:bidi="en-US"/>
        </w:rPr>
        <w:t>CHI</w:t>
      </w:r>
      <w:r w:rsidR="002A0158">
        <w:rPr>
          <w:lang w:bidi="en-US"/>
        </w:rPr>
        <w:t>"</w:t>
      </w:r>
      <w:r w:rsidR="00962F57" w:rsidRPr="00E821AF">
        <w:rPr>
          <w:lang w:bidi="en-US"/>
        </w:rPr>
        <w:t>) contribution</w:t>
      </w:r>
      <w:bookmarkEnd w:id="1"/>
      <w:r w:rsidR="00962F57" w:rsidRPr="00E821AF">
        <w:rPr>
          <w:lang w:bidi="en-US"/>
        </w:rPr>
        <w:t>.</w:t>
      </w:r>
    </w:p>
    <w:bookmarkEnd w:id="0"/>
    <w:p w14:paraId="55DEE7C6" w14:textId="68AA4562" w:rsidR="00962F57" w:rsidRPr="00E821AF" w:rsidRDefault="00962F57" w:rsidP="00E821AF">
      <w:pPr>
        <w:pStyle w:val="BodyText"/>
        <w:spacing w:before="240"/>
        <w:ind w:left="119" w:right="123"/>
        <w:rPr>
          <w:lang w:bidi="en-US"/>
        </w:rPr>
      </w:pPr>
      <w:r w:rsidRPr="00E821AF">
        <w:rPr>
          <w:lang w:bidi="en-US"/>
        </w:rPr>
        <w:t>This request falls within the definition for Significant Change that includes “…</w:t>
      </w:r>
      <w:r w:rsidR="000C21FA" w:rsidRPr="00E821AF">
        <w:rPr>
          <w:lang w:bidi="en-US"/>
        </w:rPr>
        <w:t xml:space="preserve">(1) Any change, modification, or deletion of components within a previously issued Notice of Determination of Need that is not an Immaterial Change, …” </w:t>
      </w:r>
      <w:r w:rsidRPr="00E821AF">
        <w:rPr>
          <w:lang w:bidi="en-US"/>
        </w:rPr>
        <w:t>and will be reviewed pursuant to 105 C.M.R. 100.635(A)(3), which requires that the proposed change falls within the scope of the Notice of Determination of Need and is reasonable.</w:t>
      </w:r>
    </w:p>
    <w:p w14:paraId="5639CF82" w14:textId="151E604A" w:rsidR="00962F57" w:rsidRPr="00E821AF" w:rsidRDefault="00962F57" w:rsidP="00E821AF">
      <w:pPr>
        <w:pStyle w:val="BodyText"/>
        <w:spacing w:before="240"/>
        <w:ind w:left="119" w:right="123"/>
        <w:rPr>
          <w:b/>
          <w:bCs/>
        </w:rPr>
      </w:pPr>
      <w:r w:rsidRPr="00E821AF">
        <w:rPr>
          <w:b/>
          <w:bCs/>
        </w:rPr>
        <w:t>Background and Proposed Amendment</w:t>
      </w:r>
    </w:p>
    <w:p w14:paraId="23211634" w14:textId="60D78E1B" w:rsidR="00042444" w:rsidRPr="00E821AF" w:rsidRDefault="55FDDAF4" w:rsidP="00E821AF">
      <w:pPr>
        <w:pStyle w:val="BodyText"/>
        <w:spacing w:before="240"/>
        <w:ind w:left="119" w:right="123"/>
        <w:rPr>
          <w:lang w:bidi="en-US"/>
        </w:rPr>
      </w:pPr>
      <w:r w:rsidRPr="00E821AF">
        <w:rPr>
          <w:lang w:bidi="en-US"/>
        </w:rPr>
        <w:t>The Original DoN was</w:t>
      </w:r>
      <w:r w:rsidR="42286FD8" w:rsidRPr="00E821AF">
        <w:rPr>
          <w:lang w:bidi="en-US"/>
        </w:rPr>
        <w:t xml:space="preserve"> approved on November 29, 2021,</w:t>
      </w:r>
      <w:r w:rsidRPr="00E821AF">
        <w:rPr>
          <w:lang w:bidi="en-US"/>
        </w:rPr>
        <w:t xml:space="preserve"> </w:t>
      </w:r>
      <w:r w:rsidRPr="00E821AF">
        <w:t xml:space="preserve">to establish a licensed clinic for a fixed magnetic resonance imaging (MRI) </w:t>
      </w:r>
      <w:r w:rsidR="42286FD8" w:rsidRPr="00E821AF">
        <w:t xml:space="preserve">unit </w:t>
      </w:r>
      <w:r w:rsidRPr="00E821AF">
        <w:t>at Heywood Hospital</w:t>
      </w:r>
      <w:r w:rsidR="42286FD8" w:rsidRPr="00E821AF">
        <w:t xml:space="preserve"> for operation</w:t>
      </w:r>
      <w:r w:rsidRPr="00E821AF">
        <w:t xml:space="preserve"> six days a week</w:t>
      </w:r>
      <w:r w:rsidR="00042444" w:rsidRPr="00E821AF">
        <w:rPr>
          <w:rStyle w:val="FootnoteReference"/>
        </w:rPr>
        <w:footnoteReference w:id="1"/>
      </w:r>
      <w:r w:rsidRPr="00E821AF">
        <w:t xml:space="preserve"> and mobile positron emission tomography-computed tomography (PET-CT) imaging services at Athol Hospital </w:t>
      </w:r>
      <w:r w:rsidR="55532BBA" w:rsidRPr="00E821AF">
        <w:t xml:space="preserve">(Athol) </w:t>
      </w:r>
      <w:r w:rsidR="054330A3" w:rsidRPr="00E821AF">
        <w:t>one</w:t>
      </w:r>
      <w:r w:rsidRPr="00E821AF">
        <w:t xml:space="preserve"> day a week. </w:t>
      </w:r>
      <w:r w:rsidR="5A814B5A" w:rsidRPr="00E821AF">
        <w:t>This was</w:t>
      </w:r>
      <w:r w:rsidR="42286FD8" w:rsidRPr="00E821AF">
        <w:t xml:space="preserve"> approved</w:t>
      </w:r>
      <w:r w:rsidR="310E66EE" w:rsidRPr="00E821AF">
        <w:t xml:space="preserve"> when </w:t>
      </w:r>
      <w:r w:rsidR="42286FD8" w:rsidRPr="00E821AF">
        <w:t xml:space="preserve">the </w:t>
      </w:r>
      <w:r w:rsidR="310E66EE" w:rsidRPr="00E821AF">
        <w:t>mobile contract with another imaging vendor</w:t>
      </w:r>
      <w:r w:rsidR="05DFC0B0" w:rsidRPr="00E821AF">
        <w:t xml:space="preserve"> </w:t>
      </w:r>
      <w:r w:rsidR="310E66EE" w:rsidRPr="00E821AF">
        <w:t xml:space="preserve">ended and the </w:t>
      </w:r>
      <w:r w:rsidRPr="00E821AF">
        <w:t xml:space="preserve">Applicant </w:t>
      </w:r>
      <w:r w:rsidR="310E66EE" w:rsidRPr="00E821AF">
        <w:t xml:space="preserve">sought to fulfill the need for continued access to MRI via the current fixed unit. </w:t>
      </w:r>
      <w:r w:rsidR="42286FD8" w:rsidRPr="00E821AF">
        <w:rPr>
          <w:lang w:bidi="en-US"/>
        </w:rPr>
        <w:t xml:space="preserve">Currently, the </w:t>
      </w:r>
      <w:r w:rsidR="25D80703" w:rsidRPr="00E821AF">
        <w:rPr>
          <w:lang w:bidi="en-US"/>
        </w:rPr>
        <w:t xml:space="preserve">approved </w:t>
      </w:r>
      <w:r w:rsidR="42286FD8" w:rsidRPr="00E821AF">
        <w:rPr>
          <w:lang w:bidi="en-US"/>
        </w:rPr>
        <w:t>fixed MRI unit operates</w:t>
      </w:r>
      <w:r w:rsidR="4950DFB3" w:rsidRPr="00E821AF">
        <w:rPr>
          <w:lang w:bidi="en-US"/>
        </w:rPr>
        <w:t xml:space="preserve"> </w:t>
      </w:r>
      <w:r w:rsidR="29C022A0" w:rsidRPr="00E821AF">
        <w:rPr>
          <w:lang w:bidi="en-US"/>
        </w:rPr>
        <w:t xml:space="preserve">only </w:t>
      </w:r>
      <w:r w:rsidR="2B11CA7C" w:rsidRPr="00E821AF">
        <w:rPr>
          <w:lang w:bidi="en-US"/>
        </w:rPr>
        <w:t>at Heywood Hospital</w:t>
      </w:r>
      <w:r w:rsidR="4950DFB3" w:rsidRPr="00E821AF">
        <w:rPr>
          <w:lang w:bidi="en-US"/>
        </w:rPr>
        <w:t xml:space="preserve"> six </w:t>
      </w:r>
      <w:r w:rsidR="61BE9BBB" w:rsidRPr="00E821AF">
        <w:rPr>
          <w:lang w:bidi="en-US"/>
        </w:rPr>
        <w:t xml:space="preserve">(6) </w:t>
      </w:r>
      <w:r w:rsidR="4950DFB3" w:rsidRPr="00E821AF">
        <w:rPr>
          <w:lang w:bidi="en-US"/>
        </w:rPr>
        <w:t>days</w:t>
      </w:r>
      <w:r w:rsidR="2B11CA7C" w:rsidRPr="00E821AF">
        <w:rPr>
          <w:lang w:bidi="en-US"/>
        </w:rPr>
        <w:t xml:space="preserve"> per week</w:t>
      </w:r>
      <w:r w:rsidR="4950DFB3" w:rsidRPr="00E821AF">
        <w:rPr>
          <w:lang w:bidi="en-US"/>
        </w:rPr>
        <w:t>,</w:t>
      </w:r>
      <w:r w:rsidR="42286FD8" w:rsidRPr="00E821AF">
        <w:rPr>
          <w:lang w:bidi="en-US"/>
        </w:rPr>
        <w:t xml:space="preserve"> Monday through Saturday</w:t>
      </w:r>
      <w:r w:rsidR="007617A8" w:rsidRPr="00E821AF">
        <w:rPr>
          <w:lang w:bidi="en-US"/>
        </w:rPr>
        <w:t>.</w:t>
      </w:r>
      <w:r w:rsidR="00070A29" w:rsidRPr="00E821AF">
        <w:rPr>
          <w:vertAlign w:val="superscript"/>
          <w:lang w:bidi="en-US"/>
        </w:rPr>
        <w:footnoteReference w:id="2"/>
      </w:r>
      <w:r w:rsidR="5850242C" w:rsidRPr="00E821AF">
        <w:rPr>
          <w:lang w:bidi="en-US"/>
        </w:rPr>
        <w:t xml:space="preserve"> </w:t>
      </w:r>
      <w:r w:rsidR="7F30DC3F" w:rsidRPr="00E821AF">
        <w:rPr>
          <w:lang w:bidi="en-US"/>
        </w:rPr>
        <w:t>The Holder asserts that an additional day of MRI service</w:t>
      </w:r>
      <w:r w:rsidR="2B11CA7C" w:rsidRPr="00E821AF">
        <w:rPr>
          <w:lang w:bidi="en-US"/>
        </w:rPr>
        <w:t xml:space="preserve"> </w:t>
      </w:r>
      <w:r w:rsidR="5D868F6A" w:rsidRPr="00E821AF">
        <w:rPr>
          <w:lang w:bidi="en-US"/>
        </w:rPr>
        <w:t xml:space="preserve">at Heywood, </w:t>
      </w:r>
      <w:r w:rsidR="2B11CA7C" w:rsidRPr="00E821AF">
        <w:rPr>
          <w:lang w:bidi="en-US"/>
        </w:rPr>
        <w:t>on</w:t>
      </w:r>
      <w:r w:rsidR="7F30DC3F" w:rsidRPr="00E821AF">
        <w:rPr>
          <w:lang w:bidi="en-US"/>
        </w:rPr>
        <w:t xml:space="preserve"> Sunday will address increasing need for MRI</w:t>
      </w:r>
      <w:r w:rsidR="00070A29" w:rsidRPr="00E821AF">
        <w:rPr>
          <w:lang w:bidi="en-US"/>
        </w:rPr>
        <w:t xml:space="preserve"> inpatients and outpatients</w:t>
      </w:r>
      <w:r w:rsidR="7F30DC3F" w:rsidRPr="00E821AF">
        <w:rPr>
          <w:lang w:bidi="en-US"/>
        </w:rPr>
        <w:t>.</w:t>
      </w:r>
      <w:r w:rsidR="19BE14B0" w:rsidRPr="00E821AF">
        <w:rPr>
          <w:lang w:bidi="en-US"/>
        </w:rPr>
        <w:t xml:space="preserve"> With approval of this Amendment, this unit will be operating seven days per week</w:t>
      </w:r>
      <w:r w:rsidR="00D25381" w:rsidRPr="00E821AF">
        <w:rPr>
          <w:lang w:bidi="en-US"/>
        </w:rPr>
        <w:t>. A</w:t>
      </w:r>
      <w:r w:rsidR="19BE14B0" w:rsidRPr="00E821AF">
        <w:rPr>
          <w:lang w:bidi="en-US"/>
        </w:rPr>
        <w:t xml:space="preserve">ny </w:t>
      </w:r>
      <w:r w:rsidR="00D25381" w:rsidRPr="00E821AF">
        <w:rPr>
          <w:lang w:bidi="en-US"/>
        </w:rPr>
        <w:t xml:space="preserve">further </w:t>
      </w:r>
      <w:r w:rsidR="310ED1A9" w:rsidRPr="00E821AF">
        <w:rPr>
          <w:lang w:bidi="en-US"/>
        </w:rPr>
        <w:t xml:space="preserve">expansion of MRI service will require the </w:t>
      </w:r>
      <w:r w:rsidR="5DCFDAB7" w:rsidRPr="00E821AF">
        <w:rPr>
          <w:lang w:bidi="en-US"/>
        </w:rPr>
        <w:t>Applicant to</w:t>
      </w:r>
      <w:r w:rsidR="310ED1A9" w:rsidRPr="00E821AF">
        <w:rPr>
          <w:lang w:bidi="en-US"/>
        </w:rPr>
        <w:t xml:space="preserve"> fi</w:t>
      </w:r>
      <w:r w:rsidR="00AD8882" w:rsidRPr="00E821AF">
        <w:rPr>
          <w:lang w:bidi="en-US"/>
        </w:rPr>
        <w:t>l</w:t>
      </w:r>
      <w:r w:rsidR="2D86C4B2" w:rsidRPr="00E821AF">
        <w:rPr>
          <w:lang w:bidi="en-US"/>
        </w:rPr>
        <w:t>e</w:t>
      </w:r>
      <w:r w:rsidR="00AD8882" w:rsidRPr="00E821AF">
        <w:rPr>
          <w:lang w:bidi="en-US"/>
        </w:rPr>
        <w:t xml:space="preserve"> a</w:t>
      </w:r>
      <w:r w:rsidR="64E8C3AC" w:rsidRPr="00E821AF">
        <w:rPr>
          <w:lang w:bidi="en-US"/>
        </w:rPr>
        <w:t xml:space="preserve">nother </w:t>
      </w:r>
      <w:r w:rsidR="310ED1A9" w:rsidRPr="00E821AF">
        <w:rPr>
          <w:lang w:bidi="en-US"/>
        </w:rPr>
        <w:t xml:space="preserve">Determination of </w:t>
      </w:r>
      <w:r w:rsidR="046709F2" w:rsidRPr="00E821AF">
        <w:rPr>
          <w:lang w:bidi="en-US"/>
        </w:rPr>
        <w:t>Need for DoN Required Equipment.</w:t>
      </w:r>
    </w:p>
    <w:p w14:paraId="18EA44E7" w14:textId="4AEC1D86" w:rsidR="009A51FE" w:rsidRPr="00E821AF" w:rsidRDefault="0020271A" w:rsidP="00E821AF">
      <w:pPr>
        <w:pStyle w:val="Heading1"/>
        <w:spacing w:before="242"/>
        <w:rPr>
          <w:spacing w:val="-2"/>
        </w:rPr>
      </w:pPr>
      <w:r w:rsidRPr="00E821AF">
        <w:lastRenderedPageBreak/>
        <w:t>The</w:t>
      </w:r>
      <w:r w:rsidRPr="00E821AF">
        <w:rPr>
          <w:spacing w:val="-3"/>
        </w:rPr>
        <w:t xml:space="preserve"> </w:t>
      </w:r>
      <w:r w:rsidRPr="00E821AF">
        <w:t>Rationale</w:t>
      </w:r>
      <w:r w:rsidRPr="00E821AF">
        <w:rPr>
          <w:spacing w:val="-3"/>
        </w:rPr>
        <w:t xml:space="preserve"> </w:t>
      </w:r>
      <w:r w:rsidRPr="00E821AF">
        <w:t>for</w:t>
      </w:r>
      <w:r w:rsidRPr="00E821AF">
        <w:rPr>
          <w:spacing w:val="-1"/>
        </w:rPr>
        <w:t xml:space="preserve"> </w:t>
      </w:r>
      <w:r w:rsidRPr="00E821AF">
        <w:t>the</w:t>
      </w:r>
      <w:r w:rsidRPr="00E821AF">
        <w:rPr>
          <w:spacing w:val="-2"/>
        </w:rPr>
        <w:t xml:space="preserve"> </w:t>
      </w:r>
      <w:r w:rsidRPr="00E821AF">
        <w:t>Significant</w:t>
      </w:r>
      <w:r w:rsidRPr="00E821AF">
        <w:rPr>
          <w:spacing w:val="-2"/>
        </w:rPr>
        <w:t xml:space="preserve"> </w:t>
      </w:r>
      <w:r w:rsidRPr="00E821AF">
        <w:t>Change</w:t>
      </w:r>
      <w:r w:rsidRPr="00E821AF">
        <w:rPr>
          <w:spacing w:val="-2"/>
        </w:rPr>
        <w:t xml:space="preserve"> Amendment</w:t>
      </w:r>
    </w:p>
    <w:p w14:paraId="27DE2BFE" w14:textId="77777777" w:rsidR="009A51FE" w:rsidRPr="00E821AF" w:rsidRDefault="009A51FE" w:rsidP="00E821AF">
      <w:pPr>
        <w:widowControl/>
        <w:autoSpaceDE/>
        <w:autoSpaceDN/>
        <w:ind w:left="120"/>
        <w:rPr>
          <w:sz w:val="24"/>
          <w:szCs w:val="24"/>
        </w:rPr>
      </w:pPr>
    </w:p>
    <w:p w14:paraId="7B21F167" w14:textId="07A81AC5" w:rsidR="00656519" w:rsidRPr="00E821AF" w:rsidRDefault="3FDCD793" w:rsidP="00E821AF">
      <w:pPr>
        <w:widowControl/>
        <w:autoSpaceDE/>
        <w:autoSpaceDN/>
        <w:rPr>
          <w:spacing w:val="-2"/>
          <w:sz w:val="24"/>
          <w:szCs w:val="24"/>
        </w:rPr>
      </w:pPr>
      <w:r w:rsidRPr="00E821AF">
        <w:rPr>
          <w:sz w:val="24"/>
          <w:szCs w:val="24"/>
        </w:rPr>
        <w:t>The</w:t>
      </w:r>
      <w:r w:rsidRPr="00E821AF">
        <w:rPr>
          <w:spacing w:val="-1"/>
          <w:sz w:val="24"/>
          <w:szCs w:val="24"/>
        </w:rPr>
        <w:t xml:space="preserve"> </w:t>
      </w:r>
      <w:r w:rsidR="3CA7F8FB" w:rsidRPr="00E821AF">
        <w:rPr>
          <w:spacing w:val="-1"/>
          <w:sz w:val="24"/>
          <w:szCs w:val="24"/>
        </w:rPr>
        <w:t xml:space="preserve">Holder attributes the need for the </w:t>
      </w:r>
      <w:r w:rsidR="00070A29" w:rsidRPr="00E821AF">
        <w:rPr>
          <w:spacing w:val="-1"/>
          <w:sz w:val="24"/>
          <w:szCs w:val="24"/>
        </w:rPr>
        <w:t>S</w:t>
      </w:r>
      <w:r w:rsidRPr="00E821AF">
        <w:rPr>
          <w:sz w:val="24"/>
          <w:szCs w:val="24"/>
        </w:rPr>
        <w:t>ignificant</w:t>
      </w:r>
      <w:r w:rsidRPr="00E821AF">
        <w:rPr>
          <w:spacing w:val="-2"/>
          <w:sz w:val="24"/>
          <w:szCs w:val="24"/>
        </w:rPr>
        <w:t xml:space="preserve"> </w:t>
      </w:r>
      <w:r w:rsidR="00070A29" w:rsidRPr="00E821AF">
        <w:rPr>
          <w:spacing w:val="-2"/>
          <w:sz w:val="24"/>
          <w:szCs w:val="24"/>
        </w:rPr>
        <w:t>C</w:t>
      </w:r>
      <w:r w:rsidRPr="00E821AF">
        <w:rPr>
          <w:sz w:val="24"/>
          <w:szCs w:val="24"/>
        </w:rPr>
        <w:t>hange</w:t>
      </w:r>
      <w:r w:rsidR="4237F355" w:rsidRPr="00E821AF">
        <w:rPr>
          <w:spacing w:val="-1"/>
          <w:sz w:val="24"/>
          <w:szCs w:val="24"/>
        </w:rPr>
        <w:t xml:space="preserve"> to add an additional day of service </w:t>
      </w:r>
      <w:r w:rsidR="4237F355" w:rsidRPr="00E821AF">
        <w:rPr>
          <w:spacing w:val="-2"/>
          <w:sz w:val="24"/>
          <w:szCs w:val="24"/>
        </w:rPr>
        <w:t>to the following:</w:t>
      </w:r>
    </w:p>
    <w:p w14:paraId="55CFC684" w14:textId="77777777" w:rsidR="00EF4027" w:rsidRPr="00E821AF" w:rsidRDefault="00EF4027" w:rsidP="00E821AF">
      <w:pPr>
        <w:widowControl/>
        <w:autoSpaceDE/>
        <w:autoSpaceDN/>
        <w:rPr>
          <w:spacing w:val="-2"/>
          <w:sz w:val="24"/>
          <w:szCs w:val="24"/>
        </w:rPr>
      </w:pPr>
    </w:p>
    <w:p w14:paraId="6547335A" w14:textId="5CBB05D4" w:rsidR="00071C24" w:rsidRPr="00E821AF" w:rsidRDefault="59CDC688" w:rsidP="00E821AF">
      <w:pPr>
        <w:pStyle w:val="ListParagraph"/>
        <w:widowControl/>
        <w:numPr>
          <w:ilvl w:val="0"/>
          <w:numId w:val="13"/>
        </w:numPr>
        <w:autoSpaceDE/>
        <w:autoSpaceDN/>
        <w:rPr>
          <w:spacing w:val="-2"/>
          <w:sz w:val="24"/>
          <w:szCs w:val="24"/>
        </w:rPr>
      </w:pPr>
      <w:r w:rsidRPr="00E821AF">
        <w:rPr>
          <w:spacing w:val="-2"/>
          <w:sz w:val="24"/>
          <w:szCs w:val="24"/>
        </w:rPr>
        <w:t>An increase in scan volume</w:t>
      </w:r>
      <w:r w:rsidR="266C6804" w:rsidRPr="00E821AF">
        <w:rPr>
          <w:spacing w:val="-2"/>
          <w:sz w:val="24"/>
          <w:szCs w:val="24"/>
        </w:rPr>
        <w:t>:</w:t>
      </w:r>
      <w:r w:rsidR="20325468" w:rsidRPr="00E821AF">
        <w:rPr>
          <w:sz w:val="24"/>
          <w:szCs w:val="24"/>
        </w:rPr>
        <w:t xml:space="preserve"> </w:t>
      </w:r>
      <w:r w:rsidR="063E03F2" w:rsidRPr="00E821AF">
        <w:rPr>
          <w:sz w:val="24"/>
          <w:szCs w:val="24"/>
        </w:rPr>
        <w:t xml:space="preserve">The Holder </w:t>
      </w:r>
      <w:r w:rsidRPr="00E821AF">
        <w:rPr>
          <w:sz w:val="24"/>
          <w:szCs w:val="24"/>
        </w:rPr>
        <w:t xml:space="preserve">took over operations of these services </w:t>
      </w:r>
      <w:r w:rsidR="44A841B4" w:rsidRPr="00E821AF">
        <w:rPr>
          <w:sz w:val="24"/>
          <w:szCs w:val="24"/>
        </w:rPr>
        <w:t>o</w:t>
      </w:r>
      <w:r w:rsidRPr="00E821AF">
        <w:rPr>
          <w:sz w:val="24"/>
          <w:szCs w:val="24"/>
        </w:rPr>
        <w:t xml:space="preserve">n April </w:t>
      </w:r>
      <w:r w:rsidR="088CCD5A" w:rsidRPr="00E821AF">
        <w:rPr>
          <w:sz w:val="24"/>
          <w:szCs w:val="24"/>
        </w:rPr>
        <w:t xml:space="preserve">18, </w:t>
      </w:r>
      <w:r w:rsidR="63A90858" w:rsidRPr="00E821AF">
        <w:rPr>
          <w:sz w:val="24"/>
          <w:szCs w:val="24"/>
        </w:rPr>
        <w:t>2023</w:t>
      </w:r>
      <w:r w:rsidR="44A841B4" w:rsidRPr="00E821AF">
        <w:rPr>
          <w:sz w:val="24"/>
          <w:szCs w:val="24"/>
        </w:rPr>
        <w:t>,</w:t>
      </w:r>
      <w:r w:rsidR="63A90858" w:rsidRPr="00E821AF">
        <w:rPr>
          <w:sz w:val="24"/>
          <w:szCs w:val="24"/>
        </w:rPr>
        <w:t xml:space="preserve"> and</w:t>
      </w:r>
      <w:r w:rsidR="24D747A3" w:rsidRPr="00E821AF">
        <w:rPr>
          <w:sz w:val="24"/>
          <w:szCs w:val="24"/>
        </w:rPr>
        <w:t>, therefore,</w:t>
      </w:r>
      <w:r w:rsidR="63A90858" w:rsidRPr="00E821AF">
        <w:rPr>
          <w:sz w:val="24"/>
          <w:szCs w:val="24"/>
        </w:rPr>
        <w:t xml:space="preserve"> does not have full calendar</w:t>
      </w:r>
      <w:r w:rsidR="30A5C898" w:rsidRPr="00E821AF">
        <w:rPr>
          <w:sz w:val="24"/>
          <w:szCs w:val="24"/>
        </w:rPr>
        <w:t xml:space="preserve"> year </w:t>
      </w:r>
      <w:r w:rsidR="63A90858" w:rsidRPr="00E821AF">
        <w:rPr>
          <w:sz w:val="24"/>
          <w:szCs w:val="24"/>
        </w:rPr>
        <w:t xml:space="preserve">data for 2023. </w:t>
      </w:r>
      <w:r w:rsidR="46917359" w:rsidRPr="00E821AF">
        <w:rPr>
          <w:sz w:val="24"/>
          <w:szCs w:val="24"/>
        </w:rPr>
        <w:t xml:space="preserve">The reported scans performed between April </w:t>
      </w:r>
      <w:proofErr w:type="gramStart"/>
      <w:r w:rsidR="46917359" w:rsidRPr="00E821AF">
        <w:rPr>
          <w:sz w:val="24"/>
          <w:szCs w:val="24"/>
        </w:rPr>
        <w:t>2023</w:t>
      </w:r>
      <w:proofErr w:type="gramEnd"/>
      <w:r w:rsidR="46917359" w:rsidRPr="00E821AF">
        <w:rPr>
          <w:sz w:val="24"/>
          <w:szCs w:val="24"/>
        </w:rPr>
        <w:t xml:space="preserve"> and December 2023 was </w:t>
      </w:r>
      <w:r w:rsidR="6D3CC978" w:rsidRPr="00E821AF">
        <w:rPr>
          <w:sz w:val="24"/>
          <w:szCs w:val="24"/>
        </w:rPr>
        <w:t>4,515</w:t>
      </w:r>
      <w:r w:rsidR="44A841B4" w:rsidRPr="00E821AF">
        <w:rPr>
          <w:sz w:val="24"/>
          <w:szCs w:val="24"/>
        </w:rPr>
        <w:t xml:space="preserve">. </w:t>
      </w:r>
      <w:r w:rsidR="00C151BA" w:rsidRPr="00E821AF">
        <w:rPr>
          <w:sz w:val="24"/>
          <w:szCs w:val="24"/>
        </w:rPr>
        <w:t>Staff annualized that volume to which resulted in an annualized</w:t>
      </w:r>
      <w:r w:rsidR="46917359" w:rsidRPr="00E821AF">
        <w:rPr>
          <w:sz w:val="24"/>
          <w:szCs w:val="24"/>
        </w:rPr>
        <w:t xml:space="preserve"> number of</w:t>
      </w:r>
      <w:r w:rsidR="00C151BA" w:rsidRPr="00E821AF">
        <w:rPr>
          <w:sz w:val="24"/>
          <w:szCs w:val="24"/>
        </w:rPr>
        <w:t xml:space="preserve"> 6,386</w:t>
      </w:r>
      <w:r w:rsidR="46917359" w:rsidRPr="00E821AF">
        <w:rPr>
          <w:sz w:val="24"/>
          <w:szCs w:val="24"/>
        </w:rPr>
        <w:t xml:space="preserve"> scans performed</w:t>
      </w:r>
      <w:r w:rsidR="04135ED5" w:rsidRPr="00E821AF">
        <w:rPr>
          <w:sz w:val="24"/>
          <w:szCs w:val="24"/>
        </w:rPr>
        <w:t xml:space="preserve">. </w:t>
      </w:r>
      <w:r w:rsidR="6A79B053" w:rsidRPr="00E821AF">
        <w:rPr>
          <w:sz w:val="24"/>
          <w:szCs w:val="24"/>
        </w:rPr>
        <w:t>(See Table 3)</w:t>
      </w:r>
      <w:r w:rsidR="00EF4027" w:rsidRPr="00E821AF">
        <w:rPr>
          <w:sz w:val="24"/>
          <w:szCs w:val="24"/>
        </w:rPr>
        <w:t>.</w:t>
      </w:r>
      <w:r w:rsidR="00D6107C" w:rsidRPr="00E821AF">
        <w:rPr>
          <w:sz w:val="24"/>
          <w:szCs w:val="24"/>
        </w:rPr>
        <w:t xml:space="preserve"> </w:t>
      </w:r>
      <w:r w:rsidR="04135ED5" w:rsidRPr="00E821AF">
        <w:rPr>
          <w:sz w:val="24"/>
          <w:szCs w:val="24"/>
        </w:rPr>
        <w:t xml:space="preserve">Using the annualized 2023 data </w:t>
      </w:r>
      <w:r w:rsidR="6D3CC978" w:rsidRPr="00E821AF">
        <w:rPr>
          <w:sz w:val="24"/>
          <w:szCs w:val="24"/>
        </w:rPr>
        <w:t>and the number of scans performed in</w:t>
      </w:r>
      <w:r w:rsidR="46917359" w:rsidRPr="00E821AF">
        <w:rPr>
          <w:sz w:val="24"/>
          <w:szCs w:val="24"/>
        </w:rPr>
        <w:t xml:space="preserve"> 2024</w:t>
      </w:r>
      <w:r w:rsidR="5CCC850D" w:rsidRPr="00E821AF">
        <w:rPr>
          <w:sz w:val="24"/>
          <w:szCs w:val="24"/>
        </w:rPr>
        <w:t xml:space="preserve"> (</w:t>
      </w:r>
      <w:r w:rsidR="6D3CC978" w:rsidRPr="00E821AF">
        <w:rPr>
          <w:sz w:val="24"/>
          <w:szCs w:val="24"/>
        </w:rPr>
        <w:t>6</w:t>
      </w:r>
      <w:r w:rsidR="5CCC850D" w:rsidRPr="00E821AF">
        <w:rPr>
          <w:sz w:val="24"/>
          <w:szCs w:val="24"/>
        </w:rPr>
        <w:t xml:space="preserve">,779), the annual growth between 2023 and 2024 </w:t>
      </w:r>
      <w:r w:rsidR="30A5C898" w:rsidRPr="00E821AF">
        <w:rPr>
          <w:sz w:val="24"/>
          <w:szCs w:val="24"/>
        </w:rPr>
        <w:t>is calculated at</w:t>
      </w:r>
      <w:r w:rsidR="5CCC850D" w:rsidRPr="00E821AF">
        <w:rPr>
          <w:sz w:val="24"/>
          <w:szCs w:val="24"/>
        </w:rPr>
        <w:t xml:space="preserve"> 6%</w:t>
      </w:r>
      <w:r w:rsidR="6D3CC978" w:rsidRPr="00E821AF">
        <w:rPr>
          <w:sz w:val="24"/>
          <w:szCs w:val="24"/>
        </w:rPr>
        <w:t>.</w:t>
      </w:r>
      <w:r w:rsidR="004D28BF" w:rsidRPr="00E821AF">
        <w:rPr>
          <w:rStyle w:val="FootnoteReference"/>
          <w:sz w:val="24"/>
          <w:szCs w:val="24"/>
        </w:rPr>
        <w:footnoteReference w:id="3"/>
      </w:r>
      <w:r w:rsidR="6D3CC978" w:rsidRPr="00E821AF">
        <w:rPr>
          <w:sz w:val="24"/>
          <w:szCs w:val="24"/>
        </w:rPr>
        <w:t xml:space="preserve"> </w:t>
      </w:r>
      <w:r w:rsidR="255CE4B0" w:rsidRPr="00E821AF" w:rsidDel="007A1C97">
        <w:rPr>
          <w:sz w:val="24"/>
          <w:szCs w:val="24"/>
        </w:rPr>
        <w:t>T</w:t>
      </w:r>
      <w:r w:rsidR="255CE4B0" w:rsidRPr="00E821AF">
        <w:rPr>
          <w:spacing w:val="-2"/>
          <w:sz w:val="24"/>
          <w:szCs w:val="24"/>
        </w:rPr>
        <w:t xml:space="preserve">he </w:t>
      </w:r>
      <w:r w:rsidR="255CE4B0" w:rsidRPr="00E821AF">
        <w:rPr>
          <w:sz w:val="24"/>
          <w:szCs w:val="24"/>
        </w:rPr>
        <w:t>scan volume</w:t>
      </w:r>
      <w:r w:rsidR="255CE4B0" w:rsidRPr="00E821AF" w:rsidDel="007A1C97">
        <w:rPr>
          <w:sz w:val="24"/>
          <w:szCs w:val="24"/>
        </w:rPr>
        <w:t xml:space="preserve"> </w:t>
      </w:r>
      <w:r w:rsidR="255CE4B0" w:rsidRPr="00E821AF">
        <w:rPr>
          <w:sz w:val="24"/>
          <w:szCs w:val="24"/>
        </w:rPr>
        <w:t xml:space="preserve">for </w:t>
      </w:r>
      <w:r w:rsidR="255CE4B0" w:rsidRPr="00E821AF" w:rsidDel="007A1C97">
        <w:rPr>
          <w:sz w:val="24"/>
          <w:szCs w:val="24"/>
        </w:rPr>
        <w:t xml:space="preserve">2025 </w:t>
      </w:r>
      <w:r w:rsidR="255CE4B0" w:rsidRPr="00E821AF">
        <w:rPr>
          <w:sz w:val="24"/>
          <w:szCs w:val="24"/>
        </w:rPr>
        <w:t>is</w:t>
      </w:r>
      <w:r w:rsidR="255CE4B0" w:rsidRPr="00E821AF" w:rsidDel="00DA532D">
        <w:rPr>
          <w:sz w:val="24"/>
          <w:szCs w:val="24"/>
        </w:rPr>
        <w:t xml:space="preserve"> </w:t>
      </w:r>
      <w:r w:rsidR="78BA96BB" w:rsidRPr="00E821AF">
        <w:rPr>
          <w:sz w:val="24"/>
          <w:szCs w:val="24"/>
        </w:rPr>
        <w:t xml:space="preserve">currently </w:t>
      </w:r>
      <w:r w:rsidR="255CE4B0" w:rsidRPr="00E821AF" w:rsidDel="007A1C97">
        <w:rPr>
          <w:sz w:val="24"/>
          <w:szCs w:val="24"/>
        </w:rPr>
        <w:t xml:space="preserve">tracking </w:t>
      </w:r>
      <w:r w:rsidR="30A5C898" w:rsidRPr="00E821AF">
        <w:rPr>
          <w:sz w:val="24"/>
          <w:szCs w:val="24"/>
        </w:rPr>
        <w:t xml:space="preserve">at </w:t>
      </w:r>
      <w:r w:rsidR="255CE4B0" w:rsidRPr="00E821AF">
        <w:rPr>
          <w:sz w:val="24"/>
          <w:szCs w:val="24"/>
        </w:rPr>
        <w:t>8% growth over 2024. The Holder anticipates 8% growth annually in subsequent years, as well</w:t>
      </w:r>
      <w:r w:rsidR="3F4D80CB" w:rsidRPr="00E821AF">
        <w:rPr>
          <w:sz w:val="24"/>
          <w:szCs w:val="24"/>
        </w:rPr>
        <w:t>.</w:t>
      </w:r>
      <w:r w:rsidR="54A4E69E" w:rsidRPr="00E821AF">
        <w:rPr>
          <w:sz w:val="24"/>
          <w:szCs w:val="24"/>
        </w:rPr>
        <w:t xml:space="preserve"> The Holder attributes this</w:t>
      </w:r>
      <w:r w:rsidR="30A5C898" w:rsidRPr="00E821AF">
        <w:rPr>
          <w:sz w:val="24"/>
          <w:szCs w:val="24"/>
        </w:rPr>
        <w:t xml:space="preserve"> increase in scan volume</w:t>
      </w:r>
      <w:r w:rsidR="54A4E69E" w:rsidRPr="00E821AF">
        <w:rPr>
          <w:sz w:val="24"/>
          <w:szCs w:val="24"/>
        </w:rPr>
        <w:t xml:space="preserve"> </w:t>
      </w:r>
      <w:r w:rsidR="0C4261C4" w:rsidRPr="00E821AF">
        <w:rPr>
          <w:sz w:val="24"/>
          <w:szCs w:val="24"/>
        </w:rPr>
        <w:t xml:space="preserve">to </w:t>
      </w:r>
      <w:r w:rsidR="30A5C898" w:rsidRPr="00E821AF">
        <w:rPr>
          <w:sz w:val="24"/>
          <w:szCs w:val="24"/>
        </w:rPr>
        <w:t xml:space="preserve">an </w:t>
      </w:r>
      <w:r w:rsidR="0C4261C4" w:rsidRPr="00E821AF">
        <w:rPr>
          <w:sz w:val="24"/>
          <w:szCs w:val="24"/>
        </w:rPr>
        <w:t>ag</w:t>
      </w:r>
      <w:r w:rsidR="30A5C898" w:rsidRPr="00E821AF">
        <w:rPr>
          <w:sz w:val="24"/>
          <w:szCs w:val="24"/>
        </w:rPr>
        <w:t>ing</w:t>
      </w:r>
      <w:r w:rsidR="0C4261C4" w:rsidRPr="00E821AF">
        <w:rPr>
          <w:sz w:val="24"/>
          <w:szCs w:val="24"/>
        </w:rPr>
        <w:t xml:space="preserve"> of the patient panel as well as the closure of </w:t>
      </w:r>
      <w:r w:rsidR="2625CAC6" w:rsidRPr="00E821AF">
        <w:rPr>
          <w:sz w:val="24"/>
          <w:szCs w:val="24"/>
        </w:rPr>
        <w:t xml:space="preserve">previously and separately operated </w:t>
      </w:r>
      <w:r w:rsidR="0C4261C4" w:rsidRPr="00E821AF">
        <w:rPr>
          <w:sz w:val="24"/>
          <w:szCs w:val="24"/>
        </w:rPr>
        <w:t>MRI services at Athol</w:t>
      </w:r>
      <w:r w:rsidR="00563547" w:rsidRPr="00E821AF">
        <w:rPr>
          <w:sz w:val="24"/>
          <w:szCs w:val="24"/>
        </w:rPr>
        <w:t xml:space="preserve">, resulting in </w:t>
      </w:r>
      <w:r w:rsidR="235B798C" w:rsidRPr="00E821AF">
        <w:rPr>
          <w:sz w:val="24"/>
          <w:szCs w:val="24"/>
        </w:rPr>
        <w:t>a shift of patients fr</w:t>
      </w:r>
      <w:r w:rsidR="76DB4E29" w:rsidRPr="00E821AF">
        <w:rPr>
          <w:sz w:val="24"/>
          <w:szCs w:val="24"/>
        </w:rPr>
        <w:t>o</w:t>
      </w:r>
      <w:r w:rsidR="235B798C" w:rsidRPr="00E821AF">
        <w:rPr>
          <w:sz w:val="24"/>
          <w:szCs w:val="24"/>
        </w:rPr>
        <w:t>m Athol to Heywood</w:t>
      </w:r>
      <w:r w:rsidR="0C4261C4" w:rsidRPr="00E821AF">
        <w:rPr>
          <w:sz w:val="24"/>
          <w:szCs w:val="24"/>
        </w:rPr>
        <w:t>.</w:t>
      </w:r>
      <w:r w:rsidR="235B798C" w:rsidRPr="00E821AF">
        <w:rPr>
          <w:rStyle w:val="FootnoteReference"/>
          <w:sz w:val="24"/>
          <w:szCs w:val="24"/>
        </w:rPr>
        <w:t xml:space="preserve"> </w:t>
      </w:r>
      <w:r w:rsidR="00DE7ADE" w:rsidRPr="00E821AF">
        <w:rPr>
          <w:rStyle w:val="FootnoteReference"/>
          <w:sz w:val="24"/>
          <w:szCs w:val="24"/>
        </w:rPr>
        <w:footnoteReference w:id="4"/>
      </w:r>
      <w:r w:rsidR="16655260" w:rsidRPr="00E821AF">
        <w:rPr>
          <w:sz w:val="24"/>
          <w:szCs w:val="24"/>
        </w:rPr>
        <w:t xml:space="preserve"> </w:t>
      </w:r>
    </w:p>
    <w:p w14:paraId="6D1F51F7" w14:textId="7F37FE00" w:rsidR="00547985" w:rsidRPr="00E821AF" w:rsidRDefault="142A61C8" w:rsidP="00E821AF">
      <w:pPr>
        <w:pStyle w:val="ListParagraph"/>
        <w:widowControl/>
        <w:numPr>
          <w:ilvl w:val="0"/>
          <w:numId w:val="13"/>
        </w:numPr>
        <w:autoSpaceDE/>
        <w:autoSpaceDN/>
        <w:spacing w:before="240"/>
        <w:rPr>
          <w:sz w:val="24"/>
          <w:szCs w:val="24"/>
        </w:rPr>
      </w:pPr>
      <w:r w:rsidRPr="00E821AF">
        <w:rPr>
          <w:spacing w:val="-2"/>
          <w:sz w:val="24"/>
          <w:szCs w:val="24"/>
        </w:rPr>
        <w:t xml:space="preserve">An increase in </w:t>
      </w:r>
      <w:r w:rsidR="0FC89742" w:rsidRPr="00E821AF">
        <w:rPr>
          <w:spacing w:val="-2"/>
          <w:sz w:val="24"/>
          <w:szCs w:val="24"/>
        </w:rPr>
        <w:t>wait-times</w:t>
      </w:r>
      <w:r w:rsidR="544397B1" w:rsidRPr="00E821AF">
        <w:rPr>
          <w:spacing w:val="-2"/>
          <w:sz w:val="24"/>
          <w:szCs w:val="24"/>
        </w:rPr>
        <w:t>:</w:t>
      </w:r>
      <w:r w:rsidR="4433F770" w:rsidRPr="00E821AF">
        <w:rPr>
          <w:spacing w:val="-2"/>
          <w:sz w:val="24"/>
          <w:szCs w:val="24"/>
        </w:rPr>
        <w:t xml:space="preserve"> </w:t>
      </w:r>
      <w:r w:rsidR="544397B1" w:rsidRPr="00E821AF" w:rsidDel="00DC184B">
        <w:rPr>
          <w:spacing w:val="-2"/>
          <w:sz w:val="24"/>
          <w:szCs w:val="24"/>
        </w:rPr>
        <w:t>T</w:t>
      </w:r>
      <w:r w:rsidR="4433F770" w:rsidRPr="00E821AF">
        <w:rPr>
          <w:spacing w:val="-2"/>
          <w:sz w:val="24"/>
          <w:szCs w:val="24"/>
        </w:rPr>
        <w:t>he</w:t>
      </w:r>
      <w:r w:rsidR="1DCDD39A" w:rsidRPr="00E821AF">
        <w:rPr>
          <w:spacing w:val="-2"/>
          <w:sz w:val="24"/>
          <w:szCs w:val="24"/>
        </w:rPr>
        <w:t xml:space="preserve"> average time from when </w:t>
      </w:r>
      <w:r w:rsidR="26EAE658" w:rsidRPr="00E821AF">
        <w:rPr>
          <w:spacing w:val="-2"/>
          <w:sz w:val="24"/>
          <w:szCs w:val="24"/>
        </w:rPr>
        <w:t>an outpatient’s</w:t>
      </w:r>
      <w:r w:rsidR="1DCDD39A" w:rsidRPr="00E821AF">
        <w:rPr>
          <w:spacing w:val="-2"/>
          <w:sz w:val="24"/>
          <w:szCs w:val="24"/>
        </w:rPr>
        <w:t xml:space="preserve"> MRI order </w:t>
      </w:r>
      <w:r w:rsidR="7A86A051" w:rsidRPr="00E821AF">
        <w:rPr>
          <w:spacing w:val="-2"/>
          <w:sz w:val="24"/>
          <w:szCs w:val="24"/>
        </w:rPr>
        <w:t>is</w:t>
      </w:r>
      <w:r w:rsidR="4433F770" w:rsidRPr="00E821AF">
        <w:rPr>
          <w:spacing w:val="-2"/>
          <w:sz w:val="24"/>
          <w:szCs w:val="24"/>
        </w:rPr>
        <w:t xml:space="preserve"> </w:t>
      </w:r>
      <w:r w:rsidR="1DCDD39A" w:rsidRPr="00E821AF">
        <w:rPr>
          <w:spacing w:val="-2"/>
          <w:sz w:val="24"/>
          <w:szCs w:val="24"/>
        </w:rPr>
        <w:t>received to the patient being scanned increased</w:t>
      </w:r>
      <w:r w:rsidR="1DCDD39A" w:rsidRPr="00E821AF" w:rsidDel="00DC184B">
        <w:rPr>
          <w:spacing w:val="-2"/>
          <w:sz w:val="24"/>
          <w:szCs w:val="24"/>
        </w:rPr>
        <w:t xml:space="preserve"> </w:t>
      </w:r>
      <w:r w:rsidR="1DCDD39A" w:rsidRPr="00E821AF">
        <w:rPr>
          <w:sz w:val="24"/>
          <w:szCs w:val="24"/>
        </w:rPr>
        <w:t>from 16.2 days in 2023 to 18.5 days in 2024</w:t>
      </w:r>
      <w:r w:rsidR="43F4143B" w:rsidRPr="00E821AF">
        <w:rPr>
          <w:sz w:val="24"/>
          <w:szCs w:val="24"/>
        </w:rPr>
        <w:t xml:space="preserve">. </w:t>
      </w:r>
      <w:r w:rsidR="00EF3E0F">
        <w:rPr>
          <w:sz w:val="24"/>
          <w:szCs w:val="24"/>
        </w:rPr>
        <w:t>B</w:t>
      </w:r>
      <w:r w:rsidR="482C841A" w:rsidRPr="00E821AF">
        <w:rPr>
          <w:spacing w:val="-2"/>
          <w:sz w:val="24"/>
          <w:szCs w:val="24"/>
        </w:rPr>
        <w:t xml:space="preserve">etween January </w:t>
      </w:r>
      <w:r w:rsidR="405581F1" w:rsidRPr="00E821AF">
        <w:rPr>
          <w:spacing w:val="-2"/>
          <w:sz w:val="24"/>
          <w:szCs w:val="24"/>
        </w:rPr>
        <w:t xml:space="preserve">1, </w:t>
      </w:r>
      <w:proofErr w:type="gramStart"/>
      <w:r w:rsidR="405581F1" w:rsidRPr="00E821AF">
        <w:rPr>
          <w:spacing w:val="-2"/>
          <w:sz w:val="24"/>
          <w:szCs w:val="24"/>
        </w:rPr>
        <w:t>2025</w:t>
      </w:r>
      <w:proofErr w:type="gramEnd"/>
      <w:r w:rsidR="405581F1" w:rsidRPr="00E821AF">
        <w:rPr>
          <w:spacing w:val="-2"/>
          <w:sz w:val="24"/>
          <w:szCs w:val="24"/>
        </w:rPr>
        <w:t xml:space="preserve"> and June 30, 2025, </w:t>
      </w:r>
      <w:r w:rsidR="1DCDD39A" w:rsidRPr="00E821AF">
        <w:rPr>
          <w:spacing w:val="-2"/>
          <w:sz w:val="24"/>
          <w:szCs w:val="24"/>
        </w:rPr>
        <w:t>the average wait</w:t>
      </w:r>
      <w:r w:rsidR="405581F1" w:rsidRPr="00E821AF">
        <w:rPr>
          <w:spacing w:val="-2"/>
          <w:sz w:val="24"/>
          <w:szCs w:val="24"/>
        </w:rPr>
        <w:t>-</w:t>
      </w:r>
      <w:r w:rsidR="1DCDD39A" w:rsidRPr="00E821AF">
        <w:rPr>
          <w:spacing w:val="-2"/>
          <w:sz w:val="24"/>
          <w:szCs w:val="24"/>
        </w:rPr>
        <w:t xml:space="preserve">time </w:t>
      </w:r>
      <w:r w:rsidR="405581F1" w:rsidRPr="00E821AF">
        <w:rPr>
          <w:spacing w:val="-2"/>
          <w:sz w:val="24"/>
          <w:szCs w:val="24"/>
        </w:rPr>
        <w:t xml:space="preserve">increased to </w:t>
      </w:r>
      <w:r w:rsidR="1DCDD39A" w:rsidRPr="00E821AF">
        <w:rPr>
          <w:spacing w:val="-2"/>
          <w:sz w:val="24"/>
          <w:szCs w:val="24"/>
        </w:rPr>
        <w:t>22</w:t>
      </w:r>
      <w:r w:rsidR="3E2BE18E" w:rsidRPr="00E821AF">
        <w:rPr>
          <w:spacing w:val="-2"/>
          <w:sz w:val="24"/>
          <w:szCs w:val="24"/>
        </w:rPr>
        <w:t>.</w:t>
      </w:r>
      <w:r w:rsidR="1DCDD39A" w:rsidRPr="00E821AF">
        <w:rPr>
          <w:spacing w:val="-2"/>
          <w:sz w:val="24"/>
          <w:szCs w:val="24"/>
        </w:rPr>
        <w:t>5 days.</w:t>
      </w:r>
      <w:r w:rsidR="2A7719FA" w:rsidRPr="00E821AF">
        <w:rPr>
          <w:spacing w:val="-2"/>
          <w:sz w:val="24"/>
          <w:szCs w:val="24"/>
        </w:rPr>
        <w:t xml:space="preserve"> The Holder estimates that the </w:t>
      </w:r>
      <w:r w:rsidR="39206453" w:rsidRPr="00E821AF">
        <w:rPr>
          <w:sz w:val="24"/>
          <w:szCs w:val="24"/>
        </w:rPr>
        <w:t>additional day of operation</w:t>
      </w:r>
      <w:r w:rsidR="2A7719FA" w:rsidRPr="00E821AF">
        <w:rPr>
          <w:spacing w:val="-2"/>
          <w:sz w:val="24"/>
          <w:szCs w:val="24"/>
        </w:rPr>
        <w:t xml:space="preserve"> is projected to decrease average wait times by 1-2 days</w:t>
      </w:r>
      <w:r w:rsidR="43F4143B" w:rsidRPr="00E821AF">
        <w:rPr>
          <w:sz w:val="24"/>
          <w:szCs w:val="24"/>
        </w:rPr>
        <w:t xml:space="preserve"> during the first year of </w:t>
      </w:r>
      <w:r w:rsidR="43F4143B" w:rsidRPr="00E821AF">
        <w:rPr>
          <w:spacing w:val="-2"/>
          <w:sz w:val="24"/>
          <w:szCs w:val="24"/>
        </w:rPr>
        <w:t>operation</w:t>
      </w:r>
      <w:r w:rsidR="530AF43A" w:rsidRPr="00E821AF">
        <w:rPr>
          <w:spacing w:val="-2"/>
          <w:sz w:val="24"/>
          <w:szCs w:val="24"/>
        </w:rPr>
        <w:t>.</w:t>
      </w:r>
      <w:r w:rsidR="00656519" w:rsidRPr="00E821AF">
        <w:rPr>
          <w:rStyle w:val="FootnoteReference"/>
          <w:sz w:val="24"/>
          <w:szCs w:val="24"/>
        </w:rPr>
        <w:footnoteReference w:id="5"/>
      </w:r>
      <w:r w:rsidR="307308B1" w:rsidRPr="00E821AF">
        <w:rPr>
          <w:spacing w:val="-2"/>
          <w:sz w:val="24"/>
          <w:szCs w:val="24"/>
        </w:rPr>
        <w:t xml:space="preserve"> </w:t>
      </w:r>
      <w:r w:rsidR="4F9FD154" w:rsidRPr="00E821AF">
        <w:rPr>
          <w:spacing w:val="-2"/>
          <w:sz w:val="24"/>
          <w:szCs w:val="24"/>
        </w:rPr>
        <w:t xml:space="preserve">The Holder asserts shorter wait-times </w:t>
      </w:r>
      <w:r w:rsidR="77EA98F9" w:rsidRPr="00E821AF">
        <w:rPr>
          <w:spacing w:val="-2"/>
          <w:sz w:val="24"/>
          <w:szCs w:val="24"/>
        </w:rPr>
        <w:t xml:space="preserve">lead to more efficient backlog management and </w:t>
      </w:r>
      <w:r w:rsidR="4F9FD154" w:rsidRPr="00E821AF">
        <w:rPr>
          <w:spacing w:val="-2"/>
          <w:sz w:val="24"/>
          <w:szCs w:val="24"/>
        </w:rPr>
        <w:t xml:space="preserve">improve </w:t>
      </w:r>
      <w:r w:rsidR="77EA98F9" w:rsidRPr="00E821AF">
        <w:rPr>
          <w:spacing w:val="-2"/>
          <w:sz w:val="24"/>
          <w:szCs w:val="24"/>
        </w:rPr>
        <w:t>timely access to diagnostics for patients.</w:t>
      </w:r>
      <w:r w:rsidR="660E0794" w:rsidRPr="00E821AF">
        <w:rPr>
          <w:sz w:val="24"/>
          <w:szCs w:val="24"/>
        </w:rPr>
        <w:t xml:space="preserve"> </w:t>
      </w:r>
    </w:p>
    <w:p w14:paraId="78583C42" w14:textId="453505BB" w:rsidR="001E67B7" w:rsidRPr="00E821AF" w:rsidRDefault="715F4390" w:rsidP="00E821AF">
      <w:pPr>
        <w:pStyle w:val="ListParagraph"/>
        <w:widowControl/>
        <w:numPr>
          <w:ilvl w:val="0"/>
          <w:numId w:val="13"/>
        </w:numPr>
        <w:autoSpaceDE/>
        <w:autoSpaceDN/>
        <w:spacing w:before="240"/>
        <w:rPr>
          <w:sz w:val="24"/>
          <w:szCs w:val="24"/>
        </w:rPr>
      </w:pPr>
      <w:r w:rsidRPr="00E821AF">
        <w:rPr>
          <w:spacing w:val="-2"/>
          <w:sz w:val="24"/>
          <w:szCs w:val="24"/>
        </w:rPr>
        <w:t xml:space="preserve">Lack of close alternative sites of service: </w:t>
      </w:r>
      <w:r w:rsidR="7DE92AA7" w:rsidRPr="00E821AF">
        <w:rPr>
          <w:spacing w:val="-2"/>
          <w:sz w:val="24"/>
          <w:szCs w:val="24"/>
        </w:rPr>
        <w:t xml:space="preserve">The Holder states North Central Massachusetts is a region with limited local alternatives. </w:t>
      </w:r>
      <w:r w:rsidR="00070A29" w:rsidRPr="00E821AF">
        <w:rPr>
          <w:spacing w:val="-2"/>
          <w:sz w:val="24"/>
          <w:szCs w:val="24"/>
        </w:rPr>
        <w:t xml:space="preserve">In response to </w:t>
      </w:r>
      <w:r w:rsidR="00410E97" w:rsidRPr="00E821AF">
        <w:rPr>
          <w:spacing w:val="-2"/>
          <w:sz w:val="24"/>
          <w:szCs w:val="24"/>
        </w:rPr>
        <w:t>staff</w:t>
      </w:r>
      <w:r w:rsidR="00070A29" w:rsidRPr="00E821AF">
        <w:rPr>
          <w:spacing w:val="-2"/>
          <w:sz w:val="24"/>
          <w:szCs w:val="24"/>
        </w:rPr>
        <w:t xml:space="preserve"> inquiry</w:t>
      </w:r>
      <w:r w:rsidR="00410E97" w:rsidRPr="00E821AF">
        <w:rPr>
          <w:spacing w:val="-2"/>
          <w:sz w:val="24"/>
          <w:szCs w:val="24"/>
        </w:rPr>
        <w:t xml:space="preserve">, the </w:t>
      </w:r>
      <w:r w:rsidR="002051A9" w:rsidRPr="00E821AF">
        <w:rPr>
          <w:spacing w:val="-2"/>
          <w:sz w:val="24"/>
          <w:szCs w:val="24"/>
        </w:rPr>
        <w:t xml:space="preserve">Holder </w:t>
      </w:r>
      <w:r w:rsidR="00410E97" w:rsidRPr="00E821AF">
        <w:rPr>
          <w:spacing w:val="-2"/>
          <w:sz w:val="24"/>
          <w:szCs w:val="24"/>
        </w:rPr>
        <w:t>provided</w:t>
      </w:r>
      <w:r w:rsidR="00C151BA" w:rsidRPr="00E821AF">
        <w:rPr>
          <w:spacing w:val="-2"/>
          <w:sz w:val="24"/>
          <w:szCs w:val="24"/>
        </w:rPr>
        <w:t xml:space="preserve"> a list of alternative</w:t>
      </w:r>
      <w:r w:rsidR="008122D6" w:rsidRPr="00E821AF">
        <w:rPr>
          <w:spacing w:val="-2"/>
          <w:sz w:val="24"/>
          <w:szCs w:val="24"/>
        </w:rPr>
        <w:t xml:space="preserve"> sites </w:t>
      </w:r>
      <w:r w:rsidR="00C151BA" w:rsidRPr="00E821AF">
        <w:rPr>
          <w:spacing w:val="-2"/>
          <w:sz w:val="24"/>
          <w:szCs w:val="24"/>
        </w:rPr>
        <w:t>(</w:t>
      </w:r>
      <w:r w:rsidR="008122D6" w:rsidRPr="00E821AF">
        <w:rPr>
          <w:spacing w:val="-2"/>
          <w:sz w:val="24"/>
          <w:szCs w:val="24"/>
        </w:rPr>
        <w:t xml:space="preserve">see </w:t>
      </w:r>
      <w:r w:rsidR="00C151BA" w:rsidRPr="00E821AF">
        <w:rPr>
          <w:spacing w:val="-2"/>
          <w:sz w:val="24"/>
          <w:szCs w:val="24"/>
        </w:rPr>
        <w:t xml:space="preserve">below) and noted that </w:t>
      </w:r>
      <w:r w:rsidR="00410E97" w:rsidRPr="00E821AF">
        <w:rPr>
          <w:spacing w:val="-2"/>
          <w:sz w:val="24"/>
          <w:szCs w:val="24"/>
        </w:rPr>
        <w:t>t</w:t>
      </w:r>
      <w:r w:rsidR="7DE92AA7" w:rsidRPr="00E821AF">
        <w:rPr>
          <w:spacing w:val="-2"/>
          <w:sz w:val="24"/>
          <w:szCs w:val="24"/>
        </w:rPr>
        <w:t>he next closest alternative</w:t>
      </w:r>
      <w:r w:rsidR="00410E97" w:rsidRPr="00E821AF">
        <w:rPr>
          <w:spacing w:val="-2"/>
          <w:sz w:val="24"/>
          <w:szCs w:val="24"/>
        </w:rPr>
        <w:t xml:space="preserve"> </w:t>
      </w:r>
      <w:r w:rsidR="00C151BA" w:rsidRPr="00E821AF">
        <w:rPr>
          <w:spacing w:val="-2"/>
          <w:sz w:val="24"/>
          <w:szCs w:val="24"/>
        </w:rPr>
        <w:t xml:space="preserve">is </w:t>
      </w:r>
      <w:r w:rsidR="6C654EF0" w:rsidRPr="00E821AF">
        <w:rPr>
          <w:spacing w:val="-2"/>
          <w:sz w:val="24"/>
          <w:szCs w:val="24"/>
        </w:rPr>
        <w:t>14 miles</w:t>
      </w:r>
      <w:r w:rsidR="00C151BA" w:rsidRPr="00E821AF">
        <w:rPr>
          <w:spacing w:val="-2"/>
          <w:sz w:val="24"/>
          <w:szCs w:val="24"/>
        </w:rPr>
        <w:t xml:space="preserve"> away</w:t>
      </w:r>
      <w:r w:rsidR="6C654EF0" w:rsidRPr="00E821AF">
        <w:rPr>
          <w:spacing w:val="-2"/>
          <w:sz w:val="24"/>
          <w:szCs w:val="24"/>
        </w:rPr>
        <w:t xml:space="preserve">. The Holder asserts </w:t>
      </w:r>
      <w:r w:rsidR="00C151BA" w:rsidRPr="00E821AF">
        <w:rPr>
          <w:spacing w:val="-2"/>
          <w:sz w:val="24"/>
          <w:szCs w:val="24"/>
        </w:rPr>
        <w:t xml:space="preserve">that the </w:t>
      </w:r>
      <w:r w:rsidR="6C654EF0" w:rsidRPr="00E821AF">
        <w:rPr>
          <w:spacing w:val="-2"/>
          <w:sz w:val="24"/>
          <w:szCs w:val="24"/>
        </w:rPr>
        <w:t>alternative</w:t>
      </w:r>
      <w:r w:rsidR="00070A29" w:rsidRPr="00E821AF">
        <w:rPr>
          <w:spacing w:val="-2"/>
          <w:sz w:val="24"/>
          <w:szCs w:val="24"/>
        </w:rPr>
        <w:t xml:space="preserve"> </w:t>
      </w:r>
      <w:r w:rsidR="6C654EF0" w:rsidRPr="00E821AF">
        <w:rPr>
          <w:spacing w:val="-2"/>
          <w:sz w:val="24"/>
          <w:szCs w:val="24"/>
        </w:rPr>
        <w:t>s</w:t>
      </w:r>
      <w:r w:rsidR="00070A29" w:rsidRPr="00E821AF">
        <w:rPr>
          <w:spacing w:val="-2"/>
          <w:sz w:val="24"/>
          <w:szCs w:val="24"/>
        </w:rPr>
        <w:t>ites</w:t>
      </w:r>
      <w:r w:rsidR="00C151BA" w:rsidRPr="00E821AF">
        <w:rPr>
          <w:spacing w:val="-2"/>
          <w:sz w:val="24"/>
          <w:szCs w:val="24"/>
        </w:rPr>
        <w:t xml:space="preserve"> that it is affiliated with</w:t>
      </w:r>
      <w:r w:rsidR="00070A29" w:rsidRPr="00E821AF">
        <w:rPr>
          <w:spacing w:val="-2"/>
          <w:sz w:val="24"/>
          <w:szCs w:val="24"/>
        </w:rPr>
        <w:t xml:space="preserve"> (see Shields sites </w:t>
      </w:r>
      <w:r w:rsidR="00C151BA" w:rsidRPr="00E821AF">
        <w:rPr>
          <w:spacing w:val="-2"/>
          <w:sz w:val="24"/>
          <w:szCs w:val="24"/>
        </w:rPr>
        <w:t>listed below</w:t>
      </w:r>
      <w:r w:rsidR="00070A29" w:rsidRPr="00E821AF">
        <w:rPr>
          <w:spacing w:val="-2"/>
          <w:sz w:val="24"/>
          <w:szCs w:val="24"/>
        </w:rPr>
        <w:t>)</w:t>
      </w:r>
      <w:r w:rsidR="00C151BA" w:rsidRPr="00E821AF">
        <w:rPr>
          <w:spacing w:val="-2"/>
          <w:sz w:val="24"/>
          <w:szCs w:val="24"/>
        </w:rPr>
        <w:t xml:space="preserve"> </w:t>
      </w:r>
      <w:r w:rsidR="7DE92AA7" w:rsidRPr="00E821AF">
        <w:rPr>
          <w:spacing w:val="-2"/>
          <w:sz w:val="24"/>
          <w:szCs w:val="24"/>
        </w:rPr>
        <w:t>have capacity constraints</w:t>
      </w:r>
      <w:r w:rsidR="00C151BA" w:rsidRPr="00E821AF">
        <w:rPr>
          <w:spacing w:val="-2"/>
          <w:sz w:val="24"/>
          <w:szCs w:val="24"/>
        </w:rPr>
        <w:t xml:space="preserve"> which it </w:t>
      </w:r>
      <w:r w:rsidR="6C654EF0" w:rsidRPr="00E821AF">
        <w:rPr>
          <w:spacing w:val="-2"/>
          <w:sz w:val="24"/>
          <w:szCs w:val="24"/>
        </w:rPr>
        <w:t xml:space="preserve">anticipates </w:t>
      </w:r>
      <w:r w:rsidR="7A2ED6AE" w:rsidRPr="00E821AF">
        <w:rPr>
          <w:spacing w:val="-2"/>
          <w:sz w:val="24"/>
          <w:szCs w:val="24"/>
        </w:rPr>
        <w:t xml:space="preserve">might </w:t>
      </w:r>
      <w:r w:rsidR="00C151BA" w:rsidRPr="00E821AF">
        <w:rPr>
          <w:spacing w:val="-2"/>
          <w:sz w:val="24"/>
          <w:szCs w:val="24"/>
        </w:rPr>
        <w:t xml:space="preserve">be partially </w:t>
      </w:r>
      <w:r w:rsidR="7DE92AA7" w:rsidRPr="00E821AF">
        <w:rPr>
          <w:spacing w:val="-2"/>
          <w:sz w:val="24"/>
          <w:szCs w:val="24"/>
        </w:rPr>
        <w:t xml:space="preserve">alleviated by </w:t>
      </w:r>
      <w:r w:rsidR="7A2ED6AE" w:rsidRPr="00E821AF">
        <w:rPr>
          <w:spacing w:val="-2"/>
          <w:sz w:val="24"/>
          <w:szCs w:val="24"/>
        </w:rPr>
        <w:t xml:space="preserve">an </w:t>
      </w:r>
      <w:r w:rsidR="7DE92AA7" w:rsidRPr="00E821AF">
        <w:rPr>
          <w:spacing w:val="-2"/>
          <w:sz w:val="24"/>
          <w:szCs w:val="24"/>
        </w:rPr>
        <w:t>additional day</w:t>
      </w:r>
      <w:r w:rsidR="7A2ED6AE" w:rsidRPr="00E821AF">
        <w:rPr>
          <w:spacing w:val="-2"/>
          <w:sz w:val="24"/>
          <w:szCs w:val="24"/>
        </w:rPr>
        <w:t xml:space="preserve"> of operation at Heywood</w:t>
      </w:r>
      <w:r w:rsidR="7DE92AA7" w:rsidRPr="00E821AF">
        <w:rPr>
          <w:spacing w:val="-2"/>
          <w:sz w:val="24"/>
          <w:szCs w:val="24"/>
        </w:rPr>
        <w:t>. The</w:t>
      </w:r>
      <w:r w:rsidR="7A2ED6AE" w:rsidRPr="00E821AF">
        <w:rPr>
          <w:spacing w:val="-2"/>
          <w:sz w:val="24"/>
          <w:szCs w:val="24"/>
        </w:rPr>
        <w:t xml:space="preserve"> closest alternative sites</w:t>
      </w:r>
      <w:r w:rsidR="7DE92AA7" w:rsidRPr="00E821AF">
        <w:rPr>
          <w:spacing w:val="-2"/>
          <w:sz w:val="24"/>
          <w:szCs w:val="24"/>
        </w:rPr>
        <w:t xml:space="preserve"> are:</w:t>
      </w:r>
    </w:p>
    <w:p w14:paraId="6C0CAC5B" w14:textId="77777777" w:rsidR="001E67B7" w:rsidRPr="00E821AF" w:rsidRDefault="001E67B7" w:rsidP="00E821AF">
      <w:pPr>
        <w:pStyle w:val="ListParagraph"/>
        <w:widowControl/>
        <w:autoSpaceDE/>
        <w:autoSpaceDN/>
        <w:ind w:left="840" w:firstLine="0"/>
        <w:rPr>
          <w:spacing w:val="-2"/>
          <w:sz w:val="24"/>
          <w:szCs w:val="24"/>
        </w:rPr>
      </w:pPr>
    </w:p>
    <w:p w14:paraId="3D3D0CFB" w14:textId="5171F8D7" w:rsidR="001E67B7" w:rsidRPr="00E821AF" w:rsidRDefault="001E67B7" w:rsidP="00E821AF">
      <w:pPr>
        <w:pStyle w:val="ListParagraph"/>
        <w:widowControl/>
        <w:numPr>
          <w:ilvl w:val="0"/>
          <w:numId w:val="14"/>
        </w:numPr>
        <w:autoSpaceDE/>
        <w:autoSpaceDN/>
        <w:rPr>
          <w:spacing w:val="-2"/>
          <w:sz w:val="24"/>
          <w:szCs w:val="24"/>
        </w:rPr>
      </w:pPr>
      <w:r w:rsidRPr="00E821AF">
        <w:rPr>
          <w:spacing w:val="-2"/>
          <w:sz w:val="24"/>
          <w:szCs w:val="24"/>
        </w:rPr>
        <w:t>Shields/UMass Leominster (Leominster, MA) – 14.4 miles</w:t>
      </w:r>
    </w:p>
    <w:p w14:paraId="10B7E66D" w14:textId="6E234B34" w:rsidR="00410E97" w:rsidRPr="00E821AF" w:rsidRDefault="00410E97" w:rsidP="00E821AF">
      <w:pPr>
        <w:pStyle w:val="ListParagraph"/>
        <w:widowControl/>
        <w:numPr>
          <w:ilvl w:val="0"/>
          <w:numId w:val="14"/>
        </w:numPr>
        <w:autoSpaceDE/>
        <w:autoSpaceDN/>
        <w:rPr>
          <w:spacing w:val="-2"/>
          <w:sz w:val="24"/>
          <w:szCs w:val="24"/>
        </w:rPr>
      </w:pPr>
      <w:r w:rsidRPr="00E821AF">
        <w:rPr>
          <w:spacing w:val="-2"/>
          <w:sz w:val="24"/>
          <w:szCs w:val="24"/>
        </w:rPr>
        <w:t>St Vincent’s Hospital (Worcester, MA) – 28.9 miles</w:t>
      </w:r>
    </w:p>
    <w:p w14:paraId="03E0B78A" w14:textId="3C986574" w:rsidR="00410E97" w:rsidRPr="00E821AF" w:rsidRDefault="00410E97" w:rsidP="00E821AF">
      <w:pPr>
        <w:pStyle w:val="ListParagraph"/>
        <w:widowControl/>
        <w:numPr>
          <w:ilvl w:val="0"/>
          <w:numId w:val="14"/>
        </w:numPr>
        <w:autoSpaceDE/>
        <w:autoSpaceDN/>
        <w:rPr>
          <w:spacing w:val="-2"/>
          <w:sz w:val="24"/>
          <w:szCs w:val="24"/>
        </w:rPr>
      </w:pPr>
      <w:r w:rsidRPr="00E821AF">
        <w:rPr>
          <w:spacing w:val="-2"/>
          <w:sz w:val="24"/>
          <w:szCs w:val="24"/>
        </w:rPr>
        <w:t>Reliant Medical Group Hospital (Worcester, MA) – 34.9 miles</w:t>
      </w:r>
    </w:p>
    <w:p w14:paraId="6A27BEA4" w14:textId="3D84C310" w:rsidR="001E67B7" w:rsidRPr="00E821AF" w:rsidRDefault="001E67B7" w:rsidP="00E821AF">
      <w:pPr>
        <w:pStyle w:val="ListParagraph"/>
        <w:widowControl/>
        <w:numPr>
          <w:ilvl w:val="0"/>
          <w:numId w:val="14"/>
        </w:numPr>
        <w:autoSpaceDE/>
        <w:autoSpaceDN/>
        <w:rPr>
          <w:spacing w:val="-2"/>
          <w:sz w:val="24"/>
          <w:szCs w:val="24"/>
        </w:rPr>
      </w:pPr>
      <w:r w:rsidRPr="00E821AF">
        <w:rPr>
          <w:spacing w:val="-2"/>
          <w:sz w:val="24"/>
          <w:szCs w:val="24"/>
        </w:rPr>
        <w:t>Shields/UMass Marlborough (Marlborough, MA) – 35.8 miles</w:t>
      </w:r>
    </w:p>
    <w:p w14:paraId="11C98208" w14:textId="1A9E6599" w:rsidR="001E67B7" w:rsidRPr="00E821AF" w:rsidRDefault="001E67B7" w:rsidP="00E821AF">
      <w:pPr>
        <w:pStyle w:val="ListParagraph"/>
        <w:widowControl/>
        <w:numPr>
          <w:ilvl w:val="0"/>
          <w:numId w:val="14"/>
        </w:numPr>
        <w:autoSpaceDE/>
        <w:autoSpaceDN/>
        <w:rPr>
          <w:spacing w:val="-2"/>
          <w:sz w:val="24"/>
          <w:szCs w:val="24"/>
        </w:rPr>
      </w:pPr>
      <w:r w:rsidRPr="00E821AF">
        <w:rPr>
          <w:spacing w:val="-2"/>
          <w:sz w:val="24"/>
          <w:szCs w:val="24"/>
        </w:rPr>
        <w:t>Shields/UMass Shrewsbury Street (Worcester, MA) – 37.3 miles</w:t>
      </w:r>
    </w:p>
    <w:p w14:paraId="63C9239C" w14:textId="7B06E0A8" w:rsidR="00410E97" w:rsidRPr="00E821AF" w:rsidRDefault="00410E97" w:rsidP="00E821AF">
      <w:pPr>
        <w:pStyle w:val="ListParagraph"/>
        <w:widowControl/>
        <w:numPr>
          <w:ilvl w:val="0"/>
          <w:numId w:val="14"/>
        </w:numPr>
        <w:autoSpaceDE/>
        <w:autoSpaceDN/>
        <w:rPr>
          <w:spacing w:val="-2"/>
          <w:sz w:val="24"/>
          <w:szCs w:val="24"/>
        </w:rPr>
      </w:pPr>
      <w:proofErr w:type="spellStart"/>
      <w:r w:rsidRPr="00E821AF">
        <w:rPr>
          <w:spacing w:val="-2"/>
          <w:sz w:val="24"/>
          <w:szCs w:val="24"/>
        </w:rPr>
        <w:t>Rayus</w:t>
      </w:r>
      <w:proofErr w:type="spellEnd"/>
      <w:r w:rsidRPr="00E821AF">
        <w:rPr>
          <w:spacing w:val="-2"/>
          <w:sz w:val="24"/>
          <w:szCs w:val="24"/>
        </w:rPr>
        <w:t xml:space="preserve"> Chelmsford (Chelmsford, MA) – 40.2 miles </w:t>
      </w:r>
    </w:p>
    <w:p w14:paraId="6484DD42" w14:textId="672E8929" w:rsidR="00410E97" w:rsidRPr="00E821AF" w:rsidRDefault="00410E97" w:rsidP="00E821AF">
      <w:pPr>
        <w:pStyle w:val="ListParagraph"/>
        <w:widowControl/>
        <w:numPr>
          <w:ilvl w:val="0"/>
          <w:numId w:val="14"/>
        </w:numPr>
        <w:autoSpaceDE/>
        <w:autoSpaceDN/>
        <w:rPr>
          <w:spacing w:val="-2"/>
          <w:sz w:val="24"/>
          <w:szCs w:val="24"/>
        </w:rPr>
      </w:pPr>
      <w:r w:rsidRPr="00E821AF">
        <w:rPr>
          <w:spacing w:val="-2"/>
          <w:sz w:val="24"/>
          <w:szCs w:val="24"/>
        </w:rPr>
        <w:lastRenderedPageBreak/>
        <w:t>Cooley Dickenson Hospital (Northampton, MA) – 47.8 miles</w:t>
      </w:r>
    </w:p>
    <w:p w14:paraId="5802125D" w14:textId="4C587ECD" w:rsidR="00410E97" w:rsidRPr="00E821AF" w:rsidRDefault="00410E97" w:rsidP="00E821AF">
      <w:pPr>
        <w:pStyle w:val="ListParagraph"/>
        <w:widowControl/>
        <w:numPr>
          <w:ilvl w:val="0"/>
          <w:numId w:val="14"/>
        </w:numPr>
        <w:autoSpaceDE/>
        <w:autoSpaceDN/>
        <w:rPr>
          <w:spacing w:val="-2"/>
          <w:sz w:val="24"/>
          <w:szCs w:val="24"/>
        </w:rPr>
      </w:pPr>
      <w:r w:rsidRPr="00E821AF">
        <w:rPr>
          <w:spacing w:val="-2"/>
          <w:sz w:val="24"/>
          <w:szCs w:val="24"/>
        </w:rPr>
        <w:t>Lawrence General Hospital MVHS (Andover, MA) – 49.4 miles</w:t>
      </w:r>
    </w:p>
    <w:p w14:paraId="59074E3E" w14:textId="0A7C984A" w:rsidR="00410E97" w:rsidRPr="00E821AF" w:rsidRDefault="00410E97" w:rsidP="00E821AF">
      <w:pPr>
        <w:pStyle w:val="ListParagraph"/>
        <w:widowControl/>
        <w:numPr>
          <w:ilvl w:val="0"/>
          <w:numId w:val="14"/>
        </w:numPr>
        <w:autoSpaceDE/>
        <w:autoSpaceDN/>
        <w:rPr>
          <w:spacing w:val="-2"/>
          <w:sz w:val="24"/>
          <w:szCs w:val="24"/>
        </w:rPr>
      </w:pPr>
      <w:r w:rsidRPr="00E821AF">
        <w:rPr>
          <w:spacing w:val="-2"/>
          <w:sz w:val="24"/>
          <w:szCs w:val="24"/>
        </w:rPr>
        <w:t>Lawrence General Hospital (Lawrence, MA) – 53.4 miles</w:t>
      </w:r>
    </w:p>
    <w:p w14:paraId="15FE07A0" w14:textId="77777777" w:rsidR="00A821E0" w:rsidRPr="00E821AF" w:rsidRDefault="00A821E0" w:rsidP="00E821AF">
      <w:pPr>
        <w:pStyle w:val="ListParagraph"/>
        <w:widowControl/>
        <w:autoSpaceDE/>
        <w:autoSpaceDN/>
        <w:ind w:left="120" w:firstLine="0"/>
        <w:rPr>
          <w:spacing w:val="-2"/>
          <w:sz w:val="24"/>
          <w:szCs w:val="24"/>
        </w:rPr>
      </w:pPr>
    </w:p>
    <w:p w14:paraId="7D62D16E" w14:textId="7B841A9E" w:rsidR="008C1DAB" w:rsidRPr="00E821AF" w:rsidRDefault="0D7FDABF" w:rsidP="00E821AF">
      <w:pPr>
        <w:pStyle w:val="ListParagraph"/>
        <w:widowControl/>
        <w:autoSpaceDE/>
        <w:autoSpaceDN/>
        <w:ind w:left="120" w:firstLine="0"/>
        <w:rPr>
          <w:sz w:val="24"/>
          <w:szCs w:val="24"/>
        </w:rPr>
      </w:pPr>
      <w:r w:rsidRPr="00E821AF">
        <w:rPr>
          <w:spacing w:val="-2"/>
          <w:sz w:val="24"/>
          <w:szCs w:val="24"/>
        </w:rPr>
        <w:t>As a result of these factors, the Unit</w:t>
      </w:r>
      <w:r w:rsidR="2E8030FC" w:rsidRPr="00E821AF">
        <w:rPr>
          <w:spacing w:val="-2"/>
          <w:sz w:val="24"/>
          <w:szCs w:val="24"/>
        </w:rPr>
        <w:t xml:space="preserve"> in 2024 </w:t>
      </w:r>
      <w:r w:rsidRPr="00E821AF">
        <w:rPr>
          <w:spacing w:val="-2"/>
          <w:sz w:val="24"/>
          <w:szCs w:val="24"/>
        </w:rPr>
        <w:t>operat</w:t>
      </w:r>
      <w:r w:rsidR="2E8030FC" w:rsidRPr="00E821AF">
        <w:rPr>
          <w:spacing w:val="-2"/>
          <w:sz w:val="24"/>
          <w:szCs w:val="24"/>
        </w:rPr>
        <w:t>ed</w:t>
      </w:r>
      <w:r w:rsidRPr="00E821AF">
        <w:rPr>
          <w:spacing w:val="-2"/>
          <w:sz w:val="24"/>
          <w:szCs w:val="24"/>
        </w:rPr>
        <w:t xml:space="preserve"> at about </w:t>
      </w:r>
      <w:r w:rsidR="2E8030FC" w:rsidRPr="00E821AF">
        <w:rPr>
          <w:spacing w:val="-2"/>
          <w:sz w:val="24"/>
          <w:szCs w:val="24"/>
        </w:rPr>
        <w:t>8</w:t>
      </w:r>
      <w:r w:rsidR="2CE54BEF" w:rsidRPr="00E821AF">
        <w:rPr>
          <w:spacing w:val="-2"/>
          <w:sz w:val="24"/>
          <w:szCs w:val="24"/>
        </w:rPr>
        <w:t>6</w:t>
      </w:r>
      <w:r w:rsidR="2E8030FC" w:rsidRPr="00E821AF">
        <w:rPr>
          <w:spacing w:val="-2"/>
          <w:sz w:val="24"/>
          <w:szCs w:val="24"/>
        </w:rPr>
        <w:t xml:space="preserve">% capacity for the six operating days and is on track in </w:t>
      </w:r>
      <w:r w:rsidR="6D92849E" w:rsidRPr="00E821AF">
        <w:rPr>
          <w:spacing w:val="-2"/>
          <w:sz w:val="24"/>
          <w:szCs w:val="24"/>
        </w:rPr>
        <w:t>202</w:t>
      </w:r>
      <w:r w:rsidR="027E6098" w:rsidRPr="00E821AF">
        <w:rPr>
          <w:sz w:val="24"/>
          <w:szCs w:val="24"/>
        </w:rPr>
        <w:t>6</w:t>
      </w:r>
      <w:r w:rsidR="2E8030FC" w:rsidRPr="00E821AF">
        <w:rPr>
          <w:spacing w:val="-2"/>
          <w:sz w:val="24"/>
          <w:szCs w:val="24"/>
        </w:rPr>
        <w:t xml:space="preserve"> to be at 92%. </w:t>
      </w:r>
      <w:r w:rsidR="05DFC0B0" w:rsidRPr="00E821AF">
        <w:rPr>
          <w:sz w:val="24"/>
          <w:szCs w:val="24"/>
        </w:rPr>
        <w:t xml:space="preserve">(See </w:t>
      </w:r>
      <w:r w:rsidR="40B60162" w:rsidRPr="00E821AF">
        <w:rPr>
          <w:sz w:val="24"/>
          <w:szCs w:val="24"/>
        </w:rPr>
        <w:t>T</w:t>
      </w:r>
      <w:r w:rsidR="27D1A185" w:rsidRPr="00E821AF">
        <w:rPr>
          <w:sz w:val="24"/>
          <w:szCs w:val="24"/>
        </w:rPr>
        <w:t xml:space="preserve">able </w:t>
      </w:r>
      <w:r w:rsidR="5FAC9267" w:rsidRPr="00E821AF">
        <w:rPr>
          <w:sz w:val="24"/>
          <w:szCs w:val="24"/>
        </w:rPr>
        <w:t>1)</w:t>
      </w:r>
    </w:p>
    <w:p w14:paraId="5F5F47B6" w14:textId="3C857CA0" w:rsidR="008C1DAB" w:rsidRPr="00E821AF" w:rsidRDefault="008C1DAB" w:rsidP="00E821AF">
      <w:pPr>
        <w:pStyle w:val="ListParagraph"/>
        <w:widowControl/>
        <w:autoSpaceDE/>
        <w:autoSpaceDN/>
        <w:ind w:left="120" w:firstLine="0"/>
        <w:rPr>
          <w:sz w:val="24"/>
          <w:szCs w:val="24"/>
        </w:rPr>
      </w:pPr>
    </w:p>
    <w:p w14:paraId="4A788B7A" w14:textId="6563ECC3" w:rsidR="008C1DAB" w:rsidRPr="005C3A88" w:rsidRDefault="2819CB01" w:rsidP="005C3A88">
      <w:pPr>
        <w:pStyle w:val="ListParagraph"/>
        <w:widowControl/>
        <w:autoSpaceDE/>
        <w:autoSpaceDN/>
        <w:ind w:left="120" w:firstLine="0"/>
        <w:jc w:val="center"/>
        <w:rPr>
          <w:b/>
          <w:bCs/>
          <w:sz w:val="24"/>
          <w:szCs w:val="24"/>
        </w:rPr>
      </w:pPr>
      <w:r w:rsidRPr="005C3A88">
        <w:rPr>
          <w:b/>
          <w:bCs/>
          <w:sz w:val="24"/>
          <w:szCs w:val="24"/>
        </w:rPr>
        <w:t>Table 1</w:t>
      </w:r>
      <w:r w:rsidR="00C24283">
        <w:rPr>
          <w:b/>
          <w:bCs/>
          <w:sz w:val="24"/>
          <w:szCs w:val="24"/>
        </w:rPr>
        <w:t>: Historic Annual Capacity</w:t>
      </w:r>
    </w:p>
    <w:p w14:paraId="0E95C121" w14:textId="3449E3AE" w:rsidR="6B265AC0" w:rsidRPr="00E821AF" w:rsidRDefault="6B265AC0" w:rsidP="00E821AF">
      <w:pPr>
        <w:pStyle w:val="ListParagraph"/>
        <w:widowControl/>
        <w:ind w:left="120" w:firstLine="0"/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46"/>
        <w:tblW w:w="6925" w:type="dxa"/>
        <w:jc w:val="center"/>
        <w:tblLook w:val="04A0" w:firstRow="1" w:lastRow="0" w:firstColumn="1" w:lastColumn="0" w:noHBand="0" w:noVBand="1"/>
      </w:tblPr>
      <w:tblGrid>
        <w:gridCol w:w="1170"/>
        <w:gridCol w:w="1795"/>
        <w:gridCol w:w="1890"/>
        <w:gridCol w:w="2070"/>
      </w:tblGrid>
      <w:tr w:rsidR="008C1DAB" w:rsidRPr="00E821AF" w14:paraId="612020F8" w14:textId="77777777" w:rsidTr="002E3DF3">
        <w:trPr>
          <w:cantSplit/>
          <w:trHeight w:val="293"/>
          <w:tblHeader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CFE"/>
            <w:noWrap/>
            <w:hideMark/>
          </w:tcPr>
          <w:p w14:paraId="536FBF3F" w14:textId="77777777" w:rsidR="008C1DAB" w:rsidRPr="00E821AF" w:rsidRDefault="2EB1455A" w:rsidP="005162DA">
            <w:pPr>
              <w:widowControl/>
              <w:autoSpaceDE/>
              <w:autoSpaceDN/>
              <w:ind w:left="120"/>
              <w:jc w:val="center"/>
              <w:rPr>
                <w:b/>
                <w:bCs/>
                <w:sz w:val="24"/>
                <w:szCs w:val="24"/>
              </w:rPr>
            </w:pPr>
            <w:r w:rsidRPr="00E821AF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FCFE"/>
            <w:noWrap/>
            <w:hideMark/>
          </w:tcPr>
          <w:p w14:paraId="0108AFAE" w14:textId="77777777" w:rsidR="008C1DAB" w:rsidRPr="00E821AF" w:rsidRDefault="2EB1455A" w:rsidP="005162DA">
            <w:pPr>
              <w:widowControl/>
              <w:autoSpaceDE/>
              <w:autoSpaceDN/>
              <w:ind w:left="120"/>
              <w:jc w:val="center"/>
              <w:rPr>
                <w:b/>
                <w:bCs/>
                <w:sz w:val="24"/>
                <w:szCs w:val="24"/>
              </w:rPr>
            </w:pPr>
            <w:r w:rsidRPr="00E821AF">
              <w:rPr>
                <w:b/>
                <w:bCs/>
                <w:sz w:val="24"/>
                <w:szCs w:val="24"/>
              </w:rPr>
              <w:t>Open Minutes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FCFE"/>
            <w:noWrap/>
            <w:hideMark/>
          </w:tcPr>
          <w:p w14:paraId="454846E1" w14:textId="486FD6D9" w:rsidR="008C1DAB" w:rsidRPr="00E821AF" w:rsidRDefault="2EB1455A" w:rsidP="005162DA">
            <w:pPr>
              <w:widowControl/>
              <w:autoSpaceDE/>
              <w:autoSpaceDN/>
              <w:ind w:left="120"/>
              <w:jc w:val="center"/>
              <w:rPr>
                <w:b/>
                <w:bCs/>
                <w:sz w:val="24"/>
                <w:szCs w:val="24"/>
              </w:rPr>
            </w:pPr>
            <w:r w:rsidRPr="00E821AF">
              <w:rPr>
                <w:b/>
                <w:bCs/>
                <w:sz w:val="24"/>
                <w:szCs w:val="24"/>
              </w:rPr>
              <w:t>Daily Slot Time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FCFE"/>
            <w:noWrap/>
            <w:hideMark/>
          </w:tcPr>
          <w:p w14:paraId="00D40713" w14:textId="05922BCF" w:rsidR="008C1DAB" w:rsidRPr="00E821AF" w:rsidRDefault="1DB02184" w:rsidP="005162DA">
            <w:pPr>
              <w:widowControl/>
              <w:autoSpaceDE/>
              <w:autoSpaceDN/>
              <w:ind w:left="120"/>
              <w:jc w:val="center"/>
              <w:rPr>
                <w:b/>
                <w:bCs/>
                <w:sz w:val="24"/>
                <w:szCs w:val="24"/>
              </w:rPr>
            </w:pPr>
            <w:r w:rsidRPr="00E821AF">
              <w:rPr>
                <w:b/>
                <w:bCs/>
                <w:sz w:val="24"/>
                <w:szCs w:val="24"/>
              </w:rPr>
              <w:t>Daily Capacity</w:t>
            </w:r>
            <w:r w:rsidR="008C1DAB" w:rsidRPr="00E821AF">
              <w:rPr>
                <w:b/>
                <w:bCs/>
                <w:sz w:val="24"/>
                <w:szCs w:val="24"/>
                <w:vertAlign w:val="superscript"/>
              </w:rPr>
              <w:footnoteReference w:id="6"/>
            </w:r>
          </w:p>
        </w:tc>
      </w:tr>
      <w:tr w:rsidR="008C1DAB" w:rsidRPr="00E821AF" w14:paraId="09E838DB" w14:textId="77777777" w:rsidTr="002E3DF3">
        <w:trPr>
          <w:cantSplit/>
          <w:trHeight w:val="310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9DA55C" w14:textId="77777777" w:rsidR="008C1DAB" w:rsidRPr="00E821AF" w:rsidRDefault="2EB1455A" w:rsidP="00E821AF">
            <w:pPr>
              <w:widowControl/>
              <w:autoSpaceDE/>
              <w:autoSpaceDN/>
              <w:ind w:left="120"/>
              <w:rPr>
                <w:b/>
                <w:bCs/>
                <w:sz w:val="24"/>
                <w:szCs w:val="24"/>
              </w:rPr>
            </w:pPr>
            <w:r w:rsidRPr="00E821AF">
              <w:rPr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DD8281" w14:textId="77777777" w:rsidR="008C1DAB" w:rsidRPr="00E821AF" w:rsidRDefault="2EB1455A" w:rsidP="005162DA">
            <w:pPr>
              <w:widowControl/>
              <w:autoSpaceDE/>
              <w:autoSpaceDN/>
              <w:ind w:left="120"/>
              <w:jc w:val="right"/>
              <w:rPr>
                <w:sz w:val="24"/>
                <w:szCs w:val="24"/>
              </w:rPr>
            </w:pPr>
            <w:r w:rsidRPr="00E821AF">
              <w:rPr>
                <w:sz w:val="24"/>
                <w:szCs w:val="24"/>
              </w:rPr>
              <w:t>35,980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E45EA9" w14:textId="77777777" w:rsidR="008C1DAB" w:rsidRPr="00E821AF" w:rsidRDefault="2EB1455A" w:rsidP="005162DA">
            <w:pPr>
              <w:widowControl/>
              <w:autoSpaceDE/>
              <w:autoSpaceDN/>
              <w:ind w:left="120"/>
              <w:jc w:val="right"/>
              <w:rPr>
                <w:sz w:val="24"/>
                <w:szCs w:val="24"/>
              </w:rPr>
            </w:pPr>
            <w:r w:rsidRPr="00E821AF">
              <w:rPr>
                <w:sz w:val="24"/>
                <w:szCs w:val="24"/>
              </w:rPr>
              <w:t>27.2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106464" w14:textId="77777777" w:rsidR="008C1DAB" w:rsidRPr="00E821AF" w:rsidRDefault="2EB1455A" w:rsidP="005162DA">
            <w:pPr>
              <w:widowControl/>
              <w:autoSpaceDE/>
              <w:autoSpaceDN/>
              <w:ind w:left="120"/>
              <w:jc w:val="right"/>
              <w:rPr>
                <w:sz w:val="24"/>
                <w:szCs w:val="24"/>
              </w:rPr>
            </w:pPr>
            <w:r w:rsidRPr="00E821AF">
              <w:rPr>
                <w:sz w:val="24"/>
                <w:szCs w:val="24"/>
              </w:rPr>
              <w:t>25</w:t>
            </w:r>
          </w:p>
        </w:tc>
      </w:tr>
      <w:tr w:rsidR="008C1DAB" w:rsidRPr="00E821AF" w14:paraId="0AC7CC7B" w14:textId="77777777" w:rsidTr="002E3DF3">
        <w:trPr>
          <w:cantSplit/>
          <w:trHeight w:val="310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D9EBF2" w14:textId="77777777" w:rsidR="008C1DAB" w:rsidRPr="00E821AF" w:rsidRDefault="2EB1455A" w:rsidP="00E821AF">
            <w:pPr>
              <w:widowControl/>
              <w:autoSpaceDE/>
              <w:autoSpaceDN/>
              <w:ind w:left="120"/>
              <w:rPr>
                <w:b/>
                <w:bCs/>
                <w:sz w:val="24"/>
                <w:szCs w:val="24"/>
              </w:rPr>
            </w:pPr>
            <w:r w:rsidRPr="00E821AF">
              <w:rPr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3D7A35" w14:textId="77777777" w:rsidR="008C1DAB" w:rsidRPr="00E821AF" w:rsidRDefault="2EB1455A" w:rsidP="005162DA">
            <w:pPr>
              <w:widowControl/>
              <w:autoSpaceDE/>
              <w:autoSpaceDN/>
              <w:ind w:left="120"/>
              <w:jc w:val="right"/>
              <w:rPr>
                <w:sz w:val="24"/>
                <w:szCs w:val="24"/>
              </w:rPr>
            </w:pPr>
            <w:r w:rsidRPr="00E821AF">
              <w:rPr>
                <w:sz w:val="24"/>
                <w:szCs w:val="24"/>
              </w:rPr>
              <w:t>37,840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860E2F" w14:textId="77777777" w:rsidR="008C1DAB" w:rsidRPr="00E821AF" w:rsidRDefault="2EB1455A" w:rsidP="005162DA">
            <w:pPr>
              <w:widowControl/>
              <w:autoSpaceDE/>
              <w:autoSpaceDN/>
              <w:ind w:left="120"/>
              <w:jc w:val="right"/>
              <w:rPr>
                <w:sz w:val="24"/>
                <w:szCs w:val="24"/>
              </w:rPr>
            </w:pPr>
            <w:r w:rsidRPr="00E821AF">
              <w:rPr>
                <w:sz w:val="24"/>
                <w:szCs w:val="24"/>
              </w:rPr>
              <w:t>27.7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DAED21" w14:textId="77777777" w:rsidR="008C1DAB" w:rsidRPr="00E821AF" w:rsidRDefault="2EB1455A" w:rsidP="005162DA">
            <w:pPr>
              <w:widowControl/>
              <w:autoSpaceDE/>
              <w:autoSpaceDN/>
              <w:ind w:left="120"/>
              <w:jc w:val="right"/>
              <w:rPr>
                <w:sz w:val="24"/>
                <w:szCs w:val="24"/>
              </w:rPr>
            </w:pPr>
            <w:r w:rsidRPr="00E821AF">
              <w:rPr>
                <w:sz w:val="24"/>
                <w:szCs w:val="24"/>
              </w:rPr>
              <w:t>26</w:t>
            </w:r>
          </w:p>
        </w:tc>
      </w:tr>
      <w:tr w:rsidR="008C1DAB" w:rsidRPr="00E821AF" w14:paraId="16BB8CAE" w14:textId="77777777" w:rsidTr="002E3DF3">
        <w:trPr>
          <w:cantSplit/>
          <w:trHeight w:val="310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FC34B8" w14:textId="77777777" w:rsidR="008C1DAB" w:rsidRPr="00E821AF" w:rsidRDefault="2EB1455A" w:rsidP="00E821AF">
            <w:pPr>
              <w:widowControl/>
              <w:autoSpaceDE/>
              <w:autoSpaceDN/>
              <w:ind w:left="120"/>
              <w:rPr>
                <w:b/>
                <w:bCs/>
                <w:sz w:val="24"/>
                <w:szCs w:val="24"/>
              </w:rPr>
            </w:pPr>
            <w:r w:rsidRPr="00E821AF">
              <w:rPr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7F4CDD" w14:textId="77777777" w:rsidR="008C1DAB" w:rsidRPr="00E821AF" w:rsidRDefault="2EB1455A" w:rsidP="005162DA">
            <w:pPr>
              <w:widowControl/>
              <w:autoSpaceDE/>
              <w:autoSpaceDN/>
              <w:ind w:left="120"/>
              <w:jc w:val="right"/>
              <w:rPr>
                <w:sz w:val="24"/>
                <w:szCs w:val="24"/>
              </w:rPr>
            </w:pPr>
            <w:r w:rsidRPr="00E821AF">
              <w:rPr>
                <w:sz w:val="24"/>
                <w:szCs w:val="24"/>
              </w:rPr>
              <w:t>37,200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481D8" w14:textId="77777777" w:rsidR="008C1DAB" w:rsidRPr="00E821AF" w:rsidRDefault="2EB1455A" w:rsidP="005162DA">
            <w:pPr>
              <w:widowControl/>
              <w:autoSpaceDE/>
              <w:autoSpaceDN/>
              <w:ind w:left="120"/>
              <w:jc w:val="right"/>
              <w:rPr>
                <w:sz w:val="24"/>
                <w:szCs w:val="24"/>
              </w:rPr>
            </w:pPr>
            <w:r w:rsidRPr="00E821AF">
              <w:rPr>
                <w:sz w:val="24"/>
                <w:szCs w:val="24"/>
              </w:rPr>
              <w:t>27.3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E600DA" w14:textId="77777777" w:rsidR="008C1DAB" w:rsidRPr="00E821AF" w:rsidRDefault="2EB1455A" w:rsidP="005162DA">
            <w:pPr>
              <w:widowControl/>
              <w:autoSpaceDE/>
              <w:autoSpaceDN/>
              <w:ind w:left="120"/>
              <w:jc w:val="right"/>
              <w:rPr>
                <w:sz w:val="24"/>
                <w:szCs w:val="24"/>
              </w:rPr>
            </w:pPr>
            <w:r w:rsidRPr="00E821AF">
              <w:rPr>
                <w:sz w:val="24"/>
                <w:szCs w:val="24"/>
              </w:rPr>
              <w:t>26</w:t>
            </w:r>
          </w:p>
        </w:tc>
      </w:tr>
      <w:tr w:rsidR="008C1DAB" w:rsidRPr="00E821AF" w14:paraId="2C8B2289" w14:textId="77777777" w:rsidTr="002E3DF3">
        <w:trPr>
          <w:cantSplit/>
          <w:trHeight w:val="310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10AEC0" w14:textId="77777777" w:rsidR="008C1DAB" w:rsidRPr="00E821AF" w:rsidRDefault="2EB1455A" w:rsidP="00E821AF">
            <w:pPr>
              <w:widowControl/>
              <w:autoSpaceDE/>
              <w:autoSpaceDN/>
              <w:ind w:left="120"/>
              <w:rPr>
                <w:b/>
                <w:bCs/>
                <w:sz w:val="24"/>
                <w:szCs w:val="24"/>
              </w:rPr>
            </w:pPr>
            <w:r w:rsidRPr="00E821AF">
              <w:rPr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CD6C9" w14:textId="77777777" w:rsidR="008C1DAB" w:rsidRPr="00E821AF" w:rsidRDefault="2EB1455A" w:rsidP="005162DA">
            <w:pPr>
              <w:widowControl/>
              <w:autoSpaceDE/>
              <w:autoSpaceDN/>
              <w:ind w:left="120"/>
              <w:jc w:val="right"/>
              <w:rPr>
                <w:sz w:val="24"/>
                <w:szCs w:val="24"/>
              </w:rPr>
            </w:pPr>
            <w:r w:rsidRPr="00E821AF">
              <w:rPr>
                <w:sz w:val="24"/>
                <w:szCs w:val="24"/>
              </w:rPr>
              <w:t>36,635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98D176" w14:textId="77777777" w:rsidR="008C1DAB" w:rsidRPr="00E821AF" w:rsidRDefault="2EB1455A" w:rsidP="005162DA">
            <w:pPr>
              <w:widowControl/>
              <w:autoSpaceDE/>
              <w:autoSpaceDN/>
              <w:ind w:left="120"/>
              <w:jc w:val="right"/>
              <w:rPr>
                <w:sz w:val="24"/>
                <w:szCs w:val="24"/>
              </w:rPr>
            </w:pPr>
            <w:r w:rsidRPr="00E821AF">
              <w:rPr>
                <w:sz w:val="24"/>
                <w:szCs w:val="24"/>
              </w:rPr>
              <w:t>26.5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A859D5" w14:textId="77777777" w:rsidR="008C1DAB" w:rsidRPr="00E821AF" w:rsidRDefault="2EB1455A" w:rsidP="005162DA">
            <w:pPr>
              <w:widowControl/>
              <w:autoSpaceDE/>
              <w:autoSpaceDN/>
              <w:ind w:left="120"/>
              <w:jc w:val="right"/>
              <w:rPr>
                <w:sz w:val="24"/>
                <w:szCs w:val="24"/>
              </w:rPr>
            </w:pPr>
            <w:r w:rsidRPr="00E821AF">
              <w:rPr>
                <w:sz w:val="24"/>
                <w:szCs w:val="24"/>
              </w:rPr>
              <w:t>27</w:t>
            </w:r>
          </w:p>
        </w:tc>
      </w:tr>
      <w:tr w:rsidR="008C1DAB" w:rsidRPr="00E821AF" w14:paraId="2FCE3D56" w14:textId="77777777" w:rsidTr="002E3DF3">
        <w:trPr>
          <w:cantSplit/>
          <w:trHeight w:val="310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B8B9A8" w14:textId="77777777" w:rsidR="008C1DAB" w:rsidRPr="00E821AF" w:rsidRDefault="2EB1455A" w:rsidP="00E821AF">
            <w:pPr>
              <w:widowControl/>
              <w:autoSpaceDE/>
              <w:autoSpaceDN/>
              <w:ind w:left="120"/>
              <w:rPr>
                <w:b/>
                <w:bCs/>
                <w:sz w:val="24"/>
                <w:szCs w:val="24"/>
              </w:rPr>
            </w:pPr>
            <w:r w:rsidRPr="00E821AF">
              <w:rPr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764B4" w14:textId="77777777" w:rsidR="008C1DAB" w:rsidRPr="00E821AF" w:rsidRDefault="2EB1455A" w:rsidP="005162DA">
            <w:pPr>
              <w:widowControl/>
              <w:autoSpaceDE/>
              <w:autoSpaceDN/>
              <w:ind w:left="120"/>
              <w:jc w:val="right"/>
              <w:rPr>
                <w:sz w:val="24"/>
                <w:szCs w:val="24"/>
              </w:rPr>
            </w:pPr>
            <w:r w:rsidRPr="00E821AF">
              <w:rPr>
                <w:sz w:val="24"/>
                <w:szCs w:val="24"/>
              </w:rPr>
              <w:t>39,050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9F4534" w14:textId="77777777" w:rsidR="008C1DAB" w:rsidRPr="00E821AF" w:rsidRDefault="2EB1455A" w:rsidP="005162DA">
            <w:pPr>
              <w:widowControl/>
              <w:autoSpaceDE/>
              <w:autoSpaceDN/>
              <w:ind w:left="120"/>
              <w:jc w:val="right"/>
              <w:rPr>
                <w:sz w:val="24"/>
                <w:szCs w:val="24"/>
              </w:rPr>
            </w:pPr>
            <w:r w:rsidRPr="00E821AF">
              <w:rPr>
                <w:sz w:val="24"/>
                <w:szCs w:val="24"/>
              </w:rPr>
              <w:t>26.9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2EA072" w14:textId="77777777" w:rsidR="008C1DAB" w:rsidRPr="00E821AF" w:rsidRDefault="2EB1455A" w:rsidP="005162DA">
            <w:pPr>
              <w:widowControl/>
              <w:autoSpaceDE/>
              <w:autoSpaceDN/>
              <w:ind w:left="120"/>
              <w:jc w:val="right"/>
              <w:rPr>
                <w:sz w:val="24"/>
                <w:szCs w:val="24"/>
              </w:rPr>
            </w:pPr>
            <w:r w:rsidRPr="00E821AF">
              <w:rPr>
                <w:sz w:val="24"/>
                <w:szCs w:val="24"/>
              </w:rPr>
              <w:t>28</w:t>
            </w:r>
          </w:p>
        </w:tc>
      </w:tr>
      <w:tr w:rsidR="008C1DAB" w:rsidRPr="00E821AF" w14:paraId="4C6E3A61" w14:textId="77777777" w:rsidTr="002E3DF3">
        <w:trPr>
          <w:cantSplit/>
          <w:trHeight w:val="310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13D2E7" w14:textId="77777777" w:rsidR="008C1DAB" w:rsidRPr="00E821AF" w:rsidRDefault="2EB1455A" w:rsidP="00E821AF">
            <w:pPr>
              <w:widowControl/>
              <w:autoSpaceDE/>
              <w:autoSpaceDN/>
              <w:ind w:left="120"/>
              <w:rPr>
                <w:b/>
                <w:bCs/>
                <w:sz w:val="24"/>
                <w:szCs w:val="24"/>
              </w:rPr>
            </w:pPr>
            <w:r w:rsidRPr="00E821AF">
              <w:rPr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8EA669" w14:textId="77777777" w:rsidR="008C1DAB" w:rsidRPr="00E821AF" w:rsidRDefault="2EB1455A" w:rsidP="005162DA">
            <w:pPr>
              <w:widowControl/>
              <w:autoSpaceDE/>
              <w:autoSpaceDN/>
              <w:ind w:left="120"/>
              <w:jc w:val="right"/>
              <w:rPr>
                <w:sz w:val="24"/>
                <w:szCs w:val="24"/>
              </w:rPr>
            </w:pPr>
            <w:r w:rsidRPr="00E821AF">
              <w:rPr>
                <w:sz w:val="24"/>
                <w:szCs w:val="24"/>
              </w:rPr>
              <w:t>22,805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92D05B" w14:textId="77777777" w:rsidR="008C1DAB" w:rsidRPr="00E821AF" w:rsidRDefault="2EB1455A" w:rsidP="005162DA">
            <w:pPr>
              <w:widowControl/>
              <w:autoSpaceDE/>
              <w:autoSpaceDN/>
              <w:ind w:left="120"/>
              <w:jc w:val="right"/>
              <w:rPr>
                <w:sz w:val="24"/>
                <w:szCs w:val="24"/>
              </w:rPr>
            </w:pPr>
            <w:r w:rsidRPr="00E821AF">
              <w:rPr>
                <w:sz w:val="24"/>
                <w:szCs w:val="24"/>
              </w:rPr>
              <w:t>22.2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4FEE1B" w14:textId="77777777" w:rsidR="008C1DAB" w:rsidRPr="00E821AF" w:rsidRDefault="2EB1455A" w:rsidP="005162DA">
            <w:pPr>
              <w:widowControl/>
              <w:autoSpaceDE/>
              <w:autoSpaceDN/>
              <w:ind w:left="120"/>
              <w:jc w:val="right"/>
              <w:rPr>
                <w:sz w:val="24"/>
                <w:szCs w:val="24"/>
              </w:rPr>
            </w:pPr>
            <w:r w:rsidRPr="00E821AF">
              <w:rPr>
                <w:sz w:val="24"/>
                <w:szCs w:val="24"/>
              </w:rPr>
              <w:t>20</w:t>
            </w:r>
          </w:p>
        </w:tc>
      </w:tr>
      <w:tr w:rsidR="008C1DAB" w:rsidRPr="00E821AF" w14:paraId="0A4CAB3A" w14:textId="77777777" w:rsidTr="002E3DF3">
        <w:trPr>
          <w:cantSplit/>
          <w:trHeight w:val="310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C27A66" w14:textId="77777777" w:rsidR="008C1DAB" w:rsidRPr="00E821AF" w:rsidRDefault="008C1DAB" w:rsidP="00E821AF">
            <w:pPr>
              <w:widowControl/>
              <w:autoSpaceDE/>
              <w:autoSpaceDN/>
              <w:ind w:left="120"/>
              <w:rPr>
                <w:b/>
                <w:bCs/>
                <w:sz w:val="24"/>
                <w:szCs w:val="24"/>
              </w:rPr>
            </w:pPr>
            <w:r w:rsidRPr="00E821AF">
              <w:rPr>
                <w:b/>
                <w:bCs/>
                <w:sz w:val="24"/>
                <w:szCs w:val="24"/>
              </w:rPr>
              <w:t>Annual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DE68C2" w14:textId="77777777" w:rsidR="008C1DAB" w:rsidRPr="00E821AF" w:rsidRDefault="008C1DAB" w:rsidP="005162DA">
            <w:pPr>
              <w:widowControl/>
              <w:autoSpaceDE/>
              <w:autoSpaceDN/>
              <w:ind w:left="120"/>
              <w:jc w:val="right"/>
              <w:rPr>
                <w:bCs/>
                <w:sz w:val="24"/>
                <w:szCs w:val="24"/>
              </w:rPr>
            </w:pPr>
            <w:r w:rsidRPr="00E821AF">
              <w:rPr>
                <w:bCs/>
                <w:sz w:val="24"/>
                <w:szCs w:val="24"/>
              </w:rPr>
              <w:t>209,510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659BD1" w14:textId="77777777" w:rsidR="008C1DAB" w:rsidRPr="00E821AF" w:rsidRDefault="008C1DAB" w:rsidP="005162DA">
            <w:pPr>
              <w:widowControl/>
              <w:autoSpaceDE/>
              <w:autoSpaceDN/>
              <w:ind w:left="120"/>
              <w:jc w:val="right"/>
              <w:rPr>
                <w:bCs/>
                <w:sz w:val="24"/>
                <w:szCs w:val="24"/>
              </w:rPr>
            </w:pPr>
            <w:r w:rsidRPr="00E821AF">
              <w:rPr>
                <w:bCs/>
                <w:sz w:val="24"/>
                <w:szCs w:val="24"/>
              </w:rPr>
              <w:t>26.5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176363" w14:textId="77777777" w:rsidR="008C1DAB" w:rsidRPr="00E821AF" w:rsidRDefault="008C1DAB" w:rsidP="005162DA">
            <w:pPr>
              <w:widowControl/>
              <w:autoSpaceDE/>
              <w:autoSpaceDN/>
              <w:ind w:left="120"/>
              <w:jc w:val="right"/>
              <w:rPr>
                <w:bCs/>
                <w:sz w:val="24"/>
                <w:szCs w:val="24"/>
              </w:rPr>
            </w:pPr>
            <w:r w:rsidRPr="00E821AF">
              <w:rPr>
                <w:bCs/>
                <w:sz w:val="24"/>
                <w:szCs w:val="24"/>
              </w:rPr>
              <w:t>7,902</w:t>
            </w:r>
          </w:p>
        </w:tc>
      </w:tr>
    </w:tbl>
    <w:p w14:paraId="02654C80" w14:textId="77777777" w:rsidR="005663FF" w:rsidRPr="00E821AF" w:rsidRDefault="005663FF" w:rsidP="00E821AF">
      <w:pPr>
        <w:widowControl/>
        <w:autoSpaceDE/>
        <w:autoSpaceDN/>
        <w:rPr>
          <w:spacing w:val="-2"/>
          <w:sz w:val="24"/>
          <w:szCs w:val="24"/>
        </w:rPr>
      </w:pPr>
    </w:p>
    <w:p w14:paraId="0109AB44" w14:textId="77777777" w:rsidR="00117EF8" w:rsidRPr="00E821AF" w:rsidRDefault="00117EF8" w:rsidP="00E821AF">
      <w:pPr>
        <w:widowControl/>
        <w:autoSpaceDE/>
        <w:autoSpaceDN/>
        <w:rPr>
          <w:spacing w:val="-2"/>
          <w:sz w:val="24"/>
          <w:szCs w:val="24"/>
        </w:rPr>
      </w:pPr>
    </w:p>
    <w:p w14:paraId="622830E7" w14:textId="77777777" w:rsidR="00117EF8" w:rsidRPr="00E821AF" w:rsidRDefault="00117EF8" w:rsidP="00E821AF">
      <w:pPr>
        <w:widowControl/>
        <w:autoSpaceDE/>
        <w:autoSpaceDN/>
        <w:rPr>
          <w:spacing w:val="-2"/>
          <w:sz w:val="24"/>
          <w:szCs w:val="24"/>
        </w:rPr>
      </w:pPr>
    </w:p>
    <w:p w14:paraId="167CB338" w14:textId="77777777" w:rsidR="00117EF8" w:rsidRPr="00E821AF" w:rsidRDefault="00117EF8" w:rsidP="00E821AF">
      <w:pPr>
        <w:widowControl/>
        <w:autoSpaceDE/>
        <w:autoSpaceDN/>
        <w:rPr>
          <w:spacing w:val="-2"/>
          <w:sz w:val="24"/>
          <w:szCs w:val="24"/>
        </w:rPr>
      </w:pPr>
    </w:p>
    <w:p w14:paraId="5712FE30" w14:textId="77777777" w:rsidR="00117EF8" w:rsidRPr="00E821AF" w:rsidRDefault="00117EF8" w:rsidP="00E821AF">
      <w:pPr>
        <w:widowControl/>
        <w:autoSpaceDE/>
        <w:autoSpaceDN/>
        <w:rPr>
          <w:spacing w:val="-2"/>
          <w:sz w:val="24"/>
          <w:szCs w:val="24"/>
        </w:rPr>
      </w:pPr>
    </w:p>
    <w:p w14:paraId="4F516F66" w14:textId="77777777" w:rsidR="00117EF8" w:rsidRPr="00E821AF" w:rsidRDefault="00117EF8" w:rsidP="00E821AF">
      <w:pPr>
        <w:widowControl/>
        <w:autoSpaceDE/>
        <w:autoSpaceDN/>
        <w:rPr>
          <w:spacing w:val="-2"/>
          <w:sz w:val="24"/>
          <w:szCs w:val="24"/>
        </w:rPr>
      </w:pPr>
    </w:p>
    <w:p w14:paraId="56C9F5B6" w14:textId="77777777" w:rsidR="00117EF8" w:rsidRPr="00E821AF" w:rsidRDefault="00117EF8" w:rsidP="00E821AF">
      <w:pPr>
        <w:widowControl/>
        <w:autoSpaceDE/>
        <w:autoSpaceDN/>
        <w:rPr>
          <w:spacing w:val="-2"/>
          <w:sz w:val="24"/>
          <w:szCs w:val="24"/>
        </w:rPr>
      </w:pPr>
    </w:p>
    <w:p w14:paraId="75BD4C17" w14:textId="77777777" w:rsidR="00117EF8" w:rsidRPr="00E821AF" w:rsidRDefault="00117EF8" w:rsidP="00E821AF">
      <w:pPr>
        <w:widowControl/>
        <w:autoSpaceDE/>
        <w:autoSpaceDN/>
        <w:rPr>
          <w:spacing w:val="-2"/>
          <w:sz w:val="24"/>
          <w:szCs w:val="24"/>
        </w:rPr>
      </w:pPr>
    </w:p>
    <w:p w14:paraId="4823315A" w14:textId="77777777" w:rsidR="00117EF8" w:rsidRPr="00E821AF" w:rsidRDefault="00117EF8" w:rsidP="00E821AF">
      <w:pPr>
        <w:widowControl/>
        <w:autoSpaceDE/>
        <w:autoSpaceDN/>
        <w:rPr>
          <w:spacing w:val="-2"/>
          <w:sz w:val="24"/>
          <w:szCs w:val="24"/>
        </w:rPr>
      </w:pPr>
    </w:p>
    <w:p w14:paraId="048314FA" w14:textId="77777777" w:rsidR="00AF2AE2" w:rsidRPr="00E821AF" w:rsidRDefault="00AF2AE2" w:rsidP="00E821AF">
      <w:pPr>
        <w:widowControl/>
        <w:autoSpaceDE/>
        <w:autoSpaceDN/>
        <w:rPr>
          <w:spacing w:val="-2"/>
          <w:sz w:val="24"/>
          <w:szCs w:val="24"/>
        </w:rPr>
      </w:pPr>
    </w:p>
    <w:p w14:paraId="3BAA5063" w14:textId="77777777" w:rsidR="00D81428" w:rsidRPr="00E821AF" w:rsidRDefault="00D81428" w:rsidP="00E821AF">
      <w:pPr>
        <w:widowControl/>
        <w:autoSpaceDE/>
        <w:autoSpaceDN/>
        <w:ind w:left="120"/>
        <w:rPr>
          <w:spacing w:val="-2"/>
          <w:sz w:val="24"/>
          <w:szCs w:val="24"/>
        </w:rPr>
      </w:pPr>
    </w:p>
    <w:p w14:paraId="7DBA7393" w14:textId="087CE0A6" w:rsidR="009C3419" w:rsidRPr="00E821AF" w:rsidRDefault="4A31783D" w:rsidP="00E821AF">
      <w:pPr>
        <w:widowControl/>
        <w:autoSpaceDE/>
        <w:autoSpaceDN/>
        <w:ind w:left="120"/>
        <w:rPr>
          <w:sz w:val="24"/>
          <w:szCs w:val="24"/>
        </w:rPr>
      </w:pPr>
      <w:r w:rsidRPr="00E821AF">
        <w:rPr>
          <w:spacing w:val="-2"/>
          <w:sz w:val="24"/>
          <w:szCs w:val="24"/>
        </w:rPr>
        <w:t>Upon staff inquiry, the</w:t>
      </w:r>
      <w:r w:rsidR="60CC5BB7" w:rsidRPr="00E821AF">
        <w:rPr>
          <w:spacing w:val="-2"/>
          <w:sz w:val="24"/>
          <w:szCs w:val="24"/>
        </w:rPr>
        <w:t xml:space="preserve"> </w:t>
      </w:r>
      <w:r w:rsidR="56042393" w:rsidRPr="00E821AF">
        <w:rPr>
          <w:spacing w:val="-2"/>
          <w:sz w:val="24"/>
          <w:szCs w:val="24"/>
        </w:rPr>
        <w:t>Holder</w:t>
      </w:r>
      <w:r w:rsidRPr="00E821AF">
        <w:rPr>
          <w:spacing w:val="-2"/>
          <w:sz w:val="24"/>
          <w:szCs w:val="24"/>
        </w:rPr>
        <w:t xml:space="preserve"> e</w:t>
      </w:r>
      <w:r w:rsidRPr="00E821AF">
        <w:rPr>
          <w:sz w:val="24"/>
          <w:szCs w:val="24"/>
        </w:rPr>
        <w:t xml:space="preserve">xplained measures </w:t>
      </w:r>
      <w:r w:rsidR="00567AF7" w:rsidRPr="00E821AF">
        <w:rPr>
          <w:sz w:val="24"/>
          <w:szCs w:val="24"/>
        </w:rPr>
        <w:t>already</w:t>
      </w:r>
      <w:r w:rsidRPr="00E821AF">
        <w:rPr>
          <w:sz w:val="24"/>
          <w:szCs w:val="24"/>
        </w:rPr>
        <w:t xml:space="preserve"> taken to alleviate th</w:t>
      </w:r>
      <w:r w:rsidR="60CC5BB7" w:rsidRPr="00E821AF">
        <w:rPr>
          <w:sz w:val="24"/>
          <w:szCs w:val="24"/>
        </w:rPr>
        <w:t>e</w:t>
      </w:r>
      <w:r w:rsidRPr="00E821AF">
        <w:rPr>
          <w:sz w:val="24"/>
          <w:szCs w:val="24"/>
        </w:rPr>
        <w:t xml:space="preserve"> wait</w:t>
      </w:r>
      <w:r w:rsidR="60CC5BB7" w:rsidRPr="00E821AF">
        <w:rPr>
          <w:sz w:val="24"/>
          <w:szCs w:val="24"/>
        </w:rPr>
        <w:t>-times</w:t>
      </w:r>
      <w:r w:rsidR="00567AF7" w:rsidRPr="00E821AF">
        <w:rPr>
          <w:sz w:val="24"/>
          <w:szCs w:val="24"/>
        </w:rPr>
        <w:t>,</w:t>
      </w:r>
      <w:r w:rsidR="0026274D" w:rsidRPr="00E821AF">
        <w:rPr>
          <w:sz w:val="24"/>
          <w:szCs w:val="24"/>
        </w:rPr>
        <w:t xml:space="preserve"> </w:t>
      </w:r>
      <w:r w:rsidRPr="00E821AF">
        <w:rPr>
          <w:sz w:val="24"/>
          <w:szCs w:val="24"/>
        </w:rPr>
        <w:t xml:space="preserve">including daily monitoring of patient cancellations </w:t>
      </w:r>
      <w:r w:rsidR="3DF2AD0A" w:rsidRPr="00E821AF">
        <w:rPr>
          <w:sz w:val="24"/>
          <w:szCs w:val="24"/>
        </w:rPr>
        <w:t xml:space="preserve">and </w:t>
      </w:r>
      <w:r w:rsidRPr="00E821AF">
        <w:rPr>
          <w:sz w:val="24"/>
          <w:szCs w:val="24"/>
        </w:rPr>
        <w:t>backfilling cases waiting to be performed</w:t>
      </w:r>
      <w:r w:rsidR="691AD912" w:rsidRPr="00E821AF">
        <w:rPr>
          <w:sz w:val="24"/>
          <w:szCs w:val="24"/>
        </w:rPr>
        <w:t>;</w:t>
      </w:r>
      <w:r w:rsidRPr="00E821AF">
        <w:rPr>
          <w:sz w:val="24"/>
          <w:szCs w:val="24"/>
        </w:rPr>
        <w:t xml:space="preserve"> </w:t>
      </w:r>
      <w:r w:rsidR="691AD912" w:rsidRPr="00E821AF">
        <w:rPr>
          <w:sz w:val="24"/>
          <w:szCs w:val="24"/>
        </w:rPr>
        <w:t>and f</w:t>
      </w:r>
      <w:r w:rsidRPr="00E821AF">
        <w:rPr>
          <w:sz w:val="24"/>
          <w:szCs w:val="24"/>
        </w:rPr>
        <w:t>lexing hours of operation during approved days of operation</w:t>
      </w:r>
      <w:r w:rsidR="46273AEA" w:rsidRPr="00E821AF">
        <w:rPr>
          <w:sz w:val="24"/>
          <w:szCs w:val="24"/>
        </w:rPr>
        <w:t xml:space="preserve"> which is</w:t>
      </w:r>
      <w:r w:rsidRPr="00E821AF">
        <w:rPr>
          <w:sz w:val="24"/>
          <w:szCs w:val="24"/>
        </w:rPr>
        <w:t xml:space="preserve"> </w:t>
      </w:r>
      <w:r w:rsidR="46273AEA" w:rsidRPr="00E821AF">
        <w:rPr>
          <w:sz w:val="24"/>
          <w:szCs w:val="24"/>
        </w:rPr>
        <w:t>dependent up</w:t>
      </w:r>
      <w:r w:rsidRPr="00E821AF">
        <w:rPr>
          <w:sz w:val="24"/>
          <w:szCs w:val="24"/>
        </w:rPr>
        <w:t xml:space="preserve">on staff availability. </w:t>
      </w:r>
    </w:p>
    <w:p w14:paraId="5BB2CF72" w14:textId="74A479AF" w:rsidR="00EC437C" w:rsidRDefault="669F5F0F" w:rsidP="00E821AF">
      <w:pPr>
        <w:pStyle w:val="BodyText"/>
        <w:spacing w:before="240"/>
      </w:pPr>
      <w:r w:rsidRPr="00E821AF">
        <w:rPr>
          <w:spacing w:val="-2"/>
        </w:rPr>
        <w:t>Except on Saturday,</w:t>
      </w:r>
      <w:r w:rsidR="00D81428" w:rsidRPr="00E821AF">
        <w:rPr>
          <w:spacing w:val="-2"/>
        </w:rPr>
        <w:t xml:space="preserve"> </w:t>
      </w:r>
      <w:r w:rsidR="002051A9" w:rsidRPr="00E821AF">
        <w:rPr>
          <w:spacing w:val="-2"/>
        </w:rPr>
        <w:t xml:space="preserve">which operates 8 hours, </w:t>
      </w:r>
      <w:r w:rsidRPr="00E821AF">
        <w:rPr>
          <w:spacing w:val="-2"/>
        </w:rPr>
        <w:t xml:space="preserve">the </w:t>
      </w:r>
      <w:r w:rsidR="784BF70B" w:rsidRPr="00E821AF">
        <w:rPr>
          <w:spacing w:val="-2"/>
        </w:rPr>
        <w:t xml:space="preserve">MRI </w:t>
      </w:r>
      <w:r w:rsidRPr="00E821AF">
        <w:rPr>
          <w:spacing w:val="-2"/>
        </w:rPr>
        <w:t>unit operates 12</w:t>
      </w:r>
      <w:r w:rsidR="4950DFB3" w:rsidRPr="00E821AF">
        <w:rPr>
          <w:spacing w:val="-2"/>
        </w:rPr>
        <w:t>-13</w:t>
      </w:r>
      <w:r w:rsidRPr="00E821AF">
        <w:rPr>
          <w:spacing w:val="-2"/>
        </w:rPr>
        <w:t xml:space="preserve"> hours per day</w:t>
      </w:r>
      <w:r w:rsidR="4950DFB3" w:rsidRPr="00E821AF">
        <w:rPr>
          <w:spacing w:val="-2"/>
        </w:rPr>
        <w:t>. Excluding Saturday, the</w:t>
      </w:r>
      <w:r w:rsidR="66A27D40" w:rsidRPr="00E821AF">
        <w:rPr>
          <w:spacing w:val="-2"/>
        </w:rPr>
        <w:t xml:space="preserve"> </w:t>
      </w:r>
      <w:r w:rsidR="6A3029A9" w:rsidRPr="00E821AF">
        <w:rPr>
          <w:spacing w:val="-2"/>
        </w:rPr>
        <w:t>da</w:t>
      </w:r>
      <w:r w:rsidR="66A27D40" w:rsidRPr="00E821AF">
        <w:rPr>
          <w:spacing w:val="-2"/>
        </w:rPr>
        <w:t>il</w:t>
      </w:r>
      <w:r w:rsidR="6A3029A9" w:rsidRPr="00E821AF">
        <w:rPr>
          <w:spacing w:val="-2"/>
        </w:rPr>
        <w:t>y</w:t>
      </w:r>
      <w:r w:rsidR="66A27D40" w:rsidRPr="00E821AF">
        <w:rPr>
          <w:spacing w:val="-2"/>
        </w:rPr>
        <w:t xml:space="preserve"> capacity</w:t>
      </w:r>
      <w:r w:rsidR="4950DFB3" w:rsidRPr="00E821AF">
        <w:rPr>
          <w:spacing w:val="-2"/>
        </w:rPr>
        <w:t xml:space="preserve"> is 25-28 scans per day</w:t>
      </w:r>
      <w:r w:rsidR="4CEA2C9F" w:rsidRPr="00E821AF">
        <w:rPr>
          <w:spacing w:val="-2"/>
        </w:rPr>
        <w:t>.</w:t>
      </w:r>
      <w:r w:rsidR="4FDF8742" w:rsidRPr="00E821AF">
        <w:rPr>
          <w:spacing w:val="-2"/>
        </w:rPr>
        <w:t xml:space="preserve"> </w:t>
      </w:r>
      <w:r w:rsidR="3526E879" w:rsidRPr="00E821AF">
        <w:rPr>
          <w:spacing w:val="-2"/>
        </w:rPr>
        <w:t xml:space="preserve">The Holder </w:t>
      </w:r>
      <w:r w:rsidR="002051A9" w:rsidRPr="00E821AF">
        <w:rPr>
          <w:spacing w:val="-2"/>
        </w:rPr>
        <w:t xml:space="preserve">anticipates it </w:t>
      </w:r>
      <w:r w:rsidR="3526E879" w:rsidRPr="00E821AF">
        <w:rPr>
          <w:spacing w:val="-2"/>
        </w:rPr>
        <w:t>will operate for</w:t>
      </w:r>
      <w:r w:rsidR="00B965D2" w:rsidRPr="00E821AF">
        <w:rPr>
          <w:spacing w:val="-2"/>
        </w:rPr>
        <w:t xml:space="preserve"> 8 </w:t>
      </w:r>
      <w:r w:rsidR="3526E879" w:rsidRPr="00E821AF">
        <w:rPr>
          <w:spacing w:val="-2"/>
        </w:rPr>
        <w:t xml:space="preserve">hours on Sunday. </w:t>
      </w:r>
      <w:r w:rsidR="4FDF8742" w:rsidRPr="00E821AF">
        <w:rPr>
          <w:spacing w:val="-2"/>
        </w:rPr>
        <w:t>Daily</w:t>
      </w:r>
      <w:r w:rsidR="0D6800B5" w:rsidRPr="00E821AF">
        <w:rPr>
          <w:spacing w:val="-2"/>
        </w:rPr>
        <w:t xml:space="preserve"> capacity varies based on the complexity of the </w:t>
      </w:r>
      <w:r w:rsidR="4FDF8742" w:rsidRPr="00E821AF">
        <w:rPr>
          <w:spacing w:val="-2"/>
        </w:rPr>
        <w:t xml:space="preserve">scheduled </w:t>
      </w:r>
      <w:r w:rsidR="0D6800B5" w:rsidRPr="00E821AF">
        <w:rPr>
          <w:spacing w:val="-2"/>
        </w:rPr>
        <w:t>scans</w:t>
      </w:r>
      <w:r w:rsidR="4FDF8742" w:rsidRPr="00E821AF">
        <w:rPr>
          <w:spacing w:val="-2"/>
        </w:rPr>
        <w:t xml:space="preserve">. </w:t>
      </w:r>
      <w:r w:rsidR="4CEA2C9F" w:rsidRPr="00E821AF">
        <w:rPr>
          <w:spacing w:val="-2"/>
        </w:rPr>
        <w:t>F</w:t>
      </w:r>
      <w:r w:rsidR="099AA058" w:rsidRPr="00E821AF">
        <w:rPr>
          <w:spacing w:val="-2"/>
        </w:rPr>
        <w:t>or</w:t>
      </w:r>
      <w:r w:rsidR="0D6800B5" w:rsidRPr="00E821AF">
        <w:rPr>
          <w:spacing w:val="-2"/>
        </w:rPr>
        <w:t xml:space="preserve"> example</w:t>
      </w:r>
      <w:r w:rsidR="4FDF8742" w:rsidRPr="00E821AF">
        <w:rPr>
          <w:spacing w:val="-2"/>
        </w:rPr>
        <w:t>,</w:t>
      </w:r>
      <w:r w:rsidR="0D6800B5" w:rsidRPr="00E821AF">
        <w:rPr>
          <w:spacing w:val="-2"/>
        </w:rPr>
        <w:t xml:space="preserve"> only some exams require contrast</w:t>
      </w:r>
      <w:r w:rsidR="4950DFB3" w:rsidRPr="00E821AF" w:rsidDel="00BB2004">
        <w:rPr>
          <w:spacing w:val="-2"/>
        </w:rPr>
        <w:t>.</w:t>
      </w:r>
      <w:r w:rsidR="00BB2004" w:rsidRPr="00E821AF">
        <w:rPr>
          <w:rStyle w:val="FootnoteReference"/>
          <w:spacing w:val="-2"/>
        </w:rPr>
        <w:footnoteReference w:id="7"/>
      </w:r>
      <w:r w:rsidRPr="00E821AF">
        <w:rPr>
          <w:spacing w:val="-2"/>
        </w:rPr>
        <w:t xml:space="preserve"> </w:t>
      </w:r>
      <w:r w:rsidR="230D3113" w:rsidRPr="00E821AF">
        <w:rPr>
          <w:spacing w:val="-2"/>
        </w:rPr>
        <w:t xml:space="preserve">The </w:t>
      </w:r>
      <w:r w:rsidR="72BB8C16" w:rsidRPr="00E821AF">
        <w:rPr>
          <w:spacing w:val="-2"/>
        </w:rPr>
        <w:t>Holder</w:t>
      </w:r>
      <w:r w:rsidR="230D3113" w:rsidRPr="00E821AF">
        <w:rPr>
          <w:spacing w:val="-2"/>
        </w:rPr>
        <w:t xml:space="preserve"> states that with approval of the additional day of service, a</w:t>
      </w:r>
      <w:r w:rsidR="389C6EC4" w:rsidRPr="00E821AF">
        <w:t xml:space="preserve">verage scans per day </w:t>
      </w:r>
      <w:r w:rsidR="1624937F" w:rsidRPr="00E821AF">
        <w:t>will likely be the same.</w:t>
      </w:r>
      <w:r w:rsidR="675C8B63" w:rsidRPr="00E821AF">
        <w:t xml:space="preserve"> (See Table 2)</w:t>
      </w:r>
    </w:p>
    <w:p w14:paraId="25580933" w14:textId="77777777" w:rsidR="00133830" w:rsidRPr="00E821AF" w:rsidRDefault="00133830" w:rsidP="00C24283">
      <w:pPr>
        <w:pStyle w:val="BodyText"/>
      </w:pPr>
    </w:p>
    <w:p w14:paraId="01835C15" w14:textId="6753C10C" w:rsidR="675C8B63" w:rsidRDefault="675C8B63" w:rsidP="005C3A88">
      <w:pPr>
        <w:pStyle w:val="BodyText"/>
        <w:jc w:val="center"/>
        <w:rPr>
          <w:b/>
          <w:bCs/>
        </w:rPr>
      </w:pPr>
      <w:r w:rsidRPr="00133830">
        <w:rPr>
          <w:b/>
          <w:bCs/>
        </w:rPr>
        <w:t>Table 2</w:t>
      </w:r>
      <w:r w:rsidR="00C24283">
        <w:rPr>
          <w:b/>
          <w:bCs/>
        </w:rPr>
        <w:t>: Operational Hours and Daily Capacity</w:t>
      </w:r>
    </w:p>
    <w:p w14:paraId="7F3F15C8" w14:textId="77777777" w:rsidR="00133830" w:rsidRPr="00133830" w:rsidRDefault="00133830" w:rsidP="005C3A88">
      <w:pPr>
        <w:pStyle w:val="BodyText"/>
        <w:jc w:val="center"/>
        <w:rPr>
          <w:b/>
          <w:bCs/>
        </w:rPr>
      </w:pPr>
    </w:p>
    <w:tbl>
      <w:tblPr>
        <w:tblW w:w="6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3120"/>
        <w:gridCol w:w="2214"/>
      </w:tblGrid>
      <w:tr w:rsidR="000023B3" w:rsidRPr="00E821AF" w:rsidDel="000023B3" w14:paraId="3D6156F9" w14:textId="01510EA9" w:rsidTr="00D14B78">
        <w:trPr>
          <w:cantSplit/>
          <w:trHeight w:val="278"/>
          <w:tblHeader/>
          <w:jc w:val="center"/>
        </w:trPr>
        <w:tc>
          <w:tcPr>
            <w:tcW w:w="1110" w:type="dxa"/>
            <w:shd w:val="clear" w:color="auto" w:fill="E6FCFE"/>
            <w:noWrap/>
            <w:vAlign w:val="bottom"/>
          </w:tcPr>
          <w:p w14:paraId="4D61122F" w14:textId="1B554330" w:rsidR="00910AAA" w:rsidRPr="005162DA" w:rsidDel="000023B3" w:rsidRDefault="00910AAA" w:rsidP="005162DA">
            <w:pPr>
              <w:ind w:firstLine="440"/>
              <w:rPr>
                <w:sz w:val="24"/>
                <w:szCs w:val="24"/>
              </w:rPr>
            </w:pPr>
            <w:r w:rsidRPr="005162DA">
              <w:rPr>
                <w:sz w:val="24"/>
                <w:szCs w:val="24"/>
              </w:rPr>
              <w:t>Day</w:t>
            </w:r>
          </w:p>
        </w:tc>
        <w:tc>
          <w:tcPr>
            <w:tcW w:w="3120" w:type="dxa"/>
            <w:shd w:val="clear" w:color="auto" w:fill="E6FCFE"/>
            <w:noWrap/>
            <w:vAlign w:val="bottom"/>
          </w:tcPr>
          <w:p w14:paraId="200365B3" w14:textId="30FF38C4" w:rsidR="00910AAA" w:rsidRPr="00E821AF" w:rsidDel="000023B3" w:rsidRDefault="00910AAA" w:rsidP="00E821AF">
            <w:pPr>
              <w:ind w:firstLine="440"/>
              <w:rPr>
                <w:b/>
                <w:bCs/>
                <w:sz w:val="24"/>
                <w:szCs w:val="24"/>
              </w:rPr>
            </w:pPr>
            <w:r w:rsidRPr="00E821AF">
              <w:rPr>
                <w:b/>
                <w:bCs/>
                <w:sz w:val="24"/>
                <w:szCs w:val="24"/>
              </w:rPr>
              <w:t>Daily Operational Hours</w:t>
            </w:r>
          </w:p>
        </w:tc>
        <w:tc>
          <w:tcPr>
            <w:tcW w:w="2220" w:type="dxa"/>
            <w:shd w:val="clear" w:color="auto" w:fill="E6FCFE"/>
            <w:vAlign w:val="bottom"/>
          </w:tcPr>
          <w:p w14:paraId="1A96ECD4" w14:textId="0841106E" w:rsidR="00910AAA" w:rsidRPr="00E821AF" w:rsidDel="000023B3" w:rsidRDefault="57EB9790" w:rsidP="00E821AF">
            <w:pPr>
              <w:ind w:firstLine="440"/>
              <w:rPr>
                <w:sz w:val="24"/>
                <w:szCs w:val="24"/>
              </w:rPr>
            </w:pPr>
            <w:r w:rsidRPr="00E821AF">
              <w:rPr>
                <w:b/>
                <w:bCs/>
                <w:sz w:val="24"/>
                <w:szCs w:val="24"/>
              </w:rPr>
              <w:t>Daily Capacity</w:t>
            </w:r>
            <w:r w:rsidR="00910AAA" w:rsidRPr="00E821AF">
              <w:rPr>
                <w:rStyle w:val="FootnoteReference"/>
                <w:sz w:val="24"/>
                <w:szCs w:val="24"/>
              </w:rPr>
              <w:footnoteReference w:id="8"/>
            </w:r>
          </w:p>
        </w:tc>
      </w:tr>
      <w:tr w:rsidR="000023B3" w:rsidRPr="00E821AF" w:rsidDel="000023B3" w14:paraId="30F6AE48" w14:textId="70B7ABD6" w:rsidTr="00D14B78">
        <w:trPr>
          <w:cantSplit/>
          <w:trHeight w:val="278"/>
          <w:jc w:val="center"/>
        </w:trPr>
        <w:tc>
          <w:tcPr>
            <w:tcW w:w="1110" w:type="dxa"/>
            <w:shd w:val="clear" w:color="auto" w:fill="F5F5F5"/>
            <w:noWrap/>
          </w:tcPr>
          <w:p w14:paraId="5A526B38" w14:textId="1DAC0964" w:rsidR="00910AAA" w:rsidRPr="005162DA" w:rsidDel="000023B3" w:rsidRDefault="00910AAA" w:rsidP="005162DA">
            <w:pPr>
              <w:ind w:firstLine="440"/>
              <w:rPr>
                <w:color w:val="000000"/>
                <w:sz w:val="24"/>
                <w:szCs w:val="24"/>
              </w:rPr>
            </w:pPr>
            <w:r w:rsidRPr="005162DA">
              <w:rPr>
                <w:color w:val="000000" w:themeColor="text1"/>
                <w:sz w:val="24"/>
                <w:szCs w:val="24"/>
              </w:rPr>
              <w:t>Mon</w:t>
            </w:r>
          </w:p>
        </w:tc>
        <w:tc>
          <w:tcPr>
            <w:tcW w:w="3120" w:type="dxa"/>
            <w:shd w:val="clear" w:color="auto" w:fill="FFFFFF" w:themeFill="background1"/>
            <w:noWrap/>
          </w:tcPr>
          <w:p w14:paraId="26E8183D" w14:textId="6BF10A4F" w:rsidR="00910AAA" w:rsidRPr="00E821AF" w:rsidDel="000023B3" w:rsidRDefault="00910AAA" w:rsidP="005162DA">
            <w:pPr>
              <w:ind w:firstLine="440"/>
              <w:jc w:val="right"/>
              <w:rPr>
                <w:color w:val="000000"/>
                <w:sz w:val="24"/>
                <w:szCs w:val="24"/>
              </w:rPr>
            </w:pPr>
            <w:r w:rsidRPr="00E821AF">
              <w:rPr>
                <w:color w:val="000000" w:themeColor="text1"/>
                <w:sz w:val="24"/>
                <w:szCs w:val="24"/>
              </w:rPr>
              <w:t>12.0</w:t>
            </w:r>
          </w:p>
        </w:tc>
        <w:tc>
          <w:tcPr>
            <w:tcW w:w="2220" w:type="dxa"/>
          </w:tcPr>
          <w:p w14:paraId="6D50D692" w14:textId="19255AE5" w:rsidR="00910AAA" w:rsidRPr="00E821AF" w:rsidDel="000023B3" w:rsidRDefault="00910AAA" w:rsidP="005162DA">
            <w:pPr>
              <w:ind w:firstLine="440"/>
              <w:jc w:val="right"/>
              <w:rPr>
                <w:sz w:val="24"/>
                <w:szCs w:val="24"/>
              </w:rPr>
            </w:pPr>
            <w:r w:rsidRPr="00E821AF">
              <w:rPr>
                <w:color w:val="000000" w:themeColor="text1"/>
                <w:sz w:val="24"/>
                <w:szCs w:val="24"/>
              </w:rPr>
              <w:t>25</w:t>
            </w:r>
          </w:p>
        </w:tc>
      </w:tr>
      <w:tr w:rsidR="000023B3" w:rsidRPr="00E821AF" w:rsidDel="000023B3" w14:paraId="377A84B8" w14:textId="7AB7CA15" w:rsidTr="00D14B78">
        <w:trPr>
          <w:cantSplit/>
          <w:trHeight w:val="278"/>
          <w:jc w:val="center"/>
        </w:trPr>
        <w:tc>
          <w:tcPr>
            <w:tcW w:w="1110" w:type="dxa"/>
            <w:shd w:val="clear" w:color="auto" w:fill="F5F5F5"/>
            <w:noWrap/>
          </w:tcPr>
          <w:p w14:paraId="0288DCFF" w14:textId="514835BD" w:rsidR="00910AAA" w:rsidRPr="005162DA" w:rsidDel="000023B3" w:rsidRDefault="00910AAA" w:rsidP="005162DA">
            <w:pPr>
              <w:ind w:firstLine="440"/>
              <w:rPr>
                <w:color w:val="000000"/>
                <w:sz w:val="24"/>
                <w:szCs w:val="24"/>
              </w:rPr>
            </w:pPr>
            <w:r w:rsidRPr="005162DA">
              <w:rPr>
                <w:color w:val="000000" w:themeColor="text1"/>
                <w:sz w:val="24"/>
                <w:szCs w:val="24"/>
              </w:rPr>
              <w:t>Tue</w:t>
            </w:r>
          </w:p>
        </w:tc>
        <w:tc>
          <w:tcPr>
            <w:tcW w:w="3120" w:type="dxa"/>
            <w:shd w:val="clear" w:color="auto" w:fill="FFFFFF" w:themeFill="background1"/>
            <w:noWrap/>
          </w:tcPr>
          <w:p w14:paraId="5792D822" w14:textId="5A427D62" w:rsidR="00910AAA" w:rsidRPr="00E821AF" w:rsidDel="000023B3" w:rsidRDefault="00910AAA" w:rsidP="005162DA">
            <w:pPr>
              <w:ind w:firstLine="440"/>
              <w:jc w:val="right"/>
              <w:rPr>
                <w:color w:val="000000"/>
                <w:sz w:val="24"/>
                <w:szCs w:val="24"/>
              </w:rPr>
            </w:pPr>
            <w:r w:rsidRPr="00E821AF">
              <w:rPr>
                <w:color w:val="000000" w:themeColor="text1"/>
                <w:sz w:val="24"/>
                <w:szCs w:val="24"/>
              </w:rPr>
              <w:t>12.6</w:t>
            </w:r>
          </w:p>
        </w:tc>
        <w:tc>
          <w:tcPr>
            <w:tcW w:w="2220" w:type="dxa"/>
          </w:tcPr>
          <w:p w14:paraId="7B0A68FB" w14:textId="43D0FDC1" w:rsidR="00910AAA" w:rsidRPr="00E821AF" w:rsidDel="000023B3" w:rsidRDefault="00910AAA" w:rsidP="005162DA">
            <w:pPr>
              <w:ind w:firstLine="440"/>
              <w:jc w:val="right"/>
              <w:rPr>
                <w:sz w:val="24"/>
                <w:szCs w:val="24"/>
              </w:rPr>
            </w:pPr>
            <w:r w:rsidRPr="00E821AF">
              <w:rPr>
                <w:color w:val="000000" w:themeColor="text1"/>
                <w:sz w:val="24"/>
                <w:szCs w:val="24"/>
              </w:rPr>
              <w:t>26</w:t>
            </w:r>
          </w:p>
        </w:tc>
      </w:tr>
      <w:tr w:rsidR="000023B3" w:rsidRPr="00E821AF" w:rsidDel="000023B3" w14:paraId="2EE27AEC" w14:textId="6E36A928" w:rsidTr="00D14B78">
        <w:trPr>
          <w:cantSplit/>
          <w:trHeight w:val="278"/>
          <w:jc w:val="center"/>
        </w:trPr>
        <w:tc>
          <w:tcPr>
            <w:tcW w:w="1110" w:type="dxa"/>
            <w:shd w:val="clear" w:color="auto" w:fill="F5F5F5"/>
            <w:noWrap/>
          </w:tcPr>
          <w:p w14:paraId="724254B1" w14:textId="77D08E6C" w:rsidR="00910AAA" w:rsidRPr="005162DA" w:rsidDel="000023B3" w:rsidRDefault="00910AAA" w:rsidP="005162DA">
            <w:pPr>
              <w:ind w:firstLine="440"/>
              <w:rPr>
                <w:color w:val="000000"/>
                <w:sz w:val="24"/>
                <w:szCs w:val="24"/>
              </w:rPr>
            </w:pPr>
            <w:r w:rsidRPr="005162DA">
              <w:rPr>
                <w:color w:val="000000" w:themeColor="text1"/>
                <w:sz w:val="24"/>
                <w:szCs w:val="24"/>
              </w:rPr>
              <w:t>Wed</w:t>
            </w:r>
          </w:p>
        </w:tc>
        <w:tc>
          <w:tcPr>
            <w:tcW w:w="3120" w:type="dxa"/>
            <w:shd w:val="clear" w:color="auto" w:fill="FFFFFF" w:themeFill="background1"/>
            <w:noWrap/>
          </w:tcPr>
          <w:p w14:paraId="75B7FFEF" w14:textId="16F4BCBF" w:rsidR="00910AAA" w:rsidRPr="00E821AF" w:rsidDel="000023B3" w:rsidRDefault="00910AAA" w:rsidP="005162DA">
            <w:pPr>
              <w:ind w:firstLine="440"/>
              <w:jc w:val="right"/>
              <w:rPr>
                <w:color w:val="000000"/>
                <w:sz w:val="24"/>
                <w:szCs w:val="24"/>
              </w:rPr>
            </w:pPr>
            <w:r w:rsidRPr="00E821AF">
              <w:rPr>
                <w:color w:val="000000" w:themeColor="text1"/>
                <w:sz w:val="24"/>
                <w:szCs w:val="24"/>
              </w:rPr>
              <w:t>12.4</w:t>
            </w:r>
          </w:p>
        </w:tc>
        <w:tc>
          <w:tcPr>
            <w:tcW w:w="2220" w:type="dxa"/>
          </w:tcPr>
          <w:p w14:paraId="07A4F243" w14:textId="45F9BA70" w:rsidR="00910AAA" w:rsidRPr="00E821AF" w:rsidDel="000023B3" w:rsidRDefault="00910AAA" w:rsidP="005162DA">
            <w:pPr>
              <w:ind w:firstLine="440"/>
              <w:jc w:val="right"/>
              <w:rPr>
                <w:sz w:val="24"/>
                <w:szCs w:val="24"/>
              </w:rPr>
            </w:pPr>
            <w:r w:rsidRPr="00E821AF">
              <w:rPr>
                <w:color w:val="000000" w:themeColor="text1"/>
                <w:sz w:val="24"/>
                <w:szCs w:val="24"/>
              </w:rPr>
              <w:t>26</w:t>
            </w:r>
          </w:p>
        </w:tc>
      </w:tr>
      <w:tr w:rsidR="000023B3" w:rsidRPr="00E821AF" w:rsidDel="000023B3" w14:paraId="3EB73448" w14:textId="5978FC3C" w:rsidTr="00D14B78">
        <w:trPr>
          <w:cantSplit/>
          <w:trHeight w:val="278"/>
          <w:jc w:val="center"/>
        </w:trPr>
        <w:tc>
          <w:tcPr>
            <w:tcW w:w="1110" w:type="dxa"/>
            <w:shd w:val="clear" w:color="auto" w:fill="F5F5F5"/>
            <w:noWrap/>
          </w:tcPr>
          <w:p w14:paraId="41927664" w14:textId="42044889" w:rsidR="00910AAA" w:rsidRPr="005162DA" w:rsidDel="000023B3" w:rsidRDefault="00910AAA" w:rsidP="005162DA">
            <w:pPr>
              <w:ind w:firstLine="440"/>
              <w:rPr>
                <w:color w:val="000000"/>
                <w:sz w:val="24"/>
                <w:szCs w:val="24"/>
              </w:rPr>
            </w:pPr>
            <w:r w:rsidRPr="005162DA">
              <w:rPr>
                <w:color w:val="000000" w:themeColor="text1"/>
                <w:sz w:val="24"/>
                <w:szCs w:val="24"/>
              </w:rPr>
              <w:lastRenderedPageBreak/>
              <w:t>Thu</w:t>
            </w:r>
          </w:p>
        </w:tc>
        <w:tc>
          <w:tcPr>
            <w:tcW w:w="3120" w:type="dxa"/>
            <w:shd w:val="clear" w:color="auto" w:fill="FFFFFF" w:themeFill="background1"/>
            <w:noWrap/>
          </w:tcPr>
          <w:p w14:paraId="2AD4BF2F" w14:textId="395F83EA" w:rsidR="00910AAA" w:rsidRPr="00E821AF" w:rsidDel="000023B3" w:rsidRDefault="00910AAA" w:rsidP="005162DA">
            <w:pPr>
              <w:ind w:firstLine="440"/>
              <w:jc w:val="right"/>
              <w:rPr>
                <w:color w:val="000000"/>
                <w:sz w:val="24"/>
                <w:szCs w:val="24"/>
              </w:rPr>
            </w:pPr>
            <w:r w:rsidRPr="00E821AF">
              <w:rPr>
                <w:color w:val="000000" w:themeColor="text1"/>
                <w:sz w:val="24"/>
                <w:szCs w:val="24"/>
              </w:rPr>
              <w:t>12.2</w:t>
            </w:r>
          </w:p>
        </w:tc>
        <w:tc>
          <w:tcPr>
            <w:tcW w:w="2220" w:type="dxa"/>
          </w:tcPr>
          <w:p w14:paraId="6B07E2D6" w14:textId="2054812D" w:rsidR="00910AAA" w:rsidRPr="00E821AF" w:rsidDel="000023B3" w:rsidRDefault="00910AAA" w:rsidP="005162DA">
            <w:pPr>
              <w:ind w:firstLine="440"/>
              <w:jc w:val="right"/>
              <w:rPr>
                <w:sz w:val="24"/>
                <w:szCs w:val="24"/>
              </w:rPr>
            </w:pPr>
            <w:r w:rsidRPr="00E821AF">
              <w:rPr>
                <w:color w:val="000000" w:themeColor="text1"/>
                <w:sz w:val="24"/>
                <w:szCs w:val="24"/>
              </w:rPr>
              <w:t>27</w:t>
            </w:r>
          </w:p>
        </w:tc>
      </w:tr>
      <w:tr w:rsidR="000023B3" w:rsidRPr="00E821AF" w:rsidDel="000023B3" w14:paraId="1DB45E0C" w14:textId="1EE3B6E7" w:rsidTr="00D14B78">
        <w:trPr>
          <w:cantSplit/>
          <w:trHeight w:val="278"/>
          <w:jc w:val="center"/>
        </w:trPr>
        <w:tc>
          <w:tcPr>
            <w:tcW w:w="1110" w:type="dxa"/>
            <w:shd w:val="clear" w:color="auto" w:fill="F5F5F5"/>
            <w:noWrap/>
          </w:tcPr>
          <w:p w14:paraId="155D8F91" w14:textId="11717B04" w:rsidR="00910AAA" w:rsidRPr="005162DA" w:rsidDel="000023B3" w:rsidRDefault="00910AAA" w:rsidP="005162DA">
            <w:pPr>
              <w:ind w:firstLine="440"/>
              <w:rPr>
                <w:color w:val="000000"/>
                <w:sz w:val="24"/>
                <w:szCs w:val="24"/>
              </w:rPr>
            </w:pPr>
            <w:r w:rsidRPr="005162DA">
              <w:rPr>
                <w:color w:val="000000" w:themeColor="text1"/>
                <w:sz w:val="24"/>
                <w:szCs w:val="24"/>
              </w:rPr>
              <w:t>Fri</w:t>
            </w:r>
          </w:p>
        </w:tc>
        <w:tc>
          <w:tcPr>
            <w:tcW w:w="3120" w:type="dxa"/>
            <w:shd w:val="clear" w:color="auto" w:fill="FFFFFF" w:themeFill="background1"/>
            <w:noWrap/>
          </w:tcPr>
          <w:p w14:paraId="4159663F" w14:textId="49890D89" w:rsidR="00910AAA" w:rsidRPr="00E821AF" w:rsidDel="000023B3" w:rsidRDefault="00910AAA" w:rsidP="005162DA">
            <w:pPr>
              <w:ind w:firstLine="440"/>
              <w:jc w:val="right"/>
              <w:rPr>
                <w:color w:val="000000"/>
                <w:sz w:val="24"/>
                <w:szCs w:val="24"/>
              </w:rPr>
            </w:pPr>
            <w:r w:rsidRPr="00E821AF">
              <w:rPr>
                <w:color w:val="000000" w:themeColor="text1"/>
                <w:sz w:val="24"/>
                <w:szCs w:val="24"/>
              </w:rPr>
              <w:t>13.0</w:t>
            </w:r>
          </w:p>
        </w:tc>
        <w:tc>
          <w:tcPr>
            <w:tcW w:w="2220" w:type="dxa"/>
          </w:tcPr>
          <w:p w14:paraId="27B48835" w14:textId="29D92CBE" w:rsidR="00910AAA" w:rsidRPr="00E821AF" w:rsidDel="000023B3" w:rsidRDefault="00910AAA" w:rsidP="005162DA">
            <w:pPr>
              <w:ind w:firstLine="440"/>
              <w:jc w:val="right"/>
              <w:rPr>
                <w:sz w:val="24"/>
                <w:szCs w:val="24"/>
              </w:rPr>
            </w:pPr>
            <w:r w:rsidRPr="00E821AF">
              <w:rPr>
                <w:color w:val="000000" w:themeColor="text1"/>
                <w:sz w:val="24"/>
                <w:szCs w:val="24"/>
              </w:rPr>
              <w:t>28</w:t>
            </w:r>
          </w:p>
        </w:tc>
      </w:tr>
      <w:tr w:rsidR="000023B3" w:rsidRPr="00E821AF" w:rsidDel="000023B3" w14:paraId="1E48A2DD" w14:textId="06C6F799" w:rsidTr="00D14B78">
        <w:trPr>
          <w:cantSplit/>
          <w:trHeight w:val="278"/>
          <w:jc w:val="center"/>
        </w:trPr>
        <w:tc>
          <w:tcPr>
            <w:tcW w:w="1110" w:type="dxa"/>
            <w:shd w:val="clear" w:color="auto" w:fill="F5F5F5"/>
            <w:noWrap/>
          </w:tcPr>
          <w:p w14:paraId="57CED946" w14:textId="20EC71B8" w:rsidR="00910AAA" w:rsidRPr="005162DA" w:rsidDel="000023B3" w:rsidRDefault="00910AAA" w:rsidP="005162DA">
            <w:pPr>
              <w:ind w:firstLine="440"/>
              <w:rPr>
                <w:sz w:val="24"/>
                <w:szCs w:val="24"/>
              </w:rPr>
            </w:pPr>
            <w:r w:rsidRPr="005162DA">
              <w:rPr>
                <w:sz w:val="24"/>
                <w:szCs w:val="24"/>
              </w:rPr>
              <w:t>Sat</w:t>
            </w:r>
          </w:p>
        </w:tc>
        <w:tc>
          <w:tcPr>
            <w:tcW w:w="3120" w:type="dxa"/>
            <w:shd w:val="clear" w:color="auto" w:fill="FFFFFF" w:themeFill="background1"/>
            <w:noWrap/>
          </w:tcPr>
          <w:p w14:paraId="357249DE" w14:textId="29D3635B" w:rsidR="00910AAA" w:rsidRPr="00E821AF" w:rsidDel="000023B3" w:rsidRDefault="00910AAA" w:rsidP="005162DA">
            <w:pPr>
              <w:ind w:firstLine="440"/>
              <w:jc w:val="right"/>
              <w:rPr>
                <w:sz w:val="24"/>
                <w:szCs w:val="24"/>
              </w:rPr>
            </w:pPr>
            <w:r w:rsidRPr="00E821AF">
              <w:rPr>
                <w:sz w:val="24"/>
                <w:szCs w:val="24"/>
              </w:rPr>
              <w:t>7.8</w:t>
            </w:r>
          </w:p>
        </w:tc>
        <w:tc>
          <w:tcPr>
            <w:tcW w:w="2220" w:type="dxa"/>
          </w:tcPr>
          <w:p w14:paraId="7C8891A7" w14:textId="2D9766C9" w:rsidR="00910AAA" w:rsidRPr="00E821AF" w:rsidDel="000023B3" w:rsidRDefault="00910AAA" w:rsidP="005162DA">
            <w:pPr>
              <w:ind w:firstLine="440"/>
              <w:jc w:val="right"/>
              <w:rPr>
                <w:color w:val="000000"/>
                <w:sz w:val="24"/>
                <w:szCs w:val="24"/>
              </w:rPr>
            </w:pPr>
            <w:r w:rsidRPr="00E821AF">
              <w:rPr>
                <w:color w:val="000000" w:themeColor="text1"/>
                <w:sz w:val="24"/>
                <w:szCs w:val="24"/>
              </w:rPr>
              <w:t>20</w:t>
            </w:r>
          </w:p>
        </w:tc>
      </w:tr>
      <w:tr w:rsidR="0016480A" w:rsidRPr="00E821AF" w:rsidDel="000023B3" w14:paraId="3FDA75E7" w14:textId="77777777" w:rsidTr="00D14B78">
        <w:trPr>
          <w:cantSplit/>
          <w:trHeight w:val="302"/>
          <w:jc w:val="center"/>
        </w:trPr>
        <w:tc>
          <w:tcPr>
            <w:tcW w:w="1110" w:type="dxa"/>
            <w:shd w:val="clear" w:color="auto" w:fill="F5F5F5"/>
            <w:noWrap/>
          </w:tcPr>
          <w:p w14:paraId="7D2D053B" w14:textId="3D9B3257" w:rsidR="0016480A" w:rsidRPr="005162DA" w:rsidRDefault="59BF42F4" w:rsidP="005162DA">
            <w:pPr>
              <w:ind w:firstLine="440"/>
              <w:rPr>
                <w:sz w:val="24"/>
                <w:szCs w:val="24"/>
              </w:rPr>
            </w:pPr>
            <w:r w:rsidRPr="005162DA">
              <w:rPr>
                <w:sz w:val="24"/>
                <w:szCs w:val="24"/>
              </w:rPr>
              <w:t>Sun</w:t>
            </w:r>
          </w:p>
        </w:tc>
        <w:tc>
          <w:tcPr>
            <w:tcW w:w="3120" w:type="dxa"/>
            <w:shd w:val="clear" w:color="auto" w:fill="FFFFFF" w:themeFill="background1"/>
            <w:noWrap/>
          </w:tcPr>
          <w:p w14:paraId="432E9814" w14:textId="1B7A3BB7" w:rsidR="0016480A" w:rsidRPr="00E821AF" w:rsidRDefault="00A821E0" w:rsidP="005162DA">
            <w:pPr>
              <w:ind w:firstLine="440"/>
              <w:jc w:val="right"/>
              <w:rPr>
                <w:sz w:val="24"/>
                <w:szCs w:val="24"/>
              </w:rPr>
            </w:pPr>
            <w:r w:rsidRPr="00E821AF">
              <w:rPr>
                <w:sz w:val="24"/>
                <w:szCs w:val="24"/>
              </w:rPr>
              <w:t>8.0</w:t>
            </w:r>
          </w:p>
        </w:tc>
        <w:tc>
          <w:tcPr>
            <w:tcW w:w="2220" w:type="dxa"/>
          </w:tcPr>
          <w:p w14:paraId="6D8D039D" w14:textId="2C563A6B" w:rsidR="0016480A" w:rsidRPr="00E821AF" w:rsidRDefault="797E0A04" w:rsidP="005162DA">
            <w:pPr>
              <w:ind w:firstLine="440"/>
              <w:jc w:val="right"/>
              <w:rPr>
                <w:rStyle w:val="FootnoteReference"/>
                <w:color w:val="000000" w:themeColor="text1"/>
                <w:sz w:val="24"/>
                <w:szCs w:val="24"/>
              </w:rPr>
            </w:pPr>
            <w:r w:rsidRPr="00E821AF">
              <w:rPr>
                <w:color w:val="000000" w:themeColor="text1"/>
                <w:sz w:val="24"/>
                <w:szCs w:val="24"/>
              </w:rPr>
              <w:t>20</w:t>
            </w:r>
          </w:p>
        </w:tc>
      </w:tr>
    </w:tbl>
    <w:p w14:paraId="46B1495D" w14:textId="2AABD59F" w:rsidR="00EC437C" w:rsidRPr="00E821AF" w:rsidRDefault="584291D6" w:rsidP="00E821AF">
      <w:pPr>
        <w:pStyle w:val="BodyText"/>
        <w:spacing w:before="240"/>
      </w:pPr>
      <w:r w:rsidRPr="00E821AF">
        <w:rPr>
          <w:spacing w:val="-2"/>
        </w:rPr>
        <w:t xml:space="preserve">Further, the </w:t>
      </w:r>
      <w:r w:rsidR="71046FC3" w:rsidRPr="00E821AF">
        <w:rPr>
          <w:spacing w:val="-2"/>
        </w:rPr>
        <w:t>Holder</w:t>
      </w:r>
      <w:r w:rsidRPr="00E821AF">
        <w:rPr>
          <w:spacing w:val="-2"/>
        </w:rPr>
        <w:t xml:space="preserve"> anticipates increased </w:t>
      </w:r>
      <w:r w:rsidR="41419912" w:rsidRPr="00E821AF">
        <w:rPr>
          <w:spacing w:val="-2"/>
        </w:rPr>
        <w:t xml:space="preserve">need </w:t>
      </w:r>
      <w:r w:rsidRPr="00E821AF">
        <w:rPr>
          <w:spacing w:val="-2"/>
        </w:rPr>
        <w:t>for MRI services as the</w:t>
      </w:r>
      <w:r w:rsidR="00DA27EF" w:rsidRPr="00E821AF">
        <w:rPr>
          <w:spacing w:val="-2"/>
        </w:rPr>
        <w:t xml:space="preserve"> patient</w:t>
      </w:r>
      <w:r w:rsidRPr="00E821AF">
        <w:rPr>
          <w:spacing w:val="-2"/>
        </w:rPr>
        <w:t xml:space="preserve"> population ages</w:t>
      </w:r>
      <w:r w:rsidR="41419912" w:rsidRPr="00E821AF">
        <w:rPr>
          <w:spacing w:val="-2"/>
        </w:rPr>
        <w:t xml:space="preserve"> due to the prevalence of age</w:t>
      </w:r>
      <w:r w:rsidR="0AE453CE" w:rsidRPr="00E821AF">
        <w:rPr>
          <w:spacing w:val="-2"/>
        </w:rPr>
        <w:t>-</w:t>
      </w:r>
      <w:r w:rsidR="41419912" w:rsidRPr="00E821AF">
        <w:rPr>
          <w:spacing w:val="-2"/>
        </w:rPr>
        <w:t xml:space="preserve">related conditions such as musculoskeletal diseases, arthritis, strokes, </w:t>
      </w:r>
      <w:r w:rsidR="00DB78D9" w:rsidRPr="00E821AF">
        <w:rPr>
          <w:spacing w:val="-2"/>
        </w:rPr>
        <w:t xml:space="preserve">and </w:t>
      </w:r>
      <w:r w:rsidR="41419912" w:rsidRPr="00E821AF">
        <w:rPr>
          <w:spacing w:val="-2"/>
        </w:rPr>
        <w:t>cancer</w:t>
      </w:r>
      <w:r w:rsidR="2599F189" w:rsidRPr="00E821AF">
        <w:rPr>
          <w:spacing w:val="-2"/>
        </w:rPr>
        <w:t xml:space="preserve"> where MRI is utilized as a diagnostic </w:t>
      </w:r>
      <w:r w:rsidR="6A62F555" w:rsidRPr="00E821AF">
        <w:rPr>
          <w:spacing w:val="-2"/>
        </w:rPr>
        <w:t>modality</w:t>
      </w:r>
      <w:r w:rsidRPr="00E821AF">
        <w:rPr>
          <w:spacing w:val="-2"/>
        </w:rPr>
        <w:t xml:space="preserve">.  Based on 2024 data, approximately 70% of the </w:t>
      </w:r>
      <w:r w:rsidR="14BCC10D" w:rsidRPr="00E821AF">
        <w:rPr>
          <w:spacing w:val="-2"/>
        </w:rPr>
        <w:t>Holder’</w:t>
      </w:r>
      <w:r w:rsidRPr="00E821AF">
        <w:rPr>
          <w:spacing w:val="-2"/>
        </w:rPr>
        <w:t>s patients are over the age of 50</w:t>
      </w:r>
      <w:r w:rsidR="00817087" w:rsidRPr="00E821AF">
        <w:rPr>
          <w:spacing w:val="-2"/>
        </w:rPr>
        <w:t>, and the 65 and older age cohort currently comprises about 30% of imaging volume</w:t>
      </w:r>
      <w:r w:rsidRPr="00E821AF">
        <w:rPr>
          <w:spacing w:val="-2"/>
        </w:rPr>
        <w:t xml:space="preserve">. </w:t>
      </w:r>
      <w:r w:rsidR="00F827FA" w:rsidRPr="00E821AF">
        <w:rPr>
          <w:spacing w:val="-2"/>
        </w:rPr>
        <w:t xml:space="preserve">According to the census data, the number of </w:t>
      </w:r>
      <w:proofErr w:type="gramStart"/>
      <w:r w:rsidR="00F827FA" w:rsidRPr="00E821AF">
        <w:rPr>
          <w:spacing w:val="-2"/>
        </w:rPr>
        <w:t>60-69 year olds</w:t>
      </w:r>
      <w:proofErr w:type="gramEnd"/>
      <w:r w:rsidR="00F827FA" w:rsidRPr="00E821AF">
        <w:rPr>
          <w:spacing w:val="-2"/>
        </w:rPr>
        <w:t xml:space="preserve"> in Gardner is 25% higher than in</w:t>
      </w:r>
      <w:r w:rsidR="00A32055" w:rsidRPr="00E821AF">
        <w:rPr>
          <w:spacing w:val="-2"/>
        </w:rPr>
        <w:t xml:space="preserve"> Massachusetts as a whol</w:t>
      </w:r>
      <w:r w:rsidR="00933D1B" w:rsidRPr="00E821AF">
        <w:rPr>
          <w:spacing w:val="-2"/>
        </w:rPr>
        <w:t xml:space="preserve">e. </w:t>
      </w:r>
      <w:r w:rsidRPr="00E821AF">
        <w:rPr>
          <w:spacing w:val="-2"/>
        </w:rPr>
        <w:t xml:space="preserve">Accordingly, due to the nature of the </w:t>
      </w:r>
      <w:r w:rsidR="642BFD96" w:rsidRPr="00E821AF">
        <w:rPr>
          <w:spacing w:val="-2"/>
        </w:rPr>
        <w:t>patients’</w:t>
      </w:r>
      <w:r w:rsidRPr="00E821AF">
        <w:rPr>
          <w:spacing w:val="-2"/>
        </w:rPr>
        <w:t xml:space="preserve"> </w:t>
      </w:r>
      <w:r w:rsidR="41419912" w:rsidRPr="00E821AF">
        <w:rPr>
          <w:spacing w:val="-2"/>
        </w:rPr>
        <w:t xml:space="preserve">medical </w:t>
      </w:r>
      <w:r w:rsidRPr="00E821AF">
        <w:rPr>
          <w:spacing w:val="-2"/>
        </w:rPr>
        <w:t>conditions and the age of the existing patient panel, it is important that patients have timely and convenient access to this service.</w:t>
      </w:r>
      <w:r w:rsidR="3CE444CD" w:rsidRPr="00E821AF">
        <w:t xml:space="preserve"> </w:t>
      </w:r>
    </w:p>
    <w:p w14:paraId="485D02EE" w14:textId="01F83DBC" w:rsidR="0080213A" w:rsidRPr="00E821AF" w:rsidRDefault="06EF9BA4" w:rsidP="00E821AF">
      <w:pPr>
        <w:pStyle w:val="BodyText"/>
        <w:spacing w:before="240"/>
        <w:rPr>
          <w:bCs/>
          <w:spacing w:val="-2"/>
        </w:rPr>
      </w:pPr>
      <w:r w:rsidRPr="00E821AF">
        <w:rPr>
          <w:spacing w:val="-2"/>
        </w:rPr>
        <w:t xml:space="preserve">Upon </w:t>
      </w:r>
      <w:r w:rsidR="39F4488E" w:rsidRPr="00E821AF">
        <w:t>s</w:t>
      </w:r>
      <w:r w:rsidRPr="00E821AF">
        <w:rPr>
          <w:spacing w:val="-2"/>
        </w:rPr>
        <w:t>taff inquiry</w:t>
      </w:r>
      <w:r w:rsidR="6692C882" w:rsidRPr="00E821AF">
        <w:rPr>
          <w:spacing w:val="-2"/>
        </w:rPr>
        <w:t xml:space="preserve"> as to how the </w:t>
      </w:r>
      <w:r w:rsidR="18778C20" w:rsidRPr="00E821AF">
        <w:rPr>
          <w:spacing w:val="-2"/>
        </w:rPr>
        <w:t>Holder</w:t>
      </w:r>
      <w:r w:rsidR="102CD4FB" w:rsidRPr="00E821AF">
        <w:rPr>
          <w:spacing w:val="-2"/>
        </w:rPr>
        <w:t xml:space="preserve"> </w:t>
      </w:r>
      <w:r w:rsidR="15E28530" w:rsidRPr="00E821AF">
        <w:rPr>
          <w:spacing w:val="-2"/>
        </w:rPr>
        <w:t>verif</w:t>
      </w:r>
      <w:r w:rsidR="39F4488E" w:rsidRPr="00E821AF">
        <w:rPr>
          <w:spacing w:val="-2"/>
        </w:rPr>
        <w:t>ie</w:t>
      </w:r>
      <w:r w:rsidR="15E28530" w:rsidRPr="00E821AF">
        <w:rPr>
          <w:spacing w:val="-2"/>
        </w:rPr>
        <w:t>s</w:t>
      </w:r>
      <w:r w:rsidR="6C446897" w:rsidRPr="00E821AF">
        <w:rPr>
          <w:bCs/>
          <w:spacing w:val="-2"/>
        </w:rPr>
        <w:t xml:space="preserve"> </w:t>
      </w:r>
      <w:r w:rsidR="35BF7C04" w:rsidRPr="00E821AF">
        <w:rPr>
          <w:spacing w:val="-2"/>
        </w:rPr>
        <w:t>appropriate use of MRI</w:t>
      </w:r>
      <w:r w:rsidRPr="00E821AF">
        <w:rPr>
          <w:bCs/>
          <w:spacing w:val="-2"/>
        </w:rPr>
        <w:t>,</w:t>
      </w:r>
      <w:r w:rsidR="35BF7C04" w:rsidRPr="00E821AF">
        <w:rPr>
          <w:bCs/>
          <w:spacing w:val="-2"/>
        </w:rPr>
        <w:t xml:space="preserve"> </w:t>
      </w:r>
      <w:r w:rsidR="6CD622FF" w:rsidRPr="00E821AF">
        <w:rPr>
          <w:spacing w:val="-2"/>
        </w:rPr>
        <w:t xml:space="preserve">it affirmed </w:t>
      </w:r>
      <w:r w:rsidR="35BF7C04" w:rsidRPr="00E821AF">
        <w:rPr>
          <w:spacing w:val="-2"/>
        </w:rPr>
        <w:t>that Medicare, MassHealth and commercial carriers all require that clinical medical necessity criteria</w:t>
      </w:r>
      <w:r w:rsidR="0080213A" w:rsidRPr="00E821AF">
        <w:rPr>
          <w:rStyle w:val="FootnoteReference"/>
          <w:spacing w:val="-2"/>
        </w:rPr>
        <w:footnoteReference w:id="9"/>
      </w:r>
      <w:r w:rsidR="35BF7C04" w:rsidRPr="00E821AF">
        <w:rPr>
          <w:spacing w:val="-2"/>
        </w:rPr>
        <w:t xml:space="preserve"> be met in advance of completing most MRI scans through prior authorization requirements. Medical necessity must meet the burden of appropriateness, </w:t>
      </w:r>
      <w:r w:rsidR="39D1DD72" w:rsidRPr="00E821AF">
        <w:rPr>
          <w:spacing w:val="-2"/>
        </w:rPr>
        <w:t>as well as</w:t>
      </w:r>
      <w:r w:rsidR="35BF7C04" w:rsidRPr="00E821AF">
        <w:rPr>
          <w:spacing w:val="-2"/>
        </w:rPr>
        <w:t xml:space="preserve"> expectations of improvement, safety, and efficiency. </w:t>
      </w:r>
      <w:r w:rsidR="5DD7AC29" w:rsidRPr="00E821AF">
        <w:rPr>
          <w:spacing w:val="-2"/>
        </w:rPr>
        <w:t>Additionally, each exam is evaluated by exam type cross</w:t>
      </w:r>
      <w:r w:rsidR="001508FB" w:rsidRPr="00E821AF">
        <w:rPr>
          <w:spacing w:val="-2"/>
        </w:rPr>
        <w:t>-</w:t>
      </w:r>
      <w:r w:rsidR="5DD7AC29" w:rsidRPr="00E821AF">
        <w:rPr>
          <w:spacing w:val="-2"/>
        </w:rPr>
        <w:t xml:space="preserve">referencing to diagnosis along with Radiologist oversight and approval to meet medical necessity.  </w:t>
      </w:r>
    </w:p>
    <w:p w14:paraId="7D88BB3D" w14:textId="32766BD8" w:rsidR="006A0F50" w:rsidRPr="00E821AF" w:rsidRDefault="6B321257" w:rsidP="00E821AF">
      <w:pPr>
        <w:pStyle w:val="BodyText"/>
        <w:spacing w:before="240"/>
        <w:rPr>
          <w:spacing w:val="-2"/>
        </w:rPr>
      </w:pPr>
      <w:r w:rsidRPr="00E821AF">
        <w:rPr>
          <w:spacing w:val="-2"/>
        </w:rPr>
        <w:t>Following the growth trajectory</w:t>
      </w:r>
      <w:r w:rsidR="2BF2388C" w:rsidRPr="00E821AF">
        <w:rPr>
          <w:spacing w:val="-2"/>
        </w:rPr>
        <w:t xml:space="preserve"> </w:t>
      </w:r>
      <w:r w:rsidR="38A3D3FE" w:rsidRPr="00E821AF">
        <w:rPr>
          <w:spacing w:val="-2"/>
        </w:rPr>
        <w:t>for 2025</w:t>
      </w:r>
      <w:r w:rsidRPr="00E821AF">
        <w:rPr>
          <w:spacing w:val="-2"/>
        </w:rPr>
        <w:t xml:space="preserve"> of 8%</w:t>
      </w:r>
      <w:r w:rsidR="4D56D4DD" w:rsidRPr="00E821AF">
        <w:rPr>
          <w:spacing w:val="-2"/>
        </w:rPr>
        <w:t>,</w:t>
      </w:r>
      <w:r w:rsidR="004815F0" w:rsidRPr="00E821AF">
        <w:rPr>
          <w:spacing w:val="-2"/>
        </w:rPr>
        <w:t xml:space="preserve"> </w:t>
      </w:r>
      <w:r w:rsidR="29E7CDB8" w:rsidRPr="00E821AF">
        <w:t>t</w:t>
      </w:r>
      <w:r w:rsidR="004815F0" w:rsidRPr="00E821AF">
        <w:rPr>
          <w:spacing w:val="-2"/>
        </w:rPr>
        <w:t xml:space="preserve">he </w:t>
      </w:r>
      <w:r w:rsidR="7243001F" w:rsidRPr="00E821AF">
        <w:rPr>
          <w:spacing w:val="-2"/>
        </w:rPr>
        <w:t xml:space="preserve">holder </w:t>
      </w:r>
      <w:r w:rsidR="58EA0F08" w:rsidRPr="00E821AF">
        <w:rPr>
          <w:spacing w:val="-2"/>
        </w:rPr>
        <w:t>project</w:t>
      </w:r>
      <w:r w:rsidR="004815F0" w:rsidRPr="00E821AF">
        <w:rPr>
          <w:spacing w:val="-2"/>
        </w:rPr>
        <w:t xml:space="preserve">s similar annual growth in Fiscal Years </w:t>
      </w:r>
      <w:r w:rsidR="58EA0F08" w:rsidRPr="00E821AF" w:rsidDel="00E569F7">
        <w:rPr>
          <w:spacing w:val="-2"/>
        </w:rPr>
        <w:t>2026</w:t>
      </w:r>
      <w:r w:rsidR="62447810" w:rsidRPr="00E821AF">
        <w:rPr>
          <w:spacing w:val="-2"/>
        </w:rPr>
        <w:t>-</w:t>
      </w:r>
      <w:r w:rsidR="58EA0F08" w:rsidRPr="00E821AF" w:rsidDel="00E569F7">
        <w:rPr>
          <w:spacing w:val="-2"/>
        </w:rPr>
        <w:t xml:space="preserve">2028. </w:t>
      </w:r>
      <w:r w:rsidR="58EA0F08" w:rsidRPr="00E821AF">
        <w:rPr>
          <w:spacing w:val="-2"/>
        </w:rPr>
        <w:t xml:space="preserve">The </w:t>
      </w:r>
      <w:r w:rsidR="71046FC3" w:rsidRPr="00E821AF">
        <w:rPr>
          <w:spacing w:val="-2"/>
        </w:rPr>
        <w:t>Holder</w:t>
      </w:r>
      <w:r w:rsidR="58EA0F08" w:rsidRPr="00E821AF">
        <w:rPr>
          <w:spacing w:val="-2"/>
        </w:rPr>
        <w:t xml:space="preserve"> expects the additional day of service will </w:t>
      </w:r>
      <w:r w:rsidR="004815F0" w:rsidRPr="00E821AF">
        <w:rPr>
          <w:spacing w:val="-2"/>
        </w:rPr>
        <w:t xml:space="preserve">accommodate the projected </w:t>
      </w:r>
      <w:r w:rsidR="002051A9" w:rsidRPr="00E821AF">
        <w:rPr>
          <w:spacing w:val="-2"/>
        </w:rPr>
        <w:t xml:space="preserve">growth, </w:t>
      </w:r>
      <w:r w:rsidR="58EA0F08" w:rsidRPr="00E821AF">
        <w:rPr>
          <w:spacing w:val="-2"/>
        </w:rPr>
        <w:t xml:space="preserve">improve </w:t>
      </w:r>
      <w:proofErr w:type="gramStart"/>
      <w:r w:rsidR="58EA0F08" w:rsidRPr="00E821AF">
        <w:rPr>
          <w:spacing w:val="-2"/>
        </w:rPr>
        <w:t>wait</w:t>
      </w:r>
      <w:r w:rsidR="002051A9" w:rsidRPr="00E821AF">
        <w:rPr>
          <w:spacing w:val="-2"/>
        </w:rPr>
        <w:t>-</w:t>
      </w:r>
      <w:r w:rsidR="58EA0F08" w:rsidRPr="00E821AF">
        <w:rPr>
          <w:spacing w:val="-2"/>
        </w:rPr>
        <w:t>times</w:t>
      </w:r>
      <w:proofErr w:type="gramEnd"/>
      <w:r w:rsidR="002051A9" w:rsidRPr="00E821AF">
        <w:rPr>
          <w:spacing w:val="-2"/>
        </w:rPr>
        <w:t>,</w:t>
      </w:r>
      <w:r w:rsidR="0AE453CE" w:rsidRPr="00E821AF">
        <w:rPr>
          <w:spacing w:val="-2"/>
        </w:rPr>
        <w:t xml:space="preserve"> </w:t>
      </w:r>
      <w:r w:rsidR="2094DF24" w:rsidRPr="00E821AF">
        <w:rPr>
          <w:spacing w:val="-2"/>
        </w:rPr>
        <w:t xml:space="preserve">and </w:t>
      </w:r>
      <w:r w:rsidR="58EA0F08" w:rsidRPr="00E821AF">
        <w:rPr>
          <w:spacing w:val="-2"/>
        </w:rPr>
        <w:t xml:space="preserve">prevent </w:t>
      </w:r>
      <w:r w:rsidR="007C7AF3" w:rsidRPr="00E821AF">
        <w:rPr>
          <w:spacing w:val="-2"/>
        </w:rPr>
        <w:t xml:space="preserve">or alleviate </w:t>
      </w:r>
      <w:r w:rsidR="58EA0F08" w:rsidRPr="00E821AF">
        <w:rPr>
          <w:spacing w:val="-2"/>
        </w:rPr>
        <w:t>delays in care</w:t>
      </w:r>
      <w:r w:rsidR="007C7AF3" w:rsidRPr="00E821AF">
        <w:rPr>
          <w:spacing w:val="-2"/>
        </w:rPr>
        <w:t>.</w:t>
      </w:r>
      <w:r w:rsidR="00EF3E0F">
        <w:rPr>
          <w:spacing w:val="-2"/>
        </w:rPr>
        <w:t xml:space="preserve"> </w:t>
      </w:r>
      <w:r w:rsidR="4B6DBF36" w:rsidRPr="00E821AF">
        <w:rPr>
          <w:spacing w:val="-2"/>
        </w:rPr>
        <w:t>Table 3</w:t>
      </w:r>
      <w:r w:rsidR="09237FBF" w:rsidRPr="00E821AF">
        <w:rPr>
          <w:spacing w:val="-2"/>
        </w:rPr>
        <w:t xml:space="preserve"> </w:t>
      </w:r>
      <w:r w:rsidR="0166BFDB" w:rsidRPr="00E821AF">
        <w:rPr>
          <w:spacing w:val="-2"/>
        </w:rPr>
        <w:t>is</w:t>
      </w:r>
      <w:r w:rsidR="09237FBF" w:rsidRPr="00E821AF">
        <w:rPr>
          <w:spacing w:val="-2"/>
        </w:rPr>
        <w:t xml:space="preserve"> the </w:t>
      </w:r>
      <w:r w:rsidR="646132F2" w:rsidRPr="00E821AF">
        <w:rPr>
          <w:spacing w:val="-2"/>
        </w:rPr>
        <w:t xml:space="preserve">historical volume by specialty for FY2023 and 2024 and </w:t>
      </w:r>
      <w:r w:rsidR="09237FBF" w:rsidRPr="00E821AF">
        <w:rPr>
          <w:spacing w:val="-2"/>
        </w:rPr>
        <w:t>projections</w:t>
      </w:r>
      <w:r w:rsidR="646132F2" w:rsidRPr="00E821AF">
        <w:rPr>
          <w:spacing w:val="-2"/>
        </w:rPr>
        <w:t xml:space="preserve"> for </w:t>
      </w:r>
      <w:r w:rsidR="1CD43357" w:rsidRPr="00E821AF">
        <w:rPr>
          <w:spacing w:val="-2"/>
        </w:rPr>
        <w:t>FY</w:t>
      </w:r>
      <w:r w:rsidR="646132F2" w:rsidRPr="00E821AF">
        <w:rPr>
          <w:spacing w:val="-2"/>
        </w:rPr>
        <w:t>2025-</w:t>
      </w:r>
      <w:r w:rsidR="63C4BB0B" w:rsidRPr="00E821AF">
        <w:rPr>
          <w:spacing w:val="-2"/>
        </w:rPr>
        <w:t>20</w:t>
      </w:r>
      <w:r w:rsidR="646132F2" w:rsidRPr="00E821AF">
        <w:rPr>
          <w:spacing w:val="-2"/>
        </w:rPr>
        <w:t>28</w:t>
      </w:r>
      <w:r w:rsidR="09237FBF" w:rsidRPr="00E821AF">
        <w:rPr>
          <w:spacing w:val="-2"/>
        </w:rPr>
        <w:t>.</w:t>
      </w:r>
    </w:p>
    <w:p w14:paraId="31FF8139" w14:textId="61976957" w:rsidR="00A105D4" w:rsidRPr="00E821AF" w:rsidRDefault="081C5E09" w:rsidP="00A105D4">
      <w:pPr>
        <w:pStyle w:val="BodyText"/>
        <w:spacing w:before="240"/>
        <w:jc w:val="center"/>
        <w:rPr>
          <w:b/>
          <w:bCs/>
          <w:color w:val="000000"/>
        </w:rPr>
      </w:pPr>
      <w:r w:rsidRPr="00422457">
        <w:rPr>
          <w:b/>
          <w:bCs/>
        </w:rPr>
        <w:t>Table 3</w:t>
      </w:r>
      <w:r w:rsidR="00C24283">
        <w:rPr>
          <w:b/>
          <w:bCs/>
        </w:rPr>
        <w:t>:</w:t>
      </w:r>
      <w:r w:rsidR="00A105D4">
        <w:rPr>
          <w:b/>
          <w:bCs/>
        </w:rPr>
        <w:t xml:space="preserve"> </w:t>
      </w:r>
      <w:r w:rsidR="00A105D4" w:rsidRPr="00E821AF">
        <w:rPr>
          <w:b/>
          <w:color w:val="000000" w:themeColor="text1"/>
        </w:rPr>
        <w:t>Heywood MRI Historic and Projected Volumes (FY2025-2028)</w:t>
      </w:r>
    </w:p>
    <w:p w14:paraId="6FED1740" w14:textId="77777777" w:rsidR="001E67B7" w:rsidRPr="00E821AF" w:rsidRDefault="001E67B7" w:rsidP="00C24283">
      <w:pPr>
        <w:pStyle w:val="BodyText"/>
        <w:rPr>
          <w:spacing w:val="-2"/>
        </w:rPr>
      </w:pPr>
    </w:p>
    <w:tbl>
      <w:tblPr>
        <w:tblW w:w="9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7"/>
        <w:gridCol w:w="877"/>
        <w:gridCol w:w="1201"/>
        <w:gridCol w:w="1058"/>
        <w:gridCol w:w="1012"/>
        <w:gridCol w:w="900"/>
        <w:gridCol w:w="900"/>
        <w:gridCol w:w="900"/>
      </w:tblGrid>
      <w:tr w:rsidR="00632817" w:rsidRPr="00E821AF" w14:paraId="09460D5E" w14:textId="77777777" w:rsidTr="00CE7EAB">
        <w:trPr>
          <w:cantSplit/>
          <w:trHeight w:val="278"/>
          <w:tblHeader/>
          <w:jc w:val="center"/>
        </w:trPr>
        <w:tc>
          <w:tcPr>
            <w:tcW w:w="2327" w:type="dxa"/>
            <w:shd w:val="clear" w:color="auto" w:fill="E6FCF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2283B" w14:textId="77777777" w:rsidR="009D413B" w:rsidRPr="00632817" w:rsidRDefault="009D413B" w:rsidP="00E821A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32817">
              <w:rPr>
                <w:b/>
                <w:bCs/>
                <w:color w:val="000000"/>
                <w:sz w:val="24"/>
                <w:szCs w:val="24"/>
              </w:rPr>
              <w:t>Specialty</w:t>
            </w:r>
          </w:p>
        </w:tc>
        <w:tc>
          <w:tcPr>
            <w:tcW w:w="877" w:type="dxa"/>
            <w:shd w:val="clear" w:color="auto" w:fill="E6FC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E3FB7" w14:textId="77777777" w:rsidR="009D413B" w:rsidRPr="00E821AF" w:rsidRDefault="009D413B" w:rsidP="0063281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21AF">
              <w:rPr>
                <w:b/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201" w:type="dxa"/>
            <w:shd w:val="clear" w:color="auto" w:fill="E6FCFE"/>
          </w:tcPr>
          <w:p w14:paraId="10EF6D07" w14:textId="34D1537F" w:rsidR="009D413B" w:rsidRPr="00E821AF" w:rsidRDefault="048C48A9" w:rsidP="0063281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21AF">
              <w:rPr>
                <w:b/>
                <w:bCs/>
                <w:sz w:val="24"/>
                <w:szCs w:val="24"/>
              </w:rPr>
              <w:t>20</w:t>
            </w:r>
            <w:r w:rsidR="28A55E68" w:rsidRPr="00E821AF">
              <w:rPr>
                <w:b/>
                <w:bCs/>
                <w:sz w:val="24"/>
                <w:szCs w:val="24"/>
              </w:rPr>
              <w:t xml:space="preserve">23 </w:t>
            </w:r>
            <w:r w:rsidR="6347DEDA" w:rsidRPr="00E821AF">
              <w:rPr>
                <w:b/>
                <w:bCs/>
                <w:sz w:val="24"/>
                <w:szCs w:val="24"/>
              </w:rPr>
              <w:t>A</w:t>
            </w:r>
            <w:r w:rsidR="28A55E68" w:rsidRPr="00E821AF">
              <w:rPr>
                <w:b/>
                <w:bCs/>
                <w:sz w:val="24"/>
                <w:szCs w:val="24"/>
              </w:rPr>
              <w:t>nnualized</w:t>
            </w:r>
          </w:p>
        </w:tc>
        <w:tc>
          <w:tcPr>
            <w:tcW w:w="1058" w:type="dxa"/>
            <w:shd w:val="clear" w:color="auto" w:fill="E6FC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F38FB" w14:textId="5DE0B793" w:rsidR="009D413B" w:rsidRPr="00E821AF" w:rsidRDefault="009D413B" w:rsidP="0063281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21AF">
              <w:rPr>
                <w:b/>
                <w:bCs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012" w:type="dxa"/>
            <w:shd w:val="clear" w:color="auto" w:fill="E6FCF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9C56F" w14:textId="77777777" w:rsidR="009D413B" w:rsidRPr="00E821AF" w:rsidRDefault="009D413B" w:rsidP="0063281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21AF">
              <w:rPr>
                <w:b/>
                <w:bCs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00" w:type="dxa"/>
            <w:shd w:val="clear" w:color="auto" w:fill="E6FCF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7FB68" w14:textId="77777777" w:rsidR="009D413B" w:rsidRPr="00E821AF" w:rsidRDefault="009D413B" w:rsidP="0063281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21AF">
              <w:rPr>
                <w:b/>
                <w:bCs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900" w:type="dxa"/>
            <w:shd w:val="clear" w:color="auto" w:fill="E6FCF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49494" w14:textId="77777777" w:rsidR="009D413B" w:rsidRPr="00E821AF" w:rsidRDefault="009D413B" w:rsidP="0063281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21AF">
              <w:rPr>
                <w:b/>
                <w:bCs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900" w:type="dxa"/>
            <w:shd w:val="clear" w:color="auto" w:fill="E6FCF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4DCC3" w14:textId="77777777" w:rsidR="009D413B" w:rsidRPr="00E821AF" w:rsidRDefault="009D413B" w:rsidP="0063281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21AF">
              <w:rPr>
                <w:b/>
                <w:bCs/>
                <w:color w:val="000000"/>
                <w:sz w:val="24"/>
                <w:szCs w:val="24"/>
              </w:rPr>
              <w:t>2028</w:t>
            </w:r>
          </w:p>
        </w:tc>
      </w:tr>
      <w:tr w:rsidR="00632817" w:rsidRPr="00E821AF" w14:paraId="721D8402" w14:textId="77777777" w:rsidTr="00CE7EAB">
        <w:trPr>
          <w:cantSplit/>
          <w:trHeight w:val="278"/>
          <w:jc w:val="center"/>
        </w:trPr>
        <w:tc>
          <w:tcPr>
            <w:tcW w:w="23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B9189" w14:textId="77777777" w:rsidR="009D413B" w:rsidRPr="00E821AF" w:rsidRDefault="009D413B" w:rsidP="00E821AF">
            <w:pPr>
              <w:rPr>
                <w:color w:val="000000"/>
                <w:sz w:val="24"/>
                <w:szCs w:val="24"/>
              </w:rPr>
            </w:pPr>
            <w:r w:rsidRPr="00E821AF">
              <w:rPr>
                <w:color w:val="000000"/>
                <w:sz w:val="24"/>
                <w:szCs w:val="24"/>
              </w:rPr>
              <w:t>Abdomen</w:t>
            </w:r>
          </w:p>
        </w:tc>
        <w:tc>
          <w:tcPr>
            <w:tcW w:w="87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B0C10" w14:textId="77777777" w:rsidR="009D413B" w:rsidRPr="00E821AF" w:rsidRDefault="009D413B" w:rsidP="00632817">
            <w:pPr>
              <w:jc w:val="right"/>
              <w:rPr>
                <w:color w:val="000000"/>
                <w:sz w:val="24"/>
                <w:szCs w:val="24"/>
              </w:rPr>
            </w:pPr>
            <w:r w:rsidRPr="00E821AF">
              <w:rPr>
                <w:color w:val="000000"/>
                <w:sz w:val="24"/>
                <w:szCs w:val="24"/>
              </w:rPr>
              <w:t>457</w:t>
            </w:r>
          </w:p>
        </w:tc>
        <w:tc>
          <w:tcPr>
            <w:tcW w:w="1201" w:type="dxa"/>
            <w:vAlign w:val="center"/>
          </w:tcPr>
          <w:p w14:paraId="055801F9" w14:textId="5AD1A64F" w:rsidR="009D413B" w:rsidRPr="00E821AF" w:rsidRDefault="28A55E68" w:rsidP="00632817">
            <w:pPr>
              <w:jc w:val="right"/>
              <w:rPr>
                <w:color w:val="000000"/>
                <w:sz w:val="24"/>
                <w:szCs w:val="24"/>
              </w:rPr>
            </w:pPr>
            <w:r w:rsidRPr="00E821AF">
              <w:rPr>
                <w:sz w:val="24"/>
                <w:szCs w:val="24"/>
              </w:rPr>
              <w:t>645</w:t>
            </w:r>
          </w:p>
        </w:tc>
        <w:tc>
          <w:tcPr>
            <w:tcW w:w="105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A8CBE" w14:textId="7CCAA63A" w:rsidR="009D413B" w:rsidRPr="00E821AF" w:rsidRDefault="009D413B" w:rsidP="00632817">
            <w:pPr>
              <w:jc w:val="right"/>
              <w:rPr>
                <w:color w:val="000000"/>
                <w:sz w:val="24"/>
                <w:szCs w:val="24"/>
              </w:rPr>
            </w:pPr>
            <w:r w:rsidRPr="00E821AF">
              <w:rPr>
                <w:color w:val="000000"/>
                <w:sz w:val="24"/>
                <w:szCs w:val="24"/>
              </w:rPr>
              <w:t>674</w:t>
            </w:r>
          </w:p>
        </w:tc>
        <w:tc>
          <w:tcPr>
            <w:tcW w:w="101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62113" w14:textId="77777777" w:rsidR="009D413B" w:rsidRPr="00E821AF" w:rsidRDefault="009D413B" w:rsidP="00632817">
            <w:pPr>
              <w:jc w:val="right"/>
              <w:rPr>
                <w:color w:val="000000"/>
                <w:sz w:val="24"/>
                <w:szCs w:val="24"/>
              </w:rPr>
            </w:pPr>
            <w:r w:rsidRPr="00E821AF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9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FBDC2" w14:textId="77777777" w:rsidR="009D413B" w:rsidRPr="00E821AF" w:rsidRDefault="009D413B" w:rsidP="00632817">
            <w:pPr>
              <w:jc w:val="right"/>
              <w:rPr>
                <w:color w:val="000000"/>
                <w:sz w:val="24"/>
                <w:szCs w:val="24"/>
              </w:rPr>
            </w:pPr>
            <w:r w:rsidRPr="00E821AF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9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F65AA" w14:textId="77777777" w:rsidR="009D413B" w:rsidRPr="00E821AF" w:rsidRDefault="009D413B" w:rsidP="00632817">
            <w:pPr>
              <w:jc w:val="right"/>
              <w:rPr>
                <w:color w:val="000000"/>
                <w:sz w:val="24"/>
                <w:szCs w:val="24"/>
              </w:rPr>
            </w:pPr>
            <w:r w:rsidRPr="00E821AF">
              <w:rPr>
                <w:color w:val="000000"/>
                <w:sz w:val="24"/>
                <w:szCs w:val="24"/>
              </w:rPr>
              <w:t>852</w:t>
            </w:r>
          </w:p>
        </w:tc>
        <w:tc>
          <w:tcPr>
            <w:tcW w:w="9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BE859" w14:textId="77777777" w:rsidR="009D413B" w:rsidRPr="00E821AF" w:rsidRDefault="009D413B" w:rsidP="00632817">
            <w:pPr>
              <w:jc w:val="right"/>
              <w:rPr>
                <w:color w:val="000000"/>
                <w:sz w:val="24"/>
                <w:szCs w:val="24"/>
              </w:rPr>
            </w:pPr>
            <w:r w:rsidRPr="00E821AF">
              <w:rPr>
                <w:color w:val="000000"/>
                <w:sz w:val="24"/>
                <w:szCs w:val="24"/>
              </w:rPr>
              <w:t>920</w:t>
            </w:r>
          </w:p>
        </w:tc>
      </w:tr>
      <w:tr w:rsidR="00632817" w:rsidRPr="00E821AF" w14:paraId="6B46F8F3" w14:textId="77777777" w:rsidTr="00CE7EAB">
        <w:trPr>
          <w:cantSplit/>
          <w:trHeight w:val="278"/>
          <w:jc w:val="center"/>
        </w:trPr>
        <w:tc>
          <w:tcPr>
            <w:tcW w:w="23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E2D38" w14:textId="77777777" w:rsidR="009D413B" w:rsidRPr="00E821AF" w:rsidRDefault="009D413B" w:rsidP="00E821AF">
            <w:pPr>
              <w:rPr>
                <w:color w:val="000000"/>
                <w:sz w:val="24"/>
                <w:szCs w:val="24"/>
              </w:rPr>
            </w:pPr>
            <w:r w:rsidRPr="00E821AF">
              <w:rPr>
                <w:color w:val="000000"/>
                <w:sz w:val="24"/>
                <w:szCs w:val="24"/>
              </w:rPr>
              <w:t>Arthrogram</w:t>
            </w:r>
          </w:p>
        </w:tc>
        <w:tc>
          <w:tcPr>
            <w:tcW w:w="87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9BE25" w14:textId="77777777" w:rsidR="009D413B" w:rsidRPr="00E821AF" w:rsidRDefault="009D413B" w:rsidP="00632817">
            <w:pPr>
              <w:jc w:val="right"/>
              <w:rPr>
                <w:color w:val="000000"/>
                <w:sz w:val="24"/>
                <w:szCs w:val="24"/>
              </w:rPr>
            </w:pPr>
            <w:r w:rsidRPr="00E821AF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201" w:type="dxa"/>
            <w:vAlign w:val="center"/>
          </w:tcPr>
          <w:p w14:paraId="728B7A55" w14:textId="37E5FD1E" w:rsidR="009D413B" w:rsidRPr="00E821AF" w:rsidRDefault="28A55E68" w:rsidP="00632817">
            <w:pPr>
              <w:jc w:val="right"/>
              <w:rPr>
                <w:color w:val="000000"/>
                <w:sz w:val="24"/>
                <w:szCs w:val="24"/>
              </w:rPr>
            </w:pPr>
            <w:r w:rsidRPr="00E821AF">
              <w:rPr>
                <w:sz w:val="24"/>
                <w:szCs w:val="24"/>
              </w:rPr>
              <w:t>34</w:t>
            </w:r>
          </w:p>
        </w:tc>
        <w:tc>
          <w:tcPr>
            <w:tcW w:w="105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07492" w14:textId="44079928" w:rsidR="009D413B" w:rsidRPr="00E821AF" w:rsidRDefault="009D413B" w:rsidP="00632817">
            <w:pPr>
              <w:jc w:val="right"/>
              <w:rPr>
                <w:color w:val="000000"/>
                <w:sz w:val="24"/>
                <w:szCs w:val="24"/>
              </w:rPr>
            </w:pPr>
            <w:r w:rsidRPr="00E821AF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01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4EACA" w14:textId="77777777" w:rsidR="009D413B" w:rsidRPr="00E821AF" w:rsidRDefault="009D413B" w:rsidP="00632817">
            <w:pPr>
              <w:jc w:val="right"/>
              <w:rPr>
                <w:color w:val="000000"/>
                <w:sz w:val="24"/>
                <w:szCs w:val="24"/>
              </w:rPr>
            </w:pPr>
            <w:r w:rsidRPr="00E821AF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9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03ADA" w14:textId="77777777" w:rsidR="009D413B" w:rsidRPr="00E821AF" w:rsidRDefault="009D413B" w:rsidP="00632817">
            <w:pPr>
              <w:jc w:val="right"/>
              <w:rPr>
                <w:color w:val="000000"/>
                <w:sz w:val="24"/>
                <w:szCs w:val="24"/>
              </w:rPr>
            </w:pPr>
            <w:r w:rsidRPr="00E821AF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9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E6D3A" w14:textId="77777777" w:rsidR="009D413B" w:rsidRPr="00E821AF" w:rsidRDefault="009D413B" w:rsidP="00632817">
            <w:pPr>
              <w:jc w:val="right"/>
              <w:rPr>
                <w:color w:val="000000"/>
                <w:sz w:val="24"/>
                <w:szCs w:val="24"/>
              </w:rPr>
            </w:pPr>
            <w:r w:rsidRPr="00E821AF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9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10E1B" w14:textId="77777777" w:rsidR="009D413B" w:rsidRPr="00E821AF" w:rsidRDefault="009D413B" w:rsidP="00632817">
            <w:pPr>
              <w:jc w:val="right"/>
              <w:rPr>
                <w:color w:val="000000"/>
                <w:sz w:val="24"/>
                <w:szCs w:val="24"/>
              </w:rPr>
            </w:pPr>
            <w:r w:rsidRPr="00E821AF">
              <w:rPr>
                <w:color w:val="000000"/>
                <w:sz w:val="24"/>
                <w:szCs w:val="24"/>
              </w:rPr>
              <w:t>59</w:t>
            </w:r>
          </w:p>
        </w:tc>
      </w:tr>
      <w:tr w:rsidR="00632817" w:rsidRPr="00E821AF" w14:paraId="7713F625" w14:textId="77777777" w:rsidTr="00CE7EAB">
        <w:trPr>
          <w:cantSplit/>
          <w:trHeight w:val="320"/>
          <w:jc w:val="center"/>
        </w:trPr>
        <w:tc>
          <w:tcPr>
            <w:tcW w:w="23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965A2" w14:textId="77777777" w:rsidR="009D413B" w:rsidRPr="00E821AF" w:rsidRDefault="009D413B" w:rsidP="00E821AF">
            <w:pPr>
              <w:rPr>
                <w:color w:val="000000"/>
                <w:sz w:val="24"/>
                <w:szCs w:val="24"/>
              </w:rPr>
            </w:pPr>
            <w:r w:rsidRPr="00E821AF">
              <w:rPr>
                <w:color w:val="000000"/>
                <w:sz w:val="24"/>
                <w:szCs w:val="24"/>
              </w:rPr>
              <w:t>Brain</w:t>
            </w:r>
          </w:p>
        </w:tc>
        <w:tc>
          <w:tcPr>
            <w:tcW w:w="87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CCC4B" w14:textId="77777777" w:rsidR="009D413B" w:rsidRPr="00E821AF" w:rsidRDefault="009D413B" w:rsidP="00632817">
            <w:pPr>
              <w:jc w:val="right"/>
              <w:rPr>
                <w:color w:val="000000"/>
                <w:sz w:val="24"/>
                <w:szCs w:val="24"/>
              </w:rPr>
            </w:pPr>
            <w:r w:rsidRPr="00E821AF">
              <w:rPr>
                <w:color w:val="000000"/>
                <w:sz w:val="24"/>
                <w:szCs w:val="24"/>
              </w:rPr>
              <w:t>1,333</w:t>
            </w:r>
          </w:p>
        </w:tc>
        <w:tc>
          <w:tcPr>
            <w:tcW w:w="1201" w:type="dxa"/>
            <w:vAlign w:val="center"/>
          </w:tcPr>
          <w:p w14:paraId="6984A6DA" w14:textId="0D2C2844" w:rsidR="009D413B" w:rsidRPr="00E821AF" w:rsidRDefault="28A55E68" w:rsidP="00632817">
            <w:pPr>
              <w:jc w:val="right"/>
              <w:rPr>
                <w:color w:val="000000"/>
                <w:sz w:val="24"/>
                <w:szCs w:val="24"/>
              </w:rPr>
            </w:pPr>
            <w:r w:rsidRPr="00E821AF">
              <w:rPr>
                <w:sz w:val="24"/>
                <w:szCs w:val="24"/>
              </w:rPr>
              <w:t>1883</w:t>
            </w:r>
          </w:p>
        </w:tc>
        <w:tc>
          <w:tcPr>
            <w:tcW w:w="105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64E49" w14:textId="543AA97B" w:rsidR="009D413B" w:rsidRPr="00E821AF" w:rsidRDefault="009D413B" w:rsidP="00632817">
            <w:pPr>
              <w:jc w:val="right"/>
              <w:rPr>
                <w:color w:val="000000"/>
                <w:sz w:val="24"/>
                <w:szCs w:val="24"/>
              </w:rPr>
            </w:pPr>
            <w:r w:rsidRPr="00E821AF">
              <w:rPr>
                <w:color w:val="000000"/>
                <w:sz w:val="24"/>
                <w:szCs w:val="24"/>
              </w:rPr>
              <w:t>1,943</w:t>
            </w:r>
          </w:p>
        </w:tc>
        <w:tc>
          <w:tcPr>
            <w:tcW w:w="101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615DF" w14:textId="77777777" w:rsidR="009D413B" w:rsidRPr="00E821AF" w:rsidRDefault="009D413B" w:rsidP="00632817">
            <w:pPr>
              <w:jc w:val="right"/>
              <w:rPr>
                <w:color w:val="000000"/>
                <w:sz w:val="24"/>
                <w:szCs w:val="24"/>
              </w:rPr>
            </w:pPr>
            <w:r w:rsidRPr="00E821AF">
              <w:rPr>
                <w:color w:val="000000"/>
                <w:sz w:val="24"/>
                <w:szCs w:val="24"/>
              </w:rPr>
              <w:t>2,104</w:t>
            </w:r>
          </w:p>
        </w:tc>
        <w:tc>
          <w:tcPr>
            <w:tcW w:w="9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1CD33" w14:textId="77777777" w:rsidR="009D413B" w:rsidRPr="00E821AF" w:rsidRDefault="009D413B" w:rsidP="00632817">
            <w:pPr>
              <w:jc w:val="right"/>
              <w:rPr>
                <w:color w:val="000000"/>
                <w:sz w:val="24"/>
                <w:szCs w:val="24"/>
              </w:rPr>
            </w:pPr>
            <w:r w:rsidRPr="00E821AF">
              <w:rPr>
                <w:color w:val="000000"/>
                <w:sz w:val="24"/>
                <w:szCs w:val="24"/>
              </w:rPr>
              <w:t>2,272</w:t>
            </w:r>
          </w:p>
        </w:tc>
        <w:tc>
          <w:tcPr>
            <w:tcW w:w="9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9F86A" w14:textId="77777777" w:rsidR="009D413B" w:rsidRPr="00E821AF" w:rsidRDefault="009D413B" w:rsidP="00632817">
            <w:pPr>
              <w:jc w:val="right"/>
              <w:rPr>
                <w:color w:val="000000"/>
                <w:sz w:val="24"/>
                <w:szCs w:val="24"/>
              </w:rPr>
            </w:pPr>
            <w:r w:rsidRPr="00E821AF">
              <w:rPr>
                <w:color w:val="000000"/>
                <w:sz w:val="24"/>
                <w:szCs w:val="24"/>
              </w:rPr>
              <w:t>2,454</w:t>
            </w:r>
          </w:p>
        </w:tc>
        <w:tc>
          <w:tcPr>
            <w:tcW w:w="9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BE104" w14:textId="77777777" w:rsidR="009D413B" w:rsidRPr="00E821AF" w:rsidRDefault="009D413B" w:rsidP="00632817">
            <w:pPr>
              <w:jc w:val="right"/>
              <w:rPr>
                <w:color w:val="000000"/>
                <w:sz w:val="24"/>
                <w:szCs w:val="24"/>
              </w:rPr>
            </w:pPr>
            <w:r w:rsidRPr="00E821AF">
              <w:rPr>
                <w:color w:val="000000"/>
                <w:sz w:val="24"/>
                <w:szCs w:val="24"/>
              </w:rPr>
              <w:t>2,650</w:t>
            </w:r>
          </w:p>
        </w:tc>
      </w:tr>
      <w:tr w:rsidR="00632817" w:rsidRPr="00E821AF" w14:paraId="5440F2C8" w14:textId="77777777" w:rsidTr="00CE7EAB">
        <w:trPr>
          <w:cantSplit/>
          <w:trHeight w:val="278"/>
          <w:jc w:val="center"/>
        </w:trPr>
        <w:tc>
          <w:tcPr>
            <w:tcW w:w="23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6E346" w14:textId="77777777" w:rsidR="009D413B" w:rsidRPr="00E821AF" w:rsidRDefault="009D413B" w:rsidP="00E821AF">
            <w:pPr>
              <w:rPr>
                <w:color w:val="000000"/>
                <w:sz w:val="24"/>
                <w:szCs w:val="24"/>
              </w:rPr>
            </w:pPr>
            <w:r w:rsidRPr="00E821AF">
              <w:rPr>
                <w:color w:val="000000"/>
                <w:sz w:val="24"/>
                <w:szCs w:val="24"/>
              </w:rPr>
              <w:t>Cervical</w:t>
            </w:r>
          </w:p>
        </w:tc>
        <w:tc>
          <w:tcPr>
            <w:tcW w:w="87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9E724" w14:textId="77777777" w:rsidR="009D413B" w:rsidRPr="00E821AF" w:rsidRDefault="009D413B" w:rsidP="00632817">
            <w:pPr>
              <w:jc w:val="right"/>
              <w:rPr>
                <w:color w:val="000000"/>
                <w:sz w:val="24"/>
                <w:szCs w:val="24"/>
              </w:rPr>
            </w:pPr>
            <w:r w:rsidRPr="00E821AF">
              <w:rPr>
                <w:color w:val="000000"/>
                <w:sz w:val="24"/>
                <w:szCs w:val="24"/>
              </w:rPr>
              <w:t>421</w:t>
            </w:r>
          </w:p>
        </w:tc>
        <w:tc>
          <w:tcPr>
            <w:tcW w:w="1201" w:type="dxa"/>
            <w:vAlign w:val="center"/>
          </w:tcPr>
          <w:p w14:paraId="5D4C0341" w14:textId="72116D4D" w:rsidR="009D413B" w:rsidRPr="00E821AF" w:rsidRDefault="28A55E68" w:rsidP="00632817">
            <w:pPr>
              <w:jc w:val="right"/>
              <w:rPr>
                <w:color w:val="000000"/>
                <w:sz w:val="24"/>
                <w:szCs w:val="24"/>
              </w:rPr>
            </w:pPr>
            <w:r w:rsidRPr="00E821AF">
              <w:rPr>
                <w:sz w:val="24"/>
                <w:szCs w:val="24"/>
              </w:rPr>
              <w:t>595</w:t>
            </w:r>
          </w:p>
        </w:tc>
        <w:tc>
          <w:tcPr>
            <w:tcW w:w="105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553CD" w14:textId="353F6D2C" w:rsidR="009D413B" w:rsidRPr="00E821AF" w:rsidRDefault="009D413B" w:rsidP="00632817">
            <w:pPr>
              <w:jc w:val="right"/>
              <w:rPr>
                <w:color w:val="000000"/>
                <w:sz w:val="24"/>
                <w:szCs w:val="24"/>
              </w:rPr>
            </w:pPr>
            <w:r w:rsidRPr="00E821AF">
              <w:rPr>
                <w:color w:val="000000"/>
                <w:sz w:val="24"/>
                <w:szCs w:val="24"/>
              </w:rPr>
              <w:t>721</w:t>
            </w:r>
          </w:p>
        </w:tc>
        <w:tc>
          <w:tcPr>
            <w:tcW w:w="101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CC5E6" w14:textId="77777777" w:rsidR="009D413B" w:rsidRPr="00E821AF" w:rsidRDefault="009D413B" w:rsidP="00632817">
            <w:pPr>
              <w:jc w:val="right"/>
              <w:rPr>
                <w:color w:val="000000"/>
                <w:sz w:val="24"/>
                <w:szCs w:val="24"/>
              </w:rPr>
            </w:pPr>
            <w:r w:rsidRPr="00E821AF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9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0EE02" w14:textId="77777777" w:rsidR="009D413B" w:rsidRPr="00E821AF" w:rsidRDefault="009D413B" w:rsidP="00632817">
            <w:pPr>
              <w:jc w:val="right"/>
              <w:rPr>
                <w:color w:val="000000"/>
                <w:sz w:val="24"/>
                <w:szCs w:val="24"/>
              </w:rPr>
            </w:pPr>
            <w:r w:rsidRPr="00E821AF">
              <w:rPr>
                <w:color w:val="000000"/>
                <w:sz w:val="24"/>
                <w:szCs w:val="24"/>
              </w:rPr>
              <w:t>843</w:t>
            </w:r>
          </w:p>
        </w:tc>
        <w:tc>
          <w:tcPr>
            <w:tcW w:w="9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79A78" w14:textId="77777777" w:rsidR="009D413B" w:rsidRPr="00E821AF" w:rsidRDefault="009D413B" w:rsidP="00632817">
            <w:pPr>
              <w:jc w:val="right"/>
              <w:rPr>
                <w:color w:val="000000"/>
                <w:sz w:val="24"/>
                <w:szCs w:val="24"/>
              </w:rPr>
            </w:pPr>
            <w:r w:rsidRPr="00E821AF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9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DBBF9" w14:textId="77777777" w:rsidR="009D413B" w:rsidRPr="00E821AF" w:rsidRDefault="009D413B" w:rsidP="00632817">
            <w:pPr>
              <w:jc w:val="right"/>
              <w:rPr>
                <w:color w:val="000000"/>
                <w:sz w:val="24"/>
                <w:szCs w:val="24"/>
              </w:rPr>
            </w:pPr>
            <w:r w:rsidRPr="00E821AF">
              <w:rPr>
                <w:color w:val="000000"/>
                <w:sz w:val="24"/>
                <w:szCs w:val="24"/>
              </w:rPr>
              <w:t>984</w:t>
            </w:r>
          </w:p>
        </w:tc>
      </w:tr>
      <w:tr w:rsidR="00632817" w:rsidRPr="00E821AF" w14:paraId="7A7C17DF" w14:textId="77777777" w:rsidTr="00CE7EAB">
        <w:trPr>
          <w:cantSplit/>
          <w:trHeight w:val="278"/>
          <w:jc w:val="center"/>
        </w:trPr>
        <w:tc>
          <w:tcPr>
            <w:tcW w:w="23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ECCC1" w14:textId="77777777" w:rsidR="009D413B" w:rsidRPr="00E821AF" w:rsidRDefault="009D413B" w:rsidP="00E821AF">
            <w:pPr>
              <w:rPr>
                <w:color w:val="000000"/>
                <w:sz w:val="24"/>
                <w:szCs w:val="24"/>
              </w:rPr>
            </w:pPr>
            <w:r w:rsidRPr="00E821AF">
              <w:rPr>
                <w:color w:val="000000"/>
                <w:sz w:val="24"/>
                <w:szCs w:val="24"/>
              </w:rPr>
              <w:t>Chest</w:t>
            </w:r>
          </w:p>
        </w:tc>
        <w:tc>
          <w:tcPr>
            <w:tcW w:w="87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1E9BE" w14:textId="77777777" w:rsidR="009D413B" w:rsidRPr="00E821AF" w:rsidRDefault="009D413B" w:rsidP="00632817">
            <w:pPr>
              <w:jc w:val="right"/>
              <w:rPr>
                <w:color w:val="000000"/>
                <w:sz w:val="24"/>
                <w:szCs w:val="24"/>
              </w:rPr>
            </w:pPr>
            <w:r w:rsidRPr="00E821A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01" w:type="dxa"/>
            <w:vAlign w:val="center"/>
          </w:tcPr>
          <w:p w14:paraId="522F11C4" w14:textId="219B1072" w:rsidR="009D413B" w:rsidRPr="00E821AF" w:rsidRDefault="28A55E68" w:rsidP="00632817">
            <w:pPr>
              <w:jc w:val="right"/>
              <w:rPr>
                <w:color w:val="000000"/>
                <w:sz w:val="24"/>
                <w:szCs w:val="24"/>
              </w:rPr>
            </w:pPr>
            <w:r w:rsidRPr="00E821AF">
              <w:rPr>
                <w:sz w:val="24"/>
                <w:szCs w:val="24"/>
              </w:rPr>
              <w:t>8</w:t>
            </w:r>
          </w:p>
        </w:tc>
        <w:tc>
          <w:tcPr>
            <w:tcW w:w="105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111DD" w14:textId="13EBA53F" w:rsidR="009D413B" w:rsidRPr="00E821AF" w:rsidRDefault="009D413B" w:rsidP="00632817">
            <w:pPr>
              <w:jc w:val="right"/>
              <w:rPr>
                <w:color w:val="000000"/>
                <w:sz w:val="24"/>
                <w:szCs w:val="24"/>
              </w:rPr>
            </w:pPr>
            <w:r w:rsidRPr="00E821A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1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71E3B" w14:textId="77777777" w:rsidR="009D413B" w:rsidRPr="00E821AF" w:rsidRDefault="009D413B" w:rsidP="00632817">
            <w:pPr>
              <w:jc w:val="right"/>
              <w:rPr>
                <w:color w:val="000000"/>
                <w:sz w:val="24"/>
                <w:szCs w:val="24"/>
              </w:rPr>
            </w:pPr>
            <w:r w:rsidRPr="00E821A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F9A32" w14:textId="77777777" w:rsidR="009D413B" w:rsidRPr="00E821AF" w:rsidRDefault="009D413B" w:rsidP="00632817">
            <w:pPr>
              <w:jc w:val="right"/>
              <w:rPr>
                <w:color w:val="000000"/>
                <w:sz w:val="24"/>
                <w:szCs w:val="24"/>
              </w:rPr>
            </w:pPr>
            <w:r w:rsidRPr="00E821A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B450F" w14:textId="77777777" w:rsidR="009D413B" w:rsidRPr="00E821AF" w:rsidRDefault="009D413B" w:rsidP="00632817">
            <w:pPr>
              <w:jc w:val="right"/>
              <w:rPr>
                <w:color w:val="000000"/>
                <w:sz w:val="24"/>
                <w:szCs w:val="24"/>
              </w:rPr>
            </w:pPr>
            <w:r w:rsidRPr="00E821A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52291" w14:textId="77777777" w:rsidR="009D413B" w:rsidRPr="00E821AF" w:rsidRDefault="009D413B" w:rsidP="00632817">
            <w:pPr>
              <w:jc w:val="right"/>
              <w:rPr>
                <w:color w:val="000000"/>
                <w:sz w:val="24"/>
                <w:szCs w:val="24"/>
              </w:rPr>
            </w:pPr>
            <w:r w:rsidRPr="00E821AF">
              <w:rPr>
                <w:color w:val="000000"/>
                <w:sz w:val="24"/>
                <w:szCs w:val="24"/>
              </w:rPr>
              <w:t>1</w:t>
            </w:r>
          </w:p>
        </w:tc>
      </w:tr>
      <w:tr w:rsidR="00632817" w:rsidRPr="00E821AF" w14:paraId="3D9312EB" w14:textId="77777777" w:rsidTr="00CE7EAB">
        <w:trPr>
          <w:cantSplit/>
          <w:trHeight w:val="278"/>
          <w:jc w:val="center"/>
        </w:trPr>
        <w:tc>
          <w:tcPr>
            <w:tcW w:w="23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CC851" w14:textId="77777777" w:rsidR="009D413B" w:rsidRPr="00E821AF" w:rsidRDefault="009D413B" w:rsidP="00E821AF">
            <w:pPr>
              <w:rPr>
                <w:color w:val="000000"/>
                <w:sz w:val="24"/>
                <w:szCs w:val="24"/>
              </w:rPr>
            </w:pPr>
            <w:r w:rsidRPr="00E821AF">
              <w:rPr>
                <w:color w:val="000000"/>
                <w:sz w:val="24"/>
                <w:szCs w:val="24"/>
              </w:rPr>
              <w:t>Head/Neck</w:t>
            </w:r>
          </w:p>
        </w:tc>
        <w:tc>
          <w:tcPr>
            <w:tcW w:w="87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D7A1B" w14:textId="77777777" w:rsidR="009D413B" w:rsidRPr="00E821AF" w:rsidRDefault="009D413B" w:rsidP="00632817">
            <w:pPr>
              <w:jc w:val="right"/>
              <w:rPr>
                <w:color w:val="000000"/>
                <w:sz w:val="24"/>
                <w:szCs w:val="24"/>
              </w:rPr>
            </w:pPr>
            <w:r w:rsidRPr="00E821AF">
              <w:rPr>
                <w:color w:val="000000"/>
                <w:sz w:val="24"/>
                <w:szCs w:val="24"/>
              </w:rPr>
              <w:t>125</w:t>
            </w:r>
          </w:p>
        </w:tc>
        <w:tc>
          <w:tcPr>
            <w:tcW w:w="1201" w:type="dxa"/>
            <w:vAlign w:val="center"/>
          </w:tcPr>
          <w:p w14:paraId="7E57A8C7" w14:textId="54D2A76D" w:rsidR="009D413B" w:rsidRPr="00E821AF" w:rsidRDefault="28A55E68" w:rsidP="00632817">
            <w:pPr>
              <w:jc w:val="right"/>
              <w:rPr>
                <w:color w:val="000000"/>
                <w:sz w:val="24"/>
                <w:szCs w:val="24"/>
              </w:rPr>
            </w:pPr>
            <w:r w:rsidRPr="00E821AF">
              <w:rPr>
                <w:sz w:val="24"/>
                <w:szCs w:val="24"/>
              </w:rPr>
              <w:t>177</w:t>
            </w:r>
          </w:p>
        </w:tc>
        <w:tc>
          <w:tcPr>
            <w:tcW w:w="105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23DDD" w14:textId="132144C3" w:rsidR="009D413B" w:rsidRPr="00E821AF" w:rsidRDefault="009D413B" w:rsidP="00632817">
            <w:pPr>
              <w:jc w:val="right"/>
              <w:rPr>
                <w:color w:val="000000"/>
                <w:sz w:val="24"/>
                <w:szCs w:val="24"/>
              </w:rPr>
            </w:pPr>
            <w:r w:rsidRPr="00E821AF">
              <w:rPr>
                <w:color w:val="000000"/>
                <w:sz w:val="24"/>
                <w:szCs w:val="24"/>
              </w:rPr>
              <w:t>128</w:t>
            </w:r>
          </w:p>
        </w:tc>
        <w:tc>
          <w:tcPr>
            <w:tcW w:w="101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C423E" w14:textId="77777777" w:rsidR="009D413B" w:rsidRPr="00E821AF" w:rsidRDefault="009D413B" w:rsidP="00632817">
            <w:pPr>
              <w:jc w:val="right"/>
              <w:rPr>
                <w:color w:val="000000"/>
                <w:sz w:val="24"/>
                <w:szCs w:val="24"/>
              </w:rPr>
            </w:pPr>
            <w:r w:rsidRPr="00E821AF">
              <w:rPr>
                <w:color w:val="000000"/>
                <w:sz w:val="24"/>
                <w:szCs w:val="24"/>
              </w:rPr>
              <w:t>139</w:t>
            </w:r>
          </w:p>
        </w:tc>
        <w:tc>
          <w:tcPr>
            <w:tcW w:w="9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62123" w14:textId="77777777" w:rsidR="009D413B" w:rsidRPr="00E821AF" w:rsidRDefault="009D413B" w:rsidP="00632817">
            <w:pPr>
              <w:jc w:val="right"/>
              <w:rPr>
                <w:color w:val="000000"/>
                <w:sz w:val="24"/>
                <w:szCs w:val="24"/>
              </w:rPr>
            </w:pPr>
            <w:r w:rsidRPr="00E821AF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9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202AD" w14:textId="77777777" w:rsidR="009D413B" w:rsidRPr="00E821AF" w:rsidRDefault="009D413B" w:rsidP="00632817">
            <w:pPr>
              <w:jc w:val="right"/>
              <w:rPr>
                <w:color w:val="000000"/>
                <w:sz w:val="24"/>
                <w:szCs w:val="24"/>
              </w:rPr>
            </w:pPr>
            <w:r w:rsidRPr="00E821AF">
              <w:rPr>
                <w:color w:val="000000"/>
                <w:sz w:val="24"/>
                <w:szCs w:val="24"/>
              </w:rPr>
              <w:t>162</w:t>
            </w:r>
          </w:p>
        </w:tc>
        <w:tc>
          <w:tcPr>
            <w:tcW w:w="9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D5ADA" w14:textId="77777777" w:rsidR="009D413B" w:rsidRPr="00E821AF" w:rsidRDefault="009D413B" w:rsidP="00632817">
            <w:pPr>
              <w:jc w:val="right"/>
              <w:rPr>
                <w:color w:val="000000"/>
                <w:sz w:val="24"/>
                <w:szCs w:val="24"/>
              </w:rPr>
            </w:pPr>
            <w:r w:rsidRPr="00E821AF">
              <w:rPr>
                <w:color w:val="000000"/>
                <w:sz w:val="24"/>
                <w:szCs w:val="24"/>
              </w:rPr>
              <w:t>175</w:t>
            </w:r>
          </w:p>
        </w:tc>
      </w:tr>
      <w:tr w:rsidR="00632817" w:rsidRPr="00E821AF" w14:paraId="4589FD45" w14:textId="77777777" w:rsidTr="00CE7EAB">
        <w:trPr>
          <w:cantSplit/>
          <w:trHeight w:val="278"/>
          <w:jc w:val="center"/>
        </w:trPr>
        <w:tc>
          <w:tcPr>
            <w:tcW w:w="23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9A447" w14:textId="77777777" w:rsidR="009D413B" w:rsidRPr="00E821AF" w:rsidRDefault="009D413B" w:rsidP="00E821AF">
            <w:pPr>
              <w:rPr>
                <w:color w:val="000000"/>
                <w:sz w:val="24"/>
                <w:szCs w:val="24"/>
              </w:rPr>
            </w:pPr>
            <w:r w:rsidRPr="00E821AF">
              <w:rPr>
                <w:color w:val="000000"/>
                <w:sz w:val="24"/>
                <w:szCs w:val="24"/>
              </w:rPr>
              <w:t>Lower Extremity</w:t>
            </w:r>
          </w:p>
        </w:tc>
        <w:tc>
          <w:tcPr>
            <w:tcW w:w="87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008A3" w14:textId="77777777" w:rsidR="009D413B" w:rsidRPr="00E821AF" w:rsidRDefault="009D413B" w:rsidP="00632817">
            <w:pPr>
              <w:jc w:val="right"/>
              <w:rPr>
                <w:color w:val="000000"/>
                <w:sz w:val="24"/>
                <w:szCs w:val="24"/>
              </w:rPr>
            </w:pPr>
            <w:r w:rsidRPr="00E821AF">
              <w:rPr>
                <w:color w:val="000000"/>
                <w:sz w:val="24"/>
                <w:szCs w:val="24"/>
              </w:rPr>
              <w:t>698</w:t>
            </w:r>
          </w:p>
        </w:tc>
        <w:tc>
          <w:tcPr>
            <w:tcW w:w="1201" w:type="dxa"/>
            <w:vAlign w:val="center"/>
          </w:tcPr>
          <w:p w14:paraId="2D44426A" w14:textId="306DDB69" w:rsidR="009D413B" w:rsidRPr="00E821AF" w:rsidRDefault="28A55E68" w:rsidP="00632817">
            <w:pPr>
              <w:jc w:val="right"/>
              <w:rPr>
                <w:color w:val="000000"/>
                <w:sz w:val="24"/>
                <w:szCs w:val="24"/>
              </w:rPr>
            </w:pPr>
            <w:r w:rsidRPr="00E821AF">
              <w:rPr>
                <w:sz w:val="24"/>
                <w:szCs w:val="24"/>
              </w:rPr>
              <w:t>986</w:t>
            </w:r>
          </w:p>
        </w:tc>
        <w:tc>
          <w:tcPr>
            <w:tcW w:w="105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8550B" w14:textId="2697EBF8" w:rsidR="009D413B" w:rsidRPr="00E821AF" w:rsidRDefault="009D413B" w:rsidP="00632817">
            <w:pPr>
              <w:jc w:val="right"/>
              <w:rPr>
                <w:color w:val="000000"/>
                <w:sz w:val="24"/>
                <w:szCs w:val="24"/>
              </w:rPr>
            </w:pPr>
            <w:r w:rsidRPr="00E821AF">
              <w:rPr>
                <w:color w:val="000000"/>
                <w:sz w:val="24"/>
                <w:szCs w:val="24"/>
              </w:rPr>
              <w:t>1,044</w:t>
            </w:r>
          </w:p>
        </w:tc>
        <w:tc>
          <w:tcPr>
            <w:tcW w:w="101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35C56" w14:textId="77777777" w:rsidR="009D413B" w:rsidRPr="00E821AF" w:rsidRDefault="009D413B" w:rsidP="00632817">
            <w:pPr>
              <w:jc w:val="right"/>
              <w:rPr>
                <w:color w:val="000000"/>
                <w:sz w:val="24"/>
                <w:szCs w:val="24"/>
              </w:rPr>
            </w:pPr>
            <w:r w:rsidRPr="00E821AF">
              <w:rPr>
                <w:color w:val="000000"/>
                <w:sz w:val="24"/>
                <w:szCs w:val="24"/>
              </w:rPr>
              <w:t>1,131</w:t>
            </w:r>
          </w:p>
        </w:tc>
        <w:tc>
          <w:tcPr>
            <w:tcW w:w="9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A4B2C" w14:textId="77777777" w:rsidR="009D413B" w:rsidRPr="00E821AF" w:rsidRDefault="009D413B" w:rsidP="00632817">
            <w:pPr>
              <w:jc w:val="right"/>
              <w:rPr>
                <w:color w:val="000000"/>
                <w:sz w:val="24"/>
                <w:szCs w:val="24"/>
              </w:rPr>
            </w:pPr>
            <w:r w:rsidRPr="00E821AF">
              <w:rPr>
                <w:color w:val="000000"/>
                <w:sz w:val="24"/>
                <w:szCs w:val="24"/>
              </w:rPr>
              <w:t>1,221</w:t>
            </w:r>
          </w:p>
        </w:tc>
        <w:tc>
          <w:tcPr>
            <w:tcW w:w="9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2C175" w14:textId="77777777" w:rsidR="009D413B" w:rsidRPr="00E821AF" w:rsidRDefault="009D413B" w:rsidP="00632817">
            <w:pPr>
              <w:jc w:val="right"/>
              <w:rPr>
                <w:color w:val="000000"/>
                <w:sz w:val="24"/>
                <w:szCs w:val="24"/>
              </w:rPr>
            </w:pPr>
            <w:r w:rsidRPr="00E821AF">
              <w:rPr>
                <w:color w:val="000000"/>
                <w:sz w:val="24"/>
                <w:szCs w:val="24"/>
              </w:rPr>
              <w:t>1,319</w:t>
            </w:r>
          </w:p>
        </w:tc>
        <w:tc>
          <w:tcPr>
            <w:tcW w:w="9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4839C" w14:textId="77777777" w:rsidR="009D413B" w:rsidRPr="00E821AF" w:rsidRDefault="009D413B" w:rsidP="00632817">
            <w:pPr>
              <w:jc w:val="right"/>
              <w:rPr>
                <w:color w:val="000000"/>
                <w:sz w:val="24"/>
                <w:szCs w:val="24"/>
              </w:rPr>
            </w:pPr>
            <w:r w:rsidRPr="00E821AF">
              <w:rPr>
                <w:color w:val="000000"/>
                <w:sz w:val="24"/>
                <w:szCs w:val="24"/>
              </w:rPr>
              <w:t>1,425</w:t>
            </w:r>
          </w:p>
        </w:tc>
      </w:tr>
      <w:tr w:rsidR="00632817" w:rsidRPr="00E821AF" w14:paraId="0504F6AC" w14:textId="77777777" w:rsidTr="00CE7EAB">
        <w:trPr>
          <w:cantSplit/>
          <w:trHeight w:val="278"/>
          <w:jc w:val="center"/>
        </w:trPr>
        <w:tc>
          <w:tcPr>
            <w:tcW w:w="23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614CF" w14:textId="77777777" w:rsidR="009D413B" w:rsidRPr="00E821AF" w:rsidRDefault="009D413B" w:rsidP="00E821AF">
            <w:pPr>
              <w:rPr>
                <w:color w:val="000000"/>
                <w:sz w:val="24"/>
                <w:szCs w:val="24"/>
              </w:rPr>
            </w:pPr>
            <w:r w:rsidRPr="00E821AF">
              <w:rPr>
                <w:color w:val="000000"/>
                <w:sz w:val="24"/>
                <w:szCs w:val="24"/>
              </w:rPr>
              <w:t>Lumbar</w:t>
            </w:r>
          </w:p>
        </w:tc>
        <w:tc>
          <w:tcPr>
            <w:tcW w:w="87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933C0" w14:textId="77777777" w:rsidR="009D413B" w:rsidRPr="00E821AF" w:rsidRDefault="009D413B" w:rsidP="00632817">
            <w:pPr>
              <w:jc w:val="right"/>
              <w:rPr>
                <w:color w:val="000000"/>
                <w:sz w:val="24"/>
                <w:szCs w:val="24"/>
              </w:rPr>
            </w:pPr>
            <w:r w:rsidRPr="00E821AF">
              <w:rPr>
                <w:color w:val="000000"/>
                <w:sz w:val="24"/>
                <w:szCs w:val="24"/>
              </w:rPr>
              <w:t>801</w:t>
            </w:r>
          </w:p>
        </w:tc>
        <w:tc>
          <w:tcPr>
            <w:tcW w:w="1201" w:type="dxa"/>
            <w:vAlign w:val="center"/>
          </w:tcPr>
          <w:p w14:paraId="19AA1EAD" w14:textId="01872AAF" w:rsidR="009D413B" w:rsidRPr="00E821AF" w:rsidRDefault="28A55E68" w:rsidP="00632817">
            <w:pPr>
              <w:jc w:val="right"/>
              <w:rPr>
                <w:color w:val="000000"/>
                <w:sz w:val="24"/>
                <w:szCs w:val="24"/>
              </w:rPr>
            </w:pPr>
            <w:r w:rsidRPr="00E821AF">
              <w:rPr>
                <w:sz w:val="24"/>
                <w:szCs w:val="24"/>
              </w:rPr>
              <w:t>1131</w:t>
            </w:r>
          </w:p>
        </w:tc>
        <w:tc>
          <w:tcPr>
            <w:tcW w:w="105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30B78" w14:textId="4D6AEA44" w:rsidR="009D413B" w:rsidRPr="00E821AF" w:rsidRDefault="009D413B" w:rsidP="00632817">
            <w:pPr>
              <w:jc w:val="right"/>
              <w:rPr>
                <w:color w:val="000000"/>
                <w:sz w:val="24"/>
                <w:szCs w:val="24"/>
              </w:rPr>
            </w:pPr>
            <w:r w:rsidRPr="00E821AF">
              <w:rPr>
                <w:color w:val="000000"/>
                <w:sz w:val="24"/>
                <w:szCs w:val="24"/>
              </w:rPr>
              <w:t>1,219</w:t>
            </w:r>
          </w:p>
        </w:tc>
        <w:tc>
          <w:tcPr>
            <w:tcW w:w="101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BAF58" w14:textId="77777777" w:rsidR="009D413B" w:rsidRPr="00E821AF" w:rsidRDefault="009D413B" w:rsidP="00632817">
            <w:pPr>
              <w:jc w:val="right"/>
              <w:rPr>
                <w:color w:val="000000"/>
                <w:sz w:val="24"/>
                <w:szCs w:val="24"/>
              </w:rPr>
            </w:pPr>
            <w:r w:rsidRPr="00E821AF">
              <w:rPr>
                <w:color w:val="000000"/>
                <w:sz w:val="24"/>
                <w:szCs w:val="24"/>
              </w:rPr>
              <w:t>1,320</w:t>
            </w:r>
          </w:p>
        </w:tc>
        <w:tc>
          <w:tcPr>
            <w:tcW w:w="9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29803" w14:textId="77777777" w:rsidR="009D413B" w:rsidRPr="00E821AF" w:rsidRDefault="009D413B" w:rsidP="00632817">
            <w:pPr>
              <w:jc w:val="right"/>
              <w:rPr>
                <w:color w:val="000000"/>
                <w:sz w:val="24"/>
                <w:szCs w:val="24"/>
              </w:rPr>
            </w:pPr>
            <w:r w:rsidRPr="00E821AF">
              <w:rPr>
                <w:color w:val="000000"/>
                <w:sz w:val="24"/>
                <w:szCs w:val="24"/>
              </w:rPr>
              <w:t>1,426</w:t>
            </w:r>
          </w:p>
        </w:tc>
        <w:tc>
          <w:tcPr>
            <w:tcW w:w="9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E8B26" w14:textId="77777777" w:rsidR="009D413B" w:rsidRPr="00E821AF" w:rsidRDefault="009D413B" w:rsidP="00632817">
            <w:pPr>
              <w:jc w:val="right"/>
              <w:rPr>
                <w:color w:val="000000"/>
                <w:sz w:val="24"/>
                <w:szCs w:val="24"/>
              </w:rPr>
            </w:pPr>
            <w:r w:rsidRPr="00E821AF">
              <w:rPr>
                <w:color w:val="000000"/>
                <w:sz w:val="24"/>
                <w:szCs w:val="24"/>
              </w:rPr>
              <w:t>1,540</w:t>
            </w:r>
          </w:p>
        </w:tc>
        <w:tc>
          <w:tcPr>
            <w:tcW w:w="9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D0567" w14:textId="77777777" w:rsidR="009D413B" w:rsidRPr="00E821AF" w:rsidRDefault="009D413B" w:rsidP="00632817">
            <w:pPr>
              <w:jc w:val="right"/>
              <w:rPr>
                <w:color w:val="000000"/>
                <w:sz w:val="24"/>
                <w:szCs w:val="24"/>
              </w:rPr>
            </w:pPr>
            <w:r w:rsidRPr="00E821AF">
              <w:rPr>
                <w:color w:val="000000"/>
                <w:sz w:val="24"/>
                <w:szCs w:val="24"/>
              </w:rPr>
              <w:t>1,663</w:t>
            </w:r>
          </w:p>
        </w:tc>
      </w:tr>
      <w:tr w:rsidR="00632817" w:rsidRPr="00E821AF" w14:paraId="4EFB95F7" w14:textId="77777777" w:rsidTr="00CE7EAB">
        <w:trPr>
          <w:cantSplit/>
          <w:trHeight w:val="278"/>
          <w:jc w:val="center"/>
        </w:trPr>
        <w:tc>
          <w:tcPr>
            <w:tcW w:w="23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7C514" w14:textId="77777777" w:rsidR="009D413B" w:rsidRPr="00E821AF" w:rsidRDefault="009D413B" w:rsidP="00E821AF">
            <w:pPr>
              <w:rPr>
                <w:color w:val="000000"/>
                <w:sz w:val="24"/>
                <w:szCs w:val="24"/>
              </w:rPr>
            </w:pPr>
            <w:r w:rsidRPr="00E821AF">
              <w:rPr>
                <w:color w:val="000000"/>
                <w:sz w:val="24"/>
                <w:szCs w:val="24"/>
              </w:rPr>
              <w:t>Pelvis</w:t>
            </w:r>
          </w:p>
        </w:tc>
        <w:tc>
          <w:tcPr>
            <w:tcW w:w="87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06AA1" w14:textId="77777777" w:rsidR="009D413B" w:rsidRPr="00E821AF" w:rsidRDefault="009D413B" w:rsidP="00632817">
            <w:pPr>
              <w:jc w:val="right"/>
              <w:rPr>
                <w:color w:val="000000"/>
                <w:sz w:val="24"/>
                <w:szCs w:val="24"/>
              </w:rPr>
            </w:pPr>
            <w:r w:rsidRPr="00E821AF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201" w:type="dxa"/>
            <w:vAlign w:val="center"/>
          </w:tcPr>
          <w:p w14:paraId="2220107A" w14:textId="397D1F64" w:rsidR="009D413B" w:rsidRPr="00E821AF" w:rsidRDefault="28A55E68" w:rsidP="00632817">
            <w:pPr>
              <w:jc w:val="right"/>
              <w:rPr>
                <w:color w:val="000000"/>
                <w:sz w:val="24"/>
                <w:szCs w:val="24"/>
              </w:rPr>
            </w:pPr>
            <w:r w:rsidRPr="00E821AF">
              <w:rPr>
                <w:sz w:val="24"/>
                <w:szCs w:val="24"/>
              </w:rPr>
              <w:t>120</w:t>
            </w:r>
          </w:p>
        </w:tc>
        <w:tc>
          <w:tcPr>
            <w:tcW w:w="105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77E94" w14:textId="2900E363" w:rsidR="009D413B" w:rsidRPr="00E821AF" w:rsidRDefault="009D413B" w:rsidP="00632817">
            <w:pPr>
              <w:jc w:val="right"/>
              <w:rPr>
                <w:color w:val="000000"/>
                <w:sz w:val="24"/>
                <w:szCs w:val="24"/>
              </w:rPr>
            </w:pPr>
            <w:r w:rsidRPr="00E821AF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101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FB050" w14:textId="77777777" w:rsidR="009D413B" w:rsidRPr="00E821AF" w:rsidRDefault="009D413B" w:rsidP="00632817">
            <w:pPr>
              <w:jc w:val="right"/>
              <w:rPr>
                <w:color w:val="000000"/>
                <w:sz w:val="24"/>
                <w:szCs w:val="24"/>
              </w:rPr>
            </w:pPr>
            <w:r w:rsidRPr="00E821AF">
              <w:rPr>
                <w:color w:val="000000"/>
                <w:sz w:val="24"/>
                <w:szCs w:val="24"/>
              </w:rPr>
              <w:t>162</w:t>
            </w:r>
          </w:p>
        </w:tc>
        <w:tc>
          <w:tcPr>
            <w:tcW w:w="9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B978D" w14:textId="77777777" w:rsidR="009D413B" w:rsidRPr="00E821AF" w:rsidRDefault="009D413B" w:rsidP="00632817">
            <w:pPr>
              <w:jc w:val="right"/>
              <w:rPr>
                <w:color w:val="000000"/>
                <w:sz w:val="24"/>
                <w:szCs w:val="24"/>
              </w:rPr>
            </w:pPr>
            <w:r w:rsidRPr="00E821AF">
              <w:rPr>
                <w:color w:val="000000"/>
                <w:sz w:val="24"/>
                <w:szCs w:val="24"/>
              </w:rPr>
              <w:t>175</w:t>
            </w:r>
          </w:p>
        </w:tc>
        <w:tc>
          <w:tcPr>
            <w:tcW w:w="9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1AF53" w14:textId="77777777" w:rsidR="009D413B" w:rsidRPr="00E821AF" w:rsidRDefault="009D413B" w:rsidP="00632817">
            <w:pPr>
              <w:jc w:val="right"/>
              <w:rPr>
                <w:color w:val="000000"/>
                <w:sz w:val="24"/>
                <w:szCs w:val="24"/>
              </w:rPr>
            </w:pPr>
            <w:r w:rsidRPr="00E821AF">
              <w:rPr>
                <w:color w:val="000000"/>
                <w:sz w:val="24"/>
                <w:szCs w:val="24"/>
              </w:rPr>
              <w:t>190</w:t>
            </w:r>
          </w:p>
        </w:tc>
        <w:tc>
          <w:tcPr>
            <w:tcW w:w="9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FD859" w14:textId="77777777" w:rsidR="009D413B" w:rsidRPr="00E821AF" w:rsidRDefault="009D413B" w:rsidP="00632817">
            <w:pPr>
              <w:jc w:val="right"/>
              <w:rPr>
                <w:color w:val="000000"/>
                <w:sz w:val="24"/>
                <w:szCs w:val="24"/>
              </w:rPr>
            </w:pPr>
            <w:r w:rsidRPr="00E821AF">
              <w:rPr>
                <w:color w:val="000000"/>
                <w:sz w:val="24"/>
                <w:szCs w:val="24"/>
              </w:rPr>
              <w:t>205</w:t>
            </w:r>
          </w:p>
        </w:tc>
      </w:tr>
      <w:tr w:rsidR="00632817" w:rsidRPr="00E821AF" w14:paraId="1B52874D" w14:textId="77777777" w:rsidTr="00CE7EAB">
        <w:trPr>
          <w:cantSplit/>
          <w:trHeight w:val="278"/>
          <w:jc w:val="center"/>
        </w:trPr>
        <w:tc>
          <w:tcPr>
            <w:tcW w:w="23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4F116" w14:textId="77777777" w:rsidR="009D413B" w:rsidRPr="00E821AF" w:rsidRDefault="009D413B" w:rsidP="00E821AF">
            <w:pPr>
              <w:rPr>
                <w:color w:val="000000"/>
                <w:sz w:val="24"/>
                <w:szCs w:val="24"/>
              </w:rPr>
            </w:pPr>
            <w:r w:rsidRPr="00E821AF">
              <w:rPr>
                <w:color w:val="000000"/>
                <w:sz w:val="24"/>
                <w:szCs w:val="24"/>
              </w:rPr>
              <w:t>Thoracic Spine</w:t>
            </w:r>
          </w:p>
        </w:tc>
        <w:tc>
          <w:tcPr>
            <w:tcW w:w="87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18FFD" w14:textId="77777777" w:rsidR="009D413B" w:rsidRPr="00E821AF" w:rsidRDefault="009D413B" w:rsidP="00632817">
            <w:pPr>
              <w:jc w:val="right"/>
              <w:rPr>
                <w:color w:val="000000"/>
                <w:sz w:val="24"/>
                <w:szCs w:val="24"/>
              </w:rPr>
            </w:pPr>
            <w:r w:rsidRPr="00E821AF">
              <w:rPr>
                <w:color w:val="000000"/>
                <w:sz w:val="24"/>
                <w:szCs w:val="24"/>
              </w:rPr>
              <w:t>153</w:t>
            </w:r>
          </w:p>
        </w:tc>
        <w:tc>
          <w:tcPr>
            <w:tcW w:w="1201" w:type="dxa"/>
            <w:vAlign w:val="center"/>
          </w:tcPr>
          <w:p w14:paraId="45B62B11" w14:textId="102A126E" w:rsidR="009D413B" w:rsidRPr="00E821AF" w:rsidRDefault="28A55E68" w:rsidP="00632817">
            <w:pPr>
              <w:jc w:val="right"/>
              <w:rPr>
                <w:color w:val="000000"/>
                <w:sz w:val="24"/>
                <w:szCs w:val="24"/>
              </w:rPr>
            </w:pPr>
            <w:r w:rsidRPr="00E821AF">
              <w:rPr>
                <w:sz w:val="24"/>
                <w:szCs w:val="24"/>
              </w:rPr>
              <w:t>216</w:t>
            </w:r>
          </w:p>
        </w:tc>
        <w:tc>
          <w:tcPr>
            <w:tcW w:w="105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DC331" w14:textId="6C139132" w:rsidR="009D413B" w:rsidRPr="00E821AF" w:rsidRDefault="009D413B" w:rsidP="00632817">
            <w:pPr>
              <w:jc w:val="right"/>
              <w:rPr>
                <w:color w:val="000000"/>
                <w:sz w:val="24"/>
                <w:szCs w:val="24"/>
              </w:rPr>
            </w:pPr>
            <w:r w:rsidRPr="00E821AF">
              <w:rPr>
                <w:color w:val="000000"/>
                <w:sz w:val="24"/>
                <w:szCs w:val="24"/>
              </w:rPr>
              <w:t>222</w:t>
            </w:r>
          </w:p>
        </w:tc>
        <w:tc>
          <w:tcPr>
            <w:tcW w:w="101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5DFF4" w14:textId="77777777" w:rsidR="009D413B" w:rsidRPr="00E821AF" w:rsidRDefault="009D413B" w:rsidP="00632817">
            <w:pPr>
              <w:jc w:val="right"/>
              <w:rPr>
                <w:color w:val="000000"/>
                <w:sz w:val="24"/>
                <w:szCs w:val="24"/>
              </w:rPr>
            </w:pPr>
            <w:r w:rsidRPr="00E821AF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D737A" w14:textId="77777777" w:rsidR="009D413B" w:rsidRPr="00E821AF" w:rsidRDefault="009D413B" w:rsidP="00632817">
            <w:pPr>
              <w:jc w:val="right"/>
              <w:rPr>
                <w:color w:val="000000"/>
                <w:sz w:val="24"/>
                <w:szCs w:val="24"/>
              </w:rPr>
            </w:pPr>
            <w:r w:rsidRPr="00E821AF">
              <w:rPr>
                <w:color w:val="000000"/>
                <w:sz w:val="24"/>
                <w:szCs w:val="24"/>
              </w:rPr>
              <w:t>260</w:t>
            </w:r>
          </w:p>
        </w:tc>
        <w:tc>
          <w:tcPr>
            <w:tcW w:w="9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3CF02" w14:textId="77777777" w:rsidR="009D413B" w:rsidRPr="00E821AF" w:rsidRDefault="009D413B" w:rsidP="00632817">
            <w:pPr>
              <w:jc w:val="right"/>
              <w:rPr>
                <w:color w:val="000000"/>
                <w:sz w:val="24"/>
                <w:szCs w:val="24"/>
              </w:rPr>
            </w:pPr>
            <w:r w:rsidRPr="00E821AF">
              <w:rPr>
                <w:color w:val="000000"/>
                <w:sz w:val="24"/>
                <w:szCs w:val="24"/>
              </w:rPr>
              <w:t>280</w:t>
            </w:r>
          </w:p>
        </w:tc>
        <w:tc>
          <w:tcPr>
            <w:tcW w:w="9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968B3" w14:textId="77777777" w:rsidR="009D413B" w:rsidRPr="00E821AF" w:rsidRDefault="009D413B" w:rsidP="00632817">
            <w:pPr>
              <w:jc w:val="right"/>
              <w:rPr>
                <w:color w:val="000000"/>
                <w:sz w:val="24"/>
                <w:szCs w:val="24"/>
              </w:rPr>
            </w:pPr>
            <w:r w:rsidRPr="00E821AF">
              <w:rPr>
                <w:color w:val="000000"/>
                <w:sz w:val="24"/>
                <w:szCs w:val="24"/>
              </w:rPr>
              <w:t>303</w:t>
            </w:r>
          </w:p>
        </w:tc>
      </w:tr>
      <w:tr w:rsidR="00632817" w:rsidRPr="00E821AF" w14:paraId="1BF4664F" w14:textId="77777777" w:rsidTr="00CE7EAB">
        <w:trPr>
          <w:cantSplit/>
          <w:trHeight w:val="278"/>
          <w:jc w:val="center"/>
        </w:trPr>
        <w:tc>
          <w:tcPr>
            <w:tcW w:w="23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D5A82" w14:textId="77777777" w:rsidR="009D413B" w:rsidRPr="00E821AF" w:rsidRDefault="009D413B" w:rsidP="00E821AF">
            <w:pPr>
              <w:rPr>
                <w:color w:val="000000"/>
                <w:sz w:val="24"/>
                <w:szCs w:val="24"/>
              </w:rPr>
            </w:pPr>
            <w:r w:rsidRPr="00E821AF">
              <w:rPr>
                <w:color w:val="000000"/>
                <w:sz w:val="24"/>
                <w:szCs w:val="24"/>
              </w:rPr>
              <w:t>Upper Extremity</w:t>
            </w:r>
          </w:p>
        </w:tc>
        <w:tc>
          <w:tcPr>
            <w:tcW w:w="87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5F649" w14:textId="77777777" w:rsidR="009D413B" w:rsidRPr="00E821AF" w:rsidRDefault="009D413B" w:rsidP="00632817">
            <w:pPr>
              <w:jc w:val="right"/>
              <w:rPr>
                <w:color w:val="000000"/>
                <w:sz w:val="24"/>
                <w:szCs w:val="24"/>
              </w:rPr>
            </w:pPr>
            <w:r w:rsidRPr="00E821AF">
              <w:rPr>
                <w:color w:val="000000"/>
                <w:sz w:val="24"/>
                <w:szCs w:val="24"/>
              </w:rPr>
              <w:t>418</w:t>
            </w:r>
          </w:p>
        </w:tc>
        <w:tc>
          <w:tcPr>
            <w:tcW w:w="1201" w:type="dxa"/>
            <w:vAlign w:val="center"/>
          </w:tcPr>
          <w:p w14:paraId="290F3AE9" w14:textId="3911AF66" w:rsidR="009D413B" w:rsidRPr="00E821AF" w:rsidRDefault="28A55E68" w:rsidP="00632817">
            <w:pPr>
              <w:jc w:val="right"/>
              <w:rPr>
                <w:color w:val="000000"/>
                <w:sz w:val="24"/>
                <w:szCs w:val="24"/>
              </w:rPr>
            </w:pPr>
            <w:r w:rsidRPr="00E821AF">
              <w:rPr>
                <w:sz w:val="24"/>
                <w:szCs w:val="24"/>
              </w:rPr>
              <w:t>590</w:t>
            </w:r>
          </w:p>
        </w:tc>
        <w:tc>
          <w:tcPr>
            <w:tcW w:w="105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605D1" w14:textId="0C2CADAB" w:rsidR="009D413B" w:rsidRPr="00E821AF" w:rsidRDefault="009D413B" w:rsidP="00632817">
            <w:pPr>
              <w:jc w:val="right"/>
              <w:rPr>
                <w:color w:val="000000"/>
                <w:sz w:val="24"/>
                <w:szCs w:val="24"/>
              </w:rPr>
            </w:pPr>
            <w:r w:rsidRPr="00E821AF">
              <w:rPr>
                <w:color w:val="000000"/>
                <w:sz w:val="24"/>
                <w:szCs w:val="24"/>
              </w:rPr>
              <w:t>634</w:t>
            </w:r>
          </w:p>
        </w:tc>
        <w:tc>
          <w:tcPr>
            <w:tcW w:w="101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9FEB6" w14:textId="77777777" w:rsidR="009D413B" w:rsidRPr="00E821AF" w:rsidRDefault="009D413B" w:rsidP="00632817">
            <w:pPr>
              <w:jc w:val="right"/>
              <w:rPr>
                <w:color w:val="000000"/>
                <w:sz w:val="24"/>
                <w:szCs w:val="24"/>
              </w:rPr>
            </w:pPr>
            <w:r w:rsidRPr="00E821AF">
              <w:rPr>
                <w:color w:val="000000"/>
                <w:sz w:val="24"/>
                <w:szCs w:val="24"/>
              </w:rPr>
              <w:t>687</w:t>
            </w:r>
          </w:p>
        </w:tc>
        <w:tc>
          <w:tcPr>
            <w:tcW w:w="9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D7984" w14:textId="77777777" w:rsidR="009D413B" w:rsidRPr="00E821AF" w:rsidRDefault="009D413B" w:rsidP="00632817">
            <w:pPr>
              <w:jc w:val="right"/>
              <w:rPr>
                <w:color w:val="000000"/>
                <w:sz w:val="24"/>
                <w:szCs w:val="24"/>
              </w:rPr>
            </w:pPr>
            <w:r w:rsidRPr="00E821AF">
              <w:rPr>
                <w:color w:val="000000"/>
                <w:sz w:val="24"/>
                <w:szCs w:val="24"/>
              </w:rPr>
              <w:t>742</w:t>
            </w:r>
          </w:p>
        </w:tc>
        <w:tc>
          <w:tcPr>
            <w:tcW w:w="9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B77EC" w14:textId="77777777" w:rsidR="009D413B" w:rsidRPr="00E821AF" w:rsidRDefault="009D413B" w:rsidP="00632817">
            <w:pPr>
              <w:jc w:val="right"/>
              <w:rPr>
                <w:color w:val="000000"/>
                <w:sz w:val="24"/>
                <w:szCs w:val="24"/>
              </w:rPr>
            </w:pPr>
            <w:r w:rsidRPr="00E821AF">
              <w:rPr>
                <w:color w:val="000000"/>
                <w:sz w:val="24"/>
                <w:szCs w:val="24"/>
              </w:rPr>
              <w:t>801</w:t>
            </w:r>
          </w:p>
        </w:tc>
        <w:tc>
          <w:tcPr>
            <w:tcW w:w="9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470B4" w14:textId="77777777" w:rsidR="009D413B" w:rsidRPr="00E821AF" w:rsidRDefault="009D413B" w:rsidP="00632817">
            <w:pPr>
              <w:jc w:val="right"/>
              <w:rPr>
                <w:color w:val="000000"/>
                <w:sz w:val="24"/>
                <w:szCs w:val="24"/>
              </w:rPr>
            </w:pPr>
            <w:r w:rsidRPr="00E821AF">
              <w:rPr>
                <w:color w:val="000000"/>
                <w:sz w:val="24"/>
                <w:szCs w:val="24"/>
              </w:rPr>
              <w:t>865</w:t>
            </w:r>
          </w:p>
        </w:tc>
      </w:tr>
      <w:tr w:rsidR="00632817" w:rsidRPr="00E821AF" w14:paraId="59FB9691" w14:textId="77777777" w:rsidTr="00CE7EAB">
        <w:trPr>
          <w:cantSplit/>
          <w:trHeight w:val="278"/>
          <w:jc w:val="center"/>
        </w:trPr>
        <w:tc>
          <w:tcPr>
            <w:tcW w:w="23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5B207" w14:textId="77777777" w:rsidR="009D413B" w:rsidRPr="00632817" w:rsidRDefault="009D413B" w:rsidP="00E821A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32817">
              <w:rPr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87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B7B68" w14:textId="77777777" w:rsidR="009D413B" w:rsidRPr="00E821AF" w:rsidRDefault="009D413B" w:rsidP="0063281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21AF">
              <w:rPr>
                <w:b/>
                <w:bCs/>
                <w:color w:val="000000"/>
                <w:sz w:val="24"/>
                <w:szCs w:val="24"/>
              </w:rPr>
              <w:t>4,521</w:t>
            </w:r>
          </w:p>
        </w:tc>
        <w:tc>
          <w:tcPr>
            <w:tcW w:w="1201" w:type="dxa"/>
            <w:vAlign w:val="center"/>
          </w:tcPr>
          <w:p w14:paraId="6A49F615" w14:textId="7682A0B0" w:rsidR="009D413B" w:rsidRPr="00E821AF" w:rsidRDefault="28A55E68" w:rsidP="0063281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21AF">
              <w:rPr>
                <w:b/>
                <w:bCs/>
                <w:sz w:val="24"/>
                <w:szCs w:val="24"/>
              </w:rPr>
              <w:t>6386</w:t>
            </w:r>
          </w:p>
        </w:tc>
        <w:tc>
          <w:tcPr>
            <w:tcW w:w="105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9F57C" w14:textId="625B7951" w:rsidR="009D413B" w:rsidRPr="00E821AF" w:rsidRDefault="009D413B" w:rsidP="0063281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21AF">
              <w:rPr>
                <w:b/>
                <w:bCs/>
                <w:color w:val="000000"/>
                <w:sz w:val="24"/>
                <w:szCs w:val="24"/>
              </w:rPr>
              <w:t>6,779</w:t>
            </w:r>
          </w:p>
        </w:tc>
        <w:tc>
          <w:tcPr>
            <w:tcW w:w="101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B726F" w14:textId="77777777" w:rsidR="009D413B" w:rsidRPr="00E821AF" w:rsidRDefault="009D413B" w:rsidP="0063281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21AF">
              <w:rPr>
                <w:b/>
                <w:bCs/>
                <w:color w:val="000000"/>
                <w:sz w:val="24"/>
                <w:szCs w:val="24"/>
              </w:rPr>
              <w:t>7,342</w:t>
            </w:r>
          </w:p>
        </w:tc>
        <w:tc>
          <w:tcPr>
            <w:tcW w:w="9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1E4BD" w14:textId="77777777" w:rsidR="009D413B" w:rsidRPr="00E821AF" w:rsidRDefault="009D413B" w:rsidP="0063281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21AF">
              <w:rPr>
                <w:b/>
                <w:bCs/>
                <w:color w:val="000000"/>
                <w:sz w:val="24"/>
                <w:szCs w:val="24"/>
              </w:rPr>
              <w:t>7,929</w:t>
            </w:r>
          </w:p>
        </w:tc>
        <w:tc>
          <w:tcPr>
            <w:tcW w:w="9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10D63" w14:textId="77777777" w:rsidR="009D413B" w:rsidRPr="00E821AF" w:rsidRDefault="009D413B" w:rsidP="0063281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21AF">
              <w:rPr>
                <w:b/>
                <w:bCs/>
                <w:color w:val="000000"/>
                <w:sz w:val="24"/>
                <w:szCs w:val="24"/>
              </w:rPr>
              <w:t>8,564</w:t>
            </w:r>
          </w:p>
        </w:tc>
        <w:tc>
          <w:tcPr>
            <w:tcW w:w="9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B69ED" w14:textId="77777777" w:rsidR="009D413B" w:rsidRPr="00E821AF" w:rsidRDefault="009D413B" w:rsidP="0063281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21AF">
              <w:rPr>
                <w:b/>
                <w:bCs/>
                <w:color w:val="000000"/>
                <w:sz w:val="24"/>
                <w:szCs w:val="24"/>
              </w:rPr>
              <w:t>9,249</w:t>
            </w:r>
          </w:p>
        </w:tc>
      </w:tr>
    </w:tbl>
    <w:p w14:paraId="34A736B5" w14:textId="77777777" w:rsidR="00CC2D1D" w:rsidRPr="00E821AF" w:rsidRDefault="00CC2D1D" w:rsidP="00E821AF">
      <w:pPr>
        <w:pStyle w:val="Heading1"/>
      </w:pPr>
      <w:r w:rsidRPr="00E821AF">
        <w:lastRenderedPageBreak/>
        <w:t>Impact</w:t>
      </w:r>
      <w:r w:rsidRPr="00E821AF">
        <w:rPr>
          <w:spacing w:val="-1"/>
        </w:rPr>
        <w:t xml:space="preserve"> </w:t>
      </w:r>
      <w:r w:rsidRPr="00E821AF">
        <w:t>on</w:t>
      </w:r>
      <w:r w:rsidRPr="00E821AF">
        <w:rPr>
          <w:spacing w:val="-1"/>
        </w:rPr>
        <w:t xml:space="preserve"> </w:t>
      </w:r>
      <w:r w:rsidRPr="00E821AF">
        <w:t>Costs</w:t>
      </w:r>
      <w:r w:rsidRPr="00E821AF">
        <w:rPr>
          <w:spacing w:val="-1"/>
        </w:rPr>
        <w:t xml:space="preserve"> </w:t>
      </w:r>
      <w:r w:rsidRPr="00E821AF">
        <w:t>–</w:t>
      </w:r>
      <w:r w:rsidRPr="00E821AF">
        <w:rPr>
          <w:spacing w:val="-2"/>
        </w:rPr>
        <w:t xml:space="preserve"> </w:t>
      </w:r>
      <w:r w:rsidRPr="00E821AF">
        <w:t>to</w:t>
      </w:r>
      <w:r w:rsidRPr="00E821AF">
        <w:rPr>
          <w:spacing w:val="-1"/>
        </w:rPr>
        <w:t xml:space="preserve"> </w:t>
      </w:r>
      <w:r w:rsidRPr="00E821AF">
        <w:rPr>
          <w:spacing w:val="-2"/>
        </w:rPr>
        <w:t>Holder</w:t>
      </w:r>
    </w:p>
    <w:p w14:paraId="0DEA8683" w14:textId="523A9A3C" w:rsidR="00CC2D1D" w:rsidRPr="00E821AF" w:rsidRDefault="7D175E22" w:rsidP="00E821AF">
      <w:pPr>
        <w:pStyle w:val="Heading1"/>
        <w:rPr>
          <w:b w:val="0"/>
          <w:bCs w:val="0"/>
          <w:spacing w:val="-2"/>
        </w:rPr>
      </w:pPr>
      <w:r w:rsidRPr="00E821AF">
        <w:rPr>
          <w:b w:val="0"/>
          <w:bCs w:val="0"/>
          <w:spacing w:val="-2"/>
        </w:rPr>
        <w:t xml:space="preserve">The Holder </w:t>
      </w:r>
      <w:r w:rsidR="7B30CD29" w:rsidRPr="00E821AF">
        <w:rPr>
          <w:b w:val="0"/>
          <w:bCs w:val="0"/>
          <w:spacing w:val="-2"/>
        </w:rPr>
        <w:t xml:space="preserve">states </w:t>
      </w:r>
      <w:r w:rsidRPr="00E821AF">
        <w:rPr>
          <w:b w:val="0"/>
          <w:bCs w:val="0"/>
          <w:spacing w:val="-2"/>
        </w:rPr>
        <w:t xml:space="preserve">that there are no associated capital </w:t>
      </w:r>
      <w:proofErr w:type="gramStart"/>
      <w:r w:rsidRPr="00E821AF">
        <w:rPr>
          <w:b w:val="0"/>
          <w:bCs w:val="0"/>
          <w:spacing w:val="-2"/>
        </w:rPr>
        <w:t>expenditures</w:t>
      </w:r>
      <w:proofErr w:type="gramEnd"/>
      <w:r w:rsidRPr="00E821AF">
        <w:rPr>
          <w:b w:val="0"/>
          <w:bCs w:val="0"/>
          <w:spacing w:val="-2"/>
        </w:rPr>
        <w:t xml:space="preserve"> with the additional day of service since the fixed </w:t>
      </w:r>
      <w:r w:rsidR="5D549544" w:rsidRPr="00E821AF">
        <w:rPr>
          <w:b w:val="0"/>
          <w:bCs w:val="0"/>
          <w:spacing w:val="-2"/>
        </w:rPr>
        <w:t xml:space="preserve">MRI </w:t>
      </w:r>
      <w:r w:rsidRPr="00E821AF">
        <w:rPr>
          <w:b w:val="0"/>
          <w:bCs w:val="0"/>
          <w:spacing w:val="-2"/>
        </w:rPr>
        <w:t xml:space="preserve">unit </w:t>
      </w:r>
      <w:r w:rsidR="36C64108" w:rsidRPr="00E821AF">
        <w:rPr>
          <w:b w:val="0"/>
          <w:bCs w:val="0"/>
        </w:rPr>
        <w:t xml:space="preserve">has </w:t>
      </w:r>
      <w:r w:rsidRPr="00E821AF">
        <w:rPr>
          <w:b w:val="0"/>
          <w:bCs w:val="0"/>
          <w:spacing w:val="-2"/>
        </w:rPr>
        <w:t xml:space="preserve">already </w:t>
      </w:r>
      <w:r w:rsidR="7809F4F8" w:rsidRPr="00E821AF">
        <w:rPr>
          <w:b w:val="0"/>
          <w:bCs w:val="0"/>
        </w:rPr>
        <w:t xml:space="preserve">been </w:t>
      </w:r>
      <w:r w:rsidRPr="00E821AF">
        <w:rPr>
          <w:b w:val="0"/>
          <w:bCs w:val="0"/>
          <w:spacing w:val="-2"/>
        </w:rPr>
        <w:t xml:space="preserve">acquired and </w:t>
      </w:r>
      <w:r w:rsidR="44AE0465" w:rsidRPr="00E821AF">
        <w:rPr>
          <w:b w:val="0"/>
          <w:bCs w:val="0"/>
        </w:rPr>
        <w:t xml:space="preserve">is </w:t>
      </w:r>
      <w:r w:rsidRPr="00E821AF">
        <w:rPr>
          <w:b w:val="0"/>
          <w:bCs w:val="0"/>
          <w:spacing w:val="-2"/>
        </w:rPr>
        <w:t>operational</w:t>
      </w:r>
      <w:r w:rsidR="0ACAFECA" w:rsidRPr="00E821AF">
        <w:rPr>
          <w:b w:val="0"/>
          <w:bCs w:val="0"/>
        </w:rPr>
        <w:t xml:space="preserve">. </w:t>
      </w:r>
      <w:r w:rsidR="00CD6923" w:rsidRPr="00E821AF">
        <w:rPr>
          <w:b w:val="0"/>
          <w:bCs w:val="0"/>
        </w:rPr>
        <w:t xml:space="preserve">The Holder states annual operating costs are estimated based on projected scan volume and on marginal cost increases which include: 1) Electricity, gas, management, and scan delivery (including contrast agents, drugs, supplies, etc.) totaling $12,000; and 2) MRI Technologists and front office support, totaling $40,000. In sum, the Holder estimates the annual marginal operating cost </w:t>
      </w:r>
      <w:proofErr w:type="gramStart"/>
      <w:r w:rsidR="00CD6923" w:rsidRPr="00E821AF">
        <w:rPr>
          <w:b w:val="0"/>
          <w:bCs w:val="0"/>
        </w:rPr>
        <w:t>increases</w:t>
      </w:r>
      <w:proofErr w:type="gramEnd"/>
      <w:r w:rsidR="00CD6923" w:rsidRPr="00E821AF">
        <w:rPr>
          <w:b w:val="0"/>
          <w:bCs w:val="0"/>
        </w:rPr>
        <w:t xml:space="preserve"> will be approximately $52,000</w:t>
      </w:r>
      <w:r w:rsidR="00B21844" w:rsidRPr="00E821AF">
        <w:rPr>
          <w:b w:val="0"/>
          <w:bCs w:val="0"/>
        </w:rPr>
        <w:t xml:space="preserve">. </w:t>
      </w:r>
      <w:r w:rsidR="1657C7E6" w:rsidRPr="00E821AF">
        <w:rPr>
          <w:b w:val="0"/>
          <w:bCs w:val="0"/>
        </w:rPr>
        <w:t>These overhead costs</w:t>
      </w:r>
      <w:r w:rsidR="53EFBE1F" w:rsidRPr="00E821AF">
        <w:rPr>
          <w:b w:val="0"/>
          <w:bCs w:val="0"/>
        </w:rPr>
        <w:t xml:space="preserve"> </w:t>
      </w:r>
      <w:r w:rsidRPr="00E821AF">
        <w:rPr>
          <w:b w:val="0"/>
          <w:bCs w:val="0"/>
          <w:spacing w:val="-2"/>
        </w:rPr>
        <w:t xml:space="preserve">will be managed internally </w:t>
      </w:r>
      <w:r w:rsidR="53EFBE1F" w:rsidRPr="00E821AF">
        <w:rPr>
          <w:b w:val="0"/>
          <w:bCs w:val="0"/>
        </w:rPr>
        <w:t>without being</w:t>
      </w:r>
      <w:r w:rsidRPr="00E821AF">
        <w:rPr>
          <w:b w:val="0"/>
          <w:bCs w:val="0"/>
          <w:spacing w:val="-2"/>
        </w:rPr>
        <w:t xml:space="preserve"> passed on to individual patients.</w:t>
      </w:r>
      <w:r w:rsidR="66E30EE0" w:rsidRPr="00E821AF">
        <w:rPr>
          <w:b w:val="0"/>
          <w:bCs w:val="0"/>
          <w:spacing w:val="-2"/>
        </w:rPr>
        <w:t xml:space="preserve"> </w:t>
      </w:r>
    </w:p>
    <w:p w14:paraId="79371160" w14:textId="77777777" w:rsidR="00CC2D1D" w:rsidRPr="00E821AF" w:rsidRDefault="00CC2D1D" w:rsidP="00E821AF">
      <w:pPr>
        <w:pStyle w:val="Heading1"/>
      </w:pPr>
      <w:r w:rsidRPr="00E821AF">
        <w:t>Impact</w:t>
      </w:r>
      <w:r w:rsidRPr="00E821AF">
        <w:rPr>
          <w:spacing w:val="-1"/>
        </w:rPr>
        <w:t xml:space="preserve"> </w:t>
      </w:r>
      <w:r w:rsidRPr="00E821AF">
        <w:t>on</w:t>
      </w:r>
      <w:r w:rsidRPr="00E821AF">
        <w:rPr>
          <w:spacing w:val="-2"/>
        </w:rPr>
        <w:t xml:space="preserve"> </w:t>
      </w:r>
      <w:r w:rsidRPr="00E821AF">
        <w:t>Cost -</w:t>
      </w:r>
      <w:r w:rsidRPr="00E821AF">
        <w:rPr>
          <w:spacing w:val="-3"/>
        </w:rPr>
        <w:t xml:space="preserve"> </w:t>
      </w:r>
      <w:r w:rsidRPr="00E821AF">
        <w:t>to</w:t>
      </w:r>
      <w:r w:rsidRPr="00E821AF">
        <w:rPr>
          <w:spacing w:val="-2"/>
        </w:rPr>
        <w:t xml:space="preserve"> </w:t>
      </w:r>
      <w:r w:rsidRPr="00E821AF">
        <w:t>the</w:t>
      </w:r>
      <w:r w:rsidRPr="00E821AF">
        <w:rPr>
          <w:spacing w:val="-1"/>
        </w:rPr>
        <w:t xml:space="preserve"> </w:t>
      </w:r>
      <w:r w:rsidRPr="00E821AF">
        <w:t xml:space="preserve">Patient </w:t>
      </w:r>
      <w:r w:rsidRPr="00E821AF">
        <w:rPr>
          <w:spacing w:val="-4"/>
        </w:rPr>
        <w:t>Panel</w:t>
      </w:r>
    </w:p>
    <w:p w14:paraId="50A27C25" w14:textId="77777777" w:rsidR="00CC2D1D" w:rsidRPr="00E821AF" w:rsidRDefault="00CC2D1D" w:rsidP="00E821AF">
      <w:pPr>
        <w:pStyle w:val="BodyText"/>
        <w:spacing w:before="240"/>
      </w:pPr>
      <w:r w:rsidRPr="00E821AF">
        <w:t xml:space="preserve">The Holder states the Proposed Project will not have any significant cost implications for its </w:t>
      </w:r>
      <w:r w:rsidRPr="00E821AF">
        <w:rPr>
          <w:spacing w:val="-3"/>
        </w:rPr>
        <w:t>Patient</w:t>
      </w:r>
      <w:r w:rsidRPr="00E821AF">
        <w:rPr>
          <w:spacing w:val="-4"/>
        </w:rPr>
        <w:t xml:space="preserve"> </w:t>
      </w:r>
      <w:r w:rsidRPr="00E821AF">
        <w:t xml:space="preserve">Panel because all pricing will remain consistent with current charges. There will be no change in how patients are billed or in patients’ out-of- pocket of costs. </w:t>
      </w:r>
    </w:p>
    <w:p w14:paraId="0481836B" w14:textId="457ED439" w:rsidR="00CC2D1D" w:rsidRDefault="71245AA6" w:rsidP="00E821AF">
      <w:pPr>
        <w:pStyle w:val="BodyText"/>
        <w:spacing w:before="240"/>
      </w:pPr>
      <w:r w:rsidRPr="00E821AF">
        <w:t>The Holder states the Payer</w:t>
      </w:r>
      <w:r w:rsidR="28CB9F30" w:rsidRPr="00E821AF">
        <w:t xml:space="preserve"> </w:t>
      </w:r>
      <w:r w:rsidRPr="00E821AF">
        <w:t xml:space="preserve">Mix (shown below) is expected to remain consistent with the FY 2024 </w:t>
      </w:r>
      <w:r w:rsidR="0C6DCDFE" w:rsidRPr="00E821AF">
        <w:t>pay</w:t>
      </w:r>
      <w:r w:rsidR="61DA4B1A" w:rsidRPr="00E821AF">
        <w:t>e</w:t>
      </w:r>
      <w:r w:rsidR="0C6DCDFE" w:rsidRPr="00E821AF">
        <w:t>r</w:t>
      </w:r>
      <w:r w:rsidRPr="00E821AF">
        <w:t xml:space="preserve"> mix while </w:t>
      </w:r>
      <w:r w:rsidR="61DA4B1A" w:rsidRPr="00E821AF">
        <w:t>helping alleviate</w:t>
      </w:r>
      <w:r w:rsidRPr="00E821AF">
        <w:t xml:space="preserve"> access </w:t>
      </w:r>
      <w:r w:rsidR="5F67258A" w:rsidRPr="00E821AF">
        <w:t xml:space="preserve">to appointments </w:t>
      </w:r>
      <w:r w:rsidRPr="00E821AF">
        <w:t>for the current patient population</w:t>
      </w:r>
      <w:r w:rsidR="00C24283">
        <w:t>.</w:t>
      </w:r>
    </w:p>
    <w:p w14:paraId="22DFC856" w14:textId="77777777" w:rsidR="00C24283" w:rsidRDefault="00C24283" w:rsidP="00C24283">
      <w:pPr>
        <w:pStyle w:val="BodyText"/>
      </w:pPr>
    </w:p>
    <w:p w14:paraId="7F27E566" w14:textId="69000DA1" w:rsidR="00C24283" w:rsidRPr="00C24283" w:rsidRDefault="00C24283" w:rsidP="002A0158">
      <w:pPr>
        <w:pStyle w:val="BodyText"/>
        <w:jc w:val="center"/>
        <w:rPr>
          <w:b/>
          <w:bCs/>
        </w:rPr>
      </w:pPr>
      <w:r w:rsidRPr="00C24283">
        <w:rPr>
          <w:b/>
          <w:bCs/>
        </w:rPr>
        <w:t>Table 4: Payer Mix- 2004</w:t>
      </w:r>
    </w:p>
    <w:p w14:paraId="779B4987" w14:textId="77777777" w:rsidR="00CC2D1D" w:rsidRPr="00E821AF" w:rsidRDefault="00CC2D1D" w:rsidP="00C24283">
      <w:pPr>
        <w:pStyle w:val="BodyText"/>
        <w:ind w:left="0"/>
      </w:pPr>
    </w:p>
    <w:tbl>
      <w:tblPr>
        <w:tblW w:w="9715" w:type="dxa"/>
        <w:jc w:val="center"/>
        <w:tblLook w:val="04A0" w:firstRow="1" w:lastRow="0" w:firstColumn="1" w:lastColumn="0" w:noHBand="0" w:noVBand="1"/>
      </w:tblPr>
      <w:tblGrid>
        <w:gridCol w:w="5575"/>
        <w:gridCol w:w="2070"/>
        <w:gridCol w:w="1980"/>
        <w:gridCol w:w="90"/>
      </w:tblGrid>
      <w:tr w:rsidR="00CC2D1D" w:rsidRPr="00E821AF" w14:paraId="5FD38DDB" w14:textId="77777777" w:rsidTr="00087159">
        <w:trPr>
          <w:cantSplit/>
          <w:trHeight w:val="419"/>
          <w:tblHeader/>
          <w:jc w:val="center"/>
        </w:trPr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CFE"/>
            <w:noWrap/>
            <w:vAlign w:val="center"/>
            <w:hideMark/>
          </w:tcPr>
          <w:p w14:paraId="1B60BFF3" w14:textId="77777777" w:rsidR="00CC2D1D" w:rsidRPr="00E821AF" w:rsidRDefault="00CC2D1D" w:rsidP="00E821AF">
            <w:pPr>
              <w:rPr>
                <w:b/>
                <w:bCs/>
                <w:sz w:val="24"/>
                <w:szCs w:val="24"/>
              </w:rPr>
            </w:pPr>
            <w:r w:rsidRPr="00E821AF">
              <w:rPr>
                <w:b/>
                <w:bCs/>
                <w:sz w:val="24"/>
                <w:szCs w:val="24"/>
              </w:rPr>
              <w:t>Insurance Type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FCFE"/>
            <w:noWrap/>
            <w:vAlign w:val="center"/>
            <w:hideMark/>
          </w:tcPr>
          <w:p w14:paraId="33A439A6" w14:textId="2BD0CC63" w:rsidR="00CC2D1D" w:rsidRPr="00E821AF" w:rsidRDefault="00CC2D1D" w:rsidP="005162DA">
            <w:pPr>
              <w:rPr>
                <w:b/>
                <w:bCs/>
                <w:sz w:val="24"/>
                <w:szCs w:val="24"/>
              </w:rPr>
            </w:pPr>
            <w:r w:rsidRPr="00E821AF">
              <w:rPr>
                <w:b/>
                <w:bCs/>
                <w:sz w:val="24"/>
                <w:szCs w:val="24"/>
              </w:rPr>
              <w:t>Payer Mix %</w:t>
            </w:r>
            <w:r w:rsidR="005162DA">
              <w:rPr>
                <w:b/>
                <w:bCs/>
                <w:sz w:val="24"/>
                <w:szCs w:val="24"/>
              </w:rPr>
              <w:t xml:space="preserve"> </w:t>
            </w:r>
            <w:r w:rsidRPr="00E821AF">
              <w:rPr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FCFE"/>
          </w:tcPr>
          <w:p w14:paraId="3E445DE9" w14:textId="53D519D1" w:rsidR="00CC2D1D" w:rsidRPr="00E821AF" w:rsidRDefault="00CC2D1D" w:rsidP="00E821AF">
            <w:pPr>
              <w:rPr>
                <w:b/>
                <w:bCs/>
                <w:sz w:val="24"/>
                <w:szCs w:val="24"/>
              </w:rPr>
            </w:pPr>
            <w:r w:rsidRPr="00E821AF">
              <w:rPr>
                <w:b/>
                <w:bCs/>
                <w:color w:val="000000" w:themeColor="text1"/>
                <w:sz w:val="24"/>
                <w:szCs w:val="24"/>
              </w:rPr>
              <w:t xml:space="preserve">Payer Mix % </w:t>
            </w:r>
            <w:r w:rsidR="005162DA">
              <w:rPr>
                <w:b/>
                <w:bCs/>
                <w:color w:val="000000" w:themeColor="text1"/>
                <w:sz w:val="24"/>
                <w:szCs w:val="24"/>
              </w:rPr>
              <w:t>2</w:t>
            </w:r>
            <w:r w:rsidRPr="00E821AF">
              <w:rPr>
                <w:b/>
                <w:bCs/>
                <w:color w:val="000000" w:themeColor="text1"/>
                <w:sz w:val="24"/>
                <w:szCs w:val="24"/>
              </w:rPr>
              <w:t>028</w:t>
            </w:r>
          </w:p>
        </w:tc>
      </w:tr>
      <w:tr w:rsidR="008F16F6" w:rsidRPr="00E821AF" w14:paraId="385C8058" w14:textId="77777777" w:rsidTr="00087159">
        <w:trPr>
          <w:gridAfter w:val="1"/>
          <w:wAfter w:w="90" w:type="dxa"/>
          <w:cantSplit/>
          <w:trHeight w:val="278"/>
          <w:jc w:val="center"/>
        </w:trPr>
        <w:tc>
          <w:tcPr>
            <w:tcW w:w="5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4A40" w14:textId="4DF06BC8" w:rsidR="008F16F6" w:rsidRPr="00E821AF" w:rsidRDefault="008F16F6" w:rsidP="00E821AF">
            <w:pPr>
              <w:rPr>
                <w:color w:val="000000"/>
                <w:sz w:val="24"/>
                <w:szCs w:val="24"/>
              </w:rPr>
            </w:pPr>
            <w:r w:rsidRPr="00E821AF">
              <w:rPr>
                <w:color w:val="000000"/>
                <w:sz w:val="24"/>
                <w:szCs w:val="24"/>
              </w:rPr>
              <w:t>Commercial (PPO/Indemnity and HMO/POS)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2B3EF0" w14:textId="1B63B2B2" w:rsidR="008F16F6" w:rsidRPr="00E821AF" w:rsidRDefault="008F16F6" w:rsidP="005162DA">
            <w:pPr>
              <w:jc w:val="right"/>
              <w:rPr>
                <w:color w:val="000000"/>
                <w:sz w:val="24"/>
                <w:szCs w:val="24"/>
              </w:rPr>
            </w:pPr>
            <w:r w:rsidRPr="00E821AF">
              <w:rPr>
                <w:color w:val="000000"/>
                <w:sz w:val="24"/>
                <w:szCs w:val="24"/>
              </w:rPr>
              <w:t>32%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1A2DD0" w14:textId="5ACB24BD" w:rsidR="008F16F6" w:rsidRPr="00E821AF" w:rsidRDefault="008F16F6" w:rsidP="005162DA">
            <w:pPr>
              <w:jc w:val="right"/>
              <w:rPr>
                <w:color w:val="000000"/>
                <w:sz w:val="24"/>
                <w:szCs w:val="24"/>
              </w:rPr>
            </w:pPr>
            <w:r w:rsidRPr="00E821AF">
              <w:rPr>
                <w:color w:val="000000"/>
                <w:sz w:val="24"/>
                <w:szCs w:val="24"/>
              </w:rPr>
              <w:t>30%</w:t>
            </w:r>
          </w:p>
        </w:tc>
      </w:tr>
      <w:tr w:rsidR="008F16F6" w:rsidRPr="00E821AF" w14:paraId="49885F6C" w14:textId="77777777" w:rsidTr="00087159">
        <w:trPr>
          <w:gridAfter w:val="1"/>
          <w:wAfter w:w="90" w:type="dxa"/>
          <w:cantSplit/>
          <w:trHeight w:val="278"/>
          <w:jc w:val="center"/>
        </w:trPr>
        <w:tc>
          <w:tcPr>
            <w:tcW w:w="5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AD47" w14:textId="50E05327" w:rsidR="008F16F6" w:rsidRPr="00E821AF" w:rsidRDefault="008F16F6" w:rsidP="00E821AF">
            <w:pPr>
              <w:rPr>
                <w:color w:val="000000"/>
                <w:sz w:val="24"/>
                <w:szCs w:val="24"/>
              </w:rPr>
            </w:pPr>
            <w:r w:rsidRPr="00E821AF">
              <w:rPr>
                <w:color w:val="000000"/>
                <w:sz w:val="24"/>
                <w:szCs w:val="24"/>
              </w:rPr>
              <w:t>Other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32879" w14:textId="48E2E91E" w:rsidR="008F16F6" w:rsidRPr="00E821AF" w:rsidRDefault="008F16F6" w:rsidP="005162DA">
            <w:pPr>
              <w:jc w:val="right"/>
              <w:rPr>
                <w:color w:val="000000"/>
                <w:sz w:val="24"/>
                <w:szCs w:val="24"/>
              </w:rPr>
            </w:pPr>
            <w:r w:rsidRPr="00E821AF">
              <w:rPr>
                <w:color w:val="000000"/>
                <w:sz w:val="24"/>
                <w:szCs w:val="24"/>
              </w:rPr>
              <w:t>11%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A4A630" w14:textId="4415F798" w:rsidR="008F16F6" w:rsidRPr="00E821AF" w:rsidRDefault="008F16F6" w:rsidP="005162DA">
            <w:pPr>
              <w:jc w:val="right"/>
              <w:rPr>
                <w:color w:val="000000"/>
                <w:sz w:val="24"/>
                <w:szCs w:val="24"/>
              </w:rPr>
            </w:pPr>
            <w:r w:rsidRPr="00E821AF">
              <w:rPr>
                <w:color w:val="000000"/>
                <w:sz w:val="24"/>
                <w:szCs w:val="24"/>
              </w:rPr>
              <w:t>9%</w:t>
            </w:r>
          </w:p>
        </w:tc>
      </w:tr>
      <w:tr w:rsidR="008F16F6" w:rsidRPr="00E821AF" w14:paraId="289BE9C7" w14:textId="77777777" w:rsidTr="00087159">
        <w:trPr>
          <w:gridAfter w:val="1"/>
          <w:wAfter w:w="90" w:type="dxa"/>
          <w:cantSplit/>
          <w:trHeight w:val="278"/>
          <w:jc w:val="center"/>
        </w:trPr>
        <w:tc>
          <w:tcPr>
            <w:tcW w:w="5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5FF12" w14:textId="77777777" w:rsidR="008F16F6" w:rsidRPr="00E821AF" w:rsidRDefault="008F16F6" w:rsidP="00E821AF">
            <w:pPr>
              <w:rPr>
                <w:color w:val="000000"/>
                <w:sz w:val="24"/>
                <w:szCs w:val="24"/>
              </w:rPr>
            </w:pPr>
            <w:r w:rsidRPr="00E821AF">
              <w:rPr>
                <w:color w:val="000000"/>
                <w:sz w:val="24"/>
                <w:szCs w:val="24"/>
              </w:rPr>
              <w:t>Medicare FFS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740AF" w14:textId="77777777" w:rsidR="008F16F6" w:rsidRPr="00E821AF" w:rsidRDefault="008F16F6" w:rsidP="005162DA">
            <w:pPr>
              <w:jc w:val="right"/>
              <w:rPr>
                <w:color w:val="000000"/>
                <w:sz w:val="24"/>
                <w:szCs w:val="24"/>
              </w:rPr>
            </w:pPr>
            <w:r w:rsidRPr="00E821AF">
              <w:rPr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897008" w14:textId="77777777" w:rsidR="008F16F6" w:rsidRPr="00E821AF" w:rsidRDefault="008F16F6" w:rsidP="005162DA">
            <w:pPr>
              <w:jc w:val="right"/>
              <w:rPr>
                <w:color w:val="000000"/>
                <w:sz w:val="24"/>
                <w:szCs w:val="24"/>
              </w:rPr>
            </w:pPr>
            <w:r w:rsidRPr="00E821AF">
              <w:rPr>
                <w:color w:val="000000"/>
                <w:sz w:val="24"/>
                <w:szCs w:val="24"/>
              </w:rPr>
              <w:t>21%</w:t>
            </w:r>
          </w:p>
        </w:tc>
      </w:tr>
      <w:tr w:rsidR="008F16F6" w:rsidRPr="00E821AF" w14:paraId="5F63EAC8" w14:textId="77777777" w:rsidTr="00087159">
        <w:trPr>
          <w:gridAfter w:val="1"/>
          <w:wAfter w:w="90" w:type="dxa"/>
          <w:cantSplit/>
          <w:trHeight w:val="278"/>
          <w:jc w:val="center"/>
        </w:trPr>
        <w:tc>
          <w:tcPr>
            <w:tcW w:w="5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44F57" w14:textId="37B5EA6E" w:rsidR="008F16F6" w:rsidRPr="00E821AF" w:rsidRDefault="008F16F6" w:rsidP="00E821AF">
            <w:pPr>
              <w:rPr>
                <w:color w:val="000000"/>
                <w:sz w:val="24"/>
                <w:szCs w:val="24"/>
              </w:rPr>
            </w:pPr>
            <w:r w:rsidRPr="00E821AF">
              <w:rPr>
                <w:color w:val="000000"/>
                <w:sz w:val="24"/>
                <w:szCs w:val="24"/>
              </w:rPr>
              <w:t>Managed Medicare (s.a. Medicare Advantage)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45A21" w14:textId="77777777" w:rsidR="008F16F6" w:rsidRPr="00E821AF" w:rsidRDefault="008F16F6" w:rsidP="005162DA">
            <w:pPr>
              <w:jc w:val="right"/>
              <w:rPr>
                <w:color w:val="000000"/>
                <w:sz w:val="24"/>
                <w:szCs w:val="24"/>
              </w:rPr>
            </w:pPr>
            <w:r w:rsidRPr="00E821AF">
              <w:rPr>
                <w:color w:val="000000"/>
                <w:sz w:val="24"/>
                <w:szCs w:val="24"/>
              </w:rPr>
              <w:t>16%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426D33" w14:textId="77777777" w:rsidR="008F16F6" w:rsidRPr="00E821AF" w:rsidRDefault="008F16F6" w:rsidP="005162DA">
            <w:pPr>
              <w:jc w:val="right"/>
              <w:rPr>
                <w:color w:val="000000"/>
                <w:sz w:val="24"/>
                <w:szCs w:val="24"/>
              </w:rPr>
            </w:pPr>
            <w:r w:rsidRPr="00E821AF">
              <w:rPr>
                <w:color w:val="000000"/>
                <w:sz w:val="24"/>
                <w:szCs w:val="24"/>
              </w:rPr>
              <w:t>18%</w:t>
            </w:r>
          </w:p>
        </w:tc>
      </w:tr>
      <w:tr w:rsidR="008F16F6" w:rsidRPr="00E821AF" w14:paraId="4178ACD5" w14:textId="77777777" w:rsidTr="00087159">
        <w:trPr>
          <w:gridAfter w:val="1"/>
          <w:wAfter w:w="90" w:type="dxa"/>
          <w:cantSplit/>
          <w:trHeight w:val="278"/>
          <w:jc w:val="center"/>
        </w:trPr>
        <w:tc>
          <w:tcPr>
            <w:tcW w:w="5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51DB3" w14:textId="77777777" w:rsidR="008F16F6" w:rsidRPr="00E821AF" w:rsidRDefault="008F16F6" w:rsidP="00E821AF">
            <w:pPr>
              <w:rPr>
                <w:color w:val="000000"/>
                <w:sz w:val="24"/>
                <w:szCs w:val="24"/>
              </w:rPr>
            </w:pPr>
            <w:r w:rsidRPr="00E821AF">
              <w:rPr>
                <w:color w:val="000000"/>
                <w:sz w:val="24"/>
                <w:szCs w:val="24"/>
              </w:rPr>
              <w:t>Managed Medicaid (Private Medicaid/Medicaid MCOs)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11486" w14:textId="77777777" w:rsidR="008F16F6" w:rsidRPr="00E821AF" w:rsidRDefault="008F16F6" w:rsidP="005162DA">
            <w:pPr>
              <w:jc w:val="right"/>
              <w:rPr>
                <w:color w:val="000000"/>
                <w:sz w:val="24"/>
                <w:szCs w:val="24"/>
              </w:rPr>
            </w:pPr>
            <w:r w:rsidRPr="00E821AF">
              <w:rPr>
                <w:color w:val="000000"/>
                <w:sz w:val="24"/>
                <w:szCs w:val="24"/>
              </w:rPr>
              <w:t>11%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ED30DF" w14:textId="77777777" w:rsidR="008F16F6" w:rsidRPr="00E821AF" w:rsidRDefault="008F16F6" w:rsidP="005162DA">
            <w:pPr>
              <w:jc w:val="right"/>
              <w:rPr>
                <w:color w:val="000000"/>
                <w:sz w:val="24"/>
                <w:szCs w:val="24"/>
              </w:rPr>
            </w:pPr>
            <w:r w:rsidRPr="00E821AF">
              <w:rPr>
                <w:color w:val="000000"/>
                <w:sz w:val="24"/>
                <w:szCs w:val="24"/>
              </w:rPr>
              <w:t>11%</w:t>
            </w:r>
          </w:p>
        </w:tc>
      </w:tr>
      <w:tr w:rsidR="008F16F6" w:rsidRPr="00E821AF" w14:paraId="11233C88" w14:textId="77777777" w:rsidTr="00087159">
        <w:trPr>
          <w:gridAfter w:val="1"/>
          <w:wAfter w:w="90" w:type="dxa"/>
          <w:cantSplit/>
          <w:trHeight w:val="278"/>
          <w:jc w:val="center"/>
        </w:trPr>
        <w:tc>
          <w:tcPr>
            <w:tcW w:w="5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C63B5" w14:textId="77777777" w:rsidR="008F16F6" w:rsidRPr="00E821AF" w:rsidRDefault="008F16F6" w:rsidP="00E821AF">
            <w:pPr>
              <w:rPr>
                <w:color w:val="000000"/>
                <w:sz w:val="24"/>
                <w:szCs w:val="24"/>
              </w:rPr>
            </w:pPr>
            <w:r w:rsidRPr="00E821AF">
              <w:rPr>
                <w:color w:val="000000"/>
                <w:sz w:val="24"/>
                <w:szCs w:val="24"/>
              </w:rPr>
              <w:t>MassHealth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9EAE6" w14:textId="77777777" w:rsidR="008F16F6" w:rsidRPr="00E821AF" w:rsidRDefault="008F16F6" w:rsidP="005162DA">
            <w:pPr>
              <w:jc w:val="right"/>
              <w:rPr>
                <w:color w:val="000000"/>
                <w:sz w:val="24"/>
                <w:szCs w:val="24"/>
              </w:rPr>
            </w:pPr>
            <w:r w:rsidRPr="00E821AF">
              <w:rPr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6552B7" w14:textId="77777777" w:rsidR="008F16F6" w:rsidRPr="00E821AF" w:rsidRDefault="008F16F6" w:rsidP="005162DA">
            <w:pPr>
              <w:jc w:val="right"/>
              <w:rPr>
                <w:color w:val="000000"/>
                <w:sz w:val="24"/>
                <w:szCs w:val="24"/>
              </w:rPr>
            </w:pPr>
            <w:r w:rsidRPr="00E821AF">
              <w:rPr>
                <w:color w:val="000000"/>
                <w:sz w:val="24"/>
                <w:szCs w:val="24"/>
              </w:rPr>
              <w:t>11%</w:t>
            </w:r>
          </w:p>
        </w:tc>
      </w:tr>
      <w:tr w:rsidR="008F16F6" w:rsidRPr="00E821AF" w14:paraId="66C24B8D" w14:textId="77777777" w:rsidTr="00087159">
        <w:trPr>
          <w:gridAfter w:val="1"/>
          <w:wAfter w:w="90" w:type="dxa"/>
          <w:cantSplit/>
          <w:trHeight w:val="278"/>
          <w:jc w:val="center"/>
        </w:trPr>
        <w:tc>
          <w:tcPr>
            <w:tcW w:w="5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5DF3D" w14:textId="77777777" w:rsidR="008F16F6" w:rsidRPr="00E821AF" w:rsidRDefault="008F16F6" w:rsidP="00E821AF">
            <w:pPr>
              <w:rPr>
                <w:b/>
                <w:bCs/>
                <w:color w:val="FFFFFF"/>
                <w:sz w:val="24"/>
                <w:szCs w:val="24"/>
              </w:rPr>
            </w:pPr>
            <w:r w:rsidRPr="00E821AF">
              <w:rPr>
                <w:b/>
                <w:bCs/>
                <w:color w:val="FFFFFF"/>
                <w:sz w:val="24"/>
                <w:szCs w:val="24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1D29F" w14:textId="77777777" w:rsidR="008F16F6" w:rsidRPr="00E821AF" w:rsidRDefault="008F16F6" w:rsidP="005162DA">
            <w:pPr>
              <w:jc w:val="right"/>
              <w:rPr>
                <w:b/>
                <w:bCs/>
                <w:color w:val="FFFFFF"/>
                <w:sz w:val="24"/>
                <w:szCs w:val="24"/>
              </w:rPr>
            </w:pPr>
            <w:r w:rsidRPr="00E821AF">
              <w:rPr>
                <w:b/>
                <w:bCs/>
                <w:sz w:val="24"/>
                <w:szCs w:val="24"/>
              </w:rPr>
              <w:t>100%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59DEB9" w14:textId="77777777" w:rsidR="008F16F6" w:rsidRPr="00E821AF" w:rsidRDefault="008F16F6" w:rsidP="005162DA">
            <w:pPr>
              <w:jc w:val="right"/>
              <w:rPr>
                <w:b/>
                <w:bCs/>
                <w:sz w:val="24"/>
                <w:szCs w:val="24"/>
              </w:rPr>
            </w:pPr>
            <w:r w:rsidRPr="00E821AF">
              <w:rPr>
                <w:b/>
                <w:bCs/>
                <w:color w:val="000000" w:themeColor="text1"/>
                <w:sz w:val="24"/>
                <w:szCs w:val="24"/>
              </w:rPr>
              <w:t>100%</w:t>
            </w:r>
          </w:p>
        </w:tc>
      </w:tr>
    </w:tbl>
    <w:p w14:paraId="7A225691" w14:textId="77777777" w:rsidR="002C5848" w:rsidRPr="00E821AF" w:rsidRDefault="002C5848" w:rsidP="00E821AF">
      <w:pPr>
        <w:pStyle w:val="BodyText"/>
        <w:ind w:right="151"/>
      </w:pPr>
    </w:p>
    <w:p w14:paraId="2F9C74A2" w14:textId="6A998E13" w:rsidR="00BD5477" w:rsidRPr="00E821AF" w:rsidRDefault="0020271A" w:rsidP="00E821AF">
      <w:pPr>
        <w:pStyle w:val="BodyText"/>
        <w:ind w:right="151"/>
        <w:rPr>
          <w:b/>
          <w:bCs/>
          <w:i/>
          <w:iCs/>
        </w:rPr>
      </w:pPr>
      <w:r w:rsidRPr="00E821AF">
        <w:rPr>
          <w:b/>
          <w:bCs/>
          <w:i/>
          <w:iCs/>
          <w:spacing w:val="-2"/>
        </w:rPr>
        <w:t>Analysis</w:t>
      </w:r>
    </w:p>
    <w:p w14:paraId="664012AD" w14:textId="772AC82E" w:rsidR="00401A9B" w:rsidRPr="00E821AF" w:rsidRDefault="11B7E8C5" w:rsidP="00E821AF">
      <w:pPr>
        <w:pStyle w:val="BodyText"/>
        <w:spacing w:before="240"/>
        <w:ind w:right="136"/>
      </w:pPr>
      <w:r w:rsidRPr="00E821AF">
        <w:t xml:space="preserve">Staff </w:t>
      </w:r>
      <w:proofErr w:type="gramStart"/>
      <w:r w:rsidRPr="00E821AF">
        <w:t>has</w:t>
      </w:r>
      <w:proofErr w:type="gramEnd"/>
      <w:r w:rsidRPr="00E821AF">
        <w:t xml:space="preserve"> reviewed the rationale and cost imp</w:t>
      </w:r>
      <w:r w:rsidR="71245AA6" w:rsidRPr="00E821AF">
        <w:t>act</w:t>
      </w:r>
      <w:r w:rsidRPr="00E821AF">
        <w:t xml:space="preserve"> of the proposed Amendment and notes that it will not </w:t>
      </w:r>
      <w:r w:rsidR="1584EBE8" w:rsidRPr="00E821AF">
        <w:t>significant</w:t>
      </w:r>
      <w:r w:rsidR="71245AA6" w:rsidRPr="00E821AF">
        <w:t>ly impact</w:t>
      </w:r>
      <w:r w:rsidR="1584EBE8" w:rsidRPr="00E821AF">
        <w:t xml:space="preserve"> cost other than adding one additional day of marginal operating costs</w:t>
      </w:r>
      <w:r w:rsidR="119BFBB2" w:rsidRPr="00E821AF">
        <w:t xml:space="preserve">, approximately $52,000 annually, </w:t>
      </w:r>
      <w:r w:rsidR="1584EBE8" w:rsidRPr="00E821AF">
        <w:t xml:space="preserve">since the costs of the equipment and of the site </w:t>
      </w:r>
      <w:r w:rsidR="00EF3E0F">
        <w:t xml:space="preserve">have already been </w:t>
      </w:r>
      <w:proofErr w:type="gramStart"/>
      <w:r w:rsidR="00EF3E0F">
        <w:t>expended</w:t>
      </w:r>
      <w:proofErr w:type="gramEnd"/>
      <w:r w:rsidR="2789A038" w:rsidRPr="00E821AF">
        <w:t>.</w:t>
      </w:r>
      <w:r w:rsidR="3CC3F3B7" w:rsidRPr="00E821AF">
        <w:t xml:space="preserve"> </w:t>
      </w:r>
    </w:p>
    <w:p w14:paraId="22B127E2" w14:textId="0BE2F562" w:rsidR="00952612" w:rsidRPr="00E821AF" w:rsidRDefault="00BB4E78" w:rsidP="00E821AF">
      <w:pPr>
        <w:pStyle w:val="BodyText"/>
        <w:spacing w:before="240"/>
        <w:ind w:right="136"/>
      </w:pPr>
      <w:r w:rsidRPr="00E821AF">
        <w:t xml:space="preserve">Staff concurs that </w:t>
      </w:r>
      <w:r w:rsidR="5B25AD3D" w:rsidRPr="00E821AF">
        <w:t>operat</w:t>
      </w:r>
      <w:r w:rsidR="0DA6211C" w:rsidRPr="00E821AF">
        <w:t>ing</w:t>
      </w:r>
      <w:r w:rsidR="5B25AD3D" w:rsidRPr="00E821AF">
        <w:t xml:space="preserve"> </w:t>
      </w:r>
      <w:r w:rsidRPr="00E821AF">
        <w:t xml:space="preserve">the </w:t>
      </w:r>
      <w:r w:rsidR="0C45051C" w:rsidRPr="00E821AF">
        <w:t>unit</w:t>
      </w:r>
      <w:r w:rsidRPr="00E821AF">
        <w:t xml:space="preserve"> on a seven-day per week schedule </w:t>
      </w:r>
      <w:r w:rsidR="00A5756C" w:rsidRPr="00E821AF">
        <w:t xml:space="preserve">will contribute </w:t>
      </w:r>
      <w:r w:rsidR="00EF3E0F" w:rsidRPr="00E821AF">
        <w:t>to the</w:t>
      </w:r>
      <w:r w:rsidRPr="00E821AF">
        <w:t xml:space="preserve"> provision of</w:t>
      </w:r>
      <w:r w:rsidR="00A5756C" w:rsidRPr="00E821AF">
        <w:t xml:space="preserve"> timely </w:t>
      </w:r>
      <w:r w:rsidR="00952612" w:rsidRPr="00E821AF">
        <w:t xml:space="preserve">quality effective </w:t>
      </w:r>
      <w:r w:rsidRPr="00E821AF">
        <w:t>serv</w:t>
      </w:r>
      <w:r w:rsidR="00952612" w:rsidRPr="00E821AF">
        <w:t xml:space="preserve">ices </w:t>
      </w:r>
      <w:r w:rsidR="00A5756C" w:rsidRPr="00E821AF">
        <w:t>for</w:t>
      </w:r>
      <w:r w:rsidR="7B8518FA" w:rsidRPr="00E821AF">
        <w:t xml:space="preserve"> Heywood Hospital</w:t>
      </w:r>
      <w:r w:rsidR="00A5756C" w:rsidRPr="00E821AF">
        <w:t>’s inpatients and outpatients</w:t>
      </w:r>
      <w:r w:rsidR="074DCA25" w:rsidRPr="00E821AF">
        <w:t>. This also</w:t>
      </w:r>
      <w:r w:rsidR="00952612" w:rsidRPr="00E821AF">
        <w:t xml:space="preserve"> has the potential to save costs through the reduction in length of stay and reduced admissions.</w:t>
      </w:r>
    </w:p>
    <w:p w14:paraId="2F9C74A3" w14:textId="358DB61E" w:rsidR="00BD5477" w:rsidRPr="00E821AF" w:rsidRDefault="2789A038" w:rsidP="00E821AF">
      <w:pPr>
        <w:pStyle w:val="BodyText"/>
        <w:spacing w:before="240"/>
        <w:ind w:right="136"/>
      </w:pPr>
      <w:r w:rsidRPr="00E821AF">
        <w:t>Further</w:t>
      </w:r>
      <w:r w:rsidR="289A46AD" w:rsidRPr="00E821AF">
        <w:t>,</w:t>
      </w:r>
      <w:r w:rsidRPr="00E821AF">
        <w:t xml:space="preserve"> the additional day</w:t>
      </w:r>
      <w:r w:rsidR="1584EBE8" w:rsidRPr="00E821AF">
        <w:t xml:space="preserve"> will likely improve access for the </w:t>
      </w:r>
      <w:r w:rsidR="58EA0F08" w:rsidRPr="00E821AF">
        <w:t>Patient Panel in a region that has been under-resourced</w:t>
      </w:r>
      <w:r w:rsidR="697F06F6" w:rsidRPr="00E821AF">
        <w:t xml:space="preserve">, where over 57% of patients are covered by public payers, </w:t>
      </w:r>
      <w:r w:rsidR="58EA0F08" w:rsidRPr="00E821AF">
        <w:t xml:space="preserve">and where </w:t>
      </w:r>
      <w:r w:rsidR="58EA0F08" w:rsidRPr="00E821AF">
        <w:lastRenderedPageBreak/>
        <w:t>times and cost of travel can be a challenge</w:t>
      </w:r>
      <w:r w:rsidR="697F06F6" w:rsidRPr="00E821AF">
        <w:t xml:space="preserve"> due to age and financial constraints.</w:t>
      </w:r>
      <w:r w:rsidR="1584EBE8" w:rsidRPr="00E821AF">
        <w:t xml:space="preserve"> </w:t>
      </w:r>
      <w:r w:rsidR="697F06F6" w:rsidRPr="00E821AF">
        <w:t>By</w:t>
      </w:r>
      <w:r w:rsidR="1584EBE8" w:rsidRPr="00E821AF">
        <w:t xml:space="preserve"> giving </w:t>
      </w:r>
      <w:proofErr w:type="gramStart"/>
      <w:r w:rsidR="58EA0F08" w:rsidRPr="00E821AF">
        <w:t>patients</w:t>
      </w:r>
      <w:proofErr w:type="gramEnd"/>
      <w:r w:rsidR="1584EBE8" w:rsidRPr="00E821AF">
        <w:t xml:space="preserve"> </w:t>
      </w:r>
      <w:r w:rsidR="08900D76" w:rsidRPr="00E821AF">
        <w:t xml:space="preserve">the choice </w:t>
      </w:r>
      <w:r w:rsidR="62C5A50E" w:rsidRPr="00E821AF">
        <w:t>of</w:t>
      </w:r>
      <w:r w:rsidR="62078F74" w:rsidRPr="00E821AF">
        <w:t xml:space="preserve"> </w:t>
      </w:r>
      <w:r w:rsidR="1584EBE8" w:rsidRPr="00E821AF">
        <w:t xml:space="preserve">an additional </w:t>
      </w:r>
      <w:r w:rsidR="08900D76" w:rsidRPr="00E821AF">
        <w:t xml:space="preserve">weekend </w:t>
      </w:r>
      <w:r w:rsidR="1584EBE8" w:rsidRPr="00E821AF">
        <w:t>day of service</w:t>
      </w:r>
      <w:r w:rsidR="77DA8C29" w:rsidRPr="00E821AF">
        <w:t xml:space="preserve">, </w:t>
      </w:r>
      <w:r w:rsidR="4E6B760B" w:rsidRPr="00E821AF">
        <w:t>they will have greater access to timely scans</w:t>
      </w:r>
      <w:r w:rsidR="60F177B8" w:rsidRPr="00E821AF">
        <w:t xml:space="preserve">, </w:t>
      </w:r>
      <w:r w:rsidR="5AF2AC04" w:rsidRPr="00E821AF">
        <w:t>potentially reducing</w:t>
      </w:r>
      <w:r w:rsidR="60F177B8" w:rsidRPr="00E821AF">
        <w:t xml:space="preserve"> the financial and logistical costs in terms of parking, transport and time away from work or family care</w:t>
      </w:r>
      <w:r w:rsidR="66362C56" w:rsidRPr="00E821AF">
        <w:t xml:space="preserve"> they might experience during a weekday or having to travel farther to for a scan</w:t>
      </w:r>
      <w:r w:rsidR="60F177B8" w:rsidRPr="00E821AF">
        <w:t xml:space="preserve">. </w:t>
      </w:r>
    </w:p>
    <w:p w14:paraId="2F9C74A4" w14:textId="22C54045" w:rsidR="00BD5477" w:rsidRPr="00E821AF" w:rsidRDefault="0020271A" w:rsidP="00E821AF">
      <w:pPr>
        <w:pStyle w:val="Heading2"/>
        <w:spacing w:before="241"/>
        <w:rPr>
          <w:i w:val="0"/>
        </w:rPr>
      </w:pPr>
      <w:r w:rsidRPr="00E821AF">
        <w:t>Findings</w:t>
      </w:r>
      <w:r w:rsidR="00431516" w:rsidRPr="00E821AF">
        <w:t xml:space="preserve"> and </w:t>
      </w:r>
      <w:r w:rsidRPr="00E821AF">
        <w:t>Recommendations</w:t>
      </w:r>
    </w:p>
    <w:p w14:paraId="2F9C74A5" w14:textId="76F7C0DF" w:rsidR="00BD5477" w:rsidRPr="00E821AF" w:rsidRDefault="0020271A" w:rsidP="00E821AF">
      <w:pPr>
        <w:pStyle w:val="BodyText"/>
        <w:spacing w:before="240"/>
        <w:ind w:right="207"/>
      </w:pPr>
      <w:r w:rsidRPr="00E821AF">
        <w:t>Staff</w:t>
      </w:r>
      <w:r w:rsidRPr="00E821AF">
        <w:rPr>
          <w:spacing w:val="-1"/>
        </w:rPr>
        <w:t xml:space="preserve"> </w:t>
      </w:r>
      <w:r w:rsidRPr="00E821AF">
        <w:t>reviewed</w:t>
      </w:r>
      <w:r w:rsidRPr="00E821AF">
        <w:rPr>
          <w:spacing w:val="-4"/>
        </w:rPr>
        <w:t xml:space="preserve"> </w:t>
      </w:r>
      <w:r w:rsidRPr="00E821AF">
        <w:t>the</w:t>
      </w:r>
      <w:r w:rsidRPr="00E821AF">
        <w:rPr>
          <w:spacing w:val="-4"/>
        </w:rPr>
        <w:t xml:space="preserve"> </w:t>
      </w:r>
      <w:r w:rsidRPr="00E821AF">
        <w:t>information</w:t>
      </w:r>
      <w:r w:rsidRPr="00E821AF">
        <w:rPr>
          <w:spacing w:val="-4"/>
        </w:rPr>
        <w:t xml:space="preserve"> </w:t>
      </w:r>
      <w:r w:rsidRPr="00E821AF">
        <w:t>in</w:t>
      </w:r>
      <w:r w:rsidRPr="00E821AF">
        <w:rPr>
          <w:spacing w:val="-4"/>
        </w:rPr>
        <w:t xml:space="preserve"> </w:t>
      </w:r>
      <w:r w:rsidRPr="00E821AF">
        <w:t>the</w:t>
      </w:r>
      <w:r w:rsidRPr="00E821AF">
        <w:rPr>
          <w:spacing w:val="-2"/>
        </w:rPr>
        <w:t xml:space="preserve"> </w:t>
      </w:r>
      <w:r w:rsidRPr="00E821AF">
        <w:t>record</w:t>
      </w:r>
      <w:r w:rsidRPr="00E821AF">
        <w:rPr>
          <w:spacing w:val="-4"/>
        </w:rPr>
        <w:t xml:space="preserve"> </w:t>
      </w:r>
      <w:r w:rsidRPr="00E821AF">
        <w:t>the</w:t>
      </w:r>
      <w:r w:rsidRPr="00E821AF">
        <w:rPr>
          <w:spacing w:val="-4"/>
        </w:rPr>
        <w:t xml:space="preserve"> </w:t>
      </w:r>
      <w:r w:rsidRPr="00E821AF">
        <w:t>Approval</w:t>
      </w:r>
      <w:r w:rsidRPr="00E821AF">
        <w:rPr>
          <w:spacing w:val="-5"/>
        </w:rPr>
        <w:t xml:space="preserve"> </w:t>
      </w:r>
      <w:r w:rsidRPr="00E821AF">
        <w:t>of</w:t>
      </w:r>
      <w:r w:rsidRPr="00E821AF">
        <w:rPr>
          <w:spacing w:val="-1"/>
        </w:rPr>
        <w:t xml:space="preserve"> </w:t>
      </w:r>
      <w:r w:rsidR="00431516" w:rsidRPr="00E821AF">
        <w:rPr>
          <w:spacing w:val="-4"/>
        </w:rPr>
        <w:t xml:space="preserve">DoN #21021213-HS </w:t>
      </w:r>
      <w:r w:rsidR="393F0263" w:rsidRPr="00E821AF">
        <w:t>and determined</w:t>
      </w:r>
      <w:r w:rsidRPr="00E821AF">
        <w:rPr>
          <w:spacing w:val="-5"/>
        </w:rPr>
        <w:t xml:space="preserve"> </w:t>
      </w:r>
      <w:r w:rsidRPr="00E821AF">
        <w:t>that the Amendment request falls within the scope of that Approval.</w:t>
      </w:r>
    </w:p>
    <w:p w14:paraId="47CB6B27" w14:textId="55A0916B" w:rsidR="0074600D" w:rsidRPr="00E821AF" w:rsidRDefault="0020271A" w:rsidP="00E821AF">
      <w:pPr>
        <w:pStyle w:val="BodyText"/>
        <w:spacing w:before="159"/>
        <w:ind w:left="119" w:right="136"/>
        <w:rPr>
          <w:color w:val="0562C1"/>
        </w:rPr>
      </w:pPr>
      <w:r w:rsidRPr="00E821AF">
        <w:t>Based</w:t>
      </w:r>
      <w:r w:rsidRPr="00E821AF">
        <w:rPr>
          <w:spacing w:val="-1"/>
        </w:rPr>
        <w:t xml:space="preserve"> </w:t>
      </w:r>
      <w:r w:rsidRPr="00E821AF">
        <w:t>upon</w:t>
      </w:r>
      <w:r w:rsidRPr="00E821AF">
        <w:rPr>
          <w:spacing w:val="-4"/>
        </w:rPr>
        <w:t xml:space="preserve"> </w:t>
      </w:r>
      <w:r w:rsidRPr="00E821AF">
        <w:t>the</w:t>
      </w:r>
      <w:r w:rsidRPr="00E821AF">
        <w:rPr>
          <w:spacing w:val="-2"/>
        </w:rPr>
        <w:t xml:space="preserve"> </w:t>
      </w:r>
      <w:r w:rsidRPr="00E821AF">
        <w:t>information</w:t>
      </w:r>
      <w:r w:rsidRPr="00E821AF">
        <w:rPr>
          <w:spacing w:val="-1"/>
        </w:rPr>
        <w:t xml:space="preserve"> </w:t>
      </w:r>
      <w:r w:rsidRPr="00E821AF">
        <w:t>submitted,</w:t>
      </w:r>
      <w:r w:rsidRPr="00E821AF">
        <w:rPr>
          <w:spacing w:val="-2"/>
        </w:rPr>
        <w:t xml:space="preserve"> </w:t>
      </w:r>
      <w:r w:rsidRPr="00E821AF">
        <w:t>and</w:t>
      </w:r>
      <w:r w:rsidRPr="00E821AF">
        <w:rPr>
          <w:spacing w:val="-4"/>
        </w:rPr>
        <w:t xml:space="preserve"> </w:t>
      </w:r>
      <w:r w:rsidRPr="00E821AF">
        <w:t>information</w:t>
      </w:r>
      <w:r w:rsidRPr="00E821AF">
        <w:rPr>
          <w:spacing w:val="-4"/>
        </w:rPr>
        <w:t xml:space="preserve"> </w:t>
      </w:r>
      <w:r w:rsidRPr="00E821AF">
        <w:t>in</w:t>
      </w:r>
      <w:r w:rsidRPr="00E821AF">
        <w:rPr>
          <w:spacing w:val="-4"/>
        </w:rPr>
        <w:t xml:space="preserve"> </w:t>
      </w:r>
      <w:r w:rsidRPr="00E821AF">
        <w:t>the</w:t>
      </w:r>
      <w:r w:rsidRPr="00E821AF">
        <w:rPr>
          <w:spacing w:val="-2"/>
        </w:rPr>
        <w:t xml:space="preserve"> </w:t>
      </w:r>
      <w:r w:rsidRPr="00E821AF">
        <w:t>record,</w:t>
      </w:r>
      <w:r w:rsidRPr="00E821AF">
        <w:rPr>
          <w:spacing w:val="-5"/>
        </w:rPr>
        <w:t xml:space="preserve"> </w:t>
      </w:r>
      <w:r w:rsidRPr="00E821AF">
        <w:t>the</w:t>
      </w:r>
      <w:r w:rsidRPr="00E821AF">
        <w:rPr>
          <w:spacing w:val="-4"/>
        </w:rPr>
        <w:t xml:space="preserve"> </w:t>
      </w:r>
      <w:r w:rsidRPr="00E821AF">
        <w:t>Department</w:t>
      </w:r>
      <w:r w:rsidRPr="00E821AF">
        <w:rPr>
          <w:spacing w:val="-1"/>
        </w:rPr>
        <w:t xml:space="preserve"> </w:t>
      </w:r>
      <w:r w:rsidRPr="00E821AF">
        <w:t>can</w:t>
      </w:r>
      <w:r w:rsidRPr="00E821AF">
        <w:rPr>
          <w:spacing w:val="-4"/>
        </w:rPr>
        <w:t xml:space="preserve"> </w:t>
      </w:r>
      <w:r w:rsidRPr="00E821AF">
        <w:t>find that the “the proposed change or modification falls within the scope of the Notice of Determination of Need as previously approved by the Department, and … is reasonable” 105 CMR 100.635(A)(3), which are the requirements for approval of an Amendment</w:t>
      </w:r>
      <w:r w:rsidR="00431516" w:rsidRPr="00E821AF">
        <w:t>.</w:t>
      </w:r>
      <w:r w:rsidR="00022128" w:rsidRPr="00E821AF">
        <w:t xml:space="preserve"> </w:t>
      </w:r>
    </w:p>
    <w:sectPr w:rsidR="0074600D" w:rsidRPr="00E821AF" w:rsidSect="004315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200" w:right="1320" w:bottom="1240" w:left="1320" w:header="0" w:footer="9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01457" w14:textId="77777777" w:rsidR="007B399E" w:rsidRDefault="007B399E">
      <w:r>
        <w:separator/>
      </w:r>
    </w:p>
  </w:endnote>
  <w:endnote w:type="continuationSeparator" w:id="0">
    <w:p w14:paraId="6E4FE378" w14:textId="77777777" w:rsidR="007B399E" w:rsidRDefault="007B3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AB2C7" w14:textId="77777777" w:rsidR="002B003C" w:rsidRDefault="002B00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301A3" w14:textId="77777777" w:rsidR="002B003C" w:rsidRPr="00EF2B59" w:rsidRDefault="002B003C" w:rsidP="002B003C">
    <w:pPr>
      <w:pStyle w:val="BodyText"/>
      <w:spacing w:before="10"/>
      <w:ind w:left="60"/>
      <w:jc w:val="center"/>
      <w:rPr>
        <w:rFonts w:asciiTheme="minorHAnsi" w:hAnsiTheme="minorHAnsi" w:cstheme="minorHAnsi"/>
      </w:rPr>
    </w:pPr>
    <w:r w:rsidRPr="00EF2B59">
      <w:rPr>
        <w:rFonts w:asciiTheme="minorHAnsi" w:hAnsiTheme="minorHAnsi" w:cstheme="minorHAnsi"/>
        <w:spacing w:val="-10"/>
      </w:rPr>
      <w:fldChar w:fldCharType="begin"/>
    </w:r>
    <w:r w:rsidRPr="00EF2B59">
      <w:rPr>
        <w:rFonts w:asciiTheme="minorHAnsi" w:hAnsiTheme="minorHAnsi" w:cstheme="minorHAnsi"/>
        <w:spacing w:val="-10"/>
      </w:rPr>
      <w:instrText xml:space="preserve"> PAGE </w:instrText>
    </w:r>
    <w:r w:rsidRPr="00EF2B59">
      <w:rPr>
        <w:rFonts w:asciiTheme="minorHAnsi" w:hAnsiTheme="minorHAnsi" w:cstheme="minorHAnsi"/>
        <w:spacing w:val="-10"/>
      </w:rPr>
      <w:fldChar w:fldCharType="separate"/>
    </w:r>
    <w:r w:rsidRPr="00EF2B59">
      <w:rPr>
        <w:rFonts w:asciiTheme="minorHAnsi" w:hAnsiTheme="minorHAnsi" w:cstheme="minorHAnsi"/>
        <w:spacing w:val="-10"/>
      </w:rPr>
      <w:t>6</w:t>
    </w:r>
    <w:r w:rsidRPr="00EF2B59">
      <w:rPr>
        <w:rFonts w:asciiTheme="minorHAnsi" w:hAnsiTheme="minorHAnsi" w:cstheme="minorHAnsi"/>
        <w:spacing w:val="-10"/>
      </w:rPr>
      <w:fldChar w:fldCharType="end"/>
    </w:r>
  </w:p>
  <w:p w14:paraId="2F9C74B9" w14:textId="4F38053B" w:rsidR="00BD5477" w:rsidRDefault="00BD5477">
    <w:pPr>
      <w:pStyle w:val="BodyText"/>
      <w:spacing w:line="14" w:lineRule="auto"/>
      <w:ind w:left="0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7A44B" w14:textId="77777777" w:rsidR="002B003C" w:rsidRDefault="002B00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CA6A6" w14:textId="77777777" w:rsidR="007B399E" w:rsidRDefault="007B399E">
      <w:r>
        <w:separator/>
      </w:r>
    </w:p>
  </w:footnote>
  <w:footnote w:type="continuationSeparator" w:id="0">
    <w:p w14:paraId="51C2D306" w14:textId="77777777" w:rsidR="007B399E" w:rsidRDefault="007B399E">
      <w:r>
        <w:continuationSeparator/>
      </w:r>
    </w:p>
  </w:footnote>
  <w:footnote w:id="1">
    <w:p w14:paraId="0F213B1F" w14:textId="17E47652" w:rsidR="00042444" w:rsidRDefault="00042444">
      <w:pPr>
        <w:pStyle w:val="FootnoteText"/>
      </w:pPr>
      <w:r>
        <w:rPr>
          <w:rStyle w:val="FootnoteReference"/>
        </w:rPr>
        <w:footnoteRef/>
      </w:r>
      <w:r>
        <w:t xml:space="preserve"> The Department does not have a history of approving fixed units on a part-time basis. </w:t>
      </w:r>
    </w:p>
  </w:footnote>
  <w:footnote w:id="2">
    <w:p w14:paraId="75FB7DD5" w14:textId="77777777" w:rsidR="00070A29" w:rsidRDefault="00070A29" w:rsidP="00070A29">
      <w:pPr>
        <w:pStyle w:val="FootnoteText"/>
      </w:pPr>
      <w:r>
        <w:rPr>
          <w:rStyle w:val="FootnoteReference"/>
        </w:rPr>
        <w:footnoteRef/>
      </w:r>
      <w:r>
        <w:t xml:space="preserve"> The previous MRI mobile contract operated at both Athol and Heywood Hospitals. </w:t>
      </w:r>
      <w:hyperlink r:id="rId1" w:history="1">
        <w:r w:rsidRPr="00103CD2">
          <w:rPr>
            <w:rStyle w:val="Hyperlink"/>
          </w:rPr>
          <w:t>https://www.mass.gov/doc/shields-pet-ct-at-heywood-healthcare-decision-letter-0/download</w:t>
        </w:r>
      </w:hyperlink>
      <w:r>
        <w:t xml:space="preserve"> </w:t>
      </w:r>
    </w:p>
  </w:footnote>
  <w:footnote w:id="3">
    <w:p w14:paraId="47695A6D" w14:textId="0D4CE6F0" w:rsidR="004D28BF" w:rsidRDefault="004D28BF">
      <w:pPr>
        <w:pStyle w:val="FootnoteText"/>
      </w:pPr>
      <w:r>
        <w:rPr>
          <w:rStyle w:val="FootnoteReference"/>
        </w:rPr>
        <w:footnoteRef/>
      </w:r>
      <w:r>
        <w:t xml:space="preserve"> The Holder indicated in their amendment the data reflected a 50% surge in scan volume between 2023 and 2024, but this surge did not annualize the data, therefore, </w:t>
      </w:r>
      <w:r w:rsidR="009C233B">
        <w:t xml:space="preserve">this memorandum substitutes growth reflecting annualized data. </w:t>
      </w:r>
    </w:p>
  </w:footnote>
  <w:footnote w:id="4">
    <w:p w14:paraId="1F6A774D" w14:textId="156FCFB1" w:rsidR="00DE7ADE" w:rsidRDefault="00DE7ADE" w:rsidP="00DE7ADE">
      <w:pPr>
        <w:pStyle w:val="FootnoteText"/>
      </w:pPr>
      <w:r w:rsidRPr="6B265AC0">
        <w:rPr>
          <w:rStyle w:val="FootnoteReference"/>
        </w:rPr>
        <w:footnoteRef/>
      </w:r>
      <w:r>
        <w:t xml:space="preserve"> Prior to the approval of the Original DoN, Heywood Hospital and Athol Hospital contracted with another vendor to provide MRI services at Heywood Hospital six days a week and PET-CT services at Athol Hospital one day a week. T</w:t>
      </w:r>
      <w:r w:rsidR="00A563C8">
        <w:t xml:space="preserve">he Original DoN was approved in November 2021, but the Holder </w:t>
      </w:r>
      <w:r w:rsidR="00536C1A">
        <w:t>did not begin operating the fixed</w:t>
      </w:r>
      <w:r w:rsidR="00A563C8">
        <w:t xml:space="preserve"> until April 18, 2023. </w:t>
      </w:r>
      <w:r>
        <w:t xml:space="preserve">The Original DoN sought, in part, to fulfill the need for those MRI and PET-CT services by establishing a licensed clinic operated by the Applicant upon the termination of the contract with the other vendor. </w:t>
      </w:r>
    </w:p>
  </w:footnote>
  <w:footnote w:id="5">
    <w:p w14:paraId="13E39FC8" w14:textId="77777777" w:rsidR="6D320AF3" w:rsidRDefault="6D320AF3" w:rsidP="6D320AF3">
      <w:pPr>
        <w:pStyle w:val="FootnoteText"/>
      </w:pPr>
      <w:r w:rsidRPr="6D320AF3">
        <w:rPr>
          <w:rStyle w:val="FootnoteReference"/>
        </w:rPr>
        <w:footnoteRef/>
      </w:r>
      <w:r>
        <w:t xml:space="preserve"> The Holder does not have estimates of the reduction beyond year one.</w:t>
      </w:r>
    </w:p>
  </w:footnote>
  <w:footnote w:id="6">
    <w:p w14:paraId="3A5196E1" w14:textId="77777777" w:rsidR="008C1DAB" w:rsidRDefault="008C1DAB" w:rsidP="008C1DAB">
      <w:pPr>
        <w:pStyle w:val="FootnoteText"/>
      </w:pPr>
      <w:r>
        <w:rPr>
          <w:rStyle w:val="FootnoteReference"/>
        </w:rPr>
        <w:footnoteRef/>
      </w:r>
      <w:r w:rsidR="6D320AF3">
        <w:t xml:space="preserve"> Based on minutes of operation.</w:t>
      </w:r>
    </w:p>
  </w:footnote>
  <w:footnote w:id="7">
    <w:p w14:paraId="6354D361" w14:textId="2A06E726" w:rsidR="00BB2004" w:rsidRDefault="00BB2004">
      <w:pPr>
        <w:pStyle w:val="FootnoteText"/>
      </w:pPr>
      <w:r>
        <w:rPr>
          <w:rStyle w:val="FootnoteReference"/>
        </w:rPr>
        <w:footnoteRef/>
      </w:r>
      <w:r w:rsidR="6D320AF3">
        <w:t xml:space="preserve"> </w:t>
      </w:r>
      <w:r w:rsidR="6D320AF3" w:rsidRPr="008A31C0">
        <w:t>Abdomen exams often require contrast, breath-holding sequences, Arthrograms require coordination of multiple providers/resources (usually a radiologist for joint injection with contrast</w:t>
      </w:r>
      <w:r w:rsidR="008A31C0">
        <w:t>)</w:t>
      </w:r>
      <w:r w:rsidR="6D320AF3" w:rsidRPr="008A31C0">
        <w:t>. Not all sites or technologists perform arthrogram injections, so patients have fewer locations to choose from creating an increased backlog.</w:t>
      </w:r>
    </w:p>
  </w:footnote>
  <w:footnote w:id="8">
    <w:p w14:paraId="132CC7DB" w14:textId="0A770EE2" w:rsidR="6D320AF3" w:rsidRDefault="6D320AF3" w:rsidP="6D320AF3">
      <w:pPr>
        <w:pStyle w:val="FootnoteText"/>
      </w:pPr>
      <w:r w:rsidRPr="6D320AF3">
        <w:rPr>
          <w:rStyle w:val="FootnoteReference"/>
        </w:rPr>
        <w:footnoteRef/>
      </w:r>
      <w:r>
        <w:t xml:space="preserve"> The capacity will vary based on the type of scan and whether it is routine or requires contrast, lab-work, or coordination with other providers. The </w:t>
      </w:r>
      <w:r w:rsidR="005663FF">
        <w:t xml:space="preserve">Holder </w:t>
      </w:r>
      <w:r>
        <w:t>states that Arthrograms and Abdominal scans require coordination with departments and specialists.</w:t>
      </w:r>
    </w:p>
    <w:p w14:paraId="64D85BAA" w14:textId="5DEB8A85" w:rsidR="6D320AF3" w:rsidRDefault="6D320AF3" w:rsidP="6D320AF3">
      <w:pPr>
        <w:pStyle w:val="FootnoteText"/>
      </w:pPr>
    </w:p>
  </w:footnote>
  <w:footnote w:id="9">
    <w:p w14:paraId="7B84A924" w14:textId="550F16FE" w:rsidR="0080213A" w:rsidRDefault="0080213A">
      <w:pPr>
        <w:pStyle w:val="FootnoteText"/>
      </w:pPr>
      <w:r>
        <w:rPr>
          <w:rStyle w:val="FootnoteReference"/>
        </w:rPr>
        <w:footnoteRef/>
      </w:r>
      <w:r>
        <w:t xml:space="preserve"> i.e. precertification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66F6E" w14:textId="77777777" w:rsidR="002B003C" w:rsidRDefault="002B00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338F2" w14:textId="77777777" w:rsidR="002B003C" w:rsidRDefault="002B00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75EDB" w14:textId="77777777" w:rsidR="002B003C" w:rsidRDefault="002B00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256C8"/>
    <w:multiLevelType w:val="hybridMultilevel"/>
    <w:tmpl w:val="8E281814"/>
    <w:lvl w:ilvl="0" w:tplc="FCA873A4">
      <w:start w:val="1"/>
      <w:numFmt w:val="decimal"/>
      <w:lvlText w:val="%1."/>
      <w:lvlJc w:val="left"/>
      <w:pPr>
        <w:ind w:left="360" w:hanging="360"/>
      </w:pPr>
      <w:rPr>
        <w:rFonts w:ascii="Aptos" w:eastAsia="Aptos" w:hAnsi="Aptos" w:cs="Aptos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464092"/>
    <w:multiLevelType w:val="hybridMultilevel"/>
    <w:tmpl w:val="EA0A2592"/>
    <w:lvl w:ilvl="0" w:tplc="C09E12AC">
      <w:start w:val="1"/>
      <w:numFmt w:val="decimal"/>
      <w:lvlText w:val="%1."/>
      <w:lvlJc w:val="left"/>
      <w:pPr>
        <w:ind w:left="84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AFE315C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2" w:tplc="F04AF64A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3356F7EE"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ar-SA"/>
      </w:rPr>
    </w:lvl>
    <w:lvl w:ilvl="4" w:tplc="2938BC40">
      <w:numFmt w:val="bullet"/>
      <w:lvlText w:val="•"/>
      <w:lvlJc w:val="left"/>
      <w:pPr>
        <w:ind w:left="4344" w:hanging="360"/>
      </w:pPr>
      <w:rPr>
        <w:rFonts w:hint="default"/>
        <w:lang w:val="en-US" w:eastAsia="en-US" w:bidi="ar-SA"/>
      </w:rPr>
    </w:lvl>
    <w:lvl w:ilvl="5" w:tplc="95E4EC88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D9A2A95E">
      <w:numFmt w:val="bullet"/>
      <w:lvlText w:val="•"/>
      <w:lvlJc w:val="left"/>
      <w:pPr>
        <w:ind w:left="6096" w:hanging="360"/>
      </w:pPr>
      <w:rPr>
        <w:rFonts w:hint="default"/>
        <w:lang w:val="en-US" w:eastAsia="en-US" w:bidi="ar-SA"/>
      </w:rPr>
    </w:lvl>
    <w:lvl w:ilvl="7" w:tplc="083A1B80">
      <w:numFmt w:val="bullet"/>
      <w:lvlText w:val="•"/>
      <w:lvlJc w:val="left"/>
      <w:pPr>
        <w:ind w:left="6972" w:hanging="360"/>
      </w:pPr>
      <w:rPr>
        <w:rFonts w:hint="default"/>
        <w:lang w:val="en-US" w:eastAsia="en-US" w:bidi="ar-SA"/>
      </w:rPr>
    </w:lvl>
    <w:lvl w:ilvl="8" w:tplc="5184985C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028546B"/>
    <w:multiLevelType w:val="hybridMultilevel"/>
    <w:tmpl w:val="95E8775A"/>
    <w:lvl w:ilvl="0" w:tplc="4950E90C">
      <w:start w:val="1"/>
      <w:numFmt w:val="decimal"/>
      <w:lvlText w:val="%1."/>
      <w:lvlJc w:val="left"/>
      <w:pPr>
        <w:ind w:left="84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D6A1F9A">
      <w:start w:val="1"/>
      <w:numFmt w:val="lowerLetter"/>
      <w:lvlText w:val="%2."/>
      <w:lvlJc w:val="left"/>
      <w:pPr>
        <w:ind w:left="1560" w:hanging="360"/>
      </w:pPr>
      <w:rPr>
        <w:rFonts w:hint="default"/>
        <w:spacing w:val="0"/>
        <w:w w:val="100"/>
        <w:lang w:val="en-US" w:eastAsia="en-US" w:bidi="ar-SA"/>
      </w:rPr>
    </w:lvl>
    <w:lvl w:ilvl="2" w:tplc="B2FAAF02">
      <w:numFmt w:val="bullet"/>
      <w:lvlText w:val="•"/>
      <w:lvlJc w:val="left"/>
      <w:pPr>
        <w:ind w:left="2453" w:hanging="360"/>
      </w:pPr>
      <w:rPr>
        <w:rFonts w:hint="default"/>
        <w:lang w:val="en-US" w:eastAsia="en-US" w:bidi="ar-SA"/>
      </w:rPr>
    </w:lvl>
    <w:lvl w:ilvl="3" w:tplc="8CA892F2"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ar-SA"/>
      </w:rPr>
    </w:lvl>
    <w:lvl w:ilvl="4" w:tplc="BAC24640"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ar-SA"/>
      </w:rPr>
    </w:lvl>
    <w:lvl w:ilvl="5" w:tplc="9C82AACA">
      <w:numFmt w:val="bullet"/>
      <w:lvlText w:val="•"/>
      <w:lvlJc w:val="left"/>
      <w:pPr>
        <w:ind w:left="5133" w:hanging="360"/>
      </w:pPr>
      <w:rPr>
        <w:rFonts w:hint="default"/>
        <w:lang w:val="en-US" w:eastAsia="en-US" w:bidi="ar-SA"/>
      </w:rPr>
    </w:lvl>
    <w:lvl w:ilvl="6" w:tplc="9EB8899C">
      <w:numFmt w:val="bullet"/>
      <w:lvlText w:val="•"/>
      <w:lvlJc w:val="left"/>
      <w:pPr>
        <w:ind w:left="6026" w:hanging="360"/>
      </w:pPr>
      <w:rPr>
        <w:rFonts w:hint="default"/>
        <w:lang w:val="en-US" w:eastAsia="en-US" w:bidi="ar-SA"/>
      </w:rPr>
    </w:lvl>
    <w:lvl w:ilvl="7" w:tplc="CBD0A086">
      <w:numFmt w:val="bullet"/>
      <w:lvlText w:val="•"/>
      <w:lvlJc w:val="left"/>
      <w:pPr>
        <w:ind w:left="6920" w:hanging="360"/>
      </w:pPr>
      <w:rPr>
        <w:rFonts w:hint="default"/>
        <w:lang w:val="en-US" w:eastAsia="en-US" w:bidi="ar-SA"/>
      </w:rPr>
    </w:lvl>
    <w:lvl w:ilvl="8" w:tplc="E67E2790">
      <w:numFmt w:val="bullet"/>
      <w:lvlText w:val="•"/>
      <w:lvlJc w:val="left"/>
      <w:pPr>
        <w:ind w:left="781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58527A6"/>
    <w:multiLevelType w:val="hybridMultilevel"/>
    <w:tmpl w:val="70388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414B8"/>
    <w:multiLevelType w:val="hybridMultilevel"/>
    <w:tmpl w:val="F4920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F6F14"/>
    <w:multiLevelType w:val="hybridMultilevel"/>
    <w:tmpl w:val="33CA50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62FA9"/>
    <w:multiLevelType w:val="hybridMultilevel"/>
    <w:tmpl w:val="600C19E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499E6384"/>
    <w:multiLevelType w:val="hybridMultilevel"/>
    <w:tmpl w:val="492A3246"/>
    <w:lvl w:ilvl="0" w:tplc="1AD0103C">
      <w:start w:val="1"/>
      <w:numFmt w:val="decimal"/>
      <w:lvlText w:val="%1."/>
      <w:lvlJc w:val="left"/>
      <w:pPr>
        <w:ind w:left="840" w:hanging="360"/>
      </w:pPr>
      <w:rPr>
        <w:rFonts w:ascii="Calibri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54C12C32"/>
    <w:multiLevelType w:val="hybridMultilevel"/>
    <w:tmpl w:val="87D22288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59AA0C98"/>
    <w:multiLevelType w:val="hybridMultilevel"/>
    <w:tmpl w:val="8DA20B7E"/>
    <w:lvl w:ilvl="0" w:tplc="270C7670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2AA4E6A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2" w:tplc="CFEC0EF0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55F29CC8"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ar-SA"/>
      </w:rPr>
    </w:lvl>
    <w:lvl w:ilvl="4" w:tplc="4A805D46">
      <w:numFmt w:val="bullet"/>
      <w:lvlText w:val="•"/>
      <w:lvlJc w:val="left"/>
      <w:pPr>
        <w:ind w:left="4344" w:hanging="360"/>
      </w:pPr>
      <w:rPr>
        <w:rFonts w:hint="default"/>
        <w:lang w:val="en-US" w:eastAsia="en-US" w:bidi="ar-SA"/>
      </w:rPr>
    </w:lvl>
    <w:lvl w:ilvl="5" w:tplc="C4C68AF6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91D0437E">
      <w:numFmt w:val="bullet"/>
      <w:lvlText w:val="•"/>
      <w:lvlJc w:val="left"/>
      <w:pPr>
        <w:ind w:left="6096" w:hanging="360"/>
      </w:pPr>
      <w:rPr>
        <w:rFonts w:hint="default"/>
        <w:lang w:val="en-US" w:eastAsia="en-US" w:bidi="ar-SA"/>
      </w:rPr>
    </w:lvl>
    <w:lvl w:ilvl="7" w:tplc="8E50F736">
      <w:numFmt w:val="bullet"/>
      <w:lvlText w:val="•"/>
      <w:lvlJc w:val="left"/>
      <w:pPr>
        <w:ind w:left="6972" w:hanging="360"/>
      </w:pPr>
      <w:rPr>
        <w:rFonts w:hint="default"/>
        <w:lang w:val="en-US" w:eastAsia="en-US" w:bidi="ar-SA"/>
      </w:rPr>
    </w:lvl>
    <w:lvl w:ilvl="8" w:tplc="629C8CC6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64975217"/>
    <w:multiLevelType w:val="hybridMultilevel"/>
    <w:tmpl w:val="21F878B6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1" w15:restartNumberingAfterBreak="0">
    <w:nsid w:val="759347A0"/>
    <w:multiLevelType w:val="hybridMultilevel"/>
    <w:tmpl w:val="36E2F3D0"/>
    <w:lvl w:ilvl="0" w:tplc="35822506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2088A1A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2" w:tplc="9BA8F8F2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1C82F652"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ar-SA"/>
      </w:rPr>
    </w:lvl>
    <w:lvl w:ilvl="4" w:tplc="3A74FC70">
      <w:numFmt w:val="bullet"/>
      <w:lvlText w:val="•"/>
      <w:lvlJc w:val="left"/>
      <w:pPr>
        <w:ind w:left="4344" w:hanging="360"/>
      </w:pPr>
      <w:rPr>
        <w:rFonts w:hint="default"/>
        <w:lang w:val="en-US" w:eastAsia="en-US" w:bidi="ar-SA"/>
      </w:rPr>
    </w:lvl>
    <w:lvl w:ilvl="5" w:tplc="14A2FF7C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FDA08DBC">
      <w:numFmt w:val="bullet"/>
      <w:lvlText w:val="•"/>
      <w:lvlJc w:val="left"/>
      <w:pPr>
        <w:ind w:left="6096" w:hanging="360"/>
      </w:pPr>
      <w:rPr>
        <w:rFonts w:hint="default"/>
        <w:lang w:val="en-US" w:eastAsia="en-US" w:bidi="ar-SA"/>
      </w:rPr>
    </w:lvl>
    <w:lvl w:ilvl="7" w:tplc="D222EDE2">
      <w:numFmt w:val="bullet"/>
      <w:lvlText w:val="•"/>
      <w:lvlJc w:val="left"/>
      <w:pPr>
        <w:ind w:left="6972" w:hanging="360"/>
      </w:pPr>
      <w:rPr>
        <w:rFonts w:hint="default"/>
        <w:lang w:val="en-US" w:eastAsia="en-US" w:bidi="ar-SA"/>
      </w:rPr>
    </w:lvl>
    <w:lvl w:ilvl="8" w:tplc="96222244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7A83453D"/>
    <w:multiLevelType w:val="hybridMultilevel"/>
    <w:tmpl w:val="DD6038B8"/>
    <w:lvl w:ilvl="0" w:tplc="432A1154">
      <w:start w:val="1"/>
      <w:numFmt w:val="decimal"/>
      <w:lvlText w:val="%1."/>
      <w:lvlJc w:val="left"/>
      <w:pPr>
        <w:ind w:left="48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42A89F8">
      <w:numFmt w:val="bullet"/>
      <w:lvlText w:val="•"/>
      <w:lvlJc w:val="left"/>
      <w:pPr>
        <w:ind w:left="1392" w:hanging="360"/>
      </w:pPr>
      <w:rPr>
        <w:rFonts w:hint="default"/>
        <w:lang w:val="en-US" w:eastAsia="en-US" w:bidi="ar-SA"/>
      </w:rPr>
    </w:lvl>
    <w:lvl w:ilvl="2" w:tplc="9932B0C2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3" w:tplc="6EC278CE">
      <w:numFmt w:val="bullet"/>
      <w:lvlText w:val="•"/>
      <w:lvlJc w:val="left"/>
      <w:pPr>
        <w:ind w:left="3216" w:hanging="360"/>
      </w:pPr>
      <w:rPr>
        <w:rFonts w:hint="default"/>
        <w:lang w:val="en-US" w:eastAsia="en-US" w:bidi="ar-SA"/>
      </w:rPr>
    </w:lvl>
    <w:lvl w:ilvl="4" w:tplc="0EC88D26">
      <w:numFmt w:val="bullet"/>
      <w:lvlText w:val="•"/>
      <w:lvlJc w:val="left"/>
      <w:pPr>
        <w:ind w:left="4128" w:hanging="360"/>
      </w:pPr>
      <w:rPr>
        <w:rFonts w:hint="default"/>
        <w:lang w:val="en-US" w:eastAsia="en-US" w:bidi="ar-SA"/>
      </w:rPr>
    </w:lvl>
    <w:lvl w:ilvl="5" w:tplc="76C0122C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73A636FA">
      <w:numFmt w:val="bullet"/>
      <w:lvlText w:val="•"/>
      <w:lvlJc w:val="left"/>
      <w:pPr>
        <w:ind w:left="5952" w:hanging="360"/>
      </w:pPr>
      <w:rPr>
        <w:rFonts w:hint="default"/>
        <w:lang w:val="en-US" w:eastAsia="en-US" w:bidi="ar-SA"/>
      </w:rPr>
    </w:lvl>
    <w:lvl w:ilvl="7" w:tplc="60E49D8C">
      <w:numFmt w:val="bullet"/>
      <w:lvlText w:val="•"/>
      <w:lvlJc w:val="left"/>
      <w:pPr>
        <w:ind w:left="6864" w:hanging="360"/>
      </w:pPr>
      <w:rPr>
        <w:rFonts w:hint="default"/>
        <w:lang w:val="en-US" w:eastAsia="en-US" w:bidi="ar-SA"/>
      </w:rPr>
    </w:lvl>
    <w:lvl w:ilvl="8" w:tplc="75D612FC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</w:abstractNum>
  <w:num w:numId="1" w16cid:durableId="2129161988">
    <w:abstractNumId w:val="2"/>
  </w:num>
  <w:num w:numId="2" w16cid:durableId="1139030647">
    <w:abstractNumId w:val="12"/>
  </w:num>
  <w:num w:numId="3" w16cid:durableId="199711613">
    <w:abstractNumId w:val="11"/>
  </w:num>
  <w:num w:numId="4" w16cid:durableId="1944654887">
    <w:abstractNumId w:val="1"/>
  </w:num>
  <w:num w:numId="5" w16cid:durableId="1029184610">
    <w:abstractNumId w:val="9"/>
  </w:num>
  <w:num w:numId="6" w16cid:durableId="706369105">
    <w:abstractNumId w:val="8"/>
  </w:num>
  <w:num w:numId="7" w16cid:durableId="20986251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35898688">
    <w:abstractNumId w:val="0"/>
  </w:num>
  <w:num w:numId="9" w16cid:durableId="1196652715">
    <w:abstractNumId w:val="5"/>
  </w:num>
  <w:num w:numId="10" w16cid:durableId="287132250">
    <w:abstractNumId w:val="4"/>
  </w:num>
  <w:num w:numId="11" w16cid:durableId="771171457">
    <w:abstractNumId w:val="3"/>
  </w:num>
  <w:num w:numId="12" w16cid:durableId="309093811">
    <w:abstractNumId w:val="6"/>
  </w:num>
  <w:num w:numId="13" w16cid:durableId="323359166">
    <w:abstractNumId w:val="7"/>
  </w:num>
  <w:num w:numId="14" w16cid:durableId="1349524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477"/>
    <w:rsid w:val="0000226A"/>
    <w:rsid w:val="000023B3"/>
    <w:rsid w:val="00007ACC"/>
    <w:rsid w:val="00010442"/>
    <w:rsid w:val="00014D6E"/>
    <w:rsid w:val="000156E1"/>
    <w:rsid w:val="00022128"/>
    <w:rsid w:val="00024341"/>
    <w:rsid w:val="00024E8A"/>
    <w:rsid w:val="00025457"/>
    <w:rsid w:val="000257B7"/>
    <w:rsid w:val="00026390"/>
    <w:rsid w:val="00027FDE"/>
    <w:rsid w:val="00033DFF"/>
    <w:rsid w:val="000376DF"/>
    <w:rsid w:val="00040841"/>
    <w:rsid w:val="0004174E"/>
    <w:rsid w:val="00041F92"/>
    <w:rsid w:val="00042444"/>
    <w:rsid w:val="00042723"/>
    <w:rsid w:val="00044AED"/>
    <w:rsid w:val="00044EFE"/>
    <w:rsid w:val="00045651"/>
    <w:rsid w:val="0004674C"/>
    <w:rsid w:val="00046CD5"/>
    <w:rsid w:val="000471E3"/>
    <w:rsid w:val="00051117"/>
    <w:rsid w:val="000524BC"/>
    <w:rsid w:val="000549DF"/>
    <w:rsid w:val="00056FF1"/>
    <w:rsid w:val="000604C0"/>
    <w:rsid w:val="00061F9F"/>
    <w:rsid w:val="00062511"/>
    <w:rsid w:val="00067FEB"/>
    <w:rsid w:val="00070828"/>
    <w:rsid w:val="00070A29"/>
    <w:rsid w:val="00071116"/>
    <w:rsid w:val="00071C24"/>
    <w:rsid w:val="00073FAA"/>
    <w:rsid w:val="00075363"/>
    <w:rsid w:val="00080536"/>
    <w:rsid w:val="0008230E"/>
    <w:rsid w:val="00086DFA"/>
    <w:rsid w:val="00087159"/>
    <w:rsid w:val="00091062"/>
    <w:rsid w:val="000A03AB"/>
    <w:rsid w:val="000A1ED5"/>
    <w:rsid w:val="000A2B55"/>
    <w:rsid w:val="000A4AAC"/>
    <w:rsid w:val="000A6E10"/>
    <w:rsid w:val="000B4B6A"/>
    <w:rsid w:val="000C21FA"/>
    <w:rsid w:val="000C3878"/>
    <w:rsid w:val="000C4262"/>
    <w:rsid w:val="000C7A7C"/>
    <w:rsid w:val="000D107B"/>
    <w:rsid w:val="000D3ECF"/>
    <w:rsid w:val="000D48FE"/>
    <w:rsid w:val="000D4C70"/>
    <w:rsid w:val="000D6D3A"/>
    <w:rsid w:val="000E2677"/>
    <w:rsid w:val="000E5305"/>
    <w:rsid w:val="000E56F5"/>
    <w:rsid w:val="000F07DA"/>
    <w:rsid w:val="000F1F7D"/>
    <w:rsid w:val="000F3AF5"/>
    <w:rsid w:val="000F7793"/>
    <w:rsid w:val="000F7FFA"/>
    <w:rsid w:val="00100216"/>
    <w:rsid w:val="00103CD2"/>
    <w:rsid w:val="001043BC"/>
    <w:rsid w:val="00104C76"/>
    <w:rsid w:val="0010764D"/>
    <w:rsid w:val="00107C2D"/>
    <w:rsid w:val="00115994"/>
    <w:rsid w:val="00116C44"/>
    <w:rsid w:val="00117ACD"/>
    <w:rsid w:val="00117EF8"/>
    <w:rsid w:val="00120CB6"/>
    <w:rsid w:val="001229C6"/>
    <w:rsid w:val="00133830"/>
    <w:rsid w:val="001340BE"/>
    <w:rsid w:val="001346FF"/>
    <w:rsid w:val="00141675"/>
    <w:rsid w:val="001419FC"/>
    <w:rsid w:val="00142061"/>
    <w:rsid w:val="00143E15"/>
    <w:rsid w:val="00144F3C"/>
    <w:rsid w:val="001508FB"/>
    <w:rsid w:val="0015164C"/>
    <w:rsid w:val="00155CBF"/>
    <w:rsid w:val="001566B8"/>
    <w:rsid w:val="0016208B"/>
    <w:rsid w:val="0016480A"/>
    <w:rsid w:val="00164B61"/>
    <w:rsid w:val="00164CFA"/>
    <w:rsid w:val="00166495"/>
    <w:rsid w:val="0017005B"/>
    <w:rsid w:val="00173034"/>
    <w:rsid w:val="00173A63"/>
    <w:rsid w:val="00174CD3"/>
    <w:rsid w:val="00174D93"/>
    <w:rsid w:val="0017559F"/>
    <w:rsid w:val="001758BA"/>
    <w:rsid w:val="00176CB6"/>
    <w:rsid w:val="00180757"/>
    <w:rsid w:val="001807FA"/>
    <w:rsid w:val="00180F8D"/>
    <w:rsid w:val="00181924"/>
    <w:rsid w:val="00183379"/>
    <w:rsid w:val="00187892"/>
    <w:rsid w:val="00192EF8"/>
    <w:rsid w:val="00193ACF"/>
    <w:rsid w:val="00195951"/>
    <w:rsid w:val="00196941"/>
    <w:rsid w:val="001A48CF"/>
    <w:rsid w:val="001B1269"/>
    <w:rsid w:val="001B13C1"/>
    <w:rsid w:val="001B78BF"/>
    <w:rsid w:val="001B7EA5"/>
    <w:rsid w:val="001C07BF"/>
    <w:rsid w:val="001C2C98"/>
    <w:rsid w:val="001D1A96"/>
    <w:rsid w:val="001D301D"/>
    <w:rsid w:val="001D4499"/>
    <w:rsid w:val="001D4F09"/>
    <w:rsid w:val="001E0F63"/>
    <w:rsid w:val="001E282A"/>
    <w:rsid w:val="001E495D"/>
    <w:rsid w:val="001E4CA7"/>
    <w:rsid w:val="001E4D36"/>
    <w:rsid w:val="001E67B7"/>
    <w:rsid w:val="001E73FA"/>
    <w:rsid w:val="001E7C7B"/>
    <w:rsid w:val="001F0050"/>
    <w:rsid w:val="001F17EB"/>
    <w:rsid w:val="001F2A73"/>
    <w:rsid w:val="001F2B40"/>
    <w:rsid w:val="0020271A"/>
    <w:rsid w:val="00202799"/>
    <w:rsid w:val="00203170"/>
    <w:rsid w:val="002051A9"/>
    <w:rsid w:val="00210BFC"/>
    <w:rsid w:val="00213ABE"/>
    <w:rsid w:val="00213BCE"/>
    <w:rsid w:val="0022089A"/>
    <w:rsid w:val="0022474F"/>
    <w:rsid w:val="00230C82"/>
    <w:rsid w:val="00230CAE"/>
    <w:rsid w:val="00230E72"/>
    <w:rsid w:val="002310CD"/>
    <w:rsid w:val="002314C1"/>
    <w:rsid w:val="00236E8E"/>
    <w:rsid w:val="002414FE"/>
    <w:rsid w:val="00242E17"/>
    <w:rsid w:val="00242E1F"/>
    <w:rsid w:val="00255E1C"/>
    <w:rsid w:val="00257350"/>
    <w:rsid w:val="00257F8D"/>
    <w:rsid w:val="00260B82"/>
    <w:rsid w:val="0026161A"/>
    <w:rsid w:val="0026274D"/>
    <w:rsid w:val="00264485"/>
    <w:rsid w:val="00265834"/>
    <w:rsid w:val="0026717E"/>
    <w:rsid w:val="002707F3"/>
    <w:rsid w:val="00272602"/>
    <w:rsid w:val="002807E9"/>
    <w:rsid w:val="00282072"/>
    <w:rsid w:val="0028727F"/>
    <w:rsid w:val="00291E52"/>
    <w:rsid w:val="002922F1"/>
    <w:rsid w:val="00293F45"/>
    <w:rsid w:val="002A0158"/>
    <w:rsid w:val="002A4B59"/>
    <w:rsid w:val="002B003C"/>
    <w:rsid w:val="002B1A23"/>
    <w:rsid w:val="002B419F"/>
    <w:rsid w:val="002B50AE"/>
    <w:rsid w:val="002B578A"/>
    <w:rsid w:val="002C0DAB"/>
    <w:rsid w:val="002C5848"/>
    <w:rsid w:val="002C5D37"/>
    <w:rsid w:val="002D2155"/>
    <w:rsid w:val="002D3C99"/>
    <w:rsid w:val="002D47A7"/>
    <w:rsid w:val="002D52E6"/>
    <w:rsid w:val="002D620F"/>
    <w:rsid w:val="002D6ECD"/>
    <w:rsid w:val="002E25EF"/>
    <w:rsid w:val="002E25F8"/>
    <w:rsid w:val="002E3424"/>
    <w:rsid w:val="002E3DC5"/>
    <w:rsid w:val="002E3DF3"/>
    <w:rsid w:val="002E6F84"/>
    <w:rsid w:val="002E78B7"/>
    <w:rsid w:val="002E7E2E"/>
    <w:rsid w:val="002F28DE"/>
    <w:rsid w:val="002F2F3C"/>
    <w:rsid w:val="002F510D"/>
    <w:rsid w:val="002F5D42"/>
    <w:rsid w:val="002F6FBC"/>
    <w:rsid w:val="00301F73"/>
    <w:rsid w:val="003031CE"/>
    <w:rsid w:val="003035E7"/>
    <w:rsid w:val="0030A4FB"/>
    <w:rsid w:val="0031075C"/>
    <w:rsid w:val="003120CC"/>
    <w:rsid w:val="0031382F"/>
    <w:rsid w:val="003167C7"/>
    <w:rsid w:val="00317A7A"/>
    <w:rsid w:val="00320602"/>
    <w:rsid w:val="00327436"/>
    <w:rsid w:val="0033043A"/>
    <w:rsid w:val="00333151"/>
    <w:rsid w:val="0033442A"/>
    <w:rsid w:val="00335952"/>
    <w:rsid w:val="00336C4A"/>
    <w:rsid w:val="00342DF4"/>
    <w:rsid w:val="00343BE8"/>
    <w:rsid w:val="00345004"/>
    <w:rsid w:val="00345248"/>
    <w:rsid w:val="00345560"/>
    <w:rsid w:val="00352ECC"/>
    <w:rsid w:val="0035504B"/>
    <w:rsid w:val="003550E2"/>
    <w:rsid w:val="00358BB3"/>
    <w:rsid w:val="00363B2B"/>
    <w:rsid w:val="003667E9"/>
    <w:rsid w:val="003670EB"/>
    <w:rsid w:val="003704DD"/>
    <w:rsid w:val="0037163A"/>
    <w:rsid w:val="0037379F"/>
    <w:rsid w:val="00376543"/>
    <w:rsid w:val="003814EC"/>
    <w:rsid w:val="00384193"/>
    <w:rsid w:val="003855DF"/>
    <w:rsid w:val="00385AC1"/>
    <w:rsid w:val="00386FAD"/>
    <w:rsid w:val="00393349"/>
    <w:rsid w:val="00394370"/>
    <w:rsid w:val="00397011"/>
    <w:rsid w:val="003B31B2"/>
    <w:rsid w:val="003C4670"/>
    <w:rsid w:val="003C6B3F"/>
    <w:rsid w:val="003D0DCB"/>
    <w:rsid w:val="003D4638"/>
    <w:rsid w:val="003D57D7"/>
    <w:rsid w:val="003E2733"/>
    <w:rsid w:val="003E4020"/>
    <w:rsid w:val="003E644A"/>
    <w:rsid w:val="003E783C"/>
    <w:rsid w:val="003F1417"/>
    <w:rsid w:val="003F524B"/>
    <w:rsid w:val="003F5E64"/>
    <w:rsid w:val="003F5E6E"/>
    <w:rsid w:val="00401A9B"/>
    <w:rsid w:val="004023A1"/>
    <w:rsid w:val="00404F90"/>
    <w:rsid w:val="00410E97"/>
    <w:rsid w:val="0042070E"/>
    <w:rsid w:val="004222EF"/>
    <w:rsid w:val="00422457"/>
    <w:rsid w:val="00425C02"/>
    <w:rsid w:val="00427712"/>
    <w:rsid w:val="00431516"/>
    <w:rsid w:val="00431B36"/>
    <w:rsid w:val="00431CF3"/>
    <w:rsid w:val="0043360B"/>
    <w:rsid w:val="004363F9"/>
    <w:rsid w:val="00440CA6"/>
    <w:rsid w:val="00442BFF"/>
    <w:rsid w:val="00443E4E"/>
    <w:rsid w:val="004442A9"/>
    <w:rsid w:val="00447EF2"/>
    <w:rsid w:val="004537DE"/>
    <w:rsid w:val="004542F2"/>
    <w:rsid w:val="004604C4"/>
    <w:rsid w:val="00460839"/>
    <w:rsid w:val="00461B8B"/>
    <w:rsid w:val="00470794"/>
    <w:rsid w:val="0047460B"/>
    <w:rsid w:val="00476200"/>
    <w:rsid w:val="0047630D"/>
    <w:rsid w:val="004770D5"/>
    <w:rsid w:val="0048022F"/>
    <w:rsid w:val="004815F0"/>
    <w:rsid w:val="004879CD"/>
    <w:rsid w:val="00491F08"/>
    <w:rsid w:val="00494F08"/>
    <w:rsid w:val="00496054"/>
    <w:rsid w:val="00497C13"/>
    <w:rsid w:val="004A1061"/>
    <w:rsid w:val="004A522A"/>
    <w:rsid w:val="004A6EF1"/>
    <w:rsid w:val="004A746A"/>
    <w:rsid w:val="004B228E"/>
    <w:rsid w:val="004B2B93"/>
    <w:rsid w:val="004B2D3E"/>
    <w:rsid w:val="004B585F"/>
    <w:rsid w:val="004B5AB6"/>
    <w:rsid w:val="004B78DC"/>
    <w:rsid w:val="004C06FE"/>
    <w:rsid w:val="004C19BB"/>
    <w:rsid w:val="004C2AED"/>
    <w:rsid w:val="004C4FA6"/>
    <w:rsid w:val="004C70FA"/>
    <w:rsid w:val="004C7C47"/>
    <w:rsid w:val="004D0BEA"/>
    <w:rsid w:val="004D24A6"/>
    <w:rsid w:val="004D28BF"/>
    <w:rsid w:val="004D3D84"/>
    <w:rsid w:val="004E2043"/>
    <w:rsid w:val="004E4E15"/>
    <w:rsid w:val="004E593F"/>
    <w:rsid w:val="004F0CCB"/>
    <w:rsid w:val="004F25B5"/>
    <w:rsid w:val="00500D2B"/>
    <w:rsid w:val="00502A8F"/>
    <w:rsid w:val="00502C97"/>
    <w:rsid w:val="00503F8C"/>
    <w:rsid w:val="005051FA"/>
    <w:rsid w:val="005067D7"/>
    <w:rsid w:val="00507A46"/>
    <w:rsid w:val="00511555"/>
    <w:rsid w:val="00511FA4"/>
    <w:rsid w:val="005122AE"/>
    <w:rsid w:val="0051245B"/>
    <w:rsid w:val="00513439"/>
    <w:rsid w:val="00514BA4"/>
    <w:rsid w:val="005162DA"/>
    <w:rsid w:val="00523153"/>
    <w:rsid w:val="00524398"/>
    <w:rsid w:val="00525614"/>
    <w:rsid w:val="00526D2A"/>
    <w:rsid w:val="00536C1A"/>
    <w:rsid w:val="00540C8E"/>
    <w:rsid w:val="00541417"/>
    <w:rsid w:val="005420F6"/>
    <w:rsid w:val="00542E77"/>
    <w:rsid w:val="00543573"/>
    <w:rsid w:val="00546EA2"/>
    <w:rsid w:val="00547985"/>
    <w:rsid w:val="00547AB0"/>
    <w:rsid w:val="005524B9"/>
    <w:rsid w:val="00552911"/>
    <w:rsid w:val="00553099"/>
    <w:rsid w:val="00553D07"/>
    <w:rsid w:val="0055581D"/>
    <w:rsid w:val="005604E7"/>
    <w:rsid w:val="00563547"/>
    <w:rsid w:val="00564F37"/>
    <w:rsid w:val="005663FF"/>
    <w:rsid w:val="00567AF7"/>
    <w:rsid w:val="005703CA"/>
    <w:rsid w:val="00571C77"/>
    <w:rsid w:val="005746DD"/>
    <w:rsid w:val="00574860"/>
    <w:rsid w:val="00575D5A"/>
    <w:rsid w:val="0057644D"/>
    <w:rsid w:val="005768DD"/>
    <w:rsid w:val="00576905"/>
    <w:rsid w:val="00581BA9"/>
    <w:rsid w:val="00584F2D"/>
    <w:rsid w:val="005857A0"/>
    <w:rsid w:val="00593015"/>
    <w:rsid w:val="00594542"/>
    <w:rsid w:val="00596748"/>
    <w:rsid w:val="00596F2C"/>
    <w:rsid w:val="005A284F"/>
    <w:rsid w:val="005A3D5B"/>
    <w:rsid w:val="005A6B8F"/>
    <w:rsid w:val="005A7768"/>
    <w:rsid w:val="005AF329"/>
    <w:rsid w:val="005B00F4"/>
    <w:rsid w:val="005B0EFA"/>
    <w:rsid w:val="005B1D4E"/>
    <w:rsid w:val="005B5CE0"/>
    <w:rsid w:val="005C3A88"/>
    <w:rsid w:val="005D4106"/>
    <w:rsid w:val="005D47B9"/>
    <w:rsid w:val="005D531C"/>
    <w:rsid w:val="005D6789"/>
    <w:rsid w:val="005E54D7"/>
    <w:rsid w:val="005E654B"/>
    <w:rsid w:val="005E6780"/>
    <w:rsid w:val="005E6D33"/>
    <w:rsid w:val="005E6FC1"/>
    <w:rsid w:val="005F0D07"/>
    <w:rsid w:val="005F2758"/>
    <w:rsid w:val="005F42E5"/>
    <w:rsid w:val="005F5E6F"/>
    <w:rsid w:val="005F609C"/>
    <w:rsid w:val="005F6B5A"/>
    <w:rsid w:val="005F6E4B"/>
    <w:rsid w:val="005F7D27"/>
    <w:rsid w:val="00600765"/>
    <w:rsid w:val="00603182"/>
    <w:rsid w:val="00603716"/>
    <w:rsid w:val="006062B3"/>
    <w:rsid w:val="00606540"/>
    <w:rsid w:val="0061000A"/>
    <w:rsid w:val="00611E47"/>
    <w:rsid w:val="00613042"/>
    <w:rsid w:val="00614481"/>
    <w:rsid w:val="00614B4D"/>
    <w:rsid w:val="00617DBF"/>
    <w:rsid w:val="006222DA"/>
    <w:rsid w:val="0062301B"/>
    <w:rsid w:val="00623CC0"/>
    <w:rsid w:val="00624604"/>
    <w:rsid w:val="00627BAB"/>
    <w:rsid w:val="00632817"/>
    <w:rsid w:val="00632E29"/>
    <w:rsid w:val="0063644A"/>
    <w:rsid w:val="0064332B"/>
    <w:rsid w:val="00645660"/>
    <w:rsid w:val="00648C7B"/>
    <w:rsid w:val="00650D6A"/>
    <w:rsid w:val="00652D28"/>
    <w:rsid w:val="006533A8"/>
    <w:rsid w:val="006538D3"/>
    <w:rsid w:val="0065552A"/>
    <w:rsid w:val="00655637"/>
    <w:rsid w:val="0065597A"/>
    <w:rsid w:val="00655A6E"/>
    <w:rsid w:val="00656519"/>
    <w:rsid w:val="00656541"/>
    <w:rsid w:val="006574BE"/>
    <w:rsid w:val="006601BB"/>
    <w:rsid w:val="00660764"/>
    <w:rsid w:val="006629B7"/>
    <w:rsid w:val="00666B56"/>
    <w:rsid w:val="00666C66"/>
    <w:rsid w:val="0066790E"/>
    <w:rsid w:val="00671B65"/>
    <w:rsid w:val="006773D0"/>
    <w:rsid w:val="0067781F"/>
    <w:rsid w:val="0068087A"/>
    <w:rsid w:val="00680C64"/>
    <w:rsid w:val="0068700E"/>
    <w:rsid w:val="0069186B"/>
    <w:rsid w:val="00694CF9"/>
    <w:rsid w:val="00695E22"/>
    <w:rsid w:val="006A0F50"/>
    <w:rsid w:val="006A3A71"/>
    <w:rsid w:val="006A5428"/>
    <w:rsid w:val="006A7781"/>
    <w:rsid w:val="006B09E1"/>
    <w:rsid w:val="006B2AC0"/>
    <w:rsid w:val="006B35EB"/>
    <w:rsid w:val="006B4BA6"/>
    <w:rsid w:val="006B5FDB"/>
    <w:rsid w:val="006C357F"/>
    <w:rsid w:val="006C41DD"/>
    <w:rsid w:val="006C4850"/>
    <w:rsid w:val="006D00AA"/>
    <w:rsid w:val="006D355B"/>
    <w:rsid w:val="006D3696"/>
    <w:rsid w:val="006E55DA"/>
    <w:rsid w:val="006E6063"/>
    <w:rsid w:val="006E69E3"/>
    <w:rsid w:val="006F105E"/>
    <w:rsid w:val="006F1165"/>
    <w:rsid w:val="006F18F4"/>
    <w:rsid w:val="006F3BCC"/>
    <w:rsid w:val="006F6739"/>
    <w:rsid w:val="006F78CC"/>
    <w:rsid w:val="007013F6"/>
    <w:rsid w:val="00701D59"/>
    <w:rsid w:val="00703E83"/>
    <w:rsid w:val="00704D8F"/>
    <w:rsid w:val="00704E36"/>
    <w:rsid w:val="007078BA"/>
    <w:rsid w:val="00710359"/>
    <w:rsid w:val="00711701"/>
    <w:rsid w:val="00713669"/>
    <w:rsid w:val="007153D8"/>
    <w:rsid w:val="00720EDA"/>
    <w:rsid w:val="00725DDC"/>
    <w:rsid w:val="007315A6"/>
    <w:rsid w:val="00731BAD"/>
    <w:rsid w:val="00733EF2"/>
    <w:rsid w:val="007413BF"/>
    <w:rsid w:val="0074600D"/>
    <w:rsid w:val="00746986"/>
    <w:rsid w:val="00751DE6"/>
    <w:rsid w:val="00754DC0"/>
    <w:rsid w:val="007614DD"/>
    <w:rsid w:val="007617A8"/>
    <w:rsid w:val="00761C97"/>
    <w:rsid w:val="00765267"/>
    <w:rsid w:val="007670B6"/>
    <w:rsid w:val="00767322"/>
    <w:rsid w:val="00776D04"/>
    <w:rsid w:val="00777DD8"/>
    <w:rsid w:val="00784F9E"/>
    <w:rsid w:val="007876FA"/>
    <w:rsid w:val="00790EF7"/>
    <w:rsid w:val="00793B88"/>
    <w:rsid w:val="00794495"/>
    <w:rsid w:val="00795846"/>
    <w:rsid w:val="007A11EF"/>
    <w:rsid w:val="007A17F5"/>
    <w:rsid w:val="007A1C97"/>
    <w:rsid w:val="007A1E89"/>
    <w:rsid w:val="007A47BB"/>
    <w:rsid w:val="007A59FE"/>
    <w:rsid w:val="007B1DDE"/>
    <w:rsid w:val="007B2391"/>
    <w:rsid w:val="007B399E"/>
    <w:rsid w:val="007B56D5"/>
    <w:rsid w:val="007B65B3"/>
    <w:rsid w:val="007B6C00"/>
    <w:rsid w:val="007C0C93"/>
    <w:rsid w:val="007C0CF8"/>
    <w:rsid w:val="007C13BF"/>
    <w:rsid w:val="007C3763"/>
    <w:rsid w:val="007C4475"/>
    <w:rsid w:val="007C600A"/>
    <w:rsid w:val="007C7AF3"/>
    <w:rsid w:val="007D370F"/>
    <w:rsid w:val="007D4DB9"/>
    <w:rsid w:val="007D67DE"/>
    <w:rsid w:val="007D7F94"/>
    <w:rsid w:val="007E0FF8"/>
    <w:rsid w:val="007E2F3D"/>
    <w:rsid w:val="007E32C0"/>
    <w:rsid w:val="007F0A63"/>
    <w:rsid w:val="007F1AC1"/>
    <w:rsid w:val="007F209A"/>
    <w:rsid w:val="007F7076"/>
    <w:rsid w:val="0080055B"/>
    <w:rsid w:val="0080213A"/>
    <w:rsid w:val="00803C57"/>
    <w:rsid w:val="00807358"/>
    <w:rsid w:val="008073E3"/>
    <w:rsid w:val="008115D3"/>
    <w:rsid w:val="00811FF0"/>
    <w:rsid w:val="008122D6"/>
    <w:rsid w:val="00812AB4"/>
    <w:rsid w:val="00812FB3"/>
    <w:rsid w:val="008143B8"/>
    <w:rsid w:val="00817087"/>
    <w:rsid w:val="00817B24"/>
    <w:rsid w:val="00823045"/>
    <w:rsid w:val="00823EF5"/>
    <w:rsid w:val="00827FA7"/>
    <w:rsid w:val="00830568"/>
    <w:rsid w:val="00832025"/>
    <w:rsid w:val="00832310"/>
    <w:rsid w:val="008405F2"/>
    <w:rsid w:val="00840728"/>
    <w:rsid w:val="00845E5B"/>
    <w:rsid w:val="00845FA9"/>
    <w:rsid w:val="00850290"/>
    <w:rsid w:val="00850561"/>
    <w:rsid w:val="0085228E"/>
    <w:rsid w:val="00862B6E"/>
    <w:rsid w:val="0086533D"/>
    <w:rsid w:val="00865F73"/>
    <w:rsid w:val="0086724B"/>
    <w:rsid w:val="00867E1B"/>
    <w:rsid w:val="00867EC3"/>
    <w:rsid w:val="00877F05"/>
    <w:rsid w:val="00883933"/>
    <w:rsid w:val="00886524"/>
    <w:rsid w:val="00886A13"/>
    <w:rsid w:val="0088EE52"/>
    <w:rsid w:val="00891598"/>
    <w:rsid w:val="008924E5"/>
    <w:rsid w:val="00896DD6"/>
    <w:rsid w:val="008979A4"/>
    <w:rsid w:val="008A1F60"/>
    <w:rsid w:val="008A31C0"/>
    <w:rsid w:val="008A3F38"/>
    <w:rsid w:val="008A6CA3"/>
    <w:rsid w:val="008B0F22"/>
    <w:rsid w:val="008B205C"/>
    <w:rsid w:val="008B301E"/>
    <w:rsid w:val="008B501D"/>
    <w:rsid w:val="008B5C2A"/>
    <w:rsid w:val="008B61BB"/>
    <w:rsid w:val="008C02EC"/>
    <w:rsid w:val="008C1DAB"/>
    <w:rsid w:val="008C24C8"/>
    <w:rsid w:val="008C277D"/>
    <w:rsid w:val="008C4564"/>
    <w:rsid w:val="008D15DF"/>
    <w:rsid w:val="008D6DA4"/>
    <w:rsid w:val="008E2906"/>
    <w:rsid w:val="008F16F6"/>
    <w:rsid w:val="008F4216"/>
    <w:rsid w:val="008F7450"/>
    <w:rsid w:val="00901EFB"/>
    <w:rsid w:val="00902666"/>
    <w:rsid w:val="0090325C"/>
    <w:rsid w:val="00904051"/>
    <w:rsid w:val="0090595A"/>
    <w:rsid w:val="009061E8"/>
    <w:rsid w:val="0090689E"/>
    <w:rsid w:val="009079AE"/>
    <w:rsid w:val="00910AAA"/>
    <w:rsid w:val="00911E9F"/>
    <w:rsid w:val="009145D4"/>
    <w:rsid w:val="009154D6"/>
    <w:rsid w:val="00921D03"/>
    <w:rsid w:val="00926E0B"/>
    <w:rsid w:val="00933D1B"/>
    <w:rsid w:val="00933E22"/>
    <w:rsid w:val="00935A05"/>
    <w:rsid w:val="00937EA4"/>
    <w:rsid w:val="00943F83"/>
    <w:rsid w:val="009502F7"/>
    <w:rsid w:val="00952612"/>
    <w:rsid w:val="00962F57"/>
    <w:rsid w:val="00963236"/>
    <w:rsid w:val="00963FCA"/>
    <w:rsid w:val="0096483E"/>
    <w:rsid w:val="00964FC1"/>
    <w:rsid w:val="0096648B"/>
    <w:rsid w:val="0097356B"/>
    <w:rsid w:val="009747A0"/>
    <w:rsid w:val="0097625F"/>
    <w:rsid w:val="0097780D"/>
    <w:rsid w:val="00980D25"/>
    <w:rsid w:val="00980FC2"/>
    <w:rsid w:val="00981577"/>
    <w:rsid w:val="00983808"/>
    <w:rsid w:val="009878BE"/>
    <w:rsid w:val="009909ED"/>
    <w:rsid w:val="009917CA"/>
    <w:rsid w:val="00995597"/>
    <w:rsid w:val="00995751"/>
    <w:rsid w:val="009A2651"/>
    <w:rsid w:val="009A4BD7"/>
    <w:rsid w:val="009A51FE"/>
    <w:rsid w:val="009A6164"/>
    <w:rsid w:val="009AA3DB"/>
    <w:rsid w:val="009B15CC"/>
    <w:rsid w:val="009B3951"/>
    <w:rsid w:val="009B56FD"/>
    <w:rsid w:val="009B73F8"/>
    <w:rsid w:val="009C062B"/>
    <w:rsid w:val="009C233B"/>
    <w:rsid w:val="009C2E87"/>
    <w:rsid w:val="009C3419"/>
    <w:rsid w:val="009C4349"/>
    <w:rsid w:val="009C5CE9"/>
    <w:rsid w:val="009C6694"/>
    <w:rsid w:val="009D413B"/>
    <w:rsid w:val="009D44C0"/>
    <w:rsid w:val="009D4E9C"/>
    <w:rsid w:val="009D5E94"/>
    <w:rsid w:val="009D63E6"/>
    <w:rsid w:val="009D68EB"/>
    <w:rsid w:val="009E0275"/>
    <w:rsid w:val="009E6AAB"/>
    <w:rsid w:val="009E792A"/>
    <w:rsid w:val="009F3A37"/>
    <w:rsid w:val="009F6769"/>
    <w:rsid w:val="009F6A60"/>
    <w:rsid w:val="00A023B6"/>
    <w:rsid w:val="00A03E70"/>
    <w:rsid w:val="00A0595A"/>
    <w:rsid w:val="00A0665D"/>
    <w:rsid w:val="00A102A8"/>
    <w:rsid w:val="00A105D4"/>
    <w:rsid w:val="00A15CCB"/>
    <w:rsid w:val="00A177BA"/>
    <w:rsid w:val="00A213FC"/>
    <w:rsid w:val="00A22114"/>
    <w:rsid w:val="00A319D6"/>
    <w:rsid w:val="00A32055"/>
    <w:rsid w:val="00A34BF8"/>
    <w:rsid w:val="00A365C2"/>
    <w:rsid w:val="00A36E9F"/>
    <w:rsid w:val="00A50530"/>
    <w:rsid w:val="00A50B06"/>
    <w:rsid w:val="00A50D67"/>
    <w:rsid w:val="00A52380"/>
    <w:rsid w:val="00A5303C"/>
    <w:rsid w:val="00A563C8"/>
    <w:rsid w:val="00A5756C"/>
    <w:rsid w:val="00A57C80"/>
    <w:rsid w:val="00A64B1F"/>
    <w:rsid w:val="00A666BA"/>
    <w:rsid w:val="00A8169E"/>
    <w:rsid w:val="00A821E0"/>
    <w:rsid w:val="00A827BD"/>
    <w:rsid w:val="00A8330E"/>
    <w:rsid w:val="00A8599E"/>
    <w:rsid w:val="00A931B9"/>
    <w:rsid w:val="00A942C1"/>
    <w:rsid w:val="00A94619"/>
    <w:rsid w:val="00AA0695"/>
    <w:rsid w:val="00AA2CC6"/>
    <w:rsid w:val="00AA669A"/>
    <w:rsid w:val="00AA72A5"/>
    <w:rsid w:val="00AB0333"/>
    <w:rsid w:val="00AB5EB5"/>
    <w:rsid w:val="00AC2720"/>
    <w:rsid w:val="00AD1A88"/>
    <w:rsid w:val="00AD1FF0"/>
    <w:rsid w:val="00AD8882"/>
    <w:rsid w:val="00AE08EA"/>
    <w:rsid w:val="00AE186F"/>
    <w:rsid w:val="00AE5D43"/>
    <w:rsid w:val="00AE6BF6"/>
    <w:rsid w:val="00AE6F62"/>
    <w:rsid w:val="00AF1AE6"/>
    <w:rsid w:val="00AF28C0"/>
    <w:rsid w:val="00AF2AE2"/>
    <w:rsid w:val="00AF78E1"/>
    <w:rsid w:val="00B01621"/>
    <w:rsid w:val="00B0221F"/>
    <w:rsid w:val="00B14E62"/>
    <w:rsid w:val="00B15A9F"/>
    <w:rsid w:val="00B15D4C"/>
    <w:rsid w:val="00B1757D"/>
    <w:rsid w:val="00B21844"/>
    <w:rsid w:val="00B21E38"/>
    <w:rsid w:val="00B22968"/>
    <w:rsid w:val="00B25E23"/>
    <w:rsid w:val="00B2661B"/>
    <w:rsid w:val="00B271CD"/>
    <w:rsid w:val="00B31527"/>
    <w:rsid w:val="00B360D6"/>
    <w:rsid w:val="00B36F4F"/>
    <w:rsid w:val="00B37D94"/>
    <w:rsid w:val="00B41060"/>
    <w:rsid w:val="00B425C8"/>
    <w:rsid w:val="00B43BC5"/>
    <w:rsid w:val="00B45D72"/>
    <w:rsid w:val="00B51E90"/>
    <w:rsid w:val="00B60C55"/>
    <w:rsid w:val="00B658B6"/>
    <w:rsid w:val="00B660BC"/>
    <w:rsid w:val="00B6657D"/>
    <w:rsid w:val="00B73FE6"/>
    <w:rsid w:val="00B751E6"/>
    <w:rsid w:val="00B75662"/>
    <w:rsid w:val="00B80368"/>
    <w:rsid w:val="00B815D2"/>
    <w:rsid w:val="00B82538"/>
    <w:rsid w:val="00B82826"/>
    <w:rsid w:val="00B852AE"/>
    <w:rsid w:val="00B85676"/>
    <w:rsid w:val="00B87B38"/>
    <w:rsid w:val="00B91AA3"/>
    <w:rsid w:val="00B93789"/>
    <w:rsid w:val="00B9391A"/>
    <w:rsid w:val="00B94ACF"/>
    <w:rsid w:val="00B965D2"/>
    <w:rsid w:val="00B97A0E"/>
    <w:rsid w:val="00BA39D7"/>
    <w:rsid w:val="00BA3FDA"/>
    <w:rsid w:val="00BA40B7"/>
    <w:rsid w:val="00BB0240"/>
    <w:rsid w:val="00BB2004"/>
    <w:rsid w:val="00BB3D19"/>
    <w:rsid w:val="00BB4E78"/>
    <w:rsid w:val="00BB72AE"/>
    <w:rsid w:val="00BC167B"/>
    <w:rsid w:val="00BC68D7"/>
    <w:rsid w:val="00BC78F8"/>
    <w:rsid w:val="00BD25D2"/>
    <w:rsid w:val="00BD4A01"/>
    <w:rsid w:val="00BD5477"/>
    <w:rsid w:val="00BD5930"/>
    <w:rsid w:val="00BD5CFB"/>
    <w:rsid w:val="00BE099D"/>
    <w:rsid w:val="00BE28BA"/>
    <w:rsid w:val="00BE5163"/>
    <w:rsid w:val="00BF2ED1"/>
    <w:rsid w:val="00BF3EF3"/>
    <w:rsid w:val="00BF44C4"/>
    <w:rsid w:val="00BF6600"/>
    <w:rsid w:val="00BF6B6F"/>
    <w:rsid w:val="00C00D30"/>
    <w:rsid w:val="00C01CA2"/>
    <w:rsid w:val="00C04FEC"/>
    <w:rsid w:val="00C061A2"/>
    <w:rsid w:val="00C11792"/>
    <w:rsid w:val="00C151BA"/>
    <w:rsid w:val="00C16014"/>
    <w:rsid w:val="00C17B12"/>
    <w:rsid w:val="00C17F2C"/>
    <w:rsid w:val="00C20DE7"/>
    <w:rsid w:val="00C22AA4"/>
    <w:rsid w:val="00C24283"/>
    <w:rsid w:val="00C25B31"/>
    <w:rsid w:val="00C269A7"/>
    <w:rsid w:val="00C2791C"/>
    <w:rsid w:val="00C30CEB"/>
    <w:rsid w:val="00C323A6"/>
    <w:rsid w:val="00C33426"/>
    <w:rsid w:val="00C34521"/>
    <w:rsid w:val="00C37943"/>
    <w:rsid w:val="00C40591"/>
    <w:rsid w:val="00C4327D"/>
    <w:rsid w:val="00C4536E"/>
    <w:rsid w:val="00C4581B"/>
    <w:rsid w:val="00C52656"/>
    <w:rsid w:val="00C52C0F"/>
    <w:rsid w:val="00C53998"/>
    <w:rsid w:val="00C562AF"/>
    <w:rsid w:val="00C5733F"/>
    <w:rsid w:val="00C57681"/>
    <w:rsid w:val="00C63ADE"/>
    <w:rsid w:val="00C63E5F"/>
    <w:rsid w:val="00C64D1F"/>
    <w:rsid w:val="00C73AE4"/>
    <w:rsid w:val="00C73CB3"/>
    <w:rsid w:val="00C74FC3"/>
    <w:rsid w:val="00C75028"/>
    <w:rsid w:val="00C81AF2"/>
    <w:rsid w:val="00C81C29"/>
    <w:rsid w:val="00C82A20"/>
    <w:rsid w:val="00C83033"/>
    <w:rsid w:val="00C85EB4"/>
    <w:rsid w:val="00C8740A"/>
    <w:rsid w:val="00C92091"/>
    <w:rsid w:val="00C9281C"/>
    <w:rsid w:val="00C95569"/>
    <w:rsid w:val="00C962D2"/>
    <w:rsid w:val="00C96595"/>
    <w:rsid w:val="00C96693"/>
    <w:rsid w:val="00C96953"/>
    <w:rsid w:val="00CA530A"/>
    <w:rsid w:val="00CA5F43"/>
    <w:rsid w:val="00CA601E"/>
    <w:rsid w:val="00CA669C"/>
    <w:rsid w:val="00CA6749"/>
    <w:rsid w:val="00CA76C9"/>
    <w:rsid w:val="00CA77F1"/>
    <w:rsid w:val="00CB2489"/>
    <w:rsid w:val="00CB28E6"/>
    <w:rsid w:val="00CB32B8"/>
    <w:rsid w:val="00CB5269"/>
    <w:rsid w:val="00CB5CDA"/>
    <w:rsid w:val="00CB601D"/>
    <w:rsid w:val="00CB75FA"/>
    <w:rsid w:val="00CC1784"/>
    <w:rsid w:val="00CC2D1D"/>
    <w:rsid w:val="00CC32B0"/>
    <w:rsid w:val="00CC5BCA"/>
    <w:rsid w:val="00CC7C63"/>
    <w:rsid w:val="00CD1C62"/>
    <w:rsid w:val="00CD22A0"/>
    <w:rsid w:val="00CD61BF"/>
    <w:rsid w:val="00CD6923"/>
    <w:rsid w:val="00CD70C7"/>
    <w:rsid w:val="00CE2273"/>
    <w:rsid w:val="00CE3AF1"/>
    <w:rsid w:val="00CE7EAB"/>
    <w:rsid w:val="00CF0074"/>
    <w:rsid w:val="00CF622C"/>
    <w:rsid w:val="00D00EC7"/>
    <w:rsid w:val="00D01F68"/>
    <w:rsid w:val="00D06099"/>
    <w:rsid w:val="00D0618F"/>
    <w:rsid w:val="00D1113E"/>
    <w:rsid w:val="00D14B78"/>
    <w:rsid w:val="00D15D87"/>
    <w:rsid w:val="00D17379"/>
    <w:rsid w:val="00D21C4C"/>
    <w:rsid w:val="00D252D9"/>
    <w:rsid w:val="00D25381"/>
    <w:rsid w:val="00D268B7"/>
    <w:rsid w:val="00D3021E"/>
    <w:rsid w:val="00D37444"/>
    <w:rsid w:val="00D37A10"/>
    <w:rsid w:val="00D422AF"/>
    <w:rsid w:val="00D43796"/>
    <w:rsid w:val="00D50132"/>
    <w:rsid w:val="00D515FE"/>
    <w:rsid w:val="00D53538"/>
    <w:rsid w:val="00D5531F"/>
    <w:rsid w:val="00D55E51"/>
    <w:rsid w:val="00D6107C"/>
    <w:rsid w:val="00D6187E"/>
    <w:rsid w:val="00D64C46"/>
    <w:rsid w:val="00D65A47"/>
    <w:rsid w:val="00D71465"/>
    <w:rsid w:val="00D714C9"/>
    <w:rsid w:val="00D74D9D"/>
    <w:rsid w:val="00D75AFC"/>
    <w:rsid w:val="00D77458"/>
    <w:rsid w:val="00D81428"/>
    <w:rsid w:val="00D8661A"/>
    <w:rsid w:val="00D90F2A"/>
    <w:rsid w:val="00D9672A"/>
    <w:rsid w:val="00D978EC"/>
    <w:rsid w:val="00DA2195"/>
    <w:rsid w:val="00DA27EF"/>
    <w:rsid w:val="00DA3BC4"/>
    <w:rsid w:val="00DA532D"/>
    <w:rsid w:val="00DA5C4C"/>
    <w:rsid w:val="00DA7437"/>
    <w:rsid w:val="00DB7029"/>
    <w:rsid w:val="00DB7757"/>
    <w:rsid w:val="00DB78D9"/>
    <w:rsid w:val="00DC184B"/>
    <w:rsid w:val="00DC1A0E"/>
    <w:rsid w:val="00DC2AC3"/>
    <w:rsid w:val="00DC58B7"/>
    <w:rsid w:val="00DD0862"/>
    <w:rsid w:val="00DE15EE"/>
    <w:rsid w:val="00DE2944"/>
    <w:rsid w:val="00DE3AC0"/>
    <w:rsid w:val="00DE4653"/>
    <w:rsid w:val="00DE4B66"/>
    <w:rsid w:val="00DE6D65"/>
    <w:rsid w:val="00DE6DF2"/>
    <w:rsid w:val="00DE7ADE"/>
    <w:rsid w:val="00DF1F71"/>
    <w:rsid w:val="00DF2ABC"/>
    <w:rsid w:val="00DF5453"/>
    <w:rsid w:val="00E00375"/>
    <w:rsid w:val="00E02BFC"/>
    <w:rsid w:val="00E10238"/>
    <w:rsid w:val="00E103AE"/>
    <w:rsid w:val="00E11B3D"/>
    <w:rsid w:val="00E12FB2"/>
    <w:rsid w:val="00E225A5"/>
    <w:rsid w:val="00E232BA"/>
    <w:rsid w:val="00E251C0"/>
    <w:rsid w:val="00E330E1"/>
    <w:rsid w:val="00E3444A"/>
    <w:rsid w:val="00E40032"/>
    <w:rsid w:val="00E445ED"/>
    <w:rsid w:val="00E44B43"/>
    <w:rsid w:val="00E45395"/>
    <w:rsid w:val="00E4762E"/>
    <w:rsid w:val="00E50052"/>
    <w:rsid w:val="00E52377"/>
    <w:rsid w:val="00E5469F"/>
    <w:rsid w:val="00E569F7"/>
    <w:rsid w:val="00E64533"/>
    <w:rsid w:val="00E6688C"/>
    <w:rsid w:val="00E73D88"/>
    <w:rsid w:val="00E77549"/>
    <w:rsid w:val="00E77804"/>
    <w:rsid w:val="00E821AF"/>
    <w:rsid w:val="00E86FDD"/>
    <w:rsid w:val="00E8771F"/>
    <w:rsid w:val="00E87846"/>
    <w:rsid w:val="00E9103A"/>
    <w:rsid w:val="00E915D8"/>
    <w:rsid w:val="00E96380"/>
    <w:rsid w:val="00E97B79"/>
    <w:rsid w:val="00EA0791"/>
    <w:rsid w:val="00EA0FEB"/>
    <w:rsid w:val="00EA5B37"/>
    <w:rsid w:val="00EB0530"/>
    <w:rsid w:val="00EB3FE4"/>
    <w:rsid w:val="00EB460E"/>
    <w:rsid w:val="00EB494F"/>
    <w:rsid w:val="00EB719E"/>
    <w:rsid w:val="00EC0AD9"/>
    <w:rsid w:val="00EC2F4E"/>
    <w:rsid w:val="00EC437C"/>
    <w:rsid w:val="00EC58FD"/>
    <w:rsid w:val="00EC5DA1"/>
    <w:rsid w:val="00ED3225"/>
    <w:rsid w:val="00ED3A57"/>
    <w:rsid w:val="00ED7DA1"/>
    <w:rsid w:val="00EE0020"/>
    <w:rsid w:val="00EE0AB3"/>
    <w:rsid w:val="00EE0F95"/>
    <w:rsid w:val="00EE5A9E"/>
    <w:rsid w:val="00EE71B3"/>
    <w:rsid w:val="00EE7ED6"/>
    <w:rsid w:val="00EF2B59"/>
    <w:rsid w:val="00EF3E0F"/>
    <w:rsid w:val="00EF4027"/>
    <w:rsid w:val="00EF45EB"/>
    <w:rsid w:val="00F012B0"/>
    <w:rsid w:val="00F03271"/>
    <w:rsid w:val="00F06D93"/>
    <w:rsid w:val="00F074D3"/>
    <w:rsid w:val="00F1014F"/>
    <w:rsid w:val="00F10B0C"/>
    <w:rsid w:val="00F12015"/>
    <w:rsid w:val="00F15F8C"/>
    <w:rsid w:val="00F16A8C"/>
    <w:rsid w:val="00F17443"/>
    <w:rsid w:val="00F177AC"/>
    <w:rsid w:val="00F206EE"/>
    <w:rsid w:val="00F22D2C"/>
    <w:rsid w:val="00F237FF"/>
    <w:rsid w:val="00F248CF"/>
    <w:rsid w:val="00F25857"/>
    <w:rsid w:val="00F25BC1"/>
    <w:rsid w:val="00F306B5"/>
    <w:rsid w:val="00F31347"/>
    <w:rsid w:val="00F413EB"/>
    <w:rsid w:val="00F4246D"/>
    <w:rsid w:val="00F42C79"/>
    <w:rsid w:val="00F4302C"/>
    <w:rsid w:val="00F43F4F"/>
    <w:rsid w:val="00F46E3F"/>
    <w:rsid w:val="00F476DF"/>
    <w:rsid w:val="00F5620A"/>
    <w:rsid w:val="00F56ED9"/>
    <w:rsid w:val="00F60B0E"/>
    <w:rsid w:val="00F63749"/>
    <w:rsid w:val="00F655A9"/>
    <w:rsid w:val="00F673E3"/>
    <w:rsid w:val="00F74412"/>
    <w:rsid w:val="00F827FA"/>
    <w:rsid w:val="00F82D32"/>
    <w:rsid w:val="00F83B7C"/>
    <w:rsid w:val="00F87A68"/>
    <w:rsid w:val="00F9004B"/>
    <w:rsid w:val="00F95FC7"/>
    <w:rsid w:val="00F96C90"/>
    <w:rsid w:val="00F97024"/>
    <w:rsid w:val="00FA09F5"/>
    <w:rsid w:val="00FA1DD7"/>
    <w:rsid w:val="00FA2813"/>
    <w:rsid w:val="00FA36BF"/>
    <w:rsid w:val="00FA4675"/>
    <w:rsid w:val="00FA6514"/>
    <w:rsid w:val="00FA70C4"/>
    <w:rsid w:val="00FB13FE"/>
    <w:rsid w:val="00FB183A"/>
    <w:rsid w:val="00FB236C"/>
    <w:rsid w:val="00FB5459"/>
    <w:rsid w:val="00FC1328"/>
    <w:rsid w:val="00FC392D"/>
    <w:rsid w:val="00FC4C09"/>
    <w:rsid w:val="00FD0998"/>
    <w:rsid w:val="00FD254D"/>
    <w:rsid w:val="00FD68FA"/>
    <w:rsid w:val="00FE096A"/>
    <w:rsid w:val="00FE2BCA"/>
    <w:rsid w:val="00FE653D"/>
    <w:rsid w:val="00FE6D3E"/>
    <w:rsid w:val="00FF5322"/>
    <w:rsid w:val="00FF5C4B"/>
    <w:rsid w:val="00FF6C2E"/>
    <w:rsid w:val="0100169A"/>
    <w:rsid w:val="01114868"/>
    <w:rsid w:val="01187E97"/>
    <w:rsid w:val="011895CD"/>
    <w:rsid w:val="015240B2"/>
    <w:rsid w:val="0161607F"/>
    <w:rsid w:val="0166BFDB"/>
    <w:rsid w:val="0191CC33"/>
    <w:rsid w:val="01C13833"/>
    <w:rsid w:val="021D2027"/>
    <w:rsid w:val="027E6098"/>
    <w:rsid w:val="02853615"/>
    <w:rsid w:val="029580DC"/>
    <w:rsid w:val="02D3EA6A"/>
    <w:rsid w:val="03A73C71"/>
    <w:rsid w:val="03A80CF1"/>
    <w:rsid w:val="03C78F19"/>
    <w:rsid w:val="03E03189"/>
    <w:rsid w:val="04135ED5"/>
    <w:rsid w:val="04370030"/>
    <w:rsid w:val="045C77B2"/>
    <w:rsid w:val="046689AA"/>
    <w:rsid w:val="046709F2"/>
    <w:rsid w:val="047A141E"/>
    <w:rsid w:val="048C48A9"/>
    <w:rsid w:val="04AA1AC1"/>
    <w:rsid w:val="04B3B4BF"/>
    <w:rsid w:val="04E53E4A"/>
    <w:rsid w:val="054330A3"/>
    <w:rsid w:val="058AE15D"/>
    <w:rsid w:val="05DFC0B0"/>
    <w:rsid w:val="060BDC83"/>
    <w:rsid w:val="06173608"/>
    <w:rsid w:val="063E03F2"/>
    <w:rsid w:val="067277B2"/>
    <w:rsid w:val="06769025"/>
    <w:rsid w:val="06903D42"/>
    <w:rsid w:val="069E8AC7"/>
    <w:rsid w:val="06A20B17"/>
    <w:rsid w:val="06CA5EF4"/>
    <w:rsid w:val="06DA3753"/>
    <w:rsid w:val="06EF9BA4"/>
    <w:rsid w:val="07258FD0"/>
    <w:rsid w:val="074DCA25"/>
    <w:rsid w:val="0750C09F"/>
    <w:rsid w:val="076D4706"/>
    <w:rsid w:val="077B13FA"/>
    <w:rsid w:val="07915447"/>
    <w:rsid w:val="07DD40C1"/>
    <w:rsid w:val="0807E386"/>
    <w:rsid w:val="081C5E09"/>
    <w:rsid w:val="082D487D"/>
    <w:rsid w:val="082EA14E"/>
    <w:rsid w:val="0863EF57"/>
    <w:rsid w:val="088CCD5A"/>
    <w:rsid w:val="08900D76"/>
    <w:rsid w:val="08BC842D"/>
    <w:rsid w:val="08C3D621"/>
    <w:rsid w:val="08C9E237"/>
    <w:rsid w:val="08FDB004"/>
    <w:rsid w:val="091BEF28"/>
    <w:rsid w:val="09237FBF"/>
    <w:rsid w:val="092DA25B"/>
    <w:rsid w:val="09376313"/>
    <w:rsid w:val="093CB92C"/>
    <w:rsid w:val="09530E2E"/>
    <w:rsid w:val="099AA058"/>
    <w:rsid w:val="09D375D1"/>
    <w:rsid w:val="09EF5CF3"/>
    <w:rsid w:val="0A0DC229"/>
    <w:rsid w:val="0A2B84FE"/>
    <w:rsid w:val="0A54262D"/>
    <w:rsid w:val="0A650366"/>
    <w:rsid w:val="0A6A65A9"/>
    <w:rsid w:val="0A73A23E"/>
    <w:rsid w:val="0A77B337"/>
    <w:rsid w:val="0A80E711"/>
    <w:rsid w:val="0ACAFECA"/>
    <w:rsid w:val="0ACC32B6"/>
    <w:rsid w:val="0ADAD773"/>
    <w:rsid w:val="0ADC470B"/>
    <w:rsid w:val="0AE453CE"/>
    <w:rsid w:val="0AE48AFA"/>
    <w:rsid w:val="0B0EB2D3"/>
    <w:rsid w:val="0B5BFCFE"/>
    <w:rsid w:val="0B96E615"/>
    <w:rsid w:val="0BCCAEFE"/>
    <w:rsid w:val="0BDA4F6C"/>
    <w:rsid w:val="0BEC559F"/>
    <w:rsid w:val="0BF7C81A"/>
    <w:rsid w:val="0C03BB4B"/>
    <w:rsid w:val="0C23E169"/>
    <w:rsid w:val="0C4261C4"/>
    <w:rsid w:val="0C45051C"/>
    <w:rsid w:val="0C6DCDFE"/>
    <w:rsid w:val="0C782CA8"/>
    <w:rsid w:val="0C7C8054"/>
    <w:rsid w:val="0C9ED77E"/>
    <w:rsid w:val="0D034FD7"/>
    <w:rsid w:val="0D078127"/>
    <w:rsid w:val="0D6604BE"/>
    <w:rsid w:val="0D6800B5"/>
    <w:rsid w:val="0D6B6F2A"/>
    <w:rsid w:val="0D7FDABF"/>
    <w:rsid w:val="0D81AC74"/>
    <w:rsid w:val="0DA6211C"/>
    <w:rsid w:val="0DE8B417"/>
    <w:rsid w:val="0E22F98A"/>
    <w:rsid w:val="0E46BDD9"/>
    <w:rsid w:val="0E976FCC"/>
    <w:rsid w:val="0EACC42C"/>
    <w:rsid w:val="0EB5ADBA"/>
    <w:rsid w:val="0ED6AE94"/>
    <w:rsid w:val="0F10734E"/>
    <w:rsid w:val="0F1C9FD9"/>
    <w:rsid w:val="0F6FF75E"/>
    <w:rsid w:val="0FAF012D"/>
    <w:rsid w:val="0FAF8C2D"/>
    <w:rsid w:val="0FC89742"/>
    <w:rsid w:val="0FC92576"/>
    <w:rsid w:val="0FDB1C29"/>
    <w:rsid w:val="0FF0B891"/>
    <w:rsid w:val="102CD4FB"/>
    <w:rsid w:val="1048BFCC"/>
    <w:rsid w:val="108316B8"/>
    <w:rsid w:val="109A9784"/>
    <w:rsid w:val="10D4AFAA"/>
    <w:rsid w:val="1151FCEE"/>
    <w:rsid w:val="1158618E"/>
    <w:rsid w:val="11701399"/>
    <w:rsid w:val="1182D4D8"/>
    <w:rsid w:val="11991D53"/>
    <w:rsid w:val="119BFBB2"/>
    <w:rsid w:val="11B7E8C5"/>
    <w:rsid w:val="11C9F3AA"/>
    <w:rsid w:val="11CA1C27"/>
    <w:rsid w:val="12028328"/>
    <w:rsid w:val="1222A9F5"/>
    <w:rsid w:val="1272F108"/>
    <w:rsid w:val="1291F371"/>
    <w:rsid w:val="12AFBE3D"/>
    <w:rsid w:val="12B736AB"/>
    <w:rsid w:val="12CB0744"/>
    <w:rsid w:val="12E5AE41"/>
    <w:rsid w:val="130A7A67"/>
    <w:rsid w:val="1311227B"/>
    <w:rsid w:val="13144F42"/>
    <w:rsid w:val="133A8A46"/>
    <w:rsid w:val="13425574"/>
    <w:rsid w:val="1351459B"/>
    <w:rsid w:val="137F3A8A"/>
    <w:rsid w:val="138A661B"/>
    <w:rsid w:val="13A3F269"/>
    <w:rsid w:val="13ACB90D"/>
    <w:rsid w:val="13BC3A24"/>
    <w:rsid w:val="13CC0FB4"/>
    <w:rsid w:val="13D13F51"/>
    <w:rsid w:val="13EA7F6C"/>
    <w:rsid w:val="13F6FD2F"/>
    <w:rsid w:val="142A61C8"/>
    <w:rsid w:val="1442D721"/>
    <w:rsid w:val="144BCC7B"/>
    <w:rsid w:val="1456FBE6"/>
    <w:rsid w:val="145E2BAE"/>
    <w:rsid w:val="14861AA3"/>
    <w:rsid w:val="14B923E5"/>
    <w:rsid w:val="14BCC10D"/>
    <w:rsid w:val="14CAD437"/>
    <w:rsid w:val="14DB522E"/>
    <w:rsid w:val="14E56630"/>
    <w:rsid w:val="14FDAEDA"/>
    <w:rsid w:val="15177F4D"/>
    <w:rsid w:val="156827D1"/>
    <w:rsid w:val="15738655"/>
    <w:rsid w:val="1584EBE8"/>
    <w:rsid w:val="158FC67E"/>
    <w:rsid w:val="15E28530"/>
    <w:rsid w:val="16238D03"/>
    <w:rsid w:val="1624937F"/>
    <w:rsid w:val="163228FA"/>
    <w:rsid w:val="16544CC0"/>
    <w:rsid w:val="1657C7E6"/>
    <w:rsid w:val="16655260"/>
    <w:rsid w:val="16BCE477"/>
    <w:rsid w:val="16C843F2"/>
    <w:rsid w:val="16DFF071"/>
    <w:rsid w:val="16EAF959"/>
    <w:rsid w:val="16F0C837"/>
    <w:rsid w:val="1710DC12"/>
    <w:rsid w:val="1721334C"/>
    <w:rsid w:val="172DF3C1"/>
    <w:rsid w:val="174D9521"/>
    <w:rsid w:val="176CFF10"/>
    <w:rsid w:val="177626F3"/>
    <w:rsid w:val="177E665E"/>
    <w:rsid w:val="178B9FAA"/>
    <w:rsid w:val="17B4D50B"/>
    <w:rsid w:val="17DE57A3"/>
    <w:rsid w:val="180B58D4"/>
    <w:rsid w:val="184225F4"/>
    <w:rsid w:val="184E5356"/>
    <w:rsid w:val="184F7AC2"/>
    <w:rsid w:val="1875A171"/>
    <w:rsid w:val="18778C20"/>
    <w:rsid w:val="187CF9C0"/>
    <w:rsid w:val="18B9EE2A"/>
    <w:rsid w:val="18DC6C2A"/>
    <w:rsid w:val="18ECD8F8"/>
    <w:rsid w:val="195550CF"/>
    <w:rsid w:val="195DA27B"/>
    <w:rsid w:val="19952622"/>
    <w:rsid w:val="19BE14B0"/>
    <w:rsid w:val="19CEB2A9"/>
    <w:rsid w:val="1A0ADFE5"/>
    <w:rsid w:val="1A282EF4"/>
    <w:rsid w:val="1A324E64"/>
    <w:rsid w:val="1A3AD732"/>
    <w:rsid w:val="1A4A01E3"/>
    <w:rsid w:val="1A5FE642"/>
    <w:rsid w:val="1A919C6F"/>
    <w:rsid w:val="1A93BC22"/>
    <w:rsid w:val="1AA78B1A"/>
    <w:rsid w:val="1AC4754D"/>
    <w:rsid w:val="1B3FBCFE"/>
    <w:rsid w:val="1B4D198C"/>
    <w:rsid w:val="1BAAB6D0"/>
    <w:rsid w:val="1BEF16EA"/>
    <w:rsid w:val="1C25666E"/>
    <w:rsid w:val="1C2F9FB1"/>
    <w:rsid w:val="1C459029"/>
    <w:rsid w:val="1C73E24B"/>
    <w:rsid w:val="1C7A499D"/>
    <w:rsid w:val="1CC12721"/>
    <w:rsid w:val="1CD24BEC"/>
    <w:rsid w:val="1CD43357"/>
    <w:rsid w:val="1CE6B8A4"/>
    <w:rsid w:val="1D19225C"/>
    <w:rsid w:val="1D35C184"/>
    <w:rsid w:val="1D72FE33"/>
    <w:rsid w:val="1D79DA18"/>
    <w:rsid w:val="1D8A64B6"/>
    <w:rsid w:val="1D95B2C1"/>
    <w:rsid w:val="1DA87EDB"/>
    <w:rsid w:val="1DB02184"/>
    <w:rsid w:val="1DB5222D"/>
    <w:rsid w:val="1DCDD39A"/>
    <w:rsid w:val="1DF6007B"/>
    <w:rsid w:val="1E74B464"/>
    <w:rsid w:val="1E7F9C40"/>
    <w:rsid w:val="1E937A89"/>
    <w:rsid w:val="1EEB33E5"/>
    <w:rsid w:val="1F2BBF79"/>
    <w:rsid w:val="1F3A68CA"/>
    <w:rsid w:val="1F8B07EA"/>
    <w:rsid w:val="1FB6BC6F"/>
    <w:rsid w:val="1FC66C0A"/>
    <w:rsid w:val="1FDB77B5"/>
    <w:rsid w:val="1FF0F4A2"/>
    <w:rsid w:val="1FFFEA19"/>
    <w:rsid w:val="20325468"/>
    <w:rsid w:val="2045F4DE"/>
    <w:rsid w:val="204FE28C"/>
    <w:rsid w:val="205145FC"/>
    <w:rsid w:val="2058EBB0"/>
    <w:rsid w:val="20640311"/>
    <w:rsid w:val="20735DF3"/>
    <w:rsid w:val="2094DF24"/>
    <w:rsid w:val="20B4CAFE"/>
    <w:rsid w:val="20EEDFE5"/>
    <w:rsid w:val="210083DC"/>
    <w:rsid w:val="2112DA5D"/>
    <w:rsid w:val="2117DC75"/>
    <w:rsid w:val="212D916D"/>
    <w:rsid w:val="214C811D"/>
    <w:rsid w:val="214E0E36"/>
    <w:rsid w:val="2153B9BA"/>
    <w:rsid w:val="2153DC47"/>
    <w:rsid w:val="2178E4E5"/>
    <w:rsid w:val="21865C19"/>
    <w:rsid w:val="218B94D1"/>
    <w:rsid w:val="220E9013"/>
    <w:rsid w:val="22253DDB"/>
    <w:rsid w:val="222D41DC"/>
    <w:rsid w:val="2246260B"/>
    <w:rsid w:val="22749543"/>
    <w:rsid w:val="227F7FB9"/>
    <w:rsid w:val="22A4FF9F"/>
    <w:rsid w:val="22CC8DAA"/>
    <w:rsid w:val="22E6FCD0"/>
    <w:rsid w:val="22EFA168"/>
    <w:rsid w:val="2300D2AD"/>
    <w:rsid w:val="230D3113"/>
    <w:rsid w:val="2335E340"/>
    <w:rsid w:val="23382E6A"/>
    <w:rsid w:val="235A2D67"/>
    <w:rsid w:val="235B798C"/>
    <w:rsid w:val="238B8438"/>
    <w:rsid w:val="23CB988F"/>
    <w:rsid w:val="242B324E"/>
    <w:rsid w:val="24346A51"/>
    <w:rsid w:val="249F746A"/>
    <w:rsid w:val="24ADE5C4"/>
    <w:rsid w:val="24D747A3"/>
    <w:rsid w:val="255CE4B0"/>
    <w:rsid w:val="25956BDB"/>
    <w:rsid w:val="2599F189"/>
    <w:rsid w:val="259E2F37"/>
    <w:rsid w:val="25D3E738"/>
    <w:rsid w:val="25D80703"/>
    <w:rsid w:val="26088309"/>
    <w:rsid w:val="2625CAC6"/>
    <w:rsid w:val="2626B15D"/>
    <w:rsid w:val="2662B5A9"/>
    <w:rsid w:val="2665CE81"/>
    <w:rsid w:val="266C6804"/>
    <w:rsid w:val="266DC036"/>
    <w:rsid w:val="266F2AF6"/>
    <w:rsid w:val="2677C17F"/>
    <w:rsid w:val="269F62CD"/>
    <w:rsid w:val="26C0528D"/>
    <w:rsid w:val="26D1FB09"/>
    <w:rsid w:val="26DB4E52"/>
    <w:rsid w:val="26E18E78"/>
    <w:rsid w:val="26E9CE3C"/>
    <w:rsid w:val="26EAE658"/>
    <w:rsid w:val="2736CB2E"/>
    <w:rsid w:val="2741D6CD"/>
    <w:rsid w:val="2769EDF6"/>
    <w:rsid w:val="2789A038"/>
    <w:rsid w:val="278A1B44"/>
    <w:rsid w:val="27AE09E3"/>
    <w:rsid w:val="27C86F93"/>
    <w:rsid w:val="27D1A185"/>
    <w:rsid w:val="27DD063D"/>
    <w:rsid w:val="2819CB01"/>
    <w:rsid w:val="286A6D4C"/>
    <w:rsid w:val="287F3F57"/>
    <w:rsid w:val="288CA58E"/>
    <w:rsid w:val="289A46AD"/>
    <w:rsid w:val="28A47D2E"/>
    <w:rsid w:val="28A55E68"/>
    <w:rsid w:val="28AEF588"/>
    <w:rsid w:val="28B1A03C"/>
    <w:rsid w:val="28B5AB57"/>
    <w:rsid w:val="28CB9F30"/>
    <w:rsid w:val="28E06A6D"/>
    <w:rsid w:val="28E94C4A"/>
    <w:rsid w:val="2902926A"/>
    <w:rsid w:val="294026A6"/>
    <w:rsid w:val="29452B69"/>
    <w:rsid w:val="29622F45"/>
    <w:rsid w:val="29C022A0"/>
    <w:rsid w:val="29D7D2A0"/>
    <w:rsid w:val="29E7CDB8"/>
    <w:rsid w:val="29EA9705"/>
    <w:rsid w:val="2A09DD3E"/>
    <w:rsid w:val="2A3D2142"/>
    <w:rsid w:val="2A5A1CB2"/>
    <w:rsid w:val="2A7719FA"/>
    <w:rsid w:val="2A807E14"/>
    <w:rsid w:val="2A80CBBC"/>
    <w:rsid w:val="2AC8B07B"/>
    <w:rsid w:val="2ADC9932"/>
    <w:rsid w:val="2AEE24DC"/>
    <w:rsid w:val="2B05E68F"/>
    <w:rsid w:val="2B11CA7C"/>
    <w:rsid w:val="2B15E365"/>
    <w:rsid w:val="2B45ABE9"/>
    <w:rsid w:val="2B5A2CA0"/>
    <w:rsid w:val="2B630FB2"/>
    <w:rsid w:val="2B749E3C"/>
    <w:rsid w:val="2B76197C"/>
    <w:rsid w:val="2B9BCFDA"/>
    <w:rsid w:val="2BA7A537"/>
    <w:rsid w:val="2BB22FB6"/>
    <w:rsid w:val="2BBBBDFC"/>
    <w:rsid w:val="2BD36E63"/>
    <w:rsid w:val="2BF2388C"/>
    <w:rsid w:val="2BF9B1FB"/>
    <w:rsid w:val="2C06EF14"/>
    <w:rsid w:val="2C0DADD3"/>
    <w:rsid w:val="2C6F64A1"/>
    <w:rsid w:val="2C6F6A1D"/>
    <w:rsid w:val="2C900BD6"/>
    <w:rsid w:val="2C95B777"/>
    <w:rsid w:val="2CB34F3B"/>
    <w:rsid w:val="2CE54BEF"/>
    <w:rsid w:val="2CE7CAAE"/>
    <w:rsid w:val="2D2451CA"/>
    <w:rsid w:val="2D4253BD"/>
    <w:rsid w:val="2D5D80E9"/>
    <w:rsid w:val="2D73DBF7"/>
    <w:rsid w:val="2D86C4B2"/>
    <w:rsid w:val="2DAA8181"/>
    <w:rsid w:val="2DD3566C"/>
    <w:rsid w:val="2DF5CE55"/>
    <w:rsid w:val="2E10FC4B"/>
    <w:rsid w:val="2E19E93A"/>
    <w:rsid w:val="2E1FD5B1"/>
    <w:rsid w:val="2E8030FC"/>
    <w:rsid w:val="2E86C16A"/>
    <w:rsid w:val="2E930002"/>
    <w:rsid w:val="2EB1455A"/>
    <w:rsid w:val="2EB79C2F"/>
    <w:rsid w:val="2F1BF5AD"/>
    <w:rsid w:val="2F7B1A7D"/>
    <w:rsid w:val="2F8241CD"/>
    <w:rsid w:val="2F82AF4A"/>
    <w:rsid w:val="2F94BAB7"/>
    <w:rsid w:val="2FDB25DB"/>
    <w:rsid w:val="30035E8D"/>
    <w:rsid w:val="30171972"/>
    <w:rsid w:val="301EC8FB"/>
    <w:rsid w:val="3050858D"/>
    <w:rsid w:val="3066D15A"/>
    <w:rsid w:val="307308B1"/>
    <w:rsid w:val="307A1E10"/>
    <w:rsid w:val="30831CBF"/>
    <w:rsid w:val="309A5E57"/>
    <w:rsid w:val="30A5C898"/>
    <w:rsid w:val="30D4F28E"/>
    <w:rsid w:val="30DB69BD"/>
    <w:rsid w:val="310E66EE"/>
    <w:rsid w:val="310ED1A9"/>
    <w:rsid w:val="31203A30"/>
    <w:rsid w:val="31572675"/>
    <w:rsid w:val="3163A183"/>
    <w:rsid w:val="3166736E"/>
    <w:rsid w:val="31AE588A"/>
    <w:rsid w:val="31B6DF1A"/>
    <w:rsid w:val="31D1EE36"/>
    <w:rsid w:val="31DC774D"/>
    <w:rsid w:val="321FAAA0"/>
    <w:rsid w:val="3285D209"/>
    <w:rsid w:val="329768FA"/>
    <w:rsid w:val="330DA37F"/>
    <w:rsid w:val="331E6CC9"/>
    <w:rsid w:val="33210FE2"/>
    <w:rsid w:val="33590FF3"/>
    <w:rsid w:val="33AA9794"/>
    <w:rsid w:val="33C1CB8B"/>
    <w:rsid w:val="33C65115"/>
    <w:rsid w:val="33D2D086"/>
    <w:rsid w:val="340EFAD6"/>
    <w:rsid w:val="34221019"/>
    <w:rsid w:val="344303BF"/>
    <w:rsid w:val="3447A0AE"/>
    <w:rsid w:val="3451EF90"/>
    <w:rsid w:val="3493EF38"/>
    <w:rsid w:val="349D69AD"/>
    <w:rsid w:val="34A75B60"/>
    <w:rsid w:val="34EB7027"/>
    <w:rsid w:val="34EE0DC7"/>
    <w:rsid w:val="3526E879"/>
    <w:rsid w:val="358C9132"/>
    <w:rsid w:val="35A0F4D7"/>
    <w:rsid w:val="35ABF340"/>
    <w:rsid w:val="35BF7C04"/>
    <w:rsid w:val="35D56ABB"/>
    <w:rsid w:val="35E211D7"/>
    <w:rsid w:val="3614F3C6"/>
    <w:rsid w:val="3639D263"/>
    <w:rsid w:val="3644C882"/>
    <w:rsid w:val="36811DAA"/>
    <w:rsid w:val="368811B3"/>
    <w:rsid w:val="36976910"/>
    <w:rsid w:val="36AEEB7E"/>
    <w:rsid w:val="36B1340A"/>
    <w:rsid w:val="36C64108"/>
    <w:rsid w:val="36D25D53"/>
    <w:rsid w:val="36E3E5D4"/>
    <w:rsid w:val="370BEF24"/>
    <w:rsid w:val="371C8EF4"/>
    <w:rsid w:val="3746D152"/>
    <w:rsid w:val="375723FA"/>
    <w:rsid w:val="37B19C7A"/>
    <w:rsid w:val="3823258B"/>
    <w:rsid w:val="38459DAF"/>
    <w:rsid w:val="38566A98"/>
    <w:rsid w:val="38588DEB"/>
    <w:rsid w:val="385C4628"/>
    <w:rsid w:val="386BFE61"/>
    <w:rsid w:val="388A2222"/>
    <w:rsid w:val="38992721"/>
    <w:rsid w:val="389C6EC4"/>
    <w:rsid w:val="38A3D3FE"/>
    <w:rsid w:val="38FB7BAA"/>
    <w:rsid w:val="390A46DC"/>
    <w:rsid w:val="390FB73C"/>
    <w:rsid w:val="391DB721"/>
    <w:rsid w:val="39206453"/>
    <w:rsid w:val="392337E4"/>
    <w:rsid w:val="392D5A26"/>
    <w:rsid w:val="393F0263"/>
    <w:rsid w:val="39738947"/>
    <w:rsid w:val="3976D8E6"/>
    <w:rsid w:val="39922F18"/>
    <w:rsid w:val="39AA1D5E"/>
    <w:rsid w:val="39B41081"/>
    <w:rsid w:val="39C142F7"/>
    <w:rsid w:val="39D1DD72"/>
    <w:rsid w:val="39F4488E"/>
    <w:rsid w:val="39FB36E8"/>
    <w:rsid w:val="3A01739D"/>
    <w:rsid w:val="3A4D4997"/>
    <w:rsid w:val="3A79C784"/>
    <w:rsid w:val="3A8C5D99"/>
    <w:rsid w:val="3A8D5740"/>
    <w:rsid w:val="3A96E247"/>
    <w:rsid w:val="3AC45B45"/>
    <w:rsid w:val="3ADA9F6A"/>
    <w:rsid w:val="3B05F8B6"/>
    <w:rsid w:val="3B83BE03"/>
    <w:rsid w:val="3BB5C37E"/>
    <w:rsid w:val="3BC6E7DC"/>
    <w:rsid w:val="3BD1D6E2"/>
    <w:rsid w:val="3BE04AAC"/>
    <w:rsid w:val="3BEE90FC"/>
    <w:rsid w:val="3C615BAB"/>
    <w:rsid w:val="3C63EAC2"/>
    <w:rsid w:val="3C6E4467"/>
    <w:rsid w:val="3CA7F8FB"/>
    <w:rsid w:val="3CC3F3B7"/>
    <w:rsid w:val="3CE444CD"/>
    <w:rsid w:val="3D330732"/>
    <w:rsid w:val="3D423C6C"/>
    <w:rsid w:val="3D47792C"/>
    <w:rsid w:val="3D7165AB"/>
    <w:rsid w:val="3D8E2381"/>
    <w:rsid w:val="3DC61588"/>
    <w:rsid w:val="3DD20EA6"/>
    <w:rsid w:val="3DE246C6"/>
    <w:rsid w:val="3DF2AD0A"/>
    <w:rsid w:val="3DF40AFD"/>
    <w:rsid w:val="3DFB8476"/>
    <w:rsid w:val="3E175D84"/>
    <w:rsid w:val="3E17C960"/>
    <w:rsid w:val="3E1D99CA"/>
    <w:rsid w:val="3E2BE18E"/>
    <w:rsid w:val="3E45CBAE"/>
    <w:rsid w:val="3E865834"/>
    <w:rsid w:val="3EBE6F56"/>
    <w:rsid w:val="3EFE5C8D"/>
    <w:rsid w:val="3F1FC71D"/>
    <w:rsid w:val="3F4D80CB"/>
    <w:rsid w:val="3F5CBA8D"/>
    <w:rsid w:val="3F5E7921"/>
    <w:rsid w:val="3F971EAA"/>
    <w:rsid w:val="3F9A384C"/>
    <w:rsid w:val="3FA2EF9D"/>
    <w:rsid w:val="3FC44024"/>
    <w:rsid w:val="3FCAD2A5"/>
    <w:rsid w:val="3FDC4EE7"/>
    <w:rsid w:val="3FDCD793"/>
    <w:rsid w:val="4014BA66"/>
    <w:rsid w:val="40237C12"/>
    <w:rsid w:val="405581F1"/>
    <w:rsid w:val="405D9872"/>
    <w:rsid w:val="406AA07C"/>
    <w:rsid w:val="40721FB0"/>
    <w:rsid w:val="40777B4E"/>
    <w:rsid w:val="407B563F"/>
    <w:rsid w:val="4087CD63"/>
    <w:rsid w:val="409FB7F1"/>
    <w:rsid w:val="40AD7CAE"/>
    <w:rsid w:val="40B38CA6"/>
    <w:rsid w:val="40B60162"/>
    <w:rsid w:val="40D3E066"/>
    <w:rsid w:val="411CCDCE"/>
    <w:rsid w:val="4137E7F5"/>
    <w:rsid w:val="41419912"/>
    <w:rsid w:val="41D64186"/>
    <w:rsid w:val="41FFD26A"/>
    <w:rsid w:val="42286FD8"/>
    <w:rsid w:val="4237F355"/>
    <w:rsid w:val="42A6DF4E"/>
    <w:rsid w:val="42DAF78C"/>
    <w:rsid w:val="432B4017"/>
    <w:rsid w:val="43B0ACF6"/>
    <w:rsid w:val="43E08E00"/>
    <w:rsid w:val="43F4143B"/>
    <w:rsid w:val="44026324"/>
    <w:rsid w:val="440B6C99"/>
    <w:rsid w:val="442A4EBB"/>
    <w:rsid w:val="4433F770"/>
    <w:rsid w:val="443D9E94"/>
    <w:rsid w:val="4446D857"/>
    <w:rsid w:val="4447258F"/>
    <w:rsid w:val="44594247"/>
    <w:rsid w:val="445FA5B3"/>
    <w:rsid w:val="446421FD"/>
    <w:rsid w:val="4477354F"/>
    <w:rsid w:val="44A0102B"/>
    <w:rsid w:val="44A841B4"/>
    <w:rsid w:val="44AE0465"/>
    <w:rsid w:val="44BE75B8"/>
    <w:rsid w:val="453718BC"/>
    <w:rsid w:val="4537CD30"/>
    <w:rsid w:val="453EAA67"/>
    <w:rsid w:val="454794AF"/>
    <w:rsid w:val="4549FA99"/>
    <w:rsid w:val="455825D5"/>
    <w:rsid w:val="45886E42"/>
    <w:rsid w:val="45DD6DE1"/>
    <w:rsid w:val="461E2962"/>
    <w:rsid w:val="4623A95C"/>
    <w:rsid w:val="46273AEA"/>
    <w:rsid w:val="4651495F"/>
    <w:rsid w:val="466ED8FC"/>
    <w:rsid w:val="46917359"/>
    <w:rsid w:val="4694F0E8"/>
    <w:rsid w:val="46BBD34D"/>
    <w:rsid w:val="46CBF5BA"/>
    <w:rsid w:val="46EF8F48"/>
    <w:rsid w:val="46F88697"/>
    <w:rsid w:val="46FAB07E"/>
    <w:rsid w:val="470838AC"/>
    <w:rsid w:val="47C667B0"/>
    <w:rsid w:val="482C841A"/>
    <w:rsid w:val="484F4CF2"/>
    <w:rsid w:val="48573D25"/>
    <w:rsid w:val="489D5418"/>
    <w:rsid w:val="48E57448"/>
    <w:rsid w:val="490C3F47"/>
    <w:rsid w:val="490F91E6"/>
    <w:rsid w:val="491D5F34"/>
    <w:rsid w:val="49216EC1"/>
    <w:rsid w:val="49448C1A"/>
    <w:rsid w:val="4950DFB3"/>
    <w:rsid w:val="495C6E6D"/>
    <w:rsid w:val="497963B6"/>
    <w:rsid w:val="49B662DE"/>
    <w:rsid w:val="49F423D6"/>
    <w:rsid w:val="4A2B0680"/>
    <w:rsid w:val="4A31783D"/>
    <w:rsid w:val="4A6D1E68"/>
    <w:rsid w:val="4AD84953"/>
    <w:rsid w:val="4AEF42A0"/>
    <w:rsid w:val="4AFC65DB"/>
    <w:rsid w:val="4B5CFF63"/>
    <w:rsid w:val="4B5D053E"/>
    <w:rsid w:val="4B6DBF36"/>
    <w:rsid w:val="4B8BD165"/>
    <w:rsid w:val="4B93E3C3"/>
    <w:rsid w:val="4B9BDCBF"/>
    <w:rsid w:val="4BBBCB9C"/>
    <w:rsid w:val="4BC84AD9"/>
    <w:rsid w:val="4BD9E41F"/>
    <w:rsid w:val="4C625A09"/>
    <w:rsid w:val="4C62DA5F"/>
    <w:rsid w:val="4C74BECF"/>
    <w:rsid w:val="4CCB51AA"/>
    <w:rsid w:val="4CEA2C9F"/>
    <w:rsid w:val="4CFB6CC3"/>
    <w:rsid w:val="4D289871"/>
    <w:rsid w:val="4D3CBE18"/>
    <w:rsid w:val="4D56D4DD"/>
    <w:rsid w:val="4D571A17"/>
    <w:rsid w:val="4D9F93EC"/>
    <w:rsid w:val="4DF2A655"/>
    <w:rsid w:val="4E2068B4"/>
    <w:rsid w:val="4E2BE650"/>
    <w:rsid w:val="4E3401D9"/>
    <w:rsid w:val="4E34F16B"/>
    <w:rsid w:val="4E3D982D"/>
    <w:rsid w:val="4E4479B2"/>
    <w:rsid w:val="4E59FA67"/>
    <w:rsid w:val="4E6A29F6"/>
    <w:rsid w:val="4E6B760B"/>
    <w:rsid w:val="4E6CBD25"/>
    <w:rsid w:val="4E9BC83D"/>
    <w:rsid w:val="4EAC94B9"/>
    <w:rsid w:val="4EAD4FE9"/>
    <w:rsid w:val="4F033372"/>
    <w:rsid w:val="4F341732"/>
    <w:rsid w:val="4F61165C"/>
    <w:rsid w:val="4F76A134"/>
    <w:rsid w:val="4F91A489"/>
    <w:rsid w:val="4F9FD154"/>
    <w:rsid w:val="4FA58943"/>
    <w:rsid w:val="4FB606C3"/>
    <w:rsid w:val="4FD013FD"/>
    <w:rsid w:val="4FDF8742"/>
    <w:rsid w:val="4FF342F1"/>
    <w:rsid w:val="5028C876"/>
    <w:rsid w:val="50322C19"/>
    <w:rsid w:val="5081CFD8"/>
    <w:rsid w:val="509A4932"/>
    <w:rsid w:val="50B13E0B"/>
    <w:rsid w:val="50BF2104"/>
    <w:rsid w:val="5120EB4B"/>
    <w:rsid w:val="51405257"/>
    <w:rsid w:val="517EA048"/>
    <w:rsid w:val="51891111"/>
    <w:rsid w:val="51918B93"/>
    <w:rsid w:val="519CE2BA"/>
    <w:rsid w:val="51A26452"/>
    <w:rsid w:val="51D8A81D"/>
    <w:rsid w:val="51DF38FC"/>
    <w:rsid w:val="521311B0"/>
    <w:rsid w:val="521EBB3B"/>
    <w:rsid w:val="5230E9EB"/>
    <w:rsid w:val="52468D3E"/>
    <w:rsid w:val="5247C3E4"/>
    <w:rsid w:val="52604F73"/>
    <w:rsid w:val="52B5232D"/>
    <w:rsid w:val="52E4DFE1"/>
    <w:rsid w:val="53026287"/>
    <w:rsid w:val="530AF43A"/>
    <w:rsid w:val="530E715C"/>
    <w:rsid w:val="5332A783"/>
    <w:rsid w:val="5335E7C7"/>
    <w:rsid w:val="5348D8D2"/>
    <w:rsid w:val="5378EB36"/>
    <w:rsid w:val="539FE392"/>
    <w:rsid w:val="53C8C788"/>
    <w:rsid w:val="53D35EF7"/>
    <w:rsid w:val="53D70179"/>
    <w:rsid w:val="53EFBE1F"/>
    <w:rsid w:val="53FE6DE8"/>
    <w:rsid w:val="54049538"/>
    <w:rsid w:val="544397B1"/>
    <w:rsid w:val="5466FFFB"/>
    <w:rsid w:val="546A0C32"/>
    <w:rsid w:val="54A4E69E"/>
    <w:rsid w:val="54B7A88D"/>
    <w:rsid w:val="54DBE65F"/>
    <w:rsid w:val="54E1A53C"/>
    <w:rsid w:val="54E5A5AB"/>
    <w:rsid w:val="552B270C"/>
    <w:rsid w:val="554783E0"/>
    <w:rsid w:val="5549FF1F"/>
    <w:rsid w:val="55532BBA"/>
    <w:rsid w:val="5557CE4F"/>
    <w:rsid w:val="559AB93C"/>
    <w:rsid w:val="55F45806"/>
    <w:rsid w:val="55F58159"/>
    <w:rsid w:val="55FAFFBD"/>
    <w:rsid w:val="55FDDAF4"/>
    <w:rsid w:val="56042393"/>
    <w:rsid w:val="5658B872"/>
    <w:rsid w:val="56679EC2"/>
    <w:rsid w:val="56C09240"/>
    <w:rsid w:val="56D009AE"/>
    <w:rsid w:val="56D5D22B"/>
    <w:rsid w:val="56D77E72"/>
    <w:rsid w:val="57209963"/>
    <w:rsid w:val="574EB1DC"/>
    <w:rsid w:val="5759FD95"/>
    <w:rsid w:val="5772E9E2"/>
    <w:rsid w:val="577A3E3C"/>
    <w:rsid w:val="57EB9790"/>
    <w:rsid w:val="580266DB"/>
    <w:rsid w:val="5807DA1C"/>
    <w:rsid w:val="5815DB30"/>
    <w:rsid w:val="5833CE46"/>
    <w:rsid w:val="58398D4D"/>
    <w:rsid w:val="584291D6"/>
    <w:rsid w:val="584C9D01"/>
    <w:rsid w:val="5850242C"/>
    <w:rsid w:val="5870D381"/>
    <w:rsid w:val="589C8D14"/>
    <w:rsid w:val="58AEAFD3"/>
    <w:rsid w:val="58DC7F6A"/>
    <w:rsid w:val="58EA0F08"/>
    <w:rsid w:val="58F41186"/>
    <w:rsid w:val="58FF5999"/>
    <w:rsid w:val="590B8D14"/>
    <w:rsid w:val="59346E09"/>
    <w:rsid w:val="596527B6"/>
    <w:rsid w:val="5965BE58"/>
    <w:rsid w:val="59BF42F4"/>
    <w:rsid w:val="59C29106"/>
    <w:rsid w:val="59CDC688"/>
    <w:rsid w:val="59FA533C"/>
    <w:rsid w:val="5A0BF692"/>
    <w:rsid w:val="5A1CEDE7"/>
    <w:rsid w:val="5A2C074A"/>
    <w:rsid w:val="5A3A952B"/>
    <w:rsid w:val="5A4F1492"/>
    <w:rsid w:val="5A772025"/>
    <w:rsid w:val="5A814B5A"/>
    <w:rsid w:val="5A90C9FE"/>
    <w:rsid w:val="5AEC1375"/>
    <w:rsid w:val="5AF2AC04"/>
    <w:rsid w:val="5AF3CB8A"/>
    <w:rsid w:val="5B25AD3D"/>
    <w:rsid w:val="5B7E4DB1"/>
    <w:rsid w:val="5BB68BC8"/>
    <w:rsid w:val="5BC9AEB9"/>
    <w:rsid w:val="5BD81DE0"/>
    <w:rsid w:val="5BE07628"/>
    <w:rsid w:val="5C253E92"/>
    <w:rsid w:val="5C43EA8B"/>
    <w:rsid w:val="5C52712C"/>
    <w:rsid w:val="5C8DDCDD"/>
    <w:rsid w:val="5C9A5F6D"/>
    <w:rsid w:val="5CCC850D"/>
    <w:rsid w:val="5D26E846"/>
    <w:rsid w:val="5D282D38"/>
    <w:rsid w:val="5D332C67"/>
    <w:rsid w:val="5D549544"/>
    <w:rsid w:val="5D577F53"/>
    <w:rsid w:val="5D6AE362"/>
    <w:rsid w:val="5D849087"/>
    <w:rsid w:val="5D868F6A"/>
    <w:rsid w:val="5DAE2D9D"/>
    <w:rsid w:val="5DC46287"/>
    <w:rsid w:val="5DCFDAB7"/>
    <w:rsid w:val="5DD7AC29"/>
    <w:rsid w:val="5DEC6683"/>
    <w:rsid w:val="5DEDA912"/>
    <w:rsid w:val="5DEE1ED4"/>
    <w:rsid w:val="5DF07C61"/>
    <w:rsid w:val="5DF5F513"/>
    <w:rsid w:val="5E15A1AC"/>
    <w:rsid w:val="5E3B0E83"/>
    <w:rsid w:val="5E7AD0A4"/>
    <w:rsid w:val="5EA8E806"/>
    <w:rsid w:val="5EB30516"/>
    <w:rsid w:val="5ECBA203"/>
    <w:rsid w:val="5F15C092"/>
    <w:rsid w:val="5F1C7C3C"/>
    <w:rsid w:val="5F1CF43A"/>
    <w:rsid w:val="5F40F8B6"/>
    <w:rsid w:val="5F67258A"/>
    <w:rsid w:val="5F748B27"/>
    <w:rsid w:val="5F9011AA"/>
    <w:rsid w:val="5FAC9267"/>
    <w:rsid w:val="5FCFA110"/>
    <w:rsid w:val="5FD61EB0"/>
    <w:rsid w:val="60768FEE"/>
    <w:rsid w:val="60AD0625"/>
    <w:rsid w:val="60CC5BB7"/>
    <w:rsid w:val="60F177B8"/>
    <w:rsid w:val="611FEFE1"/>
    <w:rsid w:val="6156DC40"/>
    <w:rsid w:val="615BDA50"/>
    <w:rsid w:val="61857C4A"/>
    <w:rsid w:val="61BE9BBB"/>
    <w:rsid w:val="61DA4B1A"/>
    <w:rsid w:val="62078F74"/>
    <w:rsid w:val="62447810"/>
    <w:rsid w:val="624A295E"/>
    <w:rsid w:val="6295974F"/>
    <w:rsid w:val="629B35BD"/>
    <w:rsid w:val="62B9492C"/>
    <w:rsid w:val="62BA91AF"/>
    <w:rsid w:val="62C5A50E"/>
    <w:rsid w:val="62D35529"/>
    <w:rsid w:val="62E989DD"/>
    <w:rsid w:val="62FF5119"/>
    <w:rsid w:val="63022FCA"/>
    <w:rsid w:val="63097B43"/>
    <w:rsid w:val="63154FA0"/>
    <w:rsid w:val="631DD592"/>
    <w:rsid w:val="63441484"/>
    <w:rsid w:val="6347DEDA"/>
    <w:rsid w:val="634EA3DE"/>
    <w:rsid w:val="6363ED21"/>
    <w:rsid w:val="636728AD"/>
    <w:rsid w:val="638DFBAB"/>
    <w:rsid w:val="6393C069"/>
    <w:rsid w:val="639885A9"/>
    <w:rsid w:val="63A90858"/>
    <w:rsid w:val="63C4BB0B"/>
    <w:rsid w:val="63F2C620"/>
    <w:rsid w:val="64183ED1"/>
    <w:rsid w:val="6424365C"/>
    <w:rsid w:val="642BFD96"/>
    <w:rsid w:val="6433D77E"/>
    <w:rsid w:val="6451001C"/>
    <w:rsid w:val="646132F2"/>
    <w:rsid w:val="649D4EC5"/>
    <w:rsid w:val="64ACA140"/>
    <w:rsid w:val="64AE990F"/>
    <w:rsid w:val="64C5348C"/>
    <w:rsid w:val="64C5CA86"/>
    <w:rsid w:val="64D6FCFC"/>
    <w:rsid w:val="64E8C3AC"/>
    <w:rsid w:val="652A714B"/>
    <w:rsid w:val="65735EDD"/>
    <w:rsid w:val="6585CD56"/>
    <w:rsid w:val="65E738E5"/>
    <w:rsid w:val="65E873BB"/>
    <w:rsid w:val="660E0794"/>
    <w:rsid w:val="6611A5B7"/>
    <w:rsid w:val="66362C56"/>
    <w:rsid w:val="663C917C"/>
    <w:rsid w:val="667C9931"/>
    <w:rsid w:val="66810CF9"/>
    <w:rsid w:val="66929836"/>
    <w:rsid w:val="6692C882"/>
    <w:rsid w:val="6696805E"/>
    <w:rsid w:val="669F5F0F"/>
    <w:rsid w:val="66A27D40"/>
    <w:rsid w:val="66C7C6EA"/>
    <w:rsid w:val="66DCBB06"/>
    <w:rsid w:val="66E30EE0"/>
    <w:rsid w:val="67358470"/>
    <w:rsid w:val="674DEE87"/>
    <w:rsid w:val="675C8B63"/>
    <w:rsid w:val="67796170"/>
    <w:rsid w:val="6790BD46"/>
    <w:rsid w:val="67A987F6"/>
    <w:rsid w:val="67CAA29E"/>
    <w:rsid w:val="67D0768D"/>
    <w:rsid w:val="67D7D418"/>
    <w:rsid w:val="67E049F7"/>
    <w:rsid w:val="689A6DA2"/>
    <w:rsid w:val="68E5203B"/>
    <w:rsid w:val="68EB1793"/>
    <w:rsid w:val="68F41B86"/>
    <w:rsid w:val="690D589F"/>
    <w:rsid w:val="691AD912"/>
    <w:rsid w:val="69580142"/>
    <w:rsid w:val="695C43F3"/>
    <w:rsid w:val="697F06F6"/>
    <w:rsid w:val="69C8FBD5"/>
    <w:rsid w:val="69D68605"/>
    <w:rsid w:val="69E58FFC"/>
    <w:rsid w:val="6A0E244C"/>
    <w:rsid w:val="6A2D7AAE"/>
    <w:rsid w:val="6A3029A9"/>
    <w:rsid w:val="6A450DA8"/>
    <w:rsid w:val="6A62F555"/>
    <w:rsid w:val="6A79B053"/>
    <w:rsid w:val="6A7EBDB3"/>
    <w:rsid w:val="6A9D2459"/>
    <w:rsid w:val="6AC70D52"/>
    <w:rsid w:val="6B0A1026"/>
    <w:rsid w:val="6B265AC0"/>
    <w:rsid w:val="6B321257"/>
    <w:rsid w:val="6B568CA3"/>
    <w:rsid w:val="6BB64F97"/>
    <w:rsid w:val="6BF63DD8"/>
    <w:rsid w:val="6C1A0954"/>
    <w:rsid w:val="6C446897"/>
    <w:rsid w:val="6C654EF0"/>
    <w:rsid w:val="6C8C03B4"/>
    <w:rsid w:val="6CD622FF"/>
    <w:rsid w:val="6CDC9C70"/>
    <w:rsid w:val="6CEA7CF5"/>
    <w:rsid w:val="6D022F02"/>
    <w:rsid w:val="6D2A447B"/>
    <w:rsid w:val="6D320AF3"/>
    <w:rsid w:val="6D3CC978"/>
    <w:rsid w:val="6D3DC88E"/>
    <w:rsid w:val="6D50C7DD"/>
    <w:rsid w:val="6D92849E"/>
    <w:rsid w:val="6E068C62"/>
    <w:rsid w:val="6E1F3440"/>
    <w:rsid w:val="6E2AA89B"/>
    <w:rsid w:val="6E941A66"/>
    <w:rsid w:val="6EB1CD99"/>
    <w:rsid w:val="6ED4E6B9"/>
    <w:rsid w:val="6EDE2275"/>
    <w:rsid w:val="6EE2AF4A"/>
    <w:rsid w:val="6F1CA98A"/>
    <w:rsid w:val="6F4C0163"/>
    <w:rsid w:val="6F572CF8"/>
    <w:rsid w:val="6F7DB5FF"/>
    <w:rsid w:val="6FA85450"/>
    <w:rsid w:val="6FEB4E60"/>
    <w:rsid w:val="6FF69117"/>
    <w:rsid w:val="7008B727"/>
    <w:rsid w:val="70193E40"/>
    <w:rsid w:val="704BFBFA"/>
    <w:rsid w:val="705B1C1B"/>
    <w:rsid w:val="70802132"/>
    <w:rsid w:val="70AB3915"/>
    <w:rsid w:val="71046FC3"/>
    <w:rsid w:val="7104C9C5"/>
    <w:rsid w:val="71245AA6"/>
    <w:rsid w:val="713EE4D9"/>
    <w:rsid w:val="71439317"/>
    <w:rsid w:val="715F4390"/>
    <w:rsid w:val="718349BF"/>
    <w:rsid w:val="71C11191"/>
    <w:rsid w:val="71CF28EE"/>
    <w:rsid w:val="720749D2"/>
    <w:rsid w:val="72199104"/>
    <w:rsid w:val="72242611"/>
    <w:rsid w:val="72342A9A"/>
    <w:rsid w:val="7243001F"/>
    <w:rsid w:val="725418F6"/>
    <w:rsid w:val="72773D78"/>
    <w:rsid w:val="728F55FB"/>
    <w:rsid w:val="7294DFAD"/>
    <w:rsid w:val="729BAC4A"/>
    <w:rsid w:val="72A268C6"/>
    <w:rsid w:val="72BB8C16"/>
    <w:rsid w:val="72BE807B"/>
    <w:rsid w:val="72C0C80B"/>
    <w:rsid w:val="72E14C5A"/>
    <w:rsid w:val="72FA32D6"/>
    <w:rsid w:val="730A48DA"/>
    <w:rsid w:val="733C8F54"/>
    <w:rsid w:val="73722461"/>
    <w:rsid w:val="740433D3"/>
    <w:rsid w:val="741E427A"/>
    <w:rsid w:val="742C766B"/>
    <w:rsid w:val="7465474D"/>
    <w:rsid w:val="74671166"/>
    <w:rsid w:val="74A5A375"/>
    <w:rsid w:val="74BF796C"/>
    <w:rsid w:val="74DF0066"/>
    <w:rsid w:val="74E100CB"/>
    <w:rsid w:val="74F408A5"/>
    <w:rsid w:val="7518CE27"/>
    <w:rsid w:val="751F30DF"/>
    <w:rsid w:val="75CE10A7"/>
    <w:rsid w:val="75E17980"/>
    <w:rsid w:val="7672605F"/>
    <w:rsid w:val="76983924"/>
    <w:rsid w:val="76BB75F8"/>
    <w:rsid w:val="76D0A346"/>
    <w:rsid w:val="76DB4E29"/>
    <w:rsid w:val="76F0297D"/>
    <w:rsid w:val="7704C91A"/>
    <w:rsid w:val="771646D6"/>
    <w:rsid w:val="77A1680C"/>
    <w:rsid w:val="77C0936C"/>
    <w:rsid w:val="77DA8C29"/>
    <w:rsid w:val="77DF50DC"/>
    <w:rsid w:val="77EA98F9"/>
    <w:rsid w:val="7809F4F8"/>
    <w:rsid w:val="7823D0C3"/>
    <w:rsid w:val="784BF70B"/>
    <w:rsid w:val="787D7D04"/>
    <w:rsid w:val="78BA96BB"/>
    <w:rsid w:val="78F1EEE3"/>
    <w:rsid w:val="78F63110"/>
    <w:rsid w:val="790F209A"/>
    <w:rsid w:val="7929C979"/>
    <w:rsid w:val="797E0A04"/>
    <w:rsid w:val="79878012"/>
    <w:rsid w:val="798FDA13"/>
    <w:rsid w:val="7991181E"/>
    <w:rsid w:val="7A2ED6AE"/>
    <w:rsid w:val="7A586AEA"/>
    <w:rsid w:val="7A7B84CF"/>
    <w:rsid w:val="7A86A051"/>
    <w:rsid w:val="7AB75FEB"/>
    <w:rsid w:val="7AD0D4E2"/>
    <w:rsid w:val="7AE99151"/>
    <w:rsid w:val="7AF54C40"/>
    <w:rsid w:val="7B30CD29"/>
    <w:rsid w:val="7B8518FA"/>
    <w:rsid w:val="7B8C5A87"/>
    <w:rsid w:val="7BAE8837"/>
    <w:rsid w:val="7BB30297"/>
    <w:rsid w:val="7BDD34E8"/>
    <w:rsid w:val="7BED2CBF"/>
    <w:rsid w:val="7C2793DE"/>
    <w:rsid w:val="7C39A8A1"/>
    <w:rsid w:val="7C500731"/>
    <w:rsid w:val="7C521E75"/>
    <w:rsid w:val="7C54B574"/>
    <w:rsid w:val="7C82624E"/>
    <w:rsid w:val="7C831BE2"/>
    <w:rsid w:val="7CA9DB7A"/>
    <w:rsid w:val="7CD6A3A5"/>
    <w:rsid w:val="7CF074F9"/>
    <w:rsid w:val="7D137650"/>
    <w:rsid w:val="7D175E22"/>
    <w:rsid w:val="7D353A80"/>
    <w:rsid w:val="7D629623"/>
    <w:rsid w:val="7D776D76"/>
    <w:rsid w:val="7D7C98F6"/>
    <w:rsid w:val="7D816162"/>
    <w:rsid w:val="7D967641"/>
    <w:rsid w:val="7DA9912D"/>
    <w:rsid w:val="7DC65554"/>
    <w:rsid w:val="7DD0CE32"/>
    <w:rsid w:val="7DE92AA7"/>
    <w:rsid w:val="7E09C853"/>
    <w:rsid w:val="7E4D9926"/>
    <w:rsid w:val="7E54411D"/>
    <w:rsid w:val="7E60F0DB"/>
    <w:rsid w:val="7E8DCFB5"/>
    <w:rsid w:val="7E914883"/>
    <w:rsid w:val="7EA3D240"/>
    <w:rsid w:val="7EB62FB2"/>
    <w:rsid w:val="7ED8C146"/>
    <w:rsid w:val="7EEADF7B"/>
    <w:rsid w:val="7EEB0DD2"/>
    <w:rsid w:val="7F198C26"/>
    <w:rsid w:val="7F30DC3F"/>
    <w:rsid w:val="7F445D93"/>
    <w:rsid w:val="7F62B685"/>
    <w:rsid w:val="7F846D18"/>
    <w:rsid w:val="7FAEFB76"/>
    <w:rsid w:val="7FDC8E96"/>
    <w:rsid w:val="7FE56ABA"/>
    <w:rsid w:val="7FF8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9C745C"/>
  <w15:docId w15:val="{1A5A96B1-F4A9-482D-8C21-79368AC22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39"/>
      <w:ind w:left="1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20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FootnoteText">
    <w:name w:val="footnote text"/>
    <w:basedOn w:val="Normal"/>
    <w:link w:val="FootnoteTextChar"/>
    <w:uiPriority w:val="99"/>
    <w:semiHidden/>
    <w:unhideWhenUsed/>
    <w:rsid w:val="001C2C9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C2C98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1C2C9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B00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003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B00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003C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0257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C584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5848"/>
    <w:rPr>
      <w:color w:val="605E5C"/>
      <w:shd w:val="clear" w:color="auto" w:fill="E1DFDD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C437C"/>
    <w:pPr>
      <w:spacing w:after="100"/>
    </w:pPr>
  </w:style>
  <w:style w:type="character" w:styleId="FollowedHyperlink">
    <w:name w:val="FollowedHyperlink"/>
    <w:basedOn w:val="DefaultParagraphFont"/>
    <w:uiPriority w:val="99"/>
    <w:semiHidden/>
    <w:unhideWhenUsed/>
    <w:rsid w:val="00962F57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607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07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0764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07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0764"/>
    <w:rPr>
      <w:rFonts w:ascii="Calibri" w:eastAsia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F0050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3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ss.gov/doc/shields-pet-ct-at-heywood-healthcare-decision-letter-0/download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8029933C-331E-4D18-A6F2-31331DDF5FDF}">
    <t:Anchor>
      <t:Comment id="985148013"/>
    </t:Anchor>
    <t:History>
      <t:Event id="{B9E3C07C-4837-46AC-912B-F345229E171D}" time="2025-09-08T21:20:34.472Z">
        <t:Attribution userId="S::lynn.conover@mass.gov::80fca536-9167-4724-8ea0-25041d209e9d" userProvider="AD" userName="Conover, Lynn (DPH)"/>
        <t:Anchor>
          <t:Comment id="1942709034"/>
        </t:Anchor>
        <t:Create/>
      </t:Event>
      <t:Event id="{CD908B92-6D14-46BA-94CB-1460C7ECCD10}" time="2025-09-08T21:20:34.472Z">
        <t:Attribution userId="S::lynn.conover@mass.gov::80fca536-9167-4724-8ea0-25041d209e9d" userProvider="AD" userName="Conover, Lynn (DPH)"/>
        <t:Anchor>
          <t:Comment id="1942709034"/>
        </t:Anchor>
        <t:Assign userId="S::Susannah.C.Arterian@mass.gov::22b774b7-5dc5-48a5-9e78-2828b7883d2a" userProvider="AD" userName="Arterian, Susannah C (DPH)"/>
      </t:Event>
      <t:Event id="{1915E4AF-254C-4B30-9769-358C8C90444A}" time="2025-09-08T21:20:34.472Z">
        <t:Attribution userId="S::lynn.conover@mass.gov::80fca536-9167-4724-8ea0-25041d209e9d" userProvider="AD" userName="Conover, Lynn (DPH)"/>
        <t:Anchor>
          <t:Comment id="1942709034"/>
        </t:Anchor>
        <t:SetTitle title="@Arterian, Susannah C (DPH) It depends on the complexity of the scans, but I think that an acute care hospital needs to be able to operate their MRI all seven days as needed."/>
      </t:Event>
      <t:Event id="{BE691877-EEE9-4EBE-B23C-1D1F62CD3C3B}" time="2025-09-09T17:34:51.408Z">
        <t:Attribution userId="S::Susannah.C.Arterian@mass.gov::22b774b7-5dc5-48a5-9e78-2828b7883d2a" userProvider="AD" userName="Arterian, Susannah C (DPH)"/>
        <t:Progress percentComplete="100"/>
      </t:Event>
    </t:History>
  </t:Task>
  <t:Task id="{23BF65BD-5736-451D-845D-B4610BA3A7C3}">
    <t:Anchor>
      <t:Comment id="1690738178"/>
    </t:Anchor>
    <t:History>
      <t:Event id="{22759B75-EDC4-4CA2-8E51-0A6490E866E6}" time="2025-09-08T21:15:54.143Z">
        <t:Attribution userId="S::lynn.conover@mass.gov::80fca536-9167-4724-8ea0-25041d209e9d" userProvider="AD" userName="Conover, Lynn (DPH)"/>
        <t:Anchor>
          <t:Comment id="1098232759"/>
        </t:Anchor>
        <t:Create/>
      </t:Event>
      <t:Event id="{3D7F3547-2404-45A3-A11A-90627013B427}" time="2025-09-08T21:15:54.143Z">
        <t:Attribution userId="S::lynn.conover@mass.gov::80fca536-9167-4724-8ea0-25041d209e9d" userProvider="AD" userName="Conover, Lynn (DPH)"/>
        <t:Anchor>
          <t:Comment id="1098232759"/>
        </t:Anchor>
        <t:Assign userId="S::Susannah.C.Arterian@mass.gov::22b774b7-5dc5-48a5-9e78-2828b7883d2a" userProvider="AD" userName="Arterian, Susannah C (DPH)"/>
      </t:Event>
      <t:Event id="{1C2A1264-285D-47AA-94FB-8DE6AC5688F7}" time="2025-09-08T21:15:54.143Z">
        <t:Attribution userId="S::lynn.conover@mass.gov::80fca536-9167-4724-8ea0-25041d209e9d" userProvider="AD" userName="Conover, Lynn (DPH)"/>
        <t:Anchor>
          <t:Comment id="1098232759"/>
        </t:Anchor>
        <t:SetTitle title="@Arterian, Susannah C (DPH) I still don't understand the question"/>
      </t:Event>
    </t:History>
  </t:Task>
  <t:Task id="{85E84441-E8EB-4754-9508-4F32E1D61C5C}">
    <t:Anchor>
      <t:Comment id="1815130132"/>
    </t:Anchor>
    <t:History>
      <t:Event id="{949369A7-25DE-4DAB-9DFD-3F82B9B93514}" time="2025-09-08T21:13:48.868Z">
        <t:Attribution userId="S::lynn.conover@mass.gov::80fca536-9167-4724-8ea0-25041d209e9d" userProvider="AD" userName="Conover, Lynn (DPH)"/>
        <t:Anchor>
          <t:Comment id="2136368688"/>
        </t:Anchor>
        <t:Create/>
      </t:Event>
      <t:Event id="{4E096F15-39EF-4FD2-8D86-30B329B2E167}" time="2025-09-08T21:13:48.868Z">
        <t:Attribution userId="S::lynn.conover@mass.gov::80fca536-9167-4724-8ea0-25041d209e9d" userProvider="AD" userName="Conover, Lynn (DPH)"/>
        <t:Anchor>
          <t:Comment id="2136368688"/>
        </t:Anchor>
        <t:Assign userId="S::Susannah.C.Arterian@mass.gov::22b774b7-5dc5-48a5-9e78-2828b7883d2a" userProvider="AD" userName="Arterian, Susannah C (DPH)"/>
      </t:Event>
      <t:Event id="{6CCBBCC0-C251-4D54-A96B-2F19CB9D9149}" time="2025-09-08T21:13:48.868Z">
        <t:Attribution userId="S::lynn.conover@mass.gov::80fca536-9167-4724-8ea0-25041d209e9d" userProvider="AD" userName="Conover, Lynn (DPH)"/>
        <t:Anchor>
          <t:Comment id="2136368688"/>
        </t:Anchor>
        <t:SetTitle title="@Arterian, Susannah C (DPH) I asked, but realize that we are not in a position to evaluate those line item costs especially for an amendment where we are evaluate the impact of costs on the Patient panel."/>
      </t:Event>
      <t:Event id="{8BE26F9A-7023-4BD8-A2CE-7C30B18D66A7}" time="2025-09-23T13:51:18.366Z">
        <t:Attribution userId="S::Susannah.C.Arterian@mass.gov::22b774b7-5dc5-48a5-9e78-2828b7883d2a" userProvider="AD" userName="Arterian, Susannah C (DPH)"/>
        <t:Progress percentComplete="100"/>
      </t:Event>
      <t:Event id="{6588B981-2E7D-42BF-A4E6-9BA3FCD12962}" time="2025-09-23T13:53:31.819Z">
        <t:Attribution userId="S::Susannah.C.Arterian@mass.gov::22b774b7-5dc5-48a5-9e78-2828b7883d2a" userProvider="AD" userName="Arterian, Susannah C (DPH)"/>
        <t:Progress percentComplete="100"/>
      </t:Event>
    </t:History>
  </t:Task>
  <t:Task id="{B5E1777E-CE74-48DE-83E0-3C305ED9F51C}">
    <t:Anchor>
      <t:Comment id="1354789391"/>
    </t:Anchor>
    <t:History>
      <t:Event id="{BEECEB63-675D-4902-9BDA-30FD7248C3F1}" time="2025-09-08T21:16:34.194Z">
        <t:Attribution userId="S::lynn.conover@mass.gov::80fca536-9167-4724-8ea0-25041d209e9d" userProvider="AD" userName="Conover, Lynn (DPH)"/>
        <t:Anchor>
          <t:Comment id="921749140"/>
        </t:Anchor>
        <t:Create/>
      </t:Event>
      <t:Event id="{09D2C0C1-5DD3-465F-A0C0-892D39271214}" time="2025-09-08T21:16:34.194Z">
        <t:Attribution userId="S::lynn.conover@mass.gov::80fca536-9167-4724-8ea0-25041d209e9d" userProvider="AD" userName="Conover, Lynn (DPH)"/>
        <t:Anchor>
          <t:Comment id="921749140"/>
        </t:Anchor>
        <t:Assign userId="S::Susannah.C.Arterian@mass.gov::22b774b7-5dc5-48a5-9e78-2828b7883d2a" userProvider="AD" userName="Arterian, Susannah C (DPH)"/>
      </t:Event>
      <t:Event id="{E02C246B-5474-4C4C-B735-72FDA8DBE23A}" time="2025-09-08T21:16:34.194Z">
        <t:Attribution userId="S::lynn.conover@mass.gov::80fca536-9167-4724-8ea0-25041d209e9d" userProvider="AD" userName="Conover, Lynn (DPH)"/>
        <t:Anchor>
          <t:Comment id="921749140"/>
        </t:Anchor>
        <t:SetTitle title="@Arterian, Susannah C (DPH) asked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1F7CF-E496-4E50-AE29-3B3A2F34E19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1779</Words>
  <Characters>10145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11901</CharactersWithSpaces>
  <SharedDoc>false</SharedDoc>
  <HLinks>
    <vt:vector size="12" baseType="variant">
      <vt:variant>
        <vt:i4>5373962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https://www.mass.gov/doc/shields-pet-ct-at-heywood-healthcare-decision-letter-0/download</vt:lpwstr>
      </vt:variant>
      <vt:variant>
        <vt:lpwstr/>
      </vt:variant>
      <vt:variant>
        <vt:i4>8060952</vt:i4>
      </vt:variant>
      <vt:variant>
        <vt:i4>0</vt:i4>
      </vt:variant>
      <vt:variant>
        <vt:i4>0</vt:i4>
      </vt:variant>
      <vt:variant>
        <vt:i4>5</vt:i4>
      </vt:variant>
      <vt:variant>
        <vt:lpwstr>mailto:Robert.Goldstein@mass.gov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R+C</dc:creator>
  <cp:keywords/>
  <dc:description/>
  <cp:lastModifiedBy>Marks, Brett (DPH)</cp:lastModifiedBy>
  <cp:revision>6</cp:revision>
  <cp:lastPrinted>2025-08-29T22:01:00Z</cp:lastPrinted>
  <dcterms:created xsi:type="dcterms:W3CDTF">2025-10-21T00:02:00Z</dcterms:created>
  <dcterms:modified xsi:type="dcterms:W3CDTF">2025-10-22T17:35:00Z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0x010100D89F930D9323CA47A909AE2CF4C9F351</vt:lpwstr>
  </property>
  <property fmtid="{D5CDD505-2E9C-101B-9397-08002B2CF9AE}" pid="3" name="Created">
    <vt:filetime>2025-03-05T00:00:00Z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2025-03-07T00:00:00Z</vt:filetime>
  </property>
  <property fmtid="{D5CDD505-2E9C-101B-9397-08002B2CF9AE}" pid="6" name="Producer">
    <vt:lpwstr>Adobe PDF Library 24.5.197</vt:lpwstr>
  </property>
  <property fmtid="{D5CDD505-2E9C-101B-9397-08002B2CF9AE}" pid="7" name="SourceModified">
    <vt:lpwstr/>
  </property>
</Properties>
</file>