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C2B13" w14:textId="1EFC3725" w:rsidR="00767A1D" w:rsidRPr="00080949" w:rsidRDefault="00910D52" w:rsidP="00080949">
      <w:pPr>
        <w:pStyle w:val="Heading1"/>
      </w:pPr>
      <w:bookmarkStart w:id="0" w:name="_GoBack"/>
      <w:bookmarkEnd w:id="0"/>
      <w:r w:rsidRPr="00080949">
        <w:t xml:space="preserve">Memorandum to the </w:t>
      </w:r>
      <w:r w:rsidR="00511A0F" w:rsidRPr="00080949">
        <w:t>Commissioner</w:t>
      </w:r>
    </w:p>
    <w:p w14:paraId="6EBD4680" w14:textId="77777777" w:rsidR="00767A1D" w:rsidRDefault="00767A1D">
      <w:pPr>
        <w:pStyle w:val="BodyText"/>
        <w:spacing w:before="11"/>
        <w:rPr>
          <w:b/>
          <w:sz w:val="23"/>
        </w:rPr>
      </w:pPr>
    </w:p>
    <w:p w14:paraId="7755D0FD" w14:textId="438B1B03" w:rsidR="00044DC4" w:rsidRDefault="00044DC4" w:rsidP="00044DC4">
      <w:pPr>
        <w:ind w:left="720"/>
        <w:rPr>
          <w:b/>
          <w:sz w:val="24"/>
        </w:rPr>
      </w:pPr>
      <w:r>
        <w:rPr>
          <w:b/>
          <w:sz w:val="24"/>
        </w:rPr>
        <w:t>APPLICANT:</w:t>
      </w:r>
    </w:p>
    <w:p w14:paraId="7923455C" w14:textId="68C56237" w:rsidR="00114BB7" w:rsidRPr="00044DC4" w:rsidRDefault="00982286" w:rsidP="00044DC4">
      <w:pPr>
        <w:ind w:left="720"/>
        <w:rPr>
          <w:b/>
          <w:sz w:val="24"/>
        </w:rPr>
      </w:pPr>
      <w:r w:rsidRPr="00982286">
        <w:rPr>
          <w:sz w:val="24"/>
        </w:rPr>
        <w:t>Advocate Healthcare of East Boston</w:t>
      </w:r>
    </w:p>
    <w:p w14:paraId="7D944F85" w14:textId="77777777" w:rsidR="00114BB7" w:rsidRDefault="00982286" w:rsidP="00114BB7">
      <w:pPr>
        <w:ind w:left="720"/>
        <w:rPr>
          <w:sz w:val="24"/>
        </w:rPr>
      </w:pPr>
      <w:r w:rsidRPr="009C33EE">
        <w:rPr>
          <w:sz w:val="24"/>
          <w:lang w:val="fr-FR"/>
        </w:rPr>
        <w:t>111 Orient Avenue</w:t>
      </w:r>
    </w:p>
    <w:p w14:paraId="394C2B56" w14:textId="6F4678C7" w:rsidR="00767A1D" w:rsidRPr="00114BB7" w:rsidRDefault="00982286" w:rsidP="00114BB7">
      <w:pPr>
        <w:ind w:left="720"/>
        <w:rPr>
          <w:sz w:val="24"/>
        </w:rPr>
      </w:pPr>
      <w:r w:rsidRPr="00982286">
        <w:rPr>
          <w:sz w:val="24"/>
          <w:lang w:val="fr-FR"/>
        </w:rPr>
        <w:t>East Boston, MA 02128</w:t>
      </w:r>
    </w:p>
    <w:p w14:paraId="401A748E" w14:textId="77777777" w:rsidR="004A4809" w:rsidRPr="00982286" w:rsidRDefault="004A4809" w:rsidP="00145452">
      <w:pPr>
        <w:ind w:left="1440"/>
        <w:rPr>
          <w:sz w:val="24"/>
          <w:lang w:val="fr-FR"/>
        </w:rPr>
      </w:pPr>
    </w:p>
    <w:p w14:paraId="0AF44B85" w14:textId="77777777" w:rsidR="00114BB7" w:rsidRDefault="00910D52" w:rsidP="00114BB7">
      <w:pPr>
        <w:ind w:left="720"/>
        <w:rPr>
          <w:sz w:val="24"/>
        </w:rPr>
      </w:pPr>
      <w:r>
        <w:rPr>
          <w:b/>
          <w:sz w:val="24"/>
        </w:rPr>
        <w:t xml:space="preserve">PROJECT NUMBER: </w:t>
      </w:r>
      <w:proofErr w:type="spellStart"/>
      <w:r w:rsidR="00982286" w:rsidRPr="00982286">
        <w:rPr>
          <w:sz w:val="24"/>
        </w:rPr>
        <w:t>DoN</w:t>
      </w:r>
      <w:proofErr w:type="spellEnd"/>
      <w:r w:rsidR="00982286" w:rsidRPr="00982286">
        <w:rPr>
          <w:sz w:val="24"/>
        </w:rPr>
        <w:t xml:space="preserve"> 19120215-CL</w:t>
      </w:r>
      <w:r w:rsidR="00982286" w:rsidRPr="00982286">
        <w:rPr>
          <w:b/>
          <w:sz w:val="24"/>
        </w:rPr>
        <w:t xml:space="preserve"> </w:t>
      </w:r>
      <w:r>
        <w:rPr>
          <w:sz w:val="24"/>
        </w:rPr>
        <w:t>(Significant Change)</w:t>
      </w:r>
    </w:p>
    <w:p w14:paraId="13941CD6" w14:textId="40E421DF" w:rsidR="00767A1D" w:rsidRDefault="00B558EB" w:rsidP="00114BB7">
      <w:pPr>
        <w:ind w:left="720"/>
        <w:rPr>
          <w:sz w:val="23"/>
        </w:rPr>
      </w:pPr>
      <w:r>
        <w:rPr>
          <w:sz w:val="23"/>
        </w:rPr>
        <w:t xml:space="preserve"> </w:t>
      </w:r>
    </w:p>
    <w:p w14:paraId="3F191A26" w14:textId="7D845246" w:rsidR="00767A1D" w:rsidRPr="00910D52" w:rsidRDefault="007D3554" w:rsidP="00FB7024">
      <w:pPr>
        <w:spacing w:before="1"/>
        <w:ind w:left="720"/>
        <w:rPr>
          <w:sz w:val="24"/>
        </w:rPr>
      </w:pPr>
      <w:r>
        <w:rPr>
          <w:b/>
          <w:sz w:val="24"/>
        </w:rPr>
        <w:t xml:space="preserve">Filing </w:t>
      </w:r>
      <w:r w:rsidR="00910D52">
        <w:rPr>
          <w:b/>
          <w:sz w:val="24"/>
        </w:rPr>
        <w:t>DATE:</w:t>
      </w:r>
      <w:r w:rsidR="00982286">
        <w:rPr>
          <w:b/>
          <w:sz w:val="24"/>
        </w:rPr>
        <w:t xml:space="preserve"> </w:t>
      </w:r>
      <w:r w:rsidR="00982286" w:rsidRPr="00982286">
        <w:rPr>
          <w:sz w:val="24"/>
        </w:rPr>
        <w:t>June</w:t>
      </w:r>
      <w:r w:rsidR="00982286">
        <w:rPr>
          <w:b/>
          <w:sz w:val="24"/>
        </w:rPr>
        <w:t xml:space="preserve"> </w:t>
      </w:r>
      <w:r w:rsidR="000C02D1" w:rsidRPr="000C02D1">
        <w:rPr>
          <w:sz w:val="24"/>
        </w:rPr>
        <w:t>9</w:t>
      </w:r>
      <w:r w:rsidR="00B558EB" w:rsidRPr="00B558EB">
        <w:rPr>
          <w:sz w:val="24"/>
        </w:rPr>
        <w:t>, 202</w:t>
      </w:r>
      <w:r w:rsidR="00982286">
        <w:rPr>
          <w:sz w:val="24"/>
        </w:rPr>
        <w:t>1</w:t>
      </w:r>
    </w:p>
    <w:p w14:paraId="389E70A5" w14:textId="77777777" w:rsidR="000C02D1" w:rsidRDefault="000C02D1" w:rsidP="00FB7024">
      <w:pPr>
        <w:pStyle w:val="Heading1"/>
        <w:spacing w:before="1"/>
        <w:ind w:left="720"/>
      </w:pPr>
    </w:p>
    <w:p w14:paraId="2AAAB1C5" w14:textId="77777777" w:rsidR="00767A1D" w:rsidRDefault="00910D52" w:rsidP="00F66831">
      <w:pPr>
        <w:pStyle w:val="Heading1"/>
      </w:pPr>
      <w:r>
        <w:t>Introduction</w:t>
      </w:r>
    </w:p>
    <w:p w14:paraId="71729E04" w14:textId="77777777" w:rsidR="00767A1D" w:rsidRDefault="00767A1D" w:rsidP="00FB7024">
      <w:pPr>
        <w:pStyle w:val="BodyText"/>
        <w:spacing w:before="9"/>
        <w:ind w:left="720"/>
        <w:rPr>
          <w:b/>
          <w:sz w:val="19"/>
        </w:rPr>
      </w:pPr>
    </w:p>
    <w:p w14:paraId="06EF47AD" w14:textId="09824CF6" w:rsidR="00767A1D" w:rsidRDefault="00910D52" w:rsidP="00FB7024">
      <w:pPr>
        <w:spacing w:before="51"/>
        <w:ind w:left="720" w:right="-10"/>
        <w:rPr>
          <w:sz w:val="24"/>
        </w:rPr>
      </w:pPr>
      <w:r>
        <w:rPr>
          <w:sz w:val="24"/>
        </w:rPr>
        <w:t xml:space="preserve">This memorandum presents, for </w:t>
      </w:r>
      <w:r w:rsidR="00982286">
        <w:rPr>
          <w:sz w:val="24"/>
        </w:rPr>
        <w:t>Commissioner’s Review</w:t>
      </w:r>
      <w:r>
        <w:rPr>
          <w:sz w:val="24"/>
        </w:rPr>
        <w:t>, the Determination of Need (</w:t>
      </w:r>
      <w:proofErr w:type="spellStart"/>
      <w:r>
        <w:rPr>
          <w:sz w:val="24"/>
        </w:rPr>
        <w:t>DoN</w:t>
      </w:r>
      <w:proofErr w:type="spellEnd"/>
      <w:r>
        <w:rPr>
          <w:sz w:val="24"/>
        </w:rPr>
        <w:t xml:space="preserve">) Program’s recommendation </w:t>
      </w:r>
      <w:r w:rsidR="007D3554">
        <w:rPr>
          <w:sz w:val="24"/>
        </w:rPr>
        <w:t xml:space="preserve">pertaining to </w:t>
      </w:r>
      <w:r>
        <w:rPr>
          <w:sz w:val="24"/>
        </w:rPr>
        <w:t>a request by</w:t>
      </w:r>
      <w:r w:rsidR="00982286">
        <w:rPr>
          <w:sz w:val="24"/>
        </w:rPr>
        <w:t xml:space="preserve"> </w:t>
      </w:r>
      <w:r w:rsidR="00982286" w:rsidRPr="00982286">
        <w:rPr>
          <w:sz w:val="24"/>
        </w:rPr>
        <w:t>Advocate Healthcare of East Boston</w:t>
      </w:r>
      <w:r>
        <w:rPr>
          <w:sz w:val="24"/>
        </w:rPr>
        <w:t xml:space="preserve">, for a Significant Change to its previously approved </w:t>
      </w:r>
      <w:proofErr w:type="spellStart"/>
      <w:r>
        <w:rPr>
          <w:sz w:val="24"/>
        </w:rPr>
        <w:t>DoN</w:t>
      </w:r>
      <w:proofErr w:type="spellEnd"/>
      <w:r>
        <w:rPr>
          <w:sz w:val="24"/>
        </w:rPr>
        <w:t>.</w:t>
      </w:r>
      <w:r w:rsidR="00C875E9">
        <w:rPr>
          <w:sz w:val="24"/>
        </w:rPr>
        <w:t xml:space="preserve"> </w:t>
      </w:r>
      <w:r>
        <w:rPr>
          <w:sz w:val="24"/>
        </w:rPr>
        <w:t xml:space="preserve">The </w:t>
      </w:r>
      <w:r w:rsidR="001B2585">
        <w:rPr>
          <w:sz w:val="24"/>
        </w:rPr>
        <w:t xml:space="preserve">Amendment is for </w:t>
      </w:r>
      <w:r>
        <w:rPr>
          <w:sz w:val="24"/>
        </w:rPr>
        <w:t xml:space="preserve">an incremental increase in the </w:t>
      </w:r>
      <w:r w:rsidR="00C875E9">
        <w:rPr>
          <w:sz w:val="24"/>
        </w:rPr>
        <w:t>maximum capital expenditure of</w:t>
      </w:r>
      <w:r w:rsidR="007D3554">
        <w:rPr>
          <w:sz w:val="24"/>
        </w:rPr>
        <w:t xml:space="preserve"> </w:t>
      </w:r>
      <w:r w:rsidR="00D3762B" w:rsidRPr="00D3762B">
        <w:rPr>
          <w:sz w:val="24"/>
        </w:rPr>
        <w:t>$7,408,778</w:t>
      </w:r>
      <w:r w:rsidR="00572C68">
        <w:rPr>
          <w:sz w:val="24"/>
        </w:rPr>
        <w:t xml:space="preserve"> (+73.4%)</w:t>
      </w:r>
      <w:r>
        <w:rPr>
          <w:sz w:val="24"/>
        </w:rPr>
        <w:t xml:space="preserve">, </w:t>
      </w:r>
      <w:r w:rsidR="00547ABF">
        <w:rPr>
          <w:sz w:val="24"/>
        </w:rPr>
        <w:t>resulting in an increase</w:t>
      </w:r>
      <w:r w:rsidR="000C02D1" w:rsidRPr="000C02D1">
        <w:rPr>
          <w:sz w:val="24"/>
        </w:rPr>
        <w:t xml:space="preserve"> of </w:t>
      </w:r>
      <w:r w:rsidR="009C7EBA" w:rsidRPr="009C7EBA">
        <w:rPr>
          <w:sz w:val="24"/>
        </w:rPr>
        <w:t>$</w:t>
      </w:r>
      <w:r w:rsidR="000334F9">
        <w:rPr>
          <w:sz w:val="24"/>
        </w:rPr>
        <w:t xml:space="preserve">74,087.78 </w:t>
      </w:r>
      <w:r w:rsidR="00547ABF">
        <w:rPr>
          <w:sz w:val="24"/>
        </w:rPr>
        <w:t xml:space="preserve">in </w:t>
      </w:r>
      <w:r>
        <w:rPr>
          <w:sz w:val="24"/>
        </w:rPr>
        <w:t>the community health initiatives (CHI)</w:t>
      </w:r>
      <w:r w:rsidR="00C875E9">
        <w:rPr>
          <w:sz w:val="24"/>
        </w:rPr>
        <w:t xml:space="preserve"> contribution</w:t>
      </w:r>
      <w:r w:rsidR="001B2585" w:rsidRPr="001B2585">
        <w:rPr>
          <w:sz w:val="24"/>
        </w:rPr>
        <w:t xml:space="preserve"> to </w:t>
      </w:r>
      <w:proofErr w:type="spellStart"/>
      <w:r w:rsidR="001B2585" w:rsidRPr="001B2585">
        <w:rPr>
          <w:sz w:val="24"/>
        </w:rPr>
        <w:t>DoN</w:t>
      </w:r>
      <w:proofErr w:type="spellEnd"/>
      <w:r w:rsidR="001B2585" w:rsidRPr="001B2585">
        <w:rPr>
          <w:sz w:val="24"/>
        </w:rPr>
        <w:t xml:space="preserve"> 19120215-CL</w:t>
      </w:r>
      <w:r w:rsidR="001B2585">
        <w:rPr>
          <w:sz w:val="24"/>
        </w:rPr>
        <w:t>. As described further herein, the Applicant seeks approval for</w:t>
      </w:r>
      <w:r w:rsidR="001B2585" w:rsidRPr="00547ABF">
        <w:rPr>
          <w:sz w:val="24"/>
        </w:rPr>
        <w:t xml:space="preserve"> </w:t>
      </w:r>
      <w:r w:rsidR="00572C68">
        <w:rPr>
          <w:sz w:val="24"/>
        </w:rPr>
        <w:t>the</w:t>
      </w:r>
      <w:r w:rsidR="001B2585" w:rsidRPr="00547ABF">
        <w:rPr>
          <w:sz w:val="24"/>
        </w:rPr>
        <w:t xml:space="preserve"> increase in the Maximum Capital Expenditure </w:t>
      </w:r>
      <w:r w:rsidR="001B2585">
        <w:rPr>
          <w:sz w:val="24"/>
        </w:rPr>
        <w:t>without a change in scope.</w:t>
      </w:r>
    </w:p>
    <w:p w14:paraId="2AB4168B" w14:textId="77777777" w:rsidR="001B2585" w:rsidRDefault="001B2585" w:rsidP="00FB7024">
      <w:pPr>
        <w:spacing w:before="51"/>
        <w:ind w:left="720" w:right="-10"/>
        <w:rPr>
          <w:sz w:val="24"/>
        </w:rPr>
      </w:pPr>
    </w:p>
    <w:p w14:paraId="249D7272" w14:textId="40468246" w:rsidR="00767A1D" w:rsidRDefault="00910D52" w:rsidP="00FB7024">
      <w:pPr>
        <w:ind w:left="720" w:right="-10"/>
        <w:rPr>
          <w:sz w:val="24"/>
        </w:rPr>
      </w:pPr>
      <w:r>
        <w:rPr>
          <w:sz w:val="24"/>
        </w:rPr>
        <w:t xml:space="preserve">This </w:t>
      </w:r>
      <w:r w:rsidR="009D5ACA">
        <w:rPr>
          <w:sz w:val="24"/>
        </w:rPr>
        <w:t xml:space="preserve">Amendment </w:t>
      </w:r>
      <w:r>
        <w:rPr>
          <w:sz w:val="24"/>
        </w:rPr>
        <w:t>request falls within the definition for Significant Change that includes “…</w:t>
      </w:r>
      <w:r w:rsidR="00D3762B" w:rsidRPr="00D3762B">
        <w:rPr>
          <w:sz w:val="24"/>
        </w:rPr>
        <w:t>Any increase or decrease in the maximum Capital Expenditure over 10% of the inflation adjusted originally approved total expenditure. An increase shall be allowed only for contingencies that could not have been reasonably foreseen, that are not reasonably within the control of the Holder, as determined by the Commissioner,</w:t>
      </w:r>
      <w:r>
        <w:rPr>
          <w:sz w:val="24"/>
        </w:rPr>
        <w:t xml:space="preserve"> and will be reviewed pursuant to 105 C.M.R. </w:t>
      </w:r>
      <w:r w:rsidRPr="002A39E7">
        <w:rPr>
          <w:sz w:val="24"/>
        </w:rPr>
        <w:t>100.635(A</w:t>
      </w:r>
      <w:r w:rsidR="002A39E7" w:rsidRPr="002A39E7">
        <w:rPr>
          <w:sz w:val="24"/>
        </w:rPr>
        <w:t>)</w:t>
      </w:r>
      <w:r w:rsidRPr="002A39E7">
        <w:rPr>
          <w:sz w:val="24"/>
        </w:rPr>
        <w:t>,</w:t>
      </w:r>
      <w:r>
        <w:rPr>
          <w:sz w:val="24"/>
        </w:rPr>
        <w:t xml:space="preserve"> which requires that the proposed change falls within the scope of the Notice of Determination of Need and is reasonable.</w:t>
      </w:r>
      <w:r w:rsidR="00F925A8">
        <w:rPr>
          <w:sz w:val="24"/>
        </w:rPr>
        <w:t>”</w:t>
      </w:r>
      <w:r>
        <w:rPr>
          <w:sz w:val="24"/>
        </w:rPr>
        <w:t xml:space="preserve"> </w:t>
      </w:r>
      <w:r w:rsidRPr="002A39E7">
        <w:rPr>
          <w:sz w:val="24"/>
        </w:rPr>
        <w:t>The</w:t>
      </w:r>
      <w:r>
        <w:rPr>
          <w:sz w:val="24"/>
        </w:rPr>
        <w:t xml:space="preserve"> Department has received no public comment on this request for Significant Change.</w:t>
      </w:r>
    </w:p>
    <w:p w14:paraId="473C348A" w14:textId="77777777" w:rsidR="0078216E" w:rsidRDefault="0078216E" w:rsidP="00FB7024">
      <w:pPr>
        <w:ind w:left="720" w:right="-10"/>
        <w:rPr>
          <w:sz w:val="24"/>
        </w:rPr>
      </w:pPr>
    </w:p>
    <w:p w14:paraId="6BB863A7" w14:textId="77777777" w:rsidR="00767A1D" w:rsidRDefault="00910D52" w:rsidP="00460936">
      <w:pPr>
        <w:pStyle w:val="Heading1"/>
      </w:pPr>
      <w:r>
        <w:t>Background</w:t>
      </w:r>
    </w:p>
    <w:p w14:paraId="14D2B580" w14:textId="18A9D132" w:rsidR="00D3762B" w:rsidRDefault="00D3762B" w:rsidP="00FB7024">
      <w:pPr>
        <w:ind w:left="720" w:right="-10"/>
        <w:rPr>
          <w:b/>
          <w:sz w:val="24"/>
          <w:u w:val="single"/>
        </w:rPr>
      </w:pPr>
    </w:p>
    <w:p w14:paraId="4E82C153" w14:textId="4D7CA4E3" w:rsidR="00E37B99" w:rsidRPr="00E37B99" w:rsidRDefault="00EE7C47" w:rsidP="00FB7024">
      <w:pPr>
        <w:ind w:left="720" w:right="-10"/>
        <w:rPr>
          <w:sz w:val="24"/>
        </w:rPr>
      </w:pPr>
      <w:r>
        <w:rPr>
          <w:sz w:val="24"/>
        </w:rPr>
        <w:t>I</w:t>
      </w:r>
      <w:r w:rsidRPr="00EE7C47">
        <w:rPr>
          <w:sz w:val="24"/>
        </w:rPr>
        <w:t>n April 2020</w:t>
      </w:r>
      <w:r>
        <w:rPr>
          <w:sz w:val="24"/>
        </w:rPr>
        <w:t xml:space="preserve">, </w:t>
      </w:r>
      <w:r w:rsidR="00E37B99" w:rsidRPr="00E37B99">
        <w:rPr>
          <w:sz w:val="24"/>
        </w:rPr>
        <w:t xml:space="preserve">Advocate Healthcare of East Boston, LLC (Advocate) f/n/a Don </w:t>
      </w:r>
      <w:proofErr w:type="spellStart"/>
      <w:r w:rsidR="00E37B99" w:rsidRPr="00E37B99">
        <w:rPr>
          <w:sz w:val="24"/>
        </w:rPr>
        <w:t>Orione</w:t>
      </w:r>
      <w:proofErr w:type="spellEnd"/>
      <w:r w:rsidR="00E37B99" w:rsidRPr="00E37B99">
        <w:rPr>
          <w:sz w:val="24"/>
        </w:rPr>
        <w:t xml:space="preserve"> Nursing Home, </w:t>
      </w:r>
      <w:r w:rsidR="00E37B99">
        <w:rPr>
          <w:sz w:val="24"/>
        </w:rPr>
        <w:t xml:space="preserve">received </w:t>
      </w:r>
      <w:r w:rsidR="00E37B99" w:rsidRPr="00E37B99">
        <w:rPr>
          <w:sz w:val="24"/>
        </w:rPr>
        <w:t xml:space="preserve">approval of </w:t>
      </w:r>
      <w:r>
        <w:rPr>
          <w:sz w:val="24"/>
        </w:rPr>
        <w:t xml:space="preserve">a Conservation </w:t>
      </w:r>
      <w:proofErr w:type="spellStart"/>
      <w:r>
        <w:rPr>
          <w:sz w:val="24"/>
        </w:rPr>
        <w:t>DoN</w:t>
      </w:r>
      <w:proofErr w:type="spellEnd"/>
      <w:r>
        <w:rPr>
          <w:rStyle w:val="FootnoteReference"/>
          <w:sz w:val="24"/>
        </w:rPr>
        <w:footnoteReference w:id="1"/>
      </w:r>
      <w:r>
        <w:rPr>
          <w:sz w:val="24"/>
        </w:rPr>
        <w:t xml:space="preserve"> for </w:t>
      </w:r>
      <w:r w:rsidR="00E37B99" w:rsidRPr="00E37B99">
        <w:rPr>
          <w:sz w:val="24"/>
        </w:rPr>
        <w:t xml:space="preserve">renovations to restore its 190-bed long term care facility, located at 111 Orient Ave., East Boston. The </w:t>
      </w:r>
      <w:r w:rsidR="00E37B99">
        <w:rPr>
          <w:sz w:val="24"/>
        </w:rPr>
        <w:t xml:space="preserve">approved </w:t>
      </w:r>
      <w:r w:rsidR="00E37B99" w:rsidRPr="00E37B99">
        <w:rPr>
          <w:sz w:val="24"/>
        </w:rPr>
        <w:t xml:space="preserve">capital expenditure for the project </w:t>
      </w:r>
      <w:r w:rsidR="00E37B99">
        <w:rPr>
          <w:sz w:val="24"/>
        </w:rPr>
        <w:t xml:space="preserve">was </w:t>
      </w:r>
      <w:r w:rsidR="00E37B99" w:rsidRPr="00E37B99">
        <w:rPr>
          <w:sz w:val="24"/>
        </w:rPr>
        <w:t xml:space="preserve">$10,087,722. </w:t>
      </w:r>
      <w:r w:rsidR="0042432A" w:rsidRPr="0042432A">
        <w:rPr>
          <w:sz w:val="24"/>
        </w:rPr>
        <w:t xml:space="preserve">Through this Amendment, the Applicant seeks approval for an increase in the capital expenditure for the Project to $17,496,500.00 (May 2021 Dollars).  </w:t>
      </w:r>
    </w:p>
    <w:p w14:paraId="5384B10E" w14:textId="0B16B2B4" w:rsidR="00EB4581" w:rsidRPr="00EB4581" w:rsidRDefault="007729B7" w:rsidP="00FB7024">
      <w:pPr>
        <w:spacing w:before="52"/>
        <w:ind w:left="720" w:right="-10"/>
        <w:rPr>
          <w:sz w:val="24"/>
        </w:rPr>
      </w:pPr>
      <w:r>
        <w:rPr>
          <w:sz w:val="24"/>
        </w:rPr>
        <w:lastRenderedPageBreak/>
        <w:t>B</w:t>
      </w:r>
      <w:r w:rsidR="00EB4581" w:rsidRPr="00EB4581">
        <w:rPr>
          <w:sz w:val="24"/>
        </w:rPr>
        <w:t xml:space="preserve">ecause of its age, much of </w:t>
      </w:r>
      <w:r w:rsidR="000C02D1">
        <w:rPr>
          <w:sz w:val="24"/>
        </w:rPr>
        <w:t xml:space="preserve">the facility’s </w:t>
      </w:r>
      <w:r w:rsidR="00EB4581" w:rsidRPr="00EB4581">
        <w:rPr>
          <w:sz w:val="24"/>
        </w:rPr>
        <w:t xml:space="preserve">infrastructure and systems, and two of the nursing units </w:t>
      </w:r>
      <w:r>
        <w:rPr>
          <w:sz w:val="24"/>
        </w:rPr>
        <w:t xml:space="preserve">were </w:t>
      </w:r>
      <w:r w:rsidR="006409CC">
        <w:rPr>
          <w:sz w:val="24"/>
        </w:rPr>
        <w:t xml:space="preserve">approved to be brought into </w:t>
      </w:r>
      <w:r w:rsidR="00EB4581" w:rsidRPr="00EB4581">
        <w:rPr>
          <w:sz w:val="24"/>
        </w:rPr>
        <w:t>compliance with current healthcare building standards and restore</w:t>
      </w:r>
      <w:r w:rsidR="006409CC">
        <w:rPr>
          <w:sz w:val="24"/>
        </w:rPr>
        <w:t>d</w:t>
      </w:r>
      <w:r w:rsidR="00EB4581" w:rsidRPr="00EB4581">
        <w:rPr>
          <w:sz w:val="24"/>
        </w:rPr>
        <w:t xml:space="preserve"> </w:t>
      </w:r>
      <w:r w:rsidR="006409CC">
        <w:rPr>
          <w:sz w:val="24"/>
        </w:rPr>
        <w:t xml:space="preserve">to its </w:t>
      </w:r>
      <w:r w:rsidR="00EB4581" w:rsidRPr="00EB4581">
        <w:rPr>
          <w:sz w:val="24"/>
        </w:rPr>
        <w:t>original functionality.</w:t>
      </w:r>
      <w:r>
        <w:rPr>
          <w:sz w:val="24"/>
        </w:rPr>
        <w:t xml:space="preserve"> </w:t>
      </w:r>
      <w:r w:rsidR="006409CC">
        <w:rPr>
          <w:sz w:val="24"/>
        </w:rPr>
        <w:t>T</w:t>
      </w:r>
      <w:r>
        <w:rPr>
          <w:sz w:val="24"/>
        </w:rPr>
        <w:t xml:space="preserve">he Applicant had </w:t>
      </w:r>
      <w:r w:rsidR="00EB4581" w:rsidRPr="00EB4581">
        <w:rPr>
          <w:sz w:val="24"/>
        </w:rPr>
        <w:t xml:space="preserve">determined that the entire facility </w:t>
      </w:r>
      <w:r w:rsidR="000C02D1">
        <w:rPr>
          <w:sz w:val="24"/>
        </w:rPr>
        <w:t xml:space="preserve">could not be renovated at once and had taken a </w:t>
      </w:r>
      <w:r w:rsidR="001B2585">
        <w:rPr>
          <w:sz w:val="24"/>
        </w:rPr>
        <w:t>“</w:t>
      </w:r>
      <w:r w:rsidR="00EB4581" w:rsidRPr="00EB4581">
        <w:rPr>
          <w:sz w:val="24"/>
        </w:rPr>
        <w:t>targeted approach</w:t>
      </w:r>
      <w:r w:rsidR="001B2585">
        <w:rPr>
          <w:sz w:val="24"/>
        </w:rPr>
        <w:t>”</w:t>
      </w:r>
      <w:r w:rsidR="00EB4581" w:rsidRPr="00EB4581">
        <w:rPr>
          <w:sz w:val="24"/>
        </w:rPr>
        <w:t xml:space="preserve"> </w:t>
      </w:r>
      <w:r w:rsidR="000C02D1">
        <w:rPr>
          <w:sz w:val="24"/>
        </w:rPr>
        <w:t xml:space="preserve">that </w:t>
      </w:r>
      <w:r w:rsidR="00EB4581" w:rsidRPr="00EB4581">
        <w:rPr>
          <w:sz w:val="24"/>
        </w:rPr>
        <w:t>would result in improve</w:t>
      </w:r>
      <w:r w:rsidR="00376FA8">
        <w:rPr>
          <w:sz w:val="24"/>
        </w:rPr>
        <w:t xml:space="preserve">ments in </w:t>
      </w:r>
      <w:r w:rsidR="00EB4581" w:rsidRPr="00EB4581">
        <w:rPr>
          <w:sz w:val="24"/>
        </w:rPr>
        <w:t>residents’ overall quality of life</w:t>
      </w:r>
      <w:r w:rsidR="00376FA8">
        <w:rPr>
          <w:sz w:val="24"/>
        </w:rPr>
        <w:t xml:space="preserve"> and </w:t>
      </w:r>
      <w:r w:rsidR="001B2585">
        <w:rPr>
          <w:sz w:val="24"/>
        </w:rPr>
        <w:t xml:space="preserve">provide </w:t>
      </w:r>
      <w:r w:rsidR="00376FA8" w:rsidRPr="00376FA8">
        <w:rPr>
          <w:sz w:val="24"/>
        </w:rPr>
        <w:t>material benefit</w:t>
      </w:r>
      <w:r w:rsidR="00376FA8">
        <w:rPr>
          <w:sz w:val="24"/>
        </w:rPr>
        <w:t>s</w:t>
      </w:r>
      <w:r w:rsidR="00376FA8" w:rsidRPr="00376FA8">
        <w:rPr>
          <w:sz w:val="24"/>
        </w:rPr>
        <w:t xml:space="preserve"> for the Facility</w:t>
      </w:r>
      <w:r w:rsidR="00376FA8">
        <w:rPr>
          <w:sz w:val="24"/>
        </w:rPr>
        <w:t>.</w:t>
      </w:r>
      <w:r w:rsidR="00EB4581" w:rsidRPr="00EB4581">
        <w:rPr>
          <w:sz w:val="24"/>
        </w:rPr>
        <w:t xml:space="preserve"> </w:t>
      </w:r>
      <w:r w:rsidR="00572C68">
        <w:rPr>
          <w:sz w:val="24"/>
        </w:rPr>
        <w:t xml:space="preserve">Renovations approved by the Department in April 2020 </w:t>
      </w:r>
      <w:r w:rsidR="00EB4581" w:rsidRPr="00EB4581">
        <w:rPr>
          <w:sz w:val="24"/>
        </w:rPr>
        <w:t>include replacing “critical systems” that are beyond their useful lives</w:t>
      </w:r>
      <w:r w:rsidR="00EB4581">
        <w:rPr>
          <w:sz w:val="24"/>
        </w:rPr>
        <w:t xml:space="preserve"> including</w:t>
      </w:r>
      <w:r w:rsidR="00EB4581" w:rsidRPr="00EB4581">
        <w:rPr>
          <w:sz w:val="24"/>
        </w:rPr>
        <w:t xml:space="preserve">: </w:t>
      </w:r>
    </w:p>
    <w:p w14:paraId="24894A31" w14:textId="79A5D329" w:rsidR="00EB4581" w:rsidRPr="00EB4581" w:rsidRDefault="00EB4581" w:rsidP="00FB7024">
      <w:pPr>
        <w:pStyle w:val="ListParagraph"/>
        <w:numPr>
          <w:ilvl w:val="0"/>
          <w:numId w:val="20"/>
        </w:numPr>
        <w:ind w:left="1440" w:right="-10"/>
        <w:rPr>
          <w:sz w:val="24"/>
        </w:rPr>
      </w:pPr>
      <w:r w:rsidRPr="00EB4581">
        <w:rPr>
          <w:sz w:val="24"/>
        </w:rPr>
        <w:t xml:space="preserve">the 60+ year old boiler </w:t>
      </w:r>
    </w:p>
    <w:p w14:paraId="41F0070D" w14:textId="6F1C4BE5" w:rsidR="00EB4581" w:rsidRPr="00EB4581" w:rsidRDefault="00EB4581" w:rsidP="00FB7024">
      <w:pPr>
        <w:pStyle w:val="ListParagraph"/>
        <w:numPr>
          <w:ilvl w:val="0"/>
          <w:numId w:val="20"/>
        </w:numPr>
        <w:ind w:left="1440" w:right="-10"/>
        <w:rPr>
          <w:sz w:val="24"/>
        </w:rPr>
      </w:pPr>
      <w:r w:rsidRPr="00EB4581">
        <w:rPr>
          <w:sz w:val="24"/>
        </w:rPr>
        <w:t>electrical panels</w:t>
      </w:r>
    </w:p>
    <w:p w14:paraId="304B61FA" w14:textId="219B438F" w:rsidR="00EB4581" w:rsidRPr="00EB4581" w:rsidRDefault="00EB4581" w:rsidP="00FB7024">
      <w:pPr>
        <w:pStyle w:val="ListParagraph"/>
        <w:numPr>
          <w:ilvl w:val="0"/>
          <w:numId w:val="20"/>
        </w:numPr>
        <w:ind w:left="1440" w:right="-10"/>
        <w:rPr>
          <w:sz w:val="24"/>
        </w:rPr>
      </w:pPr>
      <w:r w:rsidRPr="00EB4581">
        <w:rPr>
          <w:sz w:val="24"/>
        </w:rPr>
        <w:t xml:space="preserve">fire alarm system </w:t>
      </w:r>
    </w:p>
    <w:p w14:paraId="56FA8F02" w14:textId="20237FC0" w:rsidR="00EB4581" w:rsidRPr="00EB4581" w:rsidRDefault="00EB4581" w:rsidP="00FB7024">
      <w:pPr>
        <w:pStyle w:val="ListParagraph"/>
        <w:numPr>
          <w:ilvl w:val="0"/>
          <w:numId w:val="20"/>
        </w:numPr>
        <w:ind w:left="1440" w:right="-10"/>
        <w:rPr>
          <w:sz w:val="24"/>
        </w:rPr>
      </w:pPr>
      <w:r w:rsidRPr="00EB4581">
        <w:rPr>
          <w:sz w:val="24"/>
        </w:rPr>
        <w:t>emergency generator; and</w:t>
      </w:r>
    </w:p>
    <w:p w14:paraId="1E6AE400" w14:textId="5EDBE39E" w:rsidR="0042432A" w:rsidRPr="00EB4581" w:rsidRDefault="00EE7C47" w:rsidP="00FB7024">
      <w:pPr>
        <w:pStyle w:val="ListParagraph"/>
        <w:numPr>
          <w:ilvl w:val="0"/>
          <w:numId w:val="20"/>
        </w:numPr>
        <w:ind w:left="1440" w:right="-10"/>
        <w:rPr>
          <w:sz w:val="24"/>
        </w:rPr>
      </w:pPr>
      <w:proofErr w:type="gramStart"/>
      <w:r>
        <w:rPr>
          <w:sz w:val="24"/>
        </w:rPr>
        <w:t xml:space="preserve">a </w:t>
      </w:r>
      <w:r w:rsidR="00EB4581" w:rsidRPr="00EB4581">
        <w:rPr>
          <w:sz w:val="24"/>
        </w:rPr>
        <w:t>majority of</w:t>
      </w:r>
      <w:proofErr w:type="gramEnd"/>
      <w:r w:rsidR="00EB4581" w:rsidRPr="00EB4581">
        <w:rPr>
          <w:sz w:val="24"/>
        </w:rPr>
        <w:t xml:space="preserve"> the windows.</w:t>
      </w:r>
    </w:p>
    <w:p w14:paraId="28812EC5" w14:textId="026D55E4" w:rsidR="00EB4581" w:rsidRPr="00EB4581" w:rsidRDefault="00572C68" w:rsidP="00FB7024">
      <w:pPr>
        <w:spacing w:before="52"/>
        <w:ind w:left="720" w:right="-10"/>
        <w:rPr>
          <w:sz w:val="24"/>
        </w:rPr>
      </w:pPr>
      <w:r>
        <w:rPr>
          <w:sz w:val="24"/>
        </w:rPr>
        <w:t>The April 2020 approval also includes the following</w:t>
      </w:r>
      <w:r w:rsidR="00EB4581">
        <w:rPr>
          <w:sz w:val="24"/>
        </w:rPr>
        <w:t xml:space="preserve"> components </w:t>
      </w:r>
      <w:r>
        <w:rPr>
          <w:sz w:val="24"/>
        </w:rPr>
        <w:t xml:space="preserve">impacting </w:t>
      </w:r>
      <w:r w:rsidR="00EB4581" w:rsidRPr="00EB4581">
        <w:rPr>
          <w:sz w:val="24"/>
        </w:rPr>
        <w:t>the two nursing units on the first floor:</w:t>
      </w:r>
    </w:p>
    <w:p w14:paraId="16A9562A" w14:textId="77777777" w:rsidR="001B2585" w:rsidRDefault="001B2585" w:rsidP="00FB7024">
      <w:pPr>
        <w:numPr>
          <w:ilvl w:val="0"/>
          <w:numId w:val="22"/>
        </w:numPr>
        <w:ind w:left="1440" w:right="-10"/>
        <w:rPr>
          <w:sz w:val="24"/>
        </w:rPr>
        <w:sectPr w:rsidR="001B2585" w:rsidSect="00915DEC">
          <w:footerReference w:type="default" r:id="rId8"/>
          <w:pgSz w:w="12240" w:h="15840"/>
          <w:pgMar w:top="1400" w:right="1220" w:bottom="1680" w:left="860" w:header="0" w:footer="1415" w:gutter="0"/>
          <w:cols w:space="720"/>
        </w:sectPr>
      </w:pPr>
    </w:p>
    <w:p w14:paraId="7EEBF7BB" w14:textId="02DA9596" w:rsidR="00EB4581" w:rsidRPr="00EB4581" w:rsidRDefault="00EB4581" w:rsidP="00FB7024">
      <w:pPr>
        <w:numPr>
          <w:ilvl w:val="0"/>
          <w:numId w:val="22"/>
        </w:numPr>
        <w:ind w:left="1440" w:right="-10"/>
        <w:rPr>
          <w:sz w:val="24"/>
        </w:rPr>
      </w:pPr>
      <w:r w:rsidRPr="00EB4581">
        <w:rPr>
          <w:sz w:val="24"/>
        </w:rPr>
        <w:t>Removal of community bathrooms;</w:t>
      </w:r>
    </w:p>
    <w:p w14:paraId="3D8BBBAB" w14:textId="77777777" w:rsidR="00EB4581" w:rsidRPr="00EB4581" w:rsidRDefault="00EB4581" w:rsidP="00FB7024">
      <w:pPr>
        <w:numPr>
          <w:ilvl w:val="0"/>
          <w:numId w:val="22"/>
        </w:numPr>
        <w:ind w:left="1440" w:right="-10"/>
        <w:rPr>
          <w:sz w:val="24"/>
        </w:rPr>
      </w:pPr>
      <w:r w:rsidRPr="00EB4581">
        <w:rPr>
          <w:sz w:val="24"/>
        </w:rPr>
        <w:t>Plumbing replacement, including new toilets, sinks, showers and tubs;</w:t>
      </w:r>
    </w:p>
    <w:p w14:paraId="34AB56FA" w14:textId="77777777" w:rsidR="00EB4581" w:rsidRPr="00EB4581" w:rsidRDefault="00EB4581" w:rsidP="00FB7024">
      <w:pPr>
        <w:numPr>
          <w:ilvl w:val="0"/>
          <w:numId w:val="22"/>
        </w:numPr>
        <w:ind w:left="1440" w:right="-10"/>
        <w:rPr>
          <w:sz w:val="24"/>
        </w:rPr>
      </w:pPr>
      <w:r w:rsidRPr="00EB4581">
        <w:rPr>
          <w:sz w:val="24"/>
        </w:rPr>
        <w:t xml:space="preserve">Addition of new systems, including: </w:t>
      </w:r>
    </w:p>
    <w:p w14:paraId="2C349614" w14:textId="77777777" w:rsidR="00EB4581" w:rsidRPr="00EB4581" w:rsidRDefault="00EB4581" w:rsidP="00FB7024">
      <w:pPr>
        <w:numPr>
          <w:ilvl w:val="1"/>
          <w:numId w:val="22"/>
        </w:numPr>
        <w:ind w:left="2160" w:right="-10"/>
        <w:rPr>
          <w:sz w:val="24"/>
        </w:rPr>
      </w:pPr>
      <w:r w:rsidRPr="00EB4581">
        <w:rPr>
          <w:sz w:val="24"/>
        </w:rPr>
        <w:t>HVAC</w:t>
      </w:r>
    </w:p>
    <w:p w14:paraId="786E4E43" w14:textId="77777777" w:rsidR="00EB4581" w:rsidRPr="00EB4581" w:rsidRDefault="00EB4581" w:rsidP="00FB7024">
      <w:pPr>
        <w:numPr>
          <w:ilvl w:val="1"/>
          <w:numId w:val="22"/>
        </w:numPr>
        <w:ind w:left="2160" w:right="-10"/>
        <w:rPr>
          <w:sz w:val="24"/>
        </w:rPr>
      </w:pPr>
      <w:r w:rsidRPr="00EB4581">
        <w:rPr>
          <w:sz w:val="24"/>
        </w:rPr>
        <w:t>Fire protection</w:t>
      </w:r>
    </w:p>
    <w:p w14:paraId="3ABD47BE" w14:textId="77777777" w:rsidR="00EB4581" w:rsidRPr="00EB4581" w:rsidRDefault="00EB4581" w:rsidP="00FB7024">
      <w:pPr>
        <w:numPr>
          <w:ilvl w:val="1"/>
          <w:numId w:val="22"/>
        </w:numPr>
        <w:ind w:left="2160" w:right="-10"/>
        <w:rPr>
          <w:sz w:val="24"/>
        </w:rPr>
      </w:pPr>
      <w:r w:rsidRPr="00EB4581">
        <w:rPr>
          <w:sz w:val="24"/>
        </w:rPr>
        <w:t>Lighting systems</w:t>
      </w:r>
    </w:p>
    <w:p w14:paraId="0A7610FA" w14:textId="77777777" w:rsidR="00EB4581" w:rsidRDefault="00EB4581" w:rsidP="00FB7024">
      <w:pPr>
        <w:numPr>
          <w:ilvl w:val="1"/>
          <w:numId w:val="22"/>
        </w:numPr>
        <w:ind w:left="2160" w:right="-10"/>
        <w:rPr>
          <w:sz w:val="24"/>
        </w:rPr>
      </w:pPr>
      <w:r w:rsidRPr="00EB4581">
        <w:rPr>
          <w:sz w:val="24"/>
        </w:rPr>
        <w:t>Nurse call systems</w:t>
      </w:r>
    </w:p>
    <w:p w14:paraId="03A61236" w14:textId="77777777" w:rsidR="001B2585" w:rsidRPr="00EB4581" w:rsidRDefault="001B2585" w:rsidP="00FB7024">
      <w:pPr>
        <w:ind w:left="2160" w:right="-10"/>
        <w:rPr>
          <w:sz w:val="24"/>
        </w:rPr>
      </w:pPr>
    </w:p>
    <w:p w14:paraId="6E760F33" w14:textId="77777777" w:rsidR="00EB4581" w:rsidRPr="00EB4581" w:rsidRDefault="00EB4581" w:rsidP="00FB7024">
      <w:pPr>
        <w:numPr>
          <w:ilvl w:val="0"/>
          <w:numId w:val="22"/>
        </w:numPr>
        <w:ind w:left="1440" w:right="-10"/>
        <w:rPr>
          <w:sz w:val="24"/>
        </w:rPr>
      </w:pPr>
      <w:r w:rsidRPr="00EB4581">
        <w:rPr>
          <w:sz w:val="24"/>
        </w:rPr>
        <w:t>Renovations that include</w:t>
      </w:r>
    </w:p>
    <w:p w14:paraId="42320333" w14:textId="77777777" w:rsidR="00EB4581" w:rsidRPr="00EB4581" w:rsidRDefault="00EB4581" w:rsidP="00FB7024">
      <w:pPr>
        <w:numPr>
          <w:ilvl w:val="1"/>
          <w:numId w:val="22"/>
        </w:numPr>
        <w:ind w:left="2160" w:right="-10"/>
        <w:rPr>
          <w:sz w:val="24"/>
        </w:rPr>
      </w:pPr>
      <w:r w:rsidRPr="00EB4581">
        <w:rPr>
          <w:sz w:val="24"/>
        </w:rPr>
        <w:t>asbestos remediation</w:t>
      </w:r>
    </w:p>
    <w:p w14:paraId="13B1961E" w14:textId="77777777" w:rsidR="00EB4581" w:rsidRPr="00EB4581" w:rsidRDefault="00EB4581" w:rsidP="00FB7024">
      <w:pPr>
        <w:numPr>
          <w:ilvl w:val="1"/>
          <w:numId w:val="22"/>
        </w:numPr>
        <w:ind w:left="2160" w:right="-10"/>
        <w:rPr>
          <w:sz w:val="24"/>
        </w:rPr>
      </w:pPr>
      <w:r w:rsidRPr="00EB4581">
        <w:rPr>
          <w:sz w:val="24"/>
        </w:rPr>
        <w:t>new casework, handrails, flooring</w:t>
      </w:r>
    </w:p>
    <w:p w14:paraId="1ED8C788" w14:textId="77777777" w:rsidR="00EB4581" w:rsidRPr="00EB4581" w:rsidRDefault="00EB4581" w:rsidP="00FB7024">
      <w:pPr>
        <w:numPr>
          <w:ilvl w:val="0"/>
          <w:numId w:val="22"/>
        </w:numPr>
        <w:ind w:left="1440" w:right="-10"/>
        <w:rPr>
          <w:sz w:val="24"/>
        </w:rPr>
      </w:pPr>
      <w:r w:rsidRPr="00EB4581">
        <w:rPr>
          <w:sz w:val="24"/>
        </w:rPr>
        <w:t>Removal of cinderblock walls;</w:t>
      </w:r>
    </w:p>
    <w:p w14:paraId="7D6B5C95" w14:textId="77777777" w:rsidR="00EB4581" w:rsidRPr="00EB4581" w:rsidRDefault="00EB4581" w:rsidP="00FB7024">
      <w:pPr>
        <w:numPr>
          <w:ilvl w:val="0"/>
          <w:numId w:val="22"/>
        </w:numPr>
        <w:ind w:left="1440" w:right="-10"/>
        <w:rPr>
          <w:sz w:val="24"/>
        </w:rPr>
      </w:pPr>
      <w:r w:rsidRPr="00EB4581">
        <w:rPr>
          <w:sz w:val="24"/>
        </w:rPr>
        <w:t>Expansion common nursing space/nursing stations;</w:t>
      </w:r>
    </w:p>
    <w:p w14:paraId="1ACBB877" w14:textId="77777777" w:rsidR="00EB4581" w:rsidRPr="00EB4581" w:rsidRDefault="00EB4581" w:rsidP="00FB7024">
      <w:pPr>
        <w:numPr>
          <w:ilvl w:val="0"/>
          <w:numId w:val="22"/>
        </w:numPr>
        <w:ind w:left="1440" w:right="-10"/>
        <w:rPr>
          <w:sz w:val="24"/>
        </w:rPr>
      </w:pPr>
      <w:r w:rsidRPr="00EB4581">
        <w:rPr>
          <w:sz w:val="24"/>
        </w:rPr>
        <w:t>Renovations of the resident common area; and</w:t>
      </w:r>
    </w:p>
    <w:p w14:paraId="14707C48" w14:textId="77777777" w:rsidR="00EB4581" w:rsidRPr="00EB4581" w:rsidRDefault="00EB4581" w:rsidP="00FB7024">
      <w:pPr>
        <w:numPr>
          <w:ilvl w:val="0"/>
          <w:numId w:val="22"/>
        </w:numPr>
        <w:ind w:left="1440" w:right="-10"/>
        <w:rPr>
          <w:sz w:val="24"/>
        </w:rPr>
      </w:pPr>
      <w:r w:rsidRPr="00EB4581">
        <w:rPr>
          <w:sz w:val="24"/>
        </w:rPr>
        <w:t>Replacement of furniture and fixtures</w:t>
      </w:r>
    </w:p>
    <w:p w14:paraId="3D80721A" w14:textId="77777777" w:rsidR="001B2585" w:rsidRDefault="001B2585" w:rsidP="00FB7024">
      <w:pPr>
        <w:spacing w:before="52"/>
        <w:ind w:left="720" w:right="-10"/>
        <w:rPr>
          <w:sz w:val="24"/>
        </w:rPr>
        <w:sectPr w:rsidR="001B2585" w:rsidSect="001B2585">
          <w:type w:val="continuous"/>
          <w:pgSz w:w="12240" w:h="15840"/>
          <w:pgMar w:top="1400" w:right="1220" w:bottom="1680" w:left="860" w:header="0" w:footer="1415" w:gutter="0"/>
          <w:cols w:num="2" w:space="720"/>
        </w:sectPr>
      </w:pPr>
    </w:p>
    <w:p w14:paraId="468DAA8E" w14:textId="77777777" w:rsidR="006E7C22" w:rsidRDefault="00910D52" w:rsidP="00080949">
      <w:pPr>
        <w:pStyle w:val="Heading1"/>
      </w:pPr>
      <w:r w:rsidRPr="00287241">
        <w:t>Proposed Amendment:</w:t>
      </w:r>
      <w:r w:rsidRPr="00EB4581">
        <w:t xml:space="preserve"> </w:t>
      </w:r>
    </w:p>
    <w:p w14:paraId="42FFB93E" w14:textId="7ECC1066" w:rsidR="009D5ACA" w:rsidRDefault="00476A62" w:rsidP="00FB7024">
      <w:pPr>
        <w:spacing w:before="52"/>
        <w:ind w:left="720" w:right="-10"/>
        <w:rPr>
          <w:sz w:val="24"/>
        </w:rPr>
      </w:pPr>
      <w:r>
        <w:rPr>
          <w:sz w:val="24"/>
        </w:rPr>
        <w:t>The Holder states that i</w:t>
      </w:r>
      <w:r w:rsidRPr="009C7EBA">
        <w:rPr>
          <w:sz w:val="24"/>
        </w:rPr>
        <w:t xml:space="preserve">t does not seek to materially change the scope </w:t>
      </w:r>
      <w:r>
        <w:rPr>
          <w:sz w:val="24"/>
        </w:rPr>
        <w:t xml:space="preserve">or gross square feet </w:t>
      </w:r>
      <w:r w:rsidRPr="009C7EBA">
        <w:rPr>
          <w:sz w:val="24"/>
        </w:rPr>
        <w:t>of the approved Project</w:t>
      </w:r>
      <w:r>
        <w:rPr>
          <w:sz w:val="24"/>
        </w:rPr>
        <w:t xml:space="preserve"> but that</w:t>
      </w:r>
      <w:r w:rsidRPr="009C7EBA">
        <w:rPr>
          <w:sz w:val="24"/>
        </w:rPr>
        <w:t xml:space="preserve"> </w:t>
      </w:r>
      <w:r>
        <w:rPr>
          <w:sz w:val="24"/>
        </w:rPr>
        <w:t>“</w:t>
      </w:r>
      <w:r w:rsidRPr="00287241">
        <w:rPr>
          <w:sz w:val="24"/>
        </w:rPr>
        <w:t>The primary basis for this Significant Amendment is the material increase in the cost of the Project.</w:t>
      </w:r>
      <w:r>
        <w:rPr>
          <w:sz w:val="24"/>
        </w:rPr>
        <w:t xml:space="preserve">” </w:t>
      </w:r>
      <w:r w:rsidRPr="00287241">
        <w:rPr>
          <w:sz w:val="24"/>
        </w:rPr>
        <w:t xml:space="preserve"> </w:t>
      </w:r>
      <w:r>
        <w:rPr>
          <w:sz w:val="24"/>
        </w:rPr>
        <w:t xml:space="preserve">Staff has reviewed the Amendment request to determine whether it falls within the scope of the original Approval. </w:t>
      </w:r>
      <w:r w:rsidR="006E7C22" w:rsidRPr="006E7C22">
        <w:rPr>
          <w:sz w:val="24"/>
        </w:rPr>
        <w:t xml:space="preserve">The </w:t>
      </w:r>
      <w:r w:rsidR="006E7C22">
        <w:rPr>
          <w:sz w:val="24"/>
        </w:rPr>
        <w:t xml:space="preserve">Holder reports that following </w:t>
      </w:r>
      <w:proofErr w:type="spellStart"/>
      <w:r w:rsidR="006E7C22">
        <w:rPr>
          <w:sz w:val="24"/>
        </w:rPr>
        <w:t>DoN</w:t>
      </w:r>
      <w:proofErr w:type="spellEnd"/>
      <w:r w:rsidR="006E7C22">
        <w:rPr>
          <w:sz w:val="24"/>
        </w:rPr>
        <w:t xml:space="preserve"> project approval in April 2020 it </w:t>
      </w:r>
      <w:r w:rsidR="006E7C22" w:rsidRPr="006E7C22">
        <w:rPr>
          <w:sz w:val="24"/>
        </w:rPr>
        <w:t xml:space="preserve">received Part I DPH Plan </w:t>
      </w:r>
      <w:r w:rsidR="006E7C22">
        <w:rPr>
          <w:sz w:val="24"/>
        </w:rPr>
        <w:t xml:space="preserve">Review </w:t>
      </w:r>
      <w:r w:rsidR="006E7C22" w:rsidRPr="006E7C22">
        <w:rPr>
          <w:sz w:val="24"/>
        </w:rPr>
        <w:t>approval on June 3, 2020</w:t>
      </w:r>
      <w:r w:rsidR="006E7C22">
        <w:rPr>
          <w:sz w:val="24"/>
        </w:rPr>
        <w:t>,</w:t>
      </w:r>
      <w:r w:rsidR="006E7C22" w:rsidRPr="006E7C22">
        <w:rPr>
          <w:sz w:val="24"/>
        </w:rPr>
        <w:t xml:space="preserve"> submitted Part II </w:t>
      </w:r>
      <w:r w:rsidR="00AE130F">
        <w:rPr>
          <w:sz w:val="24"/>
        </w:rPr>
        <w:t>DPH P</w:t>
      </w:r>
      <w:r w:rsidR="006E7C22" w:rsidRPr="006E7C22">
        <w:rPr>
          <w:sz w:val="24"/>
        </w:rPr>
        <w:t xml:space="preserve">lan </w:t>
      </w:r>
      <w:r w:rsidR="00AE130F">
        <w:rPr>
          <w:sz w:val="24"/>
        </w:rPr>
        <w:t>R</w:t>
      </w:r>
      <w:r w:rsidR="006E7C22" w:rsidRPr="006E7C22">
        <w:rPr>
          <w:sz w:val="24"/>
        </w:rPr>
        <w:t>eview on Oct. 23, 2020</w:t>
      </w:r>
      <w:r w:rsidR="006E7C22">
        <w:rPr>
          <w:sz w:val="24"/>
        </w:rPr>
        <w:t>,</w:t>
      </w:r>
      <w:r w:rsidR="006E7C22" w:rsidRPr="006E7C22">
        <w:rPr>
          <w:sz w:val="24"/>
        </w:rPr>
        <w:t xml:space="preserve"> and received a response on Dec. 31, 2020</w:t>
      </w:r>
      <w:r w:rsidR="006E7C22">
        <w:rPr>
          <w:sz w:val="24"/>
        </w:rPr>
        <w:t xml:space="preserve">. </w:t>
      </w:r>
      <w:r w:rsidR="00D22881">
        <w:rPr>
          <w:sz w:val="24"/>
        </w:rPr>
        <w:t>R</w:t>
      </w:r>
      <w:r w:rsidR="006E7C22">
        <w:rPr>
          <w:sz w:val="24"/>
        </w:rPr>
        <w:t xml:space="preserve">evised plans </w:t>
      </w:r>
      <w:r w:rsidR="00D22881">
        <w:rPr>
          <w:sz w:val="24"/>
        </w:rPr>
        <w:t>were submitted on</w:t>
      </w:r>
      <w:r w:rsidR="00D22881" w:rsidRPr="006E7C22">
        <w:rPr>
          <w:sz w:val="24"/>
        </w:rPr>
        <w:t xml:space="preserve"> March 8, 2021</w:t>
      </w:r>
      <w:r w:rsidR="00D22881">
        <w:rPr>
          <w:sz w:val="24"/>
        </w:rPr>
        <w:t xml:space="preserve"> </w:t>
      </w:r>
      <w:r w:rsidR="006E7C22">
        <w:rPr>
          <w:sz w:val="24"/>
        </w:rPr>
        <w:t xml:space="preserve">addressing </w:t>
      </w:r>
      <w:r w:rsidR="00AE130F">
        <w:rPr>
          <w:sz w:val="24"/>
        </w:rPr>
        <w:t xml:space="preserve">DPH Plan Review </w:t>
      </w:r>
      <w:r w:rsidR="006E7C22">
        <w:rPr>
          <w:sz w:val="24"/>
        </w:rPr>
        <w:t>concerns</w:t>
      </w:r>
      <w:r w:rsidR="006E7C22" w:rsidRPr="006E7C22">
        <w:rPr>
          <w:sz w:val="24"/>
        </w:rPr>
        <w:t xml:space="preserve">. </w:t>
      </w:r>
      <w:r w:rsidR="00516E81">
        <w:rPr>
          <w:sz w:val="24"/>
        </w:rPr>
        <w:t xml:space="preserve">Simultaneous to </w:t>
      </w:r>
      <w:r>
        <w:rPr>
          <w:sz w:val="24"/>
        </w:rPr>
        <w:t>submission for</w:t>
      </w:r>
      <w:r w:rsidR="00516E81">
        <w:rPr>
          <w:sz w:val="24"/>
        </w:rPr>
        <w:t xml:space="preserve"> Plan Approval, the Applicant began seeking financing. All funding options, private </w:t>
      </w:r>
      <w:r>
        <w:rPr>
          <w:sz w:val="24"/>
        </w:rPr>
        <w:t>or</w:t>
      </w:r>
      <w:r w:rsidR="00516E81">
        <w:rPr>
          <w:sz w:val="24"/>
        </w:rPr>
        <w:t xml:space="preserve"> Government sources</w:t>
      </w:r>
      <w:r>
        <w:rPr>
          <w:sz w:val="24"/>
        </w:rPr>
        <w:t>,</w:t>
      </w:r>
      <w:r w:rsidR="00516E81">
        <w:rPr>
          <w:sz w:val="24"/>
        </w:rPr>
        <w:t xml:space="preserve"> included substantial contingencies requiring additional </w:t>
      </w:r>
      <w:r w:rsidR="006D238B">
        <w:rPr>
          <w:sz w:val="24"/>
        </w:rPr>
        <w:t>modifications</w:t>
      </w:r>
      <w:r w:rsidR="00516E81">
        <w:rPr>
          <w:sz w:val="24"/>
        </w:rPr>
        <w:t>. The Applicant determined the best f</w:t>
      </w:r>
      <w:r w:rsidR="006D238B">
        <w:rPr>
          <w:sz w:val="24"/>
        </w:rPr>
        <w:t>inancing</w:t>
      </w:r>
      <w:r w:rsidR="00516E81">
        <w:rPr>
          <w:sz w:val="24"/>
        </w:rPr>
        <w:t xml:space="preserve"> option was through the U.S. Department of Housing and Urban Development (HUD). </w:t>
      </w:r>
    </w:p>
    <w:p w14:paraId="29CC8B98" w14:textId="77777777" w:rsidR="009D5ACA" w:rsidRDefault="009D5ACA" w:rsidP="00FB7024">
      <w:pPr>
        <w:spacing w:before="52"/>
        <w:ind w:left="720" w:right="-10"/>
        <w:rPr>
          <w:sz w:val="24"/>
        </w:rPr>
      </w:pPr>
    </w:p>
    <w:p w14:paraId="61E2BF37" w14:textId="09815618" w:rsidR="003B7C60" w:rsidRDefault="009C7EBA" w:rsidP="00FB7024">
      <w:pPr>
        <w:spacing w:before="52"/>
        <w:ind w:left="720" w:right="-10"/>
        <w:rPr>
          <w:sz w:val="24"/>
        </w:rPr>
      </w:pPr>
      <w:r w:rsidRPr="00EE2EA9">
        <w:rPr>
          <w:sz w:val="24"/>
        </w:rPr>
        <w:t xml:space="preserve">As described </w:t>
      </w:r>
      <w:r w:rsidR="009D5ACA" w:rsidRPr="00EE2EA9">
        <w:rPr>
          <w:sz w:val="24"/>
        </w:rPr>
        <w:t xml:space="preserve">by the Applicant and summarized by Staff </w:t>
      </w:r>
      <w:r w:rsidRPr="00EE2EA9">
        <w:rPr>
          <w:sz w:val="24"/>
        </w:rPr>
        <w:t>below</w:t>
      </w:r>
      <w:r w:rsidR="009D5ACA">
        <w:rPr>
          <w:sz w:val="24"/>
        </w:rPr>
        <w:t>,</w:t>
      </w:r>
      <w:r>
        <w:rPr>
          <w:sz w:val="24"/>
        </w:rPr>
        <w:t xml:space="preserve"> </w:t>
      </w:r>
      <w:r w:rsidR="002C0110">
        <w:rPr>
          <w:sz w:val="24"/>
        </w:rPr>
        <w:t xml:space="preserve">the </w:t>
      </w:r>
      <w:r w:rsidR="000B0F34">
        <w:rPr>
          <w:sz w:val="24"/>
        </w:rPr>
        <w:t xml:space="preserve">cost increases occurred as a consequence of </w:t>
      </w:r>
      <w:r w:rsidR="002606A1">
        <w:rPr>
          <w:sz w:val="24"/>
        </w:rPr>
        <w:t xml:space="preserve">four </w:t>
      </w:r>
      <w:r w:rsidR="000B0F34">
        <w:rPr>
          <w:sz w:val="24"/>
        </w:rPr>
        <w:t xml:space="preserve">significant unforeseen </w:t>
      </w:r>
      <w:r w:rsidR="00C701A9">
        <w:rPr>
          <w:sz w:val="24"/>
        </w:rPr>
        <w:t xml:space="preserve">interrelated </w:t>
      </w:r>
      <w:r w:rsidR="00001347">
        <w:rPr>
          <w:sz w:val="24"/>
        </w:rPr>
        <w:t>circumstances</w:t>
      </w:r>
      <w:r w:rsidR="00BD05A9">
        <w:rPr>
          <w:sz w:val="24"/>
        </w:rPr>
        <w:t>, two of which are related to their decision to get</w:t>
      </w:r>
      <w:r w:rsidR="00654D53">
        <w:rPr>
          <w:sz w:val="24"/>
        </w:rPr>
        <w:t xml:space="preserve"> U.S. Department of Housing and Urban Development</w:t>
      </w:r>
      <w:r w:rsidR="00BD05A9">
        <w:rPr>
          <w:sz w:val="24"/>
        </w:rPr>
        <w:t xml:space="preserve"> </w:t>
      </w:r>
      <w:r w:rsidR="00654D53">
        <w:rPr>
          <w:sz w:val="24"/>
        </w:rPr>
        <w:t>(</w:t>
      </w:r>
      <w:r w:rsidR="00BD05A9">
        <w:rPr>
          <w:sz w:val="24"/>
        </w:rPr>
        <w:t>HUD</w:t>
      </w:r>
      <w:r w:rsidR="00654D53">
        <w:rPr>
          <w:sz w:val="24"/>
        </w:rPr>
        <w:t>)</w:t>
      </w:r>
      <w:r w:rsidR="00BD05A9">
        <w:rPr>
          <w:sz w:val="24"/>
        </w:rPr>
        <w:t xml:space="preserve"> funding,</w:t>
      </w:r>
      <w:r w:rsidR="00001347">
        <w:rPr>
          <w:sz w:val="24"/>
        </w:rPr>
        <w:t xml:space="preserve"> </w:t>
      </w:r>
      <w:r w:rsidR="000B0F34">
        <w:rPr>
          <w:sz w:val="24"/>
        </w:rPr>
        <w:lastRenderedPageBreak/>
        <w:t xml:space="preserve">including: </w:t>
      </w:r>
      <w:r w:rsidR="00152D22">
        <w:rPr>
          <w:sz w:val="24"/>
        </w:rPr>
        <w:t>1</w:t>
      </w:r>
      <w:r w:rsidR="00514399">
        <w:rPr>
          <w:sz w:val="24"/>
        </w:rPr>
        <w:t xml:space="preserve">) </w:t>
      </w:r>
      <w:r w:rsidR="000B0F34">
        <w:rPr>
          <w:sz w:val="24"/>
        </w:rPr>
        <w:t>the uncovering of additional</w:t>
      </w:r>
      <w:r w:rsidR="00BD05A9">
        <w:rPr>
          <w:sz w:val="24"/>
        </w:rPr>
        <w:t xml:space="preserve"> required</w:t>
      </w:r>
      <w:r w:rsidR="000B0F34">
        <w:rPr>
          <w:sz w:val="24"/>
        </w:rPr>
        <w:t xml:space="preserve"> work </w:t>
      </w:r>
      <w:r w:rsidR="00BD05A9">
        <w:rPr>
          <w:sz w:val="24"/>
        </w:rPr>
        <w:t>during</w:t>
      </w:r>
      <w:r w:rsidR="00152D22">
        <w:rPr>
          <w:sz w:val="24"/>
        </w:rPr>
        <w:t xml:space="preserve"> </w:t>
      </w:r>
      <w:r>
        <w:rPr>
          <w:sz w:val="24"/>
        </w:rPr>
        <w:t>development of</w:t>
      </w:r>
      <w:r w:rsidR="000B0F34">
        <w:rPr>
          <w:sz w:val="24"/>
        </w:rPr>
        <w:t xml:space="preserve"> detailed</w:t>
      </w:r>
      <w:r>
        <w:rPr>
          <w:sz w:val="24"/>
        </w:rPr>
        <w:t xml:space="preserve"> architectural and engineering plans</w:t>
      </w:r>
      <w:r w:rsidR="00001347">
        <w:rPr>
          <w:sz w:val="24"/>
        </w:rPr>
        <w:t xml:space="preserve"> </w:t>
      </w:r>
      <w:r w:rsidR="003749C6">
        <w:rPr>
          <w:sz w:val="24"/>
        </w:rPr>
        <w:t xml:space="preserve">submitted for </w:t>
      </w:r>
      <w:r w:rsidR="00001347">
        <w:rPr>
          <w:sz w:val="24"/>
        </w:rPr>
        <w:t>the Department’s Plan Review process</w:t>
      </w:r>
      <w:r w:rsidR="009B225D">
        <w:rPr>
          <w:sz w:val="24"/>
        </w:rPr>
        <w:t xml:space="preserve"> and for contractor bids</w:t>
      </w:r>
      <w:r w:rsidR="000B0F34">
        <w:rPr>
          <w:sz w:val="24"/>
        </w:rPr>
        <w:t>;</w:t>
      </w:r>
      <w:r>
        <w:rPr>
          <w:sz w:val="24"/>
        </w:rPr>
        <w:t xml:space="preserve"> </w:t>
      </w:r>
      <w:r w:rsidR="00514399">
        <w:rPr>
          <w:sz w:val="24"/>
        </w:rPr>
        <w:t xml:space="preserve">2) </w:t>
      </w:r>
      <w:r w:rsidR="00001347">
        <w:rPr>
          <w:sz w:val="24"/>
        </w:rPr>
        <w:t xml:space="preserve">the </w:t>
      </w:r>
      <w:r w:rsidR="00654D53">
        <w:rPr>
          <w:sz w:val="24"/>
        </w:rPr>
        <w:t xml:space="preserve">COVID-19 </w:t>
      </w:r>
      <w:r w:rsidR="00001347">
        <w:rPr>
          <w:sz w:val="24"/>
        </w:rPr>
        <w:t>pandemic</w:t>
      </w:r>
      <w:r w:rsidR="00001347" w:rsidRPr="00001347">
        <w:rPr>
          <w:sz w:val="24"/>
        </w:rPr>
        <w:t>-related</w:t>
      </w:r>
      <w:r w:rsidR="00001347">
        <w:rPr>
          <w:sz w:val="24"/>
        </w:rPr>
        <w:t xml:space="preserve"> </w:t>
      </w:r>
      <w:r>
        <w:rPr>
          <w:sz w:val="24"/>
        </w:rPr>
        <w:t xml:space="preserve">disruptions </w:t>
      </w:r>
      <w:r w:rsidR="00001347">
        <w:rPr>
          <w:sz w:val="24"/>
        </w:rPr>
        <w:t xml:space="preserve">to the </w:t>
      </w:r>
      <w:r>
        <w:rPr>
          <w:sz w:val="24"/>
        </w:rPr>
        <w:t xml:space="preserve">supply chains </w:t>
      </w:r>
      <w:r w:rsidR="000B0F34">
        <w:rPr>
          <w:sz w:val="24"/>
        </w:rPr>
        <w:t>leading to cost increases</w:t>
      </w:r>
      <w:r w:rsidR="00F925A8">
        <w:rPr>
          <w:sz w:val="24"/>
        </w:rPr>
        <w:t>;</w:t>
      </w:r>
      <w:r w:rsidR="00043D3F">
        <w:rPr>
          <w:sz w:val="24"/>
        </w:rPr>
        <w:t xml:space="preserve"> </w:t>
      </w:r>
      <w:r w:rsidR="00514399">
        <w:rPr>
          <w:sz w:val="24"/>
        </w:rPr>
        <w:t xml:space="preserve">3) </w:t>
      </w:r>
      <w:r w:rsidR="000B0F34">
        <w:rPr>
          <w:sz w:val="24"/>
        </w:rPr>
        <w:t xml:space="preserve">the </w:t>
      </w:r>
      <w:r w:rsidR="002606A1" w:rsidRPr="002606A1">
        <w:rPr>
          <w:sz w:val="24"/>
        </w:rPr>
        <w:t>additional repairs and/or replacements</w:t>
      </w:r>
      <w:r w:rsidR="002606A1" w:rsidRPr="002606A1" w:rsidDel="003749C6">
        <w:rPr>
          <w:sz w:val="24"/>
        </w:rPr>
        <w:t xml:space="preserve"> </w:t>
      </w:r>
      <w:r w:rsidR="002606A1">
        <w:rPr>
          <w:sz w:val="24"/>
        </w:rPr>
        <w:t>required to secure HUD financing</w:t>
      </w:r>
      <w:r w:rsidR="00516E81">
        <w:rPr>
          <w:sz w:val="24"/>
        </w:rPr>
        <w:t xml:space="preserve"> (detailed below)</w:t>
      </w:r>
      <w:r w:rsidR="00FC37F0">
        <w:rPr>
          <w:sz w:val="24"/>
        </w:rPr>
        <w:t>;</w:t>
      </w:r>
      <w:r w:rsidR="00376FA8" w:rsidRPr="00376FA8">
        <w:rPr>
          <w:sz w:val="24"/>
        </w:rPr>
        <w:t xml:space="preserve"> </w:t>
      </w:r>
      <w:r w:rsidR="002C0110">
        <w:rPr>
          <w:sz w:val="24"/>
        </w:rPr>
        <w:t>and</w:t>
      </w:r>
      <w:r w:rsidR="002606A1">
        <w:rPr>
          <w:sz w:val="24"/>
        </w:rPr>
        <w:t>,</w:t>
      </w:r>
      <w:r w:rsidR="002C0110">
        <w:rPr>
          <w:sz w:val="24"/>
        </w:rPr>
        <w:t xml:space="preserve"> </w:t>
      </w:r>
      <w:r w:rsidR="002606A1">
        <w:rPr>
          <w:sz w:val="24"/>
        </w:rPr>
        <w:t>4)</w:t>
      </w:r>
      <w:r w:rsidR="002C0110">
        <w:rPr>
          <w:sz w:val="24"/>
        </w:rPr>
        <w:t xml:space="preserve"> </w:t>
      </w:r>
      <w:r w:rsidR="000B0F34">
        <w:rPr>
          <w:sz w:val="24"/>
        </w:rPr>
        <w:t>the use of the prevailing wage</w:t>
      </w:r>
      <w:r w:rsidR="00001347">
        <w:rPr>
          <w:sz w:val="24"/>
        </w:rPr>
        <w:t xml:space="preserve"> rates</w:t>
      </w:r>
      <w:r w:rsidR="002606A1">
        <w:rPr>
          <w:sz w:val="24"/>
        </w:rPr>
        <w:t>, also</w:t>
      </w:r>
      <w:r w:rsidR="002606A1" w:rsidRPr="002606A1">
        <w:rPr>
          <w:sz w:val="24"/>
        </w:rPr>
        <w:t xml:space="preserve"> required to secure HUD financing</w:t>
      </w:r>
      <w:r w:rsidR="00376FA8">
        <w:rPr>
          <w:sz w:val="24"/>
        </w:rPr>
        <w:t>.</w:t>
      </w:r>
      <w:r w:rsidR="0021537A">
        <w:rPr>
          <w:sz w:val="24"/>
        </w:rPr>
        <w:t xml:space="preserve"> </w:t>
      </w:r>
    </w:p>
    <w:p w14:paraId="6DF8DFFF" w14:textId="77777777" w:rsidR="00114BB7" w:rsidRDefault="003B7C60" w:rsidP="00114BB7">
      <w:pPr>
        <w:spacing w:before="52"/>
        <w:ind w:left="720" w:right="-10"/>
        <w:rPr>
          <w:sz w:val="24"/>
        </w:rPr>
      </w:pPr>
      <w:r>
        <w:rPr>
          <w:sz w:val="24"/>
        </w:rPr>
        <w:t>The Holder provided the following explanation of their efforts to secure financing:</w:t>
      </w:r>
    </w:p>
    <w:p w14:paraId="74B51022" w14:textId="66087838" w:rsidR="003B7C60" w:rsidRDefault="003B7C60" w:rsidP="00114BB7">
      <w:pPr>
        <w:spacing w:before="52"/>
        <w:ind w:left="720" w:right="-10"/>
        <w:rPr>
          <w:sz w:val="24"/>
        </w:rPr>
      </w:pPr>
      <w:r>
        <w:rPr>
          <w:sz w:val="24"/>
        </w:rPr>
        <w:t xml:space="preserve"> </w:t>
      </w:r>
    </w:p>
    <w:p w14:paraId="6F7BC014" w14:textId="29883120" w:rsidR="003B7C60" w:rsidRDefault="003B7C60" w:rsidP="003B7C60">
      <w:pPr>
        <w:spacing w:before="52"/>
        <w:ind w:left="1440" w:right="-10"/>
        <w:rPr>
          <w:sz w:val="24"/>
        </w:rPr>
      </w:pPr>
      <w:r>
        <w:rPr>
          <w:sz w:val="24"/>
        </w:rPr>
        <w:t>“</w:t>
      </w:r>
      <w:r w:rsidRPr="003B7C60">
        <w:rPr>
          <w:i/>
          <w:sz w:val="24"/>
        </w:rPr>
        <w:t xml:space="preserve">At the time of the filing of the </w:t>
      </w:r>
      <w:proofErr w:type="spellStart"/>
      <w:r w:rsidRPr="003B7C60">
        <w:rPr>
          <w:i/>
          <w:sz w:val="24"/>
        </w:rPr>
        <w:t>DoN</w:t>
      </w:r>
      <w:proofErr w:type="spellEnd"/>
      <w:r w:rsidRPr="003B7C60">
        <w:rPr>
          <w:i/>
          <w:sz w:val="24"/>
        </w:rPr>
        <w:t xml:space="preserve"> and the development of the Project projections, the Applicant was contemplating u</w:t>
      </w:r>
      <w:r w:rsidR="001749E3">
        <w:rPr>
          <w:i/>
          <w:sz w:val="24"/>
        </w:rPr>
        <w:t>sing traditional bank financing.</w:t>
      </w:r>
      <w:r w:rsidRPr="003B7C60">
        <w:rPr>
          <w:i/>
          <w:sz w:val="24"/>
        </w:rPr>
        <w:t xml:space="preserve">  After receipt of the </w:t>
      </w:r>
      <w:proofErr w:type="spellStart"/>
      <w:r w:rsidRPr="003B7C60">
        <w:rPr>
          <w:i/>
          <w:sz w:val="24"/>
        </w:rPr>
        <w:t>DoN</w:t>
      </w:r>
      <w:proofErr w:type="spellEnd"/>
      <w:r w:rsidRPr="003B7C60">
        <w:rPr>
          <w:i/>
          <w:sz w:val="24"/>
        </w:rPr>
        <w:t>, it explored the option of HUD insured financing and it was well underway with the HUD application process, having completed many third-party reviews and reports, when it became apparent that the HUD prevailing wage requirement would have a signific</w:t>
      </w:r>
      <w:r w:rsidR="001749E3">
        <w:rPr>
          <w:i/>
          <w:sz w:val="24"/>
        </w:rPr>
        <w:t xml:space="preserve">ant impact on contractor bids. </w:t>
      </w:r>
      <w:r w:rsidRPr="003B7C60">
        <w:rPr>
          <w:i/>
          <w:sz w:val="24"/>
        </w:rPr>
        <w:t xml:space="preserve">The Applicant then sought financing from local banks and one national bank where it learned that most were just not interested in being involved in lending projects in the long-term care industry </w:t>
      </w:r>
      <w:proofErr w:type="gramStart"/>
      <w:r w:rsidRPr="003B7C60">
        <w:rPr>
          <w:i/>
          <w:sz w:val="24"/>
        </w:rPr>
        <w:t>at this time</w:t>
      </w:r>
      <w:proofErr w:type="gramEnd"/>
      <w:r w:rsidRPr="003B7C60">
        <w:rPr>
          <w:i/>
          <w:sz w:val="24"/>
        </w:rPr>
        <w:t xml:space="preserve"> and the few that would provide financing, would only do so with significant terms the</w:t>
      </w:r>
      <w:r w:rsidR="001749E3">
        <w:rPr>
          <w:i/>
          <w:sz w:val="24"/>
        </w:rPr>
        <w:t xml:space="preserve"> Applicant found unacceptable. </w:t>
      </w:r>
      <w:r w:rsidRPr="003B7C60">
        <w:rPr>
          <w:i/>
          <w:sz w:val="24"/>
        </w:rPr>
        <w:t>With the lack of other acceptable options, the Applicant continued with the HUD process.”</w:t>
      </w:r>
    </w:p>
    <w:p w14:paraId="4ABE054B" w14:textId="50A457C0" w:rsidR="003B7C60" w:rsidRDefault="003B7C60" w:rsidP="00FB7024">
      <w:pPr>
        <w:spacing w:before="52"/>
        <w:ind w:left="720" w:right="-10"/>
        <w:rPr>
          <w:sz w:val="24"/>
        </w:rPr>
      </w:pPr>
      <w:r w:rsidRPr="003B7C60">
        <w:rPr>
          <w:sz w:val="24"/>
        </w:rPr>
        <w:t xml:space="preserve"> </w:t>
      </w:r>
    </w:p>
    <w:p w14:paraId="73D30761" w14:textId="5954B723" w:rsidR="00376FA8" w:rsidRDefault="00FC37F0" w:rsidP="00FB7024">
      <w:pPr>
        <w:spacing w:before="52"/>
        <w:ind w:left="720" w:right="-10"/>
        <w:rPr>
          <w:sz w:val="24"/>
        </w:rPr>
      </w:pPr>
      <w:r>
        <w:rPr>
          <w:sz w:val="24"/>
        </w:rPr>
        <w:t xml:space="preserve">These </w:t>
      </w:r>
      <w:r w:rsidR="006D238B">
        <w:rPr>
          <w:sz w:val="24"/>
        </w:rPr>
        <w:t xml:space="preserve">four </w:t>
      </w:r>
      <w:r>
        <w:rPr>
          <w:sz w:val="24"/>
        </w:rPr>
        <w:t xml:space="preserve">unforeseen </w:t>
      </w:r>
      <w:r w:rsidR="0021537A">
        <w:rPr>
          <w:sz w:val="24"/>
        </w:rPr>
        <w:t xml:space="preserve">circumstances </w:t>
      </w:r>
      <w:r w:rsidR="006D238B">
        <w:rPr>
          <w:sz w:val="24"/>
        </w:rPr>
        <w:t xml:space="preserve">described above lead to additional work that </w:t>
      </w:r>
      <w:r w:rsidR="0021537A">
        <w:rPr>
          <w:sz w:val="24"/>
        </w:rPr>
        <w:t xml:space="preserve">extended the construction timeframe which </w:t>
      </w:r>
      <w:r w:rsidR="00D22881">
        <w:rPr>
          <w:sz w:val="24"/>
        </w:rPr>
        <w:t>in turn</w:t>
      </w:r>
      <w:r w:rsidR="0021537A">
        <w:rPr>
          <w:sz w:val="24"/>
        </w:rPr>
        <w:t xml:space="preserve"> </w:t>
      </w:r>
      <w:r w:rsidR="00D22881">
        <w:rPr>
          <w:sz w:val="24"/>
        </w:rPr>
        <w:t>added</w:t>
      </w:r>
      <w:r w:rsidR="0021537A">
        <w:rPr>
          <w:sz w:val="24"/>
        </w:rPr>
        <w:t xml:space="preserve"> </w:t>
      </w:r>
      <w:r w:rsidR="00D22881">
        <w:rPr>
          <w:sz w:val="24"/>
        </w:rPr>
        <w:t>further cost</w:t>
      </w:r>
      <w:r w:rsidR="0021537A">
        <w:rPr>
          <w:sz w:val="24"/>
        </w:rPr>
        <w:t xml:space="preserve"> increases.</w:t>
      </w:r>
      <w:r w:rsidR="00376FA8">
        <w:rPr>
          <w:sz w:val="24"/>
        </w:rPr>
        <w:t xml:space="preserve"> </w:t>
      </w:r>
      <w:r w:rsidR="00910D52">
        <w:rPr>
          <w:sz w:val="24"/>
        </w:rPr>
        <w:t xml:space="preserve">The Holder is seeking authorization </w:t>
      </w:r>
      <w:r w:rsidR="00376FA8">
        <w:rPr>
          <w:sz w:val="24"/>
        </w:rPr>
        <w:t>for these</w:t>
      </w:r>
      <w:r w:rsidR="000B0F34">
        <w:rPr>
          <w:sz w:val="24"/>
        </w:rPr>
        <w:t xml:space="preserve"> additional requirements </w:t>
      </w:r>
      <w:r w:rsidR="00376FA8">
        <w:rPr>
          <w:sz w:val="24"/>
        </w:rPr>
        <w:t xml:space="preserve">and their associated costs </w:t>
      </w:r>
      <w:r w:rsidR="00376FA8" w:rsidRPr="00376FA8">
        <w:rPr>
          <w:sz w:val="24"/>
        </w:rPr>
        <w:t>as part of this amendment</w:t>
      </w:r>
      <w:r w:rsidR="00E07C67">
        <w:rPr>
          <w:sz w:val="24"/>
        </w:rPr>
        <w:t>, s</w:t>
      </w:r>
      <w:r w:rsidR="00925306">
        <w:rPr>
          <w:sz w:val="24"/>
        </w:rPr>
        <w:t>ince the increases are not a change in scope</w:t>
      </w:r>
      <w:r w:rsidR="00E07C67">
        <w:rPr>
          <w:sz w:val="24"/>
        </w:rPr>
        <w:t>.</w:t>
      </w:r>
      <w:r w:rsidR="00925306">
        <w:rPr>
          <w:sz w:val="24"/>
        </w:rPr>
        <w:t xml:space="preserve"> </w:t>
      </w:r>
      <w:r w:rsidR="00E07C67">
        <w:rPr>
          <w:sz w:val="24"/>
        </w:rPr>
        <w:t>S</w:t>
      </w:r>
      <w:r w:rsidR="00925306">
        <w:rPr>
          <w:sz w:val="24"/>
        </w:rPr>
        <w:t>taff has described them in detail</w:t>
      </w:r>
      <w:r w:rsidR="008674E6">
        <w:rPr>
          <w:sz w:val="24"/>
        </w:rPr>
        <w:t xml:space="preserve"> below</w:t>
      </w:r>
      <w:r w:rsidR="00925306">
        <w:rPr>
          <w:sz w:val="24"/>
        </w:rPr>
        <w:t>.</w:t>
      </w:r>
    </w:p>
    <w:p w14:paraId="52FF5177" w14:textId="77777777" w:rsidR="00571F0A" w:rsidRPr="00460936" w:rsidRDefault="00571F0A" w:rsidP="00460936">
      <w:pPr>
        <w:pStyle w:val="Heading1"/>
      </w:pPr>
      <w:r w:rsidRPr="00460936">
        <w:t>Impact on Cost</w:t>
      </w:r>
    </w:p>
    <w:p w14:paraId="667584B2" w14:textId="0205CF6B" w:rsidR="00FB7024" w:rsidRDefault="00C03475" w:rsidP="00FB7024">
      <w:pPr>
        <w:spacing w:before="199"/>
        <w:ind w:left="720" w:right="-10"/>
        <w:rPr>
          <w:sz w:val="24"/>
        </w:rPr>
      </w:pPr>
      <w:r w:rsidRPr="00C03475">
        <w:rPr>
          <w:sz w:val="24"/>
        </w:rPr>
        <w:t>The regulation requires that a Holder submit a description of the proposed change along with associated cost implications. As the chart below shows, with this Proposed Project, the Applicant seeks to increase its capital expenditures by 73.4%</w:t>
      </w:r>
      <w:r w:rsidR="00925306">
        <w:rPr>
          <w:sz w:val="24"/>
        </w:rPr>
        <w:t xml:space="preserve"> which is greater than the minimum threshold for filing an amendment of 10%.</w:t>
      </w:r>
      <w:r w:rsidRPr="00C03475">
        <w:rPr>
          <w:sz w:val="24"/>
        </w:rPr>
        <w:t xml:space="preserve"> </w:t>
      </w:r>
      <w:r w:rsidR="00925306">
        <w:rPr>
          <w:sz w:val="24"/>
        </w:rPr>
        <w:t>This is</w:t>
      </w:r>
      <w:r w:rsidRPr="00C03475">
        <w:rPr>
          <w:sz w:val="24"/>
        </w:rPr>
        <w:t xml:space="preserve"> for the construction, and renovations necessary for the implementation of the originally approved project</w:t>
      </w:r>
      <w:r w:rsidR="00516832">
        <w:rPr>
          <w:sz w:val="24"/>
        </w:rPr>
        <w:t>,</w:t>
      </w:r>
      <w:r w:rsidR="00925306">
        <w:rPr>
          <w:sz w:val="24"/>
        </w:rPr>
        <w:t xml:space="preserve"> and to secure a</w:t>
      </w:r>
      <w:r w:rsidR="0079685E">
        <w:rPr>
          <w:sz w:val="24"/>
        </w:rPr>
        <w:t>cceptable</w:t>
      </w:r>
      <w:r w:rsidR="00925306">
        <w:rPr>
          <w:sz w:val="24"/>
        </w:rPr>
        <w:t xml:space="preserve"> financing</w:t>
      </w:r>
      <w:r w:rsidRPr="00C03475">
        <w:rPr>
          <w:sz w:val="24"/>
        </w:rPr>
        <w:t>.</w:t>
      </w:r>
      <w:r w:rsidR="00077B57">
        <w:rPr>
          <w:sz w:val="24"/>
        </w:rPr>
        <w:t xml:space="preserve"> </w:t>
      </w:r>
    </w:p>
    <w:p w14:paraId="3BF6E9B5" w14:textId="77777777" w:rsidR="00FB7024" w:rsidRDefault="00FB7024" w:rsidP="00FB7024">
      <w:pPr>
        <w:spacing w:before="199"/>
        <w:ind w:left="720" w:right="-10"/>
        <w:rPr>
          <w:sz w:val="24"/>
        </w:rPr>
      </w:pPr>
      <w:r>
        <w:rPr>
          <w:sz w:val="24"/>
        </w:rPr>
        <w:t xml:space="preserve">The Holder provided the following explanation and citations regarding increases in construction costs. </w:t>
      </w:r>
    </w:p>
    <w:p w14:paraId="0B628723" w14:textId="379702B8" w:rsidR="00FB7024" w:rsidRPr="00FB7024" w:rsidRDefault="00FB7024" w:rsidP="00FB7024">
      <w:pPr>
        <w:spacing w:before="199"/>
        <w:ind w:left="1260" w:right="-10"/>
        <w:rPr>
          <w:i/>
          <w:sz w:val="24"/>
        </w:rPr>
      </w:pPr>
      <w:r w:rsidRPr="00FB7024">
        <w:rPr>
          <w:i/>
          <w:sz w:val="24"/>
        </w:rPr>
        <w:t>There are many factors affecting construction costs.</w:t>
      </w:r>
      <w:r w:rsidRPr="00FB7024">
        <w:rPr>
          <w:i/>
          <w:sz w:val="24"/>
          <w:vertAlign w:val="superscript"/>
        </w:rPr>
        <w:footnoteReference w:id="2"/>
      </w:r>
      <w:r w:rsidRPr="00FB7024">
        <w:rPr>
          <w:i/>
          <w:sz w:val="24"/>
          <w:vertAlign w:val="superscript"/>
        </w:rPr>
        <w:t xml:space="preserve">  </w:t>
      </w:r>
      <w:r w:rsidRPr="00FB7024">
        <w:rPr>
          <w:i/>
          <w:sz w:val="24"/>
        </w:rPr>
        <w:t>For example, “Steel prices jumped significantly towards the end of 2020 and the beginning of 2021, in some cases as much as 25% to 50% in raw material value.”</w:t>
      </w:r>
      <w:r w:rsidRPr="00FB7024">
        <w:rPr>
          <w:i/>
          <w:sz w:val="24"/>
          <w:vertAlign w:val="superscript"/>
        </w:rPr>
        <w:footnoteReference w:id="3"/>
      </w:r>
      <w:r w:rsidRPr="00FB7024">
        <w:rPr>
          <w:i/>
          <w:sz w:val="24"/>
        </w:rPr>
        <w:t>  Lumber has increased 112%.</w:t>
      </w:r>
      <w:r w:rsidRPr="00FB7024">
        <w:rPr>
          <w:i/>
          <w:sz w:val="24"/>
          <w:vertAlign w:val="superscript"/>
        </w:rPr>
        <w:footnoteReference w:id="4"/>
      </w:r>
      <w:r w:rsidRPr="00FB7024">
        <w:rPr>
          <w:i/>
          <w:sz w:val="24"/>
        </w:rPr>
        <w:t xml:space="preserve"> Other factors include </w:t>
      </w:r>
      <w:r w:rsidRPr="00FB7024">
        <w:rPr>
          <w:i/>
          <w:sz w:val="24"/>
        </w:rPr>
        <w:lastRenderedPageBreak/>
        <w:t>suppliers incorrect estimate that demand would decline with Covid-19 limiting production; material increase demand for home improvement, renovations and construction due to more time spent at home increasing the demand; import tariffs and government policies; supply and manufacturing material shortages such as copper and crude oil</w:t>
      </w:r>
      <w:r>
        <w:rPr>
          <w:i/>
          <w:sz w:val="24"/>
        </w:rPr>
        <w:t>,</w:t>
      </w:r>
      <w:r w:rsidRPr="00FB7024">
        <w:rPr>
          <w:i/>
          <w:sz w:val="24"/>
          <w:vertAlign w:val="superscript"/>
        </w:rPr>
        <w:footnoteReference w:id="5"/>
      </w:r>
      <w:r w:rsidRPr="00FB7024">
        <w:rPr>
          <w:rFonts w:asciiTheme="minorHAnsi" w:eastAsiaTheme="minorHAnsi" w:hAnsiTheme="minorHAnsi" w:cstheme="minorBidi"/>
          <w:sz w:val="24"/>
          <w:szCs w:val="24"/>
          <w:lang w:bidi="ar-SA"/>
        </w:rPr>
        <w:t xml:space="preserve"> </w:t>
      </w:r>
      <w:r w:rsidRPr="00FB7024">
        <w:rPr>
          <w:i/>
          <w:sz w:val="24"/>
        </w:rPr>
        <w:t>and significant increases in labor costs.</w:t>
      </w:r>
    </w:p>
    <w:p w14:paraId="25D0EEB2" w14:textId="762BC622" w:rsidR="00C03475" w:rsidRDefault="00077B57" w:rsidP="00FB7024">
      <w:pPr>
        <w:spacing w:before="199"/>
        <w:ind w:left="720" w:right="-10"/>
        <w:rPr>
          <w:sz w:val="24"/>
        </w:rPr>
      </w:pPr>
      <w:r>
        <w:rPr>
          <w:sz w:val="24"/>
        </w:rPr>
        <w:t xml:space="preserve">The Holder provided </w:t>
      </w:r>
      <w:r w:rsidR="00FB7024">
        <w:rPr>
          <w:sz w:val="24"/>
        </w:rPr>
        <w:t xml:space="preserve">the table below </w:t>
      </w:r>
      <w:r>
        <w:rPr>
          <w:sz w:val="24"/>
        </w:rPr>
        <w:t>of the increases in costs</w:t>
      </w:r>
      <w:r w:rsidR="00FB7024">
        <w:rPr>
          <w:sz w:val="24"/>
        </w:rPr>
        <w:t xml:space="preserve"> with the percentage increases by line item </w:t>
      </w:r>
      <w:r>
        <w:rPr>
          <w:sz w:val="24"/>
        </w:rPr>
        <w:t>below.</w:t>
      </w:r>
      <w:r w:rsidR="001B676F">
        <w:rPr>
          <w:sz w:val="24"/>
        </w:rPr>
        <w:t xml:space="preserve"> Staff has summarized each expense category in sequence.</w:t>
      </w:r>
    </w:p>
    <w:p w14:paraId="085D038F" w14:textId="77777777" w:rsidR="00460936" w:rsidRDefault="00460936" w:rsidP="00FB7024">
      <w:pPr>
        <w:spacing w:before="199"/>
        <w:ind w:left="720" w:right="-10"/>
        <w:rPr>
          <w:sz w:val="24"/>
        </w:rPr>
      </w:pPr>
    </w:p>
    <w:p w14:paraId="75D1F1BC" w14:textId="221254A5" w:rsidR="00C03475" w:rsidRPr="00E07C67" w:rsidRDefault="00C03475" w:rsidP="00460936">
      <w:pPr>
        <w:pStyle w:val="Heading1"/>
      </w:pPr>
      <w:r w:rsidRPr="00E07C67">
        <w:t>Comparison of Approved and Requested Capital Expenditures</w:t>
      </w:r>
      <w:r w:rsidR="00D06A52">
        <w:rPr>
          <w:rStyle w:val="FootnoteReference"/>
        </w:rPr>
        <w:footnoteReference w:id="6"/>
      </w:r>
    </w:p>
    <w:p w14:paraId="1DDF3F2F" w14:textId="77777777" w:rsidR="00C03475" w:rsidRDefault="00C03475" w:rsidP="00FB7024">
      <w:pPr>
        <w:spacing w:before="199"/>
        <w:ind w:left="720" w:right="-10"/>
        <w:jc w:val="center"/>
        <w:rPr>
          <w:sz w:val="24"/>
        </w:rPr>
      </w:pPr>
    </w:p>
    <w:tbl>
      <w:tblPr>
        <w:tblStyle w:val="TableGrid1"/>
        <w:tblW w:w="0" w:type="auto"/>
        <w:jc w:val="center"/>
        <w:tblLook w:val="04A0" w:firstRow="1" w:lastRow="0" w:firstColumn="1" w:lastColumn="0" w:noHBand="0" w:noVBand="1"/>
        <w:tblCaption w:val="Comparison of Approvied and Requested Capital Expenditures"/>
        <w:tblDescription w:val="&#10;Comparison of Approvied and Requested Capital Expenditures Table"/>
      </w:tblPr>
      <w:tblGrid>
        <w:gridCol w:w="2825"/>
        <w:gridCol w:w="1747"/>
        <w:gridCol w:w="1887"/>
        <w:gridCol w:w="1797"/>
        <w:gridCol w:w="1074"/>
      </w:tblGrid>
      <w:tr w:rsidR="00C03475" w:rsidRPr="00C03475" w14:paraId="0E0CD740" w14:textId="77777777" w:rsidTr="00685A66">
        <w:trPr>
          <w:tblHeader/>
          <w:jc w:val="center"/>
        </w:trPr>
        <w:tc>
          <w:tcPr>
            <w:tcW w:w="2825" w:type="dxa"/>
            <w:tcBorders>
              <w:top w:val="double" w:sz="4" w:space="0" w:color="auto"/>
              <w:left w:val="double" w:sz="4" w:space="0" w:color="auto"/>
              <w:bottom w:val="double" w:sz="4" w:space="0" w:color="auto"/>
            </w:tcBorders>
          </w:tcPr>
          <w:p w14:paraId="20DA1357" w14:textId="77777777" w:rsidR="00C03475" w:rsidRPr="00C03475" w:rsidRDefault="00C03475" w:rsidP="00C03475">
            <w:pPr>
              <w:jc w:val="center"/>
              <w:rPr>
                <w:rFonts w:cs="Times New Roman"/>
                <w:b/>
                <w:bCs/>
                <w:lang w:bidi="ar-SA"/>
              </w:rPr>
            </w:pPr>
            <w:r w:rsidRPr="00C03475">
              <w:rPr>
                <w:rFonts w:cs="Times New Roman"/>
                <w:b/>
                <w:bCs/>
                <w:lang w:bidi="ar-SA"/>
              </w:rPr>
              <w:t>Category of Expense</w:t>
            </w:r>
          </w:p>
        </w:tc>
        <w:tc>
          <w:tcPr>
            <w:tcW w:w="1747" w:type="dxa"/>
            <w:tcBorders>
              <w:top w:val="double" w:sz="4" w:space="0" w:color="auto"/>
              <w:bottom w:val="double" w:sz="4" w:space="0" w:color="auto"/>
            </w:tcBorders>
          </w:tcPr>
          <w:p w14:paraId="6924A222" w14:textId="77777777" w:rsidR="00C03475" w:rsidRPr="00C03475" w:rsidRDefault="00C03475" w:rsidP="00C03475">
            <w:pPr>
              <w:jc w:val="center"/>
              <w:rPr>
                <w:rFonts w:cs="Times New Roman"/>
                <w:b/>
                <w:bCs/>
                <w:lang w:bidi="ar-SA"/>
              </w:rPr>
            </w:pPr>
            <w:r w:rsidRPr="00C03475">
              <w:rPr>
                <w:rFonts w:cs="Times New Roman"/>
                <w:b/>
                <w:bCs/>
                <w:lang w:bidi="ar-SA"/>
              </w:rPr>
              <w:t>Approved (April 2020 Dollars)</w:t>
            </w:r>
          </w:p>
        </w:tc>
        <w:tc>
          <w:tcPr>
            <w:tcW w:w="1887" w:type="dxa"/>
            <w:tcBorders>
              <w:top w:val="double" w:sz="4" w:space="0" w:color="auto"/>
              <w:bottom w:val="double" w:sz="4" w:space="0" w:color="auto"/>
            </w:tcBorders>
          </w:tcPr>
          <w:p w14:paraId="3D6CCEAA" w14:textId="77777777" w:rsidR="00C03475" w:rsidRPr="00C03475" w:rsidRDefault="00C03475" w:rsidP="00C03475">
            <w:pPr>
              <w:jc w:val="center"/>
              <w:rPr>
                <w:rFonts w:cs="Times New Roman"/>
                <w:b/>
                <w:bCs/>
                <w:lang w:bidi="ar-SA"/>
              </w:rPr>
            </w:pPr>
            <w:r w:rsidRPr="00C03475">
              <w:rPr>
                <w:rFonts w:cs="Times New Roman"/>
                <w:b/>
                <w:bCs/>
                <w:lang w:bidi="ar-SA"/>
              </w:rPr>
              <w:t>Request (May 2021 Dollars)</w:t>
            </w:r>
          </w:p>
        </w:tc>
        <w:tc>
          <w:tcPr>
            <w:tcW w:w="1797" w:type="dxa"/>
            <w:tcBorders>
              <w:top w:val="double" w:sz="4" w:space="0" w:color="auto"/>
              <w:bottom w:val="double" w:sz="4" w:space="0" w:color="auto"/>
            </w:tcBorders>
          </w:tcPr>
          <w:p w14:paraId="12412135" w14:textId="77777777" w:rsidR="00C03475" w:rsidRPr="00C03475" w:rsidRDefault="00C03475" w:rsidP="00C03475">
            <w:pPr>
              <w:jc w:val="center"/>
              <w:rPr>
                <w:rFonts w:cs="Times New Roman"/>
                <w:b/>
                <w:bCs/>
                <w:lang w:bidi="ar-SA"/>
              </w:rPr>
            </w:pPr>
            <w:r w:rsidRPr="00C03475">
              <w:rPr>
                <w:rFonts w:cs="Times New Roman"/>
                <w:b/>
                <w:bCs/>
                <w:lang w:bidi="ar-SA"/>
              </w:rPr>
              <w:t>Difference</w:t>
            </w:r>
          </w:p>
        </w:tc>
        <w:tc>
          <w:tcPr>
            <w:tcW w:w="1074" w:type="dxa"/>
            <w:tcBorders>
              <w:top w:val="double" w:sz="4" w:space="0" w:color="auto"/>
              <w:bottom w:val="double" w:sz="4" w:space="0" w:color="auto"/>
              <w:right w:val="double" w:sz="4" w:space="0" w:color="auto"/>
            </w:tcBorders>
          </w:tcPr>
          <w:p w14:paraId="67A3B2BC" w14:textId="77777777" w:rsidR="00C03475" w:rsidRPr="00C03475" w:rsidRDefault="00C03475" w:rsidP="00C03475">
            <w:pPr>
              <w:jc w:val="center"/>
              <w:rPr>
                <w:rFonts w:cs="Times New Roman"/>
                <w:b/>
                <w:bCs/>
                <w:lang w:bidi="ar-SA"/>
              </w:rPr>
            </w:pPr>
            <w:r w:rsidRPr="00C03475">
              <w:rPr>
                <w:rFonts w:cs="Times New Roman"/>
                <w:b/>
                <w:bCs/>
                <w:lang w:bidi="ar-SA"/>
              </w:rPr>
              <w:t>% Change</w:t>
            </w:r>
          </w:p>
        </w:tc>
      </w:tr>
      <w:tr w:rsidR="00C03475" w:rsidRPr="00C03475" w14:paraId="38AB7C4A" w14:textId="77777777" w:rsidTr="00DA0E9C">
        <w:trPr>
          <w:jc w:val="center"/>
        </w:trPr>
        <w:tc>
          <w:tcPr>
            <w:tcW w:w="2825" w:type="dxa"/>
            <w:tcBorders>
              <w:top w:val="double" w:sz="4" w:space="0" w:color="auto"/>
              <w:left w:val="double" w:sz="4" w:space="0" w:color="auto"/>
              <w:bottom w:val="double" w:sz="4" w:space="0" w:color="auto"/>
            </w:tcBorders>
          </w:tcPr>
          <w:p w14:paraId="1DAA7CE2" w14:textId="77777777" w:rsidR="00C03475" w:rsidRPr="00C03475" w:rsidRDefault="00C03475" w:rsidP="00C03475">
            <w:pPr>
              <w:rPr>
                <w:rFonts w:cs="Times New Roman"/>
                <w:b/>
                <w:bCs/>
                <w:lang w:bidi="ar-SA"/>
              </w:rPr>
            </w:pPr>
            <w:r w:rsidRPr="00C03475">
              <w:rPr>
                <w:rFonts w:cs="Times New Roman"/>
                <w:b/>
                <w:bCs/>
                <w:lang w:bidi="ar-SA"/>
              </w:rPr>
              <w:t>Land Costs</w:t>
            </w:r>
          </w:p>
        </w:tc>
        <w:tc>
          <w:tcPr>
            <w:tcW w:w="1747" w:type="dxa"/>
            <w:tcBorders>
              <w:top w:val="double" w:sz="4" w:space="0" w:color="auto"/>
              <w:bottom w:val="double" w:sz="4" w:space="0" w:color="auto"/>
            </w:tcBorders>
          </w:tcPr>
          <w:p w14:paraId="30859A48" w14:textId="77777777" w:rsidR="00C03475" w:rsidRPr="00C03475" w:rsidRDefault="00C03475" w:rsidP="00C03475">
            <w:pPr>
              <w:jc w:val="right"/>
              <w:rPr>
                <w:rFonts w:cs="Times New Roman"/>
                <w:b/>
                <w:bCs/>
                <w:lang w:bidi="ar-SA"/>
              </w:rPr>
            </w:pPr>
            <w:r w:rsidRPr="00C03475">
              <w:rPr>
                <w:rFonts w:cs="Times New Roman"/>
                <w:b/>
                <w:bCs/>
                <w:lang w:bidi="ar-SA"/>
              </w:rPr>
              <w:t>$0</w:t>
            </w:r>
          </w:p>
        </w:tc>
        <w:tc>
          <w:tcPr>
            <w:tcW w:w="1887" w:type="dxa"/>
            <w:tcBorders>
              <w:top w:val="double" w:sz="4" w:space="0" w:color="auto"/>
              <w:bottom w:val="double" w:sz="4" w:space="0" w:color="auto"/>
            </w:tcBorders>
          </w:tcPr>
          <w:p w14:paraId="107C8E22" w14:textId="77777777" w:rsidR="00C03475" w:rsidRPr="00C03475" w:rsidRDefault="00C03475" w:rsidP="00C03475">
            <w:pPr>
              <w:jc w:val="right"/>
              <w:rPr>
                <w:rFonts w:cs="Times New Roman"/>
                <w:b/>
                <w:bCs/>
                <w:lang w:bidi="ar-SA"/>
              </w:rPr>
            </w:pPr>
            <w:r w:rsidRPr="00C03475">
              <w:rPr>
                <w:rFonts w:cs="Times New Roman"/>
                <w:b/>
                <w:bCs/>
                <w:lang w:bidi="ar-SA"/>
              </w:rPr>
              <w:t>$0</w:t>
            </w:r>
          </w:p>
        </w:tc>
        <w:tc>
          <w:tcPr>
            <w:tcW w:w="1797" w:type="dxa"/>
            <w:tcBorders>
              <w:top w:val="double" w:sz="4" w:space="0" w:color="auto"/>
              <w:bottom w:val="double" w:sz="4" w:space="0" w:color="auto"/>
            </w:tcBorders>
          </w:tcPr>
          <w:p w14:paraId="156556E4" w14:textId="77777777" w:rsidR="00C03475" w:rsidRPr="00C03475" w:rsidRDefault="00C03475" w:rsidP="00C03475">
            <w:pPr>
              <w:jc w:val="right"/>
              <w:rPr>
                <w:rFonts w:cs="Times New Roman"/>
                <w:b/>
                <w:bCs/>
                <w:lang w:bidi="ar-SA"/>
              </w:rPr>
            </w:pPr>
            <w:r w:rsidRPr="00C03475">
              <w:rPr>
                <w:rFonts w:cs="Times New Roman"/>
                <w:b/>
                <w:bCs/>
                <w:lang w:bidi="ar-SA"/>
              </w:rPr>
              <w:t>$0</w:t>
            </w:r>
          </w:p>
        </w:tc>
        <w:tc>
          <w:tcPr>
            <w:tcW w:w="1074" w:type="dxa"/>
            <w:tcBorders>
              <w:top w:val="double" w:sz="4" w:space="0" w:color="auto"/>
              <w:bottom w:val="double" w:sz="4" w:space="0" w:color="auto"/>
              <w:right w:val="double" w:sz="4" w:space="0" w:color="auto"/>
            </w:tcBorders>
          </w:tcPr>
          <w:p w14:paraId="6BC32691" w14:textId="77777777" w:rsidR="00C03475" w:rsidRPr="00C03475" w:rsidRDefault="00C03475" w:rsidP="00C03475">
            <w:pPr>
              <w:jc w:val="center"/>
              <w:rPr>
                <w:rFonts w:cs="Times New Roman"/>
                <w:b/>
                <w:bCs/>
                <w:lang w:bidi="ar-SA"/>
              </w:rPr>
            </w:pPr>
            <w:r w:rsidRPr="00C03475">
              <w:rPr>
                <w:rFonts w:cs="Times New Roman"/>
                <w:b/>
                <w:bCs/>
                <w:lang w:bidi="ar-SA"/>
              </w:rPr>
              <w:t>$0</w:t>
            </w:r>
          </w:p>
        </w:tc>
      </w:tr>
      <w:tr w:rsidR="00C03475" w:rsidRPr="00C03475" w14:paraId="7F775F2C" w14:textId="77777777" w:rsidTr="00DA0E9C">
        <w:trPr>
          <w:jc w:val="center"/>
        </w:trPr>
        <w:tc>
          <w:tcPr>
            <w:tcW w:w="2825" w:type="dxa"/>
            <w:tcBorders>
              <w:top w:val="double" w:sz="4" w:space="0" w:color="auto"/>
              <w:left w:val="double" w:sz="4" w:space="0" w:color="auto"/>
              <w:bottom w:val="single" w:sz="12" w:space="0" w:color="auto"/>
            </w:tcBorders>
          </w:tcPr>
          <w:p w14:paraId="25CC0737" w14:textId="26874603" w:rsidR="00C03475" w:rsidRPr="00C03475" w:rsidRDefault="00664DFC" w:rsidP="00C03475">
            <w:pPr>
              <w:rPr>
                <w:rFonts w:cs="Times New Roman"/>
                <w:lang w:bidi="ar-SA"/>
              </w:rPr>
            </w:pPr>
            <w:r>
              <w:rPr>
                <w:rFonts w:cs="Times New Roman"/>
                <w:lang w:bidi="ar-SA"/>
              </w:rPr>
              <w:t xml:space="preserve">A. </w:t>
            </w:r>
            <w:r w:rsidR="00C03475" w:rsidRPr="00C03475">
              <w:rPr>
                <w:rFonts w:cs="Times New Roman"/>
                <w:lang w:bidi="ar-SA"/>
              </w:rPr>
              <w:t>Construction Contract</w:t>
            </w:r>
          </w:p>
        </w:tc>
        <w:tc>
          <w:tcPr>
            <w:tcW w:w="1747" w:type="dxa"/>
            <w:tcBorders>
              <w:top w:val="double" w:sz="4" w:space="0" w:color="auto"/>
              <w:bottom w:val="single" w:sz="12" w:space="0" w:color="auto"/>
            </w:tcBorders>
          </w:tcPr>
          <w:p w14:paraId="1F3D84C7" w14:textId="77777777" w:rsidR="00C03475" w:rsidRPr="00C03475" w:rsidRDefault="00C03475" w:rsidP="00C03475">
            <w:pPr>
              <w:jc w:val="right"/>
              <w:rPr>
                <w:rFonts w:cs="Times New Roman"/>
                <w:sz w:val="24"/>
                <w:szCs w:val="24"/>
                <w:lang w:bidi="ar-SA"/>
              </w:rPr>
            </w:pPr>
            <w:r w:rsidRPr="00C03475">
              <w:rPr>
                <w:rFonts w:cs="Times New Roman"/>
                <w:sz w:val="24"/>
                <w:szCs w:val="24"/>
                <w:lang w:bidi="ar-SA"/>
              </w:rPr>
              <w:t>$8,175,023</w:t>
            </w:r>
          </w:p>
        </w:tc>
        <w:tc>
          <w:tcPr>
            <w:tcW w:w="1887" w:type="dxa"/>
            <w:tcBorders>
              <w:top w:val="double" w:sz="4" w:space="0" w:color="auto"/>
              <w:bottom w:val="single" w:sz="12" w:space="0" w:color="auto"/>
            </w:tcBorders>
          </w:tcPr>
          <w:p w14:paraId="161B77D3" w14:textId="77777777" w:rsidR="00C03475" w:rsidRPr="00C03475" w:rsidRDefault="00C03475" w:rsidP="00C03475">
            <w:pPr>
              <w:jc w:val="right"/>
              <w:rPr>
                <w:rFonts w:cs="Times New Roman"/>
                <w:sz w:val="24"/>
                <w:szCs w:val="24"/>
                <w:lang w:bidi="ar-SA"/>
              </w:rPr>
            </w:pPr>
            <w:r w:rsidRPr="00C03475">
              <w:rPr>
                <w:rFonts w:cs="Times New Roman"/>
                <w:sz w:val="24"/>
                <w:szCs w:val="24"/>
                <w:lang w:bidi="ar-SA"/>
              </w:rPr>
              <w:t>$14,051,044</w:t>
            </w:r>
          </w:p>
        </w:tc>
        <w:tc>
          <w:tcPr>
            <w:tcW w:w="1797" w:type="dxa"/>
            <w:tcBorders>
              <w:top w:val="double" w:sz="4" w:space="0" w:color="auto"/>
              <w:bottom w:val="single" w:sz="12" w:space="0" w:color="auto"/>
            </w:tcBorders>
          </w:tcPr>
          <w:p w14:paraId="36D08F9A" w14:textId="77777777" w:rsidR="00C03475" w:rsidRPr="00C03475" w:rsidRDefault="00C03475" w:rsidP="00C03475">
            <w:pPr>
              <w:jc w:val="right"/>
              <w:rPr>
                <w:rFonts w:cs="Times New Roman"/>
                <w:sz w:val="24"/>
                <w:szCs w:val="24"/>
                <w:lang w:bidi="ar-SA"/>
              </w:rPr>
            </w:pPr>
            <w:r w:rsidRPr="00C03475">
              <w:rPr>
                <w:rFonts w:cs="Times New Roman"/>
                <w:sz w:val="24"/>
                <w:szCs w:val="24"/>
                <w:lang w:bidi="ar-SA"/>
              </w:rPr>
              <w:t>$5,876,021</w:t>
            </w:r>
          </w:p>
        </w:tc>
        <w:tc>
          <w:tcPr>
            <w:tcW w:w="1074" w:type="dxa"/>
            <w:tcBorders>
              <w:top w:val="double" w:sz="4" w:space="0" w:color="auto"/>
              <w:bottom w:val="single" w:sz="12" w:space="0" w:color="auto"/>
              <w:right w:val="double" w:sz="4" w:space="0" w:color="auto"/>
            </w:tcBorders>
          </w:tcPr>
          <w:p w14:paraId="7A21D864" w14:textId="77777777" w:rsidR="00C03475" w:rsidRPr="00C03475" w:rsidRDefault="00C03475" w:rsidP="00C03475">
            <w:pPr>
              <w:jc w:val="center"/>
              <w:rPr>
                <w:rFonts w:cs="Times New Roman"/>
                <w:sz w:val="24"/>
                <w:szCs w:val="24"/>
                <w:lang w:bidi="ar-SA"/>
              </w:rPr>
            </w:pPr>
            <w:r w:rsidRPr="00C03475">
              <w:rPr>
                <w:rFonts w:cs="Times New Roman"/>
                <w:sz w:val="24"/>
                <w:szCs w:val="24"/>
                <w:lang w:bidi="ar-SA"/>
              </w:rPr>
              <w:t>71.9%</w:t>
            </w:r>
          </w:p>
        </w:tc>
      </w:tr>
      <w:tr w:rsidR="00C03475" w:rsidRPr="00C03475" w14:paraId="05B42E79" w14:textId="77777777" w:rsidTr="00DA0E9C">
        <w:trPr>
          <w:jc w:val="center"/>
        </w:trPr>
        <w:tc>
          <w:tcPr>
            <w:tcW w:w="2825" w:type="dxa"/>
            <w:tcBorders>
              <w:top w:val="single" w:sz="12" w:space="0" w:color="auto"/>
              <w:left w:val="double" w:sz="4" w:space="0" w:color="auto"/>
            </w:tcBorders>
          </w:tcPr>
          <w:p w14:paraId="218B1C17" w14:textId="2E95AB7F" w:rsidR="00C03475" w:rsidRPr="00C03475" w:rsidRDefault="00664DFC" w:rsidP="00C03475">
            <w:pPr>
              <w:rPr>
                <w:rFonts w:cs="Times New Roman"/>
                <w:lang w:bidi="ar-SA"/>
              </w:rPr>
            </w:pPr>
            <w:r>
              <w:rPr>
                <w:rFonts w:cs="Times New Roman"/>
                <w:lang w:bidi="ar-SA"/>
              </w:rPr>
              <w:t xml:space="preserve">B. </w:t>
            </w:r>
            <w:r w:rsidR="00C03475" w:rsidRPr="00C03475">
              <w:rPr>
                <w:rFonts w:cs="Times New Roman"/>
                <w:lang w:bidi="ar-SA"/>
              </w:rPr>
              <w:t>Fixed Equipment</w:t>
            </w:r>
          </w:p>
        </w:tc>
        <w:tc>
          <w:tcPr>
            <w:tcW w:w="1747" w:type="dxa"/>
            <w:tcBorders>
              <w:top w:val="single" w:sz="12" w:space="0" w:color="auto"/>
            </w:tcBorders>
          </w:tcPr>
          <w:p w14:paraId="70C150A1" w14:textId="77777777" w:rsidR="00C03475" w:rsidRPr="00C03475" w:rsidRDefault="00C03475" w:rsidP="00C03475">
            <w:pPr>
              <w:jc w:val="right"/>
              <w:rPr>
                <w:rFonts w:cs="Times New Roman"/>
                <w:sz w:val="24"/>
                <w:szCs w:val="24"/>
                <w:lang w:bidi="ar-SA"/>
              </w:rPr>
            </w:pPr>
            <w:r w:rsidRPr="00C03475">
              <w:rPr>
                <w:rFonts w:cs="Times New Roman"/>
                <w:sz w:val="24"/>
                <w:szCs w:val="24"/>
                <w:lang w:bidi="ar-SA"/>
              </w:rPr>
              <w:t>0</w:t>
            </w:r>
          </w:p>
        </w:tc>
        <w:tc>
          <w:tcPr>
            <w:tcW w:w="1887" w:type="dxa"/>
            <w:tcBorders>
              <w:top w:val="single" w:sz="12" w:space="0" w:color="auto"/>
            </w:tcBorders>
          </w:tcPr>
          <w:p w14:paraId="433F2C1F" w14:textId="77777777" w:rsidR="00C03475" w:rsidRPr="00C03475" w:rsidRDefault="00C03475" w:rsidP="00C03475">
            <w:pPr>
              <w:jc w:val="right"/>
              <w:rPr>
                <w:rFonts w:cs="Times New Roman"/>
                <w:sz w:val="24"/>
                <w:szCs w:val="24"/>
                <w:lang w:bidi="ar-SA"/>
              </w:rPr>
            </w:pPr>
            <w:r w:rsidRPr="00C03475">
              <w:rPr>
                <w:rFonts w:cs="Times New Roman"/>
                <w:sz w:val="24"/>
                <w:szCs w:val="24"/>
                <w:lang w:bidi="ar-SA"/>
              </w:rPr>
              <w:t>474,276</w:t>
            </w:r>
          </w:p>
        </w:tc>
        <w:tc>
          <w:tcPr>
            <w:tcW w:w="1797" w:type="dxa"/>
            <w:tcBorders>
              <w:top w:val="single" w:sz="12" w:space="0" w:color="auto"/>
            </w:tcBorders>
          </w:tcPr>
          <w:p w14:paraId="698C7002" w14:textId="77777777" w:rsidR="00C03475" w:rsidRPr="00C03475" w:rsidRDefault="00C03475" w:rsidP="00C03475">
            <w:pPr>
              <w:jc w:val="right"/>
              <w:rPr>
                <w:rFonts w:cs="Times New Roman"/>
                <w:sz w:val="24"/>
                <w:szCs w:val="24"/>
                <w:lang w:bidi="ar-SA"/>
              </w:rPr>
            </w:pPr>
            <w:r w:rsidRPr="00C03475">
              <w:rPr>
                <w:rFonts w:cs="Times New Roman"/>
                <w:sz w:val="24"/>
                <w:szCs w:val="24"/>
                <w:lang w:bidi="ar-SA"/>
              </w:rPr>
              <w:t>474,276</w:t>
            </w:r>
          </w:p>
        </w:tc>
        <w:tc>
          <w:tcPr>
            <w:tcW w:w="1074" w:type="dxa"/>
            <w:tcBorders>
              <w:top w:val="single" w:sz="12" w:space="0" w:color="auto"/>
              <w:right w:val="double" w:sz="4" w:space="0" w:color="auto"/>
            </w:tcBorders>
          </w:tcPr>
          <w:p w14:paraId="4BB1F942" w14:textId="77777777" w:rsidR="00C03475" w:rsidRPr="00C03475" w:rsidRDefault="00C03475" w:rsidP="00C03475">
            <w:pPr>
              <w:jc w:val="center"/>
              <w:rPr>
                <w:rFonts w:cs="Times New Roman"/>
                <w:sz w:val="24"/>
                <w:szCs w:val="24"/>
                <w:lang w:bidi="ar-SA"/>
              </w:rPr>
            </w:pPr>
            <w:r w:rsidRPr="00C03475">
              <w:rPr>
                <w:rFonts w:cs="Times New Roman"/>
                <w:sz w:val="24"/>
                <w:szCs w:val="24"/>
                <w:lang w:bidi="ar-SA"/>
              </w:rPr>
              <w:t>100.0%</w:t>
            </w:r>
          </w:p>
        </w:tc>
      </w:tr>
      <w:tr w:rsidR="00C03475" w:rsidRPr="00C03475" w14:paraId="36E395E7" w14:textId="77777777" w:rsidTr="00DA0E9C">
        <w:trPr>
          <w:jc w:val="center"/>
        </w:trPr>
        <w:tc>
          <w:tcPr>
            <w:tcW w:w="2825" w:type="dxa"/>
            <w:tcBorders>
              <w:left w:val="double" w:sz="4" w:space="0" w:color="auto"/>
            </w:tcBorders>
          </w:tcPr>
          <w:p w14:paraId="6C679519" w14:textId="3EE0E8C6" w:rsidR="00C03475" w:rsidRPr="00C03475" w:rsidRDefault="00664DFC" w:rsidP="00C03475">
            <w:pPr>
              <w:rPr>
                <w:rFonts w:cs="Times New Roman"/>
                <w:lang w:bidi="ar-SA"/>
              </w:rPr>
            </w:pPr>
            <w:r>
              <w:rPr>
                <w:rFonts w:cs="Times New Roman"/>
                <w:lang w:bidi="ar-SA"/>
              </w:rPr>
              <w:t xml:space="preserve">C. </w:t>
            </w:r>
            <w:r w:rsidR="00C03475" w:rsidRPr="00C03475">
              <w:rPr>
                <w:rFonts w:cs="Times New Roman"/>
                <w:lang w:bidi="ar-SA"/>
              </w:rPr>
              <w:t>Architectural Cost</w:t>
            </w:r>
          </w:p>
        </w:tc>
        <w:tc>
          <w:tcPr>
            <w:tcW w:w="1747" w:type="dxa"/>
          </w:tcPr>
          <w:p w14:paraId="5CCFC250" w14:textId="77777777" w:rsidR="00C03475" w:rsidRPr="00C03475" w:rsidRDefault="00C03475" w:rsidP="00C03475">
            <w:pPr>
              <w:jc w:val="right"/>
              <w:rPr>
                <w:rFonts w:cs="Times New Roman"/>
                <w:sz w:val="24"/>
                <w:szCs w:val="24"/>
                <w:lang w:bidi="ar-SA"/>
              </w:rPr>
            </w:pPr>
            <w:r w:rsidRPr="00C03475">
              <w:rPr>
                <w:rFonts w:cs="Times New Roman"/>
                <w:sz w:val="24"/>
                <w:szCs w:val="24"/>
                <w:lang w:bidi="ar-SA"/>
              </w:rPr>
              <w:t>663,790</w:t>
            </w:r>
          </w:p>
        </w:tc>
        <w:tc>
          <w:tcPr>
            <w:tcW w:w="1887" w:type="dxa"/>
          </w:tcPr>
          <w:p w14:paraId="295E5600" w14:textId="77777777" w:rsidR="00C03475" w:rsidRPr="00C03475" w:rsidRDefault="00C03475" w:rsidP="00C03475">
            <w:pPr>
              <w:jc w:val="right"/>
              <w:rPr>
                <w:rFonts w:cs="Times New Roman"/>
                <w:sz w:val="24"/>
                <w:szCs w:val="24"/>
                <w:lang w:bidi="ar-SA"/>
              </w:rPr>
            </w:pPr>
            <w:r w:rsidRPr="00C03475">
              <w:rPr>
                <w:rFonts w:cs="Times New Roman"/>
                <w:sz w:val="24"/>
                <w:szCs w:val="24"/>
                <w:lang w:bidi="ar-SA"/>
              </w:rPr>
              <w:t>908,500</w:t>
            </w:r>
          </w:p>
        </w:tc>
        <w:tc>
          <w:tcPr>
            <w:tcW w:w="1797" w:type="dxa"/>
          </w:tcPr>
          <w:p w14:paraId="2315F6CC" w14:textId="77777777" w:rsidR="00C03475" w:rsidRPr="00C03475" w:rsidRDefault="00C03475" w:rsidP="00C03475">
            <w:pPr>
              <w:jc w:val="right"/>
              <w:rPr>
                <w:rFonts w:cs="Times New Roman"/>
                <w:sz w:val="24"/>
                <w:szCs w:val="24"/>
                <w:lang w:bidi="ar-SA"/>
              </w:rPr>
            </w:pPr>
            <w:r w:rsidRPr="00C03475">
              <w:rPr>
                <w:rFonts w:cs="Times New Roman"/>
                <w:sz w:val="24"/>
                <w:szCs w:val="24"/>
                <w:lang w:bidi="ar-SA"/>
              </w:rPr>
              <w:t>244,710</w:t>
            </w:r>
          </w:p>
        </w:tc>
        <w:tc>
          <w:tcPr>
            <w:tcW w:w="1074" w:type="dxa"/>
            <w:tcBorders>
              <w:right w:val="double" w:sz="4" w:space="0" w:color="auto"/>
            </w:tcBorders>
          </w:tcPr>
          <w:p w14:paraId="1CA9BDD0" w14:textId="77777777" w:rsidR="00C03475" w:rsidRPr="00C03475" w:rsidRDefault="00C03475" w:rsidP="00C03475">
            <w:pPr>
              <w:jc w:val="center"/>
              <w:rPr>
                <w:rFonts w:cs="Times New Roman"/>
                <w:sz w:val="24"/>
                <w:szCs w:val="24"/>
                <w:lang w:bidi="ar-SA"/>
              </w:rPr>
            </w:pPr>
            <w:r w:rsidRPr="00C03475">
              <w:rPr>
                <w:rFonts w:cs="Times New Roman"/>
                <w:sz w:val="24"/>
                <w:szCs w:val="24"/>
                <w:lang w:bidi="ar-SA"/>
              </w:rPr>
              <w:t>36.9%</w:t>
            </w:r>
          </w:p>
        </w:tc>
      </w:tr>
      <w:tr w:rsidR="00C03475" w:rsidRPr="00C03475" w14:paraId="7DC44DCB" w14:textId="77777777" w:rsidTr="00DA0E9C">
        <w:trPr>
          <w:jc w:val="center"/>
        </w:trPr>
        <w:tc>
          <w:tcPr>
            <w:tcW w:w="2825" w:type="dxa"/>
            <w:tcBorders>
              <w:left w:val="double" w:sz="4" w:space="0" w:color="auto"/>
            </w:tcBorders>
          </w:tcPr>
          <w:p w14:paraId="53FA8161" w14:textId="554ED243" w:rsidR="00C03475" w:rsidRPr="00C03475" w:rsidRDefault="00664DFC" w:rsidP="00C03475">
            <w:pPr>
              <w:rPr>
                <w:rFonts w:cs="Times New Roman"/>
                <w:lang w:bidi="ar-SA"/>
              </w:rPr>
            </w:pPr>
            <w:r>
              <w:rPr>
                <w:rFonts w:cs="Times New Roman"/>
                <w:lang w:bidi="ar-SA"/>
              </w:rPr>
              <w:t xml:space="preserve">D. </w:t>
            </w:r>
            <w:r w:rsidR="00C03475" w:rsidRPr="00C03475">
              <w:rPr>
                <w:rFonts w:cs="Times New Roman"/>
                <w:lang w:bidi="ar-SA"/>
              </w:rPr>
              <w:t>Pre-Filling Planning Costs</w:t>
            </w:r>
          </w:p>
        </w:tc>
        <w:tc>
          <w:tcPr>
            <w:tcW w:w="1747" w:type="dxa"/>
          </w:tcPr>
          <w:p w14:paraId="4C42447F" w14:textId="77777777" w:rsidR="00C03475" w:rsidRPr="00C03475" w:rsidRDefault="00C03475" w:rsidP="00C03475">
            <w:pPr>
              <w:jc w:val="right"/>
              <w:rPr>
                <w:rFonts w:cs="Times New Roman"/>
                <w:sz w:val="24"/>
                <w:szCs w:val="24"/>
                <w:lang w:bidi="ar-SA"/>
              </w:rPr>
            </w:pPr>
            <w:r w:rsidRPr="00C03475">
              <w:rPr>
                <w:rFonts w:cs="Times New Roman"/>
                <w:sz w:val="24"/>
                <w:szCs w:val="24"/>
                <w:lang w:bidi="ar-SA"/>
              </w:rPr>
              <w:t>145,000</w:t>
            </w:r>
          </w:p>
        </w:tc>
        <w:tc>
          <w:tcPr>
            <w:tcW w:w="1887" w:type="dxa"/>
          </w:tcPr>
          <w:p w14:paraId="254AA94F" w14:textId="77777777" w:rsidR="00C03475" w:rsidRPr="00C03475" w:rsidRDefault="00C03475" w:rsidP="00C03475">
            <w:pPr>
              <w:jc w:val="right"/>
              <w:rPr>
                <w:rFonts w:cs="Times New Roman"/>
                <w:sz w:val="24"/>
                <w:szCs w:val="24"/>
                <w:lang w:bidi="ar-SA"/>
              </w:rPr>
            </w:pPr>
            <w:r w:rsidRPr="00C03475">
              <w:rPr>
                <w:rFonts w:cs="Times New Roman"/>
                <w:sz w:val="24"/>
                <w:szCs w:val="24"/>
                <w:lang w:bidi="ar-SA"/>
              </w:rPr>
              <w:t>169,000</w:t>
            </w:r>
          </w:p>
        </w:tc>
        <w:tc>
          <w:tcPr>
            <w:tcW w:w="1797" w:type="dxa"/>
          </w:tcPr>
          <w:p w14:paraId="3C4E0820" w14:textId="77777777" w:rsidR="00C03475" w:rsidRPr="00C03475" w:rsidRDefault="00C03475" w:rsidP="00C03475">
            <w:pPr>
              <w:jc w:val="right"/>
              <w:rPr>
                <w:rFonts w:cs="Times New Roman"/>
                <w:sz w:val="24"/>
                <w:szCs w:val="24"/>
                <w:lang w:bidi="ar-SA"/>
              </w:rPr>
            </w:pPr>
            <w:r w:rsidRPr="00C03475">
              <w:rPr>
                <w:rFonts w:cs="Times New Roman"/>
                <w:sz w:val="24"/>
                <w:szCs w:val="24"/>
                <w:lang w:bidi="ar-SA"/>
              </w:rPr>
              <w:t>24,000</w:t>
            </w:r>
          </w:p>
        </w:tc>
        <w:tc>
          <w:tcPr>
            <w:tcW w:w="1074" w:type="dxa"/>
            <w:tcBorders>
              <w:right w:val="double" w:sz="4" w:space="0" w:color="auto"/>
            </w:tcBorders>
          </w:tcPr>
          <w:p w14:paraId="189A97F5" w14:textId="77777777" w:rsidR="00C03475" w:rsidRPr="00C03475" w:rsidRDefault="00C03475" w:rsidP="00C03475">
            <w:pPr>
              <w:jc w:val="center"/>
              <w:rPr>
                <w:rFonts w:cs="Times New Roman"/>
                <w:sz w:val="24"/>
                <w:szCs w:val="24"/>
                <w:lang w:bidi="ar-SA"/>
              </w:rPr>
            </w:pPr>
            <w:r w:rsidRPr="00C03475">
              <w:rPr>
                <w:rFonts w:cs="Times New Roman"/>
                <w:sz w:val="24"/>
                <w:szCs w:val="24"/>
                <w:lang w:bidi="ar-SA"/>
              </w:rPr>
              <w:t>16.6%</w:t>
            </w:r>
          </w:p>
        </w:tc>
      </w:tr>
      <w:tr w:rsidR="00C03475" w:rsidRPr="00C03475" w14:paraId="714539F9" w14:textId="77777777" w:rsidTr="00DA0E9C">
        <w:trPr>
          <w:jc w:val="center"/>
        </w:trPr>
        <w:tc>
          <w:tcPr>
            <w:tcW w:w="2825" w:type="dxa"/>
            <w:tcBorders>
              <w:left w:val="double" w:sz="4" w:space="0" w:color="auto"/>
            </w:tcBorders>
          </w:tcPr>
          <w:p w14:paraId="6EE962FF" w14:textId="77777777" w:rsidR="00C03475" w:rsidRPr="00C03475" w:rsidRDefault="00C03475" w:rsidP="00C03475">
            <w:pPr>
              <w:rPr>
                <w:rFonts w:cs="Times New Roman"/>
                <w:lang w:bidi="ar-SA"/>
              </w:rPr>
            </w:pPr>
            <w:r w:rsidRPr="00C03475">
              <w:rPr>
                <w:rFonts w:cs="Times New Roman"/>
                <w:lang w:bidi="ar-SA"/>
              </w:rPr>
              <w:t>Post-Filing Planning Costs</w:t>
            </w:r>
          </w:p>
        </w:tc>
        <w:tc>
          <w:tcPr>
            <w:tcW w:w="1747" w:type="dxa"/>
          </w:tcPr>
          <w:p w14:paraId="0A87D364" w14:textId="77777777" w:rsidR="00C03475" w:rsidRPr="00C03475" w:rsidRDefault="00C03475" w:rsidP="00C03475">
            <w:pPr>
              <w:jc w:val="right"/>
              <w:rPr>
                <w:rFonts w:cs="Times New Roman"/>
                <w:sz w:val="24"/>
                <w:szCs w:val="24"/>
                <w:lang w:bidi="ar-SA"/>
              </w:rPr>
            </w:pPr>
            <w:r w:rsidRPr="00C03475">
              <w:rPr>
                <w:rFonts w:cs="Times New Roman"/>
                <w:sz w:val="24"/>
                <w:szCs w:val="24"/>
                <w:lang w:bidi="ar-SA"/>
              </w:rPr>
              <w:t>40,000</w:t>
            </w:r>
          </w:p>
        </w:tc>
        <w:tc>
          <w:tcPr>
            <w:tcW w:w="1887" w:type="dxa"/>
          </w:tcPr>
          <w:p w14:paraId="17C55575" w14:textId="77777777" w:rsidR="00C03475" w:rsidRPr="00C03475" w:rsidRDefault="00C03475" w:rsidP="00C03475">
            <w:pPr>
              <w:jc w:val="right"/>
              <w:rPr>
                <w:rFonts w:cs="Times New Roman"/>
                <w:sz w:val="24"/>
                <w:szCs w:val="24"/>
                <w:lang w:bidi="ar-SA"/>
              </w:rPr>
            </w:pPr>
            <w:r w:rsidRPr="00C03475">
              <w:rPr>
                <w:rFonts w:cs="Times New Roman"/>
                <w:sz w:val="24"/>
                <w:szCs w:val="24"/>
                <w:lang w:bidi="ar-SA"/>
              </w:rPr>
              <w:t>180,000</w:t>
            </w:r>
          </w:p>
        </w:tc>
        <w:tc>
          <w:tcPr>
            <w:tcW w:w="1797" w:type="dxa"/>
          </w:tcPr>
          <w:p w14:paraId="086C30D7" w14:textId="77777777" w:rsidR="00C03475" w:rsidRPr="00C03475" w:rsidRDefault="00C03475" w:rsidP="00C03475">
            <w:pPr>
              <w:jc w:val="right"/>
              <w:rPr>
                <w:rFonts w:cs="Times New Roman"/>
                <w:sz w:val="24"/>
                <w:szCs w:val="24"/>
                <w:lang w:bidi="ar-SA"/>
              </w:rPr>
            </w:pPr>
            <w:r w:rsidRPr="00C03475">
              <w:rPr>
                <w:rFonts w:cs="Times New Roman"/>
                <w:sz w:val="24"/>
                <w:szCs w:val="24"/>
                <w:lang w:bidi="ar-SA"/>
              </w:rPr>
              <w:t>140,000</w:t>
            </w:r>
          </w:p>
        </w:tc>
        <w:tc>
          <w:tcPr>
            <w:tcW w:w="1074" w:type="dxa"/>
            <w:tcBorders>
              <w:right w:val="double" w:sz="4" w:space="0" w:color="auto"/>
            </w:tcBorders>
          </w:tcPr>
          <w:p w14:paraId="399A5896" w14:textId="77777777" w:rsidR="00C03475" w:rsidRPr="00C03475" w:rsidRDefault="00C03475" w:rsidP="00C03475">
            <w:pPr>
              <w:jc w:val="center"/>
              <w:rPr>
                <w:rFonts w:cs="Times New Roman"/>
                <w:sz w:val="24"/>
                <w:szCs w:val="24"/>
                <w:lang w:bidi="ar-SA"/>
              </w:rPr>
            </w:pPr>
            <w:r w:rsidRPr="00C03475">
              <w:rPr>
                <w:rFonts w:cs="Times New Roman"/>
                <w:sz w:val="24"/>
                <w:szCs w:val="24"/>
                <w:lang w:bidi="ar-SA"/>
              </w:rPr>
              <w:t>350.0%</w:t>
            </w:r>
          </w:p>
        </w:tc>
      </w:tr>
      <w:tr w:rsidR="00C03475" w:rsidRPr="00C03475" w14:paraId="2B480A08" w14:textId="77777777" w:rsidTr="00DA0E9C">
        <w:trPr>
          <w:jc w:val="center"/>
        </w:trPr>
        <w:tc>
          <w:tcPr>
            <w:tcW w:w="2825" w:type="dxa"/>
            <w:tcBorders>
              <w:left w:val="double" w:sz="4" w:space="0" w:color="auto"/>
            </w:tcBorders>
          </w:tcPr>
          <w:p w14:paraId="07CDEA3D" w14:textId="4BE5487A" w:rsidR="00C03475" w:rsidRPr="00C03475" w:rsidRDefault="00664DFC" w:rsidP="00C03475">
            <w:pPr>
              <w:rPr>
                <w:rFonts w:cs="Times New Roman"/>
                <w:lang w:bidi="ar-SA"/>
              </w:rPr>
            </w:pPr>
            <w:r>
              <w:rPr>
                <w:rFonts w:cs="Times New Roman"/>
                <w:lang w:bidi="ar-SA"/>
              </w:rPr>
              <w:t xml:space="preserve">E. </w:t>
            </w:r>
            <w:r w:rsidR="00C03475" w:rsidRPr="00C03475">
              <w:rPr>
                <w:rFonts w:cs="Times New Roman"/>
                <w:lang w:bidi="ar-SA"/>
              </w:rPr>
              <w:t>Net Interest Construction</w:t>
            </w:r>
          </w:p>
        </w:tc>
        <w:tc>
          <w:tcPr>
            <w:tcW w:w="1747" w:type="dxa"/>
          </w:tcPr>
          <w:p w14:paraId="019FE57B" w14:textId="77777777" w:rsidR="00C03475" w:rsidRPr="00C03475" w:rsidRDefault="00C03475" w:rsidP="00C03475">
            <w:pPr>
              <w:jc w:val="right"/>
              <w:rPr>
                <w:rFonts w:cs="Times New Roman"/>
                <w:sz w:val="24"/>
                <w:szCs w:val="24"/>
                <w:lang w:bidi="ar-SA"/>
              </w:rPr>
            </w:pPr>
            <w:r w:rsidRPr="00C03475">
              <w:rPr>
                <w:rFonts w:cs="Times New Roman"/>
                <w:sz w:val="24"/>
                <w:szCs w:val="24"/>
                <w:lang w:bidi="ar-SA"/>
              </w:rPr>
              <w:t>276,695</w:t>
            </w:r>
          </w:p>
        </w:tc>
        <w:tc>
          <w:tcPr>
            <w:tcW w:w="1887" w:type="dxa"/>
          </w:tcPr>
          <w:p w14:paraId="6E333F73" w14:textId="77777777" w:rsidR="00C03475" w:rsidRPr="00C03475" w:rsidRDefault="00C03475" w:rsidP="00C03475">
            <w:pPr>
              <w:jc w:val="right"/>
              <w:rPr>
                <w:rFonts w:cs="Times New Roman"/>
                <w:sz w:val="24"/>
                <w:szCs w:val="24"/>
                <w:lang w:bidi="ar-SA"/>
              </w:rPr>
            </w:pPr>
            <w:r w:rsidRPr="00C03475">
              <w:rPr>
                <w:rFonts w:cs="Times New Roman"/>
                <w:sz w:val="24"/>
                <w:szCs w:val="24"/>
                <w:lang w:bidi="ar-SA"/>
              </w:rPr>
              <w:t>664,258</w:t>
            </w:r>
          </w:p>
        </w:tc>
        <w:tc>
          <w:tcPr>
            <w:tcW w:w="1797" w:type="dxa"/>
          </w:tcPr>
          <w:p w14:paraId="3F161F95" w14:textId="77777777" w:rsidR="00C03475" w:rsidRPr="00C03475" w:rsidRDefault="00C03475" w:rsidP="00C03475">
            <w:pPr>
              <w:jc w:val="right"/>
              <w:rPr>
                <w:rFonts w:cs="Times New Roman"/>
                <w:sz w:val="24"/>
                <w:szCs w:val="24"/>
                <w:lang w:bidi="ar-SA"/>
              </w:rPr>
            </w:pPr>
            <w:r w:rsidRPr="00C03475">
              <w:rPr>
                <w:rFonts w:cs="Times New Roman"/>
                <w:sz w:val="24"/>
                <w:szCs w:val="24"/>
                <w:lang w:bidi="ar-SA"/>
              </w:rPr>
              <w:t>387,653</w:t>
            </w:r>
          </w:p>
        </w:tc>
        <w:tc>
          <w:tcPr>
            <w:tcW w:w="1074" w:type="dxa"/>
            <w:tcBorders>
              <w:right w:val="double" w:sz="4" w:space="0" w:color="auto"/>
            </w:tcBorders>
          </w:tcPr>
          <w:p w14:paraId="4EC65F6F" w14:textId="77777777" w:rsidR="00C03475" w:rsidRPr="00C03475" w:rsidRDefault="00C03475" w:rsidP="00C03475">
            <w:pPr>
              <w:jc w:val="center"/>
              <w:rPr>
                <w:rFonts w:cs="Times New Roman"/>
                <w:sz w:val="24"/>
                <w:szCs w:val="24"/>
                <w:lang w:bidi="ar-SA"/>
              </w:rPr>
            </w:pPr>
            <w:r w:rsidRPr="00C03475">
              <w:rPr>
                <w:rFonts w:cs="Times New Roman"/>
                <w:sz w:val="24"/>
                <w:szCs w:val="24"/>
                <w:lang w:bidi="ar-SA"/>
              </w:rPr>
              <w:t>140.1%</w:t>
            </w:r>
          </w:p>
        </w:tc>
      </w:tr>
      <w:tr w:rsidR="00C03475" w:rsidRPr="00C03475" w14:paraId="24BFE9BF" w14:textId="77777777" w:rsidTr="00DA0E9C">
        <w:trPr>
          <w:jc w:val="center"/>
        </w:trPr>
        <w:tc>
          <w:tcPr>
            <w:tcW w:w="2825" w:type="dxa"/>
            <w:tcBorders>
              <w:left w:val="double" w:sz="4" w:space="0" w:color="auto"/>
              <w:bottom w:val="single" w:sz="4" w:space="0" w:color="auto"/>
            </w:tcBorders>
          </w:tcPr>
          <w:p w14:paraId="05B58D2E" w14:textId="0F80B265" w:rsidR="00C03475" w:rsidRPr="00C03475" w:rsidRDefault="00664DFC" w:rsidP="00C03475">
            <w:pPr>
              <w:rPr>
                <w:rFonts w:cs="Times New Roman"/>
                <w:lang w:bidi="ar-SA"/>
              </w:rPr>
            </w:pPr>
            <w:r>
              <w:rPr>
                <w:rFonts w:cs="Times New Roman"/>
                <w:lang w:bidi="ar-SA"/>
              </w:rPr>
              <w:t xml:space="preserve"> </w:t>
            </w:r>
            <w:r w:rsidR="00C03475" w:rsidRPr="00C03475">
              <w:rPr>
                <w:rFonts w:cs="Times New Roman"/>
                <w:lang w:bidi="ar-SA"/>
              </w:rPr>
              <w:t>Major Movable Equipment</w:t>
            </w:r>
          </w:p>
        </w:tc>
        <w:tc>
          <w:tcPr>
            <w:tcW w:w="1747" w:type="dxa"/>
            <w:tcBorders>
              <w:bottom w:val="single" w:sz="4" w:space="0" w:color="auto"/>
            </w:tcBorders>
          </w:tcPr>
          <w:p w14:paraId="20F5E100" w14:textId="77777777" w:rsidR="00C03475" w:rsidRPr="00C03475" w:rsidRDefault="00C03475" w:rsidP="00C03475">
            <w:pPr>
              <w:jc w:val="right"/>
              <w:rPr>
                <w:rFonts w:cs="Times New Roman"/>
                <w:sz w:val="24"/>
                <w:szCs w:val="24"/>
                <w:lang w:bidi="ar-SA"/>
              </w:rPr>
            </w:pPr>
            <w:r w:rsidRPr="00C03475">
              <w:rPr>
                <w:rFonts w:cs="Times New Roman"/>
                <w:sz w:val="24"/>
                <w:szCs w:val="24"/>
                <w:lang w:bidi="ar-SA"/>
              </w:rPr>
              <w:t>628,909</w:t>
            </w:r>
          </w:p>
        </w:tc>
        <w:tc>
          <w:tcPr>
            <w:tcW w:w="1887" w:type="dxa"/>
            <w:tcBorders>
              <w:bottom w:val="single" w:sz="4" w:space="0" w:color="auto"/>
            </w:tcBorders>
          </w:tcPr>
          <w:p w14:paraId="13C574D3" w14:textId="77777777" w:rsidR="00C03475" w:rsidRPr="00C03475" w:rsidRDefault="00C03475" w:rsidP="00C03475">
            <w:pPr>
              <w:jc w:val="right"/>
              <w:rPr>
                <w:rFonts w:cs="Times New Roman"/>
                <w:sz w:val="24"/>
                <w:szCs w:val="24"/>
                <w:lang w:bidi="ar-SA"/>
              </w:rPr>
            </w:pPr>
            <w:r w:rsidRPr="00C03475">
              <w:rPr>
                <w:rFonts w:cs="Times New Roman"/>
                <w:sz w:val="24"/>
                <w:szCs w:val="24"/>
                <w:lang w:bidi="ar-SA"/>
              </w:rPr>
              <w:t>629,000</w:t>
            </w:r>
          </w:p>
        </w:tc>
        <w:tc>
          <w:tcPr>
            <w:tcW w:w="1797" w:type="dxa"/>
            <w:tcBorders>
              <w:bottom w:val="single" w:sz="4" w:space="0" w:color="auto"/>
            </w:tcBorders>
          </w:tcPr>
          <w:p w14:paraId="191F827E" w14:textId="77777777" w:rsidR="00C03475" w:rsidRPr="00C03475" w:rsidRDefault="00C03475" w:rsidP="00C03475">
            <w:pPr>
              <w:jc w:val="right"/>
              <w:rPr>
                <w:rFonts w:cs="Times New Roman"/>
                <w:sz w:val="24"/>
                <w:szCs w:val="24"/>
                <w:lang w:bidi="ar-SA"/>
              </w:rPr>
            </w:pPr>
            <w:r w:rsidRPr="00C03475">
              <w:rPr>
                <w:rFonts w:cs="Times New Roman"/>
                <w:sz w:val="24"/>
                <w:szCs w:val="24"/>
                <w:lang w:bidi="ar-SA"/>
              </w:rPr>
              <w:t>91</w:t>
            </w:r>
          </w:p>
        </w:tc>
        <w:tc>
          <w:tcPr>
            <w:tcW w:w="1074" w:type="dxa"/>
            <w:tcBorders>
              <w:bottom w:val="single" w:sz="4" w:space="0" w:color="auto"/>
              <w:right w:val="double" w:sz="4" w:space="0" w:color="auto"/>
            </w:tcBorders>
          </w:tcPr>
          <w:p w14:paraId="68DDEC52" w14:textId="77777777" w:rsidR="00C03475" w:rsidRPr="00C03475" w:rsidRDefault="00C03475" w:rsidP="00C03475">
            <w:pPr>
              <w:jc w:val="center"/>
              <w:rPr>
                <w:rFonts w:cs="Times New Roman"/>
                <w:sz w:val="24"/>
                <w:szCs w:val="24"/>
                <w:lang w:bidi="ar-SA"/>
              </w:rPr>
            </w:pPr>
            <w:r w:rsidRPr="00C03475">
              <w:rPr>
                <w:rFonts w:cs="Times New Roman"/>
                <w:sz w:val="24"/>
                <w:szCs w:val="24"/>
                <w:lang w:bidi="ar-SA"/>
              </w:rPr>
              <w:t>0%</w:t>
            </w:r>
          </w:p>
        </w:tc>
      </w:tr>
      <w:tr w:rsidR="00C03475" w:rsidRPr="00C03475" w14:paraId="791F6DB5" w14:textId="77777777" w:rsidTr="00DA0E9C">
        <w:trPr>
          <w:jc w:val="center"/>
        </w:trPr>
        <w:tc>
          <w:tcPr>
            <w:tcW w:w="2825" w:type="dxa"/>
            <w:tcBorders>
              <w:left w:val="double" w:sz="4" w:space="0" w:color="auto"/>
              <w:bottom w:val="double" w:sz="4" w:space="0" w:color="auto"/>
            </w:tcBorders>
          </w:tcPr>
          <w:p w14:paraId="717703B3" w14:textId="77777777" w:rsidR="00C03475" w:rsidRPr="00C03475" w:rsidRDefault="00C03475" w:rsidP="00C03475">
            <w:pPr>
              <w:rPr>
                <w:rFonts w:cs="Times New Roman"/>
                <w:b/>
                <w:bCs/>
                <w:lang w:bidi="ar-SA"/>
              </w:rPr>
            </w:pPr>
            <w:r w:rsidRPr="00C03475">
              <w:rPr>
                <w:rFonts w:cs="Times New Roman"/>
                <w:b/>
                <w:bCs/>
                <w:lang w:bidi="ar-SA"/>
              </w:rPr>
              <w:t>Total Construction Cost</w:t>
            </w:r>
          </w:p>
        </w:tc>
        <w:tc>
          <w:tcPr>
            <w:tcW w:w="1747" w:type="dxa"/>
            <w:tcBorders>
              <w:bottom w:val="double" w:sz="4" w:space="0" w:color="auto"/>
            </w:tcBorders>
          </w:tcPr>
          <w:p w14:paraId="7DD5D685" w14:textId="77777777" w:rsidR="00C03475" w:rsidRPr="00C03475" w:rsidRDefault="00C03475" w:rsidP="00C03475">
            <w:pPr>
              <w:jc w:val="right"/>
              <w:rPr>
                <w:rFonts w:cs="Times New Roman"/>
                <w:b/>
                <w:bCs/>
                <w:sz w:val="24"/>
                <w:szCs w:val="24"/>
                <w:lang w:bidi="ar-SA"/>
              </w:rPr>
            </w:pPr>
            <w:r w:rsidRPr="00C03475">
              <w:rPr>
                <w:rFonts w:cs="Times New Roman"/>
                <w:b/>
                <w:bCs/>
                <w:sz w:val="24"/>
                <w:szCs w:val="24"/>
                <w:lang w:bidi="ar-SA"/>
              </w:rPr>
              <w:t>$9,929,417</w:t>
            </w:r>
          </w:p>
        </w:tc>
        <w:tc>
          <w:tcPr>
            <w:tcW w:w="1887" w:type="dxa"/>
            <w:tcBorders>
              <w:bottom w:val="double" w:sz="4" w:space="0" w:color="auto"/>
            </w:tcBorders>
          </w:tcPr>
          <w:p w14:paraId="0F93AD1F" w14:textId="77777777" w:rsidR="00C03475" w:rsidRPr="00C03475" w:rsidRDefault="00C03475" w:rsidP="00C03475">
            <w:pPr>
              <w:jc w:val="right"/>
              <w:rPr>
                <w:rFonts w:cs="Times New Roman"/>
                <w:b/>
                <w:bCs/>
                <w:sz w:val="24"/>
                <w:szCs w:val="24"/>
                <w:lang w:bidi="ar-SA"/>
              </w:rPr>
            </w:pPr>
            <w:r w:rsidRPr="00C03475">
              <w:rPr>
                <w:rFonts w:cs="Times New Roman"/>
                <w:b/>
                <w:bCs/>
                <w:sz w:val="24"/>
                <w:szCs w:val="24"/>
                <w:lang w:bidi="ar-SA"/>
              </w:rPr>
              <w:t>$17,076,078</w:t>
            </w:r>
          </w:p>
        </w:tc>
        <w:tc>
          <w:tcPr>
            <w:tcW w:w="1797" w:type="dxa"/>
            <w:tcBorders>
              <w:bottom w:val="double" w:sz="4" w:space="0" w:color="auto"/>
            </w:tcBorders>
          </w:tcPr>
          <w:p w14:paraId="2F653B08" w14:textId="77777777" w:rsidR="00C03475" w:rsidRPr="00C03475" w:rsidRDefault="00C03475" w:rsidP="00C03475">
            <w:pPr>
              <w:jc w:val="right"/>
              <w:rPr>
                <w:rFonts w:cs="Times New Roman"/>
                <w:b/>
                <w:bCs/>
                <w:sz w:val="24"/>
                <w:szCs w:val="24"/>
                <w:lang w:bidi="ar-SA"/>
              </w:rPr>
            </w:pPr>
          </w:p>
        </w:tc>
        <w:tc>
          <w:tcPr>
            <w:tcW w:w="1074" w:type="dxa"/>
            <w:tcBorders>
              <w:bottom w:val="double" w:sz="4" w:space="0" w:color="auto"/>
              <w:right w:val="double" w:sz="4" w:space="0" w:color="auto"/>
            </w:tcBorders>
          </w:tcPr>
          <w:p w14:paraId="5996614B" w14:textId="77777777" w:rsidR="00C03475" w:rsidRPr="00C03475" w:rsidRDefault="00C03475" w:rsidP="00C03475">
            <w:pPr>
              <w:jc w:val="center"/>
              <w:rPr>
                <w:rFonts w:cs="Times New Roman"/>
                <w:b/>
                <w:bCs/>
                <w:sz w:val="24"/>
                <w:szCs w:val="24"/>
                <w:lang w:bidi="ar-SA"/>
              </w:rPr>
            </w:pPr>
          </w:p>
        </w:tc>
      </w:tr>
      <w:tr w:rsidR="00C03475" w:rsidRPr="00C03475" w14:paraId="195DB317" w14:textId="77777777" w:rsidTr="00DA0E9C">
        <w:trPr>
          <w:jc w:val="center"/>
        </w:trPr>
        <w:tc>
          <w:tcPr>
            <w:tcW w:w="2825" w:type="dxa"/>
            <w:tcBorders>
              <w:top w:val="double" w:sz="4" w:space="0" w:color="auto"/>
              <w:left w:val="double" w:sz="4" w:space="0" w:color="auto"/>
              <w:bottom w:val="double" w:sz="4" w:space="0" w:color="auto"/>
            </w:tcBorders>
          </w:tcPr>
          <w:p w14:paraId="45C0B56F" w14:textId="321360F4" w:rsidR="00C03475" w:rsidRPr="00C03475" w:rsidRDefault="00664DFC" w:rsidP="00C03475">
            <w:pPr>
              <w:rPr>
                <w:rFonts w:cs="Times New Roman"/>
                <w:b/>
                <w:bCs/>
                <w:lang w:bidi="ar-SA"/>
              </w:rPr>
            </w:pPr>
            <w:r>
              <w:rPr>
                <w:rFonts w:cs="Times New Roman"/>
                <w:b/>
                <w:bCs/>
                <w:lang w:bidi="ar-SA"/>
              </w:rPr>
              <w:t xml:space="preserve">F. </w:t>
            </w:r>
            <w:r w:rsidR="00C03475" w:rsidRPr="00C03475">
              <w:rPr>
                <w:rFonts w:cs="Times New Roman"/>
                <w:b/>
                <w:bCs/>
                <w:lang w:bidi="ar-SA"/>
              </w:rPr>
              <w:t>Financing Costs</w:t>
            </w:r>
          </w:p>
        </w:tc>
        <w:tc>
          <w:tcPr>
            <w:tcW w:w="1747" w:type="dxa"/>
            <w:tcBorders>
              <w:top w:val="double" w:sz="4" w:space="0" w:color="auto"/>
              <w:bottom w:val="double" w:sz="4" w:space="0" w:color="auto"/>
            </w:tcBorders>
          </w:tcPr>
          <w:p w14:paraId="0CFD46C2" w14:textId="77777777" w:rsidR="00C03475" w:rsidRPr="00C03475" w:rsidRDefault="00C03475" w:rsidP="00C03475">
            <w:pPr>
              <w:jc w:val="right"/>
              <w:rPr>
                <w:rFonts w:cs="Times New Roman"/>
                <w:sz w:val="24"/>
                <w:szCs w:val="24"/>
                <w:lang w:bidi="ar-SA"/>
              </w:rPr>
            </w:pPr>
            <w:r w:rsidRPr="00C03475">
              <w:rPr>
                <w:rFonts w:cs="Times New Roman"/>
                <w:sz w:val="24"/>
                <w:szCs w:val="24"/>
                <w:lang w:bidi="ar-SA"/>
              </w:rPr>
              <w:t>158,305</w:t>
            </w:r>
          </w:p>
        </w:tc>
        <w:tc>
          <w:tcPr>
            <w:tcW w:w="1887" w:type="dxa"/>
            <w:tcBorders>
              <w:top w:val="double" w:sz="4" w:space="0" w:color="auto"/>
              <w:bottom w:val="double" w:sz="4" w:space="0" w:color="auto"/>
            </w:tcBorders>
          </w:tcPr>
          <w:p w14:paraId="6B903560" w14:textId="77777777" w:rsidR="00C03475" w:rsidRPr="00C03475" w:rsidRDefault="00C03475" w:rsidP="00C03475">
            <w:pPr>
              <w:jc w:val="right"/>
              <w:rPr>
                <w:rFonts w:cs="Times New Roman"/>
                <w:sz w:val="24"/>
                <w:szCs w:val="24"/>
                <w:lang w:bidi="ar-SA"/>
              </w:rPr>
            </w:pPr>
            <w:r w:rsidRPr="00C03475">
              <w:rPr>
                <w:rFonts w:cs="Times New Roman"/>
                <w:sz w:val="24"/>
                <w:szCs w:val="24"/>
                <w:lang w:bidi="ar-SA"/>
              </w:rPr>
              <w:t>420,422</w:t>
            </w:r>
          </w:p>
        </w:tc>
        <w:tc>
          <w:tcPr>
            <w:tcW w:w="1797" w:type="dxa"/>
            <w:tcBorders>
              <w:top w:val="double" w:sz="4" w:space="0" w:color="auto"/>
              <w:bottom w:val="double" w:sz="4" w:space="0" w:color="auto"/>
            </w:tcBorders>
          </w:tcPr>
          <w:p w14:paraId="165C86DC" w14:textId="77777777" w:rsidR="00C03475" w:rsidRPr="00C03475" w:rsidRDefault="00C03475" w:rsidP="00C03475">
            <w:pPr>
              <w:jc w:val="right"/>
              <w:rPr>
                <w:rFonts w:cs="Times New Roman"/>
                <w:sz w:val="24"/>
                <w:szCs w:val="24"/>
                <w:lang w:bidi="ar-SA"/>
              </w:rPr>
            </w:pPr>
            <w:r w:rsidRPr="00C03475">
              <w:rPr>
                <w:rFonts w:cs="Times New Roman"/>
                <w:sz w:val="24"/>
                <w:szCs w:val="24"/>
                <w:lang w:bidi="ar-SA"/>
              </w:rPr>
              <w:t>262,177</w:t>
            </w:r>
          </w:p>
        </w:tc>
        <w:tc>
          <w:tcPr>
            <w:tcW w:w="1074" w:type="dxa"/>
            <w:tcBorders>
              <w:top w:val="double" w:sz="4" w:space="0" w:color="auto"/>
              <w:bottom w:val="double" w:sz="4" w:space="0" w:color="auto"/>
              <w:right w:val="double" w:sz="4" w:space="0" w:color="auto"/>
            </w:tcBorders>
          </w:tcPr>
          <w:p w14:paraId="76AE5772" w14:textId="77777777" w:rsidR="00C03475" w:rsidRPr="00C03475" w:rsidRDefault="00C03475" w:rsidP="00C03475">
            <w:pPr>
              <w:jc w:val="center"/>
              <w:rPr>
                <w:rFonts w:cs="Times New Roman"/>
                <w:sz w:val="24"/>
                <w:szCs w:val="24"/>
                <w:lang w:bidi="ar-SA"/>
              </w:rPr>
            </w:pPr>
            <w:r w:rsidRPr="00C03475">
              <w:rPr>
                <w:rFonts w:cs="Times New Roman"/>
                <w:sz w:val="24"/>
                <w:szCs w:val="24"/>
                <w:lang w:bidi="ar-SA"/>
              </w:rPr>
              <w:t>165.6%</w:t>
            </w:r>
          </w:p>
        </w:tc>
      </w:tr>
      <w:tr w:rsidR="00C03475" w:rsidRPr="00C03475" w14:paraId="3B85B689" w14:textId="77777777" w:rsidTr="00DA0E9C">
        <w:trPr>
          <w:jc w:val="center"/>
        </w:trPr>
        <w:tc>
          <w:tcPr>
            <w:tcW w:w="2825" w:type="dxa"/>
            <w:tcBorders>
              <w:top w:val="double" w:sz="4" w:space="0" w:color="auto"/>
              <w:left w:val="double" w:sz="4" w:space="0" w:color="auto"/>
              <w:bottom w:val="double" w:sz="4" w:space="0" w:color="auto"/>
            </w:tcBorders>
          </w:tcPr>
          <w:p w14:paraId="3AAC4ACE" w14:textId="77777777" w:rsidR="00C03475" w:rsidRPr="00C03475" w:rsidRDefault="00C03475" w:rsidP="00C03475">
            <w:pPr>
              <w:rPr>
                <w:rFonts w:cs="Times New Roman"/>
                <w:b/>
                <w:bCs/>
                <w:lang w:bidi="ar-SA"/>
              </w:rPr>
            </w:pPr>
            <w:r w:rsidRPr="00C03475">
              <w:rPr>
                <w:rFonts w:cs="Times New Roman"/>
                <w:b/>
                <w:bCs/>
                <w:lang w:bidi="ar-SA"/>
              </w:rPr>
              <w:t>TOTAL</w:t>
            </w:r>
          </w:p>
        </w:tc>
        <w:tc>
          <w:tcPr>
            <w:tcW w:w="1747" w:type="dxa"/>
            <w:tcBorders>
              <w:top w:val="double" w:sz="4" w:space="0" w:color="auto"/>
              <w:bottom w:val="double" w:sz="4" w:space="0" w:color="auto"/>
            </w:tcBorders>
          </w:tcPr>
          <w:p w14:paraId="7EBE8551" w14:textId="77777777" w:rsidR="00C03475" w:rsidRPr="00C03475" w:rsidRDefault="00C03475" w:rsidP="00C03475">
            <w:pPr>
              <w:jc w:val="right"/>
              <w:rPr>
                <w:rFonts w:cs="Times New Roman"/>
                <w:b/>
                <w:bCs/>
                <w:sz w:val="24"/>
                <w:szCs w:val="24"/>
                <w:lang w:bidi="ar-SA"/>
              </w:rPr>
            </w:pPr>
            <w:r w:rsidRPr="00C03475">
              <w:rPr>
                <w:rFonts w:cs="Times New Roman"/>
                <w:b/>
                <w:bCs/>
                <w:sz w:val="24"/>
                <w:szCs w:val="24"/>
                <w:lang w:bidi="ar-SA"/>
              </w:rPr>
              <w:t>$10,087,722</w:t>
            </w:r>
          </w:p>
        </w:tc>
        <w:tc>
          <w:tcPr>
            <w:tcW w:w="1887" w:type="dxa"/>
            <w:tcBorders>
              <w:top w:val="double" w:sz="4" w:space="0" w:color="auto"/>
              <w:bottom w:val="double" w:sz="4" w:space="0" w:color="auto"/>
            </w:tcBorders>
          </w:tcPr>
          <w:p w14:paraId="6E0D7560" w14:textId="77777777" w:rsidR="00C03475" w:rsidRPr="00C03475" w:rsidRDefault="00C03475" w:rsidP="00C03475">
            <w:pPr>
              <w:jc w:val="right"/>
              <w:rPr>
                <w:rFonts w:cs="Times New Roman"/>
                <w:b/>
                <w:bCs/>
                <w:sz w:val="24"/>
                <w:szCs w:val="24"/>
                <w:lang w:bidi="ar-SA"/>
              </w:rPr>
            </w:pPr>
            <w:r w:rsidRPr="00C03475">
              <w:rPr>
                <w:rFonts w:cs="Times New Roman"/>
                <w:b/>
                <w:bCs/>
                <w:sz w:val="24"/>
                <w:szCs w:val="24"/>
                <w:lang w:bidi="ar-SA"/>
              </w:rPr>
              <w:t>$17,496,500</w:t>
            </w:r>
          </w:p>
        </w:tc>
        <w:tc>
          <w:tcPr>
            <w:tcW w:w="1797" w:type="dxa"/>
            <w:tcBorders>
              <w:top w:val="double" w:sz="4" w:space="0" w:color="auto"/>
              <w:bottom w:val="double" w:sz="4" w:space="0" w:color="auto"/>
            </w:tcBorders>
          </w:tcPr>
          <w:p w14:paraId="155CD4F2" w14:textId="77777777" w:rsidR="00C03475" w:rsidRPr="00C03475" w:rsidRDefault="00C03475" w:rsidP="00C03475">
            <w:pPr>
              <w:jc w:val="right"/>
              <w:rPr>
                <w:rFonts w:cs="Times New Roman"/>
                <w:b/>
                <w:bCs/>
                <w:sz w:val="24"/>
                <w:szCs w:val="24"/>
                <w:lang w:bidi="ar-SA"/>
              </w:rPr>
            </w:pPr>
            <w:r w:rsidRPr="00C03475">
              <w:rPr>
                <w:rFonts w:cs="Times New Roman"/>
                <w:b/>
                <w:bCs/>
                <w:sz w:val="24"/>
                <w:szCs w:val="24"/>
                <w:lang w:bidi="ar-SA"/>
              </w:rPr>
              <w:t>$7,408,788</w:t>
            </w:r>
          </w:p>
        </w:tc>
        <w:tc>
          <w:tcPr>
            <w:tcW w:w="1074" w:type="dxa"/>
            <w:tcBorders>
              <w:top w:val="double" w:sz="4" w:space="0" w:color="auto"/>
              <w:bottom w:val="double" w:sz="4" w:space="0" w:color="auto"/>
              <w:right w:val="double" w:sz="4" w:space="0" w:color="auto"/>
            </w:tcBorders>
          </w:tcPr>
          <w:p w14:paraId="2561FF23" w14:textId="77777777" w:rsidR="00C03475" w:rsidRPr="00C03475" w:rsidRDefault="00C03475" w:rsidP="00C03475">
            <w:pPr>
              <w:jc w:val="center"/>
              <w:rPr>
                <w:rFonts w:cs="Times New Roman"/>
                <w:b/>
                <w:bCs/>
                <w:sz w:val="24"/>
                <w:szCs w:val="24"/>
                <w:lang w:bidi="ar-SA"/>
              </w:rPr>
            </w:pPr>
            <w:r w:rsidRPr="00C03475">
              <w:rPr>
                <w:rFonts w:cs="Times New Roman"/>
                <w:b/>
                <w:bCs/>
                <w:sz w:val="24"/>
                <w:szCs w:val="24"/>
                <w:lang w:bidi="ar-SA"/>
              </w:rPr>
              <w:t>73.4%</w:t>
            </w:r>
          </w:p>
        </w:tc>
      </w:tr>
    </w:tbl>
    <w:p w14:paraId="0A51178B" w14:textId="77777777" w:rsidR="00827A3F" w:rsidRDefault="00827A3F" w:rsidP="00FB7024">
      <w:pPr>
        <w:spacing w:before="199"/>
        <w:ind w:left="720" w:right="-10"/>
        <w:rPr>
          <w:sz w:val="24"/>
        </w:rPr>
      </w:pPr>
    </w:p>
    <w:p w14:paraId="1887AB85" w14:textId="4329EE94" w:rsidR="00C03475" w:rsidRPr="00EE2EA9" w:rsidRDefault="001D3505" w:rsidP="006D238B">
      <w:pPr>
        <w:spacing w:before="199"/>
        <w:ind w:left="720" w:right="-10" w:hanging="270"/>
        <w:rPr>
          <w:sz w:val="24"/>
        </w:rPr>
      </w:pPr>
      <w:r w:rsidRPr="006D238B">
        <w:t xml:space="preserve">A.  </w:t>
      </w:r>
      <w:r w:rsidR="00C4016C" w:rsidRPr="006D238B">
        <w:rPr>
          <w:u w:val="single"/>
        </w:rPr>
        <w:t>Construction Contract</w:t>
      </w:r>
      <w:r w:rsidR="00C4016C" w:rsidRPr="006D238B">
        <w:t xml:space="preserve"> increases </w:t>
      </w:r>
      <w:r w:rsidR="00C844DB" w:rsidRPr="006D238B">
        <w:t xml:space="preserve">were reported by the Holder and </w:t>
      </w:r>
      <w:r w:rsidR="00C4016C" w:rsidRPr="006D238B">
        <w:t xml:space="preserve">are </w:t>
      </w:r>
      <w:r w:rsidR="00C844DB" w:rsidRPr="006D238B">
        <w:t>summariz</w:t>
      </w:r>
      <w:r w:rsidR="00C4016C" w:rsidRPr="006D238B">
        <w:t>ed below</w:t>
      </w:r>
      <w:r w:rsidR="00D22881" w:rsidRPr="006D238B">
        <w:t xml:space="preserve"> </w:t>
      </w:r>
      <w:r w:rsidR="00D22881" w:rsidRPr="00EE2EA9">
        <w:rPr>
          <w:sz w:val="24"/>
        </w:rPr>
        <w:t>(items 1-16 below are included in the construction contract)</w:t>
      </w:r>
      <w:r w:rsidR="00B61D5A" w:rsidRPr="00EE2EA9">
        <w:rPr>
          <w:sz w:val="24"/>
        </w:rPr>
        <w:t>. The main reasons for cost increases fall into three categories, 1)</w:t>
      </w:r>
      <w:r w:rsidR="009B0820" w:rsidRPr="00EE2EA9">
        <w:rPr>
          <w:sz w:val="24"/>
        </w:rPr>
        <w:t xml:space="preserve"> more extensive work discovered during investigation required for detailed engineering and construction plans</w:t>
      </w:r>
      <w:r w:rsidR="00B61D5A" w:rsidRPr="00EE2EA9">
        <w:rPr>
          <w:sz w:val="24"/>
        </w:rPr>
        <w:t>, 2) additional work required as a result of HUD financing</w:t>
      </w:r>
      <w:r w:rsidR="00476A62">
        <w:rPr>
          <w:sz w:val="24"/>
        </w:rPr>
        <w:t xml:space="preserve"> (described below, the main HUD related changes  include replacement, demolition and removal of boilers, replacement and repairs to electrical panels, façade and stairwell repairs, refurbishment of elevators, labor, additional inspections, and financing costs)</w:t>
      </w:r>
      <w:r w:rsidR="00B61D5A" w:rsidRPr="00EE2EA9">
        <w:rPr>
          <w:sz w:val="24"/>
        </w:rPr>
        <w:t>, and 3)</w:t>
      </w:r>
      <w:r w:rsidR="009B0820" w:rsidRPr="00EE2EA9">
        <w:rPr>
          <w:sz w:val="24"/>
        </w:rPr>
        <w:t xml:space="preserve"> increased cost of supplies and labor</w:t>
      </w:r>
      <w:r w:rsidR="00C4016C" w:rsidRPr="00EE2EA9">
        <w:rPr>
          <w:sz w:val="24"/>
        </w:rPr>
        <w:t>.</w:t>
      </w:r>
      <w:r w:rsidR="006D238B">
        <w:rPr>
          <w:sz w:val="24"/>
        </w:rPr>
        <w:t xml:space="preserve"> </w:t>
      </w:r>
    </w:p>
    <w:p w14:paraId="7AF8D350" w14:textId="09072197" w:rsidR="00516E81" w:rsidRPr="00F64715" w:rsidRDefault="00516E81" w:rsidP="00F64715">
      <w:pPr>
        <w:spacing w:before="199"/>
        <w:ind w:left="720" w:right="-10" w:hanging="270"/>
      </w:pPr>
    </w:p>
    <w:p w14:paraId="39A4AE3F" w14:textId="68D172FD" w:rsidR="00B61D5A" w:rsidRPr="001D3505" w:rsidRDefault="00B61D5A" w:rsidP="00E07C67">
      <w:pPr>
        <w:numPr>
          <w:ilvl w:val="0"/>
          <w:numId w:val="23"/>
        </w:numPr>
        <w:spacing w:before="199"/>
        <w:ind w:left="1260" w:right="-10"/>
        <w:rPr>
          <w:bCs/>
          <w:sz w:val="24"/>
        </w:rPr>
      </w:pPr>
      <w:r w:rsidRPr="001D3505">
        <w:rPr>
          <w:bCs/>
          <w:sz w:val="24"/>
        </w:rPr>
        <w:t xml:space="preserve">Mechanical costs were originally </w:t>
      </w:r>
      <w:r w:rsidR="00E07C67" w:rsidRPr="001D3505">
        <w:rPr>
          <w:bCs/>
          <w:sz w:val="24"/>
        </w:rPr>
        <w:t xml:space="preserve">estimated </w:t>
      </w:r>
      <w:r w:rsidR="00E07C67">
        <w:rPr>
          <w:bCs/>
          <w:sz w:val="24"/>
        </w:rPr>
        <w:t>at</w:t>
      </w:r>
      <w:r w:rsidR="001D3505">
        <w:rPr>
          <w:bCs/>
          <w:sz w:val="24"/>
        </w:rPr>
        <w:t xml:space="preserve"> </w:t>
      </w:r>
      <w:r w:rsidRPr="001D3505">
        <w:rPr>
          <w:bCs/>
          <w:sz w:val="24"/>
        </w:rPr>
        <w:t>$979,845. The current projected cost is $2,617,</w:t>
      </w:r>
      <w:r w:rsidR="001749E3">
        <w:rPr>
          <w:bCs/>
          <w:sz w:val="24"/>
        </w:rPr>
        <w:t>419, an increase of $1,638,574.</w:t>
      </w:r>
      <w:r w:rsidRPr="001D3505">
        <w:rPr>
          <w:bCs/>
          <w:sz w:val="24"/>
        </w:rPr>
        <w:t xml:space="preserve"> During the investigation required for detailed engineering and construction plans, it was determined that costs would be much higher because certain low ceiling heights required extensive routing of the ductwork (for supply and return air) from the ERUs to the individual rooms, and for the routing of refrigerant piping for heating and air-conditioning from the </w:t>
      </w:r>
      <w:proofErr w:type="gramStart"/>
      <w:r w:rsidRPr="001D3505">
        <w:rPr>
          <w:bCs/>
          <w:sz w:val="24"/>
        </w:rPr>
        <w:t>two new</w:t>
      </w:r>
      <w:proofErr w:type="gramEnd"/>
      <w:r w:rsidRPr="001D3505">
        <w:rPr>
          <w:bCs/>
          <w:sz w:val="24"/>
        </w:rPr>
        <w:t xml:space="preserve"> roof-mounted energy recovery heat pumps to the individual rooms.</w:t>
      </w:r>
    </w:p>
    <w:p w14:paraId="7F33ECC6" w14:textId="2AD84134" w:rsidR="00C03475" w:rsidRPr="001D3505" w:rsidRDefault="00C03475" w:rsidP="00E07C67">
      <w:pPr>
        <w:pStyle w:val="ListParagraph"/>
        <w:numPr>
          <w:ilvl w:val="0"/>
          <w:numId w:val="23"/>
        </w:numPr>
        <w:spacing w:before="199"/>
        <w:ind w:left="1260" w:right="-10"/>
        <w:rPr>
          <w:bCs/>
          <w:sz w:val="24"/>
        </w:rPr>
      </w:pPr>
      <w:r w:rsidRPr="001D3505">
        <w:rPr>
          <w:bCs/>
          <w:sz w:val="24"/>
        </w:rPr>
        <w:t xml:space="preserve">Roofing </w:t>
      </w:r>
      <w:r w:rsidR="00B61D5A" w:rsidRPr="001D3505">
        <w:rPr>
          <w:bCs/>
          <w:sz w:val="24"/>
        </w:rPr>
        <w:t>must now be done in phases to coordinate with mechanical systems installation, which significantly increases the costs.</w:t>
      </w:r>
      <w:r w:rsidR="009B0820" w:rsidRPr="001D3505">
        <w:rPr>
          <w:bCs/>
          <w:sz w:val="24"/>
        </w:rPr>
        <w:t xml:space="preserve"> </w:t>
      </w:r>
      <w:r w:rsidR="00B61D5A" w:rsidRPr="001D3505">
        <w:rPr>
          <w:bCs/>
          <w:sz w:val="24"/>
        </w:rPr>
        <w:t>T</w:t>
      </w:r>
      <w:r w:rsidRPr="001D3505">
        <w:rPr>
          <w:bCs/>
          <w:sz w:val="24"/>
        </w:rPr>
        <w:t xml:space="preserve">he initial </w:t>
      </w:r>
      <w:r w:rsidR="00C844DB" w:rsidRPr="001D3505">
        <w:rPr>
          <w:bCs/>
          <w:sz w:val="24"/>
        </w:rPr>
        <w:t xml:space="preserve">roofing </w:t>
      </w:r>
      <w:r w:rsidRPr="001D3505">
        <w:rPr>
          <w:bCs/>
          <w:sz w:val="24"/>
        </w:rPr>
        <w:t>estimate was $244,778; the current is $314,220</w:t>
      </w:r>
      <w:r w:rsidR="00C844DB" w:rsidRPr="001D3505">
        <w:rPr>
          <w:bCs/>
          <w:sz w:val="24"/>
        </w:rPr>
        <w:t xml:space="preserve">, </w:t>
      </w:r>
      <w:r w:rsidRPr="001D3505">
        <w:rPr>
          <w:bCs/>
          <w:sz w:val="24"/>
        </w:rPr>
        <w:t>is an increase of $69,442.</w:t>
      </w:r>
    </w:p>
    <w:p w14:paraId="749F545B" w14:textId="4899E8A1" w:rsidR="00C03475" w:rsidRPr="001D3505" w:rsidRDefault="00C03475" w:rsidP="00E07C67">
      <w:pPr>
        <w:numPr>
          <w:ilvl w:val="0"/>
          <w:numId w:val="23"/>
        </w:numPr>
        <w:spacing w:before="199"/>
        <w:ind w:left="1260" w:right="-10"/>
        <w:rPr>
          <w:bCs/>
          <w:sz w:val="24"/>
        </w:rPr>
      </w:pPr>
      <w:r w:rsidRPr="001D3505">
        <w:rPr>
          <w:bCs/>
          <w:sz w:val="24"/>
        </w:rPr>
        <w:t>Glass &amp; Glazing</w:t>
      </w:r>
      <w:r w:rsidR="001D3505">
        <w:rPr>
          <w:bCs/>
          <w:sz w:val="24"/>
        </w:rPr>
        <w:t>-</w:t>
      </w:r>
      <w:r w:rsidRPr="001D3505">
        <w:rPr>
          <w:bCs/>
          <w:sz w:val="24"/>
        </w:rPr>
        <w:t xml:space="preserve"> The initial estimate for the replacement windows needed </w:t>
      </w:r>
      <w:proofErr w:type="gramStart"/>
      <w:r w:rsidRPr="001D3505">
        <w:rPr>
          <w:bCs/>
          <w:sz w:val="24"/>
        </w:rPr>
        <w:t>in order to</w:t>
      </w:r>
      <w:proofErr w:type="gramEnd"/>
      <w:r w:rsidRPr="001D3505">
        <w:rPr>
          <w:bCs/>
          <w:sz w:val="24"/>
        </w:rPr>
        <w:t xml:space="preserve"> achieve temperature </w:t>
      </w:r>
      <w:r w:rsidR="00FE0A6C" w:rsidRPr="001D3505">
        <w:rPr>
          <w:bCs/>
          <w:sz w:val="24"/>
        </w:rPr>
        <w:t xml:space="preserve">uniformity </w:t>
      </w:r>
      <w:r w:rsidRPr="001D3505">
        <w:rPr>
          <w:bCs/>
          <w:sz w:val="24"/>
        </w:rPr>
        <w:t xml:space="preserve">for resident comfort </w:t>
      </w:r>
      <w:r w:rsidR="00FE0A6C" w:rsidRPr="001D3505">
        <w:rPr>
          <w:bCs/>
          <w:sz w:val="24"/>
        </w:rPr>
        <w:t xml:space="preserve">and energy efficiency </w:t>
      </w:r>
      <w:r w:rsidR="001749E3">
        <w:rPr>
          <w:bCs/>
          <w:sz w:val="24"/>
        </w:rPr>
        <w:t>was $995,044.</w:t>
      </w:r>
      <w:r w:rsidRPr="001D3505">
        <w:rPr>
          <w:bCs/>
          <w:sz w:val="24"/>
        </w:rPr>
        <w:t xml:space="preserve"> Current estimates are $1,30</w:t>
      </w:r>
      <w:r w:rsidR="001749E3">
        <w:rPr>
          <w:bCs/>
          <w:sz w:val="24"/>
        </w:rPr>
        <w:t>9,221, an increase of $314,177.</w:t>
      </w:r>
      <w:r w:rsidRPr="001D3505">
        <w:rPr>
          <w:bCs/>
          <w:sz w:val="24"/>
        </w:rPr>
        <w:t xml:space="preserve"> </w:t>
      </w:r>
      <w:r w:rsidR="001D3505">
        <w:rPr>
          <w:bCs/>
          <w:sz w:val="24"/>
        </w:rPr>
        <w:t>Testing showed that t</w:t>
      </w:r>
      <w:r w:rsidRPr="001D3505">
        <w:rPr>
          <w:bCs/>
          <w:sz w:val="24"/>
        </w:rPr>
        <w:t xml:space="preserve">he </w:t>
      </w:r>
      <w:r w:rsidR="00983CBB" w:rsidRPr="001D3505">
        <w:rPr>
          <w:bCs/>
          <w:sz w:val="24"/>
        </w:rPr>
        <w:t xml:space="preserve">old </w:t>
      </w:r>
      <w:r w:rsidRPr="001D3505">
        <w:rPr>
          <w:bCs/>
          <w:sz w:val="24"/>
        </w:rPr>
        <w:t xml:space="preserve">window caulking </w:t>
      </w:r>
      <w:r w:rsidR="00983CBB" w:rsidRPr="001D3505">
        <w:rPr>
          <w:bCs/>
          <w:sz w:val="24"/>
        </w:rPr>
        <w:t xml:space="preserve">contains </w:t>
      </w:r>
      <w:r w:rsidRPr="001D3505">
        <w:rPr>
          <w:bCs/>
          <w:sz w:val="24"/>
        </w:rPr>
        <w:t xml:space="preserve">asbestos, </w:t>
      </w:r>
      <w:r w:rsidR="00FE0A6C" w:rsidRPr="001D3505">
        <w:rPr>
          <w:bCs/>
          <w:sz w:val="24"/>
        </w:rPr>
        <w:t xml:space="preserve">making the </w:t>
      </w:r>
      <w:r w:rsidRPr="001D3505">
        <w:rPr>
          <w:bCs/>
          <w:sz w:val="24"/>
        </w:rPr>
        <w:t xml:space="preserve">replacement process </w:t>
      </w:r>
      <w:r w:rsidR="00983CBB" w:rsidRPr="001D3505">
        <w:rPr>
          <w:bCs/>
          <w:sz w:val="24"/>
        </w:rPr>
        <w:t xml:space="preserve">slower, </w:t>
      </w:r>
      <w:r w:rsidRPr="001D3505">
        <w:rPr>
          <w:bCs/>
          <w:sz w:val="24"/>
        </w:rPr>
        <w:t xml:space="preserve">more </w:t>
      </w:r>
      <w:r w:rsidR="00983CBB" w:rsidRPr="001D3505">
        <w:rPr>
          <w:bCs/>
          <w:sz w:val="24"/>
        </w:rPr>
        <w:t>complex</w:t>
      </w:r>
      <w:r w:rsidR="001D3505">
        <w:rPr>
          <w:bCs/>
          <w:sz w:val="24"/>
        </w:rPr>
        <w:t>,</w:t>
      </w:r>
      <w:r w:rsidR="00983CBB" w:rsidRPr="001D3505">
        <w:rPr>
          <w:bCs/>
          <w:sz w:val="24"/>
        </w:rPr>
        <w:t xml:space="preserve"> and </w:t>
      </w:r>
      <w:r w:rsidRPr="001D3505">
        <w:rPr>
          <w:bCs/>
          <w:sz w:val="24"/>
        </w:rPr>
        <w:t>labor intensive</w:t>
      </w:r>
      <w:r w:rsidR="00983CBB" w:rsidRPr="001D3505">
        <w:rPr>
          <w:bCs/>
          <w:sz w:val="24"/>
        </w:rPr>
        <w:t>. It i</w:t>
      </w:r>
      <w:r w:rsidR="00FE0A6C" w:rsidRPr="001D3505">
        <w:rPr>
          <w:bCs/>
          <w:sz w:val="24"/>
        </w:rPr>
        <w:t>nclud</w:t>
      </w:r>
      <w:r w:rsidR="00983CBB" w:rsidRPr="001D3505">
        <w:rPr>
          <w:bCs/>
          <w:sz w:val="24"/>
        </w:rPr>
        <w:t>es</w:t>
      </w:r>
      <w:r w:rsidRPr="001D3505">
        <w:rPr>
          <w:bCs/>
          <w:sz w:val="24"/>
        </w:rPr>
        <w:t xml:space="preserve"> </w:t>
      </w:r>
      <w:r w:rsidR="00983CBB" w:rsidRPr="001D3505">
        <w:rPr>
          <w:bCs/>
          <w:sz w:val="24"/>
        </w:rPr>
        <w:t xml:space="preserve">processes </w:t>
      </w:r>
      <w:r w:rsidRPr="001D3505">
        <w:rPr>
          <w:bCs/>
          <w:sz w:val="24"/>
        </w:rPr>
        <w:t xml:space="preserve">to assure </w:t>
      </w:r>
      <w:r w:rsidR="00FE0A6C" w:rsidRPr="001D3505">
        <w:rPr>
          <w:bCs/>
          <w:sz w:val="24"/>
        </w:rPr>
        <w:t xml:space="preserve">safety in </w:t>
      </w:r>
      <w:r w:rsidRPr="001D3505">
        <w:rPr>
          <w:bCs/>
          <w:sz w:val="24"/>
        </w:rPr>
        <w:t>staff and resident areas.</w:t>
      </w:r>
    </w:p>
    <w:p w14:paraId="73DD0770" w14:textId="30E3A74E" w:rsidR="00C03475" w:rsidRPr="001D3505" w:rsidRDefault="00C03475" w:rsidP="00E07C67">
      <w:pPr>
        <w:numPr>
          <w:ilvl w:val="0"/>
          <w:numId w:val="23"/>
        </w:numPr>
        <w:spacing w:before="199"/>
        <w:ind w:left="1260" w:right="-10"/>
        <w:rPr>
          <w:bCs/>
          <w:sz w:val="24"/>
        </w:rPr>
      </w:pPr>
      <w:r w:rsidRPr="001D3505">
        <w:rPr>
          <w:bCs/>
          <w:sz w:val="24"/>
        </w:rPr>
        <w:t>Drywall</w:t>
      </w:r>
      <w:r w:rsidR="001D3505" w:rsidRPr="001D3505">
        <w:rPr>
          <w:bCs/>
          <w:sz w:val="24"/>
        </w:rPr>
        <w:t xml:space="preserve">- </w:t>
      </w:r>
      <w:r w:rsidR="00983CBB" w:rsidRPr="001D3505">
        <w:rPr>
          <w:bCs/>
          <w:sz w:val="24"/>
        </w:rPr>
        <w:t>T</w:t>
      </w:r>
      <w:r w:rsidRPr="001D3505">
        <w:rPr>
          <w:bCs/>
          <w:sz w:val="24"/>
        </w:rPr>
        <w:t xml:space="preserve">he initial budget </w:t>
      </w:r>
      <w:r w:rsidR="001D3505">
        <w:rPr>
          <w:bCs/>
          <w:sz w:val="24"/>
        </w:rPr>
        <w:t xml:space="preserve">was </w:t>
      </w:r>
      <w:r w:rsidR="00983CBB" w:rsidRPr="001D3505">
        <w:rPr>
          <w:bCs/>
          <w:sz w:val="24"/>
        </w:rPr>
        <w:t>$414,164</w:t>
      </w:r>
      <w:r w:rsidR="00C844DB" w:rsidRPr="001D3505">
        <w:rPr>
          <w:bCs/>
          <w:sz w:val="24"/>
        </w:rPr>
        <w:t>. This</w:t>
      </w:r>
      <w:r w:rsidRPr="001D3505">
        <w:rPr>
          <w:bCs/>
          <w:sz w:val="24"/>
        </w:rPr>
        <w:t xml:space="preserve"> increased to $1,126,014</w:t>
      </w:r>
      <w:r w:rsidR="004A4809" w:rsidRPr="001D3505">
        <w:rPr>
          <w:bCs/>
          <w:sz w:val="24"/>
        </w:rPr>
        <w:t>,</w:t>
      </w:r>
      <w:r w:rsidRPr="001D3505">
        <w:rPr>
          <w:bCs/>
          <w:sz w:val="24"/>
        </w:rPr>
        <w:t xml:space="preserve"> an increase of $711,850. These cost increases are primarily attributed to an increase in </w:t>
      </w:r>
      <w:r w:rsidR="008E7C4C" w:rsidRPr="001D3505">
        <w:rPr>
          <w:bCs/>
          <w:sz w:val="24"/>
        </w:rPr>
        <w:t xml:space="preserve">the cost and amount of </w:t>
      </w:r>
      <w:r w:rsidR="00967965">
        <w:rPr>
          <w:bCs/>
          <w:sz w:val="24"/>
        </w:rPr>
        <w:t xml:space="preserve">materials </w:t>
      </w:r>
      <w:r w:rsidR="008E7C4C" w:rsidRPr="001D3505">
        <w:rPr>
          <w:bCs/>
          <w:sz w:val="24"/>
        </w:rPr>
        <w:t>needed</w:t>
      </w:r>
      <w:r w:rsidR="00C844DB" w:rsidRPr="001D3505">
        <w:rPr>
          <w:bCs/>
          <w:sz w:val="24"/>
        </w:rPr>
        <w:t xml:space="preserve"> for </w:t>
      </w:r>
      <w:r w:rsidRPr="001D3505">
        <w:rPr>
          <w:bCs/>
          <w:sz w:val="24"/>
        </w:rPr>
        <w:t>(</w:t>
      </w:r>
      <w:proofErr w:type="spellStart"/>
      <w:r w:rsidRPr="001D3505">
        <w:rPr>
          <w:bCs/>
          <w:sz w:val="24"/>
        </w:rPr>
        <w:t>i</w:t>
      </w:r>
      <w:proofErr w:type="spellEnd"/>
      <w:r w:rsidRPr="001D3505">
        <w:rPr>
          <w:bCs/>
          <w:sz w:val="24"/>
        </w:rPr>
        <w:t xml:space="preserve">) added soffits, drywall and ceilings; (ii) patient room and common area walls; (iii) </w:t>
      </w:r>
      <w:r w:rsidR="00967965">
        <w:rPr>
          <w:bCs/>
          <w:sz w:val="24"/>
        </w:rPr>
        <w:t xml:space="preserve">the </w:t>
      </w:r>
      <w:r w:rsidRPr="001D3505">
        <w:rPr>
          <w:bCs/>
          <w:sz w:val="24"/>
        </w:rPr>
        <w:t>extensive fire rated shaft walls</w:t>
      </w:r>
      <w:r w:rsidR="00FB7024" w:rsidRPr="001D3505">
        <w:rPr>
          <w:bCs/>
          <w:sz w:val="24"/>
        </w:rPr>
        <w:t xml:space="preserve"> </w:t>
      </w:r>
      <w:r w:rsidRPr="001D3505">
        <w:rPr>
          <w:bCs/>
          <w:sz w:val="24"/>
        </w:rPr>
        <w:t>required to wrap mechanical systems that ex</w:t>
      </w:r>
      <w:r w:rsidR="00967965">
        <w:rPr>
          <w:bCs/>
          <w:sz w:val="24"/>
        </w:rPr>
        <w:t xml:space="preserve">tend through the building; </w:t>
      </w:r>
      <w:r w:rsidRPr="001D3505">
        <w:rPr>
          <w:bCs/>
          <w:sz w:val="24"/>
        </w:rPr>
        <w:t>and (</w:t>
      </w:r>
      <w:r w:rsidR="00967965">
        <w:rPr>
          <w:bCs/>
          <w:sz w:val="24"/>
        </w:rPr>
        <w:t>i</w:t>
      </w:r>
      <w:r w:rsidRPr="001D3505">
        <w:rPr>
          <w:bCs/>
          <w:sz w:val="24"/>
        </w:rPr>
        <w:t xml:space="preserve">v) an increase in labor costs on a multi-phase process </w:t>
      </w:r>
      <w:r w:rsidR="00967965">
        <w:rPr>
          <w:bCs/>
          <w:sz w:val="24"/>
        </w:rPr>
        <w:t xml:space="preserve">which </w:t>
      </w:r>
      <w:r w:rsidR="00FB7024" w:rsidRPr="001D3505">
        <w:rPr>
          <w:bCs/>
          <w:sz w:val="24"/>
        </w:rPr>
        <w:t>w</w:t>
      </w:r>
      <w:r w:rsidR="00967965">
        <w:rPr>
          <w:bCs/>
          <w:sz w:val="24"/>
        </w:rPr>
        <w:t>as</w:t>
      </w:r>
      <w:r w:rsidR="00FB7024" w:rsidRPr="001D3505">
        <w:rPr>
          <w:bCs/>
          <w:sz w:val="24"/>
        </w:rPr>
        <w:t xml:space="preserve"> </w:t>
      </w:r>
      <w:r w:rsidRPr="001D3505">
        <w:rPr>
          <w:bCs/>
          <w:sz w:val="24"/>
        </w:rPr>
        <w:t xml:space="preserve">not fully reflected </w:t>
      </w:r>
      <w:r w:rsidR="00967965">
        <w:rPr>
          <w:bCs/>
          <w:sz w:val="24"/>
        </w:rPr>
        <w:t xml:space="preserve">in </w:t>
      </w:r>
      <w:r w:rsidRPr="001D3505">
        <w:rPr>
          <w:bCs/>
          <w:sz w:val="24"/>
        </w:rPr>
        <w:t xml:space="preserve">the initial cost estimate.  </w:t>
      </w:r>
    </w:p>
    <w:p w14:paraId="2FC2BC5C" w14:textId="250176D7" w:rsidR="00C03475" w:rsidRPr="00967965" w:rsidRDefault="00C03475" w:rsidP="00E07C67">
      <w:pPr>
        <w:numPr>
          <w:ilvl w:val="0"/>
          <w:numId w:val="23"/>
        </w:numPr>
        <w:spacing w:before="199"/>
        <w:ind w:left="1260" w:right="-10"/>
        <w:rPr>
          <w:bCs/>
          <w:sz w:val="24"/>
        </w:rPr>
      </w:pPr>
      <w:r w:rsidRPr="00967965">
        <w:rPr>
          <w:bCs/>
          <w:sz w:val="24"/>
        </w:rPr>
        <w:t xml:space="preserve">Wall Protection/Accessories </w:t>
      </w:r>
      <w:r w:rsidR="00967965">
        <w:rPr>
          <w:bCs/>
          <w:sz w:val="24"/>
        </w:rPr>
        <w:t>-</w:t>
      </w:r>
      <w:r w:rsidR="00983CBB" w:rsidRPr="00967965">
        <w:rPr>
          <w:bCs/>
          <w:sz w:val="24"/>
        </w:rPr>
        <w:t>T</w:t>
      </w:r>
      <w:r w:rsidRPr="00967965">
        <w:rPr>
          <w:bCs/>
          <w:sz w:val="24"/>
        </w:rPr>
        <w:t xml:space="preserve">he original projected </w:t>
      </w:r>
      <w:r w:rsidR="004333D9" w:rsidRPr="00967965">
        <w:rPr>
          <w:bCs/>
          <w:sz w:val="24"/>
        </w:rPr>
        <w:t>cost for this was</w:t>
      </w:r>
      <w:r w:rsidR="00983CBB" w:rsidRPr="00967965">
        <w:rPr>
          <w:bCs/>
          <w:sz w:val="24"/>
        </w:rPr>
        <w:t xml:space="preserve"> $153,957</w:t>
      </w:r>
      <w:r w:rsidR="001749E3">
        <w:rPr>
          <w:bCs/>
          <w:sz w:val="24"/>
        </w:rPr>
        <w:t>.</w:t>
      </w:r>
      <w:r w:rsidRPr="00967965">
        <w:rPr>
          <w:bCs/>
          <w:sz w:val="24"/>
        </w:rPr>
        <w:t xml:space="preserve"> The revised estimate </w:t>
      </w:r>
      <w:r w:rsidR="00983CBB" w:rsidRPr="00967965">
        <w:rPr>
          <w:bCs/>
          <w:sz w:val="24"/>
        </w:rPr>
        <w:t>is $346,088</w:t>
      </w:r>
      <w:r w:rsidR="004333D9" w:rsidRPr="00967965">
        <w:rPr>
          <w:bCs/>
          <w:sz w:val="24"/>
        </w:rPr>
        <w:t>,</w:t>
      </w:r>
      <w:r w:rsidRPr="00967965">
        <w:rPr>
          <w:bCs/>
          <w:sz w:val="24"/>
        </w:rPr>
        <w:t xml:space="preserve"> an increase of $192,131. This work </w:t>
      </w:r>
      <w:r w:rsidR="0030400B">
        <w:rPr>
          <w:bCs/>
          <w:sz w:val="24"/>
        </w:rPr>
        <w:t xml:space="preserve">is for </w:t>
      </w:r>
      <w:r w:rsidRPr="00967965">
        <w:rPr>
          <w:bCs/>
          <w:sz w:val="24"/>
        </w:rPr>
        <w:t xml:space="preserve">the application of protection devices </w:t>
      </w:r>
      <w:r w:rsidR="0030400B">
        <w:rPr>
          <w:bCs/>
          <w:sz w:val="24"/>
        </w:rPr>
        <w:t xml:space="preserve">such </w:t>
      </w:r>
      <w:r w:rsidRPr="00967965">
        <w:rPr>
          <w:bCs/>
          <w:sz w:val="24"/>
        </w:rPr>
        <w:t>as corner guards</w:t>
      </w:r>
      <w:r w:rsidR="0030400B">
        <w:rPr>
          <w:bCs/>
          <w:sz w:val="24"/>
        </w:rPr>
        <w:t>,</w:t>
      </w:r>
      <w:r w:rsidRPr="00967965">
        <w:rPr>
          <w:bCs/>
          <w:sz w:val="24"/>
        </w:rPr>
        <w:t xml:space="preserve"> door kick plates, interior signage, cubicle curtains and tracks; towel racks and toilet paper holders, metal lockers, and window shades. </w:t>
      </w:r>
      <w:r w:rsidR="004333D9" w:rsidRPr="00967965">
        <w:rPr>
          <w:bCs/>
          <w:sz w:val="24"/>
        </w:rPr>
        <w:t>T</w:t>
      </w:r>
      <w:r w:rsidRPr="00967965">
        <w:rPr>
          <w:bCs/>
          <w:sz w:val="24"/>
        </w:rPr>
        <w:t xml:space="preserve">he areas identified where wall protection was required were much greater than originally estimated </w:t>
      </w:r>
      <w:proofErr w:type="gramStart"/>
      <w:r w:rsidRPr="00967965">
        <w:rPr>
          <w:bCs/>
          <w:sz w:val="24"/>
        </w:rPr>
        <w:t xml:space="preserve">and </w:t>
      </w:r>
      <w:r w:rsidR="004333D9" w:rsidRPr="00967965">
        <w:rPr>
          <w:bCs/>
          <w:sz w:val="24"/>
        </w:rPr>
        <w:t>also</w:t>
      </w:r>
      <w:proofErr w:type="gramEnd"/>
      <w:r w:rsidR="004333D9" w:rsidRPr="00967965">
        <w:rPr>
          <w:bCs/>
          <w:sz w:val="24"/>
        </w:rPr>
        <w:t xml:space="preserve"> </w:t>
      </w:r>
      <w:r w:rsidRPr="00967965">
        <w:rPr>
          <w:bCs/>
          <w:sz w:val="24"/>
        </w:rPr>
        <w:t>accessory cost</w:t>
      </w:r>
      <w:r w:rsidR="00983CBB" w:rsidRPr="00967965">
        <w:rPr>
          <w:bCs/>
          <w:sz w:val="24"/>
        </w:rPr>
        <w:t>s</w:t>
      </w:r>
      <w:r w:rsidRPr="00967965">
        <w:rPr>
          <w:bCs/>
          <w:sz w:val="24"/>
        </w:rPr>
        <w:t xml:space="preserve"> have increased materially. </w:t>
      </w:r>
    </w:p>
    <w:p w14:paraId="665C5064" w14:textId="3CC0B708" w:rsidR="00C03475" w:rsidRPr="0030400B" w:rsidRDefault="00C03475" w:rsidP="00E07C67">
      <w:pPr>
        <w:numPr>
          <w:ilvl w:val="0"/>
          <w:numId w:val="23"/>
        </w:numPr>
        <w:spacing w:before="199"/>
        <w:ind w:left="1260" w:right="-10"/>
        <w:rPr>
          <w:bCs/>
          <w:sz w:val="24"/>
        </w:rPr>
      </w:pPr>
      <w:r w:rsidRPr="0030400B">
        <w:rPr>
          <w:bCs/>
          <w:sz w:val="24"/>
        </w:rPr>
        <w:t xml:space="preserve">Hazardous Material Abatement </w:t>
      </w:r>
      <w:r w:rsidR="0030400B">
        <w:rPr>
          <w:bCs/>
          <w:sz w:val="24"/>
        </w:rPr>
        <w:t>-</w:t>
      </w:r>
      <w:r w:rsidRPr="0030400B">
        <w:rPr>
          <w:bCs/>
          <w:sz w:val="24"/>
        </w:rPr>
        <w:t xml:space="preserve">The original estimate for asbestos abatement was $200,844. The current estimates </w:t>
      </w:r>
      <w:r w:rsidR="004333D9" w:rsidRPr="0030400B">
        <w:rPr>
          <w:bCs/>
          <w:sz w:val="24"/>
        </w:rPr>
        <w:t xml:space="preserve">are </w:t>
      </w:r>
      <w:r w:rsidR="008E7C4C" w:rsidRPr="0030400B">
        <w:rPr>
          <w:bCs/>
          <w:sz w:val="24"/>
        </w:rPr>
        <w:t>projected at</w:t>
      </w:r>
      <w:r w:rsidR="004A4809" w:rsidRPr="0030400B">
        <w:rPr>
          <w:bCs/>
          <w:sz w:val="24"/>
        </w:rPr>
        <w:t xml:space="preserve"> </w:t>
      </w:r>
      <w:r w:rsidR="004333D9" w:rsidRPr="0030400B">
        <w:rPr>
          <w:bCs/>
          <w:sz w:val="24"/>
        </w:rPr>
        <w:t>$333,153</w:t>
      </w:r>
      <w:r w:rsidR="00B460F3" w:rsidRPr="0030400B">
        <w:rPr>
          <w:bCs/>
          <w:sz w:val="24"/>
        </w:rPr>
        <w:t>,</w:t>
      </w:r>
      <w:r w:rsidRPr="0030400B">
        <w:rPr>
          <w:bCs/>
          <w:sz w:val="24"/>
        </w:rPr>
        <w:t xml:space="preserve"> an increase of $132,309</w:t>
      </w:r>
      <w:r w:rsidR="004333D9" w:rsidRPr="0030400B">
        <w:rPr>
          <w:bCs/>
          <w:sz w:val="24"/>
        </w:rPr>
        <w:t>.</w:t>
      </w:r>
      <w:r w:rsidRPr="0030400B">
        <w:rPr>
          <w:bCs/>
          <w:sz w:val="24"/>
        </w:rPr>
        <w:t xml:space="preserve"> The increase in hazardous material abatement costs is associated with additional areas</w:t>
      </w:r>
      <w:r w:rsidR="00B460F3" w:rsidRPr="0030400B">
        <w:rPr>
          <w:bCs/>
          <w:sz w:val="24"/>
        </w:rPr>
        <w:t>,</w:t>
      </w:r>
      <w:r w:rsidRPr="0030400B">
        <w:rPr>
          <w:bCs/>
          <w:sz w:val="24"/>
        </w:rPr>
        <w:t xml:space="preserve"> </w:t>
      </w:r>
      <w:r w:rsidR="009B0820" w:rsidRPr="0030400B">
        <w:rPr>
          <w:bCs/>
          <w:sz w:val="24"/>
        </w:rPr>
        <w:t>discovered during inspections</w:t>
      </w:r>
      <w:r w:rsidR="00B460F3" w:rsidRPr="0030400B">
        <w:rPr>
          <w:bCs/>
          <w:sz w:val="24"/>
        </w:rPr>
        <w:t xml:space="preserve">, </w:t>
      </w:r>
      <w:r w:rsidRPr="0030400B">
        <w:rPr>
          <w:bCs/>
          <w:sz w:val="24"/>
        </w:rPr>
        <w:t>requiring asbestos removal includ</w:t>
      </w:r>
      <w:r w:rsidR="00952364" w:rsidRPr="0030400B">
        <w:rPr>
          <w:bCs/>
          <w:sz w:val="24"/>
        </w:rPr>
        <w:t>ing</w:t>
      </w:r>
      <w:r w:rsidRPr="0030400B">
        <w:rPr>
          <w:bCs/>
          <w:sz w:val="24"/>
        </w:rPr>
        <w:t xml:space="preserve"> the flooring and window caulking materials</w:t>
      </w:r>
      <w:r w:rsidR="004333D9" w:rsidRPr="0030400B">
        <w:rPr>
          <w:bCs/>
          <w:sz w:val="24"/>
        </w:rPr>
        <w:t xml:space="preserve">, </w:t>
      </w:r>
      <w:r w:rsidR="00952364" w:rsidRPr="0030400B">
        <w:rPr>
          <w:bCs/>
          <w:sz w:val="24"/>
        </w:rPr>
        <w:t>along with</w:t>
      </w:r>
      <w:r w:rsidR="004333D9" w:rsidRPr="0030400B">
        <w:rPr>
          <w:bCs/>
          <w:sz w:val="24"/>
        </w:rPr>
        <w:t xml:space="preserve"> the </w:t>
      </w:r>
      <w:r w:rsidRPr="0030400B">
        <w:rPr>
          <w:bCs/>
          <w:sz w:val="24"/>
        </w:rPr>
        <w:t>need for increased testing</w:t>
      </w:r>
      <w:r w:rsidR="004333D9" w:rsidRPr="0030400B">
        <w:rPr>
          <w:bCs/>
          <w:sz w:val="24"/>
        </w:rPr>
        <w:t>,</w:t>
      </w:r>
      <w:r w:rsidRPr="0030400B">
        <w:rPr>
          <w:bCs/>
          <w:sz w:val="24"/>
        </w:rPr>
        <w:t xml:space="preserve"> monitoring, inspections and air clearance costs not reflected in prior estimates </w:t>
      </w:r>
    </w:p>
    <w:p w14:paraId="211D735F" w14:textId="06DCA159" w:rsidR="00C03475" w:rsidRPr="0030400B" w:rsidRDefault="00C03475" w:rsidP="00E07C67">
      <w:pPr>
        <w:numPr>
          <w:ilvl w:val="0"/>
          <w:numId w:val="23"/>
        </w:numPr>
        <w:spacing w:before="199"/>
        <w:ind w:left="1260" w:right="-10"/>
        <w:rPr>
          <w:bCs/>
          <w:sz w:val="24"/>
        </w:rPr>
      </w:pPr>
      <w:r w:rsidRPr="0030400B">
        <w:rPr>
          <w:bCs/>
          <w:sz w:val="24"/>
        </w:rPr>
        <w:t>Demolition Costs</w:t>
      </w:r>
      <w:r w:rsidR="0030400B" w:rsidRPr="0030400B">
        <w:rPr>
          <w:bCs/>
          <w:sz w:val="24"/>
        </w:rPr>
        <w:t xml:space="preserve"> </w:t>
      </w:r>
      <w:r w:rsidR="0030400B">
        <w:rPr>
          <w:bCs/>
          <w:sz w:val="24"/>
        </w:rPr>
        <w:t>-</w:t>
      </w:r>
      <w:r w:rsidR="0079786C" w:rsidRPr="0030400B">
        <w:rPr>
          <w:bCs/>
          <w:sz w:val="24"/>
        </w:rPr>
        <w:t xml:space="preserve">The </w:t>
      </w:r>
      <w:r w:rsidRPr="0030400B">
        <w:rPr>
          <w:bCs/>
          <w:sz w:val="24"/>
        </w:rPr>
        <w:t xml:space="preserve">original estimate </w:t>
      </w:r>
      <w:r w:rsidR="00952364" w:rsidRPr="0030400B">
        <w:rPr>
          <w:bCs/>
          <w:sz w:val="24"/>
        </w:rPr>
        <w:t xml:space="preserve">was </w:t>
      </w:r>
      <w:r w:rsidRPr="0030400B">
        <w:rPr>
          <w:bCs/>
          <w:sz w:val="24"/>
        </w:rPr>
        <w:t xml:space="preserve">$95,269; </w:t>
      </w:r>
      <w:r w:rsidR="0079786C" w:rsidRPr="0030400B">
        <w:rPr>
          <w:bCs/>
          <w:sz w:val="24"/>
        </w:rPr>
        <w:t xml:space="preserve">and the </w:t>
      </w:r>
      <w:r w:rsidR="001749E3">
        <w:rPr>
          <w:bCs/>
          <w:sz w:val="24"/>
        </w:rPr>
        <w:t>current is $288,892.</w:t>
      </w:r>
      <w:r w:rsidRPr="0030400B">
        <w:rPr>
          <w:bCs/>
          <w:sz w:val="24"/>
        </w:rPr>
        <w:t xml:space="preserve"> </w:t>
      </w:r>
      <w:r w:rsidR="00EB7AD0" w:rsidRPr="0030400B">
        <w:rPr>
          <w:bCs/>
          <w:sz w:val="24"/>
        </w:rPr>
        <w:t>The i</w:t>
      </w:r>
      <w:r w:rsidRPr="0030400B">
        <w:rPr>
          <w:bCs/>
          <w:sz w:val="24"/>
        </w:rPr>
        <w:t>ncrease</w:t>
      </w:r>
      <w:r w:rsidR="00EB7AD0" w:rsidRPr="0030400B">
        <w:rPr>
          <w:bCs/>
          <w:sz w:val="24"/>
        </w:rPr>
        <w:t xml:space="preserve"> is </w:t>
      </w:r>
      <w:r w:rsidRPr="0030400B">
        <w:rPr>
          <w:bCs/>
          <w:sz w:val="24"/>
        </w:rPr>
        <w:t>associated with routing of mechanical duct work and refrigeration piping</w:t>
      </w:r>
      <w:r w:rsidR="00EB7AD0" w:rsidRPr="0030400B">
        <w:rPr>
          <w:bCs/>
          <w:sz w:val="24"/>
        </w:rPr>
        <w:t xml:space="preserve"> through concrete block walls</w:t>
      </w:r>
      <w:r w:rsidR="00952364" w:rsidRPr="0030400B">
        <w:rPr>
          <w:bCs/>
          <w:sz w:val="24"/>
        </w:rPr>
        <w:t>;</w:t>
      </w:r>
      <w:r w:rsidRPr="0030400B">
        <w:rPr>
          <w:bCs/>
          <w:sz w:val="24"/>
        </w:rPr>
        <w:t xml:space="preserve"> increased plumbing and drainage piping replacements </w:t>
      </w:r>
      <w:r w:rsidRPr="0030400B">
        <w:rPr>
          <w:bCs/>
          <w:sz w:val="24"/>
        </w:rPr>
        <w:lastRenderedPageBreak/>
        <w:t xml:space="preserve">including cutting of the concrete floor slab at the Garden Level; and demolition </w:t>
      </w:r>
      <w:r w:rsidR="003D7120" w:rsidRPr="003D7120">
        <w:rPr>
          <w:bCs/>
          <w:sz w:val="24"/>
        </w:rPr>
        <w:t xml:space="preserve">and removal of four existing </w:t>
      </w:r>
      <w:r w:rsidRPr="0030400B">
        <w:rPr>
          <w:bCs/>
          <w:sz w:val="24"/>
        </w:rPr>
        <w:t>boilers</w:t>
      </w:r>
      <w:r w:rsidR="0030400B">
        <w:rPr>
          <w:bCs/>
          <w:sz w:val="24"/>
        </w:rPr>
        <w:t xml:space="preserve">, </w:t>
      </w:r>
      <w:r w:rsidRPr="0030400B">
        <w:rPr>
          <w:bCs/>
          <w:sz w:val="24"/>
        </w:rPr>
        <w:t>required by HUD</w:t>
      </w:r>
      <w:r w:rsidR="003D7120">
        <w:rPr>
          <w:bCs/>
          <w:sz w:val="24"/>
        </w:rPr>
        <w:t>.</w:t>
      </w:r>
      <w:r w:rsidR="00200964">
        <w:rPr>
          <w:bCs/>
          <w:sz w:val="24"/>
        </w:rPr>
        <w:t xml:space="preserve"> </w:t>
      </w:r>
      <w:r w:rsidR="003D7120" w:rsidRPr="003D7120">
        <w:rPr>
          <w:bCs/>
          <w:sz w:val="24"/>
        </w:rPr>
        <w:t xml:space="preserve">The Applicants has three active and one inactive boiler. Given their age HUD strongly recommended replacement of the </w:t>
      </w:r>
      <w:r w:rsidR="00B140FD">
        <w:rPr>
          <w:bCs/>
          <w:sz w:val="24"/>
        </w:rPr>
        <w:t xml:space="preserve">three active </w:t>
      </w:r>
      <w:r w:rsidR="003D7120" w:rsidRPr="003D7120">
        <w:rPr>
          <w:bCs/>
          <w:sz w:val="24"/>
        </w:rPr>
        <w:t xml:space="preserve">ones which the Applicant agreed to and </w:t>
      </w:r>
      <w:proofErr w:type="gramStart"/>
      <w:r w:rsidR="003D7120" w:rsidRPr="003D7120">
        <w:rPr>
          <w:bCs/>
          <w:sz w:val="24"/>
        </w:rPr>
        <w:t>as a result</w:t>
      </w:r>
      <w:proofErr w:type="gramEnd"/>
      <w:r w:rsidR="003D7120" w:rsidRPr="003D7120">
        <w:rPr>
          <w:bCs/>
          <w:sz w:val="24"/>
        </w:rPr>
        <w:t>, HUD required their removal despite there being sufficient space for the new unit</w:t>
      </w:r>
      <w:r w:rsidR="00B140FD">
        <w:rPr>
          <w:bCs/>
          <w:sz w:val="24"/>
        </w:rPr>
        <w:t xml:space="preserve"> in the same location</w:t>
      </w:r>
      <w:r w:rsidR="003D7120" w:rsidRPr="003D7120">
        <w:rPr>
          <w:bCs/>
          <w:sz w:val="24"/>
        </w:rPr>
        <w:t xml:space="preserve">. </w:t>
      </w:r>
      <w:r w:rsidR="00664DFC">
        <w:rPr>
          <w:bCs/>
          <w:sz w:val="24"/>
        </w:rPr>
        <w:t>(</w:t>
      </w:r>
      <w:r w:rsidR="001749E3">
        <w:rPr>
          <w:bCs/>
          <w:sz w:val="24"/>
        </w:rPr>
        <w:t>See</w:t>
      </w:r>
      <w:r w:rsidR="00664DFC">
        <w:rPr>
          <w:bCs/>
          <w:sz w:val="24"/>
        </w:rPr>
        <w:t xml:space="preserve"> also </w:t>
      </w:r>
      <w:r w:rsidR="00AA4E00">
        <w:rPr>
          <w:bCs/>
          <w:sz w:val="24"/>
        </w:rPr>
        <w:t xml:space="preserve">B. </w:t>
      </w:r>
      <w:r w:rsidR="00AA4E00" w:rsidRPr="00AA4E00">
        <w:rPr>
          <w:bCs/>
          <w:i/>
          <w:sz w:val="24"/>
        </w:rPr>
        <w:t xml:space="preserve">Fixed Equipment Not </w:t>
      </w:r>
      <w:proofErr w:type="gramStart"/>
      <w:r w:rsidR="00AA4E00" w:rsidRPr="00AA4E00">
        <w:rPr>
          <w:bCs/>
          <w:i/>
          <w:sz w:val="24"/>
        </w:rPr>
        <w:t>In</w:t>
      </w:r>
      <w:proofErr w:type="gramEnd"/>
      <w:r w:rsidR="00AA4E00" w:rsidRPr="00AA4E00">
        <w:rPr>
          <w:bCs/>
          <w:i/>
          <w:sz w:val="24"/>
        </w:rPr>
        <w:t xml:space="preserve"> Contract</w:t>
      </w:r>
      <w:r w:rsidR="00664DFC">
        <w:rPr>
          <w:bCs/>
          <w:sz w:val="24"/>
        </w:rPr>
        <w:t>, below)</w:t>
      </w:r>
      <w:r w:rsidR="00EB7AD0" w:rsidRPr="0030400B">
        <w:rPr>
          <w:bCs/>
          <w:sz w:val="24"/>
        </w:rPr>
        <w:t xml:space="preserve"> </w:t>
      </w:r>
      <w:r w:rsidRPr="0030400B">
        <w:rPr>
          <w:bCs/>
          <w:sz w:val="24"/>
        </w:rPr>
        <w:t xml:space="preserve">which was not </w:t>
      </w:r>
      <w:r w:rsidR="00952364" w:rsidRPr="0030400B">
        <w:rPr>
          <w:bCs/>
          <w:sz w:val="24"/>
        </w:rPr>
        <w:t>anticipated</w:t>
      </w:r>
      <w:r w:rsidR="00AA4E00">
        <w:rPr>
          <w:bCs/>
          <w:sz w:val="24"/>
        </w:rPr>
        <w:t>.</w:t>
      </w:r>
      <w:r w:rsidRPr="0030400B">
        <w:rPr>
          <w:bCs/>
          <w:sz w:val="24"/>
        </w:rPr>
        <w:t xml:space="preserve"> </w:t>
      </w:r>
      <w:proofErr w:type="gramStart"/>
      <w:r w:rsidR="00C4016C" w:rsidRPr="0030400B">
        <w:rPr>
          <w:bCs/>
          <w:sz w:val="24"/>
        </w:rPr>
        <w:t>As a result</w:t>
      </w:r>
      <w:proofErr w:type="gramEnd"/>
      <w:r w:rsidR="00952364" w:rsidRPr="0030400B">
        <w:rPr>
          <w:bCs/>
          <w:sz w:val="24"/>
        </w:rPr>
        <w:t>,</w:t>
      </w:r>
      <w:r w:rsidRPr="0030400B">
        <w:rPr>
          <w:bCs/>
          <w:sz w:val="24"/>
        </w:rPr>
        <w:t xml:space="preserve"> changes were made in the plans for plumbing, electrical, HVAC and other system access throughout building further increasing the demolition required. </w:t>
      </w:r>
    </w:p>
    <w:p w14:paraId="7D3C87F5" w14:textId="14616276" w:rsidR="00C03475" w:rsidRPr="00FB0705" w:rsidRDefault="00C03475" w:rsidP="00E07C67">
      <w:pPr>
        <w:numPr>
          <w:ilvl w:val="0"/>
          <w:numId w:val="23"/>
        </w:numPr>
        <w:spacing w:before="199"/>
        <w:ind w:left="1260" w:right="-10"/>
        <w:rPr>
          <w:bCs/>
          <w:sz w:val="24"/>
        </w:rPr>
      </w:pPr>
      <w:r w:rsidRPr="00FB0705">
        <w:rPr>
          <w:bCs/>
          <w:sz w:val="24"/>
        </w:rPr>
        <w:t>Plumbing</w:t>
      </w:r>
      <w:r w:rsidR="00FB0705">
        <w:rPr>
          <w:bCs/>
          <w:sz w:val="24"/>
        </w:rPr>
        <w:t xml:space="preserve">- </w:t>
      </w:r>
      <w:r w:rsidRPr="00FB0705">
        <w:rPr>
          <w:bCs/>
          <w:sz w:val="24"/>
        </w:rPr>
        <w:t xml:space="preserve">The </w:t>
      </w:r>
      <w:r w:rsidR="00EB7AD0" w:rsidRPr="00FB0705">
        <w:rPr>
          <w:bCs/>
          <w:sz w:val="24"/>
        </w:rPr>
        <w:t xml:space="preserve">initial </w:t>
      </w:r>
      <w:r w:rsidRPr="00FB0705">
        <w:rPr>
          <w:bCs/>
          <w:sz w:val="24"/>
        </w:rPr>
        <w:t xml:space="preserve">cost </w:t>
      </w:r>
      <w:r w:rsidR="00EB7AD0" w:rsidRPr="00FB0705">
        <w:rPr>
          <w:bCs/>
          <w:sz w:val="24"/>
        </w:rPr>
        <w:t xml:space="preserve">for </w:t>
      </w:r>
      <w:r w:rsidRPr="00FB0705">
        <w:rPr>
          <w:bCs/>
          <w:sz w:val="24"/>
        </w:rPr>
        <w:t>plumbing was $768,390; current estimates are $1,174,841</w:t>
      </w:r>
      <w:r w:rsidR="00EB7AD0" w:rsidRPr="00FB0705">
        <w:rPr>
          <w:bCs/>
          <w:sz w:val="24"/>
        </w:rPr>
        <w:t xml:space="preserve">, </w:t>
      </w:r>
      <w:r w:rsidR="001749E3">
        <w:rPr>
          <w:bCs/>
          <w:sz w:val="24"/>
        </w:rPr>
        <w:t>an increase of $406,451.</w:t>
      </w:r>
      <w:r w:rsidRPr="00FB0705">
        <w:rPr>
          <w:bCs/>
          <w:sz w:val="24"/>
        </w:rPr>
        <w:t xml:space="preserve"> The increase is primarily related to the </w:t>
      </w:r>
      <w:r w:rsidR="00EB7AD0" w:rsidRPr="00FB0705">
        <w:rPr>
          <w:bCs/>
          <w:sz w:val="24"/>
        </w:rPr>
        <w:t xml:space="preserve">larger </w:t>
      </w:r>
      <w:r w:rsidRPr="00FB0705">
        <w:rPr>
          <w:bCs/>
          <w:sz w:val="24"/>
        </w:rPr>
        <w:t>amount of existing plumbing and drainage piping throughout the building that requires replacement</w:t>
      </w:r>
      <w:r w:rsidR="00482AC7" w:rsidRPr="00FB0705">
        <w:rPr>
          <w:bCs/>
          <w:sz w:val="24"/>
        </w:rPr>
        <w:t xml:space="preserve"> and or re-routing</w:t>
      </w:r>
      <w:r w:rsidR="001749E3">
        <w:rPr>
          <w:bCs/>
          <w:sz w:val="24"/>
        </w:rPr>
        <w:t xml:space="preserve">. </w:t>
      </w:r>
      <w:r w:rsidR="00EB7AD0" w:rsidRPr="00FB0705">
        <w:rPr>
          <w:bCs/>
          <w:sz w:val="24"/>
        </w:rPr>
        <w:t>As mu</w:t>
      </w:r>
      <w:r w:rsidRPr="00FB0705">
        <w:rPr>
          <w:bCs/>
          <w:sz w:val="24"/>
        </w:rPr>
        <w:t xml:space="preserve">ch of </w:t>
      </w:r>
      <w:r w:rsidR="00EB7AD0" w:rsidRPr="00FB0705">
        <w:rPr>
          <w:bCs/>
          <w:sz w:val="24"/>
        </w:rPr>
        <w:t xml:space="preserve">the </w:t>
      </w:r>
      <w:r w:rsidRPr="00FB0705">
        <w:rPr>
          <w:bCs/>
          <w:sz w:val="24"/>
        </w:rPr>
        <w:t xml:space="preserve">plumbing </w:t>
      </w:r>
      <w:r w:rsidR="00EB7AD0" w:rsidRPr="00FB0705">
        <w:rPr>
          <w:bCs/>
          <w:sz w:val="24"/>
        </w:rPr>
        <w:t>i</w:t>
      </w:r>
      <w:r w:rsidRPr="00FB0705">
        <w:rPr>
          <w:bCs/>
          <w:sz w:val="24"/>
        </w:rPr>
        <w:t xml:space="preserve">s hidden behind walls, </w:t>
      </w:r>
      <w:r w:rsidR="00EB7AD0" w:rsidRPr="00FB0705">
        <w:rPr>
          <w:bCs/>
          <w:sz w:val="24"/>
        </w:rPr>
        <w:t xml:space="preserve">it </w:t>
      </w:r>
      <w:r w:rsidRPr="00FB0705">
        <w:rPr>
          <w:bCs/>
          <w:sz w:val="24"/>
        </w:rPr>
        <w:t xml:space="preserve">was </w:t>
      </w:r>
      <w:r w:rsidR="00EB7AD0" w:rsidRPr="00FB0705">
        <w:rPr>
          <w:bCs/>
          <w:sz w:val="24"/>
        </w:rPr>
        <w:t xml:space="preserve">only </w:t>
      </w:r>
      <w:r w:rsidRPr="00FB0705">
        <w:rPr>
          <w:bCs/>
          <w:sz w:val="24"/>
        </w:rPr>
        <w:t xml:space="preserve">identified as </w:t>
      </w:r>
      <w:r w:rsidR="00482AC7" w:rsidRPr="00FB0705">
        <w:rPr>
          <w:bCs/>
          <w:sz w:val="24"/>
        </w:rPr>
        <w:t xml:space="preserve">more extensive </w:t>
      </w:r>
      <w:r w:rsidRPr="00FB0705">
        <w:rPr>
          <w:bCs/>
          <w:sz w:val="24"/>
        </w:rPr>
        <w:t>engineering evaluations were performed to dev</w:t>
      </w:r>
      <w:r w:rsidR="00482AC7" w:rsidRPr="00FB0705">
        <w:rPr>
          <w:bCs/>
          <w:sz w:val="24"/>
        </w:rPr>
        <w:t xml:space="preserve">elop construction level plans. </w:t>
      </w:r>
    </w:p>
    <w:p w14:paraId="33F12A24" w14:textId="2B7F1B8D" w:rsidR="00C03475" w:rsidRPr="00FB0705" w:rsidRDefault="00C03475" w:rsidP="00E07C67">
      <w:pPr>
        <w:numPr>
          <w:ilvl w:val="0"/>
          <w:numId w:val="23"/>
        </w:numPr>
        <w:spacing w:before="199"/>
        <w:ind w:left="1260" w:right="-10"/>
        <w:rPr>
          <w:bCs/>
          <w:sz w:val="24"/>
        </w:rPr>
      </w:pPr>
      <w:r w:rsidRPr="00FB0705">
        <w:rPr>
          <w:bCs/>
          <w:sz w:val="24"/>
        </w:rPr>
        <w:t xml:space="preserve">Electrical </w:t>
      </w:r>
      <w:r w:rsidR="00FB0705">
        <w:rPr>
          <w:bCs/>
          <w:sz w:val="24"/>
        </w:rPr>
        <w:t>-</w:t>
      </w:r>
      <w:r w:rsidR="005E4E14" w:rsidRPr="00FB0705">
        <w:rPr>
          <w:bCs/>
          <w:sz w:val="24"/>
        </w:rPr>
        <w:t>The initial cost estimate of this extensive work was $1,222,961</w:t>
      </w:r>
      <w:r w:rsidR="00952364" w:rsidRPr="00FB0705">
        <w:rPr>
          <w:bCs/>
          <w:sz w:val="24"/>
        </w:rPr>
        <w:t>. It</w:t>
      </w:r>
      <w:r w:rsidR="005E4E14" w:rsidRPr="00FB0705">
        <w:rPr>
          <w:bCs/>
          <w:sz w:val="24"/>
        </w:rPr>
        <w:t xml:space="preserve"> is now estimated to be $1,775,208, which is an increase of $552,247. </w:t>
      </w:r>
      <w:r w:rsidR="00FB0705">
        <w:rPr>
          <w:bCs/>
          <w:sz w:val="24"/>
        </w:rPr>
        <w:t xml:space="preserve">It </w:t>
      </w:r>
      <w:r w:rsidR="00952364" w:rsidRPr="00FB0705">
        <w:rPr>
          <w:bCs/>
          <w:sz w:val="24"/>
        </w:rPr>
        <w:t>is a result of</w:t>
      </w:r>
      <w:r w:rsidR="005E4E14" w:rsidRPr="00FB0705">
        <w:rPr>
          <w:bCs/>
          <w:sz w:val="24"/>
        </w:rPr>
        <w:t xml:space="preserve"> increase</w:t>
      </w:r>
      <w:r w:rsidR="00DE3E0A" w:rsidRPr="00FB0705">
        <w:rPr>
          <w:bCs/>
          <w:sz w:val="24"/>
        </w:rPr>
        <w:t>s in supply costs</w:t>
      </w:r>
      <w:r w:rsidR="00B61D5A" w:rsidRPr="00FB0705">
        <w:rPr>
          <w:bCs/>
          <w:sz w:val="24"/>
        </w:rPr>
        <w:t>,</w:t>
      </w:r>
      <w:r w:rsidR="005E4E14" w:rsidRPr="00FB0705">
        <w:rPr>
          <w:bCs/>
          <w:sz w:val="24"/>
        </w:rPr>
        <w:t xml:space="preserve"> the required addition of a replacement emergency generator</w:t>
      </w:r>
      <w:r w:rsidR="00B61D5A" w:rsidRPr="00FB0705">
        <w:rPr>
          <w:bCs/>
          <w:sz w:val="24"/>
        </w:rPr>
        <w:t>,</w:t>
      </w:r>
      <w:r w:rsidR="005E4E14" w:rsidRPr="00FB0705">
        <w:rPr>
          <w:bCs/>
          <w:sz w:val="24"/>
        </w:rPr>
        <w:t xml:space="preserve"> and the increase in </w:t>
      </w:r>
      <w:r w:rsidR="00952364" w:rsidRPr="00FB0705">
        <w:rPr>
          <w:bCs/>
          <w:sz w:val="24"/>
        </w:rPr>
        <w:t xml:space="preserve">repairs and replacements of </w:t>
      </w:r>
      <w:r w:rsidR="005E4E14" w:rsidRPr="00FB0705">
        <w:rPr>
          <w:bCs/>
          <w:sz w:val="24"/>
        </w:rPr>
        <w:t xml:space="preserve">electrical panels and rewiring </w:t>
      </w:r>
      <w:r w:rsidR="00952364" w:rsidRPr="00FB0705">
        <w:rPr>
          <w:bCs/>
          <w:sz w:val="24"/>
        </w:rPr>
        <w:t xml:space="preserve">identified </w:t>
      </w:r>
      <w:r w:rsidR="00C36005" w:rsidRPr="00FB0705">
        <w:rPr>
          <w:bCs/>
          <w:sz w:val="24"/>
        </w:rPr>
        <w:t xml:space="preserve">by HUD and during </w:t>
      </w:r>
      <w:r w:rsidR="005E4E14" w:rsidRPr="00FB0705">
        <w:rPr>
          <w:bCs/>
          <w:sz w:val="24"/>
        </w:rPr>
        <w:t>the development of final construction plan</w:t>
      </w:r>
      <w:r w:rsidR="00C36005" w:rsidRPr="00FB0705">
        <w:rPr>
          <w:bCs/>
          <w:sz w:val="24"/>
        </w:rPr>
        <w:t>s.</w:t>
      </w:r>
      <w:r w:rsidR="005E4E14" w:rsidRPr="00FB0705">
        <w:rPr>
          <w:bCs/>
          <w:sz w:val="24"/>
        </w:rPr>
        <w:t xml:space="preserve"> </w:t>
      </w:r>
      <w:r w:rsidRPr="00FB0705">
        <w:rPr>
          <w:bCs/>
          <w:sz w:val="24"/>
        </w:rPr>
        <w:t>Replacement of and upgradin</w:t>
      </w:r>
      <w:r w:rsidR="00B61D5A" w:rsidRPr="00FB0705">
        <w:rPr>
          <w:bCs/>
          <w:sz w:val="24"/>
        </w:rPr>
        <w:t>g</w:t>
      </w:r>
      <w:r w:rsidRPr="00FB0705">
        <w:rPr>
          <w:bCs/>
          <w:sz w:val="24"/>
        </w:rPr>
        <w:t xml:space="preserve"> electrical systems to current standards was a material component of the capital expenditures for this Project as the wiring and systems in the facility have not been addressed in decades.</w:t>
      </w:r>
    </w:p>
    <w:p w14:paraId="36D16D33" w14:textId="770B0362" w:rsidR="00C03475" w:rsidRPr="00FB0705" w:rsidRDefault="00C03475" w:rsidP="00E07C67">
      <w:pPr>
        <w:numPr>
          <w:ilvl w:val="0"/>
          <w:numId w:val="23"/>
        </w:numPr>
        <w:spacing w:before="199"/>
        <w:ind w:left="1260" w:right="-10"/>
        <w:rPr>
          <w:bCs/>
          <w:sz w:val="24"/>
        </w:rPr>
      </w:pPr>
      <w:r w:rsidRPr="00FB0705">
        <w:rPr>
          <w:bCs/>
          <w:sz w:val="24"/>
        </w:rPr>
        <w:t xml:space="preserve">Contractor’s General Requirements </w:t>
      </w:r>
      <w:r w:rsidR="00FB0705">
        <w:rPr>
          <w:bCs/>
          <w:sz w:val="24"/>
        </w:rPr>
        <w:t>-</w:t>
      </w:r>
      <w:r w:rsidRPr="00FB0705">
        <w:rPr>
          <w:bCs/>
          <w:sz w:val="24"/>
        </w:rPr>
        <w:t xml:space="preserve">The estimates developed for the </w:t>
      </w:r>
      <w:proofErr w:type="spellStart"/>
      <w:r w:rsidRPr="00FB0705">
        <w:rPr>
          <w:bCs/>
          <w:sz w:val="24"/>
        </w:rPr>
        <w:t>DoN</w:t>
      </w:r>
      <w:proofErr w:type="spellEnd"/>
      <w:r w:rsidRPr="00FB0705">
        <w:rPr>
          <w:bCs/>
          <w:sz w:val="24"/>
        </w:rPr>
        <w:t xml:space="preserve"> included contractor overhead or general requirements of $104,005</w:t>
      </w:r>
      <w:r w:rsidR="00DE3E0A" w:rsidRPr="00FB0705">
        <w:rPr>
          <w:bCs/>
          <w:sz w:val="24"/>
        </w:rPr>
        <w:t xml:space="preserve">. </w:t>
      </w:r>
      <w:r w:rsidR="006A3A55" w:rsidRPr="00FB0705">
        <w:rPr>
          <w:bCs/>
          <w:sz w:val="24"/>
        </w:rPr>
        <w:t xml:space="preserve">With </w:t>
      </w:r>
      <w:r w:rsidRPr="00FB0705">
        <w:rPr>
          <w:bCs/>
          <w:sz w:val="24"/>
        </w:rPr>
        <w:t xml:space="preserve">construction level plans </w:t>
      </w:r>
      <w:r w:rsidR="006A3A55" w:rsidRPr="00FB0705">
        <w:rPr>
          <w:bCs/>
          <w:sz w:val="24"/>
        </w:rPr>
        <w:t xml:space="preserve">now </w:t>
      </w:r>
      <w:r w:rsidRPr="00FB0705">
        <w:rPr>
          <w:bCs/>
          <w:sz w:val="24"/>
        </w:rPr>
        <w:t>available</w:t>
      </w:r>
      <w:r w:rsidR="00DE3E0A" w:rsidRPr="00FB0705">
        <w:rPr>
          <w:bCs/>
          <w:sz w:val="24"/>
        </w:rPr>
        <w:t>, the current estimate</w:t>
      </w:r>
      <w:r w:rsidR="002B7508" w:rsidRPr="00FB0705">
        <w:rPr>
          <w:bCs/>
          <w:sz w:val="24"/>
        </w:rPr>
        <w:t xml:space="preserve"> </w:t>
      </w:r>
      <w:r w:rsidR="00DE3E0A" w:rsidRPr="00FB0705">
        <w:rPr>
          <w:bCs/>
          <w:sz w:val="24"/>
        </w:rPr>
        <w:t>is</w:t>
      </w:r>
      <w:r w:rsidRPr="00FB0705">
        <w:rPr>
          <w:bCs/>
          <w:sz w:val="24"/>
        </w:rPr>
        <w:t xml:space="preserve"> $181,266</w:t>
      </w:r>
      <w:r w:rsidR="00DE3E0A" w:rsidRPr="00FB0705">
        <w:rPr>
          <w:bCs/>
          <w:sz w:val="24"/>
        </w:rPr>
        <w:t xml:space="preserve">, </w:t>
      </w:r>
      <w:r w:rsidRPr="00FB0705">
        <w:rPr>
          <w:bCs/>
          <w:sz w:val="24"/>
        </w:rPr>
        <w:t xml:space="preserve">an increase of $77,261. The increase is a result of the additional </w:t>
      </w:r>
      <w:r w:rsidR="00DE3E0A" w:rsidRPr="00FB0705">
        <w:rPr>
          <w:bCs/>
          <w:sz w:val="24"/>
        </w:rPr>
        <w:t xml:space="preserve">necessary </w:t>
      </w:r>
      <w:r w:rsidRPr="00FB0705">
        <w:rPr>
          <w:bCs/>
          <w:sz w:val="24"/>
        </w:rPr>
        <w:t xml:space="preserve">work </w:t>
      </w:r>
      <w:r w:rsidR="00FB0705">
        <w:rPr>
          <w:bCs/>
          <w:sz w:val="24"/>
        </w:rPr>
        <w:t xml:space="preserve">identified, </w:t>
      </w:r>
      <w:r w:rsidRPr="00FB0705">
        <w:rPr>
          <w:bCs/>
          <w:sz w:val="24"/>
        </w:rPr>
        <w:t xml:space="preserve">and </w:t>
      </w:r>
      <w:r w:rsidR="00DE3E0A" w:rsidRPr="00FB0705">
        <w:rPr>
          <w:bCs/>
          <w:sz w:val="24"/>
        </w:rPr>
        <w:t xml:space="preserve">the </w:t>
      </w:r>
      <w:r w:rsidR="002B7508" w:rsidRPr="00FB0705">
        <w:rPr>
          <w:bCs/>
          <w:sz w:val="24"/>
        </w:rPr>
        <w:t xml:space="preserve">required </w:t>
      </w:r>
      <w:r w:rsidRPr="00FB0705">
        <w:rPr>
          <w:bCs/>
          <w:sz w:val="24"/>
        </w:rPr>
        <w:t xml:space="preserve">phasing needed </w:t>
      </w:r>
      <w:r w:rsidR="00DE3E0A" w:rsidRPr="00FB0705">
        <w:rPr>
          <w:bCs/>
          <w:sz w:val="24"/>
        </w:rPr>
        <w:t xml:space="preserve">which </w:t>
      </w:r>
      <w:r w:rsidR="006A3A55" w:rsidRPr="00FB0705">
        <w:rPr>
          <w:bCs/>
          <w:sz w:val="24"/>
        </w:rPr>
        <w:t xml:space="preserve">will </w:t>
      </w:r>
      <w:r w:rsidR="00DE3E0A" w:rsidRPr="00FB0705">
        <w:rPr>
          <w:bCs/>
          <w:sz w:val="24"/>
        </w:rPr>
        <w:t>extend the construction timeline</w:t>
      </w:r>
      <w:r w:rsidR="002B7508" w:rsidRPr="00FB0705">
        <w:rPr>
          <w:bCs/>
          <w:sz w:val="24"/>
        </w:rPr>
        <w:t>.</w:t>
      </w:r>
      <w:r w:rsidRPr="00FB0705">
        <w:rPr>
          <w:bCs/>
          <w:sz w:val="24"/>
        </w:rPr>
        <w:t xml:space="preserve"> </w:t>
      </w:r>
    </w:p>
    <w:p w14:paraId="18C91871" w14:textId="36003105" w:rsidR="00C03475" w:rsidRPr="00FB0705" w:rsidRDefault="00C03475" w:rsidP="00E07C67">
      <w:pPr>
        <w:numPr>
          <w:ilvl w:val="0"/>
          <w:numId w:val="23"/>
        </w:numPr>
        <w:spacing w:before="199"/>
        <w:ind w:left="1260" w:right="-10"/>
        <w:rPr>
          <w:bCs/>
          <w:sz w:val="24"/>
        </w:rPr>
      </w:pPr>
      <w:r w:rsidRPr="00FB0705">
        <w:rPr>
          <w:bCs/>
          <w:sz w:val="24"/>
        </w:rPr>
        <w:t xml:space="preserve">Contractor’s General Conditions Labor Costs </w:t>
      </w:r>
      <w:r w:rsidR="00FB0705">
        <w:rPr>
          <w:bCs/>
          <w:sz w:val="24"/>
        </w:rPr>
        <w:t>-</w:t>
      </w:r>
      <w:proofErr w:type="gramStart"/>
      <w:r w:rsidR="00B460F3" w:rsidRPr="00FB0705">
        <w:rPr>
          <w:bCs/>
          <w:sz w:val="24"/>
        </w:rPr>
        <w:t>As a consequence of</w:t>
      </w:r>
      <w:proofErr w:type="gramEnd"/>
      <w:r w:rsidR="00B460F3" w:rsidRPr="00FB0705">
        <w:rPr>
          <w:bCs/>
          <w:sz w:val="24"/>
        </w:rPr>
        <w:t xml:space="preserve"> the increase in </w:t>
      </w:r>
      <w:r w:rsidR="00200964">
        <w:rPr>
          <w:bCs/>
          <w:sz w:val="24"/>
        </w:rPr>
        <w:t>the scope of</w:t>
      </w:r>
      <w:r w:rsidR="00B460F3" w:rsidRPr="00FB0705">
        <w:rPr>
          <w:bCs/>
          <w:sz w:val="24"/>
        </w:rPr>
        <w:t xml:space="preserve"> work and the </w:t>
      </w:r>
      <w:r w:rsidR="00200964">
        <w:rPr>
          <w:bCs/>
          <w:sz w:val="24"/>
        </w:rPr>
        <w:t xml:space="preserve">subsequent longer </w:t>
      </w:r>
      <w:r w:rsidR="00B460F3" w:rsidRPr="00FB0705">
        <w:rPr>
          <w:bCs/>
          <w:sz w:val="24"/>
        </w:rPr>
        <w:t>construction period.</w:t>
      </w:r>
      <w:r w:rsidRPr="00FB0705">
        <w:rPr>
          <w:bCs/>
          <w:sz w:val="24"/>
        </w:rPr>
        <w:t xml:space="preserve"> </w:t>
      </w:r>
      <w:r w:rsidR="001749E3" w:rsidRPr="00FB0705">
        <w:rPr>
          <w:bCs/>
          <w:sz w:val="24"/>
        </w:rPr>
        <w:t>The</w:t>
      </w:r>
      <w:r w:rsidRPr="00FB0705">
        <w:rPr>
          <w:bCs/>
          <w:sz w:val="24"/>
        </w:rPr>
        <w:t xml:space="preserve"> Contractor’s General Conditions Labor Costs increased</w:t>
      </w:r>
      <w:r w:rsidR="00B460F3" w:rsidRPr="00FB0705">
        <w:rPr>
          <w:bCs/>
          <w:sz w:val="24"/>
        </w:rPr>
        <w:t>.</w:t>
      </w:r>
      <w:r w:rsidRPr="00FB0705">
        <w:rPr>
          <w:bCs/>
          <w:sz w:val="24"/>
        </w:rPr>
        <w:t xml:space="preserve"> Initial Contractor Labor Costs were estimated at $489,762</w:t>
      </w:r>
      <w:r w:rsidR="00DE3E0A" w:rsidRPr="00FB0705">
        <w:rPr>
          <w:bCs/>
          <w:sz w:val="24"/>
        </w:rPr>
        <w:t>. T</w:t>
      </w:r>
      <w:r w:rsidRPr="00FB0705">
        <w:rPr>
          <w:bCs/>
          <w:sz w:val="24"/>
        </w:rPr>
        <w:t>he current proposed amount is $857,924</w:t>
      </w:r>
      <w:r w:rsidR="00DE3E0A" w:rsidRPr="00FB0705">
        <w:rPr>
          <w:bCs/>
          <w:sz w:val="24"/>
        </w:rPr>
        <w:t xml:space="preserve">, </w:t>
      </w:r>
      <w:r w:rsidRPr="00FB0705">
        <w:rPr>
          <w:bCs/>
          <w:sz w:val="24"/>
        </w:rPr>
        <w:t>an increase of $368,162.</w:t>
      </w:r>
    </w:p>
    <w:p w14:paraId="55288648" w14:textId="527BD0CD" w:rsidR="00C03475" w:rsidRPr="00FB0705" w:rsidRDefault="00C03475" w:rsidP="00E07C67">
      <w:pPr>
        <w:numPr>
          <w:ilvl w:val="0"/>
          <w:numId w:val="23"/>
        </w:numPr>
        <w:spacing w:before="199"/>
        <w:ind w:left="1260" w:right="-10"/>
        <w:rPr>
          <w:bCs/>
          <w:sz w:val="24"/>
        </w:rPr>
      </w:pPr>
      <w:r w:rsidRPr="00FB0705">
        <w:rPr>
          <w:bCs/>
          <w:sz w:val="24"/>
        </w:rPr>
        <w:t>Contractor’s Fee</w:t>
      </w:r>
      <w:r w:rsidR="00FB0705" w:rsidRPr="00FB0705">
        <w:rPr>
          <w:bCs/>
          <w:sz w:val="24"/>
        </w:rPr>
        <w:t xml:space="preserve"> </w:t>
      </w:r>
      <w:r w:rsidR="00FB0705">
        <w:rPr>
          <w:bCs/>
          <w:sz w:val="24"/>
        </w:rPr>
        <w:t>-</w:t>
      </w:r>
      <w:r w:rsidRPr="00FB0705">
        <w:rPr>
          <w:bCs/>
          <w:sz w:val="24"/>
        </w:rPr>
        <w:t>The initial estimated Contractor Fee was $209,898; with th</w:t>
      </w:r>
      <w:r w:rsidR="00FB0705">
        <w:rPr>
          <w:bCs/>
          <w:sz w:val="24"/>
        </w:rPr>
        <w:t>e</w:t>
      </w:r>
      <w:r w:rsidRPr="00FB0705">
        <w:rPr>
          <w:bCs/>
          <w:sz w:val="24"/>
        </w:rPr>
        <w:t xml:space="preserve"> increased length of time for construction and the </w:t>
      </w:r>
      <w:r w:rsidR="00DE3E0A" w:rsidRPr="00FB0705">
        <w:rPr>
          <w:bCs/>
          <w:sz w:val="24"/>
        </w:rPr>
        <w:t xml:space="preserve">additional </w:t>
      </w:r>
      <w:r w:rsidRPr="00FB0705">
        <w:rPr>
          <w:bCs/>
          <w:sz w:val="24"/>
        </w:rPr>
        <w:t xml:space="preserve">work required, the contractor currently estimates a fee of $362,695, a $152,797 increase in the </w:t>
      </w:r>
      <w:r w:rsidR="00C414F5" w:rsidRPr="00FB0705">
        <w:rPr>
          <w:bCs/>
          <w:sz w:val="24"/>
        </w:rPr>
        <w:t xml:space="preserve">original </w:t>
      </w:r>
      <w:proofErr w:type="spellStart"/>
      <w:r w:rsidRPr="00FB0705">
        <w:rPr>
          <w:bCs/>
          <w:sz w:val="24"/>
        </w:rPr>
        <w:t>DoN</w:t>
      </w:r>
      <w:proofErr w:type="spellEnd"/>
      <w:r w:rsidRPr="00FB0705">
        <w:rPr>
          <w:bCs/>
          <w:sz w:val="24"/>
        </w:rPr>
        <w:t xml:space="preserve"> </w:t>
      </w:r>
      <w:r w:rsidR="00C414F5" w:rsidRPr="00FB0705">
        <w:rPr>
          <w:bCs/>
          <w:sz w:val="24"/>
        </w:rPr>
        <w:t>approved costs</w:t>
      </w:r>
      <w:r w:rsidRPr="00FB0705">
        <w:rPr>
          <w:bCs/>
          <w:sz w:val="24"/>
        </w:rPr>
        <w:t>.</w:t>
      </w:r>
    </w:p>
    <w:p w14:paraId="7F00474C" w14:textId="654487B0" w:rsidR="00C03475" w:rsidRPr="00FB0705" w:rsidRDefault="00C03475" w:rsidP="00E07C67">
      <w:pPr>
        <w:numPr>
          <w:ilvl w:val="0"/>
          <w:numId w:val="23"/>
        </w:numPr>
        <w:spacing w:before="199"/>
        <w:ind w:left="1260" w:right="-10"/>
        <w:rPr>
          <w:bCs/>
          <w:sz w:val="24"/>
        </w:rPr>
      </w:pPr>
      <w:r w:rsidRPr="00FB0705">
        <w:rPr>
          <w:bCs/>
          <w:sz w:val="24"/>
        </w:rPr>
        <w:t>Permits &amp; Fees</w:t>
      </w:r>
      <w:r w:rsidR="00FB0705" w:rsidRPr="00FB0705">
        <w:rPr>
          <w:bCs/>
          <w:sz w:val="24"/>
        </w:rPr>
        <w:t xml:space="preserve"> </w:t>
      </w:r>
      <w:r w:rsidR="00FB0705">
        <w:rPr>
          <w:bCs/>
          <w:sz w:val="24"/>
        </w:rPr>
        <w:t>-</w:t>
      </w:r>
      <w:r w:rsidR="002B7508" w:rsidRPr="00FB0705">
        <w:rPr>
          <w:bCs/>
          <w:sz w:val="24"/>
        </w:rPr>
        <w:t>The</w:t>
      </w:r>
      <w:r w:rsidRPr="00FB0705">
        <w:rPr>
          <w:bCs/>
          <w:sz w:val="24"/>
        </w:rPr>
        <w:t xml:space="preserve"> original</w:t>
      </w:r>
      <w:r w:rsidR="002B7508" w:rsidRPr="00FB0705">
        <w:rPr>
          <w:bCs/>
          <w:sz w:val="24"/>
        </w:rPr>
        <w:t xml:space="preserve"> </w:t>
      </w:r>
      <w:r w:rsidR="00077B57" w:rsidRPr="00FB0705">
        <w:rPr>
          <w:bCs/>
          <w:sz w:val="24"/>
        </w:rPr>
        <w:t xml:space="preserve">2019 </w:t>
      </w:r>
      <w:r w:rsidRPr="00FB0705">
        <w:rPr>
          <w:bCs/>
          <w:sz w:val="24"/>
        </w:rPr>
        <w:t xml:space="preserve">estimate of the </w:t>
      </w:r>
      <w:r w:rsidR="00077B57" w:rsidRPr="00FB0705">
        <w:rPr>
          <w:bCs/>
          <w:sz w:val="24"/>
        </w:rPr>
        <w:t xml:space="preserve">permits and </w:t>
      </w:r>
      <w:r w:rsidRPr="00FB0705">
        <w:rPr>
          <w:bCs/>
          <w:sz w:val="24"/>
        </w:rPr>
        <w:t>fees</w:t>
      </w:r>
      <w:r w:rsidR="00077B57" w:rsidRPr="00FB0705">
        <w:rPr>
          <w:bCs/>
          <w:sz w:val="24"/>
        </w:rPr>
        <w:t xml:space="preserve"> was $75,966</w:t>
      </w:r>
      <w:r w:rsidR="00C4016C" w:rsidRPr="00FB0705">
        <w:rPr>
          <w:bCs/>
          <w:sz w:val="24"/>
        </w:rPr>
        <w:t>.</w:t>
      </w:r>
      <w:r w:rsidRPr="00FB0705">
        <w:rPr>
          <w:bCs/>
          <w:sz w:val="24"/>
        </w:rPr>
        <w:t xml:space="preserve"> The latest proposals have increased this to $142,843</w:t>
      </w:r>
      <w:r w:rsidR="00077B57" w:rsidRPr="00FB0705">
        <w:rPr>
          <w:bCs/>
          <w:sz w:val="24"/>
        </w:rPr>
        <w:t>,</w:t>
      </w:r>
      <w:r w:rsidRPr="00FB0705">
        <w:rPr>
          <w:bCs/>
          <w:sz w:val="24"/>
        </w:rPr>
        <w:t xml:space="preserve"> an </w:t>
      </w:r>
      <w:r w:rsidR="00C4016C" w:rsidRPr="00FB0705">
        <w:rPr>
          <w:bCs/>
          <w:sz w:val="24"/>
        </w:rPr>
        <w:t>increase of $66,877.</w:t>
      </w:r>
      <w:r w:rsidRPr="00FB0705">
        <w:rPr>
          <w:bCs/>
          <w:sz w:val="24"/>
        </w:rPr>
        <w:t xml:space="preserve"> </w:t>
      </w:r>
      <w:r w:rsidR="00C414F5" w:rsidRPr="00FB0705">
        <w:rPr>
          <w:bCs/>
          <w:sz w:val="24"/>
        </w:rPr>
        <w:t>L</w:t>
      </w:r>
      <w:r w:rsidRPr="00FB0705">
        <w:rPr>
          <w:bCs/>
          <w:sz w:val="24"/>
        </w:rPr>
        <w:t xml:space="preserve">ocal permitting is based on </w:t>
      </w:r>
      <w:r w:rsidR="00C414F5" w:rsidRPr="00FB0705">
        <w:rPr>
          <w:bCs/>
          <w:sz w:val="24"/>
        </w:rPr>
        <w:t>subcontractor trade costs</w:t>
      </w:r>
      <w:r w:rsidR="006A3A55" w:rsidRPr="00FB0705">
        <w:rPr>
          <w:bCs/>
          <w:sz w:val="24"/>
        </w:rPr>
        <w:t xml:space="preserve"> </w:t>
      </w:r>
      <w:r w:rsidR="00FB0705">
        <w:rPr>
          <w:bCs/>
          <w:sz w:val="24"/>
        </w:rPr>
        <w:t xml:space="preserve">and thus </w:t>
      </w:r>
      <w:r w:rsidR="006A3A55" w:rsidRPr="00FB0705">
        <w:rPr>
          <w:bCs/>
          <w:sz w:val="24"/>
        </w:rPr>
        <w:t>reflect the increases</w:t>
      </w:r>
      <w:r w:rsidR="00C414F5" w:rsidRPr="00FB0705">
        <w:rPr>
          <w:bCs/>
          <w:sz w:val="24"/>
        </w:rPr>
        <w:t xml:space="preserve"> discussed above.</w:t>
      </w:r>
    </w:p>
    <w:p w14:paraId="5193EE39" w14:textId="11165C75" w:rsidR="00C03475" w:rsidRPr="00FB0705" w:rsidRDefault="00C03475" w:rsidP="00E07C67">
      <w:pPr>
        <w:numPr>
          <w:ilvl w:val="0"/>
          <w:numId w:val="23"/>
        </w:numPr>
        <w:spacing w:before="199"/>
        <w:ind w:left="1260" w:right="-10"/>
        <w:rPr>
          <w:bCs/>
          <w:sz w:val="24"/>
        </w:rPr>
      </w:pPr>
      <w:r w:rsidRPr="00FB0705">
        <w:rPr>
          <w:bCs/>
          <w:sz w:val="24"/>
        </w:rPr>
        <w:t xml:space="preserve">Contractor’s Insurance </w:t>
      </w:r>
      <w:r w:rsidR="00FB0705">
        <w:rPr>
          <w:bCs/>
          <w:sz w:val="24"/>
        </w:rPr>
        <w:t>-</w:t>
      </w:r>
      <w:r w:rsidRPr="00FB0705">
        <w:rPr>
          <w:bCs/>
          <w:sz w:val="24"/>
        </w:rPr>
        <w:t xml:space="preserve">The </w:t>
      </w:r>
      <w:proofErr w:type="spellStart"/>
      <w:r w:rsidRPr="00FB0705">
        <w:rPr>
          <w:bCs/>
          <w:sz w:val="24"/>
        </w:rPr>
        <w:t>DoN</w:t>
      </w:r>
      <w:proofErr w:type="spellEnd"/>
      <w:r w:rsidRPr="00FB0705">
        <w:rPr>
          <w:bCs/>
          <w:sz w:val="24"/>
        </w:rPr>
        <w:t xml:space="preserve"> projected budget </w:t>
      </w:r>
      <w:r w:rsidR="00C414F5" w:rsidRPr="00FB0705">
        <w:rPr>
          <w:bCs/>
          <w:sz w:val="24"/>
        </w:rPr>
        <w:t xml:space="preserve">allocated </w:t>
      </w:r>
      <w:r w:rsidRPr="00FB0705">
        <w:rPr>
          <w:bCs/>
          <w:sz w:val="24"/>
        </w:rPr>
        <w:t>$69,971 for the Contractor’s insurance. The current estimate is $142,902</w:t>
      </w:r>
      <w:r w:rsidR="00C4016C" w:rsidRPr="00FB0705">
        <w:rPr>
          <w:bCs/>
          <w:sz w:val="24"/>
        </w:rPr>
        <w:t xml:space="preserve">, </w:t>
      </w:r>
      <w:r w:rsidRPr="00FB0705">
        <w:rPr>
          <w:bCs/>
          <w:sz w:val="24"/>
        </w:rPr>
        <w:t xml:space="preserve">an increase of $72,931. This </w:t>
      </w:r>
      <w:r w:rsidR="00C414F5" w:rsidRPr="00FB0705">
        <w:rPr>
          <w:bCs/>
          <w:sz w:val="24"/>
        </w:rPr>
        <w:t xml:space="preserve">is partially a </w:t>
      </w:r>
      <w:r w:rsidR="00C414F5" w:rsidRPr="00FB0705">
        <w:rPr>
          <w:bCs/>
          <w:sz w:val="24"/>
        </w:rPr>
        <w:lastRenderedPageBreak/>
        <w:t>result of</w:t>
      </w:r>
      <w:r w:rsidRPr="00FB0705">
        <w:rPr>
          <w:bCs/>
          <w:sz w:val="24"/>
        </w:rPr>
        <w:t xml:space="preserve"> incr</w:t>
      </w:r>
      <w:r w:rsidR="00C4016C" w:rsidRPr="00FB0705">
        <w:rPr>
          <w:bCs/>
          <w:sz w:val="24"/>
        </w:rPr>
        <w:t>eased subcontractor trade costs</w:t>
      </w:r>
      <w:r w:rsidRPr="00FB0705">
        <w:rPr>
          <w:bCs/>
          <w:sz w:val="24"/>
        </w:rPr>
        <w:t>. In addition, experts in the industry are indicating that “due to increasing losses and poor investment returns [by insurance companies], rates for most lines of coverage are increasing, capacity is declining and underwriters are being more selective on which accounts they will even consider.”</w:t>
      </w:r>
      <w:r w:rsidRPr="00C03475">
        <w:rPr>
          <w:bCs/>
          <w:sz w:val="24"/>
          <w:vertAlign w:val="superscript"/>
        </w:rPr>
        <w:footnoteReference w:id="7"/>
      </w:r>
      <w:r w:rsidRPr="00FB0705">
        <w:rPr>
          <w:bCs/>
          <w:sz w:val="24"/>
        </w:rPr>
        <w:t xml:space="preserve">   This article projected increases in all types of insurance required by the contractor and specifically it projected up to 10% on Builder’s Risk policies in 2021.</w:t>
      </w:r>
    </w:p>
    <w:p w14:paraId="3CFDFD9C" w14:textId="037B2D93" w:rsidR="00C03475" w:rsidRPr="00FB0705" w:rsidRDefault="00FB0705" w:rsidP="00E07C67">
      <w:pPr>
        <w:numPr>
          <w:ilvl w:val="0"/>
          <w:numId w:val="23"/>
        </w:numPr>
        <w:spacing w:before="199"/>
        <w:ind w:left="1260" w:right="-10"/>
        <w:rPr>
          <w:bCs/>
          <w:sz w:val="24"/>
        </w:rPr>
      </w:pPr>
      <w:r w:rsidRPr="00FB0705">
        <w:rPr>
          <w:bCs/>
          <w:sz w:val="24"/>
        </w:rPr>
        <w:t xml:space="preserve">Payment &amp; Performance Bond </w:t>
      </w:r>
      <w:r w:rsidR="00AD758A">
        <w:rPr>
          <w:bCs/>
          <w:sz w:val="24"/>
        </w:rPr>
        <w:t>–</w:t>
      </w:r>
      <w:r w:rsidR="008B366A" w:rsidRPr="00FB0705">
        <w:rPr>
          <w:bCs/>
          <w:sz w:val="24"/>
        </w:rPr>
        <w:t>T</w:t>
      </w:r>
      <w:r w:rsidR="00C03475" w:rsidRPr="00FB0705">
        <w:rPr>
          <w:bCs/>
          <w:sz w:val="24"/>
        </w:rPr>
        <w:t>h</w:t>
      </w:r>
      <w:r w:rsidR="00AD758A">
        <w:rPr>
          <w:bCs/>
          <w:sz w:val="24"/>
        </w:rPr>
        <w:t>is</w:t>
      </w:r>
      <w:r w:rsidR="00C03475" w:rsidRPr="00FB0705">
        <w:rPr>
          <w:bCs/>
          <w:sz w:val="24"/>
        </w:rPr>
        <w:t xml:space="preserve"> cost has risen from the prior estimate of $69,966 to $119,531</w:t>
      </w:r>
      <w:r>
        <w:rPr>
          <w:bCs/>
          <w:sz w:val="24"/>
        </w:rPr>
        <w:t xml:space="preserve">, </w:t>
      </w:r>
      <w:r w:rsidR="001749E3">
        <w:rPr>
          <w:bCs/>
          <w:sz w:val="24"/>
        </w:rPr>
        <w:t>an increase of $49,565.</w:t>
      </w:r>
      <w:r w:rsidR="00C03475" w:rsidRPr="00FB0705">
        <w:rPr>
          <w:bCs/>
          <w:sz w:val="24"/>
        </w:rPr>
        <w:t xml:space="preserve"> </w:t>
      </w:r>
      <w:r w:rsidR="008B366A" w:rsidRPr="00FB0705">
        <w:rPr>
          <w:bCs/>
          <w:sz w:val="24"/>
        </w:rPr>
        <w:t>T</w:t>
      </w:r>
      <w:r w:rsidR="00C03475" w:rsidRPr="00FB0705">
        <w:rPr>
          <w:bCs/>
          <w:sz w:val="24"/>
        </w:rPr>
        <w:t>he underlying rea</w:t>
      </w:r>
      <w:r>
        <w:rPr>
          <w:bCs/>
          <w:sz w:val="24"/>
        </w:rPr>
        <w:t xml:space="preserve">son </w:t>
      </w:r>
      <w:r w:rsidR="008B366A" w:rsidRPr="00FB0705">
        <w:rPr>
          <w:bCs/>
          <w:sz w:val="24"/>
        </w:rPr>
        <w:t>is that these fees relate to</w:t>
      </w:r>
      <w:r w:rsidR="00C03475" w:rsidRPr="00FB0705">
        <w:rPr>
          <w:bCs/>
          <w:sz w:val="24"/>
        </w:rPr>
        <w:t xml:space="preserve"> the subcontractor costs</w:t>
      </w:r>
      <w:r w:rsidR="008B366A" w:rsidRPr="00FB0705">
        <w:rPr>
          <w:bCs/>
          <w:sz w:val="24"/>
        </w:rPr>
        <w:t>, which when</w:t>
      </w:r>
      <w:r w:rsidR="00C03475" w:rsidRPr="00FB0705">
        <w:rPr>
          <w:bCs/>
          <w:sz w:val="24"/>
        </w:rPr>
        <w:t xml:space="preserve"> </w:t>
      </w:r>
      <w:r>
        <w:rPr>
          <w:bCs/>
          <w:sz w:val="24"/>
        </w:rPr>
        <w:t xml:space="preserve">the insured amount </w:t>
      </w:r>
      <w:r w:rsidR="00C03475" w:rsidRPr="00FB0705">
        <w:rPr>
          <w:bCs/>
          <w:sz w:val="24"/>
        </w:rPr>
        <w:t>increased the cost of the policy</w:t>
      </w:r>
      <w:r>
        <w:rPr>
          <w:bCs/>
          <w:sz w:val="24"/>
        </w:rPr>
        <w:t xml:space="preserve"> also does</w:t>
      </w:r>
      <w:r w:rsidR="006A3A55" w:rsidRPr="00FB0705">
        <w:rPr>
          <w:bCs/>
          <w:sz w:val="24"/>
        </w:rPr>
        <w:t xml:space="preserve">. </w:t>
      </w:r>
      <w:proofErr w:type="gramStart"/>
      <w:r w:rsidR="006A3A55" w:rsidRPr="00FB0705">
        <w:rPr>
          <w:bCs/>
          <w:sz w:val="24"/>
        </w:rPr>
        <w:t>A</w:t>
      </w:r>
      <w:r w:rsidR="008B366A" w:rsidRPr="00FB0705">
        <w:rPr>
          <w:bCs/>
          <w:sz w:val="24"/>
        </w:rPr>
        <w:t>dditionally</w:t>
      </w:r>
      <w:proofErr w:type="gramEnd"/>
      <w:r w:rsidR="00C03475" w:rsidRPr="00FB0705">
        <w:rPr>
          <w:bCs/>
          <w:sz w:val="24"/>
        </w:rPr>
        <w:t xml:space="preserve"> this type of insurance is more costly today than in 2019. </w:t>
      </w:r>
    </w:p>
    <w:p w14:paraId="6318B488" w14:textId="7E64ED03" w:rsidR="00C03475" w:rsidRPr="00AD758A" w:rsidRDefault="00C03475" w:rsidP="00E07C67">
      <w:pPr>
        <w:numPr>
          <w:ilvl w:val="0"/>
          <w:numId w:val="23"/>
        </w:numPr>
        <w:spacing w:before="199"/>
        <w:ind w:left="1260" w:right="-10"/>
        <w:rPr>
          <w:bCs/>
          <w:sz w:val="24"/>
        </w:rPr>
      </w:pPr>
      <w:r w:rsidRPr="00AD758A">
        <w:rPr>
          <w:bCs/>
          <w:sz w:val="24"/>
        </w:rPr>
        <w:t xml:space="preserve">Owner’s Project Management </w:t>
      </w:r>
      <w:r w:rsidR="00AD758A">
        <w:rPr>
          <w:bCs/>
          <w:sz w:val="24"/>
        </w:rPr>
        <w:t>-</w:t>
      </w:r>
      <w:r w:rsidRPr="00AD758A">
        <w:rPr>
          <w:bCs/>
          <w:sz w:val="24"/>
        </w:rPr>
        <w:t xml:space="preserve">When the original </w:t>
      </w:r>
      <w:proofErr w:type="spellStart"/>
      <w:r w:rsidRPr="00AD758A">
        <w:rPr>
          <w:bCs/>
          <w:sz w:val="24"/>
        </w:rPr>
        <w:t>DoN</w:t>
      </w:r>
      <w:proofErr w:type="spellEnd"/>
      <w:r w:rsidRPr="00AD758A">
        <w:rPr>
          <w:bCs/>
          <w:sz w:val="24"/>
        </w:rPr>
        <w:t xml:space="preserve"> estimates were obtained, the Applicant </w:t>
      </w:r>
      <w:r w:rsidR="00AD758A">
        <w:rPr>
          <w:bCs/>
          <w:sz w:val="24"/>
        </w:rPr>
        <w:t xml:space="preserve">felt that it </w:t>
      </w:r>
      <w:r w:rsidRPr="00AD758A">
        <w:rPr>
          <w:bCs/>
          <w:sz w:val="24"/>
        </w:rPr>
        <w:t>would be able to manage the Project with existing staff</w:t>
      </w:r>
      <w:r w:rsidR="00516832" w:rsidRPr="00AD758A">
        <w:rPr>
          <w:bCs/>
          <w:sz w:val="24"/>
        </w:rPr>
        <w:t>. However,</w:t>
      </w:r>
      <w:r w:rsidRPr="00AD758A">
        <w:rPr>
          <w:bCs/>
          <w:sz w:val="24"/>
        </w:rPr>
        <w:t xml:space="preserve"> </w:t>
      </w:r>
      <w:r w:rsidR="00516832" w:rsidRPr="00AD758A">
        <w:rPr>
          <w:bCs/>
          <w:sz w:val="24"/>
        </w:rPr>
        <w:t>a</w:t>
      </w:r>
      <w:r w:rsidRPr="00AD758A">
        <w:rPr>
          <w:bCs/>
          <w:sz w:val="24"/>
        </w:rPr>
        <w:t>s the Project has become more complex</w:t>
      </w:r>
      <w:r w:rsidR="00AD758A">
        <w:rPr>
          <w:bCs/>
          <w:sz w:val="24"/>
        </w:rPr>
        <w:t>,</w:t>
      </w:r>
      <w:r w:rsidRPr="00AD758A">
        <w:rPr>
          <w:bCs/>
          <w:sz w:val="24"/>
        </w:rPr>
        <w:t xml:space="preserve"> with multiple phases and events requiring coordination with </w:t>
      </w:r>
      <w:r w:rsidR="00516832" w:rsidRPr="00AD758A">
        <w:rPr>
          <w:bCs/>
          <w:sz w:val="24"/>
        </w:rPr>
        <w:t>f</w:t>
      </w:r>
      <w:r w:rsidRPr="00AD758A">
        <w:rPr>
          <w:bCs/>
          <w:sz w:val="24"/>
        </w:rPr>
        <w:t>acility operations, it was determined that a professional project manager</w:t>
      </w:r>
      <w:r w:rsidR="00AD758A">
        <w:rPr>
          <w:bCs/>
          <w:sz w:val="24"/>
        </w:rPr>
        <w:t xml:space="preserve"> (PM)</w:t>
      </w:r>
      <w:r w:rsidRPr="00AD758A">
        <w:rPr>
          <w:bCs/>
          <w:sz w:val="24"/>
        </w:rPr>
        <w:t xml:space="preserve"> with knowledge of long-term care facility construction</w:t>
      </w:r>
      <w:r w:rsidR="00516832" w:rsidRPr="00AD758A">
        <w:rPr>
          <w:bCs/>
          <w:sz w:val="24"/>
        </w:rPr>
        <w:t xml:space="preserve"> was required</w:t>
      </w:r>
      <w:r w:rsidRPr="00AD758A">
        <w:rPr>
          <w:bCs/>
          <w:sz w:val="24"/>
        </w:rPr>
        <w:t xml:space="preserve"> </w:t>
      </w:r>
      <w:r w:rsidR="00AD758A">
        <w:rPr>
          <w:bCs/>
          <w:sz w:val="24"/>
        </w:rPr>
        <w:t xml:space="preserve">for </w:t>
      </w:r>
      <w:r w:rsidRPr="00AD758A">
        <w:rPr>
          <w:bCs/>
          <w:sz w:val="24"/>
        </w:rPr>
        <w:t>managing the design process</w:t>
      </w:r>
      <w:r w:rsidR="006A3A55" w:rsidRPr="00AD758A">
        <w:rPr>
          <w:bCs/>
          <w:sz w:val="24"/>
        </w:rPr>
        <w:t>,</w:t>
      </w:r>
      <w:r w:rsidRPr="00AD758A">
        <w:rPr>
          <w:bCs/>
          <w:sz w:val="24"/>
        </w:rPr>
        <w:t xml:space="preserve"> obtaining the permits and construction approvals, making required regulatory filings</w:t>
      </w:r>
      <w:r w:rsidR="006A3A55" w:rsidRPr="00AD758A">
        <w:rPr>
          <w:bCs/>
          <w:sz w:val="24"/>
        </w:rPr>
        <w:t>,</w:t>
      </w:r>
      <w:r w:rsidRPr="00AD758A">
        <w:rPr>
          <w:bCs/>
          <w:sz w:val="24"/>
        </w:rPr>
        <w:t xml:space="preserve"> monitoring contractor performance and expenditures, negotiating and finalizing contracts and assuri</w:t>
      </w:r>
      <w:r w:rsidR="00516832" w:rsidRPr="00AD758A">
        <w:rPr>
          <w:bCs/>
          <w:sz w:val="24"/>
        </w:rPr>
        <w:t>ng compliance with their terms</w:t>
      </w:r>
      <w:r w:rsidR="00AD758A">
        <w:rPr>
          <w:bCs/>
          <w:sz w:val="24"/>
        </w:rPr>
        <w:t>. The PM will also to</w:t>
      </w:r>
      <w:r w:rsidR="00AD758A" w:rsidRPr="00AD758A">
        <w:rPr>
          <w:bCs/>
          <w:sz w:val="24"/>
        </w:rPr>
        <w:t xml:space="preserve"> </w:t>
      </w:r>
      <w:r w:rsidR="00AD758A">
        <w:rPr>
          <w:bCs/>
          <w:sz w:val="24"/>
        </w:rPr>
        <w:t xml:space="preserve">focus on </w:t>
      </w:r>
      <w:r w:rsidR="00AD758A" w:rsidRPr="00AD758A">
        <w:rPr>
          <w:bCs/>
          <w:sz w:val="24"/>
        </w:rPr>
        <w:t>ensur</w:t>
      </w:r>
      <w:r w:rsidR="00AD758A">
        <w:rPr>
          <w:bCs/>
          <w:sz w:val="24"/>
        </w:rPr>
        <w:t>ing</w:t>
      </w:r>
      <w:r w:rsidR="00AD758A" w:rsidRPr="00AD758A">
        <w:rPr>
          <w:bCs/>
          <w:sz w:val="24"/>
        </w:rPr>
        <w:t xml:space="preserve"> minimal impact on the residents and the ongoing operation of the nursing home</w:t>
      </w:r>
      <w:r w:rsidR="00516832" w:rsidRPr="00AD758A">
        <w:rPr>
          <w:bCs/>
          <w:sz w:val="24"/>
        </w:rPr>
        <w:t xml:space="preserve">. </w:t>
      </w:r>
      <w:r w:rsidRPr="00AD758A">
        <w:rPr>
          <w:bCs/>
          <w:sz w:val="24"/>
        </w:rPr>
        <w:t xml:space="preserve">The current estimate for these services is $275,000. </w:t>
      </w:r>
    </w:p>
    <w:p w14:paraId="3081DCF5" w14:textId="5C185EC4" w:rsidR="00C03475" w:rsidRPr="00664DFC" w:rsidRDefault="00C03475" w:rsidP="00E07C67">
      <w:pPr>
        <w:numPr>
          <w:ilvl w:val="0"/>
          <w:numId w:val="23"/>
        </w:numPr>
        <w:spacing w:before="199"/>
        <w:ind w:left="1260" w:right="-10"/>
        <w:rPr>
          <w:bCs/>
          <w:sz w:val="24"/>
        </w:rPr>
      </w:pPr>
      <w:r w:rsidRPr="00664DFC">
        <w:rPr>
          <w:bCs/>
          <w:sz w:val="24"/>
        </w:rPr>
        <w:t xml:space="preserve">Façade Repairs </w:t>
      </w:r>
      <w:r w:rsidR="00664DFC">
        <w:rPr>
          <w:bCs/>
          <w:sz w:val="24"/>
        </w:rPr>
        <w:t xml:space="preserve">– Initial </w:t>
      </w:r>
      <w:r w:rsidRPr="00664DFC">
        <w:rPr>
          <w:bCs/>
          <w:sz w:val="24"/>
        </w:rPr>
        <w:t>reviews indicated that while there were some issues with the façade, nothing required immediate attention. However, as more detailed inspections were performed by city inspectional officials and HUD, it was determined that repairs are required including</w:t>
      </w:r>
      <w:r w:rsidR="00664DFC">
        <w:rPr>
          <w:bCs/>
          <w:sz w:val="24"/>
        </w:rPr>
        <w:t>:</w:t>
      </w:r>
      <w:r w:rsidRPr="00664DFC">
        <w:rPr>
          <w:bCs/>
          <w:sz w:val="24"/>
        </w:rPr>
        <w:t xml:space="preserve"> failed and spalling bricks at various exterior lintel locations at the rear stairwell</w:t>
      </w:r>
      <w:r w:rsidR="00516832" w:rsidRPr="00664DFC">
        <w:rPr>
          <w:bCs/>
          <w:sz w:val="24"/>
        </w:rPr>
        <w:t>, treads</w:t>
      </w:r>
      <w:r w:rsidRPr="00664DFC">
        <w:rPr>
          <w:bCs/>
          <w:sz w:val="24"/>
        </w:rPr>
        <w:t xml:space="preserve"> and building corners. It is also </w:t>
      </w:r>
      <w:r w:rsidR="00664DFC">
        <w:rPr>
          <w:bCs/>
          <w:sz w:val="24"/>
        </w:rPr>
        <w:t xml:space="preserve">required </w:t>
      </w:r>
      <w:r w:rsidRPr="00664DFC">
        <w:rPr>
          <w:bCs/>
          <w:sz w:val="24"/>
        </w:rPr>
        <w:t>that replacement bricks needed to be compatible and properly blend with the existing bricks mean</w:t>
      </w:r>
      <w:r w:rsidR="00017FA3" w:rsidRPr="00664DFC">
        <w:rPr>
          <w:bCs/>
          <w:sz w:val="24"/>
        </w:rPr>
        <w:t>ing</w:t>
      </w:r>
      <w:r w:rsidRPr="00664DFC">
        <w:rPr>
          <w:bCs/>
          <w:sz w:val="24"/>
        </w:rPr>
        <w:t xml:space="preserve"> that “off the shelf” brick can</w:t>
      </w:r>
      <w:r w:rsidR="00516832" w:rsidRPr="00664DFC">
        <w:rPr>
          <w:bCs/>
          <w:sz w:val="24"/>
        </w:rPr>
        <w:t>not</w:t>
      </w:r>
      <w:r w:rsidRPr="00664DFC">
        <w:rPr>
          <w:bCs/>
          <w:sz w:val="24"/>
        </w:rPr>
        <w:t xml:space="preserve"> be used. This work is now necessary due to inspection</w:t>
      </w:r>
      <w:r w:rsidR="005C2BD5">
        <w:rPr>
          <w:bCs/>
          <w:sz w:val="24"/>
        </w:rPr>
        <w:t>s</w:t>
      </w:r>
      <w:r w:rsidRPr="00664DFC">
        <w:rPr>
          <w:bCs/>
          <w:sz w:val="24"/>
        </w:rPr>
        <w:t xml:space="preserve"> and HUD related findings, </w:t>
      </w:r>
      <w:r w:rsidR="00516832" w:rsidRPr="00664DFC">
        <w:rPr>
          <w:bCs/>
          <w:sz w:val="24"/>
        </w:rPr>
        <w:t>and</w:t>
      </w:r>
      <w:r w:rsidR="005C2BD5">
        <w:rPr>
          <w:bCs/>
          <w:sz w:val="24"/>
        </w:rPr>
        <w:t xml:space="preserve"> are</w:t>
      </w:r>
      <w:r w:rsidR="00516832" w:rsidRPr="00664DFC">
        <w:rPr>
          <w:bCs/>
          <w:sz w:val="24"/>
        </w:rPr>
        <w:t xml:space="preserve"> </w:t>
      </w:r>
      <w:r w:rsidRPr="00664DFC">
        <w:rPr>
          <w:bCs/>
          <w:sz w:val="24"/>
        </w:rPr>
        <w:t>general safety requirements. The cost of this work is $248,082</w:t>
      </w:r>
      <w:r w:rsidR="00017FA3" w:rsidRPr="00664DFC">
        <w:rPr>
          <w:bCs/>
          <w:sz w:val="24"/>
        </w:rPr>
        <w:t xml:space="preserve"> </w:t>
      </w:r>
      <w:r w:rsidRPr="00664DFC">
        <w:rPr>
          <w:bCs/>
          <w:sz w:val="24"/>
        </w:rPr>
        <w:t xml:space="preserve">and </w:t>
      </w:r>
      <w:r w:rsidR="00017FA3" w:rsidRPr="00664DFC">
        <w:rPr>
          <w:bCs/>
          <w:sz w:val="24"/>
        </w:rPr>
        <w:t xml:space="preserve">was </w:t>
      </w:r>
      <w:r w:rsidRPr="00664DFC">
        <w:rPr>
          <w:bCs/>
          <w:sz w:val="24"/>
        </w:rPr>
        <w:t>n</w:t>
      </w:r>
      <w:r w:rsidR="00017FA3" w:rsidRPr="00664DFC">
        <w:rPr>
          <w:bCs/>
          <w:sz w:val="24"/>
        </w:rPr>
        <w:t>ot in the original budget.</w:t>
      </w:r>
    </w:p>
    <w:p w14:paraId="52862817" w14:textId="77777777" w:rsidR="001D3505" w:rsidRPr="001D3505" w:rsidRDefault="001D3505" w:rsidP="00E07C67">
      <w:pPr>
        <w:numPr>
          <w:ilvl w:val="0"/>
          <w:numId w:val="24"/>
        </w:numPr>
        <w:spacing w:before="199"/>
        <w:ind w:left="810" w:right="-10"/>
        <w:rPr>
          <w:bCs/>
          <w:sz w:val="24"/>
          <w:u w:val="single"/>
        </w:rPr>
      </w:pPr>
      <w:r w:rsidRPr="001D3505">
        <w:rPr>
          <w:bCs/>
          <w:sz w:val="24"/>
          <w:u w:val="single"/>
        </w:rPr>
        <w:t xml:space="preserve">Fixed Equipment Not in Contract </w:t>
      </w:r>
    </w:p>
    <w:p w14:paraId="7FBCD64A" w14:textId="417F8C75" w:rsidR="001D3505" w:rsidRPr="001D3505" w:rsidRDefault="001D3505" w:rsidP="00E07C67">
      <w:pPr>
        <w:spacing w:before="199"/>
        <w:ind w:left="810" w:right="-10"/>
        <w:rPr>
          <w:bCs/>
          <w:sz w:val="24"/>
        </w:rPr>
      </w:pPr>
      <w:r w:rsidRPr="001D3505">
        <w:rPr>
          <w:bCs/>
          <w:sz w:val="24"/>
        </w:rPr>
        <w:t>The HUD physical plant inspection identified repairs</w:t>
      </w:r>
      <w:r w:rsidR="00AA4E00">
        <w:rPr>
          <w:bCs/>
          <w:sz w:val="24"/>
        </w:rPr>
        <w:t xml:space="preserve"> and/or replacement and removal</w:t>
      </w:r>
      <w:r w:rsidRPr="001D3505">
        <w:rPr>
          <w:bCs/>
          <w:sz w:val="24"/>
        </w:rPr>
        <w:t xml:space="preserve"> to certain fixed equipment amounting to $474,276 </w:t>
      </w:r>
      <w:r w:rsidR="00BD05A9">
        <w:rPr>
          <w:bCs/>
          <w:sz w:val="24"/>
        </w:rPr>
        <w:t>required of</w:t>
      </w:r>
      <w:r w:rsidRPr="001D3505">
        <w:rPr>
          <w:bCs/>
          <w:sz w:val="24"/>
        </w:rPr>
        <w:t xml:space="preserve"> the Applicant to qualify for the HUD insured financing. Prior to submitting the </w:t>
      </w:r>
      <w:proofErr w:type="spellStart"/>
      <w:r w:rsidRPr="001D3505">
        <w:rPr>
          <w:bCs/>
          <w:sz w:val="24"/>
        </w:rPr>
        <w:t>DoN</w:t>
      </w:r>
      <w:proofErr w:type="spellEnd"/>
      <w:r w:rsidRPr="001D3505">
        <w:rPr>
          <w:bCs/>
          <w:sz w:val="24"/>
        </w:rPr>
        <w:t xml:space="preserve"> </w:t>
      </w:r>
      <w:proofErr w:type="gramStart"/>
      <w:r w:rsidRPr="001D3505">
        <w:rPr>
          <w:bCs/>
          <w:sz w:val="24"/>
        </w:rPr>
        <w:t>Application</w:t>
      </w:r>
      <w:proofErr w:type="gramEnd"/>
      <w:r w:rsidRPr="001D3505">
        <w:rPr>
          <w:bCs/>
          <w:sz w:val="24"/>
        </w:rPr>
        <w:t xml:space="preserve"> the Applicant had consulted with the various service vendors and consultants that had indicated that such work might be required in the future, but was not necessary for the Project completion.</w:t>
      </w:r>
    </w:p>
    <w:p w14:paraId="0A75D038" w14:textId="07503D01" w:rsidR="001D3505" w:rsidRPr="001D3505" w:rsidRDefault="001D3505" w:rsidP="00E07C67">
      <w:pPr>
        <w:spacing w:before="199"/>
        <w:ind w:left="810" w:right="-10"/>
        <w:rPr>
          <w:bCs/>
          <w:sz w:val="24"/>
        </w:rPr>
      </w:pPr>
      <w:r w:rsidRPr="001D3505">
        <w:rPr>
          <w:bCs/>
          <w:sz w:val="24"/>
        </w:rPr>
        <w:lastRenderedPageBreak/>
        <w:t xml:space="preserve">First, a </w:t>
      </w:r>
      <w:bookmarkStart w:id="1" w:name="_Hlk71879696"/>
      <w:r w:rsidRPr="001D3505">
        <w:rPr>
          <w:bCs/>
          <w:sz w:val="24"/>
        </w:rPr>
        <w:t xml:space="preserve">complete overhaul of both the passenger and the freight elevator was required as safety and efficiency measures and is projected to be $174,276.00 </w:t>
      </w:r>
    </w:p>
    <w:p w14:paraId="64C1A738" w14:textId="2FB64D8D" w:rsidR="001D3505" w:rsidRPr="001D3505" w:rsidRDefault="001D3505" w:rsidP="00E07C67">
      <w:pPr>
        <w:spacing w:before="199"/>
        <w:ind w:left="810" w:right="-10"/>
        <w:rPr>
          <w:bCs/>
          <w:sz w:val="24"/>
        </w:rPr>
      </w:pPr>
      <w:r w:rsidRPr="001D3505">
        <w:rPr>
          <w:bCs/>
          <w:sz w:val="24"/>
        </w:rPr>
        <w:t>Second,</w:t>
      </w:r>
      <w:r w:rsidR="003D7120">
        <w:rPr>
          <w:bCs/>
          <w:sz w:val="24"/>
        </w:rPr>
        <w:t xml:space="preserve"> as explained above under A7 </w:t>
      </w:r>
      <w:r w:rsidR="00B140FD">
        <w:rPr>
          <w:bCs/>
          <w:i/>
          <w:sz w:val="24"/>
        </w:rPr>
        <w:t>Demolition</w:t>
      </w:r>
      <w:r w:rsidR="003D7120">
        <w:rPr>
          <w:bCs/>
          <w:sz w:val="24"/>
        </w:rPr>
        <w:t xml:space="preserve">, </w:t>
      </w:r>
      <w:r w:rsidRPr="001D3505">
        <w:rPr>
          <w:bCs/>
          <w:sz w:val="24"/>
        </w:rPr>
        <w:t>the HUD inspection strongly recommended replacement</w:t>
      </w:r>
      <w:r w:rsidR="003D7120">
        <w:rPr>
          <w:bCs/>
          <w:sz w:val="24"/>
        </w:rPr>
        <w:t xml:space="preserve">, </w:t>
      </w:r>
      <w:r w:rsidR="003D7120" w:rsidRPr="003D7120">
        <w:rPr>
          <w:bCs/>
          <w:sz w:val="24"/>
        </w:rPr>
        <w:t xml:space="preserve">and then required removal </w:t>
      </w:r>
      <w:r w:rsidRPr="001D3505">
        <w:rPr>
          <w:bCs/>
          <w:sz w:val="24"/>
        </w:rPr>
        <w:t>of the</w:t>
      </w:r>
      <w:r w:rsidR="00DA0E9C">
        <w:rPr>
          <w:bCs/>
          <w:sz w:val="24"/>
        </w:rPr>
        <w:t xml:space="preserve"> </w:t>
      </w:r>
      <w:r w:rsidRPr="001D3505">
        <w:rPr>
          <w:bCs/>
          <w:sz w:val="24"/>
        </w:rPr>
        <w:t>three (3) operating boilers that had passed their useful life and showed significant deferred maintenance</w:t>
      </w:r>
      <w:r w:rsidR="00B140FD">
        <w:rPr>
          <w:bCs/>
          <w:sz w:val="24"/>
        </w:rPr>
        <w:t>, raising</w:t>
      </w:r>
      <w:r w:rsidRPr="001D3505">
        <w:rPr>
          <w:bCs/>
          <w:sz w:val="24"/>
        </w:rPr>
        <w:t xml:space="preserve"> concerns. It also required removal of a fourth, older inactive boiler </w:t>
      </w:r>
      <w:r w:rsidR="001749E3">
        <w:rPr>
          <w:bCs/>
          <w:sz w:val="24"/>
        </w:rPr>
        <w:t>and the underground fuel tanks.</w:t>
      </w:r>
      <w:r w:rsidRPr="001D3505">
        <w:rPr>
          <w:bCs/>
          <w:sz w:val="24"/>
        </w:rPr>
        <w:t xml:space="preserve"> </w:t>
      </w:r>
      <w:bookmarkEnd w:id="1"/>
      <w:r w:rsidRPr="001D3505">
        <w:rPr>
          <w:bCs/>
          <w:sz w:val="24"/>
        </w:rPr>
        <w:t>This resulted in additional Fixed Equipment Costs not included in the Construction Contract of another $300,000.00.</w:t>
      </w:r>
    </w:p>
    <w:p w14:paraId="48420BA2" w14:textId="4F3A40C2" w:rsidR="001D3505" w:rsidRPr="005C2BD5" w:rsidRDefault="001D3505" w:rsidP="00E07C67">
      <w:pPr>
        <w:numPr>
          <w:ilvl w:val="0"/>
          <w:numId w:val="24"/>
        </w:numPr>
        <w:spacing w:before="199"/>
        <w:ind w:left="810" w:right="-10"/>
        <w:rPr>
          <w:bCs/>
          <w:sz w:val="24"/>
        </w:rPr>
      </w:pPr>
      <w:r w:rsidRPr="005C2BD5">
        <w:rPr>
          <w:bCs/>
          <w:sz w:val="24"/>
          <w:u w:val="single"/>
        </w:rPr>
        <w:t>Architectural Costs</w:t>
      </w:r>
      <w:r w:rsidR="005C2BD5" w:rsidRPr="005C2BD5">
        <w:rPr>
          <w:bCs/>
          <w:sz w:val="24"/>
        </w:rPr>
        <w:t xml:space="preserve"> </w:t>
      </w:r>
      <w:r w:rsidRPr="005C2BD5">
        <w:rPr>
          <w:bCs/>
          <w:sz w:val="24"/>
        </w:rPr>
        <w:t>increase</w:t>
      </w:r>
      <w:r w:rsidR="005C2BD5">
        <w:rPr>
          <w:bCs/>
          <w:sz w:val="24"/>
        </w:rPr>
        <w:t>d</w:t>
      </w:r>
      <w:r w:rsidRPr="005C2BD5">
        <w:rPr>
          <w:bCs/>
          <w:sz w:val="24"/>
        </w:rPr>
        <w:t xml:space="preserve"> from $663,790 to $908,500 (an increase of $244,710)</w:t>
      </w:r>
      <w:r w:rsidR="00FB0705">
        <w:rPr>
          <w:bCs/>
          <w:sz w:val="24"/>
        </w:rPr>
        <w:t xml:space="preserve">. They </w:t>
      </w:r>
      <w:r w:rsidR="001749E3">
        <w:rPr>
          <w:bCs/>
          <w:sz w:val="24"/>
        </w:rPr>
        <w:t>are</w:t>
      </w:r>
      <w:r w:rsidR="001749E3" w:rsidRPr="005C2BD5">
        <w:rPr>
          <w:bCs/>
          <w:sz w:val="24"/>
        </w:rPr>
        <w:t xml:space="preserve"> for</w:t>
      </w:r>
      <w:r w:rsidRPr="005C2BD5">
        <w:rPr>
          <w:bCs/>
          <w:sz w:val="24"/>
        </w:rPr>
        <w:t xml:space="preserve"> the modifications to construction level drawings, and additional design and engineering support required </w:t>
      </w:r>
      <w:proofErr w:type="gramStart"/>
      <w:r w:rsidRPr="005C2BD5">
        <w:rPr>
          <w:bCs/>
          <w:sz w:val="24"/>
        </w:rPr>
        <w:t>as a result of</w:t>
      </w:r>
      <w:proofErr w:type="gramEnd"/>
      <w:r w:rsidRPr="005C2BD5">
        <w:rPr>
          <w:bCs/>
          <w:sz w:val="24"/>
        </w:rPr>
        <w:t xml:space="preserve"> the extension of the construction period from 52 to 72 weeks, to meet final project requirements described throughout.  </w:t>
      </w:r>
    </w:p>
    <w:p w14:paraId="2B2FF410" w14:textId="0BEE95B2" w:rsidR="001D3505" w:rsidRPr="005C2BD5" w:rsidRDefault="001D3505" w:rsidP="00E07C67">
      <w:pPr>
        <w:numPr>
          <w:ilvl w:val="0"/>
          <w:numId w:val="24"/>
        </w:numPr>
        <w:spacing w:before="199"/>
        <w:ind w:left="810" w:right="-10"/>
        <w:rPr>
          <w:bCs/>
          <w:sz w:val="24"/>
        </w:rPr>
      </w:pPr>
      <w:proofErr w:type="gramStart"/>
      <w:r w:rsidRPr="005C2BD5">
        <w:rPr>
          <w:bCs/>
          <w:sz w:val="24"/>
          <w:u w:val="single"/>
        </w:rPr>
        <w:t>Pre and</w:t>
      </w:r>
      <w:proofErr w:type="gramEnd"/>
      <w:r w:rsidRPr="005C2BD5">
        <w:rPr>
          <w:bCs/>
          <w:sz w:val="24"/>
          <w:u w:val="single"/>
        </w:rPr>
        <w:t xml:space="preserve"> Post Filing Planning and Development Costs</w:t>
      </w:r>
      <w:r w:rsidR="005C2BD5" w:rsidRPr="005C2BD5">
        <w:rPr>
          <w:bCs/>
          <w:sz w:val="24"/>
          <w:u w:val="single"/>
        </w:rPr>
        <w:t xml:space="preserve"> </w:t>
      </w:r>
      <w:r w:rsidRPr="005C2BD5">
        <w:rPr>
          <w:bCs/>
          <w:sz w:val="24"/>
        </w:rPr>
        <w:t xml:space="preserve">are for permits and approvals and many are levied as a percent of the total. </w:t>
      </w:r>
      <w:r w:rsidR="00DA0E9C" w:rsidRPr="005C2BD5">
        <w:rPr>
          <w:bCs/>
          <w:sz w:val="24"/>
        </w:rPr>
        <w:t>Therefore</w:t>
      </w:r>
      <w:r w:rsidR="00200964">
        <w:rPr>
          <w:bCs/>
          <w:sz w:val="24"/>
        </w:rPr>
        <w:t>,</w:t>
      </w:r>
      <w:r w:rsidRPr="005C2BD5">
        <w:rPr>
          <w:bCs/>
          <w:sz w:val="24"/>
        </w:rPr>
        <w:t xml:space="preserve"> with the large increase in project costs there was an increase i</w:t>
      </w:r>
      <w:r w:rsidR="001749E3">
        <w:rPr>
          <w:bCs/>
          <w:sz w:val="24"/>
        </w:rPr>
        <w:t>n certain permits or approvals.</w:t>
      </w:r>
      <w:r w:rsidRPr="005C2BD5">
        <w:rPr>
          <w:bCs/>
          <w:sz w:val="24"/>
        </w:rPr>
        <w:t xml:space="preserve"> </w:t>
      </w:r>
      <w:r w:rsidR="00200964">
        <w:rPr>
          <w:bCs/>
          <w:sz w:val="24"/>
        </w:rPr>
        <w:t>T</w:t>
      </w:r>
      <w:r w:rsidRPr="005C2BD5">
        <w:rPr>
          <w:bCs/>
          <w:sz w:val="24"/>
        </w:rPr>
        <w:t xml:space="preserve">he Post-Filing costs are projected to increase by $140,000.00 or 350%.  </w:t>
      </w:r>
    </w:p>
    <w:p w14:paraId="0DD75AB9" w14:textId="5AF17812" w:rsidR="001D3505" w:rsidRPr="005C2BD5" w:rsidRDefault="005C2BD5" w:rsidP="00E07C67">
      <w:pPr>
        <w:numPr>
          <w:ilvl w:val="0"/>
          <w:numId w:val="24"/>
        </w:numPr>
        <w:spacing w:before="199"/>
        <w:ind w:left="810" w:right="-10"/>
        <w:rPr>
          <w:bCs/>
          <w:sz w:val="24"/>
        </w:rPr>
      </w:pPr>
      <w:r>
        <w:rPr>
          <w:bCs/>
          <w:sz w:val="24"/>
          <w:u w:val="single"/>
        </w:rPr>
        <w:t>Net Interest Expens</w:t>
      </w:r>
      <w:r w:rsidR="001D3505" w:rsidRPr="005C2BD5">
        <w:rPr>
          <w:bCs/>
          <w:sz w:val="24"/>
          <w:u w:val="single"/>
        </w:rPr>
        <w:t>e</w:t>
      </w:r>
      <w:r w:rsidRPr="005C2BD5">
        <w:rPr>
          <w:bCs/>
          <w:sz w:val="24"/>
        </w:rPr>
        <w:t xml:space="preserve"> </w:t>
      </w:r>
      <w:r>
        <w:rPr>
          <w:bCs/>
          <w:sz w:val="24"/>
        </w:rPr>
        <w:t>o</w:t>
      </w:r>
      <w:r w:rsidRPr="005C2BD5">
        <w:rPr>
          <w:bCs/>
          <w:sz w:val="24"/>
        </w:rPr>
        <w:t>riginal</w:t>
      </w:r>
      <w:r>
        <w:rPr>
          <w:bCs/>
          <w:sz w:val="24"/>
        </w:rPr>
        <w:t xml:space="preserve">ly was </w:t>
      </w:r>
      <w:r w:rsidR="001D3505" w:rsidRPr="005C2BD5">
        <w:rPr>
          <w:bCs/>
          <w:sz w:val="24"/>
        </w:rPr>
        <w:t>$276,695</w:t>
      </w:r>
      <w:r>
        <w:rPr>
          <w:bCs/>
          <w:sz w:val="24"/>
        </w:rPr>
        <w:t>,</w:t>
      </w:r>
      <w:r w:rsidR="001D3505" w:rsidRPr="005C2BD5">
        <w:rPr>
          <w:bCs/>
          <w:sz w:val="24"/>
        </w:rPr>
        <w:t xml:space="preserve"> based on a 16-month construction period and </w:t>
      </w:r>
      <w:r>
        <w:rPr>
          <w:bCs/>
          <w:sz w:val="24"/>
        </w:rPr>
        <w:t xml:space="preserve">a </w:t>
      </w:r>
      <w:r w:rsidR="001D3505" w:rsidRPr="005C2BD5">
        <w:rPr>
          <w:bCs/>
          <w:sz w:val="24"/>
        </w:rPr>
        <w:t xml:space="preserve">total borrowed amount of $8,042,000.00. The amount </w:t>
      </w:r>
      <w:r>
        <w:rPr>
          <w:bCs/>
          <w:sz w:val="24"/>
        </w:rPr>
        <w:t>for</w:t>
      </w:r>
      <w:r w:rsidR="001D3505" w:rsidRPr="005C2BD5">
        <w:rPr>
          <w:bCs/>
          <w:sz w:val="24"/>
        </w:rPr>
        <w:t xml:space="preserve"> this amendment is $563,320, an increase of $286,625.00</w:t>
      </w:r>
      <w:r>
        <w:rPr>
          <w:bCs/>
          <w:sz w:val="24"/>
        </w:rPr>
        <w:t>. It</w:t>
      </w:r>
      <w:r w:rsidR="001D3505" w:rsidRPr="005C2BD5">
        <w:rPr>
          <w:bCs/>
          <w:sz w:val="24"/>
        </w:rPr>
        <w:t xml:space="preserve"> is based on total borrowing of $15,450,000 with the construction period now extended as explained herein.</w:t>
      </w:r>
    </w:p>
    <w:p w14:paraId="5531FBE4" w14:textId="6A08ACCD" w:rsidR="00A32160" w:rsidRPr="00A32160" w:rsidRDefault="001D3505" w:rsidP="00A32160">
      <w:pPr>
        <w:numPr>
          <w:ilvl w:val="0"/>
          <w:numId w:val="24"/>
        </w:numPr>
        <w:spacing w:before="199"/>
        <w:ind w:left="810" w:right="-10"/>
        <w:rPr>
          <w:bCs/>
          <w:sz w:val="24"/>
        </w:rPr>
      </w:pPr>
      <w:r w:rsidRPr="005C2BD5">
        <w:rPr>
          <w:bCs/>
          <w:sz w:val="24"/>
        </w:rPr>
        <w:t xml:space="preserve"> </w:t>
      </w:r>
      <w:r w:rsidRPr="005C2BD5">
        <w:rPr>
          <w:bCs/>
          <w:sz w:val="24"/>
          <w:u w:val="single"/>
        </w:rPr>
        <w:t>Financing Costs</w:t>
      </w:r>
      <w:r w:rsidRPr="005C2BD5">
        <w:rPr>
          <w:bCs/>
          <w:sz w:val="24"/>
        </w:rPr>
        <w:t xml:space="preserve"> </w:t>
      </w:r>
      <w:r w:rsidR="005C2BD5">
        <w:rPr>
          <w:bCs/>
          <w:sz w:val="24"/>
        </w:rPr>
        <w:t>-</w:t>
      </w:r>
      <w:r w:rsidRPr="005C2BD5">
        <w:rPr>
          <w:bCs/>
          <w:sz w:val="24"/>
        </w:rPr>
        <w:t>Originally, the approved cost to secure financing is $158,305</w:t>
      </w:r>
      <w:r w:rsidR="005C2BD5">
        <w:rPr>
          <w:bCs/>
          <w:sz w:val="24"/>
        </w:rPr>
        <w:t>.</w:t>
      </w:r>
      <w:r w:rsidRPr="005C2BD5">
        <w:rPr>
          <w:bCs/>
          <w:sz w:val="24"/>
        </w:rPr>
        <w:t xml:space="preserve"> With the changes in the </w:t>
      </w:r>
      <w:r w:rsidR="005C2BD5">
        <w:rPr>
          <w:bCs/>
          <w:sz w:val="24"/>
        </w:rPr>
        <w:t xml:space="preserve">lender, HUD, and the </w:t>
      </w:r>
      <w:r w:rsidRPr="005C2BD5">
        <w:rPr>
          <w:bCs/>
          <w:sz w:val="24"/>
        </w:rPr>
        <w:t>amount to be borrowed, the cost is now estimated to be $</w:t>
      </w:r>
      <w:proofErr w:type="gramStart"/>
      <w:r w:rsidRPr="005C2BD5">
        <w:rPr>
          <w:bCs/>
          <w:sz w:val="24"/>
        </w:rPr>
        <w:t>420,432</w:t>
      </w:r>
      <w:r w:rsidR="005C2BD5">
        <w:rPr>
          <w:bCs/>
          <w:sz w:val="24"/>
        </w:rPr>
        <w:t>.It</w:t>
      </w:r>
      <w:proofErr w:type="gramEnd"/>
      <w:r w:rsidR="005C2BD5">
        <w:rPr>
          <w:bCs/>
          <w:sz w:val="24"/>
        </w:rPr>
        <w:t xml:space="preserve"> is</w:t>
      </w:r>
      <w:r w:rsidRPr="005C2BD5">
        <w:rPr>
          <w:bCs/>
          <w:sz w:val="24"/>
        </w:rPr>
        <w:t xml:space="preserve"> for the HUD application fees, additional third-party reports and inspections</w:t>
      </w:r>
      <w:r w:rsidR="005C2BD5">
        <w:rPr>
          <w:bCs/>
          <w:sz w:val="24"/>
        </w:rPr>
        <w:t>,</w:t>
      </w:r>
      <w:r w:rsidRPr="005C2BD5">
        <w:rPr>
          <w:bCs/>
          <w:sz w:val="24"/>
        </w:rPr>
        <w:t xml:space="preserve"> and a loan placement fee.</w:t>
      </w:r>
    </w:p>
    <w:p w14:paraId="27E09457" w14:textId="6DA7875F" w:rsidR="007D27DE" w:rsidRPr="00571F0A" w:rsidRDefault="00571F0A" w:rsidP="00080949">
      <w:pPr>
        <w:pStyle w:val="Heading1"/>
      </w:pPr>
      <w:r w:rsidRPr="00571F0A">
        <w:t>Impact on Community Health Initiative Funding​</w:t>
      </w:r>
    </w:p>
    <w:p w14:paraId="07158D5B" w14:textId="77777777" w:rsidR="00095CDB" w:rsidRDefault="007D27DE" w:rsidP="00E07C67">
      <w:pPr>
        <w:spacing w:before="199"/>
        <w:ind w:left="810" w:right="-10"/>
        <w:rPr>
          <w:sz w:val="24"/>
        </w:rPr>
      </w:pPr>
      <w:r w:rsidRPr="007D27DE">
        <w:rPr>
          <w:sz w:val="24"/>
        </w:rPr>
        <w:t xml:space="preserve">The </w:t>
      </w:r>
      <w:proofErr w:type="spellStart"/>
      <w:r w:rsidRPr="007D27DE">
        <w:rPr>
          <w:sz w:val="24"/>
        </w:rPr>
        <w:t>DoN</w:t>
      </w:r>
      <w:proofErr w:type="spellEnd"/>
      <w:r w:rsidRPr="007D27DE">
        <w:rPr>
          <w:sz w:val="24"/>
        </w:rPr>
        <w:t xml:space="preserve"> Regulation states that (c) For a Proposed Project on behalf of a Long-term Care Facility, which is deemed a Conservation Project by the Department, funding shall be 1% of the total Capital Expenditure of the proposed Conservation Project. (105 CMR 100.210(6))</w:t>
      </w:r>
      <w:r w:rsidR="00095CDB">
        <w:rPr>
          <w:sz w:val="24"/>
        </w:rPr>
        <w:t>.</w:t>
      </w:r>
    </w:p>
    <w:p w14:paraId="6E8F605D" w14:textId="7EEE6D83" w:rsidR="007D27DE" w:rsidRDefault="00095CDB" w:rsidP="00E07C67">
      <w:pPr>
        <w:spacing w:before="199"/>
        <w:ind w:left="810" w:right="-10"/>
        <w:rPr>
          <w:sz w:val="24"/>
        </w:rPr>
      </w:pPr>
      <w:r>
        <w:rPr>
          <w:sz w:val="24"/>
        </w:rPr>
        <w:t>One percent of the original</w:t>
      </w:r>
      <w:r w:rsidR="009529F6">
        <w:rPr>
          <w:sz w:val="24"/>
        </w:rPr>
        <w:t>ly</w:t>
      </w:r>
      <w:r>
        <w:rPr>
          <w:sz w:val="24"/>
        </w:rPr>
        <w:t xml:space="preserve"> approved </w:t>
      </w:r>
      <w:proofErr w:type="spellStart"/>
      <w:r w:rsidR="009529F6">
        <w:rPr>
          <w:sz w:val="24"/>
        </w:rPr>
        <w:t>DoN</w:t>
      </w:r>
      <w:proofErr w:type="spellEnd"/>
      <w:r w:rsidR="009529F6">
        <w:rPr>
          <w:sz w:val="24"/>
        </w:rPr>
        <w:t xml:space="preserve"> </w:t>
      </w:r>
      <w:r>
        <w:rPr>
          <w:sz w:val="24"/>
        </w:rPr>
        <w:t>amount is</w:t>
      </w:r>
      <w:r w:rsidR="00165363">
        <w:rPr>
          <w:sz w:val="24"/>
        </w:rPr>
        <w:t xml:space="preserve"> </w:t>
      </w:r>
      <w:r w:rsidRPr="00095CDB">
        <w:rPr>
          <w:sz w:val="24"/>
        </w:rPr>
        <w:t>$100,877.22</w:t>
      </w:r>
      <w:r w:rsidR="001749E3">
        <w:rPr>
          <w:sz w:val="24"/>
        </w:rPr>
        <w:t>.</w:t>
      </w:r>
      <w:r w:rsidR="00165363">
        <w:rPr>
          <w:sz w:val="24"/>
        </w:rPr>
        <w:t xml:space="preserve"> T</w:t>
      </w:r>
      <w:r>
        <w:rPr>
          <w:sz w:val="24"/>
        </w:rPr>
        <w:t>he</w:t>
      </w:r>
      <w:r w:rsidRPr="00095CDB">
        <w:rPr>
          <w:sz w:val="24"/>
        </w:rPr>
        <w:t xml:space="preserve"> Holder ha</w:t>
      </w:r>
      <w:r>
        <w:rPr>
          <w:sz w:val="24"/>
        </w:rPr>
        <w:t>d</w:t>
      </w:r>
      <w:r w:rsidRPr="00095CDB">
        <w:rPr>
          <w:sz w:val="24"/>
        </w:rPr>
        <w:t xml:space="preserve"> opted to make two equal payments of the required CHI contribution</w:t>
      </w:r>
      <w:r w:rsidR="00165363">
        <w:rPr>
          <w:sz w:val="24"/>
        </w:rPr>
        <w:t>.</w:t>
      </w:r>
      <w:r w:rsidRPr="00095CDB">
        <w:rPr>
          <w:sz w:val="24"/>
        </w:rPr>
        <w:t xml:space="preserve"> </w:t>
      </w:r>
      <w:r w:rsidR="00165363">
        <w:rPr>
          <w:sz w:val="24"/>
        </w:rPr>
        <w:t xml:space="preserve">The first was due </w:t>
      </w:r>
      <w:r w:rsidRPr="00095CDB">
        <w:rPr>
          <w:sz w:val="24"/>
        </w:rPr>
        <w:t>within 30 days of approval</w:t>
      </w:r>
      <w:r w:rsidR="009529F6">
        <w:rPr>
          <w:sz w:val="24"/>
        </w:rPr>
        <w:t xml:space="preserve"> (</w:t>
      </w:r>
      <w:r w:rsidR="00C25076">
        <w:rPr>
          <w:sz w:val="24"/>
        </w:rPr>
        <w:t>May 27, 2020</w:t>
      </w:r>
      <w:r w:rsidR="009529F6">
        <w:rPr>
          <w:sz w:val="24"/>
        </w:rPr>
        <w:t>)</w:t>
      </w:r>
      <w:r w:rsidRPr="00095CDB">
        <w:rPr>
          <w:sz w:val="24"/>
        </w:rPr>
        <w:t xml:space="preserve"> and the second on the </w:t>
      </w:r>
      <w:r w:rsidR="00165363">
        <w:rPr>
          <w:sz w:val="24"/>
        </w:rPr>
        <w:t xml:space="preserve">first </w:t>
      </w:r>
      <w:r w:rsidRPr="00095CDB">
        <w:rPr>
          <w:sz w:val="24"/>
        </w:rPr>
        <w:t xml:space="preserve">anniversary of </w:t>
      </w:r>
      <w:proofErr w:type="spellStart"/>
      <w:r w:rsidR="00476A62">
        <w:rPr>
          <w:sz w:val="24"/>
        </w:rPr>
        <w:t>DoN</w:t>
      </w:r>
      <w:proofErr w:type="spellEnd"/>
      <w:r w:rsidR="00476A62">
        <w:rPr>
          <w:sz w:val="24"/>
        </w:rPr>
        <w:t xml:space="preserve"> </w:t>
      </w:r>
      <w:r w:rsidRPr="00095CDB">
        <w:rPr>
          <w:sz w:val="24"/>
        </w:rPr>
        <w:t>approval</w:t>
      </w:r>
      <w:r w:rsidR="00476A62">
        <w:rPr>
          <w:sz w:val="24"/>
        </w:rPr>
        <w:t xml:space="preserve"> (</w:t>
      </w:r>
      <w:r w:rsidR="00C25076">
        <w:rPr>
          <w:sz w:val="24"/>
        </w:rPr>
        <w:t>April 27, 2021</w:t>
      </w:r>
      <w:r w:rsidR="00476A62">
        <w:rPr>
          <w:sz w:val="24"/>
        </w:rPr>
        <w:t>)</w:t>
      </w:r>
      <w:r w:rsidRPr="00095CDB">
        <w:rPr>
          <w:sz w:val="24"/>
        </w:rPr>
        <w:t>.</w:t>
      </w:r>
      <w:r>
        <w:rPr>
          <w:sz w:val="24"/>
        </w:rPr>
        <w:t xml:space="preserve"> </w:t>
      </w:r>
      <w:r w:rsidR="002D18F4" w:rsidRPr="002D18F4">
        <w:rPr>
          <w:sz w:val="24"/>
        </w:rPr>
        <w:t xml:space="preserve">Following </w:t>
      </w:r>
      <w:proofErr w:type="spellStart"/>
      <w:r w:rsidR="002D18F4" w:rsidRPr="002D18F4">
        <w:rPr>
          <w:sz w:val="24"/>
        </w:rPr>
        <w:t>DoN</w:t>
      </w:r>
      <w:proofErr w:type="spellEnd"/>
      <w:r w:rsidR="002D18F4" w:rsidRPr="002D18F4">
        <w:rPr>
          <w:sz w:val="24"/>
        </w:rPr>
        <w:t xml:space="preserve"> Approval, the first payment of $50,438.61 was not </w:t>
      </w:r>
      <w:r w:rsidR="002D18F4">
        <w:rPr>
          <w:sz w:val="24"/>
        </w:rPr>
        <w:t>receiv</w:t>
      </w:r>
      <w:r w:rsidR="002D18F4" w:rsidRPr="002D18F4">
        <w:rPr>
          <w:sz w:val="24"/>
        </w:rPr>
        <w:t>ed.</w:t>
      </w:r>
      <w:r w:rsidR="002D18F4">
        <w:rPr>
          <w:sz w:val="24"/>
        </w:rPr>
        <w:t xml:space="preserve"> </w:t>
      </w:r>
    </w:p>
    <w:p w14:paraId="126E6EB7" w14:textId="4687685E" w:rsidR="00B5684E" w:rsidRDefault="007D27DE" w:rsidP="00E07C67">
      <w:pPr>
        <w:spacing w:before="199"/>
        <w:ind w:left="810" w:right="-10"/>
        <w:rPr>
          <w:sz w:val="24"/>
        </w:rPr>
      </w:pPr>
      <w:r>
        <w:rPr>
          <w:sz w:val="24"/>
        </w:rPr>
        <w:t>Since t</w:t>
      </w:r>
      <w:r w:rsidR="004B74D5" w:rsidRPr="00994318">
        <w:rPr>
          <w:sz w:val="24"/>
        </w:rPr>
        <w:t xml:space="preserve">he proposed project entails an incremental increase in the </w:t>
      </w:r>
      <w:r>
        <w:rPr>
          <w:sz w:val="24"/>
        </w:rPr>
        <w:t xml:space="preserve">Capital Expenditure </w:t>
      </w:r>
      <w:r w:rsidR="00170E7D">
        <w:rPr>
          <w:sz w:val="24"/>
        </w:rPr>
        <w:t>of the project</w:t>
      </w:r>
      <w:r>
        <w:rPr>
          <w:sz w:val="24"/>
        </w:rPr>
        <w:t>,</w:t>
      </w:r>
      <w:r w:rsidR="00170E7D">
        <w:rPr>
          <w:sz w:val="24"/>
        </w:rPr>
        <w:t xml:space="preserve"> the </w:t>
      </w:r>
      <w:r w:rsidR="004B74D5" w:rsidRPr="00994318">
        <w:rPr>
          <w:sz w:val="24"/>
        </w:rPr>
        <w:t xml:space="preserve">community health initiatives (CHI) contribution </w:t>
      </w:r>
      <w:r w:rsidR="00170E7D">
        <w:rPr>
          <w:sz w:val="24"/>
        </w:rPr>
        <w:t xml:space="preserve">will increase from </w:t>
      </w:r>
      <w:r w:rsidR="00170E7D" w:rsidRPr="00170E7D">
        <w:rPr>
          <w:sz w:val="24"/>
        </w:rPr>
        <w:t>$100,877.22</w:t>
      </w:r>
      <w:r w:rsidR="00170E7D">
        <w:rPr>
          <w:sz w:val="24"/>
        </w:rPr>
        <w:t xml:space="preserve"> </w:t>
      </w:r>
      <w:r w:rsidR="000C672C">
        <w:rPr>
          <w:sz w:val="24"/>
        </w:rPr>
        <w:t xml:space="preserve">by </w:t>
      </w:r>
      <w:r w:rsidR="00825A1C" w:rsidRPr="00825A1C">
        <w:rPr>
          <w:sz w:val="24"/>
        </w:rPr>
        <w:t>$</w:t>
      </w:r>
      <w:r w:rsidR="0061794C">
        <w:rPr>
          <w:sz w:val="24"/>
        </w:rPr>
        <w:t>74,087.78</w:t>
      </w:r>
      <w:r w:rsidR="000C672C">
        <w:rPr>
          <w:sz w:val="24"/>
        </w:rPr>
        <w:t xml:space="preserve"> to a total of $174,965</w:t>
      </w:r>
      <w:r w:rsidR="004B74D5" w:rsidRPr="00994318">
        <w:rPr>
          <w:sz w:val="24"/>
        </w:rPr>
        <w:t>.</w:t>
      </w:r>
    </w:p>
    <w:p w14:paraId="23D90BBF" w14:textId="001DCB22" w:rsidR="00080949" w:rsidRDefault="002D18F4" w:rsidP="00A32160">
      <w:pPr>
        <w:spacing w:before="199"/>
        <w:ind w:left="810" w:right="-10"/>
        <w:rPr>
          <w:sz w:val="24"/>
        </w:rPr>
      </w:pPr>
      <w:r>
        <w:rPr>
          <w:sz w:val="24"/>
        </w:rPr>
        <w:t xml:space="preserve">As required, within 30 days of </w:t>
      </w:r>
      <w:r w:rsidR="00165363">
        <w:rPr>
          <w:sz w:val="24"/>
        </w:rPr>
        <w:t>a</w:t>
      </w:r>
      <w:r>
        <w:rPr>
          <w:sz w:val="24"/>
        </w:rPr>
        <w:t xml:space="preserve">pproval of this Amendment, the Holder must submit payment </w:t>
      </w:r>
      <w:r w:rsidR="00095CDB">
        <w:rPr>
          <w:sz w:val="24"/>
        </w:rPr>
        <w:t xml:space="preserve">for the unpaid amount of </w:t>
      </w:r>
      <w:r w:rsidR="00095CDB" w:rsidRPr="00095CDB">
        <w:rPr>
          <w:sz w:val="24"/>
        </w:rPr>
        <w:t>$50,438.61</w:t>
      </w:r>
      <w:r w:rsidR="00095CDB">
        <w:rPr>
          <w:sz w:val="24"/>
        </w:rPr>
        <w:t xml:space="preserve"> </w:t>
      </w:r>
      <w:r w:rsidR="00095CDB" w:rsidRPr="00165363">
        <w:rPr>
          <w:sz w:val="24"/>
          <w:u w:val="single"/>
        </w:rPr>
        <w:t>and</w:t>
      </w:r>
      <w:r w:rsidR="00095CDB">
        <w:rPr>
          <w:sz w:val="24"/>
        </w:rPr>
        <w:t xml:space="preserve"> the incremental increase of $37,</w:t>
      </w:r>
      <w:r w:rsidR="00165363">
        <w:rPr>
          <w:sz w:val="24"/>
        </w:rPr>
        <w:t>0</w:t>
      </w:r>
      <w:r w:rsidR="00095CDB">
        <w:rPr>
          <w:sz w:val="24"/>
        </w:rPr>
        <w:t xml:space="preserve">43.89 for a total </w:t>
      </w:r>
      <w:r w:rsidR="001749E3">
        <w:rPr>
          <w:sz w:val="24"/>
        </w:rPr>
        <w:t xml:space="preserve">of </w:t>
      </w:r>
      <w:r w:rsidR="001749E3">
        <w:rPr>
          <w:sz w:val="24"/>
        </w:rPr>
        <w:lastRenderedPageBreak/>
        <w:t>$</w:t>
      </w:r>
      <w:r>
        <w:rPr>
          <w:sz w:val="24"/>
        </w:rPr>
        <w:t>87,482.50</w:t>
      </w:r>
      <w:r w:rsidR="00165363">
        <w:rPr>
          <w:sz w:val="24"/>
        </w:rPr>
        <w:t>.</w:t>
      </w:r>
      <w:r w:rsidR="001749E3">
        <w:rPr>
          <w:sz w:val="24"/>
        </w:rPr>
        <w:t xml:space="preserve"> </w:t>
      </w:r>
      <w:r w:rsidR="00165363">
        <w:rPr>
          <w:sz w:val="24"/>
        </w:rPr>
        <w:t xml:space="preserve">The second </w:t>
      </w:r>
      <w:r>
        <w:rPr>
          <w:sz w:val="24"/>
        </w:rPr>
        <w:t>payment</w:t>
      </w:r>
      <w:r w:rsidR="00165363">
        <w:rPr>
          <w:sz w:val="24"/>
        </w:rPr>
        <w:t xml:space="preserve"> of </w:t>
      </w:r>
      <w:r w:rsidR="00095CDB">
        <w:rPr>
          <w:sz w:val="24"/>
        </w:rPr>
        <w:t xml:space="preserve">$87,482.50 </w:t>
      </w:r>
      <w:r w:rsidR="00165363">
        <w:rPr>
          <w:sz w:val="24"/>
        </w:rPr>
        <w:t xml:space="preserve">must be submitted </w:t>
      </w:r>
      <w:r>
        <w:rPr>
          <w:sz w:val="24"/>
        </w:rPr>
        <w:t xml:space="preserve">on the Anniversary of the approval of this </w:t>
      </w:r>
      <w:r w:rsidR="00095CDB">
        <w:rPr>
          <w:sz w:val="24"/>
        </w:rPr>
        <w:t>A</w:t>
      </w:r>
      <w:r>
        <w:rPr>
          <w:sz w:val="24"/>
        </w:rPr>
        <w:t>mendment.</w:t>
      </w:r>
    </w:p>
    <w:p w14:paraId="3F8809BF" w14:textId="319A2FBC" w:rsidR="00994318" w:rsidRPr="003F1E52" w:rsidRDefault="004B74D5" w:rsidP="00080949">
      <w:pPr>
        <w:pStyle w:val="Heading1"/>
      </w:pPr>
      <w:r w:rsidRPr="00994318">
        <w:t xml:space="preserve"> </w:t>
      </w:r>
      <w:r w:rsidR="00994318" w:rsidRPr="003F1E52">
        <w:t>Staff Summary and Findings</w:t>
      </w:r>
    </w:p>
    <w:p w14:paraId="1A9BD370" w14:textId="282729B0" w:rsidR="004B74D5" w:rsidRDefault="004B74D5" w:rsidP="00E07C67">
      <w:pPr>
        <w:spacing w:before="199"/>
        <w:ind w:left="810" w:right="-10"/>
        <w:rPr>
          <w:sz w:val="24"/>
        </w:rPr>
      </w:pPr>
      <w:r w:rsidRPr="004B74D5">
        <w:rPr>
          <w:sz w:val="24"/>
        </w:rPr>
        <w:t xml:space="preserve">Staff reviewed the 2020 Staff </w:t>
      </w:r>
      <w:r w:rsidR="00571F0A">
        <w:rPr>
          <w:sz w:val="24"/>
        </w:rPr>
        <w:t xml:space="preserve">Report </w:t>
      </w:r>
      <w:r w:rsidRPr="004B74D5">
        <w:rPr>
          <w:sz w:val="24"/>
        </w:rPr>
        <w:t>and Decision Letter of Approval to determine whether the request falls within the scope of that Approval.</w:t>
      </w:r>
      <w:r w:rsidR="00571F0A">
        <w:rPr>
          <w:sz w:val="24"/>
        </w:rPr>
        <w:t xml:space="preserve"> Staff determined that there are no additional gross square feet, service or programmatic changes that would change the scope of the project.  </w:t>
      </w:r>
      <w:r>
        <w:rPr>
          <w:sz w:val="24"/>
        </w:rPr>
        <w:t xml:space="preserve">Staff </w:t>
      </w:r>
      <w:r w:rsidR="00571F0A">
        <w:rPr>
          <w:sz w:val="24"/>
        </w:rPr>
        <w:t xml:space="preserve">also </w:t>
      </w:r>
      <w:r>
        <w:rPr>
          <w:sz w:val="24"/>
        </w:rPr>
        <w:t xml:space="preserve">finds that the proposed changes could not have been reasonably foreseen given the well documented impact of the </w:t>
      </w:r>
      <w:r w:rsidR="00654D53">
        <w:rPr>
          <w:sz w:val="24"/>
        </w:rPr>
        <w:t>CO</w:t>
      </w:r>
      <w:r w:rsidR="00A715A8">
        <w:rPr>
          <w:sz w:val="24"/>
        </w:rPr>
        <w:t>VID-</w:t>
      </w:r>
      <w:r>
        <w:rPr>
          <w:sz w:val="24"/>
        </w:rPr>
        <w:t xml:space="preserve">19 pandemic on the health care industry </w:t>
      </w:r>
      <w:proofErr w:type="gramStart"/>
      <w:r>
        <w:rPr>
          <w:sz w:val="24"/>
        </w:rPr>
        <w:t xml:space="preserve">and </w:t>
      </w:r>
      <w:r w:rsidR="00571F0A">
        <w:rPr>
          <w:sz w:val="24"/>
        </w:rPr>
        <w:t>also</w:t>
      </w:r>
      <w:proofErr w:type="gramEnd"/>
      <w:r w:rsidR="00571F0A">
        <w:rPr>
          <w:sz w:val="24"/>
        </w:rPr>
        <w:t xml:space="preserve"> </w:t>
      </w:r>
      <w:r>
        <w:rPr>
          <w:sz w:val="24"/>
        </w:rPr>
        <w:t>on the costs of materials and labor in the construction industry</w:t>
      </w:r>
      <w:r w:rsidR="00994318">
        <w:rPr>
          <w:sz w:val="24"/>
        </w:rPr>
        <w:t>, as well as the need to secure HUD funding, or the subsequent increase in scope required by HUD.</w:t>
      </w:r>
      <w:r>
        <w:rPr>
          <w:sz w:val="24"/>
        </w:rPr>
        <w:t xml:space="preserve"> </w:t>
      </w:r>
      <w:proofErr w:type="gramStart"/>
      <w:r>
        <w:rPr>
          <w:sz w:val="24"/>
        </w:rPr>
        <w:t>Therefore</w:t>
      </w:r>
      <w:proofErr w:type="gramEnd"/>
      <w:r>
        <w:rPr>
          <w:sz w:val="24"/>
        </w:rPr>
        <w:t xml:space="preserve"> Staff finds that the Holders changes to the Approved </w:t>
      </w:r>
      <w:proofErr w:type="spellStart"/>
      <w:r>
        <w:rPr>
          <w:sz w:val="24"/>
        </w:rPr>
        <w:t>DoN</w:t>
      </w:r>
      <w:proofErr w:type="spellEnd"/>
      <w:r>
        <w:rPr>
          <w:sz w:val="24"/>
        </w:rPr>
        <w:t xml:space="preserve"> </w:t>
      </w:r>
      <w:r w:rsidRPr="004B74D5">
        <w:rPr>
          <w:sz w:val="24"/>
        </w:rPr>
        <w:t xml:space="preserve">fall within the scope of an Amendment and Staff recommends approval of </w:t>
      </w:r>
      <w:r>
        <w:rPr>
          <w:sz w:val="24"/>
        </w:rPr>
        <w:t xml:space="preserve">this </w:t>
      </w:r>
      <w:r w:rsidRPr="004B74D5">
        <w:rPr>
          <w:sz w:val="24"/>
        </w:rPr>
        <w:t>request.</w:t>
      </w:r>
    </w:p>
    <w:p w14:paraId="0CC258A6" w14:textId="77777777" w:rsidR="004E199B" w:rsidRDefault="00571F0A" w:rsidP="00E07C67">
      <w:pPr>
        <w:spacing w:before="199"/>
        <w:ind w:left="810" w:right="-10"/>
        <w:rPr>
          <w:sz w:val="24"/>
        </w:rPr>
      </w:pPr>
      <w:r w:rsidRPr="00571F0A">
        <w:rPr>
          <w:sz w:val="24"/>
        </w:rPr>
        <w:t xml:space="preserve">Based upon the information submitted, </w:t>
      </w:r>
      <w:r>
        <w:rPr>
          <w:sz w:val="24"/>
        </w:rPr>
        <w:t xml:space="preserve">with additional staff analysis </w:t>
      </w:r>
      <w:r w:rsidRPr="00571F0A">
        <w:rPr>
          <w:sz w:val="24"/>
        </w:rPr>
        <w:t>the Department can find that the “the proposed change or modification falls within the scope of the Notice of Determination of Need as previously approved by the Department, and … is reasonable” 105 C.M.R. 100.635(A) which are requirements for approval of an Amendment.</w:t>
      </w:r>
      <w:r w:rsidR="000334F9">
        <w:rPr>
          <w:sz w:val="24"/>
        </w:rPr>
        <w:t xml:space="preserve"> </w:t>
      </w:r>
    </w:p>
    <w:p w14:paraId="78B8C799" w14:textId="16CF868A" w:rsidR="00571F0A" w:rsidRPr="00571F0A" w:rsidRDefault="000334F9" w:rsidP="00E07C67">
      <w:pPr>
        <w:spacing w:before="199"/>
        <w:ind w:left="810" w:right="-10"/>
        <w:rPr>
          <w:sz w:val="24"/>
        </w:rPr>
      </w:pPr>
      <w:r>
        <w:rPr>
          <w:sz w:val="24"/>
        </w:rPr>
        <w:t xml:space="preserve">The total approved capital expenditure is </w:t>
      </w:r>
      <w:r w:rsidRPr="000334F9">
        <w:rPr>
          <w:sz w:val="24"/>
        </w:rPr>
        <w:t>increase</w:t>
      </w:r>
      <w:r>
        <w:rPr>
          <w:sz w:val="24"/>
        </w:rPr>
        <w:t>d</w:t>
      </w:r>
      <w:r w:rsidRPr="000334F9">
        <w:rPr>
          <w:sz w:val="24"/>
        </w:rPr>
        <w:t xml:space="preserve"> to $17,496,500.00 (May 2021 Dollars)</w:t>
      </w:r>
      <w:r>
        <w:rPr>
          <w:sz w:val="24"/>
        </w:rPr>
        <w:t xml:space="preserve"> and the total approved CHI is </w:t>
      </w:r>
      <w:r w:rsidRPr="000334F9">
        <w:rPr>
          <w:sz w:val="24"/>
        </w:rPr>
        <w:t>$174,965.</w:t>
      </w:r>
    </w:p>
    <w:p w14:paraId="1D865362" w14:textId="77777777" w:rsidR="00767A1D" w:rsidRDefault="00767A1D" w:rsidP="00FB7024">
      <w:pPr>
        <w:pStyle w:val="BodyText"/>
        <w:spacing w:before="9"/>
        <w:ind w:left="720" w:right="-10"/>
        <w:rPr>
          <w:b/>
          <w:sz w:val="19"/>
        </w:rPr>
      </w:pPr>
    </w:p>
    <w:p w14:paraId="546FE741" w14:textId="77777777" w:rsidR="00DA0E9C" w:rsidRDefault="00DA0E9C" w:rsidP="00FB7024">
      <w:pPr>
        <w:ind w:left="720" w:right="-10"/>
        <w:rPr>
          <w:rFonts w:asciiTheme="minorHAnsi" w:hAnsiTheme="minorHAnsi" w:cstheme="minorHAnsi"/>
          <w:b/>
          <w:bCs/>
          <w:sz w:val="24"/>
          <w:u w:val="single"/>
        </w:rPr>
      </w:pPr>
    </w:p>
    <w:p w14:paraId="12541D4B" w14:textId="77777777" w:rsidR="00DA0E9C" w:rsidRDefault="00DA0E9C" w:rsidP="00080949">
      <w:pPr>
        <w:pStyle w:val="Heading1"/>
      </w:pPr>
      <w:r w:rsidRPr="00DA0E9C">
        <w:t xml:space="preserve">Other Conditions to the </w:t>
      </w:r>
      <w:proofErr w:type="spellStart"/>
      <w:r w:rsidRPr="00DA0E9C">
        <w:t>DoN</w:t>
      </w:r>
      <w:proofErr w:type="spellEnd"/>
    </w:p>
    <w:p w14:paraId="01D6CA73" w14:textId="77777777" w:rsidR="00DA0E9C" w:rsidRPr="00DA0E9C" w:rsidRDefault="00DA0E9C" w:rsidP="00DA0E9C">
      <w:pPr>
        <w:ind w:left="720" w:right="-10"/>
        <w:rPr>
          <w:rFonts w:asciiTheme="minorHAnsi" w:hAnsiTheme="minorHAnsi" w:cstheme="minorHAnsi"/>
          <w:b/>
          <w:bCs/>
          <w:sz w:val="24"/>
          <w:u w:val="single"/>
        </w:rPr>
      </w:pPr>
    </w:p>
    <w:p w14:paraId="3FF47740" w14:textId="51F80210" w:rsidR="00DA0E9C" w:rsidRPr="00DA0E9C" w:rsidRDefault="00DA0E9C" w:rsidP="00DA0E9C">
      <w:pPr>
        <w:numPr>
          <w:ilvl w:val="0"/>
          <w:numId w:val="26"/>
        </w:numPr>
        <w:ind w:right="-10"/>
        <w:rPr>
          <w:rFonts w:asciiTheme="minorHAnsi" w:hAnsiTheme="minorHAnsi" w:cstheme="minorHAnsi"/>
          <w:bCs/>
          <w:sz w:val="24"/>
        </w:rPr>
      </w:pPr>
      <w:r w:rsidRPr="00DA0E9C">
        <w:rPr>
          <w:rFonts w:asciiTheme="minorHAnsi" w:hAnsiTheme="minorHAnsi" w:cstheme="minorHAnsi"/>
          <w:bCs/>
          <w:sz w:val="24"/>
        </w:rPr>
        <w:t xml:space="preserve">To reflect the amended MCE increase, the total CHI contribution will be $174,965 paid in two equal payments </w:t>
      </w:r>
      <w:r w:rsidR="00027018">
        <w:rPr>
          <w:rFonts w:asciiTheme="minorHAnsi" w:hAnsiTheme="minorHAnsi" w:cstheme="minorHAnsi"/>
          <w:bCs/>
          <w:sz w:val="24"/>
        </w:rPr>
        <w:t>of $87</w:t>
      </w:r>
      <w:r w:rsidR="00095CDB">
        <w:rPr>
          <w:rFonts w:asciiTheme="minorHAnsi" w:hAnsiTheme="minorHAnsi" w:cstheme="minorHAnsi"/>
          <w:bCs/>
          <w:sz w:val="24"/>
        </w:rPr>
        <w:t>,</w:t>
      </w:r>
      <w:r w:rsidR="00027018">
        <w:rPr>
          <w:rFonts w:asciiTheme="minorHAnsi" w:hAnsiTheme="minorHAnsi" w:cstheme="minorHAnsi"/>
          <w:bCs/>
          <w:sz w:val="24"/>
        </w:rPr>
        <w:t xml:space="preserve">482.50 </w:t>
      </w:r>
      <w:r w:rsidRPr="00DA0E9C">
        <w:rPr>
          <w:rFonts w:asciiTheme="minorHAnsi" w:hAnsiTheme="minorHAnsi" w:cstheme="minorHAnsi"/>
          <w:bCs/>
          <w:sz w:val="24"/>
        </w:rPr>
        <w:t>with the first payment due at the time of receipt of a duly-approved Notice of Determination of Need (or upon receipt of a payment letter from DPH), and the second, on the first anniversary of the Notice.</w:t>
      </w:r>
    </w:p>
    <w:p w14:paraId="208FA426" w14:textId="77777777" w:rsidR="00DA0E9C" w:rsidRPr="00DA0E9C" w:rsidRDefault="00DA0E9C" w:rsidP="00DA0E9C">
      <w:pPr>
        <w:ind w:left="720" w:right="-10"/>
        <w:rPr>
          <w:rFonts w:asciiTheme="minorHAnsi" w:hAnsiTheme="minorHAnsi" w:cstheme="minorHAnsi"/>
          <w:bCs/>
          <w:sz w:val="24"/>
        </w:rPr>
      </w:pPr>
      <w:r w:rsidRPr="00DA0E9C">
        <w:rPr>
          <w:rFonts w:asciiTheme="minorHAnsi" w:hAnsiTheme="minorHAnsi" w:cstheme="minorHAnsi"/>
          <w:bCs/>
          <w:sz w:val="24"/>
        </w:rPr>
        <w:t> </w:t>
      </w:r>
    </w:p>
    <w:p w14:paraId="2D203486" w14:textId="723EEA3D" w:rsidR="00165363" w:rsidRDefault="00165363" w:rsidP="00DA0E9C">
      <w:pPr>
        <w:ind w:left="720" w:right="-10"/>
        <w:rPr>
          <w:rFonts w:asciiTheme="minorHAnsi" w:hAnsiTheme="minorHAnsi" w:cstheme="minorHAnsi"/>
          <w:bCs/>
          <w:sz w:val="24"/>
        </w:rPr>
      </w:pPr>
      <w:r>
        <w:rPr>
          <w:rFonts w:asciiTheme="minorHAnsi" w:hAnsiTheme="minorHAnsi" w:cstheme="minorHAnsi"/>
          <w:bCs/>
          <w:sz w:val="24"/>
        </w:rPr>
        <w:t xml:space="preserve">Within thirty (30) days </w:t>
      </w:r>
      <w:r w:rsidRPr="00165363">
        <w:rPr>
          <w:rFonts w:asciiTheme="minorHAnsi" w:hAnsiTheme="minorHAnsi" w:cstheme="minorHAnsi"/>
          <w:bCs/>
          <w:sz w:val="24"/>
        </w:rPr>
        <w:t>from the date of th</w:t>
      </w:r>
      <w:r>
        <w:rPr>
          <w:rFonts w:asciiTheme="minorHAnsi" w:hAnsiTheme="minorHAnsi" w:cstheme="minorHAnsi"/>
          <w:bCs/>
          <w:sz w:val="24"/>
        </w:rPr>
        <w:t>is</w:t>
      </w:r>
      <w:r w:rsidRPr="00165363">
        <w:rPr>
          <w:rFonts w:asciiTheme="minorHAnsi" w:hAnsiTheme="minorHAnsi" w:cstheme="minorHAnsi"/>
          <w:bCs/>
          <w:sz w:val="24"/>
        </w:rPr>
        <w:t xml:space="preserve"> Notice of Approval </w:t>
      </w:r>
      <w:r>
        <w:rPr>
          <w:rFonts w:asciiTheme="minorHAnsi" w:hAnsiTheme="minorHAnsi" w:cstheme="minorHAnsi"/>
          <w:bCs/>
          <w:sz w:val="24"/>
        </w:rPr>
        <w:t>of approval of this Amendment, t</w:t>
      </w:r>
      <w:r w:rsidR="00DA0E9C" w:rsidRPr="00DA0E9C">
        <w:rPr>
          <w:rFonts w:asciiTheme="minorHAnsi" w:hAnsiTheme="minorHAnsi" w:cstheme="minorHAnsi"/>
          <w:bCs/>
          <w:sz w:val="24"/>
        </w:rPr>
        <w:t>o comply with the obligation to contribute to the Massachusetts Healthy Aging Fund, the Holder must submit a check for $87,482.50 to Health Resources in Action</w:t>
      </w:r>
      <w:r w:rsidR="00E71EF9">
        <w:rPr>
          <w:rFonts w:asciiTheme="minorHAnsi" w:hAnsiTheme="minorHAnsi" w:cstheme="minorHAnsi"/>
          <w:bCs/>
          <w:sz w:val="24"/>
        </w:rPr>
        <w:t xml:space="preserve">, </w:t>
      </w:r>
      <w:r w:rsidR="00DA0E9C" w:rsidRPr="00DA0E9C">
        <w:rPr>
          <w:rFonts w:asciiTheme="minorHAnsi" w:hAnsiTheme="minorHAnsi" w:cstheme="minorHAnsi"/>
          <w:bCs/>
          <w:sz w:val="24"/>
        </w:rPr>
        <w:t>the fiscal agent for the Massachusetts Healthy Aging Fund</w:t>
      </w:r>
      <w:r w:rsidR="00E71EF9">
        <w:rPr>
          <w:rFonts w:asciiTheme="minorHAnsi" w:hAnsiTheme="minorHAnsi" w:cstheme="minorHAnsi"/>
          <w:bCs/>
          <w:sz w:val="24"/>
        </w:rPr>
        <w:t>.</w:t>
      </w:r>
      <w:r w:rsidR="00DA0E9C" w:rsidRPr="00DA0E9C">
        <w:rPr>
          <w:rFonts w:asciiTheme="minorHAnsi" w:hAnsiTheme="minorHAnsi" w:cstheme="minorHAnsi"/>
          <w:bCs/>
          <w:sz w:val="24"/>
        </w:rPr>
        <w:t xml:space="preserve"> The Holder must promptly notify DPH (CHI contact staff) when the payment has been made.</w:t>
      </w:r>
    </w:p>
    <w:p w14:paraId="72AD1773" w14:textId="77777777" w:rsidR="00114BB7" w:rsidRDefault="00114BB7" w:rsidP="00DA0E9C">
      <w:pPr>
        <w:ind w:left="720" w:right="-10"/>
        <w:rPr>
          <w:rFonts w:asciiTheme="minorHAnsi" w:hAnsiTheme="minorHAnsi" w:cstheme="minorHAnsi"/>
          <w:bCs/>
          <w:sz w:val="24"/>
        </w:rPr>
      </w:pPr>
    </w:p>
    <w:p w14:paraId="38140F29" w14:textId="7A8EFB13" w:rsidR="002C1F4A" w:rsidRPr="00080949" w:rsidRDefault="00DA0E9C" w:rsidP="00080949">
      <w:pPr>
        <w:ind w:left="720" w:right="-10"/>
        <w:rPr>
          <w:rFonts w:asciiTheme="minorHAnsi" w:hAnsiTheme="minorHAnsi" w:cstheme="minorHAnsi"/>
          <w:bCs/>
          <w:sz w:val="24"/>
        </w:rPr>
      </w:pPr>
      <w:r w:rsidRPr="00DA0E9C">
        <w:rPr>
          <w:rFonts w:asciiTheme="minorHAnsi" w:hAnsiTheme="minorHAnsi" w:cstheme="minorHAnsi"/>
          <w:bCs/>
          <w:sz w:val="24"/>
        </w:rPr>
        <w:t>Payment should be sent to:</w:t>
      </w:r>
      <w:r w:rsidRPr="00DA0E9C">
        <w:rPr>
          <w:rFonts w:asciiTheme="minorHAnsi" w:hAnsiTheme="minorHAnsi" w:cstheme="minorHAnsi"/>
          <w:bCs/>
          <w:sz w:val="24"/>
        </w:rPr>
        <w:br/>
        <w:t>Health Resources in Action, Inc., (</w:t>
      </w:r>
      <w:proofErr w:type="spellStart"/>
      <w:r w:rsidRPr="00DA0E9C">
        <w:rPr>
          <w:rFonts w:asciiTheme="minorHAnsi" w:hAnsiTheme="minorHAnsi" w:cstheme="minorHAnsi"/>
          <w:bCs/>
          <w:sz w:val="24"/>
        </w:rPr>
        <w:t>HRiA</w:t>
      </w:r>
      <w:proofErr w:type="spellEnd"/>
      <w:r w:rsidRPr="00DA0E9C">
        <w:rPr>
          <w:rFonts w:asciiTheme="minorHAnsi" w:hAnsiTheme="minorHAnsi" w:cstheme="minorHAnsi"/>
          <w:bCs/>
          <w:sz w:val="24"/>
        </w:rPr>
        <w:t>)</w:t>
      </w:r>
      <w:r w:rsidRPr="00DA0E9C">
        <w:rPr>
          <w:rFonts w:asciiTheme="minorHAnsi" w:hAnsiTheme="minorHAnsi" w:cstheme="minorHAnsi"/>
          <w:bCs/>
          <w:sz w:val="24"/>
        </w:rPr>
        <w:br/>
        <w:t>2 Boylston Street, 4th Floor</w:t>
      </w:r>
      <w:r w:rsidRPr="00DA0E9C">
        <w:rPr>
          <w:rFonts w:asciiTheme="minorHAnsi" w:hAnsiTheme="minorHAnsi" w:cstheme="minorHAnsi"/>
          <w:bCs/>
          <w:sz w:val="24"/>
        </w:rPr>
        <w:br/>
        <w:t>Boston, MA 02116</w:t>
      </w:r>
      <w:r w:rsidRPr="00DA0E9C">
        <w:rPr>
          <w:rFonts w:asciiTheme="minorHAnsi" w:hAnsiTheme="minorHAnsi" w:cstheme="minorHAnsi"/>
          <w:bCs/>
          <w:sz w:val="24"/>
        </w:rPr>
        <w:br/>
        <w:t>Attn: Ms. Bora Toro</w:t>
      </w:r>
    </w:p>
    <w:sectPr w:rsidR="002C1F4A" w:rsidRPr="00080949" w:rsidSect="001B2585">
      <w:type w:val="continuous"/>
      <w:pgSz w:w="12240" w:h="15840"/>
      <w:pgMar w:top="1400" w:right="1220" w:bottom="1680" w:left="860" w:header="0" w:footer="1415"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AB812" w16cex:dateUtc="2021-07-14T15:55:00Z"/>
  <w16cex:commentExtensible w16cex:durableId="249AB811" w16cex:dateUtc="2021-07-14T15:56:00Z"/>
  <w16cex:commentExtensible w16cex:durableId="24994F34" w16cex:dateUtc="2021-07-14T15:55:00Z"/>
  <w16cex:commentExtensible w16cex:durableId="24994F7C" w16cex:dateUtc="2021-07-14T15:56:00Z"/>
  <w16cex:commentExtensible w16cex:durableId="2499533F" w16cex:dateUtc="2021-07-14T16:12:00Z"/>
  <w16cex:commentExtensible w16cex:durableId="249952CB" w16cex:dateUtc="2021-07-14T16:10:00Z"/>
  <w16cex:commentExtensible w16cex:durableId="2489BBAD" w16cex:dateUtc="2021-07-02T20:22:00Z"/>
  <w16cex:commentExtensible w16cex:durableId="249AB9C9" w16cex:dateUtc="2021-07-15T17:42:00Z"/>
  <w16cex:commentExtensible w16cex:durableId="2489BB79" w16cex:dateUtc="2021-07-02T2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69CACF" w16cid:durableId="249AB812"/>
  <w16cid:commentId w16cid:paraId="409631B7" w16cid:durableId="249AB811"/>
  <w16cid:commentId w16cid:paraId="42A10763" w16cid:durableId="24994F34"/>
  <w16cid:commentId w16cid:paraId="4E02B92B" w16cid:durableId="24994F7C"/>
  <w16cid:commentId w16cid:paraId="0F07BB14" w16cid:durableId="2499533F"/>
  <w16cid:commentId w16cid:paraId="1BC0A4C5" w16cid:durableId="249952CB"/>
  <w16cid:commentId w16cid:paraId="07EC68F4" w16cid:durableId="2489BBAD"/>
  <w16cid:commentId w16cid:paraId="1A87F486" w16cid:durableId="249AB9C9"/>
  <w16cid:commentId w16cid:paraId="76BA39E0" w16cid:durableId="2489BB79"/>
  <w16cid:commentId w16cid:paraId="7FA04020" w16cid:durableId="249AB7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50D1A" w14:textId="77777777" w:rsidR="00AC7610" w:rsidRDefault="00AC7610">
      <w:r>
        <w:separator/>
      </w:r>
    </w:p>
  </w:endnote>
  <w:endnote w:type="continuationSeparator" w:id="0">
    <w:p w14:paraId="11BBB99B" w14:textId="77777777" w:rsidR="00AC7610" w:rsidRDefault="00AC7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A7512" w14:textId="1AC990FB" w:rsidR="00982286" w:rsidRDefault="00982286">
    <w:pPr>
      <w:pStyle w:val="BodyText"/>
      <w:spacing w:line="14" w:lineRule="auto"/>
      <w:rPr>
        <w:sz w:val="14"/>
      </w:rPr>
    </w:pPr>
    <w:r>
      <w:rPr>
        <w:noProof/>
        <w:lang w:bidi="ar-SA"/>
      </w:rPr>
      <mc:AlternateContent>
        <mc:Choice Requires="wps">
          <w:drawing>
            <wp:inline distT="0" distB="0" distL="0" distR="0" wp14:anchorId="03B8E1B8" wp14:editId="50FFFA5B">
              <wp:extent cx="194310" cy="165735"/>
              <wp:effectExtent l="0" t="0" r="15240" b="571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8F1AA" w14:textId="1F90785B" w:rsidR="00982286" w:rsidRDefault="00982286">
                          <w:pPr>
                            <w:pStyle w:val="BodyText"/>
                            <w:spacing w:line="245" w:lineRule="exact"/>
                            <w:ind w:left="40"/>
                          </w:pPr>
                          <w:r>
                            <w:fldChar w:fldCharType="begin"/>
                          </w:r>
                          <w:r>
                            <w:instrText xml:space="preserve"> PAGE </w:instrText>
                          </w:r>
                          <w:r>
                            <w:fldChar w:fldCharType="separate"/>
                          </w:r>
                          <w:r w:rsidR="000301B3">
                            <w:rPr>
                              <w:noProof/>
                            </w:rPr>
                            <w:t>9</w:t>
                          </w:r>
                          <w:r>
                            <w:fldChar w:fldCharType="end"/>
                          </w:r>
                        </w:p>
                      </w:txbxContent>
                    </wps:txbx>
                    <wps:bodyPr rot="0" vert="horz" wrap="square" lIns="0" tIns="0" rIns="0" bIns="0" anchor="t" anchorCtr="0" upright="1">
                      <a:noAutofit/>
                    </wps:bodyPr>
                  </wps:wsp>
                </a:graphicData>
              </a:graphic>
            </wp:inline>
          </w:drawing>
        </mc:Choice>
        <mc:Fallback>
          <w:pict>
            <v:shapetype w14:anchorId="03B8E1B8" id="_x0000_t202" coordsize="21600,21600" o:spt="202" path="m,l,21600r21600,l21600,xe">
              <v:stroke joinstyle="miter"/>
              <v:path gradientshapeok="t" o:connecttype="rect"/>
            </v:shapetype>
            <v:shape id="Text Box 2" o:spid="_x0000_s1026" type="#_x0000_t202" style="width:15.3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Y/uqgIAAKg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" filled="f" stroked="f">
              <v:textbox inset="0,0,0,0">
                <w:txbxContent>
                  <w:p w14:paraId="4AA8F1AA" w14:textId="1F90785B" w:rsidR="00982286" w:rsidRDefault="00982286">
                    <w:pPr>
                      <w:pStyle w:val="BodyText"/>
                      <w:spacing w:line="245" w:lineRule="exact"/>
                      <w:ind w:left="40"/>
                    </w:pPr>
                    <w:r>
                      <w:fldChar w:fldCharType="begin"/>
                    </w:r>
                    <w:r>
                      <w:instrText xml:space="preserve"> PAGE </w:instrText>
                    </w:r>
                    <w:r>
                      <w:fldChar w:fldCharType="separate"/>
                    </w:r>
                    <w:r w:rsidR="000301B3">
                      <w:rPr>
                        <w:noProof/>
                      </w:rPr>
                      <w:t>9</w:t>
                    </w:r>
                    <w: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55D84" w14:textId="77777777" w:rsidR="00AC7610" w:rsidRDefault="00AC7610">
      <w:r>
        <w:separator/>
      </w:r>
    </w:p>
  </w:footnote>
  <w:footnote w:type="continuationSeparator" w:id="0">
    <w:p w14:paraId="311BFA64" w14:textId="77777777" w:rsidR="00AC7610" w:rsidRDefault="00AC7610">
      <w:r>
        <w:continuationSeparator/>
      </w:r>
    </w:p>
  </w:footnote>
  <w:footnote w:id="1">
    <w:p w14:paraId="159C59C1" w14:textId="77777777" w:rsidR="00EE7C47" w:rsidRPr="00EE7C47" w:rsidRDefault="00EE7C47" w:rsidP="00EE7C47">
      <w:pPr>
        <w:pStyle w:val="FootnoteText"/>
        <w:ind w:left="720"/>
      </w:pPr>
      <w:r>
        <w:rPr>
          <w:rStyle w:val="FootnoteReference"/>
        </w:rPr>
        <w:footnoteRef/>
      </w:r>
      <w:r>
        <w:t xml:space="preserve"> </w:t>
      </w:r>
      <w:r w:rsidRPr="00EE7C47">
        <w:t>Conservation Project, which means “Construction that consists solely of a project(s) that would Sustain or Restore a Health Care Facility or service for its designated purpose, and to its original functionality, without Modernization, Addition, or Expansion.” Pursuant to 105 CMR 100.210(B)(2), Staff reviewed the Application in the context of Factors 3- Compliance, 4- Financial Feasibility, and 6- Community Health initiatives and was delegated by the Department for review and Final Action by the Commissioner.</w:t>
      </w:r>
    </w:p>
    <w:p w14:paraId="69C06746" w14:textId="5A51F7CD" w:rsidR="00EE7C47" w:rsidRDefault="00EE7C47">
      <w:pPr>
        <w:pStyle w:val="FootnoteText"/>
      </w:pPr>
    </w:p>
  </w:footnote>
  <w:footnote w:id="2">
    <w:p w14:paraId="1F1397F9" w14:textId="275B0B7E" w:rsidR="00FB7024" w:rsidRPr="00B5684E" w:rsidRDefault="00FB7024" w:rsidP="00AD758A">
      <w:pPr>
        <w:shd w:val="clear" w:color="auto" w:fill="FFFFFF"/>
        <w:ind w:left="720"/>
        <w:rPr>
          <w:sz w:val="20"/>
          <w:szCs w:val="20"/>
        </w:rPr>
      </w:pPr>
      <w:r>
        <w:rPr>
          <w:rStyle w:val="FootnoteReference"/>
        </w:rPr>
        <w:footnoteRef/>
      </w:r>
      <w:r>
        <w:t xml:space="preserve"> </w:t>
      </w:r>
      <w:r w:rsidRPr="00B5684E">
        <w:rPr>
          <w:sz w:val="20"/>
          <w:szCs w:val="20"/>
        </w:rPr>
        <w:t>How U.S. Trade Policy Helped Construction Materials Costs Go Through the Roof by Scott Lincicome posted March 18, 2021 11:11AM</w:t>
      </w:r>
      <w:r w:rsidRPr="00B5684E">
        <w:rPr>
          <w:rFonts w:eastAsia="Times New Roman" w:cstheme="minorHAnsi"/>
          <w:spacing w:val="22"/>
          <w:sz w:val="20"/>
          <w:szCs w:val="20"/>
        </w:rPr>
        <w:t>.</w:t>
      </w:r>
      <w:r w:rsidRPr="00B5684E">
        <w:rPr>
          <w:sz w:val="20"/>
          <w:szCs w:val="20"/>
        </w:rPr>
        <w:t xml:space="preserve"> </w:t>
      </w:r>
      <w:hyperlink r:id="rId1" w:history="1">
        <w:r w:rsidR="00A32160">
          <w:rPr>
            <w:rStyle w:val="Hyperlink"/>
            <w:sz w:val="20"/>
            <w:szCs w:val="20"/>
            <w:u w:val="none"/>
          </w:rPr>
          <w:t>Article on CATO Institute webpage</w:t>
        </w:r>
      </w:hyperlink>
      <w:r w:rsidRPr="00B5684E">
        <w:rPr>
          <w:rStyle w:val="Hyperlink"/>
          <w:sz w:val="20"/>
          <w:szCs w:val="20"/>
          <w:u w:val="none"/>
        </w:rPr>
        <w:t>.</w:t>
      </w:r>
    </w:p>
  </w:footnote>
  <w:footnote w:id="3">
    <w:p w14:paraId="4DB9F0B1" w14:textId="0EA373DE" w:rsidR="00FB7024" w:rsidRPr="00B5684E" w:rsidRDefault="00FB7024" w:rsidP="00AD758A">
      <w:pPr>
        <w:ind w:left="720"/>
        <w:rPr>
          <w:sz w:val="20"/>
          <w:szCs w:val="20"/>
        </w:rPr>
      </w:pPr>
      <w:r w:rsidRPr="00B5684E">
        <w:rPr>
          <w:rStyle w:val="FootnoteReference"/>
          <w:sz w:val="20"/>
          <w:szCs w:val="20"/>
        </w:rPr>
        <w:footnoteRef/>
      </w:r>
      <w:r w:rsidRPr="00B5684E">
        <w:rPr>
          <w:sz w:val="20"/>
          <w:szCs w:val="20"/>
        </w:rPr>
        <w:t xml:space="preserve"> Domestic Material Price Trends </w:t>
      </w:r>
      <w:hyperlink r:id="rId2" w:history="1">
        <w:r w:rsidR="00A32160">
          <w:rPr>
            <w:rStyle w:val="Hyperlink"/>
            <w:sz w:val="20"/>
            <w:szCs w:val="20"/>
            <w:u w:val="none"/>
          </w:rPr>
          <w:t>Article on Cumming Group webpage</w:t>
        </w:r>
      </w:hyperlink>
      <w:r w:rsidRPr="00B5684E">
        <w:rPr>
          <w:rStyle w:val="Hyperlink"/>
          <w:sz w:val="20"/>
          <w:szCs w:val="20"/>
          <w:u w:val="none"/>
        </w:rPr>
        <w:t>.</w:t>
      </w:r>
    </w:p>
  </w:footnote>
  <w:footnote w:id="4">
    <w:p w14:paraId="71539558" w14:textId="77777777" w:rsidR="00FB7024" w:rsidRPr="00B5684E" w:rsidRDefault="00FB7024" w:rsidP="00AD758A">
      <w:pPr>
        <w:shd w:val="clear" w:color="auto" w:fill="FFFFFF"/>
        <w:ind w:left="720"/>
        <w:outlineLvl w:val="0"/>
        <w:rPr>
          <w:rFonts w:cstheme="minorHAnsi"/>
          <w:sz w:val="20"/>
          <w:szCs w:val="20"/>
        </w:rPr>
      </w:pPr>
      <w:r w:rsidRPr="00B5684E">
        <w:rPr>
          <w:rStyle w:val="FootnoteReference"/>
          <w:sz w:val="20"/>
          <w:szCs w:val="20"/>
        </w:rPr>
        <w:footnoteRef/>
      </w:r>
      <w:r w:rsidRPr="00B5684E">
        <w:rPr>
          <w:sz w:val="20"/>
          <w:szCs w:val="20"/>
        </w:rPr>
        <w:t xml:space="preserve"> </w:t>
      </w:r>
      <w:r w:rsidRPr="00B5684E">
        <w:rPr>
          <w:rFonts w:cstheme="minorHAnsi"/>
          <w:sz w:val="20"/>
          <w:szCs w:val="20"/>
        </w:rPr>
        <w:t xml:space="preserve">Thinking of a new wooden deck for spring? It may bust your budget. Published Wed. Feb. 10, 2021 at 11:50 AM, updated Wed. at 18:28 PM EST by </w:t>
      </w:r>
      <w:hyperlink r:id="rId3" w:history="1">
        <w:r w:rsidRPr="00B5684E">
          <w:rPr>
            <w:rFonts w:cstheme="minorHAnsi"/>
            <w:sz w:val="20"/>
            <w:szCs w:val="20"/>
          </w:rPr>
          <w:t>Diana Olick</w:t>
        </w:r>
      </w:hyperlink>
      <w:r w:rsidRPr="00B5684E">
        <w:rPr>
          <w:rFonts w:cstheme="minorHAnsi"/>
          <w:sz w:val="20"/>
          <w:szCs w:val="20"/>
        </w:rPr>
        <w:t>.</w:t>
      </w:r>
    </w:p>
    <w:p w14:paraId="30D67CA1" w14:textId="287029E7" w:rsidR="00FB7024" w:rsidRPr="00B5684E" w:rsidRDefault="000301B3" w:rsidP="00AD758A">
      <w:pPr>
        <w:ind w:left="720"/>
        <w:rPr>
          <w:rFonts w:cstheme="minorHAnsi"/>
          <w:sz w:val="20"/>
          <w:szCs w:val="20"/>
        </w:rPr>
      </w:pPr>
      <w:hyperlink r:id="rId4" w:history="1">
        <w:r w:rsidR="00A32160">
          <w:rPr>
            <w:rStyle w:val="Hyperlink"/>
            <w:rFonts w:cstheme="minorHAnsi"/>
            <w:sz w:val="20"/>
            <w:szCs w:val="20"/>
            <w:u w:val="none"/>
          </w:rPr>
          <w:t>Diana Olick article on CNBC webpage</w:t>
        </w:r>
      </w:hyperlink>
    </w:p>
  </w:footnote>
  <w:footnote w:id="5">
    <w:p w14:paraId="2F77E715" w14:textId="25506C89" w:rsidR="00FB7024" w:rsidRPr="00FE06D2" w:rsidRDefault="00FB7024" w:rsidP="00AD758A">
      <w:pPr>
        <w:pStyle w:val="Heading1"/>
        <w:shd w:val="clear" w:color="auto" w:fill="FFFFFF"/>
        <w:ind w:left="720"/>
        <w:rPr>
          <w:rFonts w:ascii="Times New Roman" w:eastAsia="Times New Roman" w:hAnsi="Times New Roman" w:cs="Times New Roman"/>
          <w:b w:val="0"/>
          <w:bCs w:val="0"/>
          <w:kern w:val="36"/>
          <w:sz w:val="48"/>
          <w:szCs w:val="48"/>
        </w:rPr>
      </w:pPr>
      <w:r w:rsidRPr="00B5684E">
        <w:rPr>
          <w:rStyle w:val="FootnoteReference"/>
          <w:rFonts w:asciiTheme="minorHAnsi" w:eastAsiaTheme="minorHAnsi" w:hAnsiTheme="minorHAnsi" w:cstheme="minorBidi"/>
          <w:sz w:val="20"/>
          <w:szCs w:val="20"/>
        </w:rPr>
        <w:footnoteRef/>
      </w:r>
      <w:r w:rsidRPr="00B5684E">
        <w:rPr>
          <w:rStyle w:val="FootnoteReference"/>
          <w:rFonts w:asciiTheme="minorHAnsi" w:eastAsiaTheme="minorHAnsi" w:hAnsiTheme="minorHAnsi" w:cstheme="minorBidi"/>
          <w:sz w:val="20"/>
          <w:szCs w:val="20"/>
        </w:rPr>
        <w:t xml:space="preserve"> </w:t>
      </w:r>
      <w:r w:rsidRPr="00B5684E">
        <w:rPr>
          <w:rFonts w:asciiTheme="minorHAnsi" w:eastAsiaTheme="minorHAnsi" w:hAnsiTheme="minorHAnsi" w:cstheme="minorBidi"/>
          <w:b w:val="0"/>
          <w:sz w:val="20"/>
          <w:szCs w:val="20"/>
          <w:u w:val="none"/>
        </w:rPr>
        <w:t>Why Are Prices Skyrocketing in Wire &amp; Cable Products? Posted Feb. 17, 2021.</w:t>
      </w:r>
      <w:r w:rsidRPr="00B5684E">
        <w:rPr>
          <w:rFonts w:asciiTheme="minorHAnsi" w:eastAsiaTheme="minorHAnsi" w:hAnsiTheme="minorHAnsi" w:cstheme="minorBidi"/>
          <w:sz w:val="20"/>
          <w:szCs w:val="20"/>
        </w:rPr>
        <w:t xml:space="preserve">  </w:t>
      </w:r>
      <w:hyperlink r:id="rId5" w:history="1">
        <w:r w:rsidR="00105FF1">
          <w:rPr>
            <w:rFonts w:asciiTheme="minorHAnsi" w:eastAsia="Times New Roman" w:hAnsiTheme="minorHAnsi" w:cstheme="minorHAnsi"/>
            <w:b w:val="0"/>
            <w:color w:val="0000FF" w:themeColor="hyperlink"/>
            <w:kern w:val="36"/>
            <w:sz w:val="20"/>
            <w:szCs w:val="20"/>
            <w:u w:val="none"/>
          </w:rPr>
          <w:t>Article on Lapp Tannehill webpage</w:t>
        </w:r>
      </w:hyperlink>
    </w:p>
    <w:p w14:paraId="25E8EC1E" w14:textId="77777777" w:rsidR="00FB7024" w:rsidRDefault="00FB7024" w:rsidP="00FB7024">
      <w:pPr>
        <w:pStyle w:val="FootnoteText"/>
      </w:pPr>
    </w:p>
  </w:footnote>
  <w:footnote w:id="6">
    <w:p w14:paraId="34460679" w14:textId="1E1B93D2" w:rsidR="00D06A52" w:rsidRDefault="00D06A52" w:rsidP="00D06A52">
      <w:pPr>
        <w:pStyle w:val="FootnoteText"/>
        <w:ind w:left="720"/>
      </w:pPr>
      <w:r>
        <w:rPr>
          <w:rStyle w:val="FootnoteReference"/>
        </w:rPr>
        <w:footnoteRef/>
      </w:r>
      <w:r>
        <w:t xml:space="preserve"> The Center for Information and Analysis reviews these in detail when determining the LOCF capital cost adjustments.</w:t>
      </w:r>
    </w:p>
  </w:footnote>
  <w:footnote w:id="7">
    <w:p w14:paraId="6A55A14D" w14:textId="47E541CA" w:rsidR="00C03475" w:rsidRDefault="00C03475" w:rsidP="00B5684E">
      <w:pPr>
        <w:shd w:val="clear" w:color="auto" w:fill="FFFFFF"/>
        <w:ind w:left="720"/>
        <w:outlineLvl w:val="0"/>
      </w:pPr>
      <w:r>
        <w:rPr>
          <w:rStyle w:val="FootnoteReference"/>
        </w:rPr>
        <w:footnoteRef/>
      </w:r>
      <w:r>
        <w:t xml:space="preserve"> </w:t>
      </w:r>
      <w:r w:rsidRPr="009A5DF7">
        <w:rPr>
          <w:rFonts w:cstheme="minorHAnsi"/>
          <w:sz w:val="20"/>
          <w:szCs w:val="20"/>
        </w:rPr>
        <w:t>The Insurance Market: What Contractors Can Expect in 2021</w:t>
      </w:r>
      <w:r>
        <w:rPr>
          <w:rFonts w:cstheme="minorHAnsi"/>
          <w:sz w:val="20"/>
          <w:szCs w:val="20"/>
        </w:rPr>
        <w:t xml:space="preserve"> b</w:t>
      </w:r>
      <w:r w:rsidRPr="009A5DF7">
        <w:rPr>
          <w:rFonts w:cstheme="minorHAnsi"/>
          <w:sz w:val="20"/>
          <w:szCs w:val="20"/>
        </w:rPr>
        <w:t xml:space="preserve">y Jeffrey </w:t>
      </w:r>
      <w:proofErr w:type="spellStart"/>
      <w:r w:rsidRPr="009A5DF7">
        <w:rPr>
          <w:rFonts w:cstheme="minorHAnsi"/>
          <w:sz w:val="20"/>
          <w:szCs w:val="20"/>
        </w:rPr>
        <w:t>Cavignac</w:t>
      </w:r>
      <w:proofErr w:type="spellEnd"/>
      <w:r>
        <w:rPr>
          <w:rFonts w:cstheme="minorHAnsi"/>
          <w:sz w:val="20"/>
          <w:szCs w:val="20"/>
        </w:rPr>
        <w:t xml:space="preserve"> published </w:t>
      </w:r>
      <w:r w:rsidRPr="009A5DF7">
        <w:rPr>
          <w:rFonts w:cstheme="minorHAnsi"/>
          <w:sz w:val="20"/>
          <w:szCs w:val="20"/>
        </w:rPr>
        <w:t>Tuesday, January 5, 2021</w:t>
      </w:r>
      <w:r>
        <w:rPr>
          <w:rFonts w:cstheme="minorHAnsi"/>
          <w:sz w:val="20"/>
          <w:szCs w:val="20"/>
        </w:rPr>
        <w:t xml:space="preserve">.  </w:t>
      </w:r>
      <w:hyperlink r:id="rId6" w:history="1">
        <w:r w:rsidR="00F10462">
          <w:rPr>
            <w:rStyle w:val="Hyperlink"/>
          </w:rPr>
          <w:t>Article on Construction Executive Webpage</w:t>
        </w:r>
      </w:hyperlink>
    </w:p>
    <w:p w14:paraId="7219E9F4" w14:textId="77777777" w:rsidR="00C03475" w:rsidRDefault="00C03475" w:rsidP="00C0347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7474"/>
    <w:multiLevelType w:val="hybridMultilevel"/>
    <w:tmpl w:val="A29CBF7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2FC21A8"/>
    <w:multiLevelType w:val="hybridMultilevel"/>
    <w:tmpl w:val="DF685DBC"/>
    <w:lvl w:ilvl="0" w:tplc="540006DE">
      <w:numFmt w:val="bullet"/>
      <w:lvlText w:val=""/>
      <w:lvlJc w:val="left"/>
      <w:pPr>
        <w:ind w:left="466" w:hanging="361"/>
      </w:pPr>
      <w:rPr>
        <w:rFonts w:ascii="Symbol" w:eastAsia="Symbol" w:hAnsi="Symbol" w:cs="Symbol" w:hint="default"/>
        <w:w w:val="99"/>
        <w:sz w:val="14"/>
        <w:szCs w:val="14"/>
        <w:lang w:val="en-US" w:eastAsia="en-US" w:bidi="en-US"/>
      </w:rPr>
    </w:lvl>
    <w:lvl w:ilvl="1" w:tplc="ECE46F64">
      <w:numFmt w:val="bullet"/>
      <w:lvlText w:val="•"/>
      <w:lvlJc w:val="left"/>
      <w:pPr>
        <w:ind w:left="559" w:hanging="361"/>
      </w:pPr>
      <w:rPr>
        <w:rFonts w:hint="default"/>
        <w:lang w:val="en-US" w:eastAsia="en-US" w:bidi="en-US"/>
      </w:rPr>
    </w:lvl>
    <w:lvl w:ilvl="2" w:tplc="EF08C0DA">
      <w:numFmt w:val="bullet"/>
      <w:lvlText w:val="•"/>
      <w:lvlJc w:val="left"/>
      <w:pPr>
        <w:ind w:left="658" w:hanging="361"/>
      </w:pPr>
      <w:rPr>
        <w:rFonts w:hint="default"/>
        <w:lang w:val="en-US" w:eastAsia="en-US" w:bidi="en-US"/>
      </w:rPr>
    </w:lvl>
    <w:lvl w:ilvl="3" w:tplc="E22C57AE">
      <w:numFmt w:val="bullet"/>
      <w:lvlText w:val="•"/>
      <w:lvlJc w:val="left"/>
      <w:pPr>
        <w:ind w:left="757" w:hanging="361"/>
      </w:pPr>
      <w:rPr>
        <w:rFonts w:hint="default"/>
        <w:lang w:val="en-US" w:eastAsia="en-US" w:bidi="en-US"/>
      </w:rPr>
    </w:lvl>
    <w:lvl w:ilvl="4" w:tplc="05DE67DC">
      <w:numFmt w:val="bullet"/>
      <w:lvlText w:val="•"/>
      <w:lvlJc w:val="left"/>
      <w:pPr>
        <w:ind w:left="856" w:hanging="361"/>
      </w:pPr>
      <w:rPr>
        <w:rFonts w:hint="default"/>
        <w:lang w:val="en-US" w:eastAsia="en-US" w:bidi="en-US"/>
      </w:rPr>
    </w:lvl>
    <w:lvl w:ilvl="5" w:tplc="FF18D65A">
      <w:numFmt w:val="bullet"/>
      <w:lvlText w:val="•"/>
      <w:lvlJc w:val="left"/>
      <w:pPr>
        <w:ind w:left="956" w:hanging="361"/>
      </w:pPr>
      <w:rPr>
        <w:rFonts w:hint="default"/>
        <w:lang w:val="en-US" w:eastAsia="en-US" w:bidi="en-US"/>
      </w:rPr>
    </w:lvl>
    <w:lvl w:ilvl="6" w:tplc="E8A6C2D8">
      <w:numFmt w:val="bullet"/>
      <w:lvlText w:val="•"/>
      <w:lvlJc w:val="left"/>
      <w:pPr>
        <w:ind w:left="1055" w:hanging="361"/>
      </w:pPr>
      <w:rPr>
        <w:rFonts w:hint="default"/>
        <w:lang w:val="en-US" w:eastAsia="en-US" w:bidi="en-US"/>
      </w:rPr>
    </w:lvl>
    <w:lvl w:ilvl="7" w:tplc="50821FFE">
      <w:numFmt w:val="bullet"/>
      <w:lvlText w:val="•"/>
      <w:lvlJc w:val="left"/>
      <w:pPr>
        <w:ind w:left="1154" w:hanging="361"/>
      </w:pPr>
      <w:rPr>
        <w:rFonts w:hint="default"/>
        <w:lang w:val="en-US" w:eastAsia="en-US" w:bidi="en-US"/>
      </w:rPr>
    </w:lvl>
    <w:lvl w:ilvl="8" w:tplc="DC705CA2">
      <w:numFmt w:val="bullet"/>
      <w:lvlText w:val="•"/>
      <w:lvlJc w:val="left"/>
      <w:pPr>
        <w:ind w:left="1253" w:hanging="361"/>
      </w:pPr>
      <w:rPr>
        <w:rFonts w:hint="default"/>
        <w:lang w:val="en-US" w:eastAsia="en-US" w:bidi="en-US"/>
      </w:rPr>
    </w:lvl>
  </w:abstractNum>
  <w:abstractNum w:abstractNumId="2" w15:restartNumberingAfterBreak="0">
    <w:nsid w:val="0A9B0F4D"/>
    <w:multiLevelType w:val="hybridMultilevel"/>
    <w:tmpl w:val="2508F410"/>
    <w:lvl w:ilvl="0" w:tplc="A04CEB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375ABE"/>
    <w:multiLevelType w:val="hybridMultilevel"/>
    <w:tmpl w:val="DC16B57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2E752F1"/>
    <w:multiLevelType w:val="hybridMultilevel"/>
    <w:tmpl w:val="4ABED0B0"/>
    <w:lvl w:ilvl="0" w:tplc="A0AC7EE0">
      <w:numFmt w:val="bullet"/>
      <w:lvlText w:val=""/>
      <w:lvlJc w:val="left"/>
      <w:pPr>
        <w:ind w:left="467" w:hanging="361"/>
      </w:pPr>
      <w:rPr>
        <w:rFonts w:ascii="Symbol" w:eastAsia="Symbol" w:hAnsi="Symbol" w:cs="Symbol" w:hint="default"/>
        <w:color w:val="0070C0"/>
        <w:w w:val="100"/>
        <w:sz w:val="16"/>
        <w:szCs w:val="16"/>
        <w:lang w:val="en-US" w:eastAsia="en-US" w:bidi="en-US"/>
      </w:rPr>
    </w:lvl>
    <w:lvl w:ilvl="1" w:tplc="C36CB17E">
      <w:numFmt w:val="bullet"/>
      <w:lvlText w:val="•"/>
      <w:lvlJc w:val="left"/>
      <w:pPr>
        <w:ind w:left="577" w:hanging="361"/>
      </w:pPr>
      <w:rPr>
        <w:rFonts w:hint="default"/>
        <w:lang w:val="en-US" w:eastAsia="en-US" w:bidi="en-US"/>
      </w:rPr>
    </w:lvl>
    <w:lvl w:ilvl="2" w:tplc="B0068100">
      <w:numFmt w:val="bullet"/>
      <w:lvlText w:val="•"/>
      <w:lvlJc w:val="left"/>
      <w:pPr>
        <w:ind w:left="694" w:hanging="361"/>
      </w:pPr>
      <w:rPr>
        <w:rFonts w:hint="default"/>
        <w:lang w:val="en-US" w:eastAsia="en-US" w:bidi="en-US"/>
      </w:rPr>
    </w:lvl>
    <w:lvl w:ilvl="3" w:tplc="7D98C414">
      <w:numFmt w:val="bullet"/>
      <w:lvlText w:val="•"/>
      <w:lvlJc w:val="left"/>
      <w:pPr>
        <w:ind w:left="811" w:hanging="361"/>
      </w:pPr>
      <w:rPr>
        <w:rFonts w:hint="default"/>
        <w:lang w:val="en-US" w:eastAsia="en-US" w:bidi="en-US"/>
      </w:rPr>
    </w:lvl>
    <w:lvl w:ilvl="4" w:tplc="B32074CC">
      <w:numFmt w:val="bullet"/>
      <w:lvlText w:val="•"/>
      <w:lvlJc w:val="left"/>
      <w:pPr>
        <w:ind w:left="928" w:hanging="361"/>
      </w:pPr>
      <w:rPr>
        <w:rFonts w:hint="default"/>
        <w:lang w:val="en-US" w:eastAsia="en-US" w:bidi="en-US"/>
      </w:rPr>
    </w:lvl>
    <w:lvl w:ilvl="5" w:tplc="50B46874">
      <w:numFmt w:val="bullet"/>
      <w:lvlText w:val="•"/>
      <w:lvlJc w:val="left"/>
      <w:pPr>
        <w:ind w:left="1046" w:hanging="361"/>
      </w:pPr>
      <w:rPr>
        <w:rFonts w:hint="default"/>
        <w:lang w:val="en-US" w:eastAsia="en-US" w:bidi="en-US"/>
      </w:rPr>
    </w:lvl>
    <w:lvl w:ilvl="6" w:tplc="BD58489C">
      <w:numFmt w:val="bullet"/>
      <w:lvlText w:val="•"/>
      <w:lvlJc w:val="left"/>
      <w:pPr>
        <w:ind w:left="1163" w:hanging="361"/>
      </w:pPr>
      <w:rPr>
        <w:rFonts w:hint="default"/>
        <w:lang w:val="en-US" w:eastAsia="en-US" w:bidi="en-US"/>
      </w:rPr>
    </w:lvl>
    <w:lvl w:ilvl="7" w:tplc="DC182420">
      <w:numFmt w:val="bullet"/>
      <w:lvlText w:val="•"/>
      <w:lvlJc w:val="left"/>
      <w:pPr>
        <w:ind w:left="1280" w:hanging="361"/>
      </w:pPr>
      <w:rPr>
        <w:rFonts w:hint="default"/>
        <w:lang w:val="en-US" w:eastAsia="en-US" w:bidi="en-US"/>
      </w:rPr>
    </w:lvl>
    <w:lvl w:ilvl="8" w:tplc="68D8B6EC">
      <w:numFmt w:val="bullet"/>
      <w:lvlText w:val="•"/>
      <w:lvlJc w:val="left"/>
      <w:pPr>
        <w:ind w:left="1397" w:hanging="361"/>
      </w:pPr>
      <w:rPr>
        <w:rFonts w:hint="default"/>
        <w:lang w:val="en-US" w:eastAsia="en-US" w:bidi="en-US"/>
      </w:rPr>
    </w:lvl>
  </w:abstractNum>
  <w:abstractNum w:abstractNumId="5" w15:restartNumberingAfterBreak="0">
    <w:nsid w:val="186807E9"/>
    <w:multiLevelType w:val="hybridMultilevel"/>
    <w:tmpl w:val="1168343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18BD3CCA"/>
    <w:multiLevelType w:val="hybridMultilevel"/>
    <w:tmpl w:val="87625B08"/>
    <w:lvl w:ilvl="0" w:tplc="D96A571E">
      <w:start w:val="2"/>
      <w:numFmt w:val="decimal"/>
      <w:lvlText w:val="%1."/>
      <w:lvlJc w:val="left"/>
      <w:pPr>
        <w:ind w:left="800" w:hanging="221"/>
      </w:pPr>
      <w:rPr>
        <w:rFonts w:ascii="Calibri" w:eastAsia="Calibri" w:hAnsi="Calibri" w:cs="Calibri" w:hint="default"/>
        <w:b/>
        <w:bCs/>
        <w:w w:val="100"/>
        <w:sz w:val="22"/>
        <w:szCs w:val="22"/>
        <w:lang w:val="en-US" w:eastAsia="en-US" w:bidi="en-US"/>
      </w:rPr>
    </w:lvl>
    <w:lvl w:ilvl="1" w:tplc="95683872">
      <w:numFmt w:val="bullet"/>
      <w:lvlText w:val=""/>
      <w:lvlJc w:val="left"/>
      <w:pPr>
        <w:ind w:left="1300" w:hanging="361"/>
      </w:pPr>
      <w:rPr>
        <w:rFonts w:ascii="Symbol" w:eastAsia="Symbol" w:hAnsi="Symbol" w:cs="Symbol" w:hint="default"/>
        <w:w w:val="100"/>
        <w:sz w:val="22"/>
        <w:szCs w:val="22"/>
        <w:lang w:val="en-US" w:eastAsia="en-US" w:bidi="en-US"/>
      </w:rPr>
    </w:lvl>
    <w:lvl w:ilvl="2" w:tplc="FD5086E0">
      <w:numFmt w:val="bullet"/>
      <w:lvlText w:val="•"/>
      <w:lvlJc w:val="left"/>
      <w:pPr>
        <w:ind w:left="2284" w:hanging="361"/>
      </w:pPr>
      <w:rPr>
        <w:rFonts w:hint="default"/>
        <w:lang w:val="en-US" w:eastAsia="en-US" w:bidi="en-US"/>
      </w:rPr>
    </w:lvl>
    <w:lvl w:ilvl="3" w:tplc="DEBC684A">
      <w:numFmt w:val="bullet"/>
      <w:lvlText w:val="•"/>
      <w:lvlJc w:val="left"/>
      <w:pPr>
        <w:ind w:left="3268" w:hanging="361"/>
      </w:pPr>
      <w:rPr>
        <w:rFonts w:hint="default"/>
        <w:lang w:val="en-US" w:eastAsia="en-US" w:bidi="en-US"/>
      </w:rPr>
    </w:lvl>
    <w:lvl w:ilvl="4" w:tplc="449C8830">
      <w:numFmt w:val="bullet"/>
      <w:lvlText w:val="•"/>
      <w:lvlJc w:val="left"/>
      <w:pPr>
        <w:ind w:left="4253" w:hanging="361"/>
      </w:pPr>
      <w:rPr>
        <w:rFonts w:hint="default"/>
        <w:lang w:val="en-US" w:eastAsia="en-US" w:bidi="en-US"/>
      </w:rPr>
    </w:lvl>
    <w:lvl w:ilvl="5" w:tplc="FACAAABE">
      <w:numFmt w:val="bullet"/>
      <w:lvlText w:val="•"/>
      <w:lvlJc w:val="left"/>
      <w:pPr>
        <w:ind w:left="5237" w:hanging="361"/>
      </w:pPr>
      <w:rPr>
        <w:rFonts w:hint="default"/>
        <w:lang w:val="en-US" w:eastAsia="en-US" w:bidi="en-US"/>
      </w:rPr>
    </w:lvl>
    <w:lvl w:ilvl="6" w:tplc="C9B80A74">
      <w:numFmt w:val="bullet"/>
      <w:lvlText w:val="•"/>
      <w:lvlJc w:val="left"/>
      <w:pPr>
        <w:ind w:left="6222" w:hanging="361"/>
      </w:pPr>
      <w:rPr>
        <w:rFonts w:hint="default"/>
        <w:lang w:val="en-US" w:eastAsia="en-US" w:bidi="en-US"/>
      </w:rPr>
    </w:lvl>
    <w:lvl w:ilvl="7" w:tplc="8440206C">
      <w:numFmt w:val="bullet"/>
      <w:lvlText w:val="•"/>
      <w:lvlJc w:val="left"/>
      <w:pPr>
        <w:ind w:left="7206" w:hanging="361"/>
      </w:pPr>
      <w:rPr>
        <w:rFonts w:hint="default"/>
        <w:lang w:val="en-US" w:eastAsia="en-US" w:bidi="en-US"/>
      </w:rPr>
    </w:lvl>
    <w:lvl w:ilvl="8" w:tplc="21C4A282">
      <w:numFmt w:val="bullet"/>
      <w:lvlText w:val="•"/>
      <w:lvlJc w:val="left"/>
      <w:pPr>
        <w:ind w:left="8191" w:hanging="361"/>
      </w:pPr>
      <w:rPr>
        <w:rFonts w:hint="default"/>
        <w:lang w:val="en-US" w:eastAsia="en-US" w:bidi="en-US"/>
      </w:rPr>
    </w:lvl>
  </w:abstractNum>
  <w:abstractNum w:abstractNumId="7" w15:restartNumberingAfterBreak="0">
    <w:nsid w:val="1B960BD7"/>
    <w:multiLevelType w:val="hybridMultilevel"/>
    <w:tmpl w:val="D87460F2"/>
    <w:lvl w:ilvl="0" w:tplc="93E8938C">
      <w:numFmt w:val="bullet"/>
      <w:lvlText w:val=""/>
      <w:lvlJc w:val="left"/>
      <w:pPr>
        <w:ind w:left="467" w:hanging="361"/>
      </w:pPr>
      <w:rPr>
        <w:rFonts w:ascii="Symbol" w:eastAsia="Symbol" w:hAnsi="Symbol" w:cs="Symbol" w:hint="default"/>
        <w:color w:val="0070C0"/>
        <w:w w:val="100"/>
        <w:sz w:val="16"/>
        <w:szCs w:val="16"/>
        <w:lang w:val="en-US" w:eastAsia="en-US" w:bidi="en-US"/>
      </w:rPr>
    </w:lvl>
    <w:lvl w:ilvl="1" w:tplc="D9DC5A70">
      <w:numFmt w:val="bullet"/>
      <w:lvlText w:val="•"/>
      <w:lvlJc w:val="left"/>
      <w:pPr>
        <w:ind w:left="577" w:hanging="361"/>
      </w:pPr>
      <w:rPr>
        <w:rFonts w:hint="default"/>
        <w:lang w:val="en-US" w:eastAsia="en-US" w:bidi="en-US"/>
      </w:rPr>
    </w:lvl>
    <w:lvl w:ilvl="2" w:tplc="E0CCAE2C">
      <w:numFmt w:val="bullet"/>
      <w:lvlText w:val="•"/>
      <w:lvlJc w:val="left"/>
      <w:pPr>
        <w:ind w:left="694" w:hanging="361"/>
      </w:pPr>
      <w:rPr>
        <w:rFonts w:hint="default"/>
        <w:lang w:val="en-US" w:eastAsia="en-US" w:bidi="en-US"/>
      </w:rPr>
    </w:lvl>
    <w:lvl w:ilvl="3" w:tplc="45EA875A">
      <w:numFmt w:val="bullet"/>
      <w:lvlText w:val="•"/>
      <w:lvlJc w:val="left"/>
      <w:pPr>
        <w:ind w:left="811" w:hanging="361"/>
      </w:pPr>
      <w:rPr>
        <w:rFonts w:hint="default"/>
        <w:lang w:val="en-US" w:eastAsia="en-US" w:bidi="en-US"/>
      </w:rPr>
    </w:lvl>
    <w:lvl w:ilvl="4" w:tplc="229067B8">
      <w:numFmt w:val="bullet"/>
      <w:lvlText w:val="•"/>
      <w:lvlJc w:val="left"/>
      <w:pPr>
        <w:ind w:left="928" w:hanging="361"/>
      </w:pPr>
      <w:rPr>
        <w:rFonts w:hint="default"/>
        <w:lang w:val="en-US" w:eastAsia="en-US" w:bidi="en-US"/>
      </w:rPr>
    </w:lvl>
    <w:lvl w:ilvl="5" w:tplc="7DAEF5C6">
      <w:numFmt w:val="bullet"/>
      <w:lvlText w:val="•"/>
      <w:lvlJc w:val="left"/>
      <w:pPr>
        <w:ind w:left="1046" w:hanging="361"/>
      </w:pPr>
      <w:rPr>
        <w:rFonts w:hint="default"/>
        <w:lang w:val="en-US" w:eastAsia="en-US" w:bidi="en-US"/>
      </w:rPr>
    </w:lvl>
    <w:lvl w:ilvl="6" w:tplc="61B84C66">
      <w:numFmt w:val="bullet"/>
      <w:lvlText w:val="•"/>
      <w:lvlJc w:val="left"/>
      <w:pPr>
        <w:ind w:left="1163" w:hanging="361"/>
      </w:pPr>
      <w:rPr>
        <w:rFonts w:hint="default"/>
        <w:lang w:val="en-US" w:eastAsia="en-US" w:bidi="en-US"/>
      </w:rPr>
    </w:lvl>
    <w:lvl w:ilvl="7" w:tplc="44721ED6">
      <w:numFmt w:val="bullet"/>
      <w:lvlText w:val="•"/>
      <w:lvlJc w:val="left"/>
      <w:pPr>
        <w:ind w:left="1280" w:hanging="361"/>
      </w:pPr>
      <w:rPr>
        <w:rFonts w:hint="default"/>
        <w:lang w:val="en-US" w:eastAsia="en-US" w:bidi="en-US"/>
      </w:rPr>
    </w:lvl>
    <w:lvl w:ilvl="8" w:tplc="4C607AD8">
      <w:numFmt w:val="bullet"/>
      <w:lvlText w:val="•"/>
      <w:lvlJc w:val="left"/>
      <w:pPr>
        <w:ind w:left="1397" w:hanging="361"/>
      </w:pPr>
      <w:rPr>
        <w:rFonts w:hint="default"/>
        <w:lang w:val="en-US" w:eastAsia="en-US" w:bidi="en-US"/>
      </w:rPr>
    </w:lvl>
  </w:abstractNum>
  <w:abstractNum w:abstractNumId="8" w15:restartNumberingAfterBreak="0">
    <w:nsid w:val="1BD31456"/>
    <w:multiLevelType w:val="hybridMultilevel"/>
    <w:tmpl w:val="C05400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DD94D93"/>
    <w:multiLevelType w:val="hybridMultilevel"/>
    <w:tmpl w:val="71F8D68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EA40A2"/>
    <w:multiLevelType w:val="hybridMultilevel"/>
    <w:tmpl w:val="7BB43C5C"/>
    <w:lvl w:ilvl="0" w:tplc="0F045690">
      <w:numFmt w:val="bullet"/>
      <w:lvlText w:val=""/>
      <w:lvlJc w:val="left"/>
      <w:pPr>
        <w:ind w:left="466" w:hanging="361"/>
      </w:pPr>
      <w:rPr>
        <w:rFonts w:ascii="Symbol" w:eastAsia="Symbol" w:hAnsi="Symbol" w:cs="Symbol" w:hint="default"/>
        <w:w w:val="99"/>
        <w:sz w:val="14"/>
        <w:szCs w:val="14"/>
        <w:lang w:val="en-US" w:eastAsia="en-US" w:bidi="en-US"/>
      </w:rPr>
    </w:lvl>
    <w:lvl w:ilvl="1" w:tplc="4E8CAE2C">
      <w:numFmt w:val="bullet"/>
      <w:lvlText w:val="•"/>
      <w:lvlJc w:val="left"/>
      <w:pPr>
        <w:ind w:left="559" w:hanging="361"/>
      </w:pPr>
      <w:rPr>
        <w:rFonts w:hint="default"/>
        <w:lang w:val="en-US" w:eastAsia="en-US" w:bidi="en-US"/>
      </w:rPr>
    </w:lvl>
    <w:lvl w:ilvl="2" w:tplc="44F857EA">
      <w:numFmt w:val="bullet"/>
      <w:lvlText w:val="•"/>
      <w:lvlJc w:val="left"/>
      <w:pPr>
        <w:ind w:left="658" w:hanging="361"/>
      </w:pPr>
      <w:rPr>
        <w:rFonts w:hint="default"/>
        <w:lang w:val="en-US" w:eastAsia="en-US" w:bidi="en-US"/>
      </w:rPr>
    </w:lvl>
    <w:lvl w:ilvl="3" w:tplc="2146D800">
      <w:numFmt w:val="bullet"/>
      <w:lvlText w:val="•"/>
      <w:lvlJc w:val="left"/>
      <w:pPr>
        <w:ind w:left="757" w:hanging="361"/>
      </w:pPr>
      <w:rPr>
        <w:rFonts w:hint="default"/>
        <w:lang w:val="en-US" w:eastAsia="en-US" w:bidi="en-US"/>
      </w:rPr>
    </w:lvl>
    <w:lvl w:ilvl="4" w:tplc="F54616FE">
      <w:numFmt w:val="bullet"/>
      <w:lvlText w:val="•"/>
      <w:lvlJc w:val="left"/>
      <w:pPr>
        <w:ind w:left="856" w:hanging="361"/>
      </w:pPr>
      <w:rPr>
        <w:rFonts w:hint="default"/>
        <w:lang w:val="en-US" w:eastAsia="en-US" w:bidi="en-US"/>
      </w:rPr>
    </w:lvl>
    <w:lvl w:ilvl="5" w:tplc="54303B34">
      <w:numFmt w:val="bullet"/>
      <w:lvlText w:val="•"/>
      <w:lvlJc w:val="left"/>
      <w:pPr>
        <w:ind w:left="956" w:hanging="361"/>
      </w:pPr>
      <w:rPr>
        <w:rFonts w:hint="default"/>
        <w:lang w:val="en-US" w:eastAsia="en-US" w:bidi="en-US"/>
      </w:rPr>
    </w:lvl>
    <w:lvl w:ilvl="6" w:tplc="8F2852CA">
      <w:numFmt w:val="bullet"/>
      <w:lvlText w:val="•"/>
      <w:lvlJc w:val="left"/>
      <w:pPr>
        <w:ind w:left="1055" w:hanging="361"/>
      </w:pPr>
      <w:rPr>
        <w:rFonts w:hint="default"/>
        <w:lang w:val="en-US" w:eastAsia="en-US" w:bidi="en-US"/>
      </w:rPr>
    </w:lvl>
    <w:lvl w:ilvl="7" w:tplc="63EA838C">
      <w:numFmt w:val="bullet"/>
      <w:lvlText w:val="•"/>
      <w:lvlJc w:val="left"/>
      <w:pPr>
        <w:ind w:left="1154" w:hanging="361"/>
      </w:pPr>
      <w:rPr>
        <w:rFonts w:hint="default"/>
        <w:lang w:val="en-US" w:eastAsia="en-US" w:bidi="en-US"/>
      </w:rPr>
    </w:lvl>
    <w:lvl w:ilvl="8" w:tplc="054221BE">
      <w:numFmt w:val="bullet"/>
      <w:lvlText w:val="•"/>
      <w:lvlJc w:val="left"/>
      <w:pPr>
        <w:ind w:left="1253" w:hanging="361"/>
      </w:pPr>
      <w:rPr>
        <w:rFonts w:hint="default"/>
        <w:lang w:val="en-US" w:eastAsia="en-US" w:bidi="en-US"/>
      </w:rPr>
    </w:lvl>
  </w:abstractNum>
  <w:abstractNum w:abstractNumId="11" w15:restartNumberingAfterBreak="0">
    <w:nsid w:val="4003626B"/>
    <w:multiLevelType w:val="hybridMultilevel"/>
    <w:tmpl w:val="281E932A"/>
    <w:lvl w:ilvl="0" w:tplc="0409000F">
      <w:start w:val="1"/>
      <w:numFmt w:val="decimal"/>
      <w:lvlText w:val="%1."/>
      <w:lvlJc w:val="left"/>
      <w:pPr>
        <w:ind w:left="1530" w:hanging="360"/>
      </w:pPr>
    </w:lvl>
    <w:lvl w:ilvl="1" w:tplc="04090001">
      <w:start w:val="1"/>
      <w:numFmt w:val="bullet"/>
      <w:lvlText w:val=""/>
      <w:lvlJc w:val="left"/>
      <w:pPr>
        <w:ind w:left="2250" w:hanging="360"/>
      </w:pPr>
      <w:rPr>
        <w:rFonts w:ascii="Symbol" w:hAnsi="Symbol" w:hint="default"/>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12" w15:restartNumberingAfterBreak="0">
    <w:nsid w:val="455E7497"/>
    <w:multiLevelType w:val="hybridMultilevel"/>
    <w:tmpl w:val="39BA2356"/>
    <w:lvl w:ilvl="0" w:tplc="E0941E24">
      <w:numFmt w:val="bullet"/>
      <w:lvlText w:val=""/>
      <w:lvlJc w:val="left"/>
      <w:pPr>
        <w:ind w:left="1300" w:hanging="360"/>
      </w:pPr>
      <w:rPr>
        <w:rFonts w:ascii="Symbol" w:eastAsia="Symbol" w:hAnsi="Symbol" w:cs="Symbol" w:hint="default"/>
        <w:w w:val="100"/>
        <w:sz w:val="24"/>
        <w:szCs w:val="24"/>
        <w:lang w:val="en-US" w:eastAsia="en-US" w:bidi="en-US"/>
      </w:rPr>
    </w:lvl>
    <w:lvl w:ilvl="1" w:tplc="C186CAB8">
      <w:numFmt w:val="bullet"/>
      <w:lvlText w:val="•"/>
      <w:lvlJc w:val="left"/>
      <w:pPr>
        <w:ind w:left="2186" w:hanging="360"/>
      </w:pPr>
      <w:rPr>
        <w:rFonts w:hint="default"/>
        <w:lang w:val="en-US" w:eastAsia="en-US" w:bidi="en-US"/>
      </w:rPr>
    </w:lvl>
    <w:lvl w:ilvl="2" w:tplc="A4E68D94">
      <w:numFmt w:val="bullet"/>
      <w:lvlText w:val="•"/>
      <w:lvlJc w:val="left"/>
      <w:pPr>
        <w:ind w:left="3072" w:hanging="360"/>
      </w:pPr>
      <w:rPr>
        <w:rFonts w:hint="default"/>
        <w:lang w:val="en-US" w:eastAsia="en-US" w:bidi="en-US"/>
      </w:rPr>
    </w:lvl>
    <w:lvl w:ilvl="3" w:tplc="05D0780E">
      <w:numFmt w:val="bullet"/>
      <w:lvlText w:val="•"/>
      <w:lvlJc w:val="left"/>
      <w:pPr>
        <w:ind w:left="3958" w:hanging="360"/>
      </w:pPr>
      <w:rPr>
        <w:rFonts w:hint="default"/>
        <w:lang w:val="en-US" w:eastAsia="en-US" w:bidi="en-US"/>
      </w:rPr>
    </w:lvl>
    <w:lvl w:ilvl="4" w:tplc="213EAED4">
      <w:numFmt w:val="bullet"/>
      <w:lvlText w:val="•"/>
      <w:lvlJc w:val="left"/>
      <w:pPr>
        <w:ind w:left="4844" w:hanging="360"/>
      </w:pPr>
      <w:rPr>
        <w:rFonts w:hint="default"/>
        <w:lang w:val="en-US" w:eastAsia="en-US" w:bidi="en-US"/>
      </w:rPr>
    </w:lvl>
    <w:lvl w:ilvl="5" w:tplc="A23E941E">
      <w:numFmt w:val="bullet"/>
      <w:lvlText w:val="•"/>
      <w:lvlJc w:val="left"/>
      <w:pPr>
        <w:ind w:left="5730" w:hanging="360"/>
      </w:pPr>
      <w:rPr>
        <w:rFonts w:hint="default"/>
        <w:lang w:val="en-US" w:eastAsia="en-US" w:bidi="en-US"/>
      </w:rPr>
    </w:lvl>
    <w:lvl w:ilvl="6" w:tplc="EE8CFCCC">
      <w:numFmt w:val="bullet"/>
      <w:lvlText w:val="•"/>
      <w:lvlJc w:val="left"/>
      <w:pPr>
        <w:ind w:left="6616" w:hanging="360"/>
      </w:pPr>
      <w:rPr>
        <w:rFonts w:hint="default"/>
        <w:lang w:val="en-US" w:eastAsia="en-US" w:bidi="en-US"/>
      </w:rPr>
    </w:lvl>
    <w:lvl w:ilvl="7" w:tplc="D9066D2A">
      <w:numFmt w:val="bullet"/>
      <w:lvlText w:val="•"/>
      <w:lvlJc w:val="left"/>
      <w:pPr>
        <w:ind w:left="7502" w:hanging="360"/>
      </w:pPr>
      <w:rPr>
        <w:rFonts w:hint="default"/>
        <w:lang w:val="en-US" w:eastAsia="en-US" w:bidi="en-US"/>
      </w:rPr>
    </w:lvl>
    <w:lvl w:ilvl="8" w:tplc="5FDCD2EC">
      <w:numFmt w:val="bullet"/>
      <w:lvlText w:val="•"/>
      <w:lvlJc w:val="left"/>
      <w:pPr>
        <w:ind w:left="8388" w:hanging="360"/>
      </w:pPr>
      <w:rPr>
        <w:rFonts w:hint="default"/>
        <w:lang w:val="en-US" w:eastAsia="en-US" w:bidi="en-US"/>
      </w:rPr>
    </w:lvl>
  </w:abstractNum>
  <w:abstractNum w:abstractNumId="13" w15:restartNumberingAfterBreak="0">
    <w:nsid w:val="4AD93BCB"/>
    <w:multiLevelType w:val="hybridMultilevel"/>
    <w:tmpl w:val="425ADF1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4F175DB0"/>
    <w:multiLevelType w:val="hybridMultilevel"/>
    <w:tmpl w:val="29AE4B0E"/>
    <w:lvl w:ilvl="0" w:tplc="0409000F">
      <w:start w:val="1"/>
      <w:numFmt w:val="decimal"/>
      <w:lvlText w:val="%1."/>
      <w:lvlJc w:val="left"/>
      <w:pPr>
        <w:ind w:left="1890" w:hanging="720"/>
      </w:pPr>
      <w:rPr>
        <w:rFonts w:hint="default"/>
      </w:rPr>
    </w:lvl>
    <w:lvl w:ilvl="1" w:tplc="B7C8F6A0">
      <w:start w:val="1"/>
      <w:numFmt w:val="lowerLetter"/>
      <w:lvlText w:val="%2."/>
      <w:lvlJc w:val="left"/>
      <w:pPr>
        <w:ind w:left="2340" w:hanging="360"/>
      </w:pPr>
      <w:rPr>
        <w:b w:val="0"/>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58E47170"/>
    <w:multiLevelType w:val="hybridMultilevel"/>
    <w:tmpl w:val="2FC616BC"/>
    <w:lvl w:ilvl="0" w:tplc="8AFC788C">
      <w:numFmt w:val="bullet"/>
      <w:lvlText w:val=""/>
      <w:lvlJc w:val="left"/>
      <w:pPr>
        <w:ind w:left="467" w:hanging="361"/>
      </w:pPr>
      <w:rPr>
        <w:rFonts w:ascii="Symbol" w:eastAsia="Symbol" w:hAnsi="Symbol" w:cs="Symbol" w:hint="default"/>
        <w:color w:val="0070C0"/>
        <w:w w:val="100"/>
        <w:sz w:val="16"/>
        <w:szCs w:val="16"/>
        <w:lang w:val="en-US" w:eastAsia="en-US" w:bidi="en-US"/>
      </w:rPr>
    </w:lvl>
    <w:lvl w:ilvl="1" w:tplc="28AA7CE0">
      <w:numFmt w:val="bullet"/>
      <w:lvlText w:val="•"/>
      <w:lvlJc w:val="left"/>
      <w:pPr>
        <w:ind w:left="577" w:hanging="361"/>
      </w:pPr>
      <w:rPr>
        <w:rFonts w:hint="default"/>
        <w:lang w:val="en-US" w:eastAsia="en-US" w:bidi="en-US"/>
      </w:rPr>
    </w:lvl>
    <w:lvl w:ilvl="2" w:tplc="F9444114">
      <w:numFmt w:val="bullet"/>
      <w:lvlText w:val="•"/>
      <w:lvlJc w:val="left"/>
      <w:pPr>
        <w:ind w:left="694" w:hanging="361"/>
      </w:pPr>
      <w:rPr>
        <w:rFonts w:hint="default"/>
        <w:lang w:val="en-US" w:eastAsia="en-US" w:bidi="en-US"/>
      </w:rPr>
    </w:lvl>
    <w:lvl w:ilvl="3" w:tplc="EAEE6786">
      <w:numFmt w:val="bullet"/>
      <w:lvlText w:val="•"/>
      <w:lvlJc w:val="left"/>
      <w:pPr>
        <w:ind w:left="811" w:hanging="361"/>
      </w:pPr>
      <w:rPr>
        <w:rFonts w:hint="default"/>
        <w:lang w:val="en-US" w:eastAsia="en-US" w:bidi="en-US"/>
      </w:rPr>
    </w:lvl>
    <w:lvl w:ilvl="4" w:tplc="1CC63110">
      <w:numFmt w:val="bullet"/>
      <w:lvlText w:val="•"/>
      <w:lvlJc w:val="left"/>
      <w:pPr>
        <w:ind w:left="928" w:hanging="361"/>
      </w:pPr>
      <w:rPr>
        <w:rFonts w:hint="default"/>
        <w:lang w:val="en-US" w:eastAsia="en-US" w:bidi="en-US"/>
      </w:rPr>
    </w:lvl>
    <w:lvl w:ilvl="5" w:tplc="B7D0310C">
      <w:numFmt w:val="bullet"/>
      <w:lvlText w:val="•"/>
      <w:lvlJc w:val="left"/>
      <w:pPr>
        <w:ind w:left="1046" w:hanging="361"/>
      </w:pPr>
      <w:rPr>
        <w:rFonts w:hint="default"/>
        <w:lang w:val="en-US" w:eastAsia="en-US" w:bidi="en-US"/>
      </w:rPr>
    </w:lvl>
    <w:lvl w:ilvl="6" w:tplc="00669EBA">
      <w:numFmt w:val="bullet"/>
      <w:lvlText w:val="•"/>
      <w:lvlJc w:val="left"/>
      <w:pPr>
        <w:ind w:left="1163" w:hanging="361"/>
      </w:pPr>
      <w:rPr>
        <w:rFonts w:hint="default"/>
        <w:lang w:val="en-US" w:eastAsia="en-US" w:bidi="en-US"/>
      </w:rPr>
    </w:lvl>
    <w:lvl w:ilvl="7" w:tplc="B69401A6">
      <w:numFmt w:val="bullet"/>
      <w:lvlText w:val="•"/>
      <w:lvlJc w:val="left"/>
      <w:pPr>
        <w:ind w:left="1280" w:hanging="361"/>
      </w:pPr>
      <w:rPr>
        <w:rFonts w:hint="default"/>
        <w:lang w:val="en-US" w:eastAsia="en-US" w:bidi="en-US"/>
      </w:rPr>
    </w:lvl>
    <w:lvl w:ilvl="8" w:tplc="767612BA">
      <w:numFmt w:val="bullet"/>
      <w:lvlText w:val="•"/>
      <w:lvlJc w:val="left"/>
      <w:pPr>
        <w:ind w:left="1397" w:hanging="361"/>
      </w:pPr>
      <w:rPr>
        <w:rFonts w:hint="default"/>
        <w:lang w:val="en-US" w:eastAsia="en-US" w:bidi="en-US"/>
      </w:rPr>
    </w:lvl>
  </w:abstractNum>
  <w:abstractNum w:abstractNumId="16" w15:restartNumberingAfterBreak="0">
    <w:nsid w:val="5F9F1B03"/>
    <w:multiLevelType w:val="hybridMultilevel"/>
    <w:tmpl w:val="E11ED51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683D28FF"/>
    <w:multiLevelType w:val="hybridMultilevel"/>
    <w:tmpl w:val="09CAFCBA"/>
    <w:lvl w:ilvl="0" w:tplc="334EC87C">
      <w:numFmt w:val="bullet"/>
      <w:lvlText w:val=""/>
      <w:lvlJc w:val="left"/>
      <w:pPr>
        <w:ind w:left="467" w:hanging="361"/>
      </w:pPr>
      <w:rPr>
        <w:rFonts w:ascii="Symbol" w:eastAsia="Symbol" w:hAnsi="Symbol" w:cs="Symbol" w:hint="default"/>
        <w:color w:val="0070C0"/>
        <w:w w:val="100"/>
        <w:sz w:val="16"/>
        <w:szCs w:val="16"/>
        <w:lang w:val="en-US" w:eastAsia="en-US" w:bidi="en-US"/>
      </w:rPr>
    </w:lvl>
    <w:lvl w:ilvl="1" w:tplc="B914A6FE">
      <w:numFmt w:val="bullet"/>
      <w:lvlText w:val="•"/>
      <w:lvlJc w:val="left"/>
      <w:pPr>
        <w:ind w:left="577" w:hanging="361"/>
      </w:pPr>
      <w:rPr>
        <w:rFonts w:hint="default"/>
        <w:lang w:val="en-US" w:eastAsia="en-US" w:bidi="en-US"/>
      </w:rPr>
    </w:lvl>
    <w:lvl w:ilvl="2" w:tplc="E05000F0">
      <w:numFmt w:val="bullet"/>
      <w:lvlText w:val="•"/>
      <w:lvlJc w:val="left"/>
      <w:pPr>
        <w:ind w:left="694" w:hanging="361"/>
      </w:pPr>
      <w:rPr>
        <w:rFonts w:hint="default"/>
        <w:lang w:val="en-US" w:eastAsia="en-US" w:bidi="en-US"/>
      </w:rPr>
    </w:lvl>
    <w:lvl w:ilvl="3" w:tplc="47AC18DC">
      <w:numFmt w:val="bullet"/>
      <w:lvlText w:val="•"/>
      <w:lvlJc w:val="left"/>
      <w:pPr>
        <w:ind w:left="811" w:hanging="361"/>
      </w:pPr>
      <w:rPr>
        <w:rFonts w:hint="default"/>
        <w:lang w:val="en-US" w:eastAsia="en-US" w:bidi="en-US"/>
      </w:rPr>
    </w:lvl>
    <w:lvl w:ilvl="4" w:tplc="13EED880">
      <w:numFmt w:val="bullet"/>
      <w:lvlText w:val="•"/>
      <w:lvlJc w:val="left"/>
      <w:pPr>
        <w:ind w:left="928" w:hanging="361"/>
      </w:pPr>
      <w:rPr>
        <w:rFonts w:hint="default"/>
        <w:lang w:val="en-US" w:eastAsia="en-US" w:bidi="en-US"/>
      </w:rPr>
    </w:lvl>
    <w:lvl w:ilvl="5" w:tplc="1D7EAB0E">
      <w:numFmt w:val="bullet"/>
      <w:lvlText w:val="•"/>
      <w:lvlJc w:val="left"/>
      <w:pPr>
        <w:ind w:left="1046" w:hanging="361"/>
      </w:pPr>
      <w:rPr>
        <w:rFonts w:hint="default"/>
        <w:lang w:val="en-US" w:eastAsia="en-US" w:bidi="en-US"/>
      </w:rPr>
    </w:lvl>
    <w:lvl w:ilvl="6" w:tplc="C10201DC">
      <w:numFmt w:val="bullet"/>
      <w:lvlText w:val="•"/>
      <w:lvlJc w:val="left"/>
      <w:pPr>
        <w:ind w:left="1163" w:hanging="361"/>
      </w:pPr>
      <w:rPr>
        <w:rFonts w:hint="default"/>
        <w:lang w:val="en-US" w:eastAsia="en-US" w:bidi="en-US"/>
      </w:rPr>
    </w:lvl>
    <w:lvl w:ilvl="7" w:tplc="9EAEDFBE">
      <w:numFmt w:val="bullet"/>
      <w:lvlText w:val="•"/>
      <w:lvlJc w:val="left"/>
      <w:pPr>
        <w:ind w:left="1280" w:hanging="361"/>
      </w:pPr>
      <w:rPr>
        <w:rFonts w:hint="default"/>
        <w:lang w:val="en-US" w:eastAsia="en-US" w:bidi="en-US"/>
      </w:rPr>
    </w:lvl>
    <w:lvl w:ilvl="8" w:tplc="3BC20D3C">
      <w:numFmt w:val="bullet"/>
      <w:lvlText w:val="•"/>
      <w:lvlJc w:val="left"/>
      <w:pPr>
        <w:ind w:left="1397" w:hanging="361"/>
      </w:pPr>
      <w:rPr>
        <w:rFonts w:hint="default"/>
        <w:lang w:val="en-US" w:eastAsia="en-US" w:bidi="en-US"/>
      </w:rPr>
    </w:lvl>
  </w:abstractNum>
  <w:abstractNum w:abstractNumId="18" w15:restartNumberingAfterBreak="0">
    <w:nsid w:val="69A121CA"/>
    <w:multiLevelType w:val="hybridMultilevel"/>
    <w:tmpl w:val="3C3C1876"/>
    <w:lvl w:ilvl="0" w:tplc="8FBC9590">
      <w:numFmt w:val="bullet"/>
      <w:lvlText w:val="•"/>
      <w:lvlJc w:val="left"/>
      <w:pPr>
        <w:ind w:left="1440" w:hanging="540"/>
      </w:pPr>
      <w:rPr>
        <w:rFonts w:ascii="Calibri" w:eastAsia="Calibri" w:hAnsi="Calibri" w:cs="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6B1F5A3B"/>
    <w:multiLevelType w:val="hybridMultilevel"/>
    <w:tmpl w:val="A17A564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6EB73D70"/>
    <w:multiLevelType w:val="hybridMultilevel"/>
    <w:tmpl w:val="1E24C498"/>
    <w:lvl w:ilvl="0" w:tplc="18FCCF4C">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7462363D"/>
    <w:multiLevelType w:val="hybridMultilevel"/>
    <w:tmpl w:val="EDBE277E"/>
    <w:lvl w:ilvl="0" w:tplc="883E31BE">
      <w:numFmt w:val="bullet"/>
      <w:lvlText w:val=""/>
      <w:lvlJc w:val="left"/>
      <w:pPr>
        <w:ind w:left="467" w:hanging="361"/>
      </w:pPr>
      <w:rPr>
        <w:rFonts w:ascii="Symbol" w:eastAsia="Symbol" w:hAnsi="Symbol" w:cs="Symbol" w:hint="default"/>
        <w:color w:val="0070C0"/>
        <w:w w:val="100"/>
        <w:sz w:val="16"/>
        <w:szCs w:val="16"/>
        <w:lang w:val="en-US" w:eastAsia="en-US" w:bidi="en-US"/>
      </w:rPr>
    </w:lvl>
    <w:lvl w:ilvl="1" w:tplc="BDC24B6C">
      <w:numFmt w:val="bullet"/>
      <w:lvlText w:val="•"/>
      <w:lvlJc w:val="left"/>
      <w:pPr>
        <w:ind w:left="577" w:hanging="361"/>
      </w:pPr>
      <w:rPr>
        <w:rFonts w:hint="default"/>
        <w:lang w:val="en-US" w:eastAsia="en-US" w:bidi="en-US"/>
      </w:rPr>
    </w:lvl>
    <w:lvl w:ilvl="2" w:tplc="049E9AAE">
      <w:numFmt w:val="bullet"/>
      <w:lvlText w:val="•"/>
      <w:lvlJc w:val="left"/>
      <w:pPr>
        <w:ind w:left="694" w:hanging="361"/>
      </w:pPr>
      <w:rPr>
        <w:rFonts w:hint="default"/>
        <w:lang w:val="en-US" w:eastAsia="en-US" w:bidi="en-US"/>
      </w:rPr>
    </w:lvl>
    <w:lvl w:ilvl="3" w:tplc="A96AEB1A">
      <w:numFmt w:val="bullet"/>
      <w:lvlText w:val="•"/>
      <w:lvlJc w:val="left"/>
      <w:pPr>
        <w:ind w:left="811" w:hanging="361"/>
      </w:pPr>
      <w:rPr>
        <w:rFonts w:hint="default"/>
        <w:lang w:val="en-US" w:eastAsia="en-US" w:bidi="en-US"/>
      </w:rPr>
    </w:lvl>
    <w:lvl w:ilvl="4" w:tplc="CA247018">
      <w:numFmt w:val="bullet"/>
      <w:lvlText w:val="•"/>
      <w:lvlJc w:val="left"/>
      <w:pPr>
        <w:ind w:left="928" w:hanging="361"/>
      </w:pPr>
      <w:rPr>
        <w:rFonts w:hint="default"/>
        <w:lang w:val="en-US" w:eastAsia="en-US" w:bidi="en-US"/>
      </w:rPr>
    </w:lvl>
    <w:lvl w:ilvl="5" w:tplc="B58642CC">
      <w:numFmt w:val="bullet"/>
      <w:lvlText w:val="•"/>
      <w:lvlJc w:val="left"/>
      <w:pPr>
        <w:ind w:left="1046" w:hanging="361"/>
      </w:pPr>
      <w:rPr>
        <w:rFonts w:hint="default"/>
        <w:lang w:val="en-US" w:eastAsia="en-US" w:bidi="en-US"/>
      </w:rPr>
    </w:lvl>
    <w:lvl w:ilvl="6" w:tplc="EEC6E9E2">
      <w:numFmt w:val="bullet"/>
      <w:lvlText w:val="•"/>
      <w:lvlJc w:val="left"/>
      <w:pPr>
        <w:ind w:left="1163" w:hanging="361"/>
      </w:pPr>
      <w:rPr>
        <w:rFonts w:hint="default"/>
        <w:lang w:val="en-US" w:eastAsia="en-US" w:bidi="en-US"/>
      </w:rPr>
    </w:lvl>
    <w:lvl w:ilvl="7" w:tplc="363620FE">
      <w:numFmt w:val="bullet"/>
      <w:lvlText w:val="•"/>
      <w:lvlJc w:val="left"/>
      <w:pPr>
        <w:ind w:left="1280" w:hanging="361"/>
      </w:pPr>
      <w:rPr>
        <w:rFonts w:hint="default"/>
        <w:lang w:val="en-US" w:eastAsia="en-US" w:bidi="en-US"/>
      </w:rPr>
    </w:lvl>
    <w:lvl w:ilvl="8" w:tplc="20F6C554">
      <w:numFmt w:val="bullet"/>
      <w:lvlText w:val="•"/>
      <w:lvlJc w:val="left"/>
      <w:pPr>
        <w:ind w:left="1397" w:hanging="361"/>
      </w:pPr>
      <w:rPr>
        <w:rFonts w:hint="default"/>
        <w:lang w:val="en-US" w:eastAsia="en-US" w:bidi="en-US"/>
      </w:rPr>
    </w:lvl>
  </w:abstractNum>
  <w:abstractNum w:abstractNumId="22" w15:restartNumberingAfterBreak="0">
    <w:nsid w:val="747278E0"/>
    <w:multiLevelType w:val="hybridMultilevel"/>
    <w:tmpl w:val="016AA75E"/>
    <w:lvl w:ilvl="0" w:tplc="52166F04">
      <w:numFmt w:val="bullet"/>
      <w:lvlText w:val=""/>
      <w:lvlJc w:val="left"/>
      <w:pPr>
        <w:ind w:left="465" w:hanging="361"/>
      </w:pPr>
      <w:rPr>
        <w:rFonts w:ascii="Symbol" w:eastAsia="Symbol" w:hAnsi="Symbol" w:cs="Symbol" w:hint="default"/>
        <w:w w:val="99"/>
        <w:sz w:val="14"/>
        <w:szCs w:val="14"/>
        <w:lang w:val="en-US" w:eastAsia="en-US" w:bidi="en-US"/>
      </w:rPr>
    </w:lvl>
    <w:lvl w:ilvl="1" w:tplc="76E6D008">
      <w:numFmt w:val="bullet"/>
      <w:lvlText w:val="•"/>
      <w:lvlJc w:val="left"/>
      <w:pPr>
        <w:ind w:left="553" w:hanging="361"/>
      </w:pPr>
      <w:rPr>
        <w:rFonts w:hint="default"/>
        <w:lang w:val="en-US" w:eastAsia="en-US" w:bidi="en-US"/>
      </w:rPr>
    </w:lvl>
    <w:lvl w:ilvl="2" w:tplc="7DAA5980">
      <w:numFmt w:val="bullet"/>
      <w:lvlText w:val="•"/>
      <w:lvlJc w:val="left"/>
      <w:pPr>
        <w:ind w:left="647" w:hanging="361"/>
      </w:pPr>
      <w:rPr>
        <w:rFonts w:hint="default"/>
        <w:lang w:val="en-US" w:eastAsia="en-US" w:bidi="en-US"/>
      </w:rPr>
    </w:lvl>
    <w:lvl w:ilvl="3" w:tplc="06F2EA30">
      <w:numFmt w:val="bullet"/>
      <w:lvlText w:val="•"/>
      <w:lvlJc w:val="left"/>
      <w:pPr>
        <w:ind w:left="741" w:hanging="361"/>
      </w:pPr>
      <w:rPr>
        <w:rFonts w:hint="default"/>
        <w:lang w:val="en-US" w:eastAsia="en-US" w:bidi="en-US"/>
      </w:rPr>
    </w:lvl>
    <w:lvl w:ilvl="4" w:tplc="F15E261E">
      <w:numFmt w:val="bullet"/>
      <w:lvlText w:val="•"/>
      <w:lvlJc w:val="left"/>
      <w:pPr>
        <w:ind w:left="834" w:hanging="361"/>
      </w:pPr>
      <w:rPr>
        <w:rFonts w:hint="default"/>
        <w:lang w:val="en-US" w:eastAsia="en-US" w:bidi="en-US"/>
      </w:rPr>
    </w:lvl>
    <w:lvl w:ilvl="5" w:tplc="A7C6D748">
      <w:numFmt w:val="bullet"/>
      <w:lvlText w:val="•"/>
      <w:lvlJc w:val="left"/>
      <w:pPr>
        <w:ind w:left="928" w:hanging="361"/>
      </w:pPr>
      <w:rPr>
        <w:rFonts w:hint="default"/>
        <w:lang w:val="en-US" w:eastAsia="en-US" w:bidi="en-US"/>
      </w:rPr>
    </w:lvl>
    <w:lvl w:ilvl="6" w:tplc="89282BF8">
      <w:numFmt w:val="bullet"/>
      <w:lvlText w:val="•"/>
      <w:lvlJc w:val="left"/>
      <w:pPr>
        <w:ind w:left="1022" w:hanging="361"/>
      </w:pPr>
      <w:rPr>
        <w:rFonts w:hint="default"/>
        <w:lang w:val="en-US" w:eastAsia="en-US" w:bidi="en-US"/>
      </w:rPr>
    </w:lvl>
    <w:lvl w:ilvl="7" w:tplc="1E3E7FAE">
      <w:numFmt w:val="bullet"/>
      <w:lvlText w:val="•"/>
      <w:lvlJc w:val="left"/>
      <w:pPr>
        <w:ind w:left="1115" w:hanging="361"/>
      </w:pPr>
      <w:rPr>
        <w:rFonts w:hint="default"/>
        <w:lang w:val="en-US" w:eastAsia="en-US" w:bidi="en-US"/>
      </w:rPr>
    </w:lvl>
    <w:lvl w:ilvl="8" w:tplc="97F2AA7E">
      <w:numFmt w:val="bullet"/>
      <w:lvlText w:val="•"/>
      <w:lvlJc w:val="left"/>
      <w:pPr>
        <w:ind w:left="1209" w:hanging="361"/>
      </w:pPr>
      <w:rPr>
        <w:rFonts w:hint="default"/>
        <w:lang w:val="en-US" w:eastAsia="en-US" w:bidi="en-US"/>
      </w:rPr>
    </w:lvl>
  </w:abstractNum>
  <w:abstractNum w:abstractNumId="23" w15:restartNumberingAfterBreak="0">
    <w:nsid w:val="74D135EC"/>
    <w:multiLevelType w:val="hybridMultilevel"/>
    <w:tmpl w:val="DBA4A9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8EA6A6A"/>
    <w:multiLevelType w:val="hybridMultilevel"/>
    <w:tmpl w:val="5934A5AA"/>
    <w:lvl w:ilvl="0" w:tplc="E37CB832">
      <w:start w:val="1"/>
      <w:numFmt w:val="decimal"/>
      <w:lvlText w:val="(%1)"/>
      <w:lvlJc w:val="left"/>
      <w:pPr>
        <w:ind w:left="1621" w:hanging="322"/>
      </w:pPr>
      <w:rPr>
        <w:rFonts w:ascii="Calibri" w:eastAsia="Calibri" w:hAnsi="Calibri" w:cs="Calibri" w:hint="default"/>
        <w:spacing w:val="-3"/>
        <w:w w:val="100"/>
        <w:sz w:val="24"/>
        <w:szCs w:val="24"/>
        <w:lang w:val="en-US" w:eastAsia="en-US" w:bidi="en-US"/>
      </w:rPr>
    </w:lvl>
    <w:lvl w:ilvl="1" w:tplc="D2C8CE16">
      <w:start w:val="1"/>
      <w:numFmt w:val="lowerLetter"/>
      <w:lvlText w:val="(%2)"/>
      <w:lvlJc w:val="left"/>
      <w:pPr>
        <w:ind w:left="2334" w:hanging="315"/>
      </w:pPr>
      <w:rPr>
        <w:rFonts w:ascii="Calibri" w:eastAsia="Calibri" w:hAnsi="Calibri" w:cs="Calibri" w:hint="default"/>
        <w:spacing w:val="-3"/>
        <w:w w:val="100"/>
        <w:sz w:val="24"/>
        <w:szCs w:val="24"/>
        <w:lang w:val="en-US" w:eastAsia="en-US" w:bidi="en-US"/>
      </w:rPr>
    </w:lvl>
    <w:lvl w:ilvl="2" w:tplc="9A08C8FC">
      <w:numFmt w:val="bullet"/>
      <w:lvlText w:val="•"/>
      <w:lvlJc w:val="left"/>
      <w:pPr>
        <w:ind w:left="3208" w:hanging="315"/>
      </w:pPr>
      <w:rPr>
        <w:rFonts w:hint="default"/>
        <w:lang w:val="en-US" w:eastAsia="en-US" w:bidi="en-US"/>
      </w:rPr>
    </w:lvl>
    <w:lvl w:ilvl="3" w:tplc="13D40EDC">
      <w:numFmt w:val="bullet"/>
      <w:lvlText w:val="•"/>
      <w:lvlJc w:val="left"/>
      <w:pPr>
        <w:ind w:left="4077" w:hanging="315"/>
      </w:pPr>
      <w:rPr>
        <w:rFonts w:hint="default"/>
        <w:lang w:val="en-US" w:eastAsia="en-US" w:bidi="en-US"/>
      </w:rPr>
    </w:lvl>
    <w:lvl w:ilvl="4" w:tplc="788E5198">
      <w:numFmt w:val="bullet"/>
      <w:lvlText w:val="•"/>
      <w:lvlJc w:val="left"/>
      <w:pPr>
        <w:ind w:left="4946" w:hanging="315"/>
      </w:pPr>
      <w:rPr>
        <w:rFonts w:hint="default"/>
        <w:lang w:val="en-US" w:eastAsia="en-US" w:bidi="en-US"/>
      </w:rPr>
    </w:lvl>
    <w:lvl w:ilvl="5" w:tplc="B11AB274">
      <w:numFmt w:val="bullet"/>
      <w:lvlText w:val="•"/>
      <w:lvlJc w:val="left"/>
      <w:pPr>
        <w:ind w:left="5815" w:hanging="315"/>
      </w:pPr>
      <w:rPr>
        <w:rFonts w:hint="default"/>
        <w:lang w:val="en-US" w:eastAsia="en-US" w:bidi="en-US"/>
      </w:rPr>
    </w:lvl>
    <w:lvl w:ilvl="6" w:tplc="B0261918">
      <w:numFmt w:val="bullet"/>
      <w:lvlText w:val="•"/>
      <w:lvlJc w:val="left"/>
      <w:pPr>
        <w:ind w:left="6684" w:hanging="315"/>
      </w:pPr>
      <w:rPr>
        <w:rFonts w:hint="default"/>
        <w:lang w:val="en-US" w:eastAsia="en-US" w:bidi="en-US"/>
      </w:rPr>
    </w:lvl>
    <w:lvl w:ilvl="7" w:tplc="116A5958">
      <w:numFmt w:val="bullet"/>
      <w:lvlText w:val="•"/>
      <w:lvlJc w:val="left"/>
      <w:pPr>
        <w:ind w:left="7553" w:hanging="315"/>
      </w:pPr>
      <w:rPr>
        <w:rFonts w:hint="default"/>
        <w:lang w:val="en-US" w:eastAsia="en-US" w:bidi="en-US"/>
      </w:rPr>
    </w:lvl>
    <w:lvl w:ilvl="8" w:tplc="F5625E84">
      <w:numFmt w:val="bullet"/>
      <w:lvlText w:val="•"/>
      <w:lvlJc w:val="left"/>
      <w:pPr>
        <w:ind w:left="8422" w:hanging="315"/>
      </w:pPr>
      <w:rPr>
        <w:rFonts w:hint="default"/>
        <w:lang w:val="en-US" w:eastAsia="en-US" w:bidi="en-US"/>
      </w:rPr>
    </w:lvl>
  </w:abstractNum>
  <w:abstractNum w:abstractNumId="25" w15:restartNumberingAfterBreak="0">
    <w:nsid w:val="797F45E4"/>
    <w:multiLevelType w:val="hybridMultilevel"/>
    <w:tmpl w:val="00344CC8"/>
    <w:lvl w:ilvl="0" w:tplc="15E40EC0">
      <w:start w:val="1"/>
      <w:numFmt w:val="decimal"/>
      <w:lvlText w:val="%1."/>
      <w:lvlJc w:val="left"/>
      <w:pPr>
        <w:ind w:left="1300" w:hanging="360"/>
      </w:pPr>
      <w:rPr>
        <w:rFonts w:ascii="Calibri" w:eastAsia="Calibri" w:hAnsi="Calibri" w:cs="Calibri" w:hint="default"/>
        <w:spacing w:val="-4"/>
        <w:w w:val="100"/>
        <w:sz w:val="24"/>
        <w:szCs w:val="24"/>
        <w:lang w:val="en-US" w:eastAsia="en-US" w:bidi="en-US"/>
      </w:rPr>
    </w:lvl>
    <w:lvl w:ilvl="1" w:tplc="4A2272B0">
      <w:numFmt w:val="bullet"/>
      <w:lvlText w:val="•"/>
      <w:lvlJc w:val="left"/>
      <w:pPr>
        <w:ind w:left="2186" w:hanging="360"/>
      </w:pPr>
      <w:rPr>
        <w:rFonts w:hint="default"/>
        <w:lang w:val="en-US" w:eastAsia="en-US" w:bidi="en-US"/>
      </w:rPr>
    </w:lvl>
    <w:lvl w:ilvl="2" w:tplc="50CAACB4">
      <w:numFmt w:val="bullet"/>
      <w:lvlText w:val="•"/>
      <w:lvlJc w:val="left"/>
      <w:pPr>
        <w:ind w:left="3072" w:hanging="360"/>
      </w:pPr>
      <w:rPr>
        <w:rFonts w:hint="default"/>
        <w:lang w:val="en-US" w:eastAsia="en-US" w:bidi="en-US"/>
      </w:rPr>
    </w:lvl>
    <w:lvl w:ilvl="3" w:tplc="E354CDAC">
      <w:numFmt w:val="bullet"/>
      <w:lvlText w:val="•"/>
      <w:lvlJc w:val="left"/>
      <w:pPr>
        <w:ind w:left="3958" w:hanging="360"/>
      </w:pPr>
      <w:rPr>
        <w:rFonts w:hint="default"/>
        <w:lang w:val="en-US" w:eastAsia="en-US" w:bidi="en-US"/>
      </w:rPr>
    </w:lvl>
    <w:lvl w:ilvl="4" w:tplc="DABE4C7E">
      <w:numFmt w:val="bullet"/>
      <w:lvlText w:val="•"/>
      <w:lvlJc w:val="left"/>
      <w:pPr>
        <w:ind w:left="4844" w:hanging="360"/>
      </w:pPr>
      <w:rPr>
        <w:rFonts w:hint="default"/>
        <w:lang w:val="en-US" w:eastAsia="en-US" w:bidi="en-US"/>
      </w:rPr>
    </w:lvl>
    <w:lvl w:ilvl="5" w:tplc="016000D2">
      <w:numFmt w:val="bullet"/>
      <w:lvlText w:val="•"/>
      <w:lvlJc w:val="left"/>
      <w:pPr>
        <w:ind w:left="5730" w:hanging="360"/>
      </w:pPr>
      <w:rPr>
        <w:rFonts w:hint="default"/>
        <w:lang w:val="en-US" w:eastAsia="en-US" w:bidi="en-US"/>
      </w:rPr>
    </w:lvl>
    <w:lvl w:ilvl="6" w:tplc="FABEE7D2">
      <w:numFmt w:val="bullet"/>
      <w:lvlText w:val="•"/>
      <w:lvlJc w:val="left"/>
      <w:pPr>
        <w:ind w:left="6616" w:hanging="360"/>
      </w:pPr>
      <w:rPr>
        <w:rFonts w:hint="default"/>
        <w:lang w:val="en-US" w:eastAsia="en-US" w:bidi="en-US"/>
      </w:rPr>
    </w:lvl>
    <w:lvl w:ilvl="7" w:tplc="08449D00">
      <w:numFmt w:val="bullet"/>
      <w:lvlText w:val="•"/>
      <w:lvlJc w:val="left"/>
      <w:pPr>
        <w:ind w:left="7502" w:hanging="360"/>
      </w:pPr>
      <w:rPr>
        <w:rFonts w:hint="default"/>
        <w:lang w:val="en-US" w:eastAsia="en-US" w:bidi="en-US"/>
      </w:rPr>
    </w:lvl>
    <w:lvl w:ilvl="8" w:tplc="B45CAF4E">
      <w:numFmt w:val="bullet"/>
      <w:lvlText w:val="•"/>
      <w:lvlJc w:val="left"/>
      <w:pPr>
        <w:ind w:left="8388" w:hanging="360"/>
      </w:pPr>
      <w:rPr>
        <w:rFonts w:hint="default"/>
        <w:lang w:val="en-US" w:eastAsia="en-US" w:bidi="en-US"/>
      </w:rPr>
    </w:lvl>
  </w:abstractNum>
  <w:abstractNum w:abstractNumId="26" w15:restartNumberingAfterBreak="0">
    <w:nsid w:val="7DEF1BD0"/>
    <w:multiLevelType w:val="multilevel"/>
    <w:tmpl w:val="49AE0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1"/>
  </w:num>
  <w:num w:numId="3">
    <w:abstractNumId w:val="15"/>
  </w:num>
  <w:num w:numId="4">
    <w:abstractNumId w:val="22"/>
  </w:num>
  <w:num w:numId="5">
    <w:abstractNumId w:val="10"/>
  </w:num>
  <w:num w:numId="6">
    <w:abstractNumId w:val="17"/>
  </w:num>
  <w:num w:numId="7">
    <w:abstractNumId w:val="1"/>
  </w:num>
  <w:num w:numId="8">
    <w:abstractNumId w:val="7"/>
  </w:num>
  <w:num w:numId="9">
    <w:abstractNumId w:val="6"/>
  </w:num>
  <w:num w:numId="10">
    <w:abstractNumId w:val="25"/>
  </w:num>
  <w:num w:numId="11">
    <w:abstractNumId w:val="24"/>
  </w:num>
  <w:num w:numId="12">
    <w:abstractNumId w:val="12"/>
  </w:num>
  <w:num w:numId="13">
    <w:abstractNumId w:val="5"/>
  </w:num>
  <w:num w:numId="14">
    <w:abstractNumId w:val="14"/>
  </w:num>
  <w:num w:numId="15">
    <w:abstractNumId w:val="13"/>
  </w:num>
  <w:num w:numId="16">
    <w:abstractNumId w:val="0"/>
  </w:num>
  <w:num w:numId="17">
    <w:abstractNumId w:val="23"/>
  </w:num>
  <w:num w:numId="18">
    <w:abstractNumId w:val="2"/>
  </w:num>
  <w:num w:numId="19">
    <w:abstractNumId w:val="19"/>
  </w:num>
  <w:num w:numId="20">
    <w:abstractNumId w:val="16"/>
  </w:num>
  <w:num w:numId="21">
    <w:abstractNumId w:val="18"/>
  </w:num>
  <w:num w:numId="22">
    <w:abstractNumId w:val="3"/>
  </w:num>
  <w:num w:numId="23">
    <w:abstractNumId w:val="11"/>
  </w:num>
  <w:num w:numId="24">
    <w:abstractNumId w:val="9"/>
  </w:num>
  <w:num w:numId="25">
    <w:abstractNumId w:val="8"/>
  </w:num>
  <w:num w:numId="26">
    <w:abstractNumId w:val="2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A1D"/>
    <w:rsid w:val="00001347"/>
    <w:rsid w:val="00017FA3"/>
    <w:rsid w:val="00021AB6"/>
    <w:rsid w:val="000268A7"/>
    <w:rsid w:val="00027018"/>
    <w:rsid w:val="00027792"/>
    <w:rsid w:val="000301B3"/>
    <w:rsid w:val="00031995"/>
    <w:rsid w:val="000334F9"/>
    <w:rsid w:val="00040DD7"/>
    <w:rsid w:val="00043D3F"/>
    <w:rsid w:val="00043DDE"/>
    <w:rsid w:val="00044B4A"/>
    <w:rsid w:val="00044DC4"/>
    <w:rsid w:val="000563A5"/>
    <w:rsid w:val="000603F6"/>
    <w:rsid w:val="00072055"/>
    <w:rsid w:val="0007787C"/>
    <w:rsid w:val="00077B57"/>
    <w:rsid w:val="00080949"/>
    <w:rsid w:val="00090B89"/>
    <w:rsid w:val="00095CDB"/>
    <w:rsid w:val="00097300"/>
    <w:rsid w:val="000A0ED4"/>
    <w:rsid w:val="000B0F34"/>
    <w:rsid w:val="000B6B84"/>
    <w:rsid w:val="000C02D1"/>
    <w:rsid w:val="000C5857"/>
    <w:rsid w:val="000C672C"/>
    <w:rsid w:val="000C719D"/>
    <w:rsid w:val="000D2EA4"/>
    <w:rsid w:val="000E017C"/>
    <w:rsid w:val="000F10A6"/>
    <w:rsid w:val="000F366D"/>
    <w:rsid w:val="00103253"/>
    <w:rsid w:val="00105FF1"/>
    <w:rsid w:val="00114BB7"/>
    <w:rsid w:val="00115970"/>
    <w:rsid w:val="00125B10"/>
    <w:rsid w:val="001317D7"/>
    <w:rsid w:val="00137558"/>
    <w:rsid w:val="001376B3"/>
    <w:rsid w:val="00143420"/>
    <w:rsid w:val="00144877"/>
    <w:rsid w:val="00145452"/>
    <w:rsid w:val="00152D22"/>
    <w:rsid w:val="00155CF7"/>
    <w:rsid w:val="00161159"/>
    <w:rsid w:val="00162418"/>
    <w:rsid w:val="00165363"/>
    <w:rsid w:val="00170E7D"/>
    <w:rsid w:val="001719D2"/>
    <w:rsid w:val="00172977"/>
    <w:rsid w:val="001749E3"/>
    <w:rsid w:val="0018453E"/>
    <w:rsid w:val="0018722B"/>
    <w:rsid w:val="001A38BF"/>
    <w:rsid w:val="001B2585"/>
    <w:rsid w:val="001B2CE3"/>
    <w:rsid w:val="001B49BF"/>
    <w:rsid w:val="001B676F"/>
    <w:rsid w:val="001C683C"/>
    <w:rsid w:val="001D168B"/>
    <w:rsid w:val="001D1885"/>
    <w:rsid w:val="001D3505"/>
    <w:rsid w:val="001D7A6D"/>
    <w:rsid w:val="001E042D"/>
    <w:rsid w:val="001E2D60"/>
    <w:rsid w:val="001F7BB2"/>
    <w:rsid w:val="00200964"/>
    <w:rsid w:val="0020352E"/>
    <w:rsid w:val="00205EE4"/>
    <w:rsid w:val="002127E7"/>
    <w:rsid w:val="0021537A"/>
    <w:rsid w:val="00224887"/>
    <w:rsid w:val="00231C57"/>
    <w:rsid w:val="00236040"/>
    <w:rsid w:val="0025322D"/>
    <w:rsid w:val="002606A1"/>
    <w:rsid w:val="00263E01"/>
    <w:rsid w:val="0026603F"/>
    <w:rsid w:val="00287241"/>
    <w:rsid w:val="002A2A1D"/>
    <w:rsid w:val="002A39E7"/>
    <w:rsid w:val="002B180D"/>
    <w:rsid w:val="002B7508"/>
    <w:rsid w:val="002C0110"/>
    <w:rsid w:val="002C0E58"/>
    <w:rsid w:val="002C1F4A"/>
    <w:rsid w:val="002C21FE"/>
    <w:rsid w:val="002C637A"/>
    <w:rsid w:val="002C72C3"/>
    <w:rsid w:val="002D18F4"/>
    <w:rsid w:val="002D236D"/>
    <w:rsid w:val="002E12A2"/>
    <w:rsid w:val="002E1F44"/>
    <w:rsid w:val="002F1A9F"/>
    <w:rsid w:val="002F250D"/>
    <w:rsid w:val="002F4582"/>
    <w:rsid w:val="00303071"/>
    <w:rsid w:val="0030400B"/>
    <w:rsid w:val="003176C5"/>
    <w:rsid w:val="003209C6"/>
    <w:rsid w:val="00334EFD"/>
    <w:rsid w:val="00343ED0"/>
    <w:rsid w:val="003512D3"/>
    <w:rsid w:val="0035733A"/>
    <w:rsid w:val="00357C3D"/>
    <w:rsid w:val="003749C6"/>
    <w:rsid w:val="00376A46"/>
    <w:rsid w:val="00376FA8"/>
    <w:rsid w:val="0038040D"/>
    <w:rsid w:val="00380EC8"/>
    <w:rsid w:val="00385DD3"/>
    <w:rsid w:val="0038655C"/>
    <w:rsid w:val="003975FA"/>
    <w:rsid w:val="003B14A8"/>
    <w:rsid w:val="003B7C60"/>
    <w:rsid w:val="003C3590"/>
    <w:rsid w:val="003C3AF9"/>
    <w:rsid w:val="003D7120"/>
    <w:rsid w:val="003D7F91"/>
    <w:rsid w:val="003E1282"/>
    <w:rsid w:val="004052CA"/>
    <w:rsid w:val="004233D6"/>
    <w:rsid w:val="0042432A"/>
    <w:rsid w:val="00427FEA"/>
    <w:rsid w:val="00431DD7"/>
    <w:rsid w:val="004333D9"/>
    <w:rsid w:val="00433C7B"/>
    <w:rsid w:val="00437EBB"/>
    <w:rsid w:val="004472F4"/>
    <w:rsid w:val="00457375"/>
    <w:rsid w:val="00460936"/>
    <w:rsid w:val="00476A62"/>
    <w:rsid w:val="00482752"/>
    <w:rsid w:val="00482AC7"/>
    <w:rsid w:val="00486983"/>
    <w:rsid w:val="00487039"/>
    <w:rsid w:val="004945C1"/>
    <w:rsid w:val="004A1444"/>
    <w:rsid w:val="004A4809"/>
    <w:rsid w:val="004B1FA8"/>
    <w:rsid w:val="004B3AF7"/>
    <w:rsid w:val="004B74D5"/>
    <w:rsid w:val="004D0DD3"/>
    <w:rsid w:val="004E199B"/>
    <w:rsid w:val="004E5EAF"/>
    <w:rsid w:val="004F1369"/>
    <w:rsid w:val="004F31E2"/>
    <w:rsid w:val="004F6EFE"/>
    <w:rsid w:val="00511431"/>
    <w:rsid w:val="00511A0F"/>
    <w:rsid w:val="00514399"/>
    <w:rsid w:val="00516832"/>
    <w:rsid w:val="00516E81"/>
    <w:rsid w:val="005227FA"/>
    <w:rsid w:val="00523A6A"/>
    <w:rsid w:val="00532759"/>
    <w:rsid w:val="00533D42"/>
    <w:rsid w:val="005355D4"/>
    <w:rsid w:val="00537C88"/>
    <w:rsid w:val="00545861"/>
    <w:rsid w:val="00545B16"/>
    <w:rsid w:val="00547ABF"/>
    <w:rsid w:val="00554A45"/>
    <w:rsid w:val="00571F0A"/>
    <w:rsid w:val="00572C68"/>
    <w:rsid w:val="00572C7B"/>
    <w:rsid w:val="0057325B"/>
    <w:rsid w:val="00575D5B"/>
    <w:rsid w:val="005765D6"/>
    <w:rsid w:val="00591B1D"/>
    <w:rsid w:val="00592A01"/>
    <w:rsid w:val="005944AD"/>
    <w:rsid w:val="0059727A"/>
    <w:rsid w:val="005A1034"/>
    <w:rsid w:val="005A13EF"/>
    <w:rsid w:val="005C2BD5"/>
    <w:rsid w:val="005C60EC"/>
    <w:rsid w:val="005D5AD8"/>
    <w:rsid w:val="005D6A9E"/>
    <w:rsid w:val="005E18CC"/>
    <w:rsid w:val="005E4E14"/>
    <w:rsid w:val="00604A57"/>
    <w:rsid w:val="0061794C"/>
    <w:rsid w:val="0063070A"/>
    <w:rsid w:val="00636882"/>
    <w:rsid w:val="006409CC"/>
    <w:rsid w:val="00654D53"/>
    <w:rsid w:val="00657BB9"/>
    <w:rsid w:val="00664DFC"/>
    <w:rsid w:val="00682863"/>
    <w:rsid w:val="00685A66"/>
    <w:rsid w:val="006A3A55"/>
    <w:rsid w:val="006B524D"/>
    <w:rsid w:val="006B7DCC"/>
    <w:rsid w:val="006C6B0F"/>
    <w:rsid w:val="006D238B"/>
    <w:rsid w:val="006D28F2"/>
    <w:rsid w:val="006D40A7"/>
    <w:rsid w:val="006D6071"/>
    <w:rsid w:val="006E170E"/>
    <w:rsid w:val="006E7156"/>
    <w:rsid w:val="006E7C22"/>
    <w:rsid w:val="006F17F3"/>
    <w:rsid w:val="006F69E7"/>
    <w:rsid w:val="00711C3C"/>
    <w:rsid w:val="00724A4E"/>
    <w:rsid w:val="007276C3"/>
    <w:rsid w:val="00731CC5"/>
    <w:rsid w:val="0075173C"/>
    <w:rsid w:val="00753B7C"/>
    <w:rsid w:val="00755168"/>
    <w:rsid w:val="00767A1D"/>
    <w:rsid w:val="007729B7"/>
    <w:rsid w:val="00772AFE"/>
    <w:rsid w:val="00774158"/>
    <w:rsid w:val="0078216E"/>
    <w:rsid w:val="0079685E"/>
    <w:rsid w:val="0079786C"/>
    <w:rsid w:val="007A18ED"/>
    <w:rsid w:val="007A1CE0"/>
    <w:rsid w:val="007B155D"/>
    <w:rsid w:val="007C1051"/>
    <w:rsid w:val="007C5FA2"/>
    <w:rsid w:val="007D27DE"/>
    <w:rsid w:val="007D3554"/>
    <w:rsid w:val="007D7AEC"/>
    <w:rsid w:val="007E1EFA"/>
    <w:rsid w:val="007E2311"/>
    <w:rsid w:val="007F2021"/>
    <w:rsid w:val="0081462B"/>
    <w:rsid w:val="0081754B"/>
    <w:rsid w:val="00817DA3"/>
    <w:rsid w:val="00825A1C"/>
    <w:rsid w:val="0082617A"/>
    <w:rsid w:val="00827A3F"/>
    <w:rsid w:val="008356E3"/>
    <w:rsid w:val="008411F0"/>
    <w:rsid w:val="008674E6"/>
    <w:rsid w:val="0088335A"/>
    <w:rsid w:val="00887702"/>
    <w:rsid w:val="00890C5E"/>
    <w:rsid w:val="00894575"/>
    <w:rsid w:val="008A46D2"/>
    <w:rsid w:val="008B366A"/>
    <w:rsid w:val="008C0114"/>
    <w:rsid w:val="008C6EDF"/>
    <w:rsid w:val="008D1326"/>
    <w:rsid w:val="008E7C4C"/>
    <w:rsid w:val="008F087C"/>
    <w:rsid w:val="008F1DD3"/>
    <w:rsid w:val="008F385F"/>
    <w:rsid w:val="008F4702"/>
    <w:rsid w:val="008F5E03"/>
    <w:rsid w:val="00910D52"/>
    <w:rsid w:val="00915603"/>
    <w:rsid w:val="00915DEC"/>
    <w:rsid w:val="009167DD"/>
    <w:rsid w:val="009208A3"/>
    <w:rsid w:val="00923A2F"/>
    <w:rsid w:val="00925306"/>
    <w:rsid w:val="00952364"/>
    <w:rsid w:val="009529F6"/>
    <w:rsid w:val="009630EB"/>
    <w:rsid w:val="00967965"/>
    <w:rsid w:val="00980224"/>
    <w:rsid w:val="00982286"/>
    <w:rsid w:val="00983CBB"/>
    <w:rsid w:val="00994318"/>
    <w:rsid w:val="009A0137"/>
    <w:rsid w:val="009A0E29"/>
    <w:rsid w:val="009A6BB5"/>
    <w:rsid w:val="009B0820"/>
    <w:rsid w:val="009B225D"/>
    <w:rsid w:val="009B60A6"/>
    <w:rsid w:val="009B7F1A"/>
    <w:rsid w:val="009C33EE"/>
    <w:rsid w:val="009C407A"/>
    <w:rsid w:val="009C7EBA"/>
    <w:rsid w:val="009D5732"/>
    <w:rsid w:val="009D5ACA"/>
    <w:rsid w:val="009F2E78"/>
    <w:rsid w:val="00A03B77"/>
    <w:rsid w:val="00A21D4B"/>
    <w:rsid w:val="00A32160"/>
    <w:rsid w:val="00A358A5"/>
    <w:rsid w:val="00A504F0"/>
    <w:rsid w:val="00A60442"/>
    <w:rsid w:val="00A610C4"/>
    <w:rsid w:val="00A61A49"/>
    <w:rsid w:val="00A6462C"/>
    <w:rsid w:val="00A712B1"/>
    <w:rsid w:val="00A715A8"/>
    <w:rsid w:val="00A72C10"/>
    <w:rsid w:val="00A773EE"/>
    <w:rsid w:val="00A81C4D"/>
    <w:rsid w:val="00A85539"/>
    <w:rsid w:val="00A93A3E"/>
    <w:rsid w:val="00A94DFC"/>
    <w:rsid w:val="00AA0B3D"/>
    <w:rsid w:val="00AA12FB"/>
    <w:rsid w:val="00AA4E00"/>
    <w:rsid w:val="00AA5AB8"/>
    <w:rsid w:val="00AC0B50"/>
    <w:rsid w:val="00AC7610"/>
    <w:rsid w:val="00AD660F"/>
    <w:rsid w:val="00AD7237"/>
    <w:rsid w:val="00AD758A"/>
    <w:rsid w:val="00AE130F"/>
    <w:rsid w:val="00AE4DE8"/>
    <w:rsid w:val="00AF6C8E"/>
    <w:rsid w:val="00B073D4"/>
    <w:rsid w:val="00B127EA"/>
    <w:rsid w:val="00B140FD"/>
    <w:rsid w:val="00B260FE"/>
    <w:rsid w:val="00B32E3D"/>
    <w:rsid w:val="00B34C15"/>
    <w:rsid w:val="00B36A91"/>
    <w:rsid w:val="00B37A11"/>
    <w:rsid w:val="00B42674"/>
    <w:rsid w:val="00B460F3"/>
    <w:rsid w:val="00B558EB"/>
    <w:rsid w:val="00B5684E"/>
    <w:rsid w:val="00B60D5A"/>
    <w:rsid w:val="00B61D5A"/>
    <w:rsid w:val="00B65FAC"/>
    <w:rsid w:val="00B8284F"/>
    <w:rsid w:val="00B83718"/>
    <w:rsid w:val="00B87D0B"/>
    <w:rsid w:val="00B918E4"/>
    <w:rsid w:val="00BA3D30"/>
    <w:rsid w:val="00BA416F"/>
    <w:rsid w:val="00BC2837"/>
    <w:rsid w:val="00BC3CF6"/>
    <w:rsid w:val="00BC6763"/>
    <w:rsid w:val="00BD05A9"/>
    <w:rsid w:val="00BD5B42"/>
    <w:rsid w:val="00BD7C58"/>
    <w:rsid w:val="00BE283F"/>
    <w:rsid w:val="00BE41B0"/>
    <w:rsid w:val="00BF3EDE"/>
    <w:rsid w:val="00BF4CEF"/>
    <w:rsid w:val="00C0179C"/>
    <w:rsid w:val="00C022AE"/>
    <w:rsid w:val="00C03475"/>
    <w:rsid w:val="00C25076"/>
    <w:rsid w:val="00C3346F"/>
    <w:rsid w:val="00C36005"/>
    <w:rsid w:val="00C4016C"/>
    <w:rsid w:val="00C414F5"/>
    <w:rsid w:val="00C509B0"/>
    <w:rsid w:val="00C6529F"/>
    <w:rsid w:val="00C701A9"/>
    <w:rsid w:val="00C71881"/>
    <w:rsid w:val="00C81AC9"/>
    <w:rsid w:val="00C844DB"/>
    <w:rsid w:val="00C875E9"/>
    <w:rsid w:val="00CA37CD"/>
    <w:rsid w:val="00CA6380"/>
    <w:rsid w:val="00CB1A94"/>
    <w:rsid w:val="00CB492A"/>
    <w:rsid w:val="00CD128B"/>
    <w:rsid w:val="00CE384F"/>
    <w:rsid w:val="00CF4247"/>
    <w:rsid w:val="00CF7FEB"/>
    <w:rsid w:val="00D064DD"/>
    <w:rsid w:val="00D06A52"/>
    <w:rsid w:val="00D10134"/>
    <w:rsid w:val="00D21BAF"/>
    <w:rsid w:val="00D22881"/>
    <w:rsid w:val="00D31586"/>
    <w:rsid w:val="00D3762B"/>
    <w:rsid w:val="00D450D8"/>
    <w:rsid w:val="00D46BA6"/>
    <w:rsid w:val="00D520ED"/>
    <w:rsid w:val="00D74EBE"/>
    <w:rsid w:val="00D93160"/>
    <w:rsid w:val="00D93AA8"/>
    <w:rsid w:val="00DA0005"/>
    <w:rsid w:val="00DA0D71"/>
    <w:rsid w:val="00DA0E9C"/>
    <w:rsid w:val="00DC1CA5"/>
    <w:rsid w:val="00DE3E0A"/>
    <w:rsid w:val="00DF7B4D"/>
    <w:rsid w:val="00E07C67"/>
    <w:rsid w:val="00E13058"/>
    <w:rsid w:val="00E2217B"/>
    <w:rsid w:val="00E312CB"/>
    <w:rsid w:val="00E323FC"/>
    <w:rsid w:val="00E37B99"/>
    <w:rsid w:val="00E407A6"/>
    <w:rsid w:val="00E53697"/>
    <w:rsid w:val="00E645AF"/>
    <w:rsid w:val="00E70B6A"/>
    <w:rsid w:val="00E71EF9"/>
    <w:rsid w:val="00E74D89"/>
    <w:rsid w:val="00E84F8A"/>
    <w:rsid w:val="00E95AC2"/>
    <w:rsid w:val="00EA1980"/>
    <w:rsid w:val="00EA3AC7"/>
    <w:rsid w:val="00EA4CF8"/>
    <w:rsid w:val="00EB328A"/>
    <w:rsid w:val="00EB4581"/>
    <w:rsid w:val="00EB4768"/>
    <w:rsid w:val="00EB6191"/>
    <w:rsid w:val="00EB7AD0"/>
    <w:rsid w:val="00ED2B13"/>
    <w:rsid w:val="00ED3F74"/>
    <w:rsid w:val="00EE2EA9"/>
    <w:rsid w:val="00EE7C47"/>
    <w:rsid w:val="00EF092C"/>
    <w:rsid w:val="00EF2ECF"/>
    <w:rsid w:val="00F10462"/>
    <w:rsid w:val="00F116DB"/>
    <w:rsid w:val="00F23C19"/>
    <w:rsid w:val="00F30D3D"/>
    <w:rsid w:val="00F64715"/>
    <w:rsid w:val="00F665A6"/>
    <w:rsid w:val="00F66831"/>
    <w:rsid w:val="00F66D8F"/>
    <w:rsid w:val="00F720A5"/>
    <w:rsid w:val="00F73408"/>
    <w:rsid w:val="00F92187"/>
    <w:rsid w:val="00F925A8"/>
    <w:rsid w:val="00F92BEA"/>
    <w:rsid w:val="00FA7309"/>
    <w:rsid w:val="00FB0705"/>
    <w:rsid w:val="00FB1F34"/>
    <w:rsid w:val="00FB243D"/>
    <w:rsid w:val="00FB594C"/>
    <w:rsid w:val="00FB7024"/>
    <w:rsid w:val="00FC37F0"/>
    <w:rsid w:val="00FC5212"/>
    <w:rsid w:val="00FC5C7E"/>
    <w:rsid w:val="00FC5F44"/>
    <w:rsid w:val="00FC7EDD"/>
    <w:rsid w:val="00FD3FC4"/>
    <w:rsid w:val="00FD7453"/>
    <w:rsid w:val="00FE0A6C"/>
    <w:rsid w:val="00FE1A5F"/>
    <w:rsid w:val="00FE69E1"/>
    <w:rsid w:val="00FF3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AF90BF"/>
  <w15:docId w15:val="{B88D76E7-BB4B-4493-AD89-6D53D338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580"/>
      <w:outlineLvl w:val="0"/>
    </w:pPr>
    <w:rPr>
      <w:b/>
      <w:bCs/>
      <w:sz w:val="24"/>
      <w:szCs w:val="24"/>
      <w:u w:val="single" w:color="000000"/>
    </w:rPr>
  </w:style>
  <w:style w:type="paragraph" w:styleId="Heading2">
    <w:name w:val="heading 2"/>
    <w:basedOn w:val="Normal"/>
    <w:uiPriority w:val="1"/>
    <w:qFormat/>
    <w:pPr>
      <w:ind w:left="800" w:hanging="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300" w:hanging="360"/>
    </w:pPr>
  </w:style>
  <w:style w:type="paragraph" w:customStyle="1" w:styleId="TableParagraph">
    <w:name w:val="Table Paragraph"/>
    <w:basedOn w:val="Normal"/>
    <w:uiPriority w:val="1"/>
    <w:qFormat/>
    <w:rPr>
      <w:rFonts w:ascii="Arial" w:eastAsia="Arial" w:hAnsi="Arial" w:cs="Arial"/>
    </w:rPr>
  </w:style>
  <w:style w:type="character" w:styleId="CommentReference">
    <w:name w:val="annotation reference"/>
    <w:basedOn w:val="DefaultParagraphFont"/>
    <w:uiPriority w:val="99"/>
    <w:semiHidden/>
    <w:unhideWhenUsed/>
    <w:rsid w:val="0075173C"/>
    <w:rPr>
      <w:sz w:val="16"/>
      <w:szCs w:val="16"/>
    </w:rPr>
  </w:style>
  <w:style w:type="paragraph" w:styleId="CommentText">
    <w:name w:val="annotation text"/>
    <w:basedOn w:val="Normal"/>
    <w:link w:val="CommentTextChar"/>
    <w:uiPriority w:val="99"/>
    <w:semiHidden/>
    <w:unhideWhenUsed/>
    <w:rsid w:val="0075173C"/>
    <w:rPr>
      <w:sz w:val="20"/>
      <w:szCs w:val="20"/>
    </w:rPr>
  </w:style>
  <w:style w:type="character" w:customStyle="1" w:styleId="CommentTextChar">
    <w:name w:val="Comment Text Char"/>
    <w:basedOn w:val="DefaultParagraphFont"/>
    <w:link w:val="CommentText"/>
    <w:uiPriority w:val="99"/>
    <w:semiHidden/>
    <w:rsid w:val="0075173C"/>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75173C"/>
    <w:rPr>
      <w:b/>
      <w:bCs/>
    </w:rPr>
  </w:style>
  <w:style w:type="character" w:customStyle="1" w:styleId="CommentSubjectChar">
    <w:name w:val="Comment Subject Char"/>
    <w:basedOn w:val="CommentTextChar"/>
    <w:link w:val="CommentSubject"/>
    <w:uiPriority w:val="99"/>
    <w:semiHidden/>
    <w:rsid w:val="0075173C"/>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75173C"/>
    <w:rPr>
      <w:rFonts w:ascii="Tahoma" w:hAnsi="Tahoma" w:cs="Tahoma"/>
      <w:sz w:val="16"/>
      <w:szCs w:val="16"/>
    </w:rPr>
  </w:style>
  <w:style w:type="character" w:customStyle="1" w:styleId="BalloonTextChar">
    <w:name w:val="Balloon Text Char"/>
    <w:basedOn w:val="DefaultParagraphFont"/>
    <w:link w:val="BalloonText"/>
    <w:uiPriority w:val="99"/>
    <w:semiHidden/>
    <w:rsid w:val="0075173C"/>
    <w:rPr>
      <w:rFonts w:ascii="Tahoma" w:eastAsia="Calibri" w:hAnsi="Tahoma" w:cs="Tahoma"/>
      <w:sz w:val="16"/>
      <w:szCs w:val="16"/>
      <w:lang w:bidi="en-US"/>
    </w:rPr>
  </w:style>
  <w:style w:type="paragraph" w:styleId="FootnoteText">
    <w:name w:val="footnote text"/>
    <w:basedOn w:val="Normal"/>
    <w:link w:val="FootnoteTextChar"/>
    <w:uiPriority w:val="99"/>
    <w:semiHidden/>
    <w:unhideWhenUsed/>
    <w:rsid w:val="00FB594C"/>
    <w:rPr>
      <w:sz w:val="20"/>
      <w:szCs w:val="20"/>
    </w:rPr>
  </w:style>
  <w:style w:type="character" w:customStyle="1" w:styleId="FootnoteTextChar">
    <w:name w:val="Footnote Text Char"/>
    <w:basedOn w:val="DefaultParagraphFont"/>
    <w:link w:val="FootnoteText"/>
    <w:uiPriority w:val="99"/>
    <w:semiHidden/>
    <w:rsid w:val="00FB594C"/>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FB594C"/>
    <w:rPr>
      <w:vertAlign w:val="superscript"/>
    </w:rPr>
  </w:style>
  <w:style w:type="paragraph" w:styleId="EndnoteText">
    <w:name w:val="endnote text"/>
    <w:basedOn w:val="Normal"/>
    <w:link w:val="EndnoteTextChar"/>
    <w:uiPriority w:val="99"/>
    <w:semiHidden/>
    <w:unhideWhenUsed/>
    <w:rsid w:val="00263E01"/>
    <w:rPr>
      <w:sz w:val="20"/>
      <w:szCs w:val="20"/>
    </w:rPr>
  </w:style>
  <w:style w:type="character" w:customStyle="1" w:styleId="EndnoteTextChar">
    <w:name w:val="Endnote Text Char"/>
    <w:basedOn w:val="DefaultParagraphFont"/>
    <w:link w:val="EndnoteText"/>
    <w:uiPriority w:val="99"/>
    <w:semiHidden/>
    <w:rsid w:val="00263E01"/>
    <w:rPr>
      <w:rFonts w:ascii="Calibri" w:eastAsia="Calibri" w:hAnsi="Calibri" w:cs="Calibri"/>
      <w:sz w:val="20"/>
      <w:szCs w:val="20"/>
      <w:lang w:bidi="en-US"/>
    </w:rPr>
  </w:style>
  <w:style w:type="character" w:styleId="EndnoteReference">
    <w:name w:val="endnote reference"/>
    <w:basedOn w:val="DefaultParagraphFont"/>
    <w:uiPriority w:val="99"/>
    <w:semiHidden/>
    <w:unhideWhenUsed/>
    <w:rsid w:val="00263E01"/>
    <w:rPr>
      <w:vertAlign w:val="superscript"/>
    </w:rPr>
  </w:style>
  <w:style w:type="character" w:styleId="Hyperlink">
    <w:name w:val="Hyperlink"/>
    <w:basedOn w:val="DefaultParagraphFont"/>
    <w:uiPriority w:val="99"/>
    <w:unhideWhenUsed/>
    <w:rsid w:val="00F66D8F"/>
    <w:rPr>
      <w:color w:val="0000FF" w:themeColor="hyperlink"/>
      <w:u w:val="single"/>
    </w:rPr>
  </w:style>
  <w:style w:type="paragraph" w:styleId="Header">
    <w:name w:val="header"/>
    <w:basedOn w:val="Normal"/>
    <w:link w:val="HeaderChar"/>
    <w:uiPriority w:val="99"/>
    <w:unhideWhenUsed/>
    <w:rsid w:val="000C5857"/>
    <w:pPr>
      <w:tabs>
        <w:tab w:val="center" w:pos="4680"/>
        <w:tab w:val="right" w:pos="9360"/>
      </w:tabs>
    </w:pPr>
  </w:style>
  <w:style w:type="character" w:customStyle="1" w:styleId="HeaderChar">
    <w:name w:val="Header Char"/>
    <w:basedOn w:val="DefaultParagraphFont"/>
    <w:link w:val="Header"/>
    <w:uiPriority w:val="99"/>
    <w:rsid w:val="000C5857"/>
    <w:rPr>
      <w:rFonts w:ascii="Calibri" w:eastAsia="Calibri" w:hAnsi="Calibri" w:cs="Calibri"/>
      <w:lang w:bidi="en-US"/>
    </w:rPr>
  </w:style>
  <w:style w:type="paragraph" w:styleId="Footer">
    <w:name w:val="footer"/>
    <w:basedOn w:val="Normal"/>
    <w:link w:val="FooterChar"/>
    <w:uiPriority w:val="99"/>
    <w:unhideWhenUsed/>
    <w:rsid w:val="000C5857"/>
    <w:pPr>
      <w:tabs>
        <w:tab w:val="center" w:pos="4680"/>
        <w:tab w:val="right" w:pos="9360"/>
      </w:tabs>
    </w:pPr>
  </w:style>
  <w:style w:type="character" w:customStyle="1" w:styleId="FooterChar">
    <w:name w:val="Footer Char"/>
    <w:basedOn w:val="DefaultParagraphFont"/>
    <w:link w:val="Footer"/>
    <w:uiPriority w:val="99"/>
    <w:rsid w:val="000C5857"/>
    <w:rPr>
      <w:rFonts w:ascii="Calibri" w:eastAsia="Calibri" w:hAnsi="Calibri" w:cs="Calibri"/>
      <w:lang w:bidi="en-US"/>
    </w:rPr>
  </w:style>
  <w:style w:type="paragraph" w:styleId="PlainText">
    <w:name w:val="Plain Text"/>
    <w:basedOn w:val="Normal"/>
    <w:link w:val="PlainTextChar"/>
    <w:uiPriority w:val="99"/>
    <w:unhideWhenUsed/>
    <w:rsid w:val="0057325B"/>
    <w:pPr>
      <w:widowControl/>
      <w:autoSpaceDE/>
      <w:autoSpaceDN/>
    </w:pPr>
    <w:rPr>
      <w:rFonts w:eastAsiaTheme="minorHAnsi"/>
      <w:lang w:bidi="ar-SA"/>
    </w:rPr>
  </w:style>
  <w:style w:type="character" w:customStyle="1" w:styleId="PlainTextChar">
    <w:name w:val="Plain Text Char"/>
    <w:basedOn w:val="DefaultParagraphFont"/>
    <w:link w:val="PlainText"/>
    <w:uiPriority w:val="99"/>
    <w:rsid w:val="0057325B"/>
    <w:rPr>
      <w:rFonts w:ascii="Calibri" w:hAnsi="Calibri" w:cs="Calibri"/>
    </w:rPr>
  </w:style>
  <w:style w:type="paragraph" w:styleId="NormalWeb">
    <w:name w:val="Normal (Web)"/>
    <w:basedOn w:val="Normal"/>
    <w:uiPriority w:val="99"/>
    <w:semiHidden/>
    <w:unhideWhenUsed/>
    <w:rsid w:val="008F087C"/>
    <w:pPr>
      <w:widowControl/>
      <w:autoSpaceDE/>
      <w:autoSpaceDN/>
    </w:pPr>
    <w:rPr>
      <w:rFonts w:eastAsiaTheme="minorHAnsi"/>
      <w:lang w:bidi="ar-SA"/>
    </w:rPr>
  </w:style>
  <w:style w:type="table" w:customStyle="1" w:styleId="TableGrid1">
    <w:name w:val="Table Grid1"/>
    <w:basedOn w:val="TableNormal"/>
    <w:next w:val="TableGrid"/>
    <w:uiPriority w:val="39"/>
    <w:rsid w:val="00C0347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semiHidden/>
    <w:unhideWhenUsed/>
    <w:rsid w:val="00C0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D40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18839">
      <w:bodyDiv w:val="1"/>
      <w:marLeft w:val="0"/>
      <w:marRight w:val="0"/>
      <w:marTop w:val="0"/>
      <w:marBottom w:val="0"/>
      <w:divBdr>
        <w:top w:val="none" w:sz="0" w:space="0" w:color="auto"/>
        <w:left w:val="none" w:sz="0" w:space="0" w:color="auto"/>
        <w:bottom w:val="none" w:sz="0" w:space="0" w:color="auto"/>
        <w:right w:val="none" w:sz="0" w:space="0" w:color="auto"/>
      </w:divBdr>
    </w:div>
    <w:div w:id="193008172">
      <w:bodyDiv w:val="1"/>
      <w:marLeft w:val="0"/>
      <w:marRight w:val="0"/>
      <w:marTop w:val="0"/>
      <w:marBottom w:val="0"/>
      <w:divBdr>
        <w:top w:val="none" w:sz="0" w:space="0" w:color="auto"/>
        <w:left w:val="none" w:sz="0" w:space="0" w:color="auto"/>
        <w:bottom w:val="none" w:sz="0" w:space="0" w:color="auto"/>
        <w:right w:val="none" w:sz="0" w:space="0" w:color="auto"/>
      </w:divBdr>
    </w:div>
    <w:div w:id="237983839">
      <w:bodyDiv w:val="1"/>
      <w:marLeft w:val="0"/>
      <w:marRight w:val="0"/>
      <w:marTop w:val="0"/>
      <w:marBottom w:val="0"/>
      <w:divBdr>
        <w:top w:val="none" w:sz="0" w:space="0" w:color="auto"/>
        <w:left w:val="none" w:sz="0" w:space="0" w:color="auto"/>
        <w:bottom w:val="none" w:sz="0" w:space="0" w:color="auto"/>
        <w:right w:val="none" w:sz="0" w:space="0" w:color="auto"/>
      </w:divBdr>
    </w:div>
    <w:div w:id="624432362">
      <w:bodyDiv w:val="1"/>
      <w:marLeft w:val="0"/>
      <w:marRight w:val="0"/>
      <w:marTop w:val="0"/>
      <w:marBottom w:val="0"/>
      <w:divBdr>
        <w:top w:val="none" w:sz="0" w:space="0" w:color="auto"/>
        <w:left w:val="none" w:sz="0" w:space="0" w:color="auto"/>
        <w:bottom w:val="none" w:sz="0" w:space="0" w:color="auto"/>
        <w:right w:val="none" w:sz="0" w:space="0" w:color="auto"/>
      </w:divBdr>
    </w:div>
    <w:div w:id="651297556">
      <w:bodyDiv w:val="1"/>
      <w:marLeft w:val="0"/>
      <w:marRight w:val="0"/>
      <w:marTop w:val="0"/>
      <w:marBottom w:val="0"/>
      <w:divBdr>
        <w:top w:val="none" w:sz="0" w:space="0" w:color="auto"/>
        <w:left w:val="none" w:sz="0" w:space="0" w:color="auto"/>
        <w:bottom w:val="none" w:sz="0" w:space="0" w:color="auto"/>
        <w:right w:val="none" w:sz="0" w:space="0" w:color="auto"/>
      </w:divBdr>
    </w:div>
    <w:div w:id="778840131">
      <w:bodyDiv w:val="1"/>
      <w:marLeft w:val="0"/>
      <w:marRight w:val="0"/>
      <w:marTop w:val="0"/>
      <w:marBottom w:val="0"/>
      <w:divBdr>
        <w:top w:val="none" w:sz="0" w:space="0" w:color="auto"/>
        <w:left w:val="none" w:sz="0" w:space="0" w:color="auto"/>
        <w:bottom w:val="none" w:sz="0" w:space="0" w:color="auto"/>
        <w:right w:val="none" w:sz="0" w:space="0" w:color="auto"/>
      </w:divBdr>
    </w:div>
    <w:div w:id="815803569">
      <w:bodyDiv w:val="1"/>
      <w:marLeft w:val="0"/>
      <w:marRight w:val="0"/>
      <w:marTop w:val="0"/>
      <w:marBottom w:val="0"/>
      <w:divBdr>
        <w:top w:val="none" w:sz="0" w:space="0" w:color="auto"/>
        <w:left w:val="none" w:sz="0" w:space="0" w:color="auto"/>
        <w:bottom w:val="none" w:sz="0" w:space="0" w:color="auto"/>
        <w:right w:val="none" w:sz="0" w:space="0" w:color="auto"/>
      </w:divBdr>
    </w:div>
    <w:div w:id="931550479">
      <w:bodyDiv w:val="1"/>
      <w:marLeft w:val="0"/>
      <w:marRight w:val="0"/>
      <w:marTop w:val="0"/>
      <w:marBottom w:val="0"/>
      <w:divBdr>
        <w:top w:val="none" w:sz="0" w:space="0" w:color="auto"/>
        <w:left w:val="none" w:sz="0" w:space="0" w:color="auto"/>
        <w:bottom w:val="none" w:sz="0" w:space="0" w:color="auto"/>
        <w:right w:val="none" w:sz="0" w:space="0" w:color="auto"/>
      </w:divBdr>
    </w:div>
    <w:div w:id="987440889">
      <w:bodyDiv w:val="1"/>
      <w:marLeft w:val="0"/>
      <w:marRight w:val="0"/>
      <w:marTop w:val="0"/>
      <w:marBottom w:val="0"/>
      <w:divBdr>
        <w:top w:val="none" w:sz="0" w:space="0" w:color="auto"/>
        <w:left w:val="none" w:sz="0" w:space="0" w:color="auto"/>
        <w:bottom w:val="none" w:sz="0" w:space="0" w:color="auto"/>
        <w:right w:val="none" w:sz="0" w:space="0" w:color="auto"/>
      </w:divBdr>
    </w:div>
    <w:div w:id="1125153590">
      <w:bodyDiv w:val="1"/>
      <w:marLeft w:val="0"/>
      <w:marRight w:val="0"/>
      <w:marTop w:val="0"/>
      <w:marBottom w:val="0"/>
      <w:divBdr>
        <w:top w:val="none" w:sz="0" w:space="0" w:color="auto"/>
        <w:left w:val="none" w:sz="0" w:space="0" w:color="auto"/>
        <w:bottom w:val="none" w:sz="0" w:space="0" w:color="auto"/>
        <w:right w:val="none" w:sz="0" w:space="0" w:color="auto"/>
      </w:divBdr>
    </w:div>
    <w:div w:id="1307275401">
      <w:bodyDiv w:val="1"/>
      <w:marLeft w:val="0"/>
      <w:marRight w:val="0"/>
      <w:marTop w:val="0"/>
      <w:marBottom w:val="0"/>
      <w:divBdr>
        <w:top w:val="none" w:sz="0" w:space="0" w:color="auto"/>
        <w:left w:val="none" w:sz="0" w:space="0" w:color="auto"/>
        <w:bottom w:val="none" w:sz="0" w:space="0" w:color="auto"/>
        <w:right w:val="none" w:sz="0" w:space="0" w:color="auto"/>
      </w:divBdr>
    </w:div>
    <w:div w:id="1573345631">
      <w:bodyDiv w:val="1"/>
      <w:marLeft w:val="0"/>
      <w:marRight w:val="0"/>
      <w:marTop w:val="0"/>
      <w:marBottom w:val="0"/>
      <w:divBdr>
        <w:top w:val="none" w:sz="0" w:space="0" w:color="auto"/>
        <w:left w:val="none" w:sz="0" w:space="0" w:color="auto"/>
        <w:bottom w:val="none" w:sz="0" w:space="0" w:color="auto"/>
        <w:right w:val="none" w:sz="0" w:space="0" w:color="auto"/>
      </w:divBdr>
    </w:div>
    <w:div w:id="1817333049">
      <w:bodyDiv w:val="1"/>
      <w:marLeft w:val="0"/>
      <w:marRight w:val="0"/>
      <w:marTop w:val="0"/>
      <w:marBottom w:val="0"/>
      <w:divBdr>
        <w:top w:val="none" w:sz="0" w:space="0" w:color="auto"/>
        <w:left w:val="none" w:sz="0" w:space="0" w:color="auto"/>
        <w:bottom w:val="none" w:sz="0" w:space="0" w:color="auto"/>
        <w:right w:val="none" w:sz="0" w:space="0" w:color="auto"/>
      </w:divBdr>
    </w:div>
    <w:div w:id="1974434145">
      <w:bodyDiv w:val="1"/>
      <w:marLeft w:val="0"/>
      <w:marRight w:val="0"/>
      <w:marTop w:val="0"/>
      <w:marBottom w:val="0"/>
      <w:divBdr>
        <w:top w:val="none" w:sz="0" w:space="0" w:color="auto"/>
        <w:left w:val="none" w:sz="0" w:space="0" w:color="auto"/>
        <w:bottom w:val="none" w:sz="0" w:space="0" w:color="auto"/>
        <w:right w:val="none" w:sz="0" w:space="0" w:color="auto"/>
      </w:divBdr>
    </w:div>
    <w:div w:id="1981109621">
      <w:bodyDiv w:val="1"/>
      <w:marLeft w:val="0"/>
      <w:marRight w:val="0"/>
      <w:marTop w:val="0"/>
      <w:marBottom w:val="0"/>
      <w:divBdr>
        <w:top w:val="none" w:sz="0" w:space="0" w:color="auto"/>
        <w:left w:val="none" w:sz="0" w:space="0" w:color="auto"/>
        <w:bottom w:val="none" w:sz="0" w:space="0" w:color="auto"/>
        <w:right w:val="none" w:sz="0" w:space="0" w:color="auto"/>
      </w:divBdr>
    </w:div>
    <w:div w:id="2030913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www.cnbc.com/diana-olick/" TargetMode="External"/><Relationship Id="rId2" Type="http://schemas.openxmlformats.org/officeDocument/2006/relationships/hyperlink" Target="https://ccorpinsights.com/domestic-materials/" TargetMode="External"/><Relationship Id="rId1" Type="http://schemas.openxmlformats.org/officeDocument/2006/relationships/hyperlink" Target="https://www.cato.org/blog/how-us-trade-policy-contributes-our-insane-construction-materials-costs" TargetMode="External"/><Relationship Id="rId6" Type="http://schemas.openxmlformats.org/officeDocument/2006/relationships/hyperlink" Target="https://www.constructionexec.com/article/the-insurance-market-what-contractors-can-expect-in-2021" TargetMode="External"/><Relationship Id="rId5" Type="http://schemas.openxmlformats.org/officeDocument/2006/relationships/hyperlink" Target="https://www.lapptannehill.com/news/post/why-are-prices-skyrocketing-in-wire-and-cable-products" TargetMode="External"/><Relationship Id="rId4" Type="http://schemas.openxmlformats.org/officeDocument/2006/relationships/hyperlink" Target="https://www.cnbc.com/2021/02/10/lumber-prices-skyrocket-pushing-up-housing-cos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A5503-3966-4EC3-B458-E7EEA1AF4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3497</Words>
  <Characters>19938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Villaruz, Darrell (DPH)</dc:creator>
  <cp:lastModifiedBy>Cioffari-Macphee, Diana (DPH)</cp:lastModifiedBy>
  <cp:revision>18</cp:revision>
  <dcterms:created xsi:type="dcterms:W3CDTF">2021-08-09T16:38:00Z</dcterms:created>
  <dcterms:modified xsi:type="dcterms:W3CDTF">2021-08-09T19:47:00Z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2018-11-07T00:00:00Z</vt:filetime>
  </property>
  <property fmtid="{D5CDD505-2E9C-101B-9397-08002B2CF9AE}" pid="3" name="Creator">
    <vt:lpwstr>Acrobat PDFMaker 15 for Word</vt:lpwstr>
  </property>
  <property fmtid="{D5CDD505-2E9C-101B-9397-08002B2CF9AE}" pid="4" name="LastSaved">
    <vt:filetime>2020-07-15T00:00:00Z</vt:filetime>
  </property>
  <property fmtid="{D5CDD505-2E9C-101B-9397-08002B2CF9AE}" pid="5" name="_MarkAsFinal">
    <vt:bool>true</vt:bool>
  </property>
</Properties>
</file>