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2B13" w14:textId="536CFDF9" w:rsidR="00767A1D" w:rsidRPr="003D2ECC" w:rsidRDefault="003F086A" w:rsidP="00DD6F7E">
      <w:pPr>
        <w:pStyle w:val="Heading1"/>
        <w:jc w:val="center"/>
        <w:rPr>
          <w:sz w:val="28"/>
          <w:szCs w:val="28"/>
        </w:rPr>
      </w:pPr>
      <w:r>
        <w:rPr>
          <w:sz w:val="28"/>
          <w:szCs w:val="28"/>
        </w:rPr>
        <w:t xml:space="preserve"> </w:t>
      </w:r>
      <w:r w:rsidR="00910D52" w:rsidRPr="7A628F98">
        <w:rPr>
          <w:sz w:val="28"/>
          <w:szCs w:val="28"/>
        </w:rPr>
        <w:t>Memorandum to the</w:t>
      </w:r>
      <w:r w:rsidR="00DD6F7E" w:rsidRPr="7A628F98">
        <w:rPr>
          <w:sz w:val="28"/>
          <w:szCs w:val="28"/>
        </w:rPr>
        <w:t xml:space="preserve"> Public Health Council</w:t>
      </w:r>
    </w:p>
    <w:p w14:paraId="6EBD4680" w14:textId="77777777" w:rsidR="00767A1D" w:rsidRPr="0072634D" w:rsidRDefault="00767A1D">
      <w:pPr>
        <w:pStyle w:val="BodyText"/>
        <w:spacing w:before="11"/>
        <w:rPr>
          <w:b/>
          <w:sz w:val="23"/>
        </w:rPr>
      </w:pPr>
    </w:p>
    <w:p w14:paraId="3605F564" w14:textId="789A0C53" w:rsidR="00B24CD6" w:rsidRPr="0072634D" w:rsidRDefault="00044DC4" w:rsidP="00882AEE">
      <w:pPr>
        <w:rPr>
          <w:bCs/>
          <w:sz w:val="24"/>
        </w:rPr>
      </w:pPr>
      <w:r w:rsidRPr="0072634D">
        <w:rPr>
          <w:b/>
          <w:sz w:val="24"/>
        </w:rPr>
        <w:t>APPLICANT:</w:t>
      </w:r>
      <w:r w:rsidR="00CF0E8F" w:rsidRPr="0072634D">
        <w:rPr>
          <w:b/>
          <w:sz w:val="24"/>
        </w:rPr>
        <w:t xml:space="preserve">  </w:t>
      </w:r>
      <w:r w:rsidR="00CF0E8F" w:rsidRPr="0072634D">
        <w:rPr>
          <w:bCs/>
          <w:sz w:val="24"/>
        </w:rPr>
        <w:t>Mass General Brigham Incorporated</w:t>
      </w:r>
    </w:p>
    <w:p w14:paraId="48D7B93F" w14:textId="07C72AB3" w:rsidR="00CF0E8F" w:rsidRPr="0072634D" w:rsidRDefault="00CF0E8F" w:rsidP="00882AEE">
      <w:pPr>
        <w:rPr>
          <w:bCs/>
          <w:sz w:val="24"/>
        </w:rPr>
      </w:pPr>
      <w:r w:rsidRPr="0072634D">
        <w:rPr>
          <w:bCs/>
          <w:sz w:val="24"/>
        </w:rPr>
        <w:tab/>
      </w:r>
      <w:r w:rsidR="00C529B3" w:rsidRPr="0072634D">
        <w:rPr>
          <w:bCs/>
          <w:sz w:val="24"/>
        </w:rPr>
        <w:t xml:space="preserve">          </w:t>
      </w:r>
      <w:r w:rsidRPr="0072634D">
        <w:rPr>
          <w:bCs/>
          <w:sz w:val="24"/>
        </w:rPr>
        <w:t>800 Boylston St, Suite 1150</w:t>
      </w:r>
    </w:p>
    <w:p w14:paraId="45F7E027" w14:textId="20FB81E7" w:rsidR="00CF0E8F" w:rsidRPr="0072634D" w:rsidRDefault="00CF0E8F" w:rsidP="00882AEE">
      <w:pPr>
        <w:rPr>
          <w:bCs/>
          <w:sz w:val="24"/>
        </w:rPr>
      </w:pPr>
      <w:r w:rsidRPr="0072634D">
        <w:rPr>
          <w:bCs/>
          <w:sz w:val="24"/>
        </w:rPr>
        <w:tab/>
      </w:r>
      <w:r w:rsidR="00C529B3" w:rsidRPr="0072634D">
        <w:rPr>
          <w:bCs/>
          <w:sz w:val="24"/>
        </w:rPr>
        <w:t xml:space="preserve">          </w:t>
      </w:r>
      <w:r w:rsidRPr="0072634D">
        <w:rPr>
          <w:bCs/>
          <w:sz w:val="24"/>
        </w:rPr>
        <w:t>Boston, MA 02199</w:t>
      </w:r>
    </w:p>
    <w:p w14:paraId="1D3902C5" w14:textId="77777777" w:rsidR="00CF0E8F" w:rsidRPr="003D2ECC" w:rsidRDefault="00CF0E8F" w:rsidP="00882AEE">
      <w:pPr>
        <w:rPr>
          <w:bCs/>
          <w:sz w:val="24"/>
          <w:highlight w:val="yellow"/>
        </w:rPr>
      </w:pPr>
    </w:p>
    <w:p w14:paraId="5569EB0C" w14:textId="0C024CE1" w:rsidR="00CF0E8F" w:rsidRPr="001D52E8" w:rsidRDefault="00C6739C" w:rsidP="00882AEE">
      <w:pPr>
        <w:rPr>
          <w:bCs/>
          <w:sz w:val="24"/>
        </w:rPr>
      </w:pPr>
      <w:r w:rsidRPr="001D52E8">
        <w:rPr>
          <w:b/>
          <w:sz w:val="24"/>
        </w:rPr>
        <w:t>SITE</w:t>
      </w:r>
      <w:r w:rsidR="00CF0E8F" w:rsidRPr="001D52E8">
        <w:rPr>
          <w:b/>
          <w:sz w:val="24"/>
        </w:rPr>
        <w:t xml:space="preserve">: </w:t>
      </w:r>
      <w:r w:rsidR="00CF0E8F" w:rsidRPr="001D52E8">
        <w:rPr>
          <w:bCs/>
          <w:sz w:val="24"/>
        </w:rPr>
        <w:t xml:space="preserve"> </w:t>
      </w:r>
      <w:r w:rsidR="00C55C3C" w:rsidRPr="001D52E8">
        <w:rPr>
          <w:bCs/>
          <w:sz w:val="24"/>
        </w:rPr>
        <w:t>Mass General Waltham</w:t>
      </w:r>
    </w:p>
    <w:p w14:paraId="140F58C1" w14:textId="7C81C0BE" w:rsidR="00CF0E8F" w:rsidRPr="001D52E8" w:rsidRDefault="00712F8C" w:rsidP="00882AEE">
      <w:pPr>
        <w:ind w:left="440"/>
        <w:rPr>
          <w:bCs/>
          <w:sz w:val="24"/>
        </w:rPr>
      </w:pPr>
      <w:r w:rsidRPr="001D52E8">
        <w:rPr>
          <w:bCs/>
          <w:sz w:val="24"/>
        </w:rPr>
        <w:t xml:space="preserve">   </w:t>
      </w:r>
      <w:r w:rsidR="001D52E8" w:rsidRPr="001D52E8">
        <w:rPr>
          <w:bCs/>
          <w:sz w:val="24"/>
        </w:rPr>
        <w:t>52 Second Ave</w:t>
      </w:r>
    </w:p>
    <w:p w14:paraId="2823DE97" w14:textId="35BFD559" w:rsidR="00CF0E8F" w:rsidRPr="001D52E8" w:rsidRDefault="001D52E8" w:rsidP="00882AEE">
      <w:pPr>
        <w:ind w:left="580"/>
        <w:rPr>
          <w:bCs/>
          <w:sz w:val="24"/>
        </w:rPr>
      </w:pPr>
      <w:r w:rsidRPr="001D52E8">
        <w:rPr>
          <w:bCs/>
          <w:sz w:val="24"/>
        </w:rPr>
        <w:t>Waltham,</w:t>
      </w:r>
      <w:r w:rsidR="00CF0E8F" w:rsidRPr="001D52E8">
        <w:rPr>
          <w:bCs/>
          <w:sz w:val="24"/>
        </w:rPr>
        <w:t xml:space="preserve"> MA 0</w:t>
      </w:r>
      <w:r w:rsidRPr="001D52E8">
        <w:rPr>
          <w:bCs/>
          <w:sz w:val="24"/>
        </w:rPr>
        <w:t>2451</w:t>
      </w:r>
    </w:p>
    <w:p w14:paraId="34B689E4" w14:textId="1305336E" w:rsidR="00677E5C" w:rsidRPr="002850F8" w:rsidRDefault="001D1C01" w:rsidP="00882AEE">
      <w:pPr>
        <w:ind w:left="1440"/>
        <w:rPr>
          <w:sz w:val="24"/>
        </w:rPr>
      </w:pPr>
      <w:r w:rsidRPr="002850F8">
        <w:rPr>
          <w:sz w:val="24"/>
        </w:rPr>
        <w:t xml:space="preserve"> </w:t>
      </w:r>
    </w:p>
    <w:p w14:paraId="43E7402F" w14:textId="328F7D62" w:rsidR="0058507E" w:rsidRPr="002850F8" w:rsidRDefault="00910D52" w:rsidP="00882AEE">
      <w:pPr>
        <w:rPr>
          <w:b/>
          <w:sz w:val="24"/>
        </w:rPr>
      </w:pPr>
      <w:r w:rsidRPr="002850F8">
        <w:rPr>
          <w:b/>
          <w:sz w:val="24"/>
        </w:rPr>
        <w:t xml:space="preserve">PROJECT NUMBER: </w:t>
      </w:r>
      <w:r w:rsidR="00C529B3" w:rsidRPr="002850F8">
        <w:rPr>
          <w:b/>
          <w:sz w:val="24"/>
        </w:rPr>
        <w:t xml:space="preserve"> </w:t>
      </w:r>
      <w:r w:rsidR="0049059E" w:rsidRPr="002850F8">
        <w:rPr>
          <w:bCs/>
          <w:sz w:val="24"/>
        </w:rPr>
        <w:t>#</w:t>
      </w:r>
      <w:r w:rsidR="002850F8" w:rsidRPr="002850F8">
        <w:rPr>
          <w:bCs/>
          <w:sz w:val="24"/>
        </w:rPr>
        <w:t xml:space="preserve">PHS-18022210-HE </w:t>
      </w:r>
      <w:r w:rsidR="00B410D2" w:rsidRPr="002850F8">
        <w:rPr>
          <w:bCs/>
          <w:sz w:val="24"/>
        </w:rPr>
        <w:t>(Original)</w:t>
      </w:r>
    </w:p>
    <w:p w14:paraId="0AF44B85" w14:textId="2E835245" w:rsidR="00114BB7" w:rsidRPr="00040266" w:rsidRDefault="00C529B3" w:rsidP="00C529B3">
      <w:pPr>
        <w:rPr>
          <w:sz w:val="24"/>
        </w:rPr>
      </w:pPr>
      <w:r w:rsidRPr="00040266">
        <w:rPr>
          <w:sz w:val="24"/>
        </w:rPr>
        <w:t xml:space="preserve">                                     </w:t>
      </w:r>
      <w:r w:rsidR="00B24CD6" w:rsidRPr="00040266">
        <w:rPr>
          <w:sz w:val="24"/>
        </w:rPr>
        <w:t>#</w:t>
      </w:r>
      <w:r w:rsidR="00040266" w:rsidRPr="00040266">
        <w:rPr>
          <w:sz w:val="24"/>
        </w:rPr>
        <w:t xml:space="preserve">MGB-23120412-AM </w:t>
      </w:r>
      <w:r w:rsidR="00B410D2" w:rsidRPr="00040266">
        <w:rPr>
          <w:sz w:val="24"/>
        </w:rPr>
        <w:t>(Amendment)</w:t>
      </w:r>
    </w:p>
    <w:p w14:paraId="13941CD6" w14:textId="66A266AC" w:rsidR="00767A1D" w:rsidRPr="00040266" w:rsidRDefault="00B558EB" w:rsidP="00882AEE">
      <w:pPr>
        <w:ind w:left="720"/>
        <w:rPr>
          <w:sz w:val="23"/>
        </w:rPr>
      </w:pPr>
      <w:r w:rsidRPr="00040266">
        <w:rPr>
          <w:sz w:val="23"/>
        </w:rPr>
        <w:t xml:space="preserve"> </w:t>
      </w:r>
    </w:p>
    <w:p w14:paraId="3F191A26" w14:textId="65114E9A" w:rsidR="00767A1D" w:rsidRPr="003D2ECC" w:rsidRDefault="00C6739C" w:rsidP="00882AEE">
      <w:pPr>
        <w:spacing w:before="1"/>
        <w:rPr>
          <w:sz w:val="24"/>
          <w:highlight w:val="yellow"/>
        </w:rPr>
      </w:pPr>
      <w:r w:rsidRPr="003D2ECC">
        <w:rPr>
          <w:b/>
          <w:sz w:val="24"/>
        </w:rPr>
        <w:t xml:space="preserve">FILING </w:t>
      </w:r>
      <w:r w:rsidRPr="0099284F">
        <w:rPr>
          <w:b/>
          <w:sz w:val="24"/>
        </w:rPr>
        <w:t>DATE</w:t>
      </w:r>
      <w:r w:rsidR="00910D52" w:rsidRPr="0099284F">
        <w:rPr>
          <w:b/>
          <w:sz w:val="24"/>
        </w:rPr>
        <w:t>:</w:t>
      </w:r>
      <w:r w:rsidR="004F1A1A" w:rsidRPr="0099284F">
        <w:rPr>
          <w:sz w:val="24"/>
        </w:rPr>
        <w:t xml:space="preserve"> </w:t>
      </w:r>
      <w:r w:rsidR="0099284F" w:rsidRPr="0099284F">
        <w:rPr>
          <w:sz w:val="24"/>
        </w:rPr>
        <w:t>January 16, 2024</w:t>
      </w:r>
    </w:p>
    <w:p w14:paraId="389E70A5" w14:textId="7A0FF417" w:rsidR="000C02D1" w:rsidRPr="003D2ECC" w:rsidRDefault="000C02D1" w:rsidP="00882AEE">
      <w:pPr>
        <w:pStyle w:val="Heading1"/>
        <w:spacing w:before="1"/>
        <w:rPr>
          <w:highlight w:val="yellow"/>
        </w:rPr>
      </w:pPr>
    </w:p>
    <w:p w14:paraId="4564AB4B" w14:textId="2DC88AD9" w:rsidR="00C6739C" w:rsidRPr="002E2D0D" w:rsidRDefault="00910D52" w:rsidP="002E2D0D">
      <w:pPr>
        <w:pStyle w:val="Heading1"/>
        <w:ind w:left="0"/>
      </w:pPr>
      <w:r w:rsidRPr="003D2ECC">
        <w:t>Introduction</w:t>
      </w:r>
    </w:p>
    <w:p w14:paraId="119801C0" w14:textId="390FBC2D" w:rsidR="001B5FDF" w:rsidRPr="003D2ECC" w:rsidRDefault="00910D52" w:rsidP="7A628F98">
      <w:pPr>
        <w:ind w:right="-10"/>
        <w:rPr>
          <w:sz w:val="24"/>
          <w:szCs w:val="24"/>
          <w:highlight w:val="yellow"/>
        </w:rPr>
      </w:pPr>
      <w:r w:rsidRPr="7A628F98">
        <w:rPr>
          <w:sz w:val="24"/>
          <w:szCs w:val="24"/>
        </w:rPr>
        <w:t xml:space="preserve">This memorandum presents, for </w:t>
      </w:r>
      <w:r w:rsidR="00446C8D" w:rsidRPr="7A628F98">
        <w:rPr>
          <w:sz w:val="24"/>
          <w:szCs w:val="24"/>
        </w:rPr>
        <w:t>Public Health Council (PHC) action</w:t>
      </w:r>
      <w:r w:rsidRPr="7A628F98">
        <w:rPr>
          <w:sz w:val="24"/>
          <w:szCs w:val="24"/>
        </w:rPr>
        <w:t xml:space="preserve">, the Determination of Need (DoN) Program’s recommendation </w:t>
      </w:r>
      <w:r w:rsidR="007D3554" w:rsidRPr="7A628F98">
        <w:rPr>
          <w:sz w:val="24"/>
          <w:szCs w:val="24"/>
        </w:rPr>
        <w:t xml:space="preserve">pertaining to </w:t>
      </w:r>
      <w:r w:rsidRPr="7A628F98">
        <w:rPr>
          <w:sz w:val="24"/>
          <w:szCs w:val="24"/>
        </w:rPr>
        <w:t>a request b</w:t>
      </w:r>
      <w:r w:rsidR="00B24CD6" w:rsidRPr="7A628F98">
        <w:rPr>
          <w:sz w:val="24"/>
          <w:szCs w:val="24"/>
        </w:rPr>
        <w:t>y Mass General Brigham</w:t>
      </w:r>
      <w:r w:rsidRPr="7A628F98">
        <w:rPr>
          <w:sz w:val="24"/>
          <w:szCs w:val="24"/>
        </w:rPr>
        <w:t>,</w:t>
      </w:r>
      <w:r w:rsidR="0003662E" w:rsidRPr="7A628F98">
        <w:rPr>
          <w:sz w:val="24"/>
          <w:szCs w:val="24"/>
        </w:rPr>
        <w:t xml:space="preserve"> Inc.</w:t>
      </w:r>
      <w:r w:rsidRPr="7A628F98">
        <w:rPr>
          <w:sz w:val="24"/>
          <w:szCs w:val="24"/>
        </w:rPr>
        <w:t xml:space="preserve"> for </w:t>
      </w:r>
      <w:bookmarkStart w:id="0" w:name="_Hlk113451028"/>
      <w:r w:rsidRPr="7A628F98">
        <w:rPr>
          <w:sz w:val="24"/>
          <w:szCs w:val="24"/>
        </w:rPr>
        <w:t xml:space="preserve">a Significant Change </w:t>
      </w:r>
      <w:r w:rsidR="006E241A" w:rsidRPr="7A628F98">
        <w:rPr>
          <w:sz w:val="24"/>
          <w:szCs w:val="24"/>
        </w:rPr>
        <w:t>to</w:t>
      </w:r>
      <w:r w:rsidR="00B24CD6" w:rsidRPr="7A628F98">
        <w:rPr>
          <w:sz w:val="24"/>
          <w:szCs w:val="24"/>
        </w:rPr>
        <w:t xml:space="preserve"> </w:t>
      </w:r>
      <w:r w:rsidR="00E35791" w:rsidRPr="7A628F98">
        <w:rPr>
          <w:sz w:val="24"/>
          <w:szCs w:val="24"/>
        </w:rPr>
        <w:t>Mass General Waltham</w:t>
      </w:r>
      <w:r w:rsidR="00B24CD6" w:rsidRPr="7A628F98">
        <w:rPr>
          <w:sz w:val="24"/>
          <w:szCs w:val="24"/>
        </w:rPr>
        <w:t xml:space="preserve"> </w:t>
      </w:r>
      <w:r w:rsidR="007C4D49" w:rsidRPr="7A628F98">
        <w:rPr>
          <w:sz w:val="24"/>
          <w:szCs w:val="24"/>
        </w:rPr>
        <w:t>(</w:t>
      </w:r>
      <w:r w:rsidRPr="7A628F98">
        <w:rPr>
          <w:sz w:val="24"/>
          <w:szCs w:val="24"/>
        </w:rPr>
        <w:t>DoN</w:t>
      </w:r>
      <w:r w:rsidR="007C4D49" w:rsidRPr="7A628F98">
        <w:rPr>
          <w:sz w:val="24"/>
          <w:szCs w:val="24"/>
        </w:rPr>
        <w:t xml:space="preserve"> </w:t>
      </w:r>
      <w:r w:rsidR="00C612A0" w:rsidRPr="7A628F98">
        <w:rPr>
          <w:sz w:val="24"/>
          <w:szCs w:val="24"/>
        </w:rPr>
        <w:t>#PHS-18022210-HE</w:t>
      </w:r>
      <w:r w:rsidR="007C4D49" w:rsidRPr="7A628F98">
        <w:rPr>
          <w:sz w:val="24"/>
          <w:szCs w:val="24"/>
        </w:rPr>
        <w:t xml:space="preserve">) </w:t>
      </w:r>
      <w:r w:rsidR="00B24CD6" w:rsidRPr="7A628F98">
        <w:rPr>
          <w:sz w:val="24"/>
          <w:szCs w:val="24"/>
        </w:rPr>
        <w:t>to build</w:t>
      </w:r>
      <w:r w:rsidR="007C4D49" w:rsidRPr="7A628F98">
        <w:rPr>
          <w:sz w:val="24"/>
          <w:szCs w:val="24"/>
        </w:rPr>
        <w:t xml:space="preserve"> out</w:t>
      </w:r>
      <w:r w:rsidR="00B24CD6" w:rsidRPr="7A628F98">
        <w:rPr>
          <w:sz w:val="24"/>
          <w:szCs w:val="24"/>
        </w:rPr>
        <w:t xml:space="preserve"> </w:t>
      </w:r>
      <w:r w:rsidR="00A71F60" w:rsidRPr="7A628F98">
        <w:rPr>
          <w:sz w:val="24"/>
          <w:szCs w:val="24"/>
        </w:rPr>
        <w:t>9,881</w:t>
      </w:r>
      <w:r w:rsidR="000E0CBF" w:rsidRPr="7A628F98">
        <w:rPr>
          <w:sz w:val="24"/>
          <w:szCs w:val="24"/>
        </w:rPr>
        <w:t xml:space="preserve"> gross square feet (GSF) of </w:t>
      </w:r>
      <w:r w:rsidR="007C4D49" w:rsidRPr="7A628F98">
        <w:rPr>
          <w:sz w:val="24"/>
          <w:szCs w:val="24"/>
        </w:rPr>
        <w:t xml:space="preserve">approved </w:t>
      </w:r>
      <w:r w:rsidR="00B24CD6" w:rsidRPr="7A628F98">
        <w:rPr>
          <w:sz w:val="24"/>
          <w:szCs w:val="24"/>
        </w:rPr>
        <w:t>shell space</w:t>
      </w:r>
      <w:r w:rsidR="007C4D49" w:rsidRPr="7A628F98">
        <w:rPr>
          <w:sz w:val="24"/>
          <w:szCs w:val="24"/>
        </w:rPr>
        <w:t>.</w:t>
      </w:r>
      <w:r w:rsidR="0009598C" w:rsidRPr="7A628F98">
        <w:rPr>
          <w:sz w:val="24"/>
          <w:szCs w:val="24"/>
        </w:rPr>
        <w:t xml:space="preserve"> As described further herein</w:t>
      </w:r>
      <w:bookmarkStart w:id="1" w:name="_Hlk113452671"/>
      <w:r w:rsidR="0009598C" w:rsidRPr="7A628F98">
        <w:rPr>
          <w:sz w:val="24"/>
          <w:szCs w:val="24"/>
        </w:rPr>
        <w:t xml:space="preserve">, the Applicant seeks approval </w:t>
      </w:r>
      <w:r w:rsidR="00C11C29" w:rsidRPr="7A628F98">
        <w:rPr>
          <w:sz w:val="24"/>
          <w:szCs w:val="24"/>
        </w:rPr>
        <w:t xml:space="preserve">to add three </w:t>
      </w:r>
      <w:r w:rsidR="002B4231" w:rsidRPr="7A628F98">
        <w:rPr>
          <w:sz w:val="24"/>
          <w:szCs w:val="24"/>
        </w:rPr>
        <w:t xml:space="preserve">outpatient </w:t>
      </w:r>
      <w:r w:rsidR="00C11C29" w:rsidRPr="7A628F98">
        <w:rPr>
          <w:sz w:val="24"/>
          <w:szCs w:val="24"/>
        </w:rPr>
        <w:t xml:space="preserve">operating rooms (OR) and </w:t>
      </w:r>
      <w:r w:rsidR="00C823A7" w:rsidRPr="7A628F98">
        <w:rPr>
          <w:sz w:val="24"/>
          <w:szCs w:val="24"/>
        </w:rPr>
        <w:t>eleven peri</w:t>
      </w:r>
      <w:r w:rsidR="002B4231" w:rsidRPr="7A628F98">
        <w:rPr>
          <w:sz w:val="24"/>
          <w:szCs w:val="24"/>
        </w:rPr>
        <w:t>-</w:t>
      </w:r>
      <w:r w:rsidR="00C823A7" w:rsidRPr="7A628F98">
        <w:rPr>
          <w:sz w:val="24"/>
          <w:szCs w:val="24"/>
        </w:rPr>
        <w:t>operative bays</w:t>
      </w:r>
      <w:r w:rsidR="00AF101C" w:rsidRPr="7A628F98">
        <w:rPr>
          <w:sz w:val="24"/>
          <w:szCs w:val="24"/>
        </w:rPr>
        <w:t>.</w:t>
      </w:r>
      <w:r w:rsidR="0009598C" w:rsidRPr="7A628F98">
        <w:rPr>
          <w:sz w:val="24"/>
          <w:szCs w:val="24"/>
        </w:rPr>
        <w:t xml:space="preserve"> </w:t>
      </w:r>
      <w:bookmarkStart w:id="2" w:name="_Hlk113378448"/>
      <w:bookmarkEnd w:id="1"/>
      <w:r w:rsidR="0049059E" w:rsidRPr="7A628F98">
        <w:rPr>
          <w:sz w:val="24"/>
          <w:szCs w:val="24"/>
        </w:rPr>
        <w:t xml:space="preserve">The increase </w:t>
      </w:r>
      <w:r w:rsidR="002429C8" w:rsidRPr="7A628F98">
        <w:rPr>
          <w:sz w:val="24"/>
          <w:szCs w:val="24"/>
        </w:rPr>
        <w:t>i</w:t>
      </w:r>
      <w:r w:rsidR="0049059E" w:rsidRPr="7A628F98">
        <w:rPr>
          <w:sz w:val="24"/>
          <w:szCs w:val="24"/>
        </w:rPr>
        <w:t>n t</w:t>
      </w:r>
      <w:r w:rsidR="007F06FE" w:rsidRPr="7A628F98">
        <w:rPr>
          <w:sz w:val="24"/>
          <w:szCs w:val="24"/>
        </w:rPr>
        <w:t>h</w:t>
      </w:r>
      <w:r w:rsidR="001B5FDF" w:rsidRPr="7A628F98">
        <w:rPr>
          <w:sz w:val="24"/>
          <w:szCs w:val="24"/>
        </w:rPr>
        <w:t>e</w:t>
      </w:r>
      <w:r w:rsidR="0049059E" w:rsidRPr="7A628F98">
        <w:rPr>
          <w:sz w:val="24"/>
          <w:szCs w:val="24"/>
        </w:rPr>
        <w:t xml:space="preserve"> Maximu</w:t>
      </w:r>
      <w:r w:rsidR="00C875E9" w:rsidRPr="7A628F98">
        <w:rPr>
          <w:sz w:val="24"/>
          <w:szCs w:val="24"/>
        </w:rPr>
        <w:t xml:space="preserve">m </w:t>
      </w:r>
      <w:r w:rsidR="0049059E" w:rsidRPr="7A628F98">
        <w:rPr>
          <w:sz w:val="24"/>
          <w:szCs w:val="24"/>
        </w:rPr>
        <w:t>C</w:t>
      </w:r>
      <w:r w:rsidR="00C875E9" w:rsidRPr="7A628F98">
        <w:rPr>
          <w:sz w:val="24"/>
          <w:szCs w:val="24"/>
        </w:rPr>
        <w:t xml:space="preserve">apital </w:t>
      </w:r>
      <w:r w:rsidR="0049059E" w:rsidRPr="7A628F98">
        <w:rPr>
          <w:sz w:val="24"/>
          <w:szCs w:val="24"/>
        </w:rPr>
        <w:t>E</w:t>
      </w:r>
      <w:r w:rsidR="00C875E9" w:rsidRPr="7A628F98">
        <w:rPr>
          <w:sz w:val="24"/>
          <w:szCs w:val="24"/>
        </w:rPr>
        <w:t xml:space="preserve">xpenditure </w:t>
      </w:r>
      <w:r w:rsidR="002429C8" w:rsidRPr="7A628F98">
        <w:rPr>
          <w:sz w:val="24"/>
          <w:szCs w:val="24"/>
        </w:rPr>
        <w:t xml:space="preserve">(MCE) </w:t>
      </w:r>
      <w:r w:rsidR="000F113C" w:rsidRPr="7A628F98">
        <w:rPr>
          <w:sz w:val="24"/>
          <w:szCs w:val="24"/>
        </w:rPr>
        <w:t>of</w:t>
      </w:r>
      <w:r w:rsidR="0049059E" w:rsidRPr="7A628F98">
        <w:rPr>
          <w:sz w:val="24"/>
          <w:szCs w:val="24"/>
        </w:rPr>
        <w:t xml:space="preserve"> this project is $</w:t>
      </w:r>
      <w:r w:rsidR="00023895" w:rsidRPr="7A628F98">
        <w:rPr>
          <w:sz w:val="24"/>
          <w:szCs w:val="24"/>
        </w:rPr>
        <w:t>21,156,000</w:t>
      </w:r>
      <w:r w:rsidRPr="7A628F98">
        <w:rPr>
          <w:sz w:val="24"/>
          <w:szCs w:val="24"/>
        </w:rPr>
        <w:t xml:space="preserve">, </w:t>
      </w:r>
      <w:r w:rsidR="00E808E6" w:rsidRPr="7A628F98">
        <w:rPr>
          <w:sz w:val="24"/>
          <w:szCs w:val="24"/>
        </w:rPr>
        <w:t>for a new maximum capital expenditure (“MCE”) of $</w:t>
      </w:r>
      <w:bookmarkEnd w:id="0"/>
      <w:r w:rsidR="00C036BD" w:rsidRPr="7A628F98">
        <w:rPr>
          <w:sz w:val="24"/>
          <w:szCs w:val="24"/>
        </w:rPr>
        <w:t>51,660,</w:t>
      </w:r>
      <w:r w:rsidR="004C5F68" w:rsidRPr="7A628F98">
        <w:rPr>
          <w:sz w:val="24"/>
          <w:szCs w:val="24"/>
        </w:rPr>
        <w:t>587</w:t>
      </w:r>
      <w:r w:rsidR="00E808E6" w:rsidRPr="7A628F98">
        <w:rPr>
          <w:sz w:val="24"/>
          <w:szCs w:val="24"/>
        </w:rPr>
        <w:t xml:space="preserve">. </w:t>
      </w:r>
      <w:bookmarkStart w:id="3" w:name="_Hlk113452232"/>
      <w:r w:rsidR="00E808E6" w:rsidRPr="7A628F98">
        <w:rPr>
          <w:sz w:val="24"/>
          <w:szCs w:val="24"/>
        </w:rPr>
        <w:t xml:space="preserve">The </w:t>
      </w:r>
      <w:r w:rsidR="00547ABF" w:rsidRPr="7A628F98">
        <w:rPr>
          <w:sz w:val="24"/>
          <w:szCs w:val="24"/>
        </w:rPr>
        <w:t>increase</w:t>
      </w:r>
      <w:r w:rsidR="0049059E" w:rsidRPr="7A628F98">
        <w:rPr>
          <w:sz w:val="24"/>
          <w:szCs w:val="24"/>
        </w:rPr>
        <w:t xml:space="preserve"> </w:t>
      </w:r>
      <w:r w:rsidR="001B5FDF" w:rsidRPr="7A628F98">
        <w:rPr>
          <w:sz w:val="24"/>
          <w:szCs w:val="24"/>
        </w:rPr>
        <w:t>to</w:t>
      </w:r>
      <w:r w:rsidR="00CC19FC" w:rsidRPr="7A628F98">
        <w:rPr>
          <w:sz w:val="24"/>
          <w:szCs w:val="24"/>
        </w:rPr>
        <w:t xml:space="preserve"> </w:t>
      </w:r>
      <w:r w:rsidRPr="7A628F98">
        <w:rPr>
          <w:sz w:val="24"/>
          <w:szCs w:val="24"/>
        </w:rPr>
        <w:t xml:space="preserve">the </w:t>
      </w:r>
      <w:r w:rsidR="001B49A0" w:rsidRPr="7A628F98">
        <w:rPr>
          <w:sz w:val="24"/>
          <w:szCs w:val="24"/>
        </w:rPr>
        <w:t>C</w:t>
      </w:r>
      <w:r w:rsidRPr="7A628F98">
        <w:rPr>
          <w:sz w:val="24"/>
          <w:szCs w:val="24"/>
        </w:rPr>
        <w:t xml:space="preserve">ommunity </w:t>
      </w:r>
      <w:r w:rsidR="001B49A0" w:rsidRPr="7A628F98">
        <w:rPr>
          <w:sz w:val="24"/>
          <w:szCs w:val="24"/>
        </w:rPr>
        <w:t>H</w:t>
      </w:r>
      <w:r w:rsidRPr="7A628F98">
        <w:rPr>
          <w:sz w:val="24"/>
          <w:szCs w:val="24"/>
        </w:rPr>
        <w:t xml:space="preserve">ealth </w:t>
      </w:r>
      <w:r w:rsidR="001B49A0" w:rsidRPr="7A628F98">
        <w:rPr>
          <w:sz w:val="24"/>
          <w:szCs w:val="24"/>
        </w:rPr>
        <w:t>I</w:t>
      </w:r>
      <w:r w:rsidRPr="7A628F98">
        <w:rPr>
          <w:sz w:val="24"/>
          <w:szCs w:val="24"/>
        </w:rPr>
        <w:t>nitiatives (CHI)</w:t>
      </w:r>
      <w:r w:rsidR="00C875E9" w:rsidRPr="7A628F98">
        <w:rPr>
          <w:sz w:val="24"/>
          <w:szCs w:val="24"/>
        </w:rPr>
        <w:t xml:space="preserve"> contribution</w:t>
      </w:r>
      <w:r w:rsidR="007F06FE" w:rsidRPr="7A628F98">
        <w:rPr>
          <w:sz w:val="24"/>
          <w:szCs w:val="24"/>
        </w:rPr>
        <w:t xml:space="preserve"> </w:t>
      </w:r>
      <w:r w:rsidR="00E808E6" w:rsidRPr="7A628F98">
        <w:rPr>
          <w:sz w:val="24"/>
          <w:szCs w:val="24"/>
        </w:rPr>
        <w:t>is</w:t>
      </w:r>
      <w:r w:rsidR="007F06FE" w:rsidRPr="7A628F98">
        <w:rPr>
          <w:sz w:val="24"/>
          <w:szCs w:val="24"/>
        </w:rPr>
        <w:t xml:space="preserve"> </w:t>
      </w:r>
      <w:bookmarkEnd w:id="3"/>
      <w:r w:rsidR="003A1247" w:rsidRPr="7A628F98">
        <w:rPr>
          <w:sz w:val="24"/>
          <w:szCs w:val="24"/>
        </w:rPr>
        <w:t>$</w:t>
      </w:r>
      <w:r w:rsidR="00465013" w:rsidRPr="7A628F98">
        <w:rPr>
          <w:sz w:val="24"/>
          <w:szCs w:val="24"/>
        </w:rPr>
        <w:t>1,057,800</w:t>
      </w:r>
      <w:r w:rsidR="003A1247" w:rsidRPr="7A628F98">
        <w:rPr>
          <w:sz w:val="24"/>
          <w:szCs w:val="24"/>
        </w:rPr>
        <w:t>.</w:t>
      </w:r>
    </w:p>
    <w:p w14:paraId="5DC8CCF0" w14:textId="7B6AFC3C" w:rsidR="00C72391" w:rsidRPr="003D2ECC" w:rsidRDefault="00C72391" w:rsidP="00882AEE">
      <w:pPr>
        <w:ind w:right="-10"/>
        <w:rPr>
          <w:sz w:val="24"/>
          <w:highlight w:val="yellow"/>
        </w:rPr>
      </w:pPr>
    </w:p>
    <w:bookmarkEnd w:id="2"/>
    <w:p w14:paraId="525B7CF6" w14:textId="749B7FB3" w:rsidR="00C72391" w:rsidRPr="00147CCC" w:rsidRDefault="00C72391" w:rsidP="00882AEE">
      <w:pPr>
        <w:ind w:right="-10"/>
        <w:rPr>
          <w:sz w:val="24"/>
        </w:rPr>
      </w:pPr>
      <w:r w:rsidRPr="00147CCC">
        <w:rPr>
          <w:sz w:val="24"/>
        </w:rPr>
        <w:t>This request falls within the definition for Significant Change that includes “… (5) Any build out of</w:t>
      </w:r>
      <w:r w:rsidR="00797BB4" w:rsidRPr="00147CCC">
        <w:rPr>
          <w:sz w:val="24"/>
        </w:rPr>
        <w:t xml:space="preserve"> </w:t>
      </w:r>
      <w:r w:rsidRPr="00147CCC">
        <w:rPr>
          <w:sz w:val="24"/>
        </w:rPr>
        <w:t>shell space that was subject to a Notice of Determination of Need” and will be reviewed</w:t>
      </w:r>
      <w:r w:rsidR="00797BB4" w:rsidRPr="00147CCC">
        <w:rPr>
          <w:sz w:val="24"/>
        </w:rPr>
        <w:t xml:space="preserve"> </w:t>
      </w:r>
      <w:r w:rsidRPr="00147CCC">
        <w:rPr>
          <w:sz w:val="24"/>
        </w:rPr>
        <w:t>pursuant to 105 C.M.R. 100.635(A)(3), which requires that the proposed change falls within the</w:t>
      </w:r>
      <w:r w:rsidR="00797BB4" w:rsidRPr="00147CCC">
        <w:rPr>
          <w:sz w:val="24"/>
        </w:rPr>
        <w:t xml:space="preserve"> </w:t>
      </w:r>
      <w:r w:rsidRPr="00147CCC">
        <w:rPr>
          <w:sz w:val="24"/>
        </w:rPr>
        <w:t>scope of the Notice of Determination of Need and is reasonable.</w:t>
      </w:r>
    </w:p>
    <w:p w14:paraId="44AABDBA" w14:textId="77777777" w:rsidR="00A602F9" w:rsidRPr="003D2ECC" w:rsidRDefault="00A602F9" w:rsidP="00882AEE">
      <w:pPr>
        <w:pStyle w:val="Heading1"/>
        <w:ind w:left="0"/>
        <w:rPr>
          <w:highlight w:val="yellow"/>
        </w:rPr>
      </w:pPr>
    </w:p>
    <w:p w14:paraId="14D2B580" w14:textId="6F4272EC" w:rsidR="00D3762B" w:rsidRPr="002E2D0D" w:rsidRDefault="00910D52" w:rsidP="002E2D0D">
      <w:pPr>
        <w:pStyle w:val="Heading1"/>
        <w:ind w:left="0"/>
      </w:pPr>
      <w:r w:rsidRPr="008569A8">
        <w:t>Background</w:t>
      </w:r>
    </w:p>
    <w:p w14:paraId="7354DE86" w14:textId="4BD11AAF" w:rsidR="004C28B4" w:rsidRPr="003D2ECC" w:rsidRDefault="009936FF" w:rsidP="00882AEE">
      <w:pPr>
        <w:ind w:right="-10"/>
        <w:rPr>
          <w:sz w:val="24"/>
          <w:highlight w:val="yellow"/>
        </w:rPr>
      </w:pPr>
      <w:r w:rsidRPr="00360B14">
        <w:rPr>
          <w:sz w:val="24"/>
        </w:rPr>
        <w:t xml:space="preserve">On </w:t>
      </w:r>
      <w:r w:rsidR="00360B14" w:rsidRPr="00360B14">
        <w:rPr>
          <w:sz w:val="24"/>
        </w:rPr>
        <w:t>June 13, 2018,</w:t>
      </w:r>
      <w:r w:rsidR="00E808E6" w:rsidRPr="00360B14">
        <w:rPr>
          <w:sz w:val="24"/>
        </w:rPr>
        <w:t xml:space="preserve"> the Holder </w:t>
      </w:r>
      <w:r w:rsidR="00E37B99" w:rsidRPr="00360B14">
        <w:rPr>
          <w:sz w:val="24"/>
        </w:rPr>
        <w:t xml:space="preserve">received </w:t>
      </w:r>
      <w:r w:rsidR="00E808E6" w:rsidRPr="00360B14">
        <w:rPr>
          <w:sz w:val="24"/>
        </w:rPr>
        <w:t xml:space="preserve">DoN </w:t>
      </w:r>
      <w:r w:rsidR="00E37B99" w:rsidRPr="00360B14">
        <w:rPr>
          <w:sz w:val="24"/>
        </w:rPr>
        <w:t xml:space="preserve">approval </w:t>
      </w:r>
      <w:r w:rsidR="000753E4" w:rsidRPr="00360B14">
        <w:rPr>
          <w:sz w:val="24"/>
        </w:rPr>
        <w:t>for a Substantial Change in Service</w:t>
      </w:r>
      <w:r w:rsidR="004C28B4" w:rsidRPr="00360B14">
        <w:rPr>
          <w:sz w:val="24"/>
        </w:rPr>
        <w:t>.</w:t>
      </w:r>
    </w:p>
    <w:p w14:paraId="5863AC72" w14:textId="057193B3" w:rsidR="00E808E6" w:rsidRPr="003D2ECC" w:rsidRDefault="00712F8C" w:rsidP="00882AEE">
      <w:pPr>
        <w:ind w:right="-10"/>
        <w:rPr>
          <w:sz w:val="24"/>
          <w:highlight w:val="yellow"/>
        </w:rPr>
      </w:pPr>
      <w:r w:rsidRPr="005D7ADF">
        <w:rPr>
          <w:sz w:val="24"/>
        </w:rPr>
        <w:t>T</w:t>
      </w:r>
      <w:r w:rsidR="004C28B4" w:rsidRPr="005D7ADF">
        <w:rPr>
          <w:sz w:val="24"/>
        </w:rPr>
        <w:t>he original DoN (#</w:t>
      </w:r>
      <w:r w:rsidR="005D7ADF" w:rsidRPr="005D7ADF">
        <w:rPr>
          <w:sz w:val="24"/>
        </w:rPr>
        <w:t>PHS-18022210-HE</w:t>
      </w:r>
      <w:r w:rsidR="004C28B4" w:rsidRPr="005D7ADF">
        <w:rPr>
          <w:sz w:val="24"/>
        </w:rPr>
        <w:t xml:space="preserve">) </w:t>
      </w:r>
      <w:r w:rsidR="00A40DB6">
        <w:rPr>
          <w:sz w:val="24"/>
        </w:rPr>
        <w:t xml:space="preserve">included the </w:t>
      </w:r>
      <w:r w:rsidR="00A40DB6" w:rsidRPr="00A40DB6">
        <w:rPr>
          <w:sz w:val="24"/>
        </w:rPr>
        <w:t xml:space="preserve">build-out </w:t>
      </w:r>
      <w:r w:rsidR="00A40DB6">
        <w:rPr>
          <w:sz w:val="24"/>
        </w:rPr>
        <w:t xml:space="preserve">of </w:t>
      </w:r>
      <w:r w:rsidR="00A40DB6" w:rsidRPr="00A40DB6">
        <w:rPr>
          <w:sz w:val="24"/>
        </w:rPr>
        <w:t>six additional ambulatory surgery operating rooms</w:t>
      </w:r>
      <w:r w:rsidR="006C59EF">
        <w:rPr>
          <w:sz w:val="24"/>
        </w:rPr>
        <w:t xml:space="preserve"> (bringing the total operating rooms to 10)</w:t>
      </w:r>
      <w:r w:rsidR="00A40DB6" w:rsidRPr="00A40DB6">
        <w:rPr>
          <w:sz w:val="24"/>
        </w:rPr>
        <w:t>, 21 peri</w:t>
      </w:r>
      <w:r w:rsidR="006C59EF">
        <w:rPr>
          <w:sz w:val="24"/>
        </w:rPr>
        <w:t>-</w:t>
      </w:r>
      <w:r w:rsidR="00A40DB6" w:rsidRPr="00A40DB6">
        <w:rPr>
          <w:sz w:val="24"/>
        </w:rPr>
        <w:t>operative bays with support space</w:t>
      </w:r>
      <w:r w:rsidR="00A40DB6">
        <w:rPr>
          <w:sz w:val="24"/>
        </w:rPr>
        <w:t xml:space="preserve">, and </w:t>
      </w:r>
      <w:r w:rsidR="00A40DB6" w:rsidRPr="00A40DB6">
        <w:rPr>
          <w:sz w:val="24"/>
        </w:rPr>
        <w:t>9,881 gross square feet (GSF) of additional s</w:t>
      </w:r>
      <w:r w:rsidR="00A40DB6" w:rsidRPr="00342151">
        <w:rPr>
          <w:sz w:val="24"/>
        </w:rPr>
        <w:t xml:space="preserve">hell space for future build-out. </w:t>
      </w:r>
      <w:r w:rsidR="00E808E6" w:rsidRPr="00342151">
        <w:rPr>
          <w:sz w:val="24"/>
        </w:rPr>
        <w:t xml:space="preserve">The </w:t>
      </w:r>
      <w:r w:rsidR="004A1055" w:rsidRPr="00342151">
        <w:rPr>
          <w:sz w:val="24"/>
        </w:rPr>
        <w:t xml:space="preserve">total </w:t>
      </w:r>
      <w:r w:rsidR="00D200F1" w:rsidRPr="00342151">
        <w:rPr>
          <w:sz w:val="24"/>
        </w:rPr>
        <w:t xml:space="preserve">approved </w:t>
      </w:r>
      <w:r w:rsidR="00E808E6" w:rsidRPr="00342151">
        <w:rPr>
          <w:sz w:val="24"/>
        </w:rPr>
        <w:t xml:space="preserve">MCE was </w:t>
      </w:r>
      <w:r w:rsidR="00342151" w:rsidRPr="00342151">
        <w:rPr>
          <w:sz w:val="24"/>
        </w:rPr>
        <w:t xml:space="preserve">$30,504,587 </w:t>
      </w:r>
      <w:r w:rsidR="00E808E6" w:rsidRPr="00342151">
        <w:rPr>
          <w:sz w:val="24"/>
        </w:rPr>
        <w:t>(201</w:t>
      </w:r>
      <w:r w:rsidR="00342151" w:rsidRPr="00342151">
        <w:rPr>
          <w:sz w:val="24"/>
        </w:rPr>
        <w:t>8</w:t>
      </w:r>
      <w:r w:rsidR="00E808E6" w:rsidRPr="00342151">
        <w:rPr>
          <w:sz w:val="24"/>
        </w:rPr>
        <w:t xml:space="preserve"> dollars).</w:t>
      </w:r>
    </w:p>
    <w:p w14:paraId="430DF77D" w14:textId="77777777" w:rsidR="00D7367E" w:rsidRPr="003D2ECC" w:rsidRDefault="00D7367E" w:rsidP="00882AEE">
      <w:pPr>
        <w:spacing w:before="52"/>
        <w:ind w:right="-10"/>
        <w:rPr>
          <w:sz w:val="24"/>
          <w:highlight w:val="yellow"/>
        </w:rPr>
      </w:pPr>
    </w:p>
    <w:p w14:paraId="359FE979" w14:textId="3ADC1CCC" w:rsidR="00482351" w:rsidRPr="002E2D0D" w:rsidRDefault="00910D52" w:rsidP="00882AEE">
      <w:pPr>
        <w:pStyle w:val="BodyText"/>
        <w:rPr>
          <w:b/>
          <w:bCs/>
          <w:sz w:val="24"/>
          <w:szCs w:val="24"/>
          <w:u w:val="single"/>
        </w:rPr>
      </w:pPr>
      <w:r w:rsidRPr="00342151">
        <w:rPr>
          <w:b/>
          <w:bCs/>
          <w:sz w:val="24"/>
          <w:szCs w:val="24"/>
          <w:u w:val="single"/>
        </w:rPr>
        <w:t>Proposed Amendment</w:t>
      </w:r>
    </w:p>
    <w:p w14:paraId="18B39AEA" w14:textId="583DBB48" w:rsidR="008C5DD4" w:rsidRPr="009D3018" w:rsidRDefault="00D200F1" w:rsidP="7A628F98">
      <w:pPr>
        <w:ind w:right="-10"/>
        <w:rPr>
          <w:sz w:val="24"/>
          <w:szCs w:val="24"/>
          <w:highlight w:val="yellow"/>
        </w:rPr>
      </w:pPr>
      <w:r w:rsidRPr="7A628F98">
        <w:rPr>
          <w:sz w:val="24"/>
          <w:szCs w:val="24"/>
        </w:rPr>
        <w:t xml:space="preserve">With this </w:t>
      </w:r>
      <w:r w:rsidR="003B2CA9" w:rsidRPr="7A628F98">
        <w:rPr>
          <w:sz w:val="24"/>
          <w:szCs w:val="24"/>
        </w:rPr>
        <w:t>Significant A</w:t>
      </w:r>
      <w:r w:rsidRPr="7A628F98">
        <w:rPr>
          <w:sz w:val="24"/>
          <w:szCs w:val="24"/>
        </w:rPr>
        <w:t xml:space="preserve">mendment, the </w:t>
      </w:r>
      <w:r w:rsidR="00342151" w:rsidRPr="7A628F98">
        <w:rPr>
          <w:sz w:val="24"/>
          <w:szCs w:val="24"/>
        </w:rPr>
        <w:t>H</w:t>
      </w:r>
      <w:r w:rsidRPr="7A628F98">
        <w:rPr>
          <w:sz w:val="24"/>
          <w:szCs w:val="24"/>
        </w:rPr>
        <w:t>older proposes to build</w:t>
      </w:r>
      <w:r w:rsidR="00482351" w:rsidRPr="7A628F98">
        <w:rPr>
          <w:sz w:val="24"/>
          <w:szCs w:val="24"/>
        </w:rPr>
        <w:t>-</w:t>
      </w:r>
      <w:r w:rsidRPr="7A628F98">
        <w:rPr>
          <w:sz w:val="24"/>
          <w:szCs w:val="24"/>
        </w:rPr>
        <w:t xml:space="preserve">out </w:t>
      </w:r>
      <w:r w:rsidR="00B20B56" w:rsidRPr="7A628F98">
        <w:rPr>
          <w:sz w:val="24"/>
          <w:szCs w:val="24"/>
        </w:rPr>
        <w:t xml:space="preserve">the </w:t>
      </w:r>
      <w:r w:rsidR="00342151" w:rsidRPr="7A628F98">
        <w:rPr>
          <w:sz w:val="24"/>
          <w:szCs w:val="24"/>
        </w:rPr>
        <w:t>9,881</w:t>
      </w:r>
      <w:r w:rsidR="00AA059E" w:rsidRPr="7A628F98">
        <w:rPr>
          <w:sz w:val="24"/>
          <w:szCs w:val="24"/>
        </w:rPr>
        <w:t xml:space="preserve"> GSF of </w:t>
      </w:r>
      <w:r w:rsidRPr="7A628F98">
        <w:rPr>
          <w:sz w:val="24"/>
          <w:szCs w:val="24"/>
        </w:rPr>
        <w:t xml:space="preserve">approved shell space </w:t>
      </w:r>
      <w:r w:rsidR="0011646A" w:rsidRPr="7A628F98">
        <w:rPr>
          <w:sz w:val="24"/>
          <w:szCs w:val="24"/>
        </w:rPr>
        <w:t xml:space="preserve">to accommodate three additional outpatient operating rooms (OR) and eleven peri-operative bays </w:t>
      </w:r>
      <w:r w:rsidR="00AA059E" w:rsidRPr="7A628F98">
        <w:rPr>
          <w:sz w:val="24"/>
          <w:szCs w:val="24"/>
        </w:rPr>
        <w:t xml:space="preserve">at </w:t>
      </w:r>
      <w:r w:rsidR="0011646A" w:rsidRPr="7A628F98">
        <w:rPr>
          <w:sz w:val="24"/>
          <w:szCs w:val="24"/>
        </w:rPr>
        <w:t>Mass General Waltham</w:t>
      </w:r>
      <w:r w:rsidR="00827889">
        <w:rPr>
          <w:sz w:val="24"/>
          <w:szCs w:val="24"/>
        </w:rPr>
        <w:t xml:space="preserve"> (MG Waltham)</w:t>
      </w:r>
      <w:r w:rsidR="0011646A" w:rsidRPr="7A628F98">
        <w:rPr>
          <w:sz w:val="24"/>
          <w:szCs w:val="24"/>
        </w:rPr>
        <w:t>.</w:t>
      </w:r>
      <w:r w:rsidR="00C54924" w:rsidRPr="7A628F98">
        <w:rPr>
          <w:sz w:val="24"/>
          <w:szCs w:val="24"/>
        </w:rPr>
        <w:t xml:space="preserve"> </w:t>
      </w:r>
      <w:r w:rsidR="0011646A" w:rsidRPr="7A628F98">
        <w:rPr>
          <w:sz w:val="24"/>
          <w:szCs w:val="24"/>
        </w:rPr>
        <w:t xml:space="preserve">This Proposed Amendment would </w:t>
      </w:r>
      <w:r w:rsidR="009A2C19" w:rsidRPr="7A628F98">
        <w:rPr>
          <w:sz w:val="24"/>
          <w:szCs w:val="24"/>
        </w:rPr>
        <w:t>result in a</w:t>
      </w:r>
      <w:r w:rsidR="0011646A" w:rsidRPr="7A628F98">
        <w:rPr>
          <w:sz w:val="24"/>
          <w:szCs w:val="24"/>
        </w:rPr>
        <w:t xml:space="preserve"> </w:t>
      </w:r>
      <w:r w:rsidR="009A2C19" w:rsidRPr="7A628F98">
        <w:rPr>
          <w:sz w:val="24"/>
          <w:szCs w:val="24"/>
        </w:rPr>
        <w:t>total of 13 ORs</w:t>
      </w:r>
      <w:r w:rsidR="00642ACB" w:rsidRPr="7A628F98">
        <w:rPr>
          <w:sz w:val="24"/>
          <w:szCs w:val="24"/>
        </w:rPr>
        <w:t xml:space="preserve"> and </w:t>
      </w:r>
      <w:r w:rsidR="009A2C19" w:rsidRPr="7A628F98">
        <w:rPr>
          <w:sz w:val="24"/>
          <w:szCs w:val="24"/>
        </w:rPr>
        <w:t>32 peri-operative bays</w:t>
      </w:r>
      <w:r w:rsidR="00827889">
        <w:rPr>
          <w:sz w:val="24"/>
          <w:szCs w:val="24"/>
        </w:rPr>
        <w:t xml:space="preserve"> at the </w:t>
      </w:r>
      <w:r w:rsidR="00827889" w:rsidRPr="009D3018">
        <w:rPr>
          <w:sz w:val="24"/>
          <w:szCs w:val="24"/>
        </w:rPr>
        <w:t>facility</w:t>
      </w:r>
      <w:r w:rsidR="009A2C19" w:rsidRPr="009D3018">
        <w:rPr>
          <w:sz w:val="24"/>
          <w:szCs w:val="24"/>
        </w:rPr>
        <w:t>.</w:t>
      </w:r>
      <w:r w:rsidR="00D919D2" w:rsidRPr="009D3018">
        <w:rPr>
          <w:sz w:val="24"/>
          <w:szCs w:val="24"/>
        </w:rPr>
        <w:t xml:space="preserve"> </w:t>
      </w:r>
      <w:r w:rsidR="00EF72EE" w:rsidRPr="009D3018">
        <w:rPr>
          <w:rStyle w:val="cf01"/>
          <w:rFonts w:asciiTheme="minorHAnsi" w:hAnsiTheme="minorHAnsi" w:cstheme="minorHAnsi"/>
          <w:sz w:val="24"/>
          <w:szCs w:val="24"/>
        </w:rPr>
        <w:t xml:space="preserve">The three proposed ORs are </w:t>
      </w:r>
      <w:r w:rsidR="00EF72EE" w:rsidRPr="009D3018">
        <w:rPr>
          <w:rStyle w:val="cf01"/>
          <w:rFonts w:asciiTheme="minorHAnsi" w:hAnsiTheme="minorHAnsi" w:cstheme="minorHAnsi"/>
          <w:sz w:val="24"/>
          <w:szCs w:val="24"/>
        </w:rPr>
        <w:lastRenderedPageBreak/>
        <w:t xml:space="preserve">being transferred from </w:t>
      </w:r>
      <w:r w:rsidR="004F5984" w:rsidRPr="009D3018">
        <w:rPr>
          <w:rStyle w:val="cf01"/>
          <w:rFonts w:asciiTheme="minorHAnsi" w:hAnsiTheme="minorHAnsi" w:cstheme="minorHAnsi"/>
          <w:sz w:val="24"/>
          <w:szCs w:val="24"/>
        </w:rPr>
        <w:t>Mass General Hospital Main Campus (MGH</w:t>
      </w:r>
      <w:r w:rsidR="00EF72EE" w:rsidRPr="009D3018">
        <w:rPr>
          <w:rStyle w:val="cf01"/>
          <w:rFonts w:asciiTheme="minorHAnsi" w:hAnsiTheme="minorHAnsi" w:cstheme="minorHAnsi"/>
          <w:sz w:val="24"/>
          <w:szCs w:val="24"/>
        </w:rPr>
        <w:t xml:space="preserve"> Main Campus</w:t>
      </w:r>
      <w:r w:rsidR="004F5984" w:rsidRPr="009D3018">
        <w:rPr>
          <w:rStyle w:val="cf01"/>
          <w:rFonts w:asciiTheme="minorHAnsi" w:hAnsiTheme="minorHAnsi" w:cstheme="minorHAnsi"/>
          <w:sz w:val="24"/>
          <w:szCs w:val="24"/>
        </w:rPr>
        <w:t>)</w:t>
      </w:r>
      <w:r w:rsidR="00EF72EE" w:rsidRPr="009D3018">
        <w:rPr>
          <w:rStyle w:val="cf01"/>
          <w:rFonts w:asciiTheme="minorHAnsi" w:hAnsiTheme="minorHAnsi" w:cstheme="minorHAnsi"/>
          <w:sz w:val="24"/>
          <w:szCs w:val="24"/>
        </w:rPr>
        <w:t xml:space="preserve">. MGH </w:t>
      </w:r>
      <w:r w:rsidR="004F5984" w:rsidRPr="009D3018">
        <w:rPr>
          <w:rStyle w:val="cf01"/>
          <w:rFonts w:asciiTheme="minorHAnsi" w:hAnsiTheme="minorHAnsi" w:cstheme="minorHAnsi"/>
          <w:sz w:val="24"/>
          <w:szCs w:val="24"/>
        </w:rPr>
        <w:t xml:space="preserve">Main Campus </w:t>
      </w:r>
      <w:r w:rsidR="00EF72EE" w:rsidRPr="009D3018">
        <w:rPr>
          <w:rStyle w:val="cf01"/>
          <w:rFonts w:asciiTheme="minorHAnsi" w:hAnsiTheme="minorHAnsi" w:cstheme="minorHAnsi"/>
          <w:sz w:val="24"/>
          <w:szCs w:val="24"/>
        </w:rPr>
        <w:t>has 71 operating rooms</w:t>
      </w:r>
      <w:r w:rsidR="004F5984" w:rsidRPr="009D3018">
        <w:rPr>
          <w:rStyle w:val="cf01"/>
          <w:rFonts w:asciiTheme="minorHAnsi" w:hAnsiTheme="minorHAnsi" w:cstheme="minorHAnsi"/>
          <w:sz w:val="24"/>
          <w:szCs w:val="24"/>
        </w:rPr>
        <w:t xml:space="preserve"> and </w:t>
      </w:r>
      <w:r w:rsidR="00EF72EE" w:rsidRPr="009D3018">
        <w:rPr>
          <w:rStyle w:val="cf01"/>
          <w:rFonts w:asciiTheme="minorHAnsi" w:hAnsiTheme="minorHAnsi" w:cstheme="minorHAnsi"/>
          <w:sz w:val="24"/>
          <w:szCs w:val="24"/>
        </w:rPr>
        <w:t xml:space="preserve">has </w:t>
      </w:r>
      <w:r w:rsidR="00B510F8" w:rsidRPr="009D3018">
        <w:rPr>
          <w:rStyle w:val="cf01"/>
          <w:rFonts w:asciiTheme="minorHAnsi" w:hAnsiTheme="minorHAnsi" w:cstheme="minorHAnsi"/>
          <w:sz w:val="24"/>
          <w:szCs w:val="24"/>
        </w:rPr>
        <w:t xml:space="preserve">been tracking </w:t>
      </w:r>
      <w:r w:rsidR="00EF72EE" w:rsidRPr="009D3018">
        <w:rPr>
          <w:rStyle w:val="cf01"/>
          <w:rFonts w:asciiTheme="minorHAnsi" w:hAnsiTheme="minorHAnsi" w:cstheme="minorHAnsi"/>
          <w:sz w:val="24"/>
          <w:szCs w:val="24"/>
        </w:rPr>
        <w:t xml:space="preserve">its out of service operating rooms. MGH </w:t>
      </w:r>
      <w:r w:rsidR="00B510F8" w:rsidRPr="009D3018">
        <w:rPr>
          <w:rStyle w:val="cf01"/>
          <w:rFonts w:asciiTheme="minorHAnsi" w:hAnsiTheme="minorHAnsi" w:cstheme="minorHAnsi"/>
          <w:sz w:val="24"/>
          <w:szCs w:val="24"/>
        </w:rPr>
        <w:t xml:space="preserve">Main Campus </w:t>
      </w:r>
      <w:r w:rsidR="00F06AAD" w:rsidRPr="009D3018">
        <w:rPr>
          <w:rStyle w:val="cf01"/>
          <w:rFonts w:asciiTheme="minorHAnsi" w:hAnsiTheme="minorHAnsi" w:cstheme="minorHAnsi"/>
          <w:sz w:val="24"/>
          <w:szCs w:val="24"/>
        </w:rPr>
        <w:t xml:space="preserve">seeks to </w:t>
      </w:r>
      <w:r w:rsidR="00EF72EE" w:rsidRPr="009D3018">
        <w:rPr>
          <w:rStyle w:val="cf01"/>
          <w:rFonts w:asciiTheme="minorHAnsi" w:hAnsiTheme="minorHAnsi" w:cstheme="minorHAnsi"/>
          <w:sz w:val="24"/>
          <w:szCs w:val="24"/>
        </w:rPr>
        <w:t xml:space="preserve">transfer three of its out of service ORs to </w:t>
      </w:r>
      <w:r w:rsidR="00B510F8" w:rsidRPr="009D3018">
        <w:rPr>
          <w:rStyle w:val="cf01"/>
          <w:rFonts w:asciiTheme="minorHAnsi" w:hAnsiTheme="minorHAnsi" w:cstheme="minorHAnsi"/>
          <w:sz w:val="24"/>
          <w:szCs w:val="24"/>
        </w:rPr>
        <w:t xml:space="preserve">MG </w:t>
      </w:r>
      <w:r w:rsidR="00EF72EE" w:rsidRPr="009D3018">
        <w:rPr>
          <w:rStyle w:val="cf01"/>
          <w:rFonts w:asciiTheme="minorHAnsi" w:hAnsiTheme="minorHAnsi" w:cstheme="minorHAnsi"/>
          <w:sz w:val="24"/>
          <w:szCs w:val="24"/>
        </w:rPr>
        <w:t xml:space="preserve">Waltham and will surrender the right to operate two more ORs that are out of service. In total, the right to </w:t>
      </w:r>
      <w:r w:rsidR="00B510F8" w:rsidRPr="009D3018">
        <w:rPr>
          <w:rStyle w:val="cf01"/>
          <w:rFonts w:asciiTheme="minorHAnsi" w:hAnsiTheme="minorHAnsi" w:cstheme="minorHAnsi"/>
          <w:sz w:val="24"/>
          <w:szCs w:val="24"/>
        </w:rPr>
        <w:t>five</w:t>
      </w:r>
      <w:r w:rsidR="00EF72EE" w:rsidRPr="009D3018">
        <w:rPr>
          <w:rStyle w:val="cf01"/>
          <w:rFonts w:asciiTheme="minorHAnsi" w:hAnsiTheme="minorHAnsi" w:cstheme="minorHAnsi"/>
          <w:sz w:val="24"/>
          <w:szCs w:val="24"/>
        </w:rPr>
        <w:t xml:space="preserve"> ORs will be deactivated at the </w:t>
      </w:r>
      <w:r w:rsidR="00117A11" w:rsidRPr="009D3018">
        <w:rPr>
          <w:rStyle w:val="cf01"/>
          <w:rFonts w:asciiTheme="minorHAnsi" w:hAnsiTheme="minorHAnsi" w:cstheme="minorHAnsi"/>
          <w:sz w:val="24"/>
          <w:szCs w:val="24"/>
        </w:rPr>
        <w:t xml:space="preserve">MGH </w:t>
      </w:r>
      <w:r w:rsidR="00EF72EE" w:rsidRPr="009D3018">
        <w:rPr>
          <w:rStyle w:val="cf01"/>
          <w:rFonts w:asciiTheme="minorHAnsi" w:hAnsiTheme="minorHAnsi" w:cstheme="minorHAnsi"/>
          <w:sz w:val="24"/>
          <w:szCs w:val="24"/>
        </w:rPr>
        <w:t>Main Campus.</w:t>
      </w:r>
    </w:p>
    <w:p w14:paraId="3A3779CB" w14:textId="518AF5AA" w:rsidR="008C5DD4" w:rsidRPr="003D2ECC" w:rsidRDefault="008C5DD4" w:rsidP="00882AEE">
      <w:pPr>
        <w:ind w:right="-10"/>
        <w:rPr>
          <w:sz w:val="24"/>
          <w:highlight w:val="yellow"/>
        </w:rPr>
      </w:pPr>
    </w:p>
    <w:p w14:paraId="5A87BDA3" w14:textId="410896CB" w:rsidR="005D7DE4" w:rsidRPr="005C6DCB" w:rsidRDefault="008C5DD4" w:rsidP="00882AEE">
      <w:pPr>
        <w:ind w:right="-10"/>
        <w:rPr>
          <w:rFonts w:asciiTheme="minorHAnsi" w:hAnsiTheme="minorHAnsi" w:cstheme="minorHAnsi"/>
          <w:sz w:val="24"/>
          <w:szCs w:val="24"/>
        </w:rPr>
      </w:pPr>
      <w:r w:rsidRPr="005C6DCB">
        <w:rPr>
          <w:rStyle w:val="cf01"/>
          <w:rFonts w:asciiTheme="minorHAnsi" w:hAnsiTheme="minorHAnsi" w:cstheme="minorHAnsi"/>
          <w:sz w:val="24"/>
          <w:szCs w:val="24"/>
        </w:rPr>
        <w:t>The Ho</w:t>
      </w:r>
      <w:r w:rsidR="00745FFF" w:rsidRPr="005C6DCB">
        <w:rPr>
          <w:rStyle w:val="cf01"/>
          <w:rFonts w:asciiTheme="minorHAnsi" w:hAnsiTheme="minorHAnsi" w:cstheme="minorHAnsi"/>
          <w:sz w:val="24"/>
          <w:szCs w:val="24"/>
        </w:rPr>
        <w:t>lder</w:t>
      </w:r>
      <w:r w:rsidRPr="005C6DCB">
        <w:rPr>
          <w:rStyle w:val="cf01"/>
          <w:rFonts w:asciiTheme="minorHAnsi" w:hAnsiTheme="minorHAnsi" w:cstheme="minorHAnsi"/>
          <w:sz w:val="24"/>
          <w:szCs w:val="24"/>
        </w:rPr>
        <w:t xml:space="preserve"> </w:t>
      </w:r>
      <w:r w:rsidR="0098011F" w:rsidRPr="005C6DCB">
        <w:rPr>
          <w:rStyle w:val="cf01"/>
          <w:rFonts w:asciiTheme="minorHAnsi" w:hAnsiTheme="minorHAnsi" w:cstheme="minorHAnsi"/>
          <w:sz w:val="24"/>
          <w:szCs w:val="24"/>
        </w:rPr>
        <w:t xml:space="preserve">notes that </w:t>
      </w:r>
      <w:r w:rsidR="00A22FFD" w:rsidRPr="005C6DCB">
        <w:rPr>
          <w:rStyle w:val="cf01"/>
          <w:rFonts w:asciiTheme="minorHAnsi" w:hAnsiTheme="minorHAnsi" w:cstheme="minorHAnsi"/>
          <w:sz w:val="24"/>
          <w:szCs w:val="24"/>
        </w:rPr>
        <w:t>since</w:t>
      </w:r>
      <w:r w:rsidR="00EE0EDB" w:rsidRPr="005C6DCB">
        <w:rPr>
          <w:rStyle w:val="cf01"/>
          <w:rFonts w:asciiTheme="minorHAnsi" w:hAnsiTheme="minorHAnsi" w:cstheme="minorHAnsi"/>
          <w:sz w:val="24"/>
          <w:szCs w:val="24"/>
        </w:rPr>
        <w:t xml:space="preserve"> the implementation of its DoN in FY2022</w:t>
      </w:r>
      <w:r w:rsidR="002E2D0D" w:rsidRPr="005C6DCB">
        <w:rPr>
          <w:rStyle w:val="cf01"/>
          <w:rFonts w:asciiTheme="minorHAnsi" w:hAnsiTheme="minorHAnsi" w:cstheme="minorHAnsi"/>
          <w:sz w:val="24"/>
          <w:szCs w:val="24"/>
        </w:rPr>
        <w:t xml:space="preserve">, </w:t>
      </w:r>
      <w:r w:rsidR="00EE0EDB" w:rsidRPr="005C6DCB">
        <w:rPr>
          <w:rStyle w:val="cf01"/>
          <w:rFonts w:asciiTheme="minorHAnsi" w:hAnsiTheme="minorHAnsi" w:cstheme="minorHAnsi"/>
          <w:sz w:val="24"/>
          <w:szCs w:val="24"/>
        </w:rPr>
        <w:t>MG Waltham</w:t>
      </w:r>
      <w:r w:rsidR="00C320FA" w:rsidRPr="005C6DCB">
        <w:rPr>
          <w:rStyle w:val="cf01"/>
          <w:rFonts w:asciiTheme="minorHAnsi" w:hAnsiTheme="minorHAnsi" w:cstheme="minorHAnsi"/>
          <w:sz w:val="24"/>
          <w:szCs w:val="24"/>
        </w:rPr>
        <w:t xml:space="preserve"> has successfully shifted </w:t>
      </w:r>
      <w:r w:rsidR="00D65A90" w:rsidRPr="005C6DCB">
        <w:rPr>
          <w:rStyle w:val="cf01"/>
          <w:rFonts w:asciiTheme="minorHAnsi" w:hAnsiTheme="minorHAnsi" w:cstheme="minorHAnsi"/>
          <w:sz w:val="24"/>
          <w:szCs w:val="24"/>
        </w:rPr>
        <w:t xml:space="preserve">clinically appropriate volume from MGH </w:t>
      </w:r>
      <w:r w:rsidR="00B510F8">
        <w:rPr>
          <w:rStyle w:val="cf01"/>
          <w:rFonts w:asciiTheme="minorHAnsi" w:hAnsiTheme="minorHAnsi" w:cstheme="minorHAnsi"/>
          <w:sz w:val="24"/>
          <w:szCs w:val="24"/>
        </w:rPr>
        <w:t>M</w:t>
      </w:r>
      <w:r w:rsidR="00D65A90" w:rsidRPr="005C6DCB">
        <w:rPr>
          <w:rStyle w:val="cf01"/>
          <w:rFonts w:asciiTheme="minorHAnsi" w:hAnsiTheme="minorHAnsi" w:cstheme="minorHAnsi"/>
          <w:sz w:val="24"/>
          <w:szCs w:val="24"/>
        </w:rPr>
        <w:t xml:space="preserve">ain </w:t>
      </w:r>
      <w:r w:rsidR="00B510F8">
        <w:rPr>
          <w:rStyle w:val="cf01"/>
          <w:rFonts w:asciiTheme="minorHAnsi" w:hAnsiTheme="minorHAnsi" w:cstheme="minorHAnsi"/>
          <w:sz w:val="24"/>
          <w:szCs w:val="24"/>
        </w:rPr>
        <w:t>C</w:t>
      </w:r>
      <w:r w:rsidR="00D65A90" w:rsidRPr="005C6DCB">
        <w:rPr>
          <w:rStyle w:val="cf01"/>
          <w:rFonts w:asciiTheme="minorHAnsi" w:hAnsiTheme="minorHAnsi" w:cstheme="minorHAnsi"/>
          <w:sz w:val="24"/>
          <w:szCs w:val="24"/>
        </w:rPr>
        <w:t>ampus</w:t>
      </w:r>
      <w:r w:rsidR="00031FBB" w:rsidRPr="005C6DCB">
        <w:rPr>
          <w:rStyle w:val="cf01"/>
          <w:rFonts w:asciiTheme="minorHAnsi" w:hAnsiTheme="minorHAnsi" w:cstheme="minorHAnsi"/>
          <w:sz w:val="24"/>
          <w:szCs w:val="24"/>
        </w:rPr>
        <w:t xml:space="preserve"> in Boston</w:t>
      </w:r>
      <w:r w:rsidR="00D65A90" w:rsidRPr="005C6DCB">
        <w:rPr>
          <w:rStyle w:val="cf01"/>
          <w:rFonts w:asciiTheme="minorHAnsi" w:hAnsiTheme="minorHAnsi" w:cstheme="minorHAnsi"/>
          <w:sz w:val="24"/>
          <w:szCs w:val="24"/>
        </w:rPr>
        <w:t xml:space="preserve"> to MG Waltham</w:t>
      </w:r>
      <w:r w:rsidR="00841FCF" w:rsidRPr="005C6DCB">
        <w:rPr>
          <w:rStyle w:val="cf01"/>
          <w:rFonts w:asciiTheme="minorHAnsi" w:hAnsiTheme="minorHAnsi" w:cstheme="minorHAnsi"/>
          <w:sz w:val="24"/>
          <w:szCs w:val="24"/>
        </w:rPr>
        <w:t xml:space="preserve"> and provide</w:t>
      </w:r>
      <w:r w:rsidR="00DB235D" w:rsidRPr="005C6DCB">
        <w:rPr>
          <w:rStyle w:val="cf01"/>
          <w:rFonts w:asciiTheme="minorHAnsi" w:hAnsiTheme="minorHAnsi" w:cstheme="minorHAnsi"/>
          <w:sz w:val="24"/>
          <w:szCs w:val="24"/>
        </w:rPr>
        <w:t>d</w:t>
      </w:r>
      <w:r w:rsidR="00841FCF" w:rsidRPr="005C6DCB">
        <w:rPr>
          <w:rStyle w:val="cf01"/>
          <w:rFonts w:asciiTheme="minorHAnsi" w:hAnsiTheme="minorHAnsi" w:cstheme="minorHAnsi"/>
          <w:sz w:val="24"/>
          <w:szCs w:val="24"/>
        </w:rPr>
        <w:t xml:space="preserve"> </w:t>
      </w:r>
      <w:r w:rsidR="006E25EA" w:rsidRPr="005C6DCB">
        <w:rPr>
          <w:rStyle w:val="cf01"/>
          <w:rFonts w:asciiTheme="minorHAnsi" w:hAnsiTheme="minorHAnsi" w:cstheme="minorHAnsi"/>
          <w:sz w:val="24"/>
          <w:szCs w:val="24"/>
        </w:rPr>
        <w:t xml:space="preserve">the Patient Panel with </w:t>
      </w:r>
      <w:r w:rsidR="00841FCF" w:rsidRPr="005C6DCB">
        <w:rPr>
          <w:rStyle w:val="cf01"/>
          <w:rFonts w:asciiTheme="minorHAnsi" w:hAnsiTheme="minorHAnsi" w:cstheme="minorHAnsi"/>
          <w:sz w:val="24"/>
          <w:szCs w:val="24"/>
        </w:rPr>
        <w:t xml:space="preserve">access to more surgical specialties than were historically offered at MG </w:t>
      </w:r>
      <w:r w:rsidR="00841FCF" w:rsidRPr="009D3018">
        <w:rPr>
          <w:rStyle w:val="cf01"/>
          <w:rFonts w:asciiTheme="minorHAnsi" w:hAnsiTheme="minorHAnsi" w:cstheme="minorHAnsi"/>
          <w:sz w:val="24"/>
          <w:szCs w:val="24"/>
        </w:rPr>
        <w:t>Waltham</w:t>
      </w:r>
      <w:r w:rsidR="00D65A90" w:rsidRPr="009D3018">
        <w:rPr>
          <w:rStyle w:val="cf01"/>
          <w:rFonts w:asciiTheme="minorHAnsi" w:hAnsiTheme="minorHAnsi" w:cstheme="minorHAnsi"/>
          <w:sz w:val="24"/>
          <w:szCs w:val="24"/>
        </w:rPr>
        <w:t>.</w:t>
      </w:r>
      <w:r w:rsidR="00EE0EDB" w:rsidRPr="009D3018">
        <w:rPr>
          <w:rStyle w:val="cf01"/>
          <w:rFonts w:asciiTheme="minorHAnsi" w:hAnsiTheme="minorHAnsi" w:cstheme="minorHAnsi"/>
          <w:sz w:val="24"/>
          <w:szCs w:val="24"/>
        </w:rPr>
        <w:t xml:space="preserve"> </w:t>
      </w:r>
      <w:r w:rsidR="008F1730" w:rsidRPr="009D3018">
        <w:rPr>
          <w:rStyle w:val="cf01"/>
          <w:rFonts w:asciiTheme="minorHAnsi" w:hAnsiTheme="minorHAnsi" w:cstheme="minorHAnsi"/>
          <w:sz w:val="24"/>
          <w:szCs w:val="24"/>
        </w:rPr>
        <w:t xml:space="preserve">The </w:t>
      </w:r>
      <w:r w:rsidR="001B34B2" w:rsidRPr="009D3018">
        <w:rPr>
          <w:rStyle w:val="cf01"/>
          <w:rFonts w:asciiTheme="minorHAnsi" w:hAnsiTheme="minorHAnsi" w:cstheme="minorHAnsi"/>
          <w:sz w:val="24"/>
          <w:szCs w:val="24"/>
        </w:rPr>
        <w:t xml:space="preserve">Holder states that </w:t>
      </w:r>
      <w:r w:rsidR="008F1730" w:rsidRPr="009D3018">
        <w:rPr>
          <w:rStyle w:val="cf01"/>
          <w:rFonts w:asciiTheme="minorHAnsi" w:hAnsiTheme="minorHAnsi" w:cstheme="minorHAnsi"/>
          <w:sz w:val="24"/>
          <w:szCs w:val="24"/>
        </w:rPr>
        <w:t xml:space="preserve">growth in volume at MG Waltham </w:t>
      </w:r>
      <w:r w:rsidR="001B34B2" w:rsidRPr="009D3018">
        <w:rPr>
          <w:rStyle w:val="cf01"/>
          <w:rFonts w:asciiTheme="minorHAnsi" w:hAnsiTheme="minorHAnsi" w:cstheme="minorHAnsi"/>
          <w:sz w:val="24"/>
          <w:szCs w:val="24"/>
        </w:rPr>
        <w:t>was</w:t>
      </w:r>
      <w:r w:rsidR="008F1730" w:rsidRPr="009D3018">
        <w:rPr>
          <w:rStyle w:val="cf01"/>
          <w:rFonts w:asciiTheme="minorHAnsi" w:hAnsiTheme="minorHAnsi" w:cstheme="minorHAnsi"/>
          <w:sz w:val="24"/>
          <w:szCs w:val="24"/>
        </w:rPr>
        <w:t xml:space="preserve"> driven primarily by a shift in outpatient cases from the MGH Main Campus, as well as some organic growth in outpatient case volume. Specific to the shift of outpatient cases, the percentage of MG Waltham Outpatient Cases divided by Total Outpatient Cases (MG Waltham Outpatient Cases + MGH Main Campus Outpatient Cases) grew from 25% in FY</w:t>
      </w:r>
      <w:r w:rsidR="00B510F8" w:rsidRPr="009D3018">
        <w:rPr>
          <w:rStyle w:val="cf01"/>
          <w:rFonts w:asciiTheme="minorHAnsi" w:hAnsiTheme="minorHAnsi" w:cstheme="minorHAnsi"/>
          <w:sz w:val="24"/>
          <w:szCs w:val="24"/>
        </w:rPr>
        <w:t>20</w:t>
      </w:r>
      <w:r w:rsidR="008F1730" w:rsidRPr="009D3018">
        <w:rPr>
          <w:rStyle w:val="cf01"/>
          <w:rFonts w:asciiTheme="minorHAnsi" w:hAnsiTheme="minorHAnsi" w:cstheme="minorHAnsi"/>
          <w:sz w:val="24"/>
          <w:szCs w:val="24"/>
        </w:rPr>
        <w:t>21 to 39% in FY2</w:t>
      </w:r>
      <w:r w:rsidR="00B510F8" w:rsidRPr="009D3018">
        <w:rPr>
          <w:rStyle w:val="cf01"/>
          <w:rFonts w:asciiTheme="minorHAnsi" w:hAnsiTheme="minorHAnsi" w:cstheme="minorHAnsi"/>
          <w:sz w:val="24"/>
          <w:szCs w:val="24"/>
        </w:rPr>
        <w:t>02</w:t>
      </w:r>
      <w:r w:rsidR="008F1730" w:rsidRPr="009D3018">
        <w:rPr>
          <w:rStyle w:val="cf01"/>
          <w:rFonts w:asciiTheme="minorHAnsi" w:hAnsiTheme="minorHAnsi" w:cstheme="minorHAnsi"/>
          <w:sz w:val="24"/>
          <w:szCs w:val="24"/>
        </w:rPr>
        <w:t>3. Th</w:t>
      </w:r>
      <w:r w:rsidR="001B34B2" w:rsidRPr="009D3018">
        <w:rPr>
          <w:rStyle w:val="cf01"/>
          <w:rFonts w:asciiTheme="minorHAnsi" w:hAnsiTheme="minorHAnsi" w:cstheme="minorHAnsi"/>
          <w:sz w:val="24"/>
          <w:szCs w:val="24"/>
        </w:rPr>
        <w:t>e Holder</w:t>
      </w:r>
      <w:r w:rsidR="00331D1C" w:rsidRPr="009D3018">
        <w:rPr>
          <w:rStyle w:val="cf01"/>
          <w:rFonts w:asciiTheme="minorHAnsi" w:hAnsiTheme="minorHAnsi" w:cstheme="minorHAnsi"/>
          <w:sz w:val="24"/>
          <w:szCs w:val="24"/>
        </w:rPr>
        <w:t xml:space="preserve"> states that this</w:t>
      </w:r>
      <w:r w:rsidR="008F1730" w:rsidRPr="009D3018">
        <w:rPr>
          <w:rStyle w:val="cf01"/>
          <w:rFonts w:asciiTheme="minorHAnsi" w:hAnsiTheme="minorHAnsi" w:cstheme="minorHAnsi"/>
          <w:sz w:val="24"/>
          <w:szCs w:val="24"/>
        </w:rPr>
        <w:t xml:space="preserve"> data </w:t>
      </w:r>
      <w:r w:rsidR="00331D1C" w:rsidRPr="009D3018">
        <w:rPr>
          <w:rStyle w:val="cf01"/>
          <w:rFonts w:asciiTheme="minorHAnsi" w:hAnsiTheme="minorHAnsi" w:cstheme="minorHAnsi"/>
          <w:sz w:val="24"/>
          <w:szCs w:val="24"/>
        </w:rPr>
        <w:t xml:space="preserve">suggests </w:t>
      </w:r>
      <w:r w:rsidR="008F1730" w:rsidRPr="009D3018">
        <w:rPr>
          <w:rStyle w:val="cf01"/>
          <w:rFonts w:asciiTheme="minorHAnsi" w:hAnsiTheme="minorHAnsi" w:cstheme="minorHAnsi"/>
          <w:sz w:val="24"/>
          <w:szCs w:val="24"/>
        </w:rPr>
        <w:t xml:space="preserve">there was a deliberate shift of outpatient cases from the MGH Main Campus to MG Waltham. This has been achieved through the MGH </w:t>
      </w:r>
      <w:r w:rsidR="008F1730" w:rsidRPr="005C6DCB">
        <w:rPr>
          <w:rStyle w:val="cf01"/>
          <w:rFonts w:asciiTheme="minorHAnsi" w:hAnsiTheme="minorHAnsi" w:cstheme="minorHAnsi"/>
          <w:sz w:val="24"/>
          <w:szCs w:val="24"/>
        </w:rPr>
        <w:t>OR Block Governance Committee, which is responsible for assigning surgeon block time to OR locations that match patient acuity.</w:t>
      </w:r>
      <w:r w:rsidR="00F00F72">
        <w:rPr>
          <w:rStyle w:val="cf01"/>
          <w:rFonts w:asciiTheme="minorHAnsi" w:hAnsiTheme="minorHAnsi" w:cstheme="minorHAnsi"/>
          <w:sz w:val="24"/>
          <w:szCs w:val="24"/>
        </w:rPr>
        <w:t xml:space="preserve"> </w:t>
      </w:r>
      <w:r w:rsidR="00BC3F10" w:rsidRPr="7A628F98">
        <w:rPr>
          <w:sz w:val="24"/>
          <w:szCs w:val="24"/>
        </w:rPr>
        <w:t xml:space="preserve">After two years of operation, the </w:t>
      </w:r>
      <w:r w:rsidR="00F00F72">
        <w:rPr>
          <w:sz w:val="24"/>
          <w:szCs w:val="24"/>
        </w:rPr>
        <w:t xml:space="preserve">additional </w:t>
      </w:r>
      <w:r w:rsidR="00BC3F10" w:rsidRPr="7A628F98">
        <w:rPr>
          <w:sz w:val="24"/>
          <w:szCs w:val="24"/>
        </w:rPr>
        <w:t xml:space="preserve">MG Waltham ORs are </w:t>
      </w:r>
      <w:r w:rsidR="00F203E6" w:rsidRPr="7A628F98">
        <w:rPr>
          <w:sz w:val="24"/>
          <w:szCs w:val="24"/>
        </w:rPr>
        <w:t xml:space="preserve">experiencing a high volume of </w:t>
      </w:r>
      <w:r w:rsidR="008176DA" w:rsidRPr="7A628F98">
        <w:rPr>
          <w:sz w:val="24"/>
          <w:szCs w:val="24"/>
        </w:rPr>
        <w:t>surgeries</w:t>
      </w:r>
      <w:r w:rsidR="00BC3F10" w:rsidRPr="7A628F98">
        <w:rPr>
          <w:sz w:val="24"/>
          <w:szCs w:val="24"/>
        </w:rPr>
        <w:t xml:space="preserve">, </w:t>
      </w:r>
      <w:r w:rsidR="00C84430" w:rsidRPr="7A628F98">
        <w:rPr>
          <w:sz w:val="24"/>
          <w:szCs w:val="24"/>
        </w:rPr>
        <w:t>as detailed in Table 1.</w:t>
      </w:r>
      <w:r w:rsidR="008176DA" w:rsidRPr="7A628F98">
        <w:rPr>
          <w:sz w:val="24"/>
          <w:szCs w:val="24"/>
        </w:rPr>
        <w:t xml:space="preserve"> </w:t>
      </w:r>
    </w:p>
    <w:p w14:paraId="2CD44190" w14:textId="77777777" w:rsidR="00BA1E51" w:rsidRDefault="00BA1E51" w:rsidP="00882AEE">
      <w:pPr>
        <w:ind w:right="-10"/>
        <w:rPr>
          <w:sz w:val="24"/>
          <w:szCs w:val="24"/>
        </w:rPr>
      </w:pPr>
    </w:p>
    <w:p w14:paraId="2F5747EE" w14:textId="6A8B9286" w:rsidR="005D7DE4" w:rsidRPr="000F3D74" w:rsidRDefault="005D7DE4" w:rsidP="000F3D74">
      <w:pPr>
        <w:ind w:right="-10"/>
        <w:jc w:val="center"/>
        <w:rPr>
          <w:sz w:val="26"/>
          <w:szCs w:val="26"/>
        </w:rPr>
      </w:pPr>
      <w:r w:rsidRPr="000F3D74">
        <w:rPr>
          <w:b/>
          <w:bCs/>
          <w:sz w:val="24"/>
          <w:szCs w:val="24"/>
          <w:u w:val="single"/>
        </w:rPr>
        <w:t>Table 1:</w:t>
      </w:r>
      <w:r w:rsidRPr="000F3D74">
        <w:rPr>
          <w:sz w:val="26"/>
          <w:szCs w:val="26"/>
        </w:rPr>
        <w:t xml:space="preserve"> </w:t>
      </w:r>
      <w:r w:rsidR="000F3D74" w:rsidRPr="000F3D74">
        <w:rPr>
          <w:b/>
          <w:bCs/>
          <w:sz w:val="24"/>
          <w:szCs w:val="24"/>
        </w:rPr>
        <w:t>MG Waltham Historical Surgical Volume by Specialty</w:t>
      </w:r>
    </w:p>
    <w:tbl>
      <w:tblPr>
        <w:tblStyle w:val="TableGrid"/>
        <w:tblW w:w="0" w:type="auto"/>
        <w:tblLook w:val="04A0" w:firstRow="1" w:lastRow="0" w:firstColumn="1" w:lastColumn="0" w:noHBand="0" w:noVBand="1"/>
      </w:tblPr>
      <w:tblGrid>
        <w:gridCol w:w="2965"/>
        <w:gridCol w:w="1260"/>
        <w:gridCol w:w="1260"/>
        <w:gridCol w:w="1260"/>
        <w:gridCol w:w="1260"/>
        <w:gridCol w:w="1345"/>
      </w:tblGrid>
      <w:tr w:rsidR="005D7DE4" w14:paraId="1D02DA43" w14:textId="77777777" w:rsidTr="00E24418">
        <w:trPr>
          <w:cantSplit/>
          <w:tblHeader/>
        </w:trPr>
        <w:tc>
          <w:tcPr>
            <w:tcW w:w="2965" w:type="dxa"/>
            <w:shd w:val="clear" w:color="auto" w:fill="DBE5F1" w:themeFill="accent1" w:themeFillTint="33"/>
            <w:vAlign w:val="center"/>
          </w:tcPr>
          <w:p w14:paraId="5E65F56A" w14:textId="77777777" w:rsidR="005D7DE4" w:rsidRDefault="005D7DE4" w:rsidP="003E413F">
            <w:pPr>
              <w:adjustRightInd w:val="0"/>
              <w:rPr>
                <w:b/>
                <w:bCs/>
              </w:rPr>
            </w:pPr>
            <w:r w:rsidRPr="00637887">
              <w:rPr>
                <w:b/>
                <w:bCs/>
                <w:color w:val="000000"/>
              </w:rPr>
              <w:t>Case Type</w:t>
            </w:r>
          </w:p>
        </w:tc>
        <w:tc>
          <w:tcPr>
            <w:tcW w:w="1260" w:type="dxa"/>
            <w:shd w:val="clear" w:color="auto" w:fill="DBE5F1" w:themeFill="accent1" w:themeFillTint="33"/>
            <w:vAlign w:val="center"/>
          </w:tcPr>
          <w:p w14:paraId="0884CF09" w14:textId="77777777" w:rsidR="005D7DE4" w:rsidRDefault="005D7DE4" w:rsidP="003E413F">
            <w:pPr>
              <w:jc w:val="center"/>
              <w:rPr>
                <w:b/>
                <w:bCs/>
                <w:color w:val="000000"/>
              </w:rPr>
            </w:pPr>
            <w:r w:rsidRPr="00637887">
              <w:rPr>
                <w:b/>
                <w:bCs/>
                <w:color w:val="000000"/>
              </w:rPr>
              <w:t xml:space="preserve">FY19 Volume </w:t>
            </w:r>
          </w:p>
          <w:p w14:paraId="6A07327B" w14:textId="77777777" w:rsidR="005D7DE4" w:rsidRDefault="005D7DE4" w:rsidP="003E413F">
            <w:pPr>
              <w:adjustRightInd w:val="0"/>
              <w:rPr>
                <w:b/>
                <w:bCs/>
              </w:rPr>
            </w:pPr>
            <w:r w:rsidRPr="00637887">
              <w:rPr>
                <w:b/>
                <w:bCs/>
                <w:color w:val="000000"/>
              </w:rPr>
              <w:t>(4</w:t>
            </w:r>
            <w:r>
              <w:rPr>
                <w:b/>
                <w:bCs/>
                <w:color w:val="000000"/>
              </w:rPr>
              <w:t xml:space="preserve"> </w:t>
            </w:r>
            <w:r w:rsidRPr="00637887">
              <w:rPr>
                <w:b/>
                <w:bCs/>
                <w:color w:val="000000"/>
              </w:rPr>
              <w:t>ORs)</w:t>
            </w:r>
          </w:p>
        </w:tc>
        <w:tc>
          <w:tcPr>
            <w:tcW w:w="1260" w:type="dxa"/>
            <w:shd w:val="clear" w:color="auto" w:fill="DBE5F1" w:themeFill="accent1" w:themeFillTint="33"/>
            <w:vAlign w:val="center"/>
          </w:tcPr>
          <w:p w14:paraId="31288AF3" w14:textId="77777777" w:rsidR="005D7DE4" w:rsidRDefault="005D7DE4" w:rsidP="003E413F">
            <w:pPr>
              <w:adjustRightInd w:val="0"/>
              <w:rPr>
                <w:b/>
                <w:bCs/>
              </w:rPr>
            </w:pPr>
            <w:r w:rsidRPr="00637887">
              <w:rPr>
                <w:b/>
                <w:bCs/>
                <w:color w:val="000000"/>
              </w:rPr>
              <w:t>FY22 Volume (10 ORs)</w:t>
            </w:r>
          </w:p>
        </w:tc>
        <w:tc>
          <w:tcPr>
            <w:tcW w:w="1260" w:type="dxa"/>
            <w:shd w:val="clear" w:color="auto" w:fill="DBE5F1" w:themeFill="accent1" w:themeFillTint="33"/>
            <w:vAlign w:val="center"/>
          </w:tcPr>
          <w:p w14:paraId="7B676630" w14:textId="77777777" w:rsidR="005D7DE4" w:rsidRDefault="005D7DE4" w:rsidP="003E413F">
            <w:pPr>
              <w:adjustRightInd w:val="0"/>
              <w:rPr>
                <w:b/>
                <w:bCs/>
              </w:rPr>
            </w:pPr>
            <w:r w:rsidRPr="00637887">
              <w:rPr>
                <w:b/>
                <w:bCs/>
                <w:color w:val="000000"/>
              </w:rPr>
              <w:t>FY23 Volume (10 ORs)</w:t>
            </w:r>
          </w:p>
        </w:tc>
        <w:tc>
          <w:tcPr>
            <w:tcW w:w="1260" w:type="dxa"/>
            <w:shd w:val="clear" w:color="auto" w:fill="D9D9D9" w:themeFill="background1" w:themeFillShade="D9"/>
            <w:vAlign w:val="center"/>
          </w:tcPr>
          <w:p w14:paraId="48C83E71" w14:textId="77777777" w:rsidR="005D7DE4" w:rsidRDefault="005D7DE4" w:rsidP="003E413F">
            <w:pPr>
              <w:adjustRightInd w:val="0"/>
              <w:rPr>
                <w:b/>
                <w:bCs/>
              </w:rPr>
            </w:pPr>
            <w:r w:rsidRPr="00637887">
              <w:rPr>
                <w:b/>
                <w:bCs/>
                <w:color w:val="000000"/>
              </w:rPr>
              <w:t>Volume Change (FY23 - FY19)</w:t>
            </w:r>
          </w:p>
        </w:tc>
        <w:tc>
          <w:tcPr>
            <w:tcW w:w="1345" w:type="dxa"/>
            <w:shd w:val="clear" w:color="auto" w:fill="D9D9D9" w:themeFill="background1" w:themeFillShade="D9"/>
            <w:vAlign w:val="center"/>
          </w:tcPr>
          <w:p w14:paraId="45104A65" w14:textId="77777777" w:rsidR="005D7DE4" w:rsidRDefault="005D7DE4" w:rsidP="003E413F">
            <w:pPr>
              <w:adjustRightInd w:val="0"/>
              <w:rPr>
                <w:b/>
                <w:bCs/>
              </w:rPr>
            </w:pPr>
            <w:r w:rsidRPr="00637887">
              <w:rPr>
                <w:b/>
                <w:bCs/>
                <w:color w:val="000000"/>
              </w:rPr>
              <w:t>% Change (FY23 - FY19)</w:t>
            </w:r>
          </w:p>
        </w:tc>
      </w:tr>
      <w:tr w:rsidR="005D7DE4" w14:paraId="735AE5F1" w14:textId="77777777" w:rsidTr="00E24418">
        <w:trPr>
          <w:cantSplit/>
          <w:trHeight w:val="288"/>
        </w:trPr>
        <w:tc>
          <w:tcPr>
            <w:tcW w:w="2965" w:type="dxa"/>
            <w:vAlign w:val="bottom"/>
          </w:tcPr>
          <w:p w14:paraId="117C0074" w14:textId="77777777" w:rsidR="005D7DE4" w:rsidRDefault="005D7DE4" w:rsidP="003E413F">
            <w:pPr>
              <w:adjustRightInd w:val="0"/>
              <w:rPr>
                <w:b/>
                <w:bCs/>
              </w:rPr>
            </w:pPr>
            <w:r w:rsidRPr="00637887">
              <w:rPr>
                <w:color w:val="000000"/>
              </w:rPr>
              <w:t>Burn</w:t>
            </w:r>
          </w:p>
        </w:tc>
        <w:tc>
          <w:tcPr>
            <w:tcW w:w="1260" w:type="dxa"/>
            <w:vAlign w:val="bottom"/>
          </w:tcPr>
          <w:p w14:paraId="5D2A19E3" w14:textId="77777777" w:rsidR="005D7DE4" w:rsidRDefault="005D7DE4" w:rsidP="003E413F">
            <w:pPr>
              <w:adjustRightInd w:val="0"/>
              <w:rPr>
                <w:b/>
                <w:bCs/>
              </w:rPr>
            </w:pPr>
            <w:r w:rsidRPr="00637887">
              <w:rPr>
                <w:color w:val="000000"/>
              </w:rPr>
              <w:t>0</w:t>
            </w:r>
          </w:p>
        </w:tc>
        <w:tc>
          <w:tcPr>
            <w:tcW w:w="1260" w:type="dxa"/>
            <w:vAlign w:val="bottom"/>
          </w:tcPr>
          <w:p w14:paraId="332FF8B3" w14:textId="77777777" w:rsidR="005D7DE4" w:rsidRDefault="005D7DE4" w:rsidP="003E413F">
            <w:pPr>
              <w:adjustRightInd w:val="0"/>
              <w:rPr>
                <w:b/>
                <w:bCs/>
              </w:rPr>
            </w:pPr>
            <w:r w:rsidRPr="00637887">
              <w:rPr>
                <w:color w:val="000000"/>
              </w:rPr>
              <w:t>51</w:t>
            </w:r>
          </w:p>
        </w:tc>
        <w:tc>
          <w:tcPr>
            <w:tcW w:w="1260" w:type="dxa"/>
            <w:vAlign w:val="bottom"/>
          </w:tcPr>
          <w:p w14:paraId="5264BFB2" w14:textId="77777777" w:rsidR="005D7DE4" w:rsidRDefault="005D7DE4" w:rsidP="003E413F">
            <w:pPr>
              <w:adjustRightInd w:val="0"/>
              <w:rPr>
                <w:b/>
                <w:bCs/>
              </w:rPr>
            </w:pPr>
            <w:r w:rsidRPr="00637887">
              <w:rPr>
                <w:color w:val="000000"/>
              </w:rPr>
              <w:t>30</w:t>
            </w:r>
          </w:p>
        </w:tc>
        <w:tc>
          <w:tcPr>
            <w:tcW w:w="1260" w:type="dxa"/>
            <w:shd w:val="clear" w:color="auto" w:fill="F2F2F2" w:themeFill="background1" w:themeFillShade="F2"/>
            <w:vAlign w:val="bottom"/>
          </w:tcPr>
          <w:p w14:paraId="7E1AF33E" w14:textId="77777777" w:rsidR="005D7DE4" w:rsidRDefault="005D7DE4" w:rsidP="003E413F">
            <w:pPr>
              <w:adjustRightInd w:val="0"/>
              <w:rPr>
                <w:b/>
                <w:bCs/>
              </w:rPr>
            </w:pPr>
            <w:r w:rsidRPr="00637887">
              <w:rPr>
                <w:color w:val="000000"/>
              </w:rPr>
              <w:t>30</w:t>
            </w:r>
          </w:p>
        </w:tc>
        <w:tc>
          <w:tcPr>
            <w:tcW w:w="1345" w:type="dxa"/>
            <w:shd w:val="clear" w:color="auto" w:fill="F2F2F2" w:themeFill="background1" w:themeFillShade="F2"/>
            <w:vAlign w:val="bottom"/>
          </w:tcPr>
          <w:p w14:paraId="6AF27AB8" w14:textId="77777777" w:rsidR="005D7DE4" w:rsidRDefault="005D7DE4" w:rsidP="003E413F">
            <w:pPr>
              <w:adjustRightInd w:val="0"/>
              <w:rPr>
                <w:b/>
                <w:bCs/>
              </w:rPr>
            </w:pPr>
            <w:r w:rsidRPr="00637887">
              <w:rPr>
                <w:color w:val="000000"/>
              </w:rPr>
              <w:t>N/A</w:t>
            </w:r>
          </w:p>
        </w:tc>
      </w:tr>
      <w:tr w:rsidR="005D7DE4" w14:paraId="0FE6B88E" w14:textId="77777777" w:rsidTr="00E24418">
        <w:trPr>
          <w:cantSplit/>
          <w:trHeight w:val="288"/>
        </w:trPr>
        <w:tc>
          <w:tcPr>
            <w:tcW w:w="2965" w:type="dxa"/>
            <w:vAlign w:val="bottom"/>
          </w:tcPr>
          <w:p w14:paraId="01344D8F" w14:textId="77777777" w:rsidR="005D7DE4" w:rsidRDefault="005D7DE4" w:rsidP="003E413F">
            <w:pPr>
              <w:adjustRightInd w:val="0"/>
              <w:rPr>
                <w:b/>
                <w:bCs/>
              </w:rPr>
            </w:pPr>
            <w:r w:rsidRPr="00637887">
              <w:rPr>
                <w:color w:val="000000"/>
              </w:rPr>
              <w:t>Endoscopy</w:t>
            </w:r>
          </w:p>
        </w:tc>
        <w:tc>
          <w:tcPr>
            <w:tcW w:w="1260" w:type="dxa"/>
            <w:vAlign w:val="bottom"/>
          </w:tcPr>
          <w:p w14:paraId="4E9015EE" w14:textId="77777777" w:rsidR="005D7DE4" w:rsidRDefault="005D7DE4" w:rsidP="003E413F">
            <w:pPr>
              <w:adjustRightInd w:val="0"/>
              <w:rPr>
                <w:b/>
                <w:bCs/>
              </w:rPr>
            </w:pPr>
            <w:r w:rsidRPr="00637887">
              <w:rPr>
                <w:color w:val="000000"/>
              </w:rPr>
              <w:t>0</w:t>
            </w:r>
          </w:p>
        </w:tc>
        <w:tc>
          <w:tcPr>
            <w:tcW w:w="1260" w:type="dxa"/>
            <w:vAlign w:val="bottom"/>
          </w:tcPr>
          <w:p w14:paraId="08A62109" w14:textId="77777777" w:rsidR="005D7DE4" w:rsidRDefault="005D7DE4" w:rsidP="003E413F">
            <w:pPr>
              <w:adjustRightInd w:val="0"/>
              <w:rPr>
                <w:b/>
                <w:bCs/>
              </w:rPr>
            </w:pPr>
            <w:r w:rsidRPr="00637887">
              <w:rPr>
                <w:color w:val="000000"/>
              </w:rPr>
              <w:t>1,235</w:t>
            </w:r>
          </w:p>
        </w:tc>
        <w:tc>
          <w:tcPr>
            <w:tcW w:w="1260" w:type="dxa"/>
            <w:vAlign w:val="bottom"/>
          </w:tcPr>
          <w:p w14:paraId="684DFF7A" w14:textId="77777777" w:rsidR="005D7DE4" w:rsidRDefault="005D7DE4" w:rsidP="003E413F">
            <w:pPr>
              <w:adjustRightInd w:val="0"/>
              <w:rPr>
                <w:b/>
                <w:bCs/>
              </w:rPr>
            </w:pPr>
            <w:r w:rsidRPr="00637887">
              <w:rPr>
                <w:color w:val="000000"/>
              </w:rPr>
              <w:t>1,324</w:t>
            </w:r>
          </w:p>
        </w:tc>
        <w:tc>
          <w:tcPr>
            <w:tcW w:w="1260" w:type="dxa"/>
            <w:shd w:val="clear" w:color="auto" w:fill="F2F2F2" w:themeFill="background1" w:themeFillShade="F2"/>
            <w:vAlign w:val="bottom"/>
          </w:tcPr>
          <w:p w14:paraId="134EE7C7" w14:textId="77777777" w:rsidR="005D7DE4" w:rsidRDefault="005D7DE4" w:rsidP="003E413F">
            <w:pPr>
              <w:adjustRightInd w:val="0"/>
              <w:rPr>
                <w:b/>
                <w:bCs/>
              </w:rPr>
            </w:pPr>
            <w:r w:rsidRPr="00637887">
              <w:rPr>
                <w:color w:val="000000"/>
              </w:rPr>
              <w:t>1,324</w:t>
            </w:r>
          </w:p>
        </w:tc>
        <w:tc>
          <w:tcPr>
            <w:tcW w:w="1345" w:type="dxa"/>
            <w:shd w:val="clear" w:color="auto" w:fill="F2F2F2" w:themeFill="background1" w:themeFillShade="F2"/>
            <w:vAlign w:val="bottom"/>
          </w:tcPr>
          <w:p w14:paraId="551E8BD1" w14:textId="77777777" w:rsidR="005D7DE4" w:rsidRDefault="005D7DE4" w:rsidP="003E413F">
            <w:pPr>
              <w:adjustRightInd w:val="0"/>
              <w:rPr>
                <w:b/>
                <w:bCs/>
              </w:rPr>
            </w:pPr>
            <w:r w:rsidRPr="00637887">
              <w:rPr>
                <w:color w:val="000000"/>
              </w:rPr>
              <w:t>N/A</w:t>
            </w:r>
          </w:p>
        </w:tc>
      </w:tr>
      <w:tr w:rsidR="005D7DE4" w14:paraId="0FD2F557" w14:textId="77777777" w:rsidTr="00E24418">
        <w:trPr>
          <w:cantSplit/>
          <w:trHeight w:val="288"/>
        </w:trPr>
        <w:tc>
          <w:tcPr>
            <w:tcW w:w="2965" w:type="dxa"/>
            <w:vAlign w:val="bottom"/>
          </w:tcPr>
          <w:p w14:paraId="2142DB15" w14:textId="77777777" w:rsidR="005D7DE4" w:rsidRDefault="005D7DE4" w:rsidP="003E413F">
            <w:pPr>
              <w:adjustRightInd w:val="0"/>
              <w:rPr>
                <w:b/>
                <w:bCs/>
              </w:rPr>
            </w:pPr>
            <w:r w:rsidRPr="00637887">
              <w:rPr>
                <w:color w:val="000000"/>
              </w:rPr>
              <w:t>Surgical Oncology</w:t>
            </w:r>
          </w:p>
        </w:tc>
        <w:tc>
          <w:tcPr>
            <w:tcW w:w="1260" w:type="dxa"/>
            <w:vAlign w:val="bottom"/>
          </w:tcPr>
          <w:p w14:paraId="1CDB70A6" w14:textId="77777777" w:rsidR="005D7DE4" w:rsidRDefault="005D7DE4" w:rsidP="003E413F">
            <w:pPr>
              <w:adjustRightInd w:val="0"/>
              <w:rPr>
                <w:b/>
                <w:bCs/>
              </w:rPr>
            </w:pPr>
            <w:r w:rsidRPr="00637887">
              <w:rPr>
                <w:color w:val="000000"/>
              </w:rPr>
              <w:t>12</w:t>
            </w:r>
          </w:p>
        </w:tc>
        <w:tc>
          <w:tcPr>
            <w:tcW w:w="1260" w:type="dxa"/>
            <w:vAlign w:val="bottom"/>
          </w:tcPr>
          <w:p w14:paraId="297D56BD" w14:textId="77777777" w:rsidR="005D7DE4" w:rsidRDefault="005D7DE4" w:rsidP="003E413F">
            <w:pPr>
              <w:adjustRightInd w:val="0"/>
              <w:rPr>
                <w:b/>
                <w:bCs/>
              </w:rPr>
            </w:pPr>
            <w:r w:rsidRPr="00637887">
              <w:rPr>
                <w:color w:val="000000"/>
              </w:rPr>
              <w:t>455</w:t>
            </w:r>
          </w:p>
        </w:tc>
        <w:tc>
          <w:tcPr>
            <w:tcW w:w="1260" w:type="dxa"/>
            <w:vAlign w:val="bottom"/>
          </w:tcPr>
          <w:p w14:paraId="4875609C" w14:textId="77777777" w:rsidR="005D7DE4" w:rsidRDefault="005D7DE4" w:rsidP="003E413F">
            <w:pPr>
              <w:adjustRightInd w:val="0"/>
              <w:rPr>
                <w:b/>
                <w:bCs/>
              </w:rPr>
            </w:pPr>
            <w:r w:rsidRPr="00637887">
              <w:rPr>
                <w:color w:val="000000"/>
              </w:rPr>
              <w:t>1,153</w:t>
            </w:r>
          </w:p>
        </w:tc>
        <w:tc>
          <w:tcPr>
            <w:tcW w:w="1260" w:type="dxa"/>
            <w:shd w:val="clear" w:color="auto" w:fill="F2F2F2" w:themeFill="background1" w:themeFillShade="F2"/>
            <w:vAlign w:val="bottom"/>
          </w:tcPr>
          <w:p w14:paraId="5A08133E" w14:textId="77777777" w:rsidR="005D7DE4" w:rsidRDefault="005D7DE4" w:rsidP="003E413F">
            <w:pPr>
              <w:adjustRightInd w:val="0"/>
              <w:rPr>
                <w:b/>
                <w:bCs/>
              </w:rPr>
            </w:pPr>
            <w:r w:rsidRPr="00637887">
              <w:rPr>
                <w:color w:val="000000"/>
              </w:rPr>
              <w:t>1,141</w:t>
            </w:r>
          </w:p>
        </w:tc>
        <w:tc>
          <w:tcPr>
            <w:tcW w:w="1345" w:type="dxa"/>
            <w:shd w:val="clear" w:color="auto" w:fill="F2F2F2" w:themeFill="background1" w:themeFillShade="F2"/>
            <w:vAlign w:val="bottom"/>
          </w:tcPr>
          <w:p w14:paraId="02D711CF" w14:textId="77777777" w:rsidR="005D7DE4" w:rsidRDefault="005D7DE4" w:rsidP="003E413F">
            <w:pPr>
              <w:adjustRightInd w:val="0"/>
              <w:rPr>
                <w:b/>
                <w:bCs/>
              </w:rPr>
            </w:pPr>
            <w:r w:rsidRPr="00637887">
              <w:rPr>
                <w:color w:val="000000"/>
              </w:rPr>
              <w:t>9508%</w:t>
            </w:r>
          </w:p>
        </w:tc>
      </w:tr>
      <w:tr w:rsidR="005D7DE4" w14:paraId="610BD0E0" w14:textId="77777777" w:rsidTr="00E24418">
        <w:trPr>
          <w:cantSplit/>
          <w:trHeight w:val="288"/>
        </w:trPr>
        <w:tc>
          <w:tcPr>
            <w:tcW w:w="2965" w:type="dxa"/>
            <w:vAlign w:val="bottom"/>
          </w:tcPr>
          <w:p w14:paraId="2B1AB47F" w14:textId="77777777" w:rsidR="005D7DE4" w:rsidRPr="00F86535" w:rsidRDefault="005D7DE4" w:rsidP="003E413F">
            <w:pPr>
              <w:adjustRightInd w:val="0"/>
              <w:rPr>
                <w:b/>
                <w:bCs/>
              </w:rPr>
            </w:pPr>
            <w:r w:rsidRPr="00F86535">
              <w:rPr>
                <w:color w:val="000000"/>
              </w:rPr>
              <w:t>Gynecology</w:t>
            </w:r>
          </w:p>
        </w:tc>
        <w:tc>
          <w:tcPr>
            <w:tcW w:w="1260" w:type="dxa"/>
            <w:vAlign w:val="bottom"/>
          </w:tcPr>
          <w:p w14:paraId="3A8B24DC" w14:textId="77777777" w:rsidR="005D7DE4" w:rsidRPr="00F86535" w:rsidRDefault="005D7DE4" w:rsidP="003E413F">
            <w:pPr>
              <w:adjustRightInd w:val="0"/>
              <w:rPr>
                <w:b/>
                <w:bCs/>
              </w:rPr>
            </w:pPr>
            <w:r w:rsidRPr="00F86535">
              <w:rPr>
                <w:color w:val="000000"/>
              </w:rPr>
              <w:t>0</w:t>
            </w:r>
          </w:p>
        </w:tc>
        <w:tc>
          <w:tcPr>
            <w:tcW w:w="1260" w:type="dxa"/>
            <w:vAlign w:val="bottom"/>
          </w:tcPr>
          <w:p w14:paraId="0711D2A8" w14:textId="77777777" w:rsidR="005D7DE4" w:rsidRPr="00F86535" w:rsidRDefault="005D7DE4" w:rsidP="003E413F">
            <w:pPr>
              <w:adjustRightInd w:val="0"/>
              <w:rPr>
                <w:b/>
                <w:bCs/>
              </w:rPr>
            </w:pPr>
            <w:r w:rsidRPr="00F86535">
              <w:rPr>
                <w:color w:val="000000"/>
              </w:rPr>
              <w:t>351</w:t>
            </w:r>
          </w:p>
        </w:tc>
        <w:tc>
          <w:tcPr>
            <w:tcW w:w="1260" w:type="dxa"/>
            <w:vAlign w:val="bottom"/>
          </w:tcPr>
          <w:p w14:paraId="51CB3C7D" w14:textId="77777777" w:rsidR="005D7DE4" w:rsidRPr="00F86535" w:rsidRDefault="005D7DE4" w:rsidP="003E413F">
            <w:pPr>
              <w:adjustRightInd w:val="0"/>
              <w:rPr>
                <w:b/>
                <w:bCs/>
              </w:rPr>
            </w:pPr>
            <w:r w:rsidRPr="00F86535">
              <w:rPr>
                <w:color w:val="000000"/>
              </w:rPr>
              <w:t>366</w:t>
            </w:r>
          </w:p>
        </w:tc>
        <w:tc>
          <w:tcPr>
            <w:tcW w:w="1260" w:type="dxa"/>
            <w:shd w:val="clear" w:color="auto" w:fill="F2F2F2" w:themeFill="background1" w:themeFillShade="F2"/>
            <w:vAlign w:val="bottom"/>
          </w:tcPr>
          <w:p w14:paraId="7CDC6FDB" w14:textId="77777777" w:rsidR="005D7DE4" w:rsidRPr="00F86535" w:rsidRDefault="005D7DE4" w:rsidP="003E413F">
            <w:pPr>
              <w:adjustRightInd w:val="0"/>
              <w:rPr>
                <w:b/>
                <w:bCs/>
              </w:rPr>
            </w:pPr>
            <w:r w:rsidRPr="00F86535">
              <w:rPr>
                <w:color w:val="000000"/>
              </w:rPr>
              <w:t>366</w:t>
            </w:r>
          </w:p>
        </w:tc>
        <w:tc>
          <w:tcPr>
            <w:tcW w:w="1345" w:type="dxa"/>
            <w:shd w:val="clear" w:color="auto" w:fill="F2F2F2" w:themeFill="background1" w:themeFillShade="F2"/>
            <w:vAlign w:val="bottom"/>
          </w:tcPr>
          <w:p w14:paraId="2FBC2CB4" w14:textId="77777777" w:rsidR="005D7DE4" w:rsidRPr="00F86535" w:rsidRDefault="005D7DE4" w:rsidP="003E413F">
            <w:pPr>
              <w:adjustRightInd w:val="0"/>
              <w:rPr>
                <w:b/>
                <w:bCs/>
              </w:rPr>
            </w:pPr>
            <w:r w:rsidRPr="00F86535">
              <w:rPr>
                <w:color w:val="000000"/>
              </w:rPr>
              <w:t>N/A</w:t>
            </w:r>
          </w:p>
        </w:tc>
      </w:tr>
      <w:tr w:rsidR="005D7DE4" w14:paraId="7F4CDF08" w14:textId="77777777" w:rsidTr="00E24418">
        <w:trPr>
          <w:cantSplit/>
          <w:trHeight w:val="288"/>
        </w:trPr>
        <w:tc>
          <w:tcPr>
            <w:tcW w:w="2965" w:type="dxa"/>
            <w:vAlign w:val="bottom"/>
          </w:tcPr>
          <w:p w14:paraId="1D591943" w14:textId="77777777" w:rsidR="005D7DE4" w:rsidRPr="00F86535" w:rsidRDefault="005D7DE4" w:rsidP="003E413F">
            <w:pPr>
              <w:adjustRightInd w:val="0"/>
              <w:rPr>
                <w:b/>
                <w:bCs/>
              </w:rPr>
            </w:pPr>
            <w:r w:rsidRPr="00F86535">
              <w:rPr>
                <w:color w:val="000000"/>
              </w:rPr>
              <w:t>Neurosurgery</w:t>
            </w:r>
          </w:p>
        </w:tc>
        <w:tc>
          <w:tcPr>
            <w:tcW w:w="1260" w:type="dxa"/>
            <w:vAlign w:val="bottom"/>
          </w:tcPr>
          <w:p w14:paraId="7E2AEACA" w14:textId="4A898920" w:rsidR="005D7DE4" w:rsidRPr="00F86535" w:rsidRDefault="00530991" w:rsidP="003E413F">
            <w:pPr>
              <w:adjustRightInd w:val="0"/>
              <w:rPr>
                <w:b/>
                <w:bCs/>
              </w:rPr>
            </w:pPr>
            <w:r>
              <w:rPr>
                <w:color w:val="000000"/>
              </w:rPr>
              <w:t>&lt;11</w:t>
            </w:r>
          </w:p>
        </w:tc>
        <w:tc>
          <w:tcPr>
            <w:tcW w:w="1260" w:type="dxa"/>
            <w:vAlign w:val="bottom"/>
          </w:tcPr>
          <w:p w14:paraId="4F7E4436" w14:textId="77777777" w:rsidR="005D7DE4" w:rsidRPr="00F86535" w:rsidRDefault="005D7DE4" w:rsidP="003E413F">
            <w:pPr>
              <w:adjustRightInd w:val="0"/>
              <w:rPr>
                <w:b/>
                <w:bCs/>
              </w:rPr>
            </w:pPr>
            <w:r w:rsidRPr="00F86535">
              <w:rPr>
                <w:color w:val="000000"/>
              </w:rPr>
              <w:t>30</w:t>
            </w:r>
          </w:p>
        </w:tc>
        <w:tc>
          <w:tcPr>
            <w:tcW w:w="1260" w:type="dxa"/>
            <w:vAlign w:val="bottom"/>
          </w:tcPr>
          <w:p w14:paraId="3A0BBD22" w14:textId="77777777" w:rsidR="005D7DE4" w:rsidRPr="00F86535" w:rsidRDefault="005D7DE4" w:rsidP="003E413F">
            <w:pPr>
              <w:adjustRightInd w:val="0"/>
              <w:rPr>
                <w:b/>
                <w:bCs/>
              </w:rPr>
            </w:pPr>
            <w:r w:rsidRPr="00F86535">
              <w:rPr>
                <w:color w:val="000000"/>
              </w:rPr>
              <w:t>14</w:t>
            </w:r>
          </w:p>
        </w:tc>
        <w:tc>
          <w:tcPr>
            <w:tcW w:w="1260" w:type="dxa"/>
            <w:shd w:val="clear" w:color="auto" w:fill="F2F2F2" w:themeFill="background1" w:themeFillShade="F2"/>
            <w:vAlign w:val="bottom"/>
          </w:tcPr>
          <w:p w14:paraId="6F63A24E" w14:textId="77777777" w:rsidR="005D7DE4" w:rsidRPr="00F86535" w:rsidRDefault="005D7DE4" w:rsidP="003E413F">
            <w:pPr>
              <w:adjustRightInd w:val="0"/>
              <w:rPr>
                <w:b/>
                <w:bCs/>
              </w:rPr>
            </w:pPr>
            <w:r w:rsidRPr="00F86535">
              <w:rPr>
                <w:color w:val="000000"/>
              </w:rPr>
              <w:t>13</w:t>
            </w:r>
          </w:p>
        </w:tc>
        <w:tc>
          <w:tcPr>
            <w:tcW w:w="1345" w:type="dxa"/>
            <w:shd w:val="clear" w:color="auto" w:fill="F2F2F2" w:themeFill="background1" w:themeFillShade="F2"/>
            <w:vAlign w:val="bottom"/>
          </w:tcPr>
          <w:p w14:paraId="5C568C2F" w14:textId="77777777" w:rsidR="005D7DE4" w:rsidRPr="00F86535" w:rsidRDefault="005D7DE4" w:rsidP="003E413F">
            <w:pPr>
              <w:adjustRightInd w:val="0"/>
              <w:rPr>
                <w:b/>
                <w:bCs/>
              </w:rPr>
            </w:pPr>
            <w:r w:rsidRPr="00F86535">
              <w:rPr>
                <w:color w:val="000000"/>
              </w:rPr>
              <w:t>1300%</w:t>
            </w:r>
          </w:p>
        </w:tc>
      </w:tr>
      <w:tr w:rsidR="005D7DE4" w14:paraId="36A82B95" w14:textId="77777777" w:rsidTr="00E24418">
        <w:trPr>
          <w:cantSplit/>
          <w:trHeight w:val="288"/>
        </w:trPr>
        <w:tc>
          <w:tcPr>
            <w:tcW w:w="2965" w:type="dxa"/>
            <w:vAlign w:val="bottom"/>
          </w:tcPr>
          <w:p w14:paraId="43152EB1" w14:textId="77777777" w:rsidR="005D7DE4" w:rsidRPr="00F86535" w:rsidRDefault="005D7DE4" w:rsidP="003E413F">
            <w:pPr>
              <w:adjustRightInd w:val="0"/>
              <w:rPr>
                <w:b/>
                <w:bCs/>
              </w:rPr>
            </w:pPr>
            <w:r w:rsidRPr="00F86535">
              <w:rPr>
                <w:color w:val="000000"/>
              </w:rPr>
              <w:t>Oral Maxillofacial Surg</w:t>
            </w:r>
          </w:p>
        </w:tc>
        <w:tc>
          <w:tcPr>
            <w:tcW w:w="1260" w:type="dxa"/>
            <w:vAlign w:val="bottom"/>
          </w:tcPr>
          <w:p w14:paraId="1EAD0EA6" w14:textId="77777777" w:rsidR="005D7DE4" w:rsidRPr="00F86535" w:rsidRDefault="005D7DE4" w:rsidP="003E413F">
            <w:pPr>
              <w:adjustRightInd w:val="0"/>
              <w:rPr>
                <w:b/>
                <w:bCs/>
              </w:rPr>
            </w:pPr>
            <w:r w:rsidRPr="00F86535">
              <w:rPr>
                <w:color w:val="000000"/>
              </w:rPr>
              <w:t>0</w:t>
            </w:r>
          </w:p>
        </w:tc>
        <w:tc>
          <w:tcPr>
            <w:tcW w:w="1260" w:type="dxa"/>
            <w:vAlign w:val="bottom"/>
          </w:tcPr>
          <w:p w14:paraId="7017C1AE" w14:textId="77777777" w:rsidR="005D7DE4" w:rsidRPr="00F86535" w:rsidRDefault="005D7DE4" w:rsidP="003E413F">
            <w:pPr>
              <w:adjustRightInd w:val="0"/>
              <w:rPr>
                <w:b/>
                <w:bCs/>
              </w:rPr>
            </w:pPr>
            <w:r w:rsidRPr="00F86535">
              <w:rPr>
                <w:color w:val="000000"/>
              </w:rPr>
              <w:t>77</w:t>
            </w:r>
          </w:p>
        </w:tc>
        <w:tc>
          <w:tcPr>
            <w:tcW w:w="1260" w:type="dxa"/>
            <w:vAlign w:val="bottom"/>
          </w:tcPr>
          <w:p w14:paraId="5A6E2612" w14:textId="77777777" w:rsidR="005D7DE4" w:rsidRPr="00F86535" w:rsidRDefault="005D7DE4" w:rsidP="003E413F">
            <w:pPr>
              <w:adjustRightInd w:val="0"/>
              <w:rPr>
                <w:b/>
                <w:bCs/>
              </w:rPr>
            </w:pPr>
            <w:r w:rsidRPr="00F86535">
              <w:rPr>
                <w:color w:val="000000"/>
              </w:rPr>
              <w:t>132</w:t>
            </w:r>
          </w:p>
        </w:tc>
        <w:tc>
          <w:tcPr>
            <w:tcW w:w="1260" w:type="dxa"/>
            <w:shd w:val="clear" w:color="auto" w:fill="F2F2F2" w:themeFill="background1" w:themeFillShade="F2"/>
            <w:vAlign w:val="bottom"/>
          </w:tcPr>
          <w:p w14:paraId="4EB7761A" w14:textId="77777777" w:rsidR="005D7DE4" w:rsidRPr="00F86535" w:rsidRDefault="005D7DE4" w:rsidP="003E413F">
            <w:pPr>
              <w:adjustRightInd w:val="0"/>
              <w:rPr>
                <w:b/>
                <w:bCs/>
              </w:rPr>
            </w:pPr>
            <w:r w:rsidRPr="00F86535">
              <w:rPr>
                <w:color w:val="000000"/>
              </w:rPr>
              <w:t>132</w:t>
            </w:r>
          </w:p>
        </w:tc>
        <w:tc>
          <w:tcPr>
            <w:tcW w:w="1345" w:type="dxa"/>
            <w:shd w:val="clear" w:color="auto" w:fill="F2F2F2" w:themeFill="background1" w:themeFillShade="F2"/>
            <w:vAlign w:val="bottom"/>
          </w:tcPr>
          <w:p w14:paraId="6F3A9D0F" w14:textId="77777777" w:rsidR="005D7DE4" w:rsidRPr="00F86535" w:rsidRDefault="005D7DE4" w:rsidP="003E413F">
            <w:pPr>
              <w:adjustRightInd w:val="0"/>
              <w:rPr>
                <w:b/>
                <w:bCs/>
              </w:rPr>
            </w:pPr>
            <w:r w:rsidRPr="00F86535">
              <w:rPr>
                <w:color w:val="000000"/>
              </w:rPr>
              <w:t>N/A</w:t>
            </w:r>
          </w:p>
        </w:tc>
      </w:tr>
      <w:tr w:rsidR="005D7DE4" w14:paraId="1B40E4C8" w14:textId="77777777" w:rsidTr="00E24418">
        <w:trPr>
          <w:cantSplit/>
          <w:trHeight w:val="288"/>
        </w:trPr>
        <w:tc>
          <w:tcPr>
            <w:tcW w:w="2965" w:type="dxa"/>
            <w:vAlign w:val="bottom"/>
          </w:tcPr>
          <w:p w14:paraId="6C9CB297" w14:textId="77777777" w:rsidR="005D7DE4" w:rsidRPr="00F86535" w:rsidRDefault="005D7DE4" w:rsidP="003E413F">
            <w:pPr>
              <w:adjustRightInd w:val="0"/>
              <w:rPr>
                <w:b/>
                <w:bCs/>
              </w:rPr>
            </w:pPr>
            <w:r w:rsidRPr="00F86535">
              <w:rPr>
                <w:color w:val="000000"/>
              </w:rPr>
              <w:t>Orthopedic Surgery</w:t>
            </w:r>
          </w:p>
        </w:tc>
        <w:tc>
          <w:tcPr>
            <w:tcW w:w="1260" w:type="dxa"/>
            <w:vAlign w:val="bottom"/>
          </w:tcPr>
          <w:p w14:paraId="527C454A" w14:textId="77777777" w:rsidR="005D7DE4" w:rsidRPr="00F86535" w:rsidRDefault="005D7DE4" w:rsidP="003E413F">
            <w:pPr>
              <w:adjustRightInd w:val="0"/>
              <w:rPr>
                <w:b/>
                <w:bCs/>
              </w:rPr>
            </w:pPr>
            <w:r w:rsidRPr="00F86535">
              <w:rPr>
                <w:color w:val="000000"/>
              </w:rPr>
              <w:t>3,095</w:t>
            </w:r>
          </w:p>
        </w:tc>
        <w:tc>
          <w:tcPr>
            <w:tcW w:w="1260" w:type="dxa"/>
            <w:vAlign w:val="bottom"/>
          </w:tcPr>
          <w:p w14:paraId="047AFA3C" w14:textId="77777777" w:rsidR="005D7DE4" w:rsidRPr="00F86535" w:rsidRDefault="005D7DE4" w:rsidP="003E413F">
            <w:pPr>
              <w:adjustRightInd w:val="0"/>
              <w:rPr>
                <w:b/>
                <w:bCs/>
              </w:rPr>
            </w:pPr>
            <w:r w:rsidRPr="00F86535">
              <w:rPr>
                <w:color w:val="000000"/>
              </w:rPr>
              <w:t>4,804</w:t>
            </w:r>
          </w:p>
        </w:tc>
        <w:tc>
          <w:tcPr>
            <w:tcW w:w="1260" w:type="dxa"/>
            <w:vAlign w:val="bottom"/>
          </w:tcPr>
          <w:p w14:paraId="7CDE74CF" w14:textId="77777777" w:rsidR="005D7DE4" w:rsidRPr="00F86535" w:rsidRDefault="005D7DE4" w:rsidP="003E413F">
            <w:pPr>
              <w:adjustRightInd w:val="0"/>
              <w:rPr>
                <w:b/>
                <w:bCs/>
              </w:rPr>
            </w:pPr>
            <w:r w:rsidRPr="00F86535">
              <w:rPr>
                <w:color w:val="000000"/>
              </w:rPr>
              <w:t>4,959</w:t>
            </w:r>
          </w:p>
        </w:tc>
        <w:tc>
          <w:tcPr>
            <w:tcW w:w="1260" w:type="dxa"/>
            <w:shd w:val="clear" w:color="auto" w:fill="F2F2F2" w:themeFill="background1" w:themeFillShade="F2"/>
            <w:vAlign w:val="bottom"/>
          </w:tcPr>
          <w:p w14:paraId="7D341F0F" w14:textId="77777777" w:rsidR="005D7DE4" w:rsidRPr="00F86535" w:rsidRDefault="005D7DE4" w:rsidP="003E413F">
            <w:pPr>
              <w:adjustRightInd w:val="0"/>
              <w:rPr>
                <w:b/>
                <w:bCs/>
              </w:rPr>
            </w:pPr>
            <w:r w:rsidRPr="00F86535">
              <w:rPr>
                <w:color w:val="000000"/>
              </w:rPr>
              <w:t>1,864</w:t>
            </w:r>
          </w:p>
        </w:tc>
        <w:tc>
          <w:tcPr>
            <w:tcW w:w="1345" w:type="dxa"/>
            <w:shd w:val="clear" w:color="auto" w:fill="F2F2F2" w:themeFill="background1" w:themeFillShade="F2"/>
            <w:vAlign w:val="bottom"/>
          </w:tcPr>
          <w:p w14:paraId="53987803" w14:textId="77777777" w:rsidR="005D7DE4" w:rsidRPr="00F86535" w:rsidRDefault="005D7DE4" w:rsidP="003E413F">
            <w:pPr>
              <w:adjustRightInd w:val="0"/>
              <w:rPr>
                <w:b/>
                <w:bCs/>
              </w:rPr>
            </w:pPr>
            <w:r w:rsidRPr="00F86535">
              <w:rPr>
                <w:color w:val="000000"/>
              </w:rPr>
              <w:t>60%</w:t>
            </w:r>
          </w:p>
        </w:tc>
      </w:tr>
      <w:tr w:rsidR="005D7DE4" w14:paraId="1BC90D16" w14:textId="77777777" w:rsidTr="00E24418">
        <w:trPr>
          <w:cantSplit/>
          <w:trHeight w:val="288"/>
        </w:trPr>
        <w:tc>
          <w:tcPr>
            <w:tcW w:w="2965" w:type="dxa"/>
            <w:vAlign w:val="bottom"/>
          </w:tcPr>
          <w:p w14:paraId="23959065" w14:textId="77777777" w:rsidR="005D7DE4" w:rsidRPr="00F86535" w:rsidRDefault="005D7DE4" w:rsidP="003E413F">
            <w:pPr>
              <w:adjustRightInd w:val="0"/>
              <w:rPr>
                <w:color w:val="000000"/>
              </w:rPr>
            </w:pPr>
            <w:r w:rsidRPr="00F86535">
              <w:rPr>
                <w:color w:val="000000"/>
              </w:rPr>
              <w:t>Reconstructive Surgery</w:t>
            </w:r>
          </w:p>
        </w:tc>
        <w:tc>
          <w:tcPr>
            <w:tcW w:w="1260" w:type="dxa"/>
            <w:vAlign w:val="bottom"/>
          </w:tcPr>
          <w:p w14:paraId="3BD12DF6" w14:textId="77777777" w:rsidR="005D7DE4" w:rsidRPr="00F86535" w:rsidRDefault="005D7DE4" w:rsidP="003E413F">
            <w:pPr>
              <w:adjustRightInd w:val="0"/>
              <w:rPr>
                <w:color w:val="000000"/>
              </w:rPr>
            </w:pPr>
            <w:r w:rsidRPr="00F86535">
              <w:rPr>
                <w:color w:val="000000"/>
              </w:rPr>
              <w:t>122</w:t>
            </w:r>
          </w:p>
        </w:tc>
        <w:tc>
          <w:tcPr>
            <w:tcW w:w="1260" w:type="dxa"/>
            <w:vAlign w:val="bottom"/>
          </w:tcPr>
          <w:p w14:paraId="62DD03D7" w14:textId="77777777" w:rsidR="005D7DE4" w:rsidRPr="00F86535" w:rsidRDefault="005D7DE4" w:rsidP="003E413F">
            <w:pPr>
              <w:adjustRightInd w:val="0"/>
              <w:rPr>
                <w:color w:val="000000"/>
              </w:rPr>
            </w:pPr>
            <w:r w:rsidRPr="00F86535">
              <w:rPr>
                <w:color w:val="000000"/>
              </w:rPr>
              <w:t>235</w:t>
            </w:r>
          </w:p>
        </w:tc>
        <w:tc>
          <w:tcPr>
            <w:tcW w:w="1260" w:type="dxa"/>
            <w:vAlign w:val="bottom"/>
          </w:tcPr>
          <w:p w14:paraId="53E94843" w14:textId="77777777" w:rsidR="005D7DE4" w:rsidRPr="00F86535" w:rsidRDefault="005D7DE4" w:rsidP="003E413F">
            <w:pPr>
              <w:adjustRightInd w:val="0"/>
              <w:rPr>
                <w:color w:val="000000"/>
              </w:rPr>
            </w:pPr>
            <w:r w:rsidRPr="00F86535">
              <w:rPr>
                <w:color w:val="000000"/>
              </w:rPr>
              <w:t>301</w:t>
            </w:r>
          </w:p>
        </w:tc>
        <w:tc>
          <w:tcPr>
            <w:tcW w:w="1260" w:type="dxa"/>
            <w:shd w:val="clear" w:color="auto" w:fill="F2F2F2" w:themeFill="background1" w:themeFillShade="F2"/>
            <w:vAlign w:val="bottom"/>
          </w:tcPr>
          <w:p w14:paraId="37862787" w14:textId="77777777" w:rsidR="005D7DE4" w:rsidRPr="00F86535" w:rsidRDefault="005D7DE4" w:rsidP="003E413F">
            <w:pPr>
              <w:adjustRightInd w:val="0"/>
              <w:rPr>
                <w:color w:val="000000"/>
              </w:rPr>
            </w:pPr>
            <w:r w:rsidRPr="00F86535">
              <w:rPr>
                <w:color w:val="000000"/>
              </w:rPr>
              <w:t>179</w:t>
            </w:r>
          </w:p>
        </w:tc>
        <w:tc>
          <w:tcPr>
            <w:tcW w:w="1345" w:type="dxa"/>
            <w:shd w:val="clear" w:color="auto" w:fill="F2F2F2" w:themeFill="background1" w:themeFillShade="F2"/>
            <w:vAlign w:val="bottom"/>
          </w:tcPr>
          <w:p w14:paraId="30A7432E" w14:textId="77777777" w:rsidR="005D7DE4" w:rsidRPr="00F86535" w:rsidRDefault="005D7DE4" w:rsidP="003E413F">
            <w:pPr>
              <w:adjustRightInd w:val="0"/>
              <w:rPr>
                <w:color w:val="000000"/>
              </w:rPr>
            </w:pPr>
            <w:r w:rsidRPr="00F86535">
              <w:rPr>
                <w:color w:val="000000"/>
              </w:rPr>
              <w:t>147%</w:t>
            </w:r>
          </w:p>
        </w:tc>
      </w:tr>
      <w:tr w:rsidR="005D7DE4" w14:paraId="68AD0088" w14:textId="77777777" w:rsidTr="00E24418">
        <w:trPr>
          <w:cantSplit/>
          <w:trHeight w:val="288"/>
        </w:trPr>
        <w:tc>
          <w:tcPr>
            <w:tcW w:w="2965" w:type="dxa"/>
            <w:vAlign w:val="bottom"/>
          </w:tcPr>
          <w:p w14:paraId="0B07C283" w14:textId="77777777" w:rsidR="005D7DE4" w:rsidRPr="00F86535" w:rsidRDefault="005D7DE4" w:rsidP="003E413F">
            <w:pPr>
              <w:adjustRightInd w:val="0"/>
              <w:rPr>
                <w:color w:val="000000"/>
              </w:rPr>
            </w:pPr>
            <w:r w:rsidRPr="00F86535">
              <w:rPr>
                <w:color w:val="000000"/>
              </w:rPr>
              <w:t>Podiatry</w:t>
            </w:r>
          </w:p>
        </w:tc>
        <w:tc>
          <w:tcPr>
            <w:tcW w:w="1260" w:type="dxa"/>
            <w:vAlign w:val="bottom"/>
          </w:tcPr>
          <w:p w14:paraId="43BDD3F0" w14:textId="77777777" w:rsidR="005D7DE4" w:rsidRPr="00F86535" w:rsidRDefault="005D7DE4" w:rsidP="003E413F">
            <w:pPr>
              <w:adjustRightInd w:val="0"/>
              <w:rPr>
                <w:color w:val="000000"/>
              </w:rPr>
            </w:pPr>
            <w:r w:rsidRPr="00F86535">
              <w:rPr>
                <w:color w:val="000000"/>
              </w:rPr>
              <w:t>0</w:t>
            </w:r>
          </w:p>
        </w:tc>
        <w:tc>
          <w:tcPr>
            <w:tcW w:w="1260" w:type="dxa"/>
            <w:vAlign w:val="bottom"/>
          </w:tcPr>
          <w:p w14:paraId="64786871" w14:textId="53506EC8" w:rsidR="005D7DE4" w:rsidRPr="00F86535" w:rsidRDefault="00530991" w:rsidP="003E413F">
            <w:pPr>
              <w:adjustRightInd w:val="0"/>
              <w:rPr>
                <w:color w:val="000000"/>
              </w:rPr>
            </w:pPr>
            <w:r>
              <w:rPr>
                <w:color w:val="000000"/>
              </w:rPr>
              <w:t>&lt;11</w:t>
            </w:r>
          </w:p>
        </w:tc>
        <w:tc>
          <w:tcPr>
            <w:tcW w:w="1260" w:type="dxa"/>
            <w:vAlign w:val="bottom"/>
          </w:tcPr>
          <w:p w14:paraId="7A4B911D" w14:textId="0071DFB5" w:rsidR="005D7DE4" w:rsidRPr="00F86535" w:rsidRDefault="00530991" w:rsidP="003E413F">
            <w:pPr>
              <w:adjustRightInd w:val="0"/>
              <w:rPr>
                <w:color w:val="000000"/>
              </w:rPr>
            </w:pPr>
            <w:r>
              <w:rPr>
                <w:color w:val="000000"/>
              </w:rPr>
              <w:t>&lt;11</w:t>
            </w:r>
          </w:p>
        </w:tc>
        <w:tc>
          <w:tcPr>
            <w:tcW w:w="1260" w:type="dxa"/>
            <w:shd w:val="clear" w:color="auto" w:fill="F2F2F2" w:themeFill="background1" w:themeFillShade="F2"/>
            <w:vAlign w:val="bottom"/>
          </w:tcPr>
          <w:p w14:paraId="400AEC1D" w14:textId="3BEC04B8" w:rsidR="005D7DE4" w:rsidRPr="00F86535" w:rsidRDefault="00C01044" w:rsidP="003E413F">
            <w:pPr>
              <w:adjustRightInd w:val="0"/>
              <w:rPr>
                <w:color w:val="000000"/>
              </w:rPr>
            </w:pPr>
            <w:r>
              <w:rPr>
                <w:color w:val="000000"/>
              </w:rPr>
              <w:t>&lt;11</w:t>
            </w:r>
          </w:p>
        </w:tc>
        <w:tc>
          <w:tcPr>
            <w:tcW w:w="1345" w:type="dxa"/>
            <w:shd w:val="clear" w:color="auto" w:fill="F2F2F2" w:themeFill="background1" w:themeFillShade="F2"/>
            <w:vAlign w:val="bottom"/>
          </w:tcPr>
          <w:p w14:paraId="7E10E1A2" w14:textId="77777777" w:rsidR="005D7DE4" w:rsidRPr="00F86535" w:rsidRDefault="005D7DE4" w:rsidP="003E413F">
            <w:pPr>
              <w:adjustRightInd w:val="0"/>
              <w:rPr>
                <w:color w:val="000000"/>
              </w:rPr>
            </w:pPr>
            <w:r w:rsidRPr="00F86535">
              <w:rPr>
                <w:color w:val="000000"/>
              </w:rPr>
              <w:t>N/A</w:t>
            </w:r>
          </w:p>
        </w:tc>
      </w:tr>
      <w:tr w:rsidR="005D7DE4" w14:paraId="5181152B" w14:textId="77777777" w:rsidTr="00E24418">
        <w:trPr>
          <w:cantSplit/>
          <w:trHeight w:val="288"/>
        </w:trPr>
        <w:tc>
          <w:tcPr>
            <w:tcW w:w="2965" w:type="dxa"/>
            <w:vAlign w:val="bottom"/>
          </w:tcPr>
          <w:p w14:paraId="4FFA44D6" w14:textId="77777777" w:rsidR="005D7DE4" w:rsidRPr="00637887" w:rsidRDefault="005D7DE4" w:rsidP="003E413F">
            <w:pPr>
              <w:adjustRightInd w:val="0"/>
              <w:rPr>
                <w:color w:val="000000"/>
              </w:rPr>
            </w:pPr>
            <w:r w:rsidRPr="00637887">
              <w:rPr>
                <w:color w:val="000000"/>
              </w:rPr>
              <w:t>Radiology</w:t>
            </w:r>
          </w:p>
        </w:tc>
        <w:tc>
          <w:tcPr>
            <w:tcW w:w="1260" w:type="dxa"/>
            <w:vAlign w:val="bottom"/>
          </w:tcPr>
          <w:p w14:paraId="4F2FA101" w14:textId="77777777" w:rsidR="005D7DE4" w:rsidRPr="00637887" w:rsidRDefault="005D7DE4" w:rsidP="003E413F">
            <w:pPr>
              <w:adjustRightInd w:val="0"/>
              <w:rPr>
                <w:color w:val="000000"/>
              </w:rPr>
            </w:pPr>
            <w:r w:rsidRPr="00637887">
              <w:rPr>
                <w:color w:val="000000"/>
              </w:rPr>
              <w:t>0</w:t>
            </w:r>
          </w:p>
        </w:tc>
        <w:tc>
          <w:tcPr>
            <w:tcW w:w="1260" w:type="dxa"/>
            <w:vAlign w:val="bottom"/>
          </w:tcPr>
          <w:p w14:paraId="71408657" w14:textId="77777777" w:rsidR="005D7DE4" w:rsidRPr="00637887" w:rsidRDefault="005D7DE4" w:rsidP="003E413F">
            <w:pPr>
              <w:adjustRightInd w:val="0"/>
              <w:rPr>
                <w:color w:val="000000"/>
              </w:rPr>
            </w:pPr>
            <w:r w:rsidRPr="00637887">
              <w:rPr>
                <w:color w:val="000000"/>
              </w:rPr>
              <w:t>293</w:t>
            </w:r>
          </w:p>
        </w:tc>
        <w:tc>
          <w:tcPr>
            <w:tcW w:w="1260" w:type="dxa"/>
            <w:vAlign w:val="bottom"/>
          </w:tcPr>
          <w:p w14:paraId="536EB5C9" w14:textId="77777777" w:rsidR="005D7DE4" w:rsidRPr="00637887" w:rsidRDefault="005D7DE4" w:rsidP="003E413F">
            <w:pPr>
              <w:adjustRightInd w:val="0"/>
              <w:rPr>
                <w:color w:val="000000"/>
              </w:rPr>
            </w:pPr>
            <w:r w:rsidRPr="00637887">
              <w:rPr>
                <w:color w:val="000000"/>
              </w:rPr>
              <w:t>283</w:t>
            </w:r>
          </w:p>
        </w:tc>
        <w:tc>
          <w:tcPr>
            <w:tcW w:w="1260" w:type="dxa"/>
            <w:shd w:val="clear" w:color="auto" w:fill="F2F2F2" w:themeFill="background1" w:themeFillShade="F2"/>
            <w:vAlign w:val="bottom"/>
          </w:tcPr>
          <w:p w14:paraId="5940B55D" w14:textId="77777777" w:rsidR="005D7DE4" w:rsidRPr="00637887" w:rsidRDefault="005D7DE4" w:rsidP="003E413F">
            <w:pPr>
              <w:adjustRightInd w:val="0"/>
              <w:rPr>
                <w:color w:val="000000"/>
              </w:rPr>
            </w:pPr>
            <w:r w:rsidRPr="00637887">
              <w:rPr>
                <w:color w:val="000000"/>
              </w:rPr>
              <w:t>283</w:t>
            </w:r>
          </w:p>
        </w:tc>
        <w:tc>
          <w:tcPr>
            <w:tcW w:w="1345" w:type="dxa"/>
            <w:shd w:val="clear" w:color="auto" w:fill="F2F2F2" w:themeFill="background1" w:themeFillShade="F2"/>
            <w:vAlign w:val="bottom"/>
          </w:tcPr>
          <w:p w14:paraId="227A865B" w14:textId="77777777" w:rsidR="005D7DE4" w:rsidRPr="00637887" w:rsidRDefault="005D7DE4" w:rsidP="003E413F">
            <w:pPr>
              <w:adjustRightInd w:val="0"/>
              <w:rPr>
                <w:color w:val="000000"/>
              </w:rPr>
            </w:pPr>
            <w:r w:rsidRPr="00637887">
              <w:rPr>
                <w:color w:val="000000"/>
              </w:rPr>
              <w:t>N/A</w:t>
            </w:r>
          </w:p>
        </w:tc>
      </w:tr>
      <w:tr w:rsidR="005D7DE4" w14:paraId="2703D40A" w14:textId="77777777" w:rsidTr="00E24418">
        <w:trPr>
          <w:cantSplit/>
          <w:trHeight w:val="288"/>
        </w:trPr>
        <w:tc>
          <w:tcPr>
            <w:tcW w:w="2965" w:type="dxa"/>
            <w:vAlign w:val="bottom"/>
          </w:tcPr>
          <w:p w14:paraId="6015F0BB" w14:textId="77777777" w:rsidR="005D7DE4" w:rsidRPr="00637887" w:rsidRDefault="005D7DE4" w:rsidP="003E413F">
            <w:pPr>
              <w:adjustRightInd w:val="0"/>
              <w:rPr>
                <w:color w:val="000000"/>
              </w:rPr>
            </w:pPr>
            <w:r w:rsidRPr="00637887">
              <w:rPr>
                <w:color w:val="000000"/>
              </w:rPr>
              <w:t>Urology</w:t>
            </w:r>
          </w:p>
        </w:tc>
        <w:tc>
          <w:tcPr>
            <w:tcW w:w="1260" w:type="dxa"/>
            <w:vAlign w:val="bottom"/>
          </w:tcPr>
          <w:p w14:paraId="44C1152B" w14:textId="77777777" w:rsidR="005D7DE4" w:rsidRPr="00637887" w:rsidRDefault="005D7DE4" w:rsidP="003E413F">
            <w:pPr>
              <w:adjustRightInd w:val="0"/>
              <w:rPr>
                <w:color w:val="000000"/>
              </w:rPr>
            </w:pPr>
            <w:r w:rsidRPr="00637887">
              <w:rPr>
                <w:color w:val="000000"/>
              </w:rPr>
              <w:t>0</w:t>
            </w:r>
          </w:p>
        </w:tc>
        <w:tc>
          <w:tcPr>
            <w:tcW w:w="1260" w:type="dxa"/>
            <w:vAlign w:val="bottom"/>
          </w:tcPr>
          <w:p w14:paraId="3E55E74A" w14:textId="77777777" w:rsidR="005D7DE4" w:rsidRPr="00637887" w:rsidRDefault="005D7DE4" w:rsidP="003E413F">
            <w:pPr>
              <w:adjustRightInd w:val="0"/>
              <w:rPr>
                <w:color w:val="000000"/>
              </w:rPr>
            </w:pPr>
            <w:r w:rsidRPr="00637887">
              <w:rPr>
                <w:color w:val="000000"/>
              </w:rPr>
              <w:t>742</w:t>
            </w:r>
          </w:p>
        </w:tc>
        <w:tc>
          <w:tcPr>
            <w:tcW w:w="1260" w:type="dxa"/>
            <w:vAlign w:val="bottom"/>
          </w:tcPr>
          <w:p w14:paraId="0096E577" w14:textId="77777777" w:rsidR="005D7DE4" w:rsidRPr="00637887" w:rsidRDefault="005D7DE4" w:rsidP="003E413F">
            <w:pPr>
              <w:adjustRightInd w:val="0"/>
              <w:rPr>
                <w:color w:val="000000"/>
              </w:rPr>
            </w:pPr>
            <w:r w:rsidRPr="00637887">
              <w:rPr>
                <w:color w:val="000000"/>
              </w:rPr>
              <w:t>949</w:t>
            </w:r>
          </w:p>
        </w:tc>
        <w:tc>
          <w:tcPr>
            <w:tcW w:w="1260" w:type="dxa"/>
            <w:shd w:val="clear" w:color="auto" w:fill="F2F2F2" w:themeFill="background1" w:themeFillShade="F2"/>
            <w:vAlign w:val="bottom"/>
          </w:tcPr>
          <w:p w14:paraId="37EDC911" w14:textId="77777777" w:rsidR="005D7DE4" w:rsidRPr="00637887" w:rsidRDefault="005D7DE4" w:rsidP="003E413F">
            <w:pPr>
              <w:adjustRightInd w:val="0"/>
              <w:rPr>
                <w:color w:val="000000"/>
              </w:rPr>
            </w:pPr>
            <w:r w:rsidRPr="00637887">
              <w:rPr>
                <w:color w:val="000000"/>
              </w:rPr>
              <w:t>949</w:t>
            </w:r>
          </w:p>
        </w:tc>
        <w:tc>
          <w:tcPr>
            <w:tcW w:w="1345" w:type="dxa"/>
            <w:shd w:val="clear" w:color="auto" w:fill="F2F2F2" w:themeFill="background1" w:themeFillShade="F2"/>
            <w:vAlign w:val="bottom"/>
          </w:tcPr>
          <w:p w14:paraId="38476BEA" w14:textId="77777777" w:rsidR="005D7DE4" w:rsidRPr="00637887" w:rsidRDefault="005D7DE4" w:rsidP="003E413F">
            <w:pPr>
              <w:adjustRightInd w:val="0"/>
              <w:rPr>
                <w:color w:val="000000"/>
              </w:rPr>
            </w:pPr>
            <w:r w:rsidRPr="00637887">
              <w:rPr>
                <w:color w:val="000000"/>
              </w:rPr>
              <w:t>N/A</w:t>
            </w:r>
          </w:p>
        </w:tc>
      </w:tr>
      <w:tr w:rsidR="005D7DE4" w14:paraId="465D90C0" w14:textId="77777777" w:rsidTr="00E24418">
        <w:trPr>
          <w:cantSplit/>
          <w:trHeight w:val="288"/>
        </w:trPr>
        <w:tc>
          <w:tcPr>
            <w:tcW w:w="2965" w:type="dxa"/>
            <w:shd w:val="clear" w:color="auto" w:fill="DBE5F1" w:themeFill="accent1" w:themeFillTint="33"/>
            <w:vAlign w:val="bottom"/>
          </w:tcPr>
          <w:p w14:paraId="58EA49EA" w14:textId="77777777" w:rsidR="005D7DE4" w:rsidRPr="00637887" w:rsidRDefault="005D7DE4" w:rsidP="003E413F">
            <w:pPr>
              <w:adjustRightInd w:val="0"/>
              <w:rPr>
                <w:color w:val="000000"/>
              </w:rPr>
            </w:pPr>
            <w:r w:rsidRPr="00637887">
              <w:rPr>
                <w:b/>
                <w:bCs/>
                <w:color w:val="000000"/>
              </w:rPr>
              <w:t>Grand Total</w:t>
            </w:r>
          </w:p>
        </w:tc>
        <w:tc>
          <w:tcPr>
            <w:tcW w:w="1260" w:type="dxa"/>
            <w:shd w:val="clear" w:color="auto" w:fill="DBE5F1" w:themeFill="accent1" w:themeFillTint="33"/>
            <w:vAlign w:val="bottom"/>
          </w:tcPr>
          <w:p w14:paraId="2F227E62" w14:textId="77777777" w:rsidR="005D7DE4" w:rsidRPr="00637887" w:rsidRDefault="005D7DE4" w:rsidP="003E413F">
            <w:pPr>
              <w:adjustRightInd w:val="0"/>
              <w:rPr>
                <w:color w:val="000000"/>
              </w:rPr>
            </w:pPr>
            <w:r w:rsidRPr="00637887">
              <w:rPr>
                <w:b/>
                <w:bCs/>
                <w:color w:val="000000"/>
              </w:rPr>
              <w:t>3,230</w:t>
            </w:r>
          </w:p>
        </w:tc>
        <w:tc>
          <w:tcPr>
            <w:tcW w:w="1260" w:type="dxa"/>
            <w:shd w:val="clear" w:color="auto" w:fill="DBE5F1" w:themeFill="accent1" w:themeFillTint="33"/>
            <w:vAlign w:val="bottom"/>
          </w:tcPr>
          <w:p w14:paraId="5957506A" w14:textId="77777777" w:rsidR="005D7DE4" w:rsidRPr="00637887" w:rsidRDefault="005D7DE4" w:rsidP="003E413F">
            <w:pPr>
              <w:adjustRightInd w:val="0"/>
              <w:rPr>
                <w:color w:val="000000"/>
              </w:rPr>
            </w:pPr>
            <w:r w:rsidRPr="00637887">
              <w:rPr>
                <w:b/>
                <w:bCs/>
                <w:color w:val="000000"/>
              </w:rPr>
              <w:t>8,274</w:t>
            </w:r>
          </w:p>
        </w:tc>
        <w:tc>
          <w:tcPr>
            <w:tcW w:w="1260" w:type="dxa"/>
            <w:shd w:val="clear" w:color="auto" w:fill="DBE5F1" w:themeFill="accent1" w:themeFillTint="33"/>
            <w:vAlign w:val="bottom"/>
          </w:tcPr>
          <w:p w14:paraId="05B4D20C" w14:textId="77777777" w:rsidR="005D7DE4" w:rsidRPr="00637887" w:rsidRDefault="005D7DE4" w:rsidP="003E413F">
            <w:pPr>
              <w:adjustRightInd w:val="0"/>
              <w:rPr>
                <w:color w:val="000000"/>
              </w:rPr>
            </w:pPr>
            <w:r w:rsidRPr="00637887">
              <w:rPr>
                <w:b/>
                <w:bCs/>
                <w:color w:val="000000"/>
              </w:rPr>
              <w:t>9,513</w:t>
            </w:r>
          </w:p>
        </w:tc>
        <w:tc>
          <w:tcPr>
            <w:tcW w:w="1260" w:type="dxa"/>
            <w:shd w:val="clear" w:color="auto" w:fill="D9D9D9" w:themeFill="background1" w:themeFillShade="D9"/>
            <w:vAlign w:val="bottom"/>
          </w:tcPr>
          <w:p w14:paraId="04EABA2E" w14:textId="77777777" w:rsidR="005D7DE4" w:rsidRPr="00637887" w:rsidRDefault="005D7DE4" w:rsidP="003E413F">
            <w:pPr>
              <w:adjustRightInd w:val="0"/>
              <w:rPr>
                <w:color w:val="000000"/>
              </w:rPr>
            </w:pPr>
            <w:r w:rsidRPr="00637887">
              <w:rPr>
                <w:b/>
                <w:bCs/>
                <w:color w:val="000000"/>
              </w:rPr>
              <w:t>6,283</w:t>
            </w:r>
          </w:p>
        </w:tc>
        <w:tc>
          <w:tcPr>
            <w:tcW w:w="1345" w:type="dxa"/>
            <w:shd w:val="clear" w:color="auto" w:fill="D9D9D9" w:themeFill="background1" w:themeFillShade="D9"/>
            <w:vAlign w:val="bottom"/>
          </w:tcPr>
          <w:p w14:paraId="3BF52372" w14:textId="77777777" w:rsidR="005D7DE4" w:rsidRPr="00637887" w:rsidRDefault="005D7DE4" w:rsidP="003E413F">
            <w:pPr>
              <w:adjustRightInd w:val="0"/>
              <w:rPr>
                <w:color w:val="000000"/>
              </w:rPr>
            </w:pPr>
            <w:r w:rsidRPr="00637887">
              <w:rPr>
                <w:b/>
                <w:bCs/>
                <w:color w:val="000000"/>
              </w:rPr>
              <w:t>195%</w:t>
            </w:r>
          </w:p>
        </w:tc>
      </w:tr>
    </w:tbl>
    <w:p w14:paraId="7B1969C7" w14:textId="77777777" w:rsidR="00C84430" w:rsidRDefault="00C84430" w:rsidP="00882AEE">
      <w:pPr>
        <w:ind w:right="-10"/>
        <w:rPr>
          <w:sz w:val="24"/>
          <w:szCs w:val="24"/>
        </w:rPr>
      </w:pPr>
    </w:p>
    <w:p w14:paraId="6175E7B3" w14:textId="25DDE77E" w:rsidR="001572FC" w:rsidRPr="00BD6CBC" w:rsidRDefault="00AE0CA8" w:rsidP="005C6DCB">
      <w:pPr>
        <w:adjustRightInd w:val="0"/>
        <w:rPr>
          <w:rFonts w:asciiTheme="minorHAnsi" w:hAnsiTheme="minorHAnsi" w:cstheme="minorBidi"/>
          <w:sz w:val="24"/>
          <w:szCs w:val="24"/>
        </w:rPr>
      </w:pPr>
      <w:r w:rsidRPr="009D3018">
        <w:rPr>
          <w:sz w:val="24"/>
          <w:szCs w:val="24"/>
        </w:rPr>
        <w:t xml:space="preserve">The Holder states that </w:t>
      </w:r>
      <w:r w:rsidR="00C01044" w:rsidRPr="009D3018">
        <w:rPr>
          <w:sz w:val="24"/>
          <w:szCs w:val="24"/>
        </w:rPr>
        <w:t>the patient need for the variety of surgeries performed</w:t>
      </w:r>
      <w:r w:rsidR="00832A78" w:rsidRPr="009D3018">
        <w:rPr>
          <w:sz w:val="24"/>
          <w:szCs w:val="24"/>
        </w:rPr>
        <w:t>,</w:t>
      </w:r>
      <w:r w:rsidR="00C01044" w:rsidRPr="009D3018">
        <w:rPr>
          <w:sz w:val="24"/>
          <w:szCs w:val="24"/>
        </w:rPr>
        <w:t xml:space="preserve"> as well as the complexity</w:t>
      </w:r>
      <w:r w:rsidR="00254A66" w:rsidRPr="009D3018">
        <w:rPr>
          <w:sz w:val="24"/>
          <w:szCs w:val="24"/>
        </w:rPr>
        <w:t xml:space="preserve"> of the cases</w:t>
      </w:r>
      <w:r w:rsidR="00832A78" w:rsidRPr="009D3018">
        <w:rPr>
          <w:sz w:val="24"/>
          <w:szCs w:val="24"/>
        </w:rPr>
        <w:t>,</w:t>
      </w:r>
      <w:r w:rsidR="00254A66" w:rsidRPr="009D3018">
        <w:rPr>
          <w:sz w:val="24"/>
          <w:szCs w:val="24"/>
        </w:rPr>
        <w:t xml:space="preserve"> has left </w:t>
      </w:r>
      <w:r w:rsidR="00916CA0" w:rsidRPr="009D3018">
        <w:rPr>
          <w:sz w:val="24"/>
          <w:szCs w:val="24"/>
        </w:rPr>
        <w:t>MG Waltham operating at capacity</w:t>
      </w:r>
      <w:r w:rsidR="00254A66" w:rsidRPr="009D3018">
        <w:rPr>
          <w:sz w:val="24"/>
          <w:szCs w:val="24"/>
        </w:rPr>
        <w:t xml:space="preserve">, </w:t>
      </w:r>
      <w:r w:rsidR="00832A78" w:rsidRPr="009D3018">
        <w:rPr>
          <w:sz w:val="24"/>
          <w:szCs w:val="24"/>
        </w:rPr>
        <w:t>resulting</w:t>
      </w:r>
      <w:r w:rsidR="008673B5" w:rsidRPr="009D3018">
        <w:rPr>
          <w:sz w:val="24"/>
          <w:szCs w:val="24"/>
        </w:rPr>
        <w:t xml:space="preserve"> in </w:t>
      </w:r>
      <w:r w:rsidR="006A2488" w:rsidRPr="009D3018">
        <w:rPr>
          <w:sz w:val="24"/>
          <w:szCs w:val="24"/>
        </w:rPr>
        <w:t>growing</w:t>
      </w:r>
      <w:r w:rsidR="00832A78" w:rsidRPr="009D3018">
        <w:rPr>
          <w:sz w:val="24"/>
          <w:szCs w:val="24"/>
        </w:rPr>
        <w:t xml:space="preserve"> wait</w:t>
      </w:r>
      <w:r w:rsidR="006A2488" w:rsidRPr="009D3018">
        <w:rPr>
          <w:sz w:val="24"/>
          <w:szCs w:val="24"/>
        </w:rPr>
        <w:t xml:space="preserve"> times</w:t>
      </w:r>
      <w:r w:rsidR="00832A78" w:rsidRPr="009D3018">
        <w:rPr>
          <w:sz w:val="24"/>
          <w:szCs w:val="24"/>
        </w:rPr>
        <w:t xml:space="preserve"> </w:t>
      </w:r>
      <w:r w:rsidR="008673B5" w:rsidRPr="009D3018">
        <w:rPr>
          <w:sz w:val="24"/>
          <w:szCs w:val="24"/>
        </w:rPr>
        <w:t>for medically necessary outpatient surgery.</w:t>
      </w:r>
      <w:r w:rsidR="00916CA0" w:rsidRPr="009D3018">
        <w:rPr>
          <w:sz w:val="24"/>
          <w:szCs w:val="24"/>
        </w:rPr>
        <w:t xml:space="preserve"> </w:t>
      </w:r>
      <w:r w:rsidR="00481C08" w:rsidRPr="009D3018">
        <w:rPr>
          <w:sz w:val="24"/>
          <w:szCs w:val="24"/>
        </w:rPr>
        <w:t>Though</w:t>
      </w:r>
      <w:r w:rsidR="007626C5" w:rsidRPr="009D3018">
        <w:rPr>
          <w:sz w:val="24"/>
          <w:szCs w:val="24"/>
        </w:rPr>
        <w:t xml:space="preserve"> the wait times for surgery </w:t>
      </w:r>
      <w:r w:rsidR="00E82DED" w:rsidRPr="009D3018">
        <w:rPr>
          <w:sz w:val="24"/>
          <w:szCs w:val="24"/>
        </w:rPr>
        <w:t xml:space="preserve">at MG </w:t>
      </w:r>
      <w:r w:rsidR="00E82DED" w:rsidRPr="009D3018">
        <w:rPr>
          <w:sz w:val="24"/>
          <w:szCs w:val="24"/>
        </w:rPr>
        <w:lastRenderedPageBreak/>
        <w:t xml:space="preserve">Waltham </w:t>
      </w:r>
      <w:r w:rsidR="0093054A" w:rsidRPr="009D3018">
        <w:rPr>
          <w:sz w:val="24"/>
          <w:szCs w:val="24"/>
        </w:rPr>
        <w:t>remain lower than the average surgical wait time across the MGB system</w:t>
      </w:r>
      <w:r w:rsidR="00CB560D" w:rsidRPr="009D3018">
        <w:rPr>
          <w:rStyle w:val="FootnoteReference"/>
          <w:sz w:val="24"/>
          <w:szCs w:val="24"/>
        </w:rPr>
        <w:footnoteReference w:id="1"/>
      </w:r>
      <w:r w:rsidR="00F47445" w:rsidRPr="009D3018">
        <w:rPr>
          <w:sz w:val="24"/>
          <w:szCs w:val="24"/>
        </w:rPr>
        <w:t>, t</w:t>
      </w:r>
      <w:r w:rsidR="00916CA0" w:rsidRPr="009D3018">
        <w:rPr>
          <w:sz w:val="24"/>
          <w:szCs w:val="24"/>
        </w:rPr>
        <w:t xml:space="preserve">he </w:t>
      </w:r>
      <w:r w:rsidR="00916CA0" w:rsidRPr="7A628F98">
        <w:rPr>
          <w:sz w:val="24"/>
          <w:szCs w:val="24"/>
        </w:rPr>
        <w:t xml:space="preserve">median number of days from the time a case was requested at MG Waltham to when the surgery was performed increased </w:t>
      </w:r>
      <w:r w:rsidR="00053133" w:rsidRPr="7A628F98">
        <w:rPr>
          <w:sz w:val="24"/>
          <w:szCs w:val="24"/>
        </w:rPr>
        <w:t>by 26% between FY2022-FY2023 (</w:t>
      </w:r>
      <w:r w:rsidR="00916CA0" w:rsidRPr="7A628F98">
        <w:rPr>
          <w:sz w:val="24"/>
          <w:szCs w:val="24"/>
        </w:rPr>
        <w:t xml:space="preserve">from 23 </w:t>
      </w:r>
      <w:r w:rsidR="00053133" w:rsidRPr="7A628F98">
        <w:rPr>
          <w:sz w:val="24"/>
          <w:szCs w:val="24"/>
        </w:rPr>
        <w:t>days</w:t>
      </w:r>
      <w:r w:rsidRPr="7A628F98">
        <w:rPr>
          <w:sz w:val="24"/>
          <w:szCs w:val="24"/>
        </w:rPr>
        <w:t xml:space="preserve"> </w:t>
      </w:r>
      <w:r w:rsidR="00916CA0" w:rsidRPr="7A628F98">
        <w:rPr>
          <w:sz w:val="24"/>
          <w:szCs w:val="24"/>
        </w:rPr>
        <w:t>to 29 days</w:t>
      </w:r>
      <w:r w:rsidR="00053133" w:rsidRPr="7A628F98">
        <w:rPr>
          <w:sz w:val="24"/>
          <w:szCs w:val="24"/>
        </w:rPr>
        <w:t>)</w:t>
      </w:r>
      <w:r w:rsidR="00916CA0" w:rsidRPr="7A628F98">
        <w:rPr>
          <w:sz w:val="24"/>
          <w:szCs w:val="24"/>
        </w:rPr>
        <w:t xml:space="preserve">. </w:t>
      </w:r>
      <w:r w:rsidR="00254A66" w:rsidRPr="7A628F98">
        <w:rPr>
          <w:sz w:val="24"/>
          <w:szCs w:val="24"/>
        </w:rPr>
        <w:t xml:space="preserve">The limitations of capacity at </w:t>
      </w:r>
      <w:r w:rsidR="00911DE7" w:rsidRPr="7A628F98">
        <w:rPr>
          <w:sz w:val="24"/>
          <w:szCs w:val="24"/>
        </w:rPr>
        <w:t xml:space="preserve">MG Waltham </w:t>
      </w:r>
      <w:r w:rsidR="00B9629B" w:rsidRPr="7A628F98">
        <w:rPr>
          <w:sz w:val="24"/>
          <w:szCs w:val="24"/>
        </w:rPr>
        <w:t>leave</w:t>
      </w:r>
      <w:r w:rsidR="00911DE7" w:rsidRPr="7A628F98">
        <w:rPr>
          <w:sz w:val="24"/>
          <w:szCs w:val="24"/>
        </w:rPr>
        <w:t xml:space="preserve"> </w:t>
      </w:r>
      <w:r w:rsidR="00594699" w:rsidRPr="7A628F98">
        <w:rPr>
          <w:sz w:val="24"/>
          <w:szCs w:val="24"/>
        </w:rPr>
        <w:t>the facility</w:t>
      </w:r>
      <w:r w:rsidR="00911DE7" w:rsidRPr="7A628F98">
        <w:rPr>
          <w:sz w:val="24"/>
          <w:szCs w:val="24"/>
        </w:rPr>
        <w:t xml:space="preserve"> unable to accept </w:t>
      </w:r>
      <w:r w:rsidR="007E5407" w:rsidRPr="7A628F98">
        <w:rPr>
          <w:sz w:val="24"/>
          <w:szCs w:val="24"/>
        </w:rPr>
        <w:t xml:space="preserve">any </w:t>
      </w:r>
      <w:r w:rsidR="00911DE7" w:rsidRPr="7A628F98">
        <w:rPr>
          <w:sz w:val="24"/>
          <w:szCs w:val="24"/>
        </w:rPr>
        <w:t xml:space="preserve">additional patients from </w:t>
      </w:r>
      <w:r w:rsidR="00911DE7" w:rsidRPr="7A628F98">
        <w:rPr>
          <w:rFonts w:asciiTheme="minorHAnsi" w:hAnsiTheme="minorHAnsi" w:cstheme="minorBidi"/>
          <w:sz w:val="24"/>
          <w:szCs w:val="24"/>
        </w:rPr>
        <w:t>the MGH Main Campus</w:t>
      </w:r>
      <w:r w:rsidR="002870C6" w:rsidRPr="7A628F98">
        <w:rPr>
          <w:rFonts w:asciiTheme="minorHAnsi" w:hAnsiTheme="minorHAnsi" w:cstheme="minorBidi"/>
          <w:sz w:val="24"/>
          <w:szCs w:val="24"/>
        </w:rPr>
        <w:t>, where t</w:t>
      </w:r>
      <w:r w:rsidR="00916CA0" w:rsidRPr="7A628F98">
        <w:rPr>
          <w:rFonts w:asciiTheme="minorHAnsi" w:hAnsiTheme="minorHAnsi" w:cstheme="minorBidi"/>
          <w:sz w:val="24"/>
          <w:szCs w:val="24"/>
        </w:rPr>
        <w:t xml:space="preserve">he median wait time </w:t>
      </w:r>
      <w:r w:rsidR="002870C6" w:rsidRPr="7A628F98">
        <w:rPr>
          <w:rFonts w:asciiTheme="minorHAnsi" w:hAnsiTheme="minorHAnsi" w:cstheme="minorBidi"/>
          <w:sz w:val="24"/>
          <w:szCs w:val="24"/>
        </w:rPr>
        <w:t>for surgeries</w:t>
      </w:r>
      <w:r w:rsidR="00053133" w:rsidRPr="7A628F98">
        <w:rPr>
          <w:rFonts w:asciiTheme="minorHAnsi" w:hAnsiTheme="minorHAnsi" w:cstheme="minorBidi"/>
          <w:sz w:val="24"/>
          <w:szCs w:val="24"/>
        </w:rPr>
        <w:t xml:space="preserve"> has increased </w:t>
      </w:r>
      <w:r w:rsidR="002F2E18" w:rsidRPr="7A628F98">
        <w:rPr>
          <w:rFonts w:asciiTheme="minorHAnsi" w:hAnsiTheme="minorHAnsi" w:cstheme="minorBidi"/>
          <w:sz w:val="24"/>
          <w:szCs w:val="24"/>
        </w:rPr>
        <w:t>by 20% from FY2022-F</w:t>
      </w:r>
      <w:r w:rsidR="000D7BBA" w:rsidRPr="7A628F98">
        <w:rPr>
          <w:rFonts w:asciiTheme="minorHAnsi" w:hAnsiTheme="minorHAnsi" w:cstheme="minorBidi"/>
          <w:sz w:val="24"/>
          <w:szCs w:val="24"/>
        </w:rPr>
        <w:t>Y</w:t>
      </w:r>
      <w:r w:rsidR="002F2E18" w:rsidRPr="7A628F98">
        <w:rPr>
          <w:rFonts w:asciiTheme="minorHAnsi" w:hAnsiTheme="minorHAnsi" w:cstheme="minorBidi"/>
          <w:sz w:val="24"/>
          <w:szCs w:val="24"/>
        </w:rPr>
        <w:t xml:space="preserve">2023 (from </w:t>
      </w:r>
      <w:r w:rsidR="00501617" w:rsidRPr="7A628F98">
        <w:rPr>
          <w:rFonts w:asciiTheme="minorHAnsi" w:hAnsiTheme="minorHAnsi" w:cstheme="minorBidi"/>
          <w:sz w:val="24"/>
          <w:szCs w:val="24"/>
        </w:rPr>
        <w:t xml:space="preserve">24 days to </w:t>
      </w:r>
      <w:r w:rsidR="00916CA0" w:rsidRPr="7A628F98">
        <w:rPr>
          <w:rFonts w:asciiTheme="minorHAnsi" w:hAnsiTheme="minorHAnsi" w:cstheme="minorBidi"/>
          <w:sz w:val="24"/>
          <w:szCs w:val="24"/>
        </w:rPr>
        <w:t>29 days</w:t>
      </w:r>
      <w:r w:rsidR="002F2E18" w:rsidRPr="7A628F98">
        <w:rPr>
          <w:rFonts w:asciiTheme="minorHAnsi" w:hAnsiTheme="minorHAnsi" w:cstheme="minorBidi"/>
          <w:sz w:val="24"/>
          <w:szCs w:val="24"/>
        </w:rPr>
        <w:t>).</w:t>
      </w:r>
      <w:r w:rsidR="00916CA0" w:rsidRPr="7A628F98">
        <w:rPr>
          <w:rFonts w:asciiTheme="minorHAnsi" w:hAnsiTheme="minorHAnsi" w:cstheme="minorBidi"/>
          <w:sz w:val="24"/>
          <w:szCs w:val="24"/>
        </w:rPr>
        <w:t xml:space="preserve"> </w:t>
      </w:r>
    </w:p>
    <w:p w14:paraId="229A7E85" w14:textId="45125490" w:rsidR="005A293F" w:rsidRPr="00BD6CBC" w:rsidRDefault="005A293F" w:rsidP="005C6DCB">
      <w:pPr>
        <w:adjustRightInd w:val="0"/>
        <w:rPr>
          <w:rFonts w:asciiTheme="minorHAnsi" w:hAnsiTheme="minorHAnsi" w:cstheme="minorHAnsi"/>
          <w:sz w:val="24"/>
          <w:szCs w:val="24"/>
          <w:highlight w:val="yellow"/>
        </w:rPr>
      </w:pPr>
    </w:p>
    <w:p w14:paraId="5BB8628C" w14:textId="2294563D" w:rsidR="00BD6CBC" w:rsidRPr="009D3018" w:rsidRDefault="00E919F1" w:rsidP="001572FC">
      <w:pPr>
        <w:pStyle w:val="pf0"/>
        <w:spacing w:before="0" w:beforeAutospacing="0" w:after="0" w:afterAutospacing="0"/>
        <w:rPr>
          <w:rFonts w:asciiTheme="minorHAnsi" w:hAnsiTheme="minorHAnsi" w:cstheme="minorBidi"/>
        </w:rPr>
      </w:pPr>
      <w:r w:rsidRPr="7A628F98">
        <w:rPr>
          <w:rStyle w:val="cf01"/>
          <w:rFonts w:asciiTheme="minorHAnsi" w:hAnsiTheme="minorHAnsi" w:cstheme="minorBidi"/>
          <w:sz w:val="24"/>
          <w:szCs w:val="24"/>
        </w:rPr>
        <w:t xml:space="preserve">The Holder </w:t>
      </w:r>
      <w:r w:rsidR="00BD6CBC" w:rsidRPr="7A628F98">
        <w:rPr>
          <w:rStyle w:val="cf01"/>
          <w:rFonts w:asciiTheme="minorHAnsi" w:hAnsiTheme="minorHAnsi" w:cstheme="minorBidi"/>
          <w:sz w:val="24"/>
          <w:szCs w:val="24"/>
        </w:rPr>
        <w:t xml:space="preserve">states that increasing capacity at MG Waltham would allow a larger portion of clinically appropriate cases </w:t>
      </w:r>
      <w:r w:rsidR="000D7BBA" w:rsidRPr="7A628F98">
        <w:rPr>
          <w:rStyle w:val="cf01"/>
          <w:rFonts w:asciiTheme="minorHAnsi" w:hAnsiTheme="minorHAnsi" w:cstheme="minorBidi"/>
          <w:sz w:val="24"/>
          <w:szCs w:val="24"/>
        </w:rPr>
        <w:t xml:space="preserve">to </w:t>
      </w:r>
      <w:r w:rsidR="00BD6CBC" w:rsidRPr="7A628F98">
        <w:rPr>
          <w:rStyle w:val="cf01"/>
          <w:rFonts w:asciiTheme="minorHAnsi" w:hAnsiTheme="minorHAnsi" w:cstheme="minorBidi"/>
          <w:sz w:val="24"/>
          <w:szCs w:val="24"/>
        </w:rPr>
        <w:t>be moved to MG Waltham</w:t>
      </w:r>
      <w:r w:rsidR="00FA4A0F" w:rsidRPr="7A628F98">
        <w:rPr>
          <w:rStyle w:val="cf01"/>
          <w:rFonts w:asciiTheme="minorHAnsi" w:hAnsiTheme="minorHAnsi" w:cstheme="minorBidi"/>
          <w:sz w:val="24"/>
          <w:szCs w:val="24"/>
        </w:rPr>
        <w:t xml:space="preserve"> from the MGH Main Campus</w:t>
      </w:r>
      <w:r w:rsidR="009B5972" w:rsidRPr="7A628F98">
        <w:rPr>
          <w:rStyle w:val="cf01"/>
          <w:rFonts w:asciiTheme="minorHAnsi" w:hAnsiTheme="minorHAnsi" w:cstheme="minorBidi"/>
          <w:sz w:val="24"/>
          <w:szCs w:val="24"/>
        </w:rPr>
        <w:t xml:space="preserve">. </w:t>
      </w:r>
      <w:r w:rsidR="00C01229" w:rsidRPr="7A628F98">
        <w:rPr>
          <w:rStyle w:val="cf01"/>
          <w:rFonts w:asciiTheme="minorHAnsi" w:hAnsiTheme="minorHAnsi" w:cstheme="minorBidi"/>
          <w:sz w:val="24"/>
          <w:szCs w:val="24"/>
        </w:rPr>
        <w:t>In FY2023, the MGH Main Campus performed 15,022 same-day surgeries</w:t>
      </w:r>
      <w:r w:rsidR="00955BC2" w:rsidRPr="7A628F98">
        <w:rPr>
          <w:rStyle w:val="cf01"/>
          <w:rFonts w:asciiTheme="minorHAnsi" w:hAnsiTheme="minorHAnsi" w:cstheme="minorBidi"/>
          <w:sz w:val="24"/>
          <w:szCs w:val="24"/>
        </w:rPr>
        <w:t>, 58%</w:t>
      </w:r>
      <w:r w:rsidR="005542A0" w:rsidRPr="7A628F98">
        <w:rPr>
          <w:rStyle w:val="cf01"/>
          <w:rFonts w:asciiTheme="minorHAnsi" w:hAnsiTheme="minorHAnsi" w:cstheme="minorBidi"/>
          <w:sz w:val="24"/>
          <w:szCs w:val="24"/>
        </w:rPr>
        <w:t xml:space="preserve"> of</w:t>
      </w:r>
      <w:r w:rsidR="007E5407" w:rsidRPr="7A628F98">
        <w:rPr>
          <w:rStyle w:val="cf01"/>
          <w:rFonts w:asciiTheme="minorHAnsi" w:hAnsiTheme="minorHAnsi" w:cstheme="minorBidi"/>
          <w:sz w:val="24"/>
          <w:szCs w:val="24"/>
        </w:rPr>
        <w:t xml:space="preserve"> which </w:t>
      </w:r>
      <w:r w:rsidR="00C01229" w:rsidRPr="7A628F98">
        <w:rPr>
          <w:rStyle w:val="cf01"/>
          <w:rFonts w:asciiTheme="minorHAnsi" w:hAnsiTheme="minorHAnsi" w:cstheme="minorBidi"/>
          <w:sz w:val="24"/>
          <w:szCs w:val="24"/>
        </w:rPr>
        <w:t>could have been performed at MG Waltham based on clinical criteria</w:t>
      </w:r>
      <w:r w:rsidR="005542A0" w:rsidRPr="7A628F98">
        <w:rPr>
          <w:rStyle w:val="FootnoteReference"/>
          <w:rFonts w:asciiTheme="minorHAnsi" w:hAnsiTheme="minorHAnsi" w:cstheme="minorBidi"/>
        </w:rPr>
        <w:footnoteReference w:id="2"/>
      </w:r>
      <w:r w:rsidR="00BA2FCA" w:rsidRPr="7A628F98">
        <w:rPr>
          <w:rStyle w:val="cf01"/>
          <w:rFonts w:asciiTheme="minorHAnsi" w:hAnsiTheme="minorHAnsi" w:cstheme="minorBidi"/>
          <w:sz w:val="24"/>
          <w:szCs w:val="24"/>
        </w:rPr>
        <w:t xml:space="preserve"> if the facility had </w:t>
      </w:r>
      <w:r w:rsidR="007E5407" w:rsidRPr="7A628F98">
        <w:rPr>
          <w:rStyle w:val="cf01"/>
          <w:rFonts w:asciiTheme="minorHAnsi" w:hAnsiTheme="minorHAnsi" w:cstheme="minorBidi"/>
          <w:sz w:val="24"/>
          <w:szCs w:val="24"/>
        </w:rPr>
        <w:t xml:space="preserve">been able to </w:t>
      </w:r>
      <w:r w:rsidR="007E5407" w:rsidRPr="002E4038">
        <w:rPr>
          <w:rStyle w:val="cf01"/>
          <w:rFonts w:asciiTheme="minorHAnsi" w:hAnsiTheme="minorHAnsi" w:cstheme="minorBidi"/>
          <w:sz w:val="24"/>
          <w:szCs w:val="24"/>
        </w:rPr>
        <w:t xml:space="preserve">accept additional </w:t>
      </w:r>
      <w:r w:rsidR="007E5407" w:rsidRPr="009D3018">
        <w:rPr>
          <w:rStyle w:val="cf01"/>
          <w:rFonts w:asciiTheme="minorHAnsi" w:hAnsiTheme="minorHAnsi" w:cstheme="minorBidi"/>
          <w:sz w:val="24"/>
          <w:szCs w:val="24"/>
        </w:rPr>
        <w:t>patients</w:t>
      </w:r>
      <w:r w:rsidR="00C01229" w:rsidRPr="009D3018">
        <w:rPr>
          <w:rStyle w:val="cf01"/>
          <w:rFonts w:asciiTheme="minorHAnsi" w:hAnsiTheme="minorHAnsi" w:cstheme="minorBidi"/>
          <w:sz w:val="24"/>
          <w:szCs w:val="24"/>
        </w:rPr>
        <w:t>.</w:t>
      </w:r>
      <w:r w:rsidR="005542A0" w:rsidRPr="009D3018">
        <w:rPr>
          <w:rFonts w:asciiTheme="minorHAnsi" w:hAnsiTheme="minorHAnsi" w:cstheme="minorBidi"/>
        </w:rPr>
        <w:t xml:space="preserve"> </w:t>
      </w:r>
      <w:r w:rsidR="0026468C" w:rsidRPr="009D3018">
        <w:rPr>
          <w:rFonts w:asciiTheme="minorHAnsi" w:hAnsiTheme="minorHAnsi" w:cstheme="minorBidi"/>
        </w:rPr>
        <w:t xml:space="preserve">The Holder </w:t>
      </w:r>
      <w:r w:rsidR="008D1A3A" w:rsidRPr="009D3018">
        <w:rPr>
          <w:rFonts w:asciiTheme="minorHAnsi" w:hAnsiTheme="minorHAnsi" w:cstheme="minorBidi"/>
        </w:rPr>
        <w:t xml:space="preserve">projects that </w:t>
      </w:r>
      <w:r w:rsidR="006E03A0" w:rsidRPr="009D3018">
        <w:rPr>
          <w:rFonts w:asciiTheme="minorHAnsi" w:hAnsiTheme="minorHAnsi" w:cstheme="minorBidi"/>
        </w:rPr>
        <w:t xml:space="preserve">the Proposed Amendment </w:t>
      </w:r>
      <w:r w:rsidR="00A07DDE" w:rsidRPr="009D3018">
        <w:rPr>
          <w:rFonts w:asciiTheme="minorHAnsi" w:hAnsiTheme="minorHAnsi" w:cstheme="minorBidi"/>
        </w:rPr>
        <w:t xml:space="preserve">and associated shift of ORs from MGH Main Campus to MG Waltham </w:t>
      </w:r>
      <w:r w:rsidR="006E03A0" w:rsidRPr="009D3018">
        <w:rPr>
          <w:rFonts w:asciiTheme="minorHAnsi" w:hAnsiTheme="minorHAnsi" w:cstheme="minorBidi"/>
        </w:rPr>
        <w:t>will maintain or lower the FY2</w:t>
      </w:r>
      <w:r w:rsidR="002E4038" w:rsidRPr="009D3018">
        <w:rPr>
          <w:rFonts w:asciiTheme="minorHAnsi" w:hAnsiTheme="minorHAnsi" w:cstheme="minorBidi"/>
        </w:rPr>
        <w:t xml:space="preserve">023 baseline </w:t>
      </w:r>
      <w:r w:rsidR="008D1A3A" w:rsidRPr="009D3018">
        <w:rPr>
          <w:rFonts w:asciiTheme="minorHAnsi" w:hAnsiTheme="minorHAnsi" w:cstheme="minorBidi"/>
        </w:rPr>
        <w:t>w</w:t>
      </w:r>
      <w:r w:rsidR="008D1A3A" w:rsidRPr="009D3018">
        <w:rPr>
          <w:rStyle w:val="cf01"/>
          <w:rFonts w:asciiTheme="minorHAnsi" w:hAnsiTheme="minorHAnsi" w:cstheme="minorBidi"/>
          <w:sz w:val="24"/>
          <w:szCs w:val="24"/>
        </w:rPr>
        <w:t>ait times at MG Waltham baseline due to the objective of shifting cases from the MGH Main Campus and accommodating some new outpatient demand.</w:t>
      </w:r>
      <w:r w:rsidR="00C52191" w:rsidRPr="009D3018">
        <w:rPr>
          <w:sz w:val="22"/>
          <w:szCs w:val="22"/>
        </w:rPr>
        <w:t xml:space="preserve"> </w:t>
      </w:r>
    </w:p>
    <w:p w14:paraId="18014433" w14:textId="77777777" w:rsidR="00E06C96" w:rsidRDefault="00E06C96" w:rsidP="008920A9">
      <w:pPr>
        <w:pStyle w:val="pf0"/>
        <w:spacing w:before="0" w:beforeAutospacing="0" w:after="0" w:afterAutospacing="0"/>
        <w:rPr>
          <w:rFonts w:asciiTheme="minorHAnsi" w:hAnsiTheme="minorHAnsi" w:cstheme="minorHAnsi"/>
        </w:rPr>
      </w:pPr>
    </w:p>
    <w:p w14:paraId="317232AC" w14:textId="197CFE61" w:rsidR="00197DC7" w:rsidRPr="003F5D9A" w:rsidRDefault="005542A0" w:rsidP="008920A9">
      <w:pPr>
        <w:pStyle w:val="pf0"/>
        <w:spacing w:before="0" w:beforeAutospacing="0" w:after="0" w:afterAutospacing="0"/>
        <w:rPr>
          <w:rStyle w:val="cf01"/>
          <w:rFonts w:asciiTheme="minorHAnsi" w:hAnsiTheme="minorHAnsi" w:cstheme="minorHAnsi"/>
          <w:sz w:val="24"/>
          <w:szCs w:val="24"/>
        </w:rPr>
      </w:pPr>
      <w:r>
        <w:rPr>
          <w:rStyle w:val="cf01"/>
          <w:rFonts w:asciiTheme="minorHAnsi" w:hAnsiTheme="minorHAnsi" w:cstheme="minorHAnsi"/>
          <w:sz w:val="24"/>
          <w:szCs w:val="24"/>
        </w:rPr>
        <w:t xml:space="preserve">In addition to the </w:t>
      </w:r>
      <w:r w:rsidR="00197DC7">
        <w:rPr>
          <w:rStyle w:val="cf01"/>
          <w:rFonts w:asciiTheme="minorHAnsi" w:hAnsiTheme="minorHAnsi" w:cstheme="minorHAnsi"/>
          <w:sz w:val="24"/>
          <w:szCs w:val="24"/>
        </w:rPr>
        <w:t>historical volume of surgeries, t</w:t>
      </w:r>
      <w:r w:rsidR="005D45F9">
        <w:rPr>
          <w:rStyle w:val="cf01"/>
          <w:rFonts w:asciiTheme="minorHAnsi" w:hAnsiTheme="minorHAnsi" w:cstheme="minorHAnsi"/>
          <w:sz w:val="24"/>
          <w:szCs w:val="24"/>
        </w:rPr>
        <w:t>he Holder</w:t>
      </w:r>
      <w:r w:rsidR="00E06C96" w:rsidRPr="00272B60">
        <w:rPr>
          <w:rStyle w:val="cf01"/>
          <w:rFonts w:asciiTheme="minorHAnsi" w:hAnsiTheme="minorHAnsi" w:cstheme="minorHAnsi"/>
          <w:sz w:val="24"/>
          <w:szCs w:val="24"/>
        </w:rPr>
        <w:t xml:space="preserve"> </w:t>
      </w:r>
      <w:r w:rsidR="009F6CDC">
        <w:rPr>
          <w:rStyle w:val="cf01"/>
          <w:rFonts w:asciiTheme="minorHAnsi" w:hAnsiTheme="minorHAnsi" w:cstheme="minorHAnsi"/>
          <w:sz w:val="24"/>
          <w:szCs w:val="24"/>
        </w:rPr>
        <w:t>projects</w:t>
      </w:r>
      <w:r w:rsidR="00E06C96" w:rsidRPr="00272B60">
        <w:rPr>
          <w:rStyle w:val="cf01"/>
          <w:rFonts w:asciiTheme="minorHAnsi" w:hAnsiTheme="minorHAnsi" w:cstheme="minorHAnsi"/>
          <w:sz w:val="24"/>
          <w:szCs w:val="24"/>
        </w:rPr>
        <w:t xml:space="preserve"> </w:t>
      </w:r>
      <w:r w:rsidR="00335995">
        <w:rPr>
          <w:rStyle w:val="cf01"/>
          <w:rFonts w:asciiTheme="minorHAnsi" w:hAnsiTheme="minorHAnsi" w:cstheme="minorHAnsi"/>
          <w:sz w:val="24"/>
          <w:szCs w:val="24"/>
        </w:rPr>
        <w:t xml:space="preserve">that </w:t>
      </w:r>
      <w:r w:rsidR="00D360CA">
        <w:rPr>
          <w:rStyle w:val="cf01"/>
          <w:rFonts w:asciiTheme="minorHAnsi" w:hAnsiTheme="minorHAnsi" w:cstheme="minorHAnsi"/>
          <w:sz w:val="24"/>
          <w:szCs w:val="24"/>
        </w:rPr>
        <w:t xml:space="preserve">the facility’s </w:t>
      </w:r>
      <w:r w:rsidR="00AD562D">
        <w:rPr>
          <w:rStyle w:val="cf01"/>
          <w:rFonts w:asciiTheme="minorHAnsi" w:hAnsiTheme="minorHAnsi" w:cstheme="minorHAnsi"/>
          <w:sz w:val="24"/>
          <w:szCs w:val="24"/>
        </w:rPr>
        <w:t xml:space="preserve">additional OR availability and </w:t>
      </w:r>
      <w:r w:rsidR="005006EB">
        <w:rPr>
          <w:rStyle w:val="cf01"/>
          <w:rFonts w:asciiTheme="minorHAnsi" w:hAnsiTheme="minorHAnsi" w:cstheme="minorHAnsi"/>
          <w:sz w:val="24"/>
          <w:szCs w:val="24"/>
        </w:rPr>
        <w:t xml:space="preserve">location provides </w:t>
      </w:r>
      <w:r w:rsidR="001538B6">
        <w:rPr>
          <w:rStyle w:val="cf01"/>
          <w:rFonts w:asciiTheme="minorHAnsi" w:hAnsiTheme="minorHAnsi" w:cstheme="minorHAnsi"/>
          <w:sz w:val="24"/>
          <w:szCs w:val="24"/>
        </w:rPr>
        <w:t xml:space="preserve">improved </w:t>
      </w:r>
      <w:r w:rsidR="00AD562D">
        <w:rPr>
          <w:rStyle w:val="cf01"/>
          <w:rFonts w:asciiTheme="minorHAnsi" w:hAnsiTheme="minorHAnsi" w:cstheme="minorHAnsi"/>
          <w:sz w:val="24"/>
          <w:szCs w:val="24"/>
        </w:rPr>
        <w:t xml:space="preserve">access to </w:t>
      </w:r>
      <w:r w:rsidR="00E06C96" w:rsidRPr="00272B60">
        <w:rPr>
          <w:rStyle w:val="cf01"/>
          <w:rFonts w:asciiTheme="minorHAnsi" w:hAnsiTheme="minorHAnsi" w:cstheme="minorHAnsi"/>
          <w:sz w:val="24"/>
          <w:szCs w:val="24"/>
        </w:rPr>
        <w:t xml:space="preserve">clinically appropriate patients </w:t>
      </w:r>
      <w:r w:rsidR="000A09F6">
        <w:rPr>
          <w:rStyle w:val="cf01"/>
          <w:rFonts w:asciiTheme="minorHAnsi" w:hAnsiTheme="minorHAnsi" w:cstheme="minorHAnsi"/>
          <w:sz w:val="24"/>
          <w:szCs w:val="24"/>
        </w:rPr>
        <w:t xml:space="preserve">for </w:t>
      </w:r>
      <w:r w:rsidR="00E06C96" w:rsidRPr="00272B60">
        <w:rPr>
          <w:rStyle w:val="cf01"/>
          <w:rFonts w:asciiTheme="minorHAnsi" w:hAnsiTheme="minorHAnsi" w:cstheme="minorHAnsi"/>
          <w:sz w:val="24"/>
          <w:szCs w:val="24"/>
        </w:rPr>
        <w:t>future outpatient surgery needs</w:t>
      </w:r>
      <w:r w:rsidR="00197DC7">
        <w:rPr>
          <w:rStyle w:val="cf01"/>
          <w:rFonts w:asciiTheme="minorHAnsi" w:hAnsiTheme="minorHAnsi" w:cstheme="minorHAnsi"/>
          <w:sz w:val="24"/>
          <w:szCs w:val="24"/>
        </w:rPr>
        <w:t>.</w:t>
      </w:r>
      <w:r w:rsidR="00E06C96" w:rsidRPr="00272B60">
        <w:rPr>
          <w:rStyle w:val="cf01"/>
          <w:rFonts w:asciiTheme="minorHAnsi" w:hAnsiTheme="minorHAnsi" w:cstheme="minorHAnsi"/>
          <w:sz w:val="24"/>
          <w:szCs w:val="24"/>
        </w:rPr>
        <w:t xml:space="preserve"> </w:t>
      </w:r>
      <w:r w:rsidR="00197DC7">
        <w:rPr>
          <w:rStyle w:val="cf01"/>
          <w:rFonts w:asciiTheme="minorHAnsi" w:hAnsiTheme="minorHAnsi" w:cstheme="minorHAnsi"/>
          <w:sz w:val="24"/>
          <w:szCs w:val="24"/>
        </w:rPr>
        <w:t>The projections</w:t>
      </w:r>
      <w:r w:rsidR="00197DC7" w:rsidRPr="003F5D9A">
        <w:rPr>
          <w:rStyle w:val="cf01"/>
          <w:rFonts w:asciiTheme="minorHAnsi" w:hAnsiTheme="minorHAnsi" w:cstheme="minorHAnsi"/>
          <w:sz w:val="24"/>
          <w:szCs w:val="24"/>
        </w:rPr>
        <w:t xml:space="preserve"> </w:t>
      </w:r>
      <w:r w:rsidR="00197DC7">
        <w:rPr>
          <w:rStyle w:val="cf01"/>
          <w:rFonts w:asciiTheme="minorHAnsi" w:hAnsiTheme="minorHAnsi" w:cstheme="minorHAnsi"/>
          <w:sz w:val="24"/>
          <w:szCs w:val="24"/>
        </w:rPr>
        <w:t xml:space="preserve">detailed in Table 2 </w:t>
      </w:r>
      <w:r w:rsidR="00197DC7" w:rsidRPr="003F5D9A">
        <w:rPr>
          <w:rStyle w:val="cf01"/>
          <w:rFonts w:asciiTheme="minorHAnsi" w:hAnsiTheme="minorHAnsi" w:cstheme="minorHAnsi"/>
          <w:sz w:val="24"/>
          <w:szCs w:val="24"/>
        </w:rPr>
        <w:t xml:space="preserve">reflect the expected </w:t>
      </w:r>
      <w:r w:rsidR="00B9629B" w:rsidRPr="003F5D9A">
        <w:rPr>
          <w:rStyle w:val="cf01"/>
          <w:rFonts w:asciiTheme="minorHAnsi" w:hAnsiTheme="minorHAnsi" w:cstheme="minorHAnsi"/>
          <w:sz w:val="24"/>
          <w:szCs w:val="24"/>
        </w:rPr>
        <w:t>ramp-up</w:t>
      </w:r>
      <w:r w:rsidR="00197DC7" w:rsidRPr="003F5D9A">
        <w:rPr>
          <w:rStyle w:val="cf01"/>
          <w:rFonts w:asciiTheme="minorHAnsi" w:hAnsiTheme="minorHAnsi" w:cstheme="minorHAnsi"/>
          <w:sz w:val="24"/>
          <w:szCs w:val="24"/>
        </w:rPr>
        <w:t xml:space="preserve"> for the three </w:t>
      </w:r>
      <w:r w:rsidR="002C6DF8">
        <w:rPr>
          <w:rStyle w:val="cf01"/>
          <w:rFonts w:asciiTheme="minorHAnsi" w:hAnsiTheme="minorHAnsi" w:cstheme="minorHAnsi"/>
          <w:sz w:val="24"/>
          <w:szCs w:val="24"/>
        </w:rPr>
        <w:t xml:space="preserve">proposed </w:t>
      </w:r>
      <w:r w:rsidR="00197DC7" w:rsidRPr="003F5D9A">
        <w:rPr>
          <w:rStyle w:val="cf01"/>
          <w:rFonts w:asciiTheme="minorHAnsi" w:hAnsiTheme="minorHAnsi" w:cstheme="minorHAnsi"/>
          <w:sz w:val="24"/>
          <w:szCs w:val="24"/>
        </w:rPr>
        <w:t>operating rooms. The projected volume assumes an average of 850 cases will be performed in each OR</w:t>
      </w:r>
      <w:r w:rsidR="000116A1">
        <w:rPr>
          <w:rStyle w:val="cf01"/>
          <w:rFonts w:asciiTheme="minorHAnsi" w:hAnsiTheme="minorHAnsi" w:cstheme="minorHAnsi"/>
          <w:sz w:val="24"/>
          <w:szCs w:val="24"/>
        </w:rPr>
        <w:t>, which</w:t>
      </w:r>
      <w:r w:rsidR="00197DC7" w:rsidRPr="003F5D9A">
        <w:rPr>
          <w:rStyle w:val="cf01"/>
          <w:rFonts w:asciiTheme="minorHAnsi" w:hAnsiTheme="minorHAnsi" w:cstheme="minorHAnsi"/>
          <w:sz w:val="24"/>
          <w:szCs w:val="24"/>
        </w:rPr>
        <w:t xml:space="preserve"> is based on historical average MG Waltham OR utilization of 950 cases per OR</w:t>
      </w:r>
      <w:r w:rsidR="002C6DF8">
        <w:rPr>
          <w:rStyle w:val="cf01"/>
          <w:rFonts w:asciiTheme="minorHAnsi" w:hAnsiTheme="minorHAnsi" w:cstheme="minorHAnsi"/>
          <w:sz w:val="24"/>
          <w:szCs w:val="24"/>
        </w:rPr>
        <w:t>,</w:t>
      </w:r>
      <w:r w:rsidR="00197DC7" w:rsidRPr="003F5D9A">
        <w:rPr>
          <w:rStyle w:val="cf01"/>
          <w:rFonts w:asciiTheme="minorHAnsi" w:hAnsiTheme="minorHAnsi" w:cstheme="minorHAnsi"/>
          <w:sz w:val="24"/>
          <w:szCs w:val="24"/>
        </w:rPr>
        <w:t xml:space="preserve"> per year</w:t>
      </w:r>
      <w:r w:rsidR="002C6DF8">
        <w:rPr>
          <w:rStyle w:val="cf01"/>
          <w:rFonts w:asciiTheme="minorHAnsi" w:hAnsiTheme="minorHAnsi" w:cstheme="minorHAnsi"/>
          <w:sz w:val="24"/>
          <w:szCs w:val="24"/>
        </w:rPr>
        <w:t>,</w:t>
      </w:r>
      <w:r w:rsidR="00197DC7" w:rsidRPr="003F5D9A">
        <w:rPr>
          <w:rStyle w:val="cf01"/>
          <w:rFonts w:asciiTheme="minorHAnsi" w:hAnsiTheme="minorHAnsi" w:cstheme="minorHAnsi"/>
          <w:sz w:val="24"/>
          <w:szCs w:val="24"/>
        </w:rPr>
        <w:t xml:space="preserve"> when consideration is made for the mix of cases that will be performed.</w:t>
      </w:r>
      <w:r w:rsidR="000116A1">
        <w:rPr>
          <w:rStyle w:val="FootnoteReference"/>
          <w:rFonts w:asciiTheme="minorHAnsi" w:hAnsiTheme="minorHAnsi" w:cstheme="minorHAnsi"/>
        </w:rPr>
        <w:footnoteReference w:id="3"/>
      </w:r>
      <w:r w:rsidR="00197DC7" w:rsidRPr="003F5D9A">
        <w:rPr>
          <w:rStyle w:val="cf01"/>
          <w:rFonts w:asciiTheme="minorHAnsi" w:hAnsiTheme="minorHAnsi" w:cstheme="minorHAnsi"/>
          <w:sz w:val="24"/>
          <w:szCs w:val="24"/>
        </w:rPr>
        <w:t> </w:t>
      </w:r>
    </w:p>
    <w:p w14:paraId="2510F0EE" w14:textId="77777777" w:rsidR="009F6CDC" w:rsidRPr="00272B60" w:rsidRDefault="009F6CDC" w:rsidP="00272B60">
      <w:pPr>
        <w:pStyle w:val="pf0"/>
        <w:spacing w:before="0" w:beforeAutospacing="0" w:after="120" w:afterAutospacing="0"/>
        <w:rPr>
          <w:rStyle w:val="cf01"/>
          <w:rFonts w:asciiTheme="minorHAnsi" w:hAnsiTheme="minorHAnsi" w:cstheme="minorHAnsi"/>
          <w:sz w:val="24"/>
          <w:szCs w:val="24"/>
        </w:rPr>
      </w:pPr>
    </w:p>
    <w:p w14:paraId="09763887" w14:textId="47B576FD" w:rsidR="00E06C96" w:rsidRDefault="00E06C96" w:rsidP="00E06C96">
      <w:pPr>
        <w:adjustRightInd w:val="0"/>
        <w:spacing w:before="120" w:after="120"/>
        <w:rPr>
          <w:b/>
          <w:bCs/>
        </w:rPr>
      </w:pPr>
      <w:r w:rsidRPr="7A628F98">
        <w:rPr>
          <w:b/>
          <w:bCs/>
          <w:u w:val="single"/>
        </w:rPr>
        <w:t>Table 2</w:t>
      </w:r>
      <w:r w:rsidR="009F6CDC" w:rsidRPr="7A628F98">
        <w:rPr>
          <w:b/>
          <w:bCs/>
        </w:rPr>
        <w:t xml:space="preserve"> -</w:t>
      </w:r>
      <w:r w:rsidRPr="7A628F98">
        <w:rPr>
          <w:b/>
          <w:bCs/>
        </w:rPr>
        <w:t xml:space="preserve"> MG Waltham Projected Surgical Volume</w:t>
      </w:r>
      <w:r w:rsidR="00940AAF" w:rsidRPr="7A628F98">
        <w:rPr>
          <w:b/>
          <w:bCs/>
        </w:rPr>
        <w:t xml:space="preserve"> For 3 Add</w:t>
      </w:r>
      <w:r w:rsidR="00631A04" w:rsidRPr="7A628F98">
        <w:rPr>
          <w:b/>
          <w:bCs/>
        </w:rPr>
        <w:t>itional Operating Rooms</w:t>
      </w:r>
      <w:r w:rsidRPr="7A628F98">
        <w:rPr>
          <w:b/>
          <w:bCs/>
        </w:rPr>
        <w:t xml:space="preserve"> </w:t>
      </w:r>
    </w:p>
    <w:tbl>
      <w:tblPr>
        <w:tblStyle w:val="TableGrid"/>
        <w:tblW w:w="0" w:type="auto"/>
        <w:tblLook w:val="04A0" w:firstRow="1" w:lastRow="0" w:firstColumn="1" w:lastColumn="0" w:noHBand="0" w:noVBand="1"/>
      </w:tblPr>
      <w:tblGrid>
        <w:gridCol w:w="3505"/>
        <w:gridCol w:w="1260"/>
        <w:gridCol w:w="1080"/>
        <w:gridCol w:w="1170"/>
        <w:gridCol w:w="1170"/>
        <w:gridCol w:w="1165"/>
      </w:tblGrid>
      <w:tr w:rsidR="000F5A11" w14:paraId="60876667" w14:textId="77777777" w:rsidTr="003E413F">
        <w:tc>
          <w:tcPr>
            <w:tcW w:w="3505" w:type="dxa"/>
            <w:shd w:val="clear" w:color="auto" w:fill="DBE5F1" w:themeFill="accent1" w:themeFillTint="33"/>
            <w:vAlign w:val="bottom"/>
          </w:tcPr>
          <w:p w14:paraId="17635B6D" w14:textId="77777777" w:rsidR="000F5A11" w:rsidRDefault="000F5A11" w:rsidP="000F5A11">
            <w:pPr>
              <w:adjustRightInd w:val="0"/>
              <w:spacing w:before="120" w:after="120"/>
              <w:jc w:val="right"/>
              <w:rPr>
                <w:b/>
                <w:bCs/>
              </w:rPr>
            </w:pPr>
            <w:r w:rsidRPr="00637887">
              <w:rPr>
                <w:b/>
                <w:bCs/>
                <w:color w:val="000000"/>
              </w:rPr>
              <w:t>Project Years</w:t>
            </w:r>
          </w:p>
        </w:tc>
        <w:tc>
          <w:tcPr>
            <w:tcW w:w="1260" w:type="dxa"/>
            <w:shd w:val="clear" w:color="auto" w:fill="DBE5F1" w:themeFill="accent1" w:themeFillTint="33"/>
            <w:vAlign w:val="bottom"/>
          </w:tcPr>
          <w:p w14:paraId="59B729E8" w14:textId="5D1EAABC" w:rsidR="000F5A11" w:rsidRDefault="000F5A11" w:rsidP="000F5A11">
            <w:pPr>
              <w:adjustRightInd w:val="0"/>
              <w:spacing w:before="120" w:after="120"/>
              <w:jc w:val="center"/>
              <w:rPr>
                <w:b/>
                <w:bCs/>
              </w:rPr>
            </w:pPr>
            <w:r>
              <w:rPr>
                <w:b/>
                <w:bCs/>
                <w:color w:val="000000"/>
              </w:rPr>
              <w:t>FY</w:t>
            </w:r>
            <w:r w:rsidR="00D631BA">
              <w:rPr>
                <w:b/>
                <w:bCs/>
                <w:color w:val="000000"/>
              </w:rPr>
              <w:t>20</w:t>
            </w:r>
            <w:r>
              <w:rPr>
                <w:b/>
                <w:bCs/>
                <w:color w:val="000000"/>
              </w:rPr>
              <w:t>27</w:t>
            </w:r>
          </w:p>
        </w:tc>
        <w:tc>
          <w:tcPr>
            <w:tcW w:w="1080" w:type="dxa"/>
            <w:shd w:val="clear" w:color="auto" w:fill="DBE5F1" w:themeFill="accent1" w:themeFillTint="33"/>
            <w:vAlign w:val="bottom"/>
          </w:tcPr>
          <w:p w14:paraId="62CF83CB" w14:textId="2AF084A8" w:rsidR="000F5A11" w:rsidRDefault="000F5A11" w:rsidP="000F5A11">
            <w:pPr>
              <w:adjustRightInd w:val="0"/>
              <w:spacing w:before="120" w:after="120"/>
              <w:jc w:val="center"/>
              <w:rPr>
                <w:b/>
                <w:bCs/>
              </w:rPr>
            </w:pPr>
            <w:r>
              <w:rPr>
                <w:b/>
                <w:bCs/>
                <w:color w:val="000000"/>
              </w:rPr>
              <w:t>FY</w:t>
            </w:r>
            <w:r w:rsidR="00D631BA">
              <w:rPr>
                <w:b/>
                <w:bCs/>
                <w:color w:val="000000"/>
              </w:rPr>
              <w:t>20</w:t>
            </w:r>
            <w:r>
              <w:rPr>
                <w:b/>
                <w:bCs/>
                <w:color w:val="000000"/>
              </w:rPr>
              <w:t>28</w:t>
            </w:r>
          </w:p>
        </w:tc>
        <w:tc>
          <w:tcPr>
            <w:tcW w:w="1170" w:type="dxa"/>
            <w:shd w:val="clear" w:color="auto" w:fill="DBE5F1" w:themeFill="accent1" w:themeFillTint="33"/>
            <w:vAlign w:val="bottom"/>
          </w:tcPr>
          <w:p w14:paraId="4DFFECC5" w14:textId="61508D21" w:rsidR="000F5A11" w:rsidRDefault="000F5A11" w:rsidP="000F5A11">
            <w:pPr>
              <w:adjustRightInd w:val="0"/>
              <w:spacing w:before="120" w:after="120"/>
              <w:jc w:val="center"/>
              <w:rPr>
                <w:b/>
                <w:bCs/>
              </w:rPr>
            </w:pPr>
            <w:r>
              <w:rPr>
                <w:b/>
                <w:bCs/>
                <w:color w:val="000000"/>
              </w:rPr>
              <w:t>FY</w:t>
            </w:r>
            <w:r w:rsidR="00D631BA">
              <w:rPr>
                <w:b/>
                <w:bCs/>
                <w:color w:val="000000"/>
              </w:rPr>
              <w:t>20</w:t>
            </w:r>
            <w:r>
              <w:rPr>
                <w:b/>
                <w:bCs/>
                <w:color w:val="000000"/>
              </w:rPr>
              <w:t>29</w:t>
            </w:r>
          </w:p>
        </w:tc>
        <w:tc>
          <w:tcPr>
            <w:tcW w:w="1170" w:type="dxa"/>
            <w:shd w:val="clear" w:color="auto" w:fill="DBE5F1" w:themeFill="accent1" w:themeFillTint="33"/>
            <w:vAlign w:val="bottom"/>
          </w:tcPr>
          <w:p w14:paraId="6E2B1C3A" w14:textId="2C221C64" w:rsidR="000F5A11" w:rsidRDefault="000F5A11" w:rsidP="000F5A11">
            <w:pPr>
              <w:adjustRightInd w:val="0"/>
              <w:spacing w:before="120" w:after="120"/>
              <w:jc w:val="center"/>
              <w:rPr>
                <w:b/>
                <w:bCs/>
              </w:rPr>
            </w:pPr>
            <w:r>
              <w:rPr>
                <w:b/>
                <w:bCs/>
                <w:color w:val="000000"/>
              </w:rPr>
              <w:t>FY</w:t>
            </w:r>
            <w:r w:rsidR="00D631BA">
              <w:rPr>
                <w:b/>
                <w:bCs/>
                <w:color w:val="000000"/>
              </w:rPr>
              <w:t>20</w:t>
            </w:r>
            <w:r>
              <w:rPr>
                <w:b/>
                <w:bCs/>
                <w:color w:val="000000"/>
              </w:rPr>
              <w:t>30</w:t>
            </w:r>
          </w:p>
        </w:tc>
        <w:tc>
          <w:tcPr>
            <w:tcW w:w="1165" w:type="dxa"/>
            <w:shd w:val="clear" w:color="auto" w:fill="DBE5F1" w:themeFill="accent1" w:themeFillTint="33"/>
            <w:vAlign w:val="bottom"/>
          </w:tcPr>
          <w:p w14:paraId="06E6D509" w14:textId="4CB61C55" w:rsidR="000F5A11" w:rsidRDefault="000F5A11" w:rsidP="000F5A11">
            <w:pPr>
              <w:adjustRightInd w:val="0"/>
              <w:spacing w:before="120" w:after="120"/>
              <w:jc w:val="center"/>
              <w:rPr>
                <w:b/>
                <w:bCs/>
              </w:rPr>
            </w:pPr>
            <w:r>
              <w:rPr>
                <w:b/>
                <w:bCs/>
                <w:color w:val="000000"/>
              </w:rPr>
              <w:t>FY</w:t>
            </w:r>
            <w:r w:rsidR="00D631BA">
              <w:rPr>
                <w:b/>
                <w:bCs/>
                <w:color w:val="000000"/>
              </w:rPr>
              <w:t>20</w:t>
            </w:r>
            <w:r>
              <w:rPr>
                <w:b/>
                <w:bCs/>
                <w:color w:val="000000"/>
              </w:rPr>
              <w:t>31</w:t>
            </w:r>
          </w:p>
        </w:tc>
      </w:tr>
      <w:tr w:rsidR="00E06C96" w14:paraId="08DAE90C" w14:textId="77777777" w:rsidTr="003E413F">
        <w:tc>
          <w:tcPr>
            <w:tcW w:w="3505" w:type="dxa"/>
            <w:vAlign w:val="bottom"/>
          </w:tcPr>
          <w:p w14:paraId="457056BC" w14:textId="77777777" w:rsidR="00E06C96" w:rsidRDefault="00E06C96" w:rsidP="003E413F">
            <w:pPr>
              <w:adjustRightInd w:val="0"/>
              <w:spacing w:before="120" w:after="120"/>
              <w:rPr>
                <w:b/>
                <w:bCs/>
              </w:rPr>
            </w:pPr>
            <w:r w:rsidRPr="00637887">
              <w:rPr>
                <w:color w:val="000000"/>
              </w:rPr>
              <w:t xml:space="preserve">Case Volume </w:t>
            </w:r>
          </w:p>
        </w:tc>
        <w:tc>
          <w:tcPr>
            <w:tcW w:w="1260" w:type="dxa"/>
            <w:vAlign w:val="bottom"/>
          </w:tcPr>
          <w:p w14:paraId="01BC318F" w14:textId="77777777" w:rsidR="00E06C96" w:rsidRDefault="00E06C96" w:rsidP="003E413F">
            <w:pPr>
              <w:adjustRightInd w:val="0"/>
              <w:spacing w:before="120" w:after="120"/>
              <w:jc w:val="center"/>
              <w:rPr>
                <w:b/>
                <w:bCs/>
              </w:rPr>
            </w:pPr>
            <w:r w:rsidRPr="00637887">
              <w:rPr>
                <w:color w:val="000000"/>
              </w:rPr>
              <w:t>1,275</w:t>
            </w:r>
          </w:p>
        </w:tc>
        <w:tc>
          <w:tcPr>
            <w:tcW w:w="1080" w:type="dxa"/>
            <w:vAlign w:val="bottom"/>
          </w:tcPr>
          <w:p w14:paraId="2BC5E476" w14:textId="77777777" w:rsidR="00E06C96" w:rsidRDefault="00E06C96" w:rsidP="003E413F">
            <w:pPr>
              <w:adjustRightInd w:val="0"/>
              <w:spacing w:before="120" w:after="120"/>
              <w:jc w:val="center"/>
              <w:rPr>
                <w:b/>
                <w:bCs/>
              </w:rPr>
            </w:pPr>
            <w:r w:rsidRPr="00637887">
              <w:rPr>
                <w:color w:val="000000"/>
              </w:rPr>
              <w:t>1,913</w:t>
            </w:r>
          </w:p>
        </w:tc>
        <w:tc>
          <w:tcPr>
            <w:tcW w:w="1170" w:type="dxa"/>
            <w:vAlign w:val="bottom"/>
          </w:tcPr>
          <w:p w14:paraId="61DA4E78" w14:textId="77777777" w:rsidR="00E06C96" w:rsidRDefault="00E06C96" w:rsidP="003E413F">
            <w:pPr>
              <w:adjustRightInd w:val="0"/>
              <w:spacing w:before="120" w:after="120"/>
              <w:jc w:val="center"/>
              <w:rPr>
                <w:b/>
                <w:bCs/>
              </w:rPr>
            </w:pPr>
            <w:r w:rsidRPr="00637887">
              <w:rPr>
                <w:color w:val="000000"/>
              </w:rPr>
              <w:t>2,550</w:t>
            </w:r>
          </w:p>
        </w:tc>
        <w:tc>
          <w:tcPr>
            <w:tcW w:w="1170" w:type="dxa"/>
            <w:vAlign w:val="bottom"/>
          </w:tcPr>
          <w:p w14:paraId="0F014D01" w14:textId="77777777" w:rsidR="00E06C96" w:rsidRDefault="00E06C96" w:rsidP="003E413F">
            <w:pPr>
              <w:adjustRightInd w:val="0"/>
              <w:spacing w:before="120" w:after="120"/>
              <w:jc w:val="center"/>
              <w:rPr>
                <w:b/>
                <w:bCs/>
              </w:rPr>
            </w:pPr>
            <w:r w:rsidRPr="00637887">
              <w:rPr>
                <w:color w:val="000000"/>
              </w:rPr>
              <w:t>2,550</w:t>
            </w:r>
          </w:p>
        </w:tc>
        <w:tc>
          <w:tcPr>
            <w:tcW w:w="1165" w:type="dxa"/>
            <w:vAlign w:val="bottom"/>
          </w:tcPr>
          <w:p w14:paraId="3FF3D90F" w14:textId="77777777" w:rsidR="00E06C96" w:rsidRDefault="00E06C96" w:rsidP="003E413F">
            <w:pPr>
              <w:adjustRightInd w:val="0"/>
              <w:spacing w:before="120" w:after="120"/>
              <w:jc w:val="center"/>
              <w:rPr>
                <w:b/>
                <w:bCs/>
              </w:rPr>
            </w:pPr>
            <w:r w:rsidRPr="00637887">
              <w:rPr>
                <w:color w:val="000000"/>
              </w:rPr>
              <w:t>2,550</w:t>
            </w:r>
          </w:p>
        </w:tc>
      </w:tr>
    </w:tbl>
    <w:p w14:paraId="03F5ED3D" w14:textId="77777777" w:rsidR="00482351" w:rsidRDefault="00482351" w:rsidP="00882AEE">
      <w:pPr>
        <w:spacing w:before="52"/>
        <w:ind w:right="-10"/>
        <w:rPr>
          <w:sz w:val="24"/>
          <w:highlight w:val="yellow"/>
        </w:rPr>
      </w:pPr>
    </w:p>
    <w:p w14:paraId="730EDE9B" w14:textId="1208D440" w:rsidR="000526E5" w:rsidRPr="009D3018" w:rsidRDefault="000526E5" w:rsidP="005C6DCB">
      <w:pPr>
        <w:pStyle w:val="pf0"/>
        <w:spacing w:before="0" w:beforeAutospacing="0" w:after="0" w:afterAutospacing="0"/>
        <w:rPr>
          <w:rStyle w:val="cf01"/>
          <w:rFonts w:asciiTheme="minorHAnsi" w:hAnsiTheme="minorHAnsi" w:cstheme="minorHAnsi"/>
          <w:sz w:val="24"/>
          <w:szCs w:val="24"/>
        </w:rPr>
      </w:pPr>
      <w:r w:rsidRPr="009D3018">
        <w:rPr>
          <w:rStyle w:val="cf01"/>
          <w:rFonts w:asciiTheme="minorHAnsi" w:hAnsiTheme="minorHAnsi" w:cstheme="minorHAnsi"/>
          <w:sz w:val="24"/>
          <w:szCs w:val="24"/>
        </w:rPr>
        <w:t xml:space="preserve">The Holder states that the projected growth in volume at MGH Waltham is driven by a shift of outpatient cases from the MGH Main Campus to MG Waltham, and projected new outpatient case volume. </w:t>
      </w:r>
      <w:r w:rsidR="00052254" w:rsidRPr="009D3018">
        <w:rPr>
          <w:rStyle w:val="cf01"/>
          <w:rFonts w:asciiTheme="minorHAnsi" w:hAnsiTheme="minorHAnsi" w:cstheme="minorHAnsi"/>
          <w:sz w:val="24"/>
          <w:szCs w:val="24"/>
        </w:rPr>
        <w:t>The Holder expects</w:t>
      </w:r>
      <w:r w:rsidRPr="009D3018">
        <w:rPr>
          <w:rStyle w:val="cf01"/>
          <w:rFonts w:asciiTheme="minorHAnsi" w:hAnsiTheme="minorHAnsi" w:cstheme="minorHAnsi"/>
          <w:sz w:val="24"/>
          <w:szCs w:val="24"/>
        </w:rPr>
        <w:t xml:space="preserve"> that the open surgical time gained on the MGH Main Campus through this </w:t>
      </w:r>
      <w:r w:rsidR="00A07DDE" w:rsidRPr="009D3018">
        <w:rPr>
          <w:rStyle w:val="cf01"/>
          <w:rFonts w:asciiTheme="minorHAnsi" w:hAnsiTheme="minorHAnsi" w:cstheme="minorHAnsi"/>
          <w:sz w:val="24"/>
          <w:szCs w:val="24"/>
        </w:rPr>
        <w:t xml:space="preserve">OR and case shift </w:t>
      </w:r>
      <w:r w:rsidRPr="009D3018">
        <w:rPr>
          <w:rStyle w:val="cf01"/>
          <w:rFonts w:asciiTheme="minorHAnsi" w:hAnsiTheme="minorHAnsi" w:cstheme="minorHAnsi"/>
          <w:sz w:val="24"/>
          <w:szCs w:val="24"/>
        </w:rPr>
        <w:t xml:space="preserve">strategy will allow for the backfill of higher acuity cases. </w:t>
      </w:r>
      <w:r w:rsidR="00052254" w:rsidRPr="009D3018">
        <w:rPr>
          <w:rStyle w:val="cf01"/>
          <w:rFonts w:asciiTheme="minorHAnsi" w:hAnsiTheme="minorHAnsi" w:cstheme="minorHAnsi"/>
          <w:sz w:val="24"/>
          <w:szCs w:val="24"/>
        </w:rPr>
        <w:t>They estimate that for</w:t>
      </w:r>
      <w:r w:rsidRPr="009D3018">
        <w:rPr>
          <w:rStyle w:val="cf01"/>
          <w:rFonts w:asciiTheme="minorHAnsi" w:hAnsiTheme="minorHAnsi" w:cstheme="minorHAnsi"/>
          <w:sz w:val="24"/>
          <w:szCs w:val="24"/>
        </w:rPr>
        <w:t xml:space="preserve"> every two outpatient cases </w:t>
      </w:r>
      <w:r w:rsidR="00A07DDE" w:rsidRPr="009D3018">
        <w:rPr>
          <w:rStyle w:val="cf01"/>
          <w:rFonts w:asciiTheme="minorHAnsi" w:hAnsiTheme="minorHAnsi" w:cstheme="minorHAnsi"/>
          <w:sz w:val="24"/>
          <w:szCs w:val="24"/>
        </w:rPr>
        <w:t xml:space="preserve">shifted </w:t>
      </w:r>
      <w:r w:rsidRPr="009D3018">
        <w:rPr>
          <w:rStyle w:val="cf01"/>
          <w:rFonts w:asciiTheme="minorHAnsi" w:hAnsiTheme="minorHAnsi" w:cstheme="minorHAnsi"/>
          <w:sz w:val="24"/>
          <w:szCs w:val="24"/>
        </w:rPr>
        <w:t>from the MGH Main Campus to MG Waltham, the open MGH Main Campus time will be backfilled with one higher acuity case</w:t>
      </w:r>
      <w:r w:rsidR="00052254" w:rsidRPr="009D3018">
        <w:rPr>
          <w:rStyle w:val="cf01"/>
          <w:rFonts w:asciiTheme="minorHAnsi" w:hAnsiTheme="minorHAnsi" w:cstheme="minorHAnsi"/>
          <w:sz w:val="24"/>
          <w:szCs w:val="24"/>
        </w:rPr>
        <w:t>.</w:t>
      </w:r>
      <w:r w:rsidR="00052254" w:rsidRPr="009D3018">
        <w:rPr>
          <w:rStyle w:val="FootnoteReference"/>
          <w:rFonts w:asciiTheme="minorHAnsi" w:hAnsiTheme="minorHAnsi" w:cstheme="minorHAnsi"/>
        </w:rPr>
        <w:footnoteReference w:id="4"/>
      </w:r>
    </w:p>
    <w:p w14:paraId="6B145DD1" w14:textId="77777777" w:rsidR="000526E5" w:rsidRPr="009D3018" w:rsidRDefault="000526E5" w:rsidP="00882AEE">
      <w:pPr>
        <w:spacing w:before="52"/>
        <w:ind w:right="-10"/>
        <w:rPr>
          <w:sz w:val="24"/>
          <w:highlight w:val="yellow"/>
        </w:rPr>
      </w:pPr>
    </w:p>
    <w:p w14:paraId="1907A53A" w14:textId="2BB67848" w:rsidR="007D491B" w:rsidRPr="009D3018" w:rsidRDefault="007D491B" w:rsidP="00882AEE">
      <w:pPr>
        <w:spacing w:before="52"/>
        <w:ind w:right="-10"/>
        <w:rPr>
          <w:sz w:val="24"/>
          <w:szCs w:val="24"/>
        </w:rPr>
      </w:pPr>
      <w:r w:rsidRPr="009D3018">
        <w:rPr>
          <w:sz w:val="24"/>
          <w:szCs w:val="24"/>
        </w:rPr>
        <w:t xml:space="preserve">In FY2023, most surgery patients at MG Waltham and MGH Main Campus originated from the Boston area, the MetroWest area, and towns to the north of Waltham. </w:t>
      </w:r>
      <w:r w:rsidR="00A64F99" w:rsidRPr="009D3018">
        <w:rPr>
          <w:sz w:val="24"/>
          <w:szCs w:val="24"/>
        </w:rPr>
        <w:t>S</w:t>
      </w:r>
      <w:r w:rsidRPr="009D3018">
        <w:rPr>
          <w:sz w:val="24"/>
          <w:szCs w:val="24"/>
        </w:rPr>
        <w:t xml:space="preserve">ince MG Waltham expanded in FY2022, the largest increases in patient volume have come from the regions surrounding Waltham, including patients located along the Mass Pike, Route 2, and those coming from Central Massachusetts. </w:t>
      </w:r>
      <w:r w:rsidR="00A64F99" w:rsidRPr="009D3018">
        <w:rPr>
          <w:sz w:val="24"/>
          <w:szCs w:val="24"/>
        </w:rPr>
        <w:t>This suggests that</w:t>
      </w:r>
      <w:r w:rsidRPr="009D3018">
        <w:rPr>
          <w:sz w:val="24"/>
          <w:szCs w:val="24"/>
        </w:rPr>
        <w:t xml:space="preserve"> there </w:t>
      </w:r>
      <w:r w:rsidR="00B9629B" w:rsidRPr="009D3018">
        <w:rPr>
          <w:sz w:val="24"/>
          <w:szCs w:val="24"/>
        </w:rPr>
        <w:t>is a significant</w:t>
      </w:r>
      <w:r w:rsidRPr="009D3018">
        <w:rPr>
          <w:sz w:val="24"/>
          <w:szCs w:val="24"/>
        </w:rPr>
        <w:t xml:space="preserve"> number of patients for whom MG Waltham represents a closer, more convenient option than the MGH Main Campus.</w:t>
      </w:r>
    </w:p>
    <w:p w14:paraId="2957B68D" w14:textId="77777777" w:rsidR="00D200F1" w:rsidRPr="009D3018" w:rsidRDefault="00D200F1" w:rsidP="00882AEE">
      <w:pPr>
        <w:spacing w:before="52"/>
        <w:ind w:right="-10"/>
        <w:rPr>
          <w:sz w:val="24"/>
          <w:highlight w:val="yellow"/>
        </w:rPr>
      </w:pPr>
    </w:p>
    <w:p w14:paraId="570CB22C" w14:textId="1A9BFE8C" w:rsidR="00120FFE" w:rsidRPr="009D3018" w:rsidRDefault="00120FFE" w:rsidP="00882AEE">
      <w:pPr>
        <w:spacing w:before="52"/>
        <w:ind w:right="-10"/>
        <w:rPr>
          <w:b/>
          <w:bCs/>
          <w:sz w:val="24"/>
        </w:rPr>
      </w:pPr>
      <w:r w:rsidRPr="009D3018">
        <w:rPr>
          <w:b/>
          <w:bCs/>
          <w:sz w:val="24"/>
        </w:rPr>
        <w:t>Analysis</w:t>
      </w:r>
    </w:p>
    <w:p w14:paraId="03CFF47E" w14:textId="3A2F5318" w:rsidR="00515667" w:rsidRPr="009D3018" w:rsidRDefault="00476A62" w:rsidP="00882AEE">
      <w:pPr>
        <w:spacing w:before="52"/>
        <w:ind w:right="-10"/>
        <w:rPr>
          <w:sz w:val="24"/>
        </w:rPr>
      </w:pPr>
      <w:r w:rsidRPr="009D3018">
        <w:rPr>
          <w:sz w:val="24"/>
        </w:rPr>
        <w:t>Staff has reviewed the Amendment request</w:t>
      </w:r>
      <w:r w:rsidR="00EB15FF" w:rsidRPr="009D3018">
        <w:rPr>
          <w:sz w:val="24"/>
        </w:rPr>
        <w:t xml:space="preserve"> and has </w:t>
      </w:r>
      <w:r w:rsidRPr="009D3018">
        <w:rPr>
          <w:sz w:val="24"/>
        </w:rPr>
        <w:t>determine</w:t>
      </w:r>
      <w:r w:rsidR="00EB15FF" w:rsidRPr="009D3018">
        <w:rPr>
          <w:sz w:val="24"/>
        </w:rPr>
        <w:t>d</w:t>
      </w:r>
      <w:r w:rsidRPr="009D3018">
        <w:rPr>
          <w:sz w:val="24"/>
        </w:rPr>
        <w:t xml:space="preserve"> </w:t>
      </w:r>
      <w:r w:rsidR="00EB15FF" w:rsidRPr="009D3018">
        <w:rPr>
          <w:sz w:val="24"/>
        </w:rPr>
        <w:t xml:space="preserve">that </w:t>
      </w:r>
      <w:r w:rsidRPr="009D3018">
        <w:rPr>
          <w:sz w:val="24"/>
        </w:rPr>
        <w:t>it falls within the scope of the original Approval</w:t>
      </w:r>
      <w:r w:rsidR="00120FFE" w:rsidRPr="009D3018">
        <w:rPr>
          <w:sz w:val="24"/>
        </w:rPr>
        <w:t xml:space="preserve">. Staff finds that </w:t>
      </w:r>
      <w:r w:rsidR="002B2EF2" w:rsidRPr="009D3018">
        <w:rPr>
          <w:sz w:val="24"/>
        </w:rPr>
        <w:t>shifting surgical cases from MGB Main Campus has increased the</w:t>
      </w:r>
      <w:r w:rsidR="00586B11" w:rsidRPr="009D3018">
        <w:rPr>
          <w:sz w:val="24"/>
        </w:rPr>
        <w:t xml:space="preserve"> </w:t>
      </w:r>
      <w:r w:rsidR="002B2EF2" w:rsidRPr="009D3018">
        <w:rPr>
          <w:sz w:val="24"/>
        </w:rPr>
        <w:t xml:space="preserve">surgical </w:t>
      </w:r>
      <w:r w:rsidR="00D778CB" w:rsidRPr="009D3018">
        <w:rPr>
          <w:sz w:val="24"/>
        </w:rPr>
        <w:t xml:space="preserve">volume </w:t>
      </w:r>
      <w:r w:rsidR="002B2EF2" w:rsidRPr="009D3018">
        <w:rPr>
          <w:sz w:val="24"/>
        </w:rPr>
        <w:t>at MG Waltham</w:t>
      </w:r>
      <w:r w:rsidR="00385BEB" w:rsidRPr="009D3018">
        <w:rPr>
          <w:sz w:val="24"/>
        </w:rPr>
        <w:t xml:space="preserve"> since the </w:t>
      </w:r>
      <w:r w:rsidR="00676F6D" w:rsidRPr="009D3018">
        <w:rPr>
          <w:sz w:val="24"/>
        </w:rPr>
        <w:t>new ORs became operational</w:t>
      </w:r>
      <w:r w:rsidR="005B4FE3" w:rsidRPr="009D3018">
        <w:rPr>
          <w:sz w:val="24"/>
        </w:rPr>
        <w:t xml:space="preserve">. Despite the additional OR capacity created in the original DoN, </w:t>
      </w:r>
      <w:r w:rsidR="007879F3" w:rsidRPr="009D3018">
        <w:rPr>
          <w:sz w:val="24"/>
        </w:rPr>
        <w:t xml:space="preserve">the </w:t>
      </w:r>
      <w:r w:rsidR="00876738" w:rsidRPr="009D3018">
        <w:rPr>
          <w:sz w:val="24"/>
        </w:rPr>
        <w:t xml:space="preserve">MG Waltham surgical schedule is </w:t>
      </w:r>
      <w:r w:rsidR="007E0468" w:rsidRPr="009D3018">
        <w:rPr>
          <w:sz w:val="24"/>
        </w:rPr>
        <w:t xml:space="preserve">full, leading to </w:t>
      </w:r>
      <w:r w:rsidR="00506DD3" w:rsidRPr="009D3018">
        <w:rPr>
          <w:sz w:val="24"/>
        </w:rPr>
        <w:t>steadily increas</w:t>
      </w:r>
      <w:r w:rsidR="007E0468" w:rsidRPr="009D3018">
        <w:rPr>
          <w:sz w:val="24"/>
        </w:rPr>
        <w:t>ing wait times for surgery</w:t>
      </w:r>
      <w:r w:rsidR="00506DD3" w:rsidRPr="009D3018">
        <w:rPr>
          <w:sz w:val="24"/>
        </w:rPr>
        <w:t xml:space="preserve"> at MG Waltham</w:t>
      </w:r>
      <w:r w:rsidR="007E0468" w:rsidRPr="009D3018">
        <w:rPr>
          <w:sz w:val="24"/>
        </w:rPr>
        <w:t xml:space="preserve">, and </w:t>
      </w:r>
      <w:r w:rsidR="007879F3" w:rsidRPr="009D3018">
        <w:rPr>
          <w:sz w:val="24"/>
        </w:rPr>
        <w:t>limiting the facility’s ability to accept lower acuity cases from MGB Main Campus</w:t>
      </w:r>
      <w:r w:rsidR="006A4181" w:rsidRPr="009D3018">
        <w:rPr>
          <w:sz w:val="24"/>
        </w:rPr>
        <w:t>.</w:t>
      </w:r>
      <w:r w:rsidR="00120FFE" w:rsidRPr="009D3018">
        <w:rPr>
          <w:sz w:val="24"/>
        </w:rPr>
        <w:t xml:space="preserve"> </w:t>
      </w:r>
      <w:r w:rsidR="00506DD3" w:rsidRPr="009D3018">
        <w:rPr>
          <w:sz w:val="24"/>
        </w:rPr>
        <w:t xml:space="preserve">Based on these </w:t>
      </w:r>
      <w:r w:rsidR="002527AC" w:rsidRPr="009D3018">
        <w:rPr>
          <w:sz w:val="24"/>
        </w:rPr>
        <w:t xml:space="preserve">points, staff finds that </w:t>
      </w:r>
      <w:r w:rsidR="00120FFE" w:rsidRPr="009D3018">
        <w:rPr>
          <w:sz w:val="24"/>
        </w:rPr>
        <w:t xml:space="preserve">the Holder has </w:t>
      </w:r>
      <w:r w:rsidR="00E05B17" w:rsidRPr="009D3018">
        <w:rPr>
          <w:sz w:val="24"/>
        </w:rPr>
        <w:t xml:space="preserve">established </w:t>
      </w:r>
      <w:r w:rsidR="00160BDA" w:rsidRPr="009D3018">
        <w:rPr>
          <w:sz w:val="24"/>
        </w:rPr>
        <w:t>a</w:t>
      </w:r>
      <w:r w:rsidR="00577168" w:rsidRPr="009D3018">
        <w:rPr>
          <w:sz w:val="24"/>
        </w:rPr>
        <w:t xml:space="preserve"> reasonable basis</w:t>
      </w:r>
      <w:r w:rsidR="00E05B17" w:rsidRPr="009D3018">
        <w:rPr>
          <w:sz w:val="24"/>
        </w:rPr>
        <w:t xml:space="preserve"> for</w:t>
      </w:r>
      <w:r w:rsidR="00A93CEB" w:rsidRPr="009D3018">
        <w:rPr>
          <w:sz w:val="24"/>
        </w:rPr>
        <w:t xml:space="preserve"> </w:t>
      </w:r>
      <w:r w:rsidR="006A4181" w:rsidRPr="009D3018">
        <w:rPr>
          <w:sz w:val="24"/>
        </w:rPr>
        <w:t xml:space="preserve">three </w:t>
      </w:r>
      <w:r w:rsidR="00A93CEB" w:rsidRPr="009D3018">
        <w:rPr>
          <w:sz w:val="24"/>
        </w:rPr>
        <w:t xml:space="preserve">additional ORs and </w:t>
      </w:r>
      <w:r w:rsidR="006A4181" w:rsidRPr="009D3018">
        <w:rPr>
          <w:sz w:val="24"/>
        </w:rPr>
        <w:t xml:space="preserve">eleven </w:t>
      </w:r>
      <w:r w:rsidR="00A93CEB" w:rsidRPr="009D3018">
        <w:rPr>
          <w:sz w:val="24"/>
        </w:rPr>
        <w:t>additional peri-operative bays</w:t>
      </w:r>
      <w:r w:rsidR="00E05B17" w:rsidRPr="009D3018">
        <w:rPr>
          <w:sz w:val="24"/>
        </w:rPr>
        <w:t>.</w:t>
      </w:r>
    </w:p>
    <w:p w14:paraId="5F01952A" w14:textId="77777777" w:rsidR="003E76C4" w:rsidRPr="009D3018" w:rsidRDefault="003E76C4" w:rsidP="003E76C4">
      <w:pPr>
        <w:spacing w:before="52"/>
        <w:ind w:right="-10"/>
        <w:rPr>
          <w:sz w:val="24"/>
          <w:highlight w:val="yellow"/>
        </w:rPr>
      </w:pPr>
    </w:p>
    <w:p w14:paraId="52FF5177" w14:textId="1DDA0ECD" w:rsidR="00571F0A" w:rsidRPr="009D3018" w:rsidRDefault="00571F0A" w:rsidP="00D3357B">
      <w:pPr>
        <w:pStyle w:val="BodyText"/>
        <w:rPr>
          <w:b/>
          <w:bCs/>
          <w:sz w:val="24"/>
          <w:szCs w:val="24"/>
          <w:u w:val="single"/>
        </w:rPr>
      </w:pPr>
      <w:r w:rsidRPr="009D3018">
        <w:rPr>
          <w:b/>
          <w:bCs/>
          <w:sz w:val="24"/>
          <w:szCs w:val="24"/>
          <w:u w:val="single"/>
        </w:rPr>
        <w:t>Impact on Cost</w:t>
      </w:r>
    </w:p>
    <w:p w14:paraId="7C016D51" w14:textId="44939224" w:rsidR="006F791C" w:rsidRPr="009D3018" w:rsidRDefault="00C03475" w:rsidP="00D3357B">
      <w:pPr>
        <w:ind w:right="-10"/>
        <w:rPr>
          <w:sz w:val="24"/>
          <w:szCs w:val="24"/>
        </w:rPr>
      </w:pPr>
      <w:r w:rsidRPr="009D3018">
        <w:rPr>
          <w:sz w:val="24"/>
        </w:rPr>
        <w:t xml:space="preserve">The regulation requires that a Holder submit a description of the proposed change along </w:t>
      </w:r>
      <w:r w:rsidR="007A4E67" w:rsidRPr="009D3018">
        <w:rPr>
          <w:sz w:val="24"/>
        </w:rPr>
        <w:t>with associated</w:t>
      </w:r>
      <w:r w:rsidRPr="009D3018">
        <w:rPr>
          <w:sz w:val="24"/>
        </w:rPr>
        <w:t xml:space="preserve"> cost implications</w:t>
      </w:r>
      <w:r w:rsidR="007F6016" w:rsidRPr="009D3018">
        <w:rPr>
          <w:sz w:val="24"/>
        </w:rPr>
        <w:t xml:space="preserve"> for the Holder and the</w:t>
      </w:r>
      <w:r w:rsidR="00D863B6" w:rsidRPr="009D3018">
        <w:rPr>
          <w:sz w:val="24"/>
        </w:rPr>
        <w:t xml:space="preserve"> </w:t>
      </w:r>
      <w:r w:rsidR="007F6016" w:rsidRPr="009D3018">
        <w:rPr>
          <w:sz w:val="24"/>
        </w:rPr>
        <w:t>Patient Panel</w:t>
      </w:r>
      <w:r w:rsidRPr="009D3018">
        <w:rPr>
          <w:sz w:val="24"/>
        </w:rPr>
        <w:t>.</w:t>
      </w:r>
      <w:r w:rsidR="00753718" w:rsidRPr="009D3018">
        <w:rPr>
          <w:sz w:val="24"/>
        </w:rPr>
        <w:t xml:space="preserve"> </w:t>
      </w:r>
      <w:r w:rsidR="00CC008D" w:rsidRPr="009D3018">
        <w:rPr>
          <w:sz w:val="24"/>
          <w:szCs w:val="24"/>
        </w:rPr>
        <w:t>T</w:t>
      </w:r>
      <w:r w:rsidR="00055D66" w:rsidRPr="009D3018">
        <w:rPr>
          <w:sz w:val="24"/>
          <w:szCs w:val="24"/>
        </w:rPr>
        <w:t xml:space="preserve">he Proposed </w:t>
      </w:r>
      <w:r w:rsidR="00CC008D" w:rsidRPr="009D3018">
        <w:rPr>
          <w:sz w:val="24"/>
          <w:szCs w:val="24"/>
        </w:rPr>
        <w:t>Amendment</w:t>
      </w:r>
      <w:r w:rsidR="00055D66" w:rsidRPr="009D3018">
        <w:rPr>
          <w:sz w:val="24"/>
          <w:szCs w:val="24"/>
        </w:rPr>
        <w:t xml:space="preserve"> is expected to result in incremental operating expenses ($14,500,000 annually) driven by the additional OR case volume</w:t>
      </w:r>
      <w:r w:rsidR="00CC008D" w:rsidRPr="009D3018">
        <w:rPr>
          <w:sz w:val="24"/>
          <w:szCs w:val="24"/>
        </w:rPr>
        <w:t xml:space="preserve">. The Holder notes that </w:t>
      </w:r>
      <w:r w:rsidR="00055D66" w:rsidRPr="009D3018">
        <w:rPr>
          <w:sz w:val="24"/>
          <w:szCs w:val="24"/>
        </w:rPr>
        <w:t>these projected costs would be less than providing the service at the MGH main campus due to the overhead associated with a full-service academic medical center.</w:t>
      </w:r>
      <w:r w:rsidR="006B7F5F" w:rsidRPr="009D3018">
        <w:rPr>
          <w:sz w:val="24"/>
          <w:szCs w:val="24"/>
        </w:rPr>
        <w:t xml:space="preserve"> The Holder asserts that adding outpatient surgical capacity </w:t>
      </w:r>
      <w:r w:rsidR="00462FB6" w:rsidRPr="009D3018">
        <w:rPr>
          <w:sz w:val="24"/>
          <w:szCs w:val="24"/>
        </w:rPr>
        <w:t xml:space="preserve">by </w:t>
      </w:r>
      <w:r w:rsidR="006B7F5F" w:rsidRPr="009D3018">
        <w:rPr>
          <w:sz w:val="24"/>
          <w:szCs w:val="24"/>
        </w:rPr>
        <w:t xml:space="preserve">building out shell space in an existing facility that has the required infrastructure is </w:t>
      </w:r>
      <w:r w:rsidR="000A4DF8" w:rsidRPr="009D3018">
        <w:rPr>
          <w:sz w:val="24"/>
          <w:szCs w:val="24"/>
        </w:rPr>
        <w:t xml:space="preserve">a </w:t>
      </w:r>
      <w:r w:rsidR="00B9629B" w:rsidRPr="009D3018">
        <w:rPr>
          <w:sz w:val="24"/>
          <w:szCs w:val="24"/>
        </w:rPr>
        <w:t>cost-effective</w:t>
      </w:r>
      <w:r w:rsidR="006B7F5F" w:rsidRPr="009D3018">
        <w:rPr>
          <w:sz w:val="24"/>
          <w:szCs w:val="24"/>
        </w:rPr>
        <w:t xml:space="preserve"> approach to meeting the surgical needs of the community. </w:t>
      </w:r>
    </w:p>
    <w:p w14:paraId="03893CDA" w14:textId="77777777" w:rsidR="00144795" w:rsidRPr="009D3018" w:rsidRDefault="00144795" w:rsidP="00144795">
      <w:pPr>
        <w:ind w:right="-10"/>
        <w:jc w:val="both"/>
        <w:rPr>
          <w:sz w:val="24"/>
        </w:rPr>
      </w:pPr>
    </w:p>
    <w:p w14:paraId="7980CB7F" w14:textId="01152088" w:rsidR="00244D27" w:rsidRPr="009D3018" w:rsidRDefault="00244D27" w:rsidP="009C7902">
      <w:pPr>
        <w:ind w:right="-10"/>
        <w:rPr>
          <w:sz w:val="24"/>
          <w:szCs w:val="24"/>
        </w:rPr>
      </w:pPr>
      <w:r w:rsidRPr="009D3018">
        <w:rPr>
          <w:sz w:val="24"/>
          <w:szCs w:val="24"/>
        </w:rPr>
        <w:t xml:space="preserve">The Holder </w:t>
      </w:r>
      <w:r w:rsidR="006D200A" w:rsidRPr="009D3018">
        <w:rPr>
          <w:sz w:val="24"/>
          <w:szCs w:val="24"/>
        </w:rPr>
        <w:t>states</w:t>
      </w:r>
      <w:r w:rsidRPr="009D3018">
        <w:rPr>
          <w:sz w:val="24"/>
          <w:szCs w:val="24"/>
        </w:rPr>
        <w:t xml:space="preserve"> that its Patient Panel will not experience any impact on cost from the</w:t>
      </w:r>
    </w:p>
    <w:p w14:paraId="1CFCC6E8" w14:textId="337E90A3" w:rsidR="001C1B42" w:rsidRDefault="00244D27" w:rsidP="0047643F">
      <w:pPr>
        <w:adjustRightInd w:val="0"/>
        <w:rPr>
          <w:sz w:val="24"/>
          <w:szCs w:val="24"/>
        </w:rPr>
      </w:pPr>
      <w:r w:rsidRPr="009D3018">
        <w:rPr>
          <w:sz w:val="24"/>
          <w:szCs w:val="24"/>
        </w:rPr>
        <w:t>Project</w:t>
      </w:r>
      <w:r w:rsidR="001C1B42" w:rsidRPr="009D3018">
        <w:rPr>
          <w:sz w:val="24"/>
          <w:szCs w:val="24"/>
        </w:rPr>
        <w:t xml:space="preserve">. The Holder further notes that </w:t>
      </w:r>
      <w:r w:rsidR="009C7902" w:rsidRPr="009D3018">
        <w:rPr>
          <w:sz w:val="24"/>
          <w:szCs w:val="24"/>
        </w:rPr>
        <w:t xml:space="preserve">the same services will be provided at lower costs to </w:t>
      </w:r>
      <w:r w:rsidR="009C7902" w:rsidRPr="009C7902">
        <w:rPr>
          <w:sz w:val="24"/>
          <w:szCs w:val="24"/>
        </w:rPr>
        <w:t xml:space="preserve">patients compared to the MGH Main Campus. MGH recently amended its contracts with commercial insurers to accept community hospital payment rates for services at MG Waltham. </w:t>
      </w:r>
      <w:r w:rsidR="0047643F" w:rsidRPr="009C7902">
        <w:rPr>
          <w:sz w:val="24"/>
          <w:szCs w:val="24"/>
        </w:rPr>
        <w:t xml:space="preserve">With respect to Medicare beneficiaries, </w:t>
      </w:r>
      <w:r w:rsidR="0047643F">
        <w:rPr>
          <w:sz w:val="24"/>
          <w:szCs w:val="24"/>
        </w:rPr>
        <w:t xml:space="preserve">the Holder notes that </w:t>
      </w:r>
      <w:r w:rsidR="0047643F" w:rsidRPr="009C7902">
        <w:rPr>
          <w:sz w:val="24"/>
          <w:szCs w:val="24"/>
        </w:rPr>
        <w:t>services provided in the three additional MG Waltham ORs will be billed under the Medicare Ambulatory Surgery Center Fee Schedule which typically reimburses at 53% of the amount paid for the same services provided by a hospital.</w:t>
      </w:r>
      <w:r w:rsidR="0047643F" w:rsidRPr="009C7902">
        <w:rPr>
          <w:rStyle w:val="EndnoteReference"/>
          <w:sz w:val="24"/>
          <w:szCs w:val="24"/>
        </w:rPr>
        <w:endnoteReference w:id="1"/>
      </w:r>
      <w:r w:rsidR="0047643F" w:rsidRPr="009C7902">
        <w:rPr>
          <w:sz w:val="24"/>
          <w:szCs w:val="24"/>
        </w:rPr>
        <w:t xml:space="preserve"> </w:t>
      </w:r>
      <w:r w:rsidR="009C7902" w:rsidRPr="009C7902">
        <w:rPr>
          <w:sz w:val="24"/>
          <w:szCs w:val="24"/>
        </w:rPr>
        <w:t xml:space="preserve">As a result, costs to insurers and patients are lower for patients who choose to have surgery performed at MG Waltham instead of at the MGH Main Campus. </w:t>
      </w:r>
    </w:p>
    <w:p w14:paraId="0F0D7B35" w14:textId="77777777" w:rsidR="00C42605" w:rsidRPr="003D2ECC" w:rsidRDefault="00C42605" w:rsidP="001D1C01">
      <w:pPr>
        <w:pStyle w:val="BodyText"/>
        <w:rPr>
          <w:b/>
          <w:bCs/>
          <w:sz w:val="24"/>
          <w:szCs w:val="24"/>
          <w:highlight w:val="yellow"/>
        </w:rPr>
      </w:pPr>
    </w:p>
    <w:p w14:paraId="395CA4B2" w14:textId="3198200F" w:rsidR="00D92FD6" w:rsidRPr="00722A3A" w:rsidRDefault="00571F0A" w:rsidP="00FC7FAB">
      <w:pPr>
        <w:pStyle w:val="BodyText"/>
        <w:rPr>
          <w:b/>
          <w:bCs/>
          <w:sz w:val="24"/>
          <w:szCs w:val="24"/>
        </w:rPr>
      </w:pPr>
      <w:r w:rsidRPr="00722A3A">
        <w:rPr>
          <w:b/>
          <w:bCs/>
          <w:sz w:val="24"/>
          <w:szCs w:val="24"/>
        </w:rPr>
        <w:t>Impact on Community Health Initiative Funding​</w:t>
      </w:r>
    </w:p>
    <w:p w14:paraId="021325A9" w14:textId="2085E302" w:rsidR="00FC7FAB" w:rsidRPr="00722A3A" w:rsidRDefault="00FC7FAB" w:rsidP="00FC7FAB">
      <w:pPr>
        <w:pStyle w:val="BodyText"/>
        <w:rPr>
          <w:sz w:val="24"/>
          <w:szCs w:val="24"/>
        </w:rPr>
      </w:pPr>
      <w:r w:rsidRPr="00722A3A">
        <w:rPr>
          <w:sz w:val="24"/>
          <w:szCs w:val="24"/>
        </w:rPr>
        <w:t xml:space="preserve">This Amendment is for an increase in the maximum capital expenditure, and results in an </w:t>
      </w:r>
      <w:r w:rsidRPr="00722A3A">
        <w:rPr>
          <w:sz w:val="24"/>
          <w:szCs w:val="24"/>
        </w:rPr>
        <w:lastRenderedPageBreak/>
        <w:t>increase of</w:t>
      </w:r>
      <w:r w:rsidR="003B2CA9" w:rsidRPr="00722A3A">
        <w:rPr>
          <w:sz w:val="24"/>
          <w:szCs w:val="24"/>
        </w:rPr>
        <w:t xml:space="preserve"> </w:t>
      </w:r>
      <w:r w:rsidR="00722A3A" w:rsidRPr="00722A3A">
        <w:rPr>
          <w:sz w:val="24"/>
        </w:rPr>
        <w:t xml:space="preserve">$1,057,800 </w:t>
      </w:r>
      <w:r w:rsidR="00682DD7" w:rsidRPr="00722A3A">
        <w:rPr>
          <w:bCs/>
          <w:sz w:val="24"/>
          <w:szCs w:val="24"/>
        </w:rPr>
        <w:t xml:space="preserve">to </w:t>
      </w:r>
      <w:r w:rsidRPr="00722A3A">
        <w:rPr>
          <w:sz w:val="24"/>
          <w:szCs w:val="24"/>
        </w:rPr>
        <w:t>the Community Health Initiative (CHI) contribution</w:t>
      </w:r>
      <w:r w:rsidR="00682DD7" w:rsidRPr="00722A3A">
        <w:rPr>
          <w:sz w:val="24"/>
          <w:szCs w:val="24"/>
        </w:rPr>
        <w:t>.</w:t>
      </w:r>
    </w:p>
    <w:p w14:paraId="2B451CBA" w14:textId="77777777" w:rsidR="00467F30" w:rsidRPr="003D2ECC" w:rsidRDefault="00467F30" w:rsidP="00AE61D9">
      <w:pPr>
        <w:pStyle w:val="BodyText"/>
        <w:rPr>
          <w:sz w:val="24"/>
          <w:szCs w:val="24"/>
          <w:highlight w:val="yellow"/>
        </w:rPr>
      </w:pPr>
    </w:p>
    <w:p w14:paraId="5DBBD18F" w14:textId="5D8CBDF9" w:rsidR="00692B3C" w:rsidRDefault="00692B3C" w:rsidP="00692B3C">
      <w:pPr>
        <w:rPr>
          <w:rStyle w:val="normaltextrun"/>
          <w:color w:val="000000" w:themeColor="text1"/>
          <w:sz w:val="24"/>
          <w:szCs w:val="24"/>
        </w:rPr>
      </w:pPr>
      <w:r w:rsidRPr="34911261">
        <w:rPr>
          <w:rStyle w:val="normaltextrun"/>
          <w:i/>
          <w:iCs/>
          <w:color w:val="000000" w:themeColor="text1"/>
          <w:sz w:val="24"/>
          <w:szCs w:val="24"/>
        </w:rPr>
        <w:t xml:space="preserve">Summary and relevant background for this application: </w:t>
      </w:r>
      <w:r w:rsidRPr="34911261">
        <w:rPr>
          <w:rStyle w:val="normaltextrun"/>
          <w:color w:val="000000" w:themeColor="text1"/>
          <w:sz w:val="24"/>
          <w:szCs w:val="24"/>
        </w:rPr>
        <w:t xml:space="preserve">This proposed Amendment project will result in a Tier 2 Community-based Health Initiative (CHI). Recognizing the overlap in service areas, the Applicant is using Newton-Wellesley Hospital’s (NWH) 2022 Community Health Needs Assessment (CHNA) and Strategic Implementation Plan (SIP) as the basis for CHI planning and implementation. NWH will carry out the CHI for this project and will establish a Waltham-specific Community Benefits Committee (CBC) to lead the selection of CHI health priorities and strategies. </w:t>
      </w:r>
    </w:p>
    <w:p w14:paraId="2B22E7B9" w14:textId="77777777" w:rsidR="0047643F" w:rsidRDefault="0047643F" w:rsidP="00692B3C">
      <w:pPr>
        <w:rPr>
          <w:rStyle w:val="normaltextrun"/>
          <w:color w:val="000000" w:themeColor="text1"/>
          <w:sz w:val="24"/>
          <w:szCs w:val="24"/>
        </w:rPr>
      </w:pPr>
    </w:p>
    <w:p w14:paraId="096338D7" w14:textId="77777777" w:rsidR="00692B3C" w:rsidRDefault="00692B3C" w:rsidP="00692B3C">
      <w:pPr>
        <w:rPr>
          <w:rStyle w:val="normaltextrun"/>
          <w:color w:val="000000" w:themeColor="text1"/>
          <w:sz w:val="24"/>
          <w:szCs w:val="24"/>
        </w:rPr>
      </w:pPr>
      <w:r w:rsidRPr="34911261">
        <w:rPr>
          <w:rStyle w:val="normaltextrun"/>
          <w:color w:val="000000" w:themeColor="text1"/>
          <w:sz w:val="24"/>
          <w:szCs w:val="24"/>
        </w:rPr>
        <w:t>For this project, to fulfill Factor 6 requirements, the Applicant submitted NWH’s 2022 CHNA, a Community Engagement Plan, Self-Assessment and CHI Narrative. The Applicant will submit the Stakeholder Assessments within 3 months following the Waltham CBC’s first meeting.</w:t>
      </w:r>
    </w:p>
    <w:p w14:paraId="3E883412" w14:textId="0EA3B653" w:rsidR="00692B3C" w:rsidRDefault="00692B3C" w:rsidP="00692B3C">
      <w:pPr>
        <w:rPr>
          <w:rStyle w:val="normaltextrun"/>
          <w:color w:val="000000" w:themeColor="text1"/>
          <w:sz w:val="24"/>
          <w:szCs w:val="24"/>
        </w:rPr>
      </w:pPr>
      <w:r w:rsidRPr="34911261">
        <w:rPr>
          <w:rStyle w:val="normaltextrun"/>
          <w:b/>
          <w:bCs/>
          <w:color w:val="000000" w:themeColor="text1"/>
          <w:sz w:val="24"/>
          <w:szCs w:val="24"/>
        </w:rPr>
        <w:t xml:space="preserve">NWH’s 2022 CHNA </w:t>
      </w:r>
      <w:r w:rsidRPr="34911261">
        <w:rPr>
          <w:rStyle w:val="normaltextrun"/>
          <w:color w:val="000000" w:themeColor="text1"/>
          <w:sz w:val="24"/>
          <w:szCs w:val="24"/>
        </w:rPr>
        <w:t xml:space="preserve">assessed the communities of Natick, Needham, Newton, Waltham, </w:t>
      </w:r>
      <w:r w:rsidR="00BA1FDE" w:rsidRPr="34911261">
        <w:rPr>
          <w:rStyle w:val="normaltextrun"/>
          <w:color w:val="000000" w:themeColor="text1"/>
          <w:sz w:val="24"/>
          <w:szCs w:val="24"/>
        </w:rPr>
        <w:t>Wellesley,</w:t>
      </w:r>
      <w:r w:rsidRPr="34911261">
        <w:rPr>
          <w:rStyle w:val="normaltextrun"/>
          <w:color w:val="000000" w:themeColor="text1"/>
          <w:sz w:val="24"/>
          <w:szCs w:val="24"/>
        </w:rPr>
        <w:t xml:space="preserve"> and Weston. To guide the CHNA process, NWH engaged community leaders and advocates to work alongside the established CBC. Together, the CBC+ guided the CHNA design, and recommended secondary data sources and key assessment processes such as integrating existing data on social influencers of health, incorporating community feedback regarding health and social challenges, and proposing solutions.</w:t>
      </w:r>
    </w:p>
    <w:p w14:paraId="7845FE69" w14:textId="77777777" w:rsidR="0047643F" w:rsidRDefault="0047643F" w:rsidP="00692B3C">
      <w:pPr>
        <w:rPr>
          <w:rStyle w:val="normaltextrun"/>
          <w:color w:val="000000" w:themeColor="text1"/>
          <w:sz w:val="24"/>
          <w:szCs w:val="24"/>
        </w:rPr>
      </w:pPr>
    </w:p>
    <w:p w14:paraId="0A427793" w14:textId="0994406A" w:rsidR="00692B3C" w:rsidRDefault="00692B3C" w:rsidP="00692B3C">
      <w:pPr>
        <w:rPr>
          <w:rStyle w:val="normaltextrun"/>
          <w:color w:val="000000" w:themeColor="text1"/>
          <w:sz w:val="24"/>
          <w:szCs w:val="24"/>
        </w:rPr>
      </w:pPr>
      <w:r w:rsidRPr="34911261">
        <w:rPr>
          <w:rStyle w:val="normaltextrun"/>
          <w:color w:val="000000" w:themeColor="text1"/>
          <w:sz w:val="24"/>
          <w:szCs w:val="24"/>
        </w:rPr>
        <w:t xml:space="preserve">To identify key community needs, </w:t>
      </w:r>
      <w:r w:rsidR="00BA1FDE" w:rsidRPr="34911261">
        <w:rPr>
          <w:rStyle w:val="normaltextrun"/>
          <w:color w:val="000000" w:themeColor="text1"/>
          <w:sz w:val="24"/>
          <w:szCs w:val="24"/>
        </w:rPr>
        <w:t>strengths,</w:t>
      </w:r>
      <w:r w:rsidRPr="34911261">
        <w:rPr>
          <w:rStyle w:val="normaltextrun"/>
          <w:color w:val="000000" w:themeColor="text1"/>
          <w:sz w:val="24"/>
          <w:szCs w:val="24"/>
        </w:rPr>
        <w:t xml:space="preserve"> and resources, the CHNA process included synthesizing existing data, and facilitating focus groups and key informant interviews with specific populations of interest (e.g., older adults, youth, persons of color, immigrants, residents with mental health/substance use needs, and food pantry service users). Community social and economic needs that presented in the CHNA included affordable housing, economic hardship, income inequality, and transportation, as well as access to services such as health insurance and inpatient psychiatry. Key community health challenges also presented in the findings included obesity, cancer screenings, and mental health and substance use. </w:t>
      </w:r>
    </w:p>
    <w:p w14:paraId="5562E849" w14:textId="77777777" w:rsidR="0047643F" w:rsidRDefault="0047643F" w:rsidP="00692B3C">
      <w:pPr>
        <w:rPr>
          <w:rStyle w:val="normaltextrun"/>
          <w:color w:val="000000" w:themeColor="text1"/>
          <w:sz w:val="24"/>
          <w:szCs w:val="24"/>
        </w:rPr>
      </w:pPr>
    </w:p>
    <w:p w14:paraId="32F1FE7F" w14:textId="77777777" w:rsidR="00692B3C" w:rsidRDefault="00692B3C" w:rsidP="00692B3C">
      <w:pPr>
        <w:rPr>
          <w:rStyle w:val="normaltextrun"/>
          <w:color w:val="000000" w:themeColor="text1"/>
          <w:sz w:val="24"/>
          <w:szCs w:val="24"/>
        </w:rPr>
      </w:pPr>
      <w:r w:rsidRPr="34911261">
        <w:rPr>
          <w:rStyle w:val="normaltextrun"/>
          <w:color w:val="000000" w:themeColor="text1"/>
          <w:sz w:val="24"/>
          <w:szCs w:val="24"/>
        </w:rPr>
        <w:t>Using the 2022 CHNA, the Applicant will need to engage its newly established Waltham CBC to select health priorities and identify strategies for implementation with the funds associated with this proposed project. To ensure selected priorities and strategies are in line with CHI principles, the Applicant and Waltham CBC will need to focus on the community social and economic needs presented in the 2022 CHNA.</w:t>
      </w:r>
    </w:p>
    <w:p w14:paraId="08BD1B8B" w14:textId="77777777" w:rsidR="00692B3C" w:rsidRDefault="00692B3C" w:rsidP="00692B3C">
      <w:pPr>
        <w:rPr>
          <w:rStyle w:val="normaltextrun"/>
          <w:color w:val="000000" w:themeColor="text1"/>
          <w:sz w:val="24"/>
          <w:szCs w:val="24"/>
        </w:rPr>
      </w:pPr>
    </w:p>
    <w:p w14:paraId="59D648F6" w14:textId="77777777" w:rsidR="00692B3C" w:rsidRDefault="00692B3C" w:rsidP="00692B3C">
      <w:pPr>
        <w:rPr>
          <w:rFonts w:eastAsiaTheme="minorEastAsia"/>
          <w:color w:val="000000" w:themeColor="text1"/>
          <w:sz w:val="24"/>
          <w:szCs w:val="24"/>
        </w:rPr>
      </w:pPr>
      <w:r w:rsidRPr="34911261">
        <w:rPr>
          <w:rStyle w:val="normaltextrun"/>
          <w:b/>
          <w:bCs/>
          <w:color w:val="000000" w:themeColor="text1"/>
          <w:sz w:val="24"/>
          <w:szCs w:val="24"/>
        </w:rPr>
        <w:t>The Community Engagement Plan and Self-Ass</w:t>
      </w:r>
      <w:r w:rsidRPr="34911261">
        <w:rPr>
          <w:rStyle w:val="normaltextrun"/>
          <w:rFonts w:asciiTheme="minorHAnsi" w:eastAsiaTheme="minorEastAsia" w:hAnsiTheme="minorHAnsi" w:cstheme="minorBidi"/>
          <w:b/>
          <w:bCs/>
          <w:color w:val="000000" w:themeColor="text1"/>
          <w:sz w:val="24"/>
          <w:szCs w:val="24"/>
        </w:rPr>
        <w:t xml:space="preserve">essment </w:t>
      </w:r>
      <w:r w:rsidRPr="34911261">
        <w:rPr>
          <w:rFonts w:asciiTheme="minorHAnsi" w:eastAsiaTheme="minorEastAsia" w:hAnsiTheme="minorHAnsi" w:cstheme="minorBidi"/>
          <w:color w:val="000000" w:themeColor="text1"/>
          <w:sz w:val="24"/>
          <w:szCs w:val="24"/>
        </w:rPr>
        <w:t>provided a summary of community engagement processes and socio-demographic information, and data and highlights related to topics and themes of community needs related to the existing. The Self-Assessment Form also outlined activities to engage, convene and collaborate with the Waltham CBC.</w:t>
      </w:r>
    </w:p>
    <w:p w14:paraId="0CB9D851" w14:textId="77777777" w:rsidR="00692B3C" w:rsidRDefault="00692B3C" w:rsidP="00692B3C">
      <w:pPr>
        <w:rPr>
          <w:rStyle w:val="normaltextrun"/>
          <w:rFonts w:eastAsiaTheme="minorEastAsia"/>
          <w:b/>
          <w:bCs/>
          <w:color w:val="000000" w:themeColor="text1"/>
          <w:sz w:val="24"/>
          <w:szCs w:val="24"/>
        </w:rPr>
      </w:pPr>
    </w:p>
    <w:p w14:paraId="50AC51D3" w14:textId="7B60EF77" w:rsidR="00692B3C" w:rsidRDefault="00692B3C" w:rsidP="00692B3C">
      <w:pPr>
        <w:rPr>
          <w:sz w:val="24"/>
          <w:szCs w:val="24"/>
        </w:rPr>
      </w:pPr>
      <w:r w:rsidRPr="34911261">
        <w:rPr>
          <w:rStyle w:val="normaltextrun"/>
          <w:b/>
          <w:bCs/>
          <w:color w:val="000000" w:themeColor="text1"/>
          <w:sz w:val="24"/>
          <w:szCs w:val="24"/>
        </w:rPr>
        <w:t>Stakeholder Assessments</w:t>
      </w:r>
      <w:r w:rsidRPr="34911261">
        <w:rPr>
          <w:rStyle w:val="normaltextrun"/>
          <w:color w:val="000000" w:themeColor="text1"/>
          <w:sz w:val="24"/>
          <w:szCs w:val="24"/>
        </w:rPr>
        <w:t xml:space="preserve"> will be submitted to DPH within 3 months following the Waltham CBC’s first meeting in relation to this project. Assessments will be reviewed upon receipt and </w:t>
      </w:r>
      <w:r w:rsidRPr="34911261">
        <w:rPr>
          <w:rStyle w:val="normaltextrun"/>
          <w:color w:val="000000" w:themeColor="text1"/>
          <w:sz w:val="24"/>
          <w:szCs w:val="24"/>
        </w:rPr>
        <w:lastRenderedPageBreak/>
        <w:t xml:space="preserve">are expected to justify continued work on the existing community health improvement strategy. Individuals who make up the Applicant’s Waltham CBC will provide information on their individual engagement levels (e.g., their personal participation and role) and their analysis of how NWH engaged the community in community health improvement planning processes. </w:t>
      </w:r>
    </w:p>
    <w:p w14:paraId="7DCBE08B" w14:textId="77777777" w:rsidR="00692B3C" w:rsidRDefault="00692B3C" w:rsidP="00692B3C">
      <w:pPr>
        <w:rPr>
          <w:sz w:val="24"/>
          <w:szCs w:val="24"/>
        </w:rPr>
      </w:pPr>
    </w:p>
    <w:p w14:paraId="11722CFC" w14:textId="77777777" w:rsidR="00692B3C" w:rsidRDefault="00692B3C" w:rsidP="00692B3C">
      <w:pPr>
        <w:rPr>
          <w:rStyle w:val="normaltextrun"/>
          <w:color w:val="000000" w:themeColor="text1"/>
          <w:sz w:val="24"/>
          <w:szCs w:val="24"/>
        </w:rPr>
      </w:pPr>
      <w:r w:rsidRPr="34911261">
        <w:rPr>
          <w:rStyle w:val="normaltextrun"/>
          <w:b/>
          <w:bCs/>
          <w:color w:val="000000" w:themeColor="text1"/>
          <w:sz w:val="24"/>
          <w:szCs w:val="24"/>
        </w:rPr>
        <w:t>The CHI Narrative</w:t>
      </w:r>
      <w:r w:rsidRPr="34911261">
        <w:rPr>
          <w:rStyle w:val="normaltextrun"/>
          <w:color w:val="000000" w:themeColor="text1"/>
          <w:sz w:val="24"/>
          <w:szCs w:val="24"/>
        </w:rPr>
        <w:t xml:space="preserve"> provides background and overview of the CHI processes and timeline. Upon approval, the Applicant will establish and convene a Waltham Ad Hoc CBC within 12 weeks, select CHI Health Priorities within 16 weeks, and allocate and disburse the funds within 12 months. The narrative also outlines the CHI funds breakdown, including the intended use of administrative and evaluation funds, which are in line with the CHI guideline.</w:t>
      </w:r>
    </w:p>
    <w:p w14:paraId="15CD58F5" w14:textId="77777777" w:rsidR="00692B3C" w:rsidRDefault="00692B3C" w:rsidP="00692B3C">
      <w:pPr>
        <w:rPr>
          <w:rStyle w:val="normaltextrun"/>
          <w:color w:val="000000" w:themeColor="text1"/>
          <w:sz w:val="24"/>
          <w:szCs w:val="24"/>
        </w:rPr>
      </w:pPr>
    </w:p>
    <w:p w14:paraId="64347605" w14:textId="50CFABA7" w:rsidR="00692B3C" w:rsidRDefault="00692B3C" w:rsidP="00692B3C">
      <w:pPr>
        <w:rPr>
          <w:color w:val="000000" w:themeColor="text1"/>
          <w:sz w:val="24"/>
          <w:szCs w:val="24"/>
        </w:rPr>
      </w:pPr>
      <w:r w:rsidRPr="34911261">
        <w:rPr>
          <w:rStyle w:val="normaltextrun"/>
          <w:i/>
          <w:iCs/>
          <w:color w:val="000000" w:themeColor="text1"/>
          <w:sz w:val="24"/>
          <w:szCs w:val="24"/>
        </w:rPr>
        <w:t>Summary Analysis</w:t>
      </w:r>
      <w:r w:rsidRPr="34911261">
        <w:rPr>
          <w:rStyle w:val="normaltextrun"/>
          <w:color w:val="000000" w:themeColor="text1"/>
          <w:sz w:val="24"/>
          <w:szCs w:val="24"/>
        </w:rPr>
        <w:t>: As a result of the information provided by the Applicant and additional analysis, staff finds that with the conditions outlined below, and ongoing communication on items outlined above, the Applicant will have demonstrated that the Proposed Project has met Factor 6.</w:t>
      </w:r>
    </w:p>
    <w:p w14:paraId="5577C95D" w14:textId="6F74E360" w:rsidR="0024383D" w:rsidRPr="003D2ECC" w:rsidRDefault="0024383D" w:rsidP="00AE61D9">
      <w:pPr>
        <w:pStyle w:val="BodyText"/>
        <w:rPr>
          <w:highlight w:val="yellow"/>
        </w:rPr>
      </w:pPr>
    </w:p>
    <w:p w14:paraId="7243DDF9" w14:textId="77777777" w:rsidR="0024383D" w:rsidRPr="00AA2560" w:rsidRDefault="0024383D" w:rsidP="00AE61D9">
      <w:pPr>
        <w:pStyle w:val="BodyText"/>
        <w:rPr>
          <w:vertAlign w:val="superscript"/>
        </w:rPr>
      </w:pPr>
    </w:p>
    <w:p w14:paraId="3F8809BF" w14:textId="475B33C7" w:rsidR="00994318" w:rsidRPr="00AA2560" w:rsidRDefault="00994318" w:rsidP="0047643F">
      <w:pPr>
        <w:pStyle w:val="BodyText"/>
        <w:rPr>
          <w:b/>
          <w:bCs/>
          <w:sz w:val="24"/>
          <w:szCs w:val="24"/>
        </w:rPr>
      </w:pPr>
      <w:r w:rsidRPr="00AA2560">
        <w:rPr>
          <w:b/>
          <w:bCs/>
          <w:sz w:val="24"/>
          <w:szCs w:val="24"/>
        </w:rPr>
        <w:t>Staff Summary and Findings</w:t>
      </w:r>
    </w:p>
    <w:p w14:paraId="78B8C799" w14:textId="5506305B" w:rsidR="00571F0A" w:rsidRPr="00AA2560" w:rsidRDefault="004B74D5" w:rsidP="0047643F">
      <w:pPr>
        <w:ind w:right="-10"/>
        <w:rPr>
          <w:sz w:val="24"/>
        </w:rPr>
      </w:pPr>
      <w:r w:rsidRPr="00AA2560">
        <w:rPr>
          <w:sz w:val="24"/>
        </w:rPr>
        <w:t xml:space="preserve">Staff reviewed the </w:t>
      </w:r>
      <w:r w:rsidR="000913E6" w:rsidRPr="00AA2560">
        <w:rPr>
          <w:sz w:val="24"/>
        </w:rPr>
        <w:t>201</w:t>
      </w:r>
      <w:r w:rsidR="00AA2560" w:rsidRPr="00AA2560">
        <w:rPr>
          <w:sz w:val="24"/>
        </w:rPr>
        <w:t>8</w:t>
      </w:r>
      <w:r w:rsidR="000913E6" w:rsidRPr="00AA2560">
        <w:rPr>
          <w:sz w:val="24"/>
        </w:rPr>
        <w:t xml:space="preserve"> </w:t>
      </w:r>
      <w:r w:rsidRPr="00AA2560">
        <w:rPr>
          <w:sz w:val="24"/>
        </w:rPr>
        <w:t xml:space="preserve">Staff </w:t>
      </w:r>
      <w:r w:rsidR="00571F0A" w:rsidRPr="00AA2560">
        <w:rPr>
          <w:sz w:val="24"/>
        </w:rPr>
        <w:t xml:space="preserve">Report </w:t>
      </w:r>
      <w:r w:rsidR="000913E6" w:rsidRPr="00AA2560">
        <w:rPr>
          <w:sz w:val="24"/>
        </w:rPr>
        <w:t xml:space="preserve">and Decision Letter </w:t>
      </w:r>
      <w:r w:rsidRPr="00AA2560">
        <w:rPr>
          <w:sz w:val="24"/>
        </w:rPr>
        <w:t>to determine whether the request falls within the scope of that Approval.</w:t>
      </w:r>
      <w:r w:rsidR="00571F0A" w:rsidRPr="00AA2560">
        <w:rPr>
          <w:sz w:val="24"/>
        </w:rPr>
        <w:t xml:space="preserve"> </w:t>
      </w:r>
    </w:p>
    <w:p w14:paraId="711A58B5" w14:textId="1AC9FF75" w:rsidR="00AE61D9" w:rsidRPr="00AA2560" w:rsidRDefault="00AE61D9" w:rsidP="00FB7024">
      <w:pPr>
        <w:ind w:left="720" w:right="-10"/>
        <w:rPr>
          <w:rFonts w:asciiTheme="minorHAnsi" w:hAnsiTheme="minorHAnsi" w:cstheme="minorHAnsi"/>
          <w:b/>
          <w:bCs/>
          <w:sz w:val="24"/>
          <w:u w:val="single"/>
        </w:rPr>
      </w:pPr>
    </w:p>
    <w:p w14:paraId="2A817611" w14:textId="49F91696" w:rsidR="00D96874" w:rsidRPr="00AA2560" w:rsidRDefault="00D96874" w:rsidP="000913E6">
      <w:pPr>
        <w:pStyle w:val="BodyText"/>
        <w:rPr>
          <w:sz w:val="24"/>
          <w:szCs w:val="24"/>
        </w:rPr>
      </w:pPr>
      <w:r w:rsidRPr="00AA2560">
        <w:rPr>
          <w:sz w:val="24"/>
          <w:szCs w:val="24"/>
        </w:rPr>
        <w:t xml:space="preserve">Based upon the information submitted, </w:t>
      </w:r>
      <w:r w:rsidR="000913E6" w:rsidRPr="00AA2560">
        <w:rPr>
          <w:sz w:val="24"/>
          <w:szCs w:val="24"/>
        </w:rPr>
        <w:t xml:space="preserve">and information in the record, </w:t>
      </w:r>
      <w:r w:rsidRPr="00AA2560">
        <w:rPr>
          <w:sz w:val="24"/>
          <w:szCs w:val="24"/>
        </w:rPr>
        <w:t>the Department can find that “the proposed</w:t>
      </w:r>
      <w:r w:rsidR="000913E6" w:rsidRPr="00AA2560">
        <w:rPr>
          <w:sz w:val="24"/>
          <w:szCs w:val="24"/>
        </w:rPr>
        <w:t xml:space="preserve"> </w:t>
      </w:r>
      <w:r w:rsidRPr="00AA2560">
        <w:rPr>
          <w:sz w:val="24"/>
          <w:szCs w:val="24"/>
        </w:rPr>
        <w:t>change or modification falls within the scope of the Notice of Determination of Need as</w:t>
      </w:r>
      <w:r w:rsidR="000913E6" w:rsidRPr="00AA2560">
        <w:rPr>
          <w:sz w:val="24"/>
          <w:szCs w:val="24"/>
        </w:rPr>
        <w:t xml:space="preserve"> </w:t>
      </w:r>
      <w:r w:rsidRPr="00AA2560">
        <w:rPr>
          <w:sz w:val="24"/>
          <w:szCs w:val="24"/>
        </w:rPr>
        <w:t xml:space="preserve">previously approved by the Department, and … is reasonable”105 C.M.R. 100.635(A)(3), which are the requirements for approval of an Amendment. </w:t>
      </w:r>
    </w:p>
    <w:p w14:paraId="547A2F41" w14:textId="77777777" w:rsidR="00D92FD6" w:rsidRDefault="00D92FD6" w:rsidP="001D1C01">
      <w:pPr>
        <w:pStyle w:val="BodyText"/>
        <w:rPr>
          <w:b/>
          <w:bCs/>
          <w:sz w:val="24"/>
          <w:szCs w:val="24"/>
          <w:highlight w:val="yellow"/>
        </w:rPr>
      </w:pPr>
    </w:p>
    <w:p w14:paraId="6384FBFB" w14:textId="77777777" w:rsidR="00C63746" w:rsidRPr="003D2ECC" w:rsidRDefault="00C63746" w:rsidP="001D1C01">
      <w:pPr>
        <w:pStyle w:val="BodyText"/>
        <w:rPr>
          <w:b/>
          <w:bCs/>
          <w:sz w:val="24"/>
          <w:szCs w:val="24"/>
          <w:highlight w:val="yellow"/>
        </w:rPr>
      </w:pPr>
    </w:p>
    <w:p w14:paraId="3B92D861" w14:textId="6A13E546" w:rsidR="00CA69DE" w:rsidRPr="000E3522" w:rsidRDefault="00D92FD6" w:rsidP="001D1C01">
      <w:pPr>
        <w:pStyle w:val="BodyText"/>
        <w:rPr>
          <w:b/>
          <w:bCs/>
          <w:sz w:val="24"/>
          <w:szCs w:val="24"/>
        </w:rPr>
      </w:pPr>
      <w:r w:rsidRPr="7A628F98">
        <w:rPr>
          <w:b/>
          <w:bCs/>
          <w:sz w:val="24"/>
          <w:szCs w:val="24"/>
        </w:rPr>
        <w:t>C</w:t>
      </w:r>
      <w:r w:rsidR="00DA0E9C" w:rsidRPr="7A628F98">
        <w:rPr>
          <w:b/>
          <w:bCs/>
          <w:sz w:val="24"/>
          <w:szCs w:val="24"/>
        </w:rPr>
        <w:t>onditions to the DoN</w:t>
      </w:r>
    </w:p>
    <w:p w14:paraId="55ECCD68" w14:textId="77777777" w:rsidR="00707A46" w:rsidRPr="00AD7286" w:rsidRDefault="00707A46" w:rsidP="00707A46">
      <w:pPr>
        <w:pStyle w:val="ListParagraph"/>
        <w:widowControl/>
        <w:numPr>
          <w:ilvl w:val="0"/>
          <w:numId w:val="32"/>
        </w:numPr>
        <w:autoSpaceDE/>
        <w:autoSpaceDN/>
        <w:contextualSpacing/>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Of the total required CHI contribution of $1,057,800.</w:t>
      </w:r>
    </w:p>
    <w:p w14:paraId="7890F74E" w14:textId="77777777" w:rsidR="00707A46" w:rsidRPr="00AD7286" w:rsidRDefault="00707A46" w:rsidP="00707A46">
      <w:pPr>
        <w:pStyle w:val="ListParagraph"/>
        <w:widowControl/>
        <w:numPr>
          <w:ilvl w:val="1"/>
          <w:numId w:val="32"/>
        </w:numPr>
        <w:autoSpaceDE/>
        <w:autoSpaceDN/>
        <w:contextualSpacing/>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$256,516 will be directed to the CHI Statewide Initiative.</w:t>
      </w:r>
    </w:p>
    <w:p w14:paraId="6C6C5415" w14:textId="77777777" w:rsidR="00707A46" w:rsidRPr="00AD7286" w:rsidRDefault="00707A46" w:rsidP="00707A46">
      <w:pPr>
        <w:pStyle w:val="ListParagraph"/>
        <w:widowControl/>
        <w:numPr>
          <w:ilvl w:val="1"/>
          <w:numId w:val="32"/>
        </w:numPr>
        <w:autoSpaceDE/>
        <w:autoSpaceDN/>
        <w:contextualSpacing/>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$769,550 will be dedicated to local approaches to the DoN Health Priorities. </w:t>
      </w:r>
    </w:p>
    <w:p w14:paraId="12E2A770" w14:textId="73E44810" w:rsidR="00707A46" w:rsidRPr="00AD7286" w:rsidRDefault="00707A46" w:rsidP="00707A46">
      <w:pPr>
        <w:pStyle w:val="ListParagraph"/>
        <w:widowControl/>
        <w:numPr>
          <w:ilvl w:val="1"/>
          <w:numId w:val="32"/>
        </w:numPr>
        <w:autoSpaceDE/>
        <w:autoSpaceDN/>
        <w:contextualSpacing/>
        <w:rPr>
          <w:rFonts w:asciiTheme="minorHAnsi" w:hAnsiTheme="minorHAnsi" w:cstheme="minorHAnsi"/>
          <w:color w:val="000000" w:themeColor="text1"/>
          <w:sz w:val="24"/>
          <w:szCs w:val="24"/>
        </w:rPr>
      </w:pPr>
      <w:r w:rsidRPr="00AD7286">
        <w:rPr>
          <w:rFonts w:asciiTheme="minorHAnsi" w:hAnsiTheme="minorHAnsi" w:cstheme="minorHAnsi"/>
          <w:color w:val="000000" w:themeColor="text1"/>
          <w:sz w:val="24"/>
          <w:szCs w:val="24"/>
        </w:rPr>
        <w:t xml:space="preserve">$31,734 will be designated as the administrative fee. </w:t>
      </w:r>
    </w:p>
    <w:p w14:paraId="1C3E2644" w14:textId="77777777" w:rsidR="00707A46" w:rsidRPr="00AD7286" w:rsidRDefault="00707A46" w:rsidP="00707A46">
      <w:pPr>
        <w:rPr>
          <w:rFonts w:asciiTheme="minorHAnsi" w:hAnsiTheme="minorHAnsi" w:cstheme="minorHAnsi"/>
          <w:color w:val="000000" w:themeColor="text1"/>
          <w:sz w:val="24"/>
          <w:szCs w:val="24"/>
        </w:rPr>
      </w:pPr>
    </w:p>
    <w:p w14:paraId="174EC97C" w14:textId="17AD8A45" w:rsidR="00707A46" w:rsidRPr="00AD7286" w:rsidRDefault="00707A46" w:rsidP="00707A46">
      <w:pPr>
        <w:pStyle w:val="ListParagraph"/>
        <w:widowControl/>
        <w:numPr>
          <w:ilvl w:val="0"/>
          <w:numId w:val="32"/>
        </w:numPr>
        <w:autoSpaceDE/>
        <w:autoSpaceDN/>
        <w:contextualSpacing/>
        <w:rPr>
          <w:rStyle w:val="normaltextrun"/>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 xml:space="preserve">To comply with the Holder’s obligation to contribute to the Statewide CHI Initiative, the Holder must submit payment to Health Resources in Action (the fiscal agent for the CHI Statewide Initiative). If there are any questions or concerns regarding payment, please contact the CHI team at </w:t>
      </w:r>
      <w:hyperlink r:id="rId11">
        <w:r w:rsidRPr="00AD7286">
          <w:rPr>
            <w:rStyle w:val="Hyperlink"/>
            <w:rFonts w:asciiTheme="minorHAnsi" w:hAnsiTheme="minorHAnsi" w:cstheme="minorHAnsi"/>
            <w:color w:val="365F91" w:themeColor="accent1" w:themeShade="BF"/>
            <w:sz w:val="24"/>
            <w:szCs w:val="24"/>
          </w:rPr>
          <w:t>DONCHI@mass.gov</w:t>
        </w:r>
      </w:hyperlink>
      <w:r w:rsidRPr="00AD7286">
        <w:rPr>
          <w:rStyle w:val="normaltextrun"/>
          <w:rFonts w:asciiTheme="minorHAnsi" w:hAnsiTheme="minorHAnsi" w:cstheme="minorHAnsi"/>
          <w:color w:val="000000" w:themeColor="text1"/>
          <w:sz w:val="24"/>
          <w:szCs w:val="24"/>
        </w:rPr>
        <w:t xml:space="preserve">. </w:t>
      </w:r>
    </w:p>
    <w:p w14:paraId="4494582A" w14:textId="77777777" w:rsidR="00707A46" w:rsidRPr="00AD7286" w:rsidRDefault="00707A46" w:rsidP="00707A46">
      <w:pPr>
        <w:pStyle w:val="ListParagraph"/>
        <w:widowControl/>
        <w:numPr>
          <w:ilvl w:val="1"/>
          <w:numId w:val="32"/>
        </w:numPr>
        <w:autoSpaceDE/>
        <w:autoSpaceDN/>
        <w:contextualSpacing/>
        <w:rPr>
          <w:rStyle w:val="normaltextrun"/>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Payment should be made out the Massachusetts Community Health and Healthy Aging Funds (MACHHAF) in the full amount of $256,516.</w:t>
      </w:r>
    </w:p>
    <w:p w14:paraId="0A070CFE" w14:textId="779E47AA" w:rsidR="00707A46" w:rsidRPr="00AD7286" w:rsidRDefault="00707A46" w:rsidP="00707A46">
      <w:pPr>
        <w:pStyle w:val="ListParagraph"/>
        <w:widowControl/>
        <w:numPr>
          <w:ilvl w:val="1"/>
          <w:numId w:val="32"/>
        </w:numPr>
        <w:autoSpaceDE/>
        <w:autoSpaceDN/>
        <w:contextualSpacing/>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The Holder must submit the funds to HRiA within 30 days from the date of the Notice of Approval. </w:t>
      </w:r>
    </w:p>
    <w:p w14:paraId="4B8A158F" w14:textId="77777777" w:rsidR="00707A46" w:rsidRPr="00AD7286" w:rsidRDefault="00707A46" w:rsidP="00707A46">
      <w:pPr>
        <w:pStyle w:val="ListParagraph"/>
        <w:widowControl/>
        <w:numPr>
          <w:ilvl w:val="1"/>
          <w:numId w:val="32"/>
        </w:numPr>
        <w:autoSpaceDE/>
        <w:autoSpaceDN/>
        <w:contextualSpacing/>
        <w:rPr>
          <w:rStyle w:val="normaltextrun"/>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lastRenderedPageBreak/>
        <w:t xml:space="preserve">The Holder must send a PDF image of the check (or confirmation of payment) to </w:t>
      </w:r>
      <w:hyperlink r:id="rId12">
        <w:r w:rsidRPr="00AD7286">
          <w:rPr>
            <w:rStyle w:val="Hyperlink"/>
            <w:rFonts w:asciiTheme="minorHAnsi" w:hAnsiTheme="minorHAnsi" w:cstheme="minorHAnsi"/>
            <w:color w:val="365F91" w:themeColor="accent1" w:themeShade="BF"/>
            <w:sz w:val="24"/>
            <w:szCs w:val="24"/>
          </w:rPr>
          <w:t>DONCHI@mass.gov</w:t>
        </w:r>
      </w:hyperlink>
      <w:r w:rsidRPr="00AD7286">
        <w:rPr>
          <w:rStyle w:val="normaltextrun"/>
          <w:rFonts w:asciiTheme="minorHAnsi" w:hAnsiTheme="minorHAnsi" w:cstheme="minorHAnsi"/>
          <w:color w:val="000000" w:themeColor="text1"/>
          <w:sz w:val="24"/>
          <w:szCs w:val="24"/>
        </w:rPr>
        <w:t xml:space="preserve"> and </w:t>
      </w:r>
      <w:hyperlink r:id="rId13">
        <w:r w:rsidRPr="00AD7286">
          <w:rPr>
            <w:rStyle w:val="Hyperlink"/>
            <w:rFonts w:asciiTheme="minorHAnsi" w:hAnsiTheme="minorHAnsi" w:cstheme="minorHAnsi"/>
            <w:color w:val="365F91" w:themeColor="accent1" w:themeShade="BF"/>
            <w:sz w:val="24"/>
            <w:szCs w:val="24"/>
          </w:rPr>
          <w:t>dongrants@hria.org</w:t>
        </w:r>
      </w:hyperlink>
      <w:r w:rsidRPr="00AD7286">
        <w:rPr>
          <w:rStyle w:val="normaltextrun"/>
          <w:rFonts w:asciiTheme="minorHAnsi" w:hAnsiTheme="minorHAnsi" w:cstheme="minorHAnsi"/>
          <w:color w:val="000000" w:themeColor="text1"/>
          <w:sz w:val="24"/>
          <w:szCs w:val="24"/>
        </w:rPr>
        <w:t xml:space="preserve">. </w:t>
      </w:r>
    </w:p>
    <w:p w14:paraId="0B69EC04" w14:textId="77777777" w:rsidR="00707A46" w:rsidRPr="00AD7286" w:rsidRDefault="00707A46" w:rsidP="00707A46">
      <w:pPr>
        <w:rPr>
          <w:rFonts w:asciiTheme="minorHAnsi" w:hAnsiTheme="minorHAnsi" w:cstheme="minorHAnsi"/>
          <w:color w:val="000000" w:themeColor="text1"/>
          <w:sz w:val="24"/>
          <w:szCs w:val="24"/>
        </w:rPr>
      </w:pPr>
      <w:r w:rsidRPr="00AD7286">
        <w:rPr>
          <w:rStyle w:val="eop"/>
          <w:rFonts w:asciiTheme="minorHAnsi" w:hAnsiTheme="minorHAnsi" w:cstheme="minorHAnsi"/>
          <w:color w:val="000000" w:themeColor="text1"/>
          <w:sz w:val="24"/>
          <w:szCs w:val="24"/>
        </w:rPr>
        <w:t> </w:t>
      </w:r>
    </w:p>
    <w:p w14:paraId="798FF97E" w14:textId="0E30335B" w:rsidR="00707A46" w:rsidRPr="00AD7286" w:rsidRDefault="00707A46" w:rsidP="00707A46">
      <w:pPr>
        <w:ind w:left="2160" w:right="540"/>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Payment should be sent to: </w:t>
      </w:r>
    </w:p>
    <w:p w14:paraId="23633EC7" w14:textId="6A2EE16E" w:rsidR="00707A46" w:rsidRPr="00AD7286" w:rsidRDefault="00707A46" w:rsidP="00707A46">
      <w:pPr>
        <w:ind w:left="2160" w:right="540"/>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Health Resources in Action, Inc., (HRiA) </w:t>
      </w:r>
    </w:p>
    <w:p w14:paraId="316C1044" w14:textId="77777777" w:rsidR="00707A46" w:rsidRPr="00AD7286" w:rsidRDefault="00707A46" w:rsidP="00707A46">
      <w:pPr>
        <w:ind w:left="2160" w:right="540"/>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2 Boylston Street, 4th Floor  </w:t>
      </w:r>
    </w:p>
    <w:p w14:paraId="19B8CE7B" w14:textId="77777777" w:rsidR="00707A46" w:rsidRPr="00AD7286" w:rsidRDefault="00707A46" w:rsidP="00707A46">
      <w:pPr>
        <w:ind w:left="2160" w:right="540"/>
        <w:rPr>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Boston, MA 02116  </w:t>
      </w:r>
    </w:p>
    <w:p w14:paraId="61D60CFD" w14:textId="3A9B99F2" w:rsidR="00707A46" w:rsidRPr="00AD7286" w:rsidRDefault="00707A46" w:rsidP="00707A46">
      <w:pPr>
        <w:ind w:left="2160" w:right="540"/>
        <w:rPr>
          <w:rStyle w:val="normaltextrun"/>
          <w:rFonts w:asciiTheme="minorHAnsi" w:hAnsiTheme="minorHAnsi" w:cstheme="minorHAnsi"/>
          <w:color w:val="000000" w:themeColor="text1"/>
          <w:sz w:val="24"/>
          <w:szCs w:val="24"/>
        </w:rPr>
      </w:pPr>
      <w:r w:rsidRPr="00AD7286">
        <w:rPr>
          <w:rStyle w:val="normaltextrun"/>
          <w:rFonts w:asciiTheme="minorHAnsi" w:hAnsiTheme="minorHAnsi" w:cstheme="minorHAnsi"/>
          <w:color w:val="000000" w:themeColor="text1"/>
          <w:sz w:val="24"/>
          <w:szCs w:val="24"/>
        </w:rPr>
        <w:t>Attn: MACHHAF c/o Bora Toro </w:t>
      </w:r>
    </w:p>
    <w:p w14:paraId="17E65376" w14:textId="1890C010" w:rsidR="00864FAC" w:rsidRPr="00AD7286" w:rsidRDefault="00864FAC" w:rsidP="00AD7286">
      <w:pPr>
        <w:ind w:left="2160" w:right="540"/>
        <w:rPr>
          <w:rStyle w:val="normaltextrun"/>
          <w:rFonts w:asciiTheme="minorHAnsi" w:hAnsiTheme="minorHAnsi" w:cstheme="minorHAnsi"/>
          <w:bCs/>
          <w:spacing w:val="-2"/>
          <w:sz w:val="24"/>
          <w:szCs w:val="24"/>
        </w:rPr>
      </w:pPr>
      <w:r w:rsidRPr="00AD7286">
        <w:rPr>
          <w:rStyle w:val="normaltextrun"/>
          <w:rFonts w:asciiTheme="minorHAnsi" w:hAnsiTheme="minorHAnsi" w:cstheme="minorHAnsi"/>
          <w:color w:val="000000"/>
          <w:sz w:val="24"/>
          <w:szCs w:val="24"/>
          <w:shd w:val="clear" w:color="auto" w:fill="FFFFFF"/>
        </w:rPr>
        <w:t>DoN project #:</w:t>
      </w:r>
      <w:r w:rsidR="00A8643B" w:rsidRPr="00AD7286">
        <w:rPr>
          <w:rFonts w:asciiTheme="minorHAnsi" w:hAnsiTheme="minorHAnsi" w:cstheme="minorHAnsi"/>
          <w:sz w:val="24"/>
          <w:szCs w:val="24"/>
        </w:rPr>
        <w:t xml:space="preserve"> </w:t>
      </w:r>
      <w:r w:rsidR="00A8643B" w:rsidRPr="00AD7286">
        <w:rPr>
          <w:rFonts w:asciiTheme="minorHAnsi" w:hAnsiTheme="minorHAnsi" w:cstheme="minorHAnsi"/>
          <w:bCs/>
          <w:spacing w:val="-2"/>
          <w:sz w:val="20"/>
          <w:szCs w:val="20"/>
        </w:rPr>
        <w:t>MGB-23120412-AM</w:t>
      </w:r>
      <w:r w:rsidR="000E3522" w:rsidRPr="00AD7286">
        <w:rPr>
          <w:rFonts w:asciiTheme="minorHAnsi" w:hAnsiTheme="minorHAnsi" w:cstheme="minorHAnsi"/>
          <w:bCs/>
          <w:spacing w:val="-2"/>
          <w:sz w:val="20"/>
          <w:szCs w:val="20"/>
        </w:rPr>
        <w:t xml:space="preserve"> (Amendment)</w:t>
      </w:r>
      <w:r w:rsidR="00A8643B" w:rsidRPr="00AD7286">
        <w:rPr>
          <w:rFonts w:asciiTheme="minorHAnsi" w:hAnsiTheme="minorHAnsi" w:cstheme="minorHAnsi"/>
          <w:bCs/>
          <w:spacing w:val="-2"/>
          <w:sz w:val="20"/>
          <w:szCs w:val="20"/>
        </w:rPr>
        <w:t>/</w:t>
      </w:r>
      <w:r w:rsidR="000E3522" w:rsidRPr="00AD7286">
        <w:rPr>
          <w:rFonts w:asciiTheme="minorHAnsi" w:hAnsiTheme="minorHAnsi" w:cstheme="minorHAnsi"/>
          <w:bCs/>
          <w:spacing w:val="-2"/>
          <w:sz w:val="20"/>
          <w:szCs w:val="20"/>
        </w:rPr>
        <w:t xml:space="preserve"> </w:t>
      </w:r>
      <w:r w:rsidR="000E3522" w:rsidRPr="00AD7286">
        <w:rPr>
          <w:rFonts w:asciiTheme="minorHAnsi" w:hAnsiTheme="minorHAnsi" w:cstheme="minorHAnsi"/>
          <w:bCs/>
          <w:sz w:val="20"/>
          <w:szCs w:val="20"/>
        </w:rPr>
        <w:t>PHS-18022210-HE (Original)</w:t>
      </w:r>
    </w:p>
    <w:p w14:paraId="6BBD2A9D" w14:textId="77777777" w:rsidR="00707A46" w:rsidRPr="009D3018" w:rsidRDefault="00707A46" w:rsidP="00707A46">
      <w:pPr>
        <w:ind w:left="1440" w:right="540"/>
        <w:rPr>
          <w:rStyle w:val="normaltextrun"/>
          <w:rFonts w:asciiTheme="minorHAnsi" w:hAnsiTheme="minorHAnsi" w:cstheme="minorHAnsi"/>
          <w:sz w:val="24"/>
          <w:szCs w:val="24"/>
        </w:rPr>
      </w:pPr>
    </w:p>
    <w:p w14:paraId="07F3D1C5" w14:textId="4A5DCBA5" w:rsidR="008050AA" w:rsidRPr="009D3018" w:rsidRDefault="008050AA" w:rsidP="005F547D">
      <w:pPr>
        <w:pStyle w:val="ListParagraph"/>
        <w:widowControl/>
        <w:numPr>
          <w:ilvl w:val="0"/>
          <w:numId w:val="32"/>
        </w:numPr>
        <w:autoSpaceDE/>
        <w:autoSpaceDN/>
        <w:contextualSpacing/>
        <w:rPr>
          <w:rFonts w:asciiTheme="minorHAnsi" w:hAnsiTheme="minorHAnsi" w:cstheme="minorHAnsi"/>
          <w:b/>
          <w:bCs/>
          <w:sz w:val="24"/>
          <w:szCs w:val="24"/>
        </w:rPr>
      </w:pPr>
      <w:r w:rsidRPr="009D3018">
        <w:rPr>
          <w:rStyle w:val="normaltextrun"/>
          <w:rFonts w:asciiTheme="minorHAnsi" w:hAnsiTheme="minorHAnsi" w:cstheme="minorHAnsi"/>
          <w:sz w:val="24"/>
          <w:szCs w:val="24"/>
        </w:rPr>
        <w:t xml:space="preserve">The Holder will report on Surgical Volume by Specialty for both MG Waltham and MGH Main Campus based on the case type listed below. Annual reporting should demonstrate that the additional OR capacity is reducing the volume of low acuity surgeries at MGH Main Campus.  </w:t>
      </w:r>
    </w:p>
    <w:p w14:paraId="2FC31CFA" w14:textId="77777777" w:rsidR="008050AA" w:rsidRPr="009D3018" w:rsidRDefault="008050AA" w:rsidP="008050AA">
      <w:pPr>
        <w:pStyle w:val="ListParagraph"/>
        <w:tabs>
          <w:tab w:val="left" w:pos="720"/>
        </w:tabs>
        <w:ind w:right="-10"/>
        <w:jc w:val="center"/>
        <w:rPr>
          <w:rStyle w:val="normaltextrun"/>
          <w:rFonts w:asciiTheme="minorHAnsi" w:hAnsiTheme="minorHAnsi" w:cstheme="minorHAnsi"/>
          <w:sz w:val="24"/>
          <w:szCs w:val="24"/>
        </w:rPr>
      </w:pPr>
      <w:r w:rsidRPr="009D3018">
        <w:rPr>
          <w:rFonts w:asciiTheme="minorHAnsi" w:hAnsiTheme="minorHAnsi" w:cstheme="minorHAnsi"/>
          <w:b/>
          <w:bCs/>
          <w:sz w:val="24"/>
          <w:szCs w:val="24"/>
        </w:rPr>
        <w:t>Surgical Volume by Specialty</w:t>
      </w:r>
    </w:p>
    <w:tbl>
      <w:tblPr>
        <w:tblStyle w:val="TableGrid"/>
        <w:tblW w:w="0" w:type="auto"/>
        <w:jc w:val="center"/>
        <w:tblLook w:val="04A0" w:firstRow="1" w:lastRow="0" w:firstColumn="1" w:lastColumn="0" w:noHBand="0" w:noVBand="1"/>
      </w:tblPr>
      <w:tblGrid>
        <w:gridCol w:w="2965"/>
      </w:tblGrid>
      <w:tr w:rsidR="009D3018" w:rsidRPr="009D3018" w14:paraId="63107DBD" w14:textId="77777777" w:rsidTr="00BB46BD">
        <w:trPr>
          <w:cantSplit/>
          <w:tblHeader/>
          <w:jc w:val="center"/>
        </w:trPr>
        <w:tc>
          <w:tcPr>
            <w:tcW w:w="2965" w:type="dxa"/>
            <w:shd w:val="clear" w:color="auto" w:fill="DBE5F1" w:themeFill="accent1" w:themeFillTint="33"/>
            <w:vAlign w:val="center"/>
          </w:tcPr>
          <w:p w14:paraId="6B3B7550"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b/>
                <w:bCs/>
                <w:sz w:val="24"/>
                <w:szCs w:val="24"/>
              </w:rPr>
              <w:t>Case Type</w:t>
            </w:r>
          </w:p>
        </w:tc>
      </w:tr>
      <w:tr w:rsidR="009D3018" w:rsidRPr="009D3018" w14:paraId="4FCEFF07" w14:textId="77777777" w:rsidTr="00BB46BD">
        <w:trPr>
          <w:cantSplit/>
          <w:trHeight w:val="288"/>
          <w:jc w:val="center"/>
        </w:trPr>
        <w:tc>
          <w:tcPr>
            <w:tcW w:w="2965" w:type="dxa"/>
            <w:vAlign w:val="bottom"/>
          </w:tcPr>
          <w:p w14:paraId="0AB4A949"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Burn</w:t>
            </w:r>
          </w:p>
        </w:tc>
      </w:tr>
      <w:tr w:rsidR="009D3018" w:rsidRPr="009D3018" w14:paraId="3FB2DCA1" w14:textId="77777777" w:rsidTr="00BB46BD">
        <w:trPr>
          <w:cantSplit/>
          <w:trHeight w:val="288"/>
          <w:jc w:val="center"/>
        </w:trPr>
        <w:tc>
          <w:tcPr>
            <w:tcW w:w="2965" w:type="dxa"/>
            <w:vAlign w:val="bottom"/>
          </w:tcPr>
          <w:p w14:paraId="531AA182"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Endoscopy</w:t>
            </w:r>
          </w:p>
        </w:tc>
      </w:tr>
      <w:tr w:rsidR="009D3018" w:rsidRPr="009D3018" w14:paraId="2AC95BCE" w14:textId="77777777" w:rsidTr="00BB46BD">
        <w:trPr>
          <w:cantSplit/>
          <w:trHeight w:val="288"/>
          <w:jc w:val="center"/>
        </w:trPr>
        <w:tc>
          <w:tcPr>
            <w:tcW w:w="2965" w:type="dxa"/>
            <w:vAlign w:val="bottom"/>
          </w:tcPr>
          <w:p w14:paraId="4BC6F59D"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Surgical Oncology</w:t>
            </w:r>
          </w:p>
        </w:tc>
      </w:tr>
      <w:tr w:rsidR="009D3018" w:rsidRPr="009D3018" w14:paraId="1D0D449C" w14:textId="77777777" w:rsidTr="00BB46BD">
        <w:trPr>
          <w:cantSplit/>
          <w:trHeight w:val="288"/>
          <w:jc w:val="center"/>
        </w:trPr>
        <w:tc>
          <w:tcPr>
            <w:tcW w:w="2965" w:type="dxa"/>
            <w:vAlign w:val="bottom"/>
          </w:tcPr>
          <w:p w14:paraId="09D3CA87"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Gynecology</w:t>
            </w:r>
          </w:p>
        </w:tc>
      </w:tr>
      <w:tr w:rsidR="009D3018" w:rsidRPr="009D3018" w14:paraId="283A31B0" w14:textId="77777777" w:rsidTr="00BB46BD">
        <w:trPr>
          <w:cantSplit/>
          <w:trHeight w:val="288"/>
          <w:jc w:val="center"/>
        </w:trPr>
        <w:tc>
          <w:tcPr>
            <w:tcW w:w="2965" w:type="dxa"/>
            <w:vAlign w:val="bottom"/>
          </w:tcPr>
          <w:p w14:paraId="210DC48E"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Neurosurgery</w:t>
            </w:r>
          </w:p>
        </w:tc>
      </w:tr>
      <w:tr w:rsidR="009D3018" w:rsidRPr="009D3018" w14:paraId="60D2CA9C" w14:textId="77777777" w:rsidTr="00BB46BD">
        <w:trPr>
          <w:cantSplit/>
          <w:trHeight w:val="288"/>
          <w:jc w:val="center"/>
        </w:trPr>
        <w:tc>
          <w:tcPr>
            <w:tcW w:w="2965" w:type="dxa"/>
            <w:vAlign w:val="bottom"/>
          </w:tcPr>
          <w:p w14:paraId="5B90E5F5"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Oral Maxillofacial Surg</w:t>
            </w:r>
          </w:p>
        </w:tc>
      </w:tr>
      <w:tr w:rsidR="009D3018" w:rsidRPr="009D3018" w14:paraId="32C19CAD" w14:textId="77777777" w:rsidTr="00BB46BD">
        <w:trPr>
          <w:cantSplit/>
          <w:trHeight w:val="288"/>
          <w:jc w:val="center"/>
        </w:trPr>
        <w:tc>
          <w:tcPr>
            <w:tcW w:w="2965" w:type="dxa"/>
            <w:vAlign w:val="bottom"/>
          </w:tcPr>
          <w:p w14:paraId="11B39E03" w14:textId="77777777" w:rsidR="008050AA" w:rsidRPr="009D3018" w:rsidRDefault="008050AA" w:rsidP="0030794E">
            <w:pPr>
              <w:adjustRightInd w:val="0"/>
              <w:rPr>
                <w:rFonts w:asciiTheme="minorHAnsi" w:hAnsiTheme="minorHAnsi" w:cstheme="minorHAnsi"/>
                <w:b/>
                <w:bCs/>
                <w:sz w:val="24"/>
                <w:szCs w:val="24"/>
              </w:rPr>
            </w:pPr>
            <w:r w:rsidRPr="009D3018">
              <w:rPr>
                <w:rFonts w:asciiTheme="minorHAnsi" w:hAnsiTheme="minorHAnsi" w:cstheme="minorHAnsi"/>
                <w:sz w:val="24"/>
                <w:szCs w:val="24"/>
              </w:rPr>
              <w:t>Orthopedic Surgery</w:t>
            </w:r>
          </w:p>
        </w:tc>
      </w:tr>
      <w:tr w:rsidR="009D3018" w:rsidRPr="009D3018" w14:paraId="66E4E636" w14:textId="77777777" w:rsidTr="00BB46BD">
        <w:trPr>
          <w:cantSplit/>
          <w:trHeight w:val="288"/>
          <w:jc w:val="center"/>
        </w:trPr>
        <w:tc>
          <w:tcPr>
            <w:tcW w:w="2965" w:type="dxa"/>
            <w:vAlign w:val="bottom"/>
          </w:tcPr>
          <w:p w14:paraId="48A46C8B" w14:textId="77777777" w:rsidR="008050AA" w:rsidRPr="009D3018" w:rsidRDefault="008050AA" w:rsidP="0030794E">
            <w:pPr>
              <w:adjustRightInd w:val="0"/>
              <w:rPr>
                <w:rFonts w:asciiTheme="minorHAnsi" w:hAnsiTheme="minorHAnsi" w:cstheme="minorHAnsi"/>
                <w:sz w:val="24"/>
                <w:szCs w:val="24"/>
              </w:rPr>
            </w:pPr>
            <w:r w:rsidRPr="009D3018">
              <w:rPr>
                <w:rFonts w:asciiTheme="minorHAnsi" w:hAnsiTheme="minorHAnsi" w:cstheme="minorHAnsi"/>
                <w:sz w:val="24"/>
                <w:szCs w:val="24"/>
              </w:rPr>
              <w:t>Reconstructive Surgery</w:t>
            </w:r>
          </w:p>
        </w:tc>
      </w:tr>
      <w:tr w:rsidR="009D3018" w:rsidRPr="009D3018" w14:paraId="739B4868" w14:textId="77777777" w:rsidTr="00BB46BD">
        <w:trPr>
          <w:cantSplit/>
          <w:trHeight w:val="288"/>
          <w:jc w:val="center"/>
        </w:trPr>
        <w:tc>
          <w:tcPr>
            <w:tcW w:w="2965" w:type="dxa"/>
            <w:vAlign w:val="bottom"/>
          </w:tcPr>
          <w:p w14:paraId="76609E06" w14:textId="77777777" w:rsidR="008050AA" w:rsidRPr="009D3018" w:rsidRDefault="008050AA" w:rsidP="0030794E">
            <w:pPr>
              <w:adjustRightInd w:val="0"/>
              <w:rPr>
                <w:rFonts w:asciiTheme="minorHAnsi" w:hAnsiTheme="minorHAnsi" w:cstheme="minorHAnsi"/>
                <w:sz w:val="24"/>
                <w:szCs w:val="24"/>
              </w:rPr>
            </w:pPr>
            <w:r w:rsidRPr="009D3018">
              <w:rPr>
                <w:rFonts w:asciiTheme="minorHAnsi" w:hAnsiTheme="minorHAnsi" w:cstheme="minorHAnsi"/>
                <w:sz w:val="24"/>
                <w:szCs w:val="24"/>
              </w:rPr>
              <w:t>Podiatry</w:t>
            </w:r>
          </w:p>
        </w:tc>
      </w:tr>
      <w:tr w:rsidR="009D3018" w:rsidRPr="009D3018" w14:paraId="54B7B36E" w14:textId="77777777" w:rsidTr="00BB46BD">
        <w:trPr>
          <w:cantSplit/>
          <w:trHeight w:val="288"/>
          <w:jc w:val="center"/>
        </w:trPr>
        <w:tc>
          <w:tcPr>
            <w:tcW w:w="2965" w:type="dxa"/>
            <w:vAlign w:val="bottom"/>
          </w:tcPr>
          <w:p w14:paraId="2735C448" w14:textId="77777777" w:rsidR="008050AA" w:rsidRPr="009D3018" w:rsidRDefault="008050AA" w:rsidP="0030794E">
            <w:pPr>
              <w:adjustRightInd w:val="0"/>
              <w:rPr>
                <w:rFonts w:asciiTheme="minorHAnsi" w:hAnsiTheme="minorHAnsi" w:cstheme="minorHAnsi"/>
                <w:sz w:val="24"/>
                <w:szCs w:val="24"/>
              </w:rPr>
            </w:pPr>
            <w:r w:rsidRPr="009D3018">
              <w:rPr>
                <w:rFonts w:asciiTheme="minorHAnsi" w:hAnsiTheme="minorHAnsi" w:cstheme="minorHAnsi"/>
                <w:sz w:val="24"/>
                <w:szCs w:val="24"/>
              </w:rPr>
              <w:t>Radiology</w:t>
            </w:r>
          </w:p>
        </w:tc>
      </w:tr>
      <w:tr w:rsidR="009D3018" w:rsidRPr="009D3018" w14:paraId="00AB8C73" w14:textId="77777777" w:rsidTr="00BB46BD">
        <w:trPr>
          <w:cantSplit/>
          <w:trHeight w:val="288"/>
          <w:jc w:val="center"/>
        </w:trPr>
        <w:tc>
          <w:tcPr>
            <w:tcW w:w="2965" w:type="dxa"/>
            <w:vAlign w:val="bottom"/>
          </w:tcPr>
          <w:p w14:paraId="266B626C" w14:textId="77777777" w:rsidR="008050AA" w:rsidRPr="009D3018" w:rsidRDefault="008050AA" w:rsidP="0030794E">
            <w:pPr>
              <w:adjustRightInd w:val="0"/>
              <w:rPr>
                <w:rFonts w:asciiTheme="minorHAnsi" w:hAnsiTheme="minorHAnsi" w:cstheme="minorHAnsi"/>
                <w:sz w:val="24"/>
                <w:szCs w:val="24"/>
              </w:rPr>
            </w:pPr>
            <w:r w:rsidRPr="009D3018">
              <w:rPr>
                <w:rFonts w:asciiTheme="minorHAnsi" w:hAnsiTheme="minorHAnsi" w:cstheme="minorHAnsi"/>
                <w:sz w:val="24"/>
                <w:szCs w:val="24"/>
              </w:rPr>
              <w:t>Urology</w:t>
            </w:r>
          </w:p>
        </w:tc>
      </w:tr>
      <w:tr w:rsidR="009D3018" w:rsidRPr="009D3018" w14:paraId="0718B2D1" w14:textId="77777777" w:rsidTr="00BB46BD">
        <w:trPr>
          <w:cantSplit/>
          <w:trHeight w:val="288"/>
          <w:jc w:val="center"/>
        </w:trPr>
        <w:tc>
          <w:tcPr>
            <w:tcW w:w="2965" w:type="dxa"/>
            <w:shd w:val="clear" w:color="auto" w:fill="DBE5F1" w:themeFill="accent1" w:themeFillTint="33"/>
            <w:vAlign w:val="bottom"/>
          </w:tcPr>
          <w:p w14:paraId="5037C8A1" w14:textId="77777777" w:rsidR="008050AA" w:rsidRPr="009D3018" w:rsidRDefault="008050AA" w:rsidP="0030794E">
            <w:pPr>
              <w:adjustRightInd w:val="0"/>
              <w:rPr>
                <w:rFonts w:asciiTheme="minorHAnsi" w:hAnsiTheme="minorHAnsi" w:cstheme="minorHAnsi"/>
                <w:sz w:val="24"/>
                <w:szCs w:val="24"/>
              </w:rPr>
            </w:pPr>
            <w:r w:rsidRPr="009D3018">
              <w:rPr>
                <w:rFonts w:asciiTheme="minorHAnsi" w:hAnsiTheme="minorHAnsi" w:cstheme="minorHAnsi"/>
                <w:b/>
                <w:bCs/>
                <w:sz w:val="24"/>
                <w:szCs w:val="24"/>
              </w:rPr>
              <w:t>Grand Total</w:t>
            </w:r>
          </w:p>
        </w:tc>
      </w:tr>
    </w:tbl>
    <w:p w14:paraId="1EEAD0FD" w14:textId="77777777" w:rsidR="008050AA" w:rsidRPr="009D3018" w:rsidRDefault="008050AA" w:rsidP="008050AA">
      <w:pPr>
        <w:rPr>
          <w:rStyle w:val="normaltextrun"/>
          <w:rFonts w:asciiTheme="minorHAnsi" w:hAnsiTheme="minorHAnsi" w:cstheme="minorHAnsi"/>
          <w:sz w:val="24"/>
          <w:szCs w:val="24"/>
          <w:highlight w:val="green"/>
        </w:rPr>
      </w:pPr>
    </w:p>
    <w:p w14:paraId="62A42E8D" w14:textId="77777777" w:rsidR="005F547D" w:rsidRPr="009D3018" w:rsidRDefault="008050AA" w:rsidP="00AD7286">
      <w:pPr>
        <w:pStyle w:val="ListParagraph"/>
        <w:widowControl/>
        <w:numPr>
          <w:ilvl w:val="0"/>
          <w:numId w:val="32"/>
        </w:numPr>
        <w:autoSpaceDE/>
        <w:autoSpaceDN/>
        <w:contextualSpacing/>
        <w:rPr>
          <w:rStyle w:val="normaltextrun"/>
          <w:rFonts w:asciiTheme="minorHAnsi" w:hAnsiTheme="minorHAnsi" w:cstheme="minorHAnsi"/>
          <w:sz w:val="24"/>
          <w:szCs w:val="24"/>
        </w:rPr>
      </w:pPr>
      <w:r w:rsidRPr="009D3018">
        <w:rPr>
          <w:rStyle w:val="normaltextrun"/>
          <w:rFonts w:asciiTheme="minorHAnsi" w:hAnsiTheme="minorHAnsi" w:cstheme="minorHAnsi"/>
          <w:sz w:val="24"/>
          <w:szCs w:val="24"/>
        </w:rPr>
        <w:t xml:space="preserve">The Holder will report the median number of days from the time a case was requested to when the surgery was performed for both MG Waltham as well as MGH Main Campus. Annual reporting should demonstrate that the additional capacity is maintaining or reducing the wait time for surgeries at MG Waltham. </w:t>
      </w:r>
    </w:p>
    <w:p w14:paraId="25738536" w14:textId="77777777" w:rsidR="005F547D" w:rsidRPr="009D3018" w:rsidRDefault="005F547D" w:rsidP="005F547D">
      <w:pPr>
        <w:widowControl/>
        <w:autoSpaceDE/>
        <w:autoSpaceDN/>
        <w:ind w:left="360"/>
        <w:contextualSpacing/>
        <w:rPr>
          <w:rStyle w:val="normaltextrun"/>
          <w:rFonts w:asciiTheme="minorHAnsi" w:hAnsiTheme="minorHAnsi" w:cstheme="minorHAnsi"/>
          <w:sz w:val="24"/>
          <w:szCs w:val="24"/>
        </w:rPr>
      </w:pPr>
    </w:p>
    <w:p w14:paraId="20736C1E" w14:textId="77777777" w:rsidR="005F547D" w:rsidRPr="009D3018" w:rsidRDefault="005F547D" w:rsidP="005F547D">
      <w:pPr>
        <w:widowControl/>
        <w:autoSpaceDE/>
        <w:autoSpaceDN/>
        <w:ind w:left="360"/>
        <w:contextualSpacing/>
        <w:rPr>
          <w:rStyle w:val="normaltextrun"/>
          <w:rFonts w:asciiTheme="minorHAnsi" w:hAnsiTheme="minorHAnsi" w:cstheme="minorHAnsi"/>
          <w:sz w:val="24"/>
          <w:szCs w:val="24"/>
        </w:rPr>
      </w:pPr>
    </w:p>
    <w:p w14:paraId="71FF5DF0" w14:textId="77777777" w:rsidR="005F547D" w:rsidRPr="009D3018" w:rsidRDefault="005F547D" w:rsidP="005F547D">
      <w:pPr>
        <w:widowControl/>
        <w:autoSpaceDE/>
        <w:autoSpaceDN/>
        <w:contextualSpacing/>
        <w:rPr>
          <w:rStyle w:val="normaltextrun"/>
          <w:rFonts w:asciiTheme="minorHAnsi" w:hAnsiTheme="minorHAnsi" w:cstheme="minorHAnsi"/>
          <w:sz w:val="24"/>
          <w:szCs w:val="24"/>
        </w:rPr>
      </w:pPr>
      <w:r w:rsidRPr="009D3018">
        <w:rPr>
          <w:rStyle w:val="normaltextrun"/>
          <w:rFonts w:asciiTheme="minorHAnsi" w:hAnsiTheme="minorHAnsi" w:cstheme="minorHAnsi"/>
          <w:sz w:val="24"/>
          <w:szCs w:val="24"/>
        </w:rPr>
        <w:t>The DoN program shall review the data received in accordance with Condition 3 to determine whether one or more of the following Referral Indicators is present:</w:t>
      </w:r>
    </w:p>
    <w:p w14:paraId="6CC3B78C" w14:textId="77777777" w:rsidR="005F547D" w:rsidRPr="009D3018" w:rsidRDefault="005F547D" w:rsidP="005F547D">
      <w:pPr>
        <w:pStyle w:val="ListParagraph"/>
        <w:widowControl/>
        <w:numPr>
          <w:ilvl w:val="0"/>
          <w:numId w:val="38"/>
        </w:numPr>
        <w:autoSpaceDE/>
        <w:autoSpaceDN/>
        <w:spacing w:after="160" w:line="256" w:lineRule="auto"/>
        <w:ind w:left="1800"/>
        <w:contextualSpacing/>
        <w:rPr>
          <w:rFonts w:asciiTheme="minorHAnsi" w:hAnsiTheme="minorHAnsi" w:cstheme="minorHAnsi"/>
          <w:sz w:val="24"/>
          <w:szCs w:val="24"/>
        </w:rPr>
      </w:pPr>
      <w:r w:rsidRPr="009D3018">
        <w:rPr>
          <w:rFonts w:asciiTheme="minorHAnsi" w:hAnsiTheme="minorHAnsi" w:cstheme="minorHAnsi"/>
          <w:sz w:val="24"/>
          <w:szCs w:val="24"/>
        </w:rPr>
        <w:t>A material increase in total volume of the targeted surgeries at MGH Main Campus</w:t>
      </w:r>
    </w:p>
    <w:p w14:paraId="2B655D56" w14:textId="77777777" w:rsidR="005F547D" w:rsidRPr="009D3018" w:rsidRDefault="005F547D" w:rsidP="005F547D">
      <w:pPr>
        <w:pStyle w:val="ListParagraph"/>
        <w:widowControl/>
        <w:numPr>
          <w:ilvl w:val="0"/>
          <w:numId w:val="38"/>
        </w:numPr>
        <w:autoSpaceDE/>
        <w:autoSpaceDN/>
        <w:spacing w:after="160" w:line="256" w:lineRule="auto"/>
        <w:ind w:left="1800"/>
        <w:contextualSpacing/>
        <w:rPr>
          <w:rStyle w:val="normaltextrun"/>
          <w:rFonts w:asciiTheme="minorHAnsi" w:hAnsiTheme="minorHAnsi" w:cstheme="minorHAnsi"/>
          <w:sz w:val="24"/>
          <w:szCs w:val="24"/>
        </w:rPr>
      </w:pPr>
      <w:r w:rsidRPr="009D3018">
        <w:rPr>
          <w:rFonts w:asciiTheme="minorHAnsi" w:hAnsiTheme="minorHAnsi" w:cstheme="minorHAnsi"/>
          <w:sz w:val="24"/>
          <w:szCs w:val="24"/>
        </w:rPr>
        <w:t xml:space="preserve">A material decrease in total volume of targeted surgeries at MG Waltham </w:t>
      </w:r>
    </w:p>
    <w:p w14:paraId="5E83667B" w14:textId="77777777" w:rsidR="005F547D" w:rsidRPr="009D3018" w:rsidRDefault="005F547D" w:rsidP="005F547D">
      <w:pPr>
        <w:widowControl/>
        <w:autoSpaceDE/>
        <w:autoSpaceDN/>
        <w:ind w:left="360"/>
        <w:contextualSpacing/>
        <w:rPr>
          <w:rStyle w:val="normaltextrun"/>
          <w:rFonts w:asciiTheme="minorHAnsi" w:hAnsiTheme="minorHAnsi" w:cstheme="minorHAnsi"/>
          <w:sz w:val="24"/>
          <w:szCs w:val="24"/>
        </w:rPr>
      </w:pPr>
    </w:p>
    <w:p w14:paraId="31603D1F" w14:textId="2B0A8C7A" w:rsidR="008050AA" w:rsidRPr="009D3018" w:rsidRDefault="008050AA" w:rsidP="005F547D">
      <w:pPr>
        <w:widowControl/>
        <w:autoSpaceDE/>
        <w:autoSpaceDN/>
        <w:contextualSpacing/>
        <w:rPr>
          <w:rStyle w:val="normaltextrun"/>
          <w:rFonts w:asciiTheme="minorHAnsi" w:hAnsiTheme="minorHAnsi" w:cstheme="minorHAnsi"/>
          <w:sz w:val="24"/>
          <w:szCs w:val="24"/>
        </w:rPr>
      </w:pPr>
      <w:r w:rsidRPr="009D3018">
        <w:rPr>
          <w:rStyle w:val="normaltextrun"/>
          <w:rFonts w:asciiTheme="minorHAnsi" w:hAnsiTheme="minorHAnsi" w:cstheme="minorHAnsi"/>
          <w:sz w:val="24"/>
          <w:szCs w:val="24"/>
        </w:rPr>
        <w:lastRenderedPageBreak/>
        <w:t>The DoN program shall review the data received in accordance with Condition 4 to determine whether the following Referral Indicators is present:</w:t>
      </w:r>
    </w:p>
    <w:p w14:paraId="5415A57A" w14:textId="77777777" w:rsidR="008050AA" w:rsidRPr="009D3018" w:rsidRDefault="008050AA" w:rsidP="005F547D">
      <w:pPr>
        <w:pStyle w:val="ListParagraph"/>
        <w:widowControl/>
        <w:numPr>
          <w:ilvl w:val="0"/>
          <w:numId w:val="36"/>
        </w:numPr>
        <w:autoSpaceDE/>
        <w:autoSpaceDN/>
        <w:spacing w:after="160" w:line="256" w:lineRule="auto"/>
        <w:ind w:left="1890"/>
        <w:contextualSpacing/>
        <w:rPr>
          <w:rFonts w:asciiTheme="minorHAnsi" w:hAnsiTheme="minorHAnsi" w:cstheme="minorHAnsi"/>
          <w:sz w:val="24"/>
          <w:szCs w:val="24"/>
        </w:rPr>
      </w:pPr>
      <w:r w:rsidRPr="009D3018">
        <w:rPr>
          <w:rFonts w:asciiTheme="minorHAnsi" w:hAnsiTheme="minorHAnsi" w:cstheme="minorHAnsi"/>
          <w:sz w:val="24"/>
          <w:szCs w:val="24"/>
        </w:rPr>
        <w:t>A material increase in wait time for surgeries at MG Waltham</w:t>
      </w:r>
    </w:p>
    <w:p w14:paraId="31B6411E" w14:textId="77777777" w:rsidR="008050AA" w:rsidRPr="009D3018" w:rsidRDefault="008050AA" w:rsidP="008050AA">
      <w:pPr>
        <w:rPr>
          <w:rFonts w:asciiTheme="minorHAnsi" w:hAnsiTheme="minorHAnsi" w:cstheme="minorHAnsi"/>
          <w:sz w:val="24"/>
          <w:szCs w:val="24"/>
        </w:rPr>
      </w:pPr>
    </w:p>
    <w:p w14:paraId="37ECDD03" w14:textId="77777777" w:rsidR="008050AA" w:rsidRPr="009D3018" w:rsidRDefault="008050AA" w:rsidP="008050AA">
      <w:pPr>
        <w:rPr>
          <w:rFonts w:asciiTheme="minorHAnsi" w:hAnsiTheme="minorHAnsi" w:cstheme="minorHAnsi"/>
          <w:sz w:val="24"/>
          <w:szCs w:val="24"/>
        </w:rPr>
      </w:pPr>
      <w:r w:rsidRPr="009D3018">
        <w:rPr>
          <w:rFonts w:asciiTheme="minorHAnsi" w:hAnsiTheme="minorHAnsi" w:cstheme="minorHAnsi"/>
          <w:sz w:val="24"/>
          <w:szCs w:val="24"/>
        </w:rPr>
        <w:t xml:space="preserve">If the DoN Program finds any one or more of the Referral Indicators, the matter shall be referred to the Public Health Council (PHC) for review to determine whether MGB is in violation of one or more of the conditions and thus out of compliance with the terms of this Notice of DoN.  </w:t>
      </w:r>
    </w:p>
    <w:p w14:paraId="14E79003" w14:textId="77777777" w:rsidR="008050AA" w:rsidRPr="009D3018" w:rsidRDefault="008050AA" w:rsidP="008050AA">
      <w:pPr>
        <w:contextualSpacing/>
        <w:rPr>
          <w:rFonts w:asciiTheme="minorHAnsi" w:hAnsiTheme="minorHAnsi" w:cstheme="minorHAnsi"/>
          <w:sz w:val="24"/>
          <w:szCs w:val="24"/>
        </w:rPr>
      </w:pPr>
    </w:p>
    <w:p w14:paraId="128C875A" w14:textId="77777777" w:rsidR="008050AA" w:rsidRDefault="008050AA" w:rsidP="008050AA">
      <w:pPr>
        <w:contextualSpacing/>
        <w:rPr>
          <w:rFonts w:asciiTheme="minorHAnsi" w:hAnsiTheme="minorHAnsi" w:cstheme="minorHAnsi"/>
          <w:sz w:val="24"/>
          <w:szCs w:val="24"/>
        </w:rPr>
      </w:pPr>
      <w:r w:rsidRPr="009D3018">
        <w:rPr>
          <w:rFonts w:asciiTheme="minorHAnsi" w:hAnsiTheme="minorHAnsi" w:cstheme="minorHAnsi"/>
          <w:sz w:val="24"/>
          <w:szCs w:val="24"/>
        </w:rPr>
        <w:t xml:space="preserve">Upon referral to the PHC based upon any one or more of the Referral Indicators, MGB shall have an opportunity to show cause why the PHC shall not find one or more of the Referral Indicators. </w:t>
      </w:r>
    </w:p>
    <w:p w14:paraId="24108C56" w14:textId="77777777" w:rsidR="009D3018" w:rsidRDefault="009D3018" w:rsidP="008050AA">
      <w:pPr>
        <w:contextualSpacing/>
        <w:rPr>
          <w:rFonts w:asciiTheme="minorHAnsi" w:hAnsiTheme="minorHAnsi" w:cstheme="minorHAnsi"/>
          <w:sz w:val="24"/>
          <w:szCs w:val="24"/>
        </w:rPr>
      </w:pPr>
    </w:p>
    <w:p w14:paraId="2457ECD7" w14:textId="6270E0E7" w:rsidR="0024383D" w:rsidRPr="009D3018" w:rsidRDefault="009D3018" w:rsidP="009D3018">
      <w:pPr>
        <w:contextualSpacing/>
        <w:rPr>
          <w:rFonts w:asciiTheme="minorHAnsi" w:hAnsiTheme="minorHAnsi" w:cstheme="minorHAnsi"/>
          <w:sz w:val="24"/>
          <w:szCs w:val="24"/>
        </w:rPr>
      </w:pPr>
      <w:bookmarkStart w:id="4" w:name="_Hlk158888734"/>
      <w:r>
        <w:rPr>
          <w:rFonts w:asciiTheme="minorHAnsi" w:hAnsiTheme="minorHAnsi" w:cstheme="minorHAnsi"/>
          <w:sz w:val="24"/>
          <w:szCs w:val="24"/>
        </w:rPr>
        <w:t xml:space="preserve">Upon approval of the Proposed Amendment, post DoN reporting for the original DoN </w:t>
      </w:r>
      <w:r>
        <w:rPr>
          <w:sz w:val="24"/>
          <w:szCs w:val="24"/>
        </w:rPr>
        <w:t>(</w:t>
      </w:r>
      <w:r w:rsidRPr="7A628F98">
        <w:rPr>
          <w:sz w:val="24"/>
          <w:szCs w:val="24"/>
        </w:rPr>
        <w:t xml:space="preserve">#PHS-18022210-HE) </w:t>
      </w:r>
      <w:r>
        <w:rPr>
          <w:sz w:val="24"/>
          <w:szCs w:val="24"/>
        </w:rPr>
        <w:t xml:space="preserve">shall continue </w:t>
      </w:r>
      <w:r w:rsidR="00C75899">
        <w:rPr>
          <w:rFonts w:asciiTheme="minorHAnsi" w:hAnsiTheme="minorHAnsi" w:cstheme="minorHAnsi"/>
          <w:sz w:val="24"/>
          <w:szCs w:val="24"/>
        </w:rPr>
        <w:t>for</w:t>
      </w:r>
      <w:r>
        <w:rPr>
          <w:rFonts w:asciiTheme="minorHAnsi" w:hAnsiTheme="minorHAnsi" w:cstheme="minorHAnsi"/>
          <w:sz w:val="24"/>
          <w:szCs w:val="24"/>
        </w:rPr>
        <w:t xml:space="preserve"> five years after the completion of the Amendment Project</w:t>
      </w:r>
      <w:r w:rsidR="00C75899">
        <w:rPr>
          <w:rFonts w:asciiTheme="minorHAnsi" w:hAnsiTheme="minorHAnsi" w:cstheme="minorHAnsi"/>
          <w:sz w:val="24"/>
          <w:szCs w:val="24"/>
        </w:rPr>
        <w:t xml:space="preserve"> with Amendment conditions included in the reporting</w:t>
      </w:r>
      <w:r>
        <w:rPr>
          <w:rFonts w:asciiTheme="minorHAnsi" w:hAnsiTheme="minorHAnsi" w:cstheme="minorHAnsi"/>
          <w:sz w:val="24"/>
          <w:szCs w:val="24"/>
        </w:rPr>
        <w:t>.</w:t>
      </w:r>
    </w:p>
    <w:bookmarkEnd w:id="4"/>
    <w:p w14:paraId="2D35DE4F" w14:textId="069E483B" w:rsidR="0024383D" w:rsidRPr="009D3018" w:rsidRDefault="0024383D" w:rsidP="00CA69DE">
      <w:pPr>
        <w:spacing w:before="240"/>
        <w:ind w:left="2160" w:right="-10"/>
        <w:rPr>
          <w:rFonts w:asciiTheme="minorHAnsi" w:hAnsiTheme="minorHAnsi" w:cstheme="minorHAnsi"/>
          <w:bCs/>
          <w:sz w:val="24"/>
        </w:rPr>
      </w:pPr>
    </w:p>
    <w:p w14:paraId="0145B683" w14:textId="6A77601B" w:rsidR="0024383D" w:rsidRPr="009D3018" w:rsidRDefault="0024383D" w:rsidP="00CA69DE">
      <w:pPr>
        <w:spacing w:before="240"/>
        <w:ind w:left="2160" w:right="-10"/>
        <w:rPr>
          <w:rFonts w:asciiTheme="minorHAnsi" w:hAnsiTheme="minorHAnsi" w:cstheme="minorHAnsi"/>
          <w:bCs/>
          <w:sz w:val="24"/>
        </w:rPr>
      </w:pPr>
    </w:p>
    <w:p w14:paraId="00AEE593" w14:textId="77777777" w:rsidR="0024383D" w:rsidRPr="009D3018" w:rsidRDefault="0024383D" w:rsidP="00CA69DE">
      <w:pPr>
        <w:spacing w:before="240"/>
        <w:ind w:left="2160" w:right="-10"/>
        <w:rPr>
          <w:rFonts w:asciiTheme="minorHAnsi" w:hAnsiTheme="minorHAnsi" w:cstheme="minorHAnsi"/>
          <w:bCs/>
          <w:sz w:val="24"/>
        </w:rPr>
      </w:pPr>
    </w:p>
    <w:sectPr w:rsidR="0024383D" w:rsidRPr="009D3018" w:rsidSect="00406BD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E9FF" w14:textId="77777777" w:rsidR="00406BD8" w:rsidRDefault="00406BD8">
      <w:r>
        <w:separator/>
      </w:r>
    </w:p>
  </w:endnote>
  <w:endnote w:type="continuationSeparator" w:id="0">
    <w:p w14:paraId="2FBA3329" w14:textId="77777777" w:rsidR="00406BD8" w:rsidRDefault="00406BD8">
      <w:r>
        <w:continuationSeparator/>
      </w:r>
    </w:p>
  </w:endnote>
  <w:endnote w:id="1">
    <w:p w14:paraId="1E8A73E5" w14:textId="6565CE79" w:rsidR="0047643F" w:rsidRDefault="0047643F" w:rsidP="0047643F">
      <w:pPr>
        <w:pStyle w:val="EndnoteText"/>
      </w:pPr>
      <w:r>
        <w:rPr>
          <w:rStyle w:val="EndnoteReference"/>
        </w:rPr>
        <w:endnoteRef/>
      </w:r>
      <w:r>
        <w:t xml:space="preserve"> </w:t>
      </w:r>
      <w:hyperlink r:id="rId1" w:history="1">
        <w:r w:rsidRPr="00BB46BD">
          <w:rPr>
            <w:rStyle w:val="Hyperlink"/>
            <w:i/>
            <w:iCs/>
            <w:color w:val="000000" w:themeColor="text1"/>
            <w:u w:val="none"/>
          </w:rPr>
          <w:t>Ambulatory Surgery Centers Versus Hospital-based Outpatient Departments: What’s the Difference?</w:t>
        </w:r>
      </w:hyperlink>
      <w:r w:rsidRPr="00BB46BD">
        <w:rPr>
          <w:color w:val="000000" w:themeColor="text1"/>
        </w:rPr>
        <w:t xml:space="preserve"> </w:t>
      </w:r>
      <w:r w:rsidRPr="00BB46BD">
        <w:rPr>
          <w:smallCaps/>
          <w:color w:val="000000" w:themeColor="text1"/>
        </w:rPr>
        <w:t xml:space="preserve">American </w:t>
      </w:r>
      <w:r>
        <w:rPr>
          <w:smallCaps/>
        </w:rPr>
        <w:t xml:space="preserve">Academy of Orthopaedic Surgeons. </w:t>
      </w:r>
      <w:hyperlink r:id="rId2" w:history="1">
        <w:r w:rsidRPr="00372C86">
          <w:rPr>
            <w:rStyle w:val="Hyperlink"/>
          </w:rPr>
          <w:t>https://www.aaos.org/aaosnow/2019/sep/managing/managing02/</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CEF2" w14:textId="77777777" w:rsidR="00D70499" w:rsidRDefault="00D70499">
    <w:pPr>
      <w:pStyle w:val="Footer"/>
    </w:pPr>
  </w:p>
  <w:p w14:paraId="2E6B4650" w14:textId="77777777" w:rsidR="00F60F03" w:rsidRDefault="00F60F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183205"/>
      <w:docPartObj>
        <w:docPartGallery w:val="Page Numbers (Bottom of Page)"/>
        <w:docPartUnique/>
      </w:docPartObj>
    </w:sdtPr>
    <w:sdtEndPr>
      <w:rPr>
        <w:noProof/>
      </w:rPr>
    </w:sdtEndPr>
    <w:sdtContent>
      <w:p w14:paraId="5009C523" w14:textId="5466EEC0" w:rsidR="00727C41" w:rsidRDefault="0072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A7512" w14:textId="308A6E22" w:rsidR="00982286" w:rsidRDefault="00982286">
    <w:pPr>
      <w:pStyle w:val="BodyText"/>
      <w:spacing w:line="14" w:lineRule="auto"/>
      <w:rPr>
        <w:sz w:val="14"/>
      </w:rPr>
    </w:pPr>
  </w:p>
  <w:p w14:paraId="6F920819" w14:textId="77777777" w:rsidR="00F60F03" w:rsidRDefault="00F60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69DF" w14:textId="77777777" w:rsidR="00D70499" w:rsidRDefault="00D7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773A" w14:textId="77777777" w:rsidR="00406BD8" w:rsidRDefault="00406BD8">
      <w:r>
        <w:separator/>
      </w:r>
    </w:p>
  </w:footnote>
  <w:footnote w:type="continuationSeparator" w:id="0">
    <w:p w14:paraId="0AF0707F" w14:textId="77777777" w:rsidR="00406BD8" w:rsidRDefault="00406BD8">
      <w:r>
        <w:continuationSeparator/>
      </w:r>
    </w:p>
  </w:footnote>
  <w:footnote w:id="1">
    <w:p w14:paraId="58E8BB21" w14:textId="1118BB31" w:rsidR="00CB560D" w:rsidRPr="005C6DCB" w:rsidRDefault="00CB560D">
      <w:pPr>
        <w:pStyle w:val="FootnoteText"/>
        <w:rPr>
          <w:sz w:val="16"/>
          <w:szCs w:val="16"/>
        </w:rPr>
      </w:pPr>
      <w:r w:rsidRPr="005C6DCB">
        <w:rPr>
          <w:rStyle w:val="FootnoteReference"/>
          <w:sz w:val="16"/>
          <w:szCs w:val="16"/>
        </w:rPr>
        <w:footnoteRef/>
      </w:r>
      <w:r w:rsidRPr="005C6DCB">
        <w:rPr>
          <w:sz w:val="16"/>
          <w:szCs w:val="16"/>
        </w:rPr>
        <w:t xml:space="preserve"> </w:t>
      </w:r>
      <w:r w:rsidR="0061288C">
        <w:rPr>
          <w:rStyle w:val="cf01"/>
          <w:rFonts w:asciiTheme="minorHAnsi" w:hAnsiTheme="minorHAnsi" w:cstheme="minorBidi"/>
          <w:sz w:val="16"/>
          <w:szCs w:val="16"/>
        </w:rPr>
        <w:t>Average w</w:t>
      </w:r>
      <w:r w:rsidR="00AA59AD" w:rsidRPr="005C6DCB">
        <w:rPr>
          <w:rStyle w:val="cf01"/>
          <w:rFonts w:asciiTheme="minorHAnsi" w:hAnsiTheme="minorHAnsi" w:cstheme="minorBidi"/>
          <w:sz w:val="16"/>
          <w:szCs w:val="16"/>
        </w:rPr>
        <w:t>ait time for outpatient surgery at locations within the MGB system from October 1, 2023 through February 5, 2024</w:t>
      </w:r>
      <w:r w:rsidR="00F415F4">
        <w:rPr>
          <w:rStyle w:val="cf01"/>
          <w:rFonts w:asciiTheme="minorHAnsi" w:hAnsiTheme="minorHAnsi" w:cstheme="minorBidi"/>
          <w:sz w:val="16"/>
          <w:szCs w:val="16"/>
        </w:rPr>
        <w:t xml:space="preserve"> </w:t>
      </w:r>
      <w:r w:rsidR="00AA59AD" w:rsidRPr="005C6DCB">
        <w:rPr>
          <w:rStyle w:val="cf01"/>
          <w:rFonts w:asciiTheme="minorHAnsi" w:hAnsiTheme="minorHAnsi" w:cstheme="minorBidi"/>
          <w:sz w:val="16"/>
          <w:szCs w:val="16"/>
        </w:rPr>
        <w:t>was 44 days</w:t>
      </w:r>
      <w:r w:rsidR="00AA59AD">
        <w:rPr>
          <w:rStyle w:val="cf01"/>
          <w:rFonts w:asciiTheme="minorHAnsi" w:hAnsiTheme="minorHAnsi" w:cstheme="minorBidi"/>
          <w:sz w:val="16"/>
          <w:szCs w:val="16"/>
        </w:rPr>
        <w:t>.</w:t>
      </w:r>
    </w:p>
  </w:footnote>
  <w:footnote w:id="2">
    <w:p w14:paraId="00B02512" w14:textId="2AB324C2" w:rsidR="005542A0" w:rsidRDefault="005542A0">
      <w:pPr>
        <w:pStyle w:val="FootnoteText"/>
      </w:pPr>
      <w:r>
        <w:rPr>
          <w:rStyle w:val="FootnoteReference"/>
        </w:rPr>
        <w:footnoteRef/>
      </w:r>
      <w:r>
        <w:t xml:space="preserve"> </w:t>
      </w:r>
      <w:r w:rsidRPr="00AA2560">
        <w:rPr>
          <w:rStyle w:val="cf01"/>
          <w:rFonts w:asciiTheme="minorHAnsi" w:hAnsiTheme="minorHAnsi" w:cstheme="minorHAnsi"/>
          <w:sz w:val="16"/>
          <w:szCs w:val="16"/>
        </w:rPr>
        <w:t>Cases are considered clinically appropriate in a freestanding location if the patient has</w:t>
      </w:r>
      <w:r w:rsidRPr="00AA2560">
        <w:rPr>
          <w:rFonts w:asciiTheme="minorHAnsi" w:hAnsiTheme="minorHAnsi" w:cstheme="minorHAnsi"/>
          <w:sz w:val="16"/>
          <w:szCs w:val="16"/>
        </w:rPr>
        <w:t xml:space="preserve"> a body mass index of 40 or less and an American Society of Anesthesiology Score of I or II.  </w:t>
      </w:r>
      <w:r w:rsidRPr="00AA2560">
        <w:rPr>
          <w:rStyle w:val="cf01"/>
          <w:rFonts w:asciiTheme="minorHAnsi" w:hAnsiTheme="minorHAnsi" w:cstheme="minorHAnsi"/>
          <w:sz w:val="16"/>
          <w:szCs w:val="16"/>
        </w:rPr>
        <w:t xml:space="preserve"> </w:t>
      </w:r>
    </w:p>
  </w:footnote>
  <w:footnote w:id="3">
    <w:p w14:paraId="651EA3A5" w14:textId="3595E1D2" w:rsidR="000116A1" w:rsidRPr="000116A1" w:rsidRDefault="000116A1">
      <w:pPr>
        <w:pStyle w:val="FootnoteText"/>
        <w:rPr>
          <w:sz w:val="16"/>
          <w:szCs w:val="16"/>
        </w:rPr>
      </w:pPr>
      <w:r w:rsidRPr="000116A1">
        <w:rPr>
          <w:rStyle w:val="FootnoteReference"/>
          <w:sz w:val="16"/>
          <w:szCs w:val="16"/>
        </w:rPr>
        <w:footnoteRef/>
      </w:r>
      <w:r w:rsidRPr="000116A1">
        <w:rPr>
          <w:sz w:val="16"/>
          <w:szCs w:val="16"/>
        </w:rPr>
        <w:t xml:space="preserve"> </w:t>
      </w:r>
      <w:r w:rsidRPr="000116A1">
        <w:rPr>
          <w:rStyle w:val="cf01"/>
          <w:rFonts w:asciiTheme="minorHAnsi" w:hAnsiTheme="minorHAnsi" w:cstheme="minorHAnsi"/>
          <w:sz w:val="16"/>
          <w:szCs w:val="16"/>
        </w:rPr>
        <w:t>Historical cases at MG Waltham included a mix of surgery and endoscopy, with endoscopy having a shorter case length. In FY2023, MG Waltham opened an endoscopy suite, allowing for these shorter cases to be performed outside of the ambulatory ORs.</w:t>
      </w:r>
    </w:p>
  </w:footnote>
  <w:footnote w:id="4">
    <w:p w14:paraId="130C91DE" w14:textId="615CD0CC" w:rsidR="00052254" w:rsidRPr="005C6DCB" w:rsidRDefault="00052254">
      <w:pPr>
        <w:pStyle w:val="FootnoteText"/>
        <w:rPr>
          <w:sz w:val="16"/>
          <w:szCs w:val="16"/>
        </w:rPr>
      </w:pPr>
      <w:r w:rsidRPr="005C6DCB">
        <w:rPr>
          <w:rStyle w:val="FootnoteReference"/>
          <w:sz w:val="16"/>
          <w:szCs w:val="16"/>
        </w:rPr>
        <w:footnoteRef/>
      </w:r>
      <w:r w:rsidRPr="005C6DCB">
        <w:rPr>
          <w:sz w:val="16"/>
          <w:szCs w:val="16"/>
        </w:rPr>
        <w:t xml:space="preserve"> </w:t>
      </w:r>
      <w:r w:rsidRPr="005C6DCB">
        <w:rPr>
          <w:rStyle w:val="cf01"/>
          <w:rFonts w:asciiTheme="minorHAnsi" w:eastAsia="Times New Roman" w:hAnsiTheme="minorHAnsi" w:cstheme="minorHAnsi"/>
          <w:sz w:val="16"/>
          <w:szCs w:val="16"/>
        </w:rPr>
        <w:t>Average case length on the MGH Main Campus is 2.8 hours while the average case length at MG Waltham is 1.4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189C" w14:textId="6ABF2662" w:rsidR="00D70499" w:rsidRDefault="00D70499">
    <w:pPr>
      <w:pStyle w:val="Header"/>
    </w:pPr>
  </w:p>
  <w:p w14:paraId="655AEB7F" w14:textId="77777777" w:rsidR="00F60F03" w:rsidRDefault="00F60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2F83" w14:textId="42306A53" w:rsidR="00D70499" w:rsidRDefault="00D70499">
    <w:pPr>
      <w:pStyle w:val="Header"/>
    </w:pPr>
  </w:p>
  <w:p w14:paraId="12C13589" w14:textId="77777777" w:rsidR="00F60F03" w:rsidRDefault="00F60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1432" w14:textId="1F070107" w:rsidR="00D70499" w:rsidRDefault="00D7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15:restartNumberingAfterBreak="0">
    <w:nsid w:val="083E7442"/>
    <w:multiLevelType w:val="hybridMultilevel"/>
    <w:tmpl w:val="B7665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6F5E3F"/>
    <w:multiLevelType w:val="hybridMultilevel"/>
    <w:tmpl w:val="CC5697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7" w15:restartNumberingAfterBreak="0">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9" w15:restartNumberingAfterBreak="0">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10" w15:restartNumberingAfterBreak="0">
    <w:nsid w:val="1BD31456"/>
    <w:multiLevelType w:val="hybridMultilevel"/>
    <w:tmpl w:val="C0540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4D12F3"/>
    <w:multiLevelType w:val="hybridMultilevel"/>
    <w:tmpl w:val="EBACE304"/>
    <w:lvl w:ilvl="0" w:tplc="BF442B24">
      <w:start w:val="1"/>
      <w:numFmt w:val="decimal"/>
      <w:lvlText w:val="%1."/>
      <w:lvlJc w:val="left"/>
      <w:pPr>
        <w:ind w:left="720" w:hanging="360"/>
      </w:pPr>
    </w:lvl>
    <w:lvl w:ilvl="1" w:tplc="8C40FD0A">
      <w:start w:val="1"/>
      <w:numFmt w:val="lowerLetter"/>
      <w:lvlText w:val="%2."/>
      <w:lvlJc w:val="left"/>
      <w:pPr>
        <w:ind w:left="1440" w:hanging="360"/>
      </w:pPr>
    </w:lvl>
    <w:lvl w:ilvl="2" w:tplc="0080A21A">
      <w:start w:val="1"/>
      <w:numFmt w:val="lowerRoman"/>
      <w:lvlText w:val="%3."/>
      <w:lvlJc w:val="right"/>
      <w:pPr>
        <w:ind w:left="2160" w:hanging="180"/>
      </w:pPr>
    </w:lvl>
    <w:lvl w:ilvl="3" w:tplc="422E5650">
      <w:start w:val="1"/>
      <w:numFmt w:val="decimal"/>
      <w:lvlText w:val="%4."/>
      <w:lvlJc w:val="left"/>
      <w:pPr>
        <w:ind w:left="2880" w:hanging="360"/>
      </w:pPr>
    </w:lvl>
    <w:lvl w:ilvl="4" w:tplc="9A04F72E">
      <w:start w:val="1"/>
      <w:numFmt w:val="lowerLetter"/>
      <w:lvlText w:val="%5."/>
      <w:lvlJc w:val="left"/>
      <w:pPr>
        <w:ind w:left="3600" w:hanging="360"/>
      </w:pPr>
    </w:lvl>
    <w:lvl w:ilvl="5" w:tplc="4CDE7304">
      <w:start w:val="1"/>
      <w:numFmt w:val="lowerRoman"/>
      <w:lvlText w:val="%6."/>
      <w:lvlJc w:val="right"/>
      <w:pPr>
        <w:ind w:left="4320" w:hanging="180"/>
      </w:pPr>
    </w:lvl>
    <w:lvl w:ilvl="6" w:tplc="F4284BE6">
      <w:start w:val="1"/>
      <w:numFmt w:val="decimal"/>
      <w:lvlText w:val="%7."/>
      <w:lvlJc w:val="left"/>
      <w:pPr>
        <w:ind w:left="5040" w:hanging="360"/>
      </w:pPr>
    </w:lvl>
    <w:lvl w:ilvl="7" w:tplc="12A2144C">
      <w:start w:val="1"/>
      <w:numFmt w:val="lowerLetter"/>
      <w:lvlText w:val="%8."/>
      <w:lvlJc w:val="left"/>
      <w:pPr>
        <w:ind w:left="5760" w:hanging="360"/>
      </w:pPr>
    </w:lvl>
    <w:lvl w:ilvl="8" w:tplc="0406C04C">
      <w:start w:val="1"/>
      <w:numFmt w:val="lowerRoman"/>
      <w:lvlText w:val="%9."/>
      <w:lvlJc w:val="right"/>
      <w:pPr>
        <w:ind w:left="6480" w:hanging="180"/>
      </w:pPr>
    </w:lvl>
  </w:abstractNum>
  <w:abstractNum w:abstractNumId="12" w15:restartNumberingAfterBreak="0">
    <w:nsid w:val="1DD94D93"/>
    <w:multiLevelType w:val="hybridMultilevel"/>
    <w:tmpl w:val="71F8D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14" w15:restartNumberingAfterBreak="0">
    <w:nsid w:val="39082A45"/>
    <w:multiLevelType w:val="hybridMultilevel"/>
    <w:tmpl w:val="E2E87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3626B"/>
    <w:multiLevelType w:val="hybridMultilevel"/>
    <w:tmpl w:val="281E932A"/>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 w15:restartNumberingAfterBreak="0">
    <w:nsid w:val="44331794"/>
    <w:multiLevelType w:val="hybridMultilevel"/>
    <w:tmpl w:val="6FD24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18" w15:restartNumberingAfterBreak="0">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C2F5C03"/>
    <w:multiLevelType w:val="hybridMultilevel"/>
    <w:tmpl w:val="06765DC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2E309DB"/>
    <w:multiLevelType w:val="hybridMultilevel"/>
    <w:tmpl w:val="17489F2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6FC3C12"/>
    <w:multiLevelType w:val="hybridMultilevel"/>
    <w:tmpl w:val="7EFCFCA0"/>
    <w:lvl w:ilvl="0" w:tplc="83D2A4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24"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60C66519"/>
    <w:multiLevelType w:val="hybridMultilevel"/>
    <w:tmpl w:val="E7241682"/>
    <w:lvl w:ilvl="0" w:tplc="DD8002C0">
      <w:start w:val="1"/>
      <w:numFmt w:val="decimal"/>
      <w:lvlText w:val="%1."/>
      <w:lvlJc w:val="left"/>
      <w:pPr>
        <w:ind w:left="241" w:hanging="360"/>
      </w:p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26" w15:restartNumberingAfterBreak="0">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27" w15:restartNumberingAfterBreak="0">
    <w:nsid w:val="69A121CA"/>
    <w:multiLevelType w:val="hybridMultilevel"/>
    <w:tmpl w:val="3C3C1876"/>
    <w:lvl w:ilvl="0" w:tplc="8FBC9590">
      <w:numFmt w:val="bullet"/>
      <w:lvlText w:val="•"/>
      <w:lvlJc w:val="left"/>
      <w:pPr>
        <w:ind w:left="1440" w:hanging="54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B1F5A3B"/>
    <w:multiLevelType w:val="hybridMultilevel"/>
    <w:tmpl w:val="A17A56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D25707B"/>
    <w:multiLevelType w:val="hybridMultilevel"/>
    <w:tmpl w:val="7F9E4374"/>
    <w:lvl w:ilvl="0" w:tplc="24983C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B73D70"/>
    <w:multiLevelType w:val="hybridMultilevel"/>
    <w:tmpl w:val="1E24C498"/>
    <w:lvl w:ilvl="0" w:tplc="18FCCF4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32" w15:restartNumberingAfterBreak="0">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33" w15:restartNumberingAfterBreak="0">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35" w15:restartNumberingAfterBreak="0">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abstractNum w:abstractNumId="36" w15:restartNumberingAfterBreak="0">
    <w:nsid w:val="7DEF1BD0"/>
    <w:multiLevelType w:val="multilevel"/>
    <w:tmpl w:val="49AE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131556">
    <w:abstractNumId w:val="6"/>
  </w:num>
  <w:num w:numId="2" w16cid:durableId="1794708900">
    <w:abstractNumId w:val="31"/>
  </w:num>
  <w:num w:numId="3" w16cid:durableId="1413039124">
    <w:abstractNumId w:val="23"/>
  </w:num>
  <w:num w:numId="4" w16cid:durableId="1196384745">
    <w:abstractNumId w:val="32"/>
  </w:num>
  <w:num w:numId="5" w16cid:durableId="1333678498">
    <w:abstractNumId w:val="13"/>
  </w:num>
  <w:num w:numId="6" w16cid:durableId="75174669">
    <w:abstractNumId w:val="26"/>
  </w:num>
  <w:num w:numId="7" w16cid:durableId="1874924194">
    <w:abstractNumId w:val="1"/>
  </w:num>
  <w:num w:numId="8" w16cid:durableId="1502695598">
    <w:abstractNumId w:val="9"/>
  </w:num>
  <w:num w:numId="9" w16cid:durableId="162668558">
    <w:abstractNumId w:val="8"/>
  </w:num>
  <w:num w:numId="10" w16cid:durableId="889414204">
    <w:abstractNumId w:val="35"/>
  </w:num>
  <w:num w:numId="11" w16cid:durableId="2029329234">
    <w:abstractNumId w:val="34"/>
  </w:num>
  <w:num w:numId="12" w16cid:durableId="818807170">
    <w:abstractNumId w:val="17"/>
  </w:num>
  <w:num w:numId="13" w16cid:durableId="278221357">
    <w:abstractNumId w:val="7"/>
  </w:num>
  <w:num w:numId="14" w16cid:durableId="931161461">
    <w:abstractNumId w:val="20"/>
  </w:num>
  <w:num w:numId="15" w16cid:durableId="370963231">
    <w:abstractNumId w:val="18"/>
  </w:num>
  <w:num w:numId="16" w16cid:durableId="850801919">
    <w:abstractNumId w:val="0"/>
  </w:num>
  <w:num w:numId="17" w16cid:durableId="1381979443">
    <w:abstractNumId w:val="33"/>
  </w:num>
  <w:num w:numId="18" w16cid:durableId="2134907095">
    <w:abstractNumId w:val="3"/>
  </w:num>
  <w:num w:numId="19" w16cid:durableId="511531435">
    <w:abstractNumId w:val="28"/>
  </w:num>
  <w:num w:numId="20" w16cid:durableId="1688866642">
    <w:abstractNumId w:val="24"/>
  </w:num>
  <w:num w:numId="21" w16cid:durableId="391274091">
    <w:abstractNumId w:val="27"/>
  </w:num>
  <w:num w:numId="22" w16cid:durableId="1869827316">
    <w:abstractNumId w:val="5"/>
  </w:num>
  <w:num w:numId="23" w16cid:durableId="832720722">
    <w:abstractNumId w:val="15"/>
  </w:num>
  <w:num w:numId="24" w16cid:durableId="70471688">
    <w:abstractNumId w:val="12"/>
  </w:num>
  <w:num w:numId="25" w16cid:durableId="2023387620">
    <w:abstractNumId w:val="10"/>
  </w:num>
  <w:num w:numId="26" w16cid:durableId="1419131209">
    <w:abstractNumId w:val="36"/>
  </w:num>
  <w:num w:numId="27" w16cid:durableId="1750695409">
    <w:abstractNumId w:val="30"/>
  </w:num>
  <w:num w:numId="28" w16cid:durableId="1248613826">
    <w:abstractNumId w:val="29"/>
  </w:num>
  <w:num w:numId="29" w16cid:durableId="15494170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068199">
    <w:abstractNumId w:val="14"/>
  </w:num>
  <w:num w:numId="31" w16cid:durableId="936980250">
    <w:abstractNumId w:val="2"/>
  </w:num>
  <w:num w:numId="32" w16cid:durableId="1698581403">
    <w:abstractNumId w:val="11"/>
  </w:num>
  <w:num w:numId="33" w16cid:durableId="1776246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6011211">
    <w:abstractNumId w:val="21"/>
  </w:num>
  <w:num w:numId="35" w16cid:durableId="1233275780">
    <w:abstractNumId w:val="22"/>
  </w:num>
  <w:num w:numId="36" w16cid:durableId="755247960">
    <w:abstractNumId w:val="19"/>
  </w:num>
  <w:num w:numId="37" w16cid:durableId="1253663722">
    <w:abstractNumId w:val="16"/>
  </w:num>
  <w:num w:numId="38" w16cid:durableId="2067994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1D"/>
    <w:rsid w:val="00001347"/>
    <w:rsid w:val="00002AA9"/>
    <w:rsid w:val="000116A1"/>
    <w:rsid w:val="00011E44"/>
    <w:rsid w:val="00017FA3"/>
    <w:rsid w:val="00021AB6"/>
    <w:rsid w:val="00023895"/>
    <w:rsid w:val="000268A7"/>
    <w:rsid w:val="00027018"/>
    <w:rsid w:val="00027792"/>
    <w:rsid w:val="000301B3"/>
    <w:rsid w:val="00031995"/>
    <w:rsid w:val="00031DE6"/>
    <w:rsid w:val="00031FBB"/>
    <w:rsid w:val="00032646"/>
    <w:rsid w:val="000334F9"/>
    <w:rsid w:val="0003662E"/>
    <w:rsid w:val="00036698"/>
    <w:rsid w:val="00040266"/>
    <w:rsid w:val="00040DD7"/>
    <w:rsid w:val="00043D3F"/>
    <w:rsid w:val="00043DDE"/>
    <w:rsid w:val="00044B4A"/>
    <w:rsid w:val="00044DC4"/>
    <w:rsid w:val="00045E19"/>
    <w:rsid w:val="0004622C"/>
    <w:rsid w:val="0005002A"/>
    <w:rsid w:val="00052254"/>
    <w:rsid w:val="000526E5"/>
    <w:rsid w:val="00053133"/>
    <w:rsid w:val="00055D66"/>
    <w:rsid w:val="000563A5"/>
    <w:rsid w:val="0005746F"/>
    <w:rsid w:val="000603F6"/>
    <w:rsid w:val="0006132B"/>
    <w:rsid w:val="00061528"/>
    <w:rsid w:val="0006613D"/>
    <w:rsid w:val="00072055"/>
    <w:rsid w:val="0007326A"/>
    <w:rsid w:val="000753E4"/>
    <w:rsid w:val="0007787C"/>
    <w:rsid w:val="00077B57"/>
    <w:rsid w:val="00080949"/>
    <w:rsid w:val="00090B89"/>
    <w:rsid w:val="000913E6"/>
    <w:rsid w:val="0009598C"/>
    <w:rsid w:val="00095CDB"/>
    <w:rsid w:val="00097300"/>
    <w:rsid w:val="000A09F6"/>
    <w:rsid w:val="000A09FD"/>
    <w:rsid w:val="000A0E4A"/>
    <w:rsid w:val="000A0ED4"/>
    <w:rsid w:val="000A32DC"/>
    <w:rsid w:val="000A3580"/>
    <w:rsid w:val="000A4DF8"/>
    <w:rsid w:val="000B0F34"/>
    <w:rsid w:val="000B16F4"/>
    <w:rsid w:val="000B5F4C"/>
    <w:rsid w:val="000B6B84"/>
    <w:rsid w:val="000C02D1"/>
    <w:rsid w:val="000C5857"/>
    <w:rsid w:val="000C672C"/>
    <w:rsid w:val="000C719D"/>
    <w:rsid w:val="000C7367"/>
    <w:rsid w:val="000D23EC"/>
    <w:rsid w:val="000D2EA4"/>
    <w:rsid w:val="000D7BBA"/>
    <w:rsid w:val="000E017C"/>
    <w:rsid w:val="000E0CBF"/>
    <w:rsid w:val="000E1CFA"/>
    <w:rsid w:val="000E3522"/>
    <w:rsid w:val="000F10A6"/>
    <w:rsid w:val="000F113C"/>
    <w:rsid w:val="000F366D"/>
    <w:rsid w:val="000F3D74"/>
    <w:rsid w:val="000F4E06"/>
    <w:rsid w:val="000F5A11"/>
    <w:rsid w:val="00103253"/>
    <w:rsid w:val="00105FF1"/>
    <w:rsid w:val="00114BB7"/>
    <w:rsid w:val="00115970"/>
    <w:rsid w:val="0011646A"/>
    <w:rsid w:val="00117A11"/>
    <w:rsid w:val="00120FFE"/>
    <w:rsid w:val="00124F3F"/>
    <w:rsid w:val="00125B10"/>
    <w:rsid w:val="00127874"/>
    <w:rsid w:val="001317D7"/>
    <w:rsid w:val="001325DD"/>
    <w:rsid w:val="001328FE"/>
    <w:rsid w:val="00137558"/>
    <w:rsid w:val="001376B3"/>
    <w:rsid w:val="00143420"/>
    <w:rsid w:val="00144795"/>
    <w:rsid w:val="00144877"/>
    <w:rsid w:val="00144EF3"/>
    <w:rsid w:val="00145452"/>
    <w:rsid w:val="00147CCC"/>
    <w:rsid w:val="00151F9A"/>
    <w:rsid w:val="00152D22"/>
    <w:rsid w:val="001538B6"/>
    <w:rsid w:val="00155CF7"/>
    <w:rsid w:val="00155DB0"/>
    <w:rsid w:val="00156C03"/>
    <w:rsid w:val="001572FC"/>
    <w:rsid w:val="00160BDA"/>
    <w:rsid w:val="00161159"/>
    <w:rsid w:val="00162418"/>
    <w:rsid w:val="00165363"/>
    <w:rsid w:val="00170E7D"/>
    <w:rsid w:val="001719D2"/>
    <w:rsid w:val="00172977"/>
    <w:rsid w:val="001729CF"/>
    <w:rsid w:val="001749E3"/>
    <w:rsid w:val="0018453E"/>
    <w:rsid w:val="0018722B"/>
    <w:rsid w:val="00195EBE"/>
    <w:rsid w:val="001978D9"/>
    <w:rsid w:val="00197B19"/>
    <w:rsid w:val="00197DC7"/>
    <w:rsid w:val="001A38BF"/>
    <w:rsid w:val="001B2585"/>
    <w:rsid w:val="001B29C4"/>
    <w:rsid w:val="001B2CE3"/>
    <w:rsid w:val="001B2F47"/>
    <w:rsid w:val="001B34B2"/>
    <w:rsid w:val="001B49A0"/>
    <w:rsid w:val="001B49BF"/>
    <w:rsid w:val="001B5FDF"/>
    <w:rsid w:val="001B676F"/>
    <w:rsid w:val="001C1B42"/>
    <w:rsid w:val="001C683C"/>
    <w:rsid w:val="001D0E40"/>
    <w:rsid w:val="001D1301"/>
    <w:rsid w:val="001D168B"/>
    <w:rsid w:val="001D1885"/>
    <w:rsid w:val="001D1C01"/>
    <w:rsid w:val="001D3505"/>
    <w:rsid w:val="001D52E8"/>
    <w:rsid w:val="001D6380"/>
    <w:rsid w:val="001D7A6D"/>
    <w:rsid w:val="001E042D"/>
    <w:rsid w:val="001E2D60"/>
    <w:rsid w:val="001E6426"/>
    <w:rsid w:val="001E7A4F"/>
    <w:rsid w:val="001F24AF"/>
    <w:rsid w:val="001F29B7"/>
    <w:rsid w:val="001F34B8"/>
    <w:rsid w:val="001F545D"/>
    <w:rsid w:val="001F7BB2"/>
    <w:rsid w:val="00200964"/>
    <w:rsid w:val="002021DA"/>
    <w:rsid w:val="0020352E"/>
    <w:rsid w:val="00203B6A"/>
    <w:rsid w:val="00205EE4"/>
    <w:rsid w:val="00211446"/>
    <w:rsid w:val="0021203D"/>
    <w:rsid w:val="002127E7"/>
    <w:rsid w:val="00214006"/>
    <w:rsid w:val="0021537A"/>
    <w:rsid w:val="00224887"/>
    <w:rsid w:val="00227086"/>
    <w:rsid w:val="00231C57"/>
    <w:rsid w:val="00233FFC"/>
    <w:rsid w:val="00234FE6"/>
    <w:rsid w:val="00236040"/>
    <w:rsid w:val="002429C8"/>
    <w:rsid w:val="0024383D"/>
    <w:rsid w:val="00244D27"/>
    <w:rsid w:val="002527AC"/>
    <w:rsid w:val="0025322D"/>
    <w:rsid w:val="00254A66"/>
    <w:rsid w:val="00254A6C"/>
    <w:rsid w:val="002573FB"/>
    <w:rsid w:val="002606A1"/>
    <w:rsid w:val="00263E01"/>
    <w:rsid w:val="0026468C"/>
    <w:rsid w:val="0026603F"/>
    <w:rsid w:val="00272B60"/>
    <w:rsid w:val="00273E29"/>
    <w:rsid w:val="00273F67"/>
    <w:rsid w:val="002850F8"/>
    <w:rsid w:val="00285C1B"/>
    <w:rsid w:val="002870C6"/>
    <w:rsid w:val="00287241"/>
    <w:rsid w:val="00291F37"/>
    <w:rsid w:val="002A2A1D"/>
    <w:rsid w:val="002A39E7"/>
    <w:rsid w:val="002B180D"/>
    <w:rsid w:val="002B2EF2"/>
    <w:rsid w:val="002B4231"/>
    <w:rsid w:val="002B7508"/>
    <w:rsid w:val="002C0110"/>
    <w:rsid w:val="002C0E58"/>
    <w:rsid w:val="002C1F4A"/>
    <w:rsid w:val="002C21FE"/>
    <w:rsid w:val="002C3FCF"/>
    <w:rsid w:val="002C61A1"/>
    <w:rsid w:val="002C637A"/>
    <w:rsid w:val="002C6DF8"/>
    <w:rsid w:val="002C72C3"/>
    <w:rsid w:val="002C7E3D"/>
    <w:rsid w:val="002D18F4"/>
    <w:rsid w:val="002D236D"/>
    <w:rsid w:val="002D599B"/>
    <w:rsid w:val="002D5C5D"/>
    <w:rsid w:val="002E12A2"/>
    <w:rsid w:val="002E1F44"/>
    <w:rsid w:val="002E2D0D"/>
    <w:rsid w:val="002E4038"/>
    <w:rsid w:val="002E5A9C"/>
    <w:rsid w:val="002F0971"/>
    <w:rsid w:val="002F1A9F"/>
    <w:rsid w:val="002F250D"/>
    <w:rsid w:val="002F2E18"/>
    <w:rsid w:val="002F4582"/>
    <w:rsid w:val="002F5F72"/>
    <w:rsid w:val="00303071"/>
    <w:rsid w:val="0030400B"/>
    <w:rsid w:val="00312BB5"/>
    <w:rsid w:val="00316E61"/>
    <w:rsid w:val="003176C5"/>
    <w:rsid w:val="003209C6"/>
    <w:rsid w:val="00323A72"/>
    <w:rsid w:val="00331D1C"/>
    <w:rsid w:val="003335DA"/>
    <w:rsid w:val="00334EFD"/>
    <w:rsid w:val="00335995"/>
    <w:rsid w:val="00342151"/>
    <w:rsid w:val="00342271"/>
    <w:rsid w:val="00343ED0"/>
    <w:rsid w:val="00345B1C"/>
    <w:rsid w:val="003512D3"/>
    <w:rsid w:val="003563D1"/>
    <w:rsid w:val="0035733A"/>
    <w:rsid w:val="00357C3D"/>
    <w:rsid w:val="00360B14"/>
    <w:rsid w:val="003664EB"/>
    <w:rsid w:val="003671AD"/>
    <w:rsid w:val="00372647"/>
    <w:rsid w:val="00372C86"/>
    <w:rsid w:val="003749C6"/>
    <w:rsid w:val="003753CB"/>
    <w:rsid w:val="00376A46"/>
    <w:rsid w:val="00376FA8"/>
    <w:rsid w:val="0038040D"/>
    <w:rsid w:val="00380EC8"/>
    <w:rsid w:val="00385BEB"/>
    <w:rsid w:val="00385DD3"/>
    <w:rsid w:val="0038655C"/>
    <w:rsid w:val="00391CBD"/>
    <w:rsid w:val="003975FA"/>
    <w:rsid w:val="003A1247"/>
    <w:rsid w:val="003B14A8"/>
    <w:rsid w:val="003B2CA9"/>
    <w:rsid w:val="003B4461"/>
    <w:rsid w:val="003B7C60"/>
    <w:rsid w:val="003C3590"/>
    <w:rsid w:val="003C3A1E"/>
    <w:rsid w:val="003C3AF9"/>
    <w:rsid w:val="003D2ECC"/>
    <w:rsid w:val="003D67C3"/>
    <w:rsid w:val="003D7120"/>
    <w:rsid w:val="003D7F91"/>
    <w:rsid w:val="003E1282"/>
    <w:rsid w:val="003E23F6"/>
    <w:rsid w:val="003E76C4"/>
    <w:rsid w:val="003F086A"/>
    <w:rsid w:val="003F2817"/>
    <w:rsid w:val="003F5D9A"/>
    <w:rsid w:val="004052CA"/>
    <w:rsid w:val="004069B4"/>
    <w:rsid w:val="00406BD8"/>
    <w:rsid w:val="00407781"/>
    <w:rsid w:val="004233D6"/>
    <w:rsid w:val="0042432A"/>
    <w:rsid w:val="00427FEA"/>
    <w:rsid w:val="0043016C"/>
    <w:rsid w:val="00431DD7"/>
    <w:rsid w:val="004333D9"/>
    <w:rsid w:val="00433842"/>
    <w:rsid w:val="00433C7B"/>
    <w:rsid w:val="00436BB4"/>
    <w:rsid w:val="00437EBB"/>
    <w:rsid w:val="00440512"/>
    <w:rsid w:val="00442F3F"/>
    <w:rsid w:val="00446C8D"/>
    <w:rsid w:val="004472F4"/>
    <w:rsid w:val="00453446"/>
    <w:rsid w:val="00457375"/>
    <w:rsid w:val="00460936"/>
    <w:rsid w:val="00462FB6"/>
    <w:rsid w:val="00465013"/>
    <w:rsid w:val="00465BBB"/>
    <w:rsid w:val="00467F30"/>
    <w:rsid w:val="004748F9"/>
    <w:rsid w:val="0047643F"/>
    <w:rsid w:val="00476994"/>
    <w:rsid w:val="00476A62"/>
    <w:rsid w:val="00481C08"/>
    <w:rsid w:val="00482351"/>
    <w:rsid w:val="00482752"/>
    <w:rsid w:val="00482AC7"/>
    <w:rsid w:val="00485F7A"/>
    <w:rsid w:val="00486983"/>
    <w:rsid w:val="00487039"/>
    <w:rsid w:val="0049059E"/>
    <w:rsid w:val="004927D9"/>
    <w:rsid w:val="004945C1"/>
    <w:rsid w:val="004A1055"/>
    <w:rsid w:val="004A1444"/>
    <w:rsid w:val="004A4809"/>
    <w:rsid w:val="004A6E7F"/>
    <w:rsid w:val="004B1FA8"/>
    <w:rsid w:val="004B24FC"/>
    <w:rsid w:val="004B3AF7"/>
    <w:rsid w:val="004B5059"/>
    <w:rsid w:val="004B6F0E"/>
    <w:rsid w:val="004B7244"/>
    <w:rsid w:val="004B74D5"/>
    <w:rsid w:val="004C28B4"/>
    <w:rsid w:val="004C5F68"/>
    <w:rsid w:val="004C714C"/>
    <w:rsid w:val="004D0DD3"/>
    <w:rsid w:val="004E199B"/>
    <w:rsid w:val="004E5EAF"/>
    <w:rsid w:val="004F1369"/>
    <w:rsid w:val="004F1A1A"/>
    <w:rsid w:val="004F31E2"/>
    <w:rsid w:val="004F5984"/>
    <w:rsid w:val="004F6EFE"/>
    <w:rsid w:val="005004AE"/>
    <w:rsid w:val="005006EB"/>
    <w:rsid w:val="00501617"/>
    <w:rsid w:val="00506DD3"/>
    <w:rsid w:val="005079EE"/>
    <w:rsid w:val="0051137F"/>
    <w:rsid w:val="00511431"/>
    <w:rsid w:val="00511A0F"/>
    <w:rsid w:val="005122AB"/>
    <w:rsid w:val="00514399"/>
    <w:rsid w:val="00515667"/>
    <w:rsid w:val="00516832"/>
    <w:rsid w:val="00516E81"/>
    <w:rsid w:val="005227FA"/>
    <w:rsid w:val="0052341E"/>
    <w:rsid w:val="00523A6A"/>
    <w:rsid w:val="00530991"/>
    <w:rsid w:val="00532759"/>
    <w:rsid w:val="00533D42"/>
    <w:rsid w:val="005355D4"/>
    <w:rsid w:val="00536465"/>
    <w:rsid w:val="00536CF0"/>
    <w:rsid w:val="00537C88"/>
    <w:rsid w:val="005432B3"/>
    <w:rsid w:val="00545861"/>
    <w:rsid w:val="00545B16"/>
    <w:rsid w:val="00547ABF"/>
    <w:rsid w:val="005542A0"/>
    <w:rsid w:val="00554319"/>
    <w:rsid w:val="00554A45"/>
    <w:rsid w:val="005667A9"/>
    <w:rsid w:val="00571F0A"/>
    <w:rsid w:val="00572C68"/>
    <w:rsid w:val="00572C7B"/>
    <w:rsid w:val="0057325B"/>
    <w:rsid w:val="00574C65"/>
    <w:rsid w:val="00575D5B"/>
    <w:rsid w:val="005765D6"/>
    <w:rsid w:val="00577168"/>
    <w:rsid w:val="00577830"/>
    <w:rsid w:val="00580DAB"/>
    <w:rsid w:val="0058507E"/>
    <w:rsid w:val="00586B11"/>
    <w:rsid w:val="00591B1D"/>
    <w:rsid w:val="005926AE"/>
    <w:rsid w:val="00592A01"/>
    <w:rsid w:val="005944AD"/>
    <w:rsid w:val="00594699"/>
    <w:rsid w:val="0059727A"/>
    <w:rsid w:val="005A0568"/>
    <w:rsid w:val="005A1034"/>
    <w:rsid w:val="005A13EF"/>
    <w:rsid w:val="005A293F"/>
    <w:rsid w:val="005A327E"/>
    <w:rsid w:val="005B2495"/>
    <w:rsid w:val="005B2B74"/>
    <w:rsid w:val="005B3100"/>
    <w:rsid w:val="005B4FE3"/>
    <w:rsid w:val="005B640C"/>
    <w:rsid w:val="005C1670"/>
    <w:rsid w:val="005C2BD5"/>
    <w:rsid w:val="005C3111"/>
    <w:rsid w:val="005C60EC"/>
    <w:rsid w:val="005C658A"/>
    <w:rsid w:val="005C6DCB"/>
    <w:rsid w:val="005C7363"/>
    <w:rsid w:val="005D45F9"/>
    <w:rsid w:val="005D5AD8"/>
    <w:rsid w:val="005D6A9E"/>
    <w:rsid w:val="005D7ADF"/>
    <w:rsid w:val="005D7DE4"/>
    <w:rsid w:val="005E0280"/>
    <w:rsid w:val="005E18CC"/>
    <w:rsid w:val="005E4E14"/>
    <w:rsid w:val="005F0D4C"/>
    <w:rsid w:val="005F0FE6"/>
    <w:rsid w:val="005F547D"/>
    <w:rsid w:val="005F6096"/>
    <w:rsid w:val="005F6A2A"/>
    <w:rsid w:val="006037AC"/>
    <w:rsid w:val="00604A57"/>
    <w:rsid w:val="006108C5"/>
    <w:rsid w:val="0061288C"/>
    <w:rsid w:val="00613351"/>
    <w:rsid w:val="00615C0B"/>
    <w:rsid w:val="0061794C"/>
    <w:rsid w:val="006306D4"/>
    <w:rsid w:val="0063070A"/>
    <w:rsid w:val="0063164B"/>
    <w:rsid w:val="00631A04"/>
    <w:rsid w:val="00636882"/>
    <w:rsid w:val="006409CC"/>
    <w:rsid w:val="00642ACB"/>
    <w:rsid w:val="006469F2"/>
    <w:rsid w:val="00654D53"/>
    <w:rsid w:val="0065609B"/>
    <w:rsid w:val="00657BB9"/>
    <w:rsid w:val="00664DFC"/>
    <w:rsid w:val="00666563"/>
    <w:rsid w:val="00675BA3"/>
    <w:rsid w:val="00676F6D"/>
    <w:rsid w:val="00677E5C"/>
    <w:rsid w:val="00682863"/>
    <w:rsid w:val="00682DD7"/>
    <w:rsid w:val="00683ABB"/>
    <w:rsid w:val="00685A66"/>
    <w:rsid w:val="00690073"/>
    <w:rsid w:val="00692B3C"/>
    <w:rsid w:val="006A1540"/>
    <w:rsid w:val="006A2488"/>
    <w:rsid w:val="006A2AD4"/>
    <w:rsid w:val="006A3A55"/>
    <w:rsid w:val="006A4181"/>
    <w:rsid w:val="006B14DE"/>
    <w:rsid w:val="006B1574"/>
    <w:rsid w:val="006B524D"/>
    <w:rsid w:val="006B57DF"/>
    <w:rsid w:val="006B6A1D"/>
    <w:rsid w:val="006B7DCC"/>
    <w:rsid w:val="006B7F5F"/>
    <w:rsid w:val="006C59EF"/>
    <w:rsid w:val="006C6B0F"/>
    <w:rsid w:val="006D0204"/>
    <w:rsid w:val="006D200A"/>
    <w:rsid w:val="006D238B"/>
    <w:rsid w:val="006D28F2"/>
    <w:rsid w:val="006D40A7"/>
    <w:rsid w:val="006D4FD6"/>
    <w:rsid w:val="006D5627"/>
    <w:rsid w:val="006D6071"/>
    <w:rsid w:val="006D7267"/>
    <w:rsid w:val="006E03A0"/>
    <w:rsid w:val="006E170E"/>
    <w:rsid w:val="006E241A"/>
    <w:rsid w:val="006E25EA"/>
    <w:rsid w:val="006E5974"/>
    <w:rsid w:val="006E7156"/>
    <w:rsid w:val="006E7C22"/>
    <w:rsid w:val="006F0ABF"/>
    <w:rsid w:val="006F17F3"/>
    <w:rsid w:val="006F412E"/>
    <w:rsid w:val="006F41E6"/>
    <w:rsid w:val="006F454E"/>
    <w:rsid w:val="006F4895"/>
    <w:rsid w:val="006F69E7"/>
    <w:rsid w:val="006F791C"/>
    <w:rsid w:val="006F7DE3"/>
    <w:rsid w:val="00702984"/>
    <w:rsid w:val="007069B6"/>
    <w:rsid w:val="00707A46"/>
    <w:rsid w:val="00711C3C"/>
    <w:rsid w:val="00712F8C"/>
    <w:rsid w:val="00722A3A"/>
    <w:rsid w:val="00724A4E"/>
    <w:rsid w:val="0072634D"/>
    <w:rsid w:val="007276C3"/>
    <w:rsid w:val="00727C41"/>
    <w:rsid w:val="00731CC5"/>
    <w:rsid w:val="0073384F"/>
    <w:rsid w:val="00743480"/>
    <w:rsid w:val="00745FFF"/>
    <w:rsid w:val="00747D3B"/>
    <w:rsid w:val="00750925"/>
    <w:rsid w:val="007516D6"/>
    <w:rsid w:val="0075173C"/>
    <w:rsid w:val="00753322"/>
    <w:rsid w:val="00753718"/>
    <w:rsid w:val="00753B7C"/>
    <w:rsid w:val="00755168"/>
    <w:rsid w:val="00756A9E"/>
    <w:rsid w:val="007626C5"/>
    <w:rsid w:val="00764C7B"/>
    <w:rsid w:val="00767A1D"/>
    <w:rsid w:val="00771A13"/>
    <w:rsid w:val="00772304"/>
    <w:rsid w:val="007729B7"/>
    <w:rsid w:val="00772AFE"/>
    <w:rsid w:val="00773684"/>
    <w:rsid w:val="00774158"/>
    <w:rsid w:val="0078216E"/>
    <w:rsid w:val="007879F3"/>
    <w:rsid w:val="0079685E"/>
    <w:rsid w:val="0079786C"/>
    <w:rsid w:val="00797BB4"/>
    <w:rsid w:val="007A1830"/>
    <w:rsid w:val="007A18ED"/>
    <w:rsid w:val="007A1CE0"/>
    <w:rsid w:val="007A28BE"/>
    <w:rsid w:val="007A3E4E"/>
    <w:rsid w:val="007A4BE2"/>
    <w:rsid w:val="007A4E67"/>
    <w:rsid w:val="007A503F"/>
    <w:rsid w:val="007B155D"/>
    <w:rsid w:val="007B476B"/>
    <w:rsid w:val="007B5AB2"/>
    <w:rsid w:val="007C1051"/>
    <w:rsid w:val="007C30A8"/>
    <w:rsid w:val="007C4D49"/>
    <w:rsid w:val="007C53F4"/>
    <w:rsid w:val="007C5FA2"/>
    <w:rsid w:val="007C74C9"/>
    <w:rsid w:val="007D03A9"/>
    <w:rsid w:val="007D218D"/>
    <w:rsid w:val="007D27DE"/>
    <w:rsid w:val="007D3554"/>
    <w:rsid w:val="007D37DD"/>
    <w:rsid w:val="007D491B"/>
    <w:rsid w:val="007D7AEC"/>
    <w:rsid w:val="007E0468"/>
    <w:rsid w:val="007E1EFA"/>
    <w:rsid w:val="007E2311"/>
    <w:rsid w:val="007E4D15"/>
    <w:rsid w:val="007E5407"/>
    <w:rsid w:val="007F06FE"/>
    <w:rsid w:val="007F2021"/>
    <w:rsid w:val="007F4C7B"/>
    <w:rsid w:val="007F6016"/>
    <w:rsid w:val="007F7257"/>
    <w:rsid w:val="008050AA"/>
    <w:rsid w:val="0081462B"/>
    <w:rsid w:val="00817508"/>
    <w:rsid w:val="0081754B"/>
    <w:rsid w:val="008176DA"/>
    <w:rsid w:val="00817DA3"/>
    <w:rsid w:val="00825A1C"/>
    <w:rsid w:val="0082617A"/>
    <w:rsid w:val="00827889"/>
    <w:rsid w:val="00827A3F"/>
    <w:rsid w:val="00831472"/>
    <w:rsid w:val="00832A78"/>
    <w:rsid w:val="008356E3"/>
    <w:rsid w:val="00836364"/>
    <w:rsid w:val="008411F0"/>
    <w:rsid w:val="00841FCF"/>
    <w:rsid w:val="00844999"/>
    <w:rsid w:val="008569A8"/>
    <w:rsid w:val="00860315"/>
    <w:rsid w:val="00860FE9"/>
    <w:rsid w:val="008613D3"/>
    <w:rsid w:val="0086442D"/>
    <w:rsid w:val="00864FAC"/>
    <w:rsid w:val="0086561B"/>
    <w:rsid w:val="00865C74"/>
    <w:rsid w:val="008673B5"/>
    <w:rsid w:val="008674E6"/>
    <w:rsid w:val="00876738"/>
    <w:rsid w:val="00880FBA"/>
    <w:rsid w:val="00882AEE"/>
    <w:rsid w:val="0088335A"/>
    <w:rsid w:val="00887702"/>
    <w:rsid w:val="00890C5E"/>
    <w:rsid w:val="008920A9"/>
    <w:rsid w:val="00894575"/>
    <w:rsid w:val="008A137C"/>
    <w:rsid w:val="008A398E"/>
    <w:rsid w:val="008A46D2"/>
    <w:rsid w:val="008B366A"/>
    <w:rsid w:val="008B4C5C"/>
    <w:rsid w:val="008C0114"/>
    <w:rsid w:val="008C2169"/>
    <w:rsid w:val="008C23F7"/>
    <w:rsid w:val="008C322E"/>
    <w:rsid w:val="008C34AF"/>
    <w:rsid w:val="008C5DD4"/>
    <w:rsid w:val="008C6EDF"/>
    <w:rsid w:val="008D0E1D"/>
    <w:rsid w:val="008D1326"/>
    <w:rsid w:val="008D1A3A"/>
    <w:rsid w:val="008D21E5"/>
    <w:rsid w:val="008D331D"/>
    <w:rsid w:val="008D3BF0"/>
    <w:rsid w:val="008D6487"/>
    <w:rsid w:val="008E7C4C"/>
    <w:rsid w:val="008F087C"/>
    <w:rsid w:val="008F0957"/>
    <w:rsid w:val="008F1730"/>
    <w:rsid w:val="008F1881"/>
    <w:rsid w:val="008F1DD3"/>
    <w:rsid w:val="008F385F"/>
    <w:rsid w:val="008F4702"/>
    <w:rsid w:val="008F5E03"/>
    <w:rsid w:val="00910D52"/>
    <w:rsid w:val="00911DE7"/>
    <w:rsid w:val="00914153"/>
    <w:rsid w:val="00915603"/>
    <w:rsid w:val="00915DEC"/>
    <w:rsid w:val="009167DD"/>
    <w:rsid w:val="00916CA0"/>
    <w:rsid w:val="009208A3"/>
    <w:rsid w:val="0092343D"/>
    <w:rsid w:val="00923A2F"/>
    <w:rsid w:val="00925306"/>
    <w:rsid w:val="0093054A"/>
    <w:rsid w:val="00931480"/>
    <w:rsid w:val="00936274"/>
    <w:rsid w:val="00940AAF"/>
    <w:rsid w:val="009424B7"/>
    <w:rsid w:val="00952364"/>
    <w:rsid w:val="009529F6"/>
    <w:rsid w:val="00955BC2"/>
    <w:rsid w:val="00960433"/>
    <w:rsid w:val="009630EB"/>
    <w:rsid w:val="00967965"/>
    <w:rsid w:val="0097145B"/>
    <w:rsid w:val="00972E60"/>
    <w:rsid w:val="00974D43"/>
    <w:rsid w:val="0098011F"/>
    <w:rsid w:val="00980224"/>
    <w:rsid w:val="00982286"/>
    <w:rsid w:val="00983CBB"/>
    <w:rsid w:val="00984E5D"/>
    <w:rsid w:val="00986D91"/>
    <w:rsid w:val="0099284F"/>
    <w:rsid w:val="009936FF"/>
    <w:rsid w:val="00994318"/>
    <w:rsid w:val="0099442F"/>
    <w:rsid w:val="00994B27"/>
    <w:rsid w:val="009A0137"/>
    <w:rsid w:val="009A0E29"/>
    <w:rsid w:val="009A22A1"/>
    <w:rsid w:val="009A29FB"/>
    <w:rsid w:val="009A2C19"/>
    <w:rsid w:val="009A6BB5"/>
    <w:rsid w:val="009B0820"/>
    <w:rsid w:val="009B120B"/>
    <w:rsid w:val="009B1515"/>
    <w:rsid w:val="009B225D"/>
    <w:rsid w:val="009B5972"/>
    <w:rsid w:val="009B60A6"/>
    <w:rsid w:val="009B60B5"/>
    <w:rsid w:val="009B7F1A"/>
    <w:rsid w:val="009C33EE"/>
    <w:rsid w:val="009C407A"/>
    <w:rsid w:val="009C7902"/>
    <w:rsid w:val="009C7EBA"/>
    <w:rsid w:val="009D3018"/>
    <w:rsid w:val="009D5732"/>
    <w:rsid w:val="009D57DB"/>
    <w:rsid w:val="009D5ACA"/>
    <w:rsid w:val="009D6E4F"/>
    <w:rsid w:val="009E60D5"/>
    <w:rsid w:val="009E72F8"/>
    <w:rsid w:val="009F2971"/>
    <w:rsid w:val="009F2E78"/>
    <w:rsid w:val="009F6CDC"/>
    <w:rsid w:val="00A03526"/>
    <w:rsid w:val="00A03B77"/>
    <w:rsid w:val="00A06B18"/>
    <w:rsid w:val="00A07DDE"/>
    <w:rsid w:val="00A17788"/>
    <w:rsid w:val="00A21D4B"/>
    <w:rsid w:val="00A22FFD"/>
    <w:rsid w:val="00A32160"/>
    <w:rsid w:val="00A33797"/>
    <w:rsid w:val="00A358A5"/>
    <w:rsid w:val="00A35C9A"/>
    <w:rsid w:val="00A40DB6"/>
    <w:rsid w:val="00A43312"/>
    <w:rsid w:val="00A4470B"/>
    <w:rsid w:val="00A44E2D"/>
    <w:rsid w:val="00A504F0"/>
    <w:rsid w:val="00A602F9"/>
    <w:rsid w:val="00A60442"/>
    <w:rsid w:val="00A610C4"/>
    <w:rsid w:val="00A61A49"/>
    <w:rsid w:val="00A61DA2"/>
    <w:rsid w:val="00A6462C"/>
    <w:rsid w:val="00A64F99"/>
    <w:rsid w:val="00A712B1"/>
    <w:rsid w:val="00A715A8"/>
    <w:rsid w:val="00A71F60"/>
    <w:rsid w:val="00A72C10"/>
    <w:rsid w:val="00A75AEA"/>
    <w:rsid w:val="00A773EE"/>
    <w:rsid w:val="00A81C4D"/>
    <w:rsid w:val="00A83F19"/>
    <w:rsid w:val="00A85539"/>
    <w:rsid w:val="00A8643B"/>
    <w:rsid w:val="00A9043E"/>
    <w:rsid w:val="00A93A3E"/>
    <w:rsid w:val="00A93C69"/>
    <w:rsid w:val="00A93CEB"/>
    <w:rsid w:val="00A940D4"/>
    <w:rsid w:val="00A94DFC"/>
    <w:rsid w:val="00A95831"/>
    <w:rsid w:val="00A95A8E"/>
    <w:rsid w:val="00AA059E"/>
    <w:rsid w:val="00AA0B3D"/>
    <w:rsid w:val="00AA12FB"/>
    <w:rsid w:val="00AA2560"/>
    <w:rsid w:val="00AA3AFA"/>
    <w:rsid w:val="00AA4E00"/>
    <w:rsid w:val="00AA59AD"/>
    <w:rsid w:val="00AA5AB8"/>
    <w:rsid w:val="00AB4A54"/>
    <w:rsid w:val="00AC0B50"/>
    <w:rsid w:val="00AC7610"/>
    <w:rsid w:val="00AD0BD8"/>
    <w:rsid w:val="00AD2608"/>
    <w:rsid w:val="00AD562D"/>
    <w:rsid w:val="00AD660F"/>
    <w:rsid w:val="00AD7237"/>
    <w:rsid w:val="00AD7286"/>
    <w:rsid w:val="00AD758A"/>
    <w:rsid w:val="00AE0CA8"/>
    <w:rsid w:val="00AE130F"/>
    <w:rsid w:val="00AE36CB"/>
    <w:rsid w:val="00AE4DE8"/>
    <w:rsid w:val="00AE4F71"/>
    <w:rsid w:val="00AE61D9"/>
    <w:rsid w:val="00AF101C"/>
    <w:rsid w:val="00AF189C"/>
    <w:rsid w:val="00AF29B7"/>
    <w:rsid w:val="00AF6C01"/>
    <w:rsid w:val="00AF6C8E"/>
    <w:rsid w:val="00B0300A"/>
    <w:rsid w:val="00B03A90"/>
    <w:rsid w:val="00B06F77"/>
    <w:rsid w:val="00B073D4"/>
    <w:rsid w:val="00B10FF7"/>
    <w:rsid w:val="00B127EA"/>
    <w:rsid w:val="00B140FD"/>
    <w:rsid w:val="00B14384"/>
    <w:rsid w:val="00B14D97"/>
    <w:rsid w:val="00B20B56"/>
    <w:rsid w:val="00B24CD6"/>
    <w:rsid w:val="00B254EF"/>
    <w:rsid w:val="00B260FE"/>
    <w:rsid w:val="00B312D4"/>
    <w:rsid w:val="00B3224E"/>
    <w:rsid w:val="00B322F1"/>
    <w:rsid w:val="00B323A4"/>
    <w:rsid w:val="00B32E3D"/>
    <w:rsid w:val="00B340BE"/>
    <w:rsid w:val="00B34C15"/>
    <w:rsid w:val="00B364D1"/>
    <w:rsid w:val="00B36A91"/>
    <w:rsid w:val="00B37653"/>
    <w:rsid w:val="00B37A11"/>
    <w:rsid w:val="00B410D2"/>
    <w:rsid w:val="00B42674"/>
    <w:rsid w:val="00B460F3"/>
    <w:rsid w:val="00B510F8"/>
    <w:rsid w:val="00B539EF"/>
    <w:rsid w:val="00B54534"/>
    <w:rsid w:val="00B558EB"/>
    <w:rsid w:val="00B5684E"/>
    <w:rsid w:val="00B57B02"/>
    <w:rsid w:val="00B60D5A"/>
    <w:rsid w:val="00B60FA2"/>
    <w:rsid w:val="00B61D5A"/>
    <w:rsid w:val="00B65FAC"/>
    <w:rsid w:val="00B71691"/>
    <w:rsid w:val="00B8284F"/>
    <w:rsid w:val="00B83718"/>
    <w:rsid w:val="00B87D0B"/>
    <w:rsid w:val="00B918E4"/>
    <w:rsid w:val="00B9629B"/>
    <w:rsid w:val="00BA1E51"/>
    <w:rsid w:val="00BA1FDE"/>
    <w:rsid w:val="00BA27B6"/>
    <w:rsid w:val="00BA2FCA"/>
    <w:rsid w:val="00BA3197"/>
    <w:rsid w:val="00BA3805"/>
    <w:rsid w:val="00BA3D30"/>
    <w:rsid w:val="00BA416F"/>
    <w:rsid w:val="00BB0158"/>
    <w:rsid w:val="00BB3556"/>
    <w:rsid w:val="00BB46BD"/>
    <w:rsid w:val="00BC2837"/>
    <w:rsid w:val="00BC3CF6"/>
    <w:rsid w:val="00BC3F10"/>
    <w:rsid w:val="00BC6763"/>
    <w:rsid w:val="00BC6F83"/>
    <w:rsid w:val="00BD05A9"/>
    <w:rsid w:val="00BD4EC9"/>
    <w:rsid w:val="00BD5B42"/>
    <w:rsid w:val="00BD5F3C"/>
    <w:rsid w:val="00BD6CBC"/>
    <w:rsid w:val="00BD7C58"/>
    <w:rsid w:val="00BE15BA"/>
    <w:rsid w:val="00BE283F"/>
    <w:rsid w:val="00BE41B0"/>
    <w:rsid w:val="00BE548D"/>
    <w:rsid w:val="00BE61A7"/>
    <w:rsid w:val="00BE6A3C"/>
    <w:rsid w:val="00BF3B8C"/>
    <w:rsid w:val="00BF3EDE"/>
    <w:rsid w:val="00BF4CEF"/>
    <w:rsid w:val="00C01044"/>
    <w:rsid w:val="00C01229"/>
    <w:rsid w:val="00C0179C"/>
    <w:rsid w:val="00C022AE"/>
    <w:rsid w:val="00C03475"/>
    <w:rsid w:val="00C036BD"/>
    <w:rsid w:val="00C11C29"/>
    <w:rsid w:val="00C222AB"/>
    <w:rsid w:val="00C25076"/>
    <w:rsid w:val="00C27CC6"/>
    <w:rsid w:val="00C27E2F"/>
    <w:rsid w:val="00C30633"/>
    <w:rsid w:val="00C320FA"/>
    <w:rsid w:val="00C3346F"/>
    <w:rsid w:val="00C336DE"/>
    <w:rsid w:val="00C36005"/>
    <w:rsid w:val="00C4016C"/>
    <w:rsid w:val="00C414F5"/>
    <w:rsid w:val="00C42605"/>
    <w:rsid w:val="00C43CB8"/>
    <w:rsid w:val="00C44562"/>
    <w:rsid w:val="00C4662D"/>
    <w:rsid w:val="00C509B0"/>
    <w:rsid w:val="00C52191"/>
    <w:rsid w:val="00C529B3"/>
    <w:rsid w:val="00C536D6"/>
    <w:rsid w:val="00C54924"/>
    <w:rsid w:val="00C54A63"/>
    <w:rsid w:val="00C55C3C"/>
    <w:rsid w:val="00C55D48"/>
    <w:rsid w:val="00C56390"/>
    <w:rsid w:val="00C612A0"/>
    <w:rsid w:val="00C63746"/>
    <w:rsid w:val="00C64B9C"/>
    <w:rsid w:val="00C6529F"/>
    <w:rsid w:val="00C6739C"/>
    <w:rsid w:val="00C675D1"/>
    <w:rsid w:val="00C701A9"/>
    <w:rsid w:val="00C71881"/>
    <w:rsid w:val="00C72391"/>
    <w:rsid w:val="00C74D23"/>
    <w:rsid w:val="00C75899"/>
    <w:rsid w:val="00C81AC9"/>
    <w:rsid w:val="00C823A7"/>
    <w:rsid w:val="00C84430"/>
    <w:rsid w:val="00C844DB"/>
    <w:rsid w:val="00C875E9"/>
    <w:rsid w:val="00C90437"/>
    <w:rsid w:val="00C90753"/>
    <w:rsid w:val="00C9522A"/>
    <w:rsid w:val="00C95C08"/>
    <w:rsid w:val="00CA070D"/>
    <w:rsid w:val="00CA37CD"/>
    <w:rsid w:val="00CA6380"/>
    <w:rsid w:val="00CA69DE"/>
    <w:rsid w:val="00CA6DB4"/>
    <w:rsid w:val="00CB0BB9"/>
    <w:rsid w:val="00CB1A94"/>
    <w:rsid w:val="00CB492A"/>
    <w:rsid w:val="00CB560D"/>
    <w:rsid w:val="00CC008D"/>
    <w:rsid w:val="00CC19FC"/>
    <w:rsid w:val="00CC1E57"/>
    <w:rsid w:val="00CD0CCF"/>
    <w:rsid w:val="00CD128B"/>
    <w:rsid w:val="00CD1C8E"/>
    <w:rsid w:val="00CD5BF5"/>
    <w:rsid w:val="00CD68CE"/>
    <w:rsid w:val="00CE25CC"/>
    <w:rsid w:val="00CE384F"/>
    <w:rsid w:val="00CF0E8F"/>
    <w:rsid w:val="00CF3DA4"/>
    <w:rsid w:val="00CF4247"/>
    <w:rsid w:val="00CF55CA"/>
    <w:rsid w:val="00CF7FEB"/>
    <w:rsid w:val="00D064DD"/>
    <w:rsid w:val="00D06A52"/>
    <w:rsid w:val="00D10134"/>
    <w:rsid w:val="00D10F24"/>
    <w:rsid w:val="00D13ACA"/>
    <w:rsid w:val="00D15009"/>
    <w:rsid w:val="00D200F1"/>
    <w:rsid w:val="00D21BAF"/>
    <w:rsid w:val="00D22881"/>
    <w:rsid w:val="00D31586"/>
    <w:rsid w:val="00D3357B"/>
    <w:rsid w:val="00D360CA"/>
    <w:rsid w:val="00D3762B"/>
    <w:rsid w:val="00D450D8"/>
    <w:rsid w:val="00D45875"/>
    <w:rsid w:val="00D46850"/>
    <w:rsid w:val="00D46BA6"/>
    <w:rsid w:val="00D520ED"/>
    <w:rsid w:val="00D55210"/>
    <w:rsid w:val="00D57A21"/>
    <w:rsid w:val="00D62DAB"/>
    <w:rsid w:val="00D631BA"/>
    <w:rsid w:val="00D63478"/>
    <w:rsid w:val="00D65A90"/>
    <w:rsid w:val="00D661F2"/>
    <w:rsid w:val="00D70499"/>
    <w:rsid w:val="00D7367E"/>
    <w:rsid w:val="00D74EBE"/>
    <w:rsid w:val="00D778CB"/>
    <w:rsid w:val="00D858DA"/>
    <w:rsid w:val="00D863B6"/>
    <w:rsid w:val="00D8681A"/>
    <w:rsid w:val="00D9162F"/>
    <w:rsid w:val="00D919D2"/>
    <w:rsid w:val="00D91BCB"/>
    <w:rsid w:val="00D92FD6"/>
    <w:rsid w:val="00D93160"/>
    <w:rsid w:val="00D93AA8"/>
    <w:rsid w:val="00D93C23"/>
    <w:rsid w:val="00D96874"/>
    <w:rsid w:val="00DA0005"/>
    <w:rsid w:val="00DA0D71"/>
    <w:rsid w:val="00DA0E9C"/>
    <w:rsid w:val="00DA1DC7"/>
    <w:rsid w:val="00DA3101"/>
    <w:rsid w:val="00DA31E7"/>
    <w:rsid w:val="00DA7FBB"/>
    <w:rsid w:val="00DB235D"/>
    <w:rsid w:val="00DC1CA5"/>
    <w:rsid w:val="00DD111B"/>
    <w:rsid w:val="00DD6853"/>
    <w:rsid w:val="00DD6F7E"/>
    <w:rsid w:val="00DE39D3"/>
    <w:rsid w:val="00DE3E0A"/>
    <w:rsid w:val="00DF553E"/>
    <w:rsid w:val="00DF7B4D"/>
    <w:rsid w:val="00E017DF"/>
    <w:rsid w:val="00E055DF"/>
    <w:rsid w:val="00E056AE"/>
    <w:rsid w:val="00E05B17"/>
    <w:rsid w:val="00E06C96"/>
    <w:rsid w:val="00E07C67"/>
    <w:rsid w:val="00E13058"/>
    <w:rsid w:val="00E15142"/>
    <w:rsid w:val="00E16A2C"/>
    <w:rsid w:val="00E2217B"/>
    <w:rsid w:val="00E24418"/>
    <w:rsid w:val="00E246A7"/>
    <w:rsid w:val="00E25A83"/>
    <w:rsid w:val="00E3108B"/>
    <w:rsid w:val="00E312CB"/>
    <w:rsid w:val="00E317A7"/>
    <w:rsid w:val="00E323FC"/>
    <w:rsid w:val="00E35791"/>
    <w:rsid w:val="00E37175"/>
    <w:rsid w:val="00E37B99"/>
    <w:rsid w:val="00E407A6"/>
    <w:rsid w:val="00E41018"/>
    <w:rsid w:val="00E53697"/>
    <w:rsid w:val="00E53909"/>
    <w:rsid w:val="00E55890"/>
    <w:rsid w:val="00E645AF"/>
    <w:rsid w:val="00E70B6A"/>
    <w:rsid w:val="00E71CD1"/>
    <w:rsid w:val="00E71EF9"/>
    <w:rsid w:val="00E72196"/>
    <w:rsid w:val="00E74033"/>
    <w:rsid w:val="00E74D89"/>
    <w:rsid w:val="00E808E6"/>
    <w:rsid w:val="00E82DED"/>
    <w:rsid w:val="00E84F8A"/>
    <w:rsid w:val="00E8511B"/>
    <w:rsid w:val="00E86144"/>
    <w:rsid w:val="00E919F1"/>
    <w:rsid w:val="00E95AC2"/>
    <w:rsid w:val="00EA1980"/>
    <w:rsid w:val="00EA3AC7"/>
    <w:rsid w:val="00EA4CF8"/>
    <w:rsid w:val="00EA5BC9"/>
    <w:rsid w:val="00EB15FF"/>
    <w:rsid w:val="00EB328A"/>
    <w:rsid w:val="00EB4581"/>
    <w:rsid w:val="00EB4768"/>
    <w:rsid w:val="00EB6191"/>
    <w:rsid w:val="00EB7AD0"/>
    <w:rsid w:val="00EC2F45"/>
    <w:rsid w:val="00EC41CF"/>
    <w:rsid w:val="00ED2B13"/>
    <w:rsid w:val="00ED3A34"/>
    <w:rsid w:val="00ED3F74"/>
    <w:rsid w:val="00EE0EDB"/>
    <w:rsid w:val="00EE2EA9"/>
    <w:rsid w:val="00EE6D7E"/>
    <w:rsid w:val="00EE7C47"/>
    <w:rsid w:val="00EF092C"/>
    <w:rsid w:val="00EF21E6"/>
    <w:rsid w:val="00EF2ECF"/>
    <w:rsid w:val="00EF459B"/>
    <w:rsid w:val="00EF72EE"/>
    <w:rsid w:val="00F00F72"/>
    <w:rsid w:val="00F06AAD"/>
    <w:rsid w:val="00F10462"/>
    <w:rsid w:val="00F116DB"/>
    <w:rsid w:val="00F16411"/>
    <w:rsid w:val="00F203E6"/>
    <w:rsid w:val="00F23C19"/>
    <w:rsid w:val="00F264F4"/>
    <w:rsid w:val="00F30D3D"/>
    <w:rsid w:val="00F32B24"/>
    <w:rsid w:val="00F40A7C"/>
    <w:rsid w:val="00F415F4"/>
    <w:rsid w:val="00F42E5C"/>
    <w:rsid w:val="00F43B15"/>
    <w:rsid w:val="00F47445"/>
    <w:rsid w:val="00F51F2D"/>
    <w:rsid w:val="00F5460A"/>
    <w:rsid w:val="00F55E10"/>
    <w:rsid w:val="00F60209"/>
    <w:rsid w:val="00F60E69"/>
    <w:rsid w:val="00F60F03"/>
    <w:rsid w:val="00F617C5"/>
    <w:rsid w:val="00F64715"/>
    <w:rsid w:val="00F665A6"/>
    <w:rsid w:val="00F66831"/>
    <w:rsid w:val="00F66D8F"/>
    <w:rsid w:val="00F72032"/>
    <w:rsid w:val="00F720A5"/>
    <w:rsid w:val="00F72417"/>
    <w:rsid w:val="00F73408"/>
    <w:rsid w:val="00F7425C"/>
    <w:rsid w:val="00F75660"/>
    <w:rsid w:val="00F86535"/>
    <w:rsid w:val="00F87AD6"/>
    <w:rsid w:val="00F92072"/>
    <w:rsid w:val="00F92187"/>
    <w:rsid w:val="00F925A8"/>
    <w:rsid w:val="00F92BEA"/>
    <w:rsid w:val="00FA2ACF"/>
    <w:rsid w:val="00FA4A0F"/>
    <w:rsid w:val="00FA7309"/>
    <w:rsid w:val="00FB0705"/>
    <w:rsid w:val="00FB1F34"/>
    <w:rsid w:val="00FB243D"/>
    <w:rsid w:val="00FB594C"/>
    <w:rsid w:val="00FB6F5A"/>
    <w:rsid w:val="00FB7024"/>
    <w:rsid w:val="00FC37F0"/>
    <w:rsid w:val="00FC5212"/>
    <w:rsid w:val="00FC5C7E"/>
    <w:rsid w:val="00FC5F44"/>
    <w:rsid w:val="00FC63DD"/>
    <w:rsid w:val="00FC7EDD"/>
    <w:rsid w:val="00FC7FAB"/>
    <w:rsid w:val="00FD23AF"/>
    <w:rsid w:val="00FD3FC4"/>
    <w:rsid w:val="00FD6BD1"/>
    <w:rsid w:val="00FD7453"/>
    <w:rsid w:val="00FE0A6C"/>
    <w:rsid w:val="00FE1A5F"/>
    <w:rsid w:val="00FE69E1"/>
    <w:rsid w:val="00FF37A3"/>
    <w:rsid w:val="00FF46FB"/>
    <w:rsid w:val="05DBFD4D"/>
    <w:rsid w:val="090C5D34"/>
    <w:rsid w:val="094CAC64"/>
    <w:rsid w:val="1BB2FC39"/>
    <w:rsid w:val="24507FFF"/>
    <w:rsid w:val="5968F6CE"/>
    <w:rsid w:val="70B85353"/>
    <w:rsid w:val="7A628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90BF"/>
  <w15:docId w15:val="{B88D76E7-BB4B-4493-AD89-6D53D33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unhideWhenUsed/>
    <w:rsid w:val="0075173C"/>
    <w:rPr>
      <w:sz w:val="20"/>
      <w:szCs w:val="20"/>
    </w:rPr>
  </w:style>
  <w:style w:type="character" w:customStyle="1" w:styleId="CommentTextChar">
    <w:name w:val="Comment Text Char"/>
    <w:basedOn w:val="DefaultParagraphFont"/>
    <w:link w:val="CommentText"/>
    <w:uiPriority w:val="99"/>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 w:type="table" w:customStyle="1" w:styleId="TableGrid1">
    <w:name w:val="Table Grid1"/>
    <w:basedOn w:val="TableNormal"/>
    <w:next w:val="TableGrid"/>
    <w:uiPriority w:val="39"/>
    <w:rsid w:val="00C034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C0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0A7"/>
    <w:rPr>
      <w:color w:val="800080" w:themeColor="followedHyperlink"/>
      <w:u w:val="single"/>
    </w:rPr>
  </w:style>
  <w:style w:type="character" w:styleId="UnresolvedMention">
    <w:name w:val="Unresolved Mention"/>
    <w:basedOn w:val="DefaultParagraphFont"/>
    <w:uiPriority w:val="99"/>
    <w:semiHidden/>
    <w:unhideWhenUsed/>
    <w:rsid w:val="00B322F1"/>
    <w:rPr>
      <w:color w:val="605E5C"/>
      <w:shd w:val="clear" w:color="auto" w:fill="E1DFDD"/>
    </w:rPr>
  </w:style>
  <w:style w:type="paragraph" w:styleId="Revision">
    <w:name w:val="Revision"/>
    <w:hidden/>
    <w:uiPriority w:val="99"/>
    <w:semiHidden/>
    <w:rsid w:val="00273F67"/>
    <w:pPr>
      <w:widowControl/>
      <w:autoSpaceDE/>
      <w:autoSpaceDN/>
    </w:pPr>
    <w:rPr>
      <w:rFonts w:ascii="Calibri" w:eastAsia="Calibri" w:hAnsi="Calibri" w:cs="Calibri"/>
      <w:lang w:bidi="en-US"/>
    </w:rPr>
  </w:style>
  <w:style w:type="character" w:customStyle="1" w:styleId="cf01">
    <w:name w:val="cf01"/>
    <w:basedOn w:val="DefaultParagraphFont"/>
    <w:rsid w:val="00916CA0"/>
    <w:rPr>
      <w:rFonts w:ascii="Segoe UI" w:hAnsi="Segoe UI" w:cs="Segoe UI" w:hint="default"/>
      <w:sz w:val="18"/>
      <w:szCs w:val="18"/>
    </w:rPr>
  </w:style>
  <w:style w:type="paragraph" w:customStyle="1" w:styleId="pf0">
    <w:name w:val="pf0"/>
    <w:basedOn w:val="Normal"/>
    <w:rsid w:val="00E919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92B3C"/>
  </w:style>
  <w:style w:type="character" w:customStyle="1" w:styleId="eop">
    <w:name w:val="eop"/>
    <w:basedOn w:val="DefaultParagraphFont"/>
    <w:uiPriority w:val="1"/>
    <w:rsid w:val="00707A46"/>
  </w:style>
  <w:style w:type="character" w:customStyle="1" w:styleId="ListParagraphChar">
    <w:name w:val="List Paragraph Char"/>
    <w:basedOn w:val="DefaultParagraphFont"/>
    <w:link w:val="ListParagraph"/>
    <w:uiPriority w:val="34"/>
    <w:locked/>
    <w:rsid w:val="008050A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839">
      <w:bodyDiv w:val="1"/>
      <w:marLeft w:val="0"/>
      <w:marRight w:val="0"/>
      <w:marTop w:val="0"/>
      <w:marBottom w:val="0"/>
      <w:divBdr>
        <w:top w:val="none" w:sz="0" w:space="0" w:color="auto"/>
        <w:left w:val="none" w:sz="0" w:space="0" w:color="auto"/>
        <w:bottom w:val="none" w:sz="0" w:space="0" w:color="auto"/>
        <w:right w:val="none" w:sz="0" w:space="0" w:color="auto"/>
      </w:divBdr>
    </w:div>
    <w:div w:id="193008172">
      <w:bodyDiv w:val="1"/>
      <w:marLeft w:val="0"/>
      <w:marRight w:val="0"/>
      <w:marTop w:val="0"/>
      <w:marBottom w:val="0"/>
      <w:divBdr>
        <w:top w:val="none" w:sz="0" w:space="0" w:color="auto"/>
        <w:left w:val="none" w:sz="0" w:space="0" w:color="auto"/>
        <w:bottom w:val="none" w:sz="0" w:space="0" w:color="auto"/>
        <w:right w:val="none" w:sz="0" w:space="0" w:color="auto"/>
      </w:divBdr>
    </w:div>
    <w:div w:id="237983839">
      <w:bodyDiv w:val="1"/>
      <w:marLeft w:val="0"/>
      <w:marRight w:val="0"/>
      <w:marTop w:val="0"/>
      <w:marBottom w:val="0"/>
      <w:divBdr>
        <w:top w:val="none" w:sz="0" w:space="0" w:color="auto"/>
        <w:left w:val="none" w:sz="0" w:space="0" w:color="auto"/>
        <w:bottom w:val="none" w:sz="0" w:space="0" w:color="auto"/>
        <w:right w:val="none" w:sz="0" w:space="0" w:color="auto"/>
      </w:divBdr>
    </w:div>
    <w:div w:id="493227959">
      <w:bodyDiv w:val="1"/>
      <w:marLeft w:val="0"/>
      <w:marRight w:val="0"/>
      <w:marTop w:val="0"/>
      <w:marBottom w:val="0"/>
      <w:divBdr>
        <w:top w:val="none" w:sz="0" w:space="0" w:color="auto"/>
        <w:left w:val="none" w:sz="0" w:space="0" w:color="auto"/>
        <w:bottom w:val="none" w:sz="0" w:space="0" w:color="auto"/>
        <w:right w:val="none" w:sz="0" w:space="0" w:color="auto"/>
      </w:divBdr>
    </w:div>
    <w:div w:id="624432362">
      <w:bodyDiv w:val="1"/>
      <w:marLeft w:val="0"/>
      <w:marRight w:val="0"/>
      <w:marTop w:val="0"/>
      <w:marBottom w:val="0"/>
      <w:divBdr>
        <w:top w:val="none" w:sz="0" w:space="0" w:color="auto"/>
        <w:left w:val="none" w:sz="0" w:space="0" w:color="auto"/>
        <w:bottom w:val="none" w:sz="0" w:space="0" w:color="auto"/>
        <w:right w:val="none" w:sz="0" w:space="0" w:color="auto"/>
      </w:divBdr>
    </w:div>
    <w:div w:id="651297556">
      <w:bodyDiv w:val="1"/>
      <w:marLeft w:val="0"/>
      <w:marRight w:val="0"/>
      <w:marTop w:val="0"/>
      <w:marBottom w:val="0"/>
      <w:divBdr>
        <w:top w:val="none" w:sz="0" w:space="0" w:color="auto"/>
        <w:left w:val="none" w:sz="0" w:space="0" w:color="auto"/>
        <w:bottom w:val="none" w:sz="0" w:space="0" w:color="auto"/>
        <w:right w:val="none" w:sz="0" w:space="0" w:color="auto"/>
      </w:divBdr>
    </w:div>
    <w:div w:id="733814219">
      <w:bodyDiv w:val="1"/>
      <w:marLeft w:val="0"/>
      <w:marRight w:val="0"/>
      <w:marTop w:val="0"/>
      <w:marBottom w:val="0"/>
      <w:divBdr>
        <w:top w:val="none" w:sz="0" w:space="0" w:color="auto"/>
        <w:left w:val="none" w:sz="0" w:space="0" w:color="auto"/>
        <w:bottom w:val="none" w:sz="0" w:space="0" w:color="auto"/>
        <w:right w:val="none" w:sz="0" w:space="0" w:color="auto"/>
      </w:divBdr>
    </w:div>
    <w:div w:id="778840131">
      <w:bodyDiv w:val="1"/>
      <w:marLeft w:val="0"/>
      <w:marRight w:val="0"/>
      <w:marTop w:val="0"/>
      <w:marBottom w:val="0"/>
      <w:divBdr>
        <w:top w:val="none" w:sz="0" w:space="0" w:color="auto"/>
        <w:left w:val="none" w:sz="0" w:space="0" w:color="auto"/>
        <w:bottom w:val="none" w:sz="0" w:space="0" w:color="auto"/>
        <w:right w:val="none" w:sz="0" w:space="0" w:color="auto"/>
      </w:divBdr>
    </w:div>
    <w:div w:id="815803569">
      <w:bodyDiv w:val="1"/>
      <w:marLeft w:val="0"/>
      <w:marRight w:val="0"/>
      <w:marTop w:val="0"/>
      <w:marBottom w:val="0"/>
      <w:divBdr>
        <w:top w:val="none" w:sz="0" w:space="0" w:color="auto"/>
        <w:left w:val="none" w:sz="0" w:space="0" w:color="auto"/>
        <w:bottom w:val="none" w:sz="0" w:space="0" w:color="auto"/>
        <w:right w:val="none" w:sz="0" w:space="0" w:color="auto"/>
      </w:divBdr>
    </w:div>
    <w:div w:id="931550479">
      <w:bodyDiv w:val="1"/>
      <w:marLeft w:val="0"/>
      <w:marRight w:val="0"/>
      <w:marTop w:val="0"/>
      <w:marBottom w:val="0"/>
      <w:divBdr>
        <w:top w:val="none" w:sz="0" w:space="0" w:color="auto"/>
        <w:left w:val="none" w:sz="0" w:space="0" w:color="auto"/>
        <w:bottom w:val="none" w:sz="0" w:space="0" w:color="auto"/>
        <w:right w:val="none" w:sz="0" w:space="0" w:color="auto"/>
      </w:divBdr>
    </w:div>
    <w:div w:id="987440889">
      <w:bodyDiv w:val="1"/>
      <w:marLeft w:val="0"/>
      <w:marRight w:val="0"/>
      <w:marTop w:val="0"/>
      <w:marBottom w:val="0"/>
      <w:divBdr>
        <w:top w:val="none" w:sz="0" w:space="0" w:color="auto"/>
        <w:left w:val="none" w:sz="0" w:space="0" w:color="auto"/>
        <w:bottom w:val="none" w:sz="0" w:space="0" w:color="auto"/>
        <w:right w:val="none" w:sz="0" w:space="0" w:color="auto"/>
      </w:divBdr>
    </w:div>
    <w:div w:id="1072898319">
      <w:bodyDiv w:val="1"/>
      <w:marLeft w:val="0"/>
      <w:marRight w:val="0"/>
      <w:marTop w:val="0"/>
      <w:marBottom w:val="0"/>
      <w:divBdr>
        <w:top w:val="none" w:sz="0" w:space="0" w:color="auto"/>
        <w:left w:val="none" w:sz="0" w:space="0" w:color="auto"/>
        <w:bottom w:val="none" w:sz="0" w:space="0" w:color="auto"/>
        <w:right w:val="none" w:sz="0" w:space="0" w:color="auto"/>
      </w:divBdr>
    </w:div>
    <w:div w:id="1125153590">
      <w:bodyDiv w:val="1"/>
      <w:marLeft w:val="0"/>
      <w:marRight w:val="0"/>
      <w:marTop w:val="0"/>
      <w:marBottom w:val="0"/>
      <w:divBdr>
        <w:top w:val="none" w:sz="0" w:space="0" w:color="auto"/>
        <w:left w:val="none" w:sz="0" w:space="0" w:color="auto"/>
        <w:bottom w:val="none" w:sz="0" w:space="0" w:color="auto"/>
        <w:right w:val="none" w:sz="0" w:space="0" w:color="auto"/>
      </w:divBdr>
    </w:div>
    <w:div w:id="1278482875">
      <w:bodyDiv w:val="1"/>
      <w:marLeft w:val="0"/>
      <w:marRight w:val="0"/>
      <w:marTop w:val="0"/>
      <w:marBottom w:val="0"/>
      <w:divBdr>
        <w:top w:val="none" w:sz="0" w:space="0" w:color="auto"/>
        <w:left w:val="none" w:sz="0" w:space="0" w:color="auto"/>
        <w:bottom w:val="none" w:sz="0" w:space="0" w:color="auto"/>
        <w:right w:val="none" w:sz="0" w:space="0" w:color="auto"/>
      </w:divBdr>
    </w:div>
    <w:div w:id="1307275401">
      <w:bodyDiv w:val="1"/>
      <w:marLeft w:val="0"/>
      <w:marRight w:val="0"/>
      <w:marTop w:val="0"/>
      <w:marBottom w:val="0"/>
      <w:divBdr>
        <w:top w:val="none" w:sz="0" w:space="0" w:color="auto"/>
        <w:left w:val="none" w:sz="0" w:space="0" w:color="auto"/>
        <w:bottom w:val="none" w:sz="0" w:space="0" w:color="auto"/>
        <w:right w:val="none" w:sz="0" w:space="0" w:color="auto"/>
      </w:divBdr>
    </w:div>
    <w:div w:id="1573345631">
      <w:bodyDiv w:val="1"/>
      <w:marLeft w:val="0"/>
      <w:marRight w:val="0"/>
      <w:marTop w:val="0"/>
      <w:marBottom w:val="0"/>
      <w:divBdr>
        <w:top w:val="none" w:sz="0" w:space="0" w:color="auto"/>
        <w:left w:val="none" w:sz="0" w:space="0" w:color="auto"/>
        <w:bottom w:val="none" w:sz="0" w:space="0" w:color="auto"/>
        <w:right w:val="none" w:sz="0" w:space="0" w:color="auto"/>
      </w:divBdr>
    </w:div>
    <w:div w:id="1588003023">
      <w:bodyDiv w:val="1"/>
      <w:marLeft w:val="0"/>
      <w:marRight w:val="0"/>
      <w:marTop w:val="0"/>
      <w:marBottom w:val="0"/>
      <w:divBdr>
        <w:top w:val="none" w:sz="0" w:space="0" w:color="auto"/>
        <w:left w:val="none" w:sz="0" w:space="0" w:color="auto"/>
        <w:bottom w:val="none" w:sz="0" w:space="0" w:color="auto"/>
        <w:right w:val="none" w:sz="0" w:space="0" w:color="auto"/>
      </w:divBdr>
    </w:div>
    <w:div w:id="1640265974">
      <w:bodyDiv w:val="1"/>
      <w:marLeft w:val="0"/>
      <w:marRight w:val="0"/>
      <w:marTop w:val="0"/>
      <w:marBottom w:val="0"/>
      <w:divBdr>
        <w:top w:val="none" w:sz="0" w:space="0" w:color="auto"/>
        <w:left w:val="none" w:sz="0" w:space="0" w:color="auto"/>
        <w:bottom w:val="none" w:sz="0" w:space="0" w:color="auto"/>
        <w:right w:val="none" w:sz="0" w:space="0" w:color="auto"/>
      </w:divBdr>
    </w:div>
    <w:div w:id="1814326136">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974434145">
      <w:bodyDiv w:val="1"/>
      <w:marLeft w:val="0"/>
      <w:marRight w:val="0"/>
      <w:marTop w:val="0"/>
      <w:marBottom w:val="0"/>
      <w:divBdr>
        <w:top w:val="none" w:sz="0" w:space="0" w:color="auto"/>
        <w:left w:val="none" w:sz="0" w:space="0" w:color="auto"/>
        <w:bottom w:val="none" w:sz="0" w:space="0" w:color="auto"/>
        <w:right w:val="none" w:sz="0" w:space="0" w:color="auto"/>
      </w:divBdr>
    </w:div>
    <w:div w:id="1981109621">
      <w:bodyDiv w:val="1"/>
      <w:marLeft w:val="0"/>
      <w:marRight w:val="0"/>
      <w:marTop w:val="0"/>
      <w:marBottom w:val="0"/>
      <w:divBdr>
        <w:top w:val="none" w:sz="0" w:space="0" w:color="auto"/>
        <w:left w:val="none" w:sz="0" w:space="0" w:color="auto"/>
        <w:bottom w:val="none" w:sz="0" w:space="0" w:color="auto"/>
        <w:right w:val="none" w:sz="0" w:space="0" w:color="auto"/>
      </w:divBdr>
    </w:div>
    <w:div w:id="2030913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grants@hri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NCHI@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aaos.org/aaosnow/2019/sep/managing/managing02/" TargetMode="External"/><Relationship Id="rId1" Type="http://schemas.openxmlformats.org/officeDocument/2006/relationships/hyperlink" Target="https://www.aaos.org/aaosnow/2019/sep/managing/managing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12" ma:contentTypeDescription="Create a new document." ma:contentTypeScope="" ma:versionID="531441a1cad88b88c9b666a1e40204dc">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9db079af382645e289e217b83ec7c37a"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D5968-97B0-495F-A0B8-3C125C1563D3}">
  <ds:schemaRefs>
    <ds:schemaRef ds:uri="http://schemas.microsoft.com/sharepoint/v3/contenttype/forms"/>
  </ds:schemaRefs>
</ds:datastoreItem>
</file>

<file path=customXml/itemProps2.xml><?xml version="1.0" encoding="utf-8"?>
<ds:datastoreItem xmlns:ds="http://schemas.openxmlformats.org/officeDocument/2006/customXml" ds:itemID="{E2CA5503-3966-4EC3-B458-E7EEA1AF4AB2}">
  <ds:schemaRefs>
    <ds:schemaRef ds:uri="http://schemas.openxmlformats.org/officeDocument/2006/bibliography"/>
  </ds:schemaRefs>
</ds:datastoreItem>
</file>

<file path=customXml/itemProps3.xml><?xml version="1.0" encoding="utf-8"?>
<ds:datastoreItem xmlns:ds="http://schemas.openxmlformats.org/officeDocument/2006/customXml" ds:itemID="{4990E152-7F4F-45D4-B9B3-2705DB5D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5C86C-CA57-41A3-9D36-4DC8B5D381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Villaruz, Darrell (DPH)</dc:creator>
  <cp:lastModifiedBy>Marks, Brett (DPH)</cp:lastModifiedBy>
  <cp:revision>7</cp:revision>
  <cp:lastPrinted>2022-08-11T17:25:00Z</cp:lastPrinted>
  <dcterms:created xsi:type="dcterms:W3CDTF">2024-02-15T13:40:00Z</dcterms:created>
  <dcterms:modified xsi:type="dcterms:W3CDTF">2024-02-15T18:46:00Z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2020-07-15T00:00:00Z</vt:filetime>
  </property>
  <property fmtid="{D5CDD505-2E9C-101B-9397-08002B2CF9AE}" pid="5" name="ContentTypeId">
    <vt:lpwstr>0x01010041FCC5F2C8880F45B59EA6BBBA4E1A66</vt:lpwstr>
  </property>
</Properties>
</file>