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C2B13" w14:textId="44AF9CB8" w:rsidR="00767A1D" w:rsidRPr="00DD6F7E" w:rsidRDefault="00910D52" w:rsidP="00DD6F7E">
      <w:pPr>
        <w:pStyle w:val="Heading1"/>
        <w:jc w:val="center"/>
        <w:rPr>
          <w:sz w:val="28"/>
          <w:szCs w:val="28"/>
        </w:rPr>
      </w:pPr>
      <w:r w:rsidRPr="00DD6F7E">
        <w:rPr>
          <w:sz w:val="28"/>
          <w:szCs w:val="28"/>
        </w:rPr>
        <w:t>Memorandum to the</w:t>
      </w:r>
      <w:r w:rsidR="00DD6F7E" w:rsidRPr="00DD6F7E">
        <w:rPr>
          <w:sz w:val="28"/>
          <w:szCs w:val="28"/>
        </w:rPr>
        <w:t xml:space="preserve"> Public Health Council</w:t>
      </w:r>
    </w:p>
    <w:p w14:paraId="6EBD4680" w14:textId="77777777" w:rsidR="00767A1D" w:rsidRDefault="00767A1D">
      <w:pPr>
        <w:pStyle w:val="BodyText"/>
        <w:spacing w:before="11"/>
        <w:rPr>
          <w:b/>
          <w:sz w:val="23"/>
        </w:rPr>
      </w:pPr>
    </w:p>
    <w:p w14:paraId="3605F564" w14:textId="789A0C53" w:rsidR="00B24CD6" w:rsidRDefault="00044DC4" w:rsidP="00882AEE">
      <w:pPr>
        <w:rPr>
          <w:bCs/>
          <w:sz w:val="24"/>
        </w:rPr>
      </w:pPr>
      <w:r>
        <w:rPr>
          <w:b/>
          <w:sz w:val="24"/>
        </w:rPr>
        <w:t>APPLICANT:</w:t>
      </w:r>
      <w:r w:rsidR="00CF0E8F">
        <w:rPr>
          <w:b/>
          <w:sz w:val="24"/>
        </w:rPr>
        <w:t xml:space="preserve">  </w:t>
      </w:r>
      <w:r w:rsidR="00CF0E8F">
        <w:rPr>
          <w:bCs/>
          <w:sz w:val="24"/>
        </w:rPr>
        <w:t>Mass General Brigham Incorporated</w:t>
      </w:r>
    </w:p>
    <w:p w14:paraId="48D7B93F" w14:textId="07C72AB3" w:rsidR="00CF0E8F" w:rsidRDefault="00CF0E8F" w:rsidP="00882AEE">
      <w:pPr>
        <w:rPr>
          <w:bCs/>
          <w:sz w:val="24"/>
        </w:rPr>
      </w:pPr>
      <w:r>
        <w:rPr>
          <w:bCs/>
          <w:sz w:val="24"/>
        </w:rPr>
        <w:tab/>
      </w:r>
      <w:r w:rsidR="00C529B3">
        <w:rPr>
          <w:bCs/>
          <w:sz w:val="24"/>
        </w:rPr>
        <w:t xml:space="preserve">          </w:t>
      </w:r>
      <w:r>
        <w:rPr>
          <w:bCs/>
          <w:sz w:val="24"/>
        </w:rPr>
        <w:t>800 Boylston St, Suite 1150</w:t>
      </w:r>
    </w:p>
    <w:p w14:paraId="45F7E027" w14:textId="20FB81E7" w:rsidR="00CF0E8F" w:rsidRDefault="00CF0E8F" w:rsidP="00882AEE">
      <w:pPr>
        <w:rPr>
          <w:bCs/>
          <w:sz w:val="24"/>
        </w:rPr>
      </w:pPr>
      <w:r>
        <w:rPr>
          <w:bCs/>
          <w:sz w:val="24"/>
        </w:rPr>
        <w:tab/>
      </w:r>
      <w:r w:rsidR="00C529B3">
        <w:rPr>
          <w:bCs/>
          <w:sz w:val="24"/>
        </w:rPr>
        <w:t xml:space="preserve">          </w:t>
      </w:r>
      <w:r>
        <w:rPr>
          <w:bCs/>
          <w:sz w:val="24"/>
        </w:rPr>
        <w:t>Boston, MA 02199</w:t>
      </w:r>
    </w:p>
    <w:p w14:paraId="1D3902C5" w14:textId="77777777" w:rsidR="00CF0E8F" w:rsidRDefault="00CF0E8F" w:rsidP="00882AEE">
      <w:pPr>
        <w:rPr>
          <w:bCs/>
          <w:sz w:val="24"/>
        </w:rPr>
      </w:pPr>
    </w:p>
    <w:p w14:paraId="5569EB0C" w14:textId="3930A8EB" w:rsidR="00CF0E8F" w:rsidRDefault="00C6739C" w:rsidP="00882AEE">
      <w:pPr>
        <w:rPr>
          <w:bCs/>
          <w:sz w:val="24"/>
        </w:rPr>
      </w:pPr>
      <w:r w:rsidRPr="00CF0E8F">
        <w:rPr>
          <w:b/>
          <w:sz w:val="24"/>
        </w:rPr>
        <w:t>SITE</w:t>
      </w:r>
      <w:r w:rsidR="00CF0E8F" w:rsidRPr="00CF0E8F">
        <w:rPr>
          <w:b/>
          <w:sz w:val="24"/>
        </w:rPr>
        <w:t xml:space="preserve">: </w:t>
      </w:r>
      <w:r w:rsidR="00CF0E8F">
        <w:rPr>
          <w:bCs/>
          <w:sz w:val="24"/>
        </w:rPr>
        <w:t xml:space="preserve"> North Shore Medical Center</w:t>
      </w:r>
    </w:p>
    <w:p w14:paraId="140F58C1" w14:textId="690B1694" w:rsidR="00CF0E8F" w:rsidRDefault="00712F8C" w:rsidP="00882AEE">
      <w:pPr>
        <w:ind w:left="440"/>
        <w:rPr>
          <w:bCs/>
          <w:sz w:val="24"/>
        </w:rPr>
      </w:pPr>
      <w:r>
        <w:rPr>
          <w:bCs/>
          <w:sz w:val="24"/>
        </w:rPr>
        <w:t xml:space="preserve">   </w:t>
      </w:r>
      <w:r w:rsidR="00CF0E8F" w:rsidRPr="00CF0E8F">
        <w:rPr>
          <w:bCs/>
          <w:sz w:val="24"/>
        </w:rPr>
        <w:t>Salem Hospital</w:t>
      </w:r>
    </w:p>
    <w:p w14:paraId="4F0552B3" w14:textId="7D75B814" w:rsidR="00CF0E8F" w:rsidRDefault="00CF0E8F" w:rsidP="00882AEE">
      <w:pPr>
        <w:ind w:left="580"/>
        <w:rPr>
          <w:bCs/>
          <w:sz w:val="24"/>
        </w:rPr>
      </w:pPr>
      <w:r w:rsidRPr="00CF0E8F">
        <w:rPr>
          <w:bCs/>
          <w:sz w:val="24"/>
        </w:rPr>
        <w:t>81 Highland Ave</w:t>
      </w:r>
    </w:p>
    <w:p w14:paraId="2823DE97" w14:textId="42C30EAE" w:rsidR="00CF0E8F" w:rsidRPr="00CF0E8F" w:rsidRDefault="00CF0E8F" w:rsidP="00882AEE">
      <w:pPr>
        <w:ind w:left="580"/>
        <w:rPr>
          <w:bCs/>
          <w:sz w:val="24"/>
        </w:rPr>
      </w:pPr>
      <w:r>
        <w:rPr>
          <w:bCs/>
          <w:sz w:val="24"/>
        </w:rPr>
        <w:t>Salem, MA 01970</w:t>
      </w:r>
    </w:p>
    <w:p w14:paraId="34B689E4" w14:textId="1305336E" w:rsidR="00677E5C" w:rsidRPr="00114BB7" w:rsidRDefault="001D1C01" w:rsidP="00882AEE">
      <w:pPr>
        <w:ind w:left="1440"/>
        <w:rPr>
          <w:sz w:val="24"/>
        </w:rPr>
      </w:pPr>
      <w:r>
        <w:rPr>
          <w:sz w:val="24"/>
        </w:rPr>
        <w:t xml:space="preserve"> </w:t>
      </w:r>
    </w:p>
    <w:p w14:paraId="43E7402F" w14:textId="41C15E86" w:rsidR="0058507E" w:rsidRDefault="00910D52" w:rsidP="00882AEE">
      <w:pPr>
        <w:rPr>
          <w:b/>
          <w:sz w:val="24"/>
        </w:rPr>
      </w:pPr>
      <w:r>
        <w:rPr>
          <w:b/>
          <w:sz w:val="24"/>
        </w:rPr>
        <w:t xml:space="preserve">PROJECT NUMBER: </w:t>
      </w:r>
      <w:r w:rsidR="00C529B3">
        <w:rPr>
          <w:b/>
          <w:sz w:val="24"/>
        </w:rPr>
        <w:t xml:space="preserve"> </w:t>
      </w:r>
      <w:r w:rsidR="0049059E" w:rsidRPr="0049059E">
        <w:rPr>
          <w:bCs/>
          <w:sz w:val="24"/>
        </w:rPr>
        <w:t>#6-</w:t>
      </w:r>
      <w:r w:rsidR="00B24CD6" w:rsidRPr="0049059E">
        <w:rPr>
          <w:bCs/>
          <w:sz w:val="24"/>
        </w:rPr>
        <w:t>3C4</w:t>
      </w:r>
      <w:r w:rsidR="0049059E">
        <w:rPr>
          <w:bCs/>
          <w:sz w:val="24"/>
        </w:rPr>
        <w:t>6</w:t>
      </w:r>
      <w:r w:rsidR="00B410D2" w:rsidRPr="00B410D2">
        <w:rPr>
          <w:bCs/>
          <w:sz w:val="24"/>
        </w:rPr>
        <w:t xml:space="preserve"> (Original)</w:t>
      </w:r>
    </w:p>
    <w:p w14:paraId="0AF44B85" w14:textId="6D67261B" w:rsidR="00114BB7" w:rsidRDefault="00C529B3" w:rsidP="00C529B3">
      <w:pPr>
        <w:rPr>
          <w:sz w:val="24"/>
        </w:rPr>
      </w:pPr>
      <w:r>
        <w:rPr>
          <w:sz w:val="24"/>
        </w:rPr>
        <w:t xml:space="preserve">                                     </w:t>
      </w:r>
      <w:r w:rsidR="00B24CD6" w:rsidRPr="00B24CD6">
        <w:rPr>
          <w:sz w:val="24"/>
        </w:rPr>
        <w:t xml:space="preserve">#MGB-22080909-AM </w:t>
      </w:r>
      <w:r w:rsidR="00B410D2">
        <w:rPr>
          <w:sz w:val="24"/>
        </w:rPr>
        <w:t>(Amendment)</w:t>
      </w:r>
    </w:p>
    <w:p w14:paraId="13941CD6" w14:textId="66A266AC" w:rsidR="00767A1D" w:rsidRDefault="00B558EB" w:rsidP="00882AEE">
      <w:pPr>
        <w:ind w:left="720"/>
        <w:rPr>
          <w:sz w:val="23"/>
        </w:rPr>
      </w:pPr>
      <w:r>
        <w:rPr>
          <w:sz w:val="23"/>
        </w:rPr>
        <w:t xml:space="preserve"> </w:t>
      </w:r>
    </w:p>
    <w:p w14:paraId="3F191A26" w14:textId="6373BF0F" w:rsidR="00767A1D" w:rsidRPr="00910D52" w:rsidRDefault="00C6739C" w:rsidP="00882AEE">
      <w:pPr>
        <w:spacing w:before="1"/>
        <w:rPr>
          <w:sz w:val="24"/>
        </w:rPr>
      </w:pPr>
      <w:r>
        <w:rPr>
          <w:b/>
          <w:sz w:val="24"/>
        </w:rPr>
        <w:t>FILING DATE</w:t>
      </w:r>
      <w:r w:rsidR="00910D52">
        <w:rPr>
          <w:b/>
          <w:sz w:val="24"/>
        </w:rPr>
        <w:t>:</w:t>
      </w:r>
      <w:r w:rsidR="004F1A1A">
        <w:rPr>
          <w:sz w:val="24"/>
        </w:rPr>
        <w:t xml:space="preserve"> </w:t>
      </w:r>
      <w:r w:rsidR="00B24CD6">
        <w:rPr>
          <w:sz w:val="24"/>
        </w:rPr>
        <w:t>August</w:t>
      </w:r>
      <w:r w:rsidR="002429C8">
        <w:rPr>
          <w:sz w:val="24"/>
        </w:rPr>
        <w:t xml:space="preserve"> </w:t>
      </w:r>
      <w:r w:rsidR="002429C8" w:rsidRPr="00C6739C">
        <w:rPr>
          <w:sz w:val="24"/>
        </w:rPr>
        <w:t>2</w:t>
      </w:r>
      <w:r w:rsidRPr="00C6739C">
        <w:rPr>
          <w:sz w:val="24"/>
        </w:rPr>
        <w:t>5</w:t>
      </w:r>
      <w:r w:rsidR="004F1A1A" w:rsidRPr="00C6739C">
        <w:rPr>
          <w:sz w:val="24"/>
        </w:rPr>
        <w:t>, 2022</w:t>
      </w:r>
      <w:r w:rsidR="004F1A1A">
        <w:rPr>
          <w:sz w:val="24"/>
        </w:rPr>
        <w:t xml:space="preserve"> </w:t>
      </w:r>
    </w:p>
    <w:p w14:paraId="389E70A5" w14:textId="7A0FF417" w:rsidR="000C02D1" w:rsidRDefault="000C02D1" w:rsidP="00882AEE">
      <w:pPr>
        <w:pStyle w:val="Heading1"/>
        <w:spacing w:before="1"/>
      </w:pPr>
    </w:p>
    <w:p w14:paraId="71729E04" w14:textId="1ACCFF23" w:rsidR="00767A1D" w:rsidRDefault="00910D52" w:rsidP="00882AEE">
      <w:pPr>
        <w:pStyle w:val="Heading1"/>
        <w:ind w:left="0"/>
      </w:pPr>
      <w:r>
        <w:t>Introduction</w:t>
      </w:r>
    </w:p>
    <w:p w14:paraId="4564AB4B" w14:textId="77777777" w:rsidR="00C6739C" w:rsidRDefault="00C6739C" w:rsidP="00882AEE">
      <w:pPr>
        <w:pStyle w:val="Heading1"/>
        <w:rPr>
          <w:b w:val="0"/>
          <w:sz w:val="19"/>
        </w:rPr>
      </w:pPr>
    </w:p>
    <w:p w14:paraId="119801C0" w14:textId="1DAA9049" w:rsidR="001B5FDF" w:rsidRDefault="00910D52" w:rsidP="00882AEE">
      <w:pPr>
        <w:ind w:right="-10"/>
        <w:rPr>
          <w:sz w:val="24"/>
        </w:rPr>
      </w:pPr>
      <w:r>
        <w:rPr>
          <w:sz w:val="24"/>
        </w:rPr>
        <w:t xml:space="preserve">This memorandum presents, for </w:t>
      </w:r>
      <w:r w:rsidR="00446C8D">
        <w:rPr>
          <w:sz w:val="24"/>
        </w:rPr>
        <w:t>Public Health Council (PHC) action</w:t>
      </w:r>
      <w:r>
        <w:rPr>
          <w:sz w:val="24"/>
        </w:rPr>
        <w:t xml:space="preserve">, the Determination of Need (DoN) Program’s recommendation </w:t>
      </w:r>
      <w:r w:rsidR="007D3554">
        <w:rPr>
          <w:sz w:val="24"/>
        </w:rPr>
        <w:t xml:space="preserve">pertaining to </w:t>
      </w:r>
      <w:r>
        <w:rPr>
          <w:sz w:val="24"/>
        </w:rPr>
        <w:t>a request b</w:t>
      </w:r>
      <w:r w:rsidR="00B24CD6">
        <w:rPr>
          <w:sz w:val="24"/>
        </w:rPr>
        <w:t>y Mass General Brigham</w:t>
      </w:r>
      <w:r>
        <w:rPr>
          <w:sz w:val="24"/>
        </w:rPr>
        <w:t xml:space="preserve">, for </w:t>
      </w:r>
      <w:bookmarkStart w:id="0" w:name="_Hlk113451028"/>
      <w:r>
        <w:rPr>
          <w:sz w:val="24"/>
        </w:rPr>
        <w:t xml:space="preserve">a Significant Change </w:t>
      </w:r>
      <w:r w:rsidR="006E241A">
        <w:rPr>
          <w:sz w:val="24"/>
        </w:rPr>
        <w:t>to</w:t>
      </w:r>
      <w:r w:rsidR="00B24CD6">
        <w:rPr>
          <w:sz w:val="24"/>
        </w:rPr>
        <w:t xml:space="preserve"> </w:t>
      </w:r>
      <w:r w:rsidR="007F06FE">
        <w:rPr>
          <w:sz w:val="24"/>
        </w:rPr>
        <w:t xml:space="preserve">North Shore Medical Center’s </w:t>
      </w:r>
      <w:r w:rsidR="00B24CD6">
        <w:rPr>
          <w:sz w:val="24"/>
        </w:rPr>
        <w:t xml:space="preserve">Salem Hospital </w:t>
      </w:r>
      <w:r w:rsidR="007C4D49">
        <w:rPr>
          <w:sz w:val="24"/>
        </w:rPr>
        <w:t>(</w:t>
      </w:r>
      <w:r>
        <w:rPr>
          <w:sz w:val="24"/>
        </w:rPr>
        <w:t>DoN</w:t>
      </w:r>
      <w:r w:rsidR="007C4D49">
        <w:rPr>
          <w:sz w:val="24"/>
        </w:rPr>
        <w:t xml:space="preserve"> </w:t>
      </w:r>
      <w:r w:rsidR="0049059E" w:rsidRPr="0049059E">
        <w:rPr>
          <w:sz w:val="24"/>
        </w:rPr>
        <w:t>#</w:t>
      </w:r>
      <w:r w:rsidR="007C4D49">
        <w:rPr>
          <w:sz w:val="24"/>
        </w:rPr>
        <w:t xml:space="preserve"> </w:t>
      </w:r>
      <w:r w:rsidR="0049059E" w:rsidRPr="0049059E">
        <w:rPr>
          <w:sz w:val="24"/>
        </w:rPr>
        <w:t>6-3C46</w:t>
      </w:r>
      <w:r w:rsidR="007C4D49">
        <w:rPr>
          <w:sz w:val="24"/>
        </w:rPr>
        <w:t xml:space="preserve">) </w:t>
      </w:r>
      <w:r w:rsidR="00B24CD6">
        <w:rPr>
          <w:sz w:val="24"/>
        </w:rPr>
        <w:t>to build</w:t>
      </w:r>
      <w:r w:rsidR="007C4D49">
        <w:rPr>
          <w:sz w:val="24"/>
        </w:rPr>
        <w:t xml:space="preserve"> out</w:t>
      </w:r>
      <w:r w:rsidR="00B24CD6">
        <w:rPr>
          <w:sz w:val="24"/>
        </w:rPr>
        <w:t xml:space="preserve"> </w:t>
      </w:r>
      <w:r w:rsidR="000E0CBF" w:rsidRPr="000E0CBF">
        <w:rPr>
          <w:sz w:val="24"/>
        </w:rPr>
        <w:t>19,665</w:t>
      </w:r>
      <w:r w:rsidR="000E0CBF">
        <w:rPr>
          <w:sz w:val="24"/>
        </w:rPr>
        <w:t xml:space="preserve"> gross square feet (GSF) of </w:t>
      </w:r>
      <w:r w:rsidR="007C4D49">
        <w:rPr>
          <w:sz w:val="24"/>
        </w:rPr>
        <w:t xml:space="preserve">approved </w:t>
      </w:r>
      <w:r w:rsidR="00B24CD6">
        <w:rPr>
          <w:sz w:val="24"/>
        </w:rPr>
        <w:t>shell space</w:t>
      </w:r>
      <w:r w:rsidR="007C4D49">
        <w:rPr>
          <w:sz w:val="24"/>
        </w:rPr>
        <w:t>.</w:t>
      </w:r>
      <w:r w:rsidR="0009598C">
        <w:rPr>
          <w:sz w:val="24"/>
        </w:rPr>
        <w:t xml:space="preserve"> </w:t>
      </w:r>
      <w:r w:rsidR="0009598C" w:rsidRPr="0009598C">
        <w:rPr>
          <w:sz w:val="24"/>
        </w:rPr>
        <w:t>As described further herein</w:t>
      </w:r>
      <w:bookmarkStart w:id="1" w:name="_Hlk113452671"/>
      <w:r w:rsidR="0009598C" w:rsidRPr="0009598C">
        <w:rPr>
          <w:sz w:val="24"/>
        </w:rPr>
        <w:t xml:space="preserve">, the Applicant seeks approval for </w:t>
      </w:r>
      <w:r w:rsidR="007C4D49">
        <w:rPr>
          <w:sz w:val="24"/>
        </w:rPr>
        <w:t xml:space="preserve">a </w:t>
      </w:r>
      <w:r w:rsidR="00CF0E8F">
        <w:rPr>
          <w:sz w:val="24"/>
        </w:rPr>
        <w:t>13-bed</w:t>
      </w:r>
      <w:r w:rsidR="007C4D49">
        <w:rPr>
          <w:sz w:val="24"/>
        </w:rPr>
        <w:t xml:space="preserve"> </w:t>
      </w:r>
      <w:r w:rsidR="0009598C" w:rsidRPr="0009598C">
        <w:rPr>
          <w:sz w:val="24"/>
        </w:rPr>
        <w:t xml:space="preserve">increase in the number of licensed beds </w:t>
      </w:r>
      <w:r w:rsidR="002429C8">
        <w:rPr>
          <w:sz w:val="24"/>
        </w:rPr>
        <w:t>(</w:t>
      </w:r>
      <w:r w:rsidR="0009598C" w:rsidRPr="0009598C">
        <w:rPr>
          <w:sz w:val="24"/>
        </w:rPr>
        <w:t>from 199 to 212</w:t>
      </w:r>
      <w:r w:rsidR="002429C8">
        <w:rPr>
          <w:sz w:val="24"/>
        </w:rPr>
        <w:t>)</w:t>
      </w:r>
      <w:r w:rsidR="0009598C">
        <w:rPr>
          <w:sz w:val="24"/>
        </w:rPr>
        <w:t xml:space="preserve">. </w:t>
      </w:r>
      <w:bookmarkStart w:id="2" w:name="_Hlk113378448"/>
      <w:bookmarkEnd w:id="1"/>
      <w:r w:rsidR="0049059E">
        <w:rPr>
          <w:sz w:val="24"/>
        </w:rPr>
        <w:t xml:space="preserve">The increase </w:t>
      </w:r>
      <w:r w:rsidR="002429C8">
        <w:rPr>
          <w:sz w:val="24"/>
        </w:rPr>
        <w:t>i</w:t>
      </w:r>
      <w:r w:rsidR="0049059E">
        <w:rPr>
          <w:sz w:val="24"/>
        </w:rPr>
        <w:t>n t</w:t>
      </w:r>
      <w:r w:rsidR="007F06FE">
        <w:rPr>
          <w:sz w:val="24"/>
        </w:rPr>
        <w:t>h</w:t>
      </w:r>
      <w:r w:rsidR="001B5FDF">
        <w:rPr>
          <w:sz w:val="24"/>
        </w:rPr>
        <w:t>e</w:t>
      </w:r>
      <w:r w:rsidR="0049059E">
        <w:rPr>
          <w:sz w:val="24"/>
        </w:rPr>
        <w:t xml:space="preserve"> Maximu</w:t>
      </w:r>
      <w:r w:rsidR="00C875E9">
        <w:rPr>
          <w:sz w:val="24"/>
        </w:rPr>
        <w:t xml:space="preserve">m </w:t>
      </w:r>
      <w:r w:rsidR="0049059E">
        <w:rPr>
          <w:sz w:val="24"/>
        </w:rPr>
        <w:t>C</w:t>
      </w:r>
      <w:r w:rsidR="00C875E9">
        <w:rPr>
          <w:sz w:val="24"/>
        </w:rPr>
        <w:t xml:space="preserve">apital </w:t>
      </w:r>
      <w:r w:rsidR="0049059E">
        <w:rPr>
          <w:sz w:val="24"/>
        </w:rPr>
        <w:t>E</w:t>
      </w:r>
      <w:r w:rsidR="00C875E9">
        <w:rPr>
          <w:sz w:val="24"/>
        </w:rPr>
        <w:t xml:space="preserve">xpenditure </w:t>
      </w:r>
      <w:r w:rsidR="002429C8">
        <w:rPr>
          <w:sz w:val="24"/>
        </w:rPr>
        <w:t xml:space="preserve">(MCE) </w:t>
      </w:r>
      <w:r w:rsidR="000F113C">
        <w:rPr>
          <w:sz w:val="24"/>
        </w:rPr>
        <w:t>of</w:t>
      </w:r>
      <w:r w:rsidR="0049059E">
        <w:rPr>
          <w:sz w:val="24"/>
        </w:rPr>
        <w:t xml:space="preserve"> </w:t>
      </w:r>
      <w:r w:rsidR="0049059E" w:rsidRPr="0049059E">
        <w:rPr>
          <w:sz w:val="24"/>
        </w:rPr>
        <w:t>this project is $14</w:t>
      </w:r>
      <w:r w:rsidR="0049059E">
        <w:rPr>
          <w:sz w:val="24"/>
        </w:rPr>
        <w:t>,</w:t>
      </w:r>
      <w:r w:rsidR="0049059E" w:rsidRPr="0049059E">
        <w:rPr>
          <w:sz w:val="24"/>
        </w:rPr>
        <w:t>453,100.00</w:t>
      </w:r>
      <w:r>
        <w:rPr>
          <w:sz w:val="24"/>
        </w:rPr>
        <w:t xml:space="preserve">, </w:t>
      </w:r>
      <w:r w:rsidR="00E808E6" w:rsidRPr="00E808E6">
        <w:rPr>
          <w:sz w:val="24"/>
        </w:rPr>
        <w:t>for a new maximum capital expenditure (“MCE”) of $182,626,939</w:t>
      </w:r>
      <w:bookmarkEnd w:id="0"/>
      <w:r w:rsidR="00E808E6" w:rsidRPr="00E808E6">
        <w:rPr>
          <w:sz w:val="24"/>
        </w:rPr>
        <w:t>.</w:t>
      </w:r>
      <w:r w:rsidR="00E808E6">
        <w:rPr>
          <w:sz w:val="24"/>
        </w:rPr>
        <w:t xml:space="preserve"> </w:t>
      </w:r>
      <w:bookmarkStart w:id="3" w:name="_Hlk113452232"/>
      <w:r w:rsidR="00E808E6">
        <w:rPr>
          <w:sz w:val="24"/>
        </w:rPr>
        <w:t xml:space="preserve">The </w:t>
      </w:r>
      <w:r w:rsidR="00547ABF">
        <w:rPr>
          <w:sz w:val="24"/>
        </w:rPr>
        <w:t>increase</w:t>
      </w:r>
      <w:r w:rsidR="0049059E">
        <w:rPr>
          <w:sz w:val="24"/>
        </w:rPr>
        <w:t xml:space="preserve"> </w:t>
      </w:r>
      <w:r w:rsidR="001B5FDF">
        <w:rPr>
          <w:sz w:val="24"/>
        </w:rPr>
        <w:t>to</w:t>
      </w:r>
      <w:r w:rsidR="00CC19FC">
        <w:rPr>
          <w:sz w:val="24"/>
        </w:rPr>
        <w:t xml:space="preserve"> </w:t>
      </w:r>
      <w:r>
        <w:rPr>
          <w:sz w:val="24"/>
        </w:rPr>
        <w:t>the community health initiatives (CHI)</w:t>
      </w:r>
      <w:r w:rsidR="00C875E9">
        <w:rPr>
          <w:sz w:val="24"/>
        </w:rPr>
        <w:t xml:space="preserve"> contribution</w:t>
      </w:r>
      <w:r w:rsidR="007F06FE">
        <w:rPr>
          <w:sz w:val="24"/>
        </w:rPr>
        <w:t xml:space="preserve"> </w:t>
      </w:r>
      <w:r w:rsidR="00E808E6">
        <w:rPr>
          <w:sz w:val="24"/>
        </w:rPr>
        <w:t>is</w:t>
      </w:r>
      <w:r w:rsidR="007F06FE">
        <w:rPr>
          <w:sz w:val="24"/>
        </w:rPr>
        <w:t xml:space="preserve"> </w:t>
      </w:r>
      <w:bookmarkEnd w:id="3"/>
      <w:r w:rsidR="003A1247" w:rsidRPr="003A1247">
        <w:rPr>
          <w:sz w:val="24"/>
        </w:rPr>
        <w:t>$105,986.00</w:t>
      </w:r>
      <w:r w:rsidR="003A1247">
        <w:rPr>
          <w:sz w:val="24"/>
        </w:rPr>
        <w:t>.</w:t>
      </w:r>
    </w:p>
    <w:p w14:paraId="5DC8CCF0" w14:textId="7B6AFC3C" w:rsidR="00C72391" w:rsidRDefault="00C72391" w:rsidP="00882AEE">
      <w:pPr>
        <w:ind w:right="-10"/>
        <w:rPr>
          <w:sz w:val="24"/>
        </w:rPr>
      </w:pPr>
    </w:p>
    <w:bookmarkEnd w:id="2"/>
    <w:p w14:paraId="525B7CF6" w14:textId="749B7FB3" w:rsidR="00C72391" w:rsidRDefault="00C72391" w:rsidP="00882AEE">
      <w:pPr>
        <w:ind w:right="-10"/>
        <w:rPr>
          <w:sz w:val="24"/>
        </w:rPr>
      </w:pPr>
      <w:r w:rsidRPr="00C72391">
        <w:rPr>
          <w:sz w:val="24"/>
        </w:rPr>
        <w:t>This request falls within the definition for Significant Change that includes “…</w:t>
      </w:r>
      <w:r>
        <w:rPr>
          <w:sz w:val="24"/>
        </w:rPr>
        <w:t xml:space="preserve"> (5)</w:t>
      </w:r>
      <w:r w:rsidRPr="00C72391">
        <w:rPr>
          <w:sz w:val="24"/>
        </w:rPr>
        <w:t xml:space="preserve"> Any build out of</w:t>
      </w:r>
      <w:r w:rsidR="00797BB4">
        <w:rPr>
          <w:sz w:val="24"/>
        </w:rPr>
        <w:t xml:space="preserve"> </w:t>
      </w:r>
      <w:r w:rsidRPr="00C72391">
        <w:rPr>
          <w:sz w:val="24"/>
        </w:rPr>
        <w:t>shell space that was subject to a Notice of Determination of Need” and will be reviewed</w:t>
      </w:r>
      <w:r w:rsidR="00797BB4">
        <w:rPr>
          <w:sz w:val="24"/>
        </w:rPr>
        <w:t xml:space="preserve"> </w:t>
      </w:r>
      <w:r w:rsidRPr="00C72391">
        <w:rPr>
          <w:sz w:val="24"/>
        </w:rPr>
        <w:t>pursuant to 105 C.M.R. 100.635(A)(3), which requires that the proposed change falls within the</w:t>
      </w:r>
      <w:r w:rsidR="00797BB4">
        <w:rPr>
          <w:sz w:val="24"/>
        </w:rPr>
        <w:t xml:space="preserve"> </w:t>
      </w:r>
      <w:r w:rsidRPr="00C72391">
        <w:rPr>
          <w:sz w:val="24"/>
        </w:rPr>
        <w:t>scope of the Notice of Determination of Need and is reasonable.</w:t>
      </w:r>
    </w:p>
    <w:p w14:paraId="2AB4168B" w14:textId="77777777" w:rsidR="001B2585" w:rsidRDefault="001B2585" w:rsidP="00882AEE">
      <w:pPr>
        <w:ind w:left="140" w:right="-10"/>
        <w:rPr>
          <w:sz w:val="24"/>
        </w:rPr>
      </w:pPr>
    </w:p>
    <w:p w14:paraId="473C348A" w14:textId="34B15209" w:rsidR="0078216E" w:rsidRDefault="00A602F9" w:rsidP="00882AEE">
      <w:pPr>
        <w:ind w:right="-10"/>
        <w:rPr>
          <w:sz w:val="24"/>
        </w:rPr>
      </w:pPr>
      <w:r>
        <w:rPr>
          <w:sz w:val="24"/>
        </w:rPr>
        <w:t>The</w:t>
      </w:r>
      <w:r w:rsidR="00910D52" w:rsidRPr="003A1247">
        <w:rPr>
          <w:sz w:val="24"/>
        </w:rPr>
        <w:t xml:space="preserve"> Department has received no public comment on this request for Significant Change.</w:t>
      </w:r>
    </w:p>
    <w:p w14:paraId="44AABDBA" w14:textId="77777777" w:rsidR="00A602F9" w:rsidRDefault="00A602F9" w:rsidP="00882AEE">
      <w:pPr>
        <w:pStyle w:val="Heading1"/>
        <w:ind w:left="0"/>
      </w:pPr>
    </w:p>
    <w:p w14:paraId="6BB863A7" w14:textId="61E90D29" w:rsidR="00767A1D" w:rsidRDefault="00910D52" w:rsidP="00882AEE">
      <w:pPr>
        <w:pStyle w:val="Heading1"/>
        <w:ind w:left="0"/>
      </w:pPr>
      <w:r>
        <w:t>Background</w:t>
      </w:r>
    </w:p>
    <w:p w14:paraId="14D2B580" w14:textId="18A9D132" w:rsidR="00D3762B" w:rsidRDefault="00D3762B" w:rsidP="00882AEE">
      <w:pPr>
        <w:ind w:left="140" w:right="-10"/>
        <w:rPr>
          <w:b/>
          <w:sz w:val="24"/>
          <w:u w:val="single"/>
        </w:rPr>
      </w:pPr>
    </w:p>
    <w:p w14:paraId="7354DE86" w14:textId="6BB963FD" w:rsidR="004C28B4" w:rsidRDefault="009936FF" w:rsidP="00882AEE">
      <w:pPr>
        <w:ind w:right="-10"/>
        <w:rPr>
          <w:sz w:val="24"/>
        </w:rPr>
      </w:pPr>
      <w:r>
        <w:rPr>
          <w:sz w:val="24"/>
        </w:rPr>
        <w:t xml:space="preserve">On </w:t>
      </w:r>
      <w:r w:rsidR="00E808E6" w:rsidRPr="00E808E6">
        <w:rPr>
          <w:sz w:val="24"/>
        </w:rPr>
        <w:t xml:space="preserve">October 7, 2016 </w:t>
      </w:r>
      <w:r w:rsidR="00E808E6">
        <w:rPr>
          <w:sz w:val="24"/>
        </w:rPr>
        <w:t xml:space="preserve">the Holder </w:t>
      </w:r>
      <w:r w:rsidR="00E37B99">
        <w:rPr>
          <w:sz w:val="24"/>
        </w:rPr>
        <w:t xml:space="preserve">received </w:t>
      </w:r>
      <w:r w:rsidR="00E808E6">
        <w:rPr>
          <w:sz w:val="24"/>
        </w:rPr>
        <w:t xml:space="preserve">DoN </w:t>
      </w:r>
      <w:r w:rsidR="00E37B99" w:rsidRPr="00E37B99">
        <w:rPr>
          <w:sz w:val="24"/>
        </w:rPr>
        <w:t xml:space="preserve">approval </w:t>
      </w:r>
      <w:r w:rsidR="000753E4">
        <w:rPr>
          <w:sz w:val="24"/>
        </w:rPr>
        <w:t>for a Substantial Change in Service</w:t>
      </w:r>
      <w:r w:rsidR="004C28B4">
        <w:rPr>
          <w:sz w:val="24"/>
        </w:rPr>
        <w:t>.</w:t>
      </w:r>
    </w:p>
    <w:p w14:paraId="5863AC72" w14:textId="586227A5" w:rsidR="00E808E6" w:rsidRDefault="00712F8C" w:rsidP="00882AEE">
      <w:pPr>
        <w:ind w:right="-10"/>
        <w:rPr>
          <w:sz w:val="24"/>
        </w:rPr>
      </w:pPr>
      <w:r>
        <w:rPr>
          <w:sz w:val="24"/>
        </w:rPr>
        <w:t>T</w:t>
      </w:r>
      <w:r w:rsidR="004C28B4" w:rsidRPr="004C28B4">
        <w:rPr>
          <w:sz w:val="24"/>
        </w:rPr>
        <w:t>he original DoN (</w:t>
      </w:r>
      <w:r w:rsidR="004C28B4">
        <w:rPr>
          <w:sz w:val="24"/>
        </w:rPr>
        <w:t>#6-</w:t>
      </w:r>
      <w:r w:rsidR="004C28B4" w:rsidRPr="004C28B4">
        <w:rPr>
          <w:sz w:val="24"/>
        </w:rPr>
        <w:t xml:space="preserve">3C46) </w:t>
      </w:r>
      <w:r w:rsidR="00127874">
        <w:rPr>
          <w:sz w:val="24"/>
        </w:rPr>
        <w:t>included</w:t>
      </w:r>
      <w:r w:rsidR="00127874" w:rsidRPr="004C28B4">
        <w:rPr>
          <w:sz w:val="24"/>
        </w:rPr>
        <w:t xml:space="preserve"> </w:t>
      </w:r>
      <w:r w:rsidR="004C28B4" w:rsidRPr="004C28B4">
        <w:rPr>
          <w:sz w:val="24"/>
        </w:rPr>
        <w:t>1) n</w:t>
      </w:r>
      <w:r w:rsidR="004C28B4" w:rsidRPr="00AF4202">
        <w:rPr>
          <w:sz w:val="24"/>
        </w:rPr>
        <w:t>ew construction of a 3-story, 115,405 gross square foot (GSF)</w:t>
      </w:r>
      <w:r w:rsidR="004C28B4" w:rsidRPr="004C28B4">
        <w:rPr>
          <w:sz w:val="24"/>
        </w:rPr>
        <w:t xml:space="preserve"> </w:t>
      </w:r>
      <w:r w:rsidR="004C28B4" w:rsidRPr="00AF4202">
        <w:rPr>
          <w:sz w:val="24"/>
        </w:rPr>
        <w:t xml:space="preserve">building on the Salem Campus, </w:t>
      </w:r>
      <w:r w:rsidR="004C28B4" w:rsidRPr="004C28B4">
        <w:rPr>
          <w:sz w:val="24"/>
        </w:rPr>
        <w:t xml:space="preserve">for </w:t>
      </w:r>
      <w:r w:rsidR="004C28B4" w:rsidRPr="00AF4202">
        <w:rPr>
          <w:sz w:val="24"/>
        </w:rPr>
        <w:t>two</w:t>
      </w:r>
      <w:r w:rsidR="004C28B4" w:rsidRPr="004C28B4">
        <w:rPr>
          <w:sz w:val="24"/>
        </w:rPr>
        <w:t xml:space="preserve"> </w:t>
      </w:r>
      <w:r w:rsidR="004C28B4" w:rsidRPr="00AF4202">
        <w:rPr>
          <w:sz w:val="24"/>
        </w:rPr>
        <w:t>24-b</w:t>
      </w:r>
      <w:r w:rsidR="00E86144">
        <w:rPr>
          <w:sz w:val="24"/>
        </w:rPr>
        <w:t>e</w:t>
      </w:r>
      <w:r w:rsidR="004C28B4" w:rsidRPr="00AF4202">
        <w:rPr>
          <w:sz w:val="24"/>
        </w:rPr>
        <w:t>d units of relocated medical/surgical beds</w:t>
      </w:r>
      <w:r w:rsidR="004C28B4" w:rsidRPr="004C28B4">
        <w:rPr>
          <w:sz w:val="24"/>
        </w:rPr>
        <w:t xml:space="preserve"> and </w:t>
      </w:r>
      <w:r w:rsidR="004C28B4" w:rsidRPr="00AF4202">
        <w:rPr>
          <w:sz w:val="24"/>
        </w:rPr>
        <w:t>a new, relocated emergency department</w:t>
      </w:r>
      <w:r w:rsidR="004C28B4" w:rsidRPr="004C28B4">
        <w:rPr>
          <w:sz w:val="24"/>
        </w:rPr>
        <w:t>; 2) renovation of t</w:t>
      </w:r>
      <w:r w:rsidR="004C28B4" w:rsidRPr="00AF4202">
        <w:rPr>
          <w:sz w:val="24"/>
        </w:rPr>
        <w:t>he vacated emergency</w:t>
      </w:r>
      <w:r w:rsidR="004C28B4" w:rsidRPr="004C28B4">
        <w:rPr>
          <w:sz w:val="24"/>
        </w:rPr>
        <w:t xml:space="preserve"> </w:t>
      </w:r>
      <w:r w:rsidR="004C28B4" w:rsidRPr="00AF4202">
        <w:rPr>
          <w:sz w:val="24"/>
        </w:rPr>
        <w:t xml:space="preserve">department </w:t>
      </w:r>
      <w:r w:rsidR="004C28B4" w:rsidRPr="004C28B4">
        <w:rPr>
          <w:sz w:val="24"/>
        </w:rPr>
        <w:t xml:space="preserve">for </w:t>
      </w:r>
      <w:r w:rsidR="004C28B4" w:rsidRPr="00AF4202">
        <w:rPr>
          <w:sz w:val="24"/>
        </w:rPr>
        <w:t>a new main entrance</w:t>
      </w:r>
      <w:r w:rsidR="004C28B4">
        <w:rPr>
          <w:sz w:val="24"/>
        </w:rPr>
        <w:t xml:space="preserve"> with </w:t>
      </w:r>
      <w:r w:rsidR="004C28B4" w:rsidRPr="00AF4202">
        <w:rPr>
          <w:sz w:val="24"/>
        </w:rPr>
        <w:t>reception</w:t>
      </w:r>
      <w:r w:rsidR="004C28B4">
        <w:rPr>
          <w:sz w:val="24"/>
        </w:rPr>
        <w:t xml:space="preserve"> and </w:t>
      </w:r>
      <w:r w:rsidR="004C28B4" w:rsidRPr="00AF4202">
        <w:rPr>
          <w:sz w:val="24"/>
        </w:rPr>
        <w:t xml:space="preserve">lobby, </w:t>
      </w:r>
      <w:r w:rsidR="004C28B4">
        <w:rPr>
          <w:sz w:val="24"/>
        </w:rPr>
        <w:t xml:space="preserve">with </w:t>
      </w:r>
      <w:r w:rsidR="004C28B4" w:rsidRPr="00AF4202">
        <w:rPr>
          <w:sz w:val="24"/>
        </w:rPr>
        <w:t>additional capacity for relocated outpatient cardiac and pulmonary rehabilitation</w:t>
      </w:r>
      <w:r w:rsidR="004C28B4" w:rsidRPr="004C28B4">
        <w:rPr>
          <w:sz w:val="24"/>
        </w:rPr>
        <w:t xml:space="preserve">, and addition/expansion of wellness, </w:t>
      </w:r>
      <w:r w:rsidR="004C28B4" w:rsidRPr="004C28B4">
        <w:rPr>
          <w:sz w:val="24"/>
        </w:rPr>
        <w:lastRenderedPageBreak/>
        <w:t xml:space="preserve">ultrasound and infusion services; 3) and renovation of </w:t>
      </w:r>
      <w:r w:rsidR="004C28B4" w:rsidRPr="00AF4202">
        <w:rPr>
          <w:sz w:val="24"/>
        </w:rPr>
        <w:t xml:space="preserve">137,368 GSF of the former Spaulding Hospital - North Shore </w:t>
      </w:r>
      <w:r w:rsidR="004C28B4" w:rsidRPr="004C28B4">
        <w:rPr>
          <w:sz w:val="24"/>
        </w:rPr>
        <w:t>(</w:t>
      </w:r>
      <w:r w:rsidR="004C28B4" w:rsidRPr="00AF4202">
        <w:rPr>
          <w:sz w:val="24"/>
        </w:rPr>
        <w:t>adjacent to the Salem Campus</w:t>
      </w:r>
      <w:r w:rsidR="004C28B4" w:rsidRPr="004C28B4">
        <w:rPr>
          <w:sz w:val="24"/>
        </w:rPr>
        <w:t xml:space="preserve">) </w:t>
      </w:r>
      <w:r w:rsidR="004C28B4" w:rsidRPr="00AF4202">
        <w:rPr>
          <w:sz w:val="24"/>
        </w:rPr>
        <w:t>to accommodate</w:t>
      </w:r>
      <w:r w:rsidR="004C28B4" w:rsidRPr="004C28B4">
        <w:rPr>
          <w:sz w:val="24"/>
        </w:rPr>
        <w:t xml:space="preserve"> the relocation of </w:t>
      </w:r>
      <w:r w:rsidR="004C28B4" w:rsidRPr="00AF4202">
        <w:rPr>
          <w:sz w:val="24"/>
        </w:rPr>
        <w:t xml:space="preserve"> </w:t>
      </w:r>
      <w:r w:rsidR="004C28B4" w:rsidRPr="004C28B4">
        <w:rPr>
          <w:sz w:val="24"/>
        </w:rPr>
        <w:t xml:space="preserve">64  licensed  beds from the Salem and Lynn campuses and 56 new </w:t>
      </w:r>
      <w:r w:rsidR="004C28B4" w:rsidRPr="00AF4202">
        <w:rPr>
          <w:sz w:val="24"/>
        </w:rPr>
        <w:t xml:space="preserve">inpatient psychiatric </w:t>
      </w:r>
      <w:r w:rsidR="004C28B4" w:rsidRPr="004C28B4">
        <w:rPr>
          <w:sz w:val="24"/>
        </w:rPr>
        <w:t>beds</w:t>
      </w:r>
      <w:r w:rsidR="004C28B4">
        <w:rPr>
          <w:sz w:val="24"/>
        </w:rPr>
        <w:t xml:space="preserve"> </w:t>
      </w:r>
      <w:r w:rsidR="00E808E6" w:rsidRPr="00E808E6">
        <w:rPr>
          <w:sz w:val="24"/>
        </w:rPr>
        <w:t>for pediatric, adult, and geriatric patients.</w:t>
      </w:r>
      <w:r w:rsidR="004C28B4">
        <w:rPr>
          <w:sz w:val="24"/>
        </w:rPr>
        <w:t xml:space="preserve"> </w:t>
      </w:r>
      <w:r w:rsidR="00E808E6" w:rsidRPr="00E808E6">
        <w:rPr>
          <w:sz w:val="24"/>
        </w:rPr>
        <w:t xml:space="preserve">The </w:t>
      </w:r>
      <w:r w:rsidR="004A1055">
        <w:rPr>
          <w:sz w:val="24"/>
        </w:rPr>
        <w:t xml:space="preserve">total </w:t>
      </w:r>
      <w:r w:rsidR="00D200F1">
        <w:rPr>
          <w:sz w:val="24"/>
        </w:rPr>
        <w:t xml:space="preserve">approved </w:t>
      </w:r>
      <w:r w:rsidR="00E808E6" w:rsidRPr="00E808E6">
        <w:rPr>
          <w:sz w:val="24"/>
        </w:rPr>
        <w:t>MCE was $180,507,208 (2015 dollars).</w:t>
      </w:r>
    </w:p>
    <w:p w14:paraId="6CE0EBDF" w14:textId="0BC5ABA6" w:rsidR="00E808E6" w:rsidRDefault="00E808E6" w:rsidP="00882AEE">
      <w:pPr>
        <w:ind w:right="-10"/>
        <w:rPr>
          <w:sz w:val="24"/>
        </w:rPr>
      </w:pPr>
    </w:p>
    <w:p w14:paraId="3956A67E" w14:textId="1B067C5E" w:rsidR="00E808E6" w:rsidRDefault="009D6E4F" w:rsidP="00882AEE">
      <w:pPr>
        <w:ind w:right="-10"/>
        <w:rPr>
          <w:sz w:val="24"/>
        </w:rPr>
      </w:pPr>
      <w:r>
        <w:rPr>
          <w:sz w:val="24"/>
        </w:rPr>
        <w:t>O</w:t>
      </w:r>
      <w:r w:rsidR="00E808E6" w:rsidRPr="00E808E6">
        <w:rPr>
          <w:sz w:val="24"/>
        </w:rPr>
        <w:t>n August 9, 2017</w:t>
      </w:r>
      <w:r w:rsidRPr="009D6E4F">
        <w:t xml:space="preserve"> </w:t>
      </w:r>
      <w:r>
        <w:t>a</w:t>
      </w:r>
      <w:r w:rsidRPr="009D6E4F">
        <w:rPr>
          <w:sz w:val="24"/>
        </w:rPr>
        <w:t xml:space="preserve"> </w:t>
      </w:r>
      <w:r w:rsidR="003A1247">
        <w:rPr>
          <w:sz w:val="24"/>
        </w:rPr>
        <w:t>S</w:t>
      </w:r>
      <w:r w:rsidRPr="009D6E4F">
        <w:rPr>
          <w:sz w:val="24"/>
        </w:rPr>
        <w:t xml:space="preserve">ignificant </w:t>
      </w:r>
      <w:r w:rsidR="003A1247">
        <w:rPr>
          <w:sz w:val="24"/>
        </w:rPr>
        <w:t>A</w:t>
      </w:r>
      <w:r w:rsidRPr="009D6E4F">
        <w:rPr>
          <w:sz w:val="24"/>
        </w:rPr>
        <w:t>mendment was approved</w:t>
      </w:r>
      <w:r w:rsidR="00E808E6" w:rsidRPr="00E808E6">
        <w:rPr>
          <w:sz w:val="24"/>
        </w:rPr>
        <w:t xml:space="preserve"> to reduce the number of medical/surgical beds and psychiatric beds in the </w:t>
      </w:r>
      <w:r>
        <w:rPr>
          <w:sz w:val="24"/>
        </w:rPr>
        <w:t xml:space="preserve">originally approved DoN, </w:t>
      </w:r>
      <w:r w:rsidR="00E808E6" w:rsidRPr="00E808E6">
        <w:rPr>
          <w:sz w:val="24"/>
        </w:rPr>
        <w:t>and instead create shell space</w:t>
      </w:r>
      <w:r w:rsidR="00323A72">
        <w:rPr>
          <w:sz w:val="24"/>
        </w:rPr>
        <w:t xml:space="preserve"> associated with one of the </w:t>
      </w:r>
      <w:r w:rsidR="00127874">
        <w:rPr>
          <w:sz w:val="24"/>
        </w:rPr>
        <w:t>a</w:t>
      </w:r>
      <w:r w:rsidR="00323A72">
        <w:rPr>
          <w:sz w:val="24"/>
        </w:rPr>
        <w:t>pproved 24-bed units</w:t>
      </w:r>
      <w:r w:rsidR="00E808E6" w:rsidRPr="00E808E6">
        <w:rPr>
          <w:sz w:val="24"/>
        </w:rPr>
        <w:t xml:space="preserve">. The </w:t>
      </w:r>
      <w:r w:rsidR="003A1247">
        <w:rPr>
          <w:sz w:val="24"/>
        </w:rPr>
        <w:t>A</w:t>
      </w:r>
      <w:r w:rsidR="00E808E6" w:rsidRPr="00E808E6">
        <w:rPr>
          <w:sz w:val="24"/>
        </w:rPr>
        <w:t xml:space="preserve">mendment also eliminated the </w:t>
      </w:r>
      <w:r>
        <w:rPr>
          <w:sz w:val="24"/>
        </w:rPr>
        <w:t>DoN</w:t>
      </w:r>
      <w:r w:rsidR="00127874">
        <w:rPr>
          <w:sz w:val="24"/>
        </w:rPr>
        <w:t>-</w:t>
      </w:r>
      <w:r>
        <w:rPr>
          <w:sz w:val="24"/>
        </w:rPr>
        <w:t xml:space="preserve">approved </w:t>
      </w:r>
      <w:r w:rsidR="00E808E6" w:rsidRPr="00E808E6">
        <w:rPr>
          <w:sz w:val="24"/>
        </w:rPr>
        <w:t>new main entrance/reception/lobby</w:t>
      </w:r>
      <w:r w:rsidR="001D0E40">
        <w:rPr>
          <w:sz w:val="24"/>
        </w:rPr>
        <w:t xml:space="preserve"> (item #2 of the approval, above)</w:t>
      </w:r>
      <w:r w:rsidR="00E808E6" w:rsidRPr="003A1247">
        <w:rPr>
          <w:sz w:val="24"/>
        </w:rPr>
        <w:t>.</w:t>
      </w:r>
      <w:r w:rsidR="007A3E4E" w:rsidRPr="003A1247">
        <w:rPr>
          <w:sz w:val="24"/>
          <w:vertAlign w:val="superscript"/>
        </w:rPr>
        <w:footnoteReference w:id="1"/>
      </w:r>
      <w:r w:rsidR="00E808E6" w:rsidRPr="00E808E6">
        <w:rPr>
          <w:sz w:val="24"/>
        </w:rPr>
        <w:t xml:space="preserve"> The </w:t>
      </w:r>
      <w:r w:rsidR="004A1055">
        <w:rPr>
          <w:sz w:val="24"/>
        </w:rPr>
        <w:t xml:space="preserve">total </w:t>
      </w:r>
      <w:r w:rsidR="00960433">
        <w:rPr>
          <w:sz w:val="24"/>
        </w:rPr>
        <w:t xml:space="preserve">approved </w:t>
      </w:r>
      <w:r w:rsidR="00E808E6" w:rsidRPr="00E808E6">
        <w:rPr>
          <w:sz w:val="24"/>
        </w:rPr>
        <w:t xml:space="preserve">MCE was reduced to </w:t>
      </w:r>
      <w:bookmarkStart w:id="4" w:name="_Hlk113380847"/>
      <w:r w:rsidR="00E808E6" w:rsidRPr="00E808E6">
        <w:rPr>
          <w:sz w:val="24"/>
        </w:rPr>
        <w:t>$168,173,839 (2017 dollars).</w:t>
      </w:r>
      <w:bookmarkEnd w:id="4"/>
      <w:r w:rsidR="00E86144">
        <w:rPr>
          <w:sz w:val="24"/>
        </w:rPr>
        <w:t xml:space="preserve"> </w:t>
      </w:r>
    </w:p>
    <w:p w14:paraId="5CF2EB9C" w14:textId="6E45A8A5" w:rsidR="00E808E6" w:rsidRDefault="00E808E6" w:rsidP="00882AEE">
      <w:pPr>
        <w:ind w:right="-10"/>
        <w:rPr>
          <w:sz w:val="24"/>
        </w:rPr>
      </w:pPr>
    </w:p>
    <w:p w14:paraId="28DD5E83" w14:textId="0D9B04E5" w:rsidR="00E808E6" w:rsidRPr="00E808E6" w:rsidRDefault="00B20B56" w:rsidP="00882AEE">
      <w:pPr>
        <w:ind w:right="-10"/>
        <w:rPr>
          <w:sz w:val="24"/>
        </w:rPr>
      </w:pPr>
      <w:r>
        <w:rPr>
          <w:sz w:val="24"/>
        </w:rPr>
        <w:t>O</w:t>
      </w:r>
      <w:r w:rsidR="00E808E6" w:rsidRPr="00E808E6">
        <w:rPr>
          <w:sz w:val="24"/>
        </w:rPr>
        <w:t xml:space="preserve">n September 12, 2018, </w:t>
      </w:r>
      <w:r>
        <w:rPr>
          <w:sz w:val="24"/>
        </w:rPr>
        <w:t>a</w:t>
      </w:r>
      <w:r w:rsidRPr="00B20B56">
        <w:rPr>
          <w:sz w:val="24"/>
        </w:rPr>
        <w:t xml:space="preserve"> second </w:t>
      </w:r>
      <w:r w:rsidR="003B2CA9" w:rsidRPr="00B20B56">
        <w:rPr>
          <w:sz w:val="24"/>
        </w:rPr>
        <w:t xml:space="preserve">Significant Amendment </w:t>
      </w:r>
      <w:r w:rsidRPr="00B20B56">
        <w:rPr>
          <w:sz w:val="24"/>
        </w:rPr>
        <w:t xml:space="preserve">was approved </w:t>
      </w:r>
      <w:r w:rsidR="00E808E6" w:rsidRPr="00E808E6">
        <w:rPr>
          <w:sz w:val="24"/>
        </w:rPr>
        <w:t>to build</w:t>
      </w:r>
      <w:r w:rsidR="00211446">
        <w:rPr>
          <w:sz w:val="24"/>
        </w:rPr>
        <w:t>-</w:t>
      </w:r>
      <w:r w:rsidR="00211446" w:rsidRPr="00E808E6">
        <w:rPr>
          <w:sz w:val="24"/>
        </w:rPr>
        <w:t xml:space="preserve">out </w:t>
      </w:r>
      <w:r w:rsidR="000E0CBF" w:rsidRPr="000E0CBF">
        <w:rPr>
          <w:sz w:val="24"/>
        </w:rPr>
        <w:t xml:space="preserve">18,626 GSF </w:t>
      </w:r>
      <w:r w:rsidR="000E0CBF">
        <w:rPr>
          <w:sz w:val="24"/>
        </w:rPr>
        <w:t xml:space="preserve">of </w:t>
      </w:r>
      <w:r w:rsidR="00D200F1">
        <w:rPr>
          <w:sz w:val="24"/>
        </w:rPr>
        <w:t xml:space="preserve">the </w:t>
      </w:r>
      <w:r w:rsidR="005A327E">
        <w:rPr>
          <w:sz w:val="24"/>
        </w:rPr>
        <w:t xml:space="preserve">approved </w:t>
      </w:r>
      <w:r w:rsidR="009D6E4F" w:rsidRPr="009D6E4F">
        <w:rPr>
          <w:sz w:val="24"/>
        </w:rPr>
        <w:t>psychiatric shell</w:t>
      </w:r>
      <w:r w:rsidR="009D6E4F">
        <w:rPr>
          <w:sz w:val="24"/>
        </w:rPr>
        <w:t xml:space="preserve"> </w:t>
      </w:r>
      <w:r w:rsidR="00E808E6" w:rsidRPr="00E808E6">
        <w:rPr>
          <w:sz w:val="24"/>
        </w:rPr>
        <w:t>space</w:t>
      </w:r>
      <w:r w:rsidR="003B2CA9">
        <w:rPr>
          <w:rStyle w:val="FootnoteReference"/>
          <w:sz w:val="24"/>
        </w:rPr>
        <w:footnoteReference w:id="2"/>
      </w:r>
      <w:r w:rsidR="00E808E6" w:rsidRPr="00E808E6">
        <w:rPr>
          <w:sz w:val="24"/>
        </w:rPr>
        <w:t xml:space="preserve"> </w:t>
      </w:r>
      <w:r w:rsidR="009D6E4F">
        <w:rPr>
          <w:sz w:val="24"/>
        </w:rPr>
        <w:t xml:space="preserve">for the </w:t>
      </w:r>
      <w:r w:rsidR="00E808E6" w:rsidRPr="00E808E6">
        <w:rPr>
          <w:sz w:val="24"/>
        </w:rPr>
        <w:t>30 psychiatric beds</w:t>
      </w:r>
      <w:r w:rsidR="005A327E">
        <w:rPr>
          <w:sz w:val="24"/>
        </w:rPr>
        <w:t xml:space="preserve"> that had been </w:t>
      </w:r>
      <w:r w:rsidR="00323A72">
        <w:rPr>
          <w:sz w:val="24"/>
        </w:rPr>
        <w:t xml:space="preserve">downsized </w:t>
      </w:r>
      <w:r w:rsidR="005A327E">
        <w:rPr>
          <w:sz w:val="24"/>
        </w:rPr>
        <w:t>in the first Amendment</w:t>
      </w:r>
      <w:r w:rsidR="00E808E6" w:rsidRPr="00E808E6">
        <w:rPr>
          <w:sz w:val="24"/>
        </w:rPr>
        <w:t xml:space="preserve">. </w:t>
      </w:r>
      <w:r w:rsidR="005A327E">
        <w:rPr>
          <w:sz w:val="24"/>
        </w:rPr>
        <w:t>D</w:t>
      </w:r>
      <w:r w:rsidR="005A327E" w:rsidRPr="005A327E">
        <w:rPr>
          <w:sz w:val="24"/>
        </w:rPr>
        <w:t>ue to cost savings achieved during construction of the</w:t>
      </w:r>
      <w:r w:rsidR="005A327E">
        <w:rPr>
          <w:sz w:val="24"/>
        </w:rPr>
        <w:t xml:space="preserve"> approved project </w:t>
      </w:r>
      <w:r>
        <w:rPr>
          <w:sz w:val="24"/>
        </w:rPr>
        <w:t>(</w:t>
      </w:r>
      <w:r w:rsidR="005A327E">
        <w:rPr>
          <w:sz w:val="24"/>
        </w:rPr>
        <w:t xml:space="preserve">and </w:t>
      </w:r>
      <w:r>
        <w:rPr>
          <w:sz w:val="24"/>
        </w:rPr>
        <w:t xml:space="preserve">first </w:t>
      </w:r>
      <w:r w:rsidR="005A327E">
        <w:rPr>
          <w:sz w:val="24"/>
        </w:rPr>
        <w:t>A</w:t>
      </w:r>
      <w:r w:rsidR="00E808E6" w:rsidRPr="00E808E6">
        <w:rPr>
          <w:sz w:val="24"/>
        </w:rPr>
        <w:t>mendment</w:t>
      </w:r>
      <w:r>
        <w:rPr>
          <w:sz w:val="24"/>
        </w:rPr>
        <w:t>)</w:t>
      </w:r>
      <w:r w:rsidR="009D6E4F">
        <w:rPr>
          <w:sz w:val="24"/>
        </w:rPr>
        <w:t>,</w:t>
      </w:r>
      <w:r w:rsidR="00E808E6" w:rsidRPr="00E808E6">
        <w:rPr>
          <w:sz w:val="24"/>
        </w:rPr>
        <w:t xml:space="preserve"> </w:t>
      </w:r>
      <w:r w:rsidR="005A327E">
        <w:rPr>
          <w:sz w:val="24"/>
        </w:rPr>
        <w:t>th</w:t>
      </w:r>
      <w:r w:rsidR="00AA059E">
        <w:rPr>
          <w:sz w:val="24"/>
        </w:rPr>
        <w:t>e</w:t>
      </w:r>
      <w:r w:rsidR="005A327E">
        <w:rPr>
          <w:sz w:val="24"/>
        </w:rPr>
        <w:t xml:space="preserve"> second Amendment </w:t>
      </w:r>
      <w:r w:rsidR="00E808E6" w:rsidRPr="00E808E6">
        <w:rPr>
          <w:sz w:val="24"/>
        </w:rPr>
        <w:t>did not require a</w:t>
      </w:r>
      <w:r w:rsidR="005A327E">
        <w:rPr>
          <w:sz w:val="24"/>
        </w:rPr>
        <w:t xml:space="preserve">n increase </w:t>
      </w:r>
      <w:r w:rsidR="00323A72">
        <w:rPr>
          <w:sz w:val="24"/>
        </w:rPr>
        <w:t xml:space="preserve">in </w:t>
      </w:r>
      <w:r w:rsidR="005A327E">
        <w:rPr>
          <w:sz w:val="24"/>
        </w:rPr>
        <w:t>costs, therefor</w:t>
      </w:r>
      <w:r w:rsidR="00127874">
        <w:rPr>
          <w:sz w:val="24"/>
        </w:rPr>
        <w:t>e</w:t>
      </w:r>
      <w:r w:rsidR="005A327E">
        <w:rPr>
          <w:sz w:val="24"/>
        </w:rPr>
        <w:t xml:space="preserve"> the </w:t>
      </w:r>
      <w:r w:rsidR="00E808E6" w:rsidRPr="00E808E6">
        <w:rPr>
          <w:sz w:val="24"/>
        </w:rPr>
        <w:t>MCE</w:t>
      </w:r>
      <w:r w:rsidR="005A327E">
        <w:rPr>
          <w:sz w:val="24"/>
        </w:rPr>
        <w:t xml:space="preserve"> remained at </w:t>
      </w:r>
      <w:r w:rsidR="005A327E" w:rsidRPr="005A327E">
        <w:rPr>
          <w:sz w:val="24"/>
        </w:rPr>
        <w:t>$168,173,839 (2017 dollars).</w:t>
      </w:r>
    </w:p>
    <w:p w14:paraId="79B83CE5" w14:textId="26C4C7F7" w:rsidR="00CF3DA4" w:rsidRDefault="00CF3DA4" w:rsidP="00882AEE">
      <w:pPr>
        <w:spacing w:before="52"/>
        <w:ind w:right="-10"/>
        <w:rPr>
          <w:sz w:val="24"/>
        </w:rPr>
      </w:pPr>
    </w:p>
    <w:p w14:paraId="4776771F" w14:textId="18337272" w:rsidR="00D7367E" w:rsidRDefault="00D7367E" w:rsidP="00882AEE">
      <w:pPr>
        <w:spacing w:before="52"/>
        <w:ind w:right="-10"/>
        <w:rPr>
          <w:sz w:val="24"/>
        </w:rPr>
      </w:pPr>
      <w:r>
        <w:rPr>
          <w:sz w:val="24"/>
        </w:rPr>
        <w:t>Table 1 below shows the</w:t>
      </w:r>
      <w:r w:rsidR="00931480">
        <w:rPr>
          <w:sz w:val="24"/>
        </w:rPr>
        <w:t xml:space="preserve"> </w:t>
      </w:r>
      <w:r>
        <w:rPr>
          <w:sz w:val="24"/>
        </w:rPr>
        <w:t xml:space="preserve">sequence of the approved </w:t>
      </w:r>
      <w:r w:rsidR="000E1CFA">
        <w:rPr>
          <w:sz w:val="24"/>
        </w:rPr>
        <w:t xml:space="preserve">total </w:t>
      </w:r>
      <w:r>
        <w:rPr>
          <w:sz w:val="24"/>
        </w:rPr>
        <w:t xml:space="preserve">bed count for the DoN and subsequent Amendments. The current 2022 Amendment request is in the </w:t>
      </w:r>
      <w:r w:rsidR="00E05B17">
        <w:rPr>
          <w:sz w:val="24"/>
        </w:rPr>
        <w:t>far-right</w:t>
      </w:r>
      <w:r>
        <w:rPr>
          <w:sz w:val="24"/>
        </w:rPr>
        <w:t xml:space="preserve"> column in bold. </w:t>
      </w:r>
      <w:r w:rsidR="003664EB">
        <w:rPr>
          <w:sz w:val="24"/>
        </w:rPr>
        <w:t>Since</w:t>
      </w:r>
      <w:r w:rsidR="00AA059E">
        <w:rPr>
          <w:sz w:val="24"/>
        </w:rPr>
        <w:t xml:space="preserve"> </w:t>
      </w:r>
      <w:r w:rsidR="003664EB">
        <w:rPr>
          <w:sz w:val="24"/>
        </w:rPr>
        <w:t>t</w:t>
      </w:r>
      <w:r>
        <w:rPr>
          <w:sz w:val="24"/>
        </w:rPr>
        <w:t xml:space="preserve">here is no change to the </w:t>
      </w:r>
      <w:r w:rsidR="00AA059E">
        <w:rPr>
          <w:sz w:val="24"/>
        </w:rPr>
        <w:t xml:space="preserve">Approved </w:t>
      </w:r>
      <w:r w:rsidR="000E1CFA">
        <w:rPr>
          <w:sz w:val="24"/>
        </w:rPr>
        <w:t xml:space="preserve">120 </w:t>
      </w:r>
      <w:r w:rsidR="003664EB">
        <w:rPr>
          <w:sz w:val="24"/>
        </w:rPr>
        <w:t xml:space="preserve">psychiatric </w:t>
      </w:r>
      <w:r w:rsidR="000E1CFA">
        <w:rPr>
          <w:sz w:val="24"/>
        </w:rPr>
        <w:t xml:space="preserve">beds </w:t>
      </w:r>
      <w:r w:rsidR="003664EB">
        <w:rPr>
          <w:sz w:val="24"/>
        </w:rPr>
        <w:t xml:space="preserve">located at Spaulding Site, the Psychiatric </w:t>
      </w:r>
      <w:r w:rsidR="00AA059E">
        <w:rPr>
          <w:sz w:val="24"/>
        </w:rPr>
        <w:t>S</w:t>
      </w:r>
      <w:r w:rsidR="003664EB">
        <w:rPr>
          <w:sz w:val="24"/>
        </w:rPr>
        <w:t>ervices will not be discussed further in this report</w:t>
      </w:r>
      <w:r>
        <w:rPr>
          <w:sz w:val="24"/>
        </w:rPr>
        <w:t>.</w:t>
      </w:r>
    </w:p>
    <w:p w14:paraId="4C3FDFA7" w14:textId="4973EA2D" w:rsidR="00753718" w:rsidRDefault="00753718" w:rsidP="00882AEE">
      <w:pPr>
        <w:spacing w:before="52"/>
        <w:ind w:right="-10"/>
        <w:rPr>
          <w:sz w:val="24"/>
        </w:rPr>
      </w:pPr>
    </w:p>
    <w:p w14:paraId="7EEB9863" w14:textId="652FFD4B" w:rsidR="00753718" w:rsidRDefault="00753718" w:rsidP="006F791C">
      <w:pPr>
        <w:spacing w:before="52"/>
        <w:ind w:right="-10"/>
        <w:jc w:val="center"/>
        <w:rPr>
          <w:sz w:val="24"/>
        </w:rPr>
      </w:pPr>
      <w:r>
        <w:rPr>
          <w:sz w:val="24"/>
        </w:rPr>
        <w:t xml:space="preserve">Table 1- DoN Project and Approval Sequence </w:t>
      </w:r>
      <w:r w:rsidR="006F791C">
        <w:rPr>
          <w:sz w:val="24"/>
        </w:rPr>
        <w:t>2016-Present</w:t>
      </w:r>
      <w:r w:rsidR="00AA059E">
        <w:rPr>
          <w:sz w:val="24"/>
        </w:rPr>
        <w:t>- Total Beds Licensed</w:t>
      </w:r>
    </w:p>
    <w:p w14:paraId="0F5390B5" w14:textId="77777777" w:rsidR="00D7367E" w:rsidRDefault="00D7367E" w:rsidP="00882AEE">
      <w:pPr>
        <w:spacing w:before="52"/>
        <w:ind w:right="-10"/>
        <w:rPr>
          <w:sz w:val="24"/>
        </w:rPr>
      </w:pPr>
    </w:p>
    <w:tbl>
      <w:tblPr>
        <w:tblW w:w="8375" w:type="dxa"/>
        <w:jc w:val="center"/>
        <w:tblLook w:val="04A0" w:firstRow="1" w:lastRow="0" w:firstColumn="1" w:lastColumn="0" w:noHBand="0" w:noVBand="1"/>
      </w:tblPr>
      <w:tblGrid>
        <w:gridCol w:w="1880"/>
        <w:gridCol w:w="1060"/>
        <w:gridCol w:w="1220"/>
        <w:gridCol w:w="1335"/>
        <w:gridCol w:w="1520"/>
        <w:gridCol w:w="1360"/>
      </w:tblGrid>
      <w:tr w:rsidR="00D7367E" w:rsidRPr="00D7367E" w14:paraId="3467EB5F" w14:textId="77777777" w:rsidTr="00F51F2D">
        <w:trPr>
          <w:cantSplit/>
          <w:trHeight w:val="1160"/>
          <w:tblHeader/>
          <w:jc w:val="center"/>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20C72A" w14:textId="22D14AE6" w:rsidR="00D7367E" w:rsidRPr="00D7367E" w:rsidRDefault="00AA059E" w:rsidP="00882AEE">
            <w:pPr>
              <w:widowControl/>
              <w:autoSpaceDE/>
              <w:autoSpaceDN/>
              <w:rPr>
                <w:rFonts w:eastAsia="Times New Roman"/>
                <w:b/>
                <w:bCs/>
                <w:color w:val="000000"/>
                <w:lang w:bidi="ar-SA"/>
              </w:rPr>
            </w:pPr>
            <w:r>
              <w:rPr>
                <w:rFonts w:eastAsia="Times New Roman"/>
                <w:b/>
                <w:bCs/>
                <w:color w:val="000000"/>
                <w:lang w:bidi="ar-SA"/>
              </w:rPr>
              <w:t xml:space="preserve">Clinical </w:t>
            </w:r>
            <w:r w:rsidR="00D7367E" w:rsidRPr="00D7367E">
              <w:rPr>
                <w:rFonts w:eastAsia="Times New Roman"/>
                <w:b/>
                <w:bCs/>
                <w:color w:val="000000"/>
                <w:lang w:bidi="ar-SA"/>
              </w:rPr>
              <w:t>Service</w:t>
            </w:r>
          </w:p>
        </w:tc>
        <w:tc>
          <w:tcPr>
            <w:tcW w:w="1060" w:type="dxa"/>
            <w:tcBorders>
              <w:top w:val="single" w:sz="4" w:space="0" w:color="auto"/>
              <w:left w:val="nil"/>
              <w:bottom w:val="single" w:sz="4" w:space="0" w:color="auto"/>
              <w:right w:val="single" w:sz="4" w:space="0" w:color="auto"/>
            </w:tcBorders>
            <w:shd w:val="clear" w:color="auto" w:fill="auto"/>
            <w:vAlign w:val="bottom"/>
            <w:hideMark/>
          </w:tcPr>
          <w:p w14:paraId="60855F03" w14:textId="082B0656" w:rsidR="00D7367E" w:rsidRPr="00D7367E" w:rsidRDefault="00931480" w:rsidP="00882AEE">
            <w:pPr>
              <w:widowControl/>
              <w:autoSpaceDE/>
              <w:autoSpaceDN/>
              <w:jc w:val="center"/>
              <w:rPr>
                <w:rFonts w:eastAsia="Times New Roman"/>
                <w:color w:val="000000"/>
                <w:lang w:bidi="ar-SA"/>
              </w:rPr>
            </w:pPr>
            <w:r>
              <w:rPr>
                <w:rFonts w:eastAsia="Times New Roman"/>
                <w:color w:val="000000"/>
                <w:lang w:bidi="ar-SA"/>
              </w:rPr>
              <w:t xml:space="preserve">Pre-DoN #6-3C46 </w:t>
            </w:r>
            <w:r w:rsidR="00D7367E" w:rsidRPr="00D7367E">
              <w:rPr>
                <w:rFonts w:eastAsia="Times New Roman"/>
                <w:color w:val="000000"/>
                <w:lang w:bidi="ar-SA"/>
              </w:rPr>
              <w:t>Bed Count</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14:paraId="779ADE3D" w14:textId="17B5C2F1" w:rsidR="00D7367E" w:rsidRPr="00D7367E" w:rsidRDefault="00D7367E" w:rsidP="00882AEE">
            <w:pPr>
              <w:widowControl/>
              <w:autoSpaceDE/>
              <w:autoSpaceDN/>
              <w:jc w:val="center"/>
              <w:rPr>
                <w:rFonts w:eastAsia="Times New Roman"/>
                <w:color w:val="000000"/>
                <w:lang w:bidi="ar-SA"/>
              </w:rPr>
            </w:pPr>
            <w:r w:rsidRPr="00D7367E">
              <w:rPr>
                <w:rFonts w:eastAsia="Times New Roman"/>
                <w:color w:val="000000"/>
                <w:lang w:bidi="ar-SA"/>
              </w:rPr>
              <w:t xml:space="preserve">Requested </w:t>
            </w:r>
            <w:r w:rsidR="00AA059E">
              <w:rPr>
                <w:rFonts w:eastAsia="Times New Roman"/>
                <w:color w:val="000000"/>
                <w:lang w:bidi="ar-SA"/>
              </w:rPr>
              <w:t xml:space="preserve">&amp; </w:t>
            </w:r>
            <w:r w:rsidRPr="00D7367E">
              <w:rPr>
                <w:rFonts w:eastAsia="Times New Roman"/>
                <w:color w:val="000000"/>
                <w:lang w:bidi="ar-SA"/>
              </w:rPr>
              <w:t>Approved Beds</w:t>
            </w:r>
            <w:r w:rsidR="00AA059E">
              <w:rPr>
                <w:rFonts w:eastAsia="Times New Roman"/>
                <w:color w:val="000000"/>
                <w:lang w:bidi="ar-SA"/>
              </w:rPr>
              <w:t xml:space="preserve"> DoN 6-3C46</w:t>
            </w:r>
          </w:p>
        </w:tc>
        <w:tc>
          <w:tcPr>
            <w:tcW w:w="1335" w:type="dxa"/>
            <w:tcBorders>
              <w:top w:val="single" w:sz="4" w:space="0" w:color="auto"/>
              <w:left w:val="nil"/>
              <w:bottom w:val="single" w:sz="4" w:space="0" w:color="auto"/>
              <w:right w:val="single" w:sz="4" w:space="0" w:color="auto"/>
            </w:tcBorders>
            <w:shd w:val="clear" w:color="auto" w:fill="auto"/>
            <w:vAlign w:val="bottom"/>
            <w:hideMark/>
          </w:tcPr>
          <w:p w14:paraId="0B4CB66F" w14:textId="2070AF33" w:rsidR="00D7367E" w:rsidRPr="00D7367E" w:rsidRDefault="00D7367E" w:rsidP="00882AEE">
            <w:pPr>
              <w:widowControl/>
              <w:autoSpaceDE/>
              <w:autoSpaceDN/>
              <w:jc w:val="center"/>
              <w:rPr>
                <w:rFonts w:eastAsia="Times New Roman"/>
                <w:color w:val="000000"/>
                <w:lang w:bidi="ar-SA"/>
              </w:rPr>
            </w:pPr>
            <w:r w:rsidRPr="00D7367E">
              <w:rPr>
                <w:rFonts w:eastAsia="Times New Roman"/>
                <w:color w:val="000000"/>
                <w:lang w:bidi="ar-SA"/>
              </w:rPr>
              <w:t xml:space="preserve">2017 Approved Beds </w:t>
            </w:r>
            <w:r w:rsidR="00AA059E">
              <w:rPr>
                <w:rFonts w:eastAsia="Times New Roman"/>
                <w:color w:val="000000"/>
                <w:lang w:bidi="ar-SA"/>
              </w:rPr>
              <w:t>1</w:t>
            </w:r>
            <w:r w:rsidR="00AA059E" w:rsidRPr="00AA059E">
              <w:rPr>
                <w:rFonts w:eastAsia="Times New Roman"/>
                <w:color w:val="000000"/>
                <w:vertAlign w:val="superscript"/>
                <w:lang w:bidi="ar-SA"/>
              </w:rPr>
              <w:t>st</w:t>
            </w:r>
            <w:r w:rsidR="00AA059E">
              <w:rPr>
                <w:rFonts w:eastAsia="Times New Roman"/>
                <w:color w:val="000000"/>
                <w:lang w:bidi="ar-SA"/>
              </w:rPr>
              <w:t xml:space="preserve"> </w:t>
            </w:r>
            <w:r w:rsidRPr="00D7367E">
              <w:rPr>
                <w:rFonts w:eastAsia="Times New Roman"/>
                <w:color w:val="000000"/>
                <w:lang w:bidi="ar-SA"/>
              </w:rPr>
              <w:t>Amendment</w:t>
            </w:r>
          </w:p>
        </w:tc>
        <w:tc>
          <w:tcPr>
            <w:tcW w:w="1520" w:type="dxa"/>
            <w:tcBorders>
              <w:top w:val="single" w:sz="4" w:space="0" w:color="auto"/>
              <w:left w:val="nil"/>
              <w:bottom w:val="single" w:sz="4" w:space="0" w:color="auto"/>
              <w:right w:val="nil"/>
            </w:tcBorders>
            <w:shd w:val="clear" w:color="auto" w:fill="auto"/>
            <w:vAlign w:val="bottom"/>
            <w:hideMark/>
          </w:tcPr>
          <w:p w14:paraId="18FF85EF" w14:textId="0B938BD1" w:rsidR="00D7367E" w:rsidRPr="00D7367E" w:rsidRDefault="00D7367E" w:rsidP="00882AEE">
            <w:pPr>
              <w:widowControl/>
              <w:autoSpaceDE/>
              <w:autoSpaceDN/>
              <w:jc w:val="center"/>
              <w:rPr>
                <w:rFonts w:eastAsia="Times New Roman"/>
                <w:color w:val="000000"/>
                <w:lang w:bidi="ar-SA"/>
              </w:rPr>
            </w:pPr>
            <w:r w:rsidRPr="00D7367E">
              <w:rPr>
                <w:rFonts w:eastAsia="Times New Roman"/>
                <w:color w:val="000000"/>
                <w:lang w:bidi="ar-SA"/>
              </w:rPr>
              <w:t xml:space="preserve">2018 Approved Beds </w:t>
            </w:r>
            <w:r w:rsidR="00AA059E">
              <w:rPr>
                <w:rFonts w:eastAsia="Times New Roman"/>
                <w:color w:val="000000"/>
                <w:lang w:bidi="ar-SA"/>
              </w:rPr>
              <w:t xml:space="preserve">2nd </w:t>
            </w:r>
            <w:r w:rsidRPr="00D7367E">
              <w:rPr>
                <w:rFonts w:eastAsia="Times New Roman"/>
                <w:color w:val="000000"/>
                <w:lang w:bidi="ar-SA"/>
              </w:rPr>
              <w:t>Amendment</w:t>
            </w:r>
          </w:p>
        </w:tc>
        <w:tc>
          <w:tcPr>
            <w:tcW w:w="1360" w:type="dxa"/>
            <w:tcBorders>
              <w:top w:val="single" w:sz="8" w:space="0" w:color="auto"/>
              <w:left w:val="single" w:sz="8" w:space="0" w:color="auto"/>
              <w:bottom w:val="single" w:sz="4" w:space="0" w:color="auto"/>
              <w:right w:val="single" w:sz="8" w:space="0" w:color="auto"/>
            </w:tcBorders>
            <w:shd w:val="clear" w:color="auto" w:fill="DAEEF3" w:themeFill="accent5" w:themeFillTint="33"/>
            <w:vAlign w:val="bottom"/>
            <w:hideMark/>
          </w:tcPr>
          <w:p w14:paraId="1BB51D6F" w14:textId="77777777" w:rsidR="00AA059E" w:rsidRDefault="00AA059E" w:rsidP="00882AEE">
            <w:pPr>
              <w:widowControl/>
              <w:autoSpaceDE/>
              <w:autoSpaceDN/>
              <w:jc w:val="center"/>
              <w:rPr>
                <w:rFonts w:eastAsia="Times New Roman"/>
                <w:b/>
                <w:bCs/>
                <w:color w:val="000000"/>
                <w:lang w:bidi="ar-SA"/>
              </w:rPr>
            </w:pPr>
            <w:r>
              <w:rPr>
                <w:rFonts w:eastAsia="Times New Roman"/>
                <w:b/>
                <w:bCs/>
                <w:color w:val="000000"/>
                <w:lang w:bidi="ar-SA"/>
              </w:rPr>
              <w:t>2022</w:t>
            </w:r>
          </w:p>
          <w:p w14:paraId="1DC1F1DA" w14:textId="644D8E59" w:rsidR="00D7367E" w:rsidRPr="00D7367E" w:rsidRDefault="00AA059E" w:rsidP="00882AEE">
            <w:pPr>
              <w:widowControl/>
              <w:autoSpaceDE/>
              <w:autoSpaceDN/>
              <w:jc w:val="center"/>
              <w:rPr>
                <w:rFonts w:eastAsia="Times New Roman"/>
                <w:b/>
                <w:bCs/>
                <w:color w:val="000000"/>
                <w:lang w:bidi="ar-SA"/>
              </w:rPr>
            </w:pPr>
            <w:r>
              <w:rPr>
                <w:rFonts w:eastAsia="Times New Roman"/>
                <w:b/>
                <w:bCs/>
                <w:color w:val="000000"/>
                <w:lang w:bidi="ar-SA"/>
              </w:rPr>
              <w:t>Requested Beds 3</w:t>
            </w:r>
            <w:r w:rsidRPr="00AA059E">
              <w:rPr>
                <w:rFonts w:eastAsia="Times New Roman"/>
                <w:b/>
                <w:bCs/>
                <w:color w:val="000000"/>
                <w:vertAlign w:val="superscript"/>
                <w:lang w:bidi="ar-SA"/>
              </w:rPr>
              <w:t>rd</w:t>
            </w:r>
            <w:r>
              <w:rPr>
                <w:rFonts w:eastAsia="Times New Roman"/>
                <w:b/>
                <w:bCs/>
                <w:color w:val="000000"/>
                <w:lang w:bidi="ar-SA"/>
              </w:rPr>
              <w:t xml:space="preserve"> Amendment </w:t>
            </w:r>
          </w:p>
        </w:tc>
      </w:tr>
      <w:tr w:rsidR="00D7367E" w:rsidRPr="00D7367E" w14:paraId="6DF1E2E5" w14:textId="77777777" w:rsidTr="00F51F2D">
        <w:trPr>
          <w:cantSplit/>
          <w:trHeight w:val="290"/>
          <w:jc w:val="center"/>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11BD77AD" w14:textId="77777777" w:rsidR="00D7367E" w:rsidRPr="00D7367E" w:rsidRDefault="00D7367E" w:rsidP="00882AEE">
            <w:pPr>
              <w:widowControl/>
              <w:autoSpaceDE/>
              <w:autoSpaceDN/>
              <w:rPr>
                <w:rFonts w:eastAsia="Times New Roman"/>
                <w:color w:val="000000"/>
                <w:lang w:bidi="ar-SA"/>
              </w:rPr>
            </w:pPr>
            <w:r w:rsidRPr="00D7367E">
              <w:rPr>
                <w:rFonts w:eastAsia="Times New Roman"/>
                <w:color w:val="000000"/>
                <w:lang w:bidi="ar-SA"/>
              </w:rPr>
              <w:t>Medical Surgical</w:t>
            </w:r>
          </w:p>
        </w:tc>
        <w:tc>
          <w:tcPr>
            <w:tcW w:w="1060" w:type="dxa"/>
            <w:tcBorders>
              <w:top w:val="nil"/>
              <w:left w:val="nil"/>
              <w:bottom w:val="single" w:sz="4" w:space="0" w:color="auto"/>
              <w:right w:val="single" w:sz="4" w:space="0" w:color="auto"/>
            </w:tcBorders>
            <w:shd w:val="clear" w:color="auto" w:fill="auto"/>
            <w:noWrap/>
            <w:vAlign w:val="bottom"/>
            <w:hideMark/>
          </w:tcPr>
          <w:p w14:paraId="2CA4EB5C" w14:textId="77777777" w:rsidR="00D7367E" w:rsidRPr="00D7367E" w:rsidRDefault="00D7367E" w:rsidP="00882AEE">
            <w:pPr>
              <w:widowControl/>
              <w:autoSpaceDE/>
              <w:autoSpaceDN/>
              <w:jc w:val="right"/>
              <w:rPr>
                <w:rFonts w:eastAsia="Times New Roman"/>
                <w:color w:val="000000"/>
                <w:lang w:bidi="ar-SA"/>
              </w:rPr>
            </w:pPr>
            <w:r w:rsidRPr="00D7367E">
              <w:rPr>
                <w:rFonts w:eastAsia="Times New Roman"/>
                <w:color w:val="000000"/>
                <w:lang w:bidi="ar-SA"/>
              </w:rPr>
              <w:t>247</w:t>
            </w:r>
          </w:p>
        </w:tc>
        <w:tc>
          <w:tcPr>
            <w:tcW w:w="1220" w:type="dxa"/>
            <w:tcBorders>
              <w:top w:val="nil"/>
              <w:left w:val="nil"/>
              <w:bottom w:val="single" w:sz="4" w:space="0" w:color="auto"/>
              <w:right w:val="single" w:sz="4" w:space="0" w:color="auto"/>
            </w:tcBorders>
            <w:shd w:val="clear" w:color="auto" w:fill="auto"/>
            <w:noWrap/>
            <w:vAlign w:val="bottom"/>
            <w:hideMark/>
          </w:tcPr>
          <w:p w14:paraId="4DE5F526" w14:textId="77777777" w:rsidR="00D7367E" w:rsidRPr="00D7367E" w:rsidRDefault="00D7367E" w:rsidP="00882AEE">
            <w:pPr>
              <w:widowControl/>
              <w:autoSpaceDE/>
              <w:autoSpaceDN/>
              <w:jc w:val="right"/>
              <w:rPr>
                <w:rFonts w:eastAsia="Times New Roman"/>
                <w:color w:val="000000"/>
                <w:lang w:bidi="ar-SA"/>
              </w:rPr>
            </w:pPr>
            <w:r w:rsidRPr="00D7367E">
              <w:rPr>
                <w:rFonts w:eastAsia="Times New Roman"/>
                <w:color w:val="000000"/>
                <w:lang w:bidi="ar-SA"/>
              </w:rPr>
              <w:t>219</w:t>
            </w:r>
          </w:p>
        </w:tc>
        <w:tc>
          <w:tcPr>
            <w:tcW w:w="1335" w:type="dxa"/>
            <w:tcBorders>
              <w:top w:val="nil"/>
              <w:left w:val="nil"/>
              <w:bottom w:val="single" w:sz="4" w:space="0" w:color="auto"/>
              <w:right w:val="single" w:sz="4" w:space="0" w:color="auto"/>
            </w:tcBorders>
            <w:shd w:val="clear" w:color="auto" w:fill="auto"/>
            <w:noWrap/>
            <w:vAlign w:val="bottom"/>
            <w:hideMark/>
          </w:tcPr>
          <w:p w14:paraId="09FA8CA6" w14:textId="77777777" w:rsidR="00D7367E" w:rsidRPr="00D7367E" w:rsidRDefault="00D7367E" w:rsidP="00882AEE">
            <w:pPr>
              <w:widowControl/>
              <w:autoSpaceDE/>
              <w:autoSpaceDN/>
              <w:jc w:val="right"/>
              <w:rPr>
                <w:rFonts w:eastAsia="Times New Roman"/>
                <w:color w:val="000000"/>
                <w:lang w:bidi="ar-SA"/>
              </w:rPr>
            </w:pPr>
            <w:r w:rsidRPr="00D7367E">
              <w:rPr>
                <w:rFonts w:eastAsia="Times New Roman"/>
                <w:color w:val="000000"/>
                <w:lang w:bidi="ar-SA"/>
              </w:rPr>
              <w:t>203</w:t>
            </w:r>
          </w:p>
        </w:tc>
        <w:tc>
          <w:tcPr>
            <w:tcW w:w="1520" w:type="dxa"/>
            <w:tcBorders>
              <w:top w:val="nil"/>
              <w:left w:val="nil"/>
              <w:bottom w:val="single" w:sz="4" w:space="0" w:color="auto"/>
              <w:right w:val="single" w:sz="4" w:space="0" w:color="auto"/>
            </w:tcBorders>
            <w:shd w:val="clear" w:color="auto" w:fill="auto"/>
            <w:noWrap/>
            <w:vAlign w:val="bottom"/>
            <w:hideMark/>
          </w:tcPr>
          <w:p w14:paraId="4F37EFEF" w14:textId="077A7330" w:rsidR="00960433" w:rsidRDefault="00960433" w:rsidP="00882AEE">
            <w:pPr>
              <w:widowControl/>
              <w:autoSpaceDE/>
              <w:autoSpaceDN/>
              <w:jc w:val="right"/>
              <w:rPr>
                <w:rFonts w:eastAsia="Times New Roman"/>
                <w:color w:val="000000"/>
                <w:lang w:bidi="ar-SA"/>
              </w:rPr>
            </w:pPr>
            <w:r>
              <w:rPr>
                <w:rFonts w:eastAsia="Times New Roman"/>
                <w:color w:val="000000"/>
                <w:lang w:bidi="ar-SA"/>
              </w:rPr>
              <w:t xml:space="preserve">Approved </w:t>
            </w:r>
            <w:r w:rsidR="00D7367E" w:rsidRPr="00D7367E">
              <w:rPr>
                <w:rFonts w:eastAsia="Times New Roman"/>
                <w:color w:val="000000"/>
                <w:lang w:bidi="ar-SA"/>
              </w:rPr>
              <w:t>203</w:t>
            </w:r>
            <w:r>
              <w:rPr>
                <w:rFonts w:eastAsia="Times New Roman"/>
                <w:color w:val="000000"/>
                <w:lang w:bidi="ar-SA"/>
              </w:rPr>
              <w:t xml:space="preserve"> </w:t>
            </w:r>
          </w:p>
          <w:p w14:paraId="6BF2679C" w14:textId="01E1CD34" w:rsidR="00D7367E" w:rsidRPr="00D7367E" w:rsidRDefault="00960433" w:rsidP="00882AEE">
            <w:pPr>
              <w:widowControl/>
              <w:autoSpaceDE/>
              <w:autoSpaceDN/>
              <w:jc w:val="right"/>
              <w:rPr>
                <w:rFonts w:eastAsia="Times New Roman"/>
                <w:color w:val="000000"/>
                <w:lang w:bidi="ar-SA"/>
              </w:rPr>
            </w:pPr>
            <w:r>
              <w:rPr>
                <w:rFonts w:eastAsia="Times New Roman"/>
                <w:color w:val="000000"/>
                <w:lang w:bidi="ar-SA"/>
              </w:rPr>
              <w:t xml:space="preserve">Licensed 199 </w:t>
            </w:r>
            <w:r>
              <w:rPr>
                <w:rStyle w:val="FootnoteReference"/>
                <w:rFonts w:eastAsia="Times New Roman"/>
                <w:color w:val="000000"/>
                <w:lang w:bidi="ar-SA"/>
              </w:rPr>
              <w:footnoteReference w:id="3"/>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7DCB6D" w14:textId="77777777" w:rsidR="00D7367E" w:rsidRPr="00D7367E" w:rsidRDefault="00D7367E" w:rsidP="00882AEE">
            <w:pPr>
              <w:widowControl/>
              <w:autoSpaceDE/>
              <w:autoSpaceDN/>
              <w:jc w:val="right"/>
              <w:rPr>
                <w:rFonts w:eastAsia="Times New Roman"/>
                <w:b/>
                <w:bCs/>
                <w:color w:val="000000"/>
                <w:lang w:bidi="ar-SA"/>
              </w:rPr>
            </w:pPr>
            <w:r w:rsidRPr="00D7367E">
              <w:rPr>
                <w:rFonts w:eastAsia="Times New Roman"/>
                <w:b/>
                <w:bCs/>
                <w:color w:val="000000"/>
                <w:lang w:bidi="ar-SA"/>
              </w:rPr>
              <w:t>212</w:t>
            </w:r>
          </w:p>
        </w:tc>
      </w:tr>
      <w:tr w:rsidR="00D7367E" w:rsidRPr="00D7367E" w14:paraId="0E901DCF" w14:textId="77777777" w:rsidTr="00F51F2D">
        <w:trPr>
          <w:cantSplit/>
          <w:trHeight w:val="290"/>
          <w:jc w:val="center"/>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739A6446" w14:textId="77777777" w:rsidR="00D7367E" w:rsidRPr="00D7367E" w:rsidRDefault="00D7367E" w:rsidP="00882AEE">
            <w:pPr>
              <w:widowControl/>
              <w:autoSpaceDE/>
              <w:autoSpaceDN/>
              <w:rPr>
                <w:rFonts w:eastAsia="Times New Roman"/>
                <w:color w:val="000000"/>
                <w:lang w:bidi="ar-SA"/>
              </w:rPr>
            </w:pPr>
            <w:r w:rsidRPr="00D7367E">
              <w:rPr>
                <w:rFonts w:eastAsia="Times New Roman"/>
                <w:color w:val="000000"/>
                <w:lang w:bidi="ar-SA"/>
              </w:rPr>
              <w:t>Adult Psychiatric</w:t>
            </w:r>
          </w:p>
        </w:tc>
        <w:tc>
          <w:tcPr>
            <w:tcW w:w="1060" w:type="dxa"/>
            <w:tcBorders>
              <w:top w:val="nil"/>
              <w:left w:val="nil"/>
              <w:bottom w:val="single" w:sz="4" w:space="0" w:color="auto"/>
              <w:right w:val="single" w:sz="4" w:space="0" w:color="auto"/>
            </w:tcBorders>
            <w:shd w:val="clear" w:color="auto" w:fill="auto"/>
            <w:noWrap/>
            <w:vAlign w:val="bottom"/>
            <w:hideMark/>
          </w:tcPr>
          <w:p w14:paraId="0505BFA7" w14:textId="77777777" w:rsidR="00D7367E" w:rsidRPr="00D7367E" w:rsidRDefault="00D7367E" w:rsidP="00882AEE">
            <w:pPr>
              <w:widowControl/>
              <w:autoSpaceDE/>
              <w:autoSpaceDN/>
              <w:jc w:val="right"/>
              <w:rPr>
                <w:rFonts w:eastAsia="Times New Roman"/>
                <w:color w:val="000000"/>
                <w:lang w:bidi="ar-SA"/>
              </w:rPr>
            </w:pPr>
            <w:r w:rsidRPr="00D7367E">
              <w:rPr>
                <w:rFonts w:eastAsia="Times New Roman"/>
                <w:color w:val="000000"/>
                <w:lang w:bidi="ar-SA"/>
              </w:rPr>
              <w:t>26</w:t>
            </w:r>
          </w:p>
        </w:tc>
        <w:tc>
          <w:tcPr>
            <w:tcW w:w="1220" w:type="dxa"/>
            <w:tcBorders>
              <w:top w:val="nil"/>
              <w:left w:val="nil"/>
              <w:bottom w:val="single" w:sz="4" w:space="0" w:color="auto"/>
              <w:right w:val="single" w:sz="4" w:space="0" w:color="auto"/>
            </w:tcBorders>
            <w:shd w:val="clear" w:color="auto" w:fill="auto"/>
            <w:noWrap/>
            <w:vAlign w:val="bottom"/>
            <w:hideMark/>
          </w:tcPr>
          <w:p w14:paraId="489624A3" w14:textId="77777777" w:rsidR="00D7367E" w:rsidRPr="00D7367E" w:rsidRDefault="00D7367E" w:rsidP="00882AEE">
            <w:pPr>
              <w:widowControl/>
              <w:autoSpaceDE/>
              <w:autoSpaceDN/>
              <w:jc w:val="right"/>
              <w:rPr>
                <w:rFonts w:eastAsia="Times New Roman"/>
                <w:color w:val="000000"/>
                <w:lang w:bidi="ar-SA"/>
              </w:rPr>
            </w:pPr>
            <w:r w:rsidRPr="00D7367E">
              <w:rPr>
                <w:rFonts w:eastAsia="Times New Roman"/>
                <w:color w:val="000000"/>
                <w:lang w:bidi="ar-SA"/>
              </w:rPr>
              <w:t>60</w:t>
            </w:r>
          </w:p>
        </w:tc>
        <w:tc>
          <w:tcPr>
            <w:tcW w:w="1335" w:type="dxa"/>
            <w:tcBorders>
              <w:top w:val="nil"/>
              <w:left w:val="nil"/>
              <w:bottom w:val="single" w:sz="4" w:space="0" w:color="auto"/>
              <w:right w:val="single" w:sz="4" w:space="0" w:color="auto"/>
            </w:tcBorders>
            <w:shd w:val="clear" w:color="auto" w:fill="auto"/>
            <w:noWrap/>
            <w:vAlign w:val="bottom"/>
            <w:hideMark/>
          </w:tcPr>
          <w:p w14:paraId="4308592E" w14:textId="77777777" w:rsidR="00D7367E" w:rsidRPr="00D7367E" w:rsidRDefault="00D7367E" w:rsidP="00882AEE">
            <w:pPr>
              <w:widowControl/>
              <w:autoSpaceDE/>
              <w:autoSpaceDN/>
              <w:jc w:val="right"/>
              <w:rPr>
                <w:rFonts w:eastAsia="Times New Roman"/>
                <w:color w:val="000000"/>
                <w:lang w:bidi="ar-SA"/>
              </w:rPr>
            </w:pPr>
            <w:r w:rsidRPr="00D7367E">
              <w:rPr>
                <w:rFonts w:eastAsia="Times New Roman"/>
                <w:color w:val="000000"/>
                <w:lang w:bidi="ar-SA"/>
              </w:rPr>
              <w:t>30</w:t>
            </w:r>
          </w:p>
        </w:tc>
        <w:tc>
          <w:tcPr>
            <w:tcW w:w="1520" w:type="dxa"/>
            <w:tcBorders>
              <w:top w:val="nil"/>
              <w:left w:val="nil"/>
              <w:bottom w:val="single" w:sz="4" w:space="0" w:color="auto"/>
              <w:right w:val="single" w:sz="4" w:space="0" w:color="auto"/>
            </w:tcBorders>
            <w:shd w:val="clear" w:color="auto" w:fill="auto"/>
            <w:noWrap/>
            <w:vAlign w:val="bottom"/>
            <w:hideMark/>
          </w:tcPr>
          <w:p w14:paraId="32521CFE" w14:textId="77777777" w:rsidR="00D7367E" w:rsidRPr="00D7367E" w:rsidRDefault="00D7367E" w:rsidP="00882AEE">
            <w:pPr>
              <w:widowControl/>
              <w:autoSpaceDE/>
              <w:autoSpaceDN/>
              <w:jc w:val="right"/>
              <w:rPr>
                <w:rFonts w:eastAsia="Times New Roman"/>
                <w:color w:val="000000"/>
                <w:lang w:bidi="ar-SA"/>
              </w:rPr>
            </w:pPr>
            <w:r w:rsidRPr="00D7367E">
              <w:rPr>
                <w:rFonts w:eastAsia="Times New Roman"/>
                <w:color w:val="000000"/>
                <w:lang w:bidi="ar-SA"/>
              </w:rPr>
              <w:t>60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2F099A" w14:textId="2646E63C" w:rsidR="00D7367E" w:rsidRPr="00D7367E" w:rsidRDefault="000E1CFA" w:rsidP="00882AEE">
            <w:pPr>
              <w:widowControl/>
              <w:autoSpaceDE/>
              <w:autoSpaceDN/>
              <w:jc w:val="right"/>
              <w:rPr>
                <w:rFonts w:eastAsia="Times New Roman"/>
                <w:color w:val="000000"/>
                <w:lang w:bidi="ar-SA"/>
              </w:rPr>
            </w:pPr>
            <w:r>
              <w:rPr>
                <w:rFonts w:eastAsia="Times New Roman"/>
                <w:color w:val="000000"/>
                <w:lang w:bidi="ar-SA"/>
              </w:rPr>
              <w:t>No Change</w:t>
            </w:r>
          </w:p>
        </w:tc>
      </w:tr>
      <w:tr w:rsidR="00D7367E" w:rsidRPr="00D7367E" w14:paraId="7611A650" w14:textId="77777777" w:rsidTr="00F51F2D">
        <w:trPr>
          <w:cantSplit/>
          <w:trHeight w:val="290"/>
          <w:jc w:val="center"/>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49D43EE7" w14:textId="77777777" w:rsidR="00D7367E" w:rsidRPr="00D7367E" w:rsidRDefault="00D7367E" w:rsidP="00882AEE">
            <w:pPr>
              <w:widowControl/>
              <w:autoSpaceDE/>
              <w:autoSpaceDN/>
              <w:rPr>
                <w:rFonts w:eastAsia="Times New Roman"/>
                <w:color w:val="000000"/>
                <w:lang w:bidi="ar-SA"/>
              </w:rPr>
            </w:pPr>
            <w:r w:rsidRPr="00D7367E">
              <w:rPr>
                <w:rFonts w:eastAsia="Times New Roman"/>
                <w:color w:val="000000"/>
                <w:lang w:bidi="ar-SA"/>
              </w:rPr>
              <w:t>Geriatric Psychiatric</w:t>
            </w:r>
          </w:p>
        </w:tc>
        <w:tc>
          <w:tcPr>
            <w:tcW w:w="1060" w:type="dxa"/>
            <w:tcBorders>
              <w:top w:val="nil"/>
              <w:left w:val="nil"/>
              <w:bottom w:val="single" w:sz="4" w:space="0" w:color="auto"/>
              <w:right w:val="single" w:sz="4" w:space="0" w:color="auto"/>
            </w:tcBorders>
            <w:shd w:val="clear" w:color="auto" w:fill="auto"/>
            <w:noWrap/>
            <w:vAlign w:val="bottom"/>
            <w:hideMark/>
          </w:tcPr>
          <w:p w14:paraId="6E7E004D" w14:textId="77777777" w:rsidR="00D7367E" w:rsidRPr="00D7367E" w:rsidRDefault="00D7367E" w:rsidP="00882AEE">
            <w:pPr>
              <w:widowControl/>
              <w:autoSpaceDE/>
              <w:autoSpaceDN/>
              <w:jc w:val="right"/>
              <w:rPr>
                <w:rFonts w:eastAsia="Times New Roman"/>
                <w:color w:val="000000"/>
                <w:lang w:bidi="ar-SA"/>
              </w:rPr>
            </w:pPr>
            <w:r w:rsidRPr="00D7367E">
              <w:rPr>
                <w:rFonts w:eastAsia="Times New Roman"/>
                <w:color w:val="000000"/>
                <w:lang w:bidi="ar-SA"/>
              </w:rPr>
              <w:t>20</w:t>
            </w:r>
          </w:p>
        </w:tc>
        <w:tc>
          <w:tcPr>
            <w:tcW w:w="1220" w:type="dxa"/>
            <w:tcBorders>
              <w:top w:val="nil"/>
              <w:left w:val="nil"/>
              <w:bottom w:val="single" w:sz="4" w:space="0" w:color="auto"/>
              <w:right w:val="single" w:sz="4" w:space="0" w:color="auto"/>
            </w:tcBorders>
            <w:shd w:val="clear" w:color="auto" w:fill="auto"/>
            <w:noWrap/>
            <w:vAlign w:val="bottom"/>
            <w:hideMark/>
          </w:tcPr>
          <w:p w14:paraId="72DE88C0" w14:textId="77777777" w:rsidR="00D7367E" w:rsidRPr="00D7367E" w:rsidRDefault="00D7367E" w:rsidP="00882AEE">
            <w:pPr>
              <w:widowControl/>
              <w:autoSpaceDE/>
              <w:autoSpaceDN/>
              <w:jc w:val="right"/>
              <w:rPr>
                <w:rFonts w:eastAsia="Times New Roman"/>
                <w:color w:val="000000"/>
                <w:lang w:bidi="ar-SA"/>
              </w:rPr>
            </w:pPr>
            <w:r w:rsidRPr="00D7367E">
              <w:rPr>
                <w:rFonts w:eastAsia="Times New Roman"/>
                <w:color w:val="000000"/>
                <w:lang w:bidi="ar-SA"/>
              </w:rPr>
              <w:t>30</w:t>
            </w:r>
          </w:p>
        </w:tc>
        <w:tc>
          <w:tcPr>
            <w:tcW w:w="1335" w:type="dxa"/>
            <w:tcBorders>
              <w:top w:val="nil"/>
              <w:left w:val="nil"/>
              <w:bottom w:val="single" w:sz="4" w:space="0" w:color="auto"/>
              <w:right w:val="single" w:sz="4" w:space="0" w:color="auto"/>
            </w:tcBorders>
            <w:shd w:val="clear" w:color="auto" w:fill="auto"/>
            <w:noWrap/>
            <w:vAlign w:val="bottom"/>
            <w:hideMark/>
          </w:tcPr>
          <w:p w14:paraId="5E31147A" w14:textId="77777777" w:rsidR="00D7367E" w:rsidRPr="00D7367E" w:rsidRDefault="00D7367E" w:rsidP="00882AEE">
            <w:pPr>
              <w:widowControl/>
              <w:autoSpaceDE/>
              <w:autoSpaceDN/>
              <w:jc w:val="right"/>
              <w:rPr>
                <w:rFonts w:eastAsia="Times New Roman"/>
                <w:color w:val="000000"/>
                <w:lang w:bidi="ar-SA"/>
              </w:rPr>
            </w:pPr>
            <w:r w:rsidRPr="00D7367E">
              <w:rPr>
                <w:rFonts w:eastAsia="Times New Roman"/>
                <w:color w:val="000000"/>
                <w:lang w:bidi="ar-SA"/>
              </w:rPr>
              <w:t>30</w:t>
            </w:r>
          </w:p>
        </w:tc>
        <w:tc>
          <w:tcPr>
            <w:tcW w:w="1520" w:type="dxa"/>
            <w:tcBorders>
              <w:top w:val="nil"/>
              <w:left w:val="nil"/>
              <w:bottom w:val="single" w:sz="4" w:space="0" w:color="auto"/>
              <w:right w:val="single" w:sz="4" w:space="0" w:color="auto"/>
            </w:tcBorders>
            <w:shd w:val="clear" w:color="auto" w:fill="auto"/>
            <w:noWrap/>
            <w:vAlign w:val="bottom"/>
            <w:hideMark/>
          </w:tcPr>
          <w:p w14:paraId="1BEB675C" w14:textId="77777777" w:rsidR="00D7367E" w:rsidRPr="00D7367E" w:rsidRDefault="00D7367E" w:rsidP="00882AEE">
            <w:pPr>
              <w:widowControl/>
              <w:autoSpaceDE/>
              <w:autoSpaceDN/>
              <w:jc w:val="right"/>
              <w:rPr>
                <w:rFonts w:eastAsia="Times New Roman"/>
                <w:color w:val="000000"/>
                <w:lang w:bidi="ar-SA"/>
              </w:rPr>
            </w:pPr>
            <w:r w:rsidRPr="00D7367E">
              <w:rPr>
                <w:rFonts w:eastAsia="Times New Roman"/>
                <w:color w:val="000000"/>
                <w:lang w:bidi="ar-SA"/>
              </w:rPr>
              <w:t>30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E90280" w14:textId="1B62A3A9" w:rsidR="00D7367E" w:rsidRPr="00D7367E" w:rsidRDefault="000E1CFA" w:rsidP="00882AEE">
            <w:pPr>
              <w:widowControl/>
              <w:autoSpaceDE/>
              <w:autoSpaceDN/>
              <w:jc w:val="right"/>
              <w:rPr>
                <w:rFonts w:eastAsia="Times New Roman"/>
                <w:color w:val="000000"/>
                <w:lang w:bidi="ar-SA"/>
              </w:rPr>
            </w:pPr>
            <w:r w:rsidRPr="000E1CFA">
              <w:rPr>
                <w:rFonts w:eastAsia="Times New Roman"/>
                <w:color w:val="000000"/>
                <w:lang w:bidi="ar-SA"/>
              </w:rPr>
              <w:t xml:space="preserve">No Change </w:t>
            </w:r>
          </w:p>
        </w:tc>
      </w:tr>
      <w:tr w:rsidR="00D7367E" w:rsidRPr="00D7367E" w14:paraId="643DC031" w14:textId="77777777" w:rsidTr="00F51F2D">
        <w:trPr>
          <w:cantSplit/>
          <w:trHeight w:val="300"/>
          <w:jc w:val="center"/>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1E2645A6" w14:textId="77777777" w:rsidR="00D7367E" w:rsidRPr="00D7367E" w:rsidRDefault="00D7367E" w:rsidP="00882AEE">
            <w:pPr>
              <w:widowControl/>
              <w:autoSpaceDE/>
              <w:autoSpaceDN/>
              <w:rPr>
                <w:rFonts w:eastAsia="Times New Roman"/>
                <w:color w:val="000000"/>
                <w:lang w:bidi="ar-SA"/>
              </w:rPr>
            </w:pPr>
            <w:r w:rsidRPr="00D7367E">
              <w:rPr>
                <w:rFonts w:eastAsia="Times New Roman"/>
                <w:color w:val="000000"/>
                <w:lang w:bidi="ar-SA"/>
              </w:rPr>
              <w:t>Pediatric Psychiatric</w:t>
            </w:r>
          </w:p>
        </w:tc>
        <w:tc>
          <w:tcPr>
            <w:tcW w:w="1060" w:type="dxa"/>
            <w:tcBorders>
              <w:top w:val="nil"/>
              <w:left w:val="nil"/>
              <w:bottom w:val="single" w:sz="4" w:space="0" w:color="auto"/>
              <w:right w:val="single" w:sz="4" w:space="0" w:color="auto"/>
            </w:tcBorders>
            <w:shd w:val="clear" w:color="auto" w:fill="auto"/>
            <w:noWrap/>
            <w:vAlign w:val="bottom"/>
            <w:hideMark/>
          </w:tcPr>
          <w:p w14:paraId="3D4AAB13" w14:textId="77777777" w:rsidR="00D7367E" w:rsidRPr="00D7367E" w:rsidRDefault="00D7367E" w:rsidP="00882AEE">
            <w:pPr>
              <w:widowControl/>
              <w:autoSpaceDE/>
              <w:autoSpaceDN/>
              <w:jc w:val="right"/>
              <w:rPr>
                <w:rFonts w:eastAsia="Times New Roman"/>
                <w:color w:val="000000"/>
                <w:lang w:bidi="ar-SA"/>
              </w:rPr>
            </w:pPr>
            <w:r w:rsidRPr="00D7367E">
              <w:rPr>
                <w:rFonts w:eastAsia="Times New Roman"/>
                <w:color w:val="000000"/>
                <w:lang w:bidi="ar-SA"/>
              </w:rPr>
              <w:t>20</w:t>
            </w:r>
          </w:p>
        </w:tc>
        <w:tc>
          <w:tcPr>
            <w:tcW w:w="1220" w:type="dxa"/>
            <w:tcBorders>
              <w:top w:val="nil"/>
              <w:left w:val="nil"/>
              <w:bottom w:val="single" w:sz="4" w:space="0" w:color="auto"/>
              <w:right w:val="single" w:sz="4" w:space="0" w:color="auto"/>
            </w:tcBorders>
            <w:shd w:val="clear" w:color="auto" w:fill="auto"/>
            <w:noWrap/>
            <w:vAlign w:val="bottom"/>
            <w:hideMark/>
          </w:tcPr>
          <w:p w14:paraId="7491D376" w14:textId="77777777" w:rsidR="00D7367E" w:rsidRPr="00D7367E" w:rsidRDefault="00D7367E" w:rsidP="00882AEE">
            <w:pPr>
              <w:widowControl/>
              <w:autoSpaceDE/>
              <w:autoSpaceDN/>
              <w:jc w:val="right"/>
              <w:rPr>
                <w:rFonts w:eastAsia="Times New Roman"/>
                <w:color w:val="000000"/>
                <w:lang w:bidi="ar-SA"/>
              </w:rPr>
            </w:pPr>
            <w:r w:rsidRPr="00D7367E">
              <w:rPr>
                <w:rFonts w:eastAsia="Times New Roman"/>
                <w:color w:val="000000"/>
                <w:lang w:bidi="ar-SA"/>
              </w:rPr>
              <w:t>30</w:t>
            </w:r>
          </w:p>
        </w:tc>
        <w:tc>
          <w:tcPr>
            <w:tcW w:w="1335" w:type="dxa"/>
            <w:tcBorders>
              <w:top w:val="nil"/>
              <w:left w:val="nil"/>
              <w:bottom w:val="single" w:sz="4" w:space="0" w:color="auto"/>
              <w:right w:val="single" w:sz="4" w:space="0" w:color="auto"/>
            </w:tcBorders>
            <w:shd w:val="clear" w:color="auto" w:fill="auto"/>
            <w:noWrap/>
            <w:vAlign w:val="bottom"/>
            <w:hideMark/>
          </w:tcPr>
          <w:p w14:paraId="196A54B9" w14:textId="77777777" w:rsidR="00D7367E" w:rsidRPr="00D7367E" w:rsidRDefault="00D7367E" w:rsidP="00882AEE">
            <w:pPr>
              <w:widowControl/>
              <w:autoSpaceDE/>
              <w:autoSpaceDN/>
              <w:jc w:val="right"/>
              <w:rPr>
                <w:rFonts w:eastAsia="Times New Roman"/>
                <w:color w:val="000000"/>
                <w:lang w:bidi="ar-SA"/>
              </w:rPr>
            </w:pPr>
            <w:r w:rsidRPr="00D7367E">
              <w:rPr>
                <w:rFonts w:eastAsia="Times New Roman"/>
                <w:color w:val="000000"/>
                <w:lang w:bidi="ar-SA"/>
              </w:rPr>
              <w:t>30</w:t>
            </w:r>
          </w:p>
        </w:tc>
        <w:tc>
          <w:tcPr>
            <w:tcW w:w="1520" w:type="dxa"/>
            <w:tcBorders>
              <w:top w:val="nil"/>
              <w:left w:val="nil"/>
              <w:bottom w:val="single" w:sz="4" w:space="0" w:color="auto"/>
              <w:right w:val="single" w:sz="4" w:space="0" w:color="auto"/>
            </w:tcBorders>
            <w:shd w:val="clear" w:color="auto" w:fill="auto"/>
            <w:noWrap/>
            <w:vAlign w:val="bottom"/>
            <w:hideMark/>
          </w:tcPr>
          <w:p w14:paraId="1F41049E" w14:textId="77777777" w:rsidR="00D7367E" w:rsidRPr="00D7367E" w:rsidRDefault="00D7367E" w:rsidP="00882AEE">
            <w:pPr>
              <w:widowControl/>
              <w:autoSpaceDE/>
              <w:autoSpaceDN/>
              <w:jc w:val="right"/>
              <w:rPr>
                <w:rFonts w:eastAsia="Times New Roman"/>
                <w:color w:val="000000"/>
                <w:lang w:bidi="ar-SA"/>
              </w:rPr>
            </w:pPr>
            <w:r w:rsidRPr="00D7367E">
              <w:rPr>
                <w:rFonts w:eastAsia="Times New Roman"/>
                <w:color w:val="000000"/>
                <w:lang w:bidi="ar-SA"/>
              </w:rPr>
              <w:t>30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5AD8D9" w14:textId="24C6273E" w:rsidR="00D7367E" w:rsidRPr="00D7367E" w:rsidRDefault="000E1CFA" w:rsidP="00882AEE">
            <w:pPr>
              <w:widowControl/>
              <w:autoSpaceDE/>
              <w:autoSpaceDN/>
              <w:jc w:val="right"/>
              <w:rPr>
                <w:rFonts w:eastAsia="Times New Roman"/>
                <w:color w:val="000000"/>
                <w:lang w:bidi="ar-SA"/>
              </w:rPr>
            </w:pPr>
            <w:r w:rsidRPr="000E1CFA">
              <w:rPr>
                <w:rFonts w:eastAsia="Times New Roman"/>
                <w:color w:val="000000"/>
                <w:lang w:bidi="ar-SA"/>
              </w:rPr>
              <w:t xml:space="preserve">No Change </w:t>
            </w:r>
          </w:p>
        </w:tc>
      </w:tr>
    </w:tbl>
    <w:p w14:paraId="430DF77D" w14:textId="77777777" w:rsidR="00D7367E" w:rsidRDefault="00D7367E" w:rsidP="00882AEE">
      <w:pPr>
        <w:spacing w:before="52"/>
        <w:ind w:right="-10"/>
        <w:rPr>
          <w:sz w:val="24"/>
        </w:rPr>
      </w:pPr>
    </w:p>
    <w:p w14:paraId="468DAA8E" w14:textId="3E4D46BF" w:rsidR="006E7C22" w:rsidRDefault="00910D52" w:rsidP="00882AEE">
      <w:pPr>
        <w:pStyle w:val="BodyText"/>
        <w:rPr>
          <w:b/>
          <w:bCs/>
          <w:sz w:val="24"/>
          <w:szCs w:val="24"/>
          <w:u w:val="single"/>
        </w:rPr>
      </w:pPr>
      <w:r w:rsidRPr="004069B4">
        <w:rPr>
          <w:b/>
          <w:bCs/>
          <w:sz w:val="24"/>
          <w:szCs w:val="24"/>
          <w:u w:val="single"/>
        </w:rPr>
        <w:t>Proposed Amendment</w:t>
      </w:r>
    </w:p>
    <w:p w14:paraId="359FE979" w14:textId="77777777" w:rsidR="00482351" w:rsidRPr="001D1C01" w:rsidRDefault="00482351" w:rsidP="00882AEE">
      <w:pPr>
        <w:pStyle w:val="BodyText"/>
        <w:rPr>
          <w:b/>
          <w:bCs/>
          <w:sz w:val="24"/>
          <w:szCs w:val="24"/>
        </w:rPr>
      </w:pPr>
    </w:p>
    <w:p w14:paraId="18B39AEA" w14:textId="6BE229D6" w:rsidR="008C5DD4" w:rsidRDefault="00D200F1" w:rsidP="00882AEE">
      <w:pPr>
        <w:ind w:right="-10"/>
        <w:rPr>
          <w:sz w:val="24"/>
        </w:rPr>
      </w:pPr>
      <w:r>
        <w:rPr>
          <w:sz w:val="24"/>
        </w:rPr>
        <w:t xml:space="preserve">With this third </w:t>
      </w:r>
      <w:r w:rsidR="003B2CA9">
        <w:rPr>
          <w:sz w:val="24"/>
        </w:rPr>
        <w:t>Significant A</w:t>
      </w:r>
      <w:r>
        <w:rPr>
          <w:sz w:val="24"/>
        </w:rPr>
        <w:t xml:space="preserve">mendment, the holder </w:t>
      </w:r>
      <w:r w:rsidRPr="00D200F1">
        <w:rPr>
          <w:sz w:val="24"/>
        </w:rPr>
        <w:t>proposes to build</w:t>
      </w:r>
      <w:r w:rsidR="00482351">
        <w:rPr>
          <w:sz w:val="24"/>
        </w:rPr>
        <w:t>-</w:t>
      </w:r>
      <w:r w:rsidRPr="00D200F1">
        <w:rPr>
          <w:sz w:val="24"/>
        </w:rPr>
        <w:t xml:space="preserve">out </w:t>
      </w:r>
      <w:r w:rsidR="00B20B56">
        <w:rPr>
          <w:sz w:val="24"/>
        </w:rPr>
        <w:t xml:space="preserve">the remaining </w:t>
      </w:r>
      <w:r w:rsidR="00AA059E" w:rsidRPr="00AA059E">
        <w:rPr>
          <w:sz w:val="24"/>
        </w:rPr>
        <w:t xml:space="preserve">19,665 GSF </w:t>
      </w:r>
      <w:r w:rsidR="00AA059E">
        <w:rPr>
          <w:sz w:val="24"/>
        </w:rPr>
        <w:t xml:space="preserve">of </w:t>
      </w:r>
      <w:r>
        <w:rPr>
          <w:sz w:val="24"/>
        </w:rPr>
        <w:t xml:space="preserve">approved shell space </w:t>
      </w:r>
      <w:r w:rsidR="00482351" w:rsidRPr="00D200F1">
        <w:rPr>
          <w:sz w:val="24"/>
        </w:rPr>
        <w:t>to</w:t>
      </w:r>
      <w:r w:rsidRPr="00D200F1">
        <w:rPr>
          <w:sz w:val="24"/>
        </w:rPr>
        <w:t xml:space="preserve"> accommodate </w:t>
      </w:r>
      <w:r>
        <w:rPr>
          <w:sz w:val="24"/>
        </w:rPr>
        <w:t xml:space="preserve">the construction of </w:t>
      </w:r>
      <w:r w:rsidRPr="00D200F1">
        <w:rPr>
          <w:sz w:val="24"/>
        </w:rPr>
        <w:t>24</w:t>
      </w:r>
      <w:r w:rsidR="00C54924">
        <w:rPr>
          <w:rStyle w:val="FootnoteReference"/>
          <w:sz w:val="24"/>
        </w:rPr>
        <w:footnoteReference w:id="4"/>
      </w:r>
      <w:r w:rsidRPr="00D200F1">
        <w:rPr>
          <w:sz w:val="24"/>
        </w:rPr>
        <w:t xml:space="preserve"> private medical/surgical beds</w:t>
      </w:r>
      <w:r w:rsidR="008C5DD4">
        <w:rPr>
          <w:sz w:val="24"/>
        </w:rPr>
        <w:t xml:space="preserve"> </w:t>
      </w:r>
      <w:r w:rsidR="00931480">
        <w:rPr>
          <w:sz w:val="24"/>
        </w:rPr>
        <w:t>(</w:t>
      </w:r>
      <w:r w:rsidR="008C5DD4">
        <w:rPr>
          <w:sz w:val="24"/>
        </w:rPr>
        <w:t xml:space="preserve">and </w:t>
      </w:r>
      <w:r w:rsidRPr="00D200F1">
        <w:rPr>
          <w:sz w:val="24"/>
        </w:rPr>
        <w:t xml:space="preserve">to </w:t>
      </w:r>
      <w:r w:rsidR="00931480">
        <w:rPr>
          <w:sz w:val="24"/>
        </w:rPr>
        <w:t xml:space="preserve">concurrently </w:t>
      </w:r>
      <w:r w:rsidRPr="00D200F1">
        <w:rPr>
          <w:sz w:val="24"/>
        </w:rPr>
        <w:t xml:space="preserve">close </w:t>
      </w:r>
      <w:r w:rsidR="00931480">
        <w:rPr>
          <w:sz w:val="24"/>
        </w:rPr>
        <w:t xml:space="preserve">11 M/S beds in </w:t>
      </w:r>
      <w:r w:rsidRPr="00D200F1">
        <w:rPr>
          <w:sz w:val="24"/>
        </w:rPr>
        <w:t>multi-bedded rooms</w:t>
      </w:r>
      <w:r w:rsidR="00931480">
        <w:rPr>
          <w:sz w:val="24"/>
        </w:rPr>
        <w:t>),</w:t>
      </w:r>
      <w:r w:rsidR="008C5DD4">
        <w:rPr>
          <w:sz w:val="24"/>
        </w:rPr>
        <w:t xml:space="preserve"> resulting in a net increase of 13 new </w:t>
      </w:r>
      <w:r w:rsidR="00211446">
        <w:rPr>
          <w:sz w:val="24"/>
        </w:rPr>
        <w:t xml:space="preserve">licensed </w:t>
      </w:r>
      <w:r w:rsidR="00211446" w:rsidRPr="00D200F1">
        <w:rPr>
          <w:sz w:val="24"/>
        </w:rPr>
        <w:t>medical</w:t>
      </w:r>
      <w:r w:rsidRPr="00D200F1">
        <w:rPr>
          <w:sz w:val="24"/>
        </w:rPr>
        <w:t>/surgical beds</w:t>
      </w:r>
      <w:r w:rsidR="00B20B56">
        <w:rPr>
          <w:sz w:val="24"/>
        </w:rPr>
        <w:t xml:space="preserve"> </w:t>
      </w:r>
      <w:r w:rsidR="00931480">
        <w:rPr>
          <w:sz w:val="24"/>
        </w:rPr>
        <w:t>and</w:t>
      </w:r>
      <w:r w:rsidR="00B20B56">
        <w:rPr>
          <w:sz w:val="24"/>
        </w:rPr>
        <w:t xml:space="preserve"> a </w:t>
      </w:r>
      <w:r w:rsidR="008C5DD4" w:rsidRPr="008C5DD4">
        <w:rPr>
          <w:sz w:val="24"/>
        </w:rPr>
        <w:t xml:space="preserve">licensed and operational bed count </w:t>
      </w:r>
      <w:r w:rsidR="00B20B56">
        <w:rPr>
          <w:sz w:val="24"/>
        </w:rPr>
        <w:t xml:space="preserve">of </w:t>
      </w:r>
      <w:r w:rsidR="008C5DD4" w:rsidRPr="008C5DD4">
        <w:rPr>
          <w:sz w:val="24"/>
        </w:rPr>
        <w:t>212 beds</w:t>
      </w:r>
      <w:r w:rsidR="00AA059E">
        <w:rPr>
          <w:sz w:val="24"/>
        </w:rPr>
        <w:t xml:space="preserve"> at Salem Hospital</w:t>
      </w:r>
      <w:r w:rsidR="008C5DD4">
        <w:rPr>
          <w:sz w:val="24"/>
        </w:rPr>
        <w:t>.</w:t>
      </w:r>
      <w:r w:rsidR="00C54924">
        <w:rPr>
          <w:sz w:val="24"/>
        </w:rPr>
        <w:t xml:space="preserve"> </w:t>
      </w:r>
    </w:p>
    <w:p w14:paraId="3A3779CB" w14:textId="518AF5AA" w:rsidR="008C5DD4" w:rsidRDefault="008C5DD4" w:rsidP="00882AEE">
      <w:pPr>
        <w:ind w:right="-10"/>
        <w:rPr>
          <w:sz w:val="24"/>
        </w:rPr>
      </w:pPr>
    </w:p>
    <w:p w14:paraId="50A337FE" w14:textId="2C5AF6D8" w:rsidR="00690073" w:rsidRDefault="008C5DD4" w:rsidP="00882AEE">
      <w:pPr>
        <w:ind w:right="-10"/>
        <w:rPr>
          <w:sz w:val="24"/>
        </w:rPr>
      </w:pPr>
      <w:r>
        <w:rPr>
          <w:sz w:val="24"/>
        </w:rPr>
        <w:t>The reason for the change is t</w:t>
      </w:r>
      <w:r w:rsidRPr="008C5DD4">
        <w:rPr>
          <w:sz w:val="24"/>
        </w:rPr>
        <w:t>he Hospital has experienced steady, increased demand for medical/surgical admissions</w:t>
      </w:r>
      <w:r w:rsidR="00482351">
        <w:rPr>
          <w:sz w:val="24"/>
        </w:rPr>
        <w:t xml:space="preserve"> as indicated by </w:t>
      </w:r>
      <w:r w:rsidR="00482351" w:rsidRPr="00AF29B7">
        <w:rPr>
          <w:sz w:val="24"/>
        </w:rPr>
        <w:t>rising patient days</w:t>
      </w:r>
      <w:r w:rsidR="00211446">
        <w:rPr>
          <w:sz w:val="24"/>
        </w:rPr>
        <w:t>,</w:t>
      </w:r>
      <w:r w:rsidRPr="008C5DD4">
        <w:rPr>
          <w:sz w:val="24"/>
        </w:rPr>
        <w:t xml:space="preserve"> occupancy rates</w:t>
      </w:r>
      <w:r w:rsidR="00211446">
        <w:rPr>
          <w:sz w:val="24"/>
        </w:rPr>
        <w:t>,</w:t>
      </w:r>
      <w:r w:rsidRPr="008C5DD4">
        <w:rPr>
          <w:sz w:val="24"/>
        </w:rPr>
        <w:t xml:space="preserve"> and ED boarding due to the lack of available </w:t>
      </w:r>
      <w:r w:rsidR="00482351">
        <w:rPr>
          <w:sz w:val="24"/>
        </w:rPr>
        <w:t xml:space="preserve">M/S </w:t>
      </w:r>
      <w:r w:rsidRPr="008C5DD4">
        <w:rPr>
          <w:sz w:val="24"/>
        </w:rPr>
        <w:t>beds to admit patients from the ED.</w:t>
      </w:r>
      <w:r>
        <w:rPr>
          <w:sz w:val="24"/>
        </w:rPr>
        <w:t xml:space="preserve"> </w:t>
      </w:r>
      <w:r w:rsidR="00580DAB">
        <w:rPr>
          <w:sz w:val="24"/>
        </w:rPr>
        <w:t>T</w:t>
      </w:r>
      <w:r w:rsidR="00580DAB" w:rsidRPr="00580DAB">
        <w:rPr>
          <w:sz w:val="24"/>
        </w:rPr>
        <w:t>he current number of operating beds is 188.</w:t>
      </w:r>
      <w:r w:rsidR="00580DAB">
        <w:rPr>
          <w:sz w:val="24"/>
        </w:rPr>
        <w:t xml:space="preserve"> </w:t>
      </w:r>
      <w:r w:rsidR="000E0CBF">
        <w:rPr>
          <w:sz w:val="24"/>
        </w:rPr>
        <w:t>E</w:t>
      </w:r>
      <w:r w:rsidR="000E0CBF" w:rsidRPr="000E0CBF">
        <w:rPr>
          <w:sz w:val="24"/>
        </w:rPr>
        <w:t>xcept for times of surge</w:t>
      </w:r>
      <w:r w:rsidR="000E0CBF">
        <w:rPr>
          <w:sz w:val="24"/>
        </w:rPr>
        <w:t>,</w:t>
      </w:r>
      <w:r w:rsidR="000E0CBF" w:rsidRPr="000E0CBF">
        <w:rPr>
          <w:sz w:val="24"/>
        </w:rPr>
        <w:t xml:space="preserve"> </w:t>
      </w:r>
      <w:r w:rsidR="000E0CBF">
        <w:rPr>
          <w:sz w:val="24"/>
        </w:rPr>
        <w:t>t</w:t>
      </w:r>
      <w:r w:rsidR="00690073" w:rsidRPr="00690073">
        <w:rPr>
          <w:sz w:val="24"/>
        </w:rPr>
        <w:t>he</w:t>
      </w:r>
      <w:r w:rsidR="00690073">
        <w:rPr>
          <w:sz w:val="24"/>
        </w:rPr>
        <w:t>re are currently</w:t>
      </w:r>
      <w:r w:rsidR="00690073" w:rsidRPr="00690073">
        <w:rPr>
          <w:sz w:val="24"/>
        </w:rPr>
        <w:t xml:space="preserve"> 11 beds not in service </w:t>
      </w:r>
      <w:r w:rsidR="00690073">
        <w:rPr>
          <w:sz w:val="24"/>
        </w:rPr>
        <w:t>(</w:t>
      </w:r>
      <w:r w:rsidR="00690073" w:rsidRPr="00690073">
        <w:rPr>
          <w:sz w:val="24"/>
        </w:rPr>
        <w:t>located in triple and quadruple occupancy rooms</w:t>
      </w:r>
      <w:r w:rsidR="00690073">
        <w:rPr>
          <w:sz w:val="24"/>
        </w:rPr>
        <w:t>)</w:t>
      </w:r>
      <w:r w:rsidR="00690073" w:rsidRPr="00690073">
        <w:rPr>
          <w:sz w:val="24"/>
        </w:rPr>
        <w:t xml:space="preserve"> due to issues of </w:t>
      </w:r>
      <w:r w:rsidR="00580DAB">
        <w:rPr>
          <w:sz w:val="24"/>
        </w:rPr>
        <w:t xml:space="preserve">infection control, and </w:t>
      </w:r>
      <w:r w:rsidR="00690073" w:rsidRPr="00690073">
        <w:rPr>
          <w:sz w:val="24"/>
        </w:rPr>
        <w:t>patient compatibly (age, gender, behavior) that prevent the beds from being used consistently.</w:t>
      </w:r>
      <w:r w:rsidR="001E6426" w:rsidRPr="001E6426">
        <w:t xml:space="preserve"> </w:t>
      </w:r>
    </w:p>
    <w:p w14:paraId="67465617" w14:textId="77777777" w:rsidR="00690073" w:rsidRDefault="00690073" w:rsidP="00882AEE">
      <w:pPr>
        <w:ind w:right="-10"/>
        <w:rPr>
          <w:sz w:val="24"/>
        </w:rPr>
      </w:pPr>
    </w:p>
    <w:p w14:paraId="4250198E" w14:textId="0E07A91A" w:rsidR="0073384F" w:rsidRDefault="008C5DD4" w:rsidP="00882AEE">
      <w:pPr>
        <w:ind w:right="-10"/>
        <w:rPr>
          <w:sz w:val="24"/>
        </w:rPr>
      </w:pPr>
      <w:r w:rsidRPr="008C5DD4">
        <w:rPr>
          <w:sz w:val="24"/>
        </w:rPr>
        <w:t>The Hospital’s medical/surgical occupancy rate for operating beds increased from 79% in 2019 to 88% in 2021.</w:t>
      </w:r>
      <w:r>
        <w:rPr>
          <w:sz w:val="24"/>
        </w:rPr>
        <w:t xml:space="preserve"> </w:t>
      </w:r>
      <w:r w:rsidRPr="008C5DD4">
        <w:rPr>
          <w:sz w:val="24"/>
        </w:rPr>
        <w:t>This trend continues with the Hospital’s operational beds at 95.4% occupancy from October 2021-March 2022.</w:t>
      </w:r>
      <w:r w:rsidR="00211446">
        <w:rPr>
          <w:sz w:val="24"/>
        </w:rPr>
        <w:t xml:space="preserve"> </w:t>
      </w:r>
      <w:r>
        <w:rPr>
          <w:sz w:val="24"/>
        </w:rPr>
        <w:t>As a result, t</w:t>
      </w:r>
      <w:r w:rsidRPr="008C5DD4">
        <w:rPr>
          <w:sz w:val="24"/>
        </w:rPr>
        <w:t xml:space="preserve">he Hospital is operating above </w:t>
      </w:r>
      <w:r w:rsidR="00E71CD1">
        <w:rPr>
          <w:sz w:val="24"/>
        </w:rPr>
        <w:t xml:space="preserve">the industry </w:t>
      </w:r>
      <w:r w:rsidRPr="008C5DD4">
        <w:rPr>
          <w:sz w:val="24"/>
        </w:rPr>
        <w:t>standard</w:t>
      </w:r>
      <w:r w:rsidR="00E71CD1">
        <w:rPr>
          <w:sz w:val="24"/>
        </w:rPr>
        <w:t xml:space="preserve"> </w:t>
      </w:r>
      <w:r w:rsidR="00A4470B">
        <w:rPr>
          <w:sz w:val="24"/>
        </w:rPr>
        <w:t xml:space="preserve">of </w:t>
      </w:r>
      <w:r w:rsidR="00E71CD1">
        <w:rPr>
          <w:sz w:val="24"/>
        </w:rPr>
        <w:t>85% for optimal operating efficiency</w:t>
      </w:r>
      <w:r w:rsidR="00312BB5">
        <w:rPr>
          <w:rStyle w:val="EndnoteReference"/>
          <w:sz w:val="24"/>
        </w:rPr>
        <w:endnoteReference w:id="1"/>
      </w:r>
      <w:r w:rsidR="00312BB5" w:rsidRPr="008C5DD4">
        <w:rPr>
          <w:sz w:val="24"/>
        </w:rPr>
        <w:t>,</w:t>
      </w:r>
      <w:r w:rsidRPr="008C5DD4">
        <w:rPr>
          <w:sz w:val="24"/>
        </w:rPr>
        <w:t xml:space="preserve"> impacting timely access to inpatient care.</w:t>
      </w:r>
    </w:p>
    <w:p w14:paraId="34097247" w14:textId="77777777" w:rsidR="0073384F" w:rsidRDefault="0073384F" w:rsidP="00882AEE">
      <w:pPr>
        <w:ind w:right="-10"/>
        <w:rPr>
          <w:sz w:val="24"/>
        </w:rPr>
      </w:pPr>
    </w:p>
    <w:p w14:paraId="66E69D01" w14:textId="27125E6B" w:rsidR="00E71CD1" w:rsidRDefault="0073384F" w:rsidP="00882AEE">
      <w:pPr>
        <w:ind w:right="-10"/>
        <w:rPr>
          <w:sz w:val="24"/>
        </w:rPr>
      </w:pPr>
      <w:r>
        <w:rPr>
          <w:sz w:val="24"/>
        </w:rPr>
        <w:t>A</w:t>
      </w:r>
      <w:r w:rsidR="00E71CD1">
        <w:rPr>
          <w:sz w:val="24"/>
        </w:rPr>
        <w:t>lso, t</w:t>
      </w:r>
      <w:r w:rsidR="00E71CD1" w:rsidRPr="00E71CD1">
        <w:rPr>
          <w:sz w:val="24"/>
        </w:rPr>
        <w:t xml:space="preserve">he total number of </w:t>
      </w:r>
      <w:r w:rsidR="00A4470B">
        <w:rPr>
          <w:sz w:val="24"/>
        </w:rPr>
        <w:t xml:space="preserve">M/S </w:t>
      </w:r>
      <w:r w:rsidR="00E71CD1" w:rsidRPr="00E71CD1">
        <w:rPr>
          <w:sz w:val="24"/>
        </w:rPr>
        <w:t>patient days ha</w:t>
      </w:r>
      <w:r w:rsidR="00E71CD1">
        <w:rPr>
          <w:sz w:val="24"/>
        </w:rPr>
        <w:t>s</w:t>
      </w:r>
      <w:r w:rsidR="00E71CD1" w:rsidRPr="00E71CD1">
        <w:rPr>
          <w:sz w:val="24"/>
        </w:rPr>
        <w:t xml:space="preserve"> steadily increased from FY19-FY21. Patient days increased 1.6% from FY19-FY21. Based on FY22 patient days through</w:t>
      </w:r>
      <w:r w:rsidR="00E71CD1">
        <w:rPr>
          <w:sz w:val="24"/>
        </w:rPr>
        <w:t xml:space="preserve"> </w:t>
      </w:r>
      <w:r w:rsidR="00E71CD1" w:rsidRPr="00E71CD1">
        <w:rPr>
          <w:sz w:val="24"/>
        </w:rPr>
        <w:t>March 2022, the Hospital projects that patient days will increase by 6.9% from FY21-FY22.</w:t>
      </w:r>
      <w:r w:rsidR="00AF29B7">
        <w:rPr>
          <w:rStyle w:val="FootnoteReference"/>
          <w:sz w:val="24"/>
        </w:rPr>
        <w:footnoteReference w:id="5"/>
      </w:r>
      <w:r w:rsidR="00E71CD1">
        <w:rPr>
          <w:sz w:val="24"/>
        </w:rPr>
        <w:t xml:space="preserve"> </w:t>
      </w:r>
      <w:r w:rsidR="00E71CD1" w:rsidRPr="00E71CD1">
        <w:rPr>
          <w:sz w:val="24"/>
        </w:rPr>
        <w:t>In addition, the ALOS for all patients occupying a medical/surgical bed increased from 3.30 to 3.45 days from FY19-FY21. The length of stay for admitted patients is 4.78 for the first five months of FY22. As a result, beds remain occupied for longer periods each year leading to higher overall occupancy rates.</w:t>
      </w:r>
      <w:r w:rsidR="00931480">
        <w:rPr>
          <w:sz w:val="24"/>
        </w:rPr>
        <w:t xml:space="preserve"> </w:t>
      </w:r>
      <w:r w:rsidR="00E71CD1">
        <w:rPr>
          <w:sz w:val="24"/>
        </w:rPr>
        <w:t>With increased patient days and ALOS, the</w:t>
      </w:r>
      <w:r w:rsidR="00E71CD1" w:rsidRPr="00E71CD1">
        <w:rPr>
          <w:sz w:val="24"/>
        </w:rPr>
        <w:t xml:space="preserve"> data suggests that patients requiring inpatient care at the Hospital are sicker than previously</w:t>
      </w:r>
      <w:r w:rsidR="00AF29B7">
        <w:rPr>
          <w:sz w:val="24"/>
        </w:rPr>
        <w:t xml:space="preserve"> the Applicant asserts.</w:t>
      </w:r>
    </w:p>
    <w:p w14:paraId="489B013C" w14:textId="7D8B38FA" w:rsidR="00A4470B" w:rsidRDefault="00A4470B" w:rsidP="00882AEE">
      <w:pPr>
        <w:ind w:right="-10"/>
        <w:rPr>
          <w:sz w:val="24"/>
        </w:rPr>
      </w:pPr>
    </w:p>
    <w:p w14:paraId="06DA7C42" w14:textId="2FFE445D" w:rsidR="005C7363" w:rsidRDefault="00675BA3" w:rsidP="00882AEE">
      <w:pPr>
        <w:ind w:right="-10"/>
        <w:rPr>
          <w:sz w:val="24"/>
        </w:rPr>
      </w:pPr>
      <w:r w:rsidRPr="00675BA3">
        <w:rPr>
          <w:sz w:val="24"/>
        </w:rPr>
        <w:t>The Hospital’s ED boarder hours for M/S patients awaiting admission increased from 20,909 hours in FY20 to 27,644 hours for the five-month period between October 2021-March 2022</w:t>
      </w:r>
      <w:r>
        <w:rPr>
          <w:sz w:val="24"/>
        </w:rPr>
        <w:t>. T</w:t>
      </w:r>
      <w:r w:rsidR="00A4470B" w:rsidRPr="00A4470B">
        <w:rPr>
          <w:sz w:val="24"/>
        </w:rPr>
        <w:t>he M/S average boarding time has more than doubled from 2.2 hours in FY20 to 5.6 hours for the first five months of 2022</w:t>
      </w:r>
      <w:r w:rsidR="00482351" w:rsidRPr="00482351">
        <w:rPr>
          <w:sz w:val="24"/>
        </w:rPr>
        <w:t xml:space="preserve">. When annualized, the Hospital is on track to have 68,368 boarder hours in FY22. </w:t>
      </w:r>
      <w:r w:rsidR="005C7363">
        <w:rPr>
          <w:sz w:val="24"/>
        </w:rPr>
        <w:t xml:space="preserve">This impacts the ability of the hospital to efficiently provide care. </w:t>
      </w:r>
    </w:p>
    <w:p w14:paraId="183F0793" w14:textId="1458ECD9" w:rsidR="005A293F" w:rsidRPr="005A293F" w:rsidRDefault="005A293F" w:rsidP="00882AEE">
      <w:pPr>
        <w:ind w:right="-10"/>
        <w:rPr>
          <w:sz w:val="24"/>
        </w:rPr>
      </w:pPr>
      <w:r w:rsidRPr="005A293F">
        <w:rPr>
          <w:sz w:val="24"/>
        </w:rPr>
        <w:t>ED avoidance due to COVID depressed ED utilization in the second half of FY20</w:t>
      </w:r>
      <w:r w:rsidR="00712F8C">
        <w:rPr>
          <w:sz w:val="24"/>
        </w:rPr>
        <w:t xml:space="preserve">. However, </w:t>
      </w:r>
      <w:r w:rsidRPr="005A293F">
        <w:rPr>
          <w:sz w:val="24"/>
        </w:rPr>
        <w:t>the Holder asserts</w:t>
      </w:r>
      <w:r w:rsidR="006A2AD4">
        <w:rPr>
          <w:sz w:val="24"/>
        </w:rPr>
        <w:t xml:space="preserve"> that currently </w:t>
      </w:r>
      <w:r w:rsidR="00F60209" w:rsidRPr="00F60209">
        <w:rPr>
          <w:sz w:val="24"/>
        </w:rPr>
        <w:t>in</w:t>
      </w:r>
      <w:r w:rsidR="006A2AD4">
        <w:rPr>
          <w:sz w:val="24"/>
        </w:rPr>
        <w:t>cr</w:t>
      </w:r>
      <w:r w:rsidR="00F60209" w:rsidRPr="00F60209">
        <w:rPr>
          <w:sz w:val="24"/>
        </w:rPr>
        <w:t xml:space="preserve">eased medical/surgical utilization </w:t>
      </w:r>
      <w:r w:rsidR="000E0CBF">
        <w:rPr>
          <w:sz w:val="24"/>
        </w:rPr>
        <w:t>described</w:t>
      </w:r>
      <w:r w:rsidR="006A2AD4">
        <w:rPr>
          <w:sz w:val="24"/>
        </w:rPr>
        <w:t xml:space="preserve"> herein</w:t>
      </w:r>
      <w:r w:rsidR="000E0CBF">
        <w:rPr>
          <w:sz w:val="24"/>
        </w:rPr>
        <w:t xml:space="preserve">, </w:t>
      </w:r>
      <w:r w:rsidR="006A2AD4">
        <w:rPr>
          <w:sz w:val="24"/>
        </w:rPr>
        <w:t xml:space="preserve">is now having </w:t>
      </w:r>
      <w:r w:rsidR="00F60209" w:rsidRPr="00F60209">
        <w:rPr>
          <w:sz w:val="24"/>
        </w:rPr>
        <w:t>an adverse impact on the Hospital’s ability provide timely care to all ED patients</w:t>
      </w:r>
      <w:r w:rsidR="006A2AD4">
        <w:rPr>
          <w:sz w:val="24"/>
        </w:rPr>
        <w:t xml:space="preserve">, not just </w:t>
      </w:r>
      <w:r w:rsidR="006A2AD4">
        <w:rPr>
          <w:sz w:val="24"/>
        </w:rPr>
        <w:lastRenderedPageBreak/>
        <w:t>M/S patients</w:t>
      </w:r>
      <w:r w:rsidR="00F60209" w:rsidRPr="00F60209">
        <w:rPr>
          <w:sz w:val="24"/>
        </w:rPr>
        <w:t xml:space="preserve">. </w:t>
      </w:r>
      <w:r w:rsidR="00F60209">
        <w:rPr>
          <w:sz w:val="24"/>
        </w:rPr>
        <w:t xml:space="preserve">Accordingly, </w:t>
      </w:r>
      <w:r w:rsidRPr="005A293F">
        <w:rPr>
          <w:sz w:val="24"/>
        </w:rPr>
        <w:t xml:space="preserve">the current state of ED boarding at the Hospital must be addressed through </w:t>
      </w:r>
      <w:r w:rsidR="00675BA3">
        <w:rPr>
          <w:sz w:val="24"/>
        </w:rPr>
        <w:t xml:space="preserve">the expansion of </w:t>
      </w:r>
      <w:r w:rsidRPr="005A293F">
        <w:rPr>
          <w:sz w:val="24"/>
        </w:rPr>
        <w:t>medical/surgical bed capacity.</w:t>
      </w:r>
      <w:r>
        <w:rPr>
          <w:sz w:val="24"/>
        </w:rPr>
        <w:t xml:space="preserve"> </w:t>
      </w:r>
    </w:p>
    <w:p w14:paraId="229A7E85" w14:textId="45125490" w:rsidR="005A293F" w:rsidRDefault="005A293F" w:rsidP="00882AEE">
      <w:pPr>
        <w:ind w:right="-10"/>
        <w:rPr>
          <w:sz w:val="24"/>
        </w:rPr>
      </w:pPr>
    </w:p>
    <w:p w14:paraId="5780800F" w14:textId="23C2DC35" w:rsidR="00482351" w:rsidRDefault="00482351" w:rsidP="00882AEE">
      <w:pPr>
        <w:spacing w:before="52"/>
        <w:ind w:right="-10"/>
        <w:rPr>
          <w:sz w:val="24"/>
        </w:rPr>
      </w:pPr>
      <w:r w:rsidRPr="00482351">
        <w:rPr>
          <w:sz w:val="24"/>
        </w:rPr>
        <w:t xml:space="preserve">With the </w:t>
      </w:r>
      <w:r w:rsidR="00211446">
        <w:rPr>
          <w:sz w:val="24"/>
        </w:rPr>
        <w:t>p</w:t>
      </w:r>
      <w:r w:rsidRPr="00482351">
        <w:rPr>
          <w:sz w:val="24"/>
        </w:rPr>
        <w:t>roposed</w:t>
      </w:r>
      <w:r w:rsidR="00211446">
        <w:rPr>
          <w:sz w:val="24"/>
        </w:rPr>
        <w:t xml:space="preserve"> Amendment</w:t>
      </w:r>
      <w:r w:rsidRPr="00482351">
        <w:rPr>
          <w:sz w:val="24"/>
        </w:rPr>
        <w:t xml:space="preserve">, the Hospital’s medical/surgical bed occupancy rate will </w:t>
      </w:r>
      <w:r w:rsidR="00675BA3">
        <w:rPr>
          <w:sz w:val="24"/>
        </w:rPr>
        <w:t xml:space="preserve">move into </w:t>
      </w:r>
      <w:r w:rsidRPr="00482351">
        <w:rPr>
          <w:sz w:val="24"/>
        </w:rPr>
        <w:t>the industry standard of 85%</w:t>
      </w:r>
      <w:r w:rsidR="005C7363">
        <w:rPr>
          <w:sz w:val="24"/>
        </w:rPr>
        <w:t xml:space="preserve"> as shown in th</w:t>
      </w:r>
      <w:r w:rsidRPr="00482351">
        <w:rPr>
          <w:sz w:val="24"/>
        </w:rPr>
        <w:t xml:space="preserve">e utilization </w:t>
      </w:r>
      <w:r w:rsidR="005C7363">
        <w:rPr>
          <w:sz w:val="24"/>
        </w:rPr>
        <w:t xml:space="preserve">projections </w:t>
      </w:r>
      <w:r w:rsidRPr="00482351">
        <w:rPr>
          <w:sz w:val="24"/>
        </w:rPr>
        <w:t xml:space="preserve">following implementation of the </w:t>
      </w:r>
      <w:r w:rsidR="00211446">
        <w:rPr>
          <w:sz w:val="24"/>
        </w:rPr>
        <w:t>proposed Amendment.</w:t>
      </w:r>
      <w:r w:rsidR="00753718">
        <w:rPr>
          <w:sz w:val="24"/>
        </w:rPr>
        <w:t xml:space="preserve"> (See Table 2)</w:t>
      </w:r>
    </w:p>
    <w:p w14:paraId="05869C1F" w14:textId="182013F3" w:rsidR="00753718" w:rsidRDefault="00753718" w:rsidP="00882AEE">
      <w:pPr>
        <w:spacing w:before="52"/>
        <w:ind w:right="-10"/>
        <w:rPr>
          <w:sz w:val="24"/>
        </w:rPr>
      </w:pPr>
    </w:p>
    <w:p w14:paraId="21AA1E15" w14:textId="412268C1" w:rsidR="00753718" w:rsidRPr="00482351" w:rsidRDefault="00753718" w:rsidP="00753718">
      <w:pPr>
        <w:spacing w:before="52"/>
        <w:ind w:right="-10"/>
        <w:jc w:val="center"/>
        <w:rPr>
          <w:sz w:val="24"/>
        </w:rPr>
      </w:pPr>
      <w:r>
        <w:rPr>
          <w:sz w:val="24"/>
        </w:rPr>
        <w:t>Table 2: Patient Days and Occupancy Projections, FY 25-29</w:t>
      </w:r>
    </w:p>
    <w:p w14:paraId="77BDA353" w14:textId="77777777" w:rsidR="00482351" w:rsidRPr="00482351" w:rsidRDefault="00482351" w:rsidP="00882AEE">
      <w:pPr>
        <w:spacing w:before="52"/>
        <w:ind w:right="-10"/>
        <w:rPr>
          <w:sz w:val="24"/>
        </w:rPr>
      </w:pPr>
    </w:p>
    <w:tbl>
      <w:tblPr>
        <w:tblW w:w="6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8"/>
        <w:gridCol w:w="1702"/>
        <w:gridCol w:w="1530"/>
        <w:gridCol w:w="1890"/>
      </w:tblGrid>
      <w:tr w:rsidR="00482351" w:rsidRPr="00482351" w14:paraId="54483BF9" w14:textId="77777777" w:rsidTr="00F51F2D">
        <w:trPr>
          <w:cantSplit/>
          <w:trHeight w:val="275"/>
          <w:tblHeader/>
          <w:jc w:val="center"/>
        </w:trPr>
        <w:tc>
          <w:tcPr>
            <w:tcW w:w="1448" w:type="dxa"/>
            <w:shd w:val="clear" w:color="auto" w:fill="DAEEF3" w:themeFill="accent5" w:themeFillTint="33"/>
          </w:tcPr>
          <w:p w14:paraId="412FAC3A" w14:textId="77777777" w:rsidR="00482351" w:rsidRPr="00482351" w:rsidRDefault="00482351" w:rsidP="00882AEE">
            <w:pPr>
              <w:spacing w:before="52"/>
              <w:ind w:right="-10"/>
              <w:jc w:val="center"/>
              <w:rPr>
                <w:sz w:val="24"/>
              </w:rPr>
            </w:pPr>
            <w:r w:rsidRPr="00482351">
              <w:rPr>
                <w:sz w:val="24"/>
              </w:rPr>
              <w:t>Year</w:t>
            </w:r>
          </w:p>
        </w:tc>
        <w:tc>
          <w:tcPr>
            <w:tcW w:w="1702" w:type="dxa"/>
            <w:shd w:val="clear" w:color="auto" w:fill="DAEEF3" w:themeFill="accent5" w:themeFillTint="33"/>
          </w:tcPr>
          <w:p w14:paraId="5CEEF753" w14:textId="77777777" w:rsidR="00482351" w:rsidRPr="00482351" w:rsidRDefault="00482351" w:rsidP="00882AEE">
            <w:pPr>
              <w:spacing w:before="52"/>
              <w:ind w:right="-10"/>
              <w:jc w:val="center"/>
              <w:rPr>
                <w:sz w:val="24"/>
              </w:rPr>
            </w:pPr>
            <w:r w:rsidRPr="00482351">
              <w:rPr>
                <w:sz w:val="24"/>
              </w:rPr>
              <w:t>Patient Days</w:t>
            </w:r>
          </w:p>
        </w:tc>
        <w:tc>
          <w:tcPr>
            <w:tcW w:w="1530" w:type="dxa"/>
            <w:shd w:val="clear" w:color="auto" w:fill="DAEEF3" w:themeFill="accent5" w:themeFillTint="33"/>
          </w:tcPr>
          <w:p w14:paraId="56930537" w14:textId="77777777" w:rsidR="00482351" w:rsidRPr="00482351" w:rsidRDefault="00482351" w:rsidP="00882AEE">
            <w:pPr>
              <w:spacing w:before="52"/>
              <w:ind w:right="-10"/>
              <w:jc w:val="center"/>
              <w:rPr>
                <w:sz w:val="24"/>
              </w:rPr>
            </w:pPr>
            <w:r w:rsidRPr="00482351">
              <w:rPr>
                <w:sz w:val="24"/>
              </w:rPr>
              <w:t>Beds</w:t>
            </w:r>
          </w:p>
        </w:tc>
        <w:tc>
          <w:tcPr>
            <w:tcW w:w="1890" w:type="dxa"/>
            <w:shd w:val="clear" w:color="auto" w:fill="DAEEF3" w:themeFill="accent5" w:themeFillTint="33"/>
          </w:tcPr>
          <w:p w14:paraId="613BF58E" w14:textId="77777777" w:rsidR="00482351" w:rsidRPr="00482351" w:rsidRDefault="00482351" w:rsidP="00882AEE">
            <w:pPr>
              <w:spacing w:before="52"/>
              <w:ind w:right="-10"/>
              <w:jc w:val="center"/>
              <w:rPr>
                <w:sz w:val="24"/>
              </w:rPr>
            </w:pPr>
            <w:r w:rsidRPr="00482351">
              <w:rPr>
                <w:sz w:val="24"/>
              </w:rPr>
              <w:t>Occupancy</w:t>
            </w:r>
          </w:p>
        </w:tc>
      </w:tr>
      <w:tr w:rsidR="00482351" w:rsidRPr="00482351" w14:paraId="3D48B2AA" w14:textId="77777777" w:rsidTr="00F51F2D">
        <w:trPr>
          <w:cantSplit/>
          <w:trHeight w:val="275"/>
          <w:jc w:val="center"/>
        </w:trPr>
        <w:tc>
          <w:tcPr>
            <w:tcW w:w="1448" w:type="dxa"/>
          </w:tcPr>
          <w:p w14:paraId="7231B52B" w14:textId="77777777" w:rsidR="00482351" w:rsidRPr="00482351" w:rsidRDefault="00482351" w:rsidP="00882AEE">
            <w:pPr>
              <w:spacing w:before="52"/>
              <w:ind w:right="-10"/>
              <w:jc w:val="center"/>
              <w:rPr>
                <w:sz w:val="24"/>
              </w:rPr>
            </w:pPr>
            <w:r w:rsidRPr="00482351">
              <w:rPr>
                <w:sz w:val="24"/>
              </w:rPr>
              <w:t>FY25</w:t>
            </w:r>
          </w:p>
        </w:tc>
        <w:tc>
          <w:tcPr>
            <w:tcW w:w="1702" w:type="dxa"/>
          </w:tcPr>
          <w:p w14:paraId="78001A2B" w14:textId="77777777" w:rsidR="00482351" w:rsidRPr="00482351" w:rsidRDefault="00482351" w:rsidP="00882AEE">
            <w:pPr>
              <w:spacing w:before="52"/>
              <w:ind w:right="-10"/>
              <w:jc w:val="center"/>
              <w:rPr>
                <w:sz w:val="24"/>
              </w:rPr>
            </w:pPr>
            <w:r w:rsidRPr="00482351">
              <w:rPr>
                <w:sz w:val="24"/>
              </w:rPr>
              <w:t>63,795</w:t>
            </w:r>
          </w:p>
        </w:tc>
        <w:tc>
          <w:tcPr>
            <w:tcW w:w="1530" w:type="dxa"/>
          </w:tcPr>
          <w:p w14:paraId="36F8E506" w14:textId="77777777" w:rsidR="00482351" w:rsidRPr="00482351" w:rsidRDefault="00482351" w:rsidP="00882AEE">
            <w:pPr>
              <w:spacing w:before="52"/>
              <w:ind w:right="-10"/>
              <w:jc w:val="center"/>
              <w:rPr>
                <w:sz w:val="24"/>
              </w:rPr>
            </w:pPr>
            <w:r w:rsidRPr="00482351">
              <w:rPr>
                <w:sz w:val="24"/>
              </w:rPr>
              <w:t>212</w:t>
            </w:r>
          </w:p>
        </w:tc>
        <w:tc>
          <w:tcPr>
            <w:tcW w:w="1890" w:type="dxa"/>
          </w:tcPr>
          <w:p w14:paraId="0576E555" w14:textId="77777777" w:rsidR="00482351" w:rsidRPr="00482351" w:rsidRDefault="00482351" w:rsidP="00882AEE">
            <w:pPr>
              <w:spacing w:before="52"/>
              <w:ind w:right="-10"/>
              <w:jc w:val="center"/>
              <w:rPr>
                <w:sz w:val="24"/>
              </w:rPr>
            </w:pPr>
            <w:r w:rsidRPr="00482351">
              <w:rPr>
                <w:sz w:val="24"/>
              </w:rPr>
              <w:t>82.4%</w:t>
            </w:r>
          </w:p>
        </w:tc>
      </w:tr>
      <w:tr w:rsidR="00482351" w:rsidRPr="00482351" w14:paraId="0B3889A5" w14:textId="77777777" w:rsidTr="00F51F2D">
        <w:trPr>
          <w:cantSplit/>
          <w:trHeight w:val="275"/>
          <w:jc w:val="center"/>
        </w:trPr>
        <w:tc>
          <w:tcPr>
            <w:tcW w:w="1448" w:type="dxa"/>
          </w:tcPr>
          <w:p w14:paraId="28FAF3DC" w14:textId="77777777" w:rsidR="00482351" w:rsidRPr="00482351" w:rsidRDefault="00482351" w:rsidP="00882AEE">
            <w:pPr>
              <w:spacing w:before="52"/>
              <w:ind w:right="-10"/>
              <w:jc w:val="center"/>
              <w:rPr>
                <w:sz w:val="24"/>
              </w:rPr>
            </w:pPr>
            <w:r w:rsidRPr="00482351">
              <w:rPr>
                <w:sz w:val="24"/>
              </w:rPr>
              <w:t>FY26</w:t>
            </w:r>
          </w:p>
        </w:tc>
        <w:tc>
          <w:tcPr>
            <w:tcW w:w="1702" w:type="dxa"/>
          </w:tcPr>
          <w:p w14:paraId="3E69F911" w14:textId="77777777" w:rsidR="00482351" w:rsidRPr="00482351" w:rsidRDefault="00482351" w:rsidP="00882AEE">
            <w:pPr>
              <w:spacing w:before="52"/>
              <w:ind w:right="-10"/>
              <w:jc w:val="center"/>
              <w:rPr>
                <w:sz w:val="24"/>
              </w:rPr>
            </w:pPr>
            <w:r w:rsidRPr="00482351">
              <w:rPr>
                <w:sz w:val="24"/>
              </w:rPr>
              <w:t>64,518</w:t>
            </w:r>
          </w:p>
        </w:tc>
        <w:tc>
          <w:tcPr>
            <w:tcW w:w="1530" w:type="dxa"/>
          </w:tcPr>
          <w:p w14:paraId="0284D938" w14:textId="77777777" w:rsidR="00482351" w:rsidRPr="00482351" w:rsidRDefault="00482351" w:rsidP="00882AEE">
            <w:pPr>
              <w:spacing w:before="52"/>
              <w:ind w:right="-10"/>
              <w:jc w:val="center"/>
              <w:rPr>
                <w:sz w:val="24"/>
              </w:rPr>
            </w:pPr>
            <w:r w:rsidRPr="00482351">
              <w:rPr>
                <w:sz w:val="24"/>
              </w:rPr>
              <w:t>212</w:t>
            </w:r>
          </w:p>
        </w:tc>
        <w:tc>
          <w:tcPr>
            <w:tcW w:w="1890" w:type="dxa"/>
          </w:tcPr>
          <w:p w14:paraId="3D8DFD3B" w14:textId="77777777" w:rsidR="00482351" w:rsidRPr="00482351" w:rsidRDefault="00482351" w:rsidP="00882AEE">
            <w:pPr>
              <w:spacing w:before="52"/>
              <w:ind w:right="-10"/>
              <w:jc w:val="center"/>
              <w:rPr>
                <w:sz w:val="24"/>
              </w:rPr>
            </w:pPr>
            <w:r w:rsidRPr="00482351">
              <w:rPr>
                <w:sz w:val="24"/>
              </w:rPr>
              <w:t>83.4%</w:t>
            </w:r>
          </w:p>
        </w:tc>
      </w:tr>
      <w:tr w:rsidR="00482351" w:rsidRPr="00482351" w14:paraId="1DD670DD" w14:textId="77777777" w:rsidTr="00F51F2D">
        <w:trPr>
          <w:cantSplit/>
          <w:trHeight w:val="275"/>
          <w:jc w:val="center"/>
        </w:trPr>
        <w:tc>
          <w:tcPr>
            <w:tcW w:w="1448" w:type="dxa"/>
          </w:tcPr>
          <w:p w14:paraId="130534D1" w14:textId="77777777" w:rsidR="00482351" w:rsidRPr="00482351" w:rsidRDefault="00482351" w:rsidP="00882AEE">
            <w:pPr>
              <w:spacing w:before="52"/>
              <w:ind w:right="-10"/>
              <w:jc w:val="center"/>
              <w:rPr>
                <w:sz w:val="24"/>
              </w:rPr>
            </w:pPr>
            <w:r w:rsidRPr="00482351">
              <w:rPr>
                <w:sz w:val="24"/>
              </w:rPr>
              <w:t>FY27</w:t>
            </w:r>
          </w:p>
        </w:tc>
        <w:tc>
          <w:tcPr>
            <w:tcW w:w="1702" w:type="dxa"/>
          </w:tcPr>
          <w:p w14:paraId="49C80067" w14:textId="77777777" w:rsidR="00482351" w:rsidRPr="00482351" w:rsidRDefault="00482351" w:rsidP="00882AEE">
            <w:pPr>
              <w:spacing w:before="52"/>
              <w:ind w:right="-10"/>
              <w:jc w:val="center"/>
              <w:rPr>
                <w:sz w:val="24"/>
              </w:rPr>
            </w:pPr>
            <w:r w:rsidRPr="00482351">
              <w:rPr>
                <w:sz w:val="24"/>
              </w:rPr>
              <w:t>65,049</w:t>
            </w:r>
          </w:p>
        </w:tc>
        <w:tc>
          <w:tcPr>
            <w:tcW w:w="1530" w:type="dxa"/>
          </w:tcPr>
          <w:p w14:paraId="18C45E64" w14:textId="77777777" w:rsidR="00482351" w:rsidRPr="00482351" w:rsidRDefault="00482351" w:rsidP="00882AEE">
            <w:pPr>
              <w:spacing w:before="52"/>
              <w:ind w:right="-10"/>
              <w:jc w:val="center"/>
              <w:rPr>
                <w:sz w:val="24"/>
              </w:rPr>
            </w:pPr>
            <w:r w:rsidRPr="00482351">
              <w:rPr>
                <w:sz w:val="24"/>
              </w:rPr>
              <w:t>212</w:t>
            </w:r>
          </w:p>
        </w:tc>
        <w:tc>
          <w:tcPr>
            <w:tcW w:w="1890" w:type="dxa"/>
          </w:tcPr>
          <w:p w14:paraId="4065D62E" w14:textId="77777777" w:rsidR="00482351" w:rsidRPr="00482351" w:rsidRDefault="00482351" w:rsidP="00882AEE">
            <w:pPr>
              <w:spacing w:before="52"/>
              <w:ind w:right="-10"/>
              <w:jc w:val="center"/>
              <w:rPr>
                <w:sz w:val="24"/>
              </w:rPr>
            </w:pPr>
            <w:r w:rsidRPr="00482351">
              <w:rPr>
                <w:sz w:val="24"/>
              </w:rPr>
              <w:t>84.1%</w:t>
            </w:r>
          </w:p>
        </w:tc>
      </w:tr>
      <w:tr w:rsidR="00482351" w:rsidRPr="00482351" w14:paraId="56EA0A22" w14:textId="77777777" w:rsidTr="00F51F2D">
        <w:trPr>
          <w:cantSplit/>
          <w:trHeight w:val="278"/>
          <w:jc w:val="center"/>
        </w:trPr>
        <w:tc>
          <w:tcPr>
            <w:tcW w:w="1448" w:type="dxa"/>
          </w:tcPr>
          <w:p w14:paraId="46B49312" w14:textId="77777777" w:rsidR="00482351" w:rsidRPr="00482351" w:rsidRDefault="00482351" w:rsidP="00882AEE">
            <w:pPr>
              <w:spacing w:before="52"/>
              <w:ind w:right="-10"/>
              <w:jc w:val="center"/>
              <w:rPr>
                <w:sz w:val="24"/>
              </w:rPr>
            </w:pPr>
            <w:r w:rsidRPr="00482351">
              <w:rPr>
                <w:sz w:val="24"/>
              </w:rPr>
              <w:t>FY28</w:t>
            </w:r>
          </w:p>
        </w:tc>
        <w:tc>
          <w:tcPr>
            <w:tcW w:w="1702" w:type="dxa"/>
          </w:tcPr>
          <w:p w14:paraId="187AE9A4" w14:textId="77777777" w:rsidR="00482351" w:rsidRPr="00482351" w:rsidRDefault="00482351" w:rsidP="00882AEE">
            <w:pPr>
              <w:spacing w:before="52"/>
              <w:ind w:right="-10"/>
              <w:jc w:val="center"/>
              <w:rPr>
                <w:sz w:val="24"/>
              </w:rPr>
            </w:pPr>
            <w:r w:rsidRPr="00482351">
              <w:rPr>
                <w:sz w:val="24"/>
              </w:rPr>
              <w:t>65,499</w:t>
            </w:r>
          </w:p>
        </w:tc>
        <w:tc>
          <w:tcPr>
            <w:tcW w:w="1530" w:type="dxa"/>
          </w:tcPr>
          <w:p w14:paraId="3E61F2B9" w14:textId="77777777" w:rsidR="00482351" w:rsidRPr="00482351" w:rsidRDefault="00482351" w:rsidP="00882AEE">
            <w:pPr>
              <w:spacing w:before="52"/>
              <w:ind w:right="-10"/>
              <w:jc w:val="center"/>
              <w:rPr>
                <w:sz w:val="24"/>
              </w:rPr>
            </w:pPr>
            <w:r w:rsidRPr="00482351">
              <w:rPr>
                <w:sz w:val="24"/>
              </w:rPr>
              <w:t>212</w:t>
            </w:r>
          </w:p>
        </w:tc>
        <w:tc>
          <w:tcPr>
            <w:tcW w:w="1890" w:type="dxa"/>
          </w:tcPr>
          <w:p w14:paraId="4EA97B3F" w14:textId="77777777" w:rsidR="00482351" w:rsidRPr="00482351" w:rsidRDefault="00482351" w:rsidP="00882AEE">
            <w:pPr>
              <w:spacing w:before="52"/>
              <w:ind w:right="-10"/>
              <w:jc w:val="center"/>
              <w:rPr>
                <w:sz w:val="24"/>
              </w:rPr>
            </w:pPr>
            <w:r w:rsidRPr="00482351">
              <w:rPr>
                <w:sz w:val="24"/>
              </w:rPr>
              <w:t>84.4%</w:t>
            </w:r>
          </w:p>
        </w:tc>
      </w:tr>
      <w:tr w:rsidR="00482351" w:rsidRPr="00482351" w14:paraId="0D43FAB7" w14:textId="77777777" w:rsidTr="00F51F2D">
        <w:trPr>
          <w:cantSplit/>
          <w:trHeight w:val="275"/>
          <w:jc w:val="center"/>
        </w:trPr>
        <w:tc>
          <w:tcPr>
            <w:tcW w:w="1448" w:type="dxa"/>
          </w:tcPr>
          <w:p w14:paraId="6B93A9EB" w14:textId="77777777" w:rsidR="00482351" w:rsidRPr="00482351" w:rsidRDefault="00482351" w:rsidP="00882AEE">
            <w:pPr>
              <w:spacing w:before="52"/>
              <w:ind w:right="-10"/>
              <w:jc w:val="center"/>
              <w:rPr>
                <w:sz w:val="24"/>
              </w:rPr>
            </w:pPr>
            <w:r w:rsidRPr="00482351">
              <w:rPr>
                <w:sz w:val="24"/>
              </w:rPr>
              <w:t>FY29</w:t>
            </w:r>
          </w:p>
        </w:tc>
        <w:tc>
          <w:tcPr>
            <w:tcW w:w="1702" w:type="dxa"/>
          </w:tcPr>
          <w:p w14:paraId="1AEA87F9" w14:textId="77777777" w:rsidR="00482351" w:rsidRPr="00482351" w:rsidRDefault="00482351" w:rsidP="00882AEE">
            <w:pPr>
              <w:spacing w:before="52"/>
              <w:ind w:right="-10"/>
              <w:jc w:val="center"/>
              <w:rPr>
                <w:sz w:val="24"/>
              </w:rPr>
            </w:pPr>
            <w:r w:rsidRPr="00482351">
              <w:rPr>
                <w:sz w:val="24"/>
              </w:rPr>
              <w:t>65,680</w:t>
            </w:r>
          </w:p>
        </w:tc>
        <w:tc>
          <w:tcPr>
            <w:tcW w:w="1530" w:type="dxa"/>
          </w:tcPr>
          <w:p w14:paraId="326F08A4" w14:textId="77777777" w:rsidR="00482351" w:rsidRPr="00482351" w:rsidRDefault="00482351" w:rsidP="00882AEE">
            <w:pPr>
              <w:spacing w:before="52"/>
              <w:ind w:right="-10"/>
              <w:jc w:val="center"/>
              <w:rPr>
                <w:sz w:val="24"/>
              </w:rPr>
            </w:pPr>
            <w:r w:rsidRPr="00482351">
              <w:rPr>
                <w:sz w:val="24"/>
              </w:rPr>
              <w:t>212</w:t>
            </w:r>
          </w:p>
        </w:tc>
        <w:tc>
          <w:tcPr>
            <w:tcW w:w="1890" w:type="dxa"/>
          </w:tcPr>
          <w:p w14:paraId="68AB435B" w14:textId="77777777" w:rsidR="00482351" w:rsidRPr="00482351" w:rsidRDefault="00482351" w:rsidP="00882AEE">
            <w:pPr>
              <w:spacing w:before="52"/>
              <w:ind w:right="-10"/>
              <w:jc w:val="center"/>
              <w:rPr>
                <w:sz w:val="24"/>
              </w:rPr>
            </w:pPr>
            <w:r w:rsidRPr="00482351">
              <w:rPr>
                <w:sz w:val="24"/>
              </w:rPr>
              <w:t>84.9%</w:t>
            </w:r>
          </w:p>
        </w:tc>
      </w:tr>
    </w:tbl>
    <w:p w14:paraId="03F5ED3D" w14:textId="77777777" w:rsidR="00482351" w:rsidRPr="00482351" w:rsidRDefault="00482351" w:rsidP="00882AEE">
      <w:pPr>
        <w:spacing w:before="52"/>
        <w:ind w:right="-10"/>
        <w:rPr>
          <w:sz w:val="24"/>
        </w:rPr>
      </w:pPr>
    </w:p>
    <w:p w14:paraId="0C9AFDD4" w14:textId="7195EC30" w:rsidR="00482351" w:rsidRPr="00482351" w:rsidRDefault="00482351" w:rsidP="00882AEE">
      <w:pPr>
        <w:spacing w:before="52"/>
        <w:ind w:right="-10"/>
        <w:rPr>
          <w:sz w:val="24"/>
        </w:rPr>
      </w:pPr>
      <w:r w:rsidRPr="00482351">
        <w:rPr>
          <w:sz w:val="24"/>
        </w:rPr>
        <w:t xml:space="preserve">The projections are based on prior year inpatient days and observation patient days, </w:t>
      </w:r>
      <w:r w:rsidR="005C7363">
        <w:rPr>
          <w:sz w:val="24"/>
        </w:rPr>
        <w:t xml:space="preserve">and </w:t>
      </w:r>
      <w:r w:rsidRPr="00482351">
        <w:rPr>
          <w:sz w:val="24"/>
        </w:rPr>
        <w:t>ED boarder days that will be</w:t>
      </w:r>
      <w:r w:rsidR="005C7363">
        <w:rPr>
          <w:sz w:val="24"/>
        </w:rPr>
        <w:t xml:space="preserve"> conver</w:t>
      </w:r>
      <w:r w:rsidR="005C7363" w:rsidRPr="00482351">
        <w:rPr>
          <w:sz w:val="24"/>
        </w:rPr>
        <w:t xml:space="preserve">ted </w:t>
      </w:r>
      <w:r w:rsidR="005C7363">
        <w:rPr>
          <w:sz w:val="24"/>
        </w:rPr>
        <w:t xml:space="preserve">to inpatient days as a result of </w:t>
      </w:r>
      <w:r w:rsidRPr="00482351">
        <w:rPr>
          <w:sz w:val="24"/>
        </w:rPr>
        <w:t>the new beds</w:t>
      </w:r>
      <w:r w:rsidR="005C7363">
        <w:rPr>
          <w:sz w:val="24"/>
        </w:rPr>
        <w:t xml:space="preserve"> and incorporating the </w:t>
      </w:r>
      <w:r w:rsidRPr="00482351">
        <w:rPr>
          <w:sz w:val="24"/>
        </w:rPr>
        <w:t>modest forecasted growth in the Hospital’s service area. The Proposed Change will allow for the Hospital to have capacity for future growth over time with a ramp up over a five-year period.</w:t>
      </w:r>
    </w:p>
    <w:p w14:paraId="24CC442E" w14:textId="77777777" w:rsidR="00E71CD1" w:rsidRPr="008C5DD4" w:rsidRDefault="00E71CD1" w:rsidP="00882AEE">
      <w:pPr>
        <w:spacing w:before="52"/>
        <w:ind w:right="-10"/>
        <w:rPr>
          <w:sz w:val="24"/>
        </w:rPr>
      </w:pPr>
    </w:p>
    <w:p w14:paraId="1F1C2462" w14:textId="26059C1A" w:rsidR="00D200F1" w:rsidRPr="00D200F1" w:rsidRDefault="004B6F0E" w:rsidP="00882AEE">
      <w:pPr>
        <w:spacing w:before="52"/>
        <w:ind w:right="-10"/>
        <w:rPr>
          <w:sz w:val="24"/>
        </w:rPr>
      </w:pPr>
      <w:r>
        <w:rPr>
          <w:sz w:val="24"/>
        </w:rPr>
        <w:t xml:space="preserve">The Hospital serves </w:t>
      </w:r>
      <w:r w:rsidR="00D200F1" w:rsidRPr="00D200F1">
        <w:rPr>
          <w:sz w:val="24"/>
        </w:rPr>
        <w:t>Salem, Lynn, and the surrounding communities</w:t>
      </w:r>
      <w:r>
        <w:rPr>
          <w:sz w:val="24"/>
        </w:rPr>
        <w:t xml:space="preserve"> and is designated</w:t>
      </w:r>
      <w:r w:rsidR="00D200F1" w:rsidRPr="00D200F1">
        <w:rPr>
          <w:sz w:val="24"/>
        </w:rPr>
        <w:t xml:space="preserve"> a high public payer hospital, with a payer mix that includes 22.75% MassHealth and 43.84% Medicare. The Hospital also has implemented a</w:t>
      </w:r>
      <w:r w:rsidR="00F55E10">
        <w:rPr>
          <w:sz w:val="24"/>
        </w:rPr>
        <w:t xml:space="preserve">n </w:t>
      </w:r>
      <w:r w:rsidR="00D200F1" w:rsidRPr="00D200F1">
        <w:rPr>
          <w:sz w:val="24"/>
        </w:rPr>
        <w:t>interpreter services program to facilitate care and improve patient experience. The Proposed Change will improve the Hospital’s ability to ensure timely access to inpatient and ED care for the communities served by the Hospital.</w:t>
      </w:r>
    </w:p>
    <w:p w14:paraId="2957B68D" w14:textId="77777777" w:rsidR="00D200F1" w:rsidRDefault="00D200F1" w:rsidP="00882AEE">
      <w:pPr>
        <w:spacing w:before="52"/>
        <w:ind w:right="-10"/>
        <w:rPr>
          <w:sz w:val="24"/>
        </w:rPr>
      </w:pPr>
    </w:p>
    <w:p w14:paraId="570CB22C" w14:textId="1A9BFE8C" w:rsidR="00120FFE" w:rsidRPr="00120FFE" w:rsidRDefault="00120FFE" w:rsidP="00882AEE">
      <w:pPr>
        <w:spacing w:before="52"/>
        <w:ind w:right="-10"/>
        <w:rPr>
          <w:b/>
          <w:bCs/>
          <w:sz w:val="24"/>
        </w:rPr>
      </w:pPr>
      <w:r w:rsidRPr="00120FFE">
        <w:rPr>
          <w:b/>
          <w:bCs/>
          <w:sz w:val="24"/>
        </w:rPr>
        <w:t>Analysis</w:t>
      </w:r>
    </w:p>
    <w:p w14:paraId="03CFF47E" w14:textId="57ABA913" w:rsidR="00515667" w:rsidRPr="00515667" w:rsidRDefault="00476A62" w:rsidP="00882AEE">
      <w:pPr>
        <w:spacing w:before="52"/>
        <w:ind w:right="-10"/>
        <w:rPr>
          <w:sz w:val="24"/>
        </w:rPr>
      </w:pPr>
      <w:r>
        <w:rPr>
          <w:sz w:val="24"/>
        </w:rPr>
        <w:t>Staff has reviewed the Amendment request</w:t>
      </w:r>
      <w:r w:rsidR="00EB15FF">
        <w:rPr>
          <w:sz w:val="24"/>
        </w:rPr>
        <w:t xml:space="preserve"> and has </w:t>
      </w:r>
      <w:r>
        <w:rPr>
          <w:sz w:val="24"/>
        </w:rPr>
        <w:t>determine</w:t>
      </w:r>
      <w:r w:rsidR="00EB15FF">
        <w:rPr>
          <w:sz w:val="24"/>
        </w:rPr>
        <w:t>d</w:t>
      </w:r>
      <w:r>
        <w:rPr>
          <w:sz w:val="24"/>
        </w:rPr>
        <w:t xml:space="preserve"> </w:t>
      </w:r>
      <w:r w:rsidR="00EB15FF">
        <w:rPr>
          <w:sz w:val="24"/>
        </w:rPr>
        <w:t xml:space="preserve">that </w:t>
      </w:r>
      <w:r>
        <w:rPr>
          <w:sz w:val="24"/>
        </w:rPr>
        <w:t>it falls within the scope of the original Approval</w:t>
      </w:r>
      <w:r w:rsidR="00120FFE">
        <w:rPr>
          <w:sz w:val="24"/>
        </w:rPr>
        <w:t xml:space="preserve">. Staff finds that through data that were presented of rising number and average M/S boarding hours, patient days and occupancy rates, the Holder has </w:t>
      </w:r>
      <w:r w:rsidR="00E05B17">
        <w:rPr>
          <w:sz w:val="24"/>
        </w:rPr>
        <w:t xml:space="preserve">established </w:t>
      </w:r>
      <w:r w:rsidR="00120FFE">
        <w:rPr>
          <w:sz w:val="24"/>
        </w:rPr>
        <w:t>th</w:t>
      </w:r>
      <w:r w:rsidR="004B6F0E">
        <w:rPr>
          <w:sz w:val="24"/>
        </w:rPr>
        <w:t>e</w:t>
      </w:r>
      <w:r w:rsidR="00120FFE">
        <w:rPr>
          <w:sz w:val="24"/>
        </w:rPr>
        <w:t xml:space="preserve"> </w:t>
      </w:r>
      <w:r w:rsidR="00E05B17">
        <w:rPr>
          <w:sz w:val="24"/>
        </w:rPr>
        <w:t xml:space="preserve"> need for an additional 13 M/S licensed beds.</w:t>
      </w:r>
    </w:p>
    <w:p w14:paraId="5F01952A" w14:textId="77777777" w:rsidR="003E76C4" w:rsidRDefault="003E76C4" w:rsidP="003E76C4">
      <w:pPr>
        <w:spacing w:before="52"/>
        <w:ind w:right="-10"/>
        <w:rPr>
          <w:sz w:val="24"/>
        </w:rPr>
      </w:pPr>
    </w:p>
    <w:p w14:paraId="52FF5177" w14:textId="1DDA0ECD" w:rsidR="00571F0A" w:rsidRPr="004069B4" w:rsidRDefault="00571F0A" w:rsidP="001D1C01">
      <w:pPr>
        <w:pStyle w:val="BodyText"/>
        <w:rPr>
          <w:b/>
          <w:bCs/>
          <w:sz w:val="24"/>
          <w:szCs w:val="24"/>
          <w:u w:val="single"/>
        </w:rPr>
      </w:pPr>
      <w:r w:rsidRPr="004069B4">
        <w:rPr>
          <w:b/>
          <w:bCs/>
          <w:sz w:val="24"/>
          <w:szCs w:val="24"/>
          <w:u w:val="single"/>
        </w:rPr>
        <w:t>Impact on Cost</w:t>
      </w:r>
    </w:p>
    <w:p w14:paraId="087FA881" w14:textId="100D2990" w:rsidR="006F791C" w:rsidRDefault="00C03475" w:rsidP="00D863B6">
      <w:pPr>
        <w:spacing w:before="199"/>
        <w:ind w:right="-10"/>
        <w:rPr>
          <w:sz w:val="24"/>
        </w:rPr>
      </w:pPr>
      <w:r w:rsidRPr="00C03475">
        <w:rPr>
          <w:sz w:val="24"/>
        </w:rPr>
        <w:t xml:space="preserve">The regulation requires that a Holder submit a description of the proposed change along </w:t>
      </w:r>
      <w:r w:rsidR="007A4E67" w:rsidRPr="00C03475">
        <w:rPr>
          <w:sz w:val="24"/>
        </w:rPr>
        <w:t xml:space="preserve">with </w:t>
      </w:r>
      <w:r w:rsidR="007A4E67">
        <w:rPr>
          <w:sz w:val="24"/>
        </w:rPr>
        <w:t>associated</w:t>
      </w:r>
      <w:r w:rsidRPr="00C03475">
        <w:rPr>
          <w:sz w:val="24"/>
        </w:rPr>
        <w:t xml:space="preserve"> cost implications</w:t>
      </w:r>
      <w:r w:rsidR="007F6016">
        <w:rPr>
          <w:sz w:val="24"/>
        </w:rPr>
        <w:t xml:space="preserve"> for the Holder and the</w:t>
      </w:r>
      <w:r w:rsidR="00D863B6">
        <w:rPr>
          <w:sz w:val="24"/>
        </w:rPr>
        <w:t xml:space="preserve"> </w:t>
      </w:r>
      <w:r w:rsidR="007F6016">
        <w:rPr>
          <w:sz w:val="24"/>
        </w:rPr>
        <w:t>Patient Panel</w:t>
      </w:r>
      <w:r w:rsidRPr="00C03475">
        <w:rPr>
          <w:sz w:val="24"/>
        </w:rPr>
        <w:t>.</w:t>
      </w:r>
      <w:r w:rsidR="00753718">
        <w:rPr>
          <w:sz w:val="24"/>
        </w:rPr>
        <w:t xml:space="preserve"> T</w:t>
      </w:r>
      <w:r w:rsidR="007A4E67">
        <w:rPr>
          <w:sz w:val="24"/>
        </w:rPr>
        <w:t xml:space="preserve">he Applicant provided </w:t>
      </w:r>
      <w:r w:rsidRPr="00C03475">
        <w:rPr>
          <w:sz w:val="24"/>
        </w:rPr>
        <w:t>the</w:t>
      </w:r>
      <w:r w:rsidR="007A4E67">
        <w:rPr>
          <w:sz w:val="24"/>
        </w:rPr>
        <w:t xml:space="preserve"> </w:t>
      </w:r>
      <w:r w:rsidR="00753718">
        <w:rPr>
          <w:sz w:val="24"/>
        </w:rPr>
        <w:t xml:space="preserve">information of </w:t>
      </w:r>
      <w:r w:rsidR="007A4E67">
        <w:rPr>
          <w:sz w:val="24"/>
        </w:rPr>
        <w:t>wh</w:t>
      </w:r>
      <w:r w:rsidR="00753718">
        <w:rPr>
          <w:sz w:val="24"/>
        </w:rPr>
        <w:t>at</w:t>
      </w:r>
      <w:r w:rsidR="007A4E67">
        <w:rPr>
          <w:sz w:val="24"/>
        </w:rPr>
        <w:t xml:space="preserve"> the increases in </w:t>
      </w:r>
      <w:r w:rsidRPr="00C03475">
        <w:rPr>
          <w:sz w:val="24"/>
        </w:rPr>
        <w:t>capital expenditure</w:t>
      </w:r>
      <w:r w:rsidR="007A4E67">
        <w:rPr>
          <w:sz w:val="24"/>
        </w:rPr>
        <w:t xml:space="preserve"> that the Applicant is seeking</w:t>
      </w:r>
      <w:r w:rsidR="00753718">
        <w:rPr>
          <w:sz w:val="24"/>
        </w:rPr>
        <w:t xml:space="preserve"> are, at </w:t>
      </w:r>
      <w:r w:rsidR="00753718">
        <w:rPr>
          <w:sz w:val="24"/>
        </w:rPr>
        <w:lastRenderedPageBreak/>
        <w:t xml:space="preserve">Staff’s request which were condensed into Table </w:t>
      </w:r>
      <w:r w:rsidR="006F791C">
        <w:rPr>
          <w:sz w:val="24"/>
        </w:rPr>
        <w:t>3</w:t>
      </w:r>
      <w:r w:rsidR="00753718">
        <w:rPr>
          <w:sz w:val="24"/>
        </w:rPr>
        <w:t xml:space="preserve"> below.</w:t>
      </w:r>
      <w:r w:rsidR="006F791C">
        <w:rPr>
          <w:sz w:val="24"/>
        </w:rPr>
        <w:t xml:space="preserve"> The total increase in costs for this buildout of shell space is 8.6%. As anticipated for a such a project, the largest category of expenses is the </w:t>
      </w:r>
      <w:r w:rsidR="006F791C" w:rsidRPr="006F791C">
        <w:rPr>
          <w:i/>
          <w:iCs/>
          <w:sz w:val="24"/>
        </w:rPr>
        <w:t>Construction Contract</w:t>
      </w:r>
      <w:r w:rsidR="006F791C">
        <w:rPr>
          <w:sz w:val="24"/>
        </w:rPr>
        <w:t xml:space="preserve"> accounting for ~$13</w:t>
      </w:r>
      <w:r w:rsidR="00D858DA">
        <w:rPr>
          <w:sz w:val="24"/>
        </w:rPr>
        <w:t>.5</w:t>
      </w:r>
      <w:r w:rsidR="006F791C">
        <w:rPr>
          <w:sz w:val="24"/>
        </w:rPr>
        <w:t xml:space="preserve"> M of the </w:t>
      </w:r>
      <w:r w:rsidR="00D858DA">
        <w:rPr>
          <w:sz w:val="24"/>
        </w:rPr>
        <w:t>~$14,5M total.</w:t>
      </w:r>
      <w:r w:rsidR="00D863B6">
        <w:rPr>
          <w:sz w:val="24"/>
        </w:rPr>
        <w:t xml:space="preserve"> </w:t>
      </w:r>
    </w:p>
    <w:p w14:paraId="7C016D51" w14:textId="5DCBBACA" w:rsidR="006F791C" w:rsidRDefault="006F791C" w:rsidP="00D863B6">
      <w:pPr>
        <w:spacing w:before="199"/>
        <w:ind w:right="-10"/>
        <w:rPr>
          <w:sz w:val="24"/>
        </w:rPr>
      </w:pPr>
    </w:p>
    <w:p w14:paraId="6BC9D170" w14:textId="5E84415A" w:rsidR="006F791C" w:rsidRDefault="006F791C" w:rsidP="006F791C">
      <w:pPr>
        <w:spacing w:before="199"/>
        <w:ind w:right="-10"/>
        <w:jc w:val="center"/>
        <w:rPr>
          <w:sz w:val="24"/>
        </w:rPr>
      </w:pPr>
      <w:r>
        <w:rPr>
          <w:sz w:val="24"/>
        </w:rPr>
        <w:t>Table 3 Approved and Requested Capital Expenditures NSMC-Salem Hospital</w:t>
      </w:r>
    </w:p>
    <w:p w14:paraId="0F6F02B8" w14:textId="30C7FE86" w:rsidR="0007326A" w:rsidRDefault="0007326A" w:rsidP="00144795">
      <w:pPr>
        <w:spacing w:before="199"/>
        <w:ind w:right="-10"/>
        <w:rPr>
          <w:sz w:val="24"/>
        </w:rPr>
      </w:pP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0"/>
        <w:gridCol w:w="1720"/>
        <w:gridCol w:w="1540"/>
        <w:gridCol w:w="1980"/>
      </w:tblGrid>
      <w:tr w:rsidR="00CA070D" w:rsidRPr="00D858DA" w14:paraId="747FA481" w14:textId="77777777" w:rsidTr="00F51F2D">
        <w:trPr>
          <w:cantSplit/>
          <w:trHeight w:val="585"/>
          <w:tblHeader/>
        </w:trPr>
        <w:tc>
          <w:tcPr>
            <w:tcW w:w="5000" w:type="dxa"/>
            <w:shd w:val="clear" w:color="auto" w:fill="auto"/>
            <w:vAlign w:val="center"/>
            <w:hideMark/>
          </w:tcPr>
          <w:p w14:paraId="2E157B21" w14:textId="77777777" w:rsidR="0007326A" w:rsidRPr="0007326A" w:rsidRDefault="0007326A" w:rsidP="0007326A">
            <w:pPr>
              <w:widowControl/>
              <w:autoSpaceDE/>
              <w:autoSpaceDN/>
              <w:jc w:val="center"/>
              <w:rPr>
                <w:rFonts w:asciiTheme="minorHAnsi" w:eastAsia="Times New Roman" w:hAnsiTheme="minorHAnsi" w:cstheme="minorHAnsi"/>
                <w:color w:val="000000"/>
                <w:sz w:val="24"/>
                <w:szCs w:val="24"/>
                <w:lang w:bidi="ar-SA"/>
              </w:rPr>
            </w:pPr>
            <w:r w:rsidRPr="0007326A">
              <w:rPr>
                <w:rFonts w:asciiTheme="minorHAnsi" w:eastAsia="Times New Roman" w:hAnsiTheme="minorHAnsi" w:cstheme="minorHAnsi"/>
                <w:color w:val="000000"/>
                <w:sz w:val="24"/>
                <w:szCs w:val="24"/>
                <w:lang w:bidi="ar-SA"/>
              </w:rPr>
              <w:t>Category of Expenditure</w:t>
            </w:r>
          </w:p>
        </w:tc>
        <w:tc>
          <w:tcPr>
            <w:tcW w:w="1720" w:type="dxa"/>
            <w:tcBorders>
              <w:bottom w:val="single" w:sz="4" w:space="0" w:color="auto"/>
            </w:tcBorders>
            <w:shd w:val="clear" w:color="auto" w:fill="auto"/>
            <w:vAlign w:val="center"/>
            <w:hideMark/>
          </w:tcPr>
          <w:p w14:paraId="09216434" w14:textId="1EBCE08C" w:rsidR="0007326A" w:rsidRPr="0007326A" w:rsidRDefault="00CA070D" w:rsidP="0007326A">
            <w:pPr>
              <w:widowControl/>
              <w:autoSpaceDE/>
              <w:autoSpaceDN/>
              <w:jc w:val="center"/>
              <w:rPr>
                <w:rFonts w:asciiTheme="minorHAnsi" w:eastAsia="Times New Roman" w:hAnsiTheme="minorHAnsi" w:cstheme="minorHAnsi"/>
                <w:color w:val="000000"/>
                <w:sz w:val="24"/>
                <w:szCs w:val="24"/>
                <w:lang w:bidi="ar-SA"/>
              </w:rPr>
            </w:pPr>
            <w:r w:rsidRPr="00D858DA">
              <w:rPr>
                <w:rFonts w:asciiTheme="minorHAnsi" w:eastAsia="Times New Roman" w:hAnsiTheme="minorHAnsi" w:cstheme="minorHAnsi"/>
                <w:color w:val="000000"/>
                <w:sz w:val="24"/>
                <w:szCs w:val="24"/>
                <w:lang w:bidi="ar-SA"/>
              </w:rPr>
              <w:t xml:space="preserve">2018 </w:t>
            </w:r>
            <w:r w:rsidR="0007326A" w:rsidRPr="0007326A">
              <w:rPr>
                <w:rFonts w:asciiTheme="minorHAnsi" w:eastAsia="Times New Roman" w:hAnsiTheme="minorHAnsi" w:cstheme="minorHAnsi"/>
                <w:color w:val="000000"/>
                <w:sz w:val="24"/>
                <w:szCs w:val="24"/>
                <w:lang w:bidi="ar-SA"/>
              </w:rPr>
              <w:t>Approved Total</w:t>
            </w:r>
          </w:p>
        </w:tc>
        <w:tc>
          <w:tcPr>
            <w:tcW w:w="1540" w:type="dxa"/>
            <w:tcBorders>
              <w:bottom w:val="single" w:sz="4" w:space="0" w:color="auto"/>
            </w:tcBorders>
            <w:shd w:val="clear" w:color="auto" w:fill="DAEEF3" w:themeFill="accent5" w:themeFillTint="33"/>
            <w:vAlign w:val="center"/>
            <w:hideMark/>
          </w:tcPr>
          <w:p w14:paraId="610DCFBE" w14:textId="73A00D93" w:rsidR="0007326A" w:rsidRPr="0007326A" w:rsidRDefault="00CA070D" w:rsidP="0007326A">
            <w:pPr>
              <w:widowControl/>
              <w:autoSpaceDE/>
              <w:autoSpaceDN/>
              <w:jc w:val="center"/>
              <w:rPr>
                <w:rFonts w:asciiTheme="minorHAnsi" w:eastAsia="Times New Roman" w:hAnsiTheme="minorHAnsi" w:cstheme="minorHAnsi"/>
                <w:b/>
                <w:bCs/>
                <w:color w:val="000000"/>
                <w:sz w:val="24"/>
                <w:szCs w:val="24"/>
                <w:lang w:bidi="ar-SA"/>
              </w:rPr>
            </w:pPr>
            <w:r w:rsidRPr="00D858DA">
              <w:rPr>
                <w:rFonts w:asciiTheme="minorHAnsi" w:eastAsia="Times New Roman" w:hAnsiTheme="minorHAnsi" w:cstheme="minorHAnsi"/>
                <w:b/>
                <w:bCs/>
                <w:color w:val="000000"/>
                <w:sz w:val="24"/>
                <w:szCs w:val="24"/>
                <w:lang w:bidi="ar-SA"/>
              </w:rPr>
              <w:t>Current Amendment</w:t>
            </w:r>
            <w:r w:rsidR="0007326A" w:rsidRPr="0007326A">
              <w:rPr>
                <w:rFonts w:asciiTheme="minorHAnsi" w:eastAsia="Times New Roman" w:hAnsiTheme="minorHAnsi" w:cstheme="minorHAnsi"/>
                <w:b/>
                <w:bCs/>
                <w:color w:val="000000"/>
                <w:sz w:val="24"/>
                <w:szCs w:val="24"/>
                <w:lang w:bidi="ar-SA"/>
              </w:rPr>
              <w:t xml:space="preserve"> </w:t>
            </w:r>
            <w:r w:rsidRPr="00D858DA">
              <w:rPr>
                <w:rFonts w:asciiTheme="minorHAnsi" w:eastAsia="Times New Roman" w:hAnsiTheme="minorHAnsi" w:cstheme="minorHAnsi"/>
                <w:b/>
                <w:bCs/>
                <w:color w:val="000000"/>
                <w:sz w:val="24"/>
                <w:szCs w:val="24"/>
                <w:lang w:bidi="ar-SA"/>
              </w:rPr>
              <w:t xml:space="preserve">Request </w:t>
            </w:r>
          </w:p>
        </w:tc>
        <w:tc>
          <w:tcPr>
            <w:tcW w:w="1980" w:type="dxa"/>
            <w:tcBorders>
              <w:bottom w:val="single" w:sz="4" w:space="0" w:color="auto"/>
            </w:tcBorders>
            <w:shd w:val="clear" w:color="auto" w:fill="DAEEF3" w:themeFill="accent5" w:themeFillTint="33"/>
            <w:vAlign w:val="center"/>
            <w:hideMark/>
          </w:tcPr>
          <w:p w14:paraId="69E79658" w14:textId="1BF3854A" w:rsidR="0007326A" w:rsidRPr="0007326A" w:rsidRDefault="00CA070D" w:rsidP="0007326A">
            <w:pPr>
              <w:widowControl/>
              <w:autoSpaceDE/>
              <w:autoSpaceDN/>
              <w:jc w:val="center"/>
              <w:rPr>
                <w:rFonts w:asciiTheme="minorHAnsi" w:eastAsia="Times New Roman" w:hAnsiTheme="minorHAnsi" w:cstheme="minorHAnsi"/>
                <w:b/>
                <w:bCs/>
                <w:color w:val="000000"/>
                <w:sz w:val="24"/>
                <w:szCs w:val="24"/>
                <w:lang w:bidi="ar-SA"/>
              </w:rPr>
            </w:pPr>
            <w:r w:rsidRPr="00D858DA">
              <w:rPr>
                <w:rFonts w:asciiTheme="minorHAnsi" w:eastAsia="Times New Roman" w:hAnsiTheme="minorHAnsi" w:cstheme="minorHAnsi"/>
                <w:b/>
                <w:bCs/>
                <w:color w:val="000000"/>
                <w:sz w:val="24"/>
                <w:szCs w:val="24"/>
                <w:lang w:bidi="ar-SA"/>
              </w:rPr>
              <w:t xml:space="preserve">Combined </w:t>
            </w:r>
            <w:r w:rsidR="0007326A" w:rsidRPr="0007326A">
              <w:rPr>
                <w:rFonts w:asciiTheme="minorHAnsi" w:eastAsia="Times New Roman" w:hAnsiTheme="minorHAnsi" w:cstheme="minorHAnsi"/>
                <w:b/>
                <w:bCs/>
                <w:color w:val="000000"/>
                <w:sz w:val="24"/>
                <w:szCs w:val="24"/>
                <w:lang w:bidi="ar-SA"/>
              </w:rPr>
              <w:t xml:space="preserve">Total     </w:t>
            </w:r>
          </w:p>
        </w:tc>
      </w:tr>
      <w:tr w:rsidR="00F51F2D" w:rsidRPr="0007326A" w14:paraId="4F036D99" w14:textId="77777777" w:rsidTr="00F51F2D">
        <w:trPr>
          <w:cantSplit/>
          <w:trHeight w:val="290"/>
        </w:trPr>
        <w:tc>
          <w:tcPr>
            <w:tcW w:w="5000" w:type="dxa"/>
            <w:tcBorders>
              <w:right w:val="nil"/>
            </w:tcBorders>
            <w:shd w:val="clear" w:color="auto" w:fill="auto"/>
            <w:vAlign w:val="bottom"/>
            <w:hideMark/>
          </w:tcPr>
          <w:p w14:paraId="56862CB8" w14:textId="77777777" w:rsidR="00F51F2D" w:rsidRPr="0007326A" w:rsidRDefault="00F51F2D" w:rsidP="0007326A">
            <w:pPr>
              <w:widowControl/>
              <w:autoSpaceDE/>
              <w:autoSpaceDN/>
              <w:rPr>
                <w:rFonts w:asciiTheme="minorHAnsi" w:eastAsia="Times New Roman" w:hAnsiTheme="minorHAnsi" w:cstheme="minorHAnsi"/>
                <w:b/>
                <w:bCs/>
                <w:color w:val="000000"/>
                <w:sz w:val="24"/>
                <w:szCs w:val="24"/>
                <w:lang w:bidi="ar-SA"/>
              </w:rPr>
            </w:pPr>
            <w:r w:rsidRPr="0007326A">
              <w:rPr>
                <w:rFonts w:asciiTheme="minorHAnsi" w:eastAsia="Times New Roman" w:hAnsiTheme="minorHAnsi" w:cstheme="minorHAnsi"/>
                <w:b/>
                <w:bCs/>
                <w:color w:val="000000"/>
                <w:sz w:val="24"/>
                <w:szCs w:val="24"/>
                <w:lang w:bidi="ar-SA"/>
              </w:rPr>
              <w:t>Land Costs</w:t>
            </w:r>
            <w:r w:rsidRPr="00D858DA">
              <w:rPr>
                <w:rFonts w:asciiTheme="minorHAnsi" w:eastAsia="Times New Roman" w:hAnsiTheme="minorHAnsi" w:cstheme="minorHAnsi"/>
                <w:b/>
                <w:bCs/>
                <w:color w:val="000000"/>
                <w:sz w:val="24"/>
                <w:szCs w:val="24"/>
                <w:lang w:bidi="ar-SA"/>
              </w:rPr>
              <w:t xml:space="preserve"> Includes </w:t>
            </w:r>
            <w:proofErr w:type="gramStart"/>
            <w:r w:rsidRPr="00D858DA">
              <w:rPr>
                <w:rFonts w:asciiTheme="minorHAnsi" w:eastAsia="Times New Roman" w:hAnsiTheme="minorHAnsi" w:cstheme="minorHAnsi"/>
                <w:b/>
                <w:bCs/>
                <w:color w:val="000000"/>
                <w:sz w:val="24"/>
                <w:szCs w:val="24"/>
                <w:lang w:bidi="ar-SA"/>
              </w:rPr>
              <w:t>only</w:t>
            </w:r>
            <w:proofErr w:type="gramEnd"/>
            <w:r w:rsidRPr="00D858DA">
              <w:rPr>
                <w:rFonts w:asciiTheme="minorHAnsi" w:eastAsia="Times New Roman" w:hAnsiTheme="minorHAnsi" w:cstheme="minorHAnsi"/>
                <w:b/>
                <w:bCs/>
                <w:color w:val="000000"/>
                <w:sz w:val="24"/>
                <w:szCs w:val="24"/>
                <w:lang w:bidi="ar-SA"/>
              </w:rPr>
              <w:t xml:space="preserve"> New Construction (No renovations)</w:t>
            </w:r>
          </w:p>
        </w:tc>
        <w:tc>
          <w:tcPr>
            <w:tcW w:w="1720" w:type="dxa"/>
            <w:tcBorders>
              <w:left w:val="nil"/>
              <w:right w:val="nil"/>
            </w:tcBorders>
            <w:shd w:val="clear" w:color="auto" w:fill="auto"/>
            <w:vAlign w:val="bottom"/>
          </w:tcPr>
          <w:p w14:paraId="746E7AE3" w14:textId="77777777" w:rsidR="00F51F2D" w:rsidRPr="0007326A" w:rsidRDefault="00F51F2D" w:rsidP="0007326A">
            <w:pPr>
              <w:widowControl/>
              <w:autoSpaceDE/>
              <w:autoSpaceDN/>
              <w:rPr>
                <w:rFonts w:asciiTheme="minorHAnsi" w:eastAsia="Times New Roman" w:hAnsiTheme="minorHAnsi" w:cstheme="minorHAnsi"/>
                <w:b/>
                <w:bCs/>
                <w:color w:val="000000"/>
                <w:sz w:val="24"/>
                <w:szCs w:val="24"/>
                <w:lang w:bidi="ar-SA"/>
              </w:rPr>
            </w:pPr>
          </w:p>
        </w:tc>
        <w:tc>
          <w:tcPr>
            <w:tcW w:w="1540" w:type="dxa"/>
            <w:tcBorders>
              <w:left w:val="nil"/>
              <w:right w:val="nil"/>
            </w:tcBorders>
            <w:shd w:val="clear" w:color="auto" w:fill="auto"/>
            <w:vAlign w:val="bottom"/>
          </w:tcPr>
          <w:p w14:paraId="4D6D53D2" w14:textId="77777777" w:rsidR="00F51F2D" w:rsidRPr="0007326A" w:rsidRDefault="00F51F2D" w:rsidP="0007326A">
            <w:pPr>
              <w:widowControl/>
              <w:autoSpaceDE/>
              <w:autoSpaceDN/>
              <w:rPr>
                <w:rFonts w:asciiTheme="minorHAnsi" w:eastAsia="Times New Roman" w:hAnsiTheme="minorHAnsi" w:cstheme="minorHAnsi"/>
                <w:b/>
                <w:bCs/>
                <w:color w:val="000000"/>
                <w:sz w:val="24"/>
                <w:szCs w:val="24"/>
                <w:lang w:bidi="ar-SA"/>
              </w:rPr>
            </w:pPr>
          </w:p>
        </w:tc>
        <w:tc>
          <w:tcPr>
            <w:tcW w:w="1980" w:type="dxa"/>
            <w:tcBorders>
              <w:left w:val="nil"/>
            </w:tcBorders>
            <w:shd w:val="clear" w:color="auto" w:fill="auto"/>
            <w:vAlign w:val="bottom"/>
          </w:tcPr>
          <w:p w14:paraId="5FD6D056" w14:textId="4C14D6ED" w:rsidR="00F51F2D" w:rsidRPr="0007326A" w:rsidRDefault="00F51F2D" w:rsidP="0007326A">
            <w:pPr>
              <w:widowControl/>
              <w:autoSpaceDE/>
              <w:autoSpaceDN/>
              <w:rPr>
                <w:rFonts w:asciiTheme="minorHAnsi" w:eastAsia="Times New Roman" w:hAnsiTheme="minorHAnsi" w:cstheme="minorHAnsi"/>
                <w:b/>
                <w:bCs/>
                <w:color w:val="000000"/>
                <w:sz w:val="24"/>
                <w:szCs w:val="24"/>
                <w:lang w:bidi="ar-SA"/>
              </w:rPr>
            </w:pPr>
          </w:p>
        </w:tc>
      </w:tr>
      <w:tr w:rsidR="00CA070D" w:rsidRPr="00D858DA" w14:paraId="66A92AD7" w14:textId="77777777" w:rsidTr="00F51F2D">
        <w:trPr>
          <w:cantSplit/>
          <w:trHeight w:val="290"/>
        </w:trPr>
        <w:tc>
          <w:tcPr>
            <w:tcW w:w="5000" w:type="dxa"/>
            <w:shd w:val="clear" w:color="auto" w:fill="auto"/>
            <w:vAlign w:val="bottom"/>
            <w:hideMark/>
          </w:tcPr>
          <w:p w14:paraId="5190782C" w14:textId="77777777" w:rsidR="0007326A" w:rsidRPr="0007326A" w:rsidRDefault="0007326A" w:rsidP="0007326A">
            <w:pPr>
              <w:widowControl/>
              <w:autoSpaceDE/>
              <w:autoSpaceDN/>
              <w:rPr>
                <w:rFonts w:asciiTheme="minorHAnsi" w:eastAsia="Times New Roman" w:hAnsiTheme="minorHAnsi" w:cstheme="minorHAnsi"/>
                <w:color w:val="000000"/>
                <w:sz w:val="24"/>
                <w:szCs w:val="24"/>
                <w:lang w:bidi="ar-SA"/>
              </w:rPr>
            </w:pPr>
            <w:r w:rsidRPr="0007326A">
              <w:rPr>
                <w:rFonts w:asciiTheme="minorHAnsi" w:eastAsia="Times New Roman" w:hAnsiTheme="minorHAnsi" w:cstheme="minorHAnsi"/>
                <w:color w:val="000000"/>
                <w:sz w:val="24"/>
                <w:szCs w:val="24"/>
                <w:lang w:bidi="ar-SA"/>
              </w:rPr>
              <w:t>Land Acquisition Cost</w:t>
            </w:r>
          </w:p>
        </w:tc>
        <w:tc>
          <w:tcPr>
            <w:tcW w:w="1720" w:type="dxa"/>
            <w:shd w:val="clear" w:color="auto" w:fill="auto"/>
            <w:vAlign w:val="bottom"/>
            <w:hideMark/>
          </w:tcPr>
          <w:p w14:paraId="2E5F17E9" w14:textId="77777777" w:rsidR="0007326A" w:rsidRPr="0007326A" w:rsidRDefault="0007326A" w:rsidP="0007326A">
            <w:pPr>
              <w:widowControl/>
              <w:autoSpaceDE/>
              <w:autoSpaceDN/>
              <w:rPr>
                <w:rFonts w:asciiTheme="minorHAnsi" w:eastAsia="Times New Roman" w:hAnsiTheme="minorHAnsi" w:cstheme="minorHAnsi"/>
                <w:color w:val="000000"/>
                <w:sz w:val="24"/>
                <w:szCs w:val="24"/>
                <w:lang w:bidi="ar-SA"/>
              </w:rPr>
            </w:pPr>
            <w:r w:rsidRPr="0007326A">
              <w:rPr>
                <w:rFonts w:asciiTheme="minorHAnsi" w:eastAsia="Times New Roman" w:hAnsiTheme="minorHAnsi" w:cstheme="minorHAnsi"/>
                <w:color w:val="000000"/>
                <w:sz w:val="24"/>
                <w:szCs w:val="24"/>
                <w:lang w:bidi="ar-SA"/>
              </w:rPr>
              <w:t> </w:t>
            </w:r>
          </w:p>
        </w:tc>
        <w:tc>
          <w:tcPr>
            <w:tcW w:w="1540" w:type="dxa"/>
            <w:shd w:val="clear" w:color="auto" w:fill="auto"/>
            <w:vAlign w:val="bottom"/>
            <w:hideMark/>
          </w:tcPr>
          <w:p w14:paraId="11251D04" w14:textId="77777777" w:rsidR="0007326A" w:rsidRPr="0007326A" w:rsidRDefault="0007326A" w:rsidP="0007326A">
            <w:pPr>
              <w:widowControl/>
              <w:autoSpaceDE/>
              <w:autoSpaceDN/>
              <w:jc w:val="right"/>
              <w:rPr>
                <w:rFonts w:asciiTheme="minorHAnsi" w:eastAsia="Times New Roman" w:hAnsiTheme="minorHAnsi" w:cstheme="minorHAnsi"/>
                <w:color w:val="000000"/>
                <w:sz w:val="24"/>
                <w:szCs w:val="24"/>
                <w:lang w:bidi="ar-SA"/>
              </w:rPr>
            </w:pPr>
            <w:r w:rsidRPr="0007326A">
              <w:rPr>
                <w:rFonts w:asciiTheme="minorHAnsi" w:eastAsia="Times New Roman" w:hAnsiTheme="minorHAnsi" w:cstheme="minorHAnsi"/>
                <w:color w:val="000000"/>
                <w:sz w:val="24"/>
                <w:szCs w:val="24"/>
                <w:lang w:bidi="ar-SA"/>
              </w:rPr>
              <w:t>$0</w:t>
            </w:r>
          </w:p>
        </w:tc>
        <w:tc>
          <w:tcPr>
            <w:tcW w:w="1980" w:type="dxa"/>
            <w:shd w:val="clear" w:color="auto" w:fill="auto"/>
            <w:vAlign w:val="bottom"/>
            <w:hideMark/>
          </w:tcPr>
          <w:p w14:paraId="57D6CDFC" w14:textId="77777777" w:rsidR="0007326A" w:rsidRPr="0007326A" w:rsidRDefault="0007326A" w:rsidP="0007326A">
            <w:pPr>
              <w:widowControl/>
              <w:autoSpaceDE/>
              <w:autoSpaceDN/>
              <w:jc w:val="right"/>
              <w:rPr>
                <w:rFonts w:asciiTheme="minorHAnsi" w:eastAsia="Times New Roman" w:hAnsiTheme="minorHAnsi" w:cstheme="minorHAnsi"/>
                <w:color w:val="000000"/>
                <w:sz w:val="24"/>
                <w:szCs w:val="24"/>
                <w:lang w:bidi="ar-SA"/>
              </w:rPr>
            </w:pPr>
            <w:r w:rsidRPr="0007326A">
              <w:rPr>
                <w:rFonts w:asciiTheme="minorHAnsi" w:eastAsia="Times New Roman" w:hAnsiTheme="minorHAnsi" w:cstheme="minorHAnsi"/>
                <w:color w:val="000000"/>
                <w:sz w:val="24"/>
                <w:szCs w:val="24"/>
                <w:lang w:bidi="ar-SA"/>
              </w:rPr>
              <w:t>$0</w:t>
            </w:r>
          </w:p>
        </w:tc>
      </w:tr>
      <w:tr w:rsidR="00CA070D" w:rsidRPr="00D858DA" w14:paraId="2720066D" w14:textId="77777777" w:rsidTr="00F51F2D">
        <w:trPr>
          <w:cantSplit/>
          <w:trHeight w:val="290"/>
        </w:trPr>
        <w:tc>
          <w:tcPr>
            <w:tcW w:w="5000" w:type="dxa"/>
            <w:shd w:val="clear" w:color="auto" w:fill="auto"/>
            <w:vAlign w:val="bottom"/>
            <w:hideMark/>
          </w:tcPr>
          <w:p w14:paraId="02DD6256" w14:textId="77777777" w:rsidR="0007326A" w:rsidRPr="0007326A" w:rsidRDefault="0007326A" w:rsidP="0007326A">
            <w:pPr>
              <w:widowControl/>
              <w:autoSpaceDE/>
              <w:autoSpaceDN/>
              <w:rPr>
                <w:rFonts w:asciiTheme="minorHAnsi" w:eastAsia="Times New Roman" w:hAnsiTheme="minorHAnsi" w:cstheme="minorHAnsi"/>
                <w:color w:val="000000"/>
                <w:sz w:val="24"/>
                <w:szCs w:val="24"/>
                <w:lang w:bidi="ar-SA"/>
              </w:rPr>
            </w:pPr>
            <w:r w:rsidRPr="0007326A">
              <w:rPr>
                <w:rFonts w:asciiTheme="minorHAnsi" w:eastAsia="Times New Roman" w:hAnsiTheme="minorHAnsi" w:cstheme="minorHAnsi"/>
                <w:color w:val="000000"/>
                <w:sz w:val="24"/>
                <w:szCs w:val="24"/>
                <w:lang w:bidi="ar-SA"/>
              </w:rPr>
              <w:t>Site Survey and Soil Investigation</w:t>
            </w:r>
          </w:p>
        </w:tc>
        <w:tc>
          <w:tcPr>
            <w:tcW w:w="1720" w:type="dxa"/>
            <w:shd w:val="clear" w:color="auto" w:fill="auto"/>
            <w:vAlign w:val="bottom"/>
            <w:hideMark/>
          </w:tcPr>
          <w:p w14:paraId="021223C2" w14:textId="77777777" w:rsidR="0007326A" w:rsidRPr="0007326A" w:rsidRDefault="0007326A" w:rsidP="0007326A">
            <w:pPr>
              <w:widowControl/>
              <w:autoSpaceDE/>
              <w:autoSpaceDN/>
              <w:jc w:val="right"/>
              <w:rPr>
                <w:rFonts w:asciiTheme="minorHAnsi" w:eastAsia="Times New Roman" w:hAnsiTheme="minorHAnsi" w:cstheme="minorHAnsi"/>
                <w:color w:val="000000"/>
                <w:sz w:val="24"/>
                <w:szCs w:val="24"/>
                <w:lang w:bidi="ar-SA"/>
              </w:rPr>
            </w:pPr>
            <w:r w:rsidRPr="0007326A">
              <w:rPr>
                <w:rFonts w:asciiTheme="minorHAnsi" w:eastAsia="Times New Roman" w:hAnsiTheme="minorHAnsi" w:cstheme="minorHAnsi"/>
                <w:color w:val="000000"/>
                <w:sz w:val="24"/>
                <w:szCs w:val="24"/>
                <w:lang w:bidi="ar-SA"/>
              </w:rPr>
              <w:t>$5,239,266</w:t>
            </w:r>
          </w:p>
        </w:tc>
        <w:tc>
          <w:tcPr>
            <w:tcW w:w="1540" w:type="dxa"/>
            <w:shd w:val="clear" w:color="auto" w:fill="auto"/>
            <w:vAlign w:val="bottom"/>
            <w:hideMark/>
          </w:tcPr>
          <w:p w14:paraId="0CF28AE5" w14:textId="77777777" w:rsidR="0007326A" w:rsidRPr="0007326A" w:rsidRDefault="0007326A" w:rsidP="0007326A">
            <w:pPr>
              <w:widowControl/>
              <w:autoSpaceDE/>
              <w:autoSpaceDN/>
              <w:jc w:val="right"/>
              <w:rPr>
                <w:rFonts w:asciiTheme="minorHAnsi" w:eastAsia="Times New Roman" w:hAnsiTheme="minorHAnsi" w:cstheme="minorHAnsi"/>
                <w:color w:val="000000"/>
                <w:sz w:val="24"/>
                <w:szCs w:val="24"/>
                <w:lang w:bidi="ar-SA"/>
              </w:rPr>
            </w:pPr>
            <w:r w:rsidRPr="0007326A">
              <w:rPr>
                <w:rFonts w:asciiTheme="minorHAnsi" w:eastAsia="Times New Roman" w:hAnsiTheme="minorHAnsi" w:cstheme="minorHAnsi"/>
                <w:color w:val="000000"/>
                <w:sz w:val="24"/>
                <w:szCs w:val="24"/>
                <w:lang w:bidi="ar-SA"/>
              </w:rPr>
              <w:t>$0</w:t>
            </w:r>
          </w:p>
        </w:tc>
        <w:tc>
          <w:tcPr>
            <w:tcW w:w="1980" w:type="dxa"/>
            <w:shd w:val="clear" w:color="auto" w:fill="auto"/>
            <w:vAlign w:val="bottom"/>
            <w:hideMark/>
          </w:tcPr>
          <w:p w14:paraId="4FC72D41" w14:textId="77777777" w:rsidR="0007326A" w:rsidRPr="0007326A" w:rsidRDefault="0007326A" w:rsidP="0007326A">
            <w:pPr>
              <w:widowControl/>
              <w:autoSpaceDE/>
              <w:autoSpaceDN/>
              <w:jc w:val="right"/>
              <w:rPr>
                <w:rFonts w:asciiTheme="minorHAnsi" w:eastAsia="Times New Roman" w:hAnsiTheme="minorHAnsi" w:cstheme="minorHAnsi"/>
                <w:color w:val="000000"/>
                <w:sz w:val="24"/>
                <w:szCs w:val="24"/>
                <w:lang w:bidi="ar-SA"/>
              </w:rPr>
            </w:pPr>
            <w:r w:rsidRPr="0007326A">
              <w:rPr>
                <w:rFonts w:asciiTheme="minorHAnsi" w:eastAsia="Times New Roman" w:hAnsiTheme="minorHAnsi" w:cstheme="minorHAnsi"/>
                <w:color w:val="000000"/>
                <w:sz w:val="24"/>
                <w:szCs w:val="24"/>
                <w:lang w:bidi="ar-SA"/>
              </w:rPr>
              <w:t>$5,239,266</w:t>
            </w:r>
          </w:p>
        </w:tc>
      </w:tr>
      <w:tr w:rsidR="00CA070D" w:rsidRPr="00D858DA" w14:paraId="5AD6AEF1" w14:textId="77777777" w:rsidTr="00F51F2D">
        <w:trPr>
          <w:cantSplit/>
          <w:trHeight w:val="290"/>
        </w:trPr>
        <w:tc>
          <w:tcPr>
            <w:tcW w:w="5000" w:type="dxa"/>
            <w:shd w:val="clear" w:color="auto" w:fill="auto"/>
            <w:vAlign w:val="bottom"/>
            <w:hideMark/>
          </w:tcPr>
          <w:p w14:paraId="12A355DF" w14:textId="77777777" w:rsidR="0007326A" w:rsidRPr="0007326A" w:rsidRDefault="0007326A" w:rsidP="0007326A">
            <w:pPr>
              <w:widowControl/>
              <w:autoSpaceDE/>
              <w:autoSpaceDN/>
              <w:rPr>
                <w:rFonts w:asciiTheme="minorHAnsi" w:eastAsia="Times New Roman" w:hAnsiTheme="minorHAnsi" w:cstheme="minorHAnsi"/>
                <w:color w:val="000000"/>
                <w:sz w:val="24"/>
                <w:szCs w:val="24"/>
                <w:lang w:bidi="ar-SA"/>
              </w:rPr>
            </w:pPr>
            <w:r w:rsidRPr="0007326A">
              <w:rPr>
                <w:rFonts w:asciiTheme="minorHAnsi" w:eastAsia="Times New Roman" w:hAnsiTheme="minorHAnsi" w:cstheme="minorHAnsi"/>
                <w:color w:val="000000"/>
                <w:sz w:val="24"/>
                <w:szCs w:val="24"/>
                <w:lang w:bidi="ar-SA"/>
              </w:rPr>
              <w:t>Other Non-Depreciable Land Development</w:t>
            </w:r>
          </w:p>
        </w:tc>
        <w:tc>
          <w:tcPr>
            <w:tcW w:w="1720" w:type="dxa"/>
            <w:shd w:val="clear" w:color="auto" w:fill="auto"/>
            <w:vAlign w:val="bottom"/>
            <w:hideMark/>
          </w:tcPr>
          <w:p w14:paraId="1F22106C" w14:textId="77777777" w:rsidR="0007326A" w:rsidRPr="0007326A" w:rsidRDefault="0007326A" w:rsidP="0007326A">
            <w:pPr>
              <w:widowControl/>
              <w:autoSpaceDE/>
              <w:autoSpaceDN/>
              <w:jc w:val="right"/>
              <w:rPr>
                <w:rFonts w:asciiTheme="minorHAnsi" w:eastAsia="Times New Roman" w:hAnsiTheme="minorHAnsi" w:cstheme="minorHAnsi"/>
                <w:color w:val="000000"/>
                <w:sz w:val="24"/>
                <w:szCs w:val="24"/>
                <w:lang w:bidi="ar-SA"/>
              </w:rPr>
            </w:pPr>
            <w:r w:rsidRPr="0007326A">
              <w:rPr>
                <w:rFonts w:asciiTheme="minorHAnsi" w:eastAsia="Times New Roman" w:hAnsiTheme="minorHAnsi" w:cstheme="minorHAnsi"/>
                <w:color w:val="000000"/>
                <w:sz w:val="24"/>
                <w:szCs w:val="24"/>
                <w:lang w:bidi="ar-SA"/>
              </w:rPr>
              <w:t>$230,000</w:t>
            </w:r>
          </w:p>
        </w:tc>
        <w:tc>
          <w:tcPr>
            <w:tcW w:w="1540" w:type="dxa"/>
            <w:shd w:val="clear" w:color="auto" w:fill="auto"/>
            <w:vAlign w:val="bottom"/>
            <w:hideMark/>
          </w:tcPr>
          <w:p w14:paraId="78DCD2DA" w14:textId="77777777" w:rsidR="0007326A" w:rsidRPr="0007326A" w:rsidRDefault="0007326A" w:rsidP="0007326A">
            <w:pPr>
              <w:widowControl/>
              <w:autoSpaceDE/>
              <w:autoSpaceDN/>
              <w:jc w:val="right"/>
              <w:rPr>
                <w:rFonts w:asciiTheme="minorHAnsi" w:eastAsia="Times New Roman" w:hAnsiTheme="minorHAnsi" w:cstheme="minorHAnsi"/>
                <w:color w:val="000000"/>
                <w:sz w:val="24"/>
                <w:szCs w:val="24"/>
                <w:lang w:bidi="ar-SA"/>
              </w:rPr>
            </w:pPr>
            <w:r w:rsidRPr="0007326A">
              <w:rPr>
                <w:rFonts w:asciiTheme="minorHAnsi" w:eastAsia="Times New Roman" w:hAnsiTheme="minorHAnsi" w:cstheme="minorHAnsi"/>
                <w:color w:val="000000"/>
                <w:sz w:val="24"/>
                <w:szCs w:val="24"/>
                <w:lang w:bidi="ar-SA"/>
              </w:rPr>
              <w:t>$0</w:t>
            </w:r>
          </w:p>
        </w:tc>
        <w:tc>
          <w:tcPr>
            <w:tcW w:w="1980" w:type="dxa"/>
            <w:shd w:val="clear" w:color="auto" w:fill="auto"/>
            <w:vAlign w:val="bottom"/>
            <w:hideMark/>
          </w:tcPr>
          <w:p w14:paraId="4A91EA4F" w14:textId="77777777" w:rsidR="0007326A" w:rsidRPr="0007326A" w:rsidRDefault="0007326A" w:rsidP="0007326A">
            <w:pPr>
              <w:widowControl/>
              <w:autoSpaceDE/>
              <w:autoSpaceDN/>
              <w:jc w:val="right"/>
              <w:rPr>
                <w:rFonts w:asciiTheme="minorHAnsi" w:eastAsia="Times New Roman" w:hAnsiTheme="minorHAnsi" w:cstheme="minorHAnsi"/>
                <w:color w:val="000000"/>
                <w:sz w:val="24"/>
                <w:szCs w:val="24"/>
                <w:lang w:bidi="ar-SA"/>
              </w:rPr>
            </w:pPr>
            <w:r w:rsidRPr="0007326A">
              <w:rPr>
                <w:rFonts w:asciiTheme="minorHAnsi" w:eastAsia="Times New Roman" w:hAnsiTheme="minorHAnsi" w:cstheme="minorHAnsi"/>
                <w:color w:val="000000"/>
                <w:sz w:val="24"/>
                <w:szCs w:val="24"/>
                <w:lang w:bidi="ar-SA"/>
              </w:rPr>
              <w:t>$230,000</w:t>
            </w:r>
          </w:p>
        </w:tc>
      </w:tr>
      <w:tr w:rsidR="00CA070D" w:rsidRPr="00D858DA" w14:paraId="60227524" w14:textId="77777777" w:rsidTr="00F51F2D">
        <w:trPr>
          <w:cantSplit/>
          <w:trHeight w:val="290"/>
        </w:trPr>
        <w:tc>
          <w:tcPr>
            <w:tcW w:w="5000" w:type="dxa"/>
            <w:shd w:val="clear" w:color="auto" w:fill="auto"/>
            <w:vAlign w:val="bottom"/>
            <w:hideMark/>
          </w:tcPr>
          <w:p w14:paraId="79023002" w14:textId="77777777" w:rsidR="0007326A" w:rsidRPr="0007326A" w:rsidRDefault="0007326A" w:rsidP="0007326A">
            <w:pPr>
              <w:widowControl/>
              <w:autoSpaceDE/>
              <w:autoSpaceDN/>
              <w:rPr>
                <w:rFonts w:asciiTheme="minorHAnsi" w:eastAsia="Times New Roman" w:hAnsiTheme="minorHAnsi" w:cstheme="minorHAnsi"/>
                <w:b/>
                <w:bCs/>
                <w:color w:val="000000"/>
                <w:sz w:val="24"/>
                <w:szCs w:val="24"/>
                <w:lang w:bidi="ar-SA"/>
              </w:rPr>
            </w:pPr>
            <w:r w:rsidRPr="0007326A">
              <w:rPr>
                <w:rFonts w:asciiTheme="minorHAnsi" w:eastAsia="Times New Roman" w:hAnsiTheme="minorHAnsi" w:cstheme="minorHAnsi"/>
                <w:b/>
                <w:bCs/>
                <w:color w:val="000000"/>
                <w:sz w:val="24"/>
                <w:szCs w:val="24"/>
                <w:lang w:bidi="ar-SA"/>
              </w:rPr>
              <w:t>Total Land Costs</w:t>
            </w:r>
          </w:p>
        </w:tc>
        <w:tc>
          <w:tcPr>
            <w:tcW w:w="1720" w:type="dxa"/>
            <w:tcBorders>
              <w:bottom w:val="single" w:sz="4" w:space="0" w:color="auto"/>
            </w:tcBorders>
            <w:shd w:val="clear" w:color="auto" w:fill="auto"/>
            <w:vAlign w:val="bottom"/>
            <w:hideMark/>
          </w:tcPr>
          <w:p w14:paraId="63F8C279" w14:textId="77777777" w:rsidR="0007326A" w:rsidRPr="0007326A" w:rsidRDefault="0007326A" w:rsidP="0007326A">
            <w:pPr>
              <w:widowControl/>
              <w:autoSpaceDE/>
              <w:autoSpaceDN/>
              <w:jc w:val="right"/>
              <w:rPr>
                <w:rFonts w:asciiTheme="minorHAnsi" w:eastAsia="Times New Roman" w:hAnsiTheme="minorHAnsi" w:cstheme="minorHAnsi"/>
                <w:color w:val="000000"/>
                <w:sz w:val="24"/>
                <w:szCs w:val="24"/>
                <w:lang w:bidi="ar-SA"/>
              </w:rPr>
            </w:pPr>
            <w:r w:rsidRPr="0007326A">
              <w:rPr>
                <w:rFonts w:asciiTheme="minorHAnsi" w:eastAsia="Times New Roman" w:hAnsiTheme="minorHAnsi" w:cstheme="minorHAnsi"/>
                <w:color w:val="000000"/>
                <w:sz w:val="24"/>
                <w:szCs w:val="24"/>
                <w:lang w:bidi="ar-SA"/>
              </w:rPr>
              <w:t>$5,469,266</w:t>
            </w:r>
          </w:p>
        </w:tc>
        <w:tc>
          <w:tcPr>
            <w:tcW w:w="1540" w:type="dxa"/>
            <w:tcBorders>
              <w:bottom w:val="single" w:sz="4" w:space="0" w:color="auto"/>
            </w:tcBorders>
            <w:shd w:val="clear" w:color="auto" w:fill="auto"/>
            <w:vAlign w:val="bottom"/>
            <w:hideMark/>
          </w:tcPr>
          <w:p w14:paraId="59497EA3" w14:textId="77777777" w:rsidR="0007326A" w:rsidRPr="0007326A" w:rsidRDefault="0007326A" w:rsidP="0007326A">
            <w:pPr>
              <w:widowControl/>
              <w:autoSpaceDE/>
              <w:autoSpaceDN/>
              <w:jc w:val="right"/>
              <w:rPr>
                <w:rFonts w:asciiTheme="minorHAnsi" w:eastAsia="Times New Roman" w:hAnsiTheme="minorHAnsi" w:cstheme="minorHAnsi"/>
                <w:color w:val="000000"/>
                <w:sz w:val="24"/>
                <w:szCs w:val="24"/>
                <w:lang w:bidi="ar-SA"/>
              </w:rPr>
            </w:pPr>
            <w:r w:rsidRPr="0007326A">
              <w:rPr>
                <w:rFonts w:asciiTheme="minorHAnsi" w:eastAsia="Times New Roman" w:hAnsiTheme="minorHAnsi" w:cstheme="minorHAnsi"/>
                <w:color w:val="000000"/>
                <w:sz w:val="24"/>
                <w:szCs w:val="24"/>
                <w:lang w:bidi="ar-SA"/>
              </w:rPr>
              <w:t>$0</w:t>
            </w:r>
          </w:p>
        </w:tc>
        <w:tc>
          <w:tcPr>
            <w:tcW w:w="1980" w:type="dxa"/>
            <w:tcBorders>
              <w:bottom w:val="single" w:sz="4" w:space="0" w:color="auto"/>
            </w:tcBorders>
            <w:shd w:val="clear" w:color="auto" w:fill="auto"/>
            <w:vAlign w:val="bottom"/>
            <w:hideMark/>
          </w:tcPr>
          <w:p w14:paraId="738C1585" w14:textId="77777777" w:rsidR="0007326A" w:rsidRPr="0007326A" w:rsidRDefault="0007326A" w:rsidP="0007326A">
            <w:pPr>
              <w:widowControl/>
              <w:autoSpaceDE/>
              <w:autoSpaceDN/>
              <w:jc w:val="right"/>
              <w:rPr>
                <w:rFonts w:asciiTheme="minorHAnsi" w:eastAsia="Times New Roman" w:hAnsiTheme="minorHAnsi" w:cstheme="minorHAnsi"/>
                <w:color w:val="000000"/>
                <w:sz w:val="24"/>
                <w:szCs w:val="24"/>
                <w:lang w:bidi="ar-SA"/>
              </w:rPr>
            </w:pPr>
            <w:r w:rsidRPr="0007326A">
              <w:rPr>
                <w:rFonts w:asciiTheme="minorHAnsi" w:eastAsia="Times New Roman" w:hAnsiTheme="minorHAnsi" w:cstheme="minorHAnsi"/>
                <w:color w:val="000000"/>
                <w:sz w:val="24"/>
                <w:szCs w:val="24"/>
                <w:lang w:bidi="ar-SA"/>
              </w:rPr>
              <w:t>$5,469,266</w:t>
            </w:r>
          </w:p>
        </w:tc>
      </w:tr>
      <w:tr w:rsidR="00F51F2D" w:rsidRPr="0007326A" w14:paraId="6158B3A8" w14:textId="77777777" w:rsidTr="00F51F2D">
        <w:trPr>
          <w:cantSplit/>
          <w:trHeight w:val="290"/>
        </w:trPr>
        <w:tc>
          <w:tcPr>
            <w:tcW w:w="5000" w:type="dxa"/>
            <w:tcBorders>
              <w:right w:val="nil"/>
            </w:tcBorders>
            <w:shd w:val="clear" w:color="auto" w:fill="auto"/>
            <w:vAlign w:val="bottom"/>
            <w:hideMark/>
          </w:tcPr>
          <w:p w14:paraId="33CDB60B" w14:textId="77777777" w:rsidR="00F51F2D" w:rsidRPr="0007326A" w:rsidRDefault="00F51F2D" w:rsidP="0007326A">
            <w:pPr>
              <w:widowControl/>
              <w:autoSpaceDE/>
              <w:autoSpaceDN/>
              <w:rPr>
                <w:rFonts w:asciiTheme="minorHAnsi" w:eastAsia="Times New Roman" w:hAnsiTheme="minorHAnsi" w:cstheme="minorHAnsi"/>
                <w:b/>
                <w:bCs/>
                <w:color w:val="000000"/>
                <w:sz w:val="24"/>
                <w:szCs w:val="24"/>
                <w:lang w:bidi="ar-SA"/>
              </w:rPr>
            </w:pPr>
            <w:r w:rsidRPr="0007326A">
              <w:rPr>
                <w:rFonts w:asciiTheme="minorHAnsi" w:eastAsia="Times New Roman" w:hAnsiTheme="minorHAnsi" w:cstheme="minorHAnsi"/>
                <w:b/>
                <w:bCs/>
                <w:color w:val="000000"/>
                <w:sz w:val="24"/>
                <w:szCs w:val="24"/>
                <w:lang w:bidi="ar-SA"/>
              </w:rPr>
              <w:t>Construction Contract (including bonding cost)</w:t>
            </w:r>
          </w:p>
        </w:tc>
        <w:tc>
          <w:tcPr>
            <w:tcW w:w="1720" w:type="dxa"/>
            <w:tcBorders>
              <w:left w:val="nil"/>
              <w:right w:val="nil"/>
            </w:tcBorders>
            <w:shd w:val="clear" w:color="auto" w:fill="auto"/>
            <w:vAlign w:val="bottom"/>
          </w:tcPr>
          <w:p w14:paraId="75CD8D33" w14:textId="77777777" w:rsidR="00F51F2D" w:rsidRPr="0007326A" w:rsidRDefault="00F51F2D" w:rsidP="0007326A">
            <w:pPr>
              <w:widowControl/>
              <w:autoSpaceDE/>
              <w:autoSpaceDN/>
              <w:rPr>
                <w:rFonts w:asciiTheme="minorHAnsi" w:eastAsia="Times New Roman" w:hAnsiTheme="minorHAnsi" w:cstheme="minorHAnsi"/>
                <w:b/>
                <w:bCs/>
                <w:color w:val="000000"/>
                <w:sz w:val="24"/>
                <w:szCs w:val="24"/>
                <w:lang w:bidi="ar-SA"/>
              </w:rPr>
            </w:pPr>
          </w:p>
        </w:tc>
        <w:tc>
          <w:tcPr>
            <w:tcW w:w="1540" w:type="dxa"/>
            <w:tcBorders>
              <w:left w:val="nil"/>
              <w:right w:val="nil"/>
            </w:tcBorders>
            <w:shd w:val="clear" w:color="auto" w:fill="auto"/>
            <w:vAlign w:val="bottom"/>
          </w:tcPr>
          <w:p w14:paraId="69AEC91F" w14:textId="77777777" w:rsidR="00F51F2D" w:rsidRPr="0007326A" w:rsidRDefault="00F51F2D" w:rsidP="0007326A">
            <w:pPr>
              <w:widowControl/>
              <w:autoSpaceDE/>
              <w:autoSpaceDN/>
              <w:rPr>
                <w:rFonts w:asciiTheme="minorHAnsi" w:eastAsia="Times New Roman" w:hAnsiTheme="minorHAnsi" w:cstheme="minorHAnsi"/>
                <w:b/>
                <w:bCs/>
                <w:color w:val="000000"/>
                <w:sz w:val="24"/>
                <w:szCs w:val="24"/>
                <w:lang w:bidi="ar-SA"/>
              </w:rPr>
            </w:pPr>
          </w:p>
        </w:tc>
        <w:tc>
          <w:tcPr>
            <w:tcW w:w="1980" w:type="dxa"/>
            <w:tcBorders>
              <w:left w:val="nil"/>
            </w:tcBorders>
            <w:shd w:val="clear" w:color="auto" w:fill="auto"/>
            <w:vAlign w:val="bottom"/>
          </w:tcPr>
          <w:p w14:paraId="24F4E096" w14:textId="6BB25758" w:rsidR="00F51F2D" w:rsidRPr="0007326A" w:rsidRDefault="00F51F2D" w:rsidP="0007326A">
            <w:pPr>
              <w:widowControl/>
              <w:autoSpaceDE/>
              <w:autoSpaceDN/>
              <w:rPr>
                <w:rFonts w:asciiTheme="minorHAnsi" w:eastAsia="Times New Roman" w:hAnsiTheme="minorHAnsi" w:cstheme="minorHAnsi"/>
                <w:b/>
                <w:bCs/>
                <w:color w:val="000000"/>
                <w:sz w:val="24"/>
                <w:szCs w:val="24"/>
                <w:lang w:bidi="ar-SA"/>
              </w:rPr>
            </w:pPr>
          </w:p>
        </w:tc>
      </w:tr>
      <w:tr w:rsidR="00CA070D" w:rsidRPr="00D858DA" w14:paraId="3C16F98A" w14:textId="77777777" w:rsidTr="00F51F2D">
        <w:trPr>
          <w:cantSplit/>
          <w:trHeight w:val="290"/>
        </w:trPr>
        <w:tc>
          <w:tcPr>
            <w:tcW w:w="5000" w:type="dxa"/>
            <w:shd w:val="clear" w:color="auto" w:fill="auto"/>
            <w:vAlign w:val="bottom"/>
            <w:hideMark/>
          </w:tcPr>
          <w:p w14:paraId="22F113B7" w14:textId="77777777" w:rsidR="0007326A" w:rsidRPr="0007326A" w:rsidRDefault="0007326A" w:rsidP="0007326A">
            <w:pPr>
              <w:widowControl/>
              <w:autoSpaceDE/>
              <w:autoSpaceDN/>
              <w:rPr>
                <w:rFonts w:asciiTheme="minorHAnsi" w:eastAsia="Times New Roman" w:hAnsiTheme="minorHAnsi" w:cstheme="minorHAnsi"/>
                <w:color w:val="000000"/>
                <w:sz w:val="24"/>
                <w:szCs w:val="24"/>
                <w:lang w:bidi="ar-SA"/>
              </w:rPr>
            </w:pPr>
            <w:r w:rsidRPr="0007326A">
              <w:rPr>
                <w:rFonts w:asciiTheme="minorHAnsi" w:eastAsia="Times New Roman" w:hAnsiTheme="minorHAnsi" w:cstheme="minorHAnsi"/>
                <w:color w:val="000000"/>
                <w:sz w:val="24"/>
                <w:szCs w:val="24"/>
                <w:lang w:bidi="ar-SA"/>
              </w:rPr>
              <w:t>Depreciable Land Development Cost</w:t>
            </w:r>
          </w:p>
        </w:tc>
        <w:tc>
          <w:tcPr>
            <w:tcW w:w="1720" w:type="dxa"/>
            <w:shd w:val="clear" w:color="auto" w:fill="auto"/>
            <w:vAlign w:val="bottom"/>
            <w:hideMark/>
          </w:tcPr>
          <w:p w14:paraId="158E2B99" w14:textId="77777777" w:rsidR="0007326A" w:rsidRPr="0007326A" w:rsidRDefault="0007326A" w:rsidP="0007326A">
            <w:pPr>
              <w:widowControl/>
              <w:autoSpaceDE/>
              <w:autoSpaceDN/>
              <w:jc w:val="right"/>
              <w:rPr>
                <w:rFonts w:asciiTheme="minorHAnsi" w:eastAsia="Times New Roman" w:hAnsiTheme="minorHAnsi" w:cstheme="minorHAnsi"/>
                <w:color w:val="000000"/>
                <w:sz w:val="24"/>
                <w:szCs w:val="24"/>
                <w:lang w:bidi="ar-SA"/>
              </w:rPr>
            </w:pPr>
            <w:r w:rsidRPr="0007326A">
              <w:rPr>
                <w:rFonts w:asciiTheme="minorHAnsi" w:eastAsia="Times New Roman" w:hAnsiTheme="minorHAnsi" w:cstheme="minorHAnsi"/>
                <w:color w:val="000000"/>
                <w:sz w:val="24"/>
                <w:szCs w:val="24"/>
                <w:lang w:bidi="ar-SA"/>
              </w:rPr>
              <w:t>$3,557,846</w:t>
            </w:r>
          </w:p>
        </w:tc>
        <w:tc>
          <w:tcPr>
            <w:tcW w:w="1540" w:type="dxa"/>
            <w:shd w:val="clear" w:color="auto" w:fill="auto"/>
            <w:vAlign w:val="bottom"/>
            <w:hideMark/>
          </w:tcPr>
          <w:p w14:paraId="0A2B5770" w14:textId="77777777" w:rsidR="0007326A" w:rsidRPr="0007326A" w:rsidRDefault="0007326A" w:rsidP="0007326A">
            <w:pPr>
              <w:widowControl/>
              <w:autoSpaceDE/>
              <w:autoSpaceDN/>
              <w:jc w:val="right"/>
              <w:rPr>
                <w:rFonts w:asciiTheme="minorHAnsi" w:eastAsia="Times New Roman" w:hAnsiTheme="minorHAnsi" w:cstheme="minorHAnsi"/>
                <w:color w:val="000000"/>
                <w:sz w:val="24"/>
                <w:szCs w:val="24"/>
                <w:lang w:bidi="ar-SA"/>
              </w:rPr>
            </w:pPr>
            <w:r w:rsidRPr="0007326A">
              <w:rPr>
                <w:rFonts w:asciiTheme="minorHAnsi" w:eastAsia="Times New Roman" w:hAnsiTheme="minorHAnsi" w:cstheme="minorHAnsi"/>
                <w:color w:val="000000"/>
                <w:sz w:val="24"/>
                <w:szCs w:val="24"/>
                <w:lang w:bidi="ar-SA"/>
              </w:rPr>
              <w:t>$0</w:t>
            </w:r>
          </w:p>
        </w:tc>
        <w:tc>
          <w:tcPr>
            <w:tcW w:w="1980" w:type="dxa"/>
            <w:shd w:val="clear" w:color="auto" w:fill="auto"/>
            <w:vAlign w:val="bottom"/>
            <w:hideMark/>
          </w:tcPr>
          <w:p w14:paraId="3BC628C6" w14:textId="77777777" w:rsidR="0007326A" w:rsidRPr="0007326A" w:rsidRDefault="0007326A" w:rsidP="0007326A">
            <w:pPr>
              <w:widowControl/>
              <w:autoSpaceDE/>
              <w:autoSpaceDN/>
              <w:jc w:val="right"/>
              <w:rPr>
                <w:rFonts w:asciiTheme="minorHAnsi" w:eastAsia="Times New Roman" w:hAnsiTheme="minorHAnsi" w:cstheme="minorHAnsi"/>
                <w:color w:val="000000"/>
                <w:sz w:val="24"/>
                <w:szCs w:val="24"/>
                <w:lang w:bidi="ar-SA"/>
              </w:rPr>
            </w:pPr>
            <w:r w:rsidRPr="0007326A">
              <w:rPr>
                <w:rFonts w:asciiTheme="minorHAnsi" w:eastAsia="Times New Roman" w:hAnsiTheme="minorHAnsi" w:cstheme="minorHAnsi"/>
                <w:color w:val="000000"/>
                <w:sz w:val="24"/>
                <w:szCs w:val="24"/>
                <w:lang w:bidi="ar-SA"/>
              </w:rPr>
              <w:t>$3,557,846</w:t>
            </w:r>
          </w:p>
        </w:tc>
      </w:tr>
      <w:tr w:rsidR="00CA070D" w:rsidRPr="00D858DA" w14:paraId="71DBCFA4" w14:textId="77777777" w:rsidTr="00F51F2D">
        <w:trPr>
          <w:cantSplit/>
          <w:trHeight w:val="290"/>
        </w:trPr>
        <w:tc>
          <w:tcPr>
            <w:tcW w:w="5000" w:type="dxa"/>
            <w:shd w:val="clear" w:color="auto" w:fill="auto"/>
            <w:vAlign w:val="bottom"/>
            <w:hideMark/>
          </w:tcPr>
          <w:p w14:paraId="586FF328" w14:textId="77777777" w:rsidR="0007326A" w:rsidRPr="0007326A" w:rsidRDefault="0007326A" w:rsidP="0007326A">
            <w:pPr>
              <w:widowControl/>
              <w:autoSpaceDE/>
              <w:autoSpaceDN/>
              <w:rPr>
                <w:rFonts w:asciiTheme="minorHAnsi" w:eastAsia="Times New Roman" w:hAnsiTheme="minorHAnsi" w:cstheme="minorHAnsi"/>
                <w:color w:val="000000"/>
                <w:sz w:val="24"/>
                <w:szCs w:val="24"/>
                <w:lang w:bidi="ar-SA"/>
              </w:rPr>
            </w:pPr>
            <w:r w:rsidRPr="0007326A">
              <w:rPr>
                <w:rFonts w:asciiTheme="minorHAnsi" w:eastAsia="Times New Roman" w:hAnsiTheme="minorHAnsi" w:cstheme="minorHAnsi"/>
                <w:color w:val="000000"/>
                <w:sz w:val="24"/>
                <w:szCs w:val="24"/>
                <w:lang w:bidi="ar-SA"/>
              </w:rPr>
              <w:t>Building Acquisition Cost</w:t>
            </w:r>
          </w:p>
        </w:tc>
        <w:tc>
          <w:tcPr>
            <w:tcW w:w="1720" w:type="dxa"/>
            <w:shd w:val="clear" w:color="auto" w:fill="auto"/>
            <w:vAlign w:val="bottom"/>
            <w:hideMark/>
          </w:tcPr>
          <w:p w14:paraId="59D01F12" w14:textId="77777777" w:rsidR="0007326A" w:rsidRPr="0007326A" w:rsidRDefault="0007326A" w:rsidP="0007326A">
            <w:pPr>
              <w:widowControl/>
              <w:autoSpaceDE/>
              <w:autoSpaceDN/>
              <w:jc w:val="right"/>
              <w:rPr>
                <w:rFonts w:asciiTheme="minorHAnsi" w:eastAsia="Times New Roman" w:hAnsiTheme="minorHAnsi" w:cstheme="minorHAnsi"/>
                <w:color w:val="000000"/>
                <w:sz w:val="24"/>
                <w:szCs w:val="24"/>
                <w:lang w:bidi="ar-SA"/>
              </w:rPr>
            </w:pPr>
            <w:r w:rsidRPr="0007326A">
              <w:rPr>
                <w:rFonts w:asciiTheme="minorHAnsi" w:eastAsia="Times New Roman" w:hAnsiTheme="minorHAnsi" w:cstheme="minorHAnsi"/>
                <w:color w:val="000000"/>
                <w:sz w:val="24"/>
                <w:szCs w:val="24"/>
                <w:lang w:bidi="ar-SA"/>
              </w:rPr>
              <w:t>$1</w:t>
            </w:r>
          </w:p>
        </w:tc>
        <w:tc>
          <w:tcPr>
            <w:tcW w:w="1540" w:type="dxa"/>
            <w:shd w:val="clear" w:color="auto" w:fill="auto"/>
            <w:vAlign w:val="bottom"/>
            <w:hideMark/>
          </w:tcPr>
          <w:p w14:paraId="2044D1B4" w14:textId="77777777" w:rsidR="0007326A" w:rsidRPr="0007326A" w:rsidRDefault="0007326A" w:rsidP="0007326A">
            <w:pPr>
              <w:widowControl/>
              <w:autoSpaceDE/>
              <w:autoSpaceDN/>
              <w:jc w:val="right"/>
              <w:rPr>
                <w:rFonts w:asciiTheme="minorHAnsi" w:eastAsia="Times New Roman" w:hAnsiTheme="minorHAnsi" w:cstheme="minorHAnsi"/>
                <w:color w:val="000000"/>
                <w:sz w:val="24"/>
                <w:szCs w:val="24"/>
                <w:lang w:bidi="ar-SA"/>
              </w:rPr>
            </w:pPr>
            <w:r w:rsidRPr="0007326A">
              <w:rPr>
                <w:rFonts w:asciiTheme="minorHAnsi" w:eastAsia="Times New Roman" w:hAnsiTheme="minorHAnsi" w:cstheme="minorHAnsi"/>
                <w:color w:val="000000"/>
                <w:sz w:val="24"/>
                <w:szCs w:val="24"/>
                <w:lang w:bidi="ar-SA"/>
              </w:rPr>
              <w:t>$0</w:t>
            </w:r>
          </w:p>
        </w:tc>
        <w:tc>
          <w:tcPr>
            <w:tcW w:w="1980" w:type="dxa"/>
            <w:shd w:val="clear" w:color="auto" w:fill="auto"/>
            <w:vAlign w:val="bottom"/>
            <w:hideMark/>
          </w:tcPr>
          <w:p w14:paraId="0B2DA9E8" w14:textId="77777777" w:rsidR="0007326A" w:rsidRPr="0007326A" w:rsidRDefault="0007326A" w:rsidP="0007326A">
            <w:pPr>
              <w:widowControl/>
              <w:autoSpaceDE/>
              <w:autoSpaceDN/>
              <w:jc w:val="right"/>
              <w:rPr>
                <w:rFonts w:asciiTheme="minorHAnsi" w:eastAsia="Times New Roman" w:hAnsiTheme="minorHAnsi" w:cstheme="minorHAnsi"/>
                <w:color w:val="000000"/>
                <w:sz w:val="24"/>
                <w:szCs w:val="24"/>
                <w:lang w:bidi="ar-SA"/>
              </w:rPr>
            </w:pPr>
            <w:r w:rsidRPr="0007326A">
              <w:rPr>
                <w:rFonts w:asciiTheme="minorHAnsi" w:eastAsia="Times New Roman" w:hAnsiTheme="minorHAnsi" w:cstheme="minorHAnsi"/>
                <w:color w:val="000000"/>
                <w:sz w:val="24"/>
                <w:szCs w:val="24"/>
                <w:lang w:bidi="ar-SA"/>
              </w:rPr>
              <w:t>$1</w:t>
            </w:r>
          </w:p>
        </w:tc>
      </w:tr>
      <w:tr w:rsidR="00CA070D" w:rsidRPr="00D858DA" w14:paraId="0F46602F" w14:textId="77777777" w:rsidTr="00F51F2D">
        <w:trPr>
          <w:cantSplit/>
          <w:trHeight w:val="290"/>
        </w:trPr>
        <w:tc>
          <w:tcPr>
            <w:tcW w:w="5000" w:type="dxa"/>
            <w:shd w:val="clear" w:color="auto" w:fill="auto"/>
            <w:vAlign w:val="bottom"/>
            <w:hideMark/>
          </w:tcPr>
          <w:p w14:paraId="18B9C6C8" w14:textId="77777777" w:rsidR="0007326A" w:rsidRPr="0007326A" w:rsidRDefault="0007326A" w:rsidP="0007326A">
            <w:pPr>
              <w:widowControl/>
              <w:autoSpaceDE/>
              <w:autoSpaceDN/>
              <w:rPr>
                <w:rFonts w:asciiTheme="minorHAnsi" w:eastAsia="Times New Roman" w:hAnsiTheme="minorHAnsi" w:cstheme="minorHAnsi"/>
                <w:color w:val="000000"/>
                <w:sz w:val="24"/>
                <w:szCs w:val="24"/>
                <w:lang w:bidi="ar-SA"/>
              </w:rPr>
            </w:pPr>
            <w:r w:rsidRPr="0007326A">
              <w:rPr>
                <w:rFonts w:asciiTheme="minorHAnsi" w:eastAsia="Times New Roman" w:hAnsiTheme="minorHAnsi" w:cstheme="minorHAnsi"/>
                <w:color w:val="000000"/>
                <w:sz w:val="24"/>
                <w:szCs w:val="24"/>
                <w:lang w:bidi="ar-SA"/>
              </w:rPr>
              <w:t>Construction Contract (including bonding cost)</w:t>
            </w:r>
          </w:p>
        </w:tc>
        <w:tc>
          <w:tcPr>
            <w:tcW w:w="1720" w:type="dxa"/>
            <w:shd w:val="clear" w:color="auto" w:fill="auto"/>
            <w:vAlign w:val="bottom"/>
            <w:hideMark/>
          </w:tcPr>
          <w:p w14:paraId="2A0BB868" w14:textId="77777777" w:rsidR="0007326A" w:rsidRPr="0007326A" w:rsidRDefault="0007326A" w:rsidP="0007326A">
            <w:pPr>
              <w:widowControl/>
              <w:autoSpaceDE/>
              <w:autoSpaceDN/>
              <w:jc w:val="right"/>
              <w:rPr>
                <w:rFonts w:asciiTheme="minorHAnsi" w:eastAsia="Times New Roman" w:hAnsiTheme="minorHAnsi" w:cstheme="minorHAnsi"/>
                <w:color w:val="000000"/>
                <w:sz w:val="24"/>
                <w:szCs w:val="24"/>
                <w:lang w:bidi="ar-SA"/>
              </w:rPr>
            </w:pPr>
            <w:r w:rsidRPr="0007326A">
              <w:rPr>
                <w:rFonts w:asciiTheme="minorHAnsi" w:eastAsia="Times New Roman" w:hAnsiTheme="minorHAnsi" w:cstheme="minorHAnsi"/>
                <w:color w:val="000000"/>
                <w:sz w:val="24"/>
                <w:szCs w:val="24"/>
                <w:lang w:bidi="ar-SA"/>
              </w:rPr>
              <w:t>$135,772,800</w:t>
            </w:r>
          </w:p>
        </w:tc>
        <w:tc>
          <w:tcPr>
            <w:tcW w:w="1540" w:type="dxa"/>
            <w:shd w:val="clear" w:color="auto" w:fill="auto"/>
            <w:vAlign w:val="bottom"/>
            <w:hideMark/>
          </w:tcPr>
          <w:p w14:paraId="1EAE27C7" w14:textId="77777777" w:rsidR="0007326A" w:rsidRPr="0007326A" w:rsidRDefault="0007326A" w:rsidP="0007326A">
            <w:pPr>
              <w:widowControl/>
              <w:autoSpaceDE/>
              <w:autoSpaceDN/>
              <w:jc w:val="right"/>
              <w:rPr>
                <w:rFonts w:asciiTheme="minorHAnsi" w:eastAsia="Times New Roman" w:hAnsiTheme="minorHAnsi" w:cstheme="minorHAnsi"/>
                <w:color w:val="000000"/>
                <w:sz w:val="24"/>
                <w:szCs w:val="24"/>
                <w:lang w:bidi="ar-SA"/>
              </w:rPr>
            </w:pPr>
            <w:r w:rsidRPr="0007326A">
              <w:rPr>
                <w:rFonts w:asciiTheme="minorHAnsi" w:eastAsia="Times New Roman" w:hAnsiTheme="minorHAnsi" w:cstheme="minorHAnsi"/>
                <w:color w:val="000000"/>
                <w:sz w:val="24"/>
                <w:szCs w:val="24"/>
                <w:lang w:bidi="ar-SA"/>
              </w:rPr>
              <w:t>$13,410,000</w:t>
            </w:r>
          </w:p>
        </w:tc>
        <w:tc>
          <w:tcPr>
            <w:tcW w:w="1980" w:type="dxa"/>
            <w:shd w:val="clear" w:color="auto" w:fill="auto"/>
            <w:vAlign w:val="bottom"/>
            <w:hideMark/>
          </w:tcPr>
          <w:p w14:paraId="1A38C766" w14:textId="77777777" w:rsidR="0007326A" w:rsidRPr="0007326A" w:rsidRDefault="0007326A" w:rsidP="0007326A">
            <w:pPr>
              <w:widowControl/>
              <w:autoSpaceDE/>
              <w:autoSpaceDN/>
              <w:jc w:val="right"/>
              <w:rPr>
                <w:rFonts w:asciiTheme="minorHAnsi" w:eastAsia="Times New Roman" w:hAnsiTheme="minorHAnsi" w:cstheme="minorHAnsi"/>
                <w:color w:val="000000"/>
                <w:sz w:val="24"/>
                <w:szCs w:val="24"/>
                <w:lang w:bidi="ar-SA"/>
              </w:rPr>
            </w:pPr>
            <w:r w:rsidRPr="0007326A">
              <w:rPr>
                <w:rFonts w:asciiTheme="minorHAnsi" w:eastAsia="Times New Roman" w:hAnsiTheme="minorHAnsi" w:cstheme="minorHAnsi"/>
                <w:color w:val="000000"/>
                <w:sz w:val="24"/>
                <w:szCs w:val="24"/>
                <w:lang w:bidi="ar-SA"/>
              </w:rPr>
              <w:t>$149,182,800</w:t>
            </w:r>
          </w:p>
        </w:tc>
      </w:tr>
      <w:tr w:rsidR="00CA070D" w:rsidRPr="00D858DA" w14:paraId="4FD2EA00" w14:textId="77777777" w:rsidTr="00F51F2D">
        <w:trPr>
          <w:cantSplit/>
          <w:trHeight w:val="290"/>
        </w:trPr>
        <w:tc>
          <w:tcPr>
            <w:tcW w:w="5000" w:type="dxa"/>
            <w:shd w:val="clear" w:color="auto" w:fill="auto"/>
            <w:vAlign w:val="bottom"/>
            <w:hideMark/>
          </w:tcPr>
          <w:p w14:paraId="19E4B388" w14:textId="77777777" w:rsidR="0007326A" w:rsidRPr="0007326A" w:rsidRDefault="0007326A" w:rsidP="0007326A">
            <w:pPr>
              <w:widowControl/>
              <w:autoSpaceDE/>
              <w:autoSpaceDN/>
              <w:rPr>
                <w:rFonts w:asciiTheme="minorHAnsi" w:eastAsia="Times New Roman" w:hAnsiTheme="minorHAnsi" w:cstheme="minorHAnsi"/>
                <w:color w:val="000000"/>
                <w:sz w:val="24"/>
                <w:szCs w:val="24"/>
                <w:lang w:bidi="ar-SA"/>
              </w:rPr>
            </w:pPr>
            <w:r w:rsidRPr="0007326A">
              <w:rPr>
                <w:rFonts w:asciiTheme="minorHAnsi" w:eastAsia="Times New Roman" w:hAnsiTheme="minorHAnsi" w:cstheme="minorHAnsi"/>
                <w:color w:val="000000"/>
                <w:sz w:val="24"/>
                <w:szCs w:val="24"/>
                <w:lang w:bidi="ar-SA"/>
              </w:rPr>
              <w:t>Fixed Equipment Non in Contract</w:t>
            </w:r>
          </w:p>
        </w:tc>
        <w:tc>
          <w:tcPr>
            <w:tcW w:w="1720" w:type="dxa"/>
            <w:shd w:val="clear" w:color="auto" w:fill="auto"/>
            <w:vAlign w:val="bottom"/>
            <w:hideMark/>
          </w:tcPr>
          <w:p w14:paraId="75C834AE" w14:textId="77777777" w:rsidR="0007326A" w:rsidRPr="0007326A" w:rsidRDefault="0007326A" w:rsidP="0007326A">
            <w:pPr>
              <w:widowControl/>
              <w:autoSpaceDE/>
              <w:autoSpaceDN/>
              <w:jc w:val="right"/>
              <w:rPr>
                <w:rFonts w:asciiTheme="minorHAnsi" w:eastAsia="Times New Roman" w:hAnsiTheme="minorHAnsi" w:cstheme="minorHAnsi"/>
                <w:color w:val="000000"/>
                <w:sz w:val="24"/>
                <w:szCs w:val="24"/>
                <w:lang w:bidi="ar-SA"/>
              </w:rPr>
            </w:pPr>
            <w:r w:rsidRPr="0007326A">
              <w:rPr>
                <w:rFonts w:asciiTheme="minorHAnsi" w:eastAsia="Times New Roman" w:hAnsiTheme="minorHAnsi" w:cstheme="minorHAnsi"/>
                <w:color w:val="000000"/>
                <w:sz w:val="24"/>
                <w:szCs w:val="24"/>
                <w:lang w:bidi="ar-SA"/>
              </w:rPr>
              <w:t>$2,380,000</w:t>
            </w:r>
          </w:p>
        </w:tc>
        <w:tc>
          <w:tcPr>
            <w:tcW w:w="1540" w:type="dxa"/>
            <w:shd w:val="clear" w:color="auto" w:fill="auto"/>
            <w:vAlign w:val="bottom"/>
            <w:hideMark/>
          </w:tcPr>
          <w:p w14:paraId="1C99F3F8" w14:textId="77777777" w:rsidR="0007326A" w:rsidRPr="0007326A" w:rsidRDefault="0007326A" w:rsidP="0007326A">
            <w:pPr>
              <w:widowControl/>
              <w:autoSpaceDE/>
              <w:autoSpaceDN/>
              <w:jc w:val="right"/>
              <w:rPr>
                <w:rFonts w:asciiTheme="minorHAnsi" w:eastAsia="Times New Roman" w:hAnsiTheme="minorHAnsi" w:cstheme="minorHAnsi"/>
                <w:color w:val="000000"/>
                <w:sz w:val="24"/>
                <w:szCs w:val="24"/>
                <w:lang w:bidi="ar-SA"/>
              </w:rPr>
            </w:pPr>
            <w:r w:rsidRPr="0007326A">
              <w:rPr>
                <w:rFonts w:asciiTheme="minorHAnsi" w:eastAsia="Times New Roman" w:hAnsiTheme="minorHAnsi" w:cstheme="minorHAnsi"/>
                <w:color w:val="000000"/>
                <w:sz w:val="24"/>
                <w:szCs w:val="24"/>
                <w:lang w:bidi="ar-SA"/>
              </w:rPr>
              <w:t>$450,000</w:t>
            </w:r>
          </w:p>
        </w:tc>
        <w:tc>
          <w:tcPr>
            <w:tcW w:w="1980" w:type="dxa"/>
            <w:shd w:val="clear" w:color="auto" w:fill="auto"/>
            <w:vAlign w:val="bottom"/>
            <w:hideMark/>
          </w:tcPr>
          <w:p w14:paraId="59313534" w14:textId="77777777" w:rsidR="0007326A" w:rsidRPr="0007326A" w:rsidRDefault="0007326A" w:rsidP="0007326A">
            <w:pPr>
              <w:widowControl/>
              <w:autoSpaceDE/>
              <w:autoSpaceDN/>
              <w:jc w:val="right"/>
              <w:rPr>
                <w:rFonts w:asciiTheme="minorHAnsi" w:eastAsia="Times New Roman" w:hAnsiTheme="minorHAnsi" w:cstheme="minorHAnsi"/>
                <w:color w:val="000000"/>
                <w:sz w:val="24"/>
                <w:szCs w:val="24"/>
                <w:lang w:bidi="ar-SA"/>
              </w:rPr>
            </w:pPr>
            <w:r w:rsidRPr="0007326A">
              <w:rPr>
                <w:rFonts w:asciiTheme="minorHAnsi" w:eastAsia="Times New Roman" w:hAnsiTheme="minorHAnsi" w:cstheme="minorHAnsi"/>
                <w:color w:val="000000"/>
                <w:sz w:val="24"/>
                <w:szCs w:val="24"/>
                <w:lang w:bidi="ar-SA"/>
              </w:rPr>
              <w:t>$2,830,000</w:t>
            </w:r>
          </w:p>
        </w:tc>
      </w:tr>
      <w:tr w:rsidR="00CA070D" w:rsidRPr="00D858DA" w14:paraId="632EDCCB" w14:textId="77777777" w:rsidTr="00F51F2D">
        <w:trPr>
          <w:cantSplit/>
          <w:trHeight w:val="520"/>
        </w:trPr>
        <w:tc>
          <w:tcPr>
            <w:tcW w:w="5000" w:type="dxa"/>
            <w:shd w:val="clear" w:color="auto" w:fill="auto"/>
            <w:vAlign w:val="bottom"/>
            <w:hideMark/>
          </w:tcPr>
          <w:p w14:paraId="6967E13B" w14:textId="77777777" w:rsidR="0007326A" w:rsidRPr="0007326A" w:rsidRDefault="0007326A" w:rsidP="0007326A">
            <w:pPr>
              <w:widowControl/>
              <w:autoSpaceDE/>
              <w:autoSpaceDN/>
              <w:rPr>
                <w:rFonts w:asciiTheme="minorHAnsi" w:eastAsia="Times New Roman" w:hAnsiTheme="minorHAnsi" w:cstheme="minorHAnsi"/>
                <w:color w:val="000000"/>
                <w:sz w:val="24"/>
                <w:szCs w:val="24"/>
                <w:lang w:bidi="ar-SA"/>
              </w:rPr>
            </w:pPr>
            <w:r w:rsidRPr="0007326A">
              <w:rPr>
                <w:rFonts w:asciiTheme="minorHAnsi" w:eastAsia="Times New Roman" w:hAnsiTheme="minorHAnsi" w:cstheme="minorHAnsi"/>
                <w:color w:val="000000"/>
                <w:sz w:val="24"/>
                <w:szCs w:val="24"/>
                <w:lang w:bidi="ar-SA"/>
              </w:rPr>
              <w:t>Architectural Cost (Including fee, Printing, supervision etc.) and Engineering Cost</w:t>
            </w:r>
          </w:p>
        </w:tc>
        <w:tc>
          <w:tcPr>
            <w:tcW w:w="1720" w:type="dxa"/>
            <w:shd w:val="clear" w:color="auto" w:fill="auto"/>
            <w:vAlign w:val="bottom"/>
            <w:hideMark/>
          </w:tcPr>
          <w:p w14:paraId="51388F77" w14:textId="77777777" w:rsidR="0007326A" w:rsidRPr="0007326A" w:rsidRDefault="0007326A" w:rsidP="0007326A">
            <w:pPr>
              <w:widowControl/>
              <w:autoSpaceDE/>
              <w:autoSpaceDN/>
              <w:jc w:val="right"/>
              <w:rPr>
                <w:rFonts w:asciiTheme="minorHAnsi" w:eastAsia="Times New Roman" w:hAnsiTheme="minorHAnsi" w:cstheme="minorHAnsi"/>
                <w:color w:val="000000"/>
                <w:sz w:val="24"/>
                <w:szCs w:val="24"/>
                <w:lang w:bidi="ar-SA"/>
              </w:rPr>
            </w:pPr>
            <w:r w:rsidRPr="0007326A">
              <w:rPr>
                <w:rFonts w:asciiTheme="minorHAnsi" w:eastAsia="Times New Roman" w:hAnsiTheme="minorHAnsi" w:cstheme="minorHAnsi"/>
                <w:color w:val="000000"/>
                <w:sz w:val="24"/>
                <w:szCs w:val="24"/>
                <w:lang w:bidi="ar-SA"/>
              </w:rPr>
              <w:t>$11,820,000</w:t>
            </w:r>
          </w:p>
        </w:tc>
        <w:tc>
          <w:tcPr>
            <w:tcW w:w="1540" w:type="dxa"/>
            <w:shd w:val="clear" w:color="auto" w:fill="auto"/>
            <w:vAlign w:val="bottom"/>
            <w:hideMark/>
          </w:tcPr>
          <w:p w14:paraId="01E4ABD0" w14:textId="77777777" w:rsidR="0007326A" w:rsidRPr="0007326A" w:rsidRDefault="0007326A" w:rsidP="0007326A">
            <w:pPr>
              <w:widowControl/>
              <w:autoSpaceDE/>
              <w:autoSpaceDN/>
              <w:jc w:val="right"/>
              <w:rPr>
                <w:rFonts w:asciiTheme="minorHAnsi" w:eastAsia="Times New Roman" w:hAnsiTheme="minorHAnsi" w:cstheme="minorHAnsi"/>
                <w:color w:val="000000"/>
                <w:sz w:val="24"/>
                <w:szCs w:val="24"/>
                <w:lang w:bidi="ar-SA"/>
              </w:rPr>
            </w:pPr>
            <w:r w:rsidRPr="0007326A">
              <w:rPr>
                <w:rFonts w:asciiTheme="minorHAnsi" w:eastAsia="Times New Roman" w:hAnsiTheme="minorHAnsi" w:cstheme="minorHAnsi"/>
                <w:color w:val="000000"/>
                <w:sz w:val="24"/>
                <w:szCs w:val="24"/>
                <w:lang w:bidi="ar-SA"/>
              </w:rPr>
              <w:t>$325,000</w:t>
            </w:r>
          </w:p>
        </w:tc>
        <w:tc>
          <w:tcPr>
            <w:tcW w:w="1980" w:type="dxa"/>
            <w:shd w:val="clear" w:color="auto" w:fill="auto"/>
            <w:vAlign w:val="bottom"/>
            <w:hideMark/>
          </w:tcPr>
          <w:p w14:paraId="3CA00D66" w14:textId="77777777" w:rsidR="0007326A" w:rsidRPr="0007326A" w:rsidRDefault="0007326A" w:rsidP="0007326A">
            <w:pPr>
              <w:widowControl/>
              <w:autoSpaceDE/>
              <w:autoSpaceDN/>
              <w:jc w:val="right"/>
              <w:rPr>
                <w:rFonts w:asciiTheme="minorHAnsi" w:eastAsia="Times New Roman" w:hAnsiTheme="minorHAnsi" w:cstheme="minorHAnsi"/>
                <w:color w:val="000000"/>
                <w:sz w:val="24"/>
                <w:szCs w:val="24"/>
                <w:lang w:bidi="ar-SA"/>
              </w:rPr>
            </w:pPr>
            <w:r w:rsidRPr="0007326A">
              <w:rPr>
                <w:rFonts w:asciiTheme="minorHAnsi" w:eastAsia="Times New Roman" w:hAnsiTheme="minorHAnsi" w:cstheme="minorHAnsi"/>
                <w:color w:val="000000"/>
                <w:sz w:val="24"/>
                <w:szCs w:val="24"/>
                <w:lang w:bidi="ar-SA"/>
              </w:rPr>
              <w:t>$12,145,000</w:t>
            </w:r>
          </w:p>
        </w:tc>
      </w:tr>
      <w:tr w:rsidR="00CA070D" w:rsidRPr="00D858DA" w14:paraId="0B8D1D2C" w14:textId="77777777" w:rsidTr="00F51F2D">
        <w:trPr>
          <w:cantSplit/>
          <w:trHeight w:val="290"/>
        </w:trPr>
        <w:tc>
          <w:tcPr>
            <w:tcW w:w="5000" w:type="dxa"/>
            <w:shd w:val="clear" w:color="auto" w:fill="auto"/>
            <w:vAlign w:val="bottom"/>
            <w:hideMark/>
          </w:tcPr>
          <w:p w14:paraId="17D94751" w14:textId="77777777" w:rsidR="0007326A" w:rsidRPr="0007326A" w:rsidRDefault="0007326A" w:rsidP="0007326A">
            <w:pPr>
              <w:widowControl/>
              <w:autoSpaceDE/>
              <w:autoSpaceDN/>
              <w:rPr>
                <w:rFonts w:asciiTheme="minorHAnsi" w:eastAsia="Times New Roman" w:hAnsiTheme="minorHAnsi" w:cstheme="minorHAnsi"/>
                <w:color w:val="000000"/>
                <w:sz w:val="24"/>
                <w:szCs w:val="24"/>
                <w:lang w:bidi="ar-SA"/>
              </w:rPr>
            </w:pPr>
            <w:r w:rsidRPr="0007326A">
              <w:rPr>
                <w:rFonts w:asciiTheme="minorHAnsi" w:eastAsia="Times New Roman" w:hAnsiTheme="minorHAnsi" w:cstheme="minorHAnsi"/>
                <w:color w:val="000000"/>
                <w:sz w:val="24"/>
                <w:szCs w:val="24"/>
                <w:lang w:bidi="ar-SA"/>
              </w:rPr>
              <w:t>Pre-filing Planning and Development Costs (</w:t>
            </w:r>
            <w:proofErr w:type="spellStart"/>
            <w:r w:rsidRPr="0007326A">
              <w:rPr>
                <w:rFonts w:asciiTheme="minorHAnsi" w:eastAsia="Times New Roman" w:hAnsiTheme="minorHAnsi" w:cstheme="minorHAnsi"/>
                <w:color w:val="000000"/>
                <w:sz w:val="24"/>
                <w:szCs w:val="24"/>
                <w:lang w:bidi="ar-SA"/>
              </w:rPr>
              <w:t>precon</w:t>
            </w:r>
            <w:proofErr w:type="spellEnd"/>
            <w:r w:rsidRPr="0007326A">
              <w:rPr>
                <w:rFonts w:asciiTheme="minorHAnsi" w:eastAsia="Times New Roman" w:hAnsiTheme="minorHAnsi" w:cstheme="minorHAnsi"/>
                <w:color w:val="000000"/>
                <w:sz w:val="24"/>
                <w:szCs w:val="24"/>
                <w:lang w:bidi="ar-SA"/>
              </w:rPr>
              <w:t>)</w:t>
            </w:r>
          </w:p>
        </w:tc>
        <w:tc>
          <w:tcPr>
            <w:tcW w:w="1720" w:type="dxa"/>
            <w:shd w:val="clear" w:color="auto" w:fill="auto"/>
            <w:vAlign w:val="bottom"/>
            <w:hideMark/>
          </w:tcPr>
          <w:p w14:paraId="0591B3AA" w14:textId="77777777" w:rsidR="0007326A" w:rsidRPr="0007326A" w:rsidRDefault="0007326A" w:rsidP="0007326A">
            <w:pPr>
              <w:widowControl/>
              <w:autoSpaceDE/>
              <w:autoSpaceDN/>
              <w:jc w:val="right"/>
              <w:rPr>
                <w:rFonts w:asciiTheme="minorHAnsi" w:eastAsia="Times New Roman" w:hAnsiTheme="minorHAnsi" w:cstheme="minorHAnsi"/>
                <w:color w:val="000000"/>
                <w:sz w:val="24"/>
                <w:szCs w:val="24"/>
                <w:lang w:bidi="ar-SA"/>
              </w:rPr>
            </w:pPr>
            <w:r w:rsidRPr="0007326A">
              <w:rPr>
                <w:rFonts w:asciiTheme="minorHAnsi" w:eastAsia="Times New Roman" w:hAnsiTheme="minorHAnsi" w:cstheme="minorHAnsi"/>
                <w:color w:val="000000"/>
                <w:sz w:val="24"/>
                <w:szCs w:val="24"/>
                <w:lang w:bidi="ar-SA"/>
              </w:rPr>
              <w:t>$445,000</w:t>
            </w:r>
          </w:p>
        </w:tc>
        <w:tc>
          <w:tcPr>
            <w:tcW w:w="1540" w:type="dxa"/>
            <w:shd w:val="clear" w:color="auto" w:fill="auto"/>
            <w:vAlign w:val="bottom"/>
            <w:hideMark/>
          </w:tcPr>
          <w:p w14:paraId="41A62DF1" w14:textId="77777777" w:rsidR="0007326A" w:rsidRPr="0007326A" w:rsidRDefault="0007326A" w:rsidP="0007326A">
            <w:pPr>
              <w:widowControl/>
              <w:autoSpaceDE/>
              <w:autoSpaceDN/>
              <w:jc w:val="right"/>
              <w:rPr>
                <w:rFonts w:asciiTheme="minorHAnsi" w:eastAsia="Times New Roman" w:hAnsiTheme="minorHAnsi" w:cstheme="minorHAnsi"/>
                <w:color w:val="000000"/>
                <w:sz w:val="24"/>
                <w:szCs w:val="24"/>
                <w:lang w:bidi="ar-SA"/>
              </w:rPr>
            </w:pPr>
            <w:r w:rsidRPr="0007326A">
              <w:rPr>
                <w:rFonts w:asciiTheme="minorHAnsi" w:eastAsia="Times New Roman" w:hAnsiTheme="minorHAnsi" w:cstheme="minorHAnsi"/>
                <w:color w:val="000000"/>
                <w:sz w:val="24"/>
                <w:szCs w:val="24"/>
                <w:lang w:bidi="ar-SA"/>
              </w:rPr>
              <w:t>$50,000</w:t>
            </w:r>
          </w:p>
        </w:tc>
        <w:tc>
          <w:tcPr>
            <w:tcW w:w="1980" w:type="dxa"/>
            <w:shd w:val="clear" w:color="auto" w:fill="auto"/>
            <w:vAlign w:val="bottom"/>
            <w:hideMark/>
          </w:tcPr>
          <w:p w14:paraId="1F3D3E56" w14:textId="77777777" w:rsidR="0007326A" w:rsidRPr="0007326A" w:rsidRDefault="0007326A" w:rsidP="0007326A">
            <w:pPr>
              <w:widowControl/>
              <w:autoSpaceDE/>
              <w:autoSpaceDN/>
              <w:jc w:val="right"/>
              <w:rPr>
                <w:rFonts w:asciiTheme="minorHAnsi" w:eastAsia="Times New Roman" w:hAnsiTheme="minorHAnsi" w:cstheme="minorHAnsi"/>
                <w:color w:val="000000"/>
                <w:sz w:val="24"/>
                <w:szCs w:val="24"/>
                <w:lang w:bidi="ar-SA"/>
              </w:rPr>
            </w:pPr>
            <w:r w:rsidRPr="0007326A">
              <w:rPr>
                <w:rFonts w:asciiTheme="minorHAnsi" w:eastAsia="Times New Roman" w:hAnsiTheme="minorHAnsi" w:cstheme="minorHAnsi"/>
                <w:color w:val="000000"/>
                <w:sz w:val="24"/>
                <w:szCs w:val="24"/>
                <w:lang w:bidi="ar-SA"/>
              </w:rPr>
              <w:t>$495,000</w:t>
            </w:r>
          </w:p>
        </w:tc>
      </w:tr>
      <w:tr w:rsidR="00CA070D" w:rsidRPr="00D858DA" w14:paraId="1F8C3CCA" w14:textId="77777777" w:rsidTr="00F51F2D">
        <w:trPr>
          <w:cantSplit/>
          <w:trHeight w:val="290"/>
        </w:trPr>
        <w:tc>
          <w:tcPr>
            <w:tcW w:w="5000" w:type="dxa"/>
            <w:shd w:val="clear" w:color="auto" w:fill="auto"/>
            <w:vAlign w:val="bottom"/>
            <w:hideMark/>
          </w:tcPr>
          <w:p w14:paraId="3FA4CFBD" w14:textId="77777777" w:rsidR="0007326A" w:rsidRPr="0007326A" w:rsidRDefault="0007326A" w:rsidP="0007326A">
            <w:pPr>
              <w:widowControl/>
              <w:autoSpaceDE/>
              <w:autoSpaceDN/>
              <w:rPr>
                <w:rFonts w:asciiTheme="minorHAnsi" w:eastAsia="Times New Roman" w:hAnsiTheme="minorHAnsi" w:cstheme="minorHAnsi"/>
                <w:color w:val="000000"/>
                <w:sz w:val="24"/>
                <w:szCs w:val="24"/>
                <w:lang w:bidi="ar-SA"/>
              </w:rPr>
            </w:pPr>
            <w:r w:rsidRPr="0007326A">
              <w:rPr>
                <w:rFonts w:asciiTheme="minorHAnsi" w:eastAsia="Times New Roman" w:hAnsiTheme="minorHAnsi" w:cstheme="minorHAnsi"/>
                <w:color w:val="000000"/>
                <w:sz w:val="24"/>
                <w:szCs w:val="24"/>
                <w:lang w:bidi="ar-SA"/>
              </w:rPr>
              <w:t>Post-filing Planning and Development Costs</w:t>
            </w:r>
          </w:p>
        </w:tc>
        <w:tc>
          <w:tcPr>
            <w:tcW w:w="1720" w:type="dxa"/>
            <w:shd w:val="clear" w:color="auto" w:fill="auto"/>
            <w:vAlign w:val="bottom"/>
            <w:hideMark/>
          </w:tcPr>
          <w:p w14:paraId="30C26CB0" w14:textId="77777777" w:rsidR="0007326A" w:rsidRPr="0007326A" w:rsidRDefault="0007326A" w:rsidP="0007326A">
            <w:pPr>
              <w:widowControl/>
              <w:autoSpaceDE/>
              <w:autoSpaceDN/>
              <w:jc w:val="right"/>
              <w:rPr>
                <w:rFonts w:asciiTheme="minorHAnsi" w:eastAsia="Times New Roman" w:hAnsiTheme="minorHAnsi" w:cstheme="minorHAnsi"/>
                <w:color w:val="000000"/>
                <w:sz w:val="24"/>
                <w:szCs w:val="24"/>
                <w:lang w:bidi="ar-SA"/>
              </w:rPr>
            </w:pPr>
            <w:r w:rsidRPr="0007326A">
              <w:rPr>
                <w:rFonts w:asciiTheme="minorHAnsi" w:eastAsia="Times New Roman" w:hAnsiTheme="minorHAnsi" w:cstheme="minorHAnsi"/>
                <w:color w:val="000000"/>
                <w:sz w:val="24"/>
                <w:szCs w:val="24"/>
                <w:lang w:bidi="ar-SA"/>
              </w:rPr>
              <w:t>$1,045,000</w:t>
            </w:r>
          </w:p>
        </w:tc>
        <w:tc>
          <w:tcPr>
            <w:tcW w:w="1540" w:type="dxa"/>
            <w:shd w:val="clear" w:color="auto" w:fill="auto"/>
            <w:vAlign w:val="bottom"/>
            <w:hideMark/>
          </w:tcPr>
          <w:p w14:paraId="2DD06C69" w14:textId="77777777" w:rsidR="0007326A" w:rsidRPr="0007326A" w:rsidRDefault="0007326A" w:rsidP="0007326A">
            <w:pPr>
              <w:widowControl/>
              <w:autoSpaceDE/>
              <w:autoSpaceDN/>
              <w:jc w:val="right"/>
              <w:rPr>
                <w:rFonts w:asciiTheme="minorHAnsi" w:eastAsia="Times New Roman" w:hAnsiTheme="minorHAnsi" w:cstheme="minorHAnsi"/>
                <w:color w:val="000000"/>
                <w:sz w:val="24"/>
                <w:szCs w:val="24"/>
                <w:lang w:bidi="ar-SA"/>
              </w:rPr>
            </w:pPr>
            <w:r w:rsidRPr="0007326A">
              <w:rPr>
                <w:rFonts w:asciiTheme="minorHAnsi" w:eastAsia="Times New Roman" w:hAnsiTheme="minorHAnsi" w:cstheme="minorHAnsi"/>
                <w:color w:val="000000"/>
                <w:sz w:val="24"/>
                <w:szCs w:val="24"/>
                <w:lang w:bidi="ar-SA"/>
              </w:rPr>
              <w:t>$0</w:t>
            </w:r>
          </w:p>
        </w:tc>
        <w:tc>
          <w:tcPr>
            <w:tcW w:w="1980" w:type="dxa"/>
            <w:shd w:val="clear" w:color="auto" w:fill="auto"/>
            <w:vAlign w:val="bottom"/>
            <w:hideMark/>
          </w:tcPr>
          <w:p w14:paraId="2FDBD522" w14:textId="77777777" w:rsidR="0007326A" w:rsidRPr="0007326A" w:rsidRDefault="0007326A" w:rsidP="0007326A">
            <w:pPr>
              <w:widowControl/>
              <w:autoSpaceDE/>
              <w:autoSpaceDN/>
              <w:jc w:val="right"/>
              <w:rPr>
                <w:rFonts w:asciiTheme="minorHAnsi" w:eastAsia="Times New Roman" w:hAnsiTheme="minorHAnsi" w:cstheme="minorHAnsi"/>
                <w:color w:val="000000"/>
                <w:sz w:val="24"/>
                <w:szCs w:val="24"/>
                <w:lang w:bidi="ar-SA"/>
              </w:rPr>
            </w:pPr>
            <w:r w:rsidRPr="0007326A">
              <w:rPr>
                <w:rFonts w:asciiTheme="minorHAnsi" w:eastAsia="Times New Roman" w:hAnsiTheme="minorHAnsi" w:cstheme="minorHAnsi"/>
                <w:color w:val="000000"/>
                <w:sz w:val="24"/>
                <w:szCs w:val="24"/>
                <w:lang w:bidi="ar-SA"/>
              </w:rPr>
              <w:t>$1,045,000</w:t>
            </w:r>
          </w:p>
        </w:tc>
      </w:tr>
      <w:tr w:rsidR="00CA070D" w:rsidRPr="00D858DA" w14:paraId="0C3DB037" w14:textId="77777777" w:rsidTr="00F51F2D">
        <w:trPr>
          <w:cantSplit/>
          <w:trHeight w:val="520"/>
        </w:trPr>
        <w:tc>
          <w:tcPr>
            <w:tcW w:w="5000" w:type="dxa"/>
            <w:shd w:val="clear" w:color="auto" w:fill="auto"/>
            <w:vAlign w:val="center"/>
            <w:hideMark/>
          </w:tcPr>
          <w:p w14:paraId="6204D724" w14:textId="77777777" w:rsidR="0007326A" w:rsidRPr="0007326A" w:rsidRDefault="0007326A" w:rsidP="0007326A">
            <w:pPr>
              <w:widowControl/>
              <w:autoSpaceDE/>
              <w:autoSpaceDN/>
              <w:rPr>
                <w:rFonts w:asciiTheme="minorHAnsi" w:eastAsia="Times New Roman" w:hAnsiTheme="minorHAnsi" w:cstheme="minorHAnsi"/>
                <w:color w:val="000000"/>
                <w:sz w:val="24"/>
                <w:szCs w:val="24"/>
                <w:lang w:bidi="ar-SA"/>
              </w:rPr>
            </w:pPr>
            <w:r w:rsidRPr="0007326A">
              <w:rPr>
                <w:rFonts w:asciiTheme="minorHAnsi" w:eastAsia="Times New Roman" w:hAnsiTheme="minorHAnsi" w:cstheme="minorHAnsi"/>
                <w:color w:val="000000"/>
                <w:sz w:val="24"/>
                <w:szCs w:val="24"/>
                <w:lang w:bidi="ar-SA"/>
              </w:rPr>
              <w:t>Other (Construction testing (air, med gas, electrical, etc.)</w:t>
            </w:r>
          </w:p>
        </w:tc>
        <w:tc>
          <w:tcPr>
            <w:tcW w:w="1720" w:type="dxa"/>
            <w:shd w:val="clear" w:color="auto" w:fill="auto"/>
            <w:vAlign w:val="bottom"/>
            <w:hideMark/>
          </w:tcPr>
          <w:p w14:paraId="6EBE5E09" w14:textId="77777777" w:rsidR="0007326A" w:rsidRPr="0007326A" w:rsidRDefault="0007326A" w:rsidP="0007326A">
            <w:pPr>
              <w:widowControl/>
              <w:autoSpaceDE/>
              <w:autoSpaceDN/>
              <w:jc w:val="right"/>
              <w:rPr>
                <w:rFonts w:asciiTheme="minorHAnsi" w:eastAsia="Times New Roman" w:hAnsiTheme="minorHAnsi" w:cstheme="minorHAnsi"/>
                <w:color w:val="000000"/>
                <w:sz w:val="24"/>
                <w:szCs w:val="24"/>
                <w:lang w:bidi="ar-SA"/>
              </w:rPr>
            </w:pPr>
            <w:r w:rsidRPr="0007326A">
              <w:rPr>
                <w:rFonts w:asciiTheme="minorHAnsi" w:eastAsia="Times New Roman" w:hAnsiTheme="minorHAnsi" w:cstheme="minorHAnsi"/>
                <w:color w:val="000000"/>
                <w:sz w:val="24"/>
                <w:szCs w:val="24"/>
                <w:lang w:bidi="ar-SA"/>
              </w:rPr>
              <w:t>$0</w:t>
            </w:r>
          </w:p>
        </w:tc>
        <w:tc>
          <w:tcPr>
            <w:tcW w:w="1540" w:type="dxa"/>
            <w:shd w:val="clear" w:color="auto" w:fill="auto"/>
            <w:vAlign w:val="bottom"/>
            <w:hideMark/>
          </w:tcPr>
          <w:p w14:paraId="182A76EF" w14:textId="77777777" w:rsidR="0007326A" w:rsidRPr="0007326A" w:rsidRDefault="0007326A" w:rsidP="0007326A">
            <w:pPr>
              <w:widowControl/>
              <w:autoSpaceDE/>
              <w:autoSpaceDN/>
              <w:jc w:val="right"/>
              <w:rPr>
                <w:rFonts w:asciiTheme="minorHAnsi" w:eastAsia="Times New Roman" w:hAnsiTheme="minorHAnsi" w:cstheme="minorHAnsi"/>
                <w:color w:val="000000"/>
                <w:sz w:val="24"/>
                <w:szCs w:val="24"/>
                <w:lang w:bidi="ar-SA"/>
              </w:rPr>
            </w:pPr>
            <w:r w:rsidRPr="0007326A">
              <w:rPr>
                <w:rFonts w:asciiTheme="minorHAnsi" w:eastAsia="Times New Roman" w:hAnsiTheme="minorHAnsi" w:cstheme="minorHAnsi"/>
                <w:color w:val="000000"/>
                <w:sz w:val="24"/>
                <w:szCs w:val="24"/>
                <w:lang w:bidi="ar-SA"/>
              </w:rPr>
              <w:t>$75,000</w:t>
            </w:r>
          </w:p>
        </w:tc>
        <w:tc>
          <w:tcPr>
            <w:tcW w:w="1980" w:type="dxa"/>
            <w:shd w:val="clear" w:color="auto" w:fill="auto"/>
            <w:vAlign w:val="bottom"/>
            <w:hideMark/>
          </w:tcPr>
          <w:p w14:paraId="30216573" w14:textId="77777777" w:rsidR="0007326A" w:rsidRPr="0007326A" w:rsidRDefault="0007326A" w:rsidP="0007326A">
            <w:pPr>
              <w:widowControl/>
              <w:autoSpaceDE/>
              <w:autoSpaceDN/>
              <w:jc w:val="right"/>
              <w:rPr>
                <w:rFonts w:asciiTheme="minorHAnsi" w:eastAsia="Times New Roman" w:hAnsiTheme="minorHAnsi" w:cstheme="minorHAnsi"/>
                <w:color w:val="000000"/>
                <w:sz w:val="24"/>
                <w:szCs w:val="24"/>
                <w:lang w:bidi="ar-SA"/>
              </w:rPr>
            </w:pPr>
            <w:r w:rsidRPr="0007326A">
              <w:rPr>
                <w:rFonts w:asciiTheme="minorHAnsi" w:eastAsia="Times New Roman" w:hAnsiTheme="minorHAnsi" w:cstheme="minorHAnsi"/>
                <w:color w:val="000000"/>
                <w:sz w:val="24"/>
                <w:szCs w:val="24"/>
                <w:lang w:bidi="ar-SA"/>
              </w:rPr>
              <w:t>$75,000</w:t>
            </w:r>
          </w:p>
        </w:tc>
      </w:tr>
      <w:tr w:rsidR="00CA070D" w:rsidRPr="00D858DA" w14:paraId="1E5CB841" w14:textId="77777777" w:rsidTr="00F51F2D">
        <w:trPr>
          <w:cantSplit/>
          <w:trHeight w:val="290"/>
        </w:trPr>
        <w:tc>
          <w:tcPr>
            <w:tcW w:w="5000" w:type="dxa"/>
            <w:shd w:val="clear" w:color="auto" w:fill="auto"/>
            <w:vAlign w:val="bottom"/>
            <w:hideMark/>
          </w:tcPr>
          <w:p w14:paraId="359DF3BD" w14:textId="77777777" w:rsidR="0007326A" w:rsidRPr="0007326A" w:rsidRDefault="0007326A" w:rsidP="0007326A">
            <w:pPr>
              <w:widowControl/>
              <w:autoSpaceDE/>
              <w:autoSpaceDN/>
              <w:rPr>
                <w:rFonts w:asciiTheme="minorHAnsi" w:eastAsia="Times New Roman" w:hAnsiTheme="minorHAnsi" w:cstheme="minorHAnsi"/>
                <w:color w:val="000000"/>
                <w:sz w:val="24"/>
                <w:szCs w:val="24"/>
                <w:lang w:bidi="ar-SA"/>
              </w:rPr>
            </w:pPr>
            <w:r w:rsidRPr="0007326A">
              <w:rPr>
                <w:rFonts w:asciiTheme="minorHAnsi" w:eastAsia="Times New Roman" w:hAnsiTheme="minorHAnsi" w:cstheme="minorHAnsi"/>
                <w:color w:val="000000"/>
                <w:sz w:val="24"/>
                <w:szCs w:val="24"/>
                <w:lang w:bidi="ar-SA"/>
              </w:rPr>
              <w:t xml:space="preserve">Other </w:t>
            </w:r>
          </w:p>
        </w:tc>
        <w:tc>
          <w:tcPr>
            <w:tcW w:w="1720" w:type="dxa"/>
            <w:shd w:val="clear" w:color="auto" w:fill="auto"/>
            <w:vAlign w:val="bottom"/>
            <w:hideMark/>
          </w:tcPr>
          <w:p w14:paraId="079C77A0" w14:textId="77777777" w:rsidR="0007326A" w:rsidRPr="0007326A" w:rsidRDefault="0007326A" w:rsidP="0007326A">
            <w:pPr>
              <w:widowControl/>
              <w:autoSpaceDE/>
              <w:autoSpaceDN/>
              <w:jc w:val="right"/>
              <w:rPr>
                <w:rFonts w:asciiTheme="minorHAnsi" w:eastAsia="Times New Roman" w:hAnsiTheme="minorHAnsi" w:cstheme="minorHAnsi"/>
                <w:color w:val="000000"/>
                <w:sz w:val="24"/>
                <w:szCs w:val="24"/>
                <w:lang w:bidi="ar-SA"/>
              </w:rPr>
            </w:pPr>
            <w:r w:rsidRPr="0007326A">
              <w:rPr>
                <w:rFonts w:asciiTheme="minorHAnsi" w:eastAsia="Times New Roman" w:hAnsiTheme="minorHAnsi" w:cstheme="minorHAnsi"/>
                <w:color w:val="000000"/>
                <w:sz w:val="24"/>
                <w:szCs w:val="24"/>
                <w:lang w:bidi="ar-SA"/>
              </w:rPr>
              <w:t>$1,505,000</w:t>
            </w:r>
          </w:p>
        </w:tc>
        <w:tc>
          <w:tcPr>
            <w:tcW w:w="1540" w:type="dxa"/>
            <w:shd w:val="clear" w:color="auto" w:fill="auto"/>
            <w:vAlign w:val="bottom"/>
            <w:hideMark/>
          </w:tcPr>
          <w:p w14:paraId="18A5E010" w14:textId="77777777" w:rsidR="0007326A" w:rsidRPr="0007326A" w:rsidRDefault="0007326A" w:rsidP="0007326A">
            <w:pPr>
              <w:widowControl/>
              <w:autoSpaceDE/>
              <w:autoSpaceDN/>
              <w:jc w:val="right"/>
              <w:rPr>
                <w:rFonts w:asciiTheme="minorHAnsi" w:eastAsia="Times New Roman" w:hAnsiTheme="minorHAnsi" w:cstheme="minorHAnsi"/>
                <w:color w:val="000000"/>
                <w:sz w:val="24"/>
                <w:szCs w:val="24"/>
                <w:lang w:bidi="ar-SA"/>
              </w:rPr>
            </w:pPr>
            <w:r w:rsidRPr="0007326A">
              <w:rPr>
                <w:rFonts w:asciiTheme="minorHAnsi" w:eastAsia="Times New Roman" w:hAnsiTheme="minorHAnsi" w:cstheme="minorHAnsi"/>
                <w:color w:val="000000"/>
                <w:sz w:val="24"/>
                <w:szCs w:val="24"/>
                <w:lang w:bidi="ar-SA"/>
              </w:rPr>
              <w:t>$0</w:t>
            </w:r>
          </w:p>
        </w:tc>
        <w:tc>
          <w:tcPr>
            <w:tcW w:w="1980" w:type="dxa"/>
            <w:shd w:val="clear" w:color="auto" w:fill="auto"/>
            <w:vAlign w:val="bottom"/>
            <w:hideMark/>
          </w:tcPr>
          <w:p w14:paraId="2E917C5D" w14:textId="77777777" w:rsidR="0007326A" w:rsidRPr="0007326A" w:rsidRDefault="0007326A" w:rsidP="0007326A">
            <w:pPr>
              <w:widowControl/>
              <w:autoSpaceDE/>
              <w:autoSpaceDN/>
              <w:jc w:val="right"/>
              <w:rPr>
                <w:rFonts w:asciiTheme="minorHAnsi" w:eastAsia="Times New Roman" w:hAnsiTheme="minorHAnsi" w:cstheme="minorHAnsi"/>
                <w:color w:val="000000"/>
                <w:sz w:val="24"/>
                <w:szCs w:val="24"/>
                <w:lang w:bidi="ar-SA"/>
              </w:rPr>
            </w:pPr>
            <w:r w:rsidRPr="0007326A">
              <w:rPr>
                <w:rFonts w:asciiTheme="minorHAnsi" w:eastAsia="Times New Roman" w:hAnsiTheme="minorHAnsi" w:cstheme="minorHAnsi"/>
                <w:color w:val="000000"/>
                <w:sz w:val="24"/>
                <w:szCs w:val="24"/>
                <w:lang w:bidi="ar-SA"/>
              </w:rPr>
              <w:t>$1,505,000</w:t>
            </w:r>
          </w:p>
        </w:tc>
      </w:tr>
      <w:tr w:rsidR="00753718" w:rsidRPr="00D858DA" w14:paraId="1C58C6E2" w14:textId="77777777" w:rsidTr="00F51F2D">
        <w:trPr>
          <w:cantSplit/>
          <w:trHeight w:val="290"/>
        </w:trPr>
        <w:tc>
          <w:tcPr>
            <w:tcW w:w="5000" w:type="dxa"/>
            <w:shd w:val="clear" w:color="auto" w:fill="auto"/>
            <w:vAlign w:val="bottom"/>
            <w:hideMark/>
          </w:tcPr>
          <w:p w14:paraId="66155F7E" w14:textId="77777777" w:rsidR="00753718" w:rsidRPr="0007326A" w:rsidRDefault="00753718" w:rsidP="00753718">
            <w:pPr>
              <w:widowControl/>
              <w:autoSpaceDE/>
              <w:autoSpaceDN/>
              <w:rPr>
                <w:rFonts w:asciiTheme="minorHAnsi" w:eastAsia="Times New Roman" w:hAnsiTheme="minorHAnsi" w:cstheme="minorHAnsi"/>
                <w:color w:val="000000"/>
                <w:sz w:val="24"/>
                <w:szCs w:val="24"/>
                <w:lang w:bidi="ar-SA"/>
              </w:rPr>
            </w:pPr>
            <w:r w:rsidRPr="0007326A">
              <w:rPr>
                <w:rFonts w:asciiTheme="minorHAnsi" w:eastAsia="Times New Roman" w:hAnsiTheme="minorHAnsi" w:cstheme="minorHAnsi"/>
                <w:color w:val="000000"/>
                <w:sz w:val="24"/>
                <w:szCs w:val="24"/>
                <w:lang w:bidi="ar-SA"/>
              </w:rPr>
              <w:t xml:space="preserve">Other </w:t>
            </w:r>
          </w:p>
        </w:tc>
        <w:tc>
          <w:tcPr>
            <w:tcW w:w="1720" w:type="dxa"/>
            <w:shd w:val="clear" w:color="auto" w:fill="auto"/>
            <w:vAlign w:val="bottom"/>
            <w:hideMark/>
          </w:tcPr>
          <w:p w14:paraId="5CFD425C" w14:textId="77777777" w:rsidR="00753718" w:rsidRPr="0007326A" w:rsidRDefault="00753718" w:rsidP="00753718">
            <w:pPr>
              <w:widowControl/>
              <w:autoSpaceDE/>
              <w:autoSpaceDN/>
              <w:jc w:val="right"/>
              <w:rPr>
                <w:rFonts w:asciiTheme="minorHAnsi" w:eastAsia="Times New Roman" w:hAnsiTheme="minorHAnsi" w:cstheme="minorHAnsi"/>
                <w:color w:val="000000"/>
                <w:sz w:val="24"/>
                <w:szCs w:val="24"/>
                <w:lang w:bidi="ar-SA"/>
              </w:rPr>
            </w:pPr>
            <w:r w:rsidRPr="0007326A">
              <w:rPr>
                <w:rFonts w:asciiTheme="minorHAnsi" w:eastAsia="Times New Roman" w:hAnsiTheme="minorHAnsi" w:cstheme="minorHAnsi"/>
                <w:color w:val="000000"/>
                <w:sz w:val="24"/>
                <w:szCs w:val="24"/>
                <w:lang w:bidi="ar-SA"/>
              </w:rPr>
              <w:t>$4,677,000</w:t>
            </w:r>
          </w:p>
        </w:tc>
        <w:tc>
          <w:tcPr>
            <w:tcW w:w="1540" w:type="dxa"/>
            <w:shd w:val="clear" w:color="auto" w:fill="auto"/>
            <w:vAlign w:val="bottom"/>
            <w:hideMark/>
          </w:tcPr>
          <w:p w14:paraId="7AE7983D" w14:textId="0876F333" w:rsidR="00753718" w:rsidRPr="0007326A" w:rsidRDefault="00753718" w:rsidP="00753718">
            <w:pPr>
              <w:widowControl/>
              <w:autoSpaceDE/>
              <w:autoSpaceDN/>
              <w:jc w:val="right"/>
              <w:rPr>
                <w:rFonts w:asciiTheme="minorHAnsi" w:eastAsia="Times New Roman" w:hAnsiTheme="minorHAnsi" w:cstheme="minorHAnsi"/>
                <w:color w:val="000000"/>
                <w:sz w:val="24"/>
                <w:szCs w:val="24"/>
                <w:lang w:bidi="ar-SA"/>
              </w:rPr>
            </w:pPr>
            <w:r w:rsidRPr="0007326A">
              <w:rPr>
                <w:rFonts w:asciiTheme="minorHAnsi" w:eastAsia="Times New Roman" w:hAnsiTheme="minorHAnsi" w:cstheme="minorHAnsi"/>
                <w:color w:val="000000"/>
                <w:sz w:val="24"/>
                <w:szCs w:val="24"/>
                <w:lang w:bidi="ar-SA"/>
              </w:rPr>
              <w:t>$0</w:t>
            </w:r>
          </w:p>
        </w:tc>
        <w:tc>
          <w:tcPr>
            <w:tcW w:w="1980" w:type="dxa"/>
            <w:shd w:val="clear" w:color="auto" w:fill="auto"/>
            <w:vAlign w:val="bottom"/>
            <w:hideMark/>
          </w:tcPr>
          <w:p w14:paraId="21C84DAE" w14:textId="77777777" w:rsidR="00753718" w:rsidRPr="0007326A" w:rsidRDefault="00753718" w:rsidP="00753718">
            <w:pPr>
              <w:widowControl/>
              <w:autoSpaceDE/>
              <w:autoSpaceDN/>
              <w:jc w:val="right"/>
              <w:rPr>
                <w:rFonts w:asciiTheme="minorHAnsi" w:eastAsia="Times New Roman" w:hAnsiTheme="minorHAnsi" w:cstheme="minorHAnsi"/>
                <w:color w:val="000000"/>
                <w:sz w:val="24"/>
                <w:szCs w:val="24"/>
                <w:lang w:bidi="ar-SA"/>
              </w:rPr>
            </w:pPr>
            <w:r w:rsidRPr="0007326A">
              <w:rPr>
                <w:rFonts w:asciiTheme="minorHAnsi" w:eastAsia="Times New Roman" w:hAnsiTheme="minorHAnsi" w:cstheme="minorHAnsi"/>
                <w:color w:val="000000"/>
                <w:sz w:val="24"/>
                <w:szCs w:val="24"/>
                <w:lang w:bidi="ar-SA"/>
              </w:rPr>
              <w:t>$4,677,000</w:t>
            </w:r>
          </w:p>
        </w:tc>
      </w:tr>
      <w:tr w:rsidR="00753718" w:rsidRPr="00D858DA" w14:paraId="6843C1F5" w14:textId="77777777" w:rsidTr="00F51F2D">
        <w:trPr>
          <w:cantSplit/>
          <w:trHeight w:val="290"/>
        </w:trPr>
        <w:tc>
          <w:tcPr>
            <w:tcW w:w="5000" w:type="dxa"/>
            <w:shd w:val="clear" w:color="000000" w:fill="D9D9D9"/>
            <w:vAlign w:val="bottom"/>
            <w:hideMark/>
          </w:tcPr>
          <w:p w14:paraId="14D28832" w14:textId="77777777" w:rsidR="00753718" w:rsidRPr="0007326A" w:rsidRDefault="00753718" w:rsidP="00753718">
            <w:pPr>
              <w:widowControl/>
              <w:autoSpaceDE/>
              <w:autoSpaceDN/>
              <w:rPr>
                <w:rFonts w:asciiTheme="minorHAnsi" w:eastAsia="Times New Roman" w:hAnsiTheme="minorHAnsi" w:cstheme="minorHAnsi"/>
                <w:b/>
                <w:bCs/>
                <w:color w:val="000000"/>
                <w:sz w:val="24"/>
                <w:szCs w:val="24"/>
                <w:lang w:bidi="ar-SA"/>
              </w:rPr>
            </w:pPr>
            <w:r w:rsidRPr="0007326A">
              <w:rPr>
                <w:rFonts w:asciiTheme="minorHAnsi" w:eastAsia="Times New Roman" w:hAnsiTheme="minorHAnsi" w:cstheme="minorHAnsi"/>
                <w:b/>
                <w:bCs/>
                <w:color w:val="000000"/>
                <w:sz w:val="24"/>
                <w:szCs w:val="24"/>
                <w:lang w:bidi="ar-SA"/>
              </w:rPr>
              <w:t>Total Construction Costs</w:t>
            </w:r>
          </w:p>
        </w:tc>
        <w:tc>
          <w:tcPr>
            <w:tcW w:w="1720" w:type="dxa"/>
            <w:tcBorders>
              <w:bottom w:val="single" w:sz="4" w:space="0" w:color="auto"/>
            </w:tcBorders>
            <w:shd w:val="clear" w:color="auto" w:fill="auto"/>
            <w:vAlign w:val="bottom"/>
            <w:hideMark/>
          </w:tcPr>
          <w:p w14:paraId="6BBFB390" w14:textId="77777777" w:rsidR="00753718" w:rsidRPr="0007326A" w:rsidRDefault="00753718" w:rsidP="00753718">
            <w:pPr>
              <w:widowControl/>
              <w:autoSpaceDE/>
              <w:autoSpaceDN/>
              <w:jc w:val="right"/>
              <w:rPr>
                <w:rFonts w:asciiTheme="minorHAnsi" w:eastAsia="Times New Roman" w:hAnsiTheme="minorHAnsi" w:cstheme="minorHAnsi"/>
                <w:color w:val="000000"/>
                <w:sz w:val="24"/>
                <w:szCs w:val="24"/>
                <w:lang w:bidi="ar-SA"/>
              </w:rPr>
            </w:pPr>
            <w:r w:rsidRPr="0007326A">
              <w:rPr>
                <w:rFonts w:asciiTheme="minorHAnsi" w:eastAsia="Times New Roman" w:hAnsiTheme="minorHAnsi" w:cstheme="minorHAnsi"/>
                <w:color w:val="000000"/>
                <w:sz w:val="24"/>
                <w:szCs w:val="24"/>
                <w:lang w:bidi="ar-SA"/>
              </w:rPr>
              <w:t>$161,202,647</w:t>
            </w:r>
          </w:p>
        </w:tc>
        <w:tc>
          <w:tcPr>
            <w:tcW w:w="1540" w:type="dxa"/>
            <w:tcBorders>
              <w:bottom w:val="single" w:sz="4" w:space="0" w:color="auto"/>
            </w:tcBorders>
            <w:shd w:val="clear" w:color="000000" w:fill="D9D9D9"/>
            <w:vAlign w:val="bottom"/>
            <w:hideMark/>
          </w:tcPr>
          <w:p w14:paraId="34588D81" w14:textId="77777777" w:rsidR="00753718" w:rsidRPr="0007326A" w:rsidRDefault="00753718" w:rsidP="00753718">
            <w:pPr>
              <w:widowControl/>
              <w:autoSpaceDE/>
              <w:autoSpaceDN/>
              <w:jc w:val="right"/>
              <w:rPr>
                <w:rFonts w:asciiTheme="minorHAnsi" w:eastAsia="Times New Roman" w:hAnsiTheme="minorHAnsi" w:cstheme="minorHAnsi"/>
                <w:b/>
                <w:bCs/>
                <w:color w:val="000000"/>
                <w:sz w:val="24"/>
                <w:szCs w:val="24"/>
                <w:lang w:bidi="ar-SA"/>
              </w:rPr>
            </w:pPr>
            <w:r w:rsidRPr="0007326A">
              <w:rPr>
                <w:rFonts w:asciiTheme="minorHAnsi" w:eastAsia="Times New Roman" w:hAnsiTheme="minorHAnsi" w:cstheme="minorHAnsi"/>
                <w:b/>
                <w:bCs/>
                <w:color w:val="000000"/>
                <w:sz w:val="24"/>
                <w:szCs w:val="24"/>
                <w:lang w:bidi="ar-SA"/>
              </w:rPr>
              <w:t>$14,310,000</w:t>
            </w:r>
          </w:p>
        </w:tc>
        <w:tc>
          <w:tcPr>
            <w:tcW w:w="1980" w:type="dxa"/>
            <w:tcBorders>
              <w:bottom w:val="single" w:sz="4" w:space="0" w:color="auto"/>
            </w:tcBorders>
            <w:shd w:val="clear" w:color="auto" w:fill="auto"/>
            <w:noWrap/>
            <w:vAlign w:val="bottom"/>
            <w:hideMark/>
          </w:tcPr>
          <w:p w14:paraId="443960CF" w14:textId="77777777" w:rsidR="00753718" w:rsidRPr="0007326A" w:rsidRDefault="00753718" w:rsidP="00753718">
            <w:pPr>
              <w:widowControl/>
              <w:autoSpaceDE/>
              <w:autoSpaceDN/>
              <w:jc w:val="right"/>
              <w:rPr>
                <w:rFonts w:asciiTheme="minorHAnsi" w:eastAsia="Times New Roman" w:hAnsiTheme="minorHAnsi" w:cstheme="minorHAnsi"/>
                <w:color w:val="000000"/>
                <w:sz w:val="24"/>
                <w:szCs w:val="24"/>
                <w:lang w:bidi="ar-SA"/>
              </w:rPr>
            </w:pPr>
            <w:r w:rsidRPr="0007326A">
              <w:rPr>
                <w:rFonts w:asciiTheme="minorHAnsi" w:eastAsia="Times New Roman" w:hAnsiTheme="minorHAnsi" w:cstheme="minorHAnsi"/>
                <w:color w:val="000000"/>
                <w:sz w:val="24"/>
                <w:szCs w:val="24"/>
                <w:lang w:bidi="ar-SA"/>
              </w:rPr>
              <w:t>$175,512,647</w:t>
            </w:r>
          </w:p>
        </w:tc>
      </w:tr>
      <w:tr w:rsidR="00F51F2D" w:rsidRPr="0007326A" w14:paraId="3E400F76" w14:textId="77777777" w:rsidTr="00F51F2D">
        <w:trPr>
          <w:cantSplit/>
          <w:trHeight w:val="290"/>
        </w:trPr>
        <w:tc>
          <w:tcPr>
            <w:tcW w:w="5000" w:type="dxa"/>
            <w:tcBorders>
              <w:right w:val="nil"/>
            </w:tcBorders>
            <w:shd w:val="clear" w:color="auto" w:fill="auto"/>
            <w:vAlign w:val="bottom"/>
            <w:hideMark/>
          </w:tcPr>
          <w:p w14:paraId="16B74AD9" w14:textId="77777777" w:rsidR="00F51F2D" w:rsidRPr="0007326A" w:rsidRDefault="00F51F2D" w:rsidP="00753718">
            <w:pPr>
              <w:widowControl/>
              <w:autoSpaceDE/>
              <w:autoSpaceDN/>
              <w:rPr>
                <w:rFonts w:asciiTheme="minorHAnsi" w:eastAsia="Times New Roman" w:hAnsiTheme="minorHAnsi" w:cstheme="minorHAnsi"/>
                <w:b/>
                <w:bCs/>
                <w:color w:val="000000"/>
                <w:sz w:val="24"/>
                <w:szCs w:val="24"/>
                <w:lang w:bidi="ar-SA"/>
              </w:rPr>
            </w:pPr>
            <w:r w:rsidRPr="0007326A">
              <w:rPr>
                <w:rFonts w:asciiTheme="minorHAnsi" w:eastAsia="Times New Roman" w:hAnsiTheme="minorHAnsi" w:cstheme="minorHAnsi"/>
                <w:b/>
                <w:bCs/>
                <w:color w:val="000000"/>
                <w:sz w:val="24"/>
                <w:szCs w:val="24"/>
                <w:lang w:bidi="ar-SA"/>
              </w:rPr>
              <w:t>Financing Costs</w:t>
            </w:r>
          </w:p>
        </w:tc>
        <w:tc>
          <w:tcPr>
            <w:tcW w:w="1720" w:type="dxa"/>
            <w:tcBorders>
              <w:left w:val="nil"/>
              <w:right w:val="nil"/>
            </w:tcBorders>
            <w:shd w:val="clear" w:color="auto" w:fill="auto"/>
            <w:vAlign w:val="bottom"/>
          </w:tcPr>
          <w:p w14:paraId="10BF294C" w14:textId="77777777" w:rsidR="00F51F2D" w:rsidRPr="0007326A" w:rsidRDefault="00F51F2D" w:rsidP="00753718">
            <w:pPr>
              <w:widowControl/>
              <w:autoSpaceDE/>
              <w:autoSpaceDN/>
              <w:rPr>
                <w:rFonts w:asciiTheme="minorHAnsi" w:eastAsia="Times New Roman" w:hAnsiTheme="minorHAnsi" w:cstheme="minorHAnsi"/>
                <w:b/>
                <w:bCs/>
                <w:color w:val="000000"/>
                <w:sz w:val="24"/>
                <w:szCs w:val="24"/>
                <w:lang w:bidi="ar-SA"/>
              </w:rPr>
            </w:pPr>
          </w:p>
        </w:tc>
        <w:tc>
          <w:tcPr>
            <w:tcW w:w="1540" w:type="dxa"/>
            <w:tcBorders>
              <w:left w:val="nil"/>
              <w:right w:val="nil"/>
            </w:tcBorders>
            <w:shd w:val="clear" w:color="auto" w:fill="auto"/>
            <w:vAlign w:val="bottom"/>
          </w:tcPr>
          <w:p w14:paraId="10A00082" w14:textId="77777777" w:rsidR="00F51F2D" w:rsidRPr="0007326A" w:rsidRDefault="00F51F2D" w:rsidP="00753718">
            <w:pPr>
              <w:widowControl/>
              <w:autoSpaceDE/>
              <w:autoSpaceDN/>
              <w:rPr>
                <w:rFonts w:asciiTheme="minorHAnsi" w:eastAsia="Times New Roman" w:hAnsiTheme="minorHAnsi" w:cstheme="minorHAnsi"/>
                <w:b/>
                <w:bCs/>
                <w:color w:val="000000"/>
                <w:sz w:val="24"/>
                <w:szCs w:val="24"/>
                <w:lang w:bidi="ar-SA"/>
              </w:rPr>
            </w:pPr>
          </w:p>
        </w:tc>
        <w:tc>
          <w:tcPr>
            <w:tcW w:w="1980" w:type="dxa"/>
            <w:tcBorders>
              <w:left w:val="nil"/>
            </w:tcBorders>
            <w:shd w:val="clear" w:color="auto" w:fill="auto"/>
            <w:vAlign w:val="bottom"/>
          </w:tcPr>
          <w:p w14:paraId="0A74CF44" w14:textId="142CD36A" w:rsidR="00F51F2D" w:rsidRPr="0007326A" w:rsidRDefault="00F51F2D" w:rsidP="00753718">
            <w:pPr>
              <w:widowControl/>
              <w:autoSpaceDE/>
              <w:autoSpaceDN/>
              <w:rPr>
                <w:rFonts w:asciiTheme="minorHAnsi" w:eastAsia="Times New Roman" w:hAnsiTheme="minorHAnsi" w:cstheme="minorHAnsi"/>
                <w:b/>
                <w:bCs/>
                <w:color w:val="000000"/>
                <w:sz w:val="24"/>
                <w:szCs w:val="24"/>
                <w:lang w:bidi="ar-SA"/>
              </w:rPr>
            </w:pPr>
          </w:p>
        </w:tc>
      </w:tr>
      <w:tr w:rsidR="00753718" w:rsidRPr="00D858DA" w14:paraId="5DD6473A" w14:textId="77777777" w:rsidTr="00F51F2D">
        <w:trPr>
          <w:cantSplit/>
          <w:trHeight w:val="520"/>
        </w:trPr>
        <w:tc>
          <w:tcPr>
            <w:tcW w:w="5000" w:type="dxa"/>
            <w:shd w:val="clear" w:color="auto" w:fill="auto"/>
            <w:vAlign w:val="bottom"/>
            <w:hideMark/>
          </w:tcPr>
          <w:p w14:paraId="3A9DFEB4" w14:textId="77777777" w:rsidR="00753718" w:rsidRPr="0007326A" w:rsidRDefault="00753718" w:rsidP="00753718">
            <w:pPr>
              <w:widowControl/>
              <w:autoSpaceDE/>
              <w:autoSpaceDN/>
              <w:rPr>
                <w:rFonts w:asciiTheme="minorHAnsi" w:eastAsia="Times New Roman" w:hAnsiTheme="minorHAnsi" w:cstheme="minorHAnsi"/>
                <w:color w:val="000000"/>
                <w:sz w:val="24"/>
                <w:szCs w:val="24"/>
                <w:lang w:bidi="ar-SA"/>
              </w:rPr>
            </w:pPr>
            <w:r w:rsidRPr="0007326A">
              <w:rPr>
                <w:rFonts w:asciiTheme="minorHAnsi" w:eastAsia="Times New Roman" w:hAnsiTheme="minorHAnsi" w:cstheme="minorHAnsi"/>
                <w:color w:val="000000"/>
                <w:sz w:val="24"/>
                <w:szCs w:val="24"/>
                <w:lang w:bidi="ar-SA"/>
              </w:rPr>
              <w:t xml:space="preserve">Cost of Securing Financing (legal, administrative, feasibility studies, mortgage insurance, printing, </w:t>
            </w:r>
            <w:proofErr w:type="spellStart"/>
            <w:r w:rsidRPr="0007326A">
              <w:rPr>
                <w:rFonts w:asciiTheme="minorHAnsi" w:eastAsia="Times New Roman" w:hAnsiTheme="minorHAnsi" w:cstheme="minorHAnsi"/>
                <w:color w:val="000000"/>
                <w:sz w:val="24"/>
                <w:szCs w:val="24"/>
                <w:lang w:bidi="ar-SA"/>
              </w:rPr>
              <w:t>etc</w:t>
            </w:r>
            <w:proofErr w:type="spellEnd"/>
          </w:p>
        </w:tc>
        <w:tc>
          <w:tcPr>
            <w:tcW w:w="1720" w:type="dxa"/>
            <w:shd w:val="clear" w:color="auto" w:fill="auto"/>
            <w:vAlign w:val="bottom"/>
            <w:hideMark/>
          </w:tcPr>
          <w:p w14:paraId="5A411B40" w14:textId="77777777" w:rsidR="00753718" w:rsidRPr="0007326A" w:rsidRDefault="00753718" w:rsidP="00753718">
            <w:pPr>
              <w:widowControl/>
              <w:autoSpaceDE/>
              <w:autoSpaceDN/>
              <w:jc w:val="right"/>
              <w:rPr>
                <w:rFonts w:asciiTheme="minorHAnsi" w:eastAsia="Times New Roman" w:hAnsiTheme="minorHAnsi" w:cstheme="minorHAnsi"/>
                <w:color w:val="000000"/>
                <w:sz w:val="24"/>
                <w:szCs w:val="24"/>
                <w:lang w:bidi="ar-SA"/>
              </w:rPr>
            </w:pPr>
            <w:r w:rsidRPr="0007326A">
              <w:rPr>
                <w:rFonts w:asciiTheme="minorHAnsi" w:eastAsia="Times New Roman" w:hAnsiTheme="minorHAnsi" w:cstheme="minorHAnsi"/>
                <w:color w:val="000000"/>
                <w:sz w:val="24"/>
                <w:szCs w:val="24"/>
                <w:lang w:bidi="ar-SA"/>
              </w:rPr>
              <w:t>$1,511,926</w:t>
            </w:r>
          </w:p>
        </w:tc>
        <w:tc>
          <w:tcPr>
            <w:tcW w:w="1540" w:type="dxa"/>
            <w:shd w:val="clear" w:color="auto" w:fill="auto"/>
            <w:vAlign w:val="bottom"/>
            <w:hideMark/>
          </w:tcPr>
          <w:p w14:paraId="0EBF5A9E" w14:textId="77777777" w:rsidR="00753718" w:rsidRPr="0007326A" w:rsidRDefault="00753718" w:rsidP="00753718">
            <w:pPr>
              <w:widowControl/>
              <w:autoSpaceDE/>
              <w:autoSpaceDN/>
              <w:jc w:val="right"/>
              <w:rPr>
                <w:rFonts w:asciiTheme="minorHAnsi" w:eastAsia="Times New Roman" w:hAnsiTheme="minorHAnsi" w:cstheme="minorHAnsi"/>
                <w:color w:val="000000"/>
                <w:sz w:val="24"/>
                <w:szCs w:val="24"/>
                <w:lang w:bidi="ar-SA"/>
              </w:rPr>
            </w:pPr>
            <w:r w:rsidRPr="0007326A">
              <w:rPr>
                <w:rFonts w:asciiTheme="minorHAnsi" w:eastAsia="Times New Roman" w:hAnsiTheme="minorHAnsi" w:cstheme="minorHAnsi"/>
                <w:color w:val="000000"/>
                <w:sz w:val="24"/>
                <w:szCs w:val="24"/>
                <w:lang w:bidi="ar-SA"/>
              </w:rPr>
              <w:t>$143,100</w:t>
            </w:r>
          </w:p>
        </w:tc>
        <w:tc>
          <w:tcPr>
            <w:tcW w:w="1980" w:type="dxa"/>
            <w:shd w:val="clear" w:color="auto" w:fill="auto"/>
            <w:vAlign w:val="bottom"/>
            <w:hideMark/>
          </w:tcPr>
          <w:p w14:paraId="5E04163F" w14:textId="77777777" w:rsidR="00753718" w:rsidRPr="0007326A" w:rsidRDefault="00753718" w:rsidP="00753718">
            <w:pPr>
              <w:widowControl/>
              <w:autoSpaceDE/>
              <w:autoSpaceDN/>
              <w:jc w:val="right"/>
              <w:rPr>
                <w:rFonts w:asciiTheme="minorHAnsi" w:eastAsia="Times New Roman" w:hAnsiTheme="minorHAnsi" w:cstheme="minorHAnsi"/>
                <w:color w:val="000000"/>
                <w:sz w:val="24"/>
                <w:szCs w:val="24"/>
                <w:lang w:bidi="ar-SA"/>
              </w:rPr>
            </w:pPr>
            <w:r w:rsidRPr="0007326A">
              <w:rPr>
                <w:rFonts w:asciiTheme="minorHAnsi" w:eastAsia="Times New Roman" w:hAnsiTheme="minorHAnsi" w:cstheme="minorHAnsi"/>
                <w:color w:val="000000"/>
                <w:sz w:val="24"/>
                <w:szCs w:val="24"/>
                <w:lang w:bidi="ar-SA"/>
              </w:rPr>
              <w:t>$1,655,026</w:t>
            </w:r>
          </w:p>
        </w:tc>
      </w:tr>
      <w:tr w:rsidR="00753718" w:rsidRPr="00D858DA" w14:paraId="1C4F533B" w14:textId="77777777" w:rsidTr="00F51F2D">
        <w:trPr>
          <w:cantSplit/>
          <w:trHeight w:val="290"/>
        </w:trPr>
        <w:tc>
          <w:tcPr>
            <w:tcW w:w="5000" w:type="dxa"/>
            <w:shd w:val="clear" w:color="auto" w:fill="auto"/>
            <w:vAlign w:val="bottom"/>
            <w:hideMark/>
          </w:tcPr>
          <w:p w14:paraId="00775BD5" w14:textId="77777777" w:rsidR="00753718" w:rsidRPr="0007326A" w:rsidRDefault="00753718" w:rsidP="00753718">
            <w:pPr>
              <w:widowControl/>
              <w:autoSpaceDE/>
              <w:autoSpaceDN/>
              <w:rPr>
                <w:rFonts w:asciiTheme="minorHAnsi" w:eastAsia="Times New Roman" w:hAnsiTheme="minorHAnsi" w:cstheme="minorHAnsi"/>
                <w:color w:val="000000"/>
                <w:sz w:val="24"/>
                <w:szCs w:val="24"/>
                <w:lang w:bidi="ar-SA"/>
              </w:rPr>
            </w:pPr>
            <w:r w:rsidRPr="0007326A">
              <w:rPr>
                <w:rFonts w:asciiTheme="minorHAnsi" w:eastAsia="Times New Roman" w:hAnsiTheme="minorHAnsi" w:cstheme="minorHAnsi"/>
                <w:color w:val="000000"/>
                <w:sz w:val="24"/>
                <w:szCs w:val="24"/>
                <w:lang w:bidi="ar-SA"/>
              </w:rPr>
              <w:t>Bond Discount</w:t>
            </w:r>
          </w:p>
        </w:tc>
        <w:tc>
          <w:tcPr>
            <w:tcW w:w="1720" w:type="dxa"/>
            <w:shd w:val="clear" w:color="auto" w:fill="auto"/>
            <w:vAlign w:val="bottom"/>
            <w:hideMark/>
          </w:tcPr>
          <w:p w14:paraId="7E0AB319" w14:textId="77777777" w:rsidR="00753718" w:rsidRPr="0007326A" w:rsidRDefault="00753718" w:rsidP="00753718">
            <w:pPr>
              <w:widowControl/>
              <w:autoSpaceDE/>
              <w:autoSpaceDN/>
              <w:rPr>
                <w:rFonts w:asciiTheme="minorHAnsi" w:eastAsia="Times New Roman" w:hAnsiTheme="minorHAnsi" w:cstheme="minorHAnsi"/>
                <w:color w:val="000000"/>
                <w:sz w:val="24"/>
                <w:szCs w:val="24"/>
                <w:lang w:bidi="ar-SA"/>
              </w:rPr>
            </w:pPr>
            <w:r w:rsidRPr="0007326A">
              <w:rPr>
                <w:rFonts w:asciiTheme="minorHAnsi" w:eastAsia="Times New Roman" w:hAnsiTheme="minorHAnsi" w:cstheme="minorHAnsi"/>
                <w:color w:val="000000"/>
                <w:sz w:val="24"/>
                <w:szCs w:val="24"/>
                <w:lang w:bidi="ar-SA"/>
              </w:rPr>
              <w:t> </w:t>
            </w:r>
          </w:p>
        </w:tc>
        <w:tc>
          <w:tcPr>
            <w:tcW w:w="1540" w:type="dxa"/>
            <w:shd w:val="clear" w:color="auto" w:fill="auto"/>
            <w:vAlign w:val="bottom"/>
            <w:hideMark/>
          </w:tcPr>
          <w:p w14:paraId="7B85B32D" w14:textId="77777777" w:rsidR="00753718" w:rsidRPr="0007326A" w:rsidRDefault="00753718" w:rsidP="00753718">
            <w:pPr>
              <w:widowControl/>
              <w:autoSpaceDE/>
              <w:autoSpaceDN/>
              <w:jc w:val="right"/>
              <w:rPr>
                <w:rFonts w:asciiTheme="minorHAnsi" w:eastAsia="Times New Roman" w:hAnsiTheme="minorHAnsi" w:cstheme="minorHAnsi"/>
                <w:color w:val="000000"/>
                <w:sz w:val="24"/>
                <w:szCs w:val="24"/>
                <w:lang w:bidi="ar-SA"/>
              </w:rPr>
            </w:pPr>
            <w:r w:rsidRPr="0007326A">
              <w:rPr>
                <w:rFonts w:asciiTheme="minorHAnsi" w:eastAsia="Times New Roman" w:hAnsiTheme="minorHAnsi" w:cstheme="minorHAnsi"/>
                <w:color w:val="000000"/>
                <w:sz w:val="24"/>
                <w:szCs w:val="24"/>
                <w:lang w:bidi="ar-SA"/>
              </w:rPr>
              <w:t>$0</w:t>
            </w:r>
          </w:p>
        </w:tc>
        <w:tc>
          <w:tcPr>
            <w:tcW w:w="1980" w:type="dxa"/>
            <w:shd w:val="clear" w:color="auto" w:fill="auto"/>
            <w:vAlign w:val="bottom"/>
            <w:hideMark/>
          </w:tcPr>
          <w:p w14:paraId="5337BCB5" w14:textId="77777777" w:rsidR="00753718" w:rsidRPr="0007326A" w:rsidRDefault="00753718" w:rsidP="00753718">
            <w:pPr>
              <w:widowControl/>
              <w:autoSpaceDE/>
              <w:autoSpaceDN/>
              <w:jc w:val="right"/>
              <w:rPr>
                <w:rFonts w:asciiTheme="minorHAnsi" w:eastAsia="Times New Roman" w:hAnsiTheme="minorHAnsi" w:cstheme="minorHAnsi"/>
                <w:color w:val="000000"/>
                <w:sz w:val="24"/>
                <w:szCs w:val="24"/>
                <w:lang w:bidi="ar-SA"/>
              </w:rPr>
            </w:pPr>
            <w:r w:rsidRPr="0007326A">
              <w:rPr>
                <w:rFonts w:asciiTheme="minorHAnsi" w:eastAsia="Times New Roman" w:hAnsiTheme="minorHAnsi" w:cstheme="minorHAnsi"/>
                <w:color w:val="000000"/>
                <w:sz w:val="24"/>
                <w:szCs w:val="24"/>
                <w:lang w:bidi="ar-SA"/>
              </w:rPr>
              <w:t>$0</w:t>
            </w:r>
          </w:p>
        </w:tc>
      </w:tr>
      <w:tr w:rsidR="00753718" w:rsidRPr="00D858DA" w14:paraId="10F7654D" w14:textId="77777777" w:rsidTr="00F51F2D">
        <w:trPr>
          <w:cantSplit/>
          <w:trHeight w:val="290"/>
        </w:trPr>
        <w:tc>
          <w:tcPr>
            <w:tcW w:w="5000" w:type="dxa"/>
            <w:shd w:val="clear" w:color="000000" w:fill="D9D9D9"/>
            <w:vAlign w:val="bottom"/>
            <w:hideMark/>
          </w:tcPr>
          <w:p w14:paraId="20D4F034" w14:textId="77777777" w:rsidR="00753718" w:rsidRPr="0007326A" w:rsidRDefault="00753718" w:rsidP="00753718">
            <w:pPr>
              <w:widowControl/>
              <w:autoSpaceDE/>
              <w:autoSpaceDN/>
              <w:rPr>
                <w:rFonts w:asciiTheme="minorHAnsi" w:eastAsia="Times New Roman" w:hAnsiTheme="minorHAnsi" w:cstheme="minorHAnsi"/>
                <w:color w:val="000000"/>
                <w:sz w:val="24"/>
                <w:szCs w:val="24"/>
                <w:lang w:bidi="ar-SA"/>
              </w:rPr>
            </w:pPr>
            <w:r w:rsidRPr="0007326A">
              <w:rPr>
                <w:rFonts w:asciiTheme="minorHAnsi" w:eastAsia="Times New Roman" w:hAnsiTheme="minorHAnsi" w:cstheme="minorHAnsi"/>
                <w:color w:val="000000"/>
                <w:sz w:val="24"/>
                <w:szCs w:val="24"/>
                <w:lang w:bidi="ar-SA"/>
              </w:rPr>
              <w:t>Total Financing Costs</w:t>
            </w:r>
          </w:p>
        </w:tc>
        <w:tc>
          <w:tcPr>
            <w:tcW w:w="1720" w:type="dxa"/>
            <w:shd w:val="clear" w:color="auto" w:fill="auto"/>
            <w:vAlign w:val="bottom"/>
            <w:hideMark/>
          </w:tcPr>
          <w:p w14:paraId="240FBAE2" w14:textId="77777777" w:rsidR="00753718" w:rsidRPr="0007326A" w:rsidRDefault="00753718" w:rsidP="00753718">
            <w:pPr>
              <w:widowControl/>
              <w:autoSpaceDE/>
              <w:autoSpaceDN/>
              <w:jc w:val="right"/>
              <w:rPr>
                <w:rFonts w:asciiTheme="minorHAnsi" w:eastAsia="Times New Roman" w:hAnsiTheme="minorHAnsi" w:cstheme="minorHAnsi"/>
                <w:color w:val="000000"/>
                <w:sz w:val="24"/>
                <w:szCs w:val="24"/>
                <w:lang w:bidi="ar-SA"/>
              </w:rPr>
            </w:pPr>
            <w:r w:rsidRPr="0007326A">
              <w:rPr>
                <w:rFonts w:asciiTheme="minorHAnsi" w:eastAsia="Times New Roman" w:hAnsiTheme="minorHAnsi" w:cstheme="minorHAnsi"/>
                <w:color w:val="000000"/>
                <w:sz w:val="24"/>
                <w:szCs w:val="24"/>
                <w:lang w:bidi="ar-SA"/>
              </w:rPr>
              <w:t>$1,511,926</w:t>
            </w:r>
          </w:p>
        </w:tc>
        <w:tc>
          <w:tcPr>
            <w:tcW w:w="1540" w:type="dxa"/>
            <w:shd w:val="clear" w:color="000000" w:fill="D9D9D9"/>
            <w:vAlign w:val="bottom"/>
            <w:hideMark/>
          </w:tcPr>
          <w:p w14:paraId="0A81283A" w14:textId="77777777" w:rsidR="00753718" w:rsidRPr="0007326A" w:rsidRDefault="00753718" w:rsidP="00753718">
            <w:pPr>
              <w:widowControl/>
              <w:autoSpaceDE/>
              <w:autoSpaceDN/>
              <w:jc w:val="right"/>
              <w:rPr>
                <w:rFonts w:asciiTheme="minorHAnsi" w:eastAsia="Times New Roman" w:hAnsiTheme="minorHAnsi" w:cstheme="minorHAnsi"/>
                <w:color w:val="000000"/>
                <w:sz w:val="24"/>
                <w:szCs w:val="24"/>
                <w:lang w:bidi="ar-SA"/>
              </w:rPr>
            </w:pPr>
            <w:r w:rsidRPr="0007326A">
              <w:rPr>
                <w:rFonts w:asciiTheme="minorHAnsi" w:eastAsia="Times New Roman" w:hAnsiTheme="minorHAnsi" w:cstheme="minorHAnsi"/>
                <w:color w:val="000000"/>
                <w:sz w:val="24"/>
                <w:szCs w:val="24"/>
                <w:lang w:bidi="ar-SA"/>
              </w:rPr>
              <w:t>$143,100</w:t>
            </w:r>
          </w:p>
        </w:tc>
        <w:tc>
          <w:tcPr>
            <w:tcW w:w="1980" w:type="dxa"/>
            <w:shd w:val="clear" w:color="auto" w:fill="auto"/>
            <w:vAlign w:val="bottom"/>
            <w:hideMark/>
          </w:tcPr>
          <w:p w14:paraId="17F0EE6C" w14:textId="77777777" w:rsidR="00753718" w:rsidRPr="0007326A" w:rsidRDefault="00753718" w:rsidP="00753718">
            <w:pPr>
              <w:widowControl/>
              <w:autoSpaceDE/>
              <w:autoSpaceDN/>
              <w:jc w:val="right"/>
              <w:rPr>
                <w:rFonts w:asciiTheme="minorHAnsi" w:eastAsia="Times New Roman" w:hAnsiTheme="minorHAnsi" w:cstheme="minorHAnsi"/>
                <w:color w:val="000000"/>
                <w:sz w:val="24"/>
                <w:szCs w:val="24"/>
                <w:lang w:bidi="ar-SA"/>
              </w:rPr>
            </w:pPr>
            <w:r w:rsidRPr="0007326A">
              <w:rPr>
                <w:rFonts w:asciiTheme="minorHAnsi" w:eastAsia="Times New Roman" w:hAnsiTheme="minorHAnsi" w:cstheme="minorHAnsi"/>
                <w:color w:val="000000"/>
                <w:sz w:val="24"/>
                <w:szCs w:val="24"/>
                <w:lang w:bidi="ar-SA"/>
              </w:rPr>
              <w:t>$1,655,026</w:t>
            </w:r>
          </w:p>
        </w:tc>
      </w:tr>
      <w:tr w:rsidR="00753718" w:rsidRPr="00D858DA" w14:paraId="2A950FAC" w14:textId="77777777" w:rsidTr="00F51F2D">
        <w:trPr>
          <w:cantSplit/>
          <w:trHeight w:val="290"/>
        </w:trPr>
        <w:tc>
          <w:tcPr>
            <w:tcW w:w="5000" w:type="dxa"/>
            <w:shd w:val="clear" w:color="auto" w:fill="DAEEF3" w:themeFill="accent5" w:themeFillTint="33"/>
            <w:vAlign w:val="bottom"/>
            <w:hideMark/>
          </w:tcPr>
          <w:p w14:paraId="7DF5FA0F" w14:textId="1910D9D3" w:rsidR="00753718" w:rsidRPr="0007326A" w:rsidRDefault="00753718" w:rsidP="00753718">
            <w:pPr>
              <w:widowControl/>
              <w:autoSpaceDE/>
              <w:autoSpaceDN/>
              <w:rPr>
                <w:rFonts w:asciiTheme="minorHAnsi" w:eastAsia="Times New Roman" w:hAnsiTheme="minorHAnsi" w:cstheme="minorHAnsi"/>
                <w:b/>
                <w:bCs/>
                <w:color w:val="000000"/>
                <w:sz w:val="24"/>
                <w:szCs w:val="24"/>
                <w:lang w:bidi="ar-SA"/>
              </w:rPr>
            </w:pPr>
            <w:r w:rsidRPr="00D858DA">
              <w:rPr>
                <w:rFonts w:asciiTheme="minorHAnsi" w:eastAsia="Times New Roman" w:hAnsiTheme="minorHAnsi" w:cstheme="minorHAnsi"/>
                <w:b/>
                <w:bCs/>
                <w:color w:val="000000"/>
                <w:sz w:val="24"/>
                <w:szCs w:val="24"/>
                <w:lang w:bidi="ar-SA"/>
              </w:rPr>
              <w:t xml:space="preserve">Final </w:t>
            </w:r>
            <w:r w:rsidRPr="0007326A">
              <w:rPr>
                <w:rFonts w:asciiTheme="minorHAnsi" w:eastAsia="Times New Roman" w:hAnsiTheme="minorHAnsi" w:cstheme="minorHAnsi"/>
                <w:b/>
                <w:bCs/>
                <w:color w:val="000000"/>
                <w:sz w:val="24"/>
                <w:szCs w:val="24"/>
                <w:lang w:bidi="ar-SA"/>
              </w:rPr>
              <w:t>Estimated Total Capital Expenditure</w:t>
            </w:r>
          </w:p>
        </w:tc>
        <w:tc>
          <w:tcPr>
            <w:tcW w:w="1720" w:type="dxa"/>
            <w:shd w:val="clear" w:color="auto" w:fill="auto"/>
            <w:vAlign w:val="bottom"/>
            <w:hideMark/>
          </w:tcPr>
          <w:p w14:paraId="60870F67" w14:textId="77777777" w:rsidR="00753718" w:rsidRPr="0007326A" w:rsidRDefault="00753718" w:rsidP="00753718">
            <w:pPr>
              <w:widowControl/>
              <w:autoSpaceDE/>
              <w:autoSpaceDN/>
              <w:jc w:val="right"/>
              <w:rPr>
                <w:rFonts w:asciiTheme="minorHAnsi" w:eastAsia="Times New Roman" w:hAnsiTheme="minorHAnsi" w:cstheme="minorHAnsi"/>
                <w:color w:val="000000"/>
                <w:sz w:val="24"/>
                <w:szCs w:val="24"/>
                <w:lang w:bidi="ar-SA"/>
              </w:rPr>
            </w:pPr>
            <w:r w:rsidRPr="0007326A">
              <w:rPr>
                <w:rFonts w:asciiTheme="minorHAnsi" w:eastAsia="Times New Roman" w:hAnsiTheme="minorHAnsi" w:cstheme="minorHAnsi"/>
                <w:color w:val="000000"/>
                <w:sz w:val="24"/>
                <w:szCs w:val="24"/>
                <w:lang w:bidi="ar-SA"/>
              </w:rPr>
              <w:t>$168,183,839</w:t>
            </w:r>
          </w:p>
        </w:tc>
        <w:tc>
          <w:tcPr>
            <w:tcW w:w="1540" w:type="dxa"/>
            <w:shd w:val="clear" w:color="auto" w:fill="DAEEF3" w:themeFill="accent5" w:themeFillTint="33"/>
            <w:vAlign w:val="bottom"/>
            <w:hideMark/>
          </w:tcPr>
          <w:p w14:paraId="3866C94C" w14:textId="77777777" w:rsidR="00753718" w:rsidRPr="0007326A" w:rsidRDefault="00753718" w:rsidP="00753718">
            <w:pPr>
              <w:widowControl/>
              <w:autoSpaceDE/>
              <w:autoSpaceDN/>
              <w:jc w:val="right"/>
              <w:rPr>
                <w:rFonts w:asciiTheme="minorHAnsi" w:eastAsia="Times New Roman" w:hAnsiTheme="minorHAnsi" w:cstheme="minorHAnsi"/>
                <w:b/>
                <w:bCs/>
                <w:color w:val="000000"/>
                <w:sz w:val="24"/>
                <w:szCs w:val="24"/>
                <w:lang w:bidi="ar-SA"/>
              </w:rPr>
            </w:pPr>
            <w:r w:rsidRPr="0007326A">
              <w:rPr>
                <w:rFonts w:asciiTheme="minorHAnsi" w:eastAsia="Times New Roman" w:hAnsiTheme="minorHAnsi" w:cstheme="minorHAnsi"/>
                <w:b/>
                <w:bCs/>
                <w:color w:val="000000"/>
                <w:sz w:val="24"/>
                <w:szCs w:val="24"/>
                <w:lang w:bidi="ar-SA"/>
              </w:rPr>
              <w:t>$14,453,100</w:t>
            </w:r>
          </w:p>
        </w:tc>
        <w:tc>
          <w:tcPr>
            <w:tcW w:w="1980" w:type="dxa"/>
            <w:shd w:val="clear" w:color="auto" w:fill="DAEEF3" w:themeFill="accent5" w:themeFillTint="33"/>
            <w:vAlign w:val="bottom"/>
            <w:hideMark/>
          </w:tcPr>
          <w:p w14:paraId="5A452B25" w14:textId="77777777" w:rsidR="00753718" w:rsidRPr="0007326A" w:rsidRDefault="00753718" w:rsidP="00753718">
            <w:pPr>
              <w:widowControl/>
              <w:autoSpaceDE/>
              <w:autoSpaceDN/>
              <w:jc w:val="right"/>
              <w:rPr>
                <w:rFonts w:asciiTheme="minorHAnsi" w:eastAsia="Times New Roman" w:hAnsiTheme="minorHAnsi" w:cstheme="minorHAnsi"/>
                <w:b/>
                <w:bCs/>
                <w:color w:val="000000"/>
                <w:sz w:val="24"/>
                <w:szCs w:val="24"/>
                <w:lang w:bidi="ar-SA"/>
              </w:rPr>
            </w:pPr>
            <w:r w:rsidRPr="0007326A">
              <w:rPr>
                <w:rFonts w:asciiTheme="minorHAnsi" w:eastAsia="Times New Roman" w:hAnsiTheme="minorHAnsi" w:cstheme="minorHAnsi"/>
                <w:b/>
                <w:bCs/>
                <w:color w:val="000000"/>
                <w:sz w:val="24"/>
                <w:szCs w:val="24"/>
                <w:lang w:bidi="ar-SA"/>
              </w:rPr>
              <w:t>$182,636,939</w:t>
            </w:r>
          </w:p>
        </w:tc>
      </w:tr>
    </w:tbl>
    <w:p w14:paraId="037C1E92" w14:textId="73162FD3" w:rsidR="0007326A" w:rsidRDefault="0007326A" w:rsidP="00144795">
      <w:pPr>
        <w:spacing w:before="199"/>
        <w:ind w:right="-10"/>
        <w:rPr>
          <w:sz w:val="24"/>
        </w:rPr>
      </w:pPr>
    </w:p>
    <w:p w14:paraId="21F89594" w14:textId="745D9FD1" w:rsidR="00144795" w:rsidRDefault="00144795" w:rsidP="00144795">
      <w:pPr>
        <w:spacing w:before="199"/>
        <w:ind w:right="-10"/>
        <w:rPr>
          <w:sz w:val="24"/>
        </w:rPr>
      </w:pPr>
      <w:r>
        <w:rPr>
          <w:sz w:val="24"/>
        </w:rPr>
        <w:lastRenderedPageBreak/>
        <w:t>The Holder asserts that building out existing shell space i</w:t>
      </w:r>
      <w:r w:rsidR="00C54924" w:rsidRPr="00C54924">
        <w:rPr>
          <w:sz w:val="24"/>
        </w:rPr>
        <w:t xml:space="preserve">s </w:t>
      </w:r>
      <w:r w:rsidR="007A4E67">
        <w:rPr>
          <w:sz w:val="24"/>
        </w:rPr>
        <w:t>more</w:t>
      </w:r>
      <w:r w:rsidR="00C54924" w:rsidRPr="00C54924">
        <w:rPr>
          <w:sz w:val="24"/>
        </w:rPr>
        <w:t xml:space="preserve"> cost-effective mea</w:t>
      </w:r>
      <w:r>
        <w:rPr>
          <w:sz w:val="24"/>
        </w:rPr>
        <w:t xml:space="preserve">ns </w:t>
      </w:r>
      <w:r w:rsidR="00C54924" w:rsidRPr="00C54924">
        <w:rPr>
          <w:sz w:val="24"/>
        </w:rPr>
        <w:t>for adding</w:t>
      </w:r>
      <w:r>
        <w:rPr>
          <w:sz w:val="24"/>
        </w:rPr>
        <w:t xml:space="preserve"> </w:t>
      </w:r>
      <w:r w:rsidR="00C54924" w:rsidRPr="00C54924">
        <w:rPr>
          <w:sz w:val="24"/>
        </w:rPr>
        <w:t>inpatient capacity than building a</w:t>
      </w:r>
      <w:r w:rsidR="007A4E67">
        <w:rPr>
          <w:sz w:val="24"/>
        </w:rPr>
        <w:t xml:space="preserve">n </w:t>
      </w:r>
      <w:r w:rsidR="00C54924" w:rsidRPr="00C54924">
        <w:rPr>
          <w:sz w:val="24"/>
        </w:rPr>
        <w:t>addition</w:t>
      </w:r>
      <w:r w:rsidR="007A4E67">
        <w:rPr>
          <w:sz w:val="24"/>
        </w:rPr>
        <w:t xml:space="preserve"> to meet demand</w:t>
      </w:r>
      <w:r w:rsidR="007A3E4E">
        <w:rPr>
          <w:sz w:val="24"/>
        </w:rPr>
        <w:t xml:space="preserve"> for M/S beds.</w:t>
      </w:r>
      <w:r w:rsidRPr="00144795">
        <w:rPr>
          <w:sz w:val="24"/>
        </w:rPr>
        <w:t xml:space="preserve"> The Holder projects that the </w:t>
      </w:r>
      <w:r>
        <w:rPr>
          <w:sz w:val="24"/>
        </w:rPr>
        <w:t xml:space="preserve">project </w:t>
      </w:r>
      <w:r w:rsidRPr="00144795">
        <w:rPr>
          <w:sz w:val="24"/>
        </w:rPr>
        <w:t>will increase the Hospital’s annual operating</w:t>
      </w:r>
      <w:r>
        <w:rPr>
          <w:sz w:val="24"/>
        </w:rPr>
        <w:t xml:space="preserve"> costs by </w:t>
      </w:r>
      <w:r w:rsidRPr="00144795">
        <w:rPr>
          <w:sz w:val="24"/>
        </w:rPr>
        <w:t xml:space="preserve">approximately $14.5M. </w:t>
      </w:r>
    </w:p>
    <w:p w14:paraId="03893CDA" w14:textId="77777777" w:rsidR="00144795" w:rsidRDefault="00144795" w:rsidP="00144795">
      <w:pPr>
        <w:ind w:right="-10"/>
        <w:jc w:val="both"/>
        <w:rPr>
          <w:sz w:val="24"/>
        </w:rPr>
      </w:pPr>
    </w:p>
    <w:p w14:paraId="7980CB7F" w14:textId="4B98FA68" w:rsidR="00244D27" w:rsidRPr="00244D27" w:rsidRDefault="00244D27" w:rsidP="00244D27">
      <w:pPr>
        <w:ind w:right="-10"/>
        <w:rPr>
          <w:sz w:val="24"/>
        </w:rPr>
      </w:pPr>
      <w:r w:rsidRPr="00244D27">
        <w:rPr>
          <w:sz w:val="24"/>
        </w:rPr>
        <w:t xml:space="preserve">The Holder anticipates that its Patient Panel will not experience any impact </w:t>
      </w:r>
      <w:r>
        <w:rPr>
          <w:sz w:val="24"/>
        </w:rPr>
        <w:t xml:space="preserve">on </w:t>
      </w:r>
      <w:r w:rsidRPr="00244D27">
        <w:rPr>
          <w:sz w:val="24"/>
        </w:rPr>
        <w:t>cost from the</w:t>
      </w:r>
    </w:p>
    <w:p w14:paraId="6788D93F" w14:textId="0F176D22" w:rsidR="00C54924" w:rsidRPr="00C54924" w:rsidRDefault="00244D27" w:rsidP="00244D27">
      <w:pPr>
        <w:ind w:right="-10"/>
        <w:rPr>
          <w:sz w:val="24"/>
        </w:rPr>
      </w:pPr>
      <w:r>
        <w:rPr>
          <w:sz w:val="24"/>
        </w:rPr>
        <w:t xml:space="preserve">Project as a result of adding just 13 beds to an existing service as it will not </w:t>
      </w:r>
      <w:r w:rsidRPr="00244D27">
        <w:rPr>
          <w:sz w:val="24"/>
        </w:rPr>
        <w:t>result in any change to price</w:t>
      </w:r>
      <w:r>
        <w:rPr>
          <w:sz w:val="24"/>
        </w:rPr>
        <w:t>s charged.</w:t>
      </w:r>
      <w:r w:rsidRPr="00244D27">
        <w:rPr>
          <w:sz w:val="24"/>
        </w:rPr>
        <w:t xml:space="preserve"> </w:t>
      </w:r>
      <w:r>
        <w:rPr>
          <w:sz w:val="24"/>
        </w:rPr>
        <w:t>The Holder asserts that t</w:t>
      </w:r>
      <w:r w:rsidR="00C54924" w:rsidRPr="00C54924">
        <w:rPr>
          <w:sz w:val="24"/>
        </w:rPr>
        <w:t>he increased operating and capital cost for the</w:t>
      </w:r>
      <w:r>
        <w:rPr>
          <w:sz w:val="24"/>
        </w:rPr>
        <w:t xml:space="preserve"> </w:t>
      </w:r>
      <w:r w:rsidR="00C54924" w:rsidRPr="00C54924">
        <w:rPr>
          <w:sz w:val="24"/>
        </w:rPr>
        <w:t xml:space="preserve">Proposed </w:t>
      </w:r>
      <w:r>
        <w:rPr>
          <w:sz w:val="24"/>
        </w:rPr>
        <w:t xml:space="preserve">Amendment </w:t>
      </w:r>
      <w:r w:rsidR="00C54924" w:rsidRPr="00C54924">
        <w:rPr>
          <w:sz w:val="24"/>
        </w:rPr>
        <w:t>is financially feasible for the Holder.</w:t>
      </w:r>
    </w:p>
    <w:p w14:paraId="0F0D7B35" w14:textId="77777777" w:rsidR="00C42605" w:rsidRDefault="00C42605" w:rsidP="001D1C01">
      <w:pPr>
        <w:pStyle w:val="BodyText"/>
        <w:rPr>
          <w:b/>
          <w:bCs/>
          <w:sz w:val="24"/>
          <w:szCs w:val="24"/>
        </w:rPr>
      </w:pPr>
    </w:p>
    <w:p w14:paraId="27E09457" w14:textId="3B776F48" w:rsidR="007D27DE" w:rsidRPr="001D1C01" w:rsidRDefault="00571F0A" w:rsidP="001D1C01">
      <w:pPr>
        <w:pStyle w:val="BodyText"/>
        <w:rPr>
          <w:b/>
          <w:bCs/>
          <w:sz w:val="24"/>
          <w:szCs w:val="24"/>
        </w:rPr>
      </w:pPr>
      <w:r w:rsidRPr="00FC7FAB">
        <w:rPr>
          <w:b/>
          <w:bCs/>
          <w:sz w:val="24"/>
          <w:szCs w:val="24"/>
        </w:rPr>
        <w:t>Impact on Community Health Initiative Funding​</w:t>
      </w:r>
    </w:p>
    <w:p w14:paraId="395CA4B2" w14:textId="77777777" w:rsidR="00D92FD6" w:rsidRDefault="00D92FD6" w:rsidP="00FC7FAB">
      <w:pPr>
        <w:pStyle w:val="BodyText"/>
        <w:rPr>
          <w:sz w:val="24"/>
          <w:szCs w:val="24"/>
        </w:rPr>
      </w:pPr>
    </w:p>
    <w:p w14:paraId="021325A9" w14:textId="68770737" w:rsidR="00FC7FAB" w:rsidRPr="00D92FD6" w:rsidRDefault="00FC7FAB" w:rsidP="00FC7FAB">
      <w:pPr>
        <w:pStyle w:val="BodyText"/>
        <w:rPr>
          <w:sz w:val="24"/>
          <w:szCs w:val="24"/>
        </w:rPr>
      </w:pPr>
      <w:r w:rsidRPr="00D92FD6">
        <w:rPr>
          <w:sz w:val="24"/>
          <w:szCs w:val="24"/>
        </w:rPr>
        <w:t>This Amendment is for an increase in the maximum capital expenditure, and results in an increase of</w:t>
      </w:r>
      <w:r w:rsidR="003B2CA9" w:rsidRPr="00D92FD6">
        <w:rPr>
          <w:sz w:val="24"/>
          <w:szCs w:val="24"/>
        </w:rPr>
        <w:t xml:space="preserve"> </w:t>
      </w:r>
      <w:r w:rsidR="00682DD7" w:rsidRPr="00D92FD6">
        <w:rPr>
          <w:bCs/>
          <w:sz w:val="24"/>
          <w:szCs w:val="24"/>
        </w:rPr>
        <w:t>$</w:t>
      </w:r>
      <w:r w:rsidR="003B2CA9" w:rsidRPr="00D92FD6">
        <w:rPr>
          <w:bCs/>
          <w:sz w:val="24"/>
          <w:szCs w:val="24"/>
        </w:rPr>
        <w:t xml:space="preserve">105,986.00 </w:t>
      </w:r>
      <w:r w:rsidR="00682DD7" w:rsidRPr="00D92FD6">
        <w:rPr>
          <w:bCs/>
          <w:sz w:val="24"/>
          <w:szCs w:val="24"/>
        </w:rPr>
        <w:t xml:space="preserve">to </w:t>
      </w:r>
      <w:r w:rsidRPr="00D92FD6">
        <w:rPr>
          <w:sz w:val="24"/>
          <w:szCs w:val="24"/>
        </w:rPr>
        <w:t>the Community Health Initiative (CHI) contribution</w:t>
      </w:r>
      <w:r w:rsidR="00682DD7" w:rsidRPr="00D92FD6">
        <w:rPr>
          <w:sz w:val="24"/>
          <w:szCs w:val="24"/>
        </w:rPr>
        <w:t>.</w:t>
      </w:r>
    </w:p>
    <w:p w14:paraId="2B451CBA" w14:textId="77777777" w:rsidR="00467F30" w:rsidRPr="00D92FD6" w:rsidRDefault="00467F30" w:rsidP="00AE61D9">
      <w:pPr>
        <w:pStyle w:val="BodyText"/>
        <w:rPr>
          <w:sz w:val="24"/>
          <w:szCs w:val="24"/>
        </w:rPr>
      </w:pPr>
    </w:p>
    <w:p w14:paraId="277ED0A1" w14:textId="5A29107A" w:rsidR="00D92FD6" w:rsidRPr="00D92FD6" w:rsidRDefault="00D92FD6" w:rsidP="00D92FD6">
      <w:pPr>
        <w:pStyle w:val="BodyText"/>
        <w:rPr>
          <w:sz w:val="24"/>
          <w:szCs w:val="24"/>
        </w:rPr>
      </w:pPr>
      <w:r w:rsidRPr="00D92FD6">
        <w:rPr>
          <w:i/>
          <w:sz w:val="24"/>
          <w:szCs w:val="24"/>
        </w:rPr>
        <w:t>Summary and relevant background and context for this Amendment:</w:t>
      </w:r>
      <w:r w:rsidRPr="00D92FD6">
        <w:rPr>
          <w:sz w:val="24"/>
          <w:szCs w:val="24"/>
        </w:rPr>
        <w:t xml:space="preserve"> This is a DoN Amendment project that will result in a Tier 1 CHI. The Community Health Needs Assessment process was completed in parallel to the Amendment filing. The Holder will continue to engage its Community Affairs and Health Access Committee to make decisions related to the community health investment based on the information gathered through this process. Tier 1 projects are able to pool funds, but with no existing DoN investment in the geography covered by this Amendment, the Holder will be expected to invest the associated CHI funds through a transparent and engaging process.</w:t>
      </w:r>
    </w:p>
    <w:p w14:paraId="47168681" w14:textId="77777777" w:rsidR="00D92FD6" w:rsidRPr="00D92FD6" w:rsidRDefault="00D92FD6" w:rsidP="00D92FD6">
      <w:pPr>
        <w:pStyle w:val="BodyText"/>
        <w:rPr>
          <w:sz w:val="24"/>
          <w:szCs w:val="24"/>
        </w:rPr>
      </w:pPr>
    </w:p>
    <w:p w14:paraId="4632F0C8" w14:textId="77777777" w:rsidR="00D92FD6" w:rsidRPr="00D92FD6" w:rsidRDefault="00D92FD6" w:rsidP="00D92FD6">
      <w:pPr>
        <w:pStyle w:val="BodyText"/>
        <w:rPr>
          <w:sz w:val="24"/>
          <w:szCs w:val="24"/>
        </w:rPr>
      </w:pPr>
      <w:r w:rsidRPr="00D92FD6">
        <w:rPr>
          <w:sz w:val="24"/>
          <w:szCs w:val="24"/>
        </w:rPr>
        <w:t>For this project, to fulfill Factor 6 requirements, the Holder submitted its new 2022 Community Health Needs Assessment (CHNA), a Self-Assessment, Stakeholder Assessments, and a CHI Narrative.</w:t>
      </w:r>
    </w:p>
    <w:p w14:paraId="2B4C1468" w14:textId="77777777" w:rsidR="00D92FD6" w:rsidRPr="00D92FD6" w:rsidRDefault="00D92FD6" w:rsidP="00D92FD6">
      <w:pPr>
        <w:pStyle w:val="BodyText"/>
        <w:rPr>
          <w:sz w:val="24"/>
          <w:szCs w:val="24"/>
        </w:rPr>
      </w:pPr>
    </w:p>
    <w:p w14:paraId="20B794E7" w14:textId="6AD8D1EE" w:rsidR="00D92FD6" w:rsidRPr="00D92FD6" w:rsidRDefault="00D92FD6" w:rsidP="00D92FD6">
      <w:pPr>
        <w:pStyle w:val="BodyText"/>
        <w:rPr>
          <w:sz w:val="24"/>
          <w:szCs w:val="24"/>
        </w:rPr>
      </w:pPr>
      <w:r w:rsidRPr="00D92FD6">
        <w:rPr>
          <w:b/>
          <w:sz w:val="24"/>
          <w:szCs w:val="24"/>
        </w:rPr>
        <w:t>The Community Health Needs Assessment</w:t>
      </w:r>
      <w:r w:rsidRPr="00D92FD6">
        <w:rPr>
          <w:sz w:val="24"/>
          <w:szCs w:val="24"/>
        </w:rPr>
        <w:t xml:space="preserve"> was finalized in Fall of 2022 by Salem Hospital. The Hospital utilized secondary data from the US Census, CDC, DPH, DESE, among other sources, and also conducted online focus groups for over 100 invitees. Ultimately, nine focus groups covering different community health sectors including housing, food security, immigrant experience, and youth services and a community survey available in 10 languages were conducted. The final Needs Assessment identifies priority populations and describes key findings and themes from the participating communities in the service area. The priority populations are residents of Danvers, Lynn, Lynnfield, Mar</w:t>
      </w:r>
      <w:r w:rsidR="0024383D">
        <w:rPr>
          <w:sz w:val="24"/>
          <w:szCs w:val="24"/>
        </w:rPr>
        <w:t>b</w:t>
      </w:r>
      <w:r w:rsidRPr="00D92FD6">
        <w:rPr>
          <w:sz w:val="24"/>
          <w:szCs w:val="24"/>
        </w:rPr>
        <w:t xml:space="preserve">lehead, Nahant, Peabody, Salem, and Swampscott. The themes identified in the Needs Assessment are Behavioral Health, Health Care Access, Culturally Sensitive Care, Social Determinants of Health, and Workforce. The Hospital will engage its Community Affairs and Health Access Committee (CAHAC) to select priorities and identify strategies for implementation. </w:t>
      </w:r>
    </w:p>
    <w:p w14:paraId="3DD82175" w14:textId="77777777" w:rsidR="00D92FD6" w:rsidRPr="00D92FD6" w:rsidRDefault="00D92FD6" w:rsidP="00D92FD6">
      <w:pPr>
        <w:pStyle w:val="BodyText"/>
        <w:rPr>
          <w:sz w:val="24"/>
          <w:szCs w:val="24"/>
        </w:rPr>
      </w:pPr>
    </w:p>
    <w:p w14:paraId="2788608B" w14:textId="77777777" w:rsidR="00D92FD6" w:rsidRPr="00D92FD6" w:rsidRDefault="00D92FD6" w:rsidP="00D92FD6">
      <w:pPr>
        <w:pStyle w:val="BodyText"/>
        <w:rPr>
          <w:sz w:val="24"/>
          <w:szCs w:val="24"/>
        </w:rPr>
      </w:pPr>
      <w:r w:rsidRPr="00D92FD6">
        <w:rPr>
          <w:b/>
          <w:bCs/>
          <w:sz w:val="24"/>
          <w:szCs w:val="24"/>
        </w:rPr>
        <w:t xml:space="preserve">The Self-Assessment </w:t>
      </w:r>
      <w:r w:rsidRPr="00D92FD6">
        <w:rPr>
          <w:sz w:val="24"/>
          <w:szCs w:val="24"/>
        </w:rPr>
        <w:t xml:space="preserve">provided a summary of community engagement processes and socio-demographic information, data and highlights related to topics and themes of community </w:t>
      </w:r>
      <w:r w:rsidRPr="00D92FD6">
        <w:rPr>
          <w:sz w:val="24"/>
          <w:szCs w:val="24"/>
        </w:rPr>
        <w:lastRenderedPageBreak/>
        <w:t xml:space="preserve">needs related to the current and ongoing assessment work for the 2022 CHNA. Through primary data collection such as key informant interviews, focus groups, community wide surveying, and data analysis, the participating community groups and residents identified the key concerns to be outlined in the 2022 Community Health Needs Assessment. </w:t>
      </w:r>
    </w:p>
    <w:p w14:paraId="35EC8293" w14:textId="77777777" w:rsidR="00D92FD6" w:rsidRPr="00D92FD6" w:rsidRDefault="00D92FD6" w:rsidP="00D92FD6">
      <w:pPr>
        <w:pStyle w:val="BodyText"/>
        <w:rPr>
          <w:sz w:val="24"/>
          <w:szCs w:val="24"/>
        </w:rPr>
      </w:pPr>
    </w:p>
    <w:p w14:paraId="4D59FF38" w14:textId="77777777" w:rsidR="00D92FD6" w:rsidRPr="00D92FD6" w:rsidRDefault="00D92FD6" w:rsidP="00D92FD6">
      <w:pPr>
        <w:pStyle w:val="BodyText"/>
        <w:rPr>
          <w:sz w:val="24"/>
          <w:szCs w:val="24"/>
        </w:rPr>
      </w:pPr>
      <w:r w:rsidRPr="00D92FD6">
        <w:rPr>
          <w:b/>
          <w:bCs/>
          <w:sz w:val="24"/>
          <w:szCs w:val="24"/>
        </w:rPr>
        <w:t>Stakeholder Assessments</w:t>
      </w:r>
      <w:r w:rsidRPr="00D92FD6">
        <w:rPr>
          <w:sz w:val="24"/>
          <w:szCs w:val="24"/>
        </w:rPr>
        <w:t xml:space="preserve"> provided information on the individuals’ engagement levels (e.g. their personal participation and role) and their analysis of how the Hospital engaged the community in community health improvement planning processes. The information provided in these forms were largely consistent with the self-assessment conducted by the Hospital.</w:t>
      </w:r>
    </w:p>
    <w:p w14:paraId="10A0DB91" w14:textId="77777777" w:rsidR="00D92FD6" w:rsidRPr="00D92FD6" w:rsidRDefault="00D92FD6" w:rsidP="00D92FD6">
      <w:pPr>
        <w:pStyle w:val="BodyText"/>
        <w:rPr>
          <w:sz w:val="24"/>
          <w:szCs w:val="24"/>
        </w:rPr>
      </w:pPr>
    </w:p>
    <w:p w14:paraId="06140373" w14:textId="77777777" w:rsidR="00D92FD6" w:rsidRPr="00D92FD6" w:rsidRDefault="00D92FD6" w:rsidP="00D92FD6">
      <w:pPr>
        <w:pStyle w:val="BodyText"/>
        <w:rPr>
          <w:sz w:val="24"/>
          <w:szCs w:val="24"/>
        </w:rPr>
      </w:pPr>
      <w:r w:rsidRPr="00D92FD6">
        <w:rPr>
          <w:b/>
          <w:bCs/>
          <w:sz w:val="24"/>
          <w:szCs w:val="24"/>
        </w:rPr>
        <w:t>The CHI Narrative</w:t>
      </w:r>
      <w:r w:rsidRPr="00D92FD6">
        <w:rPr>
          <w:sz w:val="24"/>
          <w:szCs w:val="24"/>
        </w:rPr>
        <w:t xml:space="preserve"> provided background and overview information for the CHI processes and outlines duties for the advisory and allocation committees, and also the planned breakdown, use and timing of funding for evaluation and administrative activities.</w:t>
      </w:r>
    </w:p>
    <w:p w14:paraId="48D507FA" w14:textId="77777777" w:rsidR="00D92FD6" w:rsidRPr="00D92FD6" w:rsidRDefault="00D92FD6" w:rsidP="00D92FD6">
      <w:pPr>
        <w:pStyle w:val="BodyText"/>
        <w:rPr>
          <w:sz w:val="24"/>
          <w:szCs w:val="24"/>
        </w:rPr>
      </w:pPr>
    </w:p>
    <w:p w14:paraId="2F9FDA50" w14:textId="261A1FFA" w:rsidR="00D92FD6" w:rsidRPr="00D92FD6" w:rsidRDefault="00D92FD6" w:rsidP="00D92FD6">
      <w:pPr>
        <w:pStyle w:val="BodyText"/>
        <w:rPr>
          <w:sz w:val="24"/>
          <w:szCs w:val="24"/>
        </w:rPr>
      </w:pPr>
      <w:r w:rsidRPr="00D92FD6">
        <w:rPr>
          <w:sz w:val="24"/>
          <w:szCs w:val="24"/>
        </w:rPr>
        <w:t>The timeline, RFP processes, and use of evaluation and administrative funds are all appropriate and in line with CHI planning guidelines. In order to select strategies that meet Health Priority Guideline principles, focus will need to be on the priority areas in the final assessment that allow for implementation at the root cause level. These are most likely in the areas of Social Determinants of Health and Workforce. The Hospital will work with its CAHAC to select priorities and approve implementation strategies, and may want to consider enhancing impact through fewer, larger investments given the small CHI total. DPH staff have determined that if the Holder agrees to address community conditions and root causes while engaging in ongoing work with the Community Affairs and Health Access Committee, CHI investment will align appropriately with the Health Priorities Guideline. The Holder will also have additional touchpoints with DPH staff to share lessons learned to ensure sound processes for planning and implementation work moving forward.</w:t>
      </w:r>
    </w:p>
    <w:p w14:paraId="2286F665" w14:textId="77777777" w:rsidR="00D92FD6" w:rsidRPr="00D92FD6" w:rsidRDefault="00D92FD6" w:rsidP="00D92FD6">
      <w:pPr>
        <w:pStyle w:val="BodyText"/>
        <w:rPr>
          <w:sz w:val="24"/>
          <w:szCs w:val="24"/>
        </w:rPr>
      </w:pPr>
    </w:p>
    <w:p w14:paraId="2EA75789" w14:textId="77777777" w:rsidR="00D92FD6" w:rsidRPr="00D92FD6" w:rsidRDefault="00D92FD6" w:rsidP="00D92FD6">
      <w:pPr>
        <w:pStyle w:val="BodyText"/>
        <w:rPr>
          <w:sz w:val="24"/>
          <w:szCs w:val="24"/>
        </w:rPr>
      </w:pPr>
      <w:r w:rsidRPr="00D92FD6">
        <w:rPr>
          <w:sz w:val="24"/>
          <w:szCs w:val="24"/>
        </w:rPr>
        <w:t>The anticipated timeline for CHI activities includes a meeting of the Advisory Committee six weeks post approval, identifying the Health Priorities Strategies 3-4 months post approval, with funding disbursed 6-7 months thereafter.</w:t>
      </w:r>
    </w:p>
    <w:p w14:paraId="64D5EA40" w14:textId="77777777" w:rsidR="00D92FD6" w:rsidRPr="00D92FD6" w:rsidRDefault="00D92FD6" w:rsidP="00D92FD6">
      <w:pPr>
        <w:pStyle w:val="BodyText"/>
        <w:rPr>
          <w:sz w:val="24"/>
          <w:szCs w:val="24"/>
        </w:rPr>
      </w:pPr>
      <w:r w:rsidRPr="00D92FD6">
        <w:rPr>
          <w:sz w:val="24"/>
          <w:szCs w:val="24"/>
        </w:rPr>
        <w:t xml:space="preserve"> </w:t>
      </w:r>
    </w:p>
    <w:p w14:paraId="7D887E06" w14:textId="77777777" w:rsidR="00D92FD6" w:rsidRPr="00D92FD6" w:rsidRDefault="00D92FD6" w:rsidP="00D92FD6">
      <w:pPr>
        <w:pStyle w:val="BodyText"/>
        <w:rPr>
          <w:sz w:val="24"/>
          <w:szCs w:val="24"/>
        </w:rPr>
      </w:pPr>
      <w:r w:rsidRPr="00D92FD6">
        <w:rPr>
          <w:sz w:val="24"/>
          <w:szCs w:val="24"/>
        </w:rPr>
        <w:t>With the administrative funds, the Hospital’s early plans are to support facilitation of CAHAC Advisory and Allocation activities, develop, and disseminate lessons learned and communication materials.</w:t>
      </w:r>
    </w:p>
    <w:p w14:paraId="7857B825" w14:textId="77777777" w:rsidR="00D92FD6" w:rsidRPr="00D92FD6" w:rsidRDefault="00D92FD6" w:rsidP="00D92FD6">
      <w:pPr>
        <w:pStyle w:val="BodyText"/>
        <w:rPr>
          <w:b/>
          <w:sz w:val="24"/>
          <w:szCs w:val="24"/>
        </w:rPr>
      </w:pPr>
    </w:p>
    <w:p w14:paraId="35D1C13D" w14:textId="77777777" w:rsidR="00D92FD6" w:rsidRDefault="00D92FD6" w:rsidP="00D92FD6">
      <w:pPr>
        <w:pStyle w:val="BodyText"/>
        <w:rPr>
          <w:sz w:val="24"/>
          <w:szCs w:val="24"/>
        </w:rPr>
      </w:pPr>
      <w:r w:rsidRPr="00D92FD6">
        <w:rPr>
          <w:b/>
          <w:bCs/>
          <w:i/>
          <w:sz w:val="24"/>
          <w:szCs w:val="24"/>
        </w:rPr>
        <w:t>Analysis</w:t>
      </w:r>
    </w:p>
    <w:p w14:paraId="584048F8" w14:textId="1A4393A7" w:rsidR="00D92FD6" w:rsidRPr="00D92FD6" w:rsidRDefault="00D92FD6" w:rsidP="00D92FD6">
      <w:pPr>
        <w:pStyle w:val="BodyText"/>
        <w:rPr>
          <w:b/>
        </w:rPr>
      </w:pPr>
      <w:r w:rsidRPr="00D92FD6">
        <w:rPr>
          <w:sz w:val="24"/>
          <w:szCs w:val="24"/>
        </w:rPr>
        <w:t xml:space="preserve">As a result of information provided by the Holder and additional analysis, staff finds that with the conditions outlined below, and the ongoing communication on items outlined above, the Holder will have demonstrated that </w:t>
      </w:r>
      <w:r>
        <w:rPr>
          <w:sz w:val="24"/>
          <w:szCs w:val="24"/>
        </w:rPr>
        <w:t xml:space="preserve">it </w:t>
      </w:r>
      <w:r w:rsidRPr="00D92FD6">
        <w:rPr>
          <w:sz w:val="24"/>
          <w:szCs w:val="24"/>
        </w:rPr>
        <w:t>has</w:t>
      </w:r>
      <w:r>
        <w:rPr>
          <w:sz w:val="24"/>
          <w:szCs w:val="24"/>
        </w:rPr>
        <w:t xml:space="preserve"> addressed the Community Health Initiative Funding requirements.</w:t>
      </w:r>
    </w:p>
    <w:p w14:paraId="63D49247" w14:textId="35213194" w:rsidR="00467F30" w:rsidRDefault="00467F30" w:rsidP="00AE61D9">
      <w:pPr>
        <w:pStyle w:val="BodyText"/>
      </w:pPr>
    </w:p>
    <w:p w14:paraId="5577C95D" w14:textId="6F74E360" w:rsidR="0024383D" w:rsidRDefault="0024383D" w:rsidP="00AE61D9">
      <w:pPr>
        <w:pStyle w:val="BodyText"/>
      </w:pPr>
    </w:p>
    <w:p w14:paraId="7243DDF9" w14:textId="77777777" w:rsidR="0024383D" w:rsidRPr="0024383D" w:rsidRDefault="0024383D" w:rsidP="00AE61D9">
      <w:pPr>
        <w:pStyle w:val="BodyText"/>
        <w:rPr>
          <w:vertAlign w:val="superscript"/>
        </w:rPr>
      </w:pPr>
    </w:p>
    <w:p w14:paraId="3F8809BF" w14:textId="475B33C7" w:rsidR="00994318" w:rsidRPr="00C42605" w:rsidRDefault="00994318" w:rsidP="00C42605">
      <w:pPr>
        <w:pStyle w:val="BodyText"/>
        <w:rPr>
          <w:b/>
          <w:bCs/>
          <w:sz w:val="24"/>
          <w:szCs w:val="24"/>
        </w:rPr>
      </w:pPr>
      <w:r w:rsidRPr="00C42605">
        <w:rPr>
          <w:b/>
          <w:bCs/>
          <w:sz w:val="24"/>
          <w:szCs w:val="24"/>
        </w:rPr>
        <w:t>Staff Summary and Findings</w:t>
      </w:r>
    </w:p>
    <w:p w14:paraId="78B8C799" w14:textId="6DAE61F0" w:rsidR="00571F0A" w:rsidRPr="00571F0A" w:rsidRDefault="004B74D5" w:rsidP="000913E6">
      <w:pPr>
        <w:spacing w:before="199"/>
        <w:ind w:right="-10"/>
        <w:rPr>
          <w:sz w:val="24"/>
        </w:rPr>
      </w:pPr>
      <w:r w:rsidRPr="004B74D5">
        <w:rPr>
          <w:sz w:val="24"/>
        </w:rPr>
        <w:t xml:space="preserve">Staff reviewed the </w:t>
      </w:r>
      <w:r w:rsidR="000913E6">
        <w:rPr>
          <w:sz w:val="24"/>
        </w:rPr>
        <w:t xml:space="preserve">2016 </w:t>
      </w:r>
      <w:r w:rsidRPr="004B74D5">
        <w:rPr>
          <w:sz w:val="24"/>
        </w:rPr>
        <w:t xml:space="preserve">Staff </w:t>
      </w:r>
      <w:r w:rsidR="00571F0A">
        <w:rPr>
          <w:sz w:val="24"/>
        </w:rPr>
        <w:t xml:space="preserve">Report </w:t>
      </w:r>
      <w:r w:rsidR="000913E6">
        <w:rPr>
          <w:sz w:val="24"/>
        </w:rPr>
        <w:t xml:space="preserve">and Decision Letters for the two prior </w:t>
      </w:r>
      <w:r w:rsidR="003B2CA9">
        <w:rPr>
          <w:sz w:val="24"/>
        </w:rPr>
        <w:t>Amendment</w:t>
      </w:r>
      <w:r w:rsidR="00682DD7">
        <w:rPr>
          <w:sz w:val="24"/>
        </w:rPr>
        <w:t xml:space="preserve">s </w:t>
      </w:r>
      <w:r w:rsidRPr="004B74D5">
        <w:rPr>
          <w:sz w:val="24"/>
        </w:rPr>
        <w:t>to determine whether the request falls within the scope of that Approval.</w:t>
      </w:r>
      <w:r w:rsidR="00571F0A">
        <w:rPr>
          <w:sz w:val="24"/>
        </w:rPr>
        <w:t xml:space="preserve"> </w:t>
      </w:r>
    </w:p>
    <w:p w14:paraId="711A58B5" w14:textId="1AC9FF75" w:rsidR="00AE61D9" w:rsidRDefault="00AE61D9" w:rsidP="00FB7024">
      <w:pPr>
        <w:ind w:left="720" w:right="-10"/>
        <w:rPr>
          <w:rFonts w:asciiTheme="minorHAnsi" w:hAnsiTheme="minorHAnsi" w:cstheme="minorHAnsi"/>
          <w:b/>
          <w:bCs/>
          <w:sz w:val="24"/>
          <w:u w:val="single"/>
        </w:rPr>
      </w:pPr>
    </w:p>
    <w:p w14:paraId="2A817611" w14:textId="56702868" w:rsidR="00D96874" w:rsidRPr="000913E6" w:rsidRDefault="00D96874" w:rsidP="000913E6">
      <w:pPr>
        <w:pStyle w:val="BodyText"/>
        <w:rPr>
          <w:sz w:val="24"/>
          <w:szCs w:val="24"/>
        </w:rPr>
      </w:pPr>
      <w:r w:rsidRPr="00D96874">
        <w:rPr>
          <w:sz w:val="24"/>
          <w:szCs w:val="24"/>
        </w:rPr>
        <w:t xml:space="preserve">Based upon the information submitted, </w:t>
      </w:r>
      <w:r w:rsidR="000913E6">
        <w:rPr>
          <w:sz w:val="24"/>
          <w:szCs w:val="24"/>
        </w:rPr>
        <w:t xml:space="preserve">and information in the record, </w:t>
      </w:r>
      <w:r w:rsidRPr="00D96874">
        <w:rPr>
          <w:sz w:val="24"/>
          <w:szCs w:val="24"/>
        </w:rPr>
        <w:t>the Department can find that the “the proposed</w:t>
      </w:r>
      <w:r w:rsidR="000913E6">
        <w:rPr>
          <w:sz w:val="24"/>
          <w:szCs w:val="24"/>
        </w:rPr>
        <w:t xml:space="preserve"> </w:t>
      </w:r>
      <w:r w:rsidRPr="00D96874">
        <w:rPr>
          <w:sz w:val="24"/>
          <w:szCs w:val="24"/>
        </w:rPr>
        <w:t>change or modification falls within the scope of the Notice of Determination of Need as</w:t>
      </w:r>
      <w:r w:rsidR="000913E6">
        <w:rPr>
          <w:sz w:val="24"/>
          <w:szCs w:val="24"/>
        </w:rPr>
        <w:t xml:space="preserve"> </w:t>
      </w:r>
      <w:r w:rsidRPr="00D96874">
        <w:rPr>
          <w:sz w:val="24"/>
          <w:szCs w:val="24"/>
        </w:rPr>
        <w:t>previously approved by the Department, and … is reasonable”105 C.M.R. 100.635(A)(3), which</w:t>
      </w:r>
      <w:r w:rsidRPr="000913E6">
        <w:rPr>
          <w:sz w:val="24"/>
          <w:szCs w:val="24"/>
        </w:rPr>
        <w:t xml:space="preserve"> </w:t>
      </w:r>
      <w:r w:rsidRPr="00D96874">
        <w:rPr>
          <w:sz w:val="24"/>
          <w:szCs w:val="24"/>
        </w:rPr>
        <w:t xml:space="preserve">are the requirements for approval of an Amendment. </w:t>
      </w:r>
    </w:p>
    <w:p w14:paraId="547A2F41" w14:textId="77777777" w:rsidR="00D92FD6" w:rsidRDefault="00D92FD6" w:rsidP="001D1C01">
      <w:pPr>
        <w:pStyle w:val="BodyText"/>
        <w:rPr>
          <w:b/>
          <w:bCs/>
          <w:sz w:val="24"/>
          <w:szCs w:val="24"/>
        </w:rPr>
      </w:pPr>
    </w:p>
    <w:p w14:paraId="12541D4B" w14:textId="469ACC0D" w:rsidR="00DA0E9C" w:rsidRDefault="00D92FD6" w:rsidP="001D1C01">
      <w:pPr>
        <w:pStyle w:val="BodyText"/>
        <w:rPr>
          <w:b/>
          <w:bCs/>
          <w:sz w:val="24"/>
          <w:szCs w:val="24"/>
        </w:rPr>
      </w:pPr>
      <w:r>
        <w:rPr>
          <w:b/>
          <w:bCs/>
          <w:sz w:val="24"/>
          <w:szCs w:val="24"/>
        </w:rPr>
        <w:t>C</w:t>
      </w:r>
      <w:r w:rsidR="00DA0E9C" w:rsidRPr="001D1C01">
        <w:rPr>
          <w:b/>
          <w:bCs/>
          <w:sz w:val="24"/>
          <w:szCs w:val="24"/>
        </w:rPr>
        <w:t>onditions to the DoN</w:t>
      </w:r>
    </w:p>
    <w:p w14:paraId="3B92D861" w14:textId="0B83C9EC" w:rsidR="00CA69DE" w:rsidRDefault="00CA69DE" w:rsidP="001D1C01">
      <w:pPr>
        <w:pStyle w:val="BodyText"/>
        <w:rPr>
          <w:b/>
          <w:bCs/>
          <w:sz w:val="24"/>
          <w:szCs w:val="24"/>
        </w:rPr>
      </w:pPr>
    </w:p>
    <w:p w14:paraId="42278660" w14:textId="77777777" w:rsidR="00CA69DE" w:rsidRPr="00CA69DE" w:rsidRDefault="00CA69DE" w:rsidP="00CA69DE">
      <w:pPr>
        <w:widowControl/>
        <w:numPr>
          <w:ilvl w:val="0"/>
          <w:numId w:val="14"/>
        </w:numPr>
        <w:autoSpaceDE/>
        <w:autoSpaceDN/>
        <w:spacing w:after="200"/>
        <w:ind w:left="1080" w:right="540"/>
        <w:contextualSpacing/>
        <w:rPr>
          <w:sz w:val="24"/>
          <w:szCs w:val="24"/>
          <w:lang w:bidi="ar-SA"/>
        </w:rPr>
      </w:pPr>
      <w:r w:rsidRPr="00CA69DE">
        <w:rPr>
          <w:sz w:val="24"/>
          <w:szCs w:val="24"/>
          <w:lang w:bidi="ar-SA"/>
        </w:rPr>
        <w:t>Of the total required CHI contribution of $105,986.00</w:t>
      </w:r>
    </w:p>
    <w:p w14:paraId="015AD969" w14:textId="77777777" w:rsidR="00CA69DE" w:rsidRPr="00CA69DE" w:rsidRDefault="00CA69DE" w:rsidP="00CA69DE">
      <w:pPr>
        <w:widowControl/>
        <w:numPr>
          <w:ilvl w:val="1"/>
          <w:numId w:val="14"/>
        </w:numPr>
        <w:autoSpaceDE/>
        <w:autoSpaceDN/>
        <w:spacing w:after="200"/>
        <w:ind w:left="1440" w:right="540"/>
        <w:contextualSpacing/>
        <w:rPr>
          <w:sz w:val="24"/>
          <w:szCs w:val="24"/>
          <w:lang w:bidi="ar-SA"/>
        </w:rPr>
      </w:pPr>
      <w:r w:rsidRPr="00CA69DE">
        <w:rPr>
          <w:sz w:val="24"/>
          <w:szCs w:val="24"/>
          <w:lang w:bidi="ar-SA"/>
        </w:rPr>
        <w:t xml:space="preserve">$10,174.66 will be directed to the CHI Statewide Initiative </w:t>
      </w:r>
    </w:p>
    <w:p w14:paraId="15533E08" w14:textId="77777777" w:rsidR="00CA69DE" w:rsidRPr="00CA69DE" w:rsidRDefault="00CA69DE" w:rsidP="00CA69DE">
      <w:pPr>
        <w:widowControl/>
        <w:numPr>
          <w:ilvl w:val="1"/>
          <w:numId w:val="14"/>
        </w:numPr>
        <w:autoSpaceDE/>
        <w:autoSpaceDN/>
        <w:spacing w:after="200"/>
        <w:ind w:left="1440" w:right="540"/>
        <w:contextualSpacing/>
        <w:rPr>
          <w:sz w:val="24"/>
          <w:szCs w:val="24"/>
          <w:lang w:bidi="ar-SA"/>
        </w:rPr>
      </w:pPr>
      <w:r w:rsidRPr="00CA69DE">
        <w:rPr>
          <w:sz w:val="24"/>
          <w:szCs w:val="24"/>
          <w:lang w:bidi="ar-SA"/>
        </w:rPr>
        <w:t xml:space="preserve">$91,571.90 will be dedicated to local approaches to the DoN Health Priorities </w:t>
      </w:r>
    </w:p>
    <w:p w14:paraId="357F64D1" w14:textId="77777777" w:rsidR="00CA69DE" w:rsidRPr="00CA69DE" w:rsidRDefault="00CA69DE" w:rsidP="00CA69DE">
      <w:pPr>
        <w:widowControl/>
        <w:numPr>
          <w:ilvl w:val="1"/>
          <w:numId w:val="14"/>
        </w:numPr>
        <w:autoSpaceDE/>
        <w:autoSpaceDN/>
        <w:spacing w:after="200"/>
        <w:ind w:left="1440" w:right="540"/>
        <w:contextualSpacing/>
        <w:rPr>
          <w:sz w:val="24"/>
          <w:szCs w:val="24"/>
          <w:lang w:bidi="ar-SA"/>
        </w:rPr>
      </w:pPr>
      <w:r w:rsidRPr="00CA69DE">
        <w:rPr>
          <w:sz w:val="24"/>
          <w:szCs w:val="24"/>
          <w:lang w:bidi="ar-SA"/>
        </w:rPr>
        <w:t>$4,239.44 will be designated as the administrative fee.</w:t>
      </w:r>
    </w:p>
    <w:p w14:paraId="734B75D6" w14:textId="77777777" w:rsidR="00CA69DE" w:rsidRPr="00CA69DE" w:rsidRDefault="00CA69DE" w:rsidP="00CA69DE">
      <w:pPr>
        <w:widowControl/>
        <w:numPr>
          <w:ilvl w:val="0"/>
          <w:numId w:val="14"/>
        </w:numPr>
        <w:autoSpaceDE/>
        <w:autoSpaceDN/>
        <w:spacing w:after="200"/>
        <w:ind w:left="1080" w:right="540"/>
        <w:contextualSpacing/>
        <w:rPr>
          <w:sz w:val="24"/>
          <w:szCs w:val="24"/>
          <w:lang w:bidi="ar-SA"/>
        </w:rPr>
      </w:pPr>
      <w:r w:rsidRPr="00CA69DE">
        <w:rPr>
          <w:sz w:val="24"/>
          <w:szCs w:val="24"/>
          <w:lang w:bidi="ar-SA"/>
        </w:rPr>
        <w:t xml:space="preserve">To comply with the Holder’s obligation to contribute to the Statewide CHI Initiative, the Holder must submit a check for $10,174.66 to Health Resources in Action (the fiscal agent for the CHI Statewide Initiative). </w:t>
      </w:r>
    </w:p>
    <w:p w14:paraId="30F4750D" w14:textId="77777777" w:rsidR="00CA69DE" w:rsidRPr="00CA69DE" w:rsidRDefault="00CA69DE" w:rsidP="00CA69DE">
      <w:pPr>
        <w:widowControl/>
        <w:numPr>
          <w:ilvl w:val="2"/>
          <w:numId w:val="14"/>
        </w:numPr>
        <w:autoSpaceDE/>
        <w:autoSpaceDN/>
        <w:spacing w:after="200"/>
        <w:ind w:left="2160" w:right="540"/>
        <w:contextualSpacing/>
        <w:rPr>
          <w:sz w:val="24"/>
          <w:szCs w:val="24"/>
          <w:lang w:bidi="ar-SA"/>
        </w:rPr>
      </w:pPr>
      <w:r w:rsidRPr="00CA69DE">
        <w:rPr>
          <w:sz w:val="24"/>
          <w:szCs w:val="24"/>
          <w:lang w:bidi="ar-SA"/>
        </w:rPr>
        <w:t xml:space="preserve">The Holder must submit the funds to HRiA within 30 days from the date of the Notice of Approval. </w:t>
      </w:r>
    </w:p>
    <w:p w14:paraId="2D3B3330" w14:textId="77777777" w:rsidR="00CA69DE" w:rsidRPr="00CA69DE" w:rsidRDefault="00CA69DE" w:rsidP="00CA69DE">
      <w:pPr>
        <w:widowControl/>
        <w:numPr>
          <w:ilvl w:val="2"/>
          <w:numId w:val="14"/>
        </w:numPr>
        <w:autoSpaceDE/>
        <w:autoSpaceDN/>
        <w:spacing w:after="200"/>
        <w:ind w:left="2160" w:right="540"/>
        <w:contextualSpacing/>
        <w:rPr>
          <w:sz w:val="24"/>
          <w:szCs w:val="24"/>
          <w:lang w:bidi="ar-SA"/>
        </w:rPr>
      </w:pPr>
      <w:r w:rsidRPr="00CA69DE">
        <w:rPr>
          <w:sz w:val="24"/>
          <w:szCs w:val="24"/>
          <w:lang w:bidi="ar-SA"/>
        </w:rPr>
        <w:t>The Holder must promptly notify DPH (CHI contact staff) when the payment has been made.</w:t>
      </w:r>
    </w:p>
    <w:p w14:paraId="38140F29" w14:textId="30A77C4A" w:rsidR="002C1F4A" w:rsidRDefault="00DA0E9C" w:rsidP="00CA69DE">
      <w:pPr>
        <w:spacing w:before="240"/>
        <w:ind w:left="2160" w:right="-10"/>
        <w:rPr>
          <w:rFonts w:asciiTheme="minorHAnsi" w:hAnsiTheme="minorHAnsi" w:cstheme="minorHAnsi"/>
          <w:bCs/>
          <w:sz w:val="24"/>
        </w:rPr>
      </w:pPr>
      <w:r w:rsidRPr="00DA0E9C">
        <w:rPr>
          <w:rFonts w:asciiTheme="minorHAnsi" w:hAnsiTheme="minorHAnsi" w:cstheme="minorHAnsi"/>
          <w:bCs/>
          <w:sz w:val="24"/>
        </w:rPr>
        <w:t>Payment should be sent to:</w:t>
      </w:r>
      <w:r w:rsidRPr="00DA0E9C">
        <w:rPr>
          <w:rFonts w:asciiTheme="minorHAnsi" w:hAnsiTheme="minorHAnsi" w:cstheme="minorHAnsi"/>
          <w:bCs/>
          <w:sz w:val="24"/>
        </w:rPr>
        <w:br/>
        <w:t>Health Resources in Action, Inc., (HRiA)</w:t>
      </w:r>
      <w:r w:rsidRPr="00DA0E9C">
        <w:rPr>
          <w:rFonts w:asciiTheme="minorHAnsi" w:hAnsiTheme="minorHAnsi" w:cstheme="minorHAnsi"/>
          <w:bCs/>
          <w:sz w:val="24"/>
        </w:rPr>
        <w:br/>
        <w:t>2 Boylston Street, 4th Floor</w:t>
      </w:r>
      <w:r w:rsidRPr="00DA0E9C">
        <w:rPr>
          <w:rFonts w:asciiTheme="minorHAnsi" w:hAnsiTheme="minorHAnsi" w:cstheme="minorHAnsi"/>
          <w:bCs/>
          <w:sz w:val="24"/>
        </w:rPr>
        <w:br/>
        <w:t>Boston, MA 02116</w:t>
      </w:r>
      <w:r w:rsidRPr="00DA0E9C">
        <w:rPr>
          <w:rFonts w:asciiTheme="minorHAnsi" w:hAnsiTheme="minorHAnsi" w:cstheme="minorHAnsi"/>
          <w:bCs/>
          <w:sz w:val="24"/>
        </w:rPr>
        <w:br/>
        <w:t>Attn: Ms. Bora Toro</w:t>
      </w:r>
    </w:p>
    <w:p w14:paraId="2457ECD7" w14:textId="5C25B24B" w:rsidR="0024383D" w:rsidRDefault="0024383D" w:rsidP="00CA69DE">
      <w:pPr>
        <w:spacing w:before="240"/>
        <w:ind w:left="2160" w:right="-10"/>
        <w:rPr>
          <w:rFonts w:asciiTheme="minorHAnsi" w:hAnsiTheme="minorHAnsi" w:cstheme="minorHAnsi"/>
          <w:bCs/>
          <w:sz w:val="24"/>
        </w:rPr>
      </w:pPr>
    </w:p>
    <w:p w14:paraId="2D35DE4F" w14:textId="069E483B" w:rsidR="0024383D" w:rsidRDefault="0024383D" w:rsidP="00CA69DE">
      <w:pPr>
        <w:spacing w:before="240"/>
        <w:ind w:left="2160" w:right="-10"/>
        <w:rPr>
          <w:rFonts w:asciiTheme="minorHAnsi" w:hAnsiTheme="minorHAnsi" w:cstheme="minorHAnsi"/>
          <w:bCs/>
          <w:sz w:val="24"/>
        </w:rPr>
      </w:pPr>
    </w:p>
    <w:p w14:paraId="0145B683" w14:textId="6A77601B" w:rsidR="0024383D" w:rsidRDefault="0024383D" w:rsidP="00CA69DE">
      <w:pPr>
        <w:spacing w:before="240"/>
        <w:ind w:left="2160" w:right="-10"/>
        <w:rPr>
          <w:rFonts w:asciiTheme="minorHAnsi" w:hAnsiTheme="minorHAnsi" w:cstheme="minorHAnsi"/>
          <w:bCs/>
          <w:sz w:val="24"/>
        </w:rPr>
      </w:pPr>
    </w:p>
    <w:p w14:paraId="00AEE593" w14:textId="77777777" w:rsidR="0024383D" w:rsidRPr="00080949" w:rsidRDefault="0024383D" w:rsidP="00CA69DE">
      <w:pPr>
        <w:spacing w:before="240"/>
        <w:ind w:left="2160" w:right="-10"/>
        <w:rPr>
          <w:rFonts w:asciiTheme="minorHAnsi" w:hAnsiTheme="minorHAnsi" w:cstheme="minorHAnsi"/>
          <w:bCs/>
          <w:sz w:val="24"/>
        </w:rPr>
      </w:pPr>
    </w:p>
    <w:sectPr w:rsidR="0024383D" w:rsidRPr="00080949" w:rsidSect="001D1C01">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0" w:footer="14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451E7" w14:textId="77777777" w:rsidR="00984E5D" w:rsidRDefault="00984E5D">
      <w:r>
        <w:separator/>
      </w:r>
    </w:p>
  </w:endnote>
  <w:endnote w:type="continuationSeparator" w:id="0">
    <w:p w14:paraId="61F51763" w14:textId="77777777" w:rsidR="00984E5D" w:rsidRDefault="00984E5D">
      <w:r>
        <w:continuationSeparator/>
      </w:r>
    </w:p>
  </w:endnote>
  <w:endnote w:id="1">
    <w:p w14:paraId="59083446" w14:textId="1AED317C" w:rsidR="00312BB5" w:rsidRDefault="00312BB5" w:rsidP="00A4470B">
      <w:pPr>
        <w:pStyle w:val="EndnoteText"/>
      </w:pPr>
      <w:r>
        <w:rPr>
          <w:rStyle w:val="EndnoteReference"/>
        </w:rPr>
        <w:endnoteRef/>
      </w:r>
      <w:r>
        <w:t xml:space="preserve"> </w:t>
      </w:r>
      <w:r w:rsidRPr="00A4470B">
        <w:t xml:space="preserve">Green LV. </w:t>
      </w:r>
      <w:hyperlink r:id="rId1" w:history="1">
        <w:r w:rsidRPr="00B539EF">
          <w:rPr>
            <w:rStyle w:val="Hyperlink"/>
            <w:color w:val="auto"/>
            <w:u w:val="none"/>
          </w:rPr>
          <w:t>How many hospital beds? INQUIRY</w:t>
        </w:r>
      </w:hyperlink>
      <w:r w:rsidRPr="00A4470B">
        <w:t>. J Health Care Organization, Provision, and Financing. 2002;39(4):400–12</w:t>
      </w:r>
      <w:r>
        <w:t xml:space="preserve">; </w:t>
      </w:r>
      <w:r w:rsidRPr="00A4470B">
        <w:t xml:space="preserve">“According to the National Audit Office, bed occupancy rates are deemed efficient if around 85%, while rates above this level might lead to periodic bed shortages and levels exceeding 90% may prompt regular bed crises.” </w:t>
      </w:r>
      <w:hyperlink r:id="rId2" w:history="1">
        <w:r w:rsidRPr="00A4470B">
          <w:rPr>
            <w:rStyle w:val="Hyperlink"/>
          </w:rPr>
          <w:t>https://link.springer.com/article/10.1007/s10198-022-01464-8</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7CEF2" w14:textId="77777777" w:rsidR="00D70499" w:rsidRDefault="00D70499">
    <w:pPr>
      <w:pStyle w:val="Footer"/>
    </w:pPr>
  </w:p>
  <w:p w14:paraId="2E6B4650" w14:textId="77777777" w:rsidR="00F60F03" w:rsidRDefault="00F60F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4183205"/>
      <w:docPartObj>
        <w:docPartGallery w:val="Page Numbers (Bottom of Page)"/>
        <w:docPartUnique/>
      </w:docPartObj>
    </w:sdtPr>
    <w:sdtEndPr>
      <w:rPr>
        <w:noProof/>
      </w:rPr>
    </w:sdtEndPr>
    <w:sdtContent>
      <w:p w14:paraId="5009C523" w14:textId="5466EEC0" w:rsidR="00727C41" w:rsidRDefault="00727C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9A7512" w14:textId="308A6E22" w:rsidR="00982286" w:rsidRDefault="00982286">
    <w:pPr>
      <w:pStyle w:val="BodyText"/>
      <w:spacing w:line="14" w:lineRule="auto"/>
      <w:rPr>
        <w:sz w:val="14"/>
      </w:rPr>
    </w:pPr>
  </w:p>
  <w:p w14:paraId="6F920819" w14:textId="77777777" w:rsidR="00F60F03" w:rsidRDefault="00F60F0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D69DF" w14:textId="77777777" w:rsidR="00D70499" w:rsidRDefault="00D704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FE60A" w14:textId="77777777" w:rsidR="00984E5D" w:rsidRDefault="00984E5D">
      <w:r>
        <w:separator/>
      </w:r>
    </w:p>
  </w:footnote>
  <w:footnote w:type="continuationSeparator" w:id="0">
    <w:p w14:paraId="6CE6222D" w14:textId="77777777" w:rsidR="00984E5D" w:rsidRDefault="00984E5D">
      <w:r>
        <w:continuationSeparator/>
      </w:r>
    </w:p>
  </w:footnote>
  <w:footnote w:id="1">
    <w:p w14:paraId="3ABE823F" w14:textId="6C743C77" w:rsidR="007A3E4E" w:rsidRDefault="007A3E4E" w:rsidP="007A3E4E">
      <w:pPr>
        <w:pStyle w:val="FootnoteText"/>
      </w:pPr>
      <w:r>
        <w:rPr>
          <w:rStyle w:val="FootnoteReference"/>
        </w:rPr>
        <w:footnoteRef/>
      </w:r>
      <w:r>
        <w:t xml:space="preserve"> </w:t>
      </w:r>
      <w:r w:rsidRPr="003B2CA9">
        <w:t>On October 1, 2021 NSMC-Salem Hospital received approval from Plan review for “renovations to public &amp; administrative areas will include new lobby and entrance” for an estimated capital expenditure of $13,203,000.</w:t>
      </w:r>
    </w:p>
  </w:footnote>
  <w:footnote w:id="2">
    <w:p w14:paraId="445892D4" w14:textId="00118884" w:rsidR="003B2CA9" w:rsidRDefault="003B2CA9">
      <w:pPr>
        <w:pStyle w:val="FootnoteText"/>
      </w:pPr>
      <w:r>
        <w:rPr>
          <w:rStyle w:val="FootnoteReference"/>
        </w:rPr>
        <w:footnoteRef/>
      </w:r>
      <w:r>
        <w:t xml:space="preserve"> At Spaulding Hospital North Shore</w:t>
      </w:r>
    </w:p>
  </w:footnote>
  <w:footnote w:id="3">
    <w:p w14:paraId="2726E566" w14:textId="3ED2B02C" w:rsidR="00960433" w:rsidRDefault="00960433">
      <w:pPr>
        <w:pStyle w:val="FootnoteText"/>
      </w:pPr>
      <w:r>
        <w:rPr>
          <w:rStyle w:val="FootnoteReference"/>
        </w:rPr>
        <w:footnoteRef/>
      </w:r>
      <w:r>
        <w:t xml:space="preserve"> </w:t>
      </w:r>
      <w:r w:rsidR="001E6426">
        <w:t xml:space="preserve">In FY 22, the Hospital went through DPH’s Plan Review process to convert four beds to an inpatient dialysis unit, and now </w:t>
      </w:r>
      <w:r w:rsidRPr="00960433">
        <w:t>has 199 licensed medical/surgical beds</w:t>
      </w:r>
      <w:r w:rsidR="001E6426">
        <w:t>.</w:t>
      </w:r>
      <w:r>
        <w:t xml:space="preserve"> </w:t>
      </w:r>
    </w:p>
  </w:footnote>
  <w:footnote w:id="4">
    <w:p w14:paraId="0B4D00FD" w14:textId="04AF92D7" w:rsidR="00C54924" w:rsidRDefault="00C54924">
      <w:pPr>
        <w:pStyle w:val="FootnoteText"/>
      </w:pPr>
      <w:r>
        <w:rPr>
          <w:rStyle w:val="FootnoteReference"/>
        </w:rPr>
        <w:footnoteRef/>
      </w:r>
      <w:r>
        <w:t xml:space="preserve"> DoN 6-3C46 Approved 2 new 24-bed units. Only one was implemented. The second </w:t>
      </w:r>
      <w:r w:rsidR="00E056AE">
        <w:t xml:space="preserve">unit </w:t>
      </w:r>
      <w:r>
        <w:t>was eliminated with the approval of the downsized project in 2017, and instead shell space was included.</w:t>
      </w:r>
    </w:p>
  </w:footnote>
  <w:footnote w:id="5">
    <w:p w14:paraId="5D14F584" w14:textId="38BC9868" w:rsidR="00AF29B7" w:rsidRDefault="00AF29B7">
      <w:pPr>
        <w:pStyle w:val="FootnoteText"/>
      </w:pPr>
      <w:r>
        <w:rPr>
          <w:rStyle w:val="FootnoteReference"/>
        </w:rPr>
        <w:footnoteRef/>
      </w:r>
      <w:r>
        <w:t xml:space="preserve"> There were </w:t>
      </w:r>
      <w:r w:rsidRPr="00AF29B7">
        <w:t>32,461 patient days from October-March</w:t>
      </w:r>
      <w:r>
        <w:t xml:space="preserve"> annualized for FY 22 it projects </w:t>
      </w:r>
      <w:r w:rsidRPr="00AF29B7">
        <w:t>64,922 patient days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C189C" w14:textId="6ABF2662" w:rsidR="00D70499" w:rsidRDefault="00D70499">
    <w:pPr>
      <w:pStyle w:val="Header"/>
    </w:pPr>
  </w:p>
  <w:p w14:paraId="655AEB7F" w14:textId="77777777" w:rsidR="00F60F03" w:rsidRDefault="00F60F0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82F83" w14:textId="42306A53" w:rsidR="00D70499" w:rsidRDefault="00D70499">
    <w:pPr>
      <w:pStyle w:val="Header"/>
    </w:pPr>
  </w:p>
  <w:p w14:paraId="12C13589" w14:textId="77777777" w:rsidR="00F60F03" w:rsidRDefault="00F60F0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11432" w14:textId="1F070107" w:rsidR="00D70499" w:rsidRDefault="00D704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17474"/>
    <w:multiLevelType w:val="hybridMultilevel"/>
    <w:tmpl w:val="A29CBF7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02FC21A8"/>
    <w:multiLevelType w:val="hybridMultilevel"/>
    <w:tmpl w:val="DF685DBC"/>
    <w:lvl w:ilvl="0" w:tplc="540006DE">
      <w:numFmt w:val="bullet"/>
      <w:lvlText w:val=""/>
      <w:lvlJc w:val="left"/>
      <w:pPr>
        <w:ind w:left="466" w:hanging="361"/>
      </w:pPr>
      <w:rPr>
        <w:rFonts w:ascii="Symbol" w:eastAsia="Symbol" w:hAnsi="Symbol" w:cs="Symbol" w:hint="default"/>
        <w:w w:val="99"/>
        <w:sz w:val="14"/>
        <w:szCs w:val="14"/>
        <w:lang w:val="en-US" w:eastAsia="en-US" w:bidi="en-US"/>
      </w:rPr>
    </w:lvl>
    <w:lvl w:ilvl="1" w:tplc="ECE46F64">
      <w:numFmt w:val="bullet"/>
      <w:lvlText w:val="•"/>
      <w:lvlJc w:val="left"/>
      <w:pPr>
        <w:ind w:left="559" w:hanging="361"/>
      </w:pPr>
      <w:rPr>
        <w:rFonts w:hint="default"/>
        <w:lang w:val="en-US" w:eastAsia="en-US" w:bidi="en-US"/>
      </w:rPr>
    </w:lvl>
    <w:lvl w:ilvl="2" w:tplc="EF08C0DA">
      <w:numFmt w:val="bullet"/>
      <w:lvlText w:val="•"/>
      <w:lvlJc w:val="left"/>
      <w:pPr>
        <w:ind w:left="658" w:hanging="361"/>
      </w:pPr>
      <w:rPr>
        <w:rFonts w:hint="default"/>
        <w:lang w:val="en-US" w:eastAsia="en-US" w:bidi="en-US"/>
      </w:rPr>
    </w:lvl>
    <w:lvl w:ilvl="3" w:tplc="E22C57AE">
      <w:numFmt w:val="bullet"/>
      <w:lvlText w:val="•"/>
      <w:lvlJc w:val="left"/>
      <w:pPr>
        <w:ind w:left="757" w:hanging="361"/>
      </w:pPr>
      <w:rPr>
        <w:rFonts w:hint="default"/>
        <w:lang w:val="en-US" w:eastAsia="en-US" w:bidi="en-US"/>
      </w:rPr>
    </w:lvl>
    <w:lvl w:ilvl="4" w:tplc="05DE67DC">
      <w:numFmt w:val="bullet"/>
      <w:lvlText w:val="•"/>
      <w:lvlJc w:val="left"/>
      <w:pPr>
        <w:ind w:left="856" w:hanging="361"/>
      </w:pPr>
      <w:rPr>
        <w:rFonts w:hint="default"/>
        <w:lang w:val="en-US" w:eastAsia="en-US" w:bidi="en-US"/>
      </w:rPr>
    </w:lvl>
    <w:lvl w:ilvl="5" w:tplc="FF18D65A">
      <w:numFmt w:val="bullet"/>
      <w:lvlText w:val="•"/>
      <w:lvlJc w:val="left"/>
      <w:pPr>
        <w:ind w:left="956" w:hanging="361"/>
      </w:pPr>
      <w:rPr>
        <w:rFonts w:hint="default"/>
        <w:lang w:val="en-US" w:eastAsia="en-US" w:bidi="en-US"/>
      </w:rPr>
    </w:lvl>
    <w:lvl w:ilvl="6" w:tplc="E8A6C2D8">
      <w:numFmt w:val="bullet"/>
      <w:lvlText w:val="•"/>
      <w:lvlJc w:val="left"/>
      <w:pPr>
        <w:ind w:left="1055" w:hanging="361"/>
      </w:pPr>
      <w:rPr>
        <w:rFonts w:hint="default"/>
        <w:lang w:val="en-US" w:eastAsia="en-US" w:bidi="en-US"/>
      </w:rPr>
    </w:lvl>
    <w:lvl w:ilvl="7" w:tplc="50821FFE">
      <w:numFmt w:val="bullet"/>
      <w:lvlText w:val="•"/>
      <w:lvlJc w:val="left"/>
      <w:pPr>
        <w:ind w:left="1154" w:hanging="361"/>
      </w:pPr>
      <w:rPr>
        <w:rFonts w:hint="default"/>
        <w:lang w:val="en-US" w:eastAsia="en-US" w:bidi="en-US"/>
      </w:rPr>
    </w:lvl>
    <w:lvl w:ilvl="8" w:tplc="DC705CA2">
      <w:numFmt w:val="bullet"/>
      <w:lvlText w:val="•"/>
      <w:lvlJc w:val="left"/>
      <w:pPr>
        <w:ind w:left="1253" w:hanging="361"/>
      </w:pPr>
      <w:rPr>
        <w:rFonts w:hint="default"/>
        <w:lang w:val="en-US" w:eastAsia="en-US" w:bidi="en-US"/>
      </w:rPr>
    </w:lvl>
  </w:abstractNum>
  <w:abstractNum w:abstractNumId="2" w15:restartNumberingAfterBreak="0">
    <w:nsid w:val="083E7442"/>
    <w:multiLevelType w:val="hybridMultilevel"/>
    <w:tmpl w:val="B76653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9B0F4D"/>
    <w:multiLevelType w:val="hybridMultilevel"/>
    <w:tmpl w:val="2508F410"/>
    <w:lvl w:ilvl="0" w:tplc="A04CEB5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C375ABE"/>
    <w:multiLevelType w:val="hybridMultilevel"/>
    <w:tmpl w:val="DC16B57E"/>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12E752F1"/>
    <w:multiLevelType w:val="hybridMultilevel"/>
    <w:tmpl w:val="4ABED0B0"/>
    <w:lvl w:ilvl="0" w:tplc="A0AC7EE0">
      <w:numFmt w:val="bullet"/>
      <w:lvlText w:val=""/>
      <w:lvlJc w:val="left"/>
      <w:pPr>
        <w:ind w:left="467" w:hanging="361"/>
      </w:pPr>
      <w:rPr>
        <w:rFonts w:ascii="Symbol" w:eastAsia="Symbol" w:hAnsi="Symbol" w:cs="Symbol" w:hint="default"/>
        <w:color w:val="0070C0"/>
        <w:w w:val="100"/>
        <w:sz w:val="16"/>
        <w:szCs w:val="16"/>
        <w:lang w:val="en-US" w:eastAsia="en-US" w:bidi="en-US"/>
      </w:rPr>
    </w:lvl>
    <w:lvl w:ilvl="1" w:tplc="C36CB17E">
      <w:numFmt w:val="bullet"/>
      <w:lvlText w:val="•"/>
      <w:lvlJc w:val="left"/>
      <w:pPr>
        <w:ind w:left="577" w:hanging="361"/>
      </w:pPr>
      <w:rPr>
        <w:rFonts w:hint="default"/>
        <w:lang w:val="en-US" w:eastAsia="en-US" w:bidi="en-US"/>
      </w:rPr>
    </w:lvl>
    <w:lvl w:ilvl="2" w:tplc="B0068100">
      <w:numFmt w:val="bullet"/>
      <w:lvlText w:val="•"/>
      <w:lvlJc w:val="left"/>
      <w:pPr>
        <w:ind w:left="694" w:hanging="361"/>
      </w:pPr>
      <w:rPr>
        <w:rFonts w:hint="default"/>
        <w:lang w:val="en-US" w:eastAsia="en-US" w:bidi="en-US"/>
      </w:rPr>
    </w:lvl>
    <w:lvl w:ilvl="3" w:tplc="7D98C414">
      <w:numFmt w:val="bullet"/>
      <w:lvlText w:val="•"/>
      <w:lvlJc w:val="left"/>
      <w:pPr>
        <w:ind w:left="811" w:hanging="361"/>
      </w:pPr>
      <w:rPr>
        <w:rFonts w:hint="default"/>
        <w:lang w:val="en-US" w:eastAsia="en-US" w:bidi="en-US"/>
      </w:rPr>
    </w:lvl>
    <w:lvl w:ilvl="4" w:tplc="B32074CC">
      <w:numFmt w:val="bullet"/>
      <w:lvlText w:val="•"/>
      <w:lvlJc w:val="left"/>
      <w:pPr>
        <w:ind w:left="928" w:hanging="361"/>
      </w:pPr>
      <w:rPr>
        <w:rFonts w:hint="default"/>
        <w:lang w:val="en-US" w:eastAsia="en-US" w:bidi="en-US"/>
      </w:rPr>
    </w:lvl>
    <w:lvl w:ilvl="5" w:tplc="50B46874">
      <w:numFmt w:val="bullet"/>
      <w:lvlText w:val="•"/>
      <w:lvlJc w:val="left"/>
      <w:pPr>
        <w:ind w:left="1046" w:hanging="361"/>
      </w:pPr>
      <w:rPr>
        <w:rFonts w:hint="default"/>
        <w:lang w:val="en-US" w:eastAsia="en-US" w:bidi="en-US"/>
      </w:rPr>
    </w:lvl>
    <w:lvl w:ilvl="6" w:tplc="BD58489C">
      <w:numFmt w:val="bullet"/>
      <w:lvlText w:val="•"/>
      <w:lvlJc w:val="left"/>
      <w:pPr>
        <w:ind w:left="1163" w:hanging="361"/>
      </w:pPr>
      <w:rPr>
        <w:rFonts w:hint="default"/>
        <w:lang w:val="en-US" w:eastAsia="en-US" w:bidi="en-US"/>
      </w:rPr>
    </w:lvl>
    <w:lvl w:ilvl="7" w:tplc="DC182420">
      <w:numFmt w:val="bullet"/>
      <w:lvlText w:val="•"/>
      <w:lvlJc w:val="left"/>
      <w:pPr>
        <w:ind w:left="1280" w:hanging="361"/>
      </w:pPr>
      <w:rPr>
        <w:rFonts w:hint="default"/>
        <w:lang w:val="en-US" w:eastAsia="en-US" w:bidi="en-US"/>
      </w:rPr>
    </w:lvl>
    <w:lvl w:ilvl="8" w:tplc="68D8B6EC">
      <w:numFmt w:val="bullet"/>
      <w:lvlText w:val="•"/>
      <w:lvlJc w:val="left"/>
      <w:pPr>
        <w:ind w:left="1397" w:hanging="361"/>
      </w:pPr>
      <w:rPr>
        <w:rFonts w:hint="default"/>
        <w:lang w:val="en-US" w:eastAsia="en-US" w:bidi="en-US"/>
      </w:rPr>
    </w:lvl>
  </w:abstractNum>
  <w:abstractNum w:abstractNumId="6" w15:restartNumberingAfterBreak="0">
    <w:nsid w:val="186807E9"/>
    <w:multiLevelType w:val="hybridMultilevel"/>
    <w:tmpl w:val="1168343E"/>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 w15:restartNumberingAfterBreak="0">
    <w:nsid w:val="18BD3CCA"/>
    <w:multiLevelType w:val="hybridMultilevel"/>
    <w:tmpl w:val="87625B08"/>
    <w:lvl w:ilvl="0" w:tplc="D96A571E">
      <w:start w:val="2"/>
      <w:numFmt w:val="decimal"/>
      <w:lvlText w:val="%1."/>
      <w:lvlJc w:val="left"/>
      <w:pPr>
        <w:ind w:left="800" w:hanging="221"/>
      </w:pPr>
      <w:rPr>
        <w:rFonts w:ascii="Calibri" w:eastAsia="Calibri" w:hAnsi="Calibri" w:cs="Calibri" w:hint="default"/>
        <w:b/>
        <w:bCs/>
        <w:w w:val="100"/>
        <w:sz w:val="22"/>
        <w:szCs w:val="22"/>
        <w:lang w:val="en-US" w:eastAsia="en-US" w:bidi="en-US"/>
      </w:rPr>
    </w:lvl>
    <w:lvl w:ilvl="1" w:tplc="95683872">
      <w:numFmt w:val="bullet"/>
      <w:lvlText w:val=""/>
      <w:lvlJc w:val="left"/>
      <w:pPr>
        <w:ind w:left="1300" w:hanging="361"/>
      </w:pPr>
      <w:rPr>
        <w:rFonts w:ascii="Symbol" w:eastAsia="Symbol" w:hAnsi="Symbol" w:cs="Symbol" w:hint="default"/>
        <w:w w:val="100"/>
        <w:sz w:val="22"/>
        <w:szCs w:val="22"/>
        <w:lang w:val="en-US" w:eastAsia="en-US" w:bidi="en-US"/>
      </w:rPr>
    </w:lvl>
    <w:lvl w:ilvl="2" w:tplc="FD5086E0">
      <w:numFmt w:val="bullet"/>
      <w:lvlText w:val="•"/>
      <w:lvlJc w:val="left"/>
      <w:pPr>
        <w:ind w:left="2284" w:hanging="361"/>
      </w:pPr>
      <w:rPr>
        <w:rFonts w:hint="default"/>
        <w:lang w:val="en-US" w:eastAsia="en-US" w:bidi="en-US"/>
      </w:rPr>
    </w:lvl>
    <w:lvl w:ilvl="3" w:tplc="DEBC684A">
      <w:numFmt w:val="bullet"/>
      <w:lvlText w:val="•"/>
      <w:lvlJc w:val="left"/>
      <w:pPr>
        <w:ind w:left="3268" w:hanging="361"/>
      </w:pPr>
      <w:rPr>
        <w:rFonts w:hint="default"/>
        <w:lang w:val="en-US" w:eastAsia="en-US" w:bidi="en-US"/>
      </w:rPr>
    </w:lvl>
    <w:lvl w:ilvl="4" w:tplc="449C8830">
      <w:numFmt w:val="bullet"/>
      <w:lvlText w:val="•"/>
      <w:lvlJc w:val="left"/>
      <w:pPr>
        <w:ind w:left="4253" w:hanging="361"/>
      </w:pPr>
      <w:rPr>
        <w:rFonts w:hint="default"/>
        <w:lang w:val="en-US" w:eastAsia="en-US" w:bidi="en-US"/>
      </w:rPr>
    </w:lvl>
    <w:lvl w:ilvl="5" w:tplc="FACAAABE">
      <w:numFmt w:val="bullet"/>
      <w:lvlText w:val="•"/>
      <w:lvlJc w:val="left"/>
      <w:pPr>
        <w:ind w:left="5237" w:hanging="361"/>
      </w:pPr>
      <w:rPr>
        <w:rFonts w:hint="default"/>
        <w:lang w:val="en-US" w:eastAsia="en-US" w:bidi="en-US"/>
      </w:rPr>
    </w:lvl>
    <w:lvl w:ilvl="6" w:tplc="C9B80A74">
      <w:numFmt w:val="bullet"/>
      <w:lvlText w:val="•"/>
      <w:lvlJc w:val="left"/>
      <w:pPr>
        <w:ind w:left="6222" w:hanging="361"/>
      </w:pPr>
      <w:rPr>
        <w:rFonts w:hint="default"/>
        <w:lang w:val="en-US" w:eastAsia="en-US" w:bidi="en-US"/>
      </w:rPr>
    </w:lvl>
    <w:lvl w:ilvl="7" w:tplc="8440206C">
      <w:numFmt w:val="bullet"/>
      <w:lvlText w:val="•"/>
      <w:lvlJc w:val="left"/>
      <w:pPr>
        <w:ind w:left="7206" w:hanging="361"/>
      </w:pPr>
      <w:rPr>
        <w:rFonts w:hint="default"/>
        <w:lang w:val="en-US" w:eastAsia="en-US" w:bidi="en-US"/>
      </w:rPr>
    </w:lvl>
    <w:lvl w:ilvl="8" w:tplc="21C4A282">
      <w:numFmt w:val="bullet"/>
      <w:lvlText w:val="•"/>
      <w:lvlJc w:val="left"/>
      <w:pPr>
        <w:ind w:left="8191" w:hanging="361"/>
      </w:pPr>
      <w:rPr>
        <w:rFonts w:hint="default"/>
        <w:lang w:val="en-US" w:eastAsia="en-US" w:bidi="en-US"/>
      </w:rPr>
    </w:lvl>
  </w:abstractNum>
  <w:abstractNum w:abstractNumId="8" w15:restartNumberingAfterBreak="0">
    <w:nsid w:val="1B960BD7"/>
    <w:multiLevelType w:val="hybridMultilevel"/>
    <w:tmpl w:val="D87460F2"/>
    <w:lvl w:ilvl="0" w:tplc="93E8938C">
      <w:numFmt w:val="bullet"/>
      <w:lvlText w:val=""/>
      <w:lvlJc w:val="left"/>
      <w:pPr>
        <w:ind w:left="467" w:hanging="361"/>
      </w:pPr>
      <w:rPr>
        <w:rFonts w:ascii="Symbol" w:eastAsia="Symbol" w:hAnsi="Symbol" w:cs="Symbol" w:hint="default"/>
        <w:color w:val="0070C0"/>
        <w:w w:val="100"/>
        <w:sz w:val="16"/>
        <w:szCs w:val="16"/>
        <w:lang w:val="en-US" w:eastAsia="en-US" w:bidi="en-US"/>
      </w:rPr>
    </w:lvl>
    <w:lvl w:ilvl="1" w:tplc="D9DC5A70">
      <w:numFmt w:val="bullet"/>
      <w:lvlText w:val="•"/>
      <w:lvlJc w:val="left"/>
      <w:pPr>
        <w:ind w:left="577" w:hanging="361"/>
      </w:pPr>
      <w:rPr>
        <w:rFonts w:hint="default"/>
        <w:lang w:val="en-US" w:eastAsia="en-US" w:bidi="en-US"/>
      </w:rPr>
    </w:lvl>
    <w:lvl w:ilvl="2" w:tplc="E0CCAE2C">
      <w:numFmt w:val="bullet"/>
      <w:lvlText w:val="•"/>
      <w:lvlJc w:val="left"/>
      <w:pPr>
        <w:ind w:left="694" w:hanging="361"/>
      </w:pPr>
      <w:rPr>
        <w:rFonts w:hint="default"/>
        <w:lang w:val="en-US" w:eastAsia="en-US" w:bidi="en-US"/>
      </w:rPr>
    </w:lvl>
    <w:lvl w:ilvl="3" w:tplc="45EA875A">
      <w:numFmt w:val="bullet"/>
      <w:lvlText w:val="•"/>
      <w:lvlJc w:val="left"/>
      <w:pPr>
        <w:ind w:left="811" w:hanging="361"/>
      </w:pPr>
      <w:rPr>
        <w:rFonts w:hint="default"/>
        <w:lang w:val="en-US" w:eastAsia="en-US" w:bidi="en-US"/>
      </w:rPr>
    </w:lvl>
    <w:lvl w:ilvl="4" w:tplc="229067B8">
      <w:numFmt w:val="bullet"/>
      <w:lvlText w:val="•"/>
      <w:lvlJc w:val="left"/>
      <w:pPr>
        <w:ind w:left="928" w:hanging="361"/>
      </w:pPr>
      <w:rPr>
        <w:rFonts w:hint="default"/>
        <w:lang w:val="en-US" w:eastAsia="en-US" w:bidi="en-US"/>
      </w:rPr>
    </w:lvl>
    <w:lvl w:ilvl="5" w:tplc="7DAEF5C6">
      <w:numFmt w:val="bullet"/>
      <w:lvlText w:val="•"/>
      <w:lvlJc w:val="left"/>
      <w:pPr>
        <w:ind w:left="1046" w:hanging="361"/>
      </w:pPr>
      <w:rPr>
        <w:rFonts w:hint="default"/>
        <w:lang w:val="en-US" w:eastAsia="en-US" w:bidi="en-US"/>
      </w:rPr>
    </w:lvl>
    <w:lvl w:ilvl="6" w:tplc="61B84C66">
      <w:numFmt w:val="bullet"/>
      <w:lvlText w:val="•"/>
      <w:lvlJc w:val="left"/>
      <w:pPr>
        <w:ind w:left="1163" w:hanging="361"/>
      </w:pPr>
      <w:rPr>
        <w:rFonts w:hint="default"/>
        <w:lang w:val="en-US" w:eastAsia="en-US" w:bidi="en-US"/>
      </w:rPr>
    </w:lvl>
    <w:lvl w:ilvl="7" w:tplc="44721ED6">
      <w:numFmt w:val="bullet"/>
      <w:lvlText w:val="•"/>
      <w:lvlJc w:val="left"/>
      <w:pPr>
        <w:ind w:left="1280" w:hanging="361"/>
      </w:pPr>
      <w:rPr>
        <w:rFonts w:hint="default"/>
        <w:lang w:val="en-US" w:eastAsia="en-US" w:bidi="en-US"/>
      </w:rPr>
    </w:lvl>
    <w:lvl w:ilvl="8" w:tplc="4C607AD8">
      <w:numFmt w:val="bullet"/>
      <w:lvlText w:val="•"/>
      <w:lvlJc w:val="left"/>
      <w:pPr>
        <w:ind w:left="1397" w:hanging="361"/>
      </w:pPr>
      <w:rPr>
        <w:rFonts w:hint="default"/>
        <w:lang w:val="en-US" w:eastAsia="en-US" w:bidi="en-US"/>
      </w:rPr>
    </w:lvl>
  </w:abstractNum>
  <w:abstractNum w:abstractNumId="9" w15:restartNumberingAfterBreak="0">
    <w:nsid w:val="1BD31456"/>
    <w:multiLevelType w:val="hybridMultilevel"/>
    <w:tmpl w:val="C05400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DD94D93"/>
    <w:multiLevelType w:val="hybridMultilevel"/>
    <w:tmpl w:val="71F8D68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EA40A2"/>
    <w:multiLevelType w:val="hybridMultilevel"/>
    <w:tmpl w:val="7BB43C5C"/>
    <w:lvl w:ilvl="0" w:tplc="0F045690">
      <w:numFmt w:val="bullet"/>
      <w:lvlText w:val=""/>
      <w:lvlJc w:val="left"/>
      <w:pPr>
        <w:ind w:left="466" w:hanging="361"/>
      </w:pPr>
      <w:rPr>
        <w:rFonts w:ascii="Symbol" w:eastAsia="Symbol" w:hAnsi="Symbol" w:cs="Symbol" w:hint="default"/>
        <w:w w:val="99"/>
        <w:sz w:val="14"/>
        <w:szCs w:val="14"/>
        <w:lang w:val="en-US" w:eastAsia="en-US" w:bidi="en-US"/>
      </w:rPr>
    </w:lvl>
    <w:lvl w:ilvl="1" w:tplc="4E8CAE2C">
      <w:numFmt w:val="bullet"/>
      <w:lvlText w:val="•"/>
      <w:lvlJc w:val="left"/>
      <w:pPr>
        <w:ind w:left="559" w:hanging="361"/>
      </w:pPr>
      <w:rPr>
        <w:rFonts w:hint="default"/>
        <w:lang w:val="en-US" w:eastAsia="en-US" w:bidi="en-US"/>
      </w:rPr>
    </w:lvl>
    <w:lvl w:ilvl="2" w:tplc="44F857EA">
      <w:numFmt w:val="bullet"/>
      <w:lvlText w:val="•"/>
      <w:lvlJc w:val="left"/>
      <w:pPr>
        <w:ind w:left="658" w:hanging="361"/>
      </w:pPr>
      <w:rPr>
        <w:rFonts w:hint="default"/>
        <w:lang w:val="en-US" w:eastAsia="en-US" w:bidi="en-US"/>
      </w:rPr>
    </w:lvl>
    <w:lvl w:ilvl="3" w:tplc="2146D800">
      <w:numFmt w:val="bullet"/>
      <w:lvlText w:val="•"/>
      <w:lvlJc w:val="left"/>
      <w:pPr>
        <w:ind w:left="757" w:hanging="361"/>
      </w:pPr>
      <w:rPr>
        <w:rFonts w:hint="default"/>
        <w:lang w:val="en-US" w:eastAsia="en-US" w:bidi="en-US"/>
      </w:rPr>
    </w:lvl>
    <w:lvl w:ilvl="4" w:tplc="F54616FE">
      <w:numFmt w:val="bullet"/>
      <w:lvlText w:val="•"/>
      <w:lvlJc w:val="left"/>
      <w:pPr>
        <w:ind w:left="856" w:hanging="361"/>
      </w:pPr>
      <w:rPr>
        <w:rFonts w:hint="default"/>
        <w:lang w:val="en-US" w:eastAsia="en-US" w:bidi="en-US"/>
      </w:rPr>
    </w:lvl>
    <w:lvl w:ilvl="5" w:tplc="54303B34">
      <w:numFmt w:val="bullet"/>
      <w:lvlText w:val="•"/>
      <w:lvlJc w:val="left"/>
      <w:pPr>
        <w:ind w:left="956" w:hanging="361"/>
      </w:pPr>
      <w:rPr>
        <w:rFonts w:hint="default"/>
        <w:lang w:val="en-US" w:eastAsia="en-US" w:bidi="en-US"/>
      </w:rPr>
    </w:lvl>
    <w:lvl w:ilvl="6" w:tplc="8F2852CA">
      <w:numFmt w:val="bullet"/>
      <w:lvlText w:val="•"/>
      <w:lvlJc w:val="left"/>
      <w:pPr>
        <w:ind w:left="1055" w:hanging="361"/>
      </w:pPr>
      <w:rPr>
        <w:rFonts w:hint="default"/>
        <w:lang w:val="en-US" w:eastAsia="en-US" w:bidi="en-US"/>
      </w:rPr>
    </w:lvl>
    <w:lvl w:ilvl="7" w:tplc="63EA838C">
      <w:numFmt w:val="bullet"/>
      <w:lvlText w:val="•"/>
      <w:lvlJc w:val="left"/>
      <w:pPr>
        <w:ind w:left="1154" w:hanging="361"/>
      </w:pPr>
      <w:rPr>
        <w:rFonts w:hint="default"/>
        <w:lang w:val="en-US" w:eastAsia="en-US" w:bidi="en-US"/>
      </w:rPr>
    </w:lvl>
    <w:lvl w:ilvl="8" w:tplc="054221BE">
      <w:numFmt w:val="bullet"/>
      <w:lvlText w:val="•"/>
      <w:lvlJc w:val="left"/>
      <w:pPr>
        <w:ind w:left="1253" w:hanging="361"/>
      </w:pPr>
      <w:rPr>
        <w:rFonts w:hint="default"/>
        <w:lang w:val="en-US" w:eastAsia="en-US" w:bidi="en-US"/>
      </w:rPr>
    </w:lvl>
  </w:abstractNum>
  <w:abstractNum w:abstractNumId="12" w15:restartNumberingAfterBreak="0">
    <w:nsid w:val="39082A45"/>
    <w:multiLevelType w:val="hybridMultilevel"/>
    <w:tmpl w:val="E2E87D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03626B"/>
    <w:multiLevelType w:val="hybridMultilevel"/>
    <w:tmpl w:val="281E932A"/>
    <w:lvl w:ilvl="0" w:tplc="0409000F">
      <w:start w:val="1"/>
      <w:numFmt w:val="decimal"/>
      <w:lvlText w:val="%1."/>
      <w:lvlJc w:val="left"/>
      <w:pPr>
        <w:ind w:left="1530" w:hanging="360"/>
      </w:pPr>
    </w:lvl>
    <w:lvl w:ilvl="1" w:tplc="04090001">
      <w:start w:val="1"/>
      <w:numFmt w:val="bullet"/>
      <w:lvlText w:val=""/>
      <w:lvlJc w:val="left"/>
      <w:pPr>
        <w:ind w:left="2250" w:hanging="360"/>
      </w:pPr>
      <w:rPr>
        <w:rFonts w:ascii="Symbol" w:hAnsi="Symbol" w:hint="default"/>
      </w:r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14" w15:restartNumberingAfterBreak="0">
    <w:nsid w:val="455E7497"/>
    <w:multiLevelType w:val="hybridMultilevel"/>
    <w:tmpl w:val="39BA2356"/>
    <w:lvl w:ilvl="0" w:tplc="E0941E24">
      <w:numFmt w:val="bullet"/>
      <w:lvlText w:val=""/>
      <w:lvlJc w:val="left"/>
      <w:pPr>
        <w:ind w:left="1300" w:hanging="360"/>
      </w:pPr>
      <w:rPr>
        <w:rFonts w:ascii="Symbol" w:eastAsia="Symbol" w:hAnsi="Symbol" w:cs="Symbol" w:hint="default"/>
        <w:w w:val="100"/>
        <w:sz w:val="24"/>
        <w:szCs w:val="24"/>
        <w:lang w:val="en-US" w:eastAsia="en-US" w:bidi="en-US"/>
      </w:rPr>
    </w:lvl>
    <w:lvl w:ilvl="1" w:tplc="C186CAB8">
      <w:numFmt w:val="bullet"/>
      <w:lvlText w:val="•"/>
      <w:lvlJc w:val="left"/>
      <w:pPr>
        <w:ind w:left="2186" w:hanging="360"/>
      </w:pPr>
      <w:rPr>
        <w:rFonts w:hint="default"/>
        <w:lang w:val="en-US" w:eastAsia="en-US" w:bidi="en-US"/>
      </w:rPr>
    </w:lvl>
    <w:lvl w:ilvl="2" w:tplc="A4E68D94">
      <w:numFmt w:val="bullet"/>
      <w:lvlText w:val="•"/>
      <w:lvlJc w:val="left"/>
      <w:pPr>
        <w:ind w:left="3072" w:hanging="360"/>
      </w:pPr>
      <w:rPr>
        <w:rFonts w:hint="default"/>
        <w:lang w:val="en-US" w:eastAsia="en-US" w:bidi="en-US"/>
      </w:rPr>
    </w:lvl>
    <w:lvl w:ilvl="3" w:tplc="05D0780E">
      <w:numFmt w:val="bullet"/>
      <w:lvlText w:val="•"/>
      <w:lvlJc w:val="left"/>
      <w:pPr>
        <w:ind w:left="3958" w:hanging="360"/>
      </w:pPr>
      <w:rPr>
        <w:rFonts w:hint="default"/>
        <w:lang w:val="en-US" w:eastAsia="en-US" w:bidi="en-US"/>
      </w:rPr>
    </w:lvl>
    <w:lvl w:ilvl="4" w:tplc="213EAED4">
      <w:numFmt w:val="bullet"/>
      <w:lvlText w:val="•"/>
      <w:lvlJc w:val="left"/>
      <w:pPr>
        <w:ind w:left="4844" w:hanging="360"/>
      </w:pPr>
      <w:rPr>
        <w:rFonts w:hint="default"/>
        <w:lang w:val="en-US" w:eastAsia="en-US" w:bidi="en-US"/>
      </w:rPr>
    </w:lvl>
    <w:lvl w:ilvl="5" w:tplc="A23E941E">
      <w:numFmt w:val="bullet"/>
      <w:lvlText w:val="•"/>
      <w:lvlJc w:val="left"/>
      <w:pPr>
        <w:ind w:left="5730" w:hanging="360"/>
      </w:pPr>
      <w:rPr>
        <w:rFonts w:hint="default"/>
        <w:lang w:val="en-US" w:eastAsia="en-US" w:bidi="en-US"/>
      </w:rPr>
    </w:lvl>
    <w:lvl w:ilvl="6" w:tplc="EE8CFCCC">
      <w:numFmt w:val="bullet"/>
      <w:lvlText w:val="•"/>
      <w:lvlJc w:val="left"/>
      <w:pPr>
        <w:ind w:left="6616" w:hanging="360"/>
      </w:pPr>
      <w:rPr>
        <w:rFonts w:hint="default"/>
        <w:lang w:val="en-US" w:eastAsia="en-US" w:bidi="en-US"/>
      </w:rPr>
    </w:lvl>
    <w:lvl w:ilvl="7" w:tplc="D9066D2A">
      <w:numFmt w:val="bullet"/>
      <w:lvlText w:val="•"/>
      <w:lvlJc w:val="left"/>
      <w:pPr>
        <w:ind w:left="7502" w:hanging="360"/>
      </w:pPr>
      <w:rPr>
        <w:rFonts w:hint="default"/>
        <w:lang w:val="en-US" w:eastAsia="en-US" w:bidi="en-US"/>
      </w:rPr>
    </w:lvl>
    <w:lvl w:ilvl="8" w:tplc="5FDCD2EC">
      <w:numFmt w:val="bullet"/>
      <w:lvlText w:val="•"/>
      <w:lvlJc w:val="left"/>
      <w:pPr>
        <w:ind w:left="8388" w:hanging="360"/>
      </w:pPr>
      <w:rPr>
        <w:rFonts w:hint="default"/>
        <w:lang w:val="en-US" w:eastAsia="en-US" w:bidi="en-US"/>
      </w:rPr>
    </w:lvl>
  </w:abstractNum>
  <w:abstractNum w:abstractNumId="15" w15:restartNumberingAfterBreak="0">
    <w:nsid w:val="4AD93BCB"/>
    <w:multiLevelType w:val="hybridMultilevel"/>
    <w:tmpl w:val="425ADF1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4F175DB0"/>
    <w:multiLevelType w:val="hybridMultilevel"/>
    <w:tmpl w:val="29AE4B0E"/>
    <w:lvl w:ilvl="0" w:tplc="0409000F">
      <w:start w:val="1"/>
      <w:numFmt w:val="decimal"/>
      <w:lvlText w:val="%1."/>
      <w:lvlJc w:val="left"/>
      <w:pPr>
        <w:ind w:left="1890" w:hanging="720"/>
      </w:pPr>
      <w:rPr>
        <w:rFonts w:hint="default"/>
      </w:rPr>
    </w:lvl>
    <w:lvl w:ilvl="1" w:tplc="B7C8F6A0">
      <w:start w:val="1"/>
      <w:numFmt w:val="lowerLetter"/>
      <w:lvlText w:val="%2."/>
      <w:lvlJc w:val="left"/>
      <w:pPr>
        <w:ind w:left="2340" w:hanging="360"/>
      </w:pPr>
      <w:rPr>
        <w:b w:val="0"/>
      </w:r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 w15:restartNumberingAfterBreak="0">
    <w:nsid w:val="58E47170"/>
    <w:multiLevelType w:val="hybridMultilevel"/>
    <w:tmpl w:val="2FC616BC"/>
    <w:lvl w:ilvl="0" w:tplc="8AFC788C">
      <w:numFmt w:val="bullet"/>
      <w:lvlText w:val=""/>
      <w:lvlJc w:val="left"/>
      <w:pPr>
        <w:ind w:left="467" w:hanging="361"/>
      </w:pPr>
      <w:rPr>
        <w:rFonts w:ascii="Symbol" w:eastAsia="Symbol" w:hAnsi="Symbol" w:cs="Symbol" w:hint="default"/>
        <w:color w:val="0070C0"/>
        <w:w w:val="100"/>
        <w:sz w:val="16"/>
        <w:szCs w:val="16"/>
        <w:lang w:val="en-US" w:eastAsia="en-US" w:bidi="en-US"/>
      </w:rPr>
    </w:lvl>
    <w:lvl w:ilvl="1" w:tplc="28AA7CE0">
      <w:numFmt w:val="bullet"/>
      <w:lvlText w:val="•"/>
      <w:lvlJc w:val="left"/>
      <w:pPr>
        <w:ind w:left="577" w:hanging="361"/>
      </w:pPr>
      <w:rPr>
        <w:rFonts w:hint="default"/>
        <w:lang w:val="en-US" w:eastAsia="en-US" w:bidi="en-US"/>
      </w:rPr>
    </w:lvl>
    <w:lvl w:ilvl="2" w:tplc="F9444114">
      <w:numFmt w:val="bullet"/>
      <w:lvlText w:val="•"/>
      <w:lvlJc w:val="left"/>
      <w:pPr>
        <w:ind w:left="694" w:hanging="361"/>
      </w:pPr>
      <w:rPr>
        <w:rFonts w:hint="default"/>
        <w:lang w:val="en-US" w:eastAsia="en-US" w:bidi="en-US"/>
      </w:rPr>
    </w:lvl>
    <w:lvl w:ilvl="3" w:tplc="EAEE6786">
      <w:numFmt w:val="bullet"/>
      <w:lvlText w:val="•"/>
      <w:lvlJc w:val="left"/>
      <w:pPr>
        <w:ind w:left="811" w:hanging="361"/>
      </w:pPr>
      <w:rPr>
        <w:rFonts w:hint="default"/>
        <w:lang w:val="en-US" w:eastAsia="en-US" w:bidi="en-US"/>
      </w:rPr>
    </w:lvl>
    <w:lvl w:ilvl="4" w:tplc="1CC63110">
      <w:numFmt w:val="bullet"/>
      <w:lvlText w:val="•"/>
      <w:lvlJc w:val="left"/>
      <w:pPr>
        <w:ind w:left="928" w:hanging="361"/>
      </w:pPr>
      <w:rPr>
        <w:rFonts w:hint="default"/>
        <w:lang w:val="en-US" w:eastAsia="en-US" w:bidi="en-US"/>
      </w:rPr>
    </w:lvl>
    <w:lvl w:ilvl="5" w:tplc="B7D0310C">
      <w:numFmt w:val="bullet"/>
      <w:lvlText w:val="•"/>
      <w:lvlJc w:val="left"/>
      <w:pPr>
        <w:ind w:left="1046" w:hanging="361"/>
      </w:pPr>
      <w:rPr>
        <w:rFonts w:hint="default"/>
        <w:lang w:val="en-US" w:eastAsia="en-US" w:bidi="en-US"/>
      </w:rPr>
    </w:lvl>
    <w:lvl w:ilvl="6" w:tplc="00669EBA">
      <w:numFmt w:val="bullet"/>
      <w:lvlText w:val="•"/>
      <w:lvlJc w:val="left"/>
      <w:pPr>
        <w:ind w:left="1163" w:hanging="361"/>
      </w:pPr>
      <w:rPr>
        <w:rFonts w:hint="default"/>
        <w:lang w:val="en-US" w:eastAsia="en-US" w:bidi="en-US"/>
      </w:rPr>
    </w:lvl>
    <w:lvl w:ilvl="7" w:tplc="B69401A6">
      <w:numFmt w:val="bullet"/>
      <w:lvlText w:val="•"/>
      <w:lvlJc w:val="left"/>
      <w:pPr>
        <w:ind w:left="1280" w:hanging="361"/>
      </w:pPr>
      <w:rPr>
        <w:rFonts w:hint="default"/>
        <w:lang w:val="en-US" w:eastAsia="en-US" w:bidi="en-US"/>
      </w:rPr>
    </w:lvl>
    <w:lvl w:ilvl="8" w:tplc="767612BA">
      <w:numFmt w:val="bullet"/>
      <w:lvlText w:val="•"/>
      <w:lvlJc w:val="left"/>
      <w:pPr>
        <w:ind w:left="1397" w:hanging="361"/>
      </w:pPr>
      <w:rPr>
        <w:rFonts w:hint="default"/>
        <w:lang w:val="en-US" w:eastAsia="en-US" w:bidi="en-US"/>
      </w:rPr>
    </w:lvl>
  </w:abstractNum>
  <w:abstractNum w:abstractNumId="18" w15:restartNumberingAfterBreak="0">
    <w:nsid w:val="5F9F1B03"/>
    <w:multiLevelType w:val="hybridMultilevel"/>
    <w:tmpl w:val="E11ED51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60C66519"/>
    <w:multiLevelType w:val="hybridMultilevel"/>
    <w:tmpl w:val="E7241682"/>
    <w:lvl w:ilvl="0" w:tplc="DD8002C0">
      <w:start w:val="1"/>
      <w:numFmt w:val="decimal"/>
      <w:lvlText w:val="%1."/>
      <w:lvlJc w:val="left"/>
      <w:pPr>
        <w:ind w:left="241" w:hanging="360"/>
      </w:pPr>
    </w:lvl>
    <w:lvl w:ilvl="1" w:tplc="04090019">
      <w:start w:val="1"/>
      <w:numFmt w:val="lowerLetter"/>
      <w:lvlText w:val="%2."/>
      <w:lvlJc w:val="left"/>
      <w:pPr>
        <w:ind w:left="961" w:hanging="360"/>
      </w:pPr>
    </w:lvl>
    <w:lvl w:ilvl="2" w:tplc="0409001B">
      <w:start w:val="1"/>
      <w:numFmt w:val="lowerRoman"/>
      <w:lvlText w:val="%3."/>
      <w:lvlJc w:val="right"/>
      <w:pPr>
        <w:ind w:left="1681" w:hanging="180"/>
      </w:pPr>
    </w:lvl>
    <w:lvl w:ilvl="3" w:tplc="0409000F">
      <w:start w:val="1"/>
      <w:numFmt w:val="decimal"/>
      <w:lvlText w:val="%4."/>
      <w:lvlJc w:val="left"/>
      <w:pPr>
        <w:ind w:left="2401" w:hanging="360"/>
      </w:pPr>
    </w:lvl>
    <w:lvl w:ilvl="4" w:tplc="04090019">
      <w:start w:val="1"/>
      <w:numFmt w:val="lowerLetter"/>
      <w:lvlText w:val="%5."/>
      <w:lvlJc w:val="left"/>
      <w:pPr>
        <w:ind w:left="3121" w:hanging="360"/>
      </w:pPr>
    </w:lvl>
    <w:lvl w:ilvl="5" w:tplc="0409001B">
      <w:start w:val="1"/>
      <w:numFmt w:val="lowerRoman"/>
      <w:lvlText w:val="%6."/>
      <w:lvlJc w:val="right"/>
      <w:pPr>
        <w:ind w:left="3841" w:hanging="180"/>
      </w:pPr>
    </w:lvl>
    <w:lvl w:ilvl="6" w:tplc="0409000F">
      <w:start w:val="1"/>
      <w:numFmt w:val="decimal"/>
      <w:lvlText w:val="%7."/>
      <w:lvlJc w:val="left"/>
      <w:pPr>
        <w:ind w:left="4561" w:hanging="360"/>
      </w:pPr>
    </w:lvl>
    <w:lvl w:ilvl="7" w:tplc="04090019">
      <w:start w:val="1"/>
      <w:numFmt w:val="lowerLetter"/>
      <w:lvlText w:val="%8."/>
      <w:lvlJc w:val="left"/>
      <w:pPr>
        <w:ind w:left="5281" w:hanging="360"/>
      </w:pPr>
    </w:lvl>
    <w:lvl w:ilvl="8" w:tplc="0409001B">
      <w:start w:val="1"/>
      <w:numFmt w:val="lowerRoman"/>
      <w:lvlText w:val="%9."/>
      <w:lvlJc w:val="right"/>
      <w:pPr>
        <w:ind w:left="6001" w:hanging="180"/>
      </w:pPr>
    </w:lvl>
  </w:abstractNum>
  <w:abstractNum w:abstractNumId="20" w15:restartNumberingAfterBreak="0">
    <w:nsid w:val="683D28FF"/>
    <w:multiLevelType w:val="hybridMultilevel"/>
    <w:tmpl w:val="09CAFCBA"/>
    <w:lvl w:ilvl="0" w:tplc="334EC87C">
      <w:numFmt w:val="bullet"/>
      <w:lvlText w:val=""/>
      <w:lvlJc w:val="left"/>
      <w:pPr>
        <w:ind w:left="467" w:hanging="361"/>
      </w:pPr>
      <w:rPr>
        <w:rFonts w:ascii="Symbol" w:eastAsia="Symbol" w:hAnsi="Symbol" w:cs="Symbol" w:hint="default"/>
        <w:color w:val="0070C0"/>
        <w:w w:val="100"/>
        <w:sz w:val="16"/>
        <w:szCs w:val="16"/>
        <w:lang w:val="en-US" w:eastAsia="en-US" w:bidi="en-US"/>
      </w:rPr>
    </w:lvl>
    <w:lvl w:ilvl="1" w:tplc="B914A6FE">
      <w:numFmt w:val="bullet"/>
      <w:lvlText w:val="•"/>
      <w:lvlJc w:val="left"/>
      <w:pPr>
        <w:ind w:left="577" w:hanging="361"/>
      </w:pPr>
      <w:rPr>
        <w:rFonts w:hint="default"/>
        <w:lang w:val="en-US" w:eastAsia="en-US" w:bidi="en-US"/>
      </w:rPr>
    </w:lvl>
    <w:lvl w:ilvl="2" w:tplc="E05000F0">
      <w:numFmt w:val="bullet"/>
      <w:lvlText w:val="•"/>
      <w:lvlJc w:val="left"/>
      <w:pPr>
        <w:ind w:left="694" w:hanging="361"/>
      </w:pPr>
      <w:rPr>
        <w:rFonts w:hint="default"/>
        <w:lang w:val="en-US" w:eastAsia="en-US" w:bidi="en-US"/>
      </w:rPr>
    </w:lvl>
    <w:lvl w:ilvl="3" w:tplc="47AC18DC">
      <w:numFmt w:val="bullet"/>
      <w:lvlText w:val="•"/>
      <w:lvlJc w:val="left"/>
      <w:pPr>
        <w:ind w:left="811" w:hanging="361"/>
      </w:pPr>
      <w:rPr>
        <w:rFonts w:hint="default"/>
        <w:lang w:val="en-US" w:eastAsia="en-US" w:bidi="en-US"/>
      </w:rPr>
    </w:lvl>
    <w:lvl w:ilvl="4" w:tplc="13EED880">
      <w:numFmt w:val="bullet"/>
      <w:lvlText w:val="•"/>
      <w:lvlJc w:val="left"/>
      <w:pPr>
        <w:ind w:left="928" w:hanging="361"/>
      </w:pPr>
      <w:rPr>
        <w:rFonts w:hint="default"/>
        <w:lang w:val="en-US" w:eastAsia="en-US" w:bidi="en-US"/>
      </w:rPr>
    </w:lvl>
    <w:lvl w:ilvl="5" w:tplc="1D7EAB0E">
      <w:numFmt w:val="bullet"/>
      <w:lvlText w:val="•"/>
      <w:lvlJc w:val="left"/>
      <w:pPr>
        <w:ind w:left="1046" w:hanging="361"/>
      </w:pPr>
      <w:rPr>
        <w:rFonts w:hint="default"/>
        <w:lang w:val="en-US" w:eastAsia="en-US" w:bidi="en-US"/>
      </w:rPr>
    </w:lvl>
    <w:lvl w:ilvl="6" w:tplc="C10201DC">
      <w:numFmt w:val="bullet"/>
      <w:lvlText w:val="•"/>
      <w:lvlJc w:val="left"/>
      <w:pPr>
        <w:ind w:left="1163" w:hanging="361"/>
      </w:pPr>
      <w:rPr>
        <w:rFonts w:hint="default"/>
        <w:lang w:val="en-US" w:eastAsia="en-US" w:bidi="en-US"/>
      </w:rPr>
    </w:lvl>
    <w:lvl w:ilvl="7" w:tplc="9EAEDFBE">
      <w:numFmt w:val="bullet"/>
      <w:lvlText w:val="•"/>
      <w:lvlJc w:val="left"/>
      <w:pPr>
        <w:ind w:left="1280" w:hanging="361"/>
      </w:pPr>
      <w:rPr>
        <w:rFonts w:hint="default"/>
        <w:lang w:val="en-US" w:eastAsia="en-US" w:bidi="en-US"/>
      </w:rPr>
    </w:lvl>
    <w:lvl w:ilvl="8" w:tplc="3BC20D3C">
      <w:numFmt w:val="bullet"/>
      <w:lvlText w:val="•"/>
      <w:lvlJc w:val="left"/>
      <w:pPr>
        <w:ind w:left="1397" w:hanging="361"/>
      </w:pPr>
      <w:rPr>
        <w:rFonts w:hint="default"/>
        <w:lang w:val="en-US" w:eastAsia="en-US" w:bidi="en-US"/>
      </w:rPr>
    </w:lvl>
  </w:abstractNum>
  <w:abstractNum w:abstractNumId="21" w15:restartNumberingAfterBreak="0">
    <w:nsid w:val="69A121CA"/>
    <w:multiLevelType w:val="hybridMultilevel"/>
    <w:tmpl w:val="3C3C1876"/>
    <w:lvl w:ilvl="0" w:tplc="8FBC9590">
      <w:numFmt w:val="bullet"/>
      <w:lvlText w:val="•"/>
      <w:lvlJc w:val="left"/>
      <w:pPr>
        <w:ind w:left="1440" w:hanging="540"/>
      </w:pPr>
      <w:rPr>
        <w:rFonts w:ascii="Calibri" w:eastAsia="Calibri" w:hAnsi="Calibri" w:cs="Calibr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6B1F5A3B"/>
    <w:multiLevelType w:val="hybridMultilevel"/>
    <w:tmpl w:val="A17A564E"/>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6D25707B"/>
    <w:multiLevelType w:val="hybridMultilevel"/>
    <w:tmpl w:val="7F9E4374"/>
    <w:lvl w:ilvl="0" w:tplc="24983C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EB73D70"/>
    <w:multiLevelType w:val="hybridMultilevel"/>
    <w:tmpl w:val="1E24C498"/>
    <w:lvl w:ilvl="0" w:tplc="18FCCF4C">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15:restartNumberingAfterBreak="0">
    <w:nsid w:val="7462363D"/>
    <w:multiLevelType w:val="hybridMultilevel"/>
    <w:tmpl w:val="EDBE277E"/>
    <w:lvl w:ilvl="0" w:tplc="883E31BE">
      <w:numFmt w:val="bullet"/>
      <w:lvlText w:val=""/>
      <w:lvlJc w:val="left"/>
      <w:pPr>
        <w:ind w:left="467" w:hanging="361"/>
      </w:pPr>
      <w:rPr>
        <w:rFonts w:ascii="Symbol" w:eastAsia="Symbol" w:hAnsi="Symbol" w:cs="Symbol" w:hint="default"/>
        <w:color w:val="0070C0"/>
        <w:w w:val="100"/>
        <w:sz w:val="16"/>
        <w:szCs w:val="16"/>
        <w:lang w:val="en-US" w:eastAsia="en-US" w:bidi="en-US"/>
      </w:rPr>
    </w:lvl>
    <w:lvl w:ilvl="1" w:tplc="BDC24B6C">
      <w:numFmt w:val="bullet"/>
      <w:lvlText w:val="•"/>
      <w:lvlJc w:val="left"/>
      <w:pPr>
        <w:ind w:left="577" w:hanging="361"/>
      </w:pPr>
      <w:rPr>
        <w:rFonts w:hint="default"/>
        <w:lang w:val="en-US" w:eastAsia="en-US" w:bidi="en-US"/>
      </w:rPr>
    </w:lvl>
    <w:lvl w:ilvl="2" w:tplc="049E9AAE">
      <w:numFmt w:val="bullet"/>
      <w:lvlText w:val="•"/>
      <w:lvlJc w:val="left"/>
      <w:pPr>
        <w:ind w:left="694" w:hanging="361"/>
      </w:pPr>
      <w:rPr>
        <w:rFonts w:hint="default"/>
        <w:lang w:val="en-US" w:eastAsia="en-US" w:bidi="en-US"/>
      </w:rPr>
    </w:lvl>
    <w:lvl w:ilvl="3" w:tplc="A96AEB1A">
      <w:numFmt w:val="bullet"/>
      <w:lvlText w:val="•"/>
      <w:lvlJc w:val="left"/>
      <w:pPr>
        <w:ind w:left="811" w:hanging="361"/>
      </w:pPr>
      <w:rPr>
        <w:rFonts w:hint="default"/>
        <w:lang w:val="en-US" w:eastAsia="en-US" w:bidi="en-US"/>
      </w:rPr>
    </w:lvl>
    <w:lvl w:ilvl="4" w:tplc="CA247018">
      <w:numFmt w:val="bullet"/>
      <w:lvlText w:val="•"/>
      <w:lvlJc w:val="left"/>
      <w:pPr>
        <w:ind w:left="928" w:hanging="361"/>
      </w:pPr>
      <w:rPr>
        <w:rFonts w:hint="default"/>
        <w:lang w:val="en-US" w:eastAsia="en-US" w:bidi="en-US"/>
      </w:rPr>
    </w:lvl>
    <w:lvl w:ilvl="5" w:tplc="B58642CC">
      <w:numFmt w:val="bullet"/>
      <w:lvlText w:val="•"/>
      <w:lvlJc w:val="left"/>
      <w:pPr>
        <w:ind w:left="1046" w:hanging="361"/>
      </w:pPr>
      <w:rPr>
        <w:rFonts w:hint="default"/>
        <w:lang w:val="en-US" w:eastAsia="en-US" w:bidi="en-US"/>
      </w:rPr>
    </w:lvl>
    <w:lvl w:ilvl="6" w:tplc="EEC6E9E2">
      <w:numFmt w:val="bullet"/>
      <w:lvlText w:val="•"/>
      <w:lvlJc w:val="left"/>
      <w:pPr>
        <w:ind w:left="1163" w:hanging="361"/>
      </w:pPr>
      <w:rPr>
        <w:rFonts w:hint="default"/>
        <w:lang w:val="en-US" w:eastAsia="en-US" w:bidi="en-US"/>
      </w:rPr>
    </w:lvl>
    <w:lvl w:ilvl="7" w:tplc="363620FE">
      <w:numFmt w:val="bullet"/>
      <w:lvlText w:val="•"/>
      <w:lvlJc w:val="left"/>
      <w:pPr>
        <w:ind w:left="1280" w:hanging="361"/>
      </w:pPr>
      <w:rPr>
        <w:rFonts w:hint="default"/>
        <w:lang w:val="en-US" w:eastAsia="en-US" w:bidi="en-US"/>
      </w:rPr>
    </w:lvl>
    <w:lvl w:ilvl="8" w:tplc="20F6C554">
      <w:numFmt w:val="bullet"/>
      <w:lvlText w:val="•"/>
      <w:lvlJc w:val="left"/>
      <w:pPr>
        <w:ind w:left="1397" w:hanging="361"/>
      </w:pPr>
      <w:rPr>
        <w:rFonts w:hint="default"/>
        <w:lang w:val="en-US" w:eastAsia="en-US" w:bidi="en-US"/>
      </w:rPr>
    </w:lvl>
  </w:abstractNum>
  <w:abstractNum w:abstractNumId="26" w15:restartNumberingAfterBreak="0">
    <w:nsid w:val="747278E0"/>
    <w:multiLevelType w:val="hybridMultilevel"/>
    <w:tmpl w:val="016AA75E"/>
    <w:lvl w:ilvl="0" w:tplc="52166F04">
      <w:numFmt w:val="bullet"/>
      <w:lvlText w:val=""/>
      <w:lvlJc w:val="left"/>
      <w:pPr>
        <w:ind w:left="465" w:hanging="361"/>
      </w:pPr>
      <w:rPr>
        <w:rFonts w:ascii="Symbol" w:eastAsia="Symbol" w:hAnsi="Symbol" w:cs="Symbol" w:hint="default"/>
        <w:w w:val="99"/>
        <w:sz w:val="14"/>
        <w:szCs w:val="14"/>
        <w:lang w:val="en-US" w:eastAsia="en-US" w:bidi="en-US"/>
      </w:rPr>
    </w:lvl>
    <w:lvl w:ilvl="1" w:tplc="76E6D008">
      <w:numFmt w:val="bullet"/>
      <w:lvlText w:val="•"/>
      <w:lvlJc w:val="left"/>
      <w:pPr>
        <w:ind w:left="553" w:hanging="361"/>
      </w:pPr>
      <w:rPr>
        <w:rFonts w:hint="default"/>
        <w:lang w:val="en-US" w:eastAsia="en-US" w:bidi="en-US"/>
      </w:rPr>
    </w:lvl>
    <w:lvl w:ilvl="2" w:tplc="7DAA5980">
      <w:numFmt w:val="bullet"/>
      <w:lvlText w:val="•"/>
      <w:lvlJc w:val="left"/>
      <w:pPr>
        <w:ind w:left="647" w:hanging="361"/>
      </w:pPr>
      <w:rPr>
        <w:rFonts w:hint="default"/>
        <w:lang w:val="en-US" w:eastAsia="en-US" w:bidi="en-US"/>
      </w:rPr>
    </w:lvl>
    <w:lvl w:ilvl="3" w:tplc="06F2EA30">
      <w:numFmt w:val="bullet"/>
      <w:lvlText w:val="•"/>
      <w:lvlJc w:val="left"/>
      <w:pPr>
        <w:ind w:left="741" w:hanging="361"/>
      </w:pPr>
      <w:rPr>
        <w:rFonts w:hint="default"/>
        <w:lang w:val="en-US" w:eastAsia="en-US" w:bidi="en-US"/>
      </w:rPr>
    </w:lvl>
    <w:lvl w:ilvl="4" w:tplc="F15E261E">
      <w:numFmt w:val="bullet"/>
      <w:lvlText w:val="•"/>
      <w:lvlJc w:val="left"/>
      <w:pPr>
        <w:ind w:left="834" w:hanging="361"/>
      </w:pPr>
      <w:rPr>
        <w:rFonts w:hint="default"/>
        <w:lang w:val="en-US" w:eastAsia="en-US" w:bidi="en-US"/>
      </w:rPr>
    </w:lvl>
    <w:lvl w:ilvl="5" w:tplc="A7C6D748">
      <w:numFmt w:val="bullet"/>
      <w:lvlText w:val="•"/>
      <w:lvlJc w:val="left"/>
      <w:pPr>
        <w:ind w:left="928" w:hanging="361"/>
      </w:pPr>
      <w:rPr>
        <w:rFonts w:hint="default"/>
        <w:lang w:val="en-US" w:eastAsia="en-US" w:bidi="en-US"/>
      </w:rPr>
    </w:lvl>
    <w:lvl w:ilvl="6" w:tplc="89282BF8">
      <w:numFmt w:val="bullet"/>
      <w:lvlText w:val="•"/>
      <w:lvlJc w:val="left"/>
      <w:pPr>
        <w:ind w:left="1022" w:hanging="361"/>
      </w:pPr>
      <w:rPr>
        <w:rFonts w:hint="default"/>
        <w:lang w:val="en-US" w:eastAsia="en-US" w:bidi="en-US"/>
      </w:rPr>
    </w:lvl>
    <w:lvl w:ilvl="7" w:tplc="1E3E7FAE">
      <w:numFmt w:val="bullet"/>
      <w:lvlText w:val="•"/>
      <w:lvlJc w:val="left"/>
      <w:pPr>
        <w:ind w:left="1115" w:hanging="361"/>
      </w:pPr>
      <w:rPr>
        <w:rFonts w:hint="default"/>
        <w:lang w:val="en-US" w:eastAsia="en-US" w:bidi="en-US"/>
      </w:rPr>
    </w:lvl>
    <w:lvl w:ilvl="8" w:tplc="97F2AA7E">
      <w:numFmt w:val="bullet"/>
      <w:lvlText w:val="•"/>
      <w:lvlJc w:val="left"/>
      <w:pPr>
        <w:ind w:left="1209" w:hanging="361"/>
      </w:pPr>
      <w:rPr>
        <w:rFonts w:hint="default"/>
        <w:lang w:val="en-US" w:eastAsia="en-US" w:bidi="en-US"/>
      </w:rPr>
    </w:lvl>
  </w:abstractNum>
  <w:abstractNum w:abstractNumId="27" w15:restartNumberingAfterBreak="0">
    <w:nsid w:val="74D135EC"/>
    <w:multiLevelType w:val="hybridMultilevel"/>
    <w:tmpl w:val="DBA4A9D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78EA6A6A"/>
    <w:multiLevelType w:val="hybridMultilevel"/>
    <w:tmpl w:val="5934A5AA"/>
    <w:lvl w:ilvl="0" w:tplc="E37CB832">
      <w:start w:val="1"/>
      <w:numFmt w:val="decimal"/>
      <w:lvlText w:val="(%1)"/>
      <w:lvlJc w:val="left"/>
      <w:pPr>
        <w:ind w:left="1621" w:hanging="322"/>
      </w:pPr>
      <w:rPr>
        <w:rFonts w:ascii="Calibri" w:eastAsia="Calibri" w:hAnsi="Calibri" w:cs="Calibri" w:hint="default"/>
        <w:spacing w:val="-3"/>
        <w:w w:val="100"/>
        <w:sz w:val="24"/>
        <w:szCs w:val="24"/>
        <w:lang w:val="en-US" w:eastAsia="en-US" w:bidi="en-US"/>
      </w:rPr>
    </w:lvl>
    <w:lvl w:ilvl="1" w:tplc="D2C8CE16">
      <w:start w:val="1"/>
      <w:numFmt w:val="lowerLetter"/>
      <w:lvlText w:val="(%2)"/>
      <w:lvlJc w:val="left"/>
      <w:pPr>
        <w:ind w:left="2334" w:hanging="315"/>
      </w:pPr>
      <w:rPr>
        <w:rFonts w:ascii="Calibri" w:eastAsia="Calibri" w:hAnsi="Calibri" w:cs="Calibri" w:hint="default"/>
        <w:spacing w:val="-3"/>
        <w:w w:val="100"/>
        <w:sz w:val="24"/>
        <w:szCs w:val="24"/>
        <w:lang w:val="en-US" w:eastAsia="en-US" w:bidi="en-US"/>
      </w:rPr>
    </w:lvl>
    <w:lvl w:ilvl="2" w:tplc="9A08C8FC">
      <w:numFmt w:val="bullet"/>
      <w:lvlText w:val="•"/>
      <w:lvlJc w:val="left"/>
      <w:pPr>
        <w:ind w:left="3208" w:hanging="315"/>
      </w:pPr>
      <w:rPr>
        <w:rFonts w:hint="default"/>
        <w:lang w:val="en-US" w:eastAsia="en-US" w:bidi="en-US"/>
      </w:rPr>
    </w:lvl>
    <w:lvl w:ilvl="3" w:tplc="13D40EDC">
      <w:numFmt w:val="bullet"/>
      <w:lvlText w:val="•"/>
      <w:lvlJc w:val="left"/>
      <w:pPr>
        <w:ind w:left="4077" w:hanging="315"/>
      </w:pPr>
      <w:rPr>
        <w:rFonts w:hint="default"/>
        <w:lang w:val="en-US" w:eastAsia="en-US" w:bidi="en-US"/>
      </w:rPr>
    </w:lvl>
    <w:lvl w:ilvl="4" w:tplc="788E5198">
      <w:numFmt w:val="bullet"/>
      <w:lvlText w:val="•"/>
      <w:lvlJc w:val="left"/>
      <w:pPr>
        <w:ind w:left="4946" w:hanging="315"/>
      </w:pPr>
      <w:rPr>
        <w:rFonts w:hint="default"/>
        <w:lang w:val="en-US" w:eastAsia="en-US" w:bidi="en-US"/>
      </w:rPr>
    </w:lvl>
    <w:lvl w:ilvl="5" w:tplc="B11AB274">
      <w:numFmt w:val="bullet"/>
      <w:lvlText w:val="•"/>
      <w:lvlJc w:val="left"/>
      <w:pPr>
        <w:ind w:left="5815" w:hanging="315"/>
      </w:pPr>
      <w:rPr>
        <w:rFonts w:hint="default"/>
        <w:lang w:val="en-US" w:eastAsia="en-US" w:bidi="en-US"/>
      </w:rPr>
    </w:lvl>
    <w:lvl w:ilvl="6" w:tplc="B0261918">
      <w:numFmt w:val="bullet"/>
      <w:lvlText w:val="•"/>
      <w:lvlJc w:val="left"/>
      <w:pPr>
        <w:ind w:left="6684" w:hanging="315"/>
      </w:pPr>
      <w:rPr>
        <w:rFonts w:hint="default"/>
        <w:lang w:val="en-US" w:eastAsia="en-US" w:bidi="en-US"/>
      </w:rPr>
    </w:lvl>
    <w:lvl w:ilvl="7" w:tplc="116A5958">
      <w:numFmt w:val="bullet"/>
      <w:lvlText w:val="•"/>
      <w:lvlJc w:val="left"/>
      <w:pPr>
        <w:ind w:left="7553" w:hanging="315"/>
      </w:pPr>
      <w:rPr>
        <w:rFonts w:hint="default"/>
        <w:lang w:val="en-US" w:eastAsia="en-US" w:bidi="en-US"/>
      </w:rPr>
    </w:lvl>
    <w:lvl w:ilvl="8" w:tplc="F5625E84">
      <w:numFmt w:val="bullet"/>
      <w:lvlText w:val="•"/>
      <w:lvlJc w:val="left"/>
      <w:pPr>
        <w:ind w:left="8422" w:hanging="315"/>
      </w:pPr>
      <w:rPr>
        <w:rFonts w:hint="default"/>
        <w:lang w:val="en-US" w:eastAsia="en-US" w:bidi="en-US"/>
      </w:rPr>
    </w:lvl>
  </w:abstractNum>
  <w:abstractNum w:abstractNumId="29" w15:restartNumberingAfterBreak="0">
    <w:nsid w:val="797F45E4"/>
    <w:multiLevelType w:val="hybridMultilevel"/>
    <w:tmpl w:val="00344CC8"/>
    <w:lvl w:ilvl="0" w:tplc="15E40EC0">
      <w:start w:val="1"/>
      <w:numFmt w:val="decimal"/>
      <w:lvlText w:val="%1."/>
      <w:lvlJc w:val="left"/>
      <w:pPr>
        <w:ind w:left="1300" w:hanging="360"/>
      </w:pPr>
      <w:rPr>
        <w:rFonts w:ascii="Calibri" w:eastAsia="Calibri" w:hAnsi="Calibri" w:cs="Calibri" w:hint="default"/>
        <w:spacing w:val="-4"/>
        <w:w w:val="100"/>
        <w:sz w:val="24"/>
        <w:szCs w:val="24"/>
        <w:lang w:val="en-US" w:eastAsia="en-US" w:bidi="en-US"/>
      </w:rPr>
    </w:lvl>
    <w:lvl w:ilvl="1" w:tplc="4A2272B0">
      <w:numFmt w:val="bullet"/>
      <w:lvlText w:val="•"/>
      <w:lvlJc w:val="left"/>
      <w:pPr>
        <w:ind w:left="2186" w:hanging="360"/>
      </w:pPr>
      <w:rPr>
        <w:rFonts w:hint="default"/>
        <w:lang w:val="en-US" w:eastAsia="en-US" w:bidi="en-US"/>
      </w:rPr>
    </w:lvl>
    <w:lvl w:ilvl="2" w:tplc="50CAACB4">
      <w:numFmt w:val="bullet"/>
      <w:lvlText w:val="•"/>
      <w:lvlJc w:val="left"/>
      <w:pPr>
        <w:ind w:left="3072" w:hanging="360"/>
      </w:pPr>
      <w:rPr>
        <w:rFonts w:hint="default"/>
        <w:lang w:val="en-US" w:eastAsia="en-US" w:bidi="en-US"/>
      </w:rPr>
    </w:lvl>
    <w:lvl w:ilvl="3" w:tplc="E354CDAC">
      <w:numFmt w:val="bullet"/>
      <w:lvlText w:val="•"/>
      <w:lvlJc w:val="left"/>
      <w:pPr>
        <w:ind w:left="3958" w:hanging="360"/>
      </w:pPr>
      <w:rPr>
        <w:rFonts w:hint="default"/>
        <w:lang w:val="en-US" w:eastAsia="en-US" w:bidi="en-US"/>
      </w:rPr>
    </w:lvl>
    <w:lvl w:ilvl="4" w:tplc="DABE4C7E">
      <w:numFmt w:val="bullet"/>
      <w:lvlText w:val="•"/>
      <w:lvlJc w:val="left"/>
      <w:pPr>
        <w:ind w:left="4844" w:hanging="360"/>
      </w:pPr>
      <w:rPr>
        <w:rFonts w:hint="default"/>
        <w:lang w:val="en-US" w:eastAsia="en-US" w:bidi="en-US"/>
      </w:rPr>
    </w:lvl>
    <w:lvl w:ilvl="5" w:tplc="016000D2">
      <w:numFmt w:val="bullet"/>
      <w:lvlText w:val="•"/>
      <w:lvlJc w:val="left"/>
      <w:pPr>
        <w:ind w:left="5730" w:hanging="360"/>
      </w:pPr>
      <w:rPr>
        <w:rFonts w:hint="default"/>
        <w:lang w:val="en-US" w:eastAsia="en-US" w:bidi="en-US"/>
      </w:rPr>
    </w:lvl>
    <w:lvl w:ilvl="6" w:tplc="FABEE7D2">
      <w:numFmt w:val="bullet"/>
      <w:lvlText w:val="•"/>
      <w:lvlJc w:val="left"/>
      <w:pPr>
        <w:ind w:left="6616" w:hanging="360"/>
      </w:pPr>
      <w:rPr>
        <w:rFonts w:hint="default"/>
        <w:lang w:val="en-US" w:eastAsia="en-US" w:bidi="en-US"/>
      </w:rPr>
    </w:lvl>
    <w:lvl w:ilvl="7" w:tplc="08449D00">
      <w:numFmt w:val="bullet"/>
      <w:lvlText w:val="•"/>
      <w:lvlJc w:val="left"/>
      <w:pPr>
        <w:ind w:left="7502" w:hanging="360"/>
      </w:pPr>
      <w:rPr>
        <w:rFonts w:hint="default"/>
        <w:lang w:val="en-US" w:eastAsia="en-US" w:bidi="en-US"/>
      </w:rPr>
    </w:lvl>
    <w:lvl w:ilvl="8" w:tplc="B45CAF4E">
      <w:numFmt w:val="bullet"/>
      <w:lvlText w:val="•"/>
      <w:lvlJc w:val="left"/>
      <w:pPr>
        <w:ind w:left="8388" w:hanging="360"/>
      </w:pPr>
      <w:rPr>
        <w:rFonts w:hint="default"/>
        <w:lang w:val="en-US" w:eastAsia="en-US" w:bidi="en-US"/>
      </w:rPr>
    </w:lvl>
  </w:abstractNum>
  <w:abstractNum w:abstractNumId="30" w15:restartNumberingAfterBreak="0">
    <w:nsid w:val="7DEF1BD0"/>
    <w:multiLevelType w:val="multilevel"/>
    <w:tmpl w:val="49AE0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62131556">
    <w:abstractNumId w:val="5"/>
  </w:num>
  <w:num w:numId="2" w16cid:durableId="1794708900">
    <w:abstractNumId w:val="25"/>
  </w:num>
  <w:num w:numId="3" w16cid:durableId="1413039124">
    <w:abstractNumId w:val="17"/>
  </w:num>
  <w:num w:numId="4" w16cid:durableId="1196384745">
    <w:abstractNumId w:val="26"/>
  </w:num>
  <w:num w:numId="5" w16cid:durableId="1333678498">
    <w:abstractNumId w:val="11"/>
  </w:num>
  <w:num w:numId="6" w16cid:durableId="75174669">
    <w:abstractNumId w:val="20"/>
  </w:num>
  <w:num w:numId="7" w16cid:durableId="1874924194">
    <w:abstractNumId w:val="1"/>
  </w:num>
  <w:num w:numId="8" w16cid:durableId="1502695598">
    <w:abstractNumId w:val="8"/>
  </w:num>
  <w:num w:numId="9" w16cid:durableId="162668558">
    <w:abstractNumId w:val="7"/>
  </w:num>
  <w:num w:numId="10" w16cid:durableId="889414204">
    <w:abstractNumId w:val="29"/>
  </w:num>
  <w:num w:numId="11" w16cid:durableId="2029329234">
    <w:abstractNumId w:val="28"/>
  </w:num>
  <w:num w:numId="12" w16cid:durableId="818807170">
    <w:abstractNumId w:val="14"/>
  </w:num>
  <w:num w:numId="13" w16cid:durableId="278221357">
    <w:abstractNumId w:val="6"/>
  </w:num>
  <w:num w:numId="14" w16cid:durableId="931161461">
    <w:abstractNumId w:val="16"/>
  </w:num>
  <w:num w:numId="15" w16cid:durableId="370963231">
    <w:abstractNumId w:val="15"/>
  </w:num>
  <w:num w:numId="16" w16cid:durableId="850801919">
    <w:abstractNumId w:val="0"/>
  </w:num>
  <w:num w:numId="17" w16cid:durableId="1381979443">
    <w:abstractNumId w:val="27"/>
  </w:num>
  <w:num w:numId="18" w16cid:durableId="2134907095">
    <w:abstractNumId w:val="3"/>
  </w:num>
  <w:num w:numId="19" w16cid:durableId="511531435">
    <w:abstractNumId w:val="22"/>
  </w:num>
  <w:num w:numId="20" w16cid:durableId="1688866642">
    <w:abstractNumId w:val="18"/>
  </w:num>
  <w:num w:numId="21" w16cid:durableId="391274091">
    <w:abstractNumId w:val="21"/>
  </w:num>
  <w:num w:numId="22" w16cid:durableId="1869827316">
    <w:abstractNumId w:val="4"/>
  </w:num>
  <w:num w:numId="23" w16cid:durableId="832720722">
    <w:abstractNumId w:val="13"/>
  </w:num>
  <w:num w:numId="24" w16cid:durableId="70471688">
    <w:abstractNumId w:val="10"/>
  </w:num>
  <w:num w:numId="25" w16cid:durableId="2023387620">
    <w:abstractNumId w:val="9"/>
  </w:num>
  <w:num w:numId="26" w16cid:durableId="1419131209">
    <w:abstractNumId w:val="30"/>
  </w:num>
  <w:num w:numId="27" w16cid:durableId="1750695409">
    <w:abstractNumId w:val="24"/>
  </w:num>
  <w:num w:numId="28" w16cid:durableId="1248613826">
    <w:abstractNumId w:val="23"/>
  </w:num>
  <w:num w:numId="29" w16cid:durableId="15494170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08068199">
    <w:abstractNumId w:val="12"/>
  </w:num>
  <w:num w:numId="31" w16cid:durableId="9369802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A1D"/>
    <w:rsid w:val="00001347"/>
    <w:rsid w:val="00002AA9"/>
    <w:rsid w:val="00011E44"/>
    <w:rsid w:val="00017FA3"/>
    <w:rsid w:val="00021AB6"/>
    <w:rsid w:val="000268A7"/>
    <w:rsid w:val="00027018"/>
    <w:rsid w:val="00027792"/>
    <w:rsid w:val="000301B3"/>
    <w:rsid w:val="00031995"/>
    <w:rsid w:val="00031DE6"/>
    <w:rsid w:val="000334F9"/>
    <w:rsid w:val="00036698"/>
    <w:rsid w:val="00040DD7"/>
    <w:rsid w:val="00043D3F"/>
    <w:rsid w:val="00043DDE"/>
    <w:rsid w:val="00044B4A"/>
    <w:rsid w:val="00044DC4"/>
    <w:rsid w:val="00045E19"/>
    <w:rsid w:val="0004622C"/>
    <w:rsid w:val="0005002A"/>
    <w:rsid w:val="000563A5"/>
    <w:rsid w:val="0005746F"/>
    <w:rsid w:val="000603F6"/>
    <w:rsid w:val="0006132B"/>
    <w:rsid w:val="00061528"/>
    <w:rsid w:val="0006613D"/>
    <w:rsid w:val="00072055"/>
    <w:rsid w:val="0007326A"/>
    <w:rsid w:val="000753E4"/>
    <w:rsid w:val="0007787C"/>
    <w:rsid w:val="00077B57"/>
    <w:rsid w:val="00080949"/>
    <w:rsid w:val="00090B89"/>
    <w:rsid w:val="000913E6"/>
    <w:rsid w:val="0009598C"/>
    <w:rsid w:val="00095CDB"/>
    <w:rsid w:val="00097300"/>
    <w:rsid w:val="000A0ED4"/>
    <w:rsid w:val="000A3580"/>
    <w:rsid w:val="000B0F34"/>
    <w:rsid w:val="000B5F4C"/>
    <w:rsid w:val="000B6B84"/>
    <w:rsid w:val="000C02D1"/>
    <w:rsid w:val="000C5857"/>
    <w:rsid w:val="000C672C"/>
    <w:rsid w:val="000C719D"/>
    <w:rsid w:val="000C7367"/>
    <w:rsid w:val="000D2EA4"/>
    <w:rsid w:val="000E017C"/>
    <w:rsid w:val="000E0CBF"/>
    <w:rsid w:val="000E1CFA"/>
    <w:rsid w:val="000F10A6"/>
    <w:rsid w:val="000F113C"/>
    <w:rsid w:val="000F366D"/>
    <w:rsid w:val="000F4E06"/>
    <w:rsid w:val="00103253"/>
    <w:rsid w:val="00105FF1"/>
    <w:rsid w:val="00114BB7"/>
    <w:rsid w:val="00115970"/>
    <w:rsid w:val="00120FFE"/>
    <w:rsid w:val="00124F3F"/>
    <w:rsid w:val="00125B10"/>
    <w:rsid w:val="00127874"/>
    <w:rsid w:val="001317D7"/>
    <w:rsid w:val="001325DD"/>
    <w:rsid w:val="00137558"/>
    <w:rsid w:val="001376B3"/>
    <w:rsid w:val="00143420"/>
    <w:rsid w:val="00144795"/>
    <w:rsid w:val="00144877"/>
    <w:rsid w:val="00144EF3"/>
    <w:rsid w:val="00145452"/>
    <w:rsid w:val="00151F9A"/>
    <w:rsid w:val="00152D22"/>
    <w:rsid w:val="00155CF7"/>
    <w:rsid w:val="00156C03"/>
    <w:rsid w:val="00161159"/>
    <w:rsid w:val="00162418"/>
    <w:rsid w:val="00165363"/>
    <w:rsid w:val="00170E7D"/>
    <w:rsid w:val="001719D2"/>
    <w:rsid w:val="00172977"/>
    <w:rsid w:val="001729CF"/>
    <w:rsid w:val="001749E3"/>
    <w:rsid w:val="0018453E"/>
    <w:rsid w:val="0018722B"/>
    <w:rsid w:val="00195EBE"/>
    <w:rsid w:val="00197B19"/>
    <w:rsid w:val="001A38BF"/>
    <w:rsid w:val="001B2585"/>
    <w:rsid w:val="001B2CE3"/>
    <w:rsid w:val="001B2F47"/>
    <w:rsid w:val="001B49BF"/>
    <w:rsid w:val="001B5FDF"/>
    <w:rsid w:val="001B676F"/>
    <w:rsid w:val="001C683C"/>
    <w:rsid w:val="001D0E40"/>
    <w:rsid w:val="001D168B"/>
    <w:rsid w:val="001D1885"/>
    <w:rsid w:val="001D1C01"/>
    <w:rsid w:val="001D3505"/>
    <w:rsid w:val="001D7A6D"/>
    <w:rsid w:val="001E042D"/>
    <w:rsid w:val="001E2D60"/>
    <w:rsid w:val="001E6426"/>
    <w:rsid w:val="001F24AF"/>
    <w:rsid w:val="001F34B8"/>
    <w:rsid w:val="001F7BB2"/>
    <w:rsid w:val="00200964"/>
    <w:rsid w:val="0020352E"/>
    <w:rsid w:val="00203B6A"/>
    <w:rsid w:val="00205EE4"/>
    <w:rsid w:val="00211446"/>
    <w:rsid w:val="002127E7"/>
    <w:rsid w:val="00214006"/>
    <w:rsid w:val="0021537A"/>
    <w:rsid w:val="00224887"/>
    <w:rsid w:val="00227086"/>
    <w:rsid w:val="00231C57"/>
    <w:rsid w:val="00233FFC"/>
    <w:rsid w:val="00236040"/>
    <w:rsid w:val="002429C8"/>
    <w:rsid w:val="0024383D"/>
    <w:rsid w:val="00244D27"/>
    <w:rsid w:val="0025322D"/>
    <w:rsid w:val="00254A6C"/>
    <w:rsid w:val="002606A1"/>
    <w:rsid w:val="00263E01"/>
    <w:rsid w:val="0026603F"/>
    <w:rsid w:val="00273E29"/>
    <w:rsid w:val="00273F67"/>
    <w:rsid w:val="00287241"/>
    <w:rsid w:val="002A2A1D"/>
    <w:rsid w:val="002A39E7"/>
    <w:rsid w:val="002B180D"/>
    <w:rsid w:val="002B7508"/>
    <w:rsid w:val="002C0110"/>
    <w:rsid w:val="002C0E58"/>
    <w:rsid w:val="002C1F4A"/>
    <w:rsid w:val="002C21FE"/>
    <w:rsid w:val="002C3FCF"/>
    <w:rsid w:val="002C637A"/>
    <w:rsid w:val="002C72C3"/>
    <w:rsid w:val="002D18F4"/>
    <w:rsid w:val="002D236D"/>
    <w:rsid w:val="002D599B"/>
    <w:rsid w:val="002D5C5D"/>
    <w:rsid w:val="002E12A2"/>
    <w:rsid w:val="002E1F44"/>
    <w:rsid w:val="002E5A9C"/>
    <w:rsid w:val="002F0971"/>
    <w:rsid w:val="002F1A9F"/>
    <w:rsid w:val="002F250D"/>
    <w:rsid w:val="002F4582"/>
    <w:rsid w:val="00303071"/>
    <w:rsid w:val="0030400B"/>
    <w:rsid w:val="00312BB5"/>
    <w:rsid w:val="00316E61"/>
    <w:rsid w:val="003176C5"/>
    <w:rsid w:val="003209C6"/>
    <w:rsid w:val="00323A72"/>
    <w:rsid w:val="003335DA"/>
    <w:rsid w:val="00334EFD"/>
    <w:rsid w:val="00343ED0"/>
    <w:rsid w:val="00345B1C"/>
    <w:rsid w:val="003512D3"/>
    <w:rsid w:val="003563D1"/>
    <w:rsid w:val="0035733A"/>
    <w:rsid w:val="00357C3D"/>
    <w:rsid w:val="003664EB"/>
    <w:rsid w:val="003671AD"/>
    <w:rsid w:val="00372647"/>
    <w:rsid w:val="00372C86"/>
    <w:rsid w:val="003749C6"/>
    <w:rsid w:val="003753CB"/>
    <w:rsid w:val="00376A46"/>
    <w:rsid w:val="00376FA8"/>
    <w:rsid w:val="0038040D"/>
    <w:rsid w:val="00380EC8"/>
    <w:rsid w:val="00385DD3"/>
    <w:rsid w:val="0038655C"/>
    <w:rsid w:val="00391CBD"/>
    <w:rsid w:val="003975FA"/>
    <w:rsid w:val="003A1247"/>
    <w:rsid w:val="003B14A8"/>
    <w:rsid w:val="003B2CA9"/>
    <w:rsid w:val="003B4461"/>
    <w:rsid w:val="003B7C60"/>
    <w:rsid w:val="003C3590"/>
    <w:rsid w:val="003C3AF9"/>
    <w:rsid w:val="003D7120"/>
    <w:rsid w:val="003D7F91"/>
    <w:rsid w:val="003E1282"/>
    <w:rsid w:val="003E23F6"/>
    <w:rsid w:val="003E76C4"/>
    <w:rsid w:val="004052CA"/>
    <w:rsid w:val="004069B4"/>
    <w:rsid w:val="00407781"/>
    <w:rsid w:val="004233D6"/>
    <w:rsid w:val="0042432A"/>
    <w:rsid w:val="00427FEA"/>
    <w:rsid w:val="0043016C"/>
    <w:rsid w:val="00431DD7"/>
    <w:rsid w:val="004333D9"/>
    <w:rsid w:val="00433C7B"/>
    <w:rsid w:val="00436BB4"/>
    <w:rsid w:val="00437EBB"/>
    <w:rsid w:val="00442F3F"/>
    <w:rsid w:val="00446C8D"/>
    <w:rsid w:val="004472F4"/>
    <w:rsid w:val="00453446"/>
    <w:rsid w:val="00457375"/>
    <w:rsid w:val="00460936"/>
    <w:rsid w:val="00465BBB"/>
    <w:rsid w:val="00467F30"/>
    <w:rsid w:val="00476A62"/>
    <w:rsid w:val="00482351"/>
    <w:rsid w:val="00482752"/>
    <w:rsid w:val="00482AC7"/>
    <w:rsid w:val="00485F7A"/>
    <w:rsid w:val="00486983"/>
    <w:rsid w:val="00487039"/>
    <w:rsid w:val="0049059E"/>
    <w:rsid w:val="004945C1"/>
    <w:rsid w:val="004A1055"/>
    <w:rsid w:val="004A1444"/>
    <w:rsid w:val="004A4809"/>
    <w:rsid w:val="004A6E7F"/>
    <w:rsid w:val="004B1FA8"/>
    <w:rsid w:val="004B3AF7"/>
    <w:rsid w:val="004B6F0E"/>
    <w:rsid w:val="004B7244"/>
    <w:rsid w:val="004B74D5"/>
    <w:rsid w:val="004C28B4"/>
    <w:rsid w:val="004C714C"/>
    <w:rsid w:val="004D0DD3"/>
    <w:rsid w:val="004E199B"/>
    <w:rsid w:val="004E5EAF"/>
    <w:rsid w:val="004F1369"/>
    <w:rsid w:val="004F1A1A"/>
    <w:rsid w:val="004F31E2"/>
    <w:rsid w:val="004F6EFE"/>
    <w:rsid w:val="0051137F"/>
    <w:rsid w:val="00511431"/>
    <w:rsid w:val="00511A0F"/>
    <w:rsid w:val="005122AB"/>
    <w:rsid w:val="00514399"/>
    <w:rsid w:val="00515667"/>
    <w:rsid w:val="00516832"/>
    <w:rsid w:val="00516E81"/>
    <w:rsid w:val="005227FA"/>
    <w:rsid w:val="00523A6A"/>
    <w:rsid w:val="00532759"/>
    <w:rsid w:val="00533D42"/>
    <w:rsid w:val="005355D4"/>
    <w:rsid w:val="00536465"/>
    <w:rsid w:val="00536CF0"/>
    <w:rsid w:val="00537C88"/>
    <w:rsid w:val="005432B3"/>
    <w:rsid w:val="00545861"/>
    <w:rsid w:val="00545B16"/>
    <w:rsid w:val="00547ABF"/>
    <w:rsid w:val="00554319"/>
    <w:rsid w:val="00554A45"/>
    <w:rsid w:val="00571F0A"/>
    <w:rsid w:val="00572C68"/>
    <w:rsid w:val="00572C7B"/>
    <w:rsid w:val="0057325B"/>
    <w:rsid w:val="00575D5B"/>
    <w:rsid w:val="005765D6"/>
    <w:rsid w:val="00580DAB"/>
    <w:rsid w:val="0058507E"/>
    <w:rsid w:val="00591B1D"/>
    <w:rsid w:val="00592A01"/>
    <w:rsid w:val="005944AD"/>
    <w:rsid w:val="0059727A"/>
    <w:rsid w:val="005A0568"/>
    <w:rsid w:val="005A1034"/>
    <w:rsid w:val="005A13EF"/>
    <w:rsid w:val="005A293F"/>
    <w:rsid w:val="005A327E"/>
    <w:rsid w:val="005B2495"/>
    <w:rsid w:val="005B2B74"/>
    <w:rsid w:val="005C1670"/>
    <w:rsid w:val="005C2BD5"/>
    <w:rsid w:val="005C60EC"/>
    <w:rsid w:val="005C7363"/>
    <w:rsid w:val="005D5AD8"/>
    <w:rsid w:val="005D6A9E"/>
    <w:rsid w:val="005E18CC"/>
    <w:rsid w:val="005E4E14"/>
    <w:rsid w:val="005F6096"/>
    <w:rsid w:val="005F6A2A"/>
    <w:rsid w:val="00604A57"/>
    <w:rsid w:val="00613351"/>
    <w:rsid w:val="00615C0B"/>
    <w:rsid w:val="0061794C"/>
    <w:rsid w:val="0063070A"/>
    <w:rsid w:val="0063164B"/>
    <w:rsid w:val="00636882"/>
    <w:rsid w:val="006409CC"/>
    <w:rsid w:val="006469F2"/>
    <w:rsid w:val="00654D53"/>
    <w:rsid w:val="0065609B"/>
    <w:rsid w:val="00657BB9"/>
    <w:rsid w:val="00664DFC"/>
    <w:rsid w:val="00666563"/>
    <w:rsid w:val="00675BA3"/>
    <w:rsid w:val="00677E5C"/>
    <w:rsid w:val="00682863"/>
    <w:rsid w:val="00682DD7"/>
    <w:rsid w:val="00683ABB"/>
    <w:rsid w:val="00685A66"/>
    <w:rsid w:val="00690073"/>
    <w:rsid w:val="006A1540"/>
    <w:rsid w:val="006A2AD4"/>
    <w:rsid w:val="006A3A55"/>
    <w:rsid w:val="006B14DE"/>
    <w:rsid w:val="006B1574"/>
    <w:rsid w:val="006B524D"/>
    <w:rsid w:val="006B6A1D"/>
    <w:rsid w:val="006B7DCC"/>
    <w:rsid w:val="006C6B0F"/>
    <w:rsid w:val="006D0204"/>
    <w:rsid w:val="006D238B"/>
    <w:rsid w:val="006D28F2"/>
    <w:rsid w:val="006D40A7"/>
    <w:rsid w:val="006D4FD6"/>
    <w:rsid w:val="006D5627"/>
    <w:rsid w:val="006D6071"/>
    <w:rsid w:val="006D7267"/>
    <w:rsid w:val="006E170E"/>
    <w:rsid w:val="006E241A"/>
    <w:rsid w:val="006E5974"/>
    <w:rsid w:val="006E7156"/>
    <w:rsid w:val="006E7C22"/>
    <w:rsid w:val="006F17F3"/>
    <w:rsid w:val="006F412E"/>
    <w:rsid w:val="006F454E"/>
    <w:rsid w:val="006F4895"/>
    <w:rsid w:val="006F69E7"/>
    <w:rsid w:val="006F791C"/>
    <w:rsid w:val="006F7DE3"/>
    <w:rsid w:val="00711C3C"/>
    <w:rsid w:val="00712F8C"/>
    <w:rsid w:val="00724A4E"/>
    <w:rsid w:val="007276C3"/>
    <w:rsid w:val="00727C41"/>
    <w:rsid w:val="00731CC5"/>
    <w:rsid w:val="0073384F"/>
    <w:rsid w:val="00743480"/>
    <w:rsid w:val="00747D3B"/>
    <w:rsid w:val="007516D6"/>
    <w:rsid w:val="0075173C"/>
    <w:rsid w:val="00753718"/>
    <w:rsid w:val="00753B7C"/>
    <w:rsid w:val="00755168"/>
    <w:rsid w:val="00756A9E"/>
    <w:rsid w:val="00764C7B"/>
    <w:rsid w:val="00767A1D"/>
    <w:rsid w:val="007729B7"/>
    <w:rsid w:val="00772AFE"/>
    <w:rsid w:val="00773684"/>
    <w:rsid w:val="00774158"/>
    <w:rsid w:val="0078216E"/>
    <w:rsid w:val="0079685E"/>
    <w:rsid w:val="0079786C"/>
    <w:rsid w:val="00797BB4"/>
    <w:rsid w:val="007A1830"/>
    <w:rsid w:val="007A18ED"/>
    <w:rsid w:val="007A1CE0"/>
    <w:rsid w:val="007A3E4E"/>
    <w:rsid w:val="007A4BE2"/>
    <w:rsid w:val="007A4E67"/>
    <w:rsid w:val="007B155D"/>
    <w:rsid w:val="007B5AB2"/>
    <w:rsid w:val="007C1051"/>
    <w:rsid w:val="007C30A8"/>
    <w:rsid w:val="007C4D49"/>
    <w:rsid w:val="007C5FA2"/>
    <w:rsid w:val="007D03A9"/>
    <w:rsid w:val="007D218D"/>
    <w:rsid w:val="007D27DE"/>
    <w:rsid w:val="007D3554"/>
    <w:rsid w:val="007D7AEC"/>
    <w:rsid w:val="007E1EFA"/>
    <w:rsid w:val="007E2311"/>
    <w:rsid w:val="007F06FE"/>
    <w:rsid w:val="007F2021"/>
    <w:rsid w:val="007F6016"/>
    <w:rsid w:val="007F7257"/>
    <w:rsid w:val="0081462B"/>
    <w:rsid w:val="00817508"/>
    <w:rsid w:val="0081754B"/>
    <w:rsid w:val="00817DA3"/>
    <w:rsid w:val="00825A1C"/>
    <w:rsid w:val="0082617A"/>
    <w:rsid w:val="00827A3F"/>
    <w:rsid w:val="00831472"/>
    <w:rsid w:val="008356E3"/>
    <w:rsid w:val="00836364"/>
    <w:rsid w:val="008411F0"/>
    <w:rsid w:val="00844999"/>
    <w:rsid w:val="008613D3"/>
    <w:rsid w:val="0086442D"/>
    <w:rsid w:val="00865C74"/>
    <w:rsid w:val="008674E6"/>
    <w:rsid w:val="00880FBA"/>
    <w:rsid w:val="00882AEE"/>
    <w:rsid w:val="0088335A"/>
    <w:rsid w:val="00887702"/>
    <w:rsid w:val="00890C5E"/>
    <w:rsid w:val="00894575"/>
    <w:rsid w:val="008A137C"/>
    <w:rsid w:val="008A46D2"/>
    <w:rsid w:val="008B366A"/>
    <w:rsid w:val="008B4C5C"/>
    <w:rsid w:val="008C0114"/>
    <w:rsid w:val="008C2169"/>
    <w:rsid w:val="008C23F7"/>
    <w:rsid w:val="008C34AF"/>
    <w:rsid w:val="008C5DD4"/>
    <w:rsid w:val="008C6EDF"/>
    <w:rsid w:val="008D0E1D"/>
    <w:rsid w:val="008D1326"/>
    <w:rsid w:val="008D331D"/>
    <w:rsid w:val="008D3BF0"/>
    <w:rsid w:val="008D6487"/>
    <w:rsid w:val="008E7C4C"/>
    <w:rsid w:val="008F087C"/>
    <w:rsid w:val="008F0957"/>
    <w:rsid w:val="008F1881"/>
    <w:rsid w:val="008F1DD3"/>
    <w:rsid w:val="008F385F"/>
    <w:rsid w:val="008F4702"/>
    <w:rsid w:val="008F5E03"/>
    <w:rsid w:val="00910D52"/>
    <w:rsid w:val="00914153"/>
    <w:rsid w:val="00915603"/>
    <w:rsid w:val="00915DEC"/>
    <w:rsid w:val="009167DD"/>
    <w:rsid w:val="009208A3"/>
    <w:rsid w:val="0092343D"/>
    <w:rsid w:val="00923A2F"/>
    <w:rsid w:val="00925306"/>
    <w:rsid w:val="00931480"/>
    <w:rsid w:val="00936274"/>
    <w:rsid w:val="009424B7"/>
    <w:rsid w:val="00952364"/>
    <w:rsid w:val="009529F6"/>
    <w:rsid w:val="00960433"/>
    <w:rsid w:val="009630EB"/>
    <w:rsid w:val="00967965"/>
    <w:rsid w:val="0097145B"/>
    <w:rsid w:val="00974D43"/>
    <w:rsid w:val="00980224"/>
    <w:rsid w:val="00982286"/>
    <w:rsid w:val="00983CBB"/>
    <w:rsid w:val="00984E5D"/>
    <w:rsid w:val="009936FF"/>
    <w:rsid w:val="00994318"/>
    <w:rsid w:val="00994B27"/>
    <w:rsid w:val="009A0137"/>
    <w:rsid w:val="009A0E29"/>
    <w:rsid w:val="009A6BB5"/>
    <w:rsid w:val="009B0820"/>
    <w:rsid w:val="009B120B"/>
    <w:rsid w:val="009B1515"/>
    <w:rsid w:val="009B225D"/>
    <w:rsid w:val="009B60A6"/>
    <w:rsid w:val="009B60B5"/>
    <w:rsid w:val="009B7F1A"/>
    <w:rsid w:val="009C33EE"/>
    <w:rsid w:val="009C407A"/>
    <w:rsid w:val="009C7EBA"/>
    <w:rsid w:val="009D5732"/>
    <w:rsid w:val="009D57DB"/>
    <w:rsid w:val="009D5ACA"/>
    <w:rsid w:val="009D6E4F"/>
    <w:rsid w:val="009E72F8"/>
    <w:rsid w:val="009F2971"/>
    <w:rsid w:val="009F2E78"/>
    <w:rsid w:val="00A03526"/>
    <w:rsid w:val="00A03B77"/>
    <w:rsid w:val="00A17788"/>
    <w:rsid w:val="00A21D4B"/>
    <w:rsid w:val="00A32160"/>
    <w:rsid w:val="00A358A5"/>
    <w:rsid w:val="00A35C9A"/>
    <w:rsid w:val="00A43312"/>
    <w:rsid w:val="00A4470B"/>
    <w:rsid w:val="00A44E2D"/>
    <w:rsid w:val="00A504F0"/>
    <w:rsid w:val="00A602F9"/>
    <w:rsid w:val="00A60442"/>
    <w:rsid w:val="00A610C4"/>
    <w:rsid w:val="00A61A49"/>
    <w:rsid w:val="00A6462C"/>
    <w:rsid w:val="00A712B1"/>
    <w:rsid w:val="00A715A8"/>
    <w:rsid w:val="00A72C10"/>
    <w:rsid w:val="00A773EE"/>
    <w:rsid w:val="00A81C4D"/>
    <w:rsid w:val="00A83F19"/>
    <w:rsid w:val="00A85539"/>
    <w:rsid w:val="00A9043E"/>
    <w:rsid w:val="00A93A3E"/>
    <w:rsid w:val="00A93C69"/>
    <w:rsid w:val="00A94DFC"/>
    <w:rsid w:val="00A95831"/>
    <w:rsid w:val="00A95A8E"/>
    <w:rsid w:val="00AA059E"/>
    <w:rsid w:val="00AA0B3D"/>
    <w:rsid w:val="00AA12FB"/>
    <w:rsid w:val="00AA3AFA"/>
    <w:rsid w:val="00AA4E00"/>
    <w:rsid w:val="00AA5AB8"/>
    <w:rsid w:val="00AB4A54"/>
    <w:rsid w:val="00AC0B50"/>
    <w:rsid w:val="00AC7610"/>
    <w:rsid w:val="00AD0BD8"/>
    <w:rsid w:val="00AD660F"/>
    <w:rsid w:val="00AD7237"/>
    <w:rsid w:val="00AD758A"/>
    <w:rsid w:val="00AE130F"/>
    <w:rsid w:val="00AE4DE8"/>
    <w:rsid w:val="00AE61D9"/>
    <w:rsid w:val="00AF189C"/>
    <w:rsid w:val="00AF29B7"/>
    <w:rsid w:val="00AF6C01"/>
    <w:rsid w:val="00AF6C8E"/>
    <w:rsid w:val="00B03A90"/>
    <w:rsid w:val="00B06F77"/>
    <w:rsid w:val="00B073D4"/>
    <w:rsid w:val="00B10FF7"/>
    <w:rsid w:val="00B127EA"/>
    <w:rsid w:val="00B140FD"/>
    <w:rsid w:val="00B14384"/>
    <w:rsid w:val="00B14D97"/>
    <w:rsid w:val="00B20B56"/>
    <w:rsid w:val="00B24CD6"/>
    <w:rsid w:val="00B260FE"/>
    <w:rsid w:val="00B322F1"/>
    <w:rsid w:val="00B32E3D"/>
    <w:rsid w:val="00B340BE"/>
    <w:rsid w:val="00B34C15"/>
    <w:rsid w:val="00B364D1"/>
    <w:rsid w:val="00B36A91"/>
    <w:rsid w:val="00B37653"/>
    <w:rsid w:val="00B37A11"/>
    <w:rsid w:val="00B410D2"/>
    <w:rsid w:val="00B42674"/>
    <w:rsid w:val="00B460F3"/>
    <w:rsid w:val="00B539EF"/>
    <w:rsid w:val="00B54534"/>
    <w:rsid w:val="00B558EB"/>
    <w:rsid w:val="00B5684E"/>
    <w:rsid w:val="00B60D5A"/>
    <w:rsid w:val="00B60FA2"/>
    <w:rsid w:val="00B61D5A"/>
    <w:rsid w:val="00B65FAC"/>
    <w:rsid w:val="00B71691"/>
    <w:rsid w:val="00B8284F"/>
    <w:rsid w:val="00B83718"/>
    <w:rsid w:val="00B87D0B"/>
    <w:rsid w:val="00B918E4"/>
    <w:rsid w:val="00BA3197"/>
    <w:rsid w:val="00BA3D30"/>
    <w:rsid w:val="00BA416F"/>
    <w:rsid w:val="00BB0158"/>
    <w:rsid w:val="00BB3556"/>
    <w:rsid w:val="00BC2837"/>
    <w:rsid w:val="00BC3CF6"/>
    <w:rsid w:val="00BC6763"/>
    <w:rsid w:val="00BC6F83"/>
    <w:rsid w:val="00BD05A9"/>
    <w:rsid w:val="00BD4EC9"/>
    <w:rsid w:val="00BD5B42"/>
    <w:rsid w:val="00BD7C58"/>
    <w:rsid w:val="00BE283F"/>
    <w:rsid w:val="00BE41B0"/>
    <w:rsid w:val="00BE548D"/>
    <w:rsid w:val="00BE61A7"/>
    <w:rsid w:val="00BE6A3C"/>
    <w:rsid w:val="00BF3B8C"/>
    <w:rsid w:val="00BF3EDE"/>
    <w:rsid w:val="00BF4CEF"/>
    <w:rsid w:val="00C0179C"/>
    <w:rsid w:val="00C022AE"/>
    <w:rsid w:val="00C03475"/>
    <w:rsid w:val="00C222AB"/>
    <w:rsid w:val="00C25076"/>
    <w:rsid w:val="00C27CC6"/>
    <w:rsid w:val="00C30633"/>
    <w:rsid w:val="00C3346F"/>
    <w:rsid w:val="00C36005"/>
    <w:rsid w:val="00C4016C"/>
    <w:rsid w:val="00C414F5"/>
    <w:rsid w:val="00C42605"/>
    <w:rsid w:val="00C43CB8"/>
    <w:rsid w:val="00C4662D"/>
    <w:rsid w:val="00C509B0"/>
    <w:rsid w:val="00C529B3"/>
    <w:rsid w:val="00C54924"/>
    <w:rsid w:val="00C54A63"/>
    <w:rsid w:val="00C55D48"/>
    <w:rsid w:val="00C56390"/>
    <w:rsid w:val="00C6529F"/>
    <w:rsid w:val="00C6739C"/>
    <w:rsid w:val="00C675D1"/>
    <w:rsid w:val="00C701A9"/>
    <w:rsid w:val="00C71881"/>
    <w:rsid w:val="00C72391"/>
    <w:rsid w:val="00C81AC9"/>
    <w:rsid w:val="00C844DB"/>
    <w:rsid w:val="00C875E9"/>
    <w:rsid w:val="00C90753"/>
    <w:rsid w:val="00CA070D"/>
    <w:rsid w:val="00CA37CD"/>
    <w:rsid w:val="00CA6380"/>
    <w:rsid w:val="00CA69DE"/>
    <w:rsid w:val="00CA6DB4"/>
    <w:rsid w:val="00CB0BB9"/>
    <w:rsid w:val="00CB1A94"/>
    <w:rsid w:val="00CB492A"/>
    <w:rsid w:val="00CC19FC"/>
    <w:rsid w:val="00CC1E57"/>
    <w:rsid w:val="00CD0CCF"/>
    <w:rsid w:val="00CD128B"/>
    <w:rsid w:val="00CE384F"/>
    <w:rsid w:val="00CF0E8F"/>
    <w:rsid w:val="00CF3DA4"/>
    <w:rsid w:val="00CF4247"/>
    <w:rsid w:val="00CF55CA"/>
    <w:rsid w:val="00CF7FEB"/>
    <w:rsid w:val="00D064DD"/>
    <w:rsid w:val="00D06A52"/>
    <w:rsid w:val="00D10134"/>
    <w:rsid w:val="00D10F24"/>
    <w:rsid w:val="00D200F1"/>
    <w:rsid w:val="00D21BAF"/>
    <w:rsid w:val="00D22881"/>
    <w:rsid w:val="00D31586"/>
    <w:rsid w:val="00D3762B"/>
    <w:rsid w:val="00D450D8"/>
    <w:rsid w:val="00D45875"/>
    <w:rsid w:val="00D46BA6"/>
    <w:rsid w:val="00D520ED"/>
    <w:rsid w:val="00D55210"/>
    <w:rsid w:val="00D62DAB"/>
    <w:rsid w:val="00D63478"/>
    <w:rsid w:val="00D70499"/>
    <w:rsid w:val="00D7367E"/>
    <w:rsid w:val="00D74EBE"/>
    <w:rsid w:val="00D858DA"/>
    <w:rsid w:val="00D863B6"/>
    <w:rsid w:val="00D9162F"/>
    <w:rsid w:val="00D91BCB"/>
    <w:rsid w:val="00D92FD6"/>
    <w:rsid w:val="00D93160"/>
    <w:rsid w:val="00D93AA8"/>
    <w:rsid w:val="00D96874"/>
    <w:rsid w:val="00DA0005"/>
    <w:rsid w:val="00DA0D71"/>
    <w:rsid w:val="00DA0E9C"/>
    <w:rsid w:val="00DC1CA5"/>
    <w:rsid w:val="00DD111B"/>
    <w:rsid w:val="00DD6853"/>
    <w:rsid w:val="00DD6F7E"/>
    <w:rsid w:val="00DE3E0A"/>
    <w:rsid w:val="00DF7B4D"/>
    <w:rsid w:val="00E017DF"/>
    <w:rsid w:val="00E055DF"/>
    <w:rsid w:val="00E056AE"/>
    <w:rsid w:val="00E05B17"/>
    <w:rsid w:val="00E07C67"/>
    <w:rsid w:val="00E13058"/>
    <w:rsid w:val="00E15142"/>
    <w:rsid w:val="00E16A2C"/>
    <w:rsid w:val="00E2217B"/>
    <w:rsid w:val="00E246A7"/>
    <w:rsid w:val="00E25A83"/>
    <w:rsid w:val="00E312CB"/>
    <w:rsid w:val="00E323FC"/>
    <w:rsid w:val="00E37175"/>
    <w:rsid w:val="00E37B99"/>
    <w:rsid w:val="00E407A6"/>
    <w:rsid w:val="00E41018"/>
    <w:rsid w:val="00E53697"/>
    <w:rsid w:val="00E53909"/>
    <w:rsid w:val="00E55890"/>
    <w:rsid w:val="00E645AF"/>
    <w:rsid w:val="00E70B6A"/>
    <w:rsid w:val="00E71CD1"/>
    <w:rsid w:val="00E71EF9"/>
    <w:rsid w:val="00E72196"/>
    <w:rsid w:val="00E74D89"/>
    <w:rsid w:val="00E808E6"/>
    <w:rsid w:val="00E84F8A"/>
    <w:rsid w:val="00E8511B"/>
    <w:rsid w:val="00E86144"/>
    <w:rsid w:val="00E95AC2"/>
    <w:rsid w:val="00EA1980"/>
    <w:rsid w:val="00EA3AC7"/>
    <w:rsid w:val="00EA4CF8"/>
    <w:rsid w:val="00EA5BC9"/>
    <w:rsid w:val="00EB15FF"/>
    <w:rsid w:val="00EB328A"/>
    <w:rsid w:val="00EB4581"/>
    <w:rsid w:val="00EB4768"/>
    <w:rsid w:val="00EB6191"/>
    <w:rsid w:val="00EB7AD0"/>
    <w:rsid w:val="00EC2F45"/>
    <w:rsid w:val="00EC41CF"/>
    <w:rsid w:val="00ED2B13"/>
    <w:rsid w:val="00ED3A34"/>
    <w:rsid w:val="00ED3F74"/>
    <w:rsid w:val="00EE2EA9"/>
    <w:rsid w:val="00EE6D7E"/>
    <w:rsid w:val="00EE7C47"/>
    <w:rsid w:val="00EF092C"/>
    <w:rsid w:val="00EF21E6"/>
    <w:rsid w:val="00EF2ECF"/>
    <w:rsid w:val="00EF459B"/>
    <w:rsid w:val="00F10462"/>
    <w:rsid w:val="00F116DB"/>
    <w:rsid w:val="00F16411"/>
    <w:rsid w:val="00F23C19"/>
    <w:rsid w:val="00F30D3D"/>
    <w:rsid w:val="00F43B15"/>
    <w:rsid w:val="00F51F2D"/>
    <w:rsid w:val="00F55E10"/>
    <w:rsid w:val="00F60209"/>
    <w:rsid w:val="00F60E69"/>
    <w:rsid w:val="00F60F03"/>
    <w:rsid w:val="00F64715"/>
    <w:rsid w:val="00F665A6"/>
    <w:rsid w:val="00F66831"/>
    <w:rsid w:val="00F66D8F"/>
    <w:rsid w:val="00F720A5"/>
    <w:rsid w:val="00F72417"/>
    <w:rsid w:val="00F73408"/>
    <w:rsid w:val="00F7425C"/>
    <w:rsid w:val="00F87AD6"/>
    <w:rsid w:val="00F92072"/>
    <w:rsid w:val="00F92187"/>
    <w:rsid w:val="00F925A8"/>
    <w:rsid w:val="00F92BEA"/>
    <w:rsid w:val="00FA7309"/>
    <w:rsid w:val="00FB0705"/>
    <w:rsid w:val="00FB1F34"/>
    <w:rsid w:val="00FB243D"/>
    <w:rsid w:val="00FB594C"/>
    <w:rsid w:val="00FB6F5A"/>
    <w:rsid w:val="00FB7024"/>
    <w:rsid w:val="00FC37F0"/>
    <w:rsid w:val="00FC5212"/>
    <w:rsid w:val="00FC5C7E"/>
    <w:rsid w:val="00FC5F44"/>
    <w:rsid w:val="00FC63DD"/>
    <w:rsid w:val="00FC7EDD"/>
    <w:rsid w:val="00FC7FAB"/>
    <w:rsid w:val="00FD3FC4"/>
    <w:rsid w:val="00FD6BD1"/>
    <w:rsid w:val="00FD7453"/>
    <w:rsid w:val="00FE0A6C"/>
    <w:rsid w:val="00FE1A5F"/>
    <w:rsid w:val="00FE69E1"/>
    <w:rsid w:val="00FF3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F90BF"/>
  <w15:docId w15:val="{B88D76E7-BB4B-4493-AD89-6D53D3388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580"/>
      <w:outlineLvl w:val="0"/>
    </w:pPr>
    <w:rPr>
      <w:b/>
      <w:bCs/>
      <w:sz w:val="24"/>
      <w:szCs w:val="24"/>
      <w:u w:val="single" w:color="000000"/>
    </w:rPr>
  </w:style>
  <w:style w:type="paragraph" w:styleId="Heading2">
    <w:name w:val="heading 2"/>
    <w:basedOn w:val="Normal"/>
    <w:uiPriority w:val="1"/>
    <w:qFormat/>
    <w:pPr>
      <w:ind w:left="800" w:hanging="2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1300" w:hanging="360"/>
    </w:pPr>
  </w:style>
  <w:style w:type="paragraph" w:customStyle="1" w:styleId="TableParagraph">
    <w:name w:val="Table Paragraph"/>
    <w:basedOn w:val="Normal"/>
    <w:uiPriority w:val="1"/>
    <w:qFormat/>
    <w:rPr>
      <w:rFonts w:ascii="Arial" w:eastAsia="Arial" w:hAnsi="Arial" w:cs="Arial"/>
    </w:rPr>
  </w:style>
  <w:style w:type="character" w:styleId="CommentReference">
    <w:name w:val="annotation reference"/>
    <w:basedOn w:val="DefaultParagraphFont"/>
    <w:uiPriority w:val="99"/>
    <w:semiHidden/>
    <w:unhideWhenUsed/>
    <w:rsid w:val="0075173C"/>
    <w:rPr>
      <w:sz w:val="16"/>
      <w:szCs w:val="16"/>
    </w:rPr>
  </w:style>
  <w:style w:type="paragraph" w:styleId="CommentText">
    <w:name w:val="annotation text"/>
    <w:basedOn w:val="Normal"/>
    <w:link w:val="CommentTextChar"/>
    <w:uiPriority w:val="99"/>
    <w:unhideWhenUsed/>
    <w:rsid w:val="0075173C"/>
    <w:rPr>
      <w:sz w:val="20"/>
      <w:szCs w:val="20"/>
    </w:rPr>
  </w:style>
  <w:style w:type="character" w:customStyle="1" w:styleId="CommentTextChar">
    <w:name w:val="Comment Text Char"/>
    <w:basedOn w:val="DefaultParagraphFont"/>
    <w:link w:val="CommentText"/>
    <w:uiPriority w:val="99"/>
    <w:rsid w:val="0075173C"/>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75173C"/>
    <w:rPr>
      <w:b/>
      <w:bCs/>
    </w:rPr>
  </w:style>
  <w:style w:type="character" w:customStyle="1" w:styleId="CommentSubjectChar">
    <w:name w:val="Comment Subject Char"/>
    <w:basedOn w:val="CommentTextChar"/>
    <w:link w:val="CommentSubject"/>
    <w:uiPriority w:val="99"/>
    <w:semiHidden/>
    <w:rsid w:val="0075173C"/>
    <w:rPr>
      <w:rFonts w:ascii="Calibri" w:eastAsia="Calibri" w:hAnsi="Calibri" w:cs="Calibri"/>
      <w:b/>
      <w:bCs/>
      <w:sz w:val="20"/>
      <w:szCs w:val="20"/>
      <w:lang w:bidi="en-US"/>
    </w:rPr>
  </w:style>
  <w:style w:type="paragraph" w:styleId="BalloonText">
    <w:name w:val="Balloon Text"/>
    <w:basedOn w:val="Normal"/>
    <w:link w:val="BalloonTextChar"/>
    <w:uiPriority w:val="99"/>
    <w:semiHidden/>
    <w:unhideWhenUsed/>
    <w:rsid w:val="0075173C"/>
    <w:rPr>
      <w:rFonts w:ascii="Tahoma" w:hAnsi="Tahoma" w:cs="Tahoma"/>
      <w:sz w:val="16"/>
      <w:szCs w:val="16"/>
    </w:rPr>
  </w:style>
  <w:style w:type="character" w:customStyle="1" w:styleId="BalloonTextChar">
    <w:name w:val="Balloon Text Char"/>
    <w:basedOn w:val="DefaultParagraphFont"/>
    <w:link w:val="BalloonText"/>
    <w:uiPriority w:val="99"/>
    <w:semiHidden/>
    <w:rsid w:val="0075173C"/>
    <w:rPr>
      <w:rFonts w:ascii="Tahoma" w:eastAsia="Calibri" w:hAnsi="Tahoma" w:cs="Tahoma"/>
      <w:sz w:val="16"/>
      <w:szCs w:val="16"/>
      <w:lang w:bidi="en-US"/>
    </w:rPr>
  </w:style>
  <w:style w:type="paragraph" w:styleId="FootnoteText">
    <w:name w:val="footnote text"/>
    <w:basedOn w:val="Normal"/>
    <w:link w:val="FootnoteTextChar"/>
    <w:uiPriority w:val="99"/>
    <w:semiHidden/>
    <w:unhideWhenUsed/>
    <w:rsid w:val="00FB594C"/>
    <w:rPr>
      <w:sz w:val="20"/>
      <w:szCs w:val="20"/>
    </w:rPr>
  </w:style>
  <w:style w:type="character" w:customStyle="1" w:styleId="FootnoteTextChar">
    <w:name w:val="Footnote Text Char"/>
    <w:basedOn w:val="DefaultParagraphFont"/>
    <w:link w:val="FootnoteText"/>
    <w:uiPriority w:val="99"/>
    <w:semiHidden/>
    <w:rsid w:val="00FB594C"/>
    <w:rPr>
      <w:rFonts w:ascii="Calibri" w:eastAsia="Calibri" w:hAnsi="Calibri" w:cs="Calibri"/>
      <w:sz w:val="20"/>
      <w:szCs w:val="20"/>
      <w:lang w:bidi="en-US"/>
    </w:rPr>
  </w:style>
  <w:style w:type="character" w:styleId="FootnoteReference">
    <w:name w:val="footnote reference"/>
    <w:basedOn w:val="DefaultParagraphFont"/>
    <w:uiPriority w:val="99"/>
    <w:semiHidden/>
    <w:unhideWhenUsed/>
    <w:rsid w:val="00FB594C"/>
    <w:rPr>
      <w:vertAlign w:val="superscript"/>
    </w:rPr>
  </w:style>
  <w:style w:type="paragraph" w:styleId="EndnoteText">
    <w:name w:val="endnote text"/>
    <w:basedOn w:val="Normal"/>
    <w:link w:val="EndnoteTextChar"/>
    <w:uiPriority w:val="99"/>
    <w:semiHidden/>
    <w:unhideWhenUsed/>
    <w:rsid w:val="00263E01"/>
    <w:rPr>
      <w:sz w:val="20"/>
      <w:szCs w:val="20"/>
    </w:rPr>
  </w:style>
  <w:style w:type="character" w:customStyle="1" w:styleId="EndnoteTextChar">
    <w:name w:val="Endnote Text Char"/>
    <w:basedOn w:val="DefaultParagraphFont"/>
    <w:link w:val="EndnoteText"/>
    <w:uiPriority w:val="99"/>
    <w:semiHidden/>
    <w:rsid w:val="00263E01"/>
    <w:rPr>
      <w:rFonts w:ascii="Calibri" w:eastAsia="Calibri" w:hAnsi="Calibri" w:cs="Calibri"/>
      <w:sz w:val="20"/>
      <w:szCs w:val="20"/>
      <w:lang w:bidi="en-US"/>
    </w:rPr>
  </w:style>
  <w:style w:type="character" w:styleId="EndnoteReference">
    <w:name w:val="endnote reference"/>
    <w:basedOn w:val="DefaultParagraphFont"/>
    <w:uiPriority w:val="99"/>
    <w:semiHidden/>
    <w:unhideWhenUsed/>
    <w:rsid w:val="00263E01"/>
    <w:rPr>
      <w:vertAlign w:val="superscript"/>
    </w:rPr>
  </w:style>
  <w:style w:type="character" w:styleId="Hyperlink">
    <w:name w:val="Hyperlink"/>
    <w:basedOn w:val="DefaultParagraphFont"/>
    <w:uiPriority w:val="99"/>
    <w:unhideWhenUsed/>
    <w:rsid w:val="00F66D8F"/>
    <w:rPr>
      <w:color w:val="0000FF" w:themeColor="hyperlink"/>
      <w:u w:val="single"/>
    </w:rPr>
  </w:style>
  <w:style w:type="paragraph" w:styleId="Header">
    <w:name w:val="header"/>
    <w:basedOn w:val="Normal"/>
    <w:link w:val="HeaderChar"/>
    <w:uiPriority w:val="99"/>
    <w:unhideWhenUsed/>
    <w:rsid w:val="000C5857"/>
    <w:pPr>
      <w:tabs>
        <w:tab w:val="center" w:pos="4680"/>
        <w:tab w:val="right" w:pos="9360"/>
      </w:tabs>
    </w:pPr>
  </w:style>
  <w:style w:type="character" w:customStyle="1" w:styleId="HeaderChar">
    <w:name w:val="Header Char"/>
    <w:basedOn w:val="DefaultParagraphFont"/>
    <w:link w:val="Header"/>
    <w:uiPriority w:val="99"/>
    <w:rsid w:val="000C5857"/>
    <w:rPr>
      <w:rFonts w:ascii="Calibri" w:eastAsia="Calibri" w:hAnsi="Calibri" w:cs="Calibri"/>
      <w:lang w:bidi="en-US"/>
    </w:rPr>
  </w:style>
  <w:style w:type="paragraph" w:styleId="Footer">
    <w:name w:val="footer"/>
    <w:basedOn w:val="Normal"/>
    <w:link w:val="FooterChar"/>
    <w:uiPriority w:val="99"/>
    <w:unhideWhenUsed/>
    <w:rsid w:val="000C5857"/>
    <w:pPr>
      <w:tabs>
        <w:tab w:val="center" w:pos="4680"/>
        <w:tab w:val="right" w:pos="9360"/>
      </w:tabs>
    </w:pPr>
  </w:style>
  <w:style w:type="character" w:customStyle="1" w:styleId="FooterChar">
    <w:name w:val="Footer Char"/>
    <w:basedOn w:val="DefaultParagraphFont"/>
    <w:link w:val="Footer"/>
    <w:uiPriority w:val="99"/>
    <w:rsid w:val="000C5857"/>
    <w:rPr>
      <w:rFonts w:ascii="Calibri" w:eastAsia="Calibri" w:hAnsi="Calibri" w:cs="Calibri"/>
      <w:lang w:bidi="en-US"/>
    </w:rPr>
  </w:style>
  <w:style w:type="paragraph" w:styleId="PlainText">
    <w:name w:val="Plain Text"/>
    <w:basedOn w:val="Normal"/>
    <w:link w:val="PlainTextChar"/>
    <w:uiPriority w:val="99"/>
    <w:unhideWhenUsed/>
    <w:rsid w:val="0057325B"/>
    <w:pPr>
      <w:widowControl/>
      <w:autoSpaceDE/>
      <w:autoSpaceDN/>
    </w:pPr>
    <w:rPr>
      <w:rFonts w:eastAsiaTheme="minorHAnsi"/>
      <w:lang w:bidi="ar-SA"/>
    </w:rPr>
  </w:style>
  <w:style w:type="character" w:customStyle="1" w:styleId="PlainTextChar">
    <w:name w:val="Plain Text Char"/>
    <w:basedOn w:val="DefaultParagraphFont"/>
    <w:link w:val="PlainText"/>
    <w:uiPriority w:val="99"/>
    <w:rsid w:val="0057325B"/>
    <w:rPr>
      <w:rFonts w:ascii="Calibri" w:hAnsi="Calibri" w:cs="Calibri"/>
    </w:rPr>
  </w:style>
  <w:style w:type="paragraph" w:styleId="NormalWeb">
    <w:name w:val="Normal (Web)"/>
    <w:basedOn w:val="Normal"/>
    <w:uiPriority w:val="99"/>
    <w:semiHidden/>
    <w:unhideWhenUsed/>
    <w:rsid w:val="008F087C"/>
    <w:pPr>
      <w:widowControl/>
      <w:autoSpaceDE/>
      <w:autoSpaceDN/>
    </w:pPr>
    <w:rPr>
      <w:rFonts w:eastAsiaTheme="minorHAnsi"/>
      <w:lang w:bidi="ar-SA"/>
    </w:rPr>
  </w:style>
  <w:style w:type="table" w:customStyle="1" w:styleId="TableGrid1">
    <w:name w:val="Table Grid1"/>
    <w:basedOn w:val="TableNormal"/>
    <w:next w:val="TableGrid"/>
    <w:uiPriority w:val="39"/>
    <w:rsid w:val="00C03475"/>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unhideWhenUsed/>
    <w:rsid w:val="00C03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D40A7"/>
    <w:rPr>
      <w:color w:val="800080" w:themeColor="followedHyperlink"/>
      <w:u w:val="single"/>
    </w:rPr>
  </w:style>
  <w:style w:type="character" w:styleId="UnresolvedMention">
    <w:name w:val="Unresolved Mention"/>
    <w:basedOn w:val="DefaultParagraphFont"/>
    <w:uiPriority w:val="99"/>
    <w:semiHidden/>
    <w:unhideWhenUsed/>
    <w:rsid w:val="00B322F1"/>
    <w:rPr>
      <w:color w:val="605E5C"/>
      <w:shd w:val="clear" w:color="auto" w:fill="E1DFDD"/>
    </w:rPr>
  </w:style>
  <w:style w:type="paragraph" w:styleId="Revision">
    <w:name w:val="Revision"/>
    <w:hidden/>
    <w:uiPriority w:val="99"/>
    <w:semiHidden/>
    <w:rsid w:val="00273F67"/>
    <w:pPr>
      <w:widowControl/>
      <w:autoSpaceDE/>
      <w:autoSpaceDN/>
    </w:pPr>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18839">
      <w:bodyDiv w:val="1"/>
      <w:marLeft w:val="0"/>
      <w:marRight w:val="0"/>
      <w:marTop w:val="0"/>
      <w:marBottom w:val="0"/>
      <w:divBdr>
        <w:top w:val="none" w:sz="0" w:space="0" w:color="auto"/>
        <w:left w:val="none" w:sz="0" w:space="0" w:color="auto"/>
        <w:bottom w:val="none" w:sz="0" w:space="0" w:color="auto"/>
        <w:right w:val="none" w:sz="0" w:space="0" w:color="auto"/>
      </w:divBdr>
    </w:div>
    <w:div w:id="193008172">
      <w:bodyDiv w:val="1"/>
      <w:marLeft w:val="0"/>
      <w:marRight w:val="0"/>
      <w:marTop w:val="0"/>
      <w:marBottom w:val="0"/>
      <w:divBdr>
        <w:top w:val="none" w:sz="0" w:space="0" w:color="auto"/>
        <w:left w:val="none" w:sz="0" w:space="0" w:color="auto"/>
        <w:bottom w:val="none" w:sz="0" w:space="0" w:color="auto"/>
        <w:right w:val="none" w:sz="0" w:space="0" w:color="auto"/>
      </w:divBdr>
    </w:div>
    <w:div w:id="237983839">
      <w:bodyDiv w:val="1"/>
      <w:marLeft w:val="0"/>
      <w:marRight w:val="0"/>
      <w:marTop w:val="0"/>
      <w:marBottom w:val="0"/>
      <w:divBdr>
        <w:top w:val="none" w:sz="0" w:space="0" w:color="auto"/>
        <w:left w:val="none" w:sz="0" w:space="0" w:color="auto"/>
        <w:bottom w:val="none" w:sz="0" w:space="0" w:color="auto"/>
        <w:right w:val="none" w:sz="0" w:space="0" w:color="auto"/>
      </w:divBdr>
    </w:div>
    <w:div w:id="493227959">
      <w:bodyDiv w:val="1"/>
      <w:marLeft w:val="0"/>
      <w:marRight w:val="0"/>
      <w:marTop w:val="0"/>
      <w:marBottom w:val="0"/>
      <w:divBdr>
        <w:top w:val="none" w:sz="0" w:space="0" w:color="auto"/>
        <w:left w:val="none" w:sz="0" w:space="0" w:color="auto"/>
        <w:bottom w:val="none" w:sz="0" w:space="0" w:color="auto"/>
        <w:right w:val="none" w:sz="0" w:space="0" w:color="auto"/>
      </w:divBdr>
    </w:div>
    <w:div w:id="624432362">
      <w:bodyDiv w:val="1"/>
      <w:marLeft w:val="0"/>
      <w:marRight w:val="0"/>
      <w:marTop w:val="0"/>
      <w:marBottom w:val="0"/>
      <w:divBdr>
        <w:top w:val="none" w:sz="0" w:space="0" w:color="auto"/>
        <w:left w:val="none" w:sz="0" w:space="0" w:color="auto"/>
        <w:bottom w:val="none" w:sz="0" w:space="0" w:color="auto"/>
        <w:right w:val="none" w:sz="0" w:space="0" w:color="auto"/>
      </w:divBdr>
    </w:div>
    <w:div w:id="651297556">
      <w:bodyDiv w:val="1"/>
      <w:marLeft w:val="0"/>
      <w:marRight w:val="0"/>
      <w:marTop w:val="0"/>
      <w:marBottom w:val="0"/>
      <w:divBdr>
        <w:top w:val="none" w:sz="0" w:space="0" w:color="auto"/>
        <w:left w:val="none" w:sz="0" w:space="0" w:color="auto"/>
        <w:bottom w:val="none" w:sz="0" w:space="0" w:color="auto"/>
        <w:right w:val="none" w:sz="0" w:space="0" w:color="auto"/>
      </w:divBdr>
    </w:div>
    <w:div w:id="733814219">
      <w:bodyDiv w:val="1"/>
      <w:marLeft w:val="0"/>
      <w:marRight w:val="0"/>
      <w:marTop w:val="0"/>
      <w:marBottom w:val="0"/>
      <w:divBdr>
        <w:top w:val="none" w:sz="0" w:space="0" w:color="auto"/>
        <w:left w:val="none" w:sz="0" w:space="0" w:color="auto"/>
        <w:bottom w:val="none" w:sz="0" w:space="0" w:color="auto"/>
        <w:right w:val="none" w:sz="0" w:space="0" w:color="auto"/>
      </w:divBdr>
    </w:div>
    <w:div w:id="778840131">
      <w:bodyDiv w:val="1"/>
      <w:marLeft w:val="0"/>
      <w:marRight w:val="0"/>
      <w:marTop w:val="0"/>
      <w:marBottom w:val="0"/>
      <w:divBdr>
        <w:top w:val="none" w:sz="0" w:space="0" w:color="auto"/>
        <w:left w:val="none" w:sz="0" w:space="0" w:color="auto"/>
        <w:bottom w:val="none" w:sz="0" w:space="0" w:color="auto"/>
        <w:right w:val="none" w:sz="0" w:space="0" w:color="auto"/>
      </w:divBdr>
    </w:div>
    <w:div w:id="815803569">
      <w:bodyDiv w:val="1"/>
      <w:marLeft w:val="0"/>
      <w:marRight w:val="0"/>
      <w:marTop w:val="0"/>
      <w:marBottom w:val="0"/>
      <w:divBdr>
        <w:top w:val="none" w:sz="0" w:space="0" w:color="auto"/>
        <w:left w:val="none" w:sz="0" w:space="0" w:color="auto"/>
        <w:bottom w:val="none" w:sz="0" w:space="0" w:color="auto"/>
        <w:right w:val="none" w:sz="0" w:space="0" w:color="auto"/>
      </w:divBdr>
    </w:div>
    <w:div w:id="931550479">
      <w:bodyDiv w:val="1"/>
      <w:marLeft w:val="0"/>
      <w:marRight w:val="0"/>
      <w:marTop w:val="0"/>
      <w:marBottom w:val="0"/>
      <w:divBdr>
        <w:top w:val="none" w:sz="0" w:space="0" w:color="auto"/>
        <w:left w:val="none" w:sz="0" w:space="0" w:color="auto"/>
        <w:bottom w:val="none" w:sz="0" w:space="0" w:color="auto"/>
        <w:right w:val="none" w:sz="0" w:space="0" w:color="auto"/>
      </w:divBdr>
    </w:div>
    <w:div w:id="987440889">
      <w:bodyDiv w:val="1"/>
      <w:marLeft w:val="0"/>
      <w:marRight w:val="0"/>
      <w:marTop w:val="0"/>
      <w:marBottom w:val="0"/>
      <w:divBdr>
        <w:top w:val="none" w:sz="0" w:space="0" w:color="auto"/>
        <w:left w:val="none" w:sz="0" w:space="0" w:color="auto"/>
        <w:bottom w:val="none" w:sz="0" w:space="0" w:color="auto"/>
        <w:right w:val="none" w:sz="0" w:space="0" w:color="auto"/>
      </w:divBdr>
    </w:div>
    <w:div w:id="1125153590">
      <w:bodyDiv w:val="1"/>
      <w:marLeft w:val="0"/>
      <w:marRight w:val="0"/>
      <w:marTop w:val="0"/>
      <w:marBottom w:val="0"/>
      <w:divBdr>
        <w:top w:val="none" w:sz="0" w:space="0" w:color="auto"/>
        <w:left w:val="none" w:sz="0" w:space="0" w:color="auto"/>
        <w:bottom w:val="none" w:sz="0" w:space="0" w:color="auto"/>
        <w:right w:val="none" w:sz="0" w:space="0" w:color="auto"/>
      </w:divBdr>
    </w:div>
    <w:div w:id="1278482875">
      <w:bodyDiv w:val="1"/>
      <w:marLeft w:val="0"/>
      <w:marRight w:val="0"/>
      <w:marTop w:val="0"/>
      <w:marBottom w:val="0"/>
      <w:divBdr>
        <w:top w:val="none" w:sz="0" w:space="0" w:color="auto"/>
        <w:left w:val="none" w:sz="0" w:space="0" w:color="auto"/>
        <w:bottom w:val="none" w:sz="0" w:space="0" w:color="auto"/>
        <w:right w:val="none" w:sz="0" w:space="0" w:color="auto"/>
      </w:divBdr>
    </w:div>
    <w:div w:id="1307275401">
      <w:bodyDiv w:val="1"/>
      <w:marLeft w:val="0"/>
      <w:marRight w:val="0"/>
      <w:marTop w:val="0"/>
      <w:marBottom w:val="0"/>
      <w:divBdr>
        <w:top w:val="none" w:sz="0" w:space="0" w:color="auto"/>
        <w:left w:val="none" w:sz="0" w:space="0" w:color="auto"/>
        <w:bottom w:val="none" w:sz="0" w:space="0" w:color="auto"/>
        <w:right w:val="none" w:sz="0" w:space="0" w:color="auto"/>
      </w:divBdr>
    </w:div>
    <w:div w:id="1573345631">
      <w:bodyDiv w:val="1"/>
      <w:marLeft w:val="0"/>
      <w:marRight w:val="0"/>
      <w:marTop w:val="0"/>
      <w:marBottom w:val="0"/>
      <w:divBdr>
        <w:top w:val="none" w:sz="0" w:space="0" w:color="auto"/>
        <w:left w:val="none" w:sz="0" w:space="0" w:color="auto"/>
        <w:bottom w:val="none" w:sz="0" w:space="0" w:color="auto"/>
        <w:right w:val="none" w:sz="0" w:space="0" w:color="auto"/>
      </w:divBdr>
    </w:div>
    <w:div w:id="1588003023">
      <w:bodyDiv w:val="1"/>
      <w:marLeft w:val="0"/>
      <w:marRight w:val="0"/>
      <w:marTop w:val="0"/>
      <w:marBottom w:val="0"/>
      <w:divBdr>
        <w:top w:val="none" w:sz="0" w:space="0" w:color="auto"/>
        <w:left w:val="none" w:sz="0" w:space="0" w:color="auto"/>
        <w:bottom w:val="none" w:sz="0" w:space="0" w:color="auto"/>
        <w:right w:val="none" w:sz="0" w:space="0" w:color="auto"/>
      </w:divBdr>
    </w:div>
    <w:div w:id="1640265974">
      <w:bodyDiv w:val="1"/>
      <w:marLeft w:val="0"/>
      <w:marRight w:val="0"/>
      <w:marTop w:val="0"/>
      <w:marBottom w:val="0"/>
      <w:divBdr>
        <w:top w:val="none" w:sz="0" w:space="0" w:color="auto"/>
        <w:left w:val="none" w:sz="0" w:space="0" w:color="auto"/>
        <w:bottom w:val="none" w:sz="0" w:space="0" w:color="auto"/>
        <w:right w:val="none" w:sz="0" w:space="0" w:color="auto"/>
      </w:divBdr>
    </w:div>
    <w:div w:id="1814326136">
      <w:bodyDiv w:val="1"/>
      <w:marLeft w:val="0"/>
      <w:marRight w:val="0"/>
      <w:marTop w:val="0"/>
      <w:marBottom w:val="0"/>
      <w:divBdr>
        <w:top w:val="none" w:sz="0" w:space="0" w:color="auto"/>
        <w:left w:val="none" w:sz="0" w:space="0" w:color="auto"/>
        <w:bottom w:val="none" w:sz="0" w:space="0" w:color="auto"/>
        <w:right w:val="none" w:sz="0" w:space="0" w:color="auto"/>
      </w:divBdr>
    </w:div>
    <w:div w:id="1817333049">
      <w:bodyDiv w:val="1"/>
      <w:marLeft w:val="0"/>
      <w:marRight w:val="0"/>
      <w:marTop w:val="0"/>
      <w:marBottom w:val="0"/>
      <w:divBdr>
        <w:top w:val="none" w:sz="0" w:space="0" w:color="auto"/>
        <w:left w:val="none" w:sz="0" w:space="0" w:color="auto"/>
        <w:bottom w:val="none" w:sz="0" w:space="0" w:color="auto"/>
        <w:right w:val="none" w:sz="0" w:space="0" w:color="auto"/>
      </w:divBdr>
    </w:div>
    <w:div w:id="1974434145">
      <w:bodyDiv w:val="1"/>
      <w:marLeft w:val="0"/>
      <w:marRight w:val="0"/>
      <w:marTop w:val="0"/>
      <w:marBottom w:val="0"/>
      <w:divBdr>
        <w:top w:val="none" w:sz="0" w:space="0" w:color="auto"/>
        <w:left w:val="none" w:sz="0" w:space="0" w:color="auto"/>
        <w:bottom w:val="none" w:sz="0" w:space="0" w:color="auto"/>
        <w:right w:val="none" w:sz="0" w:space="0" w:color="auto"/>
      </w:divBdr>
    </w:div>
    <w:div w:id="1981109621">
      <w:bodyDiv w:val="1"/>
      <w:marLeft w:val="0"/>
      <w:marRight w:val="0"/>
      <w:marTop w:val="0"/>
      <w:marBottom w:val="0"/>
      <w:divBdr>
        <w:top w:val="none" w:sz="0" w:space="0" w:color="auto"/>
        <w:left w:val="none" w:sz="0" w:space="0" w:color="auto"/>
        <w:bottom w:val="none" w:sz="0" w:space="0" w:color="auto"/>
        <w:right w:val="none" w:sz="0" w:space="0" w:color="auto"/>
      </w:divBdr>
    </w:div>
    <w:div w:id="20309139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s://link.springer.com/article/10.1007/s10198-022-01464-8" TargetMode="External"/><Relationship Id="rId1" Type="http://schemas.openxmlformats.org/officeDocument/2006/relationships/hyperlink" Target="https://link.springer.com/article/10.1007/s10198-022-0146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A5503-3966-4EC3-B458-E7EEA1AF4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2650</Words>
  <Characters>15109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Villaruz, Darrell (DPH)</dc:creator>
  <cp:lastModifiedBy>Marks, Brett (DPH)</cp:lastModifiedBy>
  <cp:revision>6</cp:revision>
  <cp:lastPrinted>2022-08-11T17:25:00Z</cp:lastPrinted>
  <dcterms:created xsi:type="dcterms:W3CDTF">2022-10-05T14:53:00Z</dcterms:created>
  <dcterms:modified xsi:type="dcterms:W3CDTF">2022-10-05T15:22:00Z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2018-11-07T00:00:00Z</vt:filetime>
  </property>
  <property fmtid="{D5CDD505-2E9C-101B-9397-08002B2CF9AE}" pid="3" name="Creator">
    <vt:lpwstr>Acrobat PDFMaker 15 for Word</vt:lpwstr>
  </property>
  <property fmtid="{D5CDD505-2E9C-101B-9397-08002B2CF9AE}" pid="4" name="LastSaved">
    <vt:filetime>2020-07-15T00:00:00Z</vt:filetime>
  </property>
</Properties>
</file>