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F4C" w:rsidRDefault="00BA3F4C" w:rsidP="00DB5CB8">
      <w:pPr>
        <w:spacing w:after="0" w:line="240" w:lineRule="auto"/>
        <w:rPr>
          <w:rFonts w:ascii="Arial" w:hAnsi="Arial" w:cs="Arial"/>
        </w:rPr>
      </w:pPr>
      <w:bookmarkStart w:id="0" w:name="_GoBack"/>
      <w:bookmarkEnd w:id="0"/>
    </w:p>
    <w:tbl>
      <w:tblPr>
        <w:tblStyle w:val="TableGrid"/>
        <w:tblW w:w="0" w:type="auto"/>
        <w:tblLook w:val="04A0" w:firstRow="1" w:lastRow="0" w:firstColumn="1" w:lastColumn="0" w:noHBand="0" w:noVBand="1"/>
      </w:tblPr>
      <w:tblGrid>
        <w:gridCol w:w="10296"/>
      </w:tblGrid>
      <w:tr w:rsidR="00BA3F4C" w:rsidRPr="00DB5CB8" w:rsidTr="00C73954">
        <w:tc>
          <w:tcPr>
            <w:tcW w:w="10296" w:type="dxa"/>
          </w:tcPr>
          <w:p w:rsidR="00BA3F4C" w:rsidRPr="00DB5CB8" w:rsidRDefault="00BA3F4C" w:rsidP="00C73954">
            <w:pPr>
              <w:spacing w:before="60"/>
              <w:jc w:val="center"/>
              <w:rPr>
                <w:rFonts w:ascii="Arial" w:hAnsi="Arial" w:cs="Arial"/>
                <w:b/>
                <w:sz w:val="24"/>
                <w:szCs w:val="24"/>
              </w:rPr>
            </w:pPr>
            <w:r w:rsidRPr="00DB5CB8">
              <w:rPr>
                <w:rFonts w:ascii="Arial" w:hAnsi="Arial" w:cs="Arial"/>
                <w:b/>
                <w:sz w:val="24"/>
                <w:szCs w:val="24"/>
              </w:rPr>
              <w:t xml:space="preserve">Use of </w:t>
            </w:r>
            <w:r w:rsidRPr="00290F07">
              <w:rPr>
                <w:rFonts w:ascii="Arial" w:hAnsi="Arial" w:cs="Arial"/>
                <w:b/>
                <w:sz w:val="24"/>
                <w:szCs w:val="24"/>
              </w:rPr>
              <w:t>Serogroup B Meningococcal Vaccines in Persons Aged ≥10 Years</w:t>
            </w:r>
          </w:p>
          <w:p w:rsidR="00BA3F4C" w:rsidRPr="00DB5CB8" w:rsidRDefault="00BA3F4C" w:rsidP="00C73954">
            <w:pPr>
              <w:pStyle w:val="ListParagraph"/>
              <w:numPr>
                <w:ilvl w:val="0"/>
                <w:numId w:val="10"/>
              </w:numPr>
              <w:jc w:val="center"/>
              <w:rPr>
                <w:rFonts w:ascii="Arial" w:hAnsi="Arial" w:cs="Arial"/>
                <w:b/>
                <w:sz w:val="24"/>
                <w:szCs w:val="24"/>
              </w:rPr>
            </w:pPr>
            <w:r w:rsidRPr="00DB5CB8">
              <w:rPr>
                <w:rFonts w:ascii="Arial" w:hAnsi="Arial" w:cs="Arial"/>
                <w:b/>
                <w:sz w:val="24"/>
                <w:szCs w:val="24"/>
              </w:rPr>
              <w:t>Recommendations</w:t>
            </w:r>
          </w:p>
          <w:p w:rsidR="00BA3F4C" w:rsidRPr="00DB5CB8" w:rsidRDefault="00BA3F4C" w:rsidP="00C73954">
            <w:pPr>
              <w:pStyle w:val="ListParagraph"/>
              <w:numPr>
                <w:ilvl w:val="0"/>
                <w:numId w:val="10"/>
              </w:numPr>
              <w:jc w:val="center"/>
              <w:rPr>
                <w:rFonts w:ascii="Arial" w:hAnsi="Arial" w:cs="Arial"/>
                <w:b/>
                <w:sz w:val="24"/>
                <w:szCs w:val="24"/>
              </w:rPr>
            </w:pPr>
            <w:r w:rsidRPr="00DB5CB8">
              <w:rPr>
                <w:rFonts w:ascii="Arial" w:hAnsi="Arial" w:cs="Arial"/>
                <w:b/>
                <w:sz w:val="24"/>
                <w:szCs w:val="24"/>
              </w:rPr>
              <w:t>Vaccine Availability and Ordering</w:t>
            </w:r>
          </w:p>
          <w:p w:rsidR="00BA3F4C" w:rsidRPr="00DB5CB8" w:rsidRDefault="00BA3F4C" w:rsidP="00B32732">
            <w:pPr>
              <w:spacing w:after="60"/>
              <w:jc w:val="center"/>
              <w:rPr>
                <w:rFonts w:ascii="Arial" w:hAnsi="Arial" w:cs="Arial"/>
              </w:rPr>
            </w:pPr>
            <w:r>
              <w:rPr>
                <w:rFonts w:ascii="Arial" w:hAnsi="Arial" w:cs="Arial"/>
              </w:rPr>
              <w:t xml:space="preserve">August </w:t>
            </w:r>
            <w:r w:rsidRPr="00B32732">
              <w:rPr>
                <w:rFonts w:ascii="Arial" w:hAnsi="Arial" w:cs="Arial"/>
              </w:rPr>
              <w:t xml:space="preserve">2015 </w:t>
            </w:r>
          </w:p>
        </w:tc>
      </w:tr>
    </w:tbl>
    <w:p w:rsidR="00361AD7" w:rsidRPr="00B61120" w:rsidRDefault="003F395B" w:rsidP="00DB5CB8">
      <w:pPr>
        <w:spacing w:after="0" w:line="240" w:lineRule="auto"/>
        <w:rPr>
          <w:rFonts w:ascii="Arial" w:hAnsi="Arial" w:cs="Arial"/>
          <w:sz w:val="16"/>
          <w:szCs w:val="16"/>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7C6477" w:rsidRPr="00DB5CB8" w:rsidRDefault="007C6477" w:rsidP="000373D1">
      <w:pPr>
        <w:pStyle w:val="ListParagraph"/>
        <w:numPr>
          <w:ilvl w:val="0"/>
          <w:numId w:val="11"/>
        </w:numPr>
        <w:spacing w:after="60" w:line="240" w:lineRule="auto"/>
        <w:rPr>
          <w:rFonts w:ascii="Arial" w:hAnsi="Arial" w:cs="Arial"/>
          <w:b/>
          <w:sz w:val="24"/>
          <w:szCs w:val="24"/>
        </w:rPr>
      </w:pPr>
      <w:r w:rsidRPr="00DB5CB8">
        <w:rPr>
          <w:rFonts w:ascii="Arial" w:hAnsi="Arial" w:cs="Arial"/>
          <w:b/>
          <w:sz w:val="24"/>
          <w:szCs w:val="24"/>
        </w:rPr>
        <w:t>Recommendations</w:t>
      </w:r>
    </w:p>
    <w:p w:rsidR="006815C4" w:rsidRPr="00223CDE" w:rsidRDefault="006815C4" w:rsidP="00DB5CB8">
      <w:pPr>
        <w:spacing w:after="0" w:line="240" w:lineRule="auto"/>
        <w:rPr>
          <w:rFonts w:ascii="Arial" w:hAnsi="Arial" w:cs="Arial"/>
          <w:sz w:val="21"/>
          <w:szCs w:val="21"/>
        </w:rPr>
      </w:pPr>
      <w:r w:rsidRPr="00223CDE">
        <w:rPr>
          <w:rFonts w:ascii="Arial" w:hAnsi="Arial" w:cs="Arial"/>
          <w:sz w:val="21"/>
          <w:szCs w:val="21"/>
        </w:rPr>
        <w:t xml:space="preserve">In October 2014, the Food and Drug Administration (FDA) licensed the first serogroup B meningococcal (MenB) vaccine (MenB-FHbp), Trumenba by </w:t>
      </w:r>
      <w:r w:rsidR="00673251" w:rsidRPr="00223CDE">
        <w:rPr>
          <w:rFonts w:ascii="Arial" w:hAnsi="Arial" w:cs="Arial"/>
          <w:sz w:val="21"/>
          <w:szCs w:val="21"/>
        </w:rPr>
        <w:t>Pfizer</w:t>
      </w:r>
      <w:r w:rsidRPr="00223CDE">
        <w:rPr>
          <w:rFonts w:ascii="Arial" w:hAnsi="Arial" w:cs="Arial"/>
          <w:sz w:val="21"/>
          <w:szCs w:val="21"/>
        </w:rPr>
        <w:t xml:space="preserve">, as a 3-dose series. </w:t>
      </w:r>
      <w:r w:rsidR="000373D1" w:rsidRPr="00223CDE">
        <w:rPr>
          <w:rFonts w:ascii="Arial" w:hAnsi="Arial" w:cs="Arial"/>
          <w:sz w:val="21"/>
          <w:szCs w:val="21"/>
        </w:rPr>
        <w:t xml:space="preserve"> </w:t>
      </w:r>
      <w:r w:rsidRPr="00223CDE">
        <w:rPr>
          <w:rFonts w:ascii="Arial" w:hAnsi="Arial" w:cs="Arial"/>
          <w:sz w:val="21"/>
          <w:szCs w:val="21"/>
        </w:rPr>
        <w:t xml:space="preserve">In January 2015, the FDA licensed a second MenB </w:t>
      </w:r>
      <w:r w:rsidR="00290F07" w:rsidRPr="00223CDE">
        <w:rPr>
          <w:rFonts w:ascii="Arial" w:hAnsi="Arial" w:cs="Arial"/>
          <w:sz w:val="21"/>
          <w:szCs w:val="21"/>
        </w:rPr>
        <w:t xml:space="preserve">vaccine (MenB-4C), Bexsero by </w:t>
      </w:r>
      <w:r w:rsidR="00673251" w:rsidRPr="00223CDE">
        <w:rPr>
          <w:rFonts w:ascii="Arial" w:hAnsi="Arial" w:cs="Arial"/>
          <w:sz w:val="21"/>
          <w:szCs w:val="21"/>
        </w:rPr>
        <w:t>GlaxoSmithKline (GSK)</w:t>
      </w:r>
      <w:r w:rsidRPr="00223CDE">
        <w:rPr>
          <w:rFonts w:ascii="Arial" w:hAnsi="Arial" w:cs="Arial"/>
          <w:sz w:val="21"/>
          <w:szCs w:val="21"/>
        </w:rPr>
        <w:t>, as a 2-dose series</w:t>
      </w:r>
      <w:r w:rsidR="00FF1DA4" w:rsidRPr="00223CDE">
        <w:rPr>
          <w:rFonts w:ascii="Arial" w:hAnsi="Arial" w:cs="Arial"/>
          <w:sz w:val="21"/>
          <w:szCs w:val="21"/>
        </w:rPr>
        <w:t xml:space="preserve">.  Both </w:t>
      </w:r>
      <w:r w:rsidR="002B3100" w:rsidRPr="00223CDE">
        <w:rPr>
          <w:rFonts w:ascii="Arial" w:hAnsi="Arial" w:cs="Arial"/>
          <w:sz w:val="21"/>
          <w:szCs w:val="21"/>
        </w:rPr>
        <w:t xml:space="preserve">MenB </w:t>
      </w:r>
      <w:r w:rsidR="00FF1DA4" w:rsidRPr="00223CDE">
        <w:rPr>
          <w:rFonts w:ascii="Arial" w:hAnsi="Arial" w:cs="Arial"/>
          <w:sz w:val="21"/>
          <w:szCs w:val="21"/>
        </w:rPr>
        <w:t>vaccines were approved for use in persons aged 10–25 years.</w:t>
      </w:r>
      <w:r w:rsidR="002B3100" w:rsidRPr="00223CDE">
        <w:rPr>
          <w:rFonts w:ascii="Arial" w:hAnsi="Arial" w:cs="Arial"/>
          <w:sz w:val="21"/>
          <w:szCs w:val="21"/>
        </w:rPr>
        <w:t xml:space="preserve">  However, the ACIP has made an off-label recommendation for their use in certain persons aged ≥10 years who are at increased risk for meningococcal disease, see below.</w:t>
      </w:r>
    </w:p>
    <w:p w:rsidR="00290F07" w:rsidRPr="00DB5CB8" w:rsidRDefault="00290F07" w:rsidP="00DB5CB8">
      <w:pPr>
        <w:spacing w:after="0" w:line="240" w:lineRule="auto"/>
        <w:rPr>
          <w:rFonts w:ascii="Arial" w:hAnsi="Arial" w:cs="Arial"/>
          <w:sz w:val="24"/>
          <w:szCs w:val="24"/>
        </w:rPr>
      </w:pPr>
    </w:p>
    <w:p w:rsidR="0070003D" w:rsidRPr="00DB5CB8" w:rsidRDefault="0070003D" w:rsidP="000373D1">
      <w:pPr>
        <w:pStyle w:val="ListParagraph"/>
        <w:numPr>
          <w:ilvl w:val="0"/>
          <w:numId w:val="12"/>
        </w:numPr>
        <w:spacing w:after="60" w:line="240" w:lineRule="auto"/>
        <w:rPr>
          <w:rFonts w:ascii="Arial" w:hAnsi="Arial" w:cs="Arial"/>
          <w:b/>
        </w:rPr>
      </w:pPr>
      <w:r w:rsidRPr="00DB5CB8">
        <w:rPr>
          <w:rFonts w:ascii="Arial" w:hAnsi="Arial" w:cs="Arial"/>
          <w:b/>
          <w:sz w:val="24"/>
          <w:szCs w:val="24"/>
        </w:rPr>
        <w:t>Recommendations for Use in Certain High Risk Individuals</w:t>
      </w:r>
    </w:p>
    <w:p w:rsidR="007C6477" w:rsidRPr="00223CDE" w:rsidRDefault="00D76EE1" w:rsidP="00DB5CB8">
      <w:pPr>
        <w:spacing w:after="0" w:line="240" w:lineRule="auto"/>
        <w:rPr>
          <w:rFonts w:ascii="Arial" w:hAnsi="Arial" w:cs="Arial"/>
          <w:sz w:val="21"/>
          <w:szCs w:val="21"/>
        </w:rPr>
      </w:pPr>
      <w:r w:rsidRPr="00223CDE">
        <w:rPr>
          <w:rFonts w:ascii="Arial" w:hAnsi="Arial" w:cs="Arial"/>
          <w:sz w:val="21"/>
          <w:szCs w:val="21"/>
        </w:rPr>
        <w:t xml:space="preserve">The Advisory Committee on Immunization Practices </w:t>
      </w:r>
      <w:r w:rsidR="007058FB" w:rsidRPr="00223CDE">
        <w:rPr>
          <w:rFonts w:ascii="Arial" w:hAnsi="Arial" w:cs="Arial"/>
          <w:sz w:val="21"/>
          <w:szCs w:val="21"/>
        </w:rPr>
        <w:t xml:space="preserve">(ACIP) </w:t>
      </w:r>
      <w:hyperlink r:id="rId8" w:history="1">
        <w:r w:rsidRPr="00223CDE">
          <w:rPr>
            <w:rStyle w:val="Hyperlink"/>
            <w:rFonts w:ascii="Arial" w:hAnsi="Arial" w:cs="Arial"/>
            <w:sz w:val="21"/>
            <w:szCs w:val="21"/>
          </w:rPr>
          <w:t>recommendations</w:t>
        </w:r>
      </w:hyperlink>
      <w:r w:rsidRPr="00223CDE">
        <w:rPr>
          <w:rFonts w:ascii="Arial" w:hAnsi="Arial" w:cs="Arial"/>
          <w:sz w:val="21"/>
          <w:szCs w:val="21"/>
        </w:rPr>
        <w:t xml:space="preserve"> for use of MenB vaccines in groups</w:t>
      </w:r>
      <w:r w:rsidR="00FA5A2D" w:rsidRPr="00223CDE">
        <w:rPr>
          <w:rFonts w:ascii="Arial" w:hAnsi="Arial" w:cs="Arial"/>
          <w:sz w:val="21"/>
          <w:szCs w:val="21"/>
        </w:rPr>
        <w:t xml:space="preserve"> at increased risk for serogroup B meningococcal disease</w:t>
      </w:r>
      <w:r w:rsidRPr="00223CDE">
        <w:rPr>
          <w:rFonts w:ascii="Arial" w:hAnsi="Arial" w:cs="Arial"/>
          <w:sz w:val="21"/>
          <w:szCs w:val="21"/>
        </w:rPr>
        <w:t xml:space="preserve"> </w:t>
      </w:r>
      <w:r w:rsidR="002A54F5" w:rsidRPr="00223CDE">
        <w:rPr>
          <w:rFonts w:ascii="Arial" w:hAnsi="Arial" w:cs="Arial"/>
          <w:sz w:val="21"/>
          <w:szCs w:val="21"/>
        </w:rPr>
        <w:t xml:space="preserve">have been </w:t>
      </w:r>
      <w:r w:rsidRPr="00223CDE">
        <w:rPr>
          <w:rFonts w:ascii="Arial" w:hAnsi="Arial" w:cs="Arial"/>
          <w:sz w:val="21"/>
          <w:szCs w:val="21"/>
        </w:rPr>
        <w:t xml:space="preserve">published </w:t>
      </w:r>
      <w:r w:rsidR="002A54F5" w:rsidRPr="00223CDE">
        <w:rPr>
          <w:rFonts w:ascii="Arial" w:hAnsi="Arial" w:cs="Arial"/>
          <w:sz w:val="21"/>
          <w:szCs w:val="21"/>
        </w:rPr>
        <w:t>(</w:t>
      </w:r>
      <w:r w:rsidRPr="00223CDE">
        <w:rPr>
          <w:rFonts w:ascii="Arial" w:hAnsi="Arial" w:cs="Arial"/>
          <w:sz w:val="21"/>
          <w:szCs w:val="21"/>
        </w:rPr>
        <w:t>CDC. MM</w:t>
      </w:r>
      <w:r w:rsidR="00046E2C" w:rsidRPr="00223CDE">
        <w:rPr>
          <w:rFonts w:ascii="Arial" w:hAnsi="Arial" w:cs="Arial"/>
          <w:sz w:val="21"/>
          <w:szCs w:val="21"/>
        </w:rPr>
        <w:t>W</w:t>
      </w:r>
      <w:r w:rsidRPr="00223CDE">
        <w:rPr>
          <w:rFonts w:ascii="Arial" w:hAnsi="Arial" w:cs="Arial"/>
          <w:sz w:val="21"/>
          <w:szCs w:val="21"/>
        </w:rPr>
        <w:t>R 2015;64:608-612</w:t>
      </w:r>
      <w:r w:rsidR="002A54F5" w:rsidRPr="00223CDE">
        <w:rPr>
          <w:rFonts w:ascii="Arial" w:hAnsi="Arial" w:cs="Arial"/>
          <w:sz w:val="21"/>
          <w:szCs w:val="21"/>
        </w:rPr>
        <w:t>).</w:t>
      </w:r>
      <w:r w:rsidRPr="00223CDE">
        <w:rPr>
          <w:rFonts w:ascii="Arial" w:hAnsi="Arial" w:cs="Arial"/>
          <w:sz w:val="21"/>
          <w:szCs w:val="21"/>
        </w:rPr>
        <w:t xml:space="preserve"> </w:t>
      </w:r>
      <w:r w:rsidR="002A54F5" w:rsidRPr="00223CDE">
        <w:rPr>
          <w:rFonts w:ascii="Arial" w:hAnsi="Arial" w:cs="Arial"/>
          <w:sz w:val="21"/>
          <w:szCs w:val="21"/>
        </w:rPr>
        <w:t xml:space="preserve"> </w:t>
      </w:r>
      <w:r w:rsidR="00FA5A2D" w:rsidRPr="00223CDE">
        <w:rPr>
          <w:rFonts w:ascii="Arial" w:hAnsi="Arial" w:cs="Arial"/>
          <w:sz w:val="21"/>
          <w:szCs w:val="21"/>
        </w:rPr>
        <w:t xml:space="preserve">This recommendation was designated Category A (recommended for all persons in an age-based or risk-factor-based group).  </w:t>
      </w:r>
      <w:r w:rsidR="002B3100" w:rsidRPr="00223CDE">
        <w:rPr>
          <w:rFonts w:ascii="Arial" w:hAnsi="Arial" w:cs="Arial"/>
          <w:sz w:val="21"/>
          <w:szCs w:val="21"/>
        </w:rPr>
        <w:t>T</w:t>
      </w:r>
      <w:r w:rsidR="007C6477" w:rsidRPr="00223CDE">
        <w:rPr>
          <w:rFonts w:ascii="Arial" w:hAnsi="Arial" w:cs="Arial"/>
          <w:sz w:val="21"/>
          <w:szCs w:val="21"/>
        </w:rPr>
        <w:t xml:space="preserve">he ACIP has made an off-label recommendation for the use </w:t>
      </w:r>
      <w:r w:rsidR="002B3100" w:rsidRPr="00223CDE">
        <w:rPr>
          <w:rFonts w:ascii="Arial" w:hAnsi="Arial" w:cs="Arial"/>
          <w:sz w:val="21"/>
          <w:szCs w:val="21"/>
        </w:rPr>
        <w:t xml:space="preserve">of both MenB vaccines </w:t>
      </w:r>
      <w:r w:rsidR="007C6477" w:rsidRPr="00223CDE">
        <w:rPr>
          <w:rFonts w:ascii="Arial" w:hAnsi="Arial" w:cs="Arial"/>
          <w:sz w:val="21"/>
          <w:szCs w:val="21"/>
        </w:rPr>
        <w:t>in certain persons aged ≥10 years who are at increased</w:t>
      </w:r>
      <w:r w:rsidR="00290F07" w:rsidRPr="00223CDE">
        <w:rPr>
          <w:rFonts w:ascii="Arial" w:hAnsi="Arial" w:cs="Arial"/>
          <w:sz w:val="21"/>
          <w:szCs w:val="21"/>
        </w:rPr>
        <w:t xml:space="preserve"> risk for meningococcal disease</w:t>
      </w:r>
      <w:r w:rsidR="00735E59">
        <w:rPr>
          <w:rFonts w:ascii="Arial" w:hAnsi="Arial" w:cs="Arial"/>
          <w:sz w:val="21"/>
          <w:szCs w:val="21"/>
        </w:rPr>
        <w:t xml:space="preserve"> due to serogroup B</w:t>
      </w:r>
      <w:r w:rsidR="00290F07" w:rsidRPr="00223CDE">
        <w:rPr>
          <w:rFonts w:ascii="Arial" w:hAnsi="Arial" w:cs="Arial"/>
          <w:sz w:val="21"/>
          <w:szCs w:val="21"/>
        </w:rPr>
        <w:t xml:space="preserve">.  </w:t>
      </w:r>
      <w:r w:rsidR="007C6477" w:rsidRPr="00223CDE">
        <w:rPr>
          <w:rFonts w:ascii="Arial" w:hAnsi="Arial" w:cs="Arial"/>
          <w:sz w:val="21"/>
          <w:szCs w:val="21"/>
        </w:rPr>
        <w:t xml:space="preserve">These </w:t>
      </w:r>
      <w:r w:rsidR="002C790B">
        <w:rPr>
          <w:rFonts w:ascii="Arial" w:hAnsi="Arial" w:cs="Arial"/>
          <w:sz w:val="21"/>
          <w:szCs w:val="21"/>
        </w:rPr>
        <w:t xml:space="preserve">groups </w:t>
      </w:r>
      <w:r w:rsidR="007C6477" w:rsidRPr="00223CDE">
        <w:rPr>
          <w:rFonts w:ascii="Arial" w:hAnsi="Arial" w:cs="Arial"/>
          <w:sz w:val="21"/>
          <w:szCs w:val="21"/>
        </w:rPr>
        <w:t>include:</w:t>
      </w:r>
    </w:p>
    <w:p w:rsidR="007C6477" w:rsidRPr="00223CDE" w:rsidRDefault="007C6477" w:rsidP="00B71BF5">
      <w:pPr>
        <w:pStyle w:val="ListParagraph"/>
        <w:numPr>
          <w:ilvl w:val="0"/>
          <w:numId w:val="14"/>
        </w:numPr>
        <w:spacing w:before="60" w:after="0" w:line="240" w:lineRule="auto"/>
        <w:rPr>
          <w:rFonts w:ascii="Arial" w:hAnsi="Arial" w:cs="Arial"/>
          <w:sz w:val="21"/>
          <w:szCs w:val="21"/>
        </w:rPr>
      </w:pPr>
      <w:r w:rsidRPr="00223CDE">
        <w:rPr>
          <w:rFonts w:ascii="Arial" w:hAnsi="Arial" w:cs="Arial"/>
          <w:sz w:val="21"/>
          <w:szCs w:val="21"/>
        </w:rPr>
        <w:t>Persons with persistent com</w:t>
      </w:r>
      <w:r w:rsidR="008116E0" w:rsidRPr="00223CDE">
        <w:rPr>
          <w:rFonts w:ascii="Arial" w:hAnsi="Arial" w:cs="Arial"/>
          <w:sz w:val="21"/>
          <w:szCs w:val="21"/>
        </w:rPr>
        <w:t>plement component deficienci</w:t>
      </w:r>
      <w:r w:rsidR="00357AD1" w:rsidRPr="00223CDE">
        <w:rPr>
          <w:rFonts w:ascii="Arial" w:hAnsi="Arial" w:cs="Arial"/>
          <w:sz w:val="21"/>
          <w:szCs w:val="21"/>
        </w:rPr>
        <w:t>es (i</w:t>
      </w:r>
      <w:r w:rsidR="008116E0" w:rsidRPr="00223CDE">
        <w:rPr>
          <w:rFonts w:ascii="Arial" w:hAnsi="Arial" w:cs="Arial"/>
          <w:sz w:val="21"/>
          <w:szCs w:val="21"/>
        </w:rPr>
        <w:t>ncluding</w:t>
      </w:r>
      <w:r w:rsidR="00F12BEE" w:rsidRPr="00223CDE">
        <w:rPr>
          <w:rFonts w:ascii="Arial" w:hAnsi="Arial" w:cs="Arial"/>
          <w:sz w:val="21"/>
          <w:szCs w:val="21"/>
        </w:rPr>
        <w:t>:</w:t>
      </w:r>
      <w:r w:rsidR="008116E0" w:rsidRPr="00223CDE">
        <w:rPr>
          <w:rFonts w:ascii="Arial" w:hAnsi="Arial" w:cs="Arial"/>
          <w:sz w:val="21"/>
          <w:szCs w:val="21"/>
        </w:rPr>
        <w:t xml:space="preserve"> inherited or chronic deficiencies in C3, C5-9</w:t>
      </w:r>
      <w:r w:rsidR="00046E2C" w:rsidRPr="00223CDE">
        <w:rPr>
          <w:rFonts w:ascii="Arial" w:hAnsi="Arial" w:cs="Arial"/>
          <w:sz w:val="21"/>
          <w:szCs w:val="21"/>
        </w:rPr>
        <w:t>,</w:t>
      </w:r>
      <w:r w:rsidR="008116E0" w:rsidRPr="00223CDE">
        <w:rPr>
          <w:rFonts w:ascii="Arial" w:hAnsi="Arial" w:cs="Arial"/>
          <w:sz w:val="21"/>
          <w:szCs w:val="21"/>
        </w:rPr>
        <w:t xml:space="preserve"> properdin</w:t>
      </w:r>
      <w:r w:rsidR="00046E2C" w:rsidRPr="00223CDE">
        <w:rPr>
          <w:rFonts w:ascii="Arial" w:hAnsi="Arial" w:cs="Arial"/>
          <w:sz w:val="21"/>
          <w:szCs w:val="21"/>
        </w:rPr>
        <w:t>,</w:t>
      </w:r>
      <w:r w:rsidR="008116E0" w:rsidRPr="00223CDE">
        <w:rPr>
          <w:rFonts w:ascii="Arial" w:hAnsi="Arial" w:cs="Arial"/>
          <w:sz w:val="21"/>
          <w:szCs w:val="21"/>
        </w:rPr>
        <w:t xml:space="preserve"> factor D, factor H, or taking eculizumab </w:t>
      </w:r>
      <w:r w:rsidR="00F12BEE" w:rsidRPr="00223CDE">
        <w:rPr>
          <w:rFonts w:ascii="Arial" w:hAnsi="Arial" w:cs="Arial"/>
          <w:sz w:val="21"/>
          <w:szCs w:val="21"/>
        </w:rPr>
        <w:t>[Soliris</w:t>
      </w:r>
      <w:r w:rsidR="00F12BEE" w:rsidRPr="00223CDE">
        <w:rPr>
          <w:rFonts w:ascii="Arial" w:hAnsi="Arial" w:cs="Arial"/>
          <w:sz w:val="21"/>
          <w:szCs w:val="21"/>
          <w:vertAlign w:val="superscript"/>
        </w:rPr>
        <w:t>®</w:t>
      </w:r>
      <w:r w:rsidR="00F12BEE" w:rsidRPr="00223CDE">
        <w:rPr>
          <w:rFonts w:ascii="Arial" w:hAnsi="Arial" w:cs="Arial"/>
          <w:sz w:val="21"/>
          <w:szCs w:val="21"/>
        </w:rPr>
        <w:t>]</w:t>
      </w:r>
      <w:r w:rsidR="008116E0" w:rsidRPr="00223CDE">
        <w:rPr>
          <w:rFonts w:ascii="Arial" w:hAnsi="Arial" w:cs="Arial"/>
          <w:sz w:val="21"/>
          <w:szCs w:val="21"/>
        </w:rPr>
        <w:t>.</w:t>
      </w:r>
      <w:r w:rsidR="00F12BEE" w:rsidRPr="00223CDE">
        <w:rPr>
          <w:rFonts w:ascii="Arial" w:hAnsi="Arial" w:cs="Arial"/>
          <w:sz w:val="21"/>
          <w:szCs w:val="21"/>
        </w:rPr>
        <w:t>)</w:t>
      </w:r>
    </w:p>
    <w:p w:rsidR="007C6477" w:rsidRPr="00223CDE" w:rsidRDefault="007C6477" w:rsidP="00B71BF5">
      <w:pPr>
        <w:pStyle w:val="ListParagraph"/>
        <w:numPr>
          <w:ilvl w:val="0"/>
          <w:numId w:val="14"/>
        </w:numPr>
        <w:spacing w:before="40" w:after="0" w:line="240" w:lineRule="auto"/>
        <w:rPr>
          <w:rFonts w:ascii="Arial" w:hAnsi="Arial" w:cs="Arial"/>
          <w:sz w:val="21"/>
          <w:szCs w:val="21"/>
        </w:rPr>
      </w:pPr>
      <w:r w:rsidRPr="00223CDE">
        <w:rPr>
          <w:rFonts w:ascii="Arial" w:hAnsi="Arial" w:cs="Arial"/>
          <w:sz w:val="21"/>
          <w:szCs w:val="21"/>
        </w:rPr>
        <w:t>Persons with an</w:t>
      </w:r>
      <w:r w:rsidR="008116E0" w:rsidRPr="00223CDE">
        <w:rPr>
          <w:rFonts w:ascii="Arial" w:hAnsi="Arial" w:cs="Arial"/>
          <w:sz w:val="21"/>
          <w:szCs w:val="21"/>
        </w:rPr>
        <w:t>atomic or functional asplenia (including</w:t>
      </w:r>
      <w:r w:rsidR="00F12BEE" w:rsidRPr="00223CDE">
        <w:rPr>
          <w:rFonts w:ascii="Arial" w:hAnsi="Arial" w:cs="Arial"/>
          <w:sz w:val="21"/>
          <w:szCs w:val="21"/>
        </w:rPr>
        <w:t xml:space="preserve">: </w:t>
      </w:r>
      <w:r w:rsidR="008116E0" w:rsidRPr="00223CDE">
        <w:rPr>
          <w:rFonts w:ascii="Arial" w:hAnsi="Arial" w:cs="Arial"/>
          <w:sz w:val="21"/>
          <w:szCs w:val="21"/>
        </w:rPr>
        <w:t>sickle cell)</w:t>
      </w:r>
      <w:r w:rsidR="00046E2C" w:rsidRPr="00223CDE">
        <w:rPr>
          <w:rFonts w:ascii="Arial" w:hAnsi="Arial" w:cs="Arial"/>
          <w:sz w:val="21"/>
          <w:szCs w:val="21"/>
        </w:rPr>
        <w:t>.</w:t>
      </w:r>
    </w:p>
    <w:p w:rsidR="007C6477" w:rsidRPr="00223CDE" w:rsidRDefault="007C6477" w:rsidP="00B71BF5">
      <w:pPr>
        <w:pStyle w:val="ListParagraph"/>
        <w:numPr>
          <w:ilvl w:val="0"/>
          <w:numId w:val="14"/>
        </w:numPr>
        <w:spacing w:before="40" w:after="40" w:line="240" w:lineRule="auto"/>
        <w:rPr>
          <w:rFonts w:ascii="Arial" w:hAnsi="Arial" w:cs="Arial"/>
          <w:sz w:val="21"/>
          <w:szCs w:val="21"/>
        </w:rPr>
      </w:pPr>
      <w:r w:rsidRPr="00223CDE">
        <w:rPr>
          <w:rFonts w:ascii="Arial" w:hAnsi="Arial" w:cs="Arial"/>
          <w:sz w:val="21"/>
          <w:szCs w:val="21"/>
        </w:rPr>
        <w:t xml:space="preserve">Microbiologists routinely exposed to isolates of </w:t>
      </w:r>
      <w:r w:rsidRPr="00223CDE">
        <w:rPr>
          <w:rFonts w:ascii="Arial" w:hAnsi="Arial" w:cs="Arial"/>
          <w:i/>
          <w:sz w:val="21"/>
          <w:szCs w:val="21"/>
        </w:rPr>
        <w:t>Neisseria meningitidis</w:t>
      </w:r>
      <w:r w:rsidRPr="00223CDE">
        <w:rPr>
          <w:rFonts w:ascii="Arial" w:hAnsi="Arial" w:cs="Arial"/>
          <w:sz w:val="21"/>
          <w:szCs w:val="21"/>
        </w:rPr>
        <w:t>.</w:t>
      </w:r>
    </w:p>
    <w:p w:rsidR="007C6477" w:rsidRPr="00223CDE" w:rsidRDefault="007C6477" w:rsidP="00DB5CB8">
      <w:pPr>
        <w:pStyle w:val="ListParagraph"/>
        <w:numPr>
          <w:ilvl w:val="0"/>
          <w:numId w:val="14"/>
        </w:numPr>
        <w:spacing w:after="0" w:line="240" w:lineRule="auto"/>
        <w:rPr>
          <w:rFonts w:ascii="Arial" w:hAnsi="Arial" w:cs="Arial"/>
          <w:sz w:val="21"/>
          <w:szCs w:val="21"/>
        </w:rPr>
      </w:pPr>
      <w:r w:rsidRPr="00223CDE">
        <w:rPr>
          <w:rFonts w:ascii="Arial" w:hAnsi="Arial" w:cs="Arial"/>
          <w:sz w:val="21"/>
          <w:szCs w:val="21"/>
        </w:rPr>
        <w:t>Persons identified as at increased risk because of a serogroup B meningococcal disease outbreak.</w:t>
      </w:r>
    </w:p>
    <w:p w:rsidR="008116E0" w:rsidRPr="00F245FB" w:rsidRDefault="008116E0" w:rsidP="00DB5CB8">
      <w:pPr>
        <w:spacing w:after="0" w:line="240" w:lineRule="auto"/>
        <w:rPr>
          <w:rFonts w:ascii="Arial" w:hAnsi="Arial" w:cs="Arial"/>
          <w:sz w:val="12"/>
          <w:szCs w:val="12"/>
        </w:rPr>
      </w:pPr>
    </w:p>
    <w:p w:rsidR="0070003D" w:rsidRPr="00223CDE" w:rsidRDefault="007C6477" w:rsidP="00DB5CB8">
      <w:pPr>
        <w:spacing w:after="0" w:line="240" w:lineRule="auto"/>
        <w:rPr>
          <w:rFonts w:ascii="Arial" w:hAnsi="Arial" w:cs="Arial"/>
          <w:sz w:val="21"/>
          <w:szCs w:val="21"/>
        </w:rPr>
      </w:pPr>
      <w:r w:rsidRPr="00223CDE">
        <w:rPr>
          <w:rFonts w:ascii="Arial" w:hAnsi="Arial" w:cs="Arial"/>
          <w:sz w:val="21"/>
          <w:szCs w:val="21"/>
        </w:rPr>
        <w:t>MenB vaccine</w:t>
      </w:r>
      <w:r w:rsidR="005C3E3E" w:rsidRPr="00223CDE">
        <w:rPr>
          <w:rFonts w:ascii="Arial" w:hAnsi="Arial" w:cs="Arial"/>
          <w:sz w:val="21"/>
          <w:szCs w:val="21"/>
        </w:rPr>
        <w:t>s are</w:t>
      </w:r>
      <w:r w:rsidRPr="00223CDE">
        <w:rPr>
          <w:rFonts w:ascii="Arial" w:hAnsi="Arial" w:cs="Arial"/>
          <w:sz w:val="21"/>
          <w:szCs w:val="21"/>
        </w:rPr>
        <w:t xml:space="preserve"> not recommended for persons who travel to or reside in countries where meningococcal disease is hyperendemic or epidemic because meningococcal disease in these countries generally is not caused by serogroup B. </w:t>
      </w:r>
      <w:r w:rsidR="0070003D" w:rsidRPr="00223CDE">
        <w:rPr>
          <w:rFonts w:ascii="Arial" w:hAnsi="Arial" w:cs="Arial"/>
          <w:sz w:val="21"/>
          <w:szCs w:val="21"/>
        </w:rPr>
        <w:t xml:space="preserve"> </w:t>
      </w:r>
    </w:p>
    <w:p w:rsidR="008116E0" w:rsidRPr="00F245FB" w:rsidRDefault="008116E0" w:rsidP="00DB5CB8">
      <w:pPr>
        <w:spacing w:after="0" w:line="240" w:lineRule="auto"/>
        <w:rPr>
          <w:rFonts w:ascii="Arial" w:hAnsi="Arial" w:cs="Arial"/>
          <w:sz w:val="21"/>
          <w:szCs w:val="21"/>
        </w:rPr>
      </w:pPr>
    </w:p>
    <w:p w:rsidR="00223CDE" w:rsidRPr="00455804" w:rsidRDefault="006A0620" w:rsidP="00984E03">
      <w:pPr>
        <w:pStyle w:val="ListParagraph"/>
        <w:numPr>
          <w:ilvl w:val="0"/>
          <w:numId w:val="12"/>
        </w:numPr>
        <w:spacing w:after="60" w:line="240" w:lineRule="auto"/>
        <w:rPr>
          <w:rFonts w:ascii="Arial" w:hAnsi="Arial" w:cs="Arial"/>
        </w:rPr>
      </w:pPr>
      <w:r w:rsidRPr="00455804">
        <w:rPr>
          <w:rFonts w:ascii="Arial" w:hAnsi="Arial" w:cs="Arial"/>
          <w:b/>
          <w:sz w:val="24"/>
          <w:szCs w:val="24"/>
        </w:rPr>
        <w:t>Considerations</w:t>
      </w:r>
      <w:r w:rsidR="00FA5A2D" w:rsidRPr="00455804">
        <w:rPr>
          <w:rFonts w:ascii="Arial" w:hAnsi="Arial" w:cs="Arial"/>
          <w:b/>
          <w:sz w:val="24"/>
          <w:szCs w:val="24"/>
        </w:rPr>
        <w:t xml:space="preserve"> for Use in Adolescents and Young Adults</w:t>
      </w:r>
      <w:r w:rsidR="00883E6C" w:rsidRPr="00455804">
        <w:rPr>
          <w:rFonts w:ascii="Arial" w:hAnsi="Arial" w:cs="Arial"/>
          <w:b/>
          <w:sz w:val="24"/>
          <w:szCs w:val="24"/>
        </w:rPr>
        <w:t xml:space="preserve"> </w:t>
      </w:r>
    </w:p>
    <w:p w:rsidR="00416744" w:rsidRDefault="00FA5A2D" w:rsidP="00F245FB">
      <w:pPr>
        <w:spacing w:after="0" w:line="240" w:lineRule="auto"/>
        <w:rPr>
          <w:rFonts w:ascii="Arial" w:hAnsi="Arial" w:cs="Arial"/>
          <w:sz w:val="21"/>
          <w:szCs w:val="21"/>
        </w:rPr>
      </w:pPr>
      <w:r w:rsidRPr="00455804">
        <w:rPr>
          <w:rFonts w:ascii="Arial" w:hAnsi="Arial" w:cs="Arial"/>
          <w:sz w:val="21"/>
          <w:szCs w:val="21"/>
        </w:rPr>
        <w:t xml:space="preserve">At its June 2015 meeting, the ACIP recommended that </w:t>
      </w:r>
      <w:r w:rsidR="00FF1DA4" w:rsidRPr="00455804">
        <w:rPr>
          <w:rFonts w:ascii="Arial" w:hAnsi="Arial" w:cs="Arial"/>
          <w:sz w:val="21"/>
          <w:szCs w:val="21"/>
        </w:rPr>
        <w:t xml:space="preserve">a MenB vaccine series </w:t>
      </w:r>
      <w:r w:rsidR="00FF1DA4" w:rsidRPr="00455804">
        <w:rPr>
          <w:rFonts w:ascii="Arial" w:hAnsi="Arial" w:cs="Arial"/>
          <w:i/>
          <w:sz w:val="21"/>
          <w:szCs w:val="21"/>
        </w:rPr>
        <w:t>may</w:t>
      </w:r>
      <w:r w:rsidR="00FF1DA4" w:rsidRPr="00455804">
        <w:rPr>
          <w:rFonts w:ascii="Arial" w:hAnsi="Arial" w:cs="Arial"/>
          <w:sz w:val="21"/>
          <w:szCs w:val="21"/>
        </w:rPr>
        <w:t xml:space="preserve"> be administered to adolescents and young adults 16 through 23 years of age to provide short term protection against most strains of serogroup B meningococcal disease.  The preferred age for MenB vaccination </w:t>
      </w:r>
      <w:r w:rsidR="002B3100" w:rsidRPr="00455804">
        <w:rPr>
          <w:rFonts w:ascii="Arial" w:hAnsi="Arial" w:cs="Arial"/>
          <w:sz w:val="21"/>
          <w:szCs w:val="21"/>
        </w:rPr>
        <w:t xml:space="preserve">in this age group is </w:t>
      </w:r>
      <w:r w:rsidR="00FF1DA4" w:rsidRPr="00455804">
        <w:rPr>
          <w:rFonts w:ascii="Arial" w:hAnsi="Arial" w:cs="Arial"/>
          <w:sz w:val="21"/>
          <w:szCs w:val="21"/>
        </w:rPr>
        <w:t>16 through 18 years of age</w:t>
      </w:r>
      <w:r w:rsidR="0064516F" w:rsidRPr="00455804">
        <w:rPr>
          <w:rFonts w:ascii="Arial" w:hAnsi="Arial" w:cs="Arial"/>
          <w:sz w:val="21"/>
          <w:szCs w:val="21"/>
        </w:rPr>
        <w:t xml:space="preserve"> in order to maximize protection during the highest risk period</w:t>
      </w:r>
      <w:r w:rsidR="00FF1DA4" w:rsidRPr="00455804">
        <w:rPr>
          <w:rFonts w:ascii="Arial" w:hAnsi="Arial" w:cs="Arial"/>
          <w:sz w:val="21"/>
          <w:szCs w:val="21"/>
        </w:rPr>
        <w:t>.</w:t>
      </w:r>
    </w:p>
    <w:p w:rsidR="00F245FB" w:rsidRPr="00F245FB" w:rsidRDefault="00F245FB" w:rsidP="00F245FB">
      <w:pPr>
        <w:spacing w:after="0" w:line="240" w:lineRule="auto"/>
        <w:rPr>
          <w:rFonts w:ascii="Arial" w:hAnsi="Arial" w:cs="Arial"/>
          <w:sz w:val="12"/>
          <w:szCs w:val="12"/>
        </w:rPr>
      </w:pPr>
    </w:p>
    <w:p w:rsidR="00984E03" w:rsidRPr="00455804" w:rsidRDefault="00FA5A2D" w:rsidP="00F245FB">
      <w:pPr>
        <w:spacing w:after="0" w:line="240" w:lineRule="auto"/>
        <w:rPr>
          <w:sz w:val="21"/>
          <w:szCs w:val="21"/>
        </w:rPr>
      </w:pPr>
      <w:r w:rsidRPr="00455804">
        <w:rPr>
          <w:rFonts w:ascii="Arial" w:hAnsi="Arial" w:cs="Arial"/>
          <w:sz w:val="21"/>
          <w:szCs w:val="21"/>
        </w:rPr>
        <w:t xml:space="preserve">This recommendation was designated Category B (recommended for individual clinical decision making).  </w:t>
      </w:r>
      <w:r w:rsidR="00FF1DA4" w:rsidRPr="00455804">
        <w:rPr>
          <w:rFonts w:ascii="Arial" w:hAnsi="Arial" w:cs="Arial"/>
          <w:sz w:val="21"/>
          <w:szCs w:val="21"/>
        </w:rPr>
        <w:t xml:space="preserve">The ACIP approved a Category B recommendation for 2 main reasons.  First, the current burden of disease is low which means that the number needed to vaccinate to prevent a case and death is high.  Secondly, because the MenB vaccines were recently licensed for use in the U.S. under an accelerated approval process, </w:t>
      </w:r>
      <w:r w:rsidR="0064516F" w:rsidRPr="00455804">
        <w:rPr>
          <w:rFonts w:ascii="Arial" w:hAnsi="Arial" w:cs="Arial"/>
          <w:sz w:val="21"/>
          <w:szCs w:val="21"/>
        </w:rPr>
        <w:t xml:space="preserve">complete </w:t>
      </w:r>
      <w:r w:rsidR="00FF1DA4" w:rsidRPr="00455804">
        <w:rPr>
          <w:rFonts w:ascii="Arial" w:hAnsi="Arial" w:cs="Arial"/>
          <w:sz w:val="21"/>
          <w:szCs w:val="21"/>
        </w:rPr>
        <w:t>data for making policy recommendations for MenB vaccines are not yet available</w:t>
      </w:r>
      <w:r w:rsidR="0064516F" w:rsidRPr="00455804">
        <w:rPr>
          <w:rFonts w:ascii="Arial" w:hAnsi="Arial" w:cs="Arial"/>
          <w:sz w:val="21"/>
          <w:szCs w:val="21"/>
        </w:rPr>
        <w:t xml:space="preserve"> about: the true proportion of serogroup B disease that could be prevented by vaccine; vaccine effectiveness </w:t>
      </w:r>
      <w:r w:rsidR="00883E6C" w:rsidRPr="00455804">
        <w:rPr>
          <w:rFonts w:ascii="Arial" w:hAnsi="Arial" w:cs="Arial"/>
          <w:sz w:val="21"/>
          <w:szCs w:val="21"/>
        </w:rPr>
        <w:t xml:space="preserve">and duration of protection; </w:t>
      </w:r>
      <w:r w:rsidR="0064516F" w:rsidRPr="00455804">
        <w:rPr>
          <w:rFonts w:ascii="Arial" w:hAnsi="Arial" w:cs="Arial"/>
          <w:sz w:val="21"/>
          <w:szCs w:val="21"/>
        </w:rPr>
        <w:t>impact on carriage and herd immunity</w:t>
      </w:r>
      <w:r w:rsidR="00C1278F" w:rsidRPr="00455804">
        <w:rPr>
          <w:rFonts w:ascii="Arial" w:hAnsi="Arial" w:cs="Arial"/>
          <w:sz w:val="21"/>
          <w:szCs w:val="21"/>
        </w:rPr>
        <w:t>.</w:t>
      </w:r>
    </w:p>
    <w:p w:rsidR="00416744" w:rsidRPr="00F245FB" w:rsidRDefault="00416744" w:rsidP="00416744">
      <w:pPr>
        <w:spacing w:after="0" w:line="240" w:lineRule="auto"/>
        <w:rPr>
          <w:sz w:val="12"/>
          <w:szCs w:val="12"/>
        </w:rPr>
      </w:pPr>
    </w:p>
    <w:p w:rsidR="00416744" w:rsidRDefault="00984E03" w:rsidP="00416744">
      <w:pPr>
        <w:spacing w:after="0" w:line="240" w:lineRule="auto"/>
        <w:rPr>
          <w:rFonts w:ascii="Arial" w:hAnsi="Arial" w:cs="Arial"/>
          <w:sz w:val="21"/>
          <w:szCs w:val="21"/>
        </w:rPr>
      </w:pPr>
      <w:r w:rsidRPr="00455804">
        <w:rPr>
          <w:rFonts w:ascii="Arial" w:hAnsi="Arial" w:cs="Arial"/>
          <w:sz w:val="21"/>
          <w:szCs w:val="21"/>
        </w:rPr>
        <w:t>The slides from the June ACIP meeting can be found at</w:t>
      </w:r>
      <w:r w:rsidRPr="00455804">
        <w:rPr>
          <w:sz w:val="21"/>
          <w:szCs w:val="21"/>
        </w:rPr>
        <w:t xml:space="preserve"> </w:t>
      </w:r>
      <w:hyperlink r:id="rId9" w:history="1">
        <w:r w:rsidRPr="00455804">
          <w:rPr>
            <w:rStyle w:val="Hyperlink"/>
            <w:rFonts w:ascii="Arial" w:hAnsi="Arial" w:cs="Arial"/>
            <w:sz w:val="21"/>
            <w:szCs w:val="21"/>
          </w:rPr>
          <w:t>http://www.cdc.gov/vaccines/acip/meetings/slides-2015-06.html</w:t>
        </w:r>
      </w:hyperlink>
      <w:r w:rsidR="00C0168D">
        <w:rPr>
          <w:rFonts w:ascii="Arial" w:hAnsi="Arial" w:cs="Arial"/>
          <w:sz w:val="21"/>
          <w:szCs w:val="21"/>
        </w:rPr>
        <w:t xml:space="preserve">.  However, </w:t>
      </w:r>
      <w:r w:rsidR="00A83F35" w:rsidRPr="00455804">
        <w:rPr>
          <w:rFonts w:ascii="Arial" w:hAnsi="Arial" w:cs="Arial"/>
          <w:sz w:val="21"/>
          <w:szCs w:val="21"/>
        </w:rPr>
        <w:t xml:space="preserve">recommendations </w:t>
      </w:r>
      <w:r w:rsidR="00847C4C">
        <w:rPr>
          <w:rFonts w:ascii="Arial" w:hAnsi="Arial" w:cs="Arial"/>
          <w:sz w:val="21"/>
          <w:szCs w:val="21"/>
        </w:rPr>
        <w:t xml:space="preserve">for </w:t>
      </w:r>
      <w:r w:rsidR="00C0168D">
        <w:rPr>
          <w:rFonts w:ascii="Arial" w:hAnsi="Arial" w:cs="Arial"/>
          <w:sz w:val="21"/>
          <w:szCs w:val="21"/>
        </w:rPr>
        <w:t xml:space="preserve">this age group </w:t>
      </w:r>
      <w:r w:rsidR="00A83F35" w:rsidRPr="00455804">
        <w:rPr>
          <w:rFonts w:ascii="Arial" w:hAnsi="Arial" w:cs="Arial"/>
          <w:sz w:val="21"/>
          <w:szCs w:val="21"/>
        </w:rPr>
        <w:t xml:space="preserve">have not yet been published.  When they are, they </w:t>
      </w:r>
      <w:r w:rsidR="00847C4C">
        <w:rPr>
          <w:rFonts w:ascii="Arial" w:hAnsi="Arial" w:cs="Arial"/>
          <w:sz w:val="21"/>
          <w:szCs w:val="21"/>
        </w:rPr>
        <w:t xml:space="preserve">will </w:t>
      </w:r>
      <w:r w:rsidR="00A83F35" w:rsidRPr="00455804">
        <w:rPr>
          <w:rFonts w:ascii="Arial" w:hAnsi="Arial" w:cs="Arial"/>
          <w:sz w:val="21"/>
          <w:szCs w:val="21"/>
        </w:rPr>
        <w:t>be found at</w:t>
      </w:r>
      <w:r w:rsidR="00FF1DA4" w:rsidRPr="00455804">
        <w:rPr>
          <w:rFonts w:ascii="Arial" w:hAnsi="Arial" w:cs="Arial"/>
          <w:sz w:val="21"/>
          <w:szCs w:val="21"/>
        </w:rPr>
        <w:t xml:space="preserve"> </w:t>
      </w:r>
      <w:hyperlink r:id="rId10" w:history="1">
        <w:r w:rsidRPr="00455804">
          <w:rPr>
            <w:rStyle w:val="Hyperlink"/>
            <w:rFonts w:ascii="Arial" w:hAnsi="Arial" w:cs="Arial"/>
            <w:sz w:val="21"/>
            <w:szCs w:val="21"/>
          </w:rPr>
          <w:t>http://www.cdc.gov/vaccines/acip/</w:t>
        </w:r>
      </w:hyperlink>
      <w:r w:rsidR="00AD7613">
        <w:rPr>
          <w:rFonts w:ascii="Arial" w:hAnsi="Arial" w:cs="Arial"/>
          <w:sz w:val="21"/>
          <w:szCs w:val="21"/>
        </w:rPr>
        <w:t>; and we will share them with you.</w:t>
      </w:r>
    </w:p>
    <w:p w:rsidR="00361AD7" w:rsidRPr="00223CDE" w:rsidRDefault="00361AD7" w:rsidP="00416744">
      <w:pPr>
        <w:spacing w:after="0" w:line="240" w:lineRule="auto"/>
        <w:rPr>
          <w:rFonts w:ascii="Arial" w:hAnsi="Arial" w:cs="Arial"/>
          <w:sz w:val="21"/>
          <w:szCs w:val="21"/>
        </w:rPr>
      </w:pPr>
    </w:p>
    <w:p w:rsidR="0070003D" w:rsidRPr="00DB5CB8" w:rsidRDefault="002A54F5" w:rsidP="00416744">
      <w:pPr>
        <w:pStyle w:val="ListParagraph"/>
        <w:numPr>
          <w:ilvl w:val="0"/>
          <w:numId w:val="12"/>
        </w:numPr>
        <w:spacing w:after="0" w:line="240" w:lineRule="auto"/>
        <w:rPr>
          <w:rFonts w:ascii="Arial" w:hAnsi="Arial" w:cs="Arial"/>
          <w:b/>
          <w:sz w:val="24"/>
          <w:szCs w:val="24"/>
        </w:rPr>
      </w:pPr>
      <w:r w:rsidRPr="00DB5CB8">
        <w:rPr>
          <w:rFonts w:ascii="Arial" w:hAnsi="Arial" w:cs="Arial"/>
          <w:b/>
          <w:sz w:val="24"/>
          <w:szCs w:val="24"/>
        </w:rPr>
        <w:t>Vaccine Schedules</w:t>
      </w:r>
    </w:p>
    <w:p w:rsidR="00F41191" w:rsidRPr="00223CDE" w:rsidRDefault="007058FB" w:rsidP="00DB5CB8">
      <w:pPr>
        <w:pStyle w:val="ListParagraph"/>
        <w:numPr>
          <w:ilvl w:val="0"/>
          <w:numId w:val="13"/>
        </w:numPr>
        <w:spacing w:after="0" w:line="240" w:lineRule="auto"/>
        <w:rPr>
          <w:rFonts w:ascii="Arial" w:hAnsi="Arial" w:cs="Arial"/>
          <w:sz w:val="21"/>
          <w:szCs w:val="21"/>
        </w:rPr>
      </w:pPr>
      <w:r w:rsidRPr="00223CDE">
        <w:rPr>
          <w:rFonts w:ascii="Arial" w:hAnsi="Arial" w:cs="Arial"/>
          <w:sz w:val="21"/>
          <w:szCs w:val="21"/>
        </w:rPr>
        <w:t>Bexsero (</w:t>
      </w:r>
      <w:r w:rsidR="00561DBD" w:rsidRPr="00223CDE">
        <w:rPr>
          <w:rFonts w:ascii="Arial" w:hAnsi="Arial" w:cs="Arial"/>
          <w:sz w:val="21"/>
          <w:szCs w:val="21"/>
        </w:rPr>
        <w:t>MenB-4C</w:t>
      </w:r>
      <w:r w:rsidRPr="00223CDE">
        <w:rPr>
          <w:rFonts w:ascii="Arial" w:hAnsi="Arial" w:cs="Arial"/>
          <w:sz w:val="21"/>
          <w:szCs w:val="21"/>
        </w:rPr>
        <w:t>)</w:t>
      </w:r>
      <w:r w:rsidR="00561DBD" w:rsidRPr="00223CDE">
        <w:rPr>
          <w:rFonts w:ascii="Arial" w:hAnsi="Arial" w:cs="Arial"/>
          <w:sz w:val="21"/>
          <w:szCs w:val="21"/>
        </w:rPr>
        <w:t xml:space="preserve"> </w:t>
      </w:r>
      <w:r w:rsidR="007C6477" w:rsidRPr="00223CDE">
        <w:rPr>
          <w:rFonts w:ascii="Arial" w:hAnsi="Arial" w:cs="Arial"/>
          <w:sz w:val="21"/>
          <w:szCs w:val="21"/>
        </w:rPr>
        <w:t xml:space="preserve">should be administered as a </w:t>
      </w:r>
      <w:r w:rsidR="00561DBD" w:rsidRPr="00223CDE">
        <w:rPr>
          <w:rFonts w:ascii="Arial" w:hAnsi="Arial" w:cs="Arial"/>
          <w:sz w:val="21"/>
          <w:szCs w:val="21"/>
        </w:rPr>
        <w:t xml:space="preserve">2-dose series (0, </w:t>
      </w:r>
      <w:r w:rsidR="00561DBD" w:rsidRPr="00223CDE">
        <w:rPr>
          <w:rFonts w:ascii="Arial" w:hAnsi="Arial" w:cs="Arial"/>
          <w:sz w:val="21"/>
          <w:szCs w:val="21"/>
          <w:u w:val="single"/>
        </w:rPr>
        <w:t>&gt;</w:t>
      </w:r>
      <w:r w:rsidR="00561DBD" w:rsidRPr="00223CDE">
        <w:rPr>
          <w:rFonts w:ascii="Arial" w:hAnsi="Arial" w:cs="Arial"/>
          <w:sz w:val="21"/>
          <w:szCs w:val="21"/>
        </w:rPr>
        <w:t>1 month)</w:t>
      </w:r>
      <w:r w:rsidR="002A54F5" w:rsidRPr="00223CDE">
        <w:rPr>
          <w:rFonts w:ascii="Arial" w:hAnsi="Arial" w:cs="Arial"/>
          <w:sz w:val="21"/>
          <w:szCs w:val="21"/>
        </w:rPr>
        <w:t>.</w:t>
      </w:r>
    </w:p>
    <w:p w:rsidR="002A54F5" w:rsidRPr="00223CDE" w:rsidRDefault="00561DBD" w:rsidP="00DB5CB8">
      <w:pPr>
        <w:pStyle w:val="ListParagraph"/>
        <w:numPr>
          <w:ilvl w:val="0"/>
          <w:numId w:val="13"/>
        </w:numPr>
        <w:spacing w:after="0" w:line="240" w:lineRule="auto"/>
        <w:rPr>
          <w:rFonts w:ascii="Arial" w:hAnsi="Arial" w:cs="Arial"/>
          <w:sz w:val="21"/>
          <w:szCs w:val="21"/>
        </w:rPr>
      </w:pPr>
      <w:r w:rsidRPr="00223CDE">
        <w:rPr>
          <w:rFonts w:ascii="Arial" w:hAnsi="Arial" w:cs="Arial"/>
          <w:sz w:val="21"/>
          <w:szCs w:val="21"/>
        </w:rPr>
        <w:t>Trumenba (MenB-FHbp) should be administered as a 3-dose series (0, 2, 6 months)</w:t>
      </w:r>
      <w:r w:rsidR="002A54F5" w:rsidRPr="00223CDE">
        <w:rPr>
          <w:rFonts w:ascii="Arial" w:hAnsi="Arial" w:cs="Arial"/>
          <w:sz w:val="21"/>
          <w:szCs w:val="21"/>
        </w:rPr>
        <w:t>.</w:t>
      </w:r>
    </w:p>
    <w:p w:rsidR="002A54F5" w:rsidRPr="00223CDE" w:rsidRDefault="002C790B" w:rsidP="00DB5CB8">
      <w:pPr>
        <w:pStyle w:val="ListParagraph"/>
        <w:numPr>
          <w:ilvl w:val="0"/>
          <w:numId w:val="13"/>
        </w:numPr>
        <w:spacing w:after="0" w:line="240" w:lineRule="auto"/>
        <w:rPr>
          <w:rFonts w:ascii="Arial" w:hAnsi="Arial" w:cs="Arial"/>
          <w:sz w:val="21"/>
          <w:szCs w:val="21"/>
        </w:rPr>
      </w:pPr>
      <w:r>
        <w:rPr>
          <w:rFonts w:ascii="Arial" w:hAnsi="Arial" w:cs="Arial"/>
          <w:sz w:val="21"/>
          <w:szCs w:val="21"/>
        </w:rPr>
        <w:t>The same vaccine product must</w:t>
      </w:r>
      <w:r w:rsidR="007C6477" w:rsidRPr="00223CDE">
        <w:rPr>
          <w:rFonts w:ascii="Arial" w:hAnsi="Arial" w:cs="Arial"/>
          <w:sz w:val="21"/>
          <w:szCs w:val="21"/>
        </w:rPr>
        <w:t xml:space="preserve"> be used for all doses.</w:t>
      </w:r>
    </w:p>
    <w:p w:rsidR="007C6477" w:rsidRPr="00223CDE" w:rsidRDefault="007C6477" w:rsidP="00DB5CB8">
      <w:pPr>
        <w:pStyle w:val="ListParagraph"/>
        <w:numPr>
          <w:ilvl w:val="0"/>
          <w:numId w:val="13"/>
        </w:numPr>
        <w:spacing w:after="0" w:line="240" w:lineRule="auto"/>
        <w:rPr>
          <w:rFonts w:ascii="Arial" w:hAnsi="Arial" w:cs="Arial"/>
          <w:sz w:val="21"/>
          <w:szCs w:val="21"/>
        </w:rPr>
      </w:pPr>
      <w:r w:rsidRPr="00223CDE">
        <w:rPr>
          <w:rFonts w:ascii="Arial" w:hAnsi="Arial" w:cs="Arial"/>
          <w:sz w:val="21"/>
          <w:szCs w:val="21"/>
        </w:rPr>
        <w:t>Based on available data</w:t>
      </w:r>
      <w:r w:rsidR="002C790B">
        <w:rPr>
          <w:rFonts w:ascii="Arial" w:hAnsi="Arial" w:cs="Arial"/>
          <w:sz w:val="21"/>
          <w:szCs w:val="21"/>
        </w:rPr>
        <w:t xml:space="preserve"> and expert opinion, </w:t>
      </w:r>
      <w:r w:rsidRPr="00223CDE">
        <w:rPr>
          <w:rFonts w:ascii="Arial" w:hAnsi="Arial" w:cs="Arial"/>
          <w:sz w:val="21"/>
          <w:szCs w:val="21"/>
        </w:rPr>
        <w:t xml:space="preserve">MenB-FHbp </w:t>
      </w:r>
      <w:r w:rsidR="002C790B">
        <w:rPr>
          <w:rFonts w:ascii="Arial" w:hAnsi="Arial" w:cs="Arial"/>
          <w:sz w:val="21"/>
          <w:szCs w:val="21"/>
        </w:rPr>
        <w:t xml:space="preserve">or </w:t>
      </w:r>
      <w:r w:rsidR="00004D73">
        <w:rPr>
          <w:rFonts w:ascii="Arial" w:hAnsi="Arial" w:cs="Arial"/>
          <w:sz w:val="21"/>
          <w:szCs w:val="21"/>
        </w:rPr>
        <w:t>MenB-4C</w:t>
      </w:r>
      <w:r w:rsidR="002C790B" w:rsidRPr="00223CDE">
        <w:rPr>
          <w:rFonts w:ascii="Arial" w:hAnsi="Arial" w:cs="Arial"/>
          <w:sz w:val="21"/>
          <w:szCs w:val="21"/>
        </w:rPr>
        <w:t xml:space="preserve"> </w:t>
      </w:r>
      <w:r w:rsidRPr="00223CDE">
        <w:rPr>
          <w:rFonts w:ascii="Arial" w:hAnsi="Arial" w:cs="Arial"/>
          <w:sz w:val="21"/>
          <w:szCs w:val="21"/>
        </w:rPr>
        <w:t>may be administered concomitantly with MenACWY vaccines</w:t>
      </w:r>
      <w:r w:rsidR="002C790B">
        <w:rPr>
          <w:rFonts w:ascii="Arial" w:hAnsi="Arial" w:cs="Arial"/>
          <w:sz w:val="21"/>
          <w:szCs w:val="21"/>
        </w:rPr>
        <w:t xml:space="preserve"> and other adolescent vaccines</w:t>
      </w:r>
      <w:r w:rsidRPr="00223CDE">
        <w:rPr>
          <w:rFonts w:ascii="Arial" w:hAnsi="Arial" w:cs="Arial"/>
          <w:sz w:val="21"/>
          <w:szCs w:val="21"/>
        </w:rPr>
        <w:t>, but at a different anatomic site, if feasible.</w:t>
      </w:r>
    </w:p>
    <w:p w:rsidR="00DB5CB8" w:rsidRPr="00223CDE" w:rsidRDefault="007C6477" w:rsidP="00BA3F4C">
      <w:pPr>
        <w:spacing w:before="80" w:after="0" w:line="240" w:lineRule="auto"/>
        <w:rPr>
          <w:rFonts w:ascii="Arial" w:hAnsi="Arial" w:cs="Arial"/>
          <w:sz w:val="21"/>
          <w:szCs w:val="21"/>
        </w:rPr>
      </w:pPr>
      <w:r w:rsidRPr="00223CDE">
        <w:rPr>
          <w:rFonts w:ascii="Arial" w:hAnsi="Arial" w:cs="Arial"/>
          <w:sz w:val="21"/>
          <w:szCs w:val="21"/>
        </w:rPr>
        <w:t xml:space="preserve">Please note: </w:t>
      </w:r>
      <w:r w:rsidR="00361AD7">
        <w:rPr>
          <w:rFonts w:ascii="Arial" w:hAnsi="Arial" w:cs="Arial"/>
          <w:sz w:val="21"/>
          <w:szCs w:val="21"/>
        </w:rPr>
        <w:t xml:space="preserve"> </w:t>
      </w:r>
      <w:r w:rsidRPr="00223CDE">
        <w:rPr>
          <w:rFonts w:ascii="Arial" w:hAnsi="Arial" w:cs="Arial"/>
          <w:sz w:val="21"/>
          <w:szCs w:val="21"/>
        </w:rPr>
        <w:t xml:space="preserve">MenB vaccines are not licensed </w:t>
      </w:r>
      <w:r w:rsidR="00673251" w:rsidRPr="00223CDE">
        <w:rPr>
          <w:rFonts w:ascii="Arial" w:hAnsi="Arial" w:cs="Arial"/>
          <w:sz w:val="21"/>
          <w:szCs w:val="21"/>
        </w:rPr>
        <w:t xml:space="preserve">or recommended </w:t>
      </w:r>
      <w:r w:rsidRPr="00223CDE">
        <w:rPr>
          <w:rFonts w:ascii="Arial" w:hAnsi="Arial" w:cs="Arial"/>
          <w:sz w:val="21"/>
          <w:szCs w:val="21"/>
        </w:rPr>
        <w:t>for children aged &lt;10 years</w:t>
      </w:r>
      <w:r w:rsidR="00673251" w:rsidRPr="00223CDE">
        <w:rPr>
          <w:rFonts w:ascii="Arial" w:hAnsi="Arial" w:cs="Arial"/>
          <w:sz w:val="21"/>
          <w:szCs w:val="21"/>
        </w:rPr>
        <w:t>.</w:t>
      </w:r>
      <w:r w:rsidRPr="00223CDE">
        <w:rPr>
          <w:rFonts w:ascii="Arial" w:hAnsi="Arial" w:cs="Arial"/>
          <w:sz w:val="21"/>
          <w:szCs w:val="21"/>
        </w:rPr>
        <w:t xml:space="preserve"> </w:t>
      </w:r>
      <w:r w:rsidR="00D97B8F">
        <w:rPr>
          <w:rFonts w:ascii="Arial" w:hAnsi="Arial" w:cs="Arial"/>
          <w:sz w:val="21"/>
          <w:szCs w:val="21"/>
        </w:rPr>
        <w:t xml:space="preserve"> </w:t>
      </w:r>
      <w:r w:rsidR="00BA3F4C">
        <w:rPr>
          <w:rFonts w:ascii="Arial" w:hAnsi="Arial" w:cs="Arial"/>
          <w:sz w:val="21"/>
          <w:szCs w:val="21"/>
        </w:rPr>
        <w:t xml:space="preserve">                 </w:t>
      </w:r>
    </w:p>
    <w:p w:rsidR="00BA3F4C" w:rsidRPr="00004D73" w:rsidRDefault="00004D73" w:rsidP="00DB5CB8">
      <w:pPr>
        <w:spacing w:after="0" w:line="240" w:lineRule="auto"/>
        <w:rPr>
          <w:rFonts w:ascii="Arial" w:hAnsi="Arial" w:cs="Arial"/>
          <w:sz w:val="18"/>
          <w:szCs w:val="18"/>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004D73">
        <w:rPr>
          <w:rFonts w:ascii="Arial" w:hAnsi="Arial" w:cs="Arial"/>
          <w:sz w:val="18"/>
          <w:szCs w:val="18"/>
        </w:rPr>
        <w:t>(over)</w:t>
      </w:r>
    </w:p>
    <w:p w:rsidR="001162A7" w:rsidRDefault="001162A7" w:rsidP="00DB5CB8">
      <w:pPr>
        <w:spacing w:after="0" w:line="240" w:lineRule="auto"/>
        <w:rPr>
          <w:rFonts w:ascii="Arial" w:hAnsi="Arial" w:cs="Arial"/>
          <w:sz w:val="21"/>
          <w:szCs w:val="21"/>
        </w:rPr>
      </w:pPr>
    </w:p>
    <w:p w:rsidR="00457C60" w:rsidRPr="00223CDE" w:rsidRDefault="00A9297C" w:rsidP="00DB5CB8">
      <w:pPr>
        <w:spacing w:after="0" w:line="240" w:lineRule="auto"/>
        <w:rPr>
          <w:rFonts w:ascii="Arial" w:hAnsi="Arial" w:cs="Arial"/>
          <w:sz w:val="21"/>
          <w:szCs w:val="21"/>
        </w:rPr>
      </w:pPr>
      <w:r>
        <w:rPr>
          <w:rFonts w:ascii="Arial" w:hAnsi="Arial" w:cs="Arial"/>
          <w:sz w:val="21"/>
          <w:szCs w:val="21"/>
        </w:rPr>
        <w:t>T</w:t>
      </w:r>
      <w:r w:rsidR="00457C60" w:rsidRPr="00223CDE">
        <w:rPr>
          <w:rFonts w:ascii="Arial" w:hAnsi="Arial" w:cs="Arial"/>
          <w:sz w:val="21"/>
          <w:szCs w:val="21"/>
        </w:rPr>
        <w:t xml:space="preserve">he table </w:t>
      </w:r>
      <w:r w:rsidR="002B3100" w:rsidRPr="00223CDE">
        <w:rPr>
          <w:rFonts w:ascii="Arial" w:hAnsi="Arial" w:cs="Arial"/>
          <w:sz w:val="21"/>
          <w:szCs w:val="21"/>
        </w:rPr>
        <w:t xml:space="preserve">below </w:t>
      </w:r>
      <w:r>
        <w:rPr>
          <w:rFonts w:ascii="Arial" w:hAnsi="Arial" w:cs="Arial"/>
          <w:sz w:val="21"/>
          <w:szCs w:val="21"/>
        </w:rPr>
        <w:t xml:space="preserve">provides </w:t>
      </w:r>
      <w:r w:rsidR="00457C60" w:rsidRPr="00223CDE">
        <w:rPr>
          <w:rFonts w:ascii="Arial" w:hAnsi="Arial" w:cs="Arial"/>
          <w:sz w:val="21"/>
          <w:szCs w:val="21"/>
        </w:rPr>
        <w:t>additional information about the vaccines and their schedules.</w:t>
      </w:r>
    </w:p>
    <w:p w:rsidR="00416744" w:rsidRPr="00416744" w:rsidRDefault="00416744" w:rsidP="00DB5CB8">
      <w:pPr>
        <w:spacing w:after="0" w:line="240" w:lineRule="auto"/>
        <w:rPr>
          <w:rFonts w:ascii="Arial" w:hAnsi="Arial" w:cs="Arial"/>
          <w:sz w:val="16"/>
          <w:szCs w:val="16"/>
        </w:rPr>
      </w:pPr>
    </w:p>
    <w:p w:rsidR="00DD5F90" w:rsidRPr="00434844" w:rsidRDefault="00DD5F90" w:rsidP="00252129">
      <w:pPr>
        <w:spacing w:after="0" w:line="240" w:lineRule="auto"/>
        <w:jc w:val="center"/>
        <w:rPr>
          <w:rFonts w:ascii="Arial" w:hAnsi="Arial" w:cs="Arial"/>
          <w:b/>
          <w:sz w:val="24"/>
          <w:szCs w:val="24"/>
        </w:rPr>
      </w:pPr>
      <w:r w:rsidRPr="00434844">
        <w:rPr>
          <w:rFonts w:ascii="Arial" w:hAnsi="Arial" w:cs="Arial"/>
          <w:b/>
          <w:sz w:val="24"/>
          <w:szCs w:val="24"/>
        </w:rPr>
        <w:t>Meningococcal Group B Vaccines</w:t>
      </w:r>
    </w:p>
    <w:p w:rsidR="00DD5F90" w:rsidRPr="00223CDE" w:rsidRDefault="00DD5F90" w:rsidP="00DB5CB8">
      <w:pPr>
        <w:spacing w:after="0" w:line="240" w:lineRule="auto"/>
        <w:rPr>
          <w:rFonts w:ascii="Arial" w:hAnsi="Arial" w:cs="Arial"/>
          <w:sz w:val="8"/>
          <w:szCs w:val="8"/>
        </w:rPr>
      </w:pPr>
    </w:p>
    <w:tbl>
      <w:tblPr>
        <w:tblW w:w="9885" w:type="dxa"/>
        <w:jc w:val="center"/>
        <w:tblInd w:w="-1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5"/>
        <w:gridCol w:w="5591"/>
        <w:gridCol w:w="1519"/>
      </w:tblGrid>
      <w:tr w:rsidR="00DD5F90" w:rsidRPr="00DB5CB8" w:rsidTr="00223CDE">
        <w:trPr>
          <w:jc w:val="center"/>
        </w:trPr>
        <w:tc>
          <w:tcPr>
            <w:tcW w:w="2775" w:type="dxa"/>
            <w:shd w:val="clear" w:color="auto" w:fill="F3F3F3"/>
            <w:vAlign w:val="center"/>
          </w:tcPr>
          <w:p w:rsidR="00DD5F90" w:rsidRPr="00434844" w:rsidRDefault="00DD5F90" w:rsidP="00434844">
            <w:pPr>
              <w:spacing w:before="40" w:after="40" w:line="240" w:lineRule="auto"/>
              <w:rPr>
                <w:rFonts w:ascii="Arial" w:hAnsi="Arial" w:cs="Arial"/>
                <w:b/>
              </w:rPr>
            </w:pPr>
            <w:r w:rsidRPr="00434844">
              <w:rPr>
                <w:rFonts w:ascii="Arial" w:hAnsi="Arial" w:cs="Arial"/>
                <w:b/>
              </w:rPr>
              <w:t>Vaccine/ Manufacturer</w:t>
            </w:r>
          </w:p>
        </w:tc>
        <w:tc>
          <w:tcPr>
            <w:tcW w:w="5591" w:type="dxa"/>
            <w:shd w:val="clear" w:color="auto" w:fill="F3F3F3"/>
            <w:vAlign w:val="center"/>
          </w:tcPr>
          <w:p w:rsidR="00DD5F90" w:rsidRPr="00417030" w:rsidRDefault="00DD5F90" w:rsidP="00DB5CB8">
            <w:pPr>
              <w:spacing w:after="0" w:line="240" w:lineRule="auto"/>
              <w:rPr>
                <w:rFonts w:ascii="Arial" w:hAnsi="Arial" w:cs="Arial"/>
                <w:b/>
                <w:strike/>
              </w:rPr>
            </w:pPr>
            <w:r w:rsidRPr="00434844">
              <w:rPr>
                <w:rFonts w:ascii="Arial" w:hAnsi="Arial" w:cs="Arial"/>
                <w:b/>
              </w:rPr>
              <w:t>Antigen Content</w:t>
            </w:r>
          </w:p>
        </w:tc>
        <w:tc>
          <w:tcPr>
            <w:tcW w:w="1519" w:type="dxa"/>
            <w:shd w:val="clear" w:color="auto" w:fill="F3F3F3"/>
            <w:vAlign w:val="center"/>
          </w:tcPr>
          <w:p w:rsidR="00DD5F90" w:rsidRPr="00434844" w:rsidRDefault="00DD5F90" w:rsidP="00DB5CB8">
            <w:pPr>
              <w:spacing w:after="0" w:line="240" w:lineRule="auto"/>
              <w:rPr>
                <w:rFonts w:ascii="Arial" w:hAnsi="Arial" w:cs="Arial"/>
                <w:b/>
              </w:rPr>
            </w:pPr>
            <w:r w:rsidRPr="00434844">
              <w:rPr>
                <w:rFonts w:ascii="Arial" w:hAnsi="Arial" w:cs="Arial"/>
                <w:b/>
              </w:rPr>
              <w:t>Schedule</w:t>
            </w:r>
          </w:p>
        </w:tc>
      </w:tr>
      <w:tr w:rsidR="00DD5F90" w:rsidRPr="00DB5CB8" w:rsidTr="00223CDE">
        <w:trPr>
          <w:trHeight w:val="1502"/>
          <w:jc w:val="center"/>
        </w:trPr>
        <w:tc>
          <w:tcPr>
            <w:tcW w:w="2775" w:type="dxa"/>
            <w:shd w:val="clear" w:color="auto" w:fill="auto"/>
          </w:tcPr>
          <w:p w:rsidR="00DD5F90" w:rsidRPr="00223CDE" w:rsidRDefault="00DD5F90" w:rsidP="00434844">
            <w:pPr>
              <w:spacing w:before="40" w:after="0" w:line="240" w:lineRule="auto"/>
              <w:rPr>
                <w:rFonts w:ascii="Arial" w:hAnsi="Arial" w:cs="Arial"/>
                <w:sz w:val="21"/>
                <w:szCs w:val="21"/>
              </w:rPr>
            </w:pPr>
            <w:r w:rsidRPr="00223CDE">
              <w:rPr>
                <w:rFonts w:ascii="Arial" w:hAnsi="Arial" w:cs="Arial"/>
                <w:sz w:val="21"/>
                <w:szCs w:val="21"/>
              </w:rPr>
              <w:t>MenB-FHbp (Trumenba)</w:t>
            </w:r>
          </w:p>
          <w:p w:rsidR="00DD5F90" w:rsidRPr="00223CDE" w:rsidRDefault="00DD5F90" w:rsidP="00DB5CB8">
            <w:pPr>
              <w:spacing w:after="0" w:line="240" w:lineRule="auto"/>
              <w:rPr>
                <w:rFonts w:ascii="Arial" w:hAnsi="Arial" w:cs="Arial"/>
                <w:sz w:val="21"/>
                <w:szCs w:val="21"/>
              </w:rPr>
            </w:pPr>
          </w:p>
          <w:p w:rsidR="00DD5F90" w:rsidRPr="00223CDE" w:rsidRDefault="00DD5F90" w:rsidP="00434844">
            <w:pPr>
              <w:spacing w:after="0" w:line="240" w:lineRule="auto"/>
              <w:rPr>
                <w:rFonts w:ascii="Arial" w:hAnsi="Arial" w:cs="Arial"/>
                <w:sz w:val="21"/>
                <w:szCs w:val="21"/>
              </w:rPr>
            </w:pPr>
            <w:r w:rsidRPr="00223CDE">
              <w:rPr>
                <w:rFonts w:ascii="Arial" w:hAnsi="Arial" w:cs="Arial"/>
                <w:sz w:val="21"/>
                <w:szCs w:val="21"/>
              </w:rPr>
              <w:t>Pfizer</w:t>
            </w:r>
          </w:p>
        </w:tc>
        <w:tc>
          <w:tcPr>
            <w:tcW w:w="5591" w:type="dxa"/>
            <w:shd w:val="clear" w:color="auto" w:fill="auto"/>
          </w:tcPr>
          <w:p w:rsidR="00DD5F90" w:rsidRPr="00223CDE" w:rsidRDefault="00DD5F90" w:rsidP="00434844">
            <w:pPr>
              <w:spacing w:before="40" w:after="0" w:line="240" w:lineRule="auto"/>
              <w:rPr>
                <w:rFonts w:ascii="Arial" w:hAnsi="Arial" w:cs="Arial"/>
                <w:b/>
                <w:sz w:val="21"/>
                <w:szCs w:val="21"/>
              </w:rPr>
            </w:pPr>
            <w:r w:rsidRPr="00223CDE">
              <w:rPr>
                <w:rFonts w:ascii="Arial" w:hAnsi="Arial" w:cs="Arial"/>
                <w:b/>
                <w:sz w:val="21"/>
                <w:szCs w:val="21"/>
              </w:rPr>
              <w:t>Components:</w:t>
            </w:r>
          </w:p>
          <w:p w:rsidR="00DD5F90" w:rsidRPr="00223CDE" w:rsidRDefault="00DD5F90" w:rsidP="00DB5CB8">
            <w:pPr>
              <w:spacing w:after="0" w:line="240" w:lineRule="auto"/>
              <w:rPr>
                <w:rFonts w:ascii="Arial" w:hAnsi="Arial" w:cs="Arial"/>
                <w:sz w:val="21"/>
                <w:szCs w:val="21"/>
              </w:rPr>
            </w:pPr>
            <w:r w:rsidRPr="00223CDE">
              <w:rPr>
                <w:rFonts w:ascii="Arial" w:hAnsi="Arial" w:cs="Arial"/>
                <w:sz w:val="21"/>
                <w:szCs w:val="21"/>
              </w:rPr>
              <w:t>Two highly conserved variants of factor H binding protein (FHbp) subtypes:</w:t>
            </w:r>
          </w:p>
          <w:p w:rsidR="00DD5F90" w:rsidRPr="00223CDE" w:rsidRDefault="00DD5F90" w:rsidP="00E93817">
            <w:pPr>
              <w:spacing w:after="0" w:line="240" w:lineRule="auto"/>
              <w:ind w:left="720"/>
              <w:rPr>
                <w:rFonts w:ascii="Arial" w:hAnsi="Arial" w:cs="Arial"/>
                <w:sz w:val="21"/>
                <w:szCs w:val="21"/>
              </w:rPr>
            </w:pPr>
            <w:r w:rsidRPr="00223CDE">
              <w:rPr>
                <w:rFonts w:ascii="Arial" w:hAnsi="Arial" w:cs="Arial"/>
                <w:sz w:val="21"/>
                <w:szCs w:val="21"/>
              </w:rPr>
              <w:t>subfamily A/v2,3</w:t>
            </w:r>
          </w:p>
          <w:p w:rsidR="00DD5F90" w:rsidRPr="00223CDE" w:rsidRDefault="00DD5F90" w:rsidP="00E93817">
            <w:pPr>
              <w:spacing w:after="0" w:line="240" w:lineRule="auto"/>
              <w:ind w:left="720"/>
              <w:rPr>
                <w:rFonts w:ascii="Arial" w:hAnsi="Arial" w:cs="Arial"/>
                <w:sz w:val="21"/>
                <w:szCs w:val="21"/>
              </w:rPr>
            </w:pPr>
            <w:r w:rsidRPr="00223CDE">
              <w:rPr>
                <w:rFonts w:ascii="Arial" w:hAnsi="Arial" w:cs="Arial"/>
                <w:sz w:val="21"/>
                <w:szCs w:val="21"/>
              </w:rPr>
              <w:t>subfamily B/v1</w:t>
            </w:r>
          </w:p>
        </w:tc>
        <w:tc>
          <w:tcPr>
            <w:tcW w:w="1519" w:type="dxa"/>
          </w:tcPr>
          <w:p w:rsidR="00DD5F90" w:rsidRPr="00223CDE" w:rsidRDefault="00DD5F90" w:rsidP="00DB5CB8">
            <w:pPr>
              <w:spacing w:after="0" w:line="240" w:lineRule="auto"/>
              <w:rPr>
                <w:rFonts w:ascii="Arial" w:hAnsi="Arial" w:cs="Arial"/>
                <w:sz w:val="21"/>
                <w:szCs w:val="21"/>
              </w:rPr>
            </w:pPr>
          </w:p>
          <w:p w:rsidR="00DD5F90" w:rsidRPr="00223CDE" w:rsidRDefault="00DD5F90" w:rsidP="00DB5CB8">
            <w:pPr>
              <w:spacing w:after="0" w:line="240" w:lineRule="auto"/>
              <w:rPr>
                <w:rFonts w:ascii="Arial" w:hAnsi="Arial" w:cs="Arial"/>
                <w:sz w:val="21"/>
                <w:szCs w:val="21"/>
              </w:rPr>
            </w:pPr>
            <w:r w:rsidRPr="00223CDE">
              <w:rPr>
                <w:rFonts w:ascii="Arial" w:hAnsi="Arial" w:cs="Arial"/>
                <w:sz w:val="21"/>
                <w:szCs w:val="21"/>
              </w:rPr>
              <w:t>0, 2, 6 mos</w:t>
            </w:r>
          </w:p>
        </w:tc>
      </w:tr>
      <w:tr w:rsidR="00DD5F90" w:rsidRPr="00DB5CB8" w:rsidTr="00223CDE">
        <w:trPr>
          <w:jc w:val="center"/>
        </w:trPr>
        <w:tc>
          <w:tcPr>
            <w:tcW w:w="2775" w:type="dxa"/>
            <w:tcBorders>
              <w:bottom w:val="single" w:sz="4" w:space="0" w:color="auto"/>
            </w:tcBorders>
            <w:shd w:val="clear" w:color="auto" w:fill="auto"/>
          </w:tcPr>
          <w:p w:rsidR="00DD5F90" w:rsidRPr="00223CDE" w:rsidRDefault="00DD5F90" w:rsidP="00434844">
            <w:pPr>
              <w:spacing w:before="40" w:after="0" w:line="240" w:lineRule="auto"/>
              <w:rPr>
                <w:rFonts w:ascii="Arial" w:hAnsi="Arial" w:cs="Arial"/>
                <w:sz w:val="21"/>
                <w:szCs w:val="21"/>
              </w:rPr>
            </w:pPr>
            <w:r w:rsidRPr="00223CDE">
              <w:rPr>
                <w:rFonts w:ascii="Arial" w:hAnsi="Arial" w:cs="Arial"/>
                <w:sz w:val="21"/>
                <w:szCs w:val="21"/>
              </w:rPr>
              <w:t>MenB-4C</w:t>
            </w:r>
          </w:p>
          <w:p w:rsidR="00DD5F90" w:rsidRPr="00223CDE" w:rsidRDefault="00DD5F90" w:rsidP="00DB5CB8">
            <w:pPr>
              <w:spacing w:after="0" w:line="240" w:lineRule="auto"/>
              <w:rPr>
                <w:rFonts w:ascii="Arial" w:hAnsi="Arial" w:cs="Arial"/>
                <w:sz w:val="21"/>
                <w:szCs w:val="21"/>
              </w:rPr>
            </w:pPr>
            <w:r w:rsidRPr="00223CDE">
              <w:rPr>
                <w:rFonts w:ascii="Arial" w:hAnsi="Arial" w:cs="Arial"/>
                <w:sz w:val="21"/>
                <w:szCs w:val="21"/>
              </w:rPr>
              <w:t>(Bexsero)</w:t>
            </w:r>
          </w:p>
          <w:p w:rsidR="00DD5F90" w:rsidRPr="00223CDE" w:rsidRDefault="00DD5F90" w:rsidP="00DB5CB8">
            <w:pPr>
              <w:spacing w:after="0" w:line="240" w:lineRule="auto"/>
              <w:rPr>
                <w:rFonts w:ascii="Arial" w:hAnsi="Arial" w:cs="Arial"/>
                <w:sz w:val="21"/>
                <w:szCs w:val="21"/>
              </w:rPr>
            </w:pPr>
          </w:p>
          <w:p w:rsidR="00DD5F90" w:rsidRPr="00223CDE" w:rsidRDefault="00DD5F90" w:rsidP="00DB5CB8">
            <w:pPr>
              <w:spacing w:after="0" w:line="240" w:lineRule="auto"/>
              <w:rPr>
                <w:rFonts w:ascii="Arial" w:hAnsi="Arial" w:cs="Arial"/>
                <w:sz w:val="21"/>
                <w:szCs w:val="21"/>
              </w:rPr>
            </w:pPr>
            <w:r w:rsidRPr="00223CDE">
              <w:rPr>
                <w:rFonts w:ascii="Arial" w:hAnsi="Arial" w:cs="Arial"/>
                <w:sz w:val="21"/>
                <w:szCs w:val="21"/>
              </w:rPr>
              <w:t>GSK</w:t>
            </w:r>
          </w:p>
          <w:p w:rsidR="00DD5F90" w:rsidRPr="00223CDE" w:rsidRDefault="00DD5F90" w:rsidP="00DB5CB8">
            <w:pPr>
              <w:spacing w:after="0" w:line="240" w:lineRule="auto"/>
              <w:rPr>
                <w:rFonts w:ascii="Arial" w:hAnsi="Arial" w:cs="Arial"/>
                <w:sz w:val="21"/>
                <w:szCs w:val="21"/>
              </w:rPr>
            </w:pPr>
          </w:p>
        </w:tc>
        <w:tc>
          <w:tcPr>
            <w:tcW w:w="5591" w:type="dxa"/>
            <w:tcBorders>
              <w:bottom w:val="single" w:sz="4" w:space="0" w:color="auto"/>
            </w:tcBorders>
            <w:shd w:val="clear" w:color="auto" w:fill="auto"/>
          </w:tcPr>
          <w:p w:rsidR="00DD5F90" w:rsidRPr="00223CDE" w:rsidRDefault="00DD5F90" w:rsidP="00434844">
            <w:pPr>
              <w:spacing w:before="40" w:after="0" w:line="240" w:lineRule="auto"/>
              <w:rPr>
                <w:rFonts w:ascii="Arial" w:hAnsi="Arial" w:cs="Arial"/>
                <w:b/>
                <w:sz w:val="21"/>
                <w:szCs w:val="21"/>
              </w:rPr>
            </w:pPr>
            <w:r w:rsidRPr="00223CDE">
              <w:rPr>
                <w:rFonts w:ascii="Arial" w:hAnsi="Arial" w:cs="Arial"/>
                <w:b/>
                <w:sz w:val="21"/>
                <w:szCs w:val="21"/>
              </w:rPr>
              <w:t>Components:</w:t>
            </w:r>
          </w:p>
          <w:p w:rsidR="00DD5F90" w:rsidRPr="00223CDE" w:rsidRDefault="00DD5F90" w:rsidP="00DB5CB8">
            <w:pPr>
              <w:spacing w:after="0" w:line="240" w:lineRule="auto"/>
              <w:rPr>
                <w:rFonts w:ascii="Arial" w:hAnsi="Arial" w:cs="Arial"/>
                <w:sz w:val="21"/>
                <w:szCs w:val="21"/>
              </w:rPr>
            </w:pPr>
            <w:r w:rsidRPr="00223CDE">
              <w:rPr>
                <w:rFonts w:ascii="Arial" w:hAnsi="Arial" w:cs="Arial"/>
                <w:sz w:val="21"/>
                <w:szCs w:val="21"/>
              </w:rPr>
              <w:t>Factor H binding protein (</w:t>
            </w:r>
            <w:r w:rsidR="005F64B7" w:rsidRPr="00223CDE">
              <w:rPr>
                <w:rFonts w:ascii="Arial" w:hAnsi="Arial" w:cs="Arial"/>
                <w:sz w:val="21"/>
                <w:szCs w:val="21"/>
              </w:rPr>
              <w:t>F</w:t>
            </w:r>
            <w:r w:rsidRPr="00223CDE">
              <w:rPr>
                <w:rFonts w:ascii="Arial" w:hAnsi="Arial" w:cs="Arial"/>
                <w:sz w:val="21"/>
                <w:szCs w:val="21"/>
              </w:rPr>
              <w:t>Hbp) subfamily B/v1</w:t>
            </w:r>
          </w:p>
          <w:p w:rsidR="00DD5F90" w:rsidRPr="00223CDE" w:rsidRDefault="00DD5F90" w:rsidP="00DB5CB8">
            <w:pPr>
              <w:spacing w:after="0" w:line="240" w:lineRule="auto"/>
              <w:rPr>
                <w:rFonts w:ascii="Arial" w:hAnsi="Arial" w:cs="Arial"/>
                <w:sz w:val="21"/>
                <w:szCs w:val="21"/>
              </w:rPr>
            </w:pPr>
            <w:r w:rsidRPr="00223CDE">
              <w:rPr>
                <w:rFonts w:ascii="Arial" w:hAnsi="Arial" w:cs="Arial"/>
                <w:sz w:val="21"/>
                <w:szCs w:val="21"/>
              </w:rPr>
              <w:t>Neisserial adhesion A (NadA)</w:t>
            </w:r>
          </w:p>
          <w:p w:rsidR="00DD5F90" w:rsidRPr="00223CDE" w:rsidRDefault="00DD5F90" w:rsidP="00DB5CB8">
            <w:pPr>
              <w:spacing w:after="0" w:line="240" w:lineRule="auto"/>
              <w:rPr>
                <w:rFonts w:ascii="Arial" w:hAnsi="Arial" w:cs="Arial"/>
                <w:sz w:val="21"/>
                <w:szCs w:val="21"/>
              </w:rPr>
            </w:pPr>
            <w:r w:rsidRPr="00223CDE">
              <w:rPr>
                <w:rFonts w:ascii="Arial" w:hAnsi="Arial" w:cs="Arial"/>
                <w:sz w:val="21"/>
                <w:szCs w:val="21"/>
              </w:rPr>
              <w:t>Neisserial heparin binding antigen (NHBA)</w:t>
            </w:r>
          </w:p>
          <w:p w:rsidR="00DD5F90" w:rsidRPr="00223CDE" w:rsidRDefault="00DD5F90" w:rsidP="00186D25">
            <w:pPr>
              <w:spacing w:after="80" w:line="240" w:lineRule="auto"/>
              <w:rPr>
                <w:rFonts w:ascii="Arial" w:hAnsi="Arial" w:cs="Arial"/>
                <w:sz w:val="21"/>
                <w:szCs w:val="21"/>
              </w:rPr>
            </w:pPr>
            <w:r w:rsidRPr="00223CDE">
              <w:rPr>
                <w:rFonts w:ascii="Arial" w:hAnsi="Arial" w:cs="Arial"/>
                <w:sz w:val="21"/>
                <w:szCs w:val="21"/>
              </w:rPr>
              <w:t>Outer membrane vesicles (OMV) containing PorA P1.4</w:t>
            </w:r>
          </w:p>
        </w:tc>
        <w:tc>
          <w:tcPr>
            <w:tcW w:w="1519" w:type="dxa"/>
            <w:tcBorders>
              <w:bottom w:val="single" w:sz="4" w:space="0" w:color="auto"/>
            </w:tcBorders>
          </w:tcPr>
          <w:p w:rsidR="00DD5F90" w:rsidRPr="00223CDE" w:rsidRDefault="00DD5F90" w:rsidP="00DB5CB8">
            <w:pPr>
              <w:spacing w:after="0" w:line="240" w:lineRule="auto"/>
              <w:rPr>
                <w:rFonts w:ascii="Arial" w:hAnsi="Arial" w:cs="Arial"/>
                <w:sz w:val="21"/>
                <w:szCs w:val="21"/>
              </w:rPr>
            </w:pPr>
          </w:p>
          <w:p w:rsidR="00DD5F90" w:rsidRPr="00223CDE" w:rsidRDefault="00DB0D51" w:rsidP="00DB5CB8">
            <w:pPr>
              <w:spacing w:after="0" w:line="240" w:lineRule="auto"/>
              <w:rPr>
                <w:rFonts w:ascii="Arial" w:hAnsi="Arial" w:cs="Arial"/>
                <w:sz w:val="21"/>
                <w:szCs w:val="21"/>
              </w:rPr>
            </w:pPr>
            <w:r w:rsidRPr="00455804">
              <w:rPr>
                <w:rFonts w:ascii="Arial" w:hAnsi="Arial" w:cs="Arial"/>
                <w:sz w:val="21"/>
                <w:szCs w:val="21"/>
              </w:rPr>
              <w:t>0,</w:t>
            </w:r>
            <w:r w:rsidR="00C1278F" w:rsidRPr="00455804">
              <w:rPr>
                <w:rFonts w:ascii="Arial" w:hAnsi="Arial" w:cs="Arial"/>
                <w:sz w:val="21"/>
                <w:szCs w:val="21"/>
                <w:u w:val="single"/>
              </w:rPr>
              <w:t>&gt;</w:t>
            </w:r>
            <w:r w:rsidR="00DD5F90" w:rsidRPr="00455804">
              <w:rPr>
                <w:rFonts w:ascii="Arial" w:hAnsi="Arial" w:cs="Arial"/>
                <w:sz w:val="21"/>
                <w:szCs w:val="21"/>
              </w:rPr>
              <w:t>1</w:t>
            </w:r>
            <w:r w:rsidR="00C1278F" w:rsidRPr="00455804">
              <w:rPr>
                <w:rFonts w:ascii="Arial" w:hAnsi="Arial" w:cs="Arial"/>
                <w:sz w:val="21"/>
                <w:szCs w:val="21"/>
              </w:rPr>
              <w:t>*</w:t>
            </w:r>
          </w:p>
          <w:p w:rsidR="00DD5F90" w:rsidRPr="00223CDE" w:rsidRDefault="00DD5F90" w:rsidP="00C1278F">
            <w:pPr>
              <w:spacing w:after="0" w:line="240" w:lineRule="auto"/>
              <w:rPr>
                <w:rFonts w:ascii="Arial" w:hAnsi="Arial" w:cs="Arial"/>
                <w:sz w:val="21"/>
                <w:szCs w:val="21"/>
              </w:rPr>
            </w:pPr>
          </w:p>
        </w:tc>
      </w:tr>
    </w:tbl>
    <w:p w:rsidR="00774206" w:rsidRPr="00223CDE" w:rsidRDefault="00774206" w:rsidP="003808FD">
      <w:pPr>
        <w:spacing w:before="40" w:after="0" w:line="240" w:lineRule="auto"/>
        <w:ind w:left="1440"/>
        <w:rPr>
          <w:rFonts w:ascii="Arial" w:hAnsi="Arial" w:cs="Arial"/>
          <w:sz w:val="20"/>
          <w:szCs w:val="20"/>
        </w:rPr>
      </w:pPr>
      <w:r w:rsidRPr="00455804">
        <w:rPr>
          <w:rFonts w:ascii="Arial" w:hAnsi="Arial" w:cs="Arial"/>
          <w:sz w:val="20"/>
          <w:szCs w:val="20"/>
        </w:rPr>
        <w:t>*In some studies</w:t>
      </w:r>
      <w:r w:rsidR="003808FD" w:rsidRPr="00455804">
        <w:rPr>
          <w:rFonts w:ascii="Arial" w:hAnsi="Arial" w:cs="Arial"/>
          <w:sz w:val="20"/>
          <w:szCs w:val="20"/>
        </w:rPr>
        <w:t>,</w:t>
      </w:r>
      <w:r w:rsidRPr="00455804">
        <w:rPr>
          <w:rFonts w:ascii="Arial" w:hAnsi="Arial" w:cs="Arial"/>
          <w:sz w:val="20"/>
          <w:szCs w:val="20"/>
        </w:rPr>
        <w:t xml:space="preserve"> doses of MenB-4C were administered up to 6 months apart.</w:t>
      </w:r>
    </w:p>
    <w:p w:rsidR="00774206" w:rsidRPr="00223CDE" w:rsidRDefault="00774206" w:rsidP="00962EEB">
      <w:pPr>
        <w:spacing w:after="0" w:line="240" w:lineRule="auto"/>
        <w:ind w:left="1440"/>
        <w:rPr>
          <w:rFonts w:ascii="Arial" w:hAnsi="Arial" w:cs="Arial"/>
          <w:sz w:val="20"/>
          <w:szCs w:val="20"/>
        </w:rPr>
      </w:pPr>
    </w:p>
    <w:p w:rsidR="00962EEB" w:rsidRPr="00223CDE" w:rsidRDefault="00DD5F90" w:rsidP="00962EEB">
      <w:pPr>
        <w:spacing w:after="0" w:line="240" w:lineRule="auto"/>
        <w:ind w:left="1440"/>
        <w:rPr>
          <w:rFonts w:ascii="Arial" w:eastAsia="Times New Roman" w:hAnsi="Arial" w:cs="Arial"/>
          <w:sz w:val="20"/>
          <w:szCs w:val="20"/>
        </w:rPr>
      </w:pPr>
      <w:r w:rsidRPr="00223CDE">
        <w:rPr>
          <w:rFonts w:ascii="Arial" w:hAnsi="Arial" w:cs="Arial"/>
          <w:sz w:val="20"/>
          <w:szCs w:val="20"/>
        </w:rPr>
        <w:t xml:space="preserve">Package Inserts from FDA Website: </w:t>
      </w:r>
      <w:hyperlink r:id="rId11" w:history="1">
        <w:r w:rsidRPr="00223CDE">
          <w:rPr>
            <w:rStyle w:val="Hyperlink"/>
            <w:rFonts w:ascii="Arial" w:hAnsi="Arial" w:cs="Arial"/>
            <w:sz w:val="20"/>
            <w:szCs w:val="20"/>
          </w:rPr>
          <w:t>Trumenba</w:t>
        </w:r>
      </w:hyperlink>
      <w:r w:rsidRPr="00223CDE">
        <w:rPr>
          <w:rFonts w:ascii="Arial" w:hAnsi="Arial" w:cs="Arial"/>
          <w:sz w:val="20"/>
          <w:szCs w:val="20"/>
        </w:rPr>
        <w:t xml:space="preserve"> and </w:t>
      </w:r>
      <w:hyperlink r:id="rId12" w:history="1">
        <w:r w:rsidR="00962EEB" w:rsidRPr="00223CDE">
          <w:rPr>
            <w:rFonts w:ascii="Arial" w:eastAsia="Times New Roman" w:hAnsi="Arial" w:cs="Arial"/>
            <w:color w:val="0000FF"/>
            <w:sz w:val="20"/>
            <w:szCs w:val="20"/>
            <w:u w:val="single"/>
          </w:rPr>
          <w:t>Bexsero</w:t>
        </w:r>
      </w:hyperlink>
    </w:p>
    <w:p w:rsidR="00030A30" w:rsidRDefault="00030A30" w:rsidP="00030A30">
      <w:pPr>
        <w:spacing w:after="0" w:line="240" w:lineRule="auto"/>
        <w:rPr>
          <w:rFonts w:ascii="Arial" w:hAnsi="Arial" w:cs="Arial"/>
        </w:rPr>
      </w:pPr>
    </w:p>
    <w:p w:rsidR="002C790B" w:rsidRPr="00D115F8" w:rsidRDefault="002C790B" w:rsidP="00030A30">
      <w:pPr>
        <w:spacing w:after="0" w:line="240" w:lineRule="auto"/>
        <w:rPr>
          <w:rFonts w:ascii="Arial" w:hAnsi="Arial" w:cs="Arial"/>
        </w:rPr>
      </w:pPr>
    </w:p>
    <w:p w:rsidR="00FC40EB" w:rsidRPr="00962EEB" w:rsidRDefault="00FC40EB" w:rsidP="00533BD8">
      <w:pPr>
        <w:pStyle w:val="ListParagraph"/>
        <w:numPr>
          <w:ilvl w:val="0"/>
          <w:numId w:val="11"/>
        </w:numPr>
        <w:spacing w:after="0"/>
        <w:rPr>
          <w:rFonts w:ascii="Arial" w:hAnsi="Arial" w:cs="Arial"/>
          <w:b/>
          <w:sz w:val="24"/>
          <w:szCs w:val="24"/>
        </w:rPr>
      </w:pPr>
      <w:r w:rsidRPr="00962EEB">
        <w:rPr>
          <w:rFonts w:ascii="Arial" w:hAnsi="Arial" w:cs="Arial"/>
          <w:b/>
          <w:sz w:val="24"/>
          <w:szCs w:val="24"/>
        </w:rPr>
        <w:t>Vaccine Availability and Ordering</w:t>
      </w:r>
    </w:p>
    <w:p w:rsidR="00533BD8" w:rsidRPr="00223CDE" w:rsidRDefault="00533BD8" w:rsidP="00533BD8">
      <w:pPr>
        <w:spacing w:after="0"/>
        <w:rPr>
          <w:rFonts w:ascii="Arial" w:hAnsi="Arial" w:cs="Arial"/>
          <w:sz w:val="21"/>
          <w:szCs w:val="21"/>
        </w:rPr>
      </w:pPr>
      <w:r w:rsidRPr="00223CDE">
        <w:rPr>
          <w:rFonts w:ascii="Arial" w:hAnsi="Arial" w:cs="Arial"/>
          <w:sz w:val="21"/>
          <w:szCs w:val="21"/>
        </w:rPr>
        <w:t xml:space="preserve">Because MenB vaccine is not currently in your inventory, you will need to perform an additional step the first time you order this vaccine.  You will need to select “Add Vaccine from Formulary” at the bottom of the screen after you request doses of the other vaccines you are ordering.  Under “Vaccine”, there is a drop down menu.  </w:t>
      </w:r>
    </w:p>
    <w:p w:rsidR="00533BD8" w:rsidRPr="00223CDE" w:rsidRDefault="00533BD8" w:rsidP="00533BD8">
      <w:pPr>
        <w:pStyle w:val="ListParagraph"/>
        <w:numPr>
          <w:ilvl w:val="0"/>
          <w:numId w:val="15"/>
        </w:numPr>
        <w:spacing w:after="0" w:line="240" w:lineRule="auto"/>
        <w:contextualSpacing w:val="0"/>
        <w:rPr>
          <w:rFonts w:ascii="Arial" w:hAnsi="Arial" w:cs="Arial"/>
          <w:sz w:val="21"/>
          <w:szCs w:val="21"/>
        </w:rPr>
      </w:pPr>
      <w:r w:rsidRPr="00223CDE">
        <w:rPr>
          <w:rFonts w:ascii="Arial" w:hAnsi="Arial" w:cs="Arial"/>
          <w:sz w:val="21"/>
          <w:szCs w:val="21"/>
        </w:rPr>
        <w:t>If you want to order Bexsero®, you will need to select MenB-4C – Bexsero</w:t>
      </w:r>
    </w:p>
    <w:p w:rsidR="00533BD8" w:rsidRPr="00223CDE" w:rsidRDefault="00533BD8" w:rsidP="00533BD8">
      <w:pPr>
        <w:pStyle w:val="ListParagraph"/>
        <w:numPr>
          <w:ilvl w:val="0"/>
          <w:numId w:val="15"/>
        </w:numPr>
        <w:spacing w:after="0" w:line="240" w:lineRule="auto"/>
        <w:contextualSpacing w:val="0"/>
        <w:rPr>
          <w:rFonts w:ascii="Arial" w:hAnsi="Arial" w:cs="Arial"/>
          <w:sz w:val="21"/>
          <w:szCs w:val="21"/>
        </w:rPr>
      </w:pPr>
      <w:r w:rsidRPr="00223CDE">
        <w:rPr>
          <w:rFonts w:ascii="Arial" w:hAnsi="Arial" w:cs="Arial"/>
          <w:sz w:val="21"/>
          <w:szCs w:val="21"/>
        </w:rPr>
        <w:t xml:space="preserve">If you want to order Trumenba®, you will need to select MenB-FHbp – Trumenba </w:t>
      </w:r>
    </w:p>
    <w:p w:rsidR="00533BD8" w:rsidRPr="00223CDE" w:rsidRDefault="00533BD8" w:rsidP="00533BD8">
      <w:pPr>
        <w:spacing w:after="0"/>
        <w:rPr>
          <w:rFonts w:ascii="Arial" w:hAnsi="Arial" w:cs="Arial"/>
          <w:sz w:val="21"/>
          <w:szCs w:val="21"/>
        </w:rPr>
      </w:pPr>
    </w:p>
    <w:p w:rsidR="00533BD8" w:rsidRPr="00223CDE" w:rsidRDefault="00533BD8" w:rsidP="00533BD8">
      <w:pPr>
        <w:spacing w:after="0"/>
        <w:rPr>
          <w:rFonts w:ascii="Arial" w:hAnsi="Arial" w:cs="Arial"/>
          <w:sz w:val="21"/>
          <w:szCs w:val="21"/>
        </w:rPr>
      </w:pPr>
      <w:r w:rsidRPr="00223CDE">
        <w:rPr>
          <w:rFonts w:ascii="Arial" w:hAnsi="Arial" w:cs="Arial"/>
          <w:sz w:val="21"/>
          <w:szCs w:val="21"/>
        </w:rPr>
        <w:t xml:space="preserve">Only select one formulation. Indicate how many doses you want as an initial inventory.  Bexsero® can be ordered in single-pack syringes.  Trumenba® can only be ordered in 10-pack syringes.  The vaccine will appear in your inventory after you receive the vaccine shipment and you will not have to perform this additional step when you place your subsequent orders.  </w:t>
      </w:r>
    </w:p>
    <w:p w:rsidR="00533BD8" w:rsidRDefault="00533BD8" w:rsidP="00533BD8">
      <w:pPr>
        <w:spacing w:after="0"/>
        <w:rPr>
          <w:rFonts w:ascii="Arial" w:hAnsi="Arial" w:cs="Arial"/>
          <w:sz w:val="12"/>
          <w:szCs w:val="12"/>
        </w:rPr>
      </w:pPr>
    </w:p>
    <w:tbl>
      <w:tblPr>
        <w:tblStyle w:val="TableGrid"/>
        <w:tblW w:w="0" w:type="auto"/>
        <w:tblLook w:val="04A0" w:firstRow="1" w:lastRow="0" w:firstColumn="1" w:lastColumn="0" w:noHBand="0" w:noVBand="1"/>
      </w:tblPr>
      <w:tblGrid>
        <w:gridCol w:w="10800"/>
      </w:tblGrid>
      <w:tr w:rsidR="00963C4B" w:rsidTr="00963C4B">
        <w:tc>
          <w:tcPr>
            <w:tcW w:w="10800" w:type="dxa"/>
          </w:tcPr>
          <w:p w:rsidR="00963C4B" w:rsidRDefault="00963C4B" w:rsidP="00963C4B">
            <w:pPr>
              <w:spacing w:before="160"/>
              <w:ind w:left="720"/>
              <w:rPr>
                <w:rFonts w:ascii="Arial" w:hAnsi="Arial" w:cs="Arial"/>
                <w:b/>
                <w:bCs/>
                <w:sz w:val="21"/>
                <w:szCs w:val="21"/>
              </w:rPr>
            </w:pPr>
            <w:r w:rsidRPr="00223CDE">
              <w:rPr>
                <w:rFonts w:ascii="Arial" w:hAnsi="Arial" w:cs="Arial"/>
                <w:b/>
                <w:bCs/>
                <w:sz w:val="21"/>
                <w:szCs w:val="21"/>
              </w:rPr>
              <w:t xml:space="preserve">NOTE:  As outlined above and in the </w:t>
            </w:r>
            <w:r w:rsidRPr="00223CDE">
              <w:rPr>
                <w:rFonts w:ascii="Arial" w:hAnsi="Arial" w:cs="Arial"/>
                <w:b/>
                <w:bCs/>
                <w:i/>
                <w:iCs/>
                <w:sz w:val="21"/>
                <w:szCs w:val="21"/>
              </w:rPr>
              <w:t>Childhood Vaccine Availability Table</w:t>
            </w:r>
            <w:r w:rsidRPr="00223CDE">
              <w:rPr>
                <w:rFonts w:ascii="Arial" w:hAnsi="Arial" w:cs="Arial"/>
                <w:b/>
                <w:bCs/>
                <w:sz w:val="21"/>
                <w:szCs w:val="21"/>
              </w:rPr>
              <w:t xml:space="preserve">, MenB vaccine: </w:t>
            </w:r>
          </w:p>
          <w:p w:rsidR="00963C4B" w:rsidRDefault="00963C4B" w:rsidP="00963C4B">
            <w:pPr>
              <w:spacing w:before="160"/>
              <w:ind w:left="720"/>
              <w:rPr>
                <w:rFonts w:ascii="Arial" w:hAnsi="Arial" w:cs="Arial"/>
                <w:b/>
                <w:bCs/>
                <w:sz w:val="21"/>
                <w:szCs w:val="21"/>
              </w:rPr>
            </w:pPr>
            <w:r w:rsidRPr="00223CDE">
              <w:rPr>
                <w:rFonts w:ascii="Arial" w:hAnsi="Arial" w:cs="Arial"/>
                <w:b/>
                <w:bCs/>
                <w:sz w:val="21"/>
                <w:szCs w:val="21"/>
              </w:rPr>
              <w:t>1) is universally available for a very small gro</w:t>
            </w:r>
            <w:r>
              <w:rPr>
                <w:rFonts w:ascii="Arial" w:hAnsi="Arial" w:cs="Arial"/>
                <w:b/>
                <w:bCs/>
                <w:sz w:val="21"/>
                <w:szCs w:val="21"/>
              </w:rPr>
              <w:t>up of high-risk adolescents 10 through</w:t>
            </w:r>
            <w:r w:rsidRPr="00223CDE">
              <w:rPr>
                <w:rFonts w:ascii="Arial" w:hAnsi="Arial" w:cs="Arial"/>
                <w:b/>
                <w:bCs/>
                <w:sz w:val="21"/>
                <w:szCs w:val="21"/>
              </w:rPr>
              <w:t xml:space="preserve"> 18 years of age and </w:t>
            </w:r>
          </w:p>
          <w:p w:rsidR="00963C4B" w:rsidRPr="00223CDE" w:rsidRDefault="00963C4B" w:rsidP="00963C4B">
            <w:pPr>
              <w:spacing w:before="160"/>
              <w:ind w:left="720"/>
              <w:rPr>
                <w:rFonts w:ascii="Arial" w:hAnsi="Arial" w:cs="Arial"/>
                <w:b/>
                <w:bCs/>
                <w:sz w:val="21"/>
                <w:szCs w:val="21"/>
              </w:rPr>
            </w:pPr>
            <w:r w:rsidRPr="00223CDE">
              <w:rPr>
                <w:rFonts w:ascii="Arial" w:hAnsi="Arial" w:cs="Arial"/>
                <w:b/>
                <w:bCs/>
                <w:sz w:val="21"/>
                <w:szCs w:val="21"/>
              </w:rPr>
              <w:t xml:space="preserve">2) may be considered for </w:t>
            </w:r>
            <w:r w:rsidRPr="00223CDE">
              <w:rPr>
                <w:rFonts w:ascii="Arial" w:hAnsi="Arial" w:cs="Arial"/>
                <w:b/>
                <w:bCs/>
                <w:sz w:val="21"/>
                <w:szCs w:val="21"/>
                <w:u w:val="single"/>
              </w:rPr>
              <w:t>VFC-eligible</w:t>
            </w:r>
            <w:r w:rsidRPr="00223CDE">
              <w:rPr>
                <w:rFonts w:ascii="Arial" w:hAnsi="Arial" w:cs="Arial"/>
                <w:b/>
                <w:bCs/>
                <w:sz w:val="21"/>
                <w:szCs w:val="21"/>
              </w:rPr>
              <w:t xml:space="preserve"> adolescents 16 through 18 years of age (permissive recommendation).  </w:t>
            </w:r>
          </w:p>
          <w:p w:rsidR="00963C4B" w:rsidRDefault="00963C4B" w:rsidP="00963C4B">
            <w:pPr>
              <w:jc w:val="center"/>
              <w:rPr>
                <w:rFonts w:ascii="Arial" w:hAnsi="Arial" w:cs="Arial"/>
                <w:sz w:val="12"/>
                <w:szCs w:val="12"/>
              </w:rPr>
            </w:pPr>
          </w:p>
        </w:tc>
      </w:tr>
    </w:tbl>
    <w:p w:rsidR="00963C4B" w:rsidRPr="004C32D7" w:rsidRDefault="00963C4B" w:rsidP="00963C4B">
      <w:pPr>
        <w:spacing w:after="0"/>
        <w:jc w:val="center"/>
        <w:rPr>
          <w:rFonts w:ascii="Arial" w:hAnsi="Arial" w:cs="Arial"/>
          <w:sz w:val="12"/>
          <w:szCs w:val="12"/>
        </w:rPr>
      </w:pPr>
    </w:p>
    <w:p w:rsidR="00361AD7" w:rsidRDefault="00361AD7" w:rsidP="004C32D7">
      <w:pPr>
        <w:spacing w:before="240" w:after="60"/>
        <w:rPr>
          <w:rFonts w:ascii="Arial" w:hAnsi="Arial" w:cs="Arial"/>
          <w:b/>
          <w:bCs/>
          <w:color w:val="000000"/>
          <w:sz w:val="24"/>
          <w:szCs w:val="24"/>
        </w:rPr>
      </w:pPr>
      <w:r>
        <w:rPr>
          <w:rFonts w:ascii="Arial" w:hAnsi="Arial" w:cs="Arial"/>
          <w:b/>
          <w:bCs/>
          <w:color w:val="000000"/>
          <w:sz w:val="24"/>
          <w:szCs w:val="24"/>
        </w:rPr>
        <w:t>Vaccine Information Statement (VIS)</w:t>
      </w:r>
    </w:p>
    <w:p w:rsidR="00361AD7" w:rsidRDefault="00361AD7" w:rsidP="00361AD7">
      <w:pPr>
        <w:spacing w:after="0"/>
        <w:rPr>
          <w:rFonts w:ascii="Arial" w:hAnsi="Arial" w:cs="Arial"/>
          <w:color w:val="000000"/>
          <w:sz w:val="21"/>
          <w:szCs w:val="21"/>
        </w:rPr>
      </w:pPr>
      <w:r>
        <w:rPr>
          <w:rFonts w:ascii="Arial" w:hAnsi="Arial" w:cs="Arial"/>
          <w:color w:val="000000"/>
          <w:sz w:val="21"/>
          <w:szCs w:val="21"/>
        </w:rPr>
        <w:t xml:space="preserve">A VIS entitled “Serogoup B Meningococcal Vaccine (MenB): What You Need to Know” (dated 8/15/2015) is available at </w:t>
      </w:r>
      <w:hyperlink r:id="rId13" w:history="1">
        <w:r w:rsidR="00455804" w:rsidRPr="00191E34">
          <w:rPr>
            <w:rStyle w:val="Hyperlink"/>
            <w:rFonts w:ascii="Arial" w:hAnsi="Arial" w:cs="Arial"/>
            <w:sz w:val="21"/>
            <w:szCs w:val="21"/>
          </w:rPr>
          <w:t>http://www.cdc.gov/vaccines/hcp/vis/vis-statements/mening-serogroup.pdf</w:t>
        </w:r>
      </w:hyperlink>
      <w:r w:rsidR="00455804">
        <w:rPr>
          <w:rFonts w:ascii="Arial" w:hAnsi="Arial" w:cs="Arial"/>
          <w:color w:val="000000"/>
          <w:sz w:val="21"/>
          <w:szCs w:val="21"/>
        </w:rPr>
        <w:t>.</w:t>
      </w:r>
    </w:p>
    <w:p w:rsidR="00223CDE" w:rsidRPr="00BD544D" w:rsidRDefault="00223CDE" w:rsidP="004C32D7">
      <w:pPr>
        <w:spacing w:before="240" w:after="60"/>
        <w:rPr>
          <w:color w:val="000000"/>
          <w:sz w:val="24"/>
          <w:szCs w:val="24"/>
        </w:rPr>
      </w:pPr>
      <w:r w:rsidRPr="00BD544D">
        <w:rPr>
          <w:rFonts w:ascii="Arial" w:hAnsi="Arial" w:cs="Arial"/>
          <w:b/>
          <w:bCs/>
          <w:color w:val="000000"/>
          <w:sz w:val="24"/>
          <w:szCs w:val="24"/>
        </w:rPr>
        <w:t>Questions</w:t>
      </w:r>
    </w:p>
    <w:p w:rsidR="00962EEB" w:rsidRPr="00533BD8" w:rsidRDefault="00223CDE" w:rsidP="00223CDE">
      <w:pPr>
        <w:spacing w:after="0"/>
        <w:rPr>
          <w:rFonts w:ascii="Arial" w:hAnsi="Arial" w:cs="Arial"/>
          <w:sz w:val="24"/>
          <w:szCs w:val="24"/>
        </w:rPr>
      </w:pPr>
      <w:r w:rsidRPr="00223CDE">
        <w:rPr>
          <w:rFonts w:ascii="Arial" w:hAnsi="Arial" w:cs="Arial"/>
          <w:color w:val="000000"/>
          <w:sz w:val="21"/>
          <w:szCs w:val="21"/>
        </w:rPr>
        <w:t xml:space="preserve">For questions about state supplied </w:t>
      </w:r>
      <w:r w:rsidRPr="00223CDE">
        <w:rPr>
          <w:rFonts w:ascii="Arial" w:hAnsi="Arial" w:cs="Arial"/>
          <w:b/>
          <w:bCs/>
          <w:color w:val="000000"/>
          <w:sz w:val="21"/>
          <w:szCs w:val="21"/>
        </w:rPr>
        <w:t>vaccine availability and ordering</w:t>
      </w:r>
      <w:r w:rsidRPr="00223CDE">
        <w:rPr>
          <w:rFonts w:ascii="Arial" w:hAnsi="Arial" w:cs="Arial"/>
          <w:color w:val="000000"/>
          <w:sz w:val="21"/>
          <w:szCs w:val="21"/>
        </w:rPr>
        <w:t xml:space="preserve">, please contact the Vaccine Management Unit at 617-983-6828.  For questions about </w:t>
      </w:r>
      <w:r w:rsidR="00606856">
        <w:rPr>
          <w:rFonts w:ascii="Arial" w:hAnsi="Arial" w:cs="Arial"/>
          <w:b/>
          <w:bCs/>
          <w:color w:val="000000"/>
          <w:sz w:val="21"/>
          <w:szCs w:val="21"/>
        </w:rPr>
        <w:t>MenB</w:t>
      </w:r>
      <w:r w:rsidRPr="00223CDE">
        <w:rPr>
          <w:rFonts w:ascii="Arial" w:hAnsi="Arial" w:cs="Arial"/>
          <w:b/>
          <w:bCs/>
          <w:color w:val="000000"/>
          <w:sz w:val="21"/>
          <w:szCs w:val="21"/>
        </w:rPr>
        <w:t xml:space="preserve"> vaccine recommendations</w:t>
      </w:r>
      <w:r w:rsidRPr="00223CDE">
        <w:rPr>
          <w:rFonts w:ascii="Arial" w:hAnsi="Arial" w:cs="Arial"/>
          <w:color w:val="000000"/>
          <w:sz w:val="21"/>
          <w:szCs w:val="21"/>
        </w:rPr>
        <w:t xml:space="preserve">, please call the Immunization Program at 617-983-6800 and ask to speak to an immunization epidemiologist or immunization nurse.  </w:t>
      </w:r>
      <w:r w:rsidR="00AD7613">
        <w:rPr>
          <w:rFonts w:ascii="Arial" w:hAnsi="Arial" w:cs="Arial"/>
          <w:color w:val="000000"/>
          <w:sz w:val="21"/>
          <w:szCs w:val="21"/>
        </w:rPr>
        <w:t>When additional guidance about MenB vaccines is available, we will share it with you.</w:t>
      </w:r>
    </w:p>
    <w:sectPr w:rsidR="00962EEB" w:rsidRPr="00533BD8" w:rsidSect="002C790B">
      <w:headerReference w:type="default" r:id="rId14"/>
      <w:footerReference w:type="default" r:id="rId15"/>
      <w:pgSz w:w="12240" w:h="15840" w:code="1"/>
      <w:pgMar w:top="864" w:right="576" w:bottom="720" w:left="108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2DA" w:rsidRDefault="001212DA" w:rsidP="00A83F35">
      <w:pPr>
        <w:spacing w:after="0" w:line="240" w:lineRule="auto"/>
      </w:pPr>
      <w:r>
        <w:separator/>
      </w:r>
    </w:p>
  </w:endnote>
  <w:endnote w:type="continuationSeparator" w:id="0">
    <w:p w:rsidR="001212DA" w:rsidRDefault="001212DA" w:rsidP="00A83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F35" w:rsidRPr="006825E8" w:rsidRDefault="00F87073">
    <w:pPr>
      <w:pStyle w:val="Footer"/>
      <w:rPr>
        <w:rFonts w:ascii="Arial" w:hAnsi="Arial" w:cs="Arial"/>
        <w:sz w:val="18"/>
        <w:szCs w:val="18"/>
      </w:rPr>
    </w:pPr>
    <w:r>
      <w:rPr>
        <w:rFonts w:ascii="Arial" w:hAnsi="Arial" w:cs="Arial"/>
        <w:sz w:val="18"/>
        <w:szCs w:val="18"/>
      </w:rPr>
      <w:t xml:space="preserve">Clinical Advisory </w:t>
    </w:r>
    <w:r w:rsidR="006825E8" w:rsidRPr="006825E8">
      <w:rPr>
        <w:rFonts w:ascii="Arial" w:hAnsi="Arial" w:cs="Arial"/>
        <w:sz w:val="18"/>
        <w:szCs w:val="18"/>
      </w:rPr>
      <w:t>Meningococcal B Vaccines, MDPH 8-15</w:t>
    </w:r>
    <w:r w:rsidR="009E17FC">
      <w:rPr>
        <w:rFonts w:ascii="Arial" w:hAnsi="Arial" w:cs="Arial"/>
        <w:sz w:val="18"/>
        <w:szCs w:val="18"/>
      </w:rPr>
      <w:tab/>
      <w:t xml:space="preserve">        </w:t>
    </w:r>
    <w:r w:rsidR="009E17FC">
      <w:rPr>
        <w:rFonts w:ascii="Arial" w:hAnsi="Arial" w:cs="Arial"/>
        <w:sz w:val="18"/>
        <w:szCs w:val="18"/>
      </w:rPr>
      <w:tab/>
    </w:r>
    <w:r w:rsidR="009E17FC">
      <w:rPr>
        <w:rFonts w:ascii="Arial" w:hAnsi="Arial" w:cs="Arial"/>
        <w:sz w:val="18"/>
        <w:szCs w:val="18"/>
      </w:rPr>
      <w:tab/>
    </w:r>
    <w:r w:rsidR="009E17FC" w:rsidRPr="009E17FC">
      <w:rPr>
        <w:rFonts w:ascii="Arial" w:hAnsi="Arial" w:cs="Arial"/>
        <w:sz w:val="18"/>
        <w:szCs w:val="18"/>
      </w:rPr>
      <w:fldChar w:fldCharType="begin"/>
    </w:r>
    <w:r w:rsidR="009E17FC" w:rsidRPr="009E17FC">
      <w:rPr>
        <w:rFonts w:ascii="Arial" w:hAnsi="Arial" w:cs="Arial"/>
        <w:sz w:val="18"/>
        <w:szCs w:val="18"/>
      </w:rPr>
      <w:instrText xml:space="preserve"> PAGE   \* MERGEFORMAT </w:instrText>
    </w:r>
    <w:r w:rsidR="009E17FC" w:rsidRPr="009E17FC">
      <w:rPr>
        <w:rFonts w:ascii="Arial" w:hAnsi="Arial" w:cs="Arial"/>
        <w:sz w:val="18"/>
        <w:szCs w:val="18"/>
      </w:rPr>
      <w:fldChar w:fldCharType="separate"/>
    </w:r>
    <w:r w:rsidR="00223505">
      <w:rPr>
        <w:rFonts w:ascii="Arial" w:hAnsi="Arial" w:cs="Arial"/>
        <w:noProof/>
        <w:sz w:val="18"/>
        <w:szCs w:val="18"/>
      </w:rPr>
      <w:t>1</w:t>
    </w:r>
    <w:r w:rsidR="009E17FC" w:rsidRPr="009E17FC">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2DA" w:rsidRDefault="001212DA" w:rsidP="00A83F35">
      <w:pPr>
        <w:spacing w:after="0" w:line="240" w:lineRule="auto"/>
      </w:pPr>
      <w:r>
        <w:separator/>
      </w:r>
    </w:p>
  </w:footnote>
  <w:footnote w:type="continuationSeparator" w:id="0">
    <w:p w:rsidR="001212DA" w:rsidRDefault="001212DA" w:rsidP="00A83F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F35" w:rsidRPr="00B61120" w:rsidRDefault="0009119D" w:rsidP="0009119D">
    <w:pPr>
      <w:pStyle w:val="Header"/>
      <w:jc w:val="center"/>
      <w:rPr>
        <w:rFonts w:ascii="Arial" w:hAnsi="Arial" w:cs="Arial"/>
        <w:sz w:val="20"/>
        <w:szCs w:val="20"/>
      </w:rPr>
    </w:pPr>
    <w:r w:rsidRPr="00B61120">
      <w:rPr>
        <w:rFonts w:ascii="Arial" w:hAnsi="Arial" w:cs="Arial"/>
        <w:sz w:val="20"/>
        <w:szCs w:val="20"/>
      </w:rPr>
      <w:t>Massachusetts Department of Public Health (MDPH)</w:t>
    </w:r>
  </w:p>
  <w:p w:rsidR="0009119D" w:rsidRPr="00B61120" w:rsidRDefault="0009119D" w:rsidP="0009119D">
    <w:pPr>
      <w:pStyle w:val="Header"/>
      <w:jc w:val="center"/>
      <w:rPr>
        <w:rFonts w:ascii="Arial" w:hAnsi="Arial" w:cs="Arial"/>
        <w:sz w:val="20"/>
        <w:szCs w:val="20"/>
      </w:rPr>
    </w:pPr>
    <w:r w:rsidRPr="00B61120">
      <w:rPr>
        <w:rFonts w:ascii="Arial" w:hAnsi="Arial" w:cs="Arial"/>
        <w:sz w:val="20"/>
        <w:szCs w:val="20"/>
      </w:rPr>
      <w:t>Division of Epidemiology and Immunization</w:t>
    </w:r>
  </w:p>
  <w:p w:rsidR="00606856" w:rsidRPr="00B61120" w:rsidRDefault="00606856" w:rsidP="0009119D">
    <w:pPr>
      <w:pStyle w:val="Header"/>
      <w:jc w:val="center"/>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3B8C"/>
    <w:multiLevelType w:val="hybridMultilevel"/>
    <w:tmpl w:val="63D67908"/>
    <w:lvl w:ilvl="0" w:tplc="BC08178E">
      <w:start w:val="1"/>
      <w:numFmt w:val="bullet"/>
      <w:lvlText w:val="•"/>
      <w:lvlJc w:val="left"/>
      <w:pPr>
        <w:tabs>
          <w:tab w:val="num" w:pos="360"/>
        </w:tabs>
        <w:ind w:left="360" w:hanging="360"/>
      </w:pPr>
      <w:rPr>
        <w:rFonts w:ascii="Arial" w:hAnsi="Arial" w:hint="default"/>
      </w:rPr>
    </w:lvl>
    <w:lvl w:ilvl="1" w:tplc="0BE23A0A">
      <w:start w:val="1582"/>
      <w:numFmt w:val="bullet"/>
      <w:lvlText w:val="•"/>
      <w:lvlJc w:val="left"/>
      <w:pPr>
        <w:tabs>
          <w:tab w:val="num" w:pos="1080"/>
        </w:tabs>
        <w:ind w:left="1080" w:hanging="360"/>
      </w:pPr>
      <w:rPr>
        <w:rFonts w:ascii="Arial" w:hAnsi="Arial" w:hint="default"/>
      </w:rPr>
    </w:lvl>
    <w:lvl w:ilvl="2" w:tplc="FAE482A8" w:tentative="1">
      <w:start w:val="1"/>
      <w:numFmt w:val="bullet"/>
      <w:lvlText w:val="•"/>
      <w:lvlJc w:val="left"/>
      <w:pPr>
        <w:tabs>
          <w:tab w:val="num" w:pos="1800"/>
        </w:tabs>
        <w:ind w:left="1800" w:hanging="360"/>
      </w:pPr>
      <w:rPr>
        <w:rFonts w:ascii="Arial" w:hAnsi="Arial" w:hint="default"/>
      </w:rPr>
    </w:lvl>
    <w:lvl w:ilvl="3" w:tplc="F3964EC0" w:tentative="1">
      <w:start w:val="1"/>
      <w:numFmt w:val="bullet"/>
      <w:lvlText w:val="•"/>
      <w:lvlJc w:val="left"/>
      <w:pPr>
        <w:tabs>
          <w:tab w:val="num" w:pos="2520"/>
        </w:tabs>
        <w:ind w:left="2520" w:hanging="360"/>
      </w:pPr>
      <w:rPr>
        <w:rFonts w:ascii="Arial" w:hAnsi="Arial" w:hint="default"/>
      </w:rPr>
    </w:lvl>
    <w:lvl w:ilvl="4" w:tplc="7B20F25C" w:tentative="1">
      <w:start w:val="1"/>
      <w:numFmt w:val="bullet"/>
      <w:lvlText w:val="•"/>
      <w:lvlJc w:val="left"/>
      <w:pPr>
        <w:tabs>
          <w:tab w:val="num" w:pos="3240"/>
        </w:tabs>
        <w:ind w:left="3240" w:hanging="360"/>
      </w:pPr>
      <w:rPr>
        <w:rFonts w:ascii="Arial" w:hAnsi="Arial" w:hint="default"/>
      </w:rPr>
    </w:lvl>
    <w:lvl w:ilvl="5" w:tplc="45D2EB7E" w:tentative="1">
      <w:start w:val="1"/>
      <w:numFmt w:val="bullet"/>
      <w:lvlText w:val="•"/>
      <w:lvlJc w:val="left"/>
      <w:pPr>
        <w:tabs>
          <w:tab w:val="num" w:pos="3960"/>
        </w:tabs>
        <w:ind w:left="3960" w:hanging="360"/>
      </w:pPr>
      <w:rPr>
        <w:rFonts w:ascii="Arial" w:hAnsi="Arial" w:hint="default"/>
      </w:rPr>
    </w:lvl>
    <w:lvl w:ilvl="6" w:tplc="C0B212AA" w:tentative="1">
      <w:start w:val="1"/>
      <w:numFmt w:val="bullet"/>
      <w:lvlText w:val="•"/>
      <w:lvlJc w:val="left"/>
      <w:pPr>
        <w:tabs>
          <w:tab w:val="num" w:pos="4680"/>
        </w:tabs>
        <w:ind w:left="4680" w:hanging="360"/>
      </w:pPr>
      <w:rPr>
        <w:rFonts w:ascii="Arial" w:hAnsi="Arial" w:hint="default"/>
      </w:rPr>
    </w:lvl>
    <w:lvl w:ilvl="7" w:tplc="635AE336" w:tentative="1">
      <w:start w:val="1"/>
      <w:numFmt w:val="bullet"/>
      <w:lvlText w:val="•"/>
      <w:lvlJc w:val="left"/>
      <w:pPr>
        <w:tabs>
          <w:tab w:val="num" w:pos="5400"/>
        </w:tabs>
        <w:ind w:left="5400" w:hanging="360"/>
      </w:pPr>
      <w:rPr>
        <w:rFonts w:ascii="Arial" w:hAnsi="Arial" w:hint="default"/>
      </w:rPr>
    </w:lvl>
    <w:lvl w:ilvl="8" w:tplc="45FE8690" w:tentative="1">
      <w:start w:val="1"/>
      <w:numFmt w:val="bullet"/>
      <w:lvlText w:val="•"/>
      <w:lvlJc w:val="left"/>
      <w:pPr>
        <w:tabs>
          <w:tab w:val="num" w:pos="6120"/>
        </w:tabs>
        <w:ind w:left="6120" w:hanging="360"/>
      </w:pPr>
      <w:rPr>
        <w:rFonts w:ascii="Arial" w:hAnsi="Arial" w:hint="default"/>
      </w:rPr>
    </w:lvl>
  </w:abstractNum>
  <w:abstractNum w:abstractNumId="1">
    <w:nsid w:val="0CAF4147"/>
    <w:multiLevelType w:val="hybridMultilevel"/>
    <w:tmpl w:val="0A50EE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DC458F"/>
    <w:multiLevelType w:val="hybridMultilevel"/>
    <w:tmpl w:val="9F004E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71B23"/>
    <w:multiLevelType w:val="hybridMultilevel"/>
    <w:tmpl w:val="74E853E6"/>
    <w:lvl w:ilvl="0" w:tplc="0C70AA92">
      <w:start w:val="1"/>
      <w:numFmt w:val="bullet"/>
      <w:lvlText w:val="•"/>
      <w:lvlJc w:val="left"/>
      <w:pPr>
        <w:tabs>
          <w:tab w:val="num" w:pos="360"/>
        </w:tabs>
        <w:ind w:left="360" w:hanging="360"/>
      </w:pPr>
      <w:rPr>
        <w:rFonts w:ascii="Times New Roman" w:hAnsi="Times New Roman" w:hint="default"/>
      </w:rPr>
    </w:lvl>
    <w:lvl w:ilvl="1" w:tplc="52DAD278">
      <w:start w:val="915"/>
      <w:numFmt w:val="bullet"/>
      <w:lvlText w:val="•"/>
      <w:lvlJc w:val="left"/>
      <w:pPr>
        <w:tabs>
          <w:tab w:val="num" w:pos="1080"/>
        </w:tabs>
        <w:ind w:left="1080" w:hanging="360"/>
      </w:pPr>
      <w:rPr>
        <w:rFonts w:ascii="Arial" w:hAnsi="Arial" w:hint="default"/>
      </w:rPr>
    </w:lvl>
    <w:lvl w:ilvl="2" w:tplc="F490BB62" w:tentative="1">
      <w:start w:val="1"/>
      <w:numFmt w:val="bullet"/>
      <w:lvlText w:val="•"/>
      <w:lvlJc w:val="left"/>
      <w:pPr>
        <w:tabs>
          <w:tab w:val="num" w:pos="1800"/>
        </w:tabs>
        <w:ind w:left="1800" w:hanging="360"/>
      </w:pPr>
      <w:rPr>
        <w:rFonts w:ascii="Times New Roman" w:hAnsi="Times New Roman" w:hint="default"/>
      </w:rPr>
    </w:lvl>
    <w:lvl w:ilvl="3" w:tplc="186E96D6" w:tentative="1">
      <w:start w:val="1"/>
      <w:numFmt w:val="bullet"/>
      <w:lvlText w:val="•"/>
      <w:lvlJc w:val="left"/>
      <w:pPr>
        <w:tabs>
          <w:tab w:val="num" w:pos="2520"/>
        </w:tabs>
        <w:ind w:left="2520" w:hanging="360"/>
      </w:pPr>
      <w:rPr>
        <w:rFonts w:ascii="Times New Roman" w:hAnsi="Times New Roman" w:hint="default"/>
      </w:rPr>
    </w:lvl>
    <w:lvl w:ilvl="4" w:tplc="354038BC" w:tentative="1">
      <w:start w:val="1"/>
      <w:numFmt w:val="bullet"/>
      <w:lvlText w:val="•"/>
      <w:lvlJc w:val="left"/>
      <w:pPr>
        <w:tabs>
          <w:tab w:val="num" w:pos="3240"/>
        </w:tabs>
        <w:ind w:left="3240" w:hanging="360"/>
      </w:pPr>
      <w:rPr>
        <w:rFonts w:ascii="Times New Roman" w:hAnsi="Times New Roman" w:hint="default"/>
      </w:rPr>
    </w:lvl>
    <w:lvl w:ilvl="5" w:tplc="17B28014" w:tentative="1">
      <w:start w:val="1"/>
      <w:numFmt w:val="bullet"/>
      <w:lvlText w:val="•"/>
      <w:lvlJc w:val="left"/>
      <w:pPr>
        <w:tabs>
          <w:tab w:val="num" w:pos="3960"/>
        </w:tabs>
        <w:ind w:left="3960" w:hanging="360"/>
      </w:pPr>
      <w:rPr>
        <w:rFonts w:ascii="Times New Roman" w:hAnsi="Times New Roman" w:hint="default"/>
      </w:rPr>
    </w:lvl>
    <w:lvl w:ilvl="6" w:tplc="17F2103E" w:tentative="1">
      <w:start w:val="1"/>
      <w:numFmt w:val="bullet"/>
      <w:lvlText w:val="•"/>
      <w:lvlJc w:val="left"/>
      <w:pPr>
        <w:tabs>
          <w:tab w:val="num" w:pos="4680"/>
        </w:tabs>
        <w:ind w:left="4680" w:hanging="360"/>
      </w:pPr>
      <w:rPr>
        <w:rFonts w:ascii="Times New Roman" w:hAnsi="Times New Roman" w:hint="default"/>
      </w:rPr>
    </w:lvl>
    <w:lvl w:ilvl="7" w:tplc="70F835C4" w:tentative="1">
      <w:start w:val="1"/>
      <w:numFmt w:val="bullet"/>
      <w:lvlText w:val="•"/>
      <w:lvlJc w:val="left"/>
      <w:pPr>
        <w:tabs>
          <w:tab w:val="num" w:pos="5400"/>
        </w:tabs>
        <w:ind w:left="5400" w:hanging="360"/>
      </w:pPr>
      <w:rPr>
        <w:rFonts w:ascii="Times New Roman" w:hAnsi="Times New Roman" w:hint="default"/>
      </w:rPr>
    </w:lvl>
    <w:lvl w:ilvl="8" w:tplc="07F21CC6" w:tentative="1">
      <w:start w:val="1"/>
      <w:numFmt w:val="bullet"/>
      <w:lvlText w:val="•"/>
      <w:lvlJc w:val="left"/>
      <w:pPr>
        <w:tabs>
          <w:tab w:val="num" w:pos="6120"/>
        </w:tabs>
        <w:ind w:left="6120" w:hanging="360"/>
      </w:pPr>
      <w:rPr>
        <w:rFonts w:ascii="Times New Roman" w:hAnsi="Times New Roman" w:hint="default"/>
      </w:rPr>
    </w:lvl>
  </w:abstractNum>
  <w:abstractNum w:abstractNumId="4">
    <w:nsid w:val="18D90244"/>
    <w:multiLevelType w:val="hybridMultilevel"/>
    <w:tmpl w:val="C6BEEC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853955"/>
    <w:multiLevelType w:val="hybridMultilevel"/>
    <w:tmpl w:val="464E9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4669F5"/>
    <w:multiLevelType w:val="hybridMultilevel"/>
    <w:tmpl w:val="62445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C35433"/>
    <w:multiLevelType w:val="hybridMultilevel"/>
    <w:tmpl w:val="C6BEE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4761E0"/>
    <w:multiLevelType w:val="multilevel"/>
    <w:tmpl w:val="1764CC6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9">
    <w:nsid w:val="630A3AF9"/>
    <w:multiLevelType w:val="hybridMultilevel"/>
    <w:tmpl w:val="ED66DF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58A021D"/>
    <w:multiLevelType w:val="hybridMultilevel"/>
    <w:tmpl w:val="661CA4A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8367330"/>
    <w:multiLevelType w:val="hybridMultilevel"/>
    <w:tmpl w:val="77B004A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78A77779"/>
    <w:multiLevelType w:val="hybridMultilevel"/>
    <w:tmpl w:val="11F8A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B208BA"/>
    <w:multiLevelType w:val="hybridMultilevel"/>
    <w:tmpl w:val="DEFCE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E722331"/>
    <w:multiLevelType w:val="hybridMultilevel"/>
    <w:tmpl w:val="AE487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1"/>
  </w:num>
  <w:num w:numId="4">
    <w:abstractNumId w:val="10"/>
  </w:num>
  <w:num w:numId="5">
    <w:abstractNumId w:val="3"/>
  </w:num>
  <w:num w:numId="6">
    <w:abstractNumId w:val="5"/>
  </w:num>
  <w:num w:numId="7">
    <w:abstractNumId w:val="0"/>
  </w:num>
  <w:num w:numId="8">
    <w:abstractNumId w:val="7"/>
  </w:num>
  <w:num w:numId="9">
    <w:abstractNumId w:val="4"/>
  </w:num>
  <w:num w:numId="10">
    <w:abstractNumId w:val="12"/>
  </w:num>
  <w:num w:numId="11">
    <w:abstractNumId w:val="1"/>
  </w:num>
  <w:num w:numId="12">
    <w:abstractNumId w:val="9"/>
  </w:num>
  <w:num w:numId="13">
    <w:abstractNumId w:val="14"/>
  </w:num>
  <w:num w:numId="14">
    <w:abstractNumId w:val="6"/>
  </w:num>
  <w:num w:numId="1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cNeil, Jessica R. (CDC/OID/NCIRD)">
    <w15:presenceInfo w15:providerId="AD" w15:userId="S-1-5-21-1207783550-2075000910-922709458-2151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FE4"/>
    <w:rsid w:val="00004D73"/>
    <w:rsid w:val="00030A30"/>
    <w:rsid w:val="000373D1"/>
    <w:rsid w:val="00046E2C"/>
    <w:rsid w:val="000661A8"/>
    <w:rsid w:val="00080FE4"/>
    <w:rsid w:val="0009119D"/>
    <w:rsid w:val="00096545"/>
    <w:rsid w:val="000E012A"/>
    <w:rsid w:val="001162A7"/>
    <w:rsid w:val="001212DA"/>
    <w:rsid w:val="00121826"/>
    <w:rsid w:val="00141288"/>
    <w:rsid w:val="00155D26"/>
    <w:rsid w:val="00186D25"/>
    <w:rsid w:val="00187080"/>
    <w:rsid w:val="00205291"/>
    <w:rsid w:val="00207E33"/>
    <w:rsid w:val="00214DE7"/>
    <w:rsid w:val="00223505"/>
    <w:rsid w:val="00223CDE"/>
    <w:rsid w:val="00252129"/>
    <w:rsid w:val="00290F07"/>
    <w:rsid w:val="002A54F5"/>
    <w:rsid w:val="002B1B00"/>
    <w:rsid w:val="002B3100"/>
    <w:rsid w:val="002C790B"/>
    <w:rsid w:val="00332184"/>
    <w:rsid w:val="00357AD1"/>
    <w:rsid w:val="00361AD7"/>
    <w:rsid w:val="003808FD"/>
    <w:rsid w:val="003A596F"/>
    <w:rsid w:val="003B756E"/>
    <w:rsid w:val="003F0D9A"/>
    <w:rsid w:val="003F395B"/>
    <w:rsid w:val="0040753C"/>
    <w:rsid w:val="00416744"/>
    <w:rsid w:val="00417030"/>
    <w:rsid w:val="004252BE"/>
    <w:rsid w:val="00434844"/>
    <w:rsid w:val="00435789"/>
    <w:rsid w:val="00455804"/>
    <w:rsid w:val="00457C60"/>
    <w:rsid w:val="004C32D7"/>
    <w:rsid w:val="004F2985"/>
    <w:rsid w:val="00516CAD"/>
    <w:rsid w:val="00533BD8"/>
    <w:rsid w:val="005452FF"/>
    <w:rsid w:val="00561DBD"/>
    <w:rsid w:val="005656CF"/>
    <w:rsid w:val="005779AA"/>
    <w:rsid w:val="005A041F"/>
    <w:rsid w:val="005A12C6"/>
    <w:rsid w:val="005C3E3E"/>
    <w:rsid w:val="005D6218"/>
    <w:rsid w:val="005E5A3A"/>
    <w:rsid w:val="005E79C7"/>
    <w:rsid w:val="005F64B7"/>
    <w:rsid w:val="00606856"/>
    <w:rsid w:val="0062462B"/>
    <w:rsid w:val="0064516F"/>
    <w:rsid w:val="00673251"/>
    <w:rsid w:val="006815C4"/>
    <w:rsid w:val="006825E8"/>
    <w:rsid w:val="006A0620"/>
    <w:rsid w:val="0070003D"/>
    <w:rsid w:val="007058FB"/>
    <w:rsid w:val="007117AF"/>
    <w:rsid w:val="0071720A"/>
    <w:rsid w:val="00722120"/>
    <w:rsid w:val="0073080F"/>
    <w:rsid w:val="00735E59"/>
    <w:rsid w:val="00774206"/>
    <w:rsid w:val="007A092C"/>
    <w:rsid w:val="007A35E4"/>
    <w:rsid w:val="007C6477"/>
    <w:rsid w:val="007C6AE2"/>
    <w:rsid w:val="007C75F9"/>
    <w:rsid w:val="007D34ED"/>
    <w:rsid w:val="007D5A78"/>
    <w:rsid w:val="0080499A"/>
    <w:rsid w:val="00810BC7"/>
    <w:rsid w:val="008116E0"/>
    <w:rsid w:val="00814CA4"/>
    <w:rsid w:val="00820D8A"/>
    <w:rsid w:val="00836092"/>
    <w:rsid w:val="00847C4C"/>
    <w:rsid w:val="00883E6C"/>
    <w:rsid w:val="0089205C"/>
    <w:rsid w:val="008D4CDE"/>
    <w:rsid w:val="008D7B6F"/>
    <w:rsid w:val="008E6892"/>
    <w:rsid w:val="00910006"/>
    <w:rsid w:val="0092248F"/>
    <w:rsid w:val="00962EEB"/>
    <w:rsid w:val="00963C4B"/>
    <w:rsid w:val="0096598B"/>
    <w:rsid w:val="00984E03"/>
    <w:rsid w:val="009932A5"/>
    <w:rsid w:val="009E17FC"/>
    <w:rsid w:val="009E755D"/>
    <w:rsid w:val="00A219E2"/>
    <w:rsid w:val="00A51F1B"/>
    <w:rsid w:val="00A83F35"/>
    <w:rsid w:val="00A9297C"/>
    <w:rsid w:val="00AB3737"/>
    <w:rsid w:val="00AD7613"/>
    <w:rsid w:val="00AF16C9"/>
    <w:rsid w:val="00B32732"/>
    <w:rsid w:val="00B41024"/>
    <w:rsid w:val="00B51F13"/>
    <w:rsid w:val="00B61120"/>
    <w:rsid w:val="00B61600"/>
    <w:rsid w:val="00B71BF5"/>
    <w:rsid w:val="00B97A1E"/>
    <w:rsid w:val="00BA3F4C"/>
    <w:rsid w:val="00BC3A97"/>
    <w:rsid w:val="00BD0286"/>
    <w:rsid w:val="00BD544D"/>
    <w:rsid w:val="00C0168D"/>
    <w:rsid w:val="00C1278F"/>
    <w:rsid w:val="00C47A7C"/>
    <w:rsid w:val="00CA1C13"/>
    <w:rsid w:val="00CF76C8"/>
    <w:rsid w:val="00D115F8"/>
    <w:rsid w:val="00D76EE1"/>
    <w:rsid w:val="00D85DC2"/>
    <w:rsid w:val="00D97B8F"/>
    <w:rsid w:val="00DB0D51"/>
    <w:rsid w:val="00DB5CB8"/>
    <w:rsid w:val="00DD5F90"/>
    <w:rsid w:val="00DD76F2"/>
    <w:rsid w:val="00DF7B4B"/>
    <w:rsid w:val="00E93817"/>
    <w:rsid w:val="00ED3DF0"/>
    <w:rsid w:val="00ED6B03"/>
    <w:rsid w:val="00F12BEE"/>
    <w:rsid w:val="00F245FB"/>
    <w:rsid w:val="00F35C3A"/>
    <w:rsid w:val="00F41191"/>
    <w:rsid w:val="00F86D99"/>
    <w:rsid w:val="00F87073"/>
    <w:rsid w:val="00F95A78"/>
    <w:rsid w:val="00FA3385"/>
    <w:rsid w:val="00FA3D9A"/>
    <w:rsid w:val="00FA5A2D"/>
    <w:rsid w:val="00FC40EB"/>
    <w:rsid w:val="00FD1B41"/>
    <w:rsid w:val="00FD5EE2"/>
    <w:rsid w:val="00FF1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AD7"/>
  </w:style>
  <w:style w:type="paragraph" w:styleId="Heading1">
    <w:name w:val="heading 1"/>
    <w:basedOn w:val="Normal"/>
    <w:next w:val="Normal"/>
    <w:link w:val="Heading1Char"/>
    <w:uiPriority w:val="9"/>
    <w:qFormat/>
    <w:rsid w:val="00DB5C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5C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B5CB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B5CB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B5CB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EE1"/>
    <w:pPr>
      <w:ind w:left="720"/>
      <w:contextualSpacing/>
    </w:pPr>
  </w:style>
  <w:style w:type="character" w:styleId="Hyperlink">
    <w:name w:val="Hyperlink"/>
    <w:basedOn w:val="DefaultParagraphFont"/>
    <w:uiPriority w:val="99"/>
    <w:unhideWhenUsed/>
    <w:rsid w:val="002A54F5"/>
    <w:rPr>
      <w:color w:val="0000FF" w:themeColor="hyperlink"/>
      <w:u w:val="single"/>
    </w:rPr>
  </w:style>
  <w:style w:type="paragraph" w:styleId="NoSpacing">
    <w:name w:val="No Spacing"/>
    <w:uiPriority w:val="1"/>
    <w:qFormat/>
    <w:rsid w:val="00FA3D9A"/>
    <w:pPr>
      <w:spacing w:after="0" w:line="240" w:lineRule="auto"/>
    </w:pPr>
  </w:style>
  <w:style w:type="table" w:styleId="TableGrid">
    <w:name w:val="Table Grid"/>
    <w:basedOn w:val="TableNormal"/>
    <w:uiPriority w:val="59"/>
    <w:rsid w:val="00357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3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F35"/>
  </w:style>
  <w:style w:type="paragraph" w:styleId="Footer">
    <w:name w:val="footer"/>
    <w:basedOn w:val="Normal"/>
    <w:link w:val="FooterChar"/>
    <w:uiPriority w:val="99"/>
    <w:unhideWhenUsed/>
    <w:rsid w:val="00A83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F35"/>
  </w:style>
  <w:style w:type="paragraph" w:styleId="BalloonText">
    <w:name w:val="Balloon Text"/>
    <w:basedOn w:val="Normal"/>
    <w:link w:val="BalloonTextChar"/>
    <w:uiPriority w:val="99"/>
    <w:semiHidden/>
    <w:unhideWhenUsed/>
    <w:rsid w:val="00A83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F35"/>
    <w:rPr>
      <w:rFonts w:ascii="Tahoma" w:hAnsi="Tahoma" w:cs="Tahoma"/>
      <w:sz w:val="16"/>
      <w:szCs w:val="16"/>
    </w:rPr>
  </w:style>
  <w:style w:type="character" w:customStyle="1" w:styleId="Heading1Char">
    <w:name w:val="Heading 1 Char"/>
    <w:basedOn w:val="DefaultParagraphFont"/>
    <w:link w:val="Heading1"/>
    <w:uiPriority w:val="9"/>
    <w:rsid w:val="00DB5CB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B5CB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B5CB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B5CB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B5CB8"/>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DB5CB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5CB8"/>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45580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AD7"/>
  </w:style>
  <w:style w:type="paragraph" w:styleId="Heading1">
    <w:name w:val="heading 1"/>
    <w:basedOn w:val="Normal"/>
    <w:next w:val="Normal"/>
    <w:link w:val="Heading1Char"/>
    <w:uiPriority w:val="9"/>
    <w:qFormat/>
    <w:rsid w:val="00DB5C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5C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B5CB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B5CB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B5CB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EE1"/>
    <w:pPr>
      <w:ind w:left="720"/>
      <w:contextualSpacing/>
    </w:pPr>
  </w:style>
  <w:style w:type="character" w:styleId="Hyperlink">
    <w:name w:val="Hyperlink"/>
    <w:basedOn w:val="DefaultParagraphFont"/>
    <w:uiPriority w:val="99"/>
    <w:unhideWhenUsed/>
    <w:rsid w:val="002A54F5"/>
    <w:rPr>
      <w:color w:val="0000FF" w:themeColor="hyperlink"/>
      <w:u w:val="single"/>
    </w:rPr>
  </w:style>
  <w:style w:type="paragraph" w:styleId="NoSpacing">
    <w:name w:val="No Spacing"/>
    <w:uiPriority w:val="1"/>
    <w:qFormat/>
    <w:rsid w:val="00FA3D9A"/>
    <w:pPr>
      <w:spacing w:after="0" w:line="240" w:lineRule="auto"/>
    </w:pPr>
  </w:style>
  <w:style w:type="table" w:styleId="TableGrid">
    <w:name w:val="Table Grid"/>
    <w:basedOn w:val="TableNormal"/>
    <w:uiPriority w:val="59"/>
    <w:rsid w:val="00357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3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F35"/>
  </w:style>
  <w:style w:type="paragraph" w:styleId="Footer">
    <w:name w:val="footer"/>
    <w:basedOn w:val="Normal"/>
    <w:link w:val="FooterChar"/>
    <w:uiPriority w:val="99"/>
    <w:unhideWhenUsed/>
    <w:rsid w:val="00A83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F35"/>
  </w:style>
  <w:style w:type="paragraph" w:styleId="BalloonText">
    <w:name w:val="Balloon Text"/>
    <w:basedOn w:val="Normal"/>
    <w:link w:val="BalloonTextChar"/>
    <w:uiPriority w:val="99"/>
    <w:semiHidden/>
    <w:unhideWhenUsed/>
    <w:rsid w:val="00A83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F35"/>
    <w:rPr>
      <w:rFonts w:ascii="Tahoma" w:hAnsi="Tahoma" w:cs="Tahoma"/>
      <w:sz w:val="16"/>
      <w:szCs w:val="16"/>
    </w:rPr>
  </w:style>
  <w:style w:type="character" w:customStyle="1" w:styleId="Heading1Char">
    <w:name w:val="Heading 1 Char"/>
    <w:basedOn w:val="DefaultParagraphFont"/>
    <w:link w:val="Heading1"/>
    <w:uiPriority w:val="9"/>
    <w:rsid w:val="00DB5CB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B5CB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B5CB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B5CB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B5CB8"/>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DB5CB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5CB8"/>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4558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629916">
      <w:bodyDiv w:val="1"/>
      <w:marLeft w:val="0"/>
      <w:marRight w:val="0"/>
      <w:marTop w:val="0"/>
      <w:marBottom w:val="0"/>
      <w:divBdr>
        <w:top w:val="none" w:sz="0" w:space="0" w:color="auto"/>
        <w:left w:val="none" w:sz="0" w:space="0" w:color="auto"/>
        <w:bottom w:val="none" w:sz="0" w:space="0" w:color="auto"/>
        <w:right w:val="none" w:sz="0" w:space="0" w:color="auto"/>
      </w:divBdr>
      <w:divsChild>
        <w:div w:id="1528056561">
          <w:marLeft w:val="0"/>
          <w:marRight w:val="0"/>
          <w:marTop w:val="0"/>
          <w:marBottom w:val="0"/>
          <w:divBdr>
            <w:top w:val="none" w:sz="0" w:space="0" w:color="auto"/>
            <w:left w:val="none" w:sz="0" w:space="0" w:color="auto"/>
            <w:bottom w:val="none" w:sz="0" w:space="0" w:color="auto"/>
            <w:right w:val="none" w:sz="0" w:space="0" w:color="auto"/>
          </w:divBdr>
          <w:divsChild>
            <w:div w:id="382490028">
              <w:marLeft w:val="0"/>
              <w:marRight w:val="0"/>
              <w:marTop w:val="0"/>
              <w:marBottom w:val="0"/>
              <w:divBdr>
                <w:top w:val="none" w:sz="0" w:space="0" w:color="auto"/>
                <w:left w:val="none" w:sz="0" w:space="0" w:color="auto"/>
                <w:bottom w:val="none" w:sz="0" w:space="0" w:color="auto"/>
                <w:right w:val="none" w:sz="0" w:space="0" w:color="auto"/>
              </w:divBdr>
              <w:divsChild>
                <w:div w:id="1797213540">
                  <w:marLeft w:val="0"/>
                  <w:marRight w:val="0"/>
                  <w:marTop w:val="0"/>
                  <w:marBottom w:val="0"/>
                  <w:divBdr>
                    <w:top w:val="none" w:sz="0" w:space="0" w:color="auto"/>
                    <w:left w:val="none" w:sz="0" w:space="0" w:color="auto"/>
                    <w:bottom w:val="none" w:sz="0" w:space="0" w:color="auto"/>
                    <w:right w:val="none" w:sz="0" w:space="0" w:color="auto"/>
                  </w:divBdr>
                  <w:divsChild>
                    <w:div w:id="2050766237">
                      <w:marLeft w:val="0"/>
                      <w:marRight w:val="0"/>
                      <w:marTop w:val="0"/>
                      <w:marBottom w:val="0"/>
                      <w:divBdr>
                        <w:top w:val="none" w:sz="0" w:space="0" w:color="auto"/>
                        <w:left w:val="none" w:sz="0" w:space="0" w:color="auto"/>
                        <w:bottom w:val="none" w:sz="0" w:space="0" w:color="auto"/>
                        <w:right w:val="none" w:sz="0" w:space="0" w:color="auto"/>
                      </w:divBdr>
                      <w:divsChild>
                        <w:div w:id="1161198771">
                          <w:marLeft w:val="0"/>
                          <w:marRight w:val="0"/>
                          <w:marTop w:val="0"/>
                          <w:marBottom w:val="0"/>
                          <w:divBdr>
                            <w:top w:val="none" w:sz="0" w:space="0" w:color="auto"/>
                            <w:left w:val="none" w:sz="0" w:space="0" w:color="auto"/>
                            <w:bottom w:val="none" w:sz="0" w:space="0" w:color="auto"/>
                            <w:right w:val="none" w:sz="0" w:space="0" w:color="auto"/>
                          </w:divBdr>
                          <w:divsChild>
                            <w:div w:id="1530725324">
                              <w:marLeft w:val="0"/>
                              <w:marRight w:val="0"/>
                              <w:marTop w:val="0"/>
                              <w:marBottom w:val="0"/>
                              <w:divBdr>
                                <w:top w:val="none" w:sz="0" w:space="0" w:color="auto"/>
                                <w:left w:val="none" w:sz="0" w:space="0" w:color="auto"/>
                                <w:bottom w:val="none" w:sz="0" w:space="0" w:color="auto"/>
                                <w:right w:val="none" w:sz="0" w:space="0" w:color="auto"/>
                              </w:divBdr>
                              <w:divsChild>
                                <w:div w:id="1901598350">
                                  <w:marLeft w:val="0"/>
                                  <w:marRight w:val="0"/>
                                  <w:marTop w:val="0"/>
                                  <w:marBottom w:val="0"/>
                                  <w:divBdr>
                                    <w:top w:val="none" w:sz="0" w:space="0" w:color="auto"/>
                                    <w:left w:val="none" w:sz="0" w:space="0" w:color="auto"/>
                                    <w:bottom w:val="none" w:sz="0" w:space="0" w:color="auto"/>
                                    <w:right w:val="none" w:sz="0" w:space="0" w:color="auto"/>
                                  </w:divBdr>
                                  <w:divsChild>
                                    <w:div w:id="70779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17611">
      <w:bodyDiv w:val="1"/>
      <w:marLeft w:val="0"/>
      <w:marRight w:val="0"/>
      <w:marTop w:val="0"/>
      <w:marBottom w:val="0"/>
      <w:divBdr>
        <w:top w:val="none" w:sz="0" w:space="0" w:color="auto"/>
        <w:left w:val="none" w:sz="0" w:space="0" w:color="auto"/>
        <w:bottom w:val="none" w:sz="0" w:space="0" w:color="auto"/>
        <w:right w:val="none" w:sz="0" w:space="0" w:color="auto"/>
      </w:divBdr>
    </w:div>
    <w:div w:id="1617366305">
      <w:bodyDiv w:val="1"/>
      <w:marLeft w:val="0"/>
      <w:marRight w:val="0"/>
      <w:marTop w:val="0"/>
      <w:marBottom w:val="0"/>
      <w:divBdr>
        <w:top w:val="none" w:sz="0" w:space="0" w:color="auto"/>
        <w:left w:val="none" w:sz="0" w:space="0" w:color="auto"/>
        <w:bottom w:val="none" w:sz="0" w:space="0" w:color="auto"/>
        <w:right w:val="none" w:sz="0" w:space="0" w:color="auto"/>
      </w:divBdr>
    </w:div>
    <w:div w:id="185757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cdc.gov/vaccines/acip/"/>
  <Relationship Id="rId11" Type="http://schemas.openxmlformats.org/officeDocument/2006/relationships/hyperlink" TargetMode="External" Target="http://www.fda.gov/downloads/BiologicsBloodVaccines/Vaccines/ApprovedProducts/UCM421139.pdf"/>
  <Relationship Id="rId12" Type="http://schemas.openxmlformats.org/officeDocument/2006/relationships/hyperlink" TargetMode="External" Target="http://www.fda.gov/downloads/BiologicsBloodVaccines/Vaccines/ApprovedProducts/UCM431447.pdf"/>
  <Relationship Id="rId13" Type="http://schemas.openxmlformats.org/officeDocument/2006/relationships/hyperlink" TargetMode="External" Target="http://www.cdc.gov/vaccines/hcp/vis/vis-statements/mening-serogroup.pdf"/>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styles" Target="styles.xml"/>
  <Relationship Id="rId22" Type="http://schemas.microsoft.com/office/2011/relationships/people" Target="people.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cdc.gov/mmwr/preview/mmwrhtml/mm6422a3.htm"/>
  <Relationship Id="rId9" Type="http://schemas.openxmlformats.org/officeDocument/2006/relationships/hyperlink" TargetMode="External" Target="http://www.cdc.gov/vaccines/acip/meetings/slides-2015-06.ht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1034</Words>
  <Characters>5897</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6918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2015-08-21T12:12:00Z</dcterms:created>
  <dc:creator>Lett, Susan (DPH)</dc:creator>
  <lastModifiedBy>Rebecca Vanucci</lastModifiedBy>
  <lastPrinted>2015-08-18T20:10:00Z</lastPrinted>
  <dcterms:modified xsi:type="dcterms:W3CDTF">2015-08-21T12:12:00Z</dcterms:modified>
  <revision>2</revision>
</coreProperties>
</file>