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745A9526"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B4746FA"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3209A78E" w14:textId="77777777" w:rsidTr="00012F27">
        <w:trPr>
          <w:trHeight w:val="375"/>
        </w:trPr>
        <w:tc>
          <w:tcPr>
            <w:tcW w:w="3400" w:type="dxa"/>
            <w:hideMark/>
          </w:tcPr>
          <w:p w14:paraId="687AA6AE"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hideMark/>
          </w:tcPr>
          <w:p w14:paraId="44595473" w14:textId="47321A0D"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1390D">
              <w:rPr>
                <w:rFonts w:eastAsia="Times New Roman" w:cs="Times New Roman"/>
                <w:color w:val="000000"/>
              </w:rPr>
              <w:t>Mass General Brigham ACO</w:t>
            </w:r>
          </w:p>
        </w:tc>
      </w:tr>
      <w:tr w:rsidR="009654D7" w:rsidRPr="009D4FC2" w14:paraId="3B0CF167" w14:textId="77777777" w:rsidTr="00012F27">
        <w:trPr>
          <w:trHeight w:val="375"/>
        </w:trPr>
        <w:tc>
          <w:tcPr>
            <w:tcW w:w="3400" w:type="dxa"/>
            <w:hideMark/>
          </w:tcPr>
          <w:p w14:paraId="376DBC04"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07D2BF98" w14:textId="393308C4"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CE2B41">
              <w:rPr>
                <w:rFonts w:eastAsia="Times New Roman" w:cs="Times New Roman"/>
                <w:color w:val="000000"/>
              </w:rPr>
              <w:t>399 Revolution Drive, Somerville, MA 02145</w:t>
            </w:r>
          </w:p>
        </w:tc>
      </w:tr>
    </w:tbl>
    <w:p w14:paraId="0B91D768" w14:textId="4E23C623" w:rsidR="009654D7" w:rsidRPr="009654D7" w:rsidRDefault="009654D7" w:rsidP="00EA42C3">
      <w:pPr>
        <w:contextualSpacing/>
        <w:rPr>
          <w:rFonts w:cs="Times New Roman"/>
        </w:rPr>
      </w:pPr>
    </w:p>
    <w:p w14:paraId="7501606F" w14:textId="311138B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66F69492" w14:textId="5B41CAA0" w:rsidR="009654D7" w:rsidRDefault="00C14C85" w:rsidP="007C2F88">
      <w:pPr>
        <w:pStyle w:val="Heading2"/>
        <w:spacing w:after="0"/>
      </w:pPr>
      <w:r>
        <w:t xml:space="preserve">ACO Goals from </w:t>
      </w:r>
      <w:r w:rsidR="003A582B">
        <w:t xml:space="preserve">its </w:t>
      </w:r>
      <w:r w:rsidR="008C1D78">
        <w:t>Full</w:t>
      </w:r>
      <w:r>
        <w:t xml:space="preserve"> </w:t>
      </w:r>
      <w:r w:rsidR="00461D55">
        <w:t>Participation Plan</w:t>
      </w:r>
    </w:p>
    <w:p w14:paraId="1CAE84BA" w14:textId="77777777" w:rsidR="004C741A" w:rsidRDefault="004C741A" w:rsidP="004C741A"/>
    <w:p w14:paraId="6FC47648" w14:textId="2C8A5C15" w:rsidR="00CE2B41" w:rsidRDefault="00CE2B41" w:rsidP="00CE2B41">
      <w:r>
        <w:rPr>
          <w:rFonts w:cs="Times New Roman"/>
          <w:color w:val="000000" w:themeColor="text1"/>
        </w:rPr>
        <w:t>Mass General Brigham’s participation in the MassHealth ACO program was inspired by the desire to reduce total cost of care while at the same time improving quality and access to care.  Our aim is to increase care coordination so that unnecessary utilization and admissions may decrease.  Our leading indicator</w:t>
      </w:r>
      <w:r w:rsidR="00612E0B">
        <w:rPr>
          <w:rFonts w:cs="Times New Roman"/>
          <w:color w:val="000000" w:themeColor="text1"/>
        </w:rPr>
        <w:t>s</w:t>
      </w:r>
      <w:r>
        <w:rPr>
          <w:rFonts w:cs="Times New Roman"/>
          <w:color w:val="000000" w:themeColor="text1"/>
        </w:rPr>
        <w:t>, and program goals were designed with our overarching aims in mind.</w:t>
      </w:r>
    </w:p>
    <w:p w14:paraId="694B0EB1" w14:textId="6829BD7F" w:rsidR="00012F27" w:rsidRPr="00012F27" w:rsidRDefault="00CE2B41" w:rsidP="004C741A">
      <w:r>
        <w:t>For the third year of the program, MGB</w:t>
      </w:r>
      <w:r w:rsidR="008E5FD1">
        <w:t xml:space="preserve"> </w:t>
      </w:r>
      <w:r w:rsidRPr="003C1E0D">
        <w:t>ACO</w:t>
      </w:r>
      <w:r>
        <w:t>’</w:t>
      </w:r>
      <w:r w:rsidRPr="003C1E0D">
        <w:t xml:space="preserve">s high level goals </w:t>
      </w:r>
      <w:r w:rsidRPr="00066911">
        <w:t xml:space="preserve">include </w:t>
      </w:r>
      <w:r w:rsidR="00A34FCF" w:rsidRPr="00066911">
        <w:t xml:space="preserve">reducing overall PMPM to 1% below market, </w:t>
      </w:r>
      <w:r w:rsidR="00066911" w:rsidRPr="00066911">
        <w:t>improving</w:t>
      </w:r>
      <w:r w:rsidR="003677C6">
        <w:t xml:space="preserve"> quality</w:t>
      </w:r>
      <w:r w:rsidR="00066911" w:rsidRPr="00066911">
        <w:t xml:space="preserve"> performance, improving member experience scoring on the MassHealth annual survey</w:t>
      </w:r>
      <w:r w:rsidRPr="00066911">
        <w:t xml:space="preserve"> and </w:t>
      </w:r>
      <w:r w:rsidR="00066911" w:rsidRPr="00066911">
        <w:t>integration of health-related social needs</w:t>
      </w:r>
      <w:r w:rsidR="003677C6">
        <w:t xml:space="preserve"> resources</w:t>
      </w:r>
      <w:r w:rsidR="00066911" w:rsidRPr="00066911">
        <w:t xml:space="preserve"> via the Aunt Bertha platform</w:t>
      </w:r>
      <w:r w:rsidRPr="00066911">
        <w:t>.</w:t>
      </w:r>
      <w:r w:rsidRPr="003C1E0D">
        <w:t xml:space="preserve">  </w:t>
      </w:r>
      <w:r>
        <w:t xml:space="preserve">We strive to achieve </w:t>
      </w:r>
      <w:r w:rsidRPr="003C1E0D">
        <w:t xml:space="preserve">these goals by </w:t>
      </w:r>
      <w:r>
        <w:t xml:space="preserve">reducing utilization, increasing integration and engagement, and continually working to improve quality.  Our program specific metrics are designed to enable analysis on the impacts on the Medicaid ACO population and inform future programmatic development. </w:t>
      </w:r>
    </w:p>
    <w:tbl>
      <w:tblPr>
        <w:tblStyle w:val="TableGridLight"/>
        <w:tblW w:w="9740" w:type="dxa"/>
        <w:tblLook w:val="04A0" w:firstRow="1" w:lastRow="0" w:firstColumn="1" w:lastColumn="0" w:noHBand="0" w:noVBand="1"/>
      </w:tblPr>
      <w:tblGrid>
        <w:gridCol w:w="1162"/>
        <w:gridCol w:w="8578"/>
      </w:tblGrid>
      <w:tr w:rsidR="00012F27" w:rsidRPr="00B31D2F" w14:paraId="551655E9" w14:textId="77777777" w:rsidTr="00012F27">
        <w:trPr>
          <w:trHeight w:val="300"/>
          <w:tblHeader/>
        </w:trPr>
        <w:tc>
          <w:tcPr>
            <w:tcW w:w="1162" w:type="dxa"/>
            <w:shd w:val="clear" w:color="auto" w:fill="D9D9D9" w:themeFill="background1" w:themeFillShade="D9"/>
            <w:hideMark/>
          </w:tcPr>
          <w:p w14:paraId="050F066E"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Goal #</w:t>
            </w:r>
          </w:p>
        </w:tc>
        <w:tc>
          <w:tcPr>
            <w:tcW w:w="8578" w:type="dxa"/>
            <w:shd w:val="clear" w:color="auto" w:fill="D9D9D9" w:themeFill="background1" w:themeFillShade="D9"/>
            <w:hideMark/>
          </w:tcPr>
          <w:p w14:paraId="2C76653B"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Goal Category &amp; Description</w:t>
            </w:r>
          </w:p>
        </w:tc>
      </w:tr>
      <w:tr w:rsidR="00012F27" w:rsidRPr="00B31D2F" w14:paraId="23E62583" w14:textId="77777777" w:rsidTr="00012F27">
        <w:trPr>
          <w:trHeight w:val="289"/>
        </w:trPr>
        <w:tc>
          <w:tcPr>
            <w:tcW w:w="1162" w:type="dxa"/>
            <w:hideMark/>
          </w:tcPr>
          <w:p w14:paraId="54EA9E70"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1</w:t>
            </w:r>
          </w:p>
        </w:tc>
        <w:tc>
          <w:tcPr>
            <w:tcW w:w="8578" w:type="dxa"/>
            <w:hideMark/>
          </w:tcPr>
          <w:p w14:paraId="47CD23E0" w14:textId="77777777" w:rsidR="00012F27" w:rsidRPr="00B31D2F" w:rsidRDefault="00012F27" w:rsidP="00216943">
            <w:pPr>
              <w:spacing w:after="0"/>
              <w:rPr>
                <w:rFonts w:asciiTheme="minorHAnsi" w:eastAsia="Times New Roman" w:hAnsiTheme="minorHAnsi" w:cstheme="minorHAnsi"/>
                <w:bCs/>
                <w:sz w:val="20"/>
                <w:szCs w:val="20"/>
              </w:rPr>
            </w:pPr>
            <w:r w:rsidRPr="00B31D2F">
              <w:rPr>
                <w:rFonts w:asciiTheme="minorHAnsi" w:eastAsia="Times New Roman" w:hAnsiTheme="minorHAnsi" w:cstheme="minorHAnsi"/>
                <w:b/>
                <w:bCs/>
                <w:sz w:val="20"/>
                <w:szCs w:val="20"/>
              </w:rPr>
              <w:t xml:space="preserve">Cost and Utilization </w:t>
            </w:r>
            <w:proofErr w:type="spellStart"/>
            <w:r w:rsidRPr="00B31D2F">
              <w:rPr>
                <w:rFonts w:asciiTheme="minorHAnsi" w:eastAsia="Times New Roman" w:hAnsiTheme="minorHAnsi" w:cstheme="minorHAnsi"/>
                <w:b/>
                <w:bCs/>
                <w:sz w:val="20"/>
                <w:szCs w:val="20"/>
              </w:rPr>
              <w:t>Mgmt</w:t>
            </w:r>
            <w:proofErr w:type="spellEnd"/>
            <w:r w:rsidRPr="00B31D2F">
              <w:rPr>
                <w:rFonts w:asciiTheme="minorHAnsi" w:eastAsia="Times New Roman" w:hAnsiTheme="minorHAnsi" w:cstheme="minorHAnsi"/>
                <w:b/>
                <w:bCs/>
                <w:sz w:val="20"/>
                <w:szCs w:val="20"/>
              </w:rPr>
              <w:t xml:space="preserve"> (Medical Trend): </w:t>
            </w:r>
            <w:r w:rsidRPr="00B31D2F">
              <w:rPr>
                <w:rFonts w:asciiTheme="minorHAnsi" w:eastAsia="Times New Roman" w:hAnsiTheme="minorHAnsi" w:cstheme="minorHAnsi"/>
                <w:bCs/>
                <w:sz w:val="20"/>
                <w:szCs w:val="20"/>
              </w:rPr>
              <w:t>Reduce overall PMPM trend for 2020 to 1% below market.</w:t>
            </w:r>
          </w:p>
        </w:tc>
      </w:tr>
      <w:tr w:rsidR="00012F27" w:rsidRPr="00B31D2F" w14:paraId="2CD9A799" w14:textId="77777777" w:rsidTr="00012F27">
        <w:trPr>
          <w:trHeight w:val="289"/>
        </w:trPr>
        <w:tc>
          <w:tcPr>
            <w:tcW w:w="1162" w:type="dxa"/>
            <w:hideMark/>
          </w:tcPr>
          <w:p w14:paraId="4F39E3F6"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1.a</w:t>
            </w:r>
          </w:p>
        </w:tc>
        <w:tc>
          <w:tcPr>
            <w:tcW w:w="8578" w:type="dxa"/>
            <w:hideMark/>
          </w:tcPr>
          <w:p w14:paraId="7AEB383E"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u w:val="single"/>
              </w:rPr>
              <w:t xml:space="preserve">Sub goal #1: </w:t>
            </w:r>
            <w:r w:rsidRPr="00B31D2F">
              <w:rPr>
                <w:rFonts w:asciiTheme="minorHAnsi" w:eastAsia="Times New Roman" w:hAnsiTheme="minorHAnsi" w:cstheme="minorHAnsi"/>
                <w:i/>
                <w:iCs/>
                <w:sz w:val="20"/>
                <w:szCs w:val="20"/>
              </w:rPr>
              <w:t>Reduce 2020 rate of Non-SUD related BH IP Admissions for Adults by 5% compared to 2018 performance</w:t>
            </w:r>
          </w:p>
        </w:tc>
      </w:tr>
      <w:tr w:rsidR="00012F27" w:rsidRPr="00B31D2F" w14:paraId="6B3D1669" w14:textId="77777777" w:rsidTr="00012F27">
        <w:trPr>
          <w:trHeight w:val="289"/>
        </w:trPr>
        <w:tc>
          <w:tcPr>
            <w:tcW w:w="1162" w:type="dxa"/>
            <w:hideMark/>
          </w:tcPr>
          <w:p w14:paraId="34FF62D6"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1.b</w:t>
            </w:r>
          </w:p>
        </w:tc>
        <w:tc>
          <w:tcPr>
            <w:tcW w:w="8578" w:type="dxa"/>
            <w:hideMark/>
          </w:tcPr>
          <w:p w14:paraId="447F85CE" w14:textId="77777777" w:rsidR="00012F27" w:rsidRPr="00B31D2F" w:rsidRDefault="00012F27" w:rsidP="00216943">
            <w:pPr>
              <w:spacing w:after="0"/>
              <w:rPr>
                <w:rFonts w:asciiTheme="minorHAnsi" w:eastAsia="Times New Roman" w:hAnsiTheme="minorHAnsi" w:cstheme="minorHAnsi"/>
                <w:i/>
                <w:iCs/>
                <w:sz w:val="20"/>
                <w:szCs w:val="20"/>
                <w:u w:val="single"/>
              </w:rPr>
            </w:pPr>
            <w:r w:rsidRPr="00B31D2F">
              <w:rPr>
                <w:rFonts w:asciiTheme="minorHAnsi" w:eastAsia="Times New Roman" w:hAnsiTheme="minorHAnsi" w:cstheme="minorHAnsi"/>
                <w:i/>
                <w:iCs/>
                <w:sz w:val="20"/>
                <w:szCs w:val="20"/>
                <w:u w:val="single"/>
              </w:rPr>
              <w:t xml:space="preserve">Sub goal #2: </w:t>
            </w:r>
            <w:r w:rsidRPr="00B31D2F">
              <w:rPr>
                <w:rFonts w:asciiTheme="minorHAnsi" w:eastAsia="Times New Roman" w:hAnsiTheme="minorHAnsi" w:cstheme="minorHAnsi"/>
                <w:i/>
                <w:iCs/>
                <w:sz w:val="20"/>
                <w:szCs w:val="20"/>
              </w:rPr>
              <w:t>Reduce 2020 rate of Non-SUD related BH Ip Admissions for Children by 5% compared to 2018 performance</w:t>
            </w:r>
          </w:p>
        </w:tc>
      </w:tr>
      <w:tr w:rsidR="00012F27" w:rsidRPr="00B31D2F" w14:paraId="6431D673" w14:textId="77777777" w:rsidTr="00012F27">
        <w:trPr>
          <w:trHeight w:val="289"/>
        </w:trPr>
        <w:tc>
          <w:tcPr>
            <w:tcW w:w="1162" w:type="dxa"/>
            <w:hideMark/>
          </w:tcPr>
          <w:p w14:paraId="2191AD89"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1.c</w:t>
            </w:r>
          </w:p>
        </w:tc>
        <w:tc>
          <w:tcPr>
            <w:tcW w:w="8578" w:type="dxa"/>
            <w:hideMark/>
          </w:tcPr>
          <w:p w14:paraId="6CBB301E" w14:textId="77777777" w:rsidR="00012F27" w:rsidRPr="00B31D2F" w:rsidRDefault="00012F27" w:rsidP="00216943">
            <w:pPr>
              <w:spacing w:after="0"/>
              <w:rPr>
                <w:rFonts w:asciiTheme="minorHAnsi" w:eastAsia="Times New Roman" w:hAnsiTheme="minorHAnsi" w:cstheme="minorHAnsi"/>
                <w:i/>
                <w:iCs/>
                <w:sz w:val="20"/>
                <w:szCs w:val="20"/>
                <w:u w:val="single"/>
              </w:rPr>
            </w:pPr>
            <w:r w:rsidRPr="00B31D2F">
              <w:rPr>
                <w:rFonts w:asciiTheme="minorHAnsi" w:eastAsia="Times New Roman" w:hAnsiTheme="minorHAnsi" w:cstheme="minorHAnsi"/>
                <w:i/>
                <w:iCs/>
                <w:sz w:val="20"/>
                <w:szCs w:val="20"/>
                <w:u w:val="single"/>
              </w:rPr>
              <w:t xml:space="preserve">Sub goal #3: </w:t>
            </w:r>
            <w:r w:rsidRPr="00B31D2F">
              <w:rPr>
                <w:rFonts w:asciiTheme="minorHAnsi" w:eastAsia="Times New Roman" w:hAnsiTheme="minorHAnsi" w:cstheme="minorHAnsi"/>
                <w:i/>
                <w:iCs/>
                <w:sz w:val="20"/>
                <w:szCs w:val="20"/>
              </w:rPr>
              <w:t>Reduce utilization trend for Facility Outpatient Emergency Department in 2020 to 2.5%</w:t>
            </w:r>
          </w:p>
        </w:tc>
      </w:tr>
      <w:tr w:rsidR="00012F27" w:rsidRPr="00B31D2F" w14:paraId="37DAF82E" w14:textId="77777777" w:rsidTr="00012F27">
        <w:trPr>
          <w:trHeight w:val="289"/>
        </w:trPr>
        <w:tc>
          <w:tcPr>
            <w:tcW w:w="1162" w:type="dxa"/>
            <w:hideMark/>
          </w:tcPr>
          <w:p w14:paraId="66FCD4D0"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2</w:t>
            </w:r>
          </w:p>
        </w:tc>
        <w:tc>
          <w:tcPr>
            <w:tcW w:w="8578" w:type="dxa"/>
            <w:hideMark/>
          </w:tcPr>
          <w:p w14:paraId="0C7D2401"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Cost and Utilization </w:t>
            </w:r>
            <w:proofErr w:type="spellStart"/>
            <w:r w:rsidRPr="00B31D2F">
              <w:rPr>
                <w:rFonts w:asciiTheme="minorHAnsi" w:eastAsia="Times New Roman" w:hAnsiTheme="minorHAnsi" w:cstheme="minorHAnsi"/>
                <w:b/>
                <w:bCs/>
                <w:i/>
                <w:iCs/>
                <w:sz w:val="20"/>
                <w:szCs w:val="20"/>
              </w:rPr>
              <w:t>Mgmt</w:t>
            </w:r>
            <w:proofErr w:type="spellEnd"/>
            <w:r w:rsidRPr="00B31D2F">
              <w:rPr>
                <w:rFonts w:asciiTheme="minorHAnsi" w:eastAsia="Times New Roman" w:hAnsiTheme="minorHAnsi" w:cstheme="minorHAnsi"/>
                <w:b/>
                <w:bCs/>
                <w:i/>
                <w:iCs/>
                <w:sz w:val="20"/>
                <w:szCs w:val="20"/>
              </w:rPr>
              <w:t xml:space="preserve"> (Operational efficiency): </w:t>
            </w:r>
            <w:r w:rsidRPr="00B31D2F">
              <w:rPr>
                <w:rFonts w:asciiTheme="minorHAnsi" w:eastAsia="Times New Roman" w:hAnsiTheme="minorHAnsi" w:cstheme="minorHAnsi"/>
                <w:bCs/>
                <w:i/>
                <w:iCs/>
                <w:sz w:val="20"/>
                <w:szCs w:val="20"/>
              </w:rPr>
              <w:t>N/A</w:t>
            </w:r>
          </w:p>
        </w:tc>
      </w:tr>
      <w:tr w:rsidR="00012F27" w:rsidRPr="00B31D2F" w14:paraId="5A9C14C8" w14:textId="77777777" w:rsidTr="00012F27">
        <w:trPr>
          <w:trHeight w:val="289"/>
        </w:trPr>
        <w:tc>
          <w:tcPr>
            <w:tcW w:w="1162" w:type="dxa"/>
            <w:hideMark/>
          </w:tcPr>
          <w:p w14:paraId="666FD0EE"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8578" w:type="dxa"/>
            <w:hideMark/>
          </w:tcPr>
          <w:p w14:paraId="6AAF1A97"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Quality: </w:t>
            </w:r>
            <w:r w:rsidRPr="00B31D2F">
              <w:rPr>
                <w:rFonts w:asciiTheme="minorHAnsi" w:eastAsia="Times New Roman" w:hAnsiTheme="minorHAnsi" w:cstheme="minorHAnsi"/>
                <w:bCs/>
                <w:i/>
                <w:iCs/>
                <w:sz w:val="20"/>
                <w:szCs w:val="20"/>
              </w:rPr>
              <w:t>Improve performance on Childhood Immunization Measure in 2020 by 2% over 2018 performance*.</w:t>
            </w:r>
            <w:r w:rsidRPr="00B31D2F">
              <w:rPr>
                <w:rFonts w:asciiTheme="minorHAnsi" w:eastAsia="Times New Roman" w:hAnsiTheme="minorHAnsi" w:cstheme="minorHAnsi"/>
                <w:b/>
                <w:bCs/>
                <w:i/>
                <w:iCs/>
                <w:sz w:val="20"/>
                <w:szCs w:val="20"/>
              </w:rPr>
              <w:t xml:space="preserve"> </w:t>
            </w:r>
          </w:p>
        </w:tc>
      </w:tr>
      <w:tr w:rsidR="00012F27" w:rsidRPr="00B31D2F" w14:paraId="3F55878F" w14:textId="77777777" w:rsidTr="00012F27">
        <w:trPr>
          <w:trHeight w:val="289"/>
        </w:trPr>
        <w:tc>
          <w:tcPr>
            <w:tcW w:w="1162" w:type="dxa"/>
            <w:hideMark/>
          </w:tcPr>
          <w:p w14:paraId="30D61526"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4</w:t>
            </w:r>
          </w:p>
        </w:tc>
        <w:tc>
          <w:tcPr>
            <w:tcW w:w="8578" w:type="dxa"/>
            <w:hideMark/>
          </w:tcPr>
          <w:p w14:paraId="1FF61A24"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Quality: </w:t>
            </w:r>
            <w:r w:rsidRPr="00B31D2F">
              <w:rPr>
                <w:rFonts w:asciiTheme="minorHAnsi" w:eastAsia="Times New Roman" w:hAnsiTheme="minorHAnsi" w:cstheme="minorHAnsi"/>
                <w:bCs/>
                <w:i/>
                <w:iCs/>
                <w:sz w:val="20"/>
                <w:szCs w:val="20"/>
              </w:rPr>
              <w:t>Improve performance on Immunization for Adolescents in 2020 by 2% over 2018 performance*.</w:t>
            </w:r>
          </w:p>
        </w:tc>
      </w:tr>
      <w:tr w:rsidR="00012F27" w:rsidRPr="00B31D2F" w14:paraId="3E355843" w14:textId="77777777" w:rsidTr="00012F27">
        <w:trPr>
          <w:trHeight w:val="289"/>
        </w:trPr>
        <w:tc>
          <w:tcPr>
            <w:tcW w:w="1162" w:type="dxa"/>
            <w:hideMark/>
          </w:tcPr>
          <w:p w14:paraId="4F3E406E"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lastRenderedPageBreak/>
              <w:t>5</w:t>
            </w:r>
          </w:p>
        </w:tc>
        <w:tc>
          <w:tcPr>
            <w:tcW w:w="8578" w:type="dxa"/>
            <w:hideMark/>
          </w:tcPr>
          <w:p w14:paraId="223AA0BE"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Quality: </w:t>
            </w:r>
            <w:r w:rsidRPr="00B31D2F">
              <w:rPr>
                <w:rFonts w:asciiTheme="minorHAnsi" w:eastAsia="Times New Roman" w:hAnsiTheme="minorHAnsi" w:cstheme="minorHAnsi"/>
                <w:bCs/>
                <w:i/>
                <w:iCs/>
                <w:sz w:val="20"/>
                <w:szCs w:val="20"/>
              </w:rPr>
              <w:t>Improve performance on Controlling High Blood Pressure in 2020 by 1% over 2018 performance*.</w:t>
            </w:r>
          </w:p>
        </w:tc>
      </w:tr>
      <w:tr w:rsidR="00012F27" w:rsidRPr="00B31D2F" w14:paraId="4448E9EF" w14:textId="77777777" w:rsidTr="00012F27">
        <w:trPr>
          <w:trHeight w:val="289"/>
        </w:trPr>
        <w:tc>
          <w:tcPr>
            <w:tcW w:w="1162" w:type="dxa"/>
          </w:tcPr>
          <w:p w14:paraId="1F87E7DF"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6</w:t>
            </w:r>
          </w:p>
        </w:tc>
        <w:tc>
          <w:tcPr>
            <w:tcW w:w="8578" w:type="dxa"/>
          </w:tcPr>
          <w:p w14:paraId="3BD70E35"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Quality: </w:t>
            </w:r>
            <w:r w:rsidRPr="00B31D2F">
              <w:rPr>
                <w:rFonts w:asciiTheme="minorHAnsi" w:eastAsia="Times New Roman" w:hAnsiTheme="minorHAnsi" w:cstheme="minorHAnsi"/>
                <w:bCs/>
                <w:i/>
                <w:iCs/>
                <w:sz w:val="20"/>
                <w:szCs w:val="20"/>
              </w:rPr>
              <w:t>Improve performance of A1C Poor Control by 1% over 2018 performance*.</w:t>
            </w:r>
          </w:p>
        </w:tc>
      </w:tr>
      <w:tr w:rsidR="00012F27" w:rsidRPr="00B31D2F" w14:paraId="476958FF" w14:textId="77777777" w:rsidTr="00012F27">
        <w:trPr>
          <w:trHeight w:val="475"/>
        </w:trPr>
        <w:tc>
          <w:tcPr>
            <w:tcW w:w="1162" w:type="dxa"/>
            <w:hideMark/>
          </w:tcPr>
          <w:p w14:paraId="3C435821"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7</w:t>
            </w:r>
          </w:p>
        </w:tc>
        <w:tc>
          <w:tcPr>
            <w:tcW w:w="8578" w:type="dxa"/>
            <w:hideMark/>
          </w:tcPr>
          <w:p w14:paraId="7E98CFD0"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Member experience: </w:t>
            </w:r>
            <w:r w:rsidRPr="00B31D2F">
              <w:rPr>
                <w:rFonts w:asciiTheme="minorHAnsi" w:eastAsia="Times New Roman" w:hAnsiTheme="minorHAnsi" w:cstheme="minorHAnsi"/>
                <w:bCs/>
                <w:i/>
                <w:iCs/>
                <w:sz w:val="20"/>
                <w:szCs w:val="20"/>
              </w:rPr>
              <w:t>Increase Knowledge of Patient score for both Pedi and Adult by 1% as measured by MassHealth.</w:t>
            </w:r>
          </w:p>
        </w:tc>
      </w:tr>
      <w:tr w:rsidR="00012F27" w:rsidRPr="00B31D2F" w14:paraId="3769E999" w14:textId="77777777" w:rsidTr="00012F27">
        <w:trPr>
          <w:trHeight w:val="289"/>
        </w:trPr>
        <w:tc>
          <w:tcPr>
            <w:tcW w:w="1162" w:type="dxa"/>
            <w:hideMark/>
          </w:tcPr>
          <w:p w14:paraId="2F8800FC"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8</w:t>
            </w:r>
          </w:p>
        </w:tc>
        <w:tc>
          <w:tcPr>
            <w:tcW w:w="8578" w:type="dxa"/>
            <w:hideMark/>
          </w:tcPr>
          <w:p w14:paraId="0F9A8EEE" w14:textId="77777777" w:rsidR="00012F27" w:rsidRPr="00B31D2F" w:rsidRDefault="00012F27" w:rsidP="00216943">
            <w:pPr>
              <w:spacing w:after="0"/>
              <w:rPr>
                <w:rFonts w:asciiTheme="minorHAnsi" w:eastAsia="Times New Roman" w:hAnsiTheme="minorHAnsi" w:cstheme="minorHAnsi"/>
                <w:b/>
                <w:bCs/>
                <w:i/>
                <w:iCs/>
                <w:sz w:val="20"/>
                <w:szCs w:val="20"/>
              </w:rPr>
            </w:pPr>
            <w:r w:rsidRPr="00B31D2F">
              <w:rPr>
                <w:rFonts w:asciiTheme="minorHAnsi" w:eastAsia="Times New Roman" w:hAnsiTheme="minorHAnsi" w:cstheme="minorHAnsi"/>
                <w:b/>
                <w:bCs/>
                <w:i/>
                <w:iCs/>
                <w:sz w:val="20"/>
                <w:szCs w:val="20"/>
              </w:rPr>
              <w:t xml:space="preserve">Integration of physical health, BH, LTSS, and health related social needs: </w:t>
            </w:r>
            <w:r w:rsidRPr="00B31D2F">
              <w:rPr>
                <w:rFonts w:asciiTheme="minorHAnsi" w:eastAsia="Times New Roman" w:hAnsiTheme="minorHAnsi" w:cstheme="minorHAnsi"/>
                <w:bCs/>
                <w:i/>
                <w:iCs/>
                <w:sz w:val="20"/>
                <w:szCs w:val="20"/>
              </w:rPr>
              <w:t xml:space="preserve">Successful implementation of Aunt Bertha in 100% of RSOs for Flexible Services and consideration for expansion completed by end of PY3. </w:t>
            </w:r>
          </w:p>
        </w:tc>
      </w:tr>
    </w:tbl>
    <w:p w14:paraId="753361B4" w14:textId="77777777" w:rsidR="00012F27" w:rsidRPr="00B31D2F" w:rsidRDefault="00012F27" w:rsidP="00012F27">
      <w:pPr>
        <w:spacing w:after="0" w:line="240" w:lineRule="auto"/>
        <w:rPr>
          <w:rFonts w:asciiTheme="minorHAnsi" w:eastAsia="Times New Roman" w:hAnsiTheme="minorHAnsi" w:cstheme="minorHAnsi"/>
          <w:i/>
          <w:sz w:val="20"/>
          <w:szCs w:val="20"/>
        </w:rPr>
      </w:pPr>
    </w:p>
    <w:p w14:paraId="4F382F66" w14:textId="77777777" w:rsidR="00012F27" w:rsidRPr="00B31D2F" w:rsidRDefault="00012F27" w:rsidP="00012F27">
      <w:pPr>
        <w:spacing w:after="0" w:line="240" w:lineRule="auto"/>
        <w:rPr>
          <w:rFonts w:asciiTheme="minorHAnsi" w:eastAsia="Times New Roman" w:hAnsiTheme="minorHAnsi" w:cstheme="minorHAnsi"/>
          <w:i/>
          <w:sz w:val="20"/>
          <w:szCs w:val="20"/>
        </w:rPr>
      </w:pPr>
      <w:r w:rsidRPr="00B31D2F">
        <w:rPr>
          <w:rFonts w:asciiTheme="minorHAnsi" w:eastAsia="Times New Roman" w:hAnsiTheme="minorHAnsi" w:cstheme="minorHAnsi"/>
          <w:i/>
          <w:sz w:val="20"/>
          <w:szCs w:val="20"/>
        </w:rPr>
        <w:t>*Determine 2021 and 2022 targets based on updated annual performance </w:t>
      </w:r>
    </w:p>
    <w:p w14:paraId="397F4362" w14:textId="77777777" w:rsidR="00012F27" w:rsidRPr="00B31D2F" w:rsidRDefault="00012F27" w:rsidP="00012F27">
      <w:pPr>
        <w:rPr>
          <w:rFonts w:asciiTheme="minorHAnsi" w:hAnsiTheme="minorHAnsi" w:cstheme="minorHAnsi"/>
          <w:sz w:val="20"/>
          <w:szCs w:val="20"/>
        </w:rPr>
      </w:pPr>
    </w:p>
    <w:p w14:paraId="6248CC95" w14:textId="77777777" w:rsidR="00012F27" w:rsidRPr="00320003" w:rsidRDefault="00012F27" w:rsidP="00012F27">
      <w:pPr>
        <w:rPr>
          <w:rFonts w:asciiTheme="minorHAnsi" w:hAnsiTheme="minorHAnsi" w:cstheme="minorHAnsi"/>
          <w:b/>
          <w:bCs/>
        </w:rPr>
      </w:pPr>
      <w:r w:rsidRPr="00320003">
        <w:rPr>
          <w:rFonts w:asciiTheme="minorHAnsi" w:hAnsiTheme="minorHAnsi" w:cstheme="minorHAnsi"/>
          <w:b/>
          <w:bCs/>
        </w:rPr>
        <w:t>Leading Indicators</w:t>
      </w:r>
    </w:p>
    <w:tbl>
      <w:tblPr>
        <w:tblStyle w:val="TableGridLight"/>
        <w:tblW w:w="9740" w:type="dxa"/>
        <w:tblLook w:val="04A0" w:firstRow="1" w:lastRow="0" w:firstColumn="1" w:lastColumn="0" w:noHBand="0" w:noVBand="1"/>
      </w:tblPr>
      <w:tblGrid>
        <w:gridCol w:w="1162"/>
        <w:gridCol w:w="8578"/>
      </w:tblGrid>
      <w:tr w:rsidR="00012F27" w:rsidRPr="00B31D2F" w14:paraId="1015E014" w14:textId="77777777" w:rsidTr="00012F27">
        <w:trPr>
          <w:trHeight w:val="300"/>
          <w:tblHeader/>
        </w:trPr>
        <w:tc>
          <w:tcPr>
            <w:tcW w:w="1162" w:type="dxa"/>
            <w:shd w:val="clear" w:color="auto" w:fill="D9D9D9" w:themeFill="background1" w:themeFillShade="D9"/>
            <w:hideMark/>
          </w:tcPr>
          <w:p w14:paraId="1DDD62FF"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Goal #</w:t>
            </w:r>
          </w:p>
        </w:tc>
        <w:tc>
          <w:tcPr>
            <w:tcW w:w="8578" w:type="dxa"/>
            <w:shd w:val="clear" w:color="auto" w:fill="D9D9D9" w:themeFill="background1" w:themeFillShade="D9"/>
            <w:hideMark/>
          </w:tcPr>
          <w:p w14:paraId="512B9592"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Indicator</w:t>
            </w:r>
          </w:p>
        </w:tc>
      </w:tr>
      <w:tr w:rsidR="00012F27" w:rsidRPr="00B31D2F" w14:paraId="3986DA5A" w14:textId="77777777" w:rsidTr="00216943">
        <w:trPr>
          <w:trHeight w:val="315"/>
        </w:trPr>
        <w:tc>
          <w:tcPr>
            <w:tcW w:w="1162" w:type="dxa"/>
            <w:hideMark/>
          </w:tcPr>
          <w:p w14:paraId="3242112B"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1</w:t>
            </w:r>
          </w:p>
        </w:tc>
        <w:tc>
          <w:tcPr>
            <w:tcW w:w="8578" w:type="dxa"/>
            <w:hideMark/>
          </w:tcPr>
          <w:p w14:paraId="2B99776A"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Decrease medical trend as measured in the internal quarterly ACO Efficiency Report </w:t>
            </w:r>
          </w:p>
        </w:tc>
      </w:tr>
      <w:tr w:rsidR="00012F27" w:rsidRPr="00B31D2F" w14:paraId="750B59DD" w14:textId="77777777" w:rsidTr="00216943">
        <w:trPr>
          <w:trHeight w:val="315"/>
        </w:trPr>
        <w:tc>
          <w:tcPr>
            <w:tcW w:w="1162" w:type="dxa"/>
          </w:tcPr>
          <w:p w14:paraId="0573750F"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3-6</w:t>
            </w:r>
          </w:p>
        </w:tc>
        <w:tc>
          <w:tcPr>
            <w:tcW w:w="8578" w:type="dxa"/>
          </w:tcPr>
          <w:p w14:paraId="395E6311"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Improve quality metrics as measured in quarterly IPF report</w:t>
            </w:r>
          </w:p>
        </w:tc>
      </w:tr>
      <w:tr w:rsidR="00012F27" w:rsidRPr="00B31D2F" w14:paraId="4FD80429" w14:textId="77777777" w:rsidTr="00216943">
        <w:trPr>
          <w:trHeight w:val="315"/>
        </w:trPr>
        <w:tc>
          <w:tcPr>
            <w:tcW w:w="1162" w:type="dxa"/>
          </w:tcPr>
          <w:p w14:paraId="4F83798E"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7</w:t>
            </w:r>
          </w:p>
        </w:tc>
        <w:tc>
          <w:tcPr>
            <w:tcW w:w="8578" w:type="dxa"/>
          </w:tcPr>
          <w:p w14:paraId="01DB299C"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Improvement on member experience on our internal Member Experience Report as of July 2020</w:t>
            </w:r>
          </w:p>
        </w:tc>
      </w:tr>
      <w:tr w:rsidR="00012F27" w:rsidRPr="00B31D2F" w14:paraId="2AA14F73" w14:textId="77777777" w:rsidTr="00216943">
        <w:trPr>
          <w:trHeight w:val="315"/>
        </w:trPr>
        <w:tc>
          <w:tcPr>
            <w:tcW w:w="1162" w:type="dxa"/>
          </w:tcPr>
          <w:p w14:paraId="2D248578"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8</w:t>
            </w:r>
          </w:p>
        </w:tc>
        <w:tc>
          <w:tcPr>
            <w:tcW w:w="8578" w:type="dxa"/>
          </w:tcPr>
          <w:p w14:paraId="6D211EA3"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On-time completion of tasks from Aunt Bertha Integration project plan</w:t>
            </w:r>
          </w:p>
        </w:tc>
      </w:tr>
    </w:tbl>
    <w:p w14:paraId="0971A88D" w14:textId="77777777" w:rsidR="00012F27" w:rsidRPr="00B31D2F" w:rsidRDefault="00012F27" w:rsidP="00012F27">
      <w:pPr>
        <w:rPr>
          <w:rFonts w:asciiTheme="minorHAnsi" w:hAnsiTheme="minorHAnsi" w:cstheme="minorHAnsi"/>
          <w:sz w:val="20"/>
          <w:szCs w:val="20"/>
        </w:rPr>
      </w:pPr>
    </w:p>
    <w:p w14:paraId="685BDE6B" w14:textId="77777777" w:rsidR="00012F27" w:rsidRPr="00320003" w:rsidRDefault="00012F27" w:rsidP="00012F27">
      <w:pPr>
        <w:rPr>
          <w:rFonts w:asciiTheme="minorHAnsi" w:hAnsiTheme="minorHAnsi" w:cstheme="minorHAnsi"/>
          <w:b/>
          <w:bCs/>
        </w:rPr>
      </w:pPr>
      <w:r w:rsidRPr="00320003">
        <w:rPr>
          <w:rFonts w:asciiTheme="minorHAnsi" w:hAnsiTheme="minorHAnsi" w:cstheme="minorHAnsi"/>
          <w:b/>
          <w:bCs/>
        </w:rPr>
        <w:t>Program specific metrics</w:t>
      </w:r>
    </w:p>
    <w:p w14:paraId="2770ADBA" w14:textId="77777777" w:rsidR="00012F27" w:rsidRPr="00B31D2F" w:rsidRDefault="00012F27" w:rsidP="00012F27">
      <w:pPr>
        <w:rPr>
          <w:rFonts w:asciiTheme="minorHAnsi" w:hAnsiTheme="minorHAnsi" w:cstheme="minorHAnsi"/>
          <w:sz w:val="20"/>
          <w:szCs w:val="20"/>
        </w:rPr>
      </w:pPr>
      <w:r w:rsidRPr="00B31D2F">
        <w:rPr>
          <w:rFonts w:asciiTheme="minorHAnsi" w:hAnsiTheme="minorHAnsi" w:cstheme="minorHAnsi"/>
          <w:b/>
          <w:bCs/>
          <w:sz w:val="20"/>
          <w:szCs w:val="20"/>
        </w:rPr>
        <w:t>Program 1 name:</w:t>
      </w:r>
      <w:r>
        <w:rPr>
          <w:rFonts w:asciiTheme="minorHAnsi" w:hAnsiTheme="minorHAnsi" w:cstheme="minorHAnsi"/>
          <w:sz w:val="20"/>
          <w:szCs w:val="20"/>
        </w:rPr>
        <w:t xml:space="preserve"> </w:t>
      </w:r>
      <w:proofErr w:type="spellStart"/>
      <w:r>
        <w:rPr>
          <w:rFonts w:asciiTheme="minorHAnsi" w:hAnsiTheme="minorHAnsi" w:cstheme="minorHAnsi"/>
          <w:sz w:val="20"/>
          <w:szCs w:val="20"/>
        </w:rPr>
        <w:t>iCMP</w:t>
      </w:r>
      <w:proofErr w:type="spellEnd"/>
      <w:r>
        <w:rPr>
          <w:rFonts w:asciiTheme="minorHAnsi" w:hAnsiTheme="minorHAnsi" w:cstheme="minorHAnsi"/>
          <w:sz w:val="20"/>
          <w:szCs w:val="20"/>
        </w:rPr>
        <w:br/>
      </w:r>
      <w:r w:rsidRPr="00B31D2F">
        <w:rPr>
          <w:rFonts w:asciiTheme="minorHAnsi" w:hAnsiTheme="minorHAnsi" w:cstheme="minorHAnsi"/>
          <w:b/>
          <w:bCs/>
          <w:sz w:val="20"/>
          <w:szCs w:val="20"/>
        </w:rPr>
        <w:t>Applicable DSRIP Investments:</w:t>
      </w:r>
      <w:r>
        <w:rPr>
          <w:rFonts w:asciiTheme="minorHAnsi" w:hAnsiTheme="minorHAnsi" w:cstheme="minorHAnsi"/>
          <w:sz w:val="20"/>
          <w:szCs w:val="20"/>
        </w:rPr>
        <w:t xml:space="preserve"> S/O P/D:1</w:t>
      </w:r>
    </w:p>
    <w:tbl>
      <w:tblPr>
        <w:tblStyle w:val="TableGridLight"/>
        <w:tblW w:w="9740" w:type="dxa"/>
        <w:tblLook w:val="04A0" w:firstRow="1" w:lastRow="0" w:firstColumn="1" w:lastColumn="0" w:noHBand="0" w:noVBand="1"/>
      </w:tblPr>
      <w:tblGrid>
        <w:gridCol w:w="1972"/>
        <w:gridCol w:w="7768"/>
      </w:tblGrid>
      <w:tr w:rsidR="00012F27" w:rsidRPr="00B31D2F" w14:paraId="1972DB53" w14:textId="77777777" w:rsidTr="00012F27">
        <w:trPr>
          <w:trHeight w:val="80"/>
          <w:tblHeader/>
        </w:trPr>
        <w:tc>
          <w:tcPr>
            <w:tcW w:w="1972" w:type="dxa"/>
            <w:shd w:val="clear" w:color="auto" w:fill="D9D9D9" w:themeFill="background1" w:themeFillShade="D9"/>
            <w:hideMark/>
          </w:tcPr>
          <w:p w14:paraId="28C57FE7"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 #</w:t>
            </w:r>
          </w:p>
        </w:tc>
        <w:tc>
          <w:tcPr>
            <w:tcW w:w="7768" w:type="dxa"/>
            <w:shd w:val="clear" w:color="auto" w:fill="D9D9D9" w:themeFill="background1" w:themeFillShade="D9"/>
            <w:hideMark/>
          </w:tcPr>
          <w:p w14:paraId="3BC897C3"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057D0E53" w14:textId="77777777" w:rsidTr="00216943">
        <w:trPr>
          <w:trHeight w:val="300"/>
        </w:trPr>
        <w:tc>
          <w:tcPr>
            <w:tcW w:w="1972" w:type="dxa"/>
            <w:hideMark/>
          </w:tcPr>
          <w:p w14:paraId="6654BD91"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1 </w:t>
            </w:r>
          </w:p>
        </w:tc>
        <w:tc>
          <w:tcPr>
            <w:tcW w:w="7768" w:type="dxa"/>
            <w:hideMark/>
          </w:tcPr>
          <w:p w14:paraId="5BF94947"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Enrollment - target # of patients enrolled is 3%-5% of Medicaid ACO population (adult)</w:t>
            </w:r>
          </w:p>
        </w:tc>
      </w:tr>
      <w:tr w:rsidR="00012F27" w:rsidRPr="00B31D2F" w14:paraId="61B3B865" w14:textId="77777777" w:rsidTr="00216943">
        <w:trPr>
          <w:trHeight w:val="300"/>
        </w:trPr>
        <w:tc>
          <w:tcPr>
            <w:tcW w:w="1972" w:type="dxa"/>
            <w:hideMark/>
          </w:tcPr>
          <w:p w14:paraId="299B3E5A"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2 </w:t>
            </w:r>
          </w:p>
        </w:tc>
        <w:tc>
          <w:tcPr>
            <w:tcW w:w="7768" w:type="dxa"/>
            <w:hideMark/>
          </w:tcPr>
          <w:p w14:paraId="43B3BF03"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Care Plan – increase % of completed Care Plans to 95%</w:t>
            </w:r>
          </w:p>
        </w:tc>
      </w:tr>
      <w:tr w:rsidR="00012F27" w:rsidRPr="00B31D2F" w14:paraId="3DFB0229" w14:textId="77777777" w:rsidTr="00216943">
        <w:trPr>
          <w:trHeight w:val="315"/>
        </w:trPr>
        <w:tc>
          <w:tcPr>
            <w:tcW w:w="1972" w:type="dxa"/>
            <w:hideMark/>
          </w:tcPr>
          <w:p w14:paraId="46B5E085"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7768" w:type="dxa"/>
            <w:hideMark/>
          </w:tcPr>
          <w:p w14:paraId="4A732263"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Post Discharge – increase % of post-discharge follow-up calls for ED and medical in-patients to 75%</w:t>
            </w:r>
          </w:p>
        </w:tc>
      </w:tr>
      <w:tr w:rsidR="00012F27" w:rsidRPr="00B31D2F" w14:paraId="181F67F2" w14:textId="77777777" w:rsidTr="00216943">
        <w:trPr>
          <w:trHeight w:val="315"/>
        </w:trPr>
        <w:tc>
          <w:tcPr>
            <w:tcW w:w="1972" w:type="dxa"/>
          </w:tcPr>
          <w:p w14:paraId="618EC2B3"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4</w:t>
            </w:r>
          </w:p>
        </w:tc>
        <w:tc>
          <w:tcPr>
            <w:tcW w:w="7768" w:type="dxa"/>
          </w:tcPr>
          <w:p w14:paraId="3CD024C5"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Inpatient Admissions - Decrease in monthly inpatient admissions</w:t>
            </w:r>
          </w:p>
        </w:tc>
      </w:tr>
      <w:tr w:rsidR="00012F27" w:rsidRPr="00B31D2F" w14:paraId="670FCD9B" w14:textId="77777777" w:rsidTr="00216943">
        <w:trPr>
          <w:trHeight w:val="315"/>
        </w:trPr>
        <w:tc>
          <w:tcPr>
            <w:tcW w:w="1972" w:type="dxa"/>
          </w:tcPr>
          <w:p w14:paraId="07E3623E"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5</w:t>
            </w:r>
          </w:p>
        </w:tc>
        <w:tc>
          <w:tcPr>
            <w:tcW w:w="7768" w:type="dxa"/>
          </w:tcPr>
          <w:p w14:paraId="393CA842"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Time to enrollment - Decrease # of days from identification to enrollment/engagement to 45 days</w:t>
            </w:r>
          </w:p>
        </w:tc>
      </w:tr>
    </w:tbl>
    <w:p w14:paraId="644FA725" w14:textId="77777777" w:rsidR="00012F27" w:rsidRPr="00B31D2F" w:rsidRDefault="00012F27" w:rsidP="00012F27">
      <w:pPr>
        <w:rPr>
          <w:rFonts w:asciiTheme="minorHAnsi" w:hAnsiTheme="minorHAnsi" w:cstheme="minorHAnsi"/>
          <w:sz w:val="20"/>
          <w:szCs w:val="20"/>
        </w:rPr>
      </w:pPr>
    </w:p>
    <w:p w14:paraId="5ECC2F99" w14:textId="77777777" w:rsidR="00012F27" w:rsidRPr="00B31D2F" w:rsidRDefault="00012F27" w:rsidP="00012F27">
      <w:pPr>
        <w:rPr>
          <w:rFonts w:asciiTheme="minorHAnsi" w:hAnsiTheme="minorHAnsi" w:cstheme="minorHAnsi"/>
          <w:sz w:val="20"/>
          <w:szCs w:val="20"/>
        </w:rPr>
      </w:pPr>
      <w:r w:rsidRPr="00B31D2F">
        <w:rPr>
          <w:rFonts w:asciiTheme="minorHAnsi" w:hAnsiTheme="minorHAnsi" w:cstheme="minorHAnsi"/>
          <w:b/>
          <w:bCs/>
          <w:sz w:val="20"/>
          <w:szCs w:val="20"/>
        </w:rPr>
        <w:t>Program 2 name:</w:t>
      </w:r>
      <w:r>
        <w:rPr>
          <w:rFonts w:asciiTheme="minorHAnsi" w:hAnsiTheme="minorHAnsi" w:cstheme="minorHAnsi"/>
          <w:sz w:val="20"/>
          <w:szCs w:val="20"/>
        </w:rPr>
        <w:t xml:space="preserve"> </w:t>
      </w:r>
      <w:proofErr w:type="spellStart"/>
      <w:r>
        <w:rPr>
          <w:rFonts w:asciiTheme="minorHAnsi" w:hAnsiTheme="minorHAnsi" w:cstheme="minorHAnsi"/>
          <w:sz w:val="20"/>
          <w:szCs w:val="20"/>
        </w:rPr>
        <w:t>iCMP</w:t>
      </w:r>
      <w:proofErr w:type="spellEnd"/>
      <w:r>
        <w:rPr>
          <w:rFonts w:asciiTheme="minorHAnsi" w:hAnsiTheme="minorHAnsi" w:cstheme="minorHAnsi"/>
          <w:sz w:val="20"/>
          <w:szCs w:val="20"/>
        </w:rPr>
        <w:t xml:space="preserve"> PLUS</w:t>
      </w:r>
      <w:r>
        <w:rPr>
          <w:rFonts w:asciiTheme="minorHAnsi" w:hAnsiTheme="minorHAnsi" w:cstheme="minorHAnsi"/>
          <w:sz w:val="20"/>
          <w:szCs w:val="20"/>
        </w:rPr>
        <w:br/>
      </w:r>
      <w:r w:rsidRPr="00B31D2F">
        <w:rPr>
          <w:rFonts w:asciiTheme="minorHAnsi" w:hAnsiTheme="minorHAnsi" w:cstheme="minorHAnsi"/>
          <w:b/>
          <w:bCs/>
          <w:sz w:val="20"/>
          <w:szCs w:val="20"/>
        </w:rPr>
        <w:t>Applicable DSRIP Investments:</w:t>
      </w:r>
      <w:r>
        <w:rPr>
          <w:rFonts w:asciiTheme="minorHAnsi" w:hAnsiTheme="minorHAnsi" w:cstheme="minorHAnsi"/>
          <w:sz w:val="20"/>
          <w:szCs w:val="20"/>
        </w:rPr>
        <w:t xml:space="preserve"> S/O P/D: 4</w:t>
      </w:r>
    </w:p>
    <w:tbl>
      <w:tblPr>
        <w:tblStyle w:val="TableGridLight"/>
        <w:tblW w:w="9740" w:type="dxa"/>
        <w:tblLook w:val="04A0" w:firstRow="1" w:lastRow="0" w:firstColumn="1" w:lastColumn="0" w:noHBand="0" w:noVBand="1"/>
      </w:tblPr>
      <w:tblGrid>
        <w:gridCol w:w="1972"/>
        <w:gridCol w:w="7768"/>
      </w:tblGrid>
      <w:tr w:rsidR="00012F27" w:rsidRPr="00B31D2F" w14:paraId="4AD4C1C3" w14:textId="77777777" w:rsidTr="00012F27">
        <w:trPr>
          <w:trHeight w:val="215"/>
          <w:tblHeader/>
        </w:trPr>
        <w:tc>
          <w:tcPr>
            <w:tcW w:w="1972" w:type="dxa"/>
            <w:shd w:val="clear" w:color="auto" w:fill="D9D9D9" w:themeFill="background1" w:themeFillShade="D9"/>
            <w:hideMark/>
          </w:tcPr>
          <w:p w14:paraId="5A4AF5C5"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 #</w:t>
            </w:r>
          </w:p>
        </w:tc>
        <w:tc>
          <w:tcPr>
            <w:tcW w:w="7768" w:type="dxa"/>
            <w:shd w:val="clear" w:color="auto" w:fill="D9D9D9" w:themeFill="background1" w:themeFillShade="D9"/>
            <w:hideMark/>
          </w:tcPr>
          <w:p w14:paraId="08C363B5"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0844DFD8" w14:textId="77777777" w:rsidTr="00216943">
        <w:trPr>
          <w:trHeight w:val="300"/>
        </w:trPr>
        <w:tc>
          <w:tcPr>
            <w:tcW w:w="1972" w:type="dxa"/>
            <w:hideMark/>
          </w:tcPr>
          <w:p w14:paraId="5F1A39B8"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1 </w:t>
            </w:r>
          </w:p>
        </w:tc>
        <w:tc>
          <w:tcPr>
            <w:tcW w:w="7768" w:type="dxa"/>
            <w:hideMark/>
          </w:tcPr>
          <w:p w14:paraId="0C25268E"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Enrollment - # of patients enrolled (not engaged) through 12/31/2020: 325 patients</w:t>
            </w:r>
          </w:p>
        </w:tc>
      </w:tr>
      <w:tr w:rsidR="00012F27" w:rsidRPr="00B31D2F" w14:paraId="1F68E68E" w14:textId="77777777" w:rsidTr="00216943">
        <w:trPr>
          <w:trHeight w:val="300"/>
        </w:trPr>
        <w:tc>
          <w:tcPr>
            <w:tcW w:w="1972" w:type="dxa"/>
            <w:hideMark/>
          </w:tcPr>
          <w:p w14:paraId="554C152B"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2 </w:t>
            </w:r>
          </w:p>
        </w:tc>
        <w:tc>
          <w:tcPr>
            <w:tcW w:w="7768" w:type="dxa"/>
            <w:hideMark/>
          </w:tcPr>
          <w:p w14:paraId="62D4F932"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Inpatient admissions – decrease in monthly inpatient admissions</w:t>
            </w:r>
          </w:p>
        </w:tc>
      </w:tr>
      <w:tr w:rsidR="00012F27" w:rsidRPr="00B31D2F" w14:paraId="3BDBD9C3" w14:textId="77777777" w:rsidTr="00216943">
        <w:trPr>
          <w:trHeight w:val="315"/>
        </w:trPr>
        <w:tc>
          <w:tcPr>
            <w:tcW w:w="1972" w:type="dxa"/>
            <w:hideMark/>
          </w:tcPr>
          <w:p w14:paraId="1661A4F0"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7768" w:type="dxa"/>
            <w:hideMark/>
          </w:tcPr>
          <w:p w14:paraId="3B014C60"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ED visits – decrease in monthly ED visits</w:t>
            </w:r>
          </w:p>
        </w:tc>
      </w:tr>
      <w:tr w:rsidR="00012F27" w:rsidRPr="00B31D2F" w14:paraId="23C8D217" w14:textId="77777777" w:rsidTr="00216943">
        <w:trPr>
          <w:trHeight w:val="315"/>
        </w:trPr>
        <w:tc>
          <w:tcPr>
            <w:tcW w:w="1972" w:type="dxa"/>
          </w:tcPr>
          <w:p w14:paraId="7C3DF457"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4</w:t>
            </w:r>
          </w:p>
        </w:tc>
        <w:tc>
          <w:tcPr>
            <w:tcW w:w="7768" w:type="dxa"/>
          </w:tcPr>
          <w:p w14:paraId="6FD39A06"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Post Discharge – increase % of post-discharge follow up calls for ED and medical inpatient to 95%</w:t>
            </w:r>
          </w:p>
        </w:tc>
      </w:tr>
      <w:tr w:rsidR="00012F27" w:rsidRPr="00B31D2F" w14:paraId="3C281E5F" w14:textId="77777777" w:rsidTr="00216943">
        <w:trPr>
          <w:trHeight w:val="315"/>
        </w:trPr>
        <w:tc>
          <w:tcPr>
            <w:tcW w:w="1972" w:type="dxa"/>
          </w:tcPr>
          <w:p w14:paraId="6A308436"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5</w:t>
            </w:r>
          </w:p>
        </w:tc>
        <w:tc>
          <w:tcPr>
            <w:tcW w:w="7768" w:type="dxa"/>
          </w:tcPr>
          <w:p w14:paraId="624CECDF"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Care Plans – increase % of completed care plans to 90%</w:t>
            </w:r>
          </w:p>
        </w:tc>
      </w:tr>
      <w:tr w:rsidR="00012F27" w:rsidRPr="00B31D2F" w14:paraId="42C0FFC0" w14:textId="77777777" w:rsidTr="00216943">
        <w:trPr>
          <w:trHeight w:val="315"/>
        </w:trPr>
        <w:tc>
          <w:tcPr>
            <w:tcW w:w="1972" w:type="dxa"/>
          </w:tcPr>
          <w:p w14:paraId="6A2209E9"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lastRenderedPageBreak/>
              <w:t>6</w:t>
            </w:r>
          </w:p>
        </w:tc>
        <w:tc>
          <w:tcPr>
            <w:tcW w:w="7768" w:type="dxa"/>
          </w:tcPr>
          <w:p w14:paraId="36E322F6"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Time to enrollment – decrease # of days from identification to enrollment/engagement (goal: &lt;90 days)</w:t>
            </w:r>
          </w:p>
        </w:tc>
      </w:tr>
    </w:tbl>
    <w:p w14:paraId="01202E10" w14:textId="77777777" w:rsidR="00012F27" w:rsidRDefault="00012F27" w:rsidP="00012F27">
      <w:pPr>
        <w:rPr>
          <w:rFonts w:asciiTheme="minorHAnsi" w:hAnsiTheme="minorHAnsi" w:cstheme="minorHAnsi"/>
          <w:sz w:val="20"/>
          <w:szCs w:val="20"/>
        </w:rPr>
      </w:pPr>
    </w:p>
    <w:p w14:paraId="4A93CFF6" w14:textId="77777777" w:rsidR="00012F27" w:rsidRPr="00B31D2F" w:rsidRDefault="00012F27" w:rsidP="00012F27">
      <w:pPr>
        <w:rPr>
          <w:rFonts w:asciiTheme="minorHAnsi" w:hAnsiTheme="minorHAnsi" w:cstheme="minorHAnsi"/>
          <w:sz w:val="20"/>
          <w:szCs w:val="20"/>
        </w:rPr>
      </w:pPr>
      <w:r w:rsidRPr="006A5F28">
        <w:rPr>
          <w:rFonts w:asciiTheme="minorHAnsi" w:hAnsiTheme="minorHAnsi" w:cstheme="minorHAnsi"/>
          <w:b/>
          <w:bCs/>
          <w:sz w:val="20"/>
          <w:szCs w:val="20"/>
        </w:rPr>
        <w:t>Program 3 name:</w:t>
      </w:r>
      <w:r>
        <w:rPr>
          <w:rFonts w:asciiTheme="minorHAnsi" w:hAnsiTheme="minorHAnsi" w:cstheme="minorHAnsi"/>
          <w:sz w:val="20"/>
          <w:szCs w:val="20"/>
        </w:rPr>
        <w:t xml:space="preserve"> Collaborative Care</w:t>
      </w:r>
      <w:r>
        <w:rPr>
          <w:rFonts w:asciiTheme="minorHAnsi" w:hAnsiTheme="minorHAnsi" w:cstheme="minorHAnsi"/>
          <w:sz w:val="20"/>
          <w:szCs w:val="20"/>
        </w:rPr>
        <w:br/>
      </w:r>
      <w:r w:rsidRPr="006A5F28">
        <w:rPr>
          <w:rFonts w:asciiTheme="minorHAnsi" w:hAnsiTheme="minorHAnsi" w:cstheme="minorHAnsi"/>
          <w:b/>
          <w:bCs/>
          <w:sz w:val="20"/>
          <w:szCs w:val="20"/>
        </w:rPr>
        <w:t>Applicable DSRIP Investments</w:t>
      </w:r>
      <w:r>
        <w:rPr>
          <w:rFonts w:asciiTheme="minorHAnsi" w:hAnsiTheme="minorHAnsi" w:cstheme="minorHAnsi"/>
          <w:sz w:val="20"/>
          <w:szCs w:val="20"/>
        </w:rPr>
        <w:t>: S/O P/D: 2,3</w:t>
      </w:r>
    </w:p>
    <w:tbl>
      <w:tblPr>
        <w:tblStyle w:val="TableGridLight"/>
        <w:tblW w:w="9740" w:type="dxa"/>
        <w:tblLook w:val="04A0" w:firstRow="1" w:lastRow="0" w:firstColumn="1" w:lastColumn="0" w:noHBand="0" w:noVBand="1"/>
      </w:tblPr>
      <w:tblGrid>
        <w:gridCol w:w="1972"/>
        <w:gridCol w:w="7768"/>
      </w:tblGrid>
      <w:tr w:rsidR="00012F27" w:rsidRPr="00B31D2F" w14:paraId="3666B616" w14:textId="77777777" w:rsidTr="00012F27">
        <w:trPr>
          <w:trHeight w:val="70"/>
          <w:tblHeader/>
        </w:trPr>
        <w:tc>
          <w:tcPr>
            <w:tcW w:w="1972" w:type="dxa"/>
            <w:shd w:val="clear" w:color="auto" w:fill="D9D9D9" w:themeFill="background1" w:themeFillShade="D9"/>
            <w:hideMark/>
          </w:tcPr>
          <w:p w14:paraId="239DFA65"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 #</w:t>
            </w:r>
          </w:p>
        </w:tc>
        <w:tc>
          <w:tcPr>
            <w:tcW w:w="7768" w:type="dxa"/>
            <w:shd w:val="clear" w:color="auto" w:fill="D9D9D9" w:themeFill="background1" w:themeFillShade="D9"/>
            <w:hideMark/>
          </w:tcPr>
          <w:p w14:paraId="7E9BB474"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5C88B319" w14:textId="77777777" w:rsidTr="00216943">
        <w:trPr>
          <w:trHeight w:val="300"/>
        </w:trPr>
        <w:tc>
          <w:tcPr>
            <w:tcW w:w="1972" w:type="dxa"/>
            <w:hideMark/>
          </w:tcPr>
          <w:p w14:paraId="1D642BDB"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1 </w:t>
            </w:r>
          </w:p>
        </w:tc>
        <w:tc>
          <w:tcPr>
            <w:tcW w:w="7768" w:type="dxa"/>
            <w:hideMark/>
          </w:tcPr>
          <w:p w14:paraId="26F33D70"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Enrollment - # of patients enrolled through 12/31/2020: 15% increase</w:t>
            </w:r>
          </w:p>
        </w:tc>
      </w:tr>
      <w:tr w:rsidR="00012F27" w:rsidRPr="00B31D2F" w14:paraId="64F18B23" w14:textId="77777777" w:rsidTr="00216943">
        <w:trPr>
          <w:trHeight w:val="315"/>
        </w:trPr>
        <w:tc>
          <w:tcPr>
            <w:tcW w:w="1972" w:type="dxa"/>
            <w:hideMark/>
          </w:tcPr>
          <w:p w14:paraId="034BB5E1"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2</w:t>
            </w:r>
          </w:p>
        </w:tc>
        <w:tc>
          <w:tcPr>
            <w:tcW w:w="7768" w:type="dxa"/>
            <w:hideMark/>
          </w:tcPr>
          <w:p w14:paraId="0A8D2C84"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PHQ-9 score - avg point change of 3.5 for IMPACT completers in 2019</w:t>
            </w:r>
          </w:p>
        </w:tc>
      </w:tr>
      <w:tr w:rsidR="00012F27" w:rsidRPr="00B31D2F" w14:paraId="1FEA0153" w14:textId="77777777" w:rsidTr="00216943">
        <w:trPr>
          <w:trHeight w:val="315"/>
        </w:trPr>
        <w:tc>
          <w:tcPr>
            <w:tcW w:w="1972" w:type="dxa"/>
          </w:tcPr>
          <w:p w14:paraId="21739D9E"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7768" w:type="dxa"/>
          </w:tcPr>
          <w:p w14:paraId="6B726DC5"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GAD-7 score - avg point change of 4 for IMPACT completers in 2019</w:t>
            </w:r>
          </w:p>
        </w:tc>
      </w:tr>
    </w:tbl>
    <w:p w14:paraId="6F419036" w14:textId="77777777" w:rsidR="00012F27" w:rsidRDefault="00012F27" w:rsidP="00012F27">
      <w:pPr>
        <w:rPr>
          <w:rFonts w:asciiTheme="minorHAnsi" w:hAnsiTheme="minorHAnsi" w:cstheme="minorHAnsi"/>
          <w:sz w:val="20"/>
          <w:szCs w:val="20"/>
        </w:rPr>
      </w:pPr>
    </w:p>
    <w:p w14:paraId="41465743" w14:textId="77777777" w:rsidR="00012F27" w:rsidRPr="00B31D2F" w:rsidRDefault="00012F27" w:rsidP="00012F27">
      <w:pPr>
        <w:rPr>
          <w:rFonts w:asciiTheme="minorHAnsi" w:hAnsiTheme="minorHAnsi" w:cstheme="minorHAnsi"/>
          <w:sz w:val="20"/>
          <w:szCs w:val="20"/>
        </w:rPr>
      </w:pPr>
      <w:r w:rsidRPr="006A5F28">
        <w:rPr>
          <w:rFonts w:asciiTheme="minorHAnsi" w:hAnsiTheme="minorHAnsi" w:cstheme="minorHAnsi"/>
          <w:b/>
          <w:bCs/>
          <w:sz w:val="20"/>
          <w:szCs w:val="20"/>
        </w:rPr>
        <w:t>Program 4 name:</w:t>
      </w:r>
      <w:r>
        <w:rPr>
          <w:rFonts w:asciiTheme="minorHAnsi" w:hAnsiTheme="minorHAnsi" w:cstheme="minorHAnsi"/>
          <w:sz w:val="20"/>
          <w:szCs w:val="20"/>
        </w:rPr>
        <w:t xml:space="preserve"> Community Partners</w:t>
      </w:r>
      <w:r>
        <w:rPr>
          <w:rFonts w:asciiTheme="minorHAnsi" w:hAnsiTheme="minorHAnsi" w:cstheme="minorHAnsi"/>
          <w:sz w:val="20"/>
          <w:szCs w:val="20"/>
        </w:rPr>
        <w:br/>
      </w:r>
      <w:r w:rsidRPr="006A5F28">
        <w:rPr>
          <w:rFonts w:asciiTheme="minorHAnsi" w:hAnsiTheme="minorHAnsi" w:cstheme="minorHAnsi"/>
          <w:b/>
          <w:bCs/>
          <w:sz w:val="20"/>
          <w:szCs w:val="20"/>
        </w:rPr>
        <w:t>Applicable DSRIP Investments</w:t>
      </w:r>
      <w:r>
        <w:rPr>
          <w:rFonts w:asciiTheme="minorHAnsi" w:hAnsiTheme="minorHAnsi" w:cstheme="minorHAnsi"/>
          <w:sz w:val="20"/>
          <w:szCs w:val="20"/>
        </w:rPr>
        <w:t>: S/O D: 10</w:t>
      </w:r>
    </w:p>
    <w:tbl>
      <w:tblPr>
        <w:tblStyle w:val="TableGridLight"/>
        <w:tblW w:w="9740" w:type="dxa"/>
        <w:tblLook w:val="04A0" w:firstRow="1" w:lastRow="0" w:firstColumn="1" w:lastColumn="0" w:noHBand="0" w:noVBand="1"/>
      </w:tblPr>
      <w:tblGrid>
        <w:gridCol w:w="1972"/>
        <w:gridCol w:w="7768"/>
      </w:tblGrid>
      <w:tr w:rsidR="00012F27" w:rsidRPr="00B31D2F" w14:paraId="0B6AE9AD" w14:textId="77777777" w:rsidTr="00012F27">
        <w:trPr>
          <w:trHeight w:val="70"/>
          <w:tblHeader/>
        </w:trPr>
        <w:tc>
          <w:tcPr>
            <w:tcW w:w="1972" w:type="dxa"/>
            <w:shd w:val="clear" w:color="auto" w:fill="D9D9D9" w:themeFill="background1" w:themeFillShade="D9"/>
            <w:hideMark/>
          </w:tcPr>
          <w:p w14:paraId="428E71B1"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 #</w:t>
            </w:r>
          </w:p>
        </w:tc>
        <w:tc>
          <w:tcPr>
            <w:tcW w:w="7768" w:type="dxa"/>
            <w:shd w:val="clear" w:color="auto" w:fill="D9D9D9" w:themeFill="background1" w:themeFillShade="D9"/>
            <w:hideMark/>
          </w:tcPr>
          <w:p w14:paraId="6DAC70A9"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4650D952" w14:textId="77777777" w:rsidTr="00216943">
        <w:trPr>
          <w:trHeight w:val="300"/>
        </w:trPr>
        <w:tc>
          <w:tcPr>
            <w:tcW w:w="1972" w:type="dxa"/>
            <w:hideMark/>
          </w:tcPr>
          <w:p w14:paraId="1F934314"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1 </w:t>
            </w:r>
          </w:p>
        </w:tc>
        <w:tc>
          <w:tcPr>
            <w:tcW w:w="7768" w:type="dxa"/>
            <w:hideMark/>
          </w:tcPr>
          <w:p w14:paraId="6F8116B4"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Assessments - Increase # assessments completed for LTSS patients who are active, benchmark: 50% completion rate</w:t>
            </w:r>
          </w:p>
        </w:tc>
      </w:tr>
      <w:tr w:rsidR="00012F27" w:rsidRPr="00B31D2F" w14:paraId="6350A98A" w14:textId="77777777" w:rsidTr="00216943">
        <w:trPr>
          <w:trHeight w:val="300"/>
        </w:trPr>
        <w:tc>
          <w:tcPr>
            <w:tcW w:w="1972" w:type="dxa"/>
            <w:hideMark/>
          </w:tcPr>
          <w:p w14:paraId="26AE0837"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2 </w:t>
            </w:r>
          </w:p>
        </w:tc>
        <w:tc>
          <w:tcPr>
            <w:tcW w:w="7768" w:type="dxa"/>
            <w:hideMark/>
          </w:tcPr>
          <w:p w14:paraId="7D7DEF42"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Signed Care Plans - Increase in # of care plans signed for LTSS and BH patients who are active, benchmark: 45% completion rate</w:t>
            </w:r>
          </w:p>
        </w:tc>
      </w:tr>
      <w:tr w:rsidR="00012F27" w:rsidRPr="00B31D2F" w14:paraId="0ECC247D" w14:textId="77777777" w:rsidTr="00216943">
        <w:trPr>
          <w:trHeight w:val="315"/>
        </w:trPr>
        <w:tc>
          <w:tcPr>
            <w:tcW w:w="1972" w:type="dxa"/>
            <w:hideMark/>
          </w:tcPr>
          <w:p w14:paraId="288508FF"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7768" w:type="dxa"/>
            <w:hideMark/>
          </w:tcPr>
          <w:p w14:paraId="12B6EDC4"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Engagement - Increase in # of patients engaged for LTSS and BH support who have been identified or referred, Benchmark: 45%</w:t>
            </w:r>
          </w:p>
        </w:tc>
      </w:tr>
    </w:tbl>
    <w:p w14:paraId="48A0904C" w14:textId="77777777" w:rsidR="00012F27" w:rsidRPr="00B31D2F" w:rsidRDefault="00012F27" w:rsidP="00012F27">
      <w:pPr>
        <w:rPr>
          <w:rFonts w:asciiTheme="minorHAnsi" w:hAnsiTheme="minorHAnsi" w:cstheme="minorHAnsi"/>
          <w:sz w:val="20"/>
          <w:szCs w:val="20"/>
        </w:rPr>
      </w:pPr>
    </w:p>
    <w:p w14:paraId="52CC98FD" w14:textId="77777777" w:rsidR="00012F27" w:rsidRPr="00B31D2F" w:rsidRDefault="00012F27" w:rsidP="00012F27">
      <w:pPr>
        <w:rPr>
          <w:rFonts w:asciiTheme="minorHAnsi" w:hAnsiTheme="minorHAnsi" w:cstheme="minorHAnsi"/>
          <w:sz w:val="20"/>
          <w:szCs w:val="20"/>
        </w:rPr>
      </w:pPr>
      <w:r w:rsidRPr="006A5F28">
        <w:rPr>
          <w:rFonts w:asciiTheme="minorHAnsi" w:hAnsiTheme="minorHAnsi" w:cstheme="minorHAnsi"/>
          <w:b/>
          <w:bCs/>
          <w:sz w:val="20"/>
          <w:szCs w:val="20"/>
        </w:rPr>
        <w:t>Program 5 name:</w:t>
      </w:r>
      <w:r>
        <w:rPr>
          <w:rFonts w:asciiTheme="minorHAnsi" w:hAnsiTheme="minorHAnsi" w:cstheme="minorHAnsi"/>
          <w:sz w:val="20"/>
          <w:szCs w:val="20"/>
        </w:rPr>
        <w:t xml:space="preserve"> Recovery Coaches</w:t>
      </w:r>
      <w:r>
        <w:rPr>
          <w:rFonts w:asciiTheme="minorHAnsi" w:hAnsiTheme="minorHAnsi" w:cstheme="minorHAnsi"/>
          <w:sz w:val="20"/>
          <w:szCs w:val="20"/>
        </w:rPr>
        <w:br/>
      </w:r>
      <w:r w:rsidRPr="006A5F28">
        <w:rPr>
          <w:rFonts w:asciiTheme="minorHAnsi" w:hAnsiTheme="minorHAnsi" w:cstheme="minorHAnsi"/>
          <w:b/>
          <w:bCs/>
          <w:sz w:val="20"/>
          <w:szCs w:val="20"/>
        </w:rPr>
        <w:t>Applicable DSRIP Investments:</w:t>
      </w:r>
      <w:r>
        <w:rPr>
          <w:rFonts w:asciiTheme="minorHAnsi" w:hAnsiTheme="minorHAnsi" w:cstheme="minorHAnsi"/>
          <w:sz w:val="20"/>
          <w:szCs w:val="20"/>
        </w:rPr>
        <w:t xml:space="preserve"> S/O P/D: 2, 3</w:t>
      </w:r>
    </w:p>
    <w:tbl>
      <w:tblPr>
        <w:tblStyle w:val="TableGridLight"/>
        <w:tblW w:w="9740" w:type="dxa"/>
        <w:tblLook w:val="04A0" w:firstRow="1" w:lastRow="0" w:firstColumn="1" w:lastColumn="0" w:noHBand="0" w:noVBand="1"/>
      </w:tblPr>
      <w:tblGrid>
        <w:gridCol w:w="1972"/>
        <w:gridCol w:w="7768"/>
      </w:tblGrid>
      <w:tr w:rsidR="00012F27" w:rsidRPr="00B31D2F" w14:paraId="385F1613" w14:textId="77777777" w:rsidTr="00012F27">
        <w:trPr>
          <w:trHeight w:val="80"/>
          <w:tblHeader/>
        </w:trPr>
        <w:tc>
          <w:tcPr>
            <w:tcW w:w="1972" w:type="dxa"/>
            <w:shd w:val="clear" w:color="auto" w:fill="D9D9D9" w:themeFill="background1" w:themeFillShade="D9"/>
            <w:hideMark/>
          </w:tcPr>
          <w:p w14:paraId="0E15F289"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 #</w:t>
            </w:r>
          </w:p>
        </w:tc>
        <w:tc>
          <w:tcPr>
            <w:tcW w:w="7768" w:type="dxa"/>
            <w:shd w:val="clear" w:color="auto" w:fill="D9D9D9" w:themeFill="background1" w:themeFillShade="D9"/>
            <w:hideMark/>
          </w:tcPr>
          <w:p w14:paraId="7B063653"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7C81B40A" w14:textId="77777777" w:rsidTr="00216943">
        <w:trPr>
          <w:trHeight w:val="300"/>
        </w:trPr>
        <w:tc>
          <w:tcPr>
            <w:tcW w:w="1972" w:type="dxa"/>
            <w:hideMark/>
          </w:tcPr>
          <w:p w14:paraId="32DE9D90"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1 </w:t>
            </w:r>
          </w:p>
        </w:tc>
        <w:tc>
          <w:tcPr>
            <w:tcW w:w="7768" w:type="dxa"/>
            <w:hideMark/>
          </w:tcPr>
          <w:p w14:paraId="214F5BCE"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Referrals - # of patients referred through 12/31/2020: 10% increase</w:t>
            </w:r>
          </w:p>
        </w:tc>
      </w:tr>
      <w:tr w:rsidR="00012F27" w:rsidRPr="00B31D2F" w14:paraId="783234DA" w14:textId="77777777" w:rsidTr="00216943">
        <w:trPr>
          <w:trHeight w:val="300"/>
        </w:trPr>
        <w:tc>
          <w:tcPr>
            <w:tcW w:w="1972" w:type="dxa"/>
            <w:hideMark/>
          </w:tcPr>
          <w:p w14:paraId="16E4EB68"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2 </w:t>
            </w:r>
          </w:p>
        </w:tc>
        <w:tc>
          <w:tcPr>
            <w:tcW w:w="7768" w:type="dxa"/>
            <w:hideMark/>
          </w:tcPr>
          <w:p w14:paraId="6727AD5A"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Enrollment - # of patients enrolled through 12/31/2020:10% increase</w:t>
            </w:r>
          </w:p>
        </w:tc>
      </w:tr>
      <w:tr w:rsidR="00012F27" w:rsidRPr="00B31D2F" w14:paraId="68634F8A" w14:textId="77777777" w:rsidTr="00216943">
        <w:trPr>
          <w:trHeight w:val="315"/>
        </w:trPr>
        <w:tc>
          <w:tcPr>
            <w:tcW w:w="1972" w:type="dxa"/>
            <w:hideMark/>
          </w:tcPr>
          <w:p w14:paraId="39228343"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7768" w:type="dxa"/>
            <w:hideMark/>
          </w:tcPr>
          <w:p w14:paraId="7C1262C0"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Outreach - # of patient outreach completed by recovery coaches 12/31/2020: 10% increase</w:t>
            </w:r>
          </w:p>
        </w:tc>
      </w:tr>
    </w:tbl>
    <w:p w14:paraId="44EF61A3" w14:textId="77777777" w:rsidR="00012F27" w:rsidRDefault="00012F27" w:rsidP="00012F27">
      <w:pPr>
        <w:rPr>
          <w:rFonts w:asciiTheme="minorHAnsi" w:hAnsiTheme="minorHAnsi" w:cstheme="minorHAnsi"/>
          <w:sz w:val="20"/>
          <w:szCs w:val="20"/>
        </w:rPr>
      </w:pPr>
    </w:p>
    <w:p w14:paraId="2E817166" w14:textId="77777777" w:rsidR="00012F27" w:rsidRPr="00B31D2F" w:rsidRDefault="00012F27" w:rsidP="00012F27">
      <w:pPr>
        <w:rPr>
          <w:rFonts w:asciiTheme="minorHAnsi" w:hAnsiTheme="minorHAnsi" w:cstheme="minorHAnsi"/>
          <w:sz w:val="20"/>
          <w:szCs w:val="20"/>
        </w:rPr>
      </w:pPr>
      <w:r w:rsidRPr="006A5F28">
        <w:rPr>
          <w:rFonts w:asciiTheme="minorHAnsi" w:hAnsiTheme="minorHAnsi" w:cstheme="minorHAnsi"/>
          <w:b/>
          <w:bCs/>
          <w:sz w:val="20"/>
          <w:szCs w:val="20"/>
        </w:rPr>
        <w:t>Program 6 name:</w:t>
      </w:r>
      <w:r>
        <w:rPr>
          <w:rFonts w:asciiTheme="minorHAnsi" w:hAnsiTheme="minorHAnsi" w:cstheme="minorHAnsi"/>
          <w:sz w:val="20"/>
          <w:szCs w:val="20"/>
        </w:rPr>
        <w:t xml:space="preserve"> ED Navigator</w:t>
      </w:r>
      <w:r>
        <w:rPr>
          <w:rFonts w:asciiTheme="minorHAnsi" w:hAnsiTheme="minorHAnsi" w:cstheme="minorHAnsi"/>
          <w:sz w:val="20"/>
          <w:szCs w:val="20"/>
        </w:rPr>
        <w:br/>
      </w:r>
      <w:r w:rsidRPr="006A5F28">
        <w:rPr>
          <w:rFonts w:asciiTheme="minorHAnsi" w:hAnsiTheme="minorHAnsi" w:cstheme="minorHAnsi"/>
          <w:b/>
          <w:bCs/>
          <w:sz w:val="20"/>
          <w:szCs w:val="20"/>
        </w:rPr>
        <w:t>Applicable DSRIP Investments:</w:t>
      </w:r>
      <w:r>
        <w:rPr>
          <w:rFonts w:asciiTheme="minorHAnsi" w:hAnsiTheme="minorHAnsi" w:cstheme="minorHAnsi"/>
          <w:sz w:val="20"/>
          <w:szCs w:val="20"/>
        </w:rPr>
        <w:t xml:space="preserve"> S/O D: 5</w:t>
      </w:r>
    </w:p>
    <w:tbl>
      <w:tblPr>
        <w:tblStyle w:val="TableGridLight"/>
        <w:tblW w:w="9740" w:type="dxa"/>
        <w:tblLook w:val="04A0" w:firstRow="1" w:lastRow="0" w:firstColumn="1" w:lastColumn="0" w:noHBand="0" w:noVBand="1"/>
      </w:tblPr>
      <w:tblGrid>
        <w:gridCol w:w="1972"/>
        <w:gridCol w:w="7768"/>
      </w:tblGrid>
      <w:tr w:rsidR="00012F27" w:rsidRPr="00B31D2F" w14:paraId="382FBD63" w14:textId="77777777" w:rsidTr="00012F27">
        <w:trPr>
          <w:trHeight w:val="70"/>
          <w:tblHeader/>
        </w:trPr>
        <w:tc>
          <w:tcPr>
            <w:tcW w:w="1972" w:type="dxa"/>
            <w:shd w:val="clear" w:color="auto" w:fill="D9D9D9" w:themeFill="background1" w:themeFillShade="D9"/>
            <w:hideMark/>
          </w:tcPr>
          <w:p w14:paraId="36E81EF6"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 #</w:t>
            </w:r>
          </w:p>
        </w:tc>
        <w:tc>
          <w:tcPr>
            <w:tcW w:w="7768" w:type="dxa"/>
            <w:shd w:val="clear" w:color="auto" w:fill="D9D9D9" w:themeFill="background1" w:themeFillShade="D9"/>
            <w:hideMark/>
          </w:tcPr>
          <w:p w14:paraId="01F89318"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014DDF74" w14:textId="77777777" w:rsidTr="00216943">
        <w:trPr>
          <w:trHeight w:val="300"/>
        </w:trPr>
        <w:tc>
          <w:tcPr>
            <w:tcW w:w="1972" w:type="dxa"/>
            <w:hideMark/>
          </w:tcPr>
          <w:p w14:paraId="1A814541"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1 </w:t>
            </w:r>
          </w:p>
        </w:tc>
        <w:tc>
          <w:tcPr>
            <w:tcW w:w="7768" w:type="dxa"/>
            <w:hideMark/>
          </w:tcPr>
          <w:p w14:paraId="6C4A8143"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Enrollment – 20 initial patient outreach encounters per week</w:t>
            </w:r>
          </w:p>
        </w:tc>
      </w:tr>
      <w:tr w:rsidR="00012F27" w:rsidRPr="00B31D2F" w14:paraId="1F3CF8D0" w14:textId="77777777" w:rsidTr="00216943">
        <w:trPr>
          <w:trHeight w:val="300"/>
        </w:trPr>
        <w:tc>
          <w:tcPr>
            <w:tcW w:w="1972" w:type="dxa"/>
            <w:hideMark/>
          </w:tcPr>
          <w:p w14:paraId="23821F36"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 xml:space="preserve">2 </w:t>
            </w:r>
          </w:p>
        </w:tc>
        <w:tc>
          <w:tcPr>
            <w:tcW w:w="7768" w:type="dxa"/>
            <w:hideMark/>
          </w:tcPr>
          <w:p w14:paraId="51F42BB1"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Referrals –1.5 referrals made per patient to PCP sites, PHM programs, community-based resources to address unmet health-related social needs, and other existing resources</w:t>
            </w:r>
          </w:p>
        </w:tc>
      </w:tr>
      <w:tr w:rsidR="00012F27" w:rsidRPr="00B31D2F" w14:paraId="74D1131D" w14:textId="77777777" w:rsidTr="00216943">
        <w:trPr>
          <w:trHeight w:val="315"/>
        </w:trPr>
        <w:tc>
          <w:tcPr>
            <w:tcW w:w="1972" w:type="dxa"/>
            <w:hideMark/>
          </w:tcPr>
          <w:p w14:paraId="0121F4B8"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3</w:t>
            </w:r>
          </w:p>
        </w:tc>
        <w:tc>
          <w:tcPr>
            <w:tcW w:w="7768" w:type="dxa"/>
            <w:hideMark/>
          </w:tcPr>
          <w:p w14:paraId="0EB5F051"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 ED Visits – decrease in re-presentation at ED within 12 months</w:t>
            </w:r>
          </w:p>
        </w:tc>
      </w:tr>
      <w:tr w:rsidR="00012F27" w:rsidRPr="00B31D2F" w14:paraId="28DFB530" w14:textId="77777777" w:rsidTr="00216943">
        <w:trPr>
          <w:trHeight w:val="315"/>
        </w:trPr>
        <w:tc>
          <w:tcPr>
            <w:tcW w:w="1972" w:type="dxa"/>
          </w:tcPr>
          <w:p w14:paraId="13D73404" w14:textId="77777777" w:rsidR="00012F27" w:rsidRPr="00B31D2F" w:rsidRDefault="00012F27" w:rsidP="00216943">
            <w:pPr>
              <w:spacing w:after="0"/>
              <w:jc w:val="center"/>
              <w:rPr>
                <w:rFonts w:asciiTheme="minorHAnsi" w:eastAsia="Times New Roman" w:hAnsiTheme="minorHAnsi" w:cstheme="minorHAnsi"/>
                <w:sz w:val="20"/>
                <w:szCs w:val="20"/>
              </w:rPr>
            </w:pPr>
            <w:r w:rsidRPr="00B31D2F">
              <w:rPr>
                <w:rFonts w:asciiTheme="minorHAnsi" w:eastAsia="Times New Roman" w:hAnsiTheme="minorHAnsi" w:cstheme="minorHAnsi"/>
                <w:sz w:val="20"/>
                <w:szCs w:val="20"/>
              </w:rPr>
              <w:t>4</w:t>
            </w:r>
          </w:p>
        </w:tc>
        <w:tc>
          <w:tcPr>
            <w:tcW w:w="7768" w:type="dxa"/>
          </w:tcPr>
          <w:p w14:paraId="41F32BAF"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IP admission - decrease in re-presentation at ED within 12 months</w:t>
            </w:r>
          </w:p>
        </w:tc>
      </w:tr>
    </w:tbl>
    <w:p w14:paraId="2936B965" w14:textId="77777777" w:rsidR="00012F27" w:rsidRPr="00B31D2F" w:rsidRDefault="00012F27" w:rsidP="00012F27">
      <w:pPr>
        <w:rPr>
          <w:rFonts w:asciiTheme="minorHAnsi" w:hAnsiTheme="minorHAnsi" w:cstheme="minorHAnsi"/>
          <w:sz w:val="20"/>
          <w:szCs w:val="20"/>
        </w:rPr>
      </w:pPr>
    </w:p>
    <w:p w14:paraId="3373320E" w14:textId="77777777" w:rsidR="00012F27" w:rsidRPr="00B31D2F" w:rsidRDefault="00012F27" w:rsidP="00012F27">
      <w:pPr>
        <w:rPr>
          <w:rFonts w:asciiTheme="minorHAnsi" w:hAnsiTheme="minorHAnsi" w:cstheme="minorHAnsi"/>
          <w:sz w:val="20"/>
          <w:szCs w:val="20"/>
        </w:rPr>
      </w:pPr>
      <w:r w:rsidRPr="006A5F28">
        <w:rPr>
          <w:rFonts w:asciiTheme="minorHAnsi" w:hAnsiTheme="minorHAnsi" w:cstheme="minorHAnsi"/>
          <w:b/>
          <w:bCs/>
          <w:sz w:val="20"/>
          <w:szCs w:val="20"/>
        </w:rPr>
        <w:t>Program 7 name:</w:t>
      </w:r>
      <w:r>
        <w:rPr>
          <w:rFonts w:asciiTheme="minorHAnsi" w:hAnsiTheme="minorHAnsi" w:cstheme="minorHAnsi"/>
          <w:sz w:val="20"/>
          <w:szCs w:val="20"/>
        </w:rPr>
        <w:t xml:space="preserve"> SDOH Screening and Referral</w:t>
      </w:r>
      <w:r>
        <w:rPr>
          <w:rFonts w:asciiTheme="minorHAnsi" w:hAnsiTheme="minorHAnsi" w:cstheme="minorHAnsi"/>
          <w:sz w:val="20"/>
          <w:szCs w:val="20"/>
        </w:rPr>
        <w:br/>
      </w:r>
      <w:r w:rsidRPr="006A5F28">
        <w:rPr>
          <w:rFonts w:asciiTheme="minorHAnsi" w:hAnsiTheme="minorHAnsi" w:cstheme="minorHAnsi"/>
          <w:b/>
          <w:bCs/>
          <w:sz w:val="20"/>
          <w:szCs w:val="20"/>
        </w:rPr>
        <w:t>Applicable DSRIP Investments:</w:t>
      </w:r>
      <w:r>
        <w:rPr>
          <w:rFonts w:asciiTheme="minorHAnsi" w:hAnsiTheme="minorHAnsi" w:cstheme="minorHAnsi"/>
          <w:sz w:val="20"/>
          <w:szCs w:val="20"/>
        </w:rPr>
        <w:t xml:space="preserve"> S/O D: 10</w:t>
      </w:r>
    </w:p>
    <w:tbl>
      <w:tblPr>
        <w:tblStyle w:val="TableGridLight"/>
        <w:tblW w:w="9740" w:type="dxa"/>
        <w:tblLook w:val="04A0" w:firstRow="1" w:lastRow="0" w:firstColumn="1" w:lastColumn="0" w:noHBand="0" w:noVBand="1"/>
      </w:tblPr>
      <w:tblGrid>
        <w:gridCol w:w="1972"/>
        <w:gridCol w:w="7768"/>
      </w:tblGrid>
      <w:tr w:rsidR="00012F27" w:rsidRPr="00B31D2F" w14:paraId="204DA4AE" w14:textId="77777777" w:rsidTr="00012F27">
        <w:trPr>
          <w:trHeight w:val="70"/>
          <w:tblHeader/>
        </w:trPr>
        <w:tc>
          <w:tcPr>
            <w:tcW w:w="1972" w:type="dxa"/>
            <w:shd w:val="clear" w:color="auto" w:fill="D9D9D9" w:themeFill="background1" w:themeFillShade="D9"/>
            <w:hideMark/>
          </w:tcPr>
          <w:p w14:paraId="65541F2C"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lastRenderedPageBreak/>
              <w:t>Measure #</w:t>
            </w:r>
          </w:p>
        </w:tc>
        <w:tc>
          <w:tcPr>
            <w:tcW w:w="7768" w:type="dxa"/>
            <w:shd w:val="clear" w:color="auto" w:fill="D9D9D9" w:themeFill="background1" w:themeFillShade="D9"/>
            <w:hideMark/>
          </w:tcPr>
          <w:p w14:paraId="673CBDE3"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Measure</w:t>
            </w:r>
          </w:p>
        </w:tc>
      </w:tr>
      <w:tr w:rsidR="00012F27" w:rsidRPr="00B31D2F" w14:paraId="438A9F9C" w14:textId="77777777" w:rsidTr="00216943">
        <w:trPr>
          <w:trHeight w:val="300"/>
        </w:trPr>
        <w:tc>
          <w:tcPr>
            <w:tcW w:w="1972" w:type="dxa"/>
            <w:hideMark/>
          </w:tcPr>
          <w:p w14:paraId="5DB35A50"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 xml:space="preserve">1 </w:t>
            </w:r>
          </w:p>
        </w:tc>
        <w:tc>
          <w:tcPr>
            <w:tcW w:w="7768" w:type="dxa"/>
            <w:hideMark/>
          </w:tcPr>
          <w:p w14:paraId="449C8442"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Increase # of primary care sites screening for SDOH to 133</w:t>
            </w:r>
          </w:p>
        </w:tc>
      </w:tr>
      <w:tr w:rsidR="00012F27" w:rsidRPr="00B31D2F" w14:paraId="3CA0DB69" w14:textId="77777777" w:rsidTr="00216943">
        <w:trPr>
          <w:trHeight w:val="300"/>
        </w:trPr>
        <w:tc>
          <w:tcPr>
            <w:tcW w:w="1972" w:type="dxa"/>
            <w:hideMark/>
          </w:tcPr>
          <w:p w14:paraId="3819F006" w14:textId="77777777" w:rsidR="00012F27" w:rsidRPr="00B31D2F" w:rsidRDefault="00012F27" w:rsidP="00216943">
            <w:pPr>
              <w:spacing w:after="0"/>
              <w:jc w:val="center"/>
              <w:rPr>
                <w:rFonts w:asciiTheme="minorHAnsi" w:eastAsia="Times New Roman" w:hAnsiTheme="minorHAnsi" w:cstheme="minorHAnsi"/>
                <w:b/>
                <w:bCs/>
                <w:sz w:val="20"/>
                <w:szCs w:val="20"/>
              </w:rPr>
            </w:pPr>
            <w:r w:rsidRPr="00B31D2F">
              <w:rPr>
                <w:rFonts w:asciiTheme="minorHAnsi" w:eastAsia="Times New Roman" w:hAnsiTheme="minorHAnsi" w:cstheme="minorHAnsi"/>
                <w:b/>
                <w:bCs/>
                <w:sz w:val="20"/>
                <w:szCs w:val="20"/>
              </w:rPr>
              <w:t xml:space="preserve">2 </w:t>
            </w:r>
          </w:p>
        </w:tc>
        <w:tc>
          <w:tcPr>
            <w:tcW w:w="7768" w:type="dxa"/>
            <w:hideMark/>
          </w:tcPr>
          <w:p w14:paraId="5619F38A" w14:textId="77777777" w:rsidR="00012F27" w:rsidRPr="00B31D2F" w:rsidRDefault="00012F27" w:rsidP="00216943">
            <w:pPr>
              <w:spacing w:after="0"/>
              <w:rPr>
                <w:rFonts w:asciiTheme="minorHAnsi" w:eastAsia="Times New Roman" w:hAnsiTheme="minorHAnsi" w:cstheme="minorHAnsi"/>
                <w:i/>
                <w:iCs/>
                <w:sz w:val="20"/>
                <w:szCs w:val="20"/>
              </w:rPr>
            </w:pPr>
            <w:r w:rsidRPr="00B31D2F">
              <w:rPr>
                <w:rFonts w:asciiTheme="minorHAnsi" w:eastAsia="Times New Roman" w:hAnsiTheme="minorHAnsi" w:cstheme="minorHAnsi"/>
                <w:i/>
                <w:iCs/>
                <w:sz w:val="20"/>
                <w:szCs w:val="20"/>
              </w:rPr>
              <w:t>Increase # of patients screened to 113,000</w:t>
            </w:r>
          </w:p>
        </w:tc>
      </w:tr>
    </w:tbl>
    <w:p w14:paraId="020E22AA" w14:textId="77777777" w:rsidR="00012F27" w:rsidRPr="00B31D2F" w:rsidRDefault="00012F27" w:rsidP="00012F27">
      <w:pPr>
        <w:rPr>
          <w:rFonts w:asciiTheme="minorHAnsi" w:hAnsiTheme="minorHAnsi" w:cstheme="minorHAnsi"/>
          <w:sz w:val="20"/>
          <w:szCs w:val="20"/>
        </w:rPr>
      </w:pPr>
    </w:p>
    <w:p w14:paraId="5968EDE2" w14:textId="0BEC99D8"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1780ABAA" w14:textId="6A6555B0" w:rsidR="00066911" w:rsidRDefault="00066911" w:rsidP="00CE2B41">
      <w:pPr>
        <w:rPr>
          <w:rFonts w:cs="Times New Roman"/>
        </w:rPr>
      </w:pPr>
      <w:r>
        <w:rPr>
          <w:rFonts w:cs="Times New Roman"/>
        </w:rPr>
        <w:t xml:space="preserve">MGB </w:t>
      </w:r>
      <w:r w:rsidR="00CE2B41" w:rsidRPr="00D90965">
        <w:rPr>
          <w:rFonts w:cs="Times New Roman"/>
        </w:rPr>
        <w:t xml:space="preserve">ACO’s investment strategy has been to expand our existing Population Health Management </w:t>
      </w:r>
      <w:r w:rsidR="008E5FD1">
        <w:rPr>
          <w:rFonts w:cs="Times New Roman"/>
        </w:rPr>
        <w:t>infrastructure</w:t>
      </w:r>
      <w:r w:rsidR="00CE2B41" w:rsidRPr="00D90965">
        <w:rPr>
          <w:rFonts w:cs="Times New Roman"/>
        </w:rPr>
        <w:t xml:space="preserve"> in addition to incorporating new elements that are specifically designed for the MassHealth population.  </w:t>
      </w:r>
      <w:r>
        <w:rPr>
          <w:rFonts w:cs="Times New Roman"/>
        </w:rPr>
        <w:t xml:space="preserve">In PY3, we were able to have all </w:t>
      </w:r>
      <w:r w:rsidR="004E6920">
        <w:rPr>
          <w:rFonts w:cs="Times New Roman"/>
        </w:rPr>
        <w:t xml:space="preserve">DSRIP funded programs operational and implemented. However, due to COVID, many programs pivoted to support our most </w:t>
      </w:r>
      <w:r w:rsidR="00FC3290">
        <w:rPr>
          <w:rFonts w:cs="Times New Roman"/>
        </w:rPr>
        <w:t>at-risk</w:t>
      </w:r>
      <w:r w:rsidR="004E6920">
        <w:rPr>
          <w:rFonts w:cs="Times New Roman"/>
        </w:rPr>
        <w:t xml:space="preserve"> members. This involved educational materials and phone calls, as well as assisting with accessing COVID testing and </w:t>
      </w:r>
      <w:r w:rsidR="003677C6">
        <w:rPr>
          <w:rFonts w:cs="Times New Roman"/>
        </w:rPr>
        <w:t>planning</w:t>
      </w:r>
      <w:r w:rsidR="004E6920">
        <w:rPr>
          <w:rFonts w:cs="Times New Roman"/>
        </w:rPr>
        <w:t xml:space="preserve"> the roll out of the COVID vaccine. </w:t>
      </w:r>
      <w:r w:rsidR="004E6920" w:rsidRPr="00D90965">
        <w:rPr>
          <w:rFonts w:cs="Times New Roman"/>
        </w:rPr>
        <w:t>Despite</w:t>
      </w:r>
      <w:r w:rsidR="004E6920">
        <w:rPr>
          <w:rFonts w:cs="Times New Roman"/>
        </w:rPr>
        <w:t xml:space="preserve"> these</w:t>
      </w:r>
      <w:r w:rsidR="004E6920" w:rsidRPr="00D90965">
        <w:rPr>
          <w:rFonts w:cs="Times New Roman"/>
        </w:rPr>
        <w:t xml:space="preserve"> challenges, we were able to progress towards our overarching goals of reducing cost and utilization while increasing member engagement and quality.</w:t>
      </w:r>
    </w:p>
    <w:p w14:paraId="0B9E4547" w14:textId="1E7CB848" w:rsidR="00AC6A86" w:rsidRDefault="00AC6A86" w:rsidP="00CE2B41">
      <w:pPr>
        <w:rPr>
          <w:rFonts w:cs="Times New Roman"/>
        </w:rPr>
      </w:pPr>
      <w:r>
        <w:rPr>
          <w:rFonts w:cs="Times New Roman"/>
        </w:rPr>
        <w:t xml:space="preserve">In PY3, a signification portion of funding went towards </w:t>
      </w:r>
      <w:r w:rsidR="0031707E">
        <w:rPr>
          <w:rFonts w:cs="Times New Roman"/>
        </w:rPr>
        <w:t xml:space="preserve">the </w:t>
      </w:r>
      <w:proofErr w:type="spellStart"/>
      <w:r>
        <w:rPr>
          <w:rFonts w:cs="Times New Roman"/>
        </w:rPr>
        <w:t>iCMP</w:t>
      </w:r>
      <w:proofErr w:type="spellEnd"/>
      <w:r>
        <w:rPr>
          <w:rFonts w:cs="Times New Roman"/>
        </w:rPr>
        <w:t xml:space="preserve"> Plus program, a program created for the Medicaid ACO in partnership with Commonwealth Care Alliance (CCA). </w:t>
      </w:r>
      <w:r w:rsidRPr="00D90965">
        <w:rPr>
          <w:rFonts w:cs="Times New Roman"/>
        </w:rPr>
        <w:t xml:space="preserve">This program provides specialized, intensive home or community-based care management for our most complex Medicaid ACO members. </w:t>
      </w:r>
      <w:r>
        <w:rPr>
          <w:rFonts w:cs="Times New Roman"/>
        </w:rPr>
        <w:t xml:space="preserve">While conducting a formal evaluation in PY3, </w:t>
      </w:r>
      <w:r w:rsidR="0031707E">
        <w:rPr>
          <w:rFonts w:cs="Times New Roman"/>
        </w:rPr>
        <w:t xml:space="preserve">Medicaid ACO members in our </w:t>
      </w:r>
      <w:proofErr w:type="spellStart"/>
      <w:r>
        <w:rPr>
          <w:rFonts w:cs="Times New Roman"/>
        </w:rPr>
        <w:t>iCMP</w:t>
      </w:r>
      <w:proofErr w:type="spellEnd"/>
      <w:r>
        <w:rPr>
          <w:rFonts w:cs="Times New Roman"/>
        </w:rPr>
        <w:t xml:space="preserve"> Plus program showed positive outcomes that directly tied back to our ACO overall goal of reducing </w:t>
      </w:r>
      <w:r w:rsidR="008E5FD1">
        <w:rPr>
          <w:rFonts w:cs="Times New Roman"/>
        </w:rPr>
        <w:t>cost</w:t>
      </w:r>
      <w:r>
        <w:rPr>
          <w:rFonts w:cs="Times New Roman"/>
        </w:rPr>
        <w:t xml:space="preserve"> and providing high quality care. </w:t>
      </w:r>
    </w:p>
    <w:p w14:paraId="68C2ABCB" w14:textId="789A5121" w:rsidR="00AC6A86" w:rsidRDefault="00AC6A86" w:rsidP="00CE2B41">
      <w:pPr>
        <w:rPr>
          <w:rFonts w:cs="Times New Roman"/>
        </w:rPr>
      </w:pPr>
      <w:r>
        <w:rPr>
          <w:rFonts w:cs="Times New Roman"/>
        </w:rPr>
        <w:t xml:space="preserve">Another investment that has demonstrated progress towards </w:t>
      </w:r>
      <w:r w:rsidR="00DF51CE">
        <w:rPr>
          <w:rFonts w:cs="Times New Roman"/>
        </w:rPr>
        <w:t>our</w:t>
      </w:r>
      <w:r>
        <w:rPr>
          <w:rFonts w:cs="Times New Roman"/>
        </w:rPr>
        <w:t xml:space="preserve"> goals was the </w:t>
      </w:r>
      <w:r w:rsidR="00DF51CE">
        <w:rPr>
          <w:rFonts w:cs="Times New Roman"/>
        </w:rPr>
        <w:t>ED Navigator program. In the</w:t>
      </w:r>
      <w:r w:rsidR="0031707E">
        <w:rPr>
          <w:rFonts w:cs="Times New Roman"/>
        </w:rPr>
        <w:t xml:space="preserve"> PY3</w:t>
      </w:r>
      <w:r w:rsidR="00DF51CE">
        <w:rPr>
          <w:rFonts w:cs="Times New Roman"/>
        </w:rPr>
        <w:t xml:space="preserve"> evaluation, the ED Navigator program showed </w:t>
      </w:r>
      <w:r w:rsidR="0031707E">
        <w:rPr>
          <w:rFonts w:cs="Times New Roman"/>
        </w:rPr>
        <w:t>positive outcomes when</w:t>
      </w:r>
      <w:r w:rsidR="00DF51CE">
        <w:rPr>
          <w:rFonts w:cs="Times New Roman"/>
        </w:rPr>
        <w:t xml:space="preserve"> connecting patients back to primary care, as well as less utilization of the Emergency Department. Furthermore, during COVID, the ED Navigator program was able to successfully pivot to a virtual model</w:t>
      </w:r>
      <w:r w:rsidR="008E5FD1">
        <w:rPr>
          <w:rFonts w:cs="Times New Roman"/>
        </w:rPr>
        <w:t>, while also increas</w:t>
      </w:r>
      <w:r w:rsidR="0031707E">
        <w:rPr>
          <w:rFonts w:cs="Times New Roman"/>
        </w:rPr>
        <w:t>ing</w:t>
      </w:r>
      <w:r w:rsidR="008E5FD1">
        <w:rPr>
          <w:rFonts w:cs="Times New Roman"/>
        </w:rPr>
        <w:t xml:space="preserve"> the </w:t>
      </w:r>
      <w:r w:rsidR="0031707E">
        <w:rPr>
          <w:rFonts w:cs="Times New Roman"/>
        </w:rPr>
        <w:t>number</w:t>
      </w:r>
      <w:r w:rsidR="008E5FD1">
        <w:rPr>
          <w:rFonts w:cs="Times New Roman"/>
        </w:rPr>
        <w:t xml:space="preserve"> of </w:t>
      </w:r>
      <w:r w:rsidR="00DF51CE">
        <w:rPr>
          <w:rFonts w:cs="Times New Roman"/>
        </w:rPr>
        <w:t>patients</w:t>
      </w:r>
      <w:r w:rsidR="008E5FD1">
        <w:rPr>
          <w:rFonts w:cs="Times New Roman"/>
        </w:rPr>
        <w:t xml:space="preserve"> they were able to connect to primary care and social service organization</w:t>
      </w:r>
      <w:r w:rsidR="0031707E">
        <w:rPr>
          <w:rFonts w:cs="Times New Roman"/>
        </w:rPr>
        <w:t>.</w:t>
      </w:r>
    </w:p>
    <w:p w14:paraId="0C632071" w14:textId="39E54721" w:rsidR="006121A8" w:rsidRDefault="006121A8" w:rsidP="00CE2B41">
      <w:pPr>
        <w:rPr>
          <w:rFonts w:cs="Times New Roman"/>
        </w:rPr>
      </w:pPr>
      <w:r>
        <w:rPr>
          <w:rFonts w:cs="Times New Roman"/>
        </w:rPr>
        <w:t>Additionally, a significant portion of our funding went towards</w:t>
      </w:r>
      <w:r w:rsidR="00D70D56">
        <w:rPr>
          <w:rFonts w:cs="Times New Roman"/>
        </w:rPr>
        <w:t xml:space="preserve"> </w:t>
      </w:r>
      <w:r w:rsidR="0031707E">
        <w:rPr>
          <w:rFonts w:cs="Times New Roman"/>
        </w:rPr>
        <w:t>p</w:t>
      </w:r>
      <w:r w:rsidR="00D70D56">
        <w:rPr>
          <w:rFonts w:cs="Times New Roman"/>
        </w:rPr>
        <w:t xml:space="preserve">rogram </w:t>
      </w:r>
      <w:r w:rsidR="0031707E">
        <w:rPr>
          <w:rFonts w:cs="Times New Roman"/>
        </w:rPr>
        <w:t>m</w:t>
      </w:r>
      <w:r w:rsidR="00D70D56">
        <w:rPr>
          <w:rFonts w:cs="Times New Roman"/>
        </w:rPr>
        <w:t xml:space="preserve">anagement. This investment is for the staff that </w:t>
      </w:r>
      <w:r w:rsidR="0031707E">
        <w:rPr>
          <w:rFonts w:cs="Times New Roman"/>
        </w:rPr>
        <w:t xml:space="preserve">run the Medicaid ACO program at a </w:t>
      </w:r>
      <w:r w:rsidR="00D70D56">
        <w:rPr>
          <w:rFonts w:cs="Times New Roman"/>
        </w:rPr>
        <w:t>central</w:t>
      </w:r>
      <w:r w:rsidR="0031707E">
        <w:rPr>
          <w:rFonts w:cs="Times New Roman"/>
        </w:rPr>
        <w:t xml:space="preserve"> level</w:t>
      </w:r>
      <w:r w:rsidR="00D70D56">
        <w:rPr>
          <w:rFonts w:cs="Times New Roman"/>
        </w:rPr>
        <w:t xml:space="preserve"> and at the RSOs. Although there was some turnover and reorganization at the beginning of PY3, staffing has now </w:t>
      </w:r>
      <w:r w:rsidR="0031707E">
        <w:rPr>
          <w:rFonts w:cs="Times New Roman"/>
        </w:rPr>
        <w:t>stabilized,</w:t>
      </w:r>
      <w:r w:rsidR="00D70D56">
        <w:rPr>
          <w:rFonts w:cs="Times New Roman"/>
        </w:rPr>
        <w:t xml:space="preserve"> and we are fully staff</w:t>
      </w:r>
      <w:r w:rsidR="0031707E">
        <w:rPr>
          <w:rFonts w:cs="Times New Roman"/>
        </w:rPr>
        <w:t>ed</w:t>
      </w:r>
      <w:r w:rsidR="00D70D56">
        <w:rPr>
          <w:rFonts w:cs="Times New Roman"/>
        </w:rPr>
        <w:t xml:space="preserve"> for our program management</w:t>
      </w:r>
      <w:r w:rsidR="0031707E">
        <w:rPr>
          <w:rFonts w:cs="Times New Roman"/>
        </w:rPr>
        <w:t xml:space="preserve"> investment</w:t>
      </w:r>
      <w:r w:rsidR="00D70D56">
        <w:rPr>
          <w:rFonts w:cs="Times New Roman"/>
        </w:rPr>
        <w:t xml:space="preserve">. The </w:t>
      </w:r>
      <w:r w:rsidR="0031707E">
        <w:rPr>
          <w:rFonts w:cs="Times New Roman"/>
        </w:rPr>
        <w:t>p</w:t>
      </w:r>
      <w:r w:rsidR="00D70D56">
        <w:rPr>
          <w:rFonts w:cs="Times New Roman"/>
        </w:rPr>
        <w:t xml:space="preserve">rogram </w:t>
      </w:r>
      <w:r w:rsidR="0031707E">
        <w:rPr>
          <w:rFonts w:cs="Times New Roman"/>
        </w:rPr>
        <w:t>m</w:t>
      </w:r>
      <w:r w:rsidR="00D70D56">
        <w:rPr>
          <w:rFonts w:cs="Times New Roman"/>
        </w:rPr>
        <w:t xml:space="preserve">anagement investment ties to all ACO goals, as the funding </w:t>
      </w:r>
      <w:r w:rsidR="0031707E">
        <w:rPr>
          <w:rFonts w:cs="Times New Roman"/>
        </w:rPr>
        <w:t>ensures we are able to accurately staff for the individuals</w:t>
      </w:r>
      <w:r w:rsidR="00D70D56">
        <w:rPr>
          <w:rFonts w:cs="Times New Roman"/>
        </w:rPr>
        <w:t xml:space="preserve"> running DSRIP </w:t>
      </w:r>
      <w:r w:rsidR="0031707E">
        <w:rPr>
          <w:rFonts w:cs="Times New Roman"/>
        </w:rPr>
        <w:t>funded</w:t>
      </w:r>
      <w:r w:rsidR="00D70D56">
        <w:rPr>
          <w:rFonts w:cs="Times New Roman"/>
        </w:rPr>
        <w:t xml:space="preserve"> programs</w:t>
      </w:r>
      <w:r w:rsidR="000C4229">
        <w:rPr>
          <w:rFonts w:cs="Times New Roman"/>
        </w:rPr>
        <w:t xml:space="preserve">, </w:t>
      </w:r>
      <w:r w:rsidR="00D70D56">
        <w:rPr>
          <w:rFonts w:cs="Times New Roman"/>
        </w:rPr>
        <w:t>ensure our Medicaid ACO members are receiving the best care</w:t>
      </w:r>
      <w:r w:rsidR="000C4229">
        <w:rPr>
          <w:rFonts w:cs="Times New Roman"/>
        </w:rPr>
        <w:t xml:space="preserve">, and be able to </w:t>
      </w:r>
      <w:r w:rsidR="003677C6">
        <w:rPr>
          <w:rFonts w:cs="Times New Roman"/>
        </w:rPr>
        <w:t>achieve</w:t>
      </w:r>
      <w:r w:rsidR="000C4229">
        <w:rPr>
          <w:rFonts w:cs="Times New Roman"/>
        </w:rPr>
        <w:t xml:space="preserve"> our program enrollment goals. </w:t>
      </w:r>
    </w:p>
    <w:p w14:paraId="7C2C53D0" w14:textId="73BD301C" w:rsidR="006121A8" w:rsidRPr="00AC6A86" w:rsidRDefault="006121A8" w:rsidP="00CE2B41">
      <w:pPr>
        <w:rPr>
          <w:rFonts w:cs="Times New Roman"/>
        </w:rPr>
      </w:pPr>
      <w:r>
        <w:rPr>
          <w:rFonts w:cs="Times New Roman"/>
        </w:rPr>
        <w:t>Lastly, another signification investment that helped the ACO move towards our overarching goals was our Collaborative Care Program. In PY3, the Collaborative Care Program completed an evaluation that showed the programs efficacy for patients with depression and anxiety</w:t>
      </w:r>
      <w:r w:rsidR="00DF51CE">
        <w:rPr>
          <w:rFonts w:cs="Times New Roman"/>
        </w:rPr>
        <w:t>, tying to our increased member satisfaction and member’s quality of life</w:t>
      </w:r>
      <w:r>
        <w:rPr>
          <w:rFonts w:cs="Times New Roman"/>
        </w:rPr>
        <w:t xml:space="preserve">. </w:t>
      </w:r>
      <w:r w:rsidR="0031707E">
        <w:rPr>
          <w:rFonts w:cs="Times New Roman"/>
        </w:rPr>
        <w:t>In PY4, t</w:t>
      </w:r>
      <w:r>
        <w:rPr>
          <w:rFonts w:cs="Times New Roman"/>
        </w:rPr>
        <w:t xml:space="preserve">he program is </w:t>
      </w:r>
      <w:r w:rsidR="003677C6">
        <w:rPr>
          <w:rFonts w:cs="Times New Roman"/>
        </w:rPr>
        <w:t>working internally to improve</w:t>
      </w:r>
      <w:r>
        <w:rPr>
          <w:rFonts w:cs="Times New Roman"/>
        </w:rPr>
        <w:t xml:space="preserve"> ED boarding for our members with a behavioral health diagnosis. </w:t>
      </w:r>
    </w:p>
    <w:p w14:paraId="7A781877" w14:textId="77777777" w:rsidR="0029710B" w:rsidRPr="00C14C85" w:rsidRDefault="0029710B" w:rsidP="00C14C85"/>
    <w:p w14:paraId="6C4F8C3B" w14:textId="59F518EC" w:rsidR="00C14C85" w:rsidRDefault="00C14C85" w:rsidP="00C14C85">
      <w:pPr>
        <w:pStyle w:val="Heading2"/>
      </w:pPr>
      <w:r>
        <w:t>Success and Challenges of PY</w:t>
      </w:r>
      <w:r w:rsidR="00955516">
        <w:t>3</w:t>
      </w:r>
    </w:p>
    <w:p w14:paraId="02701A6B" w14:textId="77777777" w:rsidR="00CE2B41" w:rsidRPr="00D90965" w:rsidRDefault="00CE2B41" w:rsidP="00CE2B41">
      <w:pPr>
        <w:rPr>
          <w:rFonts w:cs="Times New Roman"/>
        </w:rPr>
      </w:pPr>
      <w:r w:rsidRPr="00D90965">
        <w:rPr>
          <w:rFonts w:cs="Times New Roman"/>
          <w:b/>
        </w:rPr>
        <w:t>Success</w:t>
      </w:r>
      <w:r>
        <w:rPr>
          <w:rFonts w:cs="Times New Roman"/>
          <w:b/>
        </w:rPr>
        <w:t>es</w:t>
      </w:r>
      <w:r w:rsidRPr="00D90965">
        <w:rPr>
          <w:rFonts w:cs="Times New Roman"/>
        </w:rPr>
        <w:t>:</w:t>
      </w:r>
    </w:p>
    <w:p w14:paraId="45B95D82" w14:textId="7811E404" w:rsidR="00D70D56" w:rsidRDefault="00D70D56" w:rsidP="00834DA6">
      <w:pPr>
        <w:rPr>
          <w:rFonts w:cs="Times New Roman"/>
        </w:rPr>
      </w:pPr>
      <w:r>
        <w:rPr>
          <w:rFonts w:cs="Times New Roman"/>
        </w:rPr>
        <w:lastRenderedPageBreak/>
        <w:t>In PY3, the ACO was able to ensure Aunt Bertha</w:t>
      </w:r>
      <w:r w:rsidR="00824ECA">
        <w:rPr>
          <w:rFonts w:cs="Times New Roman"/>
        </w:rPr>
        <w:t>, our resource navigation platform,</w:t>
      </w:r>
      <w:r>
        <w:rPr>
          <w:rFonts w:cs="Times New Roman"/>
        </w:rPr>
        <w:t xml:space="preserve"> was accessible to 100% of the primary care practices in the ACO. Aunt Bertha was integrated into Epic</w:t>
      </w:r>
      <w:r w:rsidR="00075E34">
        <w:rPr>
          <w:rFonts w:cs="Times New Roman"/>
        </w:rPr>
        <w:t xml:space="preserve">, as well as </w:t>
      </w:r>
      <w:r w:rsidR="00C21A8D">
        <w:rPr>
          <w:rFonts w:cs="Times New Roman"/>
        </w:rPr>
        <w:t>through a</w:t>
      </w:r>
      <w:r w:rsidR="000C4229">
        <w:rPr>
          <w:rFonts w:cs="Times New Roman"/>
        </w:rPr>
        <w:t xml:space="preserve"> </w:t>
      </w:r>
      <w:r>
        <w:rPr>
          <w:rFonts w:cs="Times New Roman"/>
        </w:rPr>
        <w:t xml:space="preserve">web portal version for sites that </w:t>
      </w:r>
      <w:r w:rsidR="000C4229">
        <w:rPr>
          <w:rFonts w:cs="Times New Roman"/>
        </w:rPr>
        <w:t>are</w:t>
      </w:r>
      <w:r>
        <w:rPr>
          <w:rFonts w:cs="Times New Roman"/>
        </w:rPr>
        <w:t xml:space="preserve"> on other</w:t>
      </w:r>
      <w:r w:rsidR="00FC4497">
        <w:rPr>
          <w:rFonts w:cs="Times New Roman"/>
        </w:rPr>
        <w:t xml:space="preserve"> </w:t>
      </w:r>
      <w:r w:rsidR="008719E7">
        <w:rPr>
          <w:rFonts w:cs="Times New Roman"/>
        </w:rPr>
        <w:t>electronic health record</w:t>
      </w:r>
      <w:r w:rsidR="00FC4497">
        <w:rPr>
          <w:rFonts w:cs="Times New Roman"/>
        </w:rPr>
        <w:t xml:space="preserve"> systems</w:t>
      </w:r>
      <w:r>
        <w:rPr>
          <w:rFonts w:cs="Times New Roman"/>
        </w:rPr>
        <w:t>. Aunt Bertha</w:t>
      </w:r>
      <w:r w:rsidR="00FC4497">
        <w:rPr>
          <w:rFonts w:cs="Times New Roman"/>
        </w:rPr>
        <w:t>’s accessibility for our primary care practices</w:t>
      </w:r>
      <w:r>
        <w:rPr>
          <w:rFonts w:cs="Times New Roman"/>
        </w:rPr>
        <w:t xml:space="preserve"> </w:t>
      </w:r>
      <w:r w:rsidR="00824ECA">
        <w:rPr>
          <w:rFonts w:cs="Times New Roman"/>
        </w:rPr>
        <w:t>aligns directly with our ACO</w:t>
      </w:r>
      <w:r w:rsidR="00075E34">
        <w:rPr>
          <w:rFonts w:cs="Times New Roman"/>
        </w:rPr>
        <w:t xml:space="preserve">’s </w:t>
      </w:r>
      <w:r w:rsidR="00824ECA">
        <w:rPr>
          <w:rFonts w:cs="Times New Roman"/>
        </w:rPr>
        <w:t>goal of integration of physical health, BH, LTSS and health related social needs. Furthermore, Aunt Bertha integration is one of our leading indicators.</w:t>
      </w:r>
      <w:r>
        <w:rPr>
          <w:rFonts w:cs="Times New Roman"/>
        </w:rPr>
        <w:t xml:space="preserve"> </w:t>
      </w:r>
      <w:r w:rsidR="00824ECA">
        <w:rPr>
          <w:rFonts w:cs="Times New Roman"/>
        </w:rPr>
        <w:t xml:space="preserve">In PY4, we will look to further </w:t>
      </w:r>
      <w:r w:rsidR="00FC4497">
        <w:rPr>
          <w:rFonts w:cs="Times New Roman"/>
        </w:rPr>
        <w:t>utilize</w:t>
      </w:r>
      <w:r w:rsidR="00824ECA">
        <w:rPr>
          <w:rFonts w:cs="Times New Roman"/>
        </w:rPr>
        <w:t xml:space="preserve"> Aunt Bertha in</w:t>
      </w:r>
      <w:r w:rsidR="00FC4497">
        <w:rPr>
          <w:rFonts w:cs="Times New Roman"/>
        </w:rPr>
        <w:t xml:space="preserve"> our day to day</w:t>
      </w:r>
      <w:r w:rsidR="00824ECA">
        <w:rPr>
          <w:rFonts w:cs="Times New Roman"/>
        </w:rPr>
        <w:t xml:space="preserve"> workflows</w:t>
      </w:r>
      <w:r w:rsidR="00C21A8D">
        <w:rPr>
          <w:rFonts w:cs="Times New Roman"/>
        </w:rPr>
        <w:t>.</w:t>
      </w:r>
    </w:p>
    <w:p w14:paraId="109BE95F" w14:textId="4D030F30" w:rsidR="00824ECA" w:rsidRDefault="008719E7" w:rsidP="00834DA6">
      <w:pPr>
        <w:rPr>
          <w:rFonts w:cs="Times New Roman"/>
        </w:rPr>
      </w:pPr>
      <w:r>
        <w:rPr>
          <w:rFonts w:cs="Times New Roman"/>
        </w:rPr>
        <w:t xml:space="preserve">A major </w:t>
      </w:r>
      <w:r w:rsidR="00824ECA">
        <w:rPr>
          <w:rFonts w:cs="Times New Roman"/>
        </w:rPr>
        <w:t xml:space="preserve">success </w:t>
      </w:r>
      <w:r w:rsidR="00FC4497">
        <w:rPr>
          <w:rFonts w:cs="Times New Roman"/>
        </w:rPr>
        <w:t>in PY3</w:t>
      </w:r>
      <w:r>
        <w:rPr>
          <w:rFonts w:cs="Times New Roman"/>
        </w:rPr>
        <w:t xml:space="preserve"> </w:t>
      </w:r>
      <w:r w:rsidR="00FC4497">
        <w:rPr>
          <w:rFonts w:cs="Times New Roman"/>
        </w:rPr>
        <w:t>has</w:t>
      </w:r>
      <w:r w:rsidR="00824ECA">
        <w:rPr>
          <w:rFonts w:cs="Times New Roman"/>
        </w:rPr>
        <w:t xml:space="preserve"> been the process improvement</w:t>
      </w:r>
      <w:r w:rsidR="00075E34">
        <w:rPr>
          <w:rFonts w:cs="Times New Roman"/>
        </w:rPr>
        <w:t xml:space="preserve"> work f</w:t>
      </w:r>
      <w:r w:rsidR="00824ECA">
        <w:rPr>
          <w:rFonts w:cs="Times New Roman"/>
        </w:rPr>
        <w:t xml:space="preserve">or the Community Partners </w:t>
      </w:r>
      <w:r>
        <w:rPr>
          <w:rFonts w:cs="Times New Roman"/>
        </w:rPr>
        <w:t>p</w:t>
      </w:r>
      <w:r w:rsidR="00824ECA">
        <w:rPr>
          <w:rFonts w:cs="Times New Roman"/>
        </w:rPr>
        <w:t xml:space="preserve">rogram. </w:t>
      </w:r>
      <w:r w:rsidR="00FC4497">
        <w:rPr>
          <w:rFonts w:cs="Times New Roman"/>
        </w:rPr>
        <w:t>In PY2 and PY3, the CP team utilized Technical Assistance (TA) funding to assess current state of the CP program, as well as complete a preliminary evaluation of the BH CP program. In PY4, the CP program will once again engage with the TA vendor, Health Management Associates, to facilitate patient focus groups</w:t>
      </w:r>
      <w:r w:rsidR="00075E34">
        <w:rPr>
          <w:rFonts w:cs="Times New Roman"/>
        </w:rPr>
        <w:t xml:space="preserve"> to learn more about the patient journey and experience</w:t>
      </w:r>
      <w:r w:rsidR="00FC4497">
        <w:rPr>
          <w:rFonts w:cs="Times New Roman"/>
        </w:rPr>
        <w:t xml:space="preserve">. Furthermore, the central CP team has worked on processes to decrease the time a care plan takes to get signed, </w:t>
      </w:r>
      <w:r>
        <w:rPr>
          <w:rFonts w:cs="Times New Roman"/>
        </w:rPr>
        <w:t xml:space="preserve">fine tuning identification of members who will benefit the most from the CP program, as well as </w:t>
      </w:r>
      <w:r w:rsidR="00C21A8D">
        <w:rPr>
          <w:rFonts w:cs="Times New Roman"/>
        </w:rPr>
        <w:t>beginning to</w:t>
      </w:r>
      <w:r>
        <w:rPr>
          <w:rFonts w:cs="Times New Roman"/>
        </w:rPr>
        <w:t xml:space="preserve"> provid</w:t>
      </w:r>
      <w:r w:rsidR="00C21A8D">
        <w:rPr>
          <w:rFonts w:cs="Times New Roman"/>
        </w:rPr>
        <w:t>e</w:t>
      </w:r>
      <w:r>
        <w:rPr>
          <w:rFonts w:cs="Times New Roman"/>
        </w:rPr>
        <w:t xml:space="preserve"> select CPs with read-only access </w:t>
      </w:r>
      <w:r w:rsidR="00075E34">
        <w:rPr>
          <w:rFonts w:cs="Times New Roman"/>
        </w:rPr>
        <w:t>of</w:t>
      </w:r>
      <w:r>
        <w:rPr>
          <w:rFonts w:cs="Times New Roman"/>
        </w:rPr>
        <w:t xml:space="preserve"> our electronic health record</w:t>
      </w:r>
      <w:r w:rsidR="00C21A8D">
        <w:rPr>
          <w:rFonts w:cs="Times New Roman"/>
        </w:rPr>
        <w:t xml:space="preserve">, thus </w:t>
      </w:r>
      <w:r>
        <w:rPr>
          <w:rFonts w:cs="Times New Roman"/>
        </w:rPr>
        <w:t xml:space="preserve">further integrating them into the patient’s care team. </w:t>
      </w:r>
    </w:p>
    <w:p w14:paraId="788F6DDD" w14:textId="2BF0C501" w:rsidR="008719E7" w:rsidRDefault="008719E7" w:rsidP="00834DA6">
      <w:pPr>
        <w:rPr>
          <w:rFonts w:cs="Times New Roman"/>
        </w:rPr>
      </w:pPr>
      <w:r>
        <w:rPr>
          <w:rFonts w:cs="Times New Roman"/>
        </w:rPr>
        <w:t xml:space="preserve">Overall, the ACO is very pleased with the results of their DSRIP funded program evaluations. </w:t>
      </w:r>
      <w:r w:rsidR="00C21A8D">
        <w:rPr>
          <w:rFonts w:cs="Times New Roman"/>
        </w:rPr>
        <w:t>With the exception of the CP program, all programs studied</w:t>
      </w:r>
      <w:r>
        <w:rPr>
          <w:rFonts w:cs="Times New Roman"/>
        </w:rPr>
        <w:t xml:space="preserve"> showed positive outcomes that tied to reduction in total cost of care, quality of life, </w:t>
      </w:r>
      <w:r w:rsidR="00C21A8D">
        <w:rPr>
          <w:rFonts w:cs="Times New Roman"/>
        </w:rPr>
        <w:t>or</w:t>
      </w:r>
      <w:r>
        <w:rPr>
          <w:rFonts w:cs="Times New Roman"/>
        </w:rPr>
        <w:t xml:space="preserve"> better connectivity to their primary care doctors. </w:t>
      </w:r>
      <w:r w:rsidR="00C21A8D">
        <w:rPr>
          <w:rFonts w:cs="Times New Roman"/>
        </w:rPr>
        <w:t>As noted above, we have been working on process improvements for the CP program.</w:t>
      </w:r>
    </w:p>
    <w:p w14:paraId="25BDD048" w14:textId="77777777" w:rsidR="00CE2B41" w:rsidRPr="00D90965" w:rsidRDefault="00CE2B41" w:rsidP="00CE2B41">
      <w:pPr>
        <w:rPr>
          <w:rFonts w:cs="Times New Roman"/>
        </w:rPr>
      </w:pPr>
      <w:r w:rsidRPr="00D90965">
        <w:rPr>
          <w:rFonts w:cs="Times New Roman"/>
          <w:b/>
        </w:rPr>
        <w:t>Challenges</w:t>
      </w:r>
      <w:r w:rsidRPr="00D90965">
        <w:rPr>
          <w:rFonts w:cs="Times New Roman"/>
        </w:rPr>
        <w:t>:</w:t>
      </w:r>
    </w:p>
    <w:p w14:paraId="6745D363" w14:textId="56B0D8D4" w:rsidR="00C21A8D" w:rsidRDefault="00C21A8D" w:rsidP="00C21A8D">
      <w:pPr>
        <w:rPr>
          <w:rFonts w:cs="Times New Roman"/>
        </w:rPr>
      </w:pPr>
      <w:r>
        <w:rPr>
          <w:rFonts w:cs="Times New Roman"/>
        </w:rPr>
        <w:t xml:space="preserve">As with most ACOs, COVID presented us with unique challenges in PY3. This included; how to continue to connect with patients who might not have access to the internet, educating members on the importance of mask wearing and social distancing, and maintaining needed care. Our care teams have been able to ensure that patients can connect virtually, and we were able to develop and disseminate the tools needed to do so. Some programs were not able to scale as once was planned given the pandemic. The ED Navigator program was slated to expand to a community site in PY3. However, due to COVID and the redeployment of many of the existing ED navigators, expansion plans were paused until PY4. </w:t>
      </w:r>
    </w:p>
    <w:p w14:paraId="1A3AFD4A" w14:textId="51A0307F" w:rsidR="00C14C85" w:rsidRDefault="00C171C9" w:rsidP="00C14C85">
      <w:r>
        <w:t xml:space="preserve">An additional challenge for the MGB ACO was the </w:t>
      </w:r>
      <w:r w:rsidR="0025489F">
        <w:t>number</w:t>
      </w:r>
      <w:r>
        <w:t xml:space="preserve"> of </w:t>
      </w:r>
      <w:r w:rsidR="00AA5B4E">
        <w:t>initial partners</w:t>
      </w:r>
      <w:r>
        <w:t xml:space="preserve"> for the Community Partners program. At the start of the program, the MGB ACO was partner</w:t>
      </w:r>
      <w:r w:rsidR="0025489F">
        <w:t>ed</w:t>
      </w:r>
      <w:r>
        <w:t xml:space="preserve"> with all CPs</w:t>
      </w:r>
      <w:r w:rsidR="00AA5B4E">
        <w:t>, as we are a statewide ACO</w:t>
      </w:r>
      <w:r>
        <w:t xml:space="preserve">. The ACO found that </w:t>
      </w:r>
      <w:r w:rsidR="0025489F">
        <w:t xml:space="preserve">the </w:t>
      </w:r>
      <w:r>
        <w:t xml:space="preserve">quantity of partnerships </w:t>
      </w:r>
      <w:r w:rsidR="0025489F">
        <w:t xml:space="preserve">made it difficult to streamline services, as well as work on specific process improvements that could be applied to multiple CPs. </w:t>
      </w:r>
      <w:r>
        <w:t xml:space="preserve">The MGB ACO </w:t>
      </w:r>
      <w:r w:rsidR="0025489F">
        <w:t>is</w:t>
      </w:r>
      <w:r>
        <w:t xml:space="preserve"> thankful that MassHealth implemented preferred CP relationships. </w:t>
      </w:r>
      <w:r w:rsidR="005710B7">
        <w:t xml:space="preserve">Preferred CP </w:t>
      </w:r>
      <w:r w:rsidR="0025489F">
        <w:t>relationships have</w:t>
      </w:r>
      <w:r w:rsidR="005710B7">
        <w:t xml:space="preserve"> allowed the ACO to better assess their current partners </w:t>
      </w:r>
      <w:r w:rsidR="0025489F">
        <w:t>and work on specific aspects of care to improve patients</w:t>
      </w:r>
      <w:r w:rsidR="00AB4533">
        <w:t>’</w:t>
      </w:r>
      <w:r w:rsidR="0025489F">
        <w:t xml:space="preserve"> experience and outcomes</w:t>
      </w:r>
      <w:r w:rsidR="005710B7">
        <w:t xml:space="preserve">. </w:t>
      </w:r>
      <w:r w:rsidR="0025489F">
        <w:t xml:space="preserve">Furthermore, it has allowed the ACO to begin identifying the best </w:t>
      </w:r>
      <w:r w:rsidR="00AA5B4E">
        <w:t xml:space="preserve">patient </w:t>
      </w:r>
      <w:r w:rsidR="0025489F">
        <w:t xml:space="preserve">fit for each CP’s unique </w:t>
      </w:r>
      <w:r w:rsidR="00AB4533">
        <w:t>strengths</w:t>
      </w:r>
      <w:r w:rsidR="0025489F">
        <w:t xml:space="preserve">. In PY4, the MGB CP program </w:t>
      </w:r>
      <w:r w:rsidR="0025489F">
        <w:rPr>
          <w:rFonts w:cs="Times New Roman"/>
        </w:rPr>
        <w:t xml:space="preserve">will continue their </w:t>
      </w:r>
      <w:r w:rsidR="00AA5B4E">
        <w:rPr>
          <w:rFonts w:cs="Times New Roman"/>
        </w:rPr>
        <w:t xml:space="preserve">process improvement </w:t>
      </w:r>
      <w:r w:rsidR="0025489F">
        <w:rPr>
          <w:rFonts w:cs="Times New Roman"/>
        </w:rPr>
        <w:t>work from PY3.</w:t>
      </w:r>
    </w:p>
    <w:p w14:paraId="6413B382" w14:textId="77777777" w:rsidR="00C14C85" w:rsidRPr="00C14C85" w:rsidRDefault="00C14C85" w:rsidP="00C14C85"/>
    <w:sectPr w:rsidR="00C14C85" w:rsidRPr="00C14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C886C" w14:textId="77777777" w:rsidR="00163E3A" w:rsidRDefault="00163E3A" w:rsidP="00D5729E">
      <w:pPr>
        <w:spacing w:after="0" w:line="240" w:lineRule="auto"/>
      </w:pPr>
      <w:r>
        <w:separator/>
      </w:r>
    </w:p>
  </w:endnote>
  <w:endnote w:type="continuationSeparator" w:id="0">
    <w:p w14:paraId="7366A2D3" w14:textId="77777777" w:rsidR="00163E3A" w:rsidRDefault="00163E3A" w:rsidP="00D5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37F2" w14:textId="77777777" w:rsidR="00163E3A" w:rsidRDefault="00163E3A" w:rsidP="00D5729E">
      <w:pPr>
        <w:spacing w:after="0" w:line="240" w:lineRule="auto"/>
      </w:pPr>
      <w:r>
        <w:separator/>
      </w:r>
    </w:p>
  </w:footnote>
  <w:footnote w:type="continuationSeparator" w:id="0">
    <w:p w14:paraId="32348894" w14:textId="77777777" w:rsidR="00163E3A" w:rsidRDefault="00163E3A" w:rsidP="00D57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7"/>
  </w:num>
  <w:num w:numId="10">
    <w:abstractNumId w:val="2"/>
  </w:num>
  <w:num w:numId="11">
    <w:abstractNumId w:val="14"/>
  </w:num>
  <w:num w:numId="12">
    <w:abstractNumId w:val="8"/>
  </w:num>
  <w:num w:numId="13">
    <w:abstractNumId w:val="16"/>
  </w:num>
  <w:num w:numId="14">
    <w:abstractNumId w:val="3"/>
  </w:num>
  <w:num w:numId="15">
    <w:abstractNumId w:val="4"/>
  </w:num>
  <w:num w:numId="16">
    <w:abstractNumId w:val="11"/>
    <w:lvlOverride w:ilvl="0">
      <w:startOverride w:val="1"/>
    </w:lvlOverride>
  </w:num>
  <w:num w:numId="17">
    <w:abstractNumId w:val="13"/>
  </w:num>
  <w:num w:numId="18">
    <w:abstractNumId w:val="0"/>
  </w:num>
  <w:num w:numId="19">
    <w:abstractNumId w:val="9"/>
  </w:num>
  <w:num w:numId="20">
    <w:abstractNumId w:val="12"/>
  </w:num>
  <w:num w:numId="21">
    <w:abstractNumId w:val="1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2F27"/>
    <w:rsid w:val="0002722F"/>
    <w:rsid w:val="00066911"/>
    <w:rsid w:val="00075E34"/>
    <w:rsid w:val="000822CF"/>
    <w:rsid w:val="000839C1"/>
    <w:rsid w:val="0009566E"/>
    <w:rsid w:val="000B54F1"/>
    <w:rsid w:val="000C4229"/>
    <w:rsid w:val="000E5F21"/>
    <w:rsid w:val="000E7920"/>
    <w:rsid w:val="00130C22"/>
    <w:rsid w:val="001510B5"/>
    <w:rsid w:val="00163E3A"/>
    <w:rsid w:val="001E6009"/>
    <w:rsid w:val="002055CF"/>
    <w:rsid w:val="00226D41"/>
    <w:rsid w:val="0025489F"/>
    <w:rsid w:val="00275549"/>
    <w:rsid w:val="00276DFD"/>
    <w:rsid w:val="0029710B"/>
    <w:rsid w:val="002B7E92"/>
    <w:rsid w:val="002C14E3"/>
    <w:rsid w:val="002C271C"/>
    <w:rsid w:val="002D35F7"/>
    <w:rsid w:val="0031110C"/>
    <w:rsid w:val="0031707E"/>
    <w:rsid w:val="003248CB"/>
    <w:rsid w:val="00333FD5"/>
    <w:rsid w:val="00335DE2"/>
    <w:rsid w:val="003677C6"/>
    <w:rsid w:val="003A582B"/>
    <w:rsid w:val="003D2D28"/>
    <w:rsid w:val="003E3591"/>
    <w:rsid w:val="003E41A2"/>
    <w:rsid w:val="0040316A"/>
    <w:rsid w:val="0041390D"/>
    <w:rsid w:val="00415921"/>
    <w:rsid w:val="0042205E"/>
    <w:rsid w:val="0044466E"/>
    <w:rsid w:val="00461D55"/>
    <w:rsid w:val="004659A7"/>
    <w:rsid w:val="0047487E"/>
    <w:rsid w:val="00495D78"/>
    <w:rsid w:val="004B595B"/>
    <w:rsid w:val="004C741A"/>
    <w:rsid w:val="004E6920"/>
    <w:rsid w:val="005057ED"/>
    <w:rsid w:val="00522EEE"/>
    <w:rsid w:val="00535ADB"/>
    <w:rsid w:val="005556F2"/>
    <w:rsid w:val="005710B7"/>
    <w:rsid w:val="0058719D"/>
    <w:rsid w:val="00595BD4"/>
    <w:rsid w:val="005A1337"/>
    <w:rsid w:val="005C393B"/>
    <w:rsid w:val="005E4BC8"/>
    <w:rsid w:val="006121A8"/>
    <w:rsid w:val="00612E0B"/>
    <w:rsid w:val="00615BBA"/>
    <w:rsid w:val="0065041F"/>
    <w:rsid w:val="00662194"/>
    <w:rsid w:val="00676D3D"/>
    <w:rsid w:val="00691F3B"/>
    <w:rsid w:val="006A2543"/>
    <w:rsid w:val="006B392A"/>
    <w:rsid w:val="006B6EC7"/>
    <w:rsid w:val="006E7057"/>
    <w:rsid w:val="00703FF2"/>
    <w:rsid w:val="00727D4C"/>
    <w:rsid w:val="00765D40"/>
    <w:rsid w:val="00766846"/>
    <w:rsid w:val="007923D1"/>
    <w:rsid w:val="007B2797"/>
    <w:rsid w:val="007C2F88"/>
    <w:rsid w:val="007D474A"/>
    <w:rsid w:val="007D6D8A"/>
    <w:rsid w:val="00800E8A"/>
    <w:rsid w:val="00801050"/>
    <w:rsid w:val="008041FA"/>
    <w:rsid w:val="00824ECA"/>
    <w:rsid w:val="00834DA6"/>
    <w:rsid w:val="008719E7"/>
    <w:rsid w:val="008945AB"/>
    <w:rsid w:val="008B26A1"/>
    <w:rsid w:val="008C1D78"/>
    <w:rsid w:val="008E4C58"/>
    <w:rsid w:val="008E5FD1"/>
    <w:rsid w:val="009017F0"/>
    <w:rsid w:val="00930223"/>
    <w:rsid w:val="00955516"/>
    <w:rsid w:val="009633E3"/>
    <w:rsid w:val="009654D7"/>
    <w:rsid w:val="009A1FB7"/>
    <w:rsid w:val="009D1085"/>
    <w:rsid w:val="009D3717"/>
    <w:rsid w:val="009E619B"/>
    <w:rsid w:val="009F45AE"/>
    <w:rsid w:val="00A2620D"/>
    <w:rsid w:val="00A32E2E"/>
    <w:rsid w:val="00A34FCF"/>
    <w:rsid w:val="00A350DD"/>
    <w:rsid w:val="00A415B8"/>
    <w:rsid w:val="00A419FA"/>
    <w:rsid w:val="00A549F6"/>
    <w:rsid w:val="00A81721"/>
    <w:rsid w:val="00A905C4"/>
    <w:rsid w:val="00AA3039"/>
    <w:rsid w:val="00AA5B4E"/>
    <w:rsid w:val="00AB4533"/>
    <w:rsid w:val="00AC0329"/>
    <w:rsid w:val="00AC6A86"/>
    <w:rsid w:val="00AD330B"/>
    <w:rsid w:val="00B26DE1"/>
    <w:rsid w:val="00B377AF"/>
    <w:rsid w:val="00B522E7"/>
    <w:rsid w:val="00B62006"/>
    <w:rsid w:val="00B70116"/>
    <w:rsid w:val="00BC0125"/>
    <w:rsid w:val="00BD434D"/>
    <w:rsid w:val="00C14C85"/>
    <w:rsid w:val="00C171C9"/>
    <w:rsid w:val="00C179B5"/>
    <w:rsid w:val="00C21A8D"/>
    <w:rsid w:val="00C7469C"/>
    <w:rsid w:val="00C75F19"/>
    <w:rsid w:val="00CE2B41"/>
    <w:rsid w:val="00CF5B71"/>
    <w:rsid w:val="00D00A11"/>
    <w:rsid w:val="00D204A7"/>
    <w:rsid w:val="00D46D22"/>
    <w:rsid w:val="00D5729E"/>
    <w:rsid w:val="00D70D56"/>
    <w:rsid w:val="00D801E2"/>
    <w:rsid w:val="00DA665E"/>
    <w:rsid w:val="00DF51CE"/>
    <w:rsid w:val="00E1159A"/>
    <w:rsid w:val="00E12516"/>
    <w:rsid w:val="00E16780"/>
    <w:rsid w:val="00E3162D"/>
    <w:rsid w:val="00E425A1"/>
    <w:rsid w:val="00E45427"/>
    <w:rsid w:val="00E46A0B"/>
    <w:rsid w:val="00E55A0D"/>
    <w:rsid w:val="00E62CAF"/>
    <w:rsid w:val="00EA42C3"/>
    <w:rsid w:val="00EB4A8C"/>
    <w:rsid w:val="00ED1CB3"/>
    <w:rsid w:val="00EE1D75"/>
    <w:rsid w:val="00EF501B"/>
    <w:rsid w:val="00F05939"/>
    <w:rsid w:val="00F21088"/>
    <w:rsid w:val="00F243A4"/>
    <w:rsid w:val="00F4300A"/>
    <w:rsid w:val="00F45B86"/>
    <w:rsid w:val="00F5193A"/>
    <w:rsid w:val="00F635E2"/>
    <w:rsid w:val="00F7764A"/>
    <w:rsid w:val="00F932A4"/>
    <w:rsid w:val="00FA54A4"/>
    <w:rsid w:val="00FB06E1"/>
    <w:rsid w:val="00FB65F8"/>
    <w:rsid w:val="00FC3290"/>
    <w:rsid w:val="00FC4497"/>
    <w:rsid w:val="00FE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B41"/>
    <w:rPr>
      <w:color w:val="0000FF" w:themeColor="hyperlink"/>
      <w:u w:val="single"/>
    </w:rPr>
  </w:style>
  <w:style w:type="character" w:styleId="UnresolvedMention">
    <w:name w:val="Unresolved Mention"/>
    <w:basedOn w:val="DefaultParagraphFont"/>
    <w:uiPriority w:val="99"/>
    <w:semiHidden/>
    <w:unhideWhenUsed/>
    <w:rsid w:val="00CE2B41"/>
    <w:rPr>
      <w:color w:val="605E5C"/>
      <w:shd w:val="clear" w:color="auto" w:fill="E1DFDD"/>
    </w:rPr>
  </w:style>
  <w:style w:type="paragraph" w:styleId="Header">
    <w:name w:val="header"/>
    <w:basedOn w:val="Normal"/>
    <w:link w:val="HeaderChar"/>
    <w:uiPriority w:val="99"/>
    <w:unhideWhenUsed/>
    <w:rsid w:val="00D5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9E"/>
    <w:rPr>
      <w:rFonts w:ascii="Times New Roman" w:hAnsi="Times New Roman"/>
    </w:rPr>
  </w:style>
  <w:style w:type="paragraph" w:styleId="Footer">
    <w:name w:val="footer"/>
    <w:basedOn w:val="Normal"/>
    <w:link w:val="FooterChar"/>
    <w:uiPriority w:val="99"/>
    <w:unhideWhenUsed/>
    <w:rsid w:val="00D5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9E"/>
    <w:rPr>
      <w:rFonts w:ascii="Times New Roman" w:hAnsi="Times New Roman"/>
    </w:rPr>
  </w:style>
  <w:style w:type="table" w:styleId="TableGridLight">
    <w:name w:val="Grid Table Light"/>
    <w:basedOn w:val="TableNormal"/>
    <w:uiPriority w:val="40"/>
    <w:rsid w:val="00012F2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2.xml><?xml version="1.0" encoding="utf-8"?>
<ds:datastoreItem xmlns:ds="http://schemas.openxmlformats.org/officeDocument/2006/customXml" ds:itemID="{165B917B-C1E0-4A33-8B70-C4BD0954ACC1}">
  <ds:schemaRefs>
    <ds:schemaRef ds:uri="http://schemas.openxmlformats.org/officeDocument/2006/bibliography"/>
  </ds:schemaRefs>
</ds:datastoreItem>
</file>

<file path=customXml/itemProps3.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2</cp:revision>
  <dcterms:created xsi:type="dcterms:W3CDTF">2022-09-01T14:48:00Z</dcterms:created>
  <dcterms:modified xsi:type="dcterms:W3CDTF">2022-09-01T14:48:00Z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