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80" w:rsidRPr="00E56165" w:rsidRDefault="00E51580" w:rsidP="00E51580">
      <w:pPr>
        <w:pStyle w:val="NoSpacing"/>
        <w:rPr>
          <w:color w:val="1C1C1B" w:themeColor="text1"/>
          <w:sz w:val="24"/>
          <w:szCs w:val="24"/>
        </w:rPr>
      </w:pPr>
      <w:bookmarkStart w:id="0" w:name="_GoBack"/>
      <w:bookmarkEnd w:id="0"/>
      <w:permStart w:id="519835879" w:edGrp="everyone"/>
      <w:permEnd w:id="519835879"/>
      <w:r w:rsidRPr="00E56165">
        <w:rPr>
          <w:color w:val="1C1C1B" w:themeColor="text1"/>
          <w:sz w:val="24"/>
          <w:szCs w:val="24"/>
        </w:rPr>
        <w:t xml:space="preserve">The Commonwealth of Massachusetts </w:t>
      </w:r>
    </w:p>
    <w:p w:rsidR="00E51580" w:rsidRPr="00E56165" w:rsidRDefault="00E51580" w:rsidP="00E51580">
      <w:pPr>
        <w:pStyle w:val="NoSpacing"/>
        <w:rPr>
          <w:color w:val="1C1C1B" w:themeColor="text1"/>
          <w:sz w:val="24"/>
          <w:szCs w:val="24"/>
        </w:rPr>
      </w:pPr>
      <w:r w:rsidRPr="00E56165">
        <w:rPr>
          <w:color w:val="1C1C1B" w:themeColor="text1"/>
          <w:sz w:val="24"/>
          <w:szCs w:val="24"/>
        </w:rPr>
        <w:t xml:space="preserve">Executive Office of Health and Human Services </w:t>
      </w:r>
    </w:p>
    <w:p w:rsidR="00E51580" w:rsidRPr="00E56165" w:rsidRDefault="00E51580" w:rsidP="00E51580">
      <w:pPr>
        <w:pStyle w:val="NoSpacing"/>
        <w:rPr>
          <w:color w:val="1C1C1B" w:themeColor="text1"/>
          <w:sz w:val="24"/>
          <w:szCs w:val="24"/>
        </w:rPr>
      </w:pPr>
      <w:r w:rsidRPr="00E56165">
        <w:rPr>
          <w:color w:val="1C1C1B" w:themeColor="text1"/>
          <w:sz w:val="24"/>
          <w:szCs w:val="24"/>
        </w:rPr>
        <w:t xml:space="preserve">Department of Public Health </w:t>
      </w:r>
    </w:p>
    <w:p w:rsidR="00E51580" w:rsidRPr="00E56165" w:rsidRDefault="00E51580" w:rsidP="00E51580">
      <w:pPr>
        <w:pStyle w:val="NoSpacing"/>
        <w:rPr>
          <w:color w:val="1C1C1B" w:themeColor="text1"/>
          <w:sz w:val="24"/>
          <w:szCs w:val="24"/>
        </w:rPr>
      </w:pPr>
      <w:r w:rsidRPr="00E56165">
        <w:rPr>
          <w:color w:val="1C1C1B" w:themeColor="text1"/>
          <w:sz w:val="24"/>
          <w:szCs w:val="24"/>
        </w:rPr>
        <w:t>Drug Formulary Commission</w:t>
      </w:r>
    </w:p>
    <w:p w:rsidR="00E51580" w:rsidRPr="00E56165" w:rsidRDefault="00E51580" w:rsidP="00E51580">
      <w:pPr>
        <w:pStyle w:val="NoSpacing"/>
        <w:rPr>
          <w:color w:val="1C1C1B" w:themeColor="text1"/>
          <w:sz w:val="24"/>
          <w:szCs w:val="24"/>
        </w:rPr>
      </w:pPr>
      <w:r w:rsidRPr="00E56165">
        <w:rPr>
          <w:color w:val="1C1C1B" w:themeColor="text1"/>
          <w:sz w:val="24"/>
          <w:szCs w:val="24"/>
        </w:rPr>
        <w:t xml:space="preserve">Bureau of Health Care Safety and Quality </w:t>
      </w:r>
    </w:p>
    <w:p w:rsidR="00E51580" w:rsidRPr="00E56165" w:rsidRDefault="00E51580" w:rsidP="00E51580">
      <w:pPr>
        <w:pStyle w:val="NoSpacing"/>
        <w:rPr>
          <w:color w:val="1C1C1B" w:themeColor="text1"/>
          <w:sz w:val="24"/>
          <w:szCs w:val="24"/>
        </w:rPr>
      </w:pPr>
      <w:r w:rsidRPr="00E56165">
        <w:rPr>
          <w:color w:val="1C1C1B" w:themeColor="text1"/>
          <w:sz w:val="24"/>
          <w:szCs w:val="24"/>
        </w:rPr>
        <w:t xml:space="preserve">99 Chauncy St., 11th Floor </w:t>
      </w:r>
    </w:p>
    <w:p w:rsidR="00E51580" w:rsidRPr="00E56165" w:rsidRDefault="00E51580" w:rsidP="00E51580">
      <w:pPr>
        <w:pStyle w:val="NoSpacing"/>
        <w:rPr>
          <w:color w:val="1C1C1B" w:themeColor="text1"/>
          <w:sz w:val="24"/>
          <w:szCs w:val="24"/>
        </w:rPr>
      </w:pPr>
      <w:r w:rsidRPr="00E56165">
        <w:rPr>
          <w:color w:val="1C1C1B" w:themeColor="text1"/>
          <w:sz w:val="24"/>
          <w:szCs w:val="24"/>
        </w:rPr>
        <w:t>Boston, MA 02111</w:t>
      </w:r>
    </w:p>
    <w:p w:rsidR="00E51580" w:rsidRPr="00E56165" w:rsidRDefault="00E51580" w:rsidP="00E51580">
      <w:pPr>
        <w:pStyle w:val="NoSpacing"/>
        <w:rPr>
          <w:color w:val="1C1C1B" w:themeColor="text1"/>
          <w:sz w:val="24"/>
          <w:szCs w:val="24"/>
        </w:rPr>
      </w:pPr>
    </w:p>
    <w:p w:rsidR="00E51580" w:rsidRPr="00E56165" w:rsidRDefault="001E176B" w:rsidP="00E51580">
      <w:pPr>
        <w:pStyle w:val="NoSpacing"/>
        <w:rPr>
          <w:color w:val="1C1C1B" w:themeColor="text1"/>
          <w:sz w:val="24"/>
          <w:szCs w:val="24"/>
        </w:rPr>
      </w:pPr>
      <w:r w:rsidRPr="00E56165">
        <w:rPr>
          <w:color w:val="1C1C1B" w:themeColor="text1"/>
          <w:sz w:val="24"/>
          <w:szCs w:val="24"/>
        </w:rPr>
        <w:t>Dear Chairman Sheehan and Members</w:t>
      </w:r>
      <w:r w:rsidR="002E7CEC" w:rsidRPr="00E56165">
        <w:rPr>
          <w:color w:val="1C1C1B" w:themeColor="text1"/>
          <w:sz w:val="24"/>
          <w:szCs w:val="24"/>
        </w:rPr>
        <w:t xml:space="preserve"> of the Commission</w:t>
      </w:r>
      <w:r w:rsidRPr="00E56165">
        <w:rPr>
          <w:color w:val="1C1C1B" w:themeColor="text1"/>
          <w:sz w:val="24"/>
          <w:szCs w:val="24"/>
        </w:rPr>
        <w:t xml:space="preserve">: </w:t>
      </w:r>
    </w:p>
    <w:p w:rsidR="00E51580" w:rsidRPr="00E56165" w:rsidRDefault="00E51580" w:rsidP="00E51580">
      <w:pPr>
        <w:pStyle w:val="NoSpacing"/>
        <w:rPr>
          <w:color w:val="1C1C1B" w:themeColor="text1"/>
          <w:sz w:val="24"/>
          <w:szCs w:val="24"/>
        </w:rPr>
      </w:pPr>
    </w:p>
    <w:p w:rsidR="00E51580" w:rsidRPr="00E56165" w:rsidRDefault="00E51580" w:rsidP="00E51580">
      <w:pPr>
        <w:pStyle w:val="NoSpacing"/>
        <w:rPr>
          <w:color w:val="1C1C1B" w:themeColor="text1"/>
          <w:sz w:val="24"/>
          <w:szCs w:val="24"/>
        </w:rPr>
      </w:pPr>
      <w:r w:rsidRPr="00E56165">
        <w:rPr>
          <w:color w:val="1C1C1B" w:themeColor="text1"/>
          <w:sz w:val="24"/>
          <w:szCs w:val="24"/>
        </w:rPr>
        <w:t xml:space="preserve">Thank you for the opportunity to provide testimony to aid your efforts to prepare a drug formulary of substitutions for Schedule II and III opiates. We appreciate the critical work you are doing to prevent and treat addiction. </w:t>
      </w:r>
    </w:p>
    <w:p w:rsidR="00E51580" w:rsidRPr="00E56165" w:rsidRDefault="00E51580" w:rsidP="00E51580">
      <w:pPr>
        <w:pStyle w:val="NoSpacing"/>
        <w:rPr>
          <w:color w:val="1C1C1B" w:themeColor="text1"/>
          <w:sz w:val="24"/>
          <w:szCs w:val="24"/>
        </w:rPr>
      </w:pPr>
    </w:p>
    <w:p w:rsidR="00E51580" w:rsidRPr="00E56165" w:rsidRDefault="00E51580" w:rsidP="00E51580">
      <w:pPr>
        <w:pStyle w:val="NoSpacing"/>
        <w:rPr>
          <w:color w:val="1C1C1B" w:themeColor="text1"/>
          <w:sz w:val="24"/>
          <w:szCs w:val="24"/>
        </w:rPr>
      </w:pPr>
      <w:r w:rsidRPr="00E56165">
        <w:rPr>
          <w:color w:val="1C1C1B" w:themeColor="text1"/>
          <w:sz w:val="24"/>
          <w:szCs w:val="24"/>
        </w:rPr>
        <w:t>As you know, prescription drug abuse has become an epidemic in Massachusetts and throughout the nation. As the largest pharmacy provider in the country and the</w:t>
      </w:r>
      <w:r w:rsidR="00FD560C" w:rsidRPr="00E56165">
        <w:rPr>
          <w:color w:val="1C1C1B" w:themeColor="text1"/>
          <w:sz w:val="24"/>
          <w:szCs w:val="24"/>
        </w:rPr>
        <w:t xml:space="preserve"> </w:t>
      </w:r>
      <w:r w:rsidRPr="00E56165">
        <w:rPr>
          <w:color w:val="1C1C1B" w:themeColor="text1"/>
          <w:sz w:val="24"/>
          <w:szCs w:val="24"/>
        </w:rPr>
        <w:t xml:space="preserve">Commonwealth, CVS Health has a unique perspective on the complexity of the issue. We are committed to being a part of the solution by advancing legislation, promoting technology and creating safer communities. </w:t>
      </w:r>
    </w:p>
    <w:p w:rsidR="00E51580" w:rsidRPr="00E56165" w:rsidRDefault="00E51580" w:rsidP="00E51580">
      <w:pPr>
        <w:pStyle w:val="NoSpacing"/>
        <w:rPr>
          <w:color w:val="1C1C1B" w:themeColor="text1"/>
          <w:sz w:val="24"/>
          <w:szCs w:val="24"/>
        </w:rPr>
      </w:pPr>
    </w:p>
    <w:p w:rsidR="00E51580" w:rsidRPr="00E56165" w:rsidRDefault="00E51580" w:rsidP="00E51580">
      <w:pPr>
        <w:pStyle w:val="NoSpacing"/>
        <w:rPr>
          <w:b/>
          <w:color w:val="1C1C1B" w:themeColor="text1"/>
          <w:sz w:val="24"/>
          <w:szCs w:val="24"/>
        </w:rPr>
      </w:pPr>
      <w:r w:rsidRPr="00E56165">
        <w:rPr>
          <w:b/>
          <w:color w:val="1C1C1B" w:themeColor="text1"/>
          <w:sz w:val="24"/>
          <w:szCs w:val="24"/>
        </w:rPr>
        <w:t xml:space="preserve">BACKGROUND </w:t>
      </w:r>
    </w:p>
    <w:p w:rsidR="00E51580" w:rsidRPr="00E56165" w:rsidRDefault="00E51580" w:rsidP="00E51580">
      <w:pPr>
        <w:pStyle w:val="NoSpacing"/>
        <w:rPr>
          <w:color w:val="1C1C1B" w:themeColor="text1"/>
          <w:sz w:val="24"/>
          <w:szCs w:val="24"/>
        </w:rPr>
      </w:pPr>
    </w:p>
    <w:p w:rsidR="00E51580" w:rsidRPr="00E56165" w:rsidRDefault="00E51580" w:rsidP="00E51580">
      <w:pPr>
        <w:pStyle w:val="NoSpacing"/>
        <w:rPr>
          <w:color w:val="1C1C1B" w:themeColor="text1"/>
          <w:sz w:val="24"/>
          <w:szCs w:val="24"/>
        </w:rPr>
      </w:pPr>
      <w:r w:rsidRPr="00E56165">
        <w:rPr>
          <w:color w:val="1C1C1B" w:themeColor="text1"/>
          <w:sz w:val="24"/>
          <w:szCs w:val="24"/>
        </w:rPr>
        <w:t>CVS Health provides multiple points of care to patients via our retail, mail, and specialty pharmacies and MinuteClinics. As one of the country's top pharmacy benefits managers (“PBMs”), we also provide access to a network of more than 6</w:t>
      </w:r>
      <w:r w:rsidR="00CE3EF3">
        <w:rPr>
          <w:color w:val="1C1C1B" w:themeColor="text1"/>
          <w:sz w:val="24"/>
          <w:szCs w:val="24"/>
        </w:rPr>
        <w:t>8</w:t>
      </w:r>
      <w:r w:rsidRPr="00E56165">
        <w:rPr>
          <w:color w:val="1C1C1B" w:themeColor="text1"/>
          <w:sz w:val="24"/>
          <w:szCs w:val="24"/>
        </w:rPr>
        <w:t>,00</w:t>
      </w:r>
      <w:r w:rsidR="00CE3EF3">
        <w:rPr>
          <w:color w:val="1C1C1B" w:themeColor="text1"/>
          <w:sz w:val="24"/>
          <w:szCs w:val="24"/>
        </w:rPr>
        <w:t>0 pharmacies, including over 7,8</w:t>
      </w:r>
      <w:r w:rsidRPr="00E56165">
        <w:rPr>
          <w:color w:val="1C1C1B" w:themeColor="text1"/>
          <w:sz w:val="24"/>
          <w:szCs w:val="24"/>
        </w:rPr>
        <w:t>00 CVS pharmacies, to a broad range of private and public health plan purchasers.  CVS Health employs over 12,00</w:t>
      </w:r>
      <w:r w:rsidR="00393F88" w:rsidRPr="00E56165">
        <w:rPr>
          <w:color w:val="1C1C1B" w:themeColor="text1"/>
          <w:sz w:val="24"/>
          <w:szCs w:val="24"/>
        </w:rPr>
        <w:t>0</w:t>
      </w:r>
      <w:r w:rsidRPr="00E56165">
        <w:rPr>
          <w:color w:val="1C1C1B" w:themeColor="text1"/>
          <w:sz w:val="24"/>
          <w:szCs w:val="24"/>
        </w:rPr>
        <w:t xml:space="preserve"> people in Massachusetts. We operate 360 retail pharmacies and 53 MinuteClinics in Massachusetts. </w:t>
      </w:r>
    </w:p>
    <w:p w:rsidR="00E51580" w:rsidRPr="00E56165" w:rsidRDefault="00E51580" w:rsidP="00E51580">
      <w:pPr>
        <w:pStyle w:val="NoSpacing"/>
        <w:rPr>
          <w:color w:val="1C1C1B" w:themeColor="text1"/>
          <w:sz w:val="24"/>
          <w:szCs w:val="24"/>
        </w:rPr>
      </w:pPr>
    </w:p>
    <w:p w:rsidR="00E51580" w:rsidRPr="00E56165" w:rsidRDefault="00E51580" w:rsidP="00E51580">
      <w:pPr>
        <w:pStyle w:val="NoSpacing"/>
        <w:rPr>
          <w:color w:val="1C1C1B" w:themeColor="text1"/>
          <w:sz w:val="24"/>
          <w:szCs w:val="24"/>
        </w:rPr>
      </w:pPr>
      <w:r w:rsidRPr="00E56165">
        <w:rPr>
          <w:color w:val="1C1C1B" w:themeColor="text1"/>
          <w:sz w:val="24"/>
          <w:szCs w:val="24"/>
        </w:rPr>
        <w:t xml:space="preserve">Through our integrated offerings across the spectrum of pharmacy care, we are well positioned to provide greater healthcare access, engage plan members in behaviors that improve their health, and lower overall costs for health plans and their members. </w:t>
      </w:r>
    </w:p>
    <w:p w:rsidR="00E51580" w:rsidRPr="00E56165" w:rsidRDefault="00E51580" w:rsidP="00E51580">
      <w:pPr>
        <w:pStyle w:val="NoSpacing"/>
        <w:rPr>
          <w:color w:val="1C1C1B" w:themeColor="text1"/>
          <w:sz w:val="24"/>
          <w:szCs w:val="24"/>
        </w:rPr>
      </w:pPr>
    </w:p>
    <w:p w:rsidR="00E51580" w:rsidRPr="00E56165" w:rsidRDefault="00E51580" w:rsidP="00E51580">
      <w:pPr>
        <w:pStyle w:val="Default"/>
        <w:rPr>
          <w:rFonts w:ascii="Calibri" w:hAnsi="Calibri"/>
          <w:color w:val="1C1C1B" w:themeColor="text1"/>
        </w:rPr>
      </w:pPr>
      <w:r w:rsidRPr="00E56165">
        <w:rPr>
          <w:rFonts w:ascii="Calibri" w:hAnsi="Calibri"/>
          <w:color w:val="1C1C1B" w:themeColor="text1"/>
        </w:rPr>
        <w:t xml:space="preserve">We have been asked to provide commentary on the Commission’s efforts to prepare a drug formulary of substitutions for Schedule II or III opiates that you have determined </w:t>
      </w:r>
      <w:r w:rsidR="000C6C38" w:rsidRPr="00E56165">
        <w:rPr>
          <w:rFonts w:ascii="Calibri" w:hAnsi="Calibri"/>
          <w:color w:val="1C1C1B" w:themeColor="text1"/>
        </w:rPr>
        <w:t>present</w:t>
      </w:r>
      <w:r w:rsidR="00042834" w:rsidRPr="00E56165">
        <w:rPr>
          <w:rFonts w:ascii="Calibri" w:hAnsi="Calibri"/>
          <w:color w:val="1C1C1B" w:themeColor="text1"/>
        </w:rPr>
        <w:t xml:space="preserve"> </w:t>
      </w:r>
      <w:r w:rsidRPr="00E56165">
        <w:rPr>
          <w:rFonts w:ascii="Calibri" w:hAnsi="Calibri"/>
          <w:color w:val="1C1C1B" w:themeColor="text1"/>
        </w:rPr>
        <w:t>a heightened level of public health risk due to potential for abuse and misuse, and to address what CVS Health anticipates the impact may have.</w:t>
      </w:r>
    </w:p>
    <w:p w:rsidR="00E51580" w:rsidRPr="00E56165" w:rsidRDefault="00E51580" w:rsidP="00E51580">
      <w:pPr>
        <w:pStyle w:val="Default"/>
        <w:rPr>
          <w:rFonts w:ascii="Calibri" w:hAnsi="Calibri"/>
          <w:color w:val="1C1C1B" w:themeColor="text1"/>
        </w:rPr>
      </w:pPr>
    </w:p>
    <w:p w:rsidR="00E51580" w:rsidRPr="00E56165" w:rsidRDefault="00E51580" w:rsidP="00E51580">
      <w:pPr>
        <w:pStyle w:val="Default"/>
        <w:rPr>
          <w:rFonts w:ascii="Calibri" w:hAnsi="Calibri"/>
          <w:color w:val="1C1C1B" w:themeColor="text1"/>
        </w:rPr>
      </w:pPr>
      <w:r w:rsidRPr="00E56165">
        <w:rPr>
          <w:rFonts w:ascii="Calibri" w:hAnsi="Calibri"/>
          <w:color w:val="1C1C1B" w:themeColor="text1"/>
        </w:rPr>
        <w:lastRenderedPageBreak/>
        <w:t>We understand that Chapter 258 of the Acts of 2014 directs the Drug Formulary Commission to consider four factors in determining whether a drug should be identified as a therapeutically equivalent substitute, including:</w:t>
      </w:r>
    </w:p>
    <w:p w:rsidR="00E51580" w:rsidRPr="00E56165" w:rsidRDefault="00E51580" w:rsidP="00E51580">
      <w:pPr>
        <w:pStyle w:val="Default"/>
        <w:rPr>
          <w:rFonts w:ascii="Calibri" w:hAnsi="Calibri"/>
          <w:color w:val="1C1C1B" w:themeColor="text1"/>
        </w:rPr>
      </w:pPr>
      <w:r w:rsidRPr="00E56165">
        <w:rPr>
          <w:rFonts w:ascii="Calibri" w:hAnsi="Calibri"/>
          <w:color w:val="1C1C1B" w:themeColor="text1"/>
        </w:rPr>
        <w:t xml:space="preserve"> </w:t>
      </w:r>
    </w:p>
    <w:p w:rsidR="00E51580" w:rsidRPr="00E56165" w:rsidRDefault="00E51580" w:rsidP="00E51580">
      <w:pPr>
        <w:pStyle w:val="Default"/>
        <w:spacing w:after="27"/>
        <w:ind w:left="720"/>
        <w:rPr>
          <w:rFonts w:ascii="Calibri" w:hAnsi="Calibri"/>
          <w:color w:val="1C1C1B" w:themeColor="text1"/>
        </w:rPr>
      </w:pPr>
      <w:r w:rsidRPr="00E56165">
        <w:rPr>
          <w:rFonts w:ascii="Calibri" w:hAnsi="Calibri"/>
          <w:color w:val="1C1C1B" w:themeColor="text1"/>
        </w:rPr>
        <w:t xml:space="preserve">1) The efficacy of the potential substitute. </w:t>
      </w:r>
    </w:p>
    <w:p w:rsidR="00E51580" w:rsidRPr="00E56165" w:rsidRDefault="00E51580" w:rsidP="00E51580">
      <w:pPr>
        <w:pStyle w:val="Default"/>
        <w:spacing w:after="27"/>
        <w:ind w:left="720"/>
        <w:rPr>
          <w:rFonts w:ascii="Calibri" w:hAnsi="Calibri"/>
          <w:color w:val="1C1C1B" w:themeColor="text1"/>
        </w:rPr>
      </w:pPr>
      <w:r w:rsidRPr="00E56165">
        <w:rPr>
          <w:rFonts w:ascii="Calibri" w:hAnsi="Calibri"/>
          <w:color w:val="1C1C1B" w:themeColor="text1"/>
        </w:rPr>
        <w:t xml:space="preserve">2) The effectiveness of the drug’s abuse-deterrent properties. </w:t>
      </w:r>
    </w:p>
    <w:p w:rsidR="00E51580" w:rsidRPr="00E56165" w:rsidRDefault="00E51580" w:rsidP="00E51580">
      <w:pPr>
        <w:pStyle w:val="Default"/>
        <w:spacing w:after="27"/>
        <w:ind w:left="720"/>
        <w:rPr>
          <w:rFonts w:ascii="Calibri" w:hAnsi="Calibri"/>
          <w:color w:val="1C1C1B" w:themeColor="text1"/>
        </w:rPr>
      </w:pPr>
      <w:r w:rsidRPr="00E56165">
        <w:rPr>
          <w:rFonts w:ascii="Calibri" w:hAnsi="Calibri"/>
          <w:color w:val="1C1C1B" w:themeColor="text1"/>
        </w:rPr>
        <w:t xml:space="preserve">3) How the placement of the drug as a substitute may impact the patient and/or pharmacy in terms of access. </w:t>
      </w:r>
    </w:p>
    <w:p w:rsidR="00E51580" w:rsidRPr="00E56165" w:rsidRDefault="00E51580" w:rsidP="00E51580">
      <w:pPr>
        <w:pStyle w:val="Default"/>
        <w:ind w:left="720"/>
        <w:rPr>
          <w:rFonts w:ascii="Calibri" w:hAnsi="Calibri"/>
          <w:color w:val="1C1C1B" w:themeColor="text1"/>
        </w:rPr>
      </w:pPr>
      <w:r w:rsidRPr="00E56165">
        <w:rPr>
          <w:rFonts w:ascii="Calibri" w:hAnsi="Calibri"/>
          <w:color w:val="1C1C1B" w:themeColor="text1"/>
        </w:rPr>
        <w:t xml:space="preserve">4) The cost effectiveness of the drug. </w:t>
      </w:r>
    </w:p>
    <w:p w:rsidR="00E51580" w:rsidRPr="00E56165" w:rsidRDefault="00E51580" w:rsidP="00B65CFA">
      <w:pPr>
        <w:pStyle w:val="Default"/>
        <w:spacing w:after="27"/>
        <w:rPr>
          <w:rFonts w:ascii="Calibri" w:hAnsi="Calibri"/>
          <w:color w:val="1C1C1B" w:themeColor="text1"/>
        </w:rPr>
      </w:pPr>
    </w:p>
    <w:p w:rsidR="00575DE6" w:rsidRPr="00E56165" w:rsidRDefault="00575DE6" w:rsidP="00B65CFA">
      <w:pPr>
        <w:pStyle w:val="Default"/>
        <w:spacing w:after="27"/>
        <w:rPr>
          <w:rFonts w:ascii="Calibri" w:hAnsi="Calibri"/>
          <w:b/>
          <w:color w:val="1C1C1B" w:themeColor="text1"/>
        </w:rPr>
      </w:pPr>
      <w:r w:rsidRPr="00E56165">
        <w:rPr>
          <w:rFonts w:ascii="Calibri" w:hAnsi="Calibri"/>
          <w:b/>
          <w:color w:val="1C1C1B" w:themeColor="text1"/>
        </w:rPr>
        <w:t>QUESTIONS POSED</w:t>
      </w:r>
    </w:p>
    <w:p w:rsidR="00575DE6" w:rsidRPr="00E56165" w:rsidRDefault="00575DE6" w:rsidP="00B65CFA">
      <w:pPr>
        <w:pStyle w:val="Default"/>
        <w:spacing w:after="27"/>
        <w:rPr>
          <w:rFonts w:ascii="Calibri" w:hAnsi="Calibri"/>
          <w:b/>
          <w:color w:val="1C1C1B" w:themeColor="text1"/>
        </w:rPr>
      </w:pPr>
    </w:p>
    <w:p w:rsidR="002E7CEC" w:rsidRPr="00E56165" w:rsidRDefault="002E7CEC" w:rsidP="00E51580">
      <w:pPr>
        <w:pStyle w:val="Default"/>
        <w:rPr>
          <w:rFonts w:ascii="Calibri" w:hAnsi="Calibri"/>
          <w:color w:val="1C1C1B" w:themeColor="text1"/>
        </w:rPr>
      </w:pPr>
      <w:r w:rsidRPr="00E56165">
        <w:rPr>
          <w:rFonts w:ascii="Calibri" w:hAnsi="Calibri"/>
          <w:color w:val="1C1C1B" w:themeColor="text1"/>
        </w:rPr>
        <w:t>Please find below comments to the specific questions posed to us</w:t>
      </w:r>
      <w:r w:rsidR="00575DE6" w:rsidRPr="00E56165">
        <w:rPr>
          <w:rFonts w:ascii="Calibri" w:hAnsi="Calibri"/>
          <w:color w:val="1C1C1B" w:themeColor="text1"/>
        </w:rPr>
        <w:t xml:space="preserve"> related to a</w:t>
      </w:r>
      <w:r w:rsidRPr="00E56165">
        <w:rPr>
          <w:rFonts w:ascii="Calibri" w:hAnsi="Calibri"/>
          <w:color w:val="1C1C1B" w:themeColor="text1"/>
        </w:rPr>
        <w:t xml:space="preserve">ccessibility: </w:t>
      </w:r>
    </w:p>
    <w:p w:rsidR="00E51580" w:rsidRPr="00E56165" w:rsidRDefault="00E51580" w:rsidP="00E51580">
      <w:pPr>
        <w:pStyle w:val="Default"/>
        <w:rPr>
          <w:rFonts w:ascii="Calibri" w:hAnsi="Calibri"/>
          <w:color w:val="1C1C1B" w:themeColor="text1"/>
        </w:rPr>
      </w:pPr>
    </w:p>
    <w:p w:rsidR="00E51580" w:rsidRPr="00E56165" w:rsidRDefault="00E51580" w:rsidP="00E51580">
      <w:pPr>
        <w:pStyle w:val="Default"/>
        <w:spacing w:after="27"/>
        <w:rPr>
          <w:rFonts w:ascii="Calibri" w:hAnsi="Calibri"/>
          <w:b/>
          <w:color w:val="1C1C1B" w:themeColor="text1"/>
        </w:rPr>
      </w:pPr>
      <w:r w:rsidRPr="00E56165">
        <w:rPr>
          <w:rFonts w:ascii="Calibri" w:hAnsi="Calibri"/>
          <w:b/>
          <w:color w:val="1C1C1B" w:themeColor="text1"/>
        </w:rPr>
        <w:t xml:space="preserve">1) How have you/your organization participated in the process of developing a drug formulary and how did the implementation of the formulary impact your respective field? </w:t>
      </w:r>
    </w:p>
    <w:p w:rsidR="00B65CFA" w:rsidRPr="00E56165" w:rsidRDefault="00B65CFA" w:rsidP="00393F88">
      <w:pPr>
        <w:pStyle w:val="Default"/>
        <w:rPr>
          <w:rFonts w:ascii="Calibri" w:hAnsi="Calibri"/>
          <w:color w:val="1C1C1B" w:themeColor="text1"/>
        </w:rPr>
      </w:pPr>
    </w:p>
    <w:p w:rsidR="00B65CFA" w:rsidRPr="00E56165" w:rsidRDefault="00B65CFA" w:rsidP="00393F88">
      <w:pPr>
        <w:spacing w:before="0" w:line="240" w:lineRule="auto"/>
        <w:rPr>
          <w:rFonts w:ascii="Calibri" w:hAnsi="Calibri"/>
          <w:color w:val="auto"/>
          <w:sz w:val="24"/>
        </w:rPr>
      </w:pPr>
      <w:r w:rsidRPr="00E56165">
        <w:rPr>
          <w:rFonts w:ascii="Calibri" w:hAnsi="Calibri"/>
          <w:color w:val="auto"/>
          <w:sz w:val="24"/>
        </w:rPr>
        <w:t xml:space="preserve">We help public and private payors improve outcomes and hold down the cost of drugs by using a broad set of evidence-based clinical programs and proven management tools, including formulary. </w:t>
      </w:r>
    </w:p>
    <w:p w:rsidR="00393F88" w:rsidRPr="00E56165" w:rsidRDefault="00393F88" w:rsidP="00393F88">
      <w:pPr>
        <w:spacing w:before="0" w:line="240" w:lineRule="auto"/>
        <w:rPr>
          <w:rFonts w:ascii="Calibri" w:hAnsi="Calibri"/>
          <w:color w:val="auto"/>
          <w:sz w:val="24"/>
        </w:rPr>
      </w:pPr>
    </w:p>
    <w:p w:rsidR="00E51580" w:rsidRPr="00E56165" w:rsidRDefault="002E7CEC" w:rsidP="00393F88">
      <w:pPr>
        <w:spacing w:before="0" w:line="240" w:lineRule="auto"/>
        <w:rPr>
          <w:rFonts w:ascii="Calibri" w:hAnsi="Calibri"/>
          <w:color w:val="auto"/>
          <w:sz w:val="24"/>
        </w:rPr>
      </w:pPr>
      <w:r w:rsidRPr="00E56165">
        <w:rPr>
          <w:rFonts w:ascii="Calibri" w:hAnsi="Calibri"/>
          <w:color w:val="auto"/>
          <w:sz w:val="24"/>
        </w:rPr>
        <w:t xml:space="preserve">Formulary development is increasingly important given the vast number and complexity of products and rising drug prices. </w:t>
      </w:r>
      <w:r w:rsidR="007B3185" w:rsidRPr="00E56165">
        <w:rPr>
          <w:rFonts w:ascii="Calibri" w:hAnsi="Calibri"/>
          <w:color w:val="auto"/>
          <w:sz w:val="24"/>
        </w:rPr>
        <w:t>We work</w:t>
      </w:r>
      <w:r w:rsidR="00E51580" w:rsidRPr="00E56165">
        <w:rPr>
          <w:rFonts w:ascii="Calibri" w:hAnsi="Calibri"/>
          <w:color w:val="auto"/>
          <w:sz w:val="24"/>
        </w:rPr>
        <w:t xml:space="preserve"> with our PBM clients to develop </w:t>
      </w:r>
      <w:r w:rsidR="007B3185" w:rsidRPr="00E56165">
        <w:rPr>
          <w:rFonts w:ascii="Calibri" w:hAnsi="Calibri"/>
          <w:color w:val="auto"/>
          <w:sz w:val="24"/>
        </w:rPr>
        <w:t>a formulary</w:t>
      </w:r>
      <w:r w:rsidR="00E51580" w:rsidRPr="00E56165">
        <w:rPr>
          <w:rFonts w:ascii="Calibri" w:hAnsi="Calibri"/>
          <w:color w:val="auto"/>
          <w:sz w:val="24"/>
        </w:rPr>
        <w:t xml:space="preserve"> to manage health care costs and improve patient access to care. </w:t>
      </w:r>
    </w:p>
    <w:p w:rsidR="00474AA0" w:rsidRPr="00E56165" w:rsidRDefault="00474AA0" w:rsidP="00393F88">
      <w:pPr>
        <w:spacing w:before="0" w:line="240" w:lineRule="auto"/>
        <w:rPr>
          <w:rFonts w:ascii="Calibri" w:hAnsi="Calibri"/>
          <w:color w:val="auto"/>
          <w:sz w:val="24"/>
        </w:rPr>
      </w:pPr>
    </w:p>
    <w:p w:rsidR="00474AA0" w:rsidRPr="00E56165" w:rsidRDefault="00474AA0" w:rsidP="00393F88">
      <w:pPr>
        <w:spacing w:before="0" w:line="240" w:lineRule="auto"/>
        <w:rPr>
          <w:rFonts w:ascii="Calibri" w:hAnsi="Calibri"/>
          <w:color w:val="auto"/>
          <w:sz w:val="24"/>
        </w:rPr>
      </w:pPr>
      <w:r w:rsidRPr="00E56165">
        <w:rPr>
          <w:rFonts w:ascii="Calibri" w:hAnsi="Calibri"/>
          <w:color w:val="auto"/>
          <w:sz w:val="24"/>
        </w:rPr>
        <w:t>Clinical acceptability of the drugs included in the standard formulary is among our primary considerations, enabling us to continue to provide plan members with access to high quality products within all covered classes of drugs.</w:t>
      </w:r>
    </w:p>
    <w:p w:rsidR="00474AA0" w:rsidRPr="00E56165" w:rsidRDefault="00474AA0" w:rsidP="00393F88">
      <w:pPr>
        <w:spacing w:before="0" w:line="240" w:lineRule="auto"/>
        <w:rPr>
          <w:rFonts w:ascii="Calibri" w:hAnsi="Calibri"/>
          <w:color w:val="auto"/>
          <w:sz w:val="24"/>
        </w:rPr>
      </w:pPr>
    </w:p>
    <w:p w:rsidR="00474AA0" w:rsidRPr="00E56165" w:rsidRDefault="00474AA0" w:rsidP="00393F88">
      <w:pPr>
        <w:spacing w:before="0" w:line="240" w:lineRule="auto"/>
        <w:rPr>
          <w:rFonts w:ascii="Calibri" w:hAnsi="Calibri"/>
          <w:color w:val="auto"/>
          <w:sz w:val="24"/>
        </w:rPr>
      </w:pPr>
      <w:r w:rsidRPr="00E56165">
        <w:rPr>
          <w:rFonts w:ascii="Calibri" w:hAnsi="Calibri"/>
          <w:color w:val="auto"/>
          <w:sz w:val="24"/>
        </w:rPr>
        <w:t xml:space="preserve">The </w:t>
      </w:r>
      <w:r w:rsidR="0004231F" w:rsidRPr="00E56165">
        <w:rPr>
          <w:rFonts w:ascii="Calibri" w:hAnsi="Calibri"/>
          <w:color w:val="auto"/>
          <w:sz w:val="24"/>
        </w:rPr>
        <w:t xml:space="preserve">work of the </w:t>
      </w:r>
      <w:r w:rsidRPr="00E56165">
        <w:rPr>
          <w:rFonts w:ascii="Calibri" w:hAnsi="Calibri"/>
          <w:color w:val="auto"/>
          <w:sz w:val="24"/>
        </w:rPr>
        <w:t xml:space="preserve">CVS/caremark National Pharmacy and Therapeutics (P&amp;T) Committee </w:t>
      </w:r>
      <w:r w:rsidR="0004231F" w:rsidRPr="00E56165">
        <w:rPr>
          <w:rFonts w:ascii="Calibri" w:hAnsi="Calibri"/>
          <w:color w:val="auto"/>
          <w:sz w:val="24"/>
        </w:rPr>
        <w:t xml:space="preserve">provides the </w:t>
      </w:r>
      <w:r w:rsidRPr="00E56165">
        <w:rPr>
          <w:rFonts w:ascii="Calibri" w:hAnsi="Calibri"/>
          <w:color w:val="auto"/>
          <w:sz w:val="24"/>
        </w:rPr>
        <w:t xml:space="preserve">foundation </w:t>
      </w:r>
      <w:r w:rsidR="0004231F" w:rsidRPr="00E56165">
        <w:rPr>
          <w:rFonts w:ascii="Calibri" w:hAnsi="Calibri"/>
          <w:color w:val="auto"/>
          <w:sz w:val="24"/>
        </w:rPr>
        <w:t xml:space="preserve">for the development and management of a </w:t>
      </w:r>
      <w:r w:rsidRPr="00E56165">
        <w:rPr>
          <w:rFonts w:ascii="Calibri" w:hAnsi="Calibri"/>
          <w:color w:val="auto"/>
          <w:sz w:val="24"/>
        </w:rPr>
        <w:t>formulary.  The P&amp;T Committee is an</w:t>
      </w:r>
      <w:r w:rsidR="00393F88" w:rsidRPr="00E56165">
        <w:rPr>
          <w:rFonts w:ascii="Calibri" w:hAnsi="Calibri"/>
          <w:color w:val="auto"/>
          <w:sz w:val="24"/>
        </w:rPr>
        <w:t xml:space="preserve"> independent</w:t>
      </w:r>
      <w:r w:rsidRPr="00E56165">
        <w:rPr>
          <w:rFonts w:ascii="Calibri" w:hAnsi="Calibri"/>
          <w:color w:val="auto"/>
          <w:sz w:val="24"/>
        </w:rPr>
        <w:t xml:space="preserve"> external advisory body of experts from a variety of medical specialties</w:t>
      </w:r>
      <w:r w:rsidR="0004231F" w:rsidRPr="00E56165">
        <w:rPr>
          <w:rFonts w:ascii="Calibri" w:hAnsi="Calibri"/>
          <w:color w:val="auto"/>
          <w:sz w:val="24"/>
        </w:rPr>
        <w:t>,</w:t>
      </w:r>
      <w:r w:rsidRPr="00E56165">
        <w:rPr>
          <w:rFonts w:ascii="Calibri" w:hAnsi="Calibri"/>
          <w:color w:val="auto"/>
          <w:sz w:val="24"/>
        </w:rPr>
        <w:t xml:space="preserve"> including high</w:t>
      </w:r>
      <w:r w:rsidR="0004231F" w:rsidRPr="00E56165">
        <w:rPr>
          <w:rFonts w:ascii="Calibri" w:hAnsi="Calibri"/>
          <w:color w:val="auto"/>
          <w:sz w:val="24"/>
        </w:rPr>
        <w:t>-</w:t>
      </w:r>
      <w:r w:rsidRPr="00E56165">
        <w:rPr>
          <w:rFonts w:ascii="Calibri" w:hAnsi="Calibri"/>
          <w:color w:val="auto"/>
          <w:sz w:val="24"/>
        </w:rPr>
        <w:t xml:space="preserve">volume specialty physicians, pharmacists and other health care professionals. </w:t>
      </w:r>
    </w:p>
    <w:p w:rsidR="00474AA0" w:rsidRPr="00E56165" w:rsidRDefault="00474AA0" w:rsidP="00393F88">
      <w:pPr>
        <w:spacing w:before="0" w:line="240" w:lineRule="auto"/>
        <w:rPr>
          <w:rFonts w:ascii="Calibri" w:hAnsi="Calibri"/>
          <w:color w:val="auto"/>
          <w:sz w:val="24"/>
        </w:rPr>
      </w:pPr>
    </w:p>
    <w:p w:rsidR="00474AA0" w:rsidRPr="00E56165" w:rsidRDefault="00474AA0" w:rsidP="00393F88">
      <w:pPr>
        <w:spacing w:before="0" w:line="240" w:lineRule="auto"/>
        <w:rPr>
          <w:rFonts w:ascii="Calibri" w:hAnsi="Calibri"/>
          <w:color w:val="auto"/>
          <w:sz w:val="24"/>
        </w:rPr>
      </w:pPr>
      <w:r w:rsidRPr="00E56165">
        <w:rPr>
          <w:rFonts w:ascii="Calibri" w:hAnsi="Calibri"/>
          <w:color w:val="auto"/>
          <w:sz w:val="24"/>
        </w:rPr>
        <w:t xml:space="preserve">Clinical decisions by the CVS/caremark National P&amp;T Committee are based on scientific evidence, standards of practice, peer-reviewed medical literature, accepted clinical practice guidelines as well as other sources of appropriate information.  The CVS/caremark National P&amp;T Committee also reviews new drug evaluations, new FDA-approved indications and new clinical </w:t>
      </w:r>
      <w:r w:rsidRPr="00E56165">
        <w:rPr>
          <w:rFonts w:ascii="Calibri" w:hAnsi="Calibri"/>
          <w:color w:val="auto"/>
          <w:sz w:val="24"/>
        </w:rPr>
        <w:lastRenderedPageBreak/>
        <w:t>line extensions.  The formulary selection process</w:t>
      </w:r>
      <w:r w:rsidR="00FC45B3" w:rsidRPr="00E56165">
        <w:rPr>
          <w:rFonts w:ascii="Calibri" w:hAnsi="Calibri"/>
          <w:color w:val="auto"/>
          <w:sz w:val="24"/>
        </w:rPr>
        <w:t xml:space="preserve"> also</w:t>
      </w:r>
      <w:r w:rsidRPr="00E56165">
        <w:rPr>
          <w:rFonts w:ascii="Calibri" w:hAnsi="Calibri"/>
          <w:color w:val="auto"/>
          <w:sz w:val="24"/>
        </w:rPr>
        <w:t xml:space="preserve"> includes a comparison of similar drugs in terms of safety and effectiveness.  </w:t>
      </w:r>
    </w:p>
    <w:p w:rsidR="00393F88" w:rsidRPr="00E56165" w:rsidRDefault="00393F88" w:rsidP="00393F88">
      <w:pPr>
        <w:spacing w:before="0" w:line="240" w:lineRule="auto"/>
        <w:rPr>
          <w:rFonts w:ascii="Calibri" w:hAnsi="Calibri"/>
          <w:color w:val="auto"/>
          <w:sz w:val="24"/>
        </w:rPr>
      </w:pPr>
    </w:p>
    <w:p w:rsidR="004F4DE2" w:rsidRPr="00E56165" w:rsidRDefault="00D2660C" w:rsidP="00393F88">
      <w:pPr>
        <w:spacing w:before="0" w:line="240" w:lineRule="auto"/>
        <w:rPr>
          <w:rFonts w:ascii="Calibri" w:hAnsi="Calibri"/>
          <w:color w:val="auto"/>
          <w:sz w:val="24"/>
        </w:rPr>
      </w:pPr>
      <w:r w:rsidRPr="00E56165">
        <w:rPr>
          <w:rFonts w:ascii="Calibri" w:hAnsi="Calibri"/>
          <w:color w:val="auto"/>
          <w:sz w:val="24"/>
        </w:rPr>
        <w:t>A</w:t>
      </w:r>
      <w:r w:rsidR="00E51580" w:rsidRPr="00E56165">
        <w:rPr>
          <w:rFonts w:ascii="Calibri" w:hAnsi="Calibri"/>
          <w:color w:val="auto"/>
          <w:sz w:val="24"/>
        </w:rPr>
        <w:t>ppropriate formularies are critical to ensuring that patients are able to access the safest and most affordable drugs available.</w:t>
      </w:r>
      <w:r w:rsidR="004F4DE2" w:rsidRPr="00E56165">
        <w:rPr>
          <w:rFonts w:ascii="Calibri" w:hAnsi="Calibri"/>
          <w:color w:val="auto"/>
          <w:sz w:val="24"/>
        </w:rPr>
        <w:t xml:space="preserve"> It is important to recognize that in creating a formulary</w:t>
      </w:r>
      <w:r w:rsidR="0004231F" w:rsidRPr="00E56165">
        <w:rPr>
          <w:rFonts w:ascii="Calibri" w:hAnsi="Calibri"/>
          <w:color w:val="auto"/>
          <w:sz w:val="24"/>
        </w:rPr>
        <w:t>,</w:t>
      </w:r>
      <w:r w:rsidR="004F4DE2" w:rsidRPr="00E56165">
        <w:rPr>
          <w:rFonts w:ascii="Calibri" w:hAnsi="Calibri"/>
          <w:color w:val="auto"/>
          <w:sz w:val="24"/>
        </w:rPr>
        <w:t xml:space="preserve"> a well-defined process is necessary for physicians and other prescribers</w:t>
      </w:r>
      <w:r w:rsidR="001C4700" w:rsidRPr="00E56165">
        <w:rPr>
          <w:rFonts w:ascii="Calibri" w:hAnsi="Calibri"/>
          <w:color w:val="auto"/>
          <w:sz w:val="24"/>
        </w:rPr>
        <w:t xml:space="preserve"> who may want to prescribe</w:t>
      </w:r>
      <w:r w:rsidR="00393F88" w:rsidRPr="00E56165">
        <w:rPr>
          <w:rFonts w:ascii="Calibri" w:hAnsi="Calibri"/>
          <w:color w:val="auto"/>
          <w:sz w:val="24"/>
        </w:rPr>
        <w:t xml:space="preserve"> </w:t>
      </w:r>
      <w:r w:rsidR="004F4DE2" w:rsidRPr="00E56165">
        <w:rPr>
          <w:rFonts w:ascii="Calibri" w:hAnsi="Calibri"/>
          <w:color w:val="auto"/>
          <w:sz w:val="24"/>
        </w:rPr>
        <w:t>a non-formulary drug when medically appropriate and indicated.  This allows for individual patient needs to be met with a non-formulary drug when demonstrated to be clinically justified by the prescriber.</w:t>
      </w:r>
    </w:p>
    <w:p w:rsidR="00393F88" w:rsidRPr="00E56165" w:rsidRDefault="00393F88" w:rsidP="00393F88">
      <w:pPr>
        <w:spacing w:before="0" w:line="240" w:lineRule="auto"/>
        <w:rPr>
          <w:rFonts w:ascii="Calibri" w:hAnsi="Calibri"/>
          <w:color w:val="auto"/>
          <w:sz w:val="24"/>
        </w:rPr>
      </w:pPr>
    </w:p>
    <w:p w:rsidR="00E51580" w:rsidRPr="00E56165" w:rsidRDefault="00E8717D" w:rsidP="00393F88">
      <w:pPr>
        <w:spacing w:before="0" w:line="240" w:lineRule="auto"/>
        <w:rPr>
          <w:rFonts w:ascii="Calibri" w:hAnsi="Calibri"/>
          <w:color w:val="auto"/>
          <w:sz w:val="24"/>
        </w:rPr>
      </w:pPr>
      <w:r w:rsidRPr="00E56165">
        <w:rPr>
          <w:rFonts w:ascii="Calibri" w:hAnsi="Calibri"/>
          <w:color w:val="auto"/>
          <w:sz w:val="24"/>
        </w:rPr>
        <w:t>We also have pharmacists that help patients understand and comply with their prescribed therapies through adherence counseling with new prescriptions (face-to-face at CVS pharmacies), refill reminders and availability of automatic prescription renewals and refills.</w:t>
      </w:r>
    </w:p>
    <w:p w:rsidR="00E51580" w:rsidRPr="00E56165" w:rsidRDefault="00E51580" w:rsidP="00393F88">
      <w:pPr>
        <w:pStyle w:val="Default"/>
        <w:rPr>
          <w:rFonts w:ascii="Calibri" w:hAnsi="Calibri"/>
          <w:color w:val="1C1C1B" w:themeColor="text1"/>
        </w:rPr>
      </w:pPr>
    </w:p>
    <w:p w:rsidR="00393F88" w:rsidRPr="00E56165" w:rsidRDefault="00575DE6" w:rsidP="00393F88">
      <w:pPr>
        <w:spacing w:before="0" w:line="240" w:lineRule="auto"/>
        <w:rPr>
          <w:rFonts w:ascii="Calibri" w:hAnsi="Calibri"/>
          <w:color w:val="auto"/>
          <w:sz w:val="24"/>
        </w:rPr>
      </w:pPr>
      <w:r w:rsidRPr="00E56165">
        <w:rPr>
          <w:rFonts w:ascii="Calibri" w:hAnsi="Calibri"/>
          <w:color w:val="auto"/>
          <w:sz w:val="24"/>
        </w:rPr>
        <w:t>Our</w:t>
      </w:r>
      <w:r w:rsidR="00393F88" w:rsidRPr="00E56165">
        <w:rPr>
          <w:rFonts w:ascii="Calibri" w:hAnsi="Calibri"/>
          <w:color w:val="auto"/>
          <w:sz w:val="24"/>
        </w:rPr>
        <w:t xml:space="preserve"> goal is to provide clients the ability to efficiently and effectively use health care resources, minimize overall medical costs, improve patient access to more affordable care and ultimately provide an improved quality of life.</w:t>
      </w:r>
    </w:p>
    <w:p w:rsidR="00393F88" w:rsidRPr="00E56165" w:rsidRDefault="00393F88" w:rsidP="00393F88">
      <w:pPr>
        <w:pStyle w:val="Default"/>
        <w:rPr>
          <w:rFonts w:ascii="Calibri" w:hAnsi="Calibri"/>
          <w:color w:val="1C1C1B" w:themeColor="text1"/>
        </w:rPr>
      </w:pPr>
    </w:p>
    <w:p w:rsidR="00E51580" w:rsidRPr="00E56165" w:rsidRDefault="00E51580" w:rsidP="00E51580">
      <w:pPr>
        <w:pStyle w:val="Default"/>
        <w:spacing w:after="27"/>
        <w:rPr>
          <w:rFonts w:ascii="Calibri" w:hAnsi="Calibri"/>
          <w:b/>
          <w:color w:val="1C1C1B" w:themeColor="text1"/>
        </w:rPr>
      </w:pPr>
      <w:r w:rsidRPr="00E56165">
        <w:rPr>
          <w:rFonts w:ascii="Calibri" w:hAnsi="Calibri"/>
          <w:b/>
          <w:color w:val="1C1C1B" w:themeColor="text1"/>
        </w:rPr>
        <w:t xml:space="preserve">2) Based on the process that we will undertake to develop our formulary, what obstacles may the Commission encounter? </w:t>
      </w:r>
    </w:p>
    <w:p w:rsidR="00E51580" w:rsidRPr="00E56165" w:rsidRDefault="00E51580" w:rsidP="00E51580">
      <w:pPr>
        <w:pStyle w:val="Default"/>
        <w:spacing w:after="27"/>
        <w:rPr>
          <w:rFonts w:ascii="Calibri" w:hAnsi="Calibri"/>
          <w:b/>
          <w:color w:val="1C1C1B" w:themeColor="text1"/>
        </w:rPr>
      </w:pPr>
    </w:p>
    <w:p w:rsidR="00393F88" w:rsidRPr="00E56165" w:rsidRDefault="004710EB" w:rsidP="00E51580">
      <w:pPr>
        <w:pStyle w:val="Default"/>
        <w:spacing w:after="27"/>
        <w:rPr>
          <w:rFonts w:ascii="Calibri" w:hAnsi="Calibri"/>
          <w:color w:val="1C1C1B" w:themeColor="text1"/>
        </w:rPr>
      </w:pPr>
      <w:r w:rsidRPr="00E56165">
        <w:rPr>
          <w:rFonts w:ascii="Calibri" w:hAnsi="Calibri"/>
          <w:color w:val="1C1C1B" w:themeColor="text1"/>
        </w:rPr>
        <w:t>Developing a formulary presents s</w:t>
      </w:r>
      <w:r w:rsidR="00393F88" w:rsidRPr="00E56165">
        <w:rPr>
          <w:rFonts w:ascii="Calibri" w:hAnsi="Calibri"/>
          <w:color w:val="1C1C1B" w:themeColor="text1"/>
        </w:rPr>
        <w:t>ignificant</w:t>
      </w:r>
      <w:r w:rsidR="00E51580" w:rsidRPr="00E56165">
        <w:rPr>
          <w:rFonts w:ascii="Calibri" w:hAnsi="Calibri"/>
          <w:color w:val="1C1C1B" w:themeColor="text1"/>
        </w:rPr>
        <w:t xml:space="preserve"> challenges</w:t>
      </w:r>
      <w:r w:rsidR="0004231F" w:rsidRPr="00E56165">
        <w:rPr>
          <w:rFonts w:ascii="Calibri" w:hAnsi="Calibri"/>
          <w:color w:val="1C1C1B" w:themeColor="text1"/>
        </w:rPr>
        <w:t>, i</w:t>
      </w:r>
      <w:r w:rsidR="002E7CEC" w:rsidRPr="00E56165">
        <w:rPr>
          <w:rFonts w:ascii="Calibri" w:hAnsi="Calibri"/>
          <w:color w:val="1C1C1B" w:themeColor="text1"/>
        </w:rPr>
        <w:t>ncluding</w:t>
      </w:r>
      <w:r w:rsidR="00393F88" w:rsidRPr="00E56165">
        <w:rPr>
          <w:rFonts w:ascii="Calibri" w:hAnsi="Calibri"/>
          <w:color w:val="1C1C1B" w:themeColor="text1"/>
        </w:rPr>
        <w:t xml:space="preserve">: </w:t>
      </w:r>
    </w:p>
    <w:p w:rsidR="00393F88" w:rsidRPr="00E56165" w:rsidRDefault="00393F88" w:rsidP="00E51580">
      <w:pPr>
        <w:pStyle w:val="Default"/>
        <w:spacing w:after="27"/>
        <w:rPr>
          <w:rFonts w:ascii="Calibri" w:hAnsi="Calibri"/>
          <w:color w:val="1C1C1B" w:themeColor="text1"/>
        </w:rPr>
      </w:pPr>
    </w:p>
    <w:p w:rsidR="001875C2" w:rsidRPr="00E56165" w:rsidRDefault="00393F88" w:rsidP="00393F88">
      <w:pPr>
        <w:pStyle w:val="Default"/>
        <w:numPr>
          <w:ilvl w:val="0"/>
          <w:numId w:val="5"/>
        </w:numPr>
        <w:spacing w:after="27"/>
        <w:rPr>
          <w:rFonts w:ascii="Calibri" w:hAnsi="Calibri"/>
          <w:color w:val="1C1C1B" w:themeColor="text1"/>
        </w:rPr>
      </w:pPr>
      <w:r w:rsidRPr="00E56165">
        <w:rPr>
          <w:rFonts w:ascii="Calibri" w:hAnsi="Calibri"/>
          <w:b/>
          <w:color w:val="1C1C1B" w:themeColor="text1"/>
        </w:rPr>
        <w:t xml:space="preserve">The </w:t>
      </w:r>
      <w:r w:rsidR="00E51580" w:rsidRPr="00E56165">
        <w:rPr>
          <w:rFonts w:ascii="Calibri" w:hAnsi="Calibri"/>
          <w:b/>
          <w:color w:val="1C1C1B" w:themeColor="text1"/>
        </w:rPr>
        <w:t xml:space="preserve">vast </w:t>
      </w:r>
      <w:r w:rsidR="0004231F" w:rsidRPr="00E56165">
        <w:rPr>
          <w:rFonts w:ascii="Calibri" w:hAnsi="Calibri"/>
          <w:b/>
          <w:color w:val="1C1C1B" w:themeColor="text1"/>
        </w:rPr>
        <w:t xml:space="preserve">number </w:t>
      </w:r>
      <w:r w:rsidR="00E51580" w:rsidRPr="00E56165">
        <w:rPr>
          <w:rFonts w:ascii="Calibri" w:hAnsi="Calibri"/>
          <w:b/>
          <w:color w:val="1C1C1B" w:themeColor="text1"/>
        </w:rPr>
        <w:t xml:space="preserve">of drug products </w:t>
      </w:r>
      <w:r w:rsidR="001875C2" w:rsidRPr="00E56165">
        <w:rPr>
          <w:rFonts w:ascii="Calibri" w:hAnsi="Calibri"/>
          <w:b/>
          <w:color w:val="1C1C1B" w:themeColor="text1"/>
        </w:rPr>
        <w:t xml:space="preserve">currently </w:t>
      </w:r>
      <w:r w:rsidR="00E51580" w:rsidRPr="00E56165">
        <w:rPr>
          <w:rFonts w:ascii="Calibri" w:hAnsi="Calibri"/>
          <w:b/>
          <w:color w:val="1C1C1B" w:themeColor="text1"/>
        </w:rPr>
        <w:t>available</w:t>
      </w:r>
      <w:r w:rsidR="00E51580" w:rsidRPr="00E56165">
        <w:rPr>
          <w:rFonts w:ascii="Calibri" w:hAnsi="Calibri"/>
          <w:color w:val="1C1C1B" w:themeColor="text1"/>
        </w:rPr>
        <w:t xml:space="preserve">. </w:t>
      </w:r>
      <w:r w:rsidR="001875C2" w:rsidRPr="00E56165">
        <w:rPr>
          <w:rFonts w:ascii="Calibri" w:hAnsi="Calibri"/>
          <w:color w:val="1C1C1B" w:themeColor="text1"/>
        </w:rPr>
        <w:t>For example, a</w:t>
      </w:r>
      <w:r w:rsidR="00E51580" w:rsidRPr="00E56165">
        <w:rPr>
          <w:rFonts w:ascii="Calibri" w:hAnsi="Calibri"/>
          <w:color w:val="1C1C1B" w:themeColor="text1"/>
        </w:rPr>
        <w:t xml:space="preserve">ny </w:t>
      </w:r>
      <w:r w:rsidR="001875C2" w:rsidRPr="00E56165">
        <w:rPr>
          <w:rFonts w:ascii="Calibri" w:hAnsi="Calibri"/>
          <w:color w:val="1C1C1B" w:themeColor="text1"/>
        </w:rPr>
        <w:t xml:space="preserve">alteration </w:t>
      </w:r>
      <w:r w:rsidR="00E51580" w:rsidRPr="00E56165">
        <w:rPr>
          <w:rFonts w:ascii="Calibri" w:hAnsi="Calibri"/>
          <w:color w:val="1C1C1B" w:themeColor="text1"/>
        </w:rPr>
        <w:t xml:space="preserve">to the manufacturer, dosage or packaging must be reflected in the formulary. </w:t>
      </w:r>
      <w:r w:rsidR="001875C2" w:rsidRPr="00E56165">
        <w:rPr>
          <w:rFonts w:ascii="Calibri" w:hAnsi="Calibri"/>
          <w:color w:val="1C1C1B" w:themeColor="text1"/>
        </w:rPr>
        <w:t xml:space="preserve"> </w:t>
      </w:r>
    </w:p>
    <w:p w:rsidR="00E01F47" w:rsidRPr="00E56165" w:rsidRDefault="00E01F47" w:rsidP="00E01F47">
      <w:pPr>
        <w:pStyle w:val="Default"/>
        <w:numPr>
          <w:ilvl w:val="0"/>
          <w:numId w:val="5"/>
        </w:numPr>
        <w:spacing w:after="27"/>
        <w:rPr>
          <w:rFonts w:ascii="Calibri" w:hAnsi="Calibri"/>
          <w:color w:val="1C1C1B" w:themeColor="text1"/>
        </w:rPr>
      </w:pPr>
      <w:r w:rsidRPr="00E56165">
        <w:rPr>
          <w:rFonts w:ascii="Calibri" w:hAnsi="Calibri"/>
          <w:b/>
          <w:color w:val="1C1C1B" w:themeColor="text1"/>
        </w:rPr>
        <w:t>The health care landscape continues to rapidly evolve</w:t>
      </w:r>
      <w:r w:rsidR="002E7CEC" w:rsidRPr="00E56165">
        <w:rPr>
          <w:rFonts w:ascii="Calibri" w:hAnsi="Calibri"/>
          <w:b/>
          <w:color w:val="1C1C1B" w:themeColor="text1"/>
        </w:rPr>
        <w:t>.</w:t>
      </w:r>
      <w:r w:rsidR="002E7CEC" w:rsidRPr="00E56165">
        <w:rPr>
          <w:rFonts w:ascii="Calibri" w:hAnsi="Calibri"/>
          <w:color w:val="1C1C1B" w:themeColor="text1"/>
        </w:rPr>
        <w:t xml:space="preserve"> As a result</w:t>
      </w:r>
      <w:r w:rsidRPr="00E56165">
        <w:rPr>
          <w:rFonts w:ascii="Calibri" w:hAnsi="Calibri"/>
          <w:color w:val="1C1C1B" w:themeColor="text1"/>
        </w:rPr>
        <w:t xml:space="preserve">, tighter controls are essential to help mitigate the effects of </w:t>
      </w:r>
      <w:r w:rsidR="004710EB" w:rsidRPr="00E56165">
        <w:rPr>
          <w:rFonts w:ascii="Calibri" w:hAnsi="Calibri"/>
          <w:color w:val="1C1C1B" w:themeColor="text1"/>
        </w:rPr>
        <w:t xml:space="preserve">trends in </w:t>
      </w:r>
      <w:r w:rsidR="0004231F" w:rsidRPr="00E56165">
        <w:rPr>
          <w:rFonts w:ascii="Calibri" w:hAnsi="Calibri"/>
          <w:color w:val="1C1C1B" w:themeColor="text1"/>
        </w:rPr>
        <w:t>drug</w:t>
      </w:r>
      <w:r w:rsidR="004710EB" w:rsidRPr="00E56165">
        <w:rPr>
          <w:rFonts w:ascii="Calibri" w:hAnsi="Calibri"/>
          <w:color w:val="1C1C1B" w:themeColor="text1"/>
        </w:rPr>
        <w:t xml:space="preserve"> </w:t>
      </w:r>
      <w:r w:rsidR="0004231F" w:rsidRPr="00E56165">
        <w:rPr>
          <w:rFonts w:ascii="Calibri" w:hAnsi="Calibri"/>
          <w:color w:val="1C1C1B" w:themeColor="text1"/>
        </w:rPr>
        <w:t>s</w:t>
      </w:r>
      <w:r w:rsidR="004710EB" w:rsidRPr="00E56165">
        <w:rPr>
          <w:rFonts w:ascii="Calibri" w:hAnsi="Calibri"/>
          <w:color w:val="1C1C1B" w:themeColor="text1"/>
        </w:rPr>
        <w:t>pending</w:t>
      </w:r>
      <w:r w:rsidRPr="00E56165">
        <w:rPr>
          <w:rFonts w:ascii="Calibri" w:hAnsi="Calibri"/>
          <w:color w:val="1C1C1B" w:themeColor="text1"/>
        </w:rPr>
        <w:t xml:space="preserve">. Promoting </w:t>
      </w:r>
      <w:r w:rsidR="004710EB" w:rsidRPr="00E56165">
        <w:rPr>
          <w:rFonts w:ascii="Calibri" w:hAnsi="Calibri"/>
          <w:color w:val="1C1C1B" w:themeColor="text1"/>
        </w:rPr>
        <w:t xml:space="preserve">the </w:t>
      </w:r>
      <w:r w:rsidR="000E024A" w:rsidRPr="00E56165">
        <w:rPr>
          <w:rFonts w:ascii="Calibri" w:hAnsi="Calibri"/>
          <w:color w:val="1C1C1B" w:themeColor="text1"/>
          <w:u w:val="single"/>
        </w:rPr>
        <w:t>effective</w:t>
      </w:r>
      <w:r w:rsidRPr="00E56165">
        <w:rPr>
          <w:rFonts w:ascii="Calibri" w:hAnsi="Calibri"/>
          <w:color w:val="1C1C1B" w:themeColor="text1"/>
        </w:rPr>
        <w:t xml:space="preserve"> use of prescription drugs can help lower overall health care costs and ensure best patient outcomes. </w:t>
      </w:r>
    </w:p>
    <w:p w:rsidR="004B2724" w:rsidRPr="00E56165" w:rsidRDefault="002E7CEC" w:rsidP="00E01F47">
      <w:pPr>
        <w:pStyle w:val="Default"/>
        <w:numPr>
          <w:ilvl w:val="0"/>
          <w:numId w:val="5"/>
        </w:numPr>
        <w:spacing w:after="27"/>
        <w:rPr>
          <w:rFonts w:ascii="Calibri" w:hAnsi="Calibri"/>
          <w:color w:val="1C1C1B" w:themeColor="text1"/>
        </w:rPr>
      </w:pPr>
      <w:r w:rsidRPr="00E56165">
        <w:rPr>
          <w:rFonts w:ascii="Calibri" w:hAnsi="Calibri"/>
          <w:b/>
          <w:color w:val="1C1C1B" w:themeColor="text1"/>
        </w:rPr>
        <w:t xml:space="preserve">Therapeutic interchangeability. </w:t>
      </w:r>
      <w:r w:rsidR="004B2724" w:rsidRPr="00E56165">
        <w:rPr>
          <w:rFonts w:ascii="Calibri" w:hAnsi="Calibri"/>
          <w:color w:val="1C1C1B" w:themeColor="text1"/>
        </w:rPr>
        <w:t>Establishing therapeutic interchangeability between product</w:t>
      </w:r>
      <w:r w:rsidR="006F6BC9" w:rsidRPr="00E56165">
        <w:rPr>
          <w:rFonts w:ascii="Calibri" w:hAnsi="Calibri"/>
          <w:color w:val="1C1C1B" w:themeColor="text1"/>
        </w:rPr>
        <w:t>s</w:t>
      </w:r>
      <w:r w:rsidR="004B2724" w:rsidRPr="00E56165">
        <w:rPr>
          <w:rFonts w:ascii="Calibri" w:hAnsi="Calibri"/>
          <w:color w:val="1C1C1B" w:themeColor="text1"/>
        </w:rPr>
        <w:t xml:space="preserve"> may pose some challenge</w:t>
      </w:r>
      <w:r w:rsidR="00F32C1E" w:rsidRPr="00E56165">
        <w:rPr>
          <w:rFonts w:ascii="Calibri" w:hAnsi="Calibri"/>
          <w:color w:val="1C1C1B" w:themeColor="text1"/>
        </w:rPr>
        <w:t>s</w:t>
      </w:r>
      <w:r w:rsidR="004B2724" w:rsidRPr="00E56165">
        <w:rPr>
          <w:rFonts w:ascii="Calibri" w:hAnsi="Calibri"/>
          <w:color w:val="1C1C1B" w:themeColor="text1"/>
        </w:rPr>
        <w:t xml:space="preserve"> to the Commission</w:t>
      </w:r>
      <w:r w:rsidR="00F32C1E" w:rsidRPr="00E56165">
        <w:rPr>
          <w:rFonts w:ascii="Calibri" w:hAnsi="Calibri"/>
          <w:color w:val="1C1C1B" w:themeColor="text1"/>
        </w:rPr>
        <w:t>,</w:t>
      </w:r>
      <w:r w:rsidR="004B2724" w:rsidRPr="00E56165">
        <w:rPr>
          <w:rFonts w:ascii="Calibri" w:hAnsi="Calibri"/>
          <w:color w:val="1C1C1B" w:themeColor="text1"/>
        </w:rPr>
        <w:t xml:space="preserve"> as </w:t>
      </w:r>
      <w:r w:rsidR="006F6BC9" w:rsidRPr="00E56165">
        <w:rPr>
          <w:rFonts w:ascii="Calibri" w:hAnsi="Calibri"/>
          <w:color w:val="1C1C1B" w:themeColor="text1"/>
        </w:rPr>
        <w:t xml:space="preserve">these products use </w:t>
      </w:r>
      <w:r w:rsidR="004B2724" w:rsidRPr="00E56165">
        <w:rPr>
          <w:rFonts w:ascii="Calibri" w:hAnsi="Calibri"/>
          <w:color w:val="1C1C1B" w:themeColor="text1"/>
        </w:rPr>
        <w:t>different abuse</w:t>
      </w:r>
      <w:r w:rsidR="006F6BC9" w:rsidRPr="00E56165">
        <w:rPr>
          <w:rFonts w:ascii="Calibri" w:hAnsi="Calibri"/>
          <w:color w:val="1C1C1B" w:themeColor="text1"/>
        </w:rPr>
        <w:t>-</w:t>
      </w:r>
      <w:r w:rsidR="004B2724" w:rsidRPr="00E56165">
        <w:rPr>
          <w:rFonts w:ascii="Calibri" w:hAnsi="Calibri"/>
          <w:color w:val="1C1C1B" w:themeColor="text1"/>
        </w:rPr>
        <w:t>deterrent</w:t>
      </w:r>
      <w:r w:rsidR="006F6BC9" w:rsidRPr="00E56165">
        <w:rPr>
          <w:rFonts w:ascii="Calibri" w:hAnsi="Calibri"/>
          <w:color w:val="1C1C1B" w:themeColor="text1"/>
        </w:rPr>
        <w:t xml:space="preserve"> technologies</w:t>
      </w:r>
      <w:r w:rsidR="003B447D" w:rsidRPr="00E56165">
        <w:rPr>
          <w:rFonts w:ascii="Calibri" w:hAnsi="Calibri"/>
          <w:color w:val="1C1C1B" w:themeColor="text1"/>
        </w:rPr>
        <w:t xml:space="preserve">. Additionally, </w:t>
      </w:r>
      <w:r w:rsidR="004F4DE2" w:rsidRPr="00E56165">
        <w:rPr>
          <w:rFonts w:ascii="Calibri" w:hAnsi="Calibri"/>
          <w:color w:val="1C1C1B" w:themeColor="text1"/>
        </w:rPr>
        <w:t>it may be difficult to establish dosage e</w:t>
      </w:r>
      <w:r w:rsidR="003B447D" w:rsidRPr="00E56165">
        <w:rPr>
          <w:rFonts w:ascii="Calibri" w:hAnsi="Calibri"/>
          <w:color w:val="1C1C1B" w:themeColor="text1"/>
        </w:rPr>
        <w:t>quivalencies</w:t>
      </w:r>
      <w:r w:rsidR="00F32C1E" w:rsidRPr="00E56165">
        <w:rPr>
          <w:rFonts w:ascii="Calibri" w:hAnsi="Calibri"/>
          <w:color w:val="1C1C1B" w:themeColor="text1"/>
        </w:rPr>
        <w:t>,</w:t>
      </w:r>
      <w:r w:rsidR="003B447D" w:rsidRPr="00E56165">
        <w:rPr>
          <w:rFonts w:ascii="Calibri" w:hAnsi="Calibri"/>
          <w:color w:val="1C1C1B" w:themeColor="text1"/>
        </w:rPr>
        <w:t xml:space="preserve"> </w:t>
      </w:r>
      <w:r w:rsidR="00F32C1E" w:rsidRPr="00E56165">
        <w:rPr>
          <w:rFonts w:ascii="Calibri" w:hAnsi="Calibri"/>
          <w:color w:val="1C1C1B" w:themeColor="text1"/>
        </w:rPr>
        <w:t xml:space="preserve">so </w:t>
      </w:r>
      <w:r w:rsidR="003B447D" w:rsidRPr="00E56165">
        <w:rPr>
          <w:rFonts w:ascii="Calibri" w:hAnsi="Calibri"/>
          <w:color w:val="1C1C1B" w:themeColor="text1"/>
        </w:rPr>
        <w:t>physician</w:t>
      </w:r>
      <w:r w:rsidR="00F32C1E" w:rsidRPr="00E56165">
        <w:rPr>
          <w:rFonts w:ascii="Calibri" w:hAnsi="Calibri"/>
          <w:color w:val="1C1C1B" w:themeColor="text1"/>
        </w:rPr>
        <w:t>s may be required to</w:t>
      </w:r>
      <w:r w:rsidR="003B447D" w:rsidRPr="00E56165">
        <w:rPr>
          <w:rFonts w:ascii="Calibri" w:hAnsi="Calibri"/>
          <w:color w:val="1C1C1B" w:themeColor="text1"/>
        </w:rPr>
        <w:t xml:space="preserve"> </w:t>
      </w:r>
      <w:r w:rsidR="00F32C1E" w:rsidRPr="00E56165">
        <w:rPr>
          <w:rFonts w:ascii="Calibri" w:hAnsi="Calibri"/>
          <w:color w:val="1C1C1B" w:themeColor="text1"/>
        </w:rPr>
        <w:t xml:space="preserve">provide </w:t>
      </w:r>
      <w:r w:rsidR="003B447D" w:rsidRPr="00E56165">
        <w:rPr>
          <w:rFonts w:ascii="Calibri" w:hAnsi="Calibri"/>
          <w:color w:val="1C1C1B" w:themeColor="text1"/>
        </w:rPr>
        <w:t>dosing adjustments</w:t>
      </w:r>
      <w:r w:rsidR="00F32C1E" w:rsidRPr="00E56165">
        <w:rPr>
          <w:rFonts w:ascii="Calibri" w:hAnsi="Calibri"/>
          <w:color w:val="1C1C1B" w:themeColor="text1"/>
        </w:rPr>
        <w:t>, which</w:t>
      </w:r>
      <w:r w:rsidR="003B447D" w:rsidRPr="00E56165">
        <w:rPr>
          <w:rFonts w:ascii="Calibri" w:hAnsi="Calibri"/>
          <w:color w:val="1C1C1B" w:themeColor="text1"/>
        </w:rPr>
        <w:t xml:space="preserve"> could delay </w:t>
      </w:r>
      <w:r w:rsidR="00F32C1E" w:rsidRPr="00E56165">
        <w:rPr>
          <w:rFonts w:ascii="Calibri" w:hAnsi="Calibri"/>
          <w:color w:val="1C1C1B" w:themeColor="text1"/>
        </w:rPr>
        <w:t xml:space="preserve">patients’ </w:t>
      </w:r>
      <w:r w:rsidR="003B447D" w:rsidRPr="00E56165">
        <w:rPr>
          <w:rFonts w:ascii="Calibri" w:hAnsi="Calibri"/>
          <w:color w:val="1C1C1B" w:themeColor="text1"/>
        </w:rPr>
        <w:t xml:space="preserve">access </w:t>
      </w:r>
      <w:r w:rsidR="00F32C1E" w:rsidRPr="00E56165">
        <w:rPr>
          <w:rFonts w:ascii="Calibri" w:hAnsi="Calibri"/>
          <w:color w:val="1C1C1B" w:themeColor="text1"/>
        </w:rPr>
        <w:t xml:space="preserve">to </w:t>
      </w:r>
      <w:r w:rsidR="003B447D" w:rsidRPr="00E56165">
        <w:rPr>
          <w:rFonts w:ascii="Calibri" w:hAnsi="Calibri"/>
          <w:color w:val="1C1C1B" w:themeColor="text1"/>
        </w:rPr>
        <w:t xml:space="preserve">their </w:t>
      </w:r>
      <w:r w:rsidR="00F32C1E" w:rsidRPr="00E56165">
        <w:rPr>
          <w:rFonts w:ascii="Calibri" w:hAnsi="Calibri"/>
          <w:color w:val="1C1C1B" w:themeColor="text1"/>
        </w:rPr>
        <w:t>medications</w:t>
      </w:r>
      <w:r w:rsidR="00CC29AF" w:rsidRPr="00E56165">
        <w:rPr>
          <w:rFonts w:ascii="Calibri" w:hAnsi="Calibri"/>
          <w:color w:val="1C1C1B" w:themeColor="text1"/>
        </w:rPr>
        <w:t>.</w:t>
      </w:r>
    </w:p>
    <w:p w:rsidR="00E01F47" w:rsidRPr="00E56165" w:rsidRDefault="002E7CEC" w:rsidP="00E01F47">
      <w:pPr>
        <w:pStyle w:val="Default"/>
        <w:numPr>
          <w:ilvl w:val="0"/>
          <w:numId w:val="5"/>
        </w:numPr>
        <w:spacing w:after="27"/>
        <w:rPr>
          <w:rFonts w:ascii="Calibri" w:hAnsi="Calibri"/>
          <w:color w:val="1C1C1B" w:themeColor="text1"/>
        </w:rPr>
      </w:pPr>
      <w:r w:rsidRPr="00E56165">
        <w:rPr>
          <w:rFonts w:ascii="Calibri" w:hAnsi="Calibri"/>
          <w:b/>
          <w:color w:val="1C1C1B" w:themeColor="text1"/>
        </w:rPr>
        <w:t>New products.</w:t>
      </w:r>
      <w:r w:rsidRPr="00E56165">
        <w:rPr>
          <w:rFonts w:ascii="Calibri" w:hAnsi="Calibri"/>
          <w:color w:val="1C1C1B" w:themeColor="text1"/>
        </w:rPr>
        <w:t xml:space="preserve"> </w:t>
      </w:r>
      <w:r w:rsidR="00711AE7" w:rsidRPr="00E56165">
        <w:rPr>
          <w:rFonts w:ascii="Calibri" w:hAnsi="Calibri"/>
          <w:color w:val="1C1C1B" w:themeColor="text1"/>
        </w:rPr>
        <w:t xml:space="preserve">Due to the influx of new products, the Commission will need </w:t>
      </w:r>
      <w:r w:rsidR="004B2724" w:rsidRPr="00E56165">
        <w:rPr>
          <w:rFonts w:ascii="Calibri" w:hAnsi="Calibri"/>
          <w:color w:val="1C1C1B" w:themeColor="text1"/>
        </w:rPr>
        <w:t>to continuously</w:t>
      </w:r>
      <w:r w:rsidR="00E01F47" w:rsidRPr="00E56165">
        <w:rPr>
          <w:rFonts w:ascii="Calibri" w:hAnsi="Calibri"/>
          <w:color w:val="1C1C1B" w:themeColor="text1"/>
        </w:rPr>
        <w:t xml:space="preserve"> </w:t>
      </w:r>
      <w:r w:rsidR="00F32C1E" w:rsidRPr="00E56165">
        <w:rPr>
          <w:rFonts w:ascii="Calibri" w:hAnsi="Calibri"/>
          <w:color w:val="1C1C1B" w:themeColor="text1"/>
        </w:rPr>
        <w:t xml:space="preserve">assess </w:t>
      </w:r>
      <w:r w:rsidR="00E01F47" w:rsidRPr="00E56165">
        <w:rPr>
          <w:rFonts w:ascii="Calibri" w:hAnsi="Calibri"/>
          <w:color w:val="1C1C1B" w:themeColor="text1"/>
        </w:rPr>
        <w:t xml:space="preserve">the </w:t>
      </w:r>
      <w:r w:rsidR="006F6BC9" w:rsidRPr="00E56165">
        <w:rPr>
          <w:rFonts w:ascii="Calibri" w:hAnsi="Calibri"/>
          <w:color w:val="1C1C1B" w:themeColor="text1"/>
        </w:rPr>
        <w:t xml:space="preserve">availability </w:t>
      </w:r>
      <w:r w:rsidR="00F32C1E" w:rsidRPr="00E56165">
        <w:rPr>
          <w:rFonts w:ascii="Calibri" w:hAnsi="Calibri"/>
          <w:color w:val="1C1C1B" w:themeColor="text1"/>
        </w:rPr>
        <w:t xml:space="preserve">of medications in the market </w:t>
      </w:r>
      <w:r w:rsidR="00E01F47" w:rsidRPr="00E56165">
        <w:rPr>
          <w:rFonts w:ascii="Calibri" w:hAnsi="Calibri"/>
          <w:color w:val="1C1C1B" w:themeColor="text1"/>
        </w:rPr>
        <w:t>and evolve the strategy to help achieve optimal clinical outcomes with cost-effective prescription choices.</w:t>
      </w:r>
      <w:r w:rsidR="00711AE7" w:rsidRPr="00E56165">
        <w:rPr>
          <w:rFonts w:ascii="Calibri" w:hAnsi="Calibri"/>
          <w:color w:val="1C1C1B" w:themeColor="text1"/>
        </w:rPr>
        <w:t xml:space="preserve">  Upon</w:t>
      </w:r>
      <w:r w:rsidR="00F452CA">
        <w:rPr>
          <w:rFonts w:ascii="Calibri" w:hAnsi="Calibri"/>
          <w:color w:val="1C1C1B" w:themeColor="text1"/>
        </w:rPr>
        <w:t xml:space="preserve"> </w:t>
      </w:r>
      <w:r w:rsidR="00711AE7" w:rsidRPr="00E56165">
        <w:rPr>
          <w:rFonts w:ascii="Calibri" w:hAnsi="Calibri"/>
          <w:color w:val="1C1C1B" w:themeColor="text1"/>
        </w:rPr>
        <w:lastRenderedPageBreak/>
        <w:t>launch</w:t>
      </w:r>
      <w:r w:rsidR="004B2724" w:rsidRPr="00E56165">
        <w:rPr>
          <w:rFonts w:ascii="Calibri" w:hAnsi="Calibri"/>
          <w:color w:val="1C1C1B" w:themeColor="text1"/>
        </w:rPr>
        <w:t>, a timely review of a new drug</w:t>
      </w:r>
      <w:r w:rsidR="00711AE7" w:rsidRPr="00E56165">
        <w:rPr>
          <w:rFonts w:ascii="Calibri" w:hAnsi="Calibri"/>
          <w:color w:val="1C1C1B" w:themeColor="text1"/>
        </w:rPr>
        <w:t xml:space="preserve"> and </w:t>
      </w:r>
      <w:r w:rsidR="004B2724" w:rsidRPr="00E56165">
        <w:rPr>
          <w:rFonts w:ascii="Calibri" w:hAnsi="Calibri"/>
          <w:color w:val="1C1C1B" w:themeColor="text1"/>
        </w:rPr>
        <w:t>its</w:t>
      </w:r>
      <w:r w:rsidR="00711AE7" w:rsidRPr="00E56165">
        <w:rPr>
          <w:rFonts w:ascii="Calibri" w:hAnsi="Calibri"/>
          <w:color w:val="1C1C1B" w:themeColor="text1"/>
        </w:rPr>
        <w:t xml:space="preserve"> therapeutically equivalent </w:t>
      </w:r>
      <w:r w:rsidR="004B2724" w:rsidRPr="00E56165">
        <w:rPr>
          <w:rFonts w:ascii="Calibri" w:hAnsi="Calibri"/>
          <w:color w:val="1C1C1B" w:themeColor="text1"/>
        </w:rPr>
        <w:t>substitute</w:t>
      </w:r>
      <w:r w:rsidR="00711AE7" w:rsidRPr="00E56165">
        <w:rPr>
          <w:rFonts w:ascii="Calibri" w:hAnsi="Calibri"/>
          <w:color w:val="1C1C1B" w:themeColor="text1"/>
        </w:rPr>
        <w:t xml:space="preserve"> will be </w:t>
      </w:r>
      <w:r w:rsidR="006F6BC9" w:rsidRPr="00E56165">
        <w:rPr>
          <w:rFonts w:ascii="Calibri" w:hAnsi="Calibri"/>
          <w:color w:val="1C1C1B" w:themeColor="text1"/>
        </w:rPr>
        <w:t>necessary</w:t>
      </w:r>
      <w:r w:rsidR="00711AE7" w:rsidRPr="00E56165">
        <w:rPr>
          <w:rFonts w:ascii="Calibri" w:hAnsi="Calibri"/>
          <w:color w:val="1C1C1B" w:themeColor="text1"/>
        </w:rPr>
        <w:t xml:space="preserve">. </w:t>
      </w:r>
    </w:p>
    <w:p w:rsidR="00E01F47" w:rsidRPr="00E56165" w:rsidRDefault="00E01F47" w:rsidP="00E51580">
      <w:pPr>
        <w:pStyle w:val="Default"/>
        <w:spacing w:after="27"/>
        <w:rPr>
          <w:rFonts w:ascii="Calibri" w:hAnsi="Calibri"/>
          <w:color w:val="1C1C1B" w:themeColor="text1"/>
        </w:rPr>
      </w:pPr>
    </w:p>
    <w:p w:rsidR="00E51580" w:rsidRPr="00E56165" w:rsidRDefault="00E51580" w:rsidP="00E51580">
      <w:pPr>
        <w:pStyle w:val="Default"/>
        <w:spacing w:after="27"/>
        <w:rPr>
          <w:rFonts w:ascii="Calibri" w:hAnsi="Calibri"/>
          <w:color w:val="1C1C1B" w:themeColor="text1"/>
        </w:rPr>
      </w:pPr>
    </w:p>
    <w:p w:rsidR="00E51580" w:rsidRPr="00E56165" w:rsidRDefault="00E51580" w:rsidP="00E51580">
      <w:pPr>
        <w:pStyle w:val="Default"/>
        <w:spacing w:after="27"/>
        <w:rPr>
          <w:rFonts w:ascii="Calibri" w:hAnsi="Calibri"/>
          <w:b/>
          <w:color w:val="1C1C1B" w:themeColor="text1"/>
        </w:rPr>
      </w:pPr>
      <w:r w:rsidRPr="00E56165">
        <w:rPr>
          <w:rFonts w:ascii="Calibri" w:hAnsi="Calibri"/>
          <w:b/>
          <w:color w:val="1C1C1B" w:themeColor="text1"/>
        </w:rPr>
        <w:t xml:space="preserve">3) What pertinent data / data sources should the Commission review as part of its deliberations? </w:t>
      </w:r>
    </w:p>
    <w:p w:rsidR="00E51580" w:rsidRPr="00E56165" w:rsidRDefault="00E51580" w:rsidP="00E51580">
      <w:pPr>
        <w:pStyle w:val="Default"/>
        <w:spacing w:after="27"/>
        <w:rPr>
          <w:rFonts w:ascii="Calibri" w:hAnsi="Calibri"/>
          <w:b/>
          <w:color w:val="1C1C1B" w:themeColor="text1"/>
        </w:rPr>
      </w:pPr>
    </w:p>
    <w:p w:rsidR="00E51580" w:rsidRPr="00E56165" w:rsidRDefault="00F32C1E" w:rsidP="00E51580">
      <w:pPr>
        <w:autoSpaceDE w:val="0"/>
        <w:autoSpaceDN w:val="0"/>
        <w:adjustRightInd w:val="0"/>
        <w:spacing w:line="240" w:lineRule="auto"/>
        <w:rPr>
          <w:rFonts w:ascii="Calibri" w:hAnsi="Calibri"/>
          <w:color w:val="1C1C1B" w:themeColor="text1"/>
          <w:sz w:val="24"/>
        </w:rPr>
      </w:pPr>
      <w:r w:rsidRPr="00E56165">
        <w:rPr>
          <w:rFonts w:ascii="Calibri" w:hAnsi="Calibri"/>
          <w:color w:val="1C1C1B" w:themeColor="text1"/>
          <w:sz w:val="24"/>
        </w:rPr>
        <w:t>T</w:t>
      </w:r>
      <w:r w:rsidR="00E51580" w:rsidRPr="00E56165">
        <w:rPr>
          <w:rFonts w:ascii="Calibri" w:hAnsi="Calibri"/>
          <w:color w:val="1C1C1B" w:themeColor="text1"/>
          <w:sz w:val="24"/>
        </w:rPr>
        <w:t>he committee may</w:t>
      </w:r>
      <w:r w:rsidR="00635084" w:rsidRPr="00E56165">
        <w:rPr>
          <w:rFonts w:ascii="Calibri" w:hAnsi="Calibri"/>
          <w:color w:val="1C1C1B" w:themeColor="text1"/>
          <w:sz w:val="24"/>
        </w:rPr>
        <w:t xml:space="preserve"> want to consider</w:t>
      </w:r>
      <w:r w:rsidR="00E51580" w:rsidRPr="00E56165">
        <w:rPr>
          <w:rFonts w:ascii="Calibri" w:hAnsi="Calibri"/>
          <w:color w:val="1C1C1B" w:themeColor="text1"/>
          <w:sz w:val="24"/>
        </w:rPr>
        <w:t xml:space="preserve"> some or all of the following</w:t>
      </w:r>
      <w:r w:rsidRPr="00E56165">
        <w:rPr>
          <w:rFonts w:ascii="Calibri" w:hAnsi="Calibri"/>
          <w:color w:val="1C1C1B" w:themeColor="text1"/>
          <w:sz w:val="24"/>
        </w:rPr>
        <w:t xml:space="preserve"> information</w:t>
      </w:r>
      <w:r w:rsidR="00E51580" w:rsidRPr="00E56165">
        <w:rPr>
          <w:rFonts w:ascii="Calibri" w:hAnsi="Calibri"/>
          <w:color w:val="1C1C1B" w:themeColor="text1"/>
          <w:sz w:val="24"/>
        </w:rPr>
        <w:t>:</w:t>
      </w:r>
    </w:p>
    <w:p w:rsidR="00E51580" w:rsidRPr="00E56165" w:rsidRDefault="00E51580" w:rsidP="00E51580">
      <w:pPr>
        <w:autoSpaceDE w:val="0"/>
        <w:autoSpaceDN w:val="0"/>
        <w:adjustRightInd w:val="0"/>
        <w:spacing w:line="240" w:lineRule="auto"/>
        <w:rPr>
          <w:rFonts w:ascii="Calibri" w:hAnsi="Calibri"/>
          <w:color w:val="1C1C1B" w:themeColor="text1"/>
          <w:sz w:val="24"/>
        </w:rPr>
      </w:pPr>
    </w:p>
    <w:p w:rsidR="00E51580" w:rsidRPr="00E56165" w:rsidRDefault="00E51580" w:rsidP="00E51580">
      <w:pPr>
        <w:numPr>
          <w:ilvl w:val="0"/>
          <w:numId w:val="3"/>
        </w:numPr>
        <w:autoSpaceDE w:val="0"/>
        <w:autoSpaceDN w:val="0"/>
        <w:adjustRightInd w:val="0"/>
        <w:spacing w:before="0" w:line="240" w:lineRule="auto"/>
        <w:rPr>
          <w:rFonts w:ascii="Calibri" w:hAnsi="Calibri"/>
          <w:color w:val="1C1C1B" w:themeColor="text1"/>
          <w:sz w:val="24"/>
        </w:rPr>
      </w:pPr>
      <w:r w:rsidRPr="00E56165">
        <w:rPr>
          <w:rFonts w:ascii="Calibri" w:hAnsi="Calibri"/>
          <w:color w:val="1C1C1B" w:themeColor="text1"/>
          <w:sz w:val="24"/>
        </w:rPr>
        <w:t>Medical and clinical literature</w:t>
      </w:r>
      <w:r w:rsidR="00F32C1E" w:rsidRPr="00E56165">
        <w:rPr>
          <w:rFonts w:ascii="Calibri" w:hAnsi="Calibri"/>
          <w:color w:val="1C1C1B" w:themeColor="text1"/>
          <w:sz w:val="24"/>
        </w:rPr>
        <w:t>,</w:t>
      </w:r>
      <w:r w:rsidRPr="00E56165">
        <w:rPr>
          <w:rFonts w:ascii="Calibri" w:hAnsi="Calibri"/>
          <w:color w:val="1C1C1B" w:themeColor="text1"/>
          <w:sz w:val="24"/>
        </w:rPr>
        <w:t xml:space="preserve"> including clinical trials and treatment guidelines, comparative effectiveness reports, pharmacoeconomic studies and outcomes data;</w:t>
      </w:r>
    </w:p>
    <w:p w:rsidR="00E51580" w:rsidRPr="00E56165" w:rsidRDefault="00E51580" w:rsidP="00E51580">
      <w:pPr>
        <w:numPr>
          <w:ilvl w:val="0"/>
          <w:numId w:val="3"/>
        </w:numPr>
        <w:autoSpaceDE w:val="0"/>
        <w:autoSpaceDN w:val="0"/>
        <w:adjustRightInd w:val="0"/>
        <w:spacing w:before="0" w:line="240" w:lineRule="auto"/>
        <w:rPr>
          <w:rFonts w:ascii="Calibri" w:hAnsi="Calibri"/>
          <w:color w:val="1C1C1B" w:themeColor="text1"/>
          <w:sz w:val="24"/>
        </w:rPr>
      </w:pPr>
      <w:r w:rsidRPr="00E56165">
        <w:rPr>
          <w:rFonts w:ascii="Calibri" w:hAnsi="Calibri"/>
          <w:color w:val="1C1C1B" w:themeColor="text1"/>
          <w:sz w:val="24"/>
        </w:rPr>
        <w:t>FDA-approved prescribing information and related FDA information</w:t>
      </w:r>
      <w:r w:rsidR="00F32C1E" w:rsidRPr="00E56165">
        <w:rPr>
          <w:rFonts w:ascii="Calibri" w:hAnsi="Calibri"/>
          <w:color w:val="1C1C1B" w:themeColor="text1"/>
          <w:sz w:val="24"/>
        </w:rPr>
        <w:t>,</w:t>
      </w:r>
      <w:r w:rsidRPr="00E56165">
        <w:rPr>
          <w:rFonts w:ascii="Calibri" w:hAnsi="Calibri"/>
          <w:color w:val="1C1C1B" w:themeColor="text1"/>
          <w:sz w:val="24"/>
        </w:rPr>
        <w:t xml:space="preserve"> including safety data;</w:t>
      </w:r>
    </w:p>
    <w:p w:rsidR="00E51580" w:rsidRPr="00E56165" w:rsidRDefault="00E51580" w:rsidP="00E51580">
      <w:pPr>
        <w:numPr>
          <w:ilvl w:val="0"/>
          <w:numId w:val="3"/>
        </w:numPr>
        <w:autoSpaceDE w:val="0"/>
        <w:autoSpaceDN w:val="0"/>
        <w:adjustRightInd w:val="0"/>
        <w:spacing w:before="0" w:line="240" w:lineRule="auto"/>
        <w:rPr>
          <w:rFonts w:ascii="Calibri" w:hAnsi="Calibri"/>
          <w:color w:val="1C1C1B" w:themeColor="text1"/>
          <w:sz w:val="24"/>
        </w:rPr>
      </w:pPr>
      <w:r w:rsidRPr="00E56165">
        <w:rPr>
          <w:rFonts w:ascii="Calibri" w:hAnsi="Calibri"/>
          <w:color w:val="1C1C1B" w:themeColor="text1"/>
          <w:sz w:val="24"/>
        </w:rPr>
        <w:t xml:space="preserve">Relevant information on use of medications by patients and </w:t>
      </w:r>
      <w:r w:rsidR="00F32C1E" w:rsidRPr="00E56165">
        <w:rPr>
          <w:rFonts w:ascii="Calibri" w:hAnsi="Calibri"/>
          <w:color w:val="1C1C1B" w:themeColor="text1"/>
          <w:sz w:val="24"/>
        </w:rPr>
        <w:t xml:space="preserve">their </w:t>
      </w:r>
      <w:r w:rsidRPr="00E56165">
        <w:rPr>
          <w:rFonts w:ascii="Calibri" w:hAnsi="Calibri"/>
          <w:color w:val="1C1C1B" w:themeColor="text1"/>
          <w:sz w:val="24"/>
        </w:rPr>
        <w:t>experience with specific medications;</w:t>
      </w:r>
    </w:p>
    <w:p w:rsidR="00E51580" w:rsidRPr="00E56165" w:rsidRDefault="00E51580" w:rsidP="00E51580">
      <w:pPr>
        <w:numPr>
          <w:ilvl w:val="0"/>
          <w:numId w:val="3"/>
        </w:numPr>
        <w:autoSpaceDE w:val="0"/>
        <w:autoSpaceDN w:val="0"/>
        <w:adjustRightInd w:val="0"/>
        <w:spacing w:before="0" w:line="240" w:lineRule="auto"/>
        <w:rPr>
          <w:rFonts w:ascii="Calibri" w:hAnsi="Calibri"/>
          <w:color w:val="1C1C1B" w:themeColor="text1"/>
          <w:sz w:val="24"/>
        </w:rPr>
      </w:pPr>
      <w:r w:rsidRPr="00E56165">
        <w:rPr>
          <w:rFonts w:ascii="Calibri" w:hAnsi="Calibri"/>
          <w:color w:val="1C1C1B" w:themeColor="text1"/>
          <w:sz w:val="24"/>
        </w:rPr>
        <w:t>Current therapeutic use and access guidelines and the need for revised or new guidelines;</w:t>
      </w:r>
    </w:p>
    <w:p w:rsidR="00E51580" w:rsidRPr="00E56165" w:rsidRDefault="00E51580" w:rsidP="00E51580">
      <w:pPr>
        <w:numPr>
          <w:ilvl w:val="0"/>
          <w:numId w:val="3"/>
        </w:numPr>
        <w:autoSpaceDE w:val="0"/>
        <w:autoSpaceDN w:val="0"/>
        <w:adjustRightInd w:val="0"/>
        <w:spacing w:before="0" w:line="240" w:lineRule="auto"/>
        <w:rPr>
          <w:rFonts w:ascii="Calibri" w:hAnsi="Calibri"/>
          <w:color w:val="1C1C1B" w:themeColor="text1"/>
          <w:sz w:val="24"/>
        </w:rPr>
      </w:pPr>
      <w:r w:rsidRPr="00E56165">
        <w:rPr>
          <w:rFonts w:ascii="Calibri" w:hAnsi="Calibri"/>
          <w:color w:val="1C1C1B" w:themeColor="text1"/>
          <w:sz w:val="24"/>
        </w:rPr>
        <w:t>Economic data, such as total health care costs, including drug costs;</w:t>
      </w:r>
    </w:p>
    <w:p w:rsidR="00E51580" w:rsidRPr="00E56165" w:rsidRDefault="00E51580" w:rsidP="00E51580">
      <w:pPr>
        <w:numPr>
          <w:ilvl w:val="0"/>
          <w:numId w:val="3"/>
        </w:numPr>
        <w:autoSpaceDE w:val="0"/>
        <w:autoSpaceDN w:val="0"/>
        <w:adjustRightInd w:val="0"/>
        <w:spacing w:before="0" w:line="240" w:lineRule="auto"/>
        <w:rPr>
          <w:rFonts w:ascii="Calibri" w:hAnsi="Calibri"/>
          <w:color w:val="1C1C1B" w:themeColor="text1"/>
          <w:sz w:val="24"/>
        </w:rPr>
      </w:pPr>
      <w:r w:rsidRPr="00E56165">
        <w:rPr>
          <w:rFonts w:ascii="Calibri" w:hAnsi="Calibri"/>
          <w:color w:val="1C1C1B" w:themeColor="text1"/>
          <w:sz w:val="24"/>
        </w:rPr>
        <w:t>Drug and other health care cost data; and</w:t>
      </w:r>
    </w:p>
    <w:p w:rsidR="00D2660C" w:rsidRPr="00E56165" w:rsidRDefault="00E51580" w:rsidP="00E51580">
      <w:pPr>
        <w:pStyle w:val="Default"/>
        <w:numPr>
          <w:ilvl w:val="0"/>
          <w:numId w:val="3"/>
        </w:numPr>
        <w:rPr>
          <w:rFonts w:ascii="Calibri" w:hAnsi="Calibri"/>
          <w:color w:val="1C1C1B" w:themeColor="text1"/>
        </w:rPr>
      </w:pPr>
      <w:r w:rsidRPr="00E56165">
        <w:rPr>
          <w:rFonts w:ascii="Calibri" w:hAnsi="Calibri"/>
          <w:color w:val="1C1C1B" w:themeColor="text1"/>
        </w:rPr>
        <w:t>Health care provider recommendations</w:t>
      </w:r>
    </w:p>
    <w:p w:rsidR="00E51580" w:rsidRPr="00E56165" w:rsidRDefault="00D2660C" w:rsidP="00E51580">
      <w:pPr>
        <w:pStyle w:val="Default"/>
        <w:numPr>
          <w:ilvl w:val="0"/>
          <w:numId w:val="3"/>
        </w:numPr>
        <w:rPr>
          <w:rFonts w:ascii="Calibri" w:hAnsi="Calibri"/>
          <w:color w:val="1C1C1B" w:themeColor="text1"/>
        </w:rPr>
      </w:pPr>
      <w:r w:rsidRPr="00E56165">
        <w:rPr>
          <w:rFonts w:ascii="Calibri" w:hAnsi="Calibri"/>
          <w:color w:val="1C1C1B" w:themeColor="text1"/>
        </w:rPr>
        <w:t xml:space="preserve">Instances when multiple therapeutically equivalent substitutable drugs are available, allowing plans to select a preferred formulary product and </w:t>
      </w:r>
      <w:r w:rsidR="00042834" w:rsidRPr="00E56165">
        <w:rPr>
          <w:rFonts w:ascii="Calibri" w:hAnsi="Calibri"/>
          <w:color w:val="1C1C1B" w:themeColor="text1"/>
        </w:rPr>
        <w:t xml:space="preserve">reduce overall costs </w:t>
      </w:r>
      <w:r w:rsidRPr="00E56165">
        <w:rPr>
          <w:rFonts w:ascii="Calibri" w:hAnsi="Calibri"/>
          <w:color w:val="1C1C1B" w:themeColor="text1"/>
        </w:rPr>
        <w:t xml:space="preserve">through </w:t>
      </w:r>
      <w:r w:rsidR="00042834" w:rsidRPr="00E56165">
        <w:rPr>
          <w:rFonts w:ascii="Calibri" w:hAnsi="Calibri"/>
          <w:color w:val="1C1C1B" w:themeColor="text1"/>
        </w:rPr>
        <w:t xml:space="preserve">utilization management </w:t>
      </w:r>
      <w:r w:rsidRPr="00E56165">
        <w:rPr>
          <w:rFonts w:ascii="Calibri" w:hAnsi="Calibri"/>
          <w:color w:val="1C1C1B" w:themeColor="text1"/>
        </w:rPr>
        <w:t>tools.</w:t>
      </w:r>
    </w:p>
    <w:p w:rsidR="00E51580" w:rsidRPr="00E56165" w:rsidRDefault="00E51580" w:rsidP="00E51580">
      <w:pPr>
        <w:pStyle w:val="Default"/>
        <w:rPr>
          <w:rFonts w:ascii="Calibri" w:hAnsi="Calibri"/>
          <w:color w:val="1C1C1B" w:themeColor="text1"/>
        </w:rPr>
      </w:pPr>
    </w:p>
    <w:p w:rsidR="00E51580" w:rsidRPr="00E56165" w:rsidRDefault="00E51580" w:rsidP="00E51580">
      <w:pPr>
        <w:pStyle w:val="Default"/>
        <w:spacing w:after="27"/>
        <w:rPr>
          <w:rFonts w:ascii="Calibri" w:hAnsi="Calibri"/>
          <w:color w:val="1C1C1B" w:themeColor="text1"/>
        </w:rPr>
      </w:pPr>
    </w:p>
    <w:p w:rsidR="00E51580" w:rsidRPr="00E56165" w:rsidRDefault="00E51580" w:rsidP="00E51580">
      <w:pPr>
        <w:pStyle w:val="Default"/>
        <w:rPr>
          <w:rFonts w:ascii="Calibri" w:hAnsi="Calibri"/>
          <w:b/>
          <w:color w:val="1C1C1B" w:themeColor="text1"/>
        </w:rPr>
      </w:pPr>
      <w:r w:rsidRPr="00E56165">
        <w:rPr>
          <w:rFonts w:ascii="Calibri" w:hAnsi="Calibri"/>
          <w:b/>
          <w:color w:val="1C1C1B" w:themeColor="text1"/>
        </w:rPr>
        <w:t xml:space="preserve">4) How will the placement of a drug as a substitute impact the patient and/or pharmacy in terms of access and pain management? </w:t>
      </w:r>
    </w:p>
    <w:p w:rsidR="00E51580" w:rsidRPr="00E56165" w:rsidRDefault="00E51580" w:rsidP="00E51580">
      <w:pPr>
        <w:pStyle w:val="Default"/>
        <w:rPr>
          <w:rFonts w:ascii="Calibri" w:hAnsi="Calibri"/>
          <w:b/>
          <w:color w:val="1C1C1B" w:themeColor="text1"/>
        </w:rPr>
      </w:pPr>
    </w:p>
    <w:p w:rsidR="006F6BC9" w:rsidRPr="00E56165" w:rsidRDefault="00727AE6" w:rsidP="00E51580">
      <w:pPr>
        <w:pStyle w:val="Default"/>
        <w:rPr>
          <w:rFonts w:ascii="Calibri" w:hAnsi="Calibri"/>
          <w:color w:val="1C1C1B" w:themeColor="text1"/>
        </w:rPr>
      </w:pPr>
      <w:r w:rsidRPr="00E56165">
        <w:rPr>
          <w:rFonts w:ascii="Calibri" w:hAnsi="Calibri"/>
          <w:color w:val="1C1C1B" w:themeColor="text1"/>
        </w:rPr>
        <w:t xml:space="preserve">Depending on how this program is </w:t>
      </w:r>
      <w:r w:rsidR="00042834" w:rsidRPr="00E56165">
        <w:rPr>
          <w:rFonts w:ascii="Calibri" w:hAnsi="Calibri"/>
          <w:color w:val="1C1C1B" w:themeColor="text1"/>
        </w:rPr>
        <w:t>implemented</w:t>
      </w:r>
      <w:r w:rsidR="00FC45B3" w:rsidRPr="00E56165">
        <w:rPr>
          <w:rFonts w:ascii="Calibri" w:hAnsi="Calibri"/>
          <w:color w:val="1C1C1B" w:themeColor="text1"/>
        </w:rPr>
        <w:t xml:space="preserve">, there </w:t>
      </w:r>
      <w:r w:rsidRPr="00E56165">
        <w:rPr>
          <w:rFonts w:ascii="Calibri" w:hAnsi="Calibri"/>
          <w:color w:val="1C1C1B" w:themeColor="text1"/>
        </w:rPr>
        <w:t xml:space="preserve">may </w:t>
      </w:r>
      <w:r w:rsidR="00FC45B3" w:rsidRPr="00E56165">
        <w:rPr>
          <w:rFonts w:ascii="Calibri" w:hAnsi="Calibri"/>
          <w:color w:val="1C1C1B" w:themeColor="text1"/>
        </w:rPr>
        <w:t xml:space="preserve">be some </w:t>
      </w:r>
      <w:r w:rsidRPr="00E56165">
        <w:rPr>
          <w:rFonts w:ascii="Calibri" w:hAnsi="Calibri"/>
          <w:color w:val="1C1C1B" w:themeColor="text1"/>
        </w:rPr>
        <w:t>impact</w:t>
      </w:r>
      <w:r w:rsidR="00FC45B3" w:rsidRPr="00E56165">
        <w:rPr>
          <w:rFonts w:ascii="Calibri" w:hAnsi="Calibri"/>
          <w:color w:val="1C1C1B" w:themeColor="text1"/>
        </w:rPr>
        <w:t xml:space="preserve"> to</w:t>
      </w:r>
      <w:r w:rsidRPr="00E56165">
        <w:rPr>
          <w:rFonts w:ascii="Calibri" w:hAnsi="Calibri"/>
          <w:color w:val="1C1C1B" w:themeColor="text1"/>
        </w:rPr>
        <w:t xml:space="preserve"> the patient and/or pharmacy in terms of access and pain management.  </w:t>
      </w:r>
      <w:r w:rsidR="006F6BC9" w:rsidRPr="00E56165">
        <w:rPr>
          <w:rFonts w:ascii="Calibri" w:hAnsi="Calibri"/>
          <w:color w:val="1C1C1B" w:themeColor="text1"/>
        </w:rPr>
        <w:t xml:space="preserve">Due to the </w:t>
      </w:r>
      <w:r w:rsidRPr="00E56165">
        <w:rPr>
          <w:rFonts w:ascii="Calibri" w:hAnsi="Calibri"/>
          <w:color w:val="1C1C1B" w:themeColor="text1"/>
        </w:rPr>
        <w:t>pharmacy laws for dispensing of opiates, the pharmacist may need to contact the physician for new prescription for the therapeutically equivalent substitutable drug</w:t>
      </w:r>
      <w:r w:rsidR="00FC45B3" w:rsidRPr="00E56165">
        <w:rPr>
          <w:rFonts w:ascii="Calibri" w:hAnsi="Calibri"/>
          <w:color w:val="1C1C1B" w:themeColor="text1"/>
        </w:rPr>
        <w:t xml:space="preserve"> which could result in delayed pain management for the patient.</w:t>
      </w:r>
    </w:p>
    <w:p w:rsidR="00E51580" w:rsidRPr="00E56165" w:rsidRDefault="00E51580" w:rsidP="00E51580">
      <w:pPr>
        <w:pStyle w:val="Default"/>
        <w:rPr>
          <w:rFonts w:ascii="Calibri" w:hAnsi="Calibri"/>
          <w:b/>
          <w:color w:val="1C1C1B" w:themeColor="text1"/>
        </w:rPr>
      </w:pPr>
    </w:p>
    <w:p w:rsidR="0065103C" w:rsidRPr="00E56165" w:rsidRDefault="0065103C">
      <w:pPr>
        <w:spacing w:before="0" w:line="240" w:lineRule="auto"/>
        <w:rPr>
          <w:rFonts w:ascii="Calibri" w:eastAsia="Calibri" w:hAnsi="Calibri" w:cs="Times New Roman"/>
          <w:b/>
          <w:color w:val="1C1C1B" w:themeColor="text1"/>
          <w:sz w:val="24"/>
        </w:rPr>
      </w:pPr>
      <w:r w:rsidRPr="00E56165">
        <w:rPr>
          <w:rFonts w:ascii="Calibri" w:hAnsi="Calibri"/>
          <w:b/>
          <w:color w:val="1C1C1B" w:themeColor="text1"/>
          <w:sz w:val="24"/>
        </w:rPr>
        <w:br w:type="page"/>
      </w:r>
    </w:p>
    <w:p w:rsidR="00E51580" w:rsidRPr="00E56165" w:rsidRDefault="00E51580" w:rsidP="00E51580">
      <w:pPr>
        <w:pStyle w:val="Default"/>
        <w:rPr>
          <w:rFonts w:ascii="Calibri" w:hAnsi="Calibri"/>
          <w:b/>
          <w:color w:val="1C1C1B" w:themeColor="text1"/>
        </w:rPr>
      </w:pPr>
      <w:r w:rsidRPr="00E56165">
        <w:rPr>
          <w:rFonts w:ascii="Calibri" w:hAnsi="Calibri"/>
          <w:b/>
          <w:color w:val="1C1C1B" w:themeColor="text1"/>
        </w:rPr>
        <w:lastRenderedPageBreak/>
        <w:t xml:space="preserve">a. How do you / your organization monitor success of the drug formulary / patient outcomes? </w:t>
      </w:r>
    </w:p>
    <w:p w:rsidR="00B31BA1" w:rsidRPr="00E56165" w:rsidRDefault="00B31BA1" w:rsidP="00E51580">
      <w:pPr>
        <w:rPr>
          <w:rFonts w:ascii="Calibri" w:hAnsi="Calibri"/>
          <w:color w:val="1C1C1B" w:themeColor="text1"/>
          <w:sz w:val="24"/>
        </w:rPr>
      </w:pPr>
    </w:p>
    <w:p w:rsidR="00E01F47" w:rsidRPr="00E56165" w:rsidRDefault="00E01F47" w:rsidP="00E01F47">
      <w:pPr>
        <w:spacing w:before="0" w:after="200" w:line="276" w:lineRule="auto"/>
        <w:rPr>
          <w:rFonts w:ascii="Calibri" w:hAnsi="Calibri"/>
          <w:color w:val="1C1C1B" w:themeColor="text1"/>
          <w:sz w:val="24"/>
        </w:rPr>
      </w:pPr>
      <w:r w:rsidRPr="00E56165">
        <w:rPr>
          <w:rFonts w:ascii="Calibri" w:hAnsi="Calibri"/>
          <w:color w:val="1C1C1B" w:themeColor="text1"/>
          <w:sz w:val="24"/>
        </w:rPr>
        <w:t>A formulary is one component of health care management. It enhances other existing medication management practices designed to optimize patient care, including step therapy, quantity limits, and utilization management techniques.</w:t>
      </w:r>
      <w:r w:rsidR="00B65CFA" w:rsidRPr="00E56165">
        <w:rPr>
          <w:rFonts w:ascii="Calibri" w:hAnsi="Calibri"/>
          <w:color w:val="1C1C1B" w:themeColor="text1"/>
          <w:sz w:val="24"/>
        </w:rPr>
        <w:t xml:space="preserve"> </w:t>
      </w:r>
    </w:p>
    <w:p w:rsidR="00B65CFA" w:rsidRPr="00E56165" w:rsidRDefault="00B65CFA" w:rsidP="00B65CFA">
      <w:pPr>
        <w:autoSpaceDE w:val="0"/>
        <w:autoSpaceDN w:val="0"/>
        <w:adjustRightInd w:val="0"/>
        <w:spacing w:before="0" w:line="240" w:lineRule="auto"/>
        <w:rPr>
          <w:rFonts w:ascii="Calibri" w:hAnsi="Calibri" w:cs="Arial"/>
          <w:color w:val="auto"/>
          <w:sz w:val="24"/>
        </w:rPr>
      </w:pPr>
      <w:r w:rsidRPr="00E56165">
        <w:rPr>
          <w:rFonts w:ascii="Calibri" w:hAnsi="Calibri" w:cs="Arial"/>
          <w:color w:val="auto"/>
          <w:sz w:val="24"/>
        </w:rPr>
        <w:t>We use a variety of tools, such as drug utilization</w:t>
      </w:r>
      <w:r w:rsidR="002E7CEC" w:rsidRPr="00E56165">
        <w:rPr>
          <w:rFonts w:ascii="Calibri" w:hAnsi="Calibri" w:cs="Arial"/>
          <w:color w:val="auto"/>
          <w:sz w:val="24"/>
        </w:rPr>
        <w:t xml:space="preserve"> review and disease management </w:t>
      </w:r>
      <w:r w:rsidRPr="00E56165">
        <w:rPr>
          <w:rFonts w:ascii="Calibri" w:hAnsi="Calibri" w:cs="Arial"/>
          <w:color w:val="auto"/>
          <w:sz w:val="24"/>
        </w:rPr>
        <w:t xml:space="preserve">to encourage the best clinical outcomes for patients. </w:t>
      </w:r>
    </w:p>
    <w:p w:rsidR="00904D4A" w:rsidRPr="00E56165" w:rsidRDefault="00904D4A" w:rsidP="00B65CFA">
      <w:pPr>
        <w:autoSpaceDE w:val="0"/>
        <w:autoSpaceDN w:val="0"/>
        <w:adjustRightInd w:val="0"/>
        <w:spacing w:before="0" w:line="240" w:lineRule="auto"/>
        <w:rPr>
          <w:rFonts w:ascii="Calibri" w:hAnsi="Calibri" w:cs="Arial"/>
          <w:color w:val="auto"/>
          <w:sz w:val="24"/>
        </w:rPr>
      </w:pPr>
    </w:p>
    <w:p w:rsidR="00904D4A" w:rsidRPr="00E56165" w:rsidRDefault="00EC3C26" w:rsidP="00B65CFA">
      <w:pPr>
        <w:autoSpaceDE w:val="0"/>
        <w:autoSpaceDN w:val="0"/>
        <w:adjustRightInd w:val="0"/>
        <w:spacing w:before="0" w:line="240" w:lineRule="auto"/>
        <w:rPr>
          <w:rFonts w:ascii="Calibri" w:hAnsi="Calibri" w:cs="Arial"/>
          <w:color w:val="auto"/>
          <w:sz w:val="24"/>
        </w:rPr>
      </w:pPr>
      <w:r w:rsidRPr="00E56165">
        <w:rPr>
          <w:rFonts w:ascii="Calibri" w:hAnsi="Calibri" w:cs="Arial"/>
          <w:color w:val="auto"/>
          <w:sz w:val="24"/>
        </w:rPr>
        <w:t>Ongoing monitoring, reporting and a</w:t>
      </w:r>
      <w:r w:rsidR="00904D4A" w:rsidRPr="00E56165">
        <w:rPr>
          <w:rFonts w:ascii="Calibri" w:hAnsi="Calibri" w:cs="Arial"/>
          <w:color w:val="auto"/>
          <w:sz w:val="24"/>
        </w:rPr>
        <w:t>nalysis of utilization trends and compliance with the preferred formulary products</w:t>
      </w:r>
      <w:r w:rsidRPr="00E56165">
        <w:rPr>
          <w:rFonts w:ascii="Calibri" w:hAnsi="Calibri" w:cs="Arial"/>
          <w:color w:val="auto"/>
          <w:sz w:val="24"/>
        </w:rPr>
        <w:t xml:space="preserve"> is conducted to ensure drug selection is consistent with optimum therapeutic protocols that align with current guidelines and recognized best practices.</w:t>
      </w:r>
    </w:p>
    <w:p w:rsidR="00B65CFA" w:rsidRPr="00E56165" w:rsidRDefault="00B65CFA" w:rsidP="00E01F47">
      <w:pPr>
        <w:spacing w:before="0" w:after="200" w:line="276" w:lineRule="auto"/>
        <w:rPr>
          <w:rFonts w:ascii="Calibri" w:hAnsi="Calibri"/>
          <w:color w:val="1C1C1B" w:themeColor="text1"/>
          <w:sz w:val="24"/>
        </w:rPr>
      </w:pPr>
    </w:p>
    <w:p w:rsidR="0048789E" w:rsidRPr="00E56165" w:rsidRDefault="0048789E" w:rsidP="00E51580">
      <w:pPr>
        <w:rPr>
          <w:rFonts w:ascii="Calibri" w:hAnsi="Calibri"/>
          <w:color w:val="1C1C1B" w:themeColor="text1"/>
          <w:sz w:val="24"/>
        </w:rPr>
      </w:pPr>
    </w:p>
    <w:p w:rsidR="00E01F47" w:rsidRPr="00E56165" w:rsidRDefault="00575DE6" w:rsidP="00E51580">
      <w:pPr>
        <w:rPr>
          <w:rFonts w:ascii="Calibri" w:hAnsi="Calibri"/>
          <w:b/>
          <w:color w:val="1C1C1B" w:themeColor="text1"/>
          <w:sz w:val="24"/>
        </w:rPr>
      </w:pPr>
      <w:r w:rsidRPr="00E56165">
        <w:rPr>
          <w:rFonts w:ascii="Calibri" w:hAnsi="Calibri"/>
          <w:b/>
          <w:color w:val="1C1C1B" w:themeColor="text1"/>
          <w:sz w:val="24"/>
        </w:rPr>
        <w:t>CONCLUSION</w:t>
      </w:r>
    </w:p>
    <w:p w:rsidR="00FD560C" w:rsidRPr="00E56165" w:rsidRDefault="00FD560C" w:rsidP="00E51580">
      <w:pPr>
        <w:rPr>
          <w:rFonts w:ascii="Calibri" w:hAnsi="Calibri"/>
          <w:b/>
          <w:color w:val="1C1C1B" w:themeColor="text1"/>
          <w:sz w:val="24"/>
        </w:rPr>
      </w:pPr>
    </w:p>
    <w:p w:rsidR="00FD560C" w:rsidRPr="00E56165" w:rsidRDefault="00FD560C" w:rsidP="00FD560C">
      <w:pPr>
        <w:pStyle w:val="Default"/>
        <w:rPr>
          <w:rFonts w:ascii="Calibri" w:eastAsiaTheme="minorEastAsia" w:hAnsi="Calibri" w:cs="Calibri"/>
          <w:bCs/>
        </w:rPr>
      </w:pPr>
      <w:r w:rsidRPr="00E56165">
        <w:rPr>
          <w:rFonts w:ascii="Calibri" w:hAnsi="Calibri"/>
          <w:color w:val="auto"/>
        </w:rPr>
        <w:t xml:space="preserve">CVS Health appreciates the opportunity to </w:t>
      </w:r>
      <w:r w:rsidRPr="00E56165">
        <w:rPr>
          <w:rFonts w:ascii="Calibri" w:hAnsi="Calibri"/>
          <w:color w:val="1C1C1B" w:themeColor="text1"/>
        </w:rPr>
        <w:t>provide testimony today</w:t>
      </w:r>
      <w:r w:rsidR="009236DD" w:rsidRPr="00E56165">
        <w:rPr>
          <w:rFonts w:ascii="Calibri" w:hAnsi="Calibri"/>
          <w:color w:val="1C1C1B" w:themeColor="text1"/>
        </w:rPr>
        <w:t xml:space="preserve">. </w:t>
      </w:r>
      <w:r w:rsidRPr="00E56165">
        <w:rPr>
          <w:rFonts w:ascii="Calibri" w:hAnsi="Calibri"/>
          <w:color w:val="1C1C1B" w:themeColor="text1"/>
        </w:rPr>
        <w:t xml:space="preserve"> </w:t>
      </w:r>
      <w:r w:rsidR="009236DD" w:rsidRPr="00E56165">
        <w:rPr>
          <w:rFonts w:ascii="Calibri" w:hAnsi="Calibri"/>
          <w:color w:val="1C1C1B" w:themeColor="text1"/>
        </w:rPr>
        <w:t xml:space="preserve">We </w:t>
      </w:r>
      <w:r w:rsidRPr="00E56165">
        <w:rPr>
          <w:rFonts w:ascii="Calibri" w:hAnsi="Calibri"/>
          <w:color w:val="1C1C1B" w:themeColor="text1"/>
        </w:rPr>
        <w:t>look forward to working with you to address the opioid epidemic in Massachusetts</w:t>
      </w:r>
      <w:r w:rsidR="009236DD" w:rsidRPr="00E56165">
        <w:rPr>
          <w:rFonts w:ascii="Calibri" w:hAnsi="Calibri"/>
          <w:color w:val="1C1C1B" w:themeColor="text1"/>
        </w:rPr>
        <w:t xml:space="preserve">. CVS Health is </w:t>
      </w:r>
      <w:r w:rsidRPr="00E56165">
        <w:rPr>
          <w:rFonts w:ascii="Calibri" w:eastAsiaTheme="minorEastAsia" w:hAnsi="Calibri" w:cs="Calibri"/>
          <w:bCs/>
        </w:rPr>
        <w:t xml:space="preserve">committed to creating safer communities by combating prescription drug abuse. </w:t>
      </w:r>
    </w:p>
    <w:p w:rsidR="002255F7" w:rsidRPr="00E56165" w:rsidRDefault="002255F7" w:rsidP="00FD560C">
      <w:pPr>
        <w:pStyle w:val="Default"/>
        <w:rPr>
          <w:rFonts w:ascii="Calibri" w:eastAsiaTheme="minorEastAsia" w:hAnsi="Calibri" w:cs="Calibri"/>
          <w:bCs/>
        </w:rPr>
      </w:pPr>
    </w:p>
    <w:p w:rsidR="00FD560C" w:rsidRPr="00E56165" w:rsidRDefault="002255F7" w:rsidP="00E51580">
      <w:pPr>
        <w:rPr>
          <w:rFonts w:ascii="Calibri" w:hAnsi="Calibri"/>
          <w:color w:val="1C1C1B" w:themeColor="text1"/>
          <w:sz w:val="24"/>
        </w:rPr>
      </w:pPr>
      <w:r w:rsidRPr="00E56165">
        <w:rPr>
          <w:rFonts w:ascii="Calibri" w:hAnsi="Calibri"/>
          <w:color w:val="1C1C1B" w:themeColor="text1"/>
          <w:sz w:val="24"/>
        </w:rPr>
        <w:t xml:space="preserve">Sincerely, </w:t>
      </w:r>
    </w:p>
    <w:p w:rsidR="002255F7" w:rsidRPr="00E56165" w:rsidRDefault="00F452CA" w:rsidP="00E51580">
      <w:pPr>
        <w:rPr>
          <w:rFonts w:ascii="Calibri" w:hAnsi="Calibri"/>
          <w:color w:val="1C1C1B" w:themeColor="text1"/>
          <w:sz w:val="24"/>
        </w:rPr>
      </w:pPr>
      <w:r>
        <w:rPr>
          <w:rFonts w:ascii="Calibri" w:hAnsi="Calibri"/>
          <w:noProof/>
          <w:color w:val="1C1C1B" w:themeColor="text1"/>
          <w:sz w:val="24"/>
        </w:rPr>
        <w:drawing>
          <wp:anchor distT="0" distB="0" distL="114300" distR="114300" simplePos="0" relativeHeight="251658240" behindDoc="0" locked="0" layoutInCell="1" allowOverlap="1">
            <wp:simplePos x="0" y="0"/>
            <wp:positionH relativeFrom="column">
              <wp:posOffset>-228600</wp:posOffset>
            </wp:positionH>
            <wp:positionV relativeFrom="paragraph">
              <wp:posOffset>53975</wp:posOffset>
            </wp:positionV>
            <wp:extent cx="1714500" cy="80010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714500" cy="800100"/>
                    </a:xfrm>
                    <a:prstGeom prst="rect">
                      <a:avLst/>
                    </a:prstGeom>
                    <a:noFill/>
                    <a:ln w="9525">
                      <a:noFill/>
                      <a:miter lim="800000"/>
                      <a:headEnd/>
                      <a:tailEnd/>
                    </a:ln>
                  </pic:spPr>
                </pic:pic>
              </a:graphicData>
            </a:graphic>
          </wp:anchor>
        </w:drawing>
      </w:r>
    </w:p>
    <w:p w:rsidR="002255F7" w:rsidRPr="00E56165" w:rsidRDefault="002255F7" w:rsidP="00E51580">
      <w:pPr>
        <w:rPr>
          <w:rFonts w:ascii="Calibri" w:hAnsi="Calibri"/>
          <w:color w:val="1C1C1B" w:themeColor="text1"/>
          <w:sz w:val="24"/>
        </w:rPr>
      </w:pPr>
    </w:p>
    <w:p w:rsidR="002255F7" w:rsidRPr="00E56165" w:rsidRDefault="002255F7" w:rsidP="00E51580">
      <w:pPr>
        <w:rPr>
          <w:rFonts w:ascii="Calibri" w:hAnsi="Calibri"/>
          <w:color w:val="1C1C1B" w:themeColor="text1"/>
          <w:sz w:val="24"/>
        </w:rPr>
      </w:pPr>
    </w:p>
    <w:p w:rsidR="00BF4814" w:rsidRDefault="00BF4814" w:rsidP="00E51580">
      <w:pPr>
        <w:rPr>
          <w:rFonts w:ascii="Calibri" w:hAnsi="Calibri"/>
          <w:color w:val="auto"/>
          <w:sz w:val="24"/>
        </w:rPr>
      </w:pPr>
    </w:p>
    <w:p w:rsidR="002255F7" w:rsidRPr="00E56165" w:rsidRDefault="002255F7" w:rsidP="00E51580">
      <w:pPr>
        <w:rPr>
          <w:rFonts w:ascii="Calibri" w:hAnsi="Calibri"/>
          <w:color w:val="auto"/>
          <w:sz w:val="24"/>
        </w:rPr>
      </w:pPr>
      <w:r w:rsidRPr="00E56165">
        <w:rPr>
          <w:rFonts w:ascii="Calibri" w:hAnsi="Calibri"/>
          <w:color w:val="auto"/>
          <w:sz w:val="24"/>
        </w:rPr>
        <w:t>Michael Ayotte, R.Ph.</w:t>
      </w:r>
    </w:p>
    <w:p w:rsidR="002255F7" w:rsidRDefault="002255F7" w:rsidP="00E51580">
      <w:pPr>
        <w:rPr>
          <w:rFonts w:ascii="Calibri" w:hAnsi="Calibri"/>
          <w:color w:val="auto"/>
          <w:sz w:val="24"/>
        </w:rPr>
      </w:pPr>
      <w:r w:rsidRPr="00E56165">
        <w:rPr>
          <w:rFonts w:ascii="Calibri" w:hAnsi="Calibri"/>
          <w:color w:val="auto"/>
          <w:sz w:val="24"/>
        </w:rPr>
        <w:t>Head of State and Local Government Affairs</w:t>
      </w:r>
    </w:p>
    <w:p w:rsidR="00F452CA" w:rsidRDefault="00F452CA" w:rsidP="00E51580">
      <w:pPr>
        <w:rPr>
          <w:rFonts w:ascii="Calibri" w:hAnsi="Calibri"/>
          <w:color w:val="auto"/>
          <w:sz w:val="24"/>
        </w:rPr>
      </w:pPr>
    </w:p>
    <w:p w:rsidR="00F452CA" w:rsidRPr="00E56165" w:rsidRDefault="00F452CA" w:rsidP="00E51580">
      <w:pPr>
        <w:rPr>
          <w:rFonts w:ascii="Calibri" w:hAnsi="Calibri"/>
          <w:color w:val="auto"/>
          <w:sz w:val="24"/>
        </w:rPr>
      </w:pPr>
    </w:p>
    <w:sectPr w:rsidR="00F452CA" w:rsidRPr="00E56165" w:rsidSect="00AB618E">
      <w:headerReference w:type="default" r:id="rId13"/>
      <w:footerReference w:type="default" r:id="rId14"/>
      <w:pgSz w:w="12240" w:h="15840"/>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DCE" w:rsidRDefault="00F01DCE" w:rsidP="00AA71C8">
      <w:pPr>
        <w:spacing w:before="0" w:line="240" w:lineRule="auto"/>
      </w:pPr>
      <w:r>
        <w:separator/>
      </w:r>
    </w:p>
  </w:endnote>
  <w:endnote w:type="continuationSeparator" w:id="0">
    <w:p w:rsidR="00F01DCE" w:rsidRDefault="00F01DCE" w:rsidP="00AA71C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0B" w:rsidRDefault="006C1A12" w:rsidP="006C1A12">
    <w:pPr>
      <w:pStyle w:val="Footer"/>
      <w:ind w:left="-1440"/>
    </w:pPr>
    <w:r>
      <w:rPr>
        <w:noProof/>
      </w:rPr>
      <w:drawing>
        <wp:inline distT="0" distB="0" distL="0" distR="0">
          <wp:extent cx="7772400" cy="1461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SHealth_Letterhead_generic_1CVSDrive_forWord_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4614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DCE" w:rsidRDefault="00F01DCE" w:rsidP="00AA71C8">
      <w:pPr>
        <w:spacing w:before="0" w:line="240" w:lineRule="auto"/>
      </w:pPr>
      <w:r>
        <w:separator/>
      </w:r>
    </w:p>
  </w:footnote>
  <w:footnote w:type="continuationSeparator" w:id="0">
    <w:p w:rsidR="00F01DCE" w:rsidRDefault="00F01DCE" w:rsidP="00AA71C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B93" w:rsidRDefault="006C1A12" w:rsidP="00F5770B">
    <w:pPr>
      <w:pStyle w:val="Header"/>
      <w:ind w:left="-360"/>
    </w:pPr>
    <w:r>
      <w:rPr>
        <w:noProof/>
      </w:rPr>
      <w:drawing>
        <wp:inline distT="0" distB="0" distL="0" distR="0">
          <wp:extent cx="1422400" cy="1884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SHealth_Letterhead_generic_1CVSDrive_forWord_headerlogoonly.png"/>
                  <pic:cNvPicPr/>
                </pic:nvPicPr>
                <pic:blipFill>
                  <a:blip r:embed="rId1">
                    <a:extLst>
                      <a:ext uri="{28A0092B-C50C-407E-A947-70E740481C1C}">
                        <a14:useLocalDpi xmlns:a14="http://schemas.microsoft.com/office/drawing/2010/main" val="0"/>
                      </a:ext>
                    </a:extLst>
                  </a:blip>
                  <a:stretch>
                    <a:fillRect/>
                  </a:stretch>
                </pic:blipFill>
                <pic:spPr>
                  <a:xfrm>
                    <a:off x="0" y="0"/>
                    <a:ext cx="1422400" cy="1884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592C"/>
    <w:multiLevelType w:val="hybridMultilevel"/>
    <w:tmpl w:val="675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2A62D7"/>
    <w:multiLevelType w:val="hybridMultilevel"/>
    <w:tmpl w:val="60CE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637904"/>
    <w:multiLevelType w:val="hybridMultilevel"/>
    <w:tmpl w:val="C490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7544F7"/>
    <w:multiLevelType w:val="hybridMultilevel"/>
    <w:tmpl w:val="D4A8B6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nsid w:val="69BE6BA4"/>
    <w:multiLevelType w:val="hybridMultilevel"/>
    <w:tmpl w:val="74DA5A64"/>
    <w:lvl w:ilvl="0" w:tplc="36801D80">
      <w:numFmt w:val="bullet"/>
      <w:pStyle w:val="ListParagraph"/>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ocumentProtection w:edit="readOnly" w:enforcement="1" w:cryptProviderType="rsaFull" w:cryptAlgorithmClass="hash" w:cryptAlgorithmType="typeAny" w:cryptAlgorithmSid="4" w:cryptSpinCount="100000" w:hash="jARMYUvvSVj7uEFbkvmCuX9aJEw=" w:salt="FZyGe96ADQR1/hc0k5DjnQ=="/>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12"/>
    <w:rsid w:val="0004231F"/>
    <w:rsid w:val="00042834"/>
    <w:rsid w:val="000C6C38"/>
    <w:rsid w:val="000E024A"/>
    <w:rsid w:val="00132B13"/>
    <w:rsid w:val="00154247"/>
    <w:rsid w:val="001875C2"/>
    <w:rsid w:val="001C4700"/>
    <w:rsid w:val="001C4BCB"/>
    <w:rsid w:val="001E176B"/>
    <w:rsid w:val="002255F7"/>
    <w:rsid w:val="00243300"/>
    <w:rsid w:val="00252BB7"/>
    <w:rsid w:val="00294A1C"/>
    <w:rsid w:val="002B5AA7"/>
    <w:rsid w:val="002E7CEC"/>
    <w:rsid w:val="00393F88"/>
    <w:rsid w:val="003A3E9D"/>
    <w:rsid w:val="003B447D"/>
    <w:rsid w:val="003D649A"/>
    <w:rsid w:val="003D652E"/>
    <w:rsid w:val="0042334E"/>
    <w:rsid w:val="00435D59"/>
    <w:rsid w:val="00444880"/>
    <w:rsid w:val="004710EB"/>
    <w:rsid w:val="00474AA0"/>
    <w:rsid w:val="0048789E"/>
    <w:rsid w:val="004B2724"/>
    <w:rsid w:val="004F4DE2"/>
    <w:rsid w:val="005019B4"/>
    <w:rsid w:val="00511E9E"/>
    <w:rsid w:val="005440FE"/>
    <w:rsid w:val="0057152E"/>
    <w:rsid w:val="00575DE6"/>
    <w:rsid w:val="005B23CE"/>
    <w:rsid w:val="005C7A2A"/>
    <w:rsid w:val="006244C8"/>
    <w:rsid w:val="00635084"/>
    <w:rsid w:val="0065103C"/>
    <w:rsid w:val="006C1A12"/>
    <w:rsid w:val="006F6BC9"/>
    <w:rsid w:val="00711AE7"/>
    <w:rsid w:val="00727AE6"/>
    <w:rsid w:val="0073116B"/>
    <w:rsid w:val="0078707A"/>
    <w:rsid w:val="007B3185"/>
    <w:rsid w:val="00882332"/>
    <w:rsid w:val="008A4FD0"/>
    <w:rsid w:val="008E3AFC"/>
    <w:rsid w:val="008E566E"/>
    <w:rsid w:val="00904D4A"/>
    <w:rsid w:val="009236DD"/>
    <w:rsid w:val="009C3DAF"/>
    <w:rsid w:val="009E6022"/>
    <w:rsid w:val="009F276B"/>
    <w:rsid w:val="00A24E8A"/>
    <w:rsid w:val="00AA70D2"/>
    <w:rsid w:val="00AA71C8"/>
    <w:rsid w:val="00AB618E"/>
    <w:rsid w:val="00B31BA1"/>
    <w:rsid w:val="00B35783"/>
    <w:rsid w:val="00B65CFA"/>
    <w:rsid w:val="00B776EF"/>
    <w:rsid w:val="00BA6C20"/>
    <w:rsid w:val="00BC6E4A"/>
    <w:rsid w:val="00BF4814"/>
    <w:rsid w:val="00C34F96"/>
    <w:rsid w:val="00CA0116"/>
    <w:rsid w:val="00CA3E98"/>
    <w:rsid w:val="00CC29AF"/>
    <w:rsid w:val="00CE3EF3"/>
    <w:rsid w:val="00D2660C"/>
    <w:rsid w:val="00DC63ED"/>
    <w:rsid w:val="00E01F47"/>
    <w:rsid w:val="00E160CE"/>
    <w:rsid w:val="00E51580"/>
    <w:rsid w:val="00E56165"/>
    <w:rsid w:val="00E61937"/>
    <w:rsid w:val="00E8717D"/>
    <w:rsid w:val="00E94073"/>
    <w:rsid w:val="00EC3C26"/>
    <w:rsid w:val="00EC456D"/>
    <w:rsid w:val="00EE0B93"/>
    <w:rsid w:val="00F01DCE"/>
    <w:rsid w:val="00F17AB0"/>
    <w:rsid w:val="00F32C1E"/>
    <w:rsid w:val="00F452CA"/>
    <w:rsid w:val="00F5770B"/>
    <w:rsid w:val="00F61702"/>
    <w:rsid w:val="00FB4219"/>
    <w:rsid w:val="00FC45B3"/>
    <w:rsid w:val="00FD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A2A"/>
    <w:pPr>
      <w:spacing w:before="120" w:line="240" w:lineRule="exact"/>
    </w:pPr>
    <w:rPr>
      <w:rFonts w:ascii="Arial" w:hAnsi="Arial"/>
      <w:color w:val="6C6C69" w:themeColor="text1" w:themeTint="A6"/>
      <w:sz w:val="20"/>
    </w:rPr>
  </w:style>
  <w:style w:type="paragraph" w:styleId="Heading1">
    <w:name w:val="heading 1"/>
    <w:basedOn w:val="Normal"/>
    <w:next w:val="Normal"/>
    <w:link w:val="Heading1Char"/>
    <w:autoRedefine/>
    <w:uiPriority w:val="9"/>
    <w:qFormat/>
    <w:rsid w:val="008A4FD0"/>
    <w:pPr>
      <w:keepNext/>
      <w:keepLines/>
      <w:spacing w:before="480"/>
      <w:outlineLvl w:val="0"/>
    </w:pPr>
    <w:rPr>
      <w:rFonts w:eastAsiaTheme="majorEastAsia"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FD0"/>
    <w:rPr>
      <w:rFonts w:ascii="Arial" w:eastAsiaTheme="majorEastAsia" w:hAnsi="Arial" w:cstheme="majorBidi"/>
      <w:b/>
      <w:bCs/>
      <w:color w:val="6C6C69" w:themeColor="text1" w:themeTint="A6"/>
      <w:sz w:val="32"/>
      <w:szCs w:val="32"/>
    </w:rPr>
  </w:style>
  <w:style w:type="paragraph" w:styleId="Title">
    <w:name w:val="Title"/>
    <w:basedOn w:val="Normal"/>
    <w:next w:val="Normal"/>
    <w:link w:val="TitleChar"/>
    <w:autoRedefine/>
    <w:uiPriority w:val="10"/>
    <w:qFormat/>
    <w:rsid w:val="008A4FD0"/>
    <w:pPr>
      <w:framePr w:hSpace="187" w:vSpace="187" w:wrap="around" w:vAnchor="text" w:hAnchor="text" w:y="1"/>
      <w:pBdr>
        <w:bottom w:val="single" w:sz="8" w:space="4" w:color="C81A31" w:themeColor="accent1"/>
      </w:pBdr>
      <w:spacing w:before="0" w:after="300" w:line="240" w:lineRule="auto"/>
      <w:contextualSpacing/>
    </w:pPr>
    <w:rPr>
      <w:rFonts w:eastAsiaTheme="majorEastAsia" w:cstheme="majorBidi"/>
      <w:color w:val="FFFFFF" w:themeColor="background1"/>
      <w:spacing w:val="5"/>
      <w:kern w:val="28"/>
      <w:sz w:val="48"/>
      <w:szCs w:val="52"/>
    </w:rPr>
  </w:style>
  <w:style w:type="character" w:customStyle="1" w:styleId="TitleChar">
    <w:name w:val="Title Char"/>
    <w:basedOn w:val="DefaultParagraphFont"/>
    <w:link w:val="Title"/>
    <w:uiPriority w:val="10"/>
    <w:rsid w:val="008A4FD0"/>
    <w:rPr>
      <w:rFonts w:ascii="Arial" w:eastAsiaTheme="majorEastAsia" w:hAnsi="Arial" w:cstheme="majorBidi"/>
      <w:color w:val="FFFFFF" w:themeColor="background1"/>
      <w:spacing w:val="5"/>
      <w:kern w:val="28"/>
      <w:sz w:val="48"/>
      <w:szCs w:val="52"/>
    </w:rPr>
  </w:style>
  <w:style w:type="paragraph" w:styleId="ListParagraph">
    <w:name w:val="List Paragraph"/>
    <w:basedOn w:val="Normal"/>
    <w:autoRedefine/>
    <w:uiPriority w:val="34"/>
    <w:qFormat/>
    <w:rsid w:val="00435D59"/>
    <w:pPr>
      <w:numPr>
        <w:numId w:val="2"/>
      </w:numPr>
      <w:contextualSpacing/>
    </w:pPr>
    <w:rPr>
      <w:rFonts w:ascii="Calibri" w:hAnsi="Calibri" w:cs="Times New Roman"/>
      <w:color w:val="auto"/>
      <w:sz w:val="24"/>
    </w:rPr>
  </w:style>
  <w:style w:type="paragraph" w:customStyle="1" w:styleId="BasicParagraph">
    <w:name w:val="[Basic Paragraph]"/>
    <w:basedOn w:val="Normal"/>
    <w:autoRedefine/>
    <w:uiPriority w:val="99"/>
    <w:qFormat/>
    <w:rsid w:val="008A4FD0"/>
    <w:pPr>
      <w:widowControl w:val="0"/>
      <w:autoSpaceDE w:val="0"/>
      <w:autoSpaceDN w:val="0"/>
      <w:adjustRightInd w:val="0"/>
      <w:spacing w:line="288" w:lineRule="auto"/>
      <w:textAlignment w:val="center"/>
    </w:pPr>
    <w:rPr>
      <w:rFonts w:cs="MinionPro-Regular"/>
      <w:color w:val="000000"/>
    </w:rPr>
  </w:style>
  <w:style w:type="paragraph" w:styleId="BalloonText">
    <w:name w:val="Balloon Text"/>
    <w:basedOn w:val="Normal"/>
    <w:link w:val="BalloonTextChar"/>
    <w:autoRedefine/>
    <w:uiPriority w:val="99"/>
    <w:semiHidden/>
    <w:unhideWhenUsed/>
    <w:qFormat/>
    <w:rsid w:val="008A4FD0"/>
    <w:rPr>
      <w:rFonts w:cs="Lucida Grande"/>
      <w:sz w:val="18"/>
      <w:szCs w:val="18"/>
    </w:rPr>
  </w:style>
  <w:style w:type="character" w:customStyle="1" w:styleId="BalloonTextChar">
    <w:name w:val="Balloon Text Char"/>
    <w:basedOn w:val="DefaultParagraphFont"/>
    <w:link w:val="BalloonText"/>
    <w:uiPriority w:val="99"/>
    <w:semiHidden/>
    <w:rsid w:val="008A4FD0"/>
    <w:rPr>
      <w:rFonts w:ascii="Arial" w:hAnsi="Arial" w:cs="Lucida Grande"/>
      <w:color w:val="6C6C69" w:themeColor="text1" w:themeTint="A6"/>
      <w:sz w:val="18"/>
      <w:szCs w:val="18"/>
    </w:rPr>
  </w:style>
  <w:style w:type="paragraph" w:styleId="Header">
    <w:name w:val="header"/>
    <w:basedOn w:val="Normal"/>
    <w:link w:val="HeaderChar"/>
    <w:uiPriority w:val="99"/>
    <w:unhideWhenUsed/>
    <w:rsid w:val="00AA71C8"/>
    <w:pPr>
      <w:tabs>
        <w:tab w:val="center" w:pos="4320"/>
        <w:tab w:val="right" w:pos="8640"/>
      </w:tabs>
      <w:spacing w:before="0" w:line="240" w:lineRule="auto"/>
    </w:pPr>
  </w:style>
  <w:style w:type="character" w:customStyle="1" w:styleId="HeaderChar">
    <w:name w:val="Header Char"/>
    <w:basedOn w:val="DefaultParagraphFont"/>
    <w:link w:val="Header"/>
    <w:uiPriority w:val="99"/>
    <w:rsid w:val="00AA71C8"/>
    <w:rPr>
      <w:rFonts w:ascii="Arial" w:hAnsi="Arial"/>
      <w:color w:val="6C6C69" w:themeColor="text1" w:themeTint="A6"/>
      <w:sz w:val="20"/>
    </w:rPr>
  </w:style>
  <w:style w:type="paragraph" w:styleId="Footer">
    <w:name w:val="footer"/>
    <w:basedOn w:val="Normal"/>
    <w:link w:val="FooterChar"/>
    <w:uiPriority w:val="99"/>
    <w:unhideWhenUsed/>
    <w:rsid w:val="00AA71C8"/>
    <w:pPr>
      <w:tabs>
        <w:tab w:val="center" w:pos="4320"/>
        <w:tab w:val="right" w:pos="8640"/>
      </w:tabs>
      <w:spacing w:before="0" w:line="240" w:lineRule="auto"/>
    </w:pPr>
  </w:style>
  <w:style w:type="character" w:customStyle="1" w:styleId="FooterChar">
    <w:name w:val="Footer Char"/>
    <w:basedOn w:val="DefaultParagraphFont"/>
    <w:link w:val="Footer"/>
    <w:uiPriority w:val="99"/>
    <w:rsid w:val="00AA71C8"/>
    <w:rPr>
      <w:rFonts w:ascii="Arial" w:hAnsi="Arial"/>
      <w:color w:val="6C6C69" w:themeColor="text1" w:themeTint="A6"/>
      <w:sz w:val="20"/>
    </w:rPr>
  </w:style>
  <w:style w:type="paragraph" w:customStyle="1" w:styleId="PCMA">
    <w:name w:val="PCMA"/>
    <w:basedOn w:val="Normal"/>
    <w:link w:val="PCMAChar"/>
    <w:qFormat/>
    <w:rsid w:val="00435D59"/>
    <w:pPr>
      <w:widowControl w:val="0"/>
      <w:spacing w:after="120" w:line="264" w:lineRule="auto"/>
    </w:pPr>
    <w:rPr>
      <w:rFonts w:ascii="Times New Roman" w:eastAsia="Calibri" w:hAnsi="Times New Roman" w:cs="Times New Roman"/>
      <w:color w:val="auto"/>
      <w:sz w:val="22"/>
      <w:szCs w:val="22"/>
    </w:rPr>
  </w:style>
  <w:style w:type="character" w:customStyle="1" w:styleId="PCMAChar">
    <w:name w:val="PCMA Char"/>
    <w:link w:val="PCMA"/>
    <w:rsid w:val="00435D59"/>
    <w:rPr>
      <w:rFonts w:ascii="Times New Roman" w:eastAsia="Calibri" w:hAnsi="Times New Roman" w:cs="Times New Roman"/>
      <w:sz w:val="22"/>
      <w:szCs w:val="22"/>
    </w:rPr>
  </w:style>
  <w:style w:type="paragraph" w:customStyle="1" w:styleId="Default">
    <w:name w:val="Default"/>
    <w:rsid w:val="00435D59"/>
    <w:pPr>
      <w:autoSpaceDE w:val="0"/>
      <w:autoSpaceDN w:val="0"/>
      <w:adjustRightInd w:val="0"/>
    </w:pPr>
    <w:rPr>
      <w:rFonts w:ascii="Times New Roman" w:eastAsia="Calibri" w:hAnsi="Times New Roman" w:cs="Times New Roman"/>
      <w:color w:val="000000"/>
    </w:rPr>
  </w:style>
  <w:style w:type="character" w:styleId="CommentReference">
    <w:name w:val="annotation reference"/>
    <w:basedOn w:val="DefaultParagraphFont"/>
    <w:uiPriority w:val="99"/>
    <w:semiHidden/>
    <w:unhideWhenUsed/>
    <w:rsid w:val="00435D59"/>
    <w:rPr>
      <w:sz w:val="16"/>
      <w:szCs w:val="16"/>
    </w:rPr>
  </w:style>
  <w:style w:type="paragraph" w:styleId="CommentText">
    <w:name w:val="annotation text"/>
    <w:basedOn w:val="Normal"/>
    <w:link w:val="CommentTextChar"/>
    <w:uiPriority w:val="99"/>
    <w:semiHidden/>
    <w:unhideWhenUsed/>
    <w:rsid w:val="00435D59"/>
    <w:pPr>
      <w:spacing w:line="240" w:lineRule="auto"/>
    </w:pPr>
    <w:rPr>
      <w:szCs w:val="20"/>
    </w:rPr>
  </w:style>
  <w:style w:type="character" w:customStyle="1" w:styleId="CommentTextChar">
    <w:name w:val="Comment Text Char"/>
    <w:basedOn w:val="DefaultParagraphFont"/>
    <w:link w:val="CommentText"/>
    <w:uiPriority w:val="99"/>
    <w:semiHidden/>
    <w:rsid w:val="00435D59"/>
    <w:rPr>
      <w:rFonts w:ascii="Arial" w:hAnsi="Arial"/>
      <w:color w:val="6C6C69" w:themeColor="text1" w:themeTint="A6"/>
      <w:sz w:val="20"/>
      <w:szCs w:val="20"/>
    </w:rPr>
  </w:style>
  <w:style w:type="paragraph" w:styleId="CommentSubject">
    <w:name w:val="annotation subject"/>
    <w:basedOn w:val="CommentText"/>
    <w:next w:val="CommentText"/>
    <w:link w:val="CommentSubjectChar"/>
    <w:uiPriority w:val="99"/>
    <w:semiHidden/>
    <w:unhideWhenUsed/>
    <w:rsid w:val="00435D59"/>
    <w:rPr>
      <w:b/>
      <w:bCs/>
    </w:rPr>
  </w:style>
  <w:style w:type="character" w:customStyle="1" w:styleId="CommentSubjectChar">
    <w:name w:val="Comment Subject Char"/>
    <w:basedOn w:val="CommentTextChar"/>
    <w:link w:val="CommentSubject"/>
    <w:uiPriority w:val="99"/>
    <w:semiHidden/>
    <w:rsid w:val="00435D59"/>
    <w:rPr>
      <w:rFonts w:ascii="Arial" w:hAnsi="Arial"/>
      <w:b/>
      <w:bCs/>
      <w:color w:val="6C6C69" w:themeColor="text1" w:themeTint="A6"/>
      <w:sz w:val="20"/>
      <w:szCs w:val="20"/>
    </w:rPr>
  </w:style>
  <w:style w:type="paragraph" w:styleId="NoSpacing">
    <w:name w:val="No Spacing"/>
    <w:uiPriority w:val="1"/>
    <w:qFormat/>
    <w:rsid w:val="00E51580"/>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A2A"/>
    <w:pPr>
      <w:spacing w:before="120" w:line="240" w:lineRule="exact"/>
    </w:pPr>
    <w:rPr>
      <w:rFonts w:ascii="Arial" w:hAnsi="Arial"/>
      <w:color w:val="6C6C69" w:themeColor="text1" w:themeTint="A6"/>
      <w:sz w:val="20"/>
    </w:rPr>
  </w:style>
  <w:style w:type="paragraph" w:styleId="Heading1">
    <w:name w:val="heading 1"/>
    <w:basedOn w:val="Normal"/>
    <w:next w:val="Normal"/>
    <w:link w:val="Heading1Char"/>
    <w:autoRedefine/>
    <w:uiPriority w:val="9"/>
    <w:qFormat/>
    <w:rsid w:val="008A4FD0"/>
    <w:pPr>
      <w:keepNext/>
      <w:keepLines/>
      <w:spacing w:before="480"/>
      <w:outlineLvl w:val="0"/>
    </w:pPr>
    <w:rPr>
      <w:rFonts w:eastAsiaTheme="majorEastAsia"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FD0"/>
    <w:rPr>
      <w:rFonts w:ascii="Arial" w:eastAsiaTheme="majorEastAsia" w:hAnsi="Arial" w:cstheme="majorBidi"/>
      <w:b/>
      <w:bCs/>
      <w:color w:val="6C6C69" w:themeColor="text1" w:themeTint="A6"/>
      <w:sz w:val="32"/>
      <w:szCs w:val="32"/>
    </w:rPr>
  </w:style>
  <w:style w:type="paragraph" w:styleId="Title">
    <w:name w:val="Title"/>
    <w:basedOn w:val="Normal"/>
    <w:next w:val="Normal"/>
    <w:link w:val="TitleChar"/>
    <w:autoRedefine/>
    <w:uiPriority w:val="10"/>
    <w:qFormat/>
    <w:rsid w:val="008A4FD0"/>
    <w:pPr>
      <w:framePr w:hSpace="187" w:vSpace="187" w:wrap="around" w:vAnchor="text" w:hAnchor="text" w:y="1"/>
      <w:pBdr>
        <w:bottom w:val="single" w:sz="8" w:space="4" w:color="C81A31" w:themeColor="accent1"/>
      </w:pBdr>
      <w:spacing w:before="0" w:after="300" w:line="240" w:lineRule="auto"/>
      <w:contextualSpacing/>
    </w:pPr>
    <w:rPr>
      <w:rFonts w:eastAsiaTheme="majorEastAsia" w:cstheme="majorBidi"/>
      <w:color w:val="FFFFFF" w:themeColor="background1"/>
      <w:spacing w:val="5"/>
      <w:kern w:val="28"/>
      <w:sz w:val="48"/>
      <w:szCs w:val="52"/>
    </w:rPr>
  </w:style>
  <w:style w:type="character" w:customStyle="1" w:styleId="TitleChar">
    <w:name w:val="Title Char"/>
    <w:basedOn w:val="DefaultParagraphFont"/>
    <w:link w:val="Title"/>
    <w:uiPriority w:val="10"/>
    <w:rsid w:val="008A4FD0"/>
    <w:rPr>
      <w:rFonts w:ascii="Arial" w:eastAsiaTheme="majorEastAsia" w:hAnsi="Arial" w:cstheme="majorBidi"/>
      <w:color w:val="FFFFFF" w:themeColor="background1"/>
      <w:spacing w:val="5"/>
      <w:kern w:val="28"/>
      <w:sz w:val="48"/>
      <w:szCs w:val="52"/>
    </w:rPr>
  </w:style>
  <w:style w:type="paragraph" w:styleId="ListParagraph">
    <w:name w:val="List Paragraph"/>
    <w:basedOn w:val="Normal"/>
    <w:autoRedefine/>
    <w:uiPriority w:val="34"/>
    <w:qFormat/>
    <w:rsid w:val="00435D59"/>
    <w:pPr>
      <w:numPr>
        <w:numId w:val="2"/>
      </w:numPr>
      <w:contextualSpacing/>
    </w:pPr>
    <w:rPr>
      <w:rFonts w:ascii="Calibri" w:hAnsi="Calibri" w:cs="Times New Roman"/>
      <w:color w:val="auto"/>
      <w:sz w:val="24"/>
    </w:rPr>
  </w:style>
  <w:style w:type="paragraph" w:customStyle="1" w:styleId="BasicParagraph">
    <w:name w:val="[Basic Paragraph]"/>
    <w:basedOn w:val="Normal"/>
    <w:autoRedefine/>
    <w:uiPriority w:val="99"/>
    <w:qFormat/>
    <w:rsid w:val="008A4FD0"/>
    <w:pPr>
      <w:widowControl w:val="0"/>
      <w:autoSpaceDE w:val="0"/>
      <w:autoSpaceDN w:val="0"/>
      <w:adjustRightInd w:val="0"/>
      <w:spacing w:line="288" w:lineRule="auto"/>
      <w:textAlignment w:val="center"/>
    </w:pPr>
    <w:rPr>
      <w:rFonts w:cs="MinionPro-Regular"/>
      <w:color w:val="000000"/>
    </w:rPr>
  </w:style>
  <w:style w:type="paragraph" w:styleId="BalloonText">
    <w:name w:val="Balloon Text"/>
    <w:basedOn w:val="Normal"/>
    <w:link w:val="BalloonTextChar"/>
    <w:autoRedefine/>
    <w:uiPriority w:val="99"/>
    <w:semiHidden/>
    <w:unhideWhenUsed/>
    <w:qFormat/>
    <w:rsid w:val="008A4FD0"/>
    <w:rPr>
      <w:rFonts w:cs="Lucida Grande"/>
      <w:sz w:val="18"/>
      <w:szCs w:val="18"/>
    </w:rPr>
  </w:style>
  <w:style w:type="character" w:customStyle="1" w:styleId="BalloonTextChar">
    <w:name w:val="Balloon Text Char"/>
    <w:basedOn w:val="DefaultParagraphFont"/>
    <w:link w:val="BalloonText"/>
    <w:uiPriority w:val="99"/>
    <w:semiHidden/>
    <w:rsid w:val="008A4FD0"/>
    <w:rPr>
      <w:rFonts w:ascii="Arial" w:hAnsi="Arial" w:cs="Lucida Grande"/>
      <w:color w:val="6C6C69" w:themeColor="text1" w:themeTint="A6"/>
      <w:sz w:val="18"/>
      <w:szCs w:val="18"/>
    </w:rPr>
  </w:style>
  <w:style w:type="paragraph" w:styleId="Header">
    <w:name w:val="header"/>
    <w:basedOn w:val="Normal"/>
    <w:link w:val="HeaderChar"/>
    <w:uiPriority w:val="99"/>
    <w:unhideWhenUsed/>
    <w:rsid w:val="00AA71C8"/>
    <w:pPr>
      <w:tabs>
        <w:tab w:val="center" w:pos="4320"/>
        <w:tab w:val="right" w:pos="8640"/>
      </w:tabs>
      <w:spacing w:before="0" w:line="240" w:lineRule="auto"/>
    </w:pPr>
  </w:style>
  <w:style w:type="character" w:customStyle="1" w:styleId="HeaderChar">
    <w:name w:val="Header Char"/>
    <w:basedOn w:val="DefaultParagraphFont"/>
    <w:link w:val="Header"/>
    <w:uiPriority w:val="99"/>
    <w:rsid w:val="00AA71C8"/>
    <w:rPr>
      <w:rFonts w:ascii="Arial" w:hAnsi="Arial"/>
      <w:color w:val="6C6C69" w:themeColor="text1" w:themeTint="A6"/>
      <w:sz w:val="20"/>
    </w:rPr>
  </w:style>
  <w:style w:type="paragraph" w:styleId="Footer">
    <w:name w:val="footer"/>
    <w:basedOn w:val="Normal"/>
    <w:link w:val="FooterChar"/>
    <w:uiPriority w:val="99"/>
    <w:unhideWhenUsed/>
    <w:rsid w:val="00AA71C8"/>
    <w:pPr>
      <w:tabs>
        <w:tab w:val="center" w:pos="4320"/>
        <w:tab w:val="right" w:pos="8640"/>
      </w:tabs>
      <w:spacing w:before="0" w:line="240" w:lineRule="auto"/>
    </w:pPr>
  </w:style>
  <w:style w:type="character" w:customStyle="1" w:styleId="FooterChar">
    <w:name w:val="Footer Char"/>
    <w:basedOn w:val="DefaultParagraphFont"/>
    <w:link w:val="Footer"/>
    <w:uiPriority w:val="99"/>
    <w:rsid w:val="00AA71C8"/>
    <w:rPr>
      <w:rFonts w:ascii="Arial" w:hAnsi="Arial"/>
      <w:color w:val="6C6C69" w:themeColor="text1" w:themeTint="A6"/>
      <w:sz w:val="20"/>
    </w:rPr>
  </w:style>
  <w:style w:type="paragraph" w:customStyle="1" w:styleId="PCMA">
    <w:name w:val="PCMA"/>
    <w:basedOn w:val="Normal"/>
    <w:link w:val="PCMAChar"/>
    <w:qFormat/>
    <w:rsid w:val="00435D59"/>
    <w:pPr>
      <w:widowControl w:val="0"/>
      <w:spacing w:after="120" w:line="264" w:lineRule="auto"/>
    </w:pPr>
    <w:rPr>
      <w:rFonts w:ascii="Times New Roman" w:eastAsia="Calibri" w:hAnsi="Times New Roman" w:cs="Times New Roman"/>
      <w:color w:val="auto"/>
      <w:sz w:val="22"/>
      <w:szCs w:val="22"/>
    </w:rPr>
  </w:style>
  <w:style w:type="character" w:customStyle="1" w:styleId="PCMAChar">
    <w:name w:val="PCMA Char"/>
    <w:link w:val="PCMA"/>
    <w:rsid w:val="00435D59"/>
    <w:rPr>
      <w:rFonts w:ascii="Times New Roman" w:eastAsia="Calibri" w:hAnsi="Times New Roman" w:cs="Times New Roman"/>
      <w:sz w:val="22"/>
      <w:szCs w:val="22"/>
    </w:rPr>
  </w:style>
  <w:style w:type="paragraph" w:customStyle="1" w:styleId="Default">
    <w:name w:val="Default"/>
    <w:rsid w:val="00435D59"/>
    <w:pPr>
      <w:autoSpaceDE w:val="0"/>
      <w:autoSpaceDN w:val="0"/>
      <w:adjustRightInd w:val="0"/>
    </w:pPr>
    <w:rPr>
      <w:rFonts w:ascii="Times New Roman" w:eastAsia="Calibri" w:hAnsi="Times New Roman" w:cs="Times New Roman"/>
      <w:color w:val="000000"/>
    </w:rPr>
  </w:style>
  <w:style w:type="character" w:styleId="CommentReference">
    <w:name w:val="annotation reference"/>
    <w:basedOn w:val="DefaultParagraphFont"/>
    <w:uiPriority w:val="99"/>
    <w:semiHidden/>
    <w:unhideWhenUsed/>
    <w:rsid w:val="00435D59"/>
    <w:rPr>
      <w:sz w:val="16"/>
      <w:szCs w:val="16"/>
    </w:rPr>
  </w:style>
  <w:style w:type="paragraph" w:styleId="CommentText">
    <w:name w:val="annotation text"/>
    <w:basedOn w:val="Normal"/>
    <w:link w:val="CommentTextChar"/>
    <w:uiPriority w:val="99"/>
    <w:semiHidden/>
    <w:unhideWhenUsed/>
    <w:rsid w:val="00435D59"/>
    <w:pPr>
      <w:spacing w:line="240" w:lineRule="auto"/>
    </w:pPr>
    <w:rPr>
      <w:szCs w:val="20"/>
    </w:rPr>
  </w:style>
  <w:style w:type="character" w:customStyle="1" w:styleId="CommentTextChar">
    <w:name w:val="Comment Text Char"/>
    <w:basedOn w:val="DefaultParagraphFont"/>
    <w:link w:val="CommentText"/>
    <w:uiPriority w:val="99"/>
    <w:semiHidden/>
    <w:rsid w:val="00435D59"/>
    <w:rPr>
      <w:rFonts w:ascii="Arial" w:hAnsi="Arial"/>
      <w:color w:val="6C6C69" w:themeColor="text1" w:themeTint="A6"/>
      <w:sz w:val="20"/>
      <w:szCs w:val="20"/>
    </w:rPr>
  </w:style>
  <w:style w:type="paragraph" w:styleId="CommentSubject">
    <w:name w:val="annotation subject"/>
    <w:basedOn w:val="CommentText"/>
    <w:next w:val="CommentText"/>
    <w:link w:val="CommentSubjectChar"/>
    <w:uiPriority w:val="99"/>
    <w:semiHidden/>
    <w:unhideWhenUsed/>
    <w:rsid w:val="00435D59"/>
    <w:rPr>
      <w:b/>
      <w:bCs/>
    </w:rPr>
  </w:style>
  <w:style w:type="character" w:customStyle="1" w:styleId="CommentSubjectChar">
    <w:name w:val="Comment Subject Char"/>
    <w:basedOn w:val="CommentTextChar"/>
    <w:link w:val="CommentSubject"/>
    <w:uiPriority w:val="99"/>
    <w:semiHidden/>
    <w:rsid w:val="00435D59"/>
    <w:rPr>
      <w:rFonts w:ascii="Arial" w:hAnsi="Arial"/>
      <w:b/>
      <w:bCs/>
      <w:color w:val="6C6C69" w:themeColor="text1" w:themeTint="A6"/>
      <w:sz w:val="20"/>
      <w:szCs w:val="20"/>
    </w:rPr>
  </w:style>
  <w:style w:type="paragraph" w:styleId="NoSpacing">
    <w:name w:val="No Spacing"/>
    <w:uiPriority w:val="1"/>
    <w:qFormat/>
    <w:rsid w:val="00E51580"/>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94236">
      <w:bodyDiv w:val="1"/>
      <w:marLeft w:val="0"/>
      <w:marRight w:val="0"/>
      <w:marTop w:val="0"/>
      <w:marBottom w:val="0"/>
      <w:divBdr>
        <w:top w:val="none" w:sz="0" w:space="0" w:color="auto"/>
        <w:left w:val="none" w:sz="0" w:space="0" w:color="auto"/>
        <w:bottom w:val="none" w:sz="0" w:space="0" w:color="auto"/>
        <w:right w:val="none" w:sz="0" w:space="0" w:color="auto"/>
      </w:divBdr>
      <w:divsChild>
        <w:div w:id="10031023">
          <w:marLeft w:val="864"/>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_rels/footer1.xml.rels><?xml version="1.0" encoding="UTF-8"?>

<Relationships xmlns="http://schemas.openxmlformats.org/package/2006/relationships">
  <Relationship Id="rId1" Type="http://schemas.openxmlformats.org/officeDocument/2006/relationships/image" Target="media/image3.png"/>
</Relationships>

</file>

<file path=word/_rels/header1.xml.rels><?xml version="1.0" encoding="UTF-8"?>

<Relationships xmlns="http://schemas.openxmlformats.org/package/2006/relationships">
  <Relationship Id="rId1" Type="http://schemas.openxmlformats.org/officeDocument/2006/relationships/image" Target="media/image2.png"/>
</Relationships>

</file>

<file path=word/theme/theme1.xml><?xml version="1.0" encoding="utf-8"?>
<a:theme xmlns:a="http://schemas.openxmlformats.org/drawingml/2006/main" name="CVS Healt">
  <a:themeElements>
    <a:clrScheme name="Custom 4">
      <a:dk1>
        <a:srgbClr val="1C1C1B"/>
      </a:dk1>
      <a:lt1>
        <a:sysClr val="window" lastClr="FFFFFF"/>
      </a:lt1>
      <a:dk2>
        <a:srgbClr val="C81A31"/>
      </a:dk2>
      <a:lt2>
        <a:srgbClr val="EEECE1"/>
      </a:lt2>
      <a:accent1>
        <a:srgbClr val="C81A31"/>
      </a:accent1>
      <a:accent2>
        <a:srgbClr val="9A1428"/>
      </a:accent2>
      <a:accent3>
        <a:srgbClr val="3C3D3C"/>
      </a:accent3>
      <a:accent4>
        <a:srgbClr val="636463"/>
      </a:accent4>
      <a:accent5>
        <a:srgbClr val="00A0D5"/>
      </a:accent5>
      <a:accent6>
        <a:srgbClr val="E47823"/>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MigrationSourceURL xmlns="38F91342-E00A-4924-9318-AEBE5608D1F2"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F4D13E1850C4BBDF6A8695F27A5B4" ma:contentTypeVersion="2" ma:contentTypeDescription="Create a new document." ma:contentTypeScope="" ma:versionID="4f7841842aec11c4138211726dc49be4">
  <xsd:schema xmlns:xsd="http://www.w3.org/2001/XMLSchema" xmlns:p="http://schemas.microsoft.com/office/2006/metadata/properties" xmlns:ns1="http://schemas.microsoft.com/sharepoint/v3" xmlns:ns2="38F91342-E00A-4924-9318-AEBE5608D1F2" targetNamespace="http://schemas.microsoft.com/office/2006/metadata/properties" ma:root="true" ma:fieldsID="3622e778ee9a35b0a05586e0f0dcecd1" ns1:_="" ns2:_="">
    <xsd:import namespace="http://schemas.microsoft.com/sharepoint/v3"/>
    <xsd:import namespace="38F91342-E00A-4924-9318-AEBE5608D1F2"/>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38F91342-E00A-4924-9318-AEBE5608D1F2" elementFormDefault="qualified">
    <xsd:import namespace="http://schemas.microsoft.com/office/2006/documentManagement/types"/>
    <xsd:element name="MigrationSourceURL" ma:index="10" nillable="true" ma:displayName="MigrationSourceURL" ma:description="The source URL of content migrated by Metalogix Migration Manager"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A2E20-C4A8-4042-8104-A85E1D41AE2B}">
  <ds:schemaRefs>
    <ds:schemaRef ds:uri="http://schemas.microsoft.com/office/2006/documentManagement/types"/>
    <ds:schemaRef ds:uri="38F91342-E00A-4924-9318-AEBE5608D1F2"/>
    <ds:schemaRef ds:uri="http://purl.org/dc/terms/"/>
    <ds:schemaRef ds:uri="http://purl.org/dc/dcmitype/"/>
    <ds:schemaRef ds:uri="http://purl.org/dc/elements/1.1/"/>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C0F2065F-9C42-4AA4-91E8-9E41CB3BBA2F}">
  <ds:schemaRefs>
    <ds:schemaRef ds:uri="http://schemas.microsoft.com/sharepoint/v3/contenttype/forms"/>
  </ds:schemaRefs>
</ds:datastoreItem>
</file>

<file path=customXml/itemProps3.xml><?xml version="1.0" encoding="utf-8"?>
<ds:datastoreItem xmlns:ds="http://schemas.openxmlformats.org/officeDocument/2006/customXml" ds:itemID="{B24A5E61-A724-4DBD-AC7E-389D6BBA7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F91342-E00A-4924-9318-AEBE5608D1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4F25FE9-0826-4128-983F-3E370052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7820</Characters>
  <Application>Microsoft Office Word</Application>
  <DocSecurity>12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Caremark</Company>
  <LinksUpToDate>false</LinksUpToDate>
  <CharactersWithSpaces>9173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2015-10-05T13:03:00Z</dcterms:created>
  <dc:creator>Kim Ambler</dc:creator>
  <lastModifiedBy>SCray</lastModifiedBy>
  <dcterms:modified xsi:type="dcterms:W3CDTF">2015-10-05T13:03:00Z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0x010100DB6F4D13E1850C4BBDF6A8695F27A5B4</vt:lpwstr>
  </property>
</Properties>
</file>