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A94" w:rsidRDefault="00266A94" w:rsidP="00E376FB">
      <w:pPr>
        <w:rPr>
          <w:rFonts w:ascii="Arial" w:hAnsi="Arial" w:cs="Arial"/>
          <w:sz w:val="24"/>
        </w:rPr>
      </w:pPr>
      <w:bookmarkStart w:id="0" w:name="_GoBack"/>
      <w:bookmarkEnd w:id="0"/>
    </w:p>
    <w:p w:rsidR="00F12A99" w:rsidRPr="00266A94" w:rsidRDefault="00266A94" w:rsidP="00266A94">
      <w:pPr>
        <w:spacing w:after="0" w:line="240" w:lineRule="auto"/>
        <w:jc w:val="center"/>
        <w:rPr>
          <w:rFonts w:ascii="Perpetua" w:hAnsi="Perpetua" w:cs="Arial"/>
          <w:b/>
          <w:sz w:val="28"/>
          <w:szCs w:val="28"/>
        </w:rPr>
      </w:pPr>
      <w:r w:rsidRPr="00266A94">
        <w:rPr>
          <w:rFonts w:ascii="Perpetua" w:hAnsi="Perpetua" w:cs="Arial"/>
          <w:b/>
          <w:sz w:val="28"/>
          <w:szCs w:val="28"/>
        </w:rPr>
        <w:t>MA SANE Advisory Board</w:t>
      </w:r>
      <w:r w:rsidR="002A76D0" w:rsidRPr="00266A94">
        <w:rPr>
          <w:rFonts w:ascii="Perpetua" w:hAnsi="Perpetua" w:cs="Arial"/>
          <w:b/>
          <w:sz w:val="28"/>
          <w:szCs w:val="28"/>
        </w:rPr>
        <w:t xml:space="preserve"> Meeting</w:t>
      </w:r>
    </w:p>
    <w:p w:rsidR="00266A94" w:rsidRPr="00266A94" w:rsidRDefault="00266A94" w:rsidP="00266A94">
      <w:pPr>
        <w:spacing w:after="0" w:line="240" w:lineRule="auto"/>
        <w:rPr>
          <w:rFonts w:ascii="Perpetua" w:hAnsi="Perpetua" w:cs="Arial"/>
          <w:b/>
          <w:sz w:val="28"/>
          <w:szCs w:val="28"/>
        </w:rPr>
        <w:sectPr w:rsidR="00266A94" w:rsidRPr="00266A94" w:rsidSect="00E376FB">
          <w:pgSz w:w="12240" w:h="15840"/>
          <w:pgMar w:top="630" w:right="1440" w:bottom="1440" w:left="1440" w:header="720" w:footer="720" w:gutter="0"/>
          <w:cols w:space="720"/>
          <w:docGrid w:linePitch="360"/>
        </w:sectPr>
      </w:pPr>
      <w:r w:rsidRPr="00266A94">
        <w:rPr>
          <w:rFonts w:ascii="Perpetua" w:hAnsi="Perpetua" w:cs="Arial"/>
          <w:b/>
          <w:sz w:val="28"/>
          <w:szCs w:val="28"/>
        </w:rPr>
        <w:t xml:space="preserve">                                                         June 13, 2016</w:t>
      </w:r>
    </w:p>
    <w:p w:rsidR="00266A94" w:rsidRPr="00266A94" w:rsidRDefault="00266A94" w:rsidP="002A76D0">
      <w:pPr>
        <w:rPr>
          <w:rFonts w:ascii="Perpetua" w:hAnsi="Perpetua" w:cs="Arial"/>
          <w:sz w:val="28"/>
          <w:szCs w:val="28"/>
          <w:u w:val="single"/>
        </w:rPr>
      </w:pPr>
    </w:p>
    <w:p w:rsidR="00266A94" w:rsidRPr="00266A94" w:rsidRDefault="00266A94" w:rsidP="00266A94">
      <w:pPr>
        <w:rPr>
          <w:rFonts w:ascii="Perpetua" w:hAnsi="Perpetua" w:cs="Arial"/>
          <w:sz w:val="28"/>
          <w:szCs w:val="28"/>
          <w:u w:val="single"/>
        </w:rPr>
        <w:sectPr w:rsidR="00266A94" w:rsidRPr="00266A94" w:rsidSect="00295707">
          <w:type w:val="continuous"/>
          <w:pgSz w:w="12240" w:h="15840"/>
          <w:pgMar w:top="1440" w:right="1440" w:bottom="1440" w:left="1440" w:header="720" w:footer="720" w:gutter="0"/>
          <w:cols w:num="2" w:space="720"/>
          <w:docGrid w:linePitch="360"/>
        </w:sectPr>
      </w:pPr>
    </w:p>
    <w:p w:rsidR="00295707" w:rsidRPr="00266A94" w:rsidRDefault="002A76D0" w:rsidP="00266A94">
      <w:pPr>
        <w:rPr>
          <w:rFonts w:ascii="Perpetua" w:hAnsi="Perpetua" w:cs="Arial"/>
          <w:sz w:val="28"/>
          <w:szCs w:val="28"/>
        </w:rPr>
      </w:pPr>
      <w:r w:rsidRPr="00266A94">
        <w:rPr>
          <w:rFonts w:ascii="Perpetua" w:hAnsi="Perpetua" w:cs="Arial"/>
          <w:b/>
          <w:sz w:val="28"/>
          <w:szCs w:val="28"/>
          <w:u w:val="single"/>
        </w:rPr>
        <w:lastRenderedPageBreak/>
        <w:t>Attendees</w:t>
      </w:r>
      <w:r w:rsidR="00266A94" w:rsidRPr="00266A94">
        <w:rPr>
          <w:rFonts w:ascii="Perpetua" w:hAnsi="Perpetua" w:cs="Arial"/>
          <w:b/>
          <w:sz w:val="28"/>
          <w:szCs w:val="28"/>
          <w:u w:val="single"/>
        </w:rPr>
        <w:t>:</w:t>
      </w:r>
      <w:r w:rsidRPr="00266A94">
        <w:rPr>
          <w:rFonts w:ascii="Perpetua" w:hAnsi="Perpetua" w:cs="Arial"/>
          <w:sz w:val="28"/>
          <w:szCs w:val="28"/>
          <w:u w:val="single"/>
        </w:rPr>
        <w:t xml:space="preserve"> </w:t>
      </w:r>
      <w:r w:rsidRPr="00266A94">
        <w:rPr>
          <w:rFonts w:ascii="Perpetua" w:eastAsia="Times New Roman" w:hAnsi="Perpetua" w:cs="Arial"/>
          <w:sz w:val="28"/>
          <w:szCs w:val="28"/>
        </w:rPr>
        <w:t xml:space="preserve">Carlene Pavlos </w:t>
      </w:r>
      <w:r w:rsidR="00266A94" w:rsidRPr="00266A94">
        <w:rPr>
          <w:rFonts w:ascii="Perpetua" w:eastAsia="Times New Roman" w:hAnsi="Perpetua" w:cs="Arial"/>
          <w:sz w:val="28"/>
          <w:szCs w:val="28"/>
        </w:rPr>
        <w:t xml:space="preserve">Donald </w:t>
      </w:r>
      <w:r w:rsidRPr="00266A94">
        <w:rPr>
          <w:rFonts w:ascii="Perpetua" w:eastAsia="Times New Roman" w:hAnsi="Perpetua" w:cs="Arial"/>
          <w:sz w:val="28"/>
          <w:szCs w:val="28"/>
        </w:rPr>
        <w:t>Hayes</w:t>
      </w:r>
      <w:r w:rsidR="00266A94" w:rsidRPr="00266A94">
        <w:rPr>
          <w:rFonts w:ascii="Perpetua" w:hAnsi="Perpetua" w:cs="Arial"/>
          <w:sz w:val="28"/>
          <w:szCs w:val="28"/>
        </w:rPr>
        <w:t xml:space="preserve">. </w:t>
      </w:r>
      <w:r w:rsidRPr="00266A94">
        <w:rPr>
          <w:rFonts w:ascii="Perpetua" w:eastAsia="Times New Roman" w:hAnsi="Perpetua" w:cs="Arial"/>
          <w:sz w:val="28"/>
          <w:szCs w:val="28"/>
        </w:rPr>
        <w:t>Nancy Alterio</w:t>
      </w:r>
      <w:r w:rsidR="00266A94" w:rsidRPr="00266A94">
        <w:rPr>
          <w:rFonts w:ascii="Perpetua" w:hAnsi="Perpetua" w:cs="Arial"/>
          <w:sz w:val="28"/>
          <w:szCs w:val="28"/>
        </w:rPr>
        <w:t xml:space="preserve">, </w:t>
      </w:r>
      <w:r w:rsidRPr="00266A94">
        <w:rPr>
          <w:rFonts w:ascii="Perpetua" w:eastAsia="Times New Roman" w:hAnsi="Perpetua" w:cs="Arial"/>
          <w:sz w:val="28"/>
          <w:szCs w:val="28"/>
        </w:rPr>
        <w:t>Jen Franco</w:t>
      </w:r>
      <w:r w:rsidR="00266A94" w:rsidRPr="00266A94">
        <w:rPr>
          <w:rFonts w:ascii="Perpetua" w:hAnsi="Perpetua" w:cs="Arial"/>
          <w:sz w:val="28"/>
          <w:szCs w:val="28"/>
        </w:rPr>
        <w:t xml:space="preserve">, </w:t>
      </w:r>
      <w:r w:rsidRPr="00266A94">
        <w:rPr>
          <w:rFonts w:ascii="Perpetua" w:eastAsia="Times New Roman" w:hAnsi="Perpetua" w:cs="Arial"/>
          <w:sz w:val="28"/>
          <w:szCs w:val="28"/>
        </w:rPr>
        <w:t>Nikki Antonucci</w:t>
      </w:r>
      <w:r w:rsidR="00266A94" w:rsidRPr="00266A94">
        <w:rPr>
          <w:rFonts w:ascii="Perpetua" w:hAnsi="Perpetua" w:cs="Arial"/>
          <w:sz w:val="28"/>
          <w:szCs w:val="28"/>
        </w:rPr>
        <w:t xml:space="preserve">, </w:t>
      </w:r>
      <w:r w:rsidRPr="00266A94">
        <w:rPr>
          <w:rFonts w:ascii="Perpetua" w:eastAsia="Times New Roman" w:hAnsi="Perpetua" w:cs="Arial"/>
          <w:sz w:val="28"/>
          <w:szCs w:val="28"/>
        </w:rPr>
        <w:t>Maureen Gallagher</w:t>
      </w:r>
      <w:r w:rsidR="00266A94" w:rsidRPr="00266A94">
        <w:rPr>
          <w:rFonts w:ascii="Perpetua" w:hAnsi="Perpetua" w:cs="Arial"/>
          <w:sz w:val="28"/>
          <w:szCs w:val="28"/>
        </w:rPr>
        <w:t>,</w:t>
      </w:r>
      <w:r w:rsidR="00266A94">
        <w:rPr>
          <w:rFonts w:ascii="Perpetua" w:hAnsi="Perpetua" w:cs="Arial"/>
          <w:sz w:val="28"/>
          <w:szCs w:val="28"/>
        </w:rPr>
        <w:t xml:space="preserve"> </w:t>
      </w:r>
      <w:r w:rsidRPr="00266A94">
        <w:rPr>
          <w:rFonts w:ascii="Perpetua" w:eastAsia="Times New Roman" w:hAnsi="Perpetua" w:cs="Arial"/>
          <w:sz w:val="28"/>
          <w:szCs w:val="28"/>
        </w:rPr>
        <w:t>Tammy Mello</w:t>
      </w:r>
      <w:r w:rsidR="00266A94" w:rsidRPr="00266A94">
        <w:rPr>
          <w:rFonts w:ascii="Perpetua" w:hAnsi="Perpetua" w:cs="Arial"/>
          <w:sz w:val="28"/>
          <w:szCs w:val="28"/>
        </w:rPr>
        <w:t xml:space="preserve">, </w:t>
      </w:r>
      <w:r w:rsidRPr="00266A94">
        <w:rPr>
          <w:rFonts w:ascii="Perpetua" w:eastAsia="Times New Roman" w:hAnsi="Perpetua" w:cs="Arial"/>
          <w:sz w:val="28"/>
          <w:szCs w:val="28"/>
        </w:rPr>
        <w:t>Robyn Kennedy</w:t>
      </w:r>
      <w:r w:rsidR="00266A94" w:rsidRPr="00266A94">
        <w:rPr>
          <w:rFonts w:ascii="Perpetua" w:hAnsi="Perpetua" w:cs="Arial"/>
          <w:sz w:val="28"/>
          <w:szCs w:val="28"/>
        </w:rPr>
        <w:t xml:space="preserve">, </w:t>
      </w:r>
      <w:r w:rsidRPr="00266A94">
        <w:rPr>
          <w:rFonts w:ascii="Perpetua" w:eastAsia="Times New Roman" w:hAnsi="Perpetua" w:cs="Arial"/>
          <w:sz w:val="28"/>
          <w:szCs w:val="28"/>
        </w:rPr>
        <w:t>Adam Delmolino</w:t>
      </w:r>
      <w:r w:rsidR="00ED5929">
        <w:rPr>
          <w:rFonts w:ascii="Perpetua" w:hAnsi="Perpetua" w:cs="Arial"/>
          <w:sz w:val="28"/>
          <w:szCs w:val="28"/>
        </w:rPr>
        <w:t>,</w:t>
      </w:r>
      <w:r w:rsidR="00266A94" w:rsidRPr="00266A94">
        <w:rPr>
          <w:rFonts w:ascii="Perpetua" w:hAnsi="Perpetua" w:cs="Arial"/>
          <w:sz w:val="28"/>
          <w:szCs w:val="28"/>
        </w:rPr>
        <w:t xml:space="preserve"> </w:t>
      </w:r>
      <w:r w:rsidRPr="00266A94">
        <w:rPr>
          <w:rFonts w:ascii="Perpetua" w:eastAsia="Times New Roman" w:hAnsi="Perpetua" w:cs="Arial"/>
          <w:sz w:val="28"/>
          <w:szCs w:val="28"/>
        </w:rPr>
        <w:t>Karen Hazard</w:t>
      </w:r>
      <w:r w:rsidR="00266A94" w:rsidRPr="00266A94">
        <w:rPr>
          <w:rFonts w:ascii="Perpetua" w:hAnsi="Perpetua" w:cs="Arial"/>
          <w:sz w:val="28"/>
          <w:szCs w:val="28"/>
        </w:rPr>
        <w:t xml:space="preserve">, </w:t>
      </w:r>
      <w:r w:rsidRPr="00266A94">
        <w:rPr>
          <w:rFonts w:ascii="Perpetua" w:eastAsia="Times New Roman" w:hAnsi="Perpetua" w:cs="Arial"/>
          <w:sz w:val="28"/>
          <w:szCs w:val="28"/>
        </w:rPr>
        <w:t>Erin Heaney</w:t>
      </w:r>
      <w:r w:rsidR="00266A94" w:rsidRPr="00266A94">
        <w:rPr>
          <w:rFonts w:ascii="Perpetua" w:hAnsi="Perpetua" w:cs="Arial"/>
          <w:sz w:val="28"/>
          <w:szCs w:val="28"/>
        </w:rPr>
        <w:t xml:space="preserve">, </w:t>
      </w:r>
      <w:r w:rsidR="00295707" w:rsidRPr="00266A94">
        <w:rPr>
          <w:rFonts w:ascii="Perpetua" w:eastAsia="Times New Roman" w:hAnsi="Perpetua" w:cs="Arial"/>
          <w:sz w:val="28"/>
          <w:szCs w:val="28"/>
        </w:rPr>
        <w:t>Dr. Alice Newton</w:t>
      </w:r>
      <w:r w:rsidR="00266A94" w:rsidRPr="00266A94">
        <w:rPr>
          <w:rFonts w:ascii="Perpetua" w:eastAsia="Times New Roman" w:hAnsi="Perpetua" w:cs="Arial"/>
          <w:sz w:val="28"/>
          <w:szCs w:val="28"/>
        </w:rPr>
        <w:t xml:space="preserve">, </w:t>
      </w:r>
      <w:r w:rsidR="00295707" w:rsidRPr="00266A94">
        <w:rPr>
          <w:rFonts w:ascii="Perpetua" w:eastAsia="Times New Roman" w:hAnsi="Perpetua" w:cs="Arial"/>
          <w:sz w:val="28"/>
          <w:szCs w:val="28"/>
        </w:rPr>
        <w:t>Bee Potter</w:t>
      </w:r>
      <w:r w:rsidR="00266A94" w:rsidRPr="00266A94">
        <w:rPr>
          <w:rFonts w:ascii="Perpetua" w:hAnsi="Perpetua" w:cs="Arial"/>
          <w:sz w:val="28"/>
          <w:szCs w:val="28"/>
        </w:rPr>
        <w:t xml:space="preserve">, </w:t>
      </w:r>
      <w:r w:rsidR="00295707" w:rsidRPr="00266A94">
        <w:rPr>
          <w:rFonts w:ascii="Perpetua" w:eastAsia="Times New Roman" w:hAnsi="Perpetua" w:cs="Arial"/>
          <w:sz w:val="28"/>
          <w:szCs w:val="28"/>
        </w:rPr>
        <w:t>Diane Coffey</w:t>
      </w:r>
      <w:r w:rsidR="00266A94" w:rsidRPr="00266A94">
        <w:rPr>
          <w:rFonts w:ascii="Perpetua" w:hAnsi="Perpetua" w:cs="Arial"/>
          <w:sz w:val="28"/>
          <w:szCs w:val="28"/>
        </w:rPr>
        <w:t xml:space="preserve">, </w:t>
      </w:r>
      <w:r w:rsidR="00295707" w:rsidRPr="00266A94">
        <w:rPr>
          <w:rFonts w:ascii="Perpetua" w:eastAsia="Times New Roman" w:hAnsi="Perpetua" w:cs="Arial"/>
          <w:sz w:val="28"/>
          <w:szCs w:val="28"/>
        </w:rPr>
        <w:t>Stacy Malone</w:t>
      </w:r>
      <w:r w:rsidR="00266A94" w:rsidRPr="00266A94">
        <w:rPr>
          <w:rFonts w:ascii="Perpetua" w:hAnsi="Perpetua" w:cs="Arial"/>
          <w:sz w:val="28"/>
          <w:szCs w:val="28"/>
        </w:rPr>
        <w:t xml:space="preserve">, </w:t>
      </w:r>
      <w:r w:rsidR="00295707" w:rsidRPr="00266A94">
        <w:rPr>
          <w:rFonts w:ascii="Perpetua" w:eastAsia="Times New Roman" w:hAnsi="Perpetua" w:cs="Arial"/>
          <w:sz w:val="28"/>
          <w:szCs w:val="28"/>
        </w:rPr>
        <w:t>Dr. Judith Linden</w:t>
      </w:r>
      <w:r w:rsidR="00266A94" w:rsidRPr="00266A94">
        <w:rPr>
          <w:rFonts w:ascii="Perpetua" w:hAnsi="Perpetua" w:cs="Arial"/>
          <w:sz w:val="28"/>
          <w:szCs w:val="28"/>
        </w:rPr>
        <w:t xml:space="preserve">, </w:t>
      </w:r>
      <w:r w:rsidR="00295707" w:rsidRPr="00266A94">
        <w:rPr>
          <w:rFonts w:ascii="Perpetua" w:eastAsia="Times New Roman" w:hAnsi="Perpetua" w:cs="Arial"/>
          <w:sz w:val="28"/>
          <w:szCs w:val="28"/>
        </w:rPr>
        <w:t>Dr. Ylisabyth S. Bradshaw</w:t>
      </w:r>
      <w:r w:rsidR="00266A94" w:rsidRPr="00266A94">
        <w:rPr>
          <w:rFonts w:ascii="Perpetua" w:hAnsi="Perpetua" w:cs="Arial"/>
          <w:sz w:val="28"/>
          <w:szCs w:val="28"/>
        </w:rPr>
        <w:t xml:space="preserve">, </w:t>
      </w:r>
      <w:r w:rsidR="00295707" w:rsidRPr="00266A94">
        <w:rPr>
          <w:rFonts w:ascii="Perpetua" w:eastAsia="Times New Roman" w:hAnsi="Perpetua" w:cs="Arial"/>
          <w:sz w:val="28"/>
          <w:szCs w:val="28"/>
        </w:rPr>
        <w:t>Kati Borden</w:t>
      </w:r>
      <w:r w:rsidR="00266A94" w:rsidRPr="00266A94">
        <w:rPr>
          <w:rFonts w:ascii="Perpetua" w:hAnsi="Perpetua" w:cs="Arial"/>
          <w:sz w:val="28"/>
          <w:szCs w:val="28"/>
        </w:rPr>
        <w:t xml:space="preserve">, </w:t>
      </w:r>
      <w:r w:rsidR="00295707" w:rsidRPr="00266A94">
        <w:rPr>
          <w:rFonts w:ascii="Perpetua" w:eastAsia="Times New Roman" w:hAnsi="Perpetua" w:cs="Arial"/>
          <w:sz w:val="28"/>
          <w:szCs w:val="28"/>
        </w:rPr>
        <w:t>Kristi Holden</w:t>
      </w:r>
      <w:r w:rsidR="00266A94" w:rsidRPr="00266A94">
        <w:rPr>
          <w:rFonts w:ascii="Perpetua" w:hAnsi="Perpetua" w:cs="Arial"/>
          <w:sz w:val="28"/>
          <w:szCs w:val="28"/>
        </w:rPr>
        <w:t xml:space="preserve">, </w:t>
      </w:r>
      <w:r w:rsidR="00295707" w:rsidRPr="00266A94">
        <w:rPr>
          <w:rFonts w:ascii="Perpetua" w:eastAsia="Times New Roman" w:hAnsi="Perpetua" w:cs="Arial"/>
          <w:sz w:val="28"/>
          <w:szCs w:val="28"/>
        </w:rPr>
        <w:t>Clair</w:t>
      </w:r>
      <w:r w:rsidR="00266A94" w:rsidRPr="00266A94">
        <w:rPr>
          <w:rFonts w:ascii="Perpetua" w:eastAsia="Times New Roman" w:hAnsi="Perpetua" w:cs="Arial"/>
          <w:sz w:val="28"/>
          <w:szCs w:val="28"/>
        </w:rPr>
        <w:t>e</w:t>
      </w:r>
      <w:r w:rsidR="00295707" w:rsidRPr="00266A94">
        <w:rPr>
          <w:rFonts w:ascii="Perpetua" w:eastAsia="Times New Roman" w:hAnsi="Perpetua" w:cs="Arial"/>
          <w:sz w:val="28"/>
          <w:szCs w:val="28"/>
        </w:rPr>
        <w:t xml:space="preserve"> Shastany</w:t>
      </w:r>
      <w:r w:rsidR="00266A94" w:rsidRPr="00266A94">
        <w:rPr>
          <w:rFonts w:ascii="Perpetua" w:hAnsi="Perpetua" w:cs="Arial"/>
          <w:sz w:val="28"/>
          <w:szCs w:val="28"/>
        </w:rPr>
        <w:t xml:space="preserve">, </w:t>
      </w:r>
      <w:r w:rsidR="00295707" w:rsidRPr="00266A94">
        <w:rPr>
          <w:rFonts w:ascii="Perpetua" w:eastAsia="Times New Roman" w:hAnsi="Perpetua" w:cs="Arial"/>
          <w:sz w:val="28"/>
          <w:szCs w:val="28"/>
        </w:rPr>
        <w:t>Jess Shaw</w:t>
      </w:r>
      <w:r w:rsidR="00266A94" w:rsidRPr="00266A94">
        <w:rPr>
          <w:rFonts w:ascii="Perpetua" w:hAnsi="Perpetua" w:cs="Arial"/>
          <w:sz w:val="28"/>
          <w:szCs w:val="28"/>
        </w:rPr>
        <w:t xml:space="preserve">, </w:t>
      </w:r>
      <w:r w:rsidR="00295707" w:rsidRPr="00266A94">
        <w:rPr>
          <w:rFonts w:ascii="Perpetua" w:eastAsia="Times New Roman" w:hAnsi="Perpetua" w:cs="Arial"/>
          <w:sz w:val="28"/>
          <w:szCs w:val="28"/>
        </w:rPr>
        <w:t>Tania Baez</w:t>
      </w:r>
    </w:p>
    <w:p w:rsidR="00295707" w:rsidRPr="00266A94" w:rsidRDefault="00295707" w:rsidP="00295707">
      <w:pPr>
        <w:pStyle w:val="ListParagraph"/>
        <w:spacing w:after="0" w:line="240" w:lineRule="auto"/>
        <w:rPr>
          <w:rFonts w:ascii="Perpetua" w:eastAsia="Times New Roman" w:hAnsi="Perpetua" w:cs="Arial"/>
          <w:sz w:val="28"/>
          <w:szCs w:val="28"/>
        </w:rPr>
        <w:sectPr w:rsidR="00295707" w:rsidRPr="00266A94" w:rsidSect="00266A94">
          <w:type w:val="continuous"/>
          <w:pgSz w:w="12240" w:h="15840"/>
          <w:pgMar w:top="1440" w:right="1440" w:bottom="1440" w:left="1440" w:header="720" w:footer="720" w:gutter="0"/>
          <w:cols w:space="720"/>
          <w:docGrid w:linePitch="360"/>
        </w:sectPr>
      </w:pPr>
    </w:p>
    <w:p w:rsidR="00FC2A0A" w:rsidRPr="00FC2A0A" w:rsidRDefault="00FC2A0A" w:rsidP="00266A94">
      <w:pPr>
        <w:rPr>
          <w:rFonts w:ascii="Perpetua" w:eastAsia="Times New Roman" w:hAnsi="Perpetua" w:cs="Arial"/>
          <w:sz w:val="28"/>
          <w:szCs w:val="28"/>
        </w:rPr>
      </w:pPr>
      <w:r>
        <w:rPr>
          <w:rFonts w:ascii="Perpetua" w:eastAsia="Times New Roman" w:hAnsi="Perpetua" w:cs="Arial"/>
          <w:b/>
          <w:sz w:val="28"/>
          <w:szCs w:val="28"/>
        </w:rPr>
        <w:lastRenderedPageBreak/>
        <w:t xml:space="preserve">Welcome – </w:t>
      </w:r>
      <w:r w:rsidRPr="00FC2A0A">
        <w:rPr>
          <w:rFonts w:ascii="Perpetua" w:eastAsia="Times New Roman" w:hAnsi="Perpetua" w:cs="Arial"/>
          <w:sz w:val="28"/>
          <w:szCs w:val="28"/>
        </w:rPr>
        <w:t xml:space="preserve">Diane Coffey </w:t>
      </w:r>
      <w:r w:rsidR="00150639" w:rsidRPr="00FC2A0A">
        <w:rPr>
          <w:rFonts w:ascii="Perpetua" w:eastAsia="Times New Roman" w:hAnsi="Perpetua" w:cs="Arial"/>
          <w:sz w:val="28"/>
          <w:szCs w:val="28"/>
        </w:rPr>
        <w:t>welcome</w:t>
      </w:r>
      <w:r w:rsidR="00150639">
        <w:rPr>
          <w:rFonts w:ascii="Perpetua" w:eastAsia="Times New Roman" w:hAnsi="Perpetua" w:cs="Arial"/>
          <w:sz w:val="28"/>
          <w:szCs w:val="28"/>
        </w:rPr>
        <w:t>d</w:t>
      </w:r>
      <w:r w:rsidR="00150639" w:rsidRPr="00FC2A0A">
        <w:rPr>
          <w:rFonts w:ascii="Perpetua" w:eastAsia="Times New Roman" w:hAnsi="Perpetua" w:cs="Arial"/>
          <w:sz w:val="28"/>
          <w:szCs w:val="28"/>
        </w:rPr>
        <w:t xml:space="preserve"> </w:t>
      </w:r>
      <w:r w:rsidRPr="00FC2A0A">
        <w:rPr>
          <w:rFonts w:ascii="Perpetua" w:eastAsia="Times New Roman" w:hAnsi="Perpetua" w:cs="Arial"/>
          <w:sz w:val="28"/>
          <w:szCs w:val="28"/>
        </w:rPr>
        <w:t>as the new MOVA representative on the SANE Board.  We thank Liam Lowney for his years of service.</w:t>
      </w:r>
    </w:p>
    <w:p w:rsidR="00E376FB" w:rsidRPr="00E376FB" w:rsidRDefault="00266A94" w:rsidP="00266A94">
      <w:pPr>
        <w:rPr>
          <w:rFonts w:ascii="Perpetua" w:eastAsia="Times New Roman" w:hAnsi="Perpetua" w:cs="Arial"/>
          <w:sz w:val="28"/>
          <w:szCs w:val="28"/>
        </w:rPr>
      </w:pPr>
      <w:r w:rsidRPr="00266A94">
        <w:rPr>
          <w:rFonts w:ascii="Perpetua" w:eastAsia="Times New Roman" w:hAnsi="Perpetua" w:cs="Arial"/>
          <w:b/>
          <w:sz w:val="28"/>
          <w:szCs w:val="28"/>
        </w:rPr>
        <w:t xml:space="preserve">November 11, </w:t>
      </w:r>
      <w:r>
        <w:rPr>
          <w:rFonts w:ascii="Perpetua" w:eastAsia="Times New Roman" w:hAnsi="Perpetua" w:cs="Arial"/>
          <w:b/>
          <w:sz w:val="28"/>
          <w:szCs w:val="28"/>
        </w:rPr>
        <w:t>20</w:t>
      </w:r>
      <w:r w:rsidRPr="00266A94">
        <w:rPr>
          <w:rFonts w:ascii="Perpetua" w:eastAsia="Times New Roman" w:hAnsi="Perpetua" w:cs="Arial"/>
          <w:b/>
          <w:sz w:val="28"/>
          <w:szCs w:val="28"/>
        </w:rPr>
        <w:t>15 Minutes</w:t>
      </w:r>
      <w:r>
        <w:rPr>
          <w:rFonts w:ascii="Perpetua" w:eastAsia="Times New Roman" w:hAnsi="Perpetua" w:cs="Arial"/>
          <w:sz w:val="28"/>
          <w:szCs w:val="28"/>
        </w:rPr>
        <w:t xml:space="preserve"> – Minutes were approved as written </w:t>
      </w:r>
    </w:p>
    <w:p w:rsidR="00E376FB" w:rsidRDefault="00295707" w:rsidP="00266A94">
      <w:pPr>
        <w:rPr>
          <w:rFonts w:ascii="Perpetua" w:hAnsi="Perpetua" w:cs="Arial"/>
          <w:b/>
          <w:sz w:val="28"/>
          <w:szCs w:val="28"/>
        </w:rPr>
      </w:pPr>
      <w:r w:rsidRPr="00E376FB">
        <w:rPr>
          <w:rFonts w:ascii="Perpetua" w:eastAsia="Times New Roman" w:hAnsi="Perpetua" w:cs="Arial"/>
          <w:b/>
          <w:sz w:val="28"/>
          <w:szCs w:val="28"/>
        </w:rPr>
        <w:t xml:space="preserve">SANE </w:t>
      </w:r>
      <w:r w:rsidR="009C7BB4">
        <w:rPr>
          <w:rFonts w:ascii="Perpetua" w:eastAsia="Times New Roman" w:hAnsi="Perpetua" w:cs="Arial"/>
          <w:b/>
          <w:sz w:val="28"/>
          <w:szCs w:val="28"/>
        </w:rPr>
        <w:t xml:space="preserve">FY17 State Funding Update (Line item 4510-0810):  </w:t>
      </w:r>
      <w:r w:rsidR="00E376FB">
        <w:rPr>
          <w:rFonts w:ascii="Perpetua" w:eastAsia="Times New Roman" w:hAnsi="Perpetua" w:cs="Arial"/>
          <w:b/>
          <w:sz w:val="28"/>
          <w:szCs w:val="28"/>
        </w:rPr>
        <w:t xml:space="preserve"> - </w:t>
      </w:r>
      <w:r w:rsidR="00E376FB">
        <w:rPr>
          <w:rFonts w:ascii="Perpetua" w:eastAsia="Times New Roman" w:hAnsi="Perpetua" w:cs="Arial"/>
          <w:sz w:val="28"/>
          <w:szCs w:val="28"/>
        </w:rPr>
        <w:t>The Governor</w:t>
      </w:r>
      <w:r w:rsidR="00150639">
        <w:rPr>
          <w:rFonts w:ascii="Perpetua" w:eastAsia="Times New Roman" w:hAnsi="Perpetua" w:cs="Arial"/>
          <w:sz w:val="28"/>
          <w:szCs w:val="28"/>
        </w:rPr>
        <w:t>’s FY17 budget,</w:t>
      </w:r>
      <w:r w:rsidR="00E376FB">
        <w:rPr>
          <w:rFonts w:ascii="Perpetua" w:eastAsia="Times New Roman" w:hAnsi="Perpetua" w:cs="Arial"/>
          <w:sz w:val="28"/>
          <w:szCs w:val="28"/>
        </w:rPr>
        <w:t xml:space="preserve"> proposed in January</w:t>
      </w:r>
      <w:r w:rsidR="009C7BB4">
        <w:rPr>
          <w:rFonts w:ascii="Perpetua" w:eastAsia="Times New Roman" w:hAnsi="Perpetua" w:cs="Arial"/>
          <w:sz w:val="28"/>
          <w:szCs w:val="28"/>
        </w:rPr>
        <w:t>, included</w:t>
      </w:r>
      <w:r w:rsidR="00150639">
        <w:rPr>
          <w:rFonts w:ascii="Perpetua" w:eastAsia="Times New Roman" w:hAnsi="Perpetua" w:cs="Arial"/>
          <w:sz w:val="28"/>
          <w:szCs w:val="28"/>
        </w:rPr>
        <w:t xml:space="preserve"> level funding for the SANE program</w:t>
      </w:r>
      <w:r w:rsidR="00533792">
        <w:rPr>
          <w:rFonts w:ascii="Perpetua" w:eastAsia="Times New Roman" w:hAnsi="Perpetua" w:cs="Arial"/>
          <w:sz w:val="28"/>
          <w:szCs w:val="28"/>
        </w:rPr>
        <w:t xml:space="preserve"> as did the House</w:t>
      </w:r>
      <w:r w:rsidR="00150639">
        <w:rPr>
          <w:rFonts w:ascii="Perpetua" w:eastAsia="Times New Roman" w:hAnsi="Perpetua" w:cs="Arial"/>
          <w:sz w:val="28"/>
          <w:szCs w:val="28"/>
        </w:rPr>
        <w:t xml:space="preserve">.  The </w:t>
      </w:r>
      <w:r w:rsidR="00533792">
        <w:rPr>
          <w:rFonts w:ascii="Perpetua" w:eastAsia="Times New Roman" w:hAnsi="Perpetua" w:cs="Arial"/>
          <w:sz w:val="28"/>
          <w:szCs w:val="28"/>
        </w:rPr>
        <w:t>Senate budget included $</w:t>
      </w:r>
      <w:r w:rsidR="009C7BB4">
        <w:rPr>
          <w:rFonts w:ascii="Perpetua" w:eastAsia="Times New Roman" w:hAnsi="Perpetua" w:cs="Arial"/>
          <w:sz w:val="28"/>
          <w:szCs w:val="28"/>
        </w:rPr>
        <w:t xml:space="preserve">180K in expansion funding </w:t>
      </w:r>
      <w:r w:rsidR="003316FC">
        <w:rPr>
          <w:rFonts w:ascii="Perpetua" w:eastAsia="Times New Roman" w:hAnsi="Perpetua" w:cs="Arial"/>
          <w:sz w:val="28"/>
          <w:szCs w:val="28"/>
        </w:rPr>
        <w:t>for MACA</w:t>
      </w:r>
      <w:r w:rsidR="009C7BB4">
        <w:rPr>
          <w:rFonts w:ascii="Perpetua" w:eastAsia="Times New Roman" w:hAnsi="Perpetua" w:cs="Arial"/>
          <w:sz w:val="28"/>
          <w:szCs w:val="28"/>
        </w:rPr>
        <w:t xml:space="preserve">.  We are awaiting the results of the final budget.  </w:t>
      </w:r>
    </w:p>
    <w:p w:rsidR="00266A94" w:rsidRPr="00266A94" w:rsidRDefault="006869C6" w:rsidP="00266A94">
      <w:pPr>
        <w:rPr>
          <w:rFonts w:ascii="Perpetua" w:hAnsi="Perpetua" w:cs="Arial"/>
          <w:b/>
          <w:sz w:val="28"/>
          <w:szCs w:val="28"/>
        </w:rPr>
      </w:pPr>
      <w:r>
        <w:rPr>
          <w:rFonts w:ascii="Perpetua" w:hAnsi="Perpetua" w:cs="Arial"/>
          <w:b/>
          <w:sz w:val="28"/>
          <w:szCs w:val="28"/>
        </w:rPr>
        <w:t xml:space="preserve">FY’15 and </w:t>
      </w:r>
      <w:r w:rsidR="00150639">
        <w:rPr>
          <w:rFonts w:ascii="Perpetua" w:hAnsi="Perpetua" w:cs="Arial"/>
          <w:b/>
          <w:sz w:val="28"/>
          <w:szCs w:val="28"/>
        </w:rPr>
        <w:t xml:space="preserve">FY’16 </w:t>
      </w:r>
      <w:r w:rsidR="00266A94" w:rsidRPr="00266A94">
        <w:rPr>
          <w:rFonts w:ascii="Perpetua" w:hAnsi="Perpetua" w:cs="Arial"/>
          <w:b/>
          <w:sz w:val="28"/>
          <w:szCs w:val="28"/>
        </w:rPr>
        <w:t xml:space="preserve">SANE </w:t>
      </w:r>
      <w:r w:rsidR="005A23BF">
        <w:rPr>
          <w:rFonts w:ascii="Perpetua" w:hAnsi="Perpetua" w:cs="Arial"/>
          <w:b/>
          <w:sz w:val="28"/>
          <w:szCs w:val="28"/>
        </w:rPr>
        <w:t xml:space="preserve">Service Delivery </w:t>
      </w:r>
    </w:p>
    <w:tbl>
      <w:tblPr>
        <w:tblStyle w:val="TableGrid"/>
        <w:tblW w:w="0" w:type="auto"/>
        <w:tblLook w:val="04A0" w:firstRow="1" w:lastRow="0" w:firstColumn="1" w:lastColumn="0" w:noHBand="0" w:noVBand="1"/>
      </w:tblPr>
      <w:tblGrid>
        <w:gridCol w:w="2988"/>
        <w:gridCol w:w="1800"/>
        <w:gridCol w:w="2790"/>
        <w:gridCol w:w="1998"/>
      </w:tblGrid>
      <w:tr w:rsidR="00692CAB" w:rsidRPr="00266A94" w:rsidTr="001D0203">
        <w:tc>
          <w:tcPr>
            <w:tcW w:w="4788" w:type="dxa"/>
            <w:gridSpan w:val="2"/>
            <w:shd w:val="clear" w:color="auto" w:fill="B2A1C7" w:themeFill="accent4" w:themeFillTint="99"/>
          </w:tcPr>
          <w:p w:rsidR="00692CAB" w:rsidRPr="00266A94" w:rsidRDefault="001D0203" w:rsidP="00692CAB">
            <w:pPr>
              <w:jc w:val="center"/>
              <w:rPr>
                <w:rFonts w:ascii="Perpetua" w:hAnsi="Perpetua" w:cs="Arial"/>
                <w:sz w:val="28"/>
                <w:szCs w:val="28"/>
              </w:rPr>
            </w:pPr>
            <w:r w:rsidRPr="008D60E2">
              <w:rPr>
                <w:rFonts w:ascii="Perpetua" w:hAnsi="Perpetua" w:cs="Arial"/>
                <w:color w:val="FFFFFF" w:themeColor="background1"/>
                <w:sz w:val="28"/>
                <w:szCs w:val="28"/>
              </w:rPr>
              <w:t>Adult Adolescent</w:t>
            </w:r>
          </w:p>
        </w:tc>
        <w:tc>
          <w:tcPr>
            <w:tcW w:w="4788" w:type="dxa"/>
            <w:gridSpan w:val="2"/>
            <w:shd w:val="clear" w:color="auto" w:fill="548DD4" w:themeFill="text2" w:themeFillTint="99"/>
          </w:tcPr>
          <w:p w:rsidR="00692CAB" w:rsidRPr="008D60E2" w:rsidRDefault="001D0203" w:rsidP="00692CAB">
            <w:pPr>
              <w:jc w:val="center"/>
              <w:rPr>
                <w:rFonts w:ascii="Perpetua" w:hAnsi="Perpetua" w:cs="Arial"/>
                <w:sz w:val="28"/>
                <w:szCs w:val="28"/>
              </w:rPr>
            </w:pPr>
            <w:r w:rsidRPr="008D60E2">
              <w:rPr>
                <w:rFonts w:ascii="Perpetua" w:hAnsi="Perpetua" w:cs="Arial"/>
                <w:color w:val="FFFFFF" w:themeColor="background1"/>
                <w:sz w:val="28"/>
                <w:szCs w:val="28"/>
              </w:rPr>
              <w:t>CAC/Pediatric SANE</w:t>
            </w:r>
          </w:p>
        </w:tc>
      </w:tr>
      <w:tr w:rsidR="00295707" w:rsidRPr="00266A94" w:rsidTr="00437DB6">
        <w:tc>
          <w:tcPr>
            <w:tcW w:w="2988" w:type="dxa"/>
          </w:tcPr>
          <w:p w:rsidR="00295707" w:rsidRPr="00266A94" w:rsidRDefault="00692CAB" w:rsidP="00692CAB">
            <w:pPr>
              <w:jc w:val="center"/>
              <w:rPr>
                <w:rFonts w:ascii="Perpetua" w:hAnsi="Perpetua" w:cs="Arial"/>
                <w:sz w:val="28"/>
                <w:szCs w:val="28"/>
              </w:rPr>
            </w:pPr>
            <w:r w:rsidRPr="00266A94">
              <w:rPr>
                <w:rFonts w:ascii="Perpetua" w:hAnsi="Perpetua" w:cs="Arial"/>
                <w:sz w:val="28"/>
                <w:szCs w:val="28"/>
              </w:rPr>
              <w:t xml:space="preserve">FY </w:t>
            </w:r>
            <w:r w:rsidR="00150639">
              <w:rPr>
                <w:rFonts w:ascii="Perpetua" w:hAnsi="Perpetua" w:cs="Arial"/>
                <w:sz w:val="28"/>
                <w:szCs w:val="28"/>
              </w:rPr>
              <w:t>’</w:t>
            </w:r>
            <w:r w:rsidRPr="00266A94">
              <w:rPr>
                <w:rFonts w:ascii="Perpetua" w:hAnsi="Perpetua" w:cs="Arial"/>
                <w:sz w:val="28"/>
                <w:szCs w:val="28"/>
              </w:rPr>
              <w:t>16</w:t>
            </w:r>
            <w:r w:rsidR="00150639">
              <w:rPr>
                <w:rFonts w:ascii="Perpetua" w:hAnsi="Perpetua" w:cs="Arial"/>
                <w:sz w:val="28"/>
                <w:szCs w:val="28"/>
              </w:rPr>
              <w:t xml:space="preserve"> (as of June</w:t>
            </w:r>
            <w:r w:rsidR="00437DB6">
              <w:rPr>
                <w:rFonts w:ascii="Perpetua" w:hAnsi="Perpetua" w:cs="Arial"/>
                <w:sz w:val="28"/>
                <w:szCs w:val="28"/>
              </w:rPr>
              <w:t xml:space="preserve"> 10th</w:t>
            </w:r>
            <w:r w:rsidR="00150639">
              <w:rPr>
                <w:rFonts w:ascii="Perpetua" w:hAnsi="Perpetua" w:cs="Arial"/>
                <w:sz w:val="28"/>
                <w:szCs w:val="28"/>
              </w:rPr>
              <w:t>)</w:t>
            </w:r>
          </w:p>
        </w:tc>
        <w:tc>
          <w:tcPr>
            <w:tcW w:w="1800" w:type="dxa"/>
          </w:tcPr>
          <w:p w:rsidR="00295707" w:rsidRPr="00266A94" w:rsidRDefault="00437DB6" w:rsidP="00692CAB">
            <w:pPr>
              <w:jc w:val="center"/>
              <w:rPr>
                <w:rFonts w:ascii="Perpetua" w:hAnsi="Perpetua" w:cs="Arial"/>
                <w:sz w:val="28"/>
                <w:szCs w:val="28"/>
              </w:rPr>
            </w:pPr>
            <w:r>
              <w:rPr>
                <w:rFonts w:ascii="Perpetua" w:hAnsi="Perpetua" w:cs="Arial"/>
                <w:sz w:val="28"/>
                <w:szCs w:val="28"/>
              </w:rPr>
              <w:t>975</w:t>
            </w:r>
          </w:p>
        </w:tc>
        <w:tc>
          <w:tcPr>
            <w:tcW w:w="2790" w:type="dxa"/>
          </w:tcPr>
          <w:p w:rsidR="00295707" w:rsidRPr="00266A94" w:rsidRDefault="00692CAB" w:rsidP="00692CAB">
            <w:pPr>
              <w:jc w:val="center"/>
              <w:rPr>
                <w:rFonts w:ascii="Perpetua" w:hAnsi="Perpetua" w:cs="Arial"/>
                <w:sz w:val="28"/>
                <w:szCs w:val="28"/>
              </w:rPr>
            </w:pPr>
            <w:r w:rsidRPr="00266A94">
              <w:rPr>
                <w:rFonts w:ascii="Perpetua" w:hAnsi="Perpetua" w:cs="Arial"/>
                <w:sz w:val="28"/>
                <w:szCs w:val="28"/>
              </w:rPr>
              <w:t xml:space="preserve">FY </w:t>
            </w:r>
            <w:r w:rsidR="00437DB6">
              <w:rPr>
                <w:rFonts w:ascii="Perpetua" w:hAnsi="Perpetua" w:cs="Arial"/>
                <w:sz w:val="28"/>
                <w:szCs w:val="28"/>
              </w:rPr>
              <w:t>‘</w:t>
            </w:r>
            <w:r w:rsidRPr="00266A94">
              <w:rPr>
                <w:rFonts w:ascii="Perpetua" w:hAnsi="Perpetua" w:cs="Arial"/>
                <w:sz w:val="28"/>
                <w:szCs w:val="28"/>
              </w:rPr>
              <w:t>16</w:t>
            </w:r>
            <w:r w:rsidR="00437DB6">
              <w:rPr>
                <w:rFonts w:ascii="Perpetua" w:hAnsi="Perpetua" w:cs="Arial"/>
                <w:sz w:val="28"/>
                <w:szCs w:val="28"/>
              </w:rPr>
              <w:t xml:space="preserve"> ( as of June 10</w:t>
            </w:r>
            <w:r w:rsidR="00437DB6" w:rsidRPr="00437DB6">
              <w:rPr>
                <w:rFonts w:ascii="Perpetua" w:hAnsi="Perpetua" w:cs="Arial"/>
                <w:sz w:val="28"/>
                <w:szCs w:val="28"/>
                <w:vertAlign w:val="superscript"/>
              </w:rPr>
              <w:t>th</w:t>
            </w:r>
            <w:r w:rsidR="00437DB6">
              <w:rPr>
                <w:rFonts w:ascii="Perpetua" w:hAnsi="Perpetua" w:cs="Arial"/>
                <w:sz w:val="28"/>
                <w:szCs w:val="28"/>
              </w:rPr>
              <w:t>)</w:t>
            </w:r>
          </w:p>
        </w:tc>
        <w:tc>
          <w:tcPr>
            <w:tcW w:w="1998" w:type="dxa"/>
          </w:tcPr>
          <w:p w:rsidR="00295707" w:rsidRPr="00266A94" w:rsidRDefault="00437DB6" w:rsidP="00692CAB">
            <w:pPr>
              <w:jc w:val="center"/>
              <w:rPr>
                <w:rFonts w:ascii="Perpetua" w:hAnsi="Perpetua" w:cs="Arial"/>
                <w:sz w:val="28"/>
                <w:szCs w:val="28"/>
              </w:rPr>
            </w:pPr>
            <w:r>
              <w:rPr>
                <w:rFonts w:ascii="Perpetua" w:hAnsi="Perpetua" w:cs="Arial"/>
                <w:sz w:val="28"/>
                <w:szCs w:val="28"/>
              </w:rPr>
              <w:t>839</w:t>
            </w:r>
          </w:p>
        </w:tc>
      </w:tr>
      <w:tr w:rsidR="00295707" w:rsidRPr="00266A94" w:rsidTr="00437DB6">
        <w:tc>
          <w:tcPr>
            <w:tcW w:w="2988" w:type="dxa"/>
          </w:tcPr>
          <w:p w:rsidR="00295707" w:rsidRPr="00266A94" w:rsidRDefault="00692CAB" w:rsidP="00692CAB">
            <w:pPr>
              <w:jc w:val="center"/>
              <w:rPr>
                <w:rFonts w:ascii="Perpetua" w:hAnsi="Perpetua" w:cs="Arial"/>
                <w:sz w:val="28"/>
                <w:szCs w:val="28"/>
              </w:rPr>
            </w:pPr>
            <w:r w:rsidRPr="00266A94">
              <w:rPr>
                <w:rFonts w:ascii="Perpetua" w:hAnsi="Perpetua" w:cs="Arial"/>
                <w:sz w:val="28"/>
                <w:szCs w:val="28"/>
              </w:rPr>
              <w:t>FY ‘15</w:t>
            </w:r>
          </w:p>
        </w:tc>
        <w:tc>
          <w:tcPr>
            <w:tcW w:w="1800" w:type="dxa"/>
          </w:tcPr>
          <w:p w:rsidR="00295707" w:rsidRPr="00266A94" w:rsidRDefault="00437DB6" w:rsidP="00692CAB">
            <w:pPr>
              <w:jc w:val="center"/>
              <w:rPr>
                <w:rFonts w:ascii="Perpetua" w:hAnsi="Perpetua" w:cs="Arial"/>
                <w:sz w:val="28"/>
                <w:szCs w:val="28"/>
              </w:rPr>
            </w:pPr>
            <w:r>
              <w:rPr>
                <w:rFonts w:ascii="Perpetua" w:hAnsi="Perpetua" w:cs="Arial"/>
                <w:sz w:val="28"/>
                <w:szCs w:val="28"/>
              </w:rPr>
              <w:t>900</w:t>
            </w:r>
          </w:p>
        </w:tc>
        <w:tc>
          <w:tcPr>
            <w:tcW w:w="2790" w:type="dxa"/>
          </w:tcPr>
          <w:p w:rsidR="00295707" w:rsidRPr="00266A94" w:rsidRDefault="001D0203" w:rsidP="00692CAB">
            <w:pPr>
              <w:jc w:val="center"/>
              <w:rPr>
                <w:rFonts w:ascii="Perpetua" w:hAnsi="Perpetua" w:cs="Arial"/>
                <w:sz w:val="28"/>
                <w:szCs w:val="28"/>
              </w:rPr>
            </w:pPr>
            <w:r>
              <w:rPr>
                <w:rFonts w:ascii="Perpetua" w:hAnsi="Perpetua" w:cs="Arial"/>
                <w:sz w:val="28"/>
                <w:szCs w:val="28"/>
              </w:rPr>
              <w:t xml:space="preserve">FY </w:t>
            </w:r>
            <w:r w:rsidR="00692CAB" w:rsidRPr="00266A94">
              <w:rPr>
                <w:rFonts w:ascii="Perpetua" w:hAnsi="Perpetua" w:cs="Arial"/>
                <w:sz w:val="28"/>
                <w:szCs w:val="28"/>
              </w:rPr>
              <w:t>’15</w:t>
            </w:r>
          </w:p>
        </w:tc>
        <w:tc>
          <w:tcPr>
            <w:tcW w:w="1998" w:type="dxa"/>
          </w:tcPr>
          <w:p w:rsidR="00295707" w:rsidRPr="00266A94" w:rsidRDefault="00692CAB" w:rsidP="00692CAB">
            <w:pPr>
              <w:jc w:val="center"/>
              <w:rPr>
                <w:rFonts w:ascii="Perpetua" w:hAnsi="Perpetua" w:cs="Arial"/>
                <w:sz w:val="28"/>
                <w:szCs w:val="28"/>
              </w:rPr>
            </w:pPr>
            <w:r w:rsidRPr="00266A94">
              <w:rPr>
                <w:rFonts w:ascii="Perpetua" w:hAnsi="Perpetua" w:cs="Arial"/>
                <w:sz w:val="28"/>
                <w:szCs w:val="28"/>
              </w:rPr>
              <w:t>751</w:t>
            </w:r>
          </w:p>
        </w:tc>
      </w:tr>
    </w:tbl>
    <w:p w:rsidR="007B3665" w:rsidRDefault="007B3665" w:rsidP="008B1CFC">
      <w:pPr>
        <w:spacing w:after="0" w:line="240" w:lineRule="auto"/>
        <w:rPr>
          <w:rFonts w:ascii="Perpetua" w:hAnsi="Perpetua" w:cs="Arial"/>
          <w:color w:val="FF0000"/>
          <w:sz w:val="28"/>
          <w:szCs w:val="28"/>
        </w:rPr>
      </w:pPr>
    </w:p>
    <w:p w:rsidR="00692CAB" w:rsidRPr="007B3665" w:rsidRDefault="007B3665" w:rsidP="008B1CFC">
      <w:pPr>
        <w:spacing w:after="0" w:line="240" w:lineRule="auto"/>
        <w:rPr>
          <w:rFonts w:ascii="Perpetua" w:hAnsi="Perpetua" w:cs="Arial"/>
          <w:sz w:val="28"/>
          <w:szCs w:val="28"/>
        </w:rPr>
      </w:pPr>
      <w:r w:rsidRPr="007B3665">
        <w:rPr>
          <w:rFonts w:ascii="Perpetua" w:hAnsi="Perpetua" w:cs="Arial"/>
          <w:sz w:val="28"/>
          <w:szCs w:val="28"/>
        </w:rPr>
        <w:t>Patient volume has been significant at our 2 New SANE Sites:</w:t>
      </w:r>
    </w:p>
    <w:p w:rsidR="008B1CFC" w:rsidRPr="007B3665" w:rsidRDefault="007B3665" w:rsidP="007B3665">
      <w:pPr>
        <w:pStyle w:val="ListParagraph"/>
        <w:numPr>
          <w:ilvl w:val="0"/>
          <w:numId w:val="11"/>
        </w:numPr>
        <w:spacing w:after="0" w:line="240" w:lineRule="auto"/>
        <w:rPr>
          <w:rFonts w:ascii="Perpetua" w:hAnsi="Perpetua" w:cs="Arial"/>
          <w:sz w:val="28"/>
          <w:szCs w:val="28"/>
        </w:rPr>
      </w:pPr>
      <w:r w:rsidRPr="007B3665">
        <w:rPr>
          <w:rFonts w:ascii="Perpetua" w:hAnsi="Perpetua" w:cs="Arial"/>
          <w:sz w:val="28"/>
          <w:szCs w:val="28"/>
        </w:rPr>
        <w:t xml:space="preserve">South Shore Hospital </w:t>
      </w:r>
      <w:r w:rsidR="008B1CFC" w:rsidRPr="007B3665">
        <w:rPr>
          <w:rFonts w:ascii="Perpetua" w:hAnsi="Perpetua" w:cs="Arial"/>
          <w:sz w:val="28"/>
          <w:szCs w:val="28"/>
        </w:rPr>
        <w:t>10/26/2015</w:t>
      </w:r>
      <w:r w:rsidRPr="007B3665">
        <w:rPr>
          <w:rFonts w:ascii="Perpetua" w:hAnsi="Perpetua" w:cs="Arial"/>
          <w:sz w:val="28"/>
          <w:szCs w:val="28"/>
        </w:rPr>
        <w:t xml:space="preserve"> – June 10, 2016</w:t>
      </w:r>
      <w:r w:rsidR="008B1CFC" w:rsidRPr="007B3665">
        <w:rPr>
          <w:rFonts w:ascii="Perpetua" w:hAnsi="Perpetua" w:cs="Arial"/>
          <w:sz w:val="28"/>
          <w:szCs w:val="28"/>
        </w:rPr>
        <w:t xml:space="preserve"> = 36</w:t>
      </w:r>
      <w:r w:rsidRPr="007B3665">
        <w:rPr>
          <w:rFonts w:ascii="Perpetua" w:hAnsi="Perpetua" w:cs="Arial"/>
          <w:sz w:val="28"/>
          <w:szCs w:val="28"/>
        </w:rPr>
        <w:t xml:space="preserve"> patients</w:t>
      </w:r>
    </w:p>
    <w:p w:rsidR="007B3665" w:rsidRPr="008D60E2" w:rsidRDefault="007B3665" w:rsidP="008B1CFC">
      <w:pPr>
        <w:pStyle w:val="ListParagraph"/>
        <w:numPr>
          <w:ilvl w:val="0"/>
          <w:numId w:val="11"/>
        </w:numPr>
        <w:spacing w:after="0" w:line="240" w:lineRule="auto"/>
        <w:rPr>
          <w:rFonts w:ascii="Perpetua" w:hAnsi="Perpetua" w:cs="Arial"/>
          <w:sz w:val="28"/>
          <w:szCs w:val="28"/>
        </w:rPr>
      </w:pPr>
      <w:r w:rsidRPr="007B3665">
        <w:rPr>
          <w:rFonts w:ascii="Perpetua" w:hAnsi="Perpetua" w:cs="Arial"/>
          <w:sz w:val="28"/>
          <w:szCs w:val="28"/>
        </w:rPr>
        <w:t>Berkshire Medical Center 11/7/15 – June 10, 2016 = 19 patients</w:t>
      </w:r>
    </w:p>
    <w:p w:rsidR="007B3665" w:rsidRDefault="007B3665" w:rsidP="008B1CFC">
      <w:pPr>
        <w:spacing w:after="0" w:line="240" w:lineRule="auto"/>
        <w:rPr>
          <w:rFonts w:ascii="Perpetua" w:hAnsi="Perpetua" w:cs="Arial"/>
          <w:sz w:val="28"/>
          <w:szCs w:val="28"/>
        </w:rPr>
      </w:pPr>
    </w:p>
    <w:p w:rsidR="008B1CFC" w:rsidRPr="00266A94" w:rsidRDefault="008B1CFC" w:rsidP="008B1CFC">
      <w:pPr>
        <w:spacing w:after="0" w:line="240" w:lineRule="auto"/>
        <w:rPr>
          <w:rFonts w:ascii="Perpetua" w:hAnsi="Perpetua" w:cs="Arial"/>
          <w:sz w:val="28"/>
          <w:szCs w:val="28"/>
        </w:rPr>
      </w:pPr>
      <w:r w:rsidRPr="007B3665">
        <w:rPr>
          <w:rFonts w:ascii="Perpetua" w:hAnsi="Perpetua" w:cs="Arial"/>
          <w:b/>
          <w:sz w:val="28"/>
          <w:szCs w:val="28"/>
        </w:rPr>
        <w:t>N</w:t>
      </w:r>
      <w:r w:rsidR="007B3665" w:rsidRPr="007B3665">
        <w:rPr>
          <w:rFonts w:ascii="Perpetua" w:hAnsi="Perpetua" w:cs="Arial"/>
          <w:b/>
          <w:sz w:val="28"/>
          <w:szCs w:val="28"/>
        </w:rPr>
        <w:t>ational TeleNursing Center Update</w:t>
      </w:r>
      <w:r w:rsidR="007B3665">
        <w:rPr>
          <w:rFonts w:ascii="Perpetua" w:hAnsi="Perpetua" w:cs="Arial"/>
          <w:sz w:val="28"/>
          <w:szCs w:val="28"/>
        </w:rPr>
        <w:t>:</w:t>
      </w:r>
    </w:p>
    <w:p w:rsidR="008D60E2" w:rsidRDefault="007B3665" w:rsidP="008D60E2">
      <w:pPr>
        <w:pStyle w:val="ListParagraph"/>
        <w:numPr>
          <w:ilvl w:val="0"/>
          <w:numId w:val="5"/>
        </w:numPr>
        <w:spacing w:after="0" w:line="240" w:lineRule="auto"/>
        <w:rPr>
          <w:rFonts w:ascii="Perpetua" w:hAnsi="Perpetua" w:cs="Arial"/>
          <w:sz w:val="28"/>
          <w:szCs w:val="28"/>
        </w:rPr>
      </w:pPr>
      <w:r>
        <w:rPr>
          <w:rFonts w:ascii="Perpetua" w:hAnsi="Perpetua" w:cs="Arial"/>
          <w:sz w:val="28"/>
          <w:szCs w:val="28"/>
        </w:rPr>
        <w:t xml:space="preserve">St. Anne’s and </w:t>
      </w:r>
      <w:proofErr w:type="spellStart"/>
      <w:r>
        <w:rPr>
          <w:rFonts w:ascii="Perpetua" w:hAnsi="Perpetua" w:cs="Arial"/>
          <w:sz w:val="28"/>
          <w:szCs w:val="28"/>
        </w:rPr>
        <w:t>MetroWest</w:t>
      </w:r>
      <w:proofErr w:type="spellEnd"/>
      <w:r>
        <w:rPr>
          <w:rFonts w:ascii="Perpetua" w:hAnsi="Perpetua" w:cs="Arial"/>
          <w:sz w:val="28"/>
          <w:szCs w:val="28"/>
        </w:rPr>
        <w:t xml:space="preserve"> Medical Center have </w:t>
      </w:r>
      <w:r w:rsidR="00150639">
        <w:rPr>
          <w:rFonts w:ascii="Perpetua" w:hAnsi="Perpetua" w:cs="Arial"/>
          <w:sz w:val="28"/>
          <w:szCs w:val="28"/>
        </w:rPr>
        <w:t xml:space="preserve">been </w:t>
      </w:r>
      <w:r>
        <w:rPr>
          <w:rFonts w:ascii="Perpetua" w:hAnsi="Perpetua" w:cs="Arial"/>
          <w:sz w:val="28"/>
          <w:szCs w:val="28"/>
        </w:rPr>
        <w:t>chosen as the 2 MA pilot sites for the Project.  At our next meeting, our NTC staff will provide an overview of the project to date.</w:t>
      </w:r>
    </w:p>
    <w:p w:rsidR="008F78EA" w:rsidRPr="008D60E2" w:rsidRDefault="008F78EA" w:rsidP="00437DB6">
      <w:pPr>
        <w:spacing w:after="0" w:line="240" w:lineRule="auto"/>
        <w:rPr>
          <w:rFonts w:ascii="Perpetua" w:hAnsi="Perpetua" w:cs="Arial"/>
          <w:sz w:val="28"/>
          <w:szCs w:val="28"/>
        </w:rPr>
      </w:pPr>
    </w:p>
    <w:p w:rsidR="00E924E0" w:rsidRPr="008D60E2" w:rsidRDefault="00E924E0" w:rsidP="008D60E2">
      <w:pPr>
        <w:spacing w:after="0" w:line="240" w:lineRule="auto"/>
        <w:rPr>
          <w:rFonts w:ascii="Perpetua" w:hAnsi="Perpetua" w:cs="Arial"/>
          <w:sz w:val="28"/>
          <w:szCs w:val="28"/>
        </w:rPr>
      </w:pPr>
      <w:r w:rsidRPr="008D60E2">
        <w:rPr>
          <w:rFonts w:ascii="Perpetua" w:hAnsi="Perpetua" w:cs="Arial"/>
          <w:b/>
          <w:sz w:val="28"/>
          <w:szCs w:val="28"/>
          <w:u w:val="single"/>
        </w:rPr>
        <w:t>FY ’17 Expansion</w:t>
      </w:r>
    </w:p>
    <w:p w:rsidR="007B3665" w:rsidRDefault="007B3665" w:rsidP="00E924E0">
      <w:pPr>
        <w:pStyle w:val="ListParagraph"/>
        <w:numPr>
          <w:ilvl w:val="0"/>
          <w:numId w:val="7"/>
        </w:numPr>
        <w:spacing w:after="0" w:line="240" w:lineRule="auto"/>
        <w:rPr>
          <w:rFonts w:ascii="Perpetua" w:hAnsi="Perpetua" w:cs="Arial"/>
          <w:sz w:val="28"/>
          <w:szCs w:val="28"/>
        </w:rPr>
      </w:pPr>
      <w:r w:rsidRPr="006B374C">
        <w:rPr>
          <w:rFonts w:ascii="Perpetua" w:hAnsi="Perpetua" w:cs="Arial"/>
          <w:b/>
          <w:sz w:val="28"/>
          <w:szCs w:val="28"/>
        </w:rPr>
        <w:t>Lowell General Hospital (LGH)</w:t>
      </w:r>
      <w:r>
        <w:rPr>
          <w:rFonts w:ascii="Perpetua" w:hAnsi="Perpetua" w:cs="Arial"/>
          <w:sz w:val="28"/>
          <w:szCs w:val="28"/>
        </w:rPr>
        <w:t xml:space="preserve"> </w:t>
      </w:r>
      <w:r w:rsidR="008D60E2">
        <w:rPr>
          <w:rFonts w:ascii="Perpetua" w:hAnsi="Perpetua" w:cs="Arial"/>
          <w:sz w:val="28"/>
          <w:szCs w:val="28"/>
        </w:rPr>
        <w:t xml:space="preserve">We anticipate “going live” with </w:t>
      </w:r>
      <w:r w:rsidR="00E924E0" w:rsidRPr="00266A94">
        <w:rPr>
          <w:rFonts w:ascii="Perpetua" w:hAnsi="Perpetua" w:cs="Arial"/>
          <w:sz w:val="28"/>
          <w:szCs w:val="28"/>
        </w:rPr>
        <w:t>Lowell General Hospital</w:t>
      </w:r>
      <w:r w:rsidR="00C03D6C">
        <w:rPr>
          <w:rFonts w:ascii="Perpetua" w:hAnsi="Perpetua" w:cs="Arial"/>
          <w:sz w:val="28"/>
          <w:szCs w:val="28"/>
        </w:rPr>
        <w:t xml:space="preserve"> </w:t>
      </w:r>
      <w:r w:rsidR="002D43EF">
        <w:rPr>
          <w:rFonts w:ascii="Perpetua" w:hAnsi="Perpetua" w:cs="Arial"/>
          <w:sz w:val="28"/>
          <w:szCs w:val="28"/>
        </w:rPr>
        <w:t xml:space="preserve">in early September. While </w:t>
      </w:r>
      <w:r w:rsidR="008D60E2">
        <w:rPr>
          <w:rFonts w:ascii="Perpetua" w:hAnsi="Perpetua" w:cs="Arial"/>
          <w:sz w:val="28"/>
          <w:szCs w:val="28"/>
        </w:rPr>
        <w:t>our initial goal was</w:t>
      </w:r>
      <w:r w:rsidR="005F442E">
        <w:rPr>
          <w:rFonts w:ascii="Perpetua" w:hAnsi="Perpetua" w:cs="Arial"/>
          <w:sz w:val="28"/>
          <w:szCs w:val="28"/>
        </w:rPr>
        <w:t xml:space="preserve"> July, because </w:t>
      </w:r>
      <w:r>
        <w:rPr>
          <w:rFonts w:ascii="Perpetua" w:hAnsi="Perpetua" w:cs="Arial"/>
          <w:sz w:val="28"/>
          <w:szCs w:val="28"/>
        </w:rPr>
        <w:t>LGH</w:t>
      </w:r>
      <w:r w:rsidR="005F442E">
        <w:rPr>
          <w:rFonts w:ascii="Perpetua" w:hAnsi="Perpetua" w:cs="Arial"/>
          <w:sz w:val="28"/>
          <w:szCs w:val="28"/>
        </w:rPr>
        <w:t xml:space="preserve"> will be receiving</w:t>
      </w:r>
      <w:r>
        <w:rPr>
          <w:rFonts w:ascii="Perpetua" w:hAnsi="Perpetua" w:cs="Arial"/>
          <w:sz w:val="28"/>
          <w:szCs w:val="28"/>
        </w:rPr>
        <w:t xml:space="preserve"> both Adult/Adolescent and well as Pediatric SANE services, we need to ensure that processes are developed in regard to Pediatric SANE image management at LGH.  Deb </w:t>
      </w:r>
      <w:r>
        <w:rPr>
          <w:rFonts w:ascii="Perpetua" w:hAnsi="Perpetua" w:cs="Arial"/>
          <w:sz w:val="28"/>
          <w:szCs w:val="28"/>
        </w:rPr>
        <w:lastRenderedPageBreak/>
        <w:t>Perry, the NE Regional Coordinator</w:t>
      </w:r>
      <w:r w:rsidR="00150639">
        <w:rPr>
          <w:rFonts w:ascii="Perpetua" w:hAnsi="Perpetua" w:cs="Arial"/>
          <w:sz w:val="28"/>
          <w:szCs w:val="28"/>
        </w:rPr>
        <w:t>,</w:t>
      </w:r>
      <w:r>
        <w:rPr>
          <w:rFonts w:ascii="Perpetua" w:hAnsi="Perpetua" w:cs="Arial"/>
          <w:sz w:val="28"/>
          <w:szCs w:val="28"/>
        </w:rPr>
        <w:t xml:space="preserve"> has been working closely with LGH Administration and the Center for Hope and Healing to ensure comprehensive patient services. </w:t>
      </w:r>
    </w:p>
    <w:p w:rsidR="00437DB6" w:rsidRDefault="007B3665" w:rsidP="00437DB6">
      <w:pPr>
        <w:pStyle w:val="ListParagraph"/>
        <w:numPr>
          <w:ilvl w:val="1"/>
          <w:numId w:val="7"/>
        </w:numPr>
        <w:spacing w:after="0" w:line="240" w:lineRule="auto"/>
        <w:rPr>
          <w:rFonts w:ascii="Perpetua" w:hAnsi="Perpetua" w:cs="Arial"/>
          <w:sz w:val="28"/>
          <w:szCs w:val="28"/>
        </w:rPr>
      </w:pPr>
      <w:r>
        <w:rPr>
          <w:rFonts w:ascii="Perpetua" w:hAnsi="Perpetua" w:cs="Arial"/>
          <w:sz w:val="28"/>
          <w:szCs w:val="28"/>
        </w:rPr>
        <w:t xml:space="preserve">The hospital has a plan in place for transferring patients presenting at Saints Campus, who prefer to be transported to Lowell General for SANE care, to be provided two-way transportation, at no cost to the patient.  </w:t>
      </w:r>
    </w:p>
    <w:p w:rsidR="00437DB6" w:rsidRPr="00437DB6" w:rsidRDefault="00437DB6" w:rsidP="00437DB6">
      <w:pPr>
        <w:pStyle w:val="ListParagraph"/>
        <w:spacing w:after="0" w:line="240" w:lineRule="auto"/>
        <w:ind w:left="1440"/>
        <w:rPr>
          <w:rFonts w:ascii="Perpetua" w:hAnsi="Perpetua" w:cs="Arial"/>
          <w:sz w:val="28"/>
          <w:szCs w:val="28"/>
        </w:rPr>
      </w:pPr>
    </w:p>
    <w:p w:rsidR="00E924E0" w:rsidRPr="008D60E2" w:rsidRDefault="00E924E0" w:rsidP="00E924E0">
      <w:pPr>
        <w:pStyle w:val="ListParagraph"/>
        <w:numPr>
          <w:ilvl w:val="0"/>
          <w:numId w:val="7"/>
        </w:numPr>
        <w:spacing w:after="0" w:line="240" w:lineRule="auto"/>
        <w:rPr>
          <w:rFonts w:ascii="Perpetua" w:hAnsi="Perpetua" w:cs="Arial"/>
          <w:b/>
          <w:sz w:val="28"/>
          <w:szCs w:val="28"/>
        </w:rPr>
      </w:pPr>
      <w:r w:rsidRPr="006B374C">
        <w:rPr>
          <w:rFonts w:ascii="Perpetua" w:hAnsi="Perpetua" w:cs="Arial"/>
          <w:b/>
          <w:sz w:val="28"/>
          <w:szCs w:val="28"/>
        </w:rPr>
        <w:t xml:space="preserve">Middlesex County </w:t>
      </w:r>
      <w:r w:rsidR="007B3665" w:rsidRPr="006B374C">
        <w:rPr>
          <w:rFonts w:ascii="Perpetua" w:hAnsi="Perpetua" w:cs="Arial"/>
          <w:b/>
          <w:sz w:val="28"/>
          <w:szCs w:val="28"/>
        </w:rPr>
        <w:t>Children’s Advocacy Center (MCAC)</w:t>
      </w:r>
      <w:r w:rsidR="007B3665">
        <w:rPr>
          <w:rFonts w:ascii="Perpetua" w:hAnsi="Perpetua" w:cs="Arial"/>
          <w:sz w:val="28"/>
          <w:szCs w:val="28"/>
        </w:rPr>
        <w:t xml:space="preserve"> </w:t>
      </w:r>
      <w:r w:rsidR="007B3665" w:rsidRPr="008D60E2">
        <w:rPr>
          <w:rFonts w:ascii="Perpetua" w:hAnsi="Perpetua" w:cs="Arial"/>
          <w:b/>
          <w:sz w:val="28"/>
          <w:szCs w:val="28"/>
        </w:rPr>
        <w:t>Pediatric SANE</w:t>
      </w:r>
      <w:r w:rsidR="007B3665">
        <w:rPr>
          <w:rFonts w:ascii="Perpetua" w:hAnsi="Perpetua" w:cs="Arial"/>
          <w:sz w:val="28"/>
          <w:szCs w:val="28"/>
        </w:rPr>
        <w:t>.  We have signed a MOU with the Middlesex DA’s Office and the MCAC to provide</w:t>
      </w:r>
      <w:r w:rsidR="006B374C">
        <w:rPr>
          <w:rFonts w:ascii="Perpetua" w:hAnsi="Perpetua" w:cs="Arial"/>
          <w:sz w:val="28"/>
          <w:szCs w:val="28"/>
        </w:rPr>
        <w:t xml:space="preserve"> </w:t>
      </w:r>
      <w:r w:rsidR="007B3665">
        <w:rPr>
          <w:rFonts w:ascii="Perpetua" w:hAnsi="Perpetua" w:cs="Arial"/>
          <w:sz w:val="28"/>
          <w:szCs w:val="28"/>
        </w:rPr>
        <w:t xml:space="preserve">Pediatric SANE services </w:t>
      </w:r>
      <w:r w:rsidR="008D60E2">
        <w:rPr>
          <w:rFonts w:ascii="Perpetua" w:hAnsi="Perpetua" w:cs="Arial"/>
          <w:sz w:val="28"/>
          <w:szCs w:val="28"/>
        </w:rPr>
        <w:t>for the first time in</w:t>
      </w:r>
      <w:r w:rsidR="007B3665">
        <w:rPr>
          <w:rFonts w:ascii="Perpetua" w:hAnsi="Perpetua" w:cs="Arial"/>
          <w:sz w:val="28"/>
          <w:szCs w:val="28"/>
        </w:rPr>
        <w:t xml:space="preserve"> that County.</w:t>
      </w:r>
      <w:r w:rsidR="006B374C" w:rsidRPr="008D60E2">
        <w:rPr>
          <w:rFonts w:ascii="Perpetua" w:hAnsi="Perpetua" w:cs="Arial"/>
          <w:b/>
          <w:sz w:val="28"/>
          <w:szCs w:val="28"/>
        </w:rPr>
        <w:t xml:space="preserve"> </w:t>
      </w:r>
      <w:r w:rsidR="007B3665" w:rsidRPr="008D60E2">
        <w:rPr>
          <w:rFonts w:ascii="Perpetua" w:hAnsi="Perpetua" w:cs="Arial"/>
          <w:b/>
          <w:sz w:val="28"/>
          <w:szCs w:val="28"/>
        </w:rPr>
        <w:t xml:space="preserve"> </w:t>
      </w:r>
      <w:r w:rsidR="00C50D08" w:rsidRPr="008D60E2">
        <w:rPr>
          <w:rFonts w:ascii="Perpetua" w:hAnsi="Perpetua" w:cs="Arial"/>
          <w:b/>
          <w:sz w:val="28"/>
          <w:szCs w:val="28"/>
        </w:rPr>
        <w:t xml:space="preserve"> </w:t>
      </w:r>
    </w:p>
    <w:p w:rsidR="00E924E0" w:rsidRPr="00266A94" w:rsidRDefault="00E924E0" w:rsidP="00E924E0">
      <w:pPr>
        <w:pStyle w:val="ListParagraph"/>
        <w:spacing w:after="0" w:line="240" w:lineRule="auto"/>
        <w:ind w:left="1440"/>
        <w:rPr>
          <w:rFonts w:ascii="Perpetua" w:hAnsi="Perpetua" w:cs="Arial"/>
          <w:color w:val="FF0000"/>
          <w:sz w:val="28"/>
          <w:szCs w:val="28"/>
        </w:rPr>
      </w:pPr>
    </w:p>
    <w:p w:rsidR="00FC2A0A" w:rsidRDefault="00E924E0" w:rsidP="00E924E0">
      <w:pPr>
        <w:spacing w:after="0" w:line="240" w:lineRule="auto"/>
        <w:rPr>
          <w:rFonts w:ascii="Perpetua" w:hAnsi="Perpetua" w:cs="Arial"/>
          <w:b/>
          <w:sz w:val="28"/>
          <w:szCs w:val="28"/>
          <w:u w:val="single"/>
        </w:rPr>
      </w:pPr>
      <w:r w:rsidRPr="00FC2A0A">
        <w:rPr>
          <w:rFonts w:ascii="Perpetua" w:hAnsi="Perpetua" w:cs="Arial"/>
          <w:b/>
          <w:sz w:val="28"/>
          <w:szCs w:val="28"/>
          <w:u w:val="single"/>
        </w:rPr>
        <w:t>SANE Board Roles and Responsibilities</w:t>
      </w:r>
    </w:p>
    <w:p w:rsidR="008D60E2" w:rsidRDefault="00FC2A0A" w:rsidP="008D60E2">
      <w:pPr>
        <w:autoSpaceDE w:val="0"/>
        <w:autoSpaceDN w:val="0"/>
        <w:adjustRightInd w:val="0"/>
        <w:rPr>
          <w:rFonts w:cs="Sylfaen"/>
        </w:rPr>
      </w:pPr>
      <w:r w:rsidRPr="00FC2A0A">
        <w:rPr>
          <w:rFonts w:ascii="Perpetua" w:hAnsi="Perpetua" w:cs="Arial"/>
          <w:b/>
          <w:sz w:val="28"/>
          <w:szCs w:val="28"/>
        </w:rPr>
        <w:t xml:space="preserve"> </w:t>
      </w:r>
      <w:r w:rsidRPr="00FC2A0A">
        <w:rPr>
          <w:rFonts w:ascii="Perpetua" w:hAnsi="Perpetua" w:cs="Arial"/>
          <w:sz w:val="28"/>
          <w:szCs w:val="28"/>
        </w:rPr>
        <w:t>As reviewed</w:t>
      </w:r>
      <w:r w:rsidR="008D60E2">
        <w:rPr>
          <w:rFonts w:ascii="Perpetua" w:hAnsi="Perpetua" w:cs="Arial"/>
          <w:sz w:val="28"/>
          <w:szCs w:val="28"/>
        </w:rPr>
        <w:t xml:space="preserve">, </w:t>
      </w:r>
      <w:r w:rsidRPr="00FC2A0A">
        <w:rPr>
          <w:rFonts w:ascii="Perpetua" w:hAnsi="Perpetua" w:cs="Arial"/>
          <w:sz w:val="28"/>
          <w:szCs w:val="28"/>
        </w:rPr>
        <w:t xml:space="preserve">the roles and responsibilities for the SANE Advisory Board are outlined in </w:t>
      </w:r>
      <w:r w:rsidR="00150639">
        <w:rPr>
          <w:rFonts w:ascii="Perpetua" w:hAnsi="Perpetua" w:cs="Arial"/>
          <w:sz w:val="28"/>
          <w:szCs w:val="28"/>
        </w:rPr>
        <w:t xml:space="preserve">the </w:t>
      </w:r>
      <w:r w:rsidRPr="00FC2A0A">
        <w:rPr>
          <w:rFonts w:ascii="Perpetua" w:hAnsi="Perpetua" w:cs="Arial"/>
          <w:sz w:val="28"/>
          <w:szCs w:val="28"/>
        </w:rPr>
        <w:t>SANE</w:t>
      </w:r>
      <w:r w:rsidR="00150639">
        <w:rPr>
          <w:rFonts w:ascii="Perpetua" w:hAnsi="Perpetua" w:cs="Arial"/>
          <w:sz w:val="28"/>
          <w:szCs w:val="28"/>
        </w:rPr>
        <w:t xml:space="preserve"> statute,</w:t>
      </w:r>
      <w:r w:rsidRPr="00FC2A0A">
        <w:rPr>
          <w:rFonts w:ascii="Perpetua" w:hAnsi="Perpetua" w:cs="Arial"/>
          <w:sz w:val="28"/>
          <w:szCs w:val="28"/>
        </w:rPr>
        <w:t xml:space="preserve"> </w:t>
      </w:r>
      <w:r w:rsidR="008D60E2">
        <w:rPr>
          <w:rFonts w:ascii="Perpetua" w:hAnsi="Perpetua" w:cs="Arial"/>
          <w:sz w:val="28"/>
          <w:szCs w:val="28"/>
        </w:rPr>
        <w:t>MGL Chapter 111, Section 220.</w:t>
      </w:r>
    </w:p>
    <w:p w:rsidR="008D60E2" w:rsidRDefault="00FC2A0A" w:rsidP="008D60E2">
      <w:pPr>
        <w:autoSpaceDE w:val="0"/>
        <w:autoSpaceDN w:val="0"/>
        <w:adjustRightInd w:val="0"/>
        <w:rPr>
          <w:rFonts w:cs="Sylfaen"/>
        </w:rPr>
      </w:pPr>
      <w:r w:rsidRPr="00FC2A0A">
        <w:rPr>
          <w:rFonts w:ascii="Perpetua" w:hAnsi="Perpetua" w:cs="Arial"/>
          <w:sz w:val="28"/>
          <w:szCs w:val="28"/>
        </w:rPr>
        <w:t xml:space="preserve"> These responsibilities are related to the processe</w:t>
      </w:r>
      <w:r>
        <w:rPr>
          <w:rFonts w:ascii="Perpetua" w:hAnsi="Perpetua" w:cs="Arial"/>
          <w:sz w:val="28"/>
          <w:szCs w:val="28"/>
        </w:rPr>
        <w:t>s of:</w:t>
      </w:r>
    </w:p>
    <w:p w:rsidR="008D60E2" w:rsidRPr="008D60E2" w:rsidRDefault="00FC2A0A" w:rsidP="008D60E2">
      <w:pPr>
        <w:pStyle w:val="ListParagraph"/>
        <w:numPr>
          <w:ilvl w:val="0"/>
          <w:numId w:val="13"/>
        </w:numPr>
        <w:autoSpaceDE w:val="0"/>
        <w:autoSpaceDN w:val="0"/>
        <w:adjustRightInd w:val="0"/>
        <w:rPr>
          <w:rFonts w:cs="Sylfaen"/>
        </w:rPr>
      </w:pPr>
      <w:r w:rsidRPr="008D60E2">
        <w:rPr>
          <w:rFonts w:ascii="Perpetua" w:hAnsi="Perpetua" w:cs="Arial"/>
          <w:sz w:val="28"/>
          <w:szCs w:val="28"/>
        </w:rPr>
        <w:t>SANE Certification</w:t>
      </w:r>
      <w:r w:rsidR="00150639">
        <w:rPr>
          <w:rFonts w:ascii="Perpetua" w:hAnsi="Perpetua" w:cs="Arial"/>
          <w:sz w:val="28"/>
          <w:szCs w:val="28"/>
        </w:rPr>
        <w:t>;</w:t>
      </w:r>
    </w:p>
    <w:p w:rsidR="008D60E2" w:rsidRPr="008D60E2" w:rsidRDefault="00FC2A0A" w:rsidP="008D60E2">
      <w:pPr>
        <w:pStyle w:val="ListParagraph"/>
        <w:numPr>
          <w:ilvl w:val="0"/>
          <w:numId w:val="13"/>
        </w:numPr>
        <w:autoSpaceDE w:val="0"/>
        <w:autoSpaceDN w:val="0"/>
        <w:adjustRightInd w:val="0"/>
        <w:rPr>
          <w:rFonts w:cs="Sylfaen"/>
        </w:rPr>
      </w:pPr>
      <w:r w:rsidRPr="008D60E2">
        <w:rPr>
          <w:rFonts w:ascii="Perpetua" w:hAnsi="Perpetua" w:cs="Arial"/>
          <w:sz w:val="28"/>
          <w:szCs w:val="28"/>
        </w:rPr>
        <w:t>SANE Protocol development/revisions</w:t>
      </w:r>
      <w:r w:rsidR="00150639">
        <w:rPr>
          <w:rFonts w:ascii="Perpetua" w:hAnsi="Perpetua" w:cs="Arial"/>
          <w:sz w:val="28"/>
          <w:szCs w:val="28"/>
        </w:rPr>
        <w:t>;</w:t>
      </w:r>
    </w:p>
    <w:p w:rsidR="008D60E2" w:rsidRPr="008D60E2" w:rsidRDefault="00FC2A0A" w:rsidP="008D60E2">
      <w:pPr>
        <w:pStyle w:val="ListParagraph"/>
        <w:numPr>
          <w:ilvl w:val="0"/>
          <w:numId w:val="13"/>
        </w:numPr>
        <w:autoSpaceDE w:val="0"/>
        <w:autoSpaceDN w:val="0"/>
        <w:adjustRightInd w:val="0"/>
        <w:rPr>
          <w:rFonts w:cs="Sylfaen"/>
        </w:rPr>
      </w:pPr>
      <w:r w:rsidRPr="008D60E2">
        <w:rPr>
          <w:rFonts w:ascii="Perpetua" w:hAnsi="Perpetua" w:cs="Arial"/>
          <w:sz w:val="28"/>
          <w:szCs w:val="28"/>
        </w:rPr>
        <w:t xml:space="preserve">MDPH  SANE site </w:t>
      </w:r>
      <w:r w:rsidR="00054083" w:rsidRPr="008D60E2">
        <w:rPr>
          <w:rFonts w:ascii="Perpetua" w:hAnsi="Perpetua" w:cs="Arial"/>
          <w:sz w:val="28"/>
          <w:szCs w:val="28"/>
        </w:rPr>
        <w:t>designation</w:t>
      </w:r>
      <w:r w:rsidR="00150639">
        <w:rPr>
          <w:rFonts w:ascii="Perpetua" w:hAnsi="Perpetua" w:cs="Arial"/>
          <w:sz w:val="28"/>
          <w:szCs w:val="28"/>
        </w:rPr>
        <w:t>;</w:t>
      </w:r>
    </w:p>
    <w:p w:rsidR="00E924E0" w:rsidRPr="008D60E2" w:rsidRDefault="00054083" w:rsidP="008D60E2">
      <w:pPr>
        <w:pStyle w:val="ListParagraph"/>
        <w:numPr>
          <w:ilvl w:val="0"/>
          <w:numId w:val="13"/>
        </w:numPr>
        <w:autoSpaceDE w:val="0"/>
        <w:autoSpaceDN w:val="0"/>
        <w:adjustRightInd w:val="0"/>
        <w:rPr>
          <w:rFonts w:cs="Sylfaen"/>
        </w:rPr>
      </w:pPr>
      <w:r w:rsidRPr="008D60E2">
        <w:rPr>
          <w:rFonts w:ascii="Perpetua" w:hAnsi="Perpetua" w:cs="Arial"/>
          <w:sz w:val="28"/>
          <w:szCs w:val="28"/>
        </w:rPr>
        <w:t xml:space="preserve">The Advisory Board makes recommendations to the DPH commissioner and any votes that are proposed are in relation to these recommendations. </w:t>
      </w:r>
    </w:p>
    <w:p w:rsidR="00054083" w:rsidRPr="00266A94" w:rsidRDefault="00054083" w:rsidP="00054083">
      <w:pPr>
        <w:pStyle w:val="ListParagraph"/>
        <w:spacing w:after="0" w:line="240" w:lineRule="auto"/>
        <w:rPr>
          <w:rFonts w:ascii="Perpetua" w:hAnsi="Perpetua" w:cs="Arial"/>
          <w:sz w:val="28"/>
          <w:szCs w:val="28"/>
        </w:rPr>
      </w:pPr>
    </w:p>
    <w:p w:rsidR="00E924E0" w:rsidRPr="00054083" w:rsidRDefault="00E924E0" w:rsidP="00E924E0">
      <w:pPr>
        <w:spacing w:after="0" w:line="240" w:lineRule="auto"/>
        <w:rPr>
          <w:rFonts w:ascii="Perpetua" w:hAnsi="Perpetua" w:cs="Arial"/>
          <w:b/>
          <w:sz w:val="28"/>
          <w:szCs w:val="28"/>
          <w:u w:val="single"/>
        </w:rPr>
      </w:pPr>
      <w:r w:rsidRPr="00054083">
        <w:rPr>
          <w:rFonts w:ascii="Perpetua" w:hAnsi="Perpetua" w:cs="Arial"/>
          <w:b/>
          <w:sz w:val="28"/>
          <w:szCs w:val="28"/>
          <w:u w:val="single"/>
        </w:rPr>
        <w:t>SANE Trust Discussion</w:t>
      </w:r>
    </w:p>
    <w:p w:rsidR="002106B2" w:rsidRPr="002106B2" w:rsidRDefault="00054083" w:rsidP="008F78EA">
      <w:pPr>
        <w:spacing w:after="0" w:line="240" w:lineRule="auto"/>
        <w:ind w:left="420"/>
        <w:rPr>
          <w:rFonts w:ascii="Perpetua" w:hAnsi="Perpetua" w:cs="Arial"/>
          <w:sz w:val="28"/>
          <w:szCs w:val="28"/>
          <w:u w:val="single"/>
        </w:rPr>
      </w:pPr>
      <w:r w:rsidRPr="002106B2">
        <w:rPr>
          <w:rFonts w:ascii="Perpetua" w:hAnsi="Perpetua" w:cs="Arial"/>
          <w:sz w:val="28"/>
          <w:szCs w:val="28"/>
        </w:rPr>
        <w:t xml:space="preserve">Two years ago, as part of SANE Sustainability Planning, a subcommittee was established and developed draft language </w:t>
      </w:r>
      <w:r w:rsidR="008D60E2" w:rsidRPr="002106B2">
        <w:rPr>
          <w:rFonts w:ascii="Perpetua" w:hAnsi="Perpetua" w:cs="Arial"/>
          <w:sz w:val="28"/>
          <w:szCs w:val="28"/>
        </w:rPr>
        <w:t>for</w:t>
      </w:r>
      <w:r w:rsidRPr="002106B2">
        <w:rPr>
          <w:rFonts w:ascii="Perpetua" w:hAnsi="Perpetua" w:cs="Arial"/>
          <w:sz w:val="28"/>
          <w:szCs w:val="28"/>
        </w:rPr>
        <w:t xml:space="preserve"> the establishment of a SANE Trust Fund.  The Governor </w:t>
      </w:r>
      <w:r w:rsidR="00BC522C" w:rsidRPr="002106B2">
        <w:rPr>
          <w:rFonts w:ascii="Perpetua" w:hAnsi="Perpetua" w:cs="Arial"/>
          <w:sz w:val="28"/>
          <w:szCs w:val="28"/>
        </w:rPr>
        <w:t xml:space="preserve">recently </w:t>
      </w:r>
      <w:r w:rsidRPr="002106B2">
        <w:rPr>
          <w:rFonts w:ascii="Perpetua" w:hAnsi="Perpetua" w:cs="Arial"/>
          <w:sz w:val="28"/>
          <w:szCs w:val="28"/>
        </w:rPr>
        <w:t>submitted</w:t>
      </w:r>
      <w:r w:rsidR="00BC522C" w:rsidRPr="002106B2">
        <w:rPr>
          <w:rFonts w:ascii="Perpetua" w:hAnsi="Perpetua" w:cs="Arial"/>
          <w:sz w:val="28"/>
          <w:szCs w:val="28"/>
        </w:rPr>
        <w:t xml:space="preserve"> similar</w:t>
      </w:r>
      <w:r w:rsidRPr="002106B2">
        <w:rPr>
          <w:rFonts w:ascii="Perpetua" w:hAnsi="Perpetua" w:cs="Arial"/>
          <w:sz w:val="28"/>
          <w:szCs w:val="28"/>
        </w:rPr>
        <w:t xml:space="preserve"> language as an outside section </w:t>
      </w:r>
      <w:r w:rsidR="002106B2">
        <w:rPr>
          <w:rFonts w:ascii="Perpetua" w:hAnsi="Perpetua" w:cs="Arial"/>
          <w:sz w:val="28"/>
          <w:szCs w:val="28"/>
        </w:rPr>
        <w:t>in his FY17 proposed budget</w:t>
      </w:r>
      <w:r w:rsidR="009601CB" w:rsidRPr="002106B2">
        <w:rPr>
          <w:rFonts w:ascii="Perpetua" w:hAnsi="Perpetua" w:cs="Arial"/>
          <w:sz w:val="28"/>
          <w:szCs w:val="28"/>
        </w:rPr>
        <w:t>. T</w:t>
      </w:r>
      <w:r w:rsidRPr="002106B2">
        <w:rPr>
          <w:rFonts w:ascii="Perpetua" w:hAnsi="Perpetua" w:cs="Arial"/>
          <w:sz w:val="28"/>
          <w:szCs w:val="28"/>
        </w:rPr>
        <w:t xml:space="preserve">here is currently language in both the House and </w:t>
      </w:r>
      <w:r w:rsidR="002106B2">
        <w:rPr>
          <w:rFonts w:ascii="Perpetua" w:hAnsi="Perpetua" w:cs="Arial"/>
          <w:sz w:val="28"/>
          <w:szCs w:val="28"/>
        </w:rPr>
        <w:t>SWM FY17</w:t>
      </w:r>
      <w:r w:rsidR="002106B2" w:rsidRPr="002106B2">
        <w:rPr>
          <w:rFonts w:ascii="Perpetua" w:hAnsi="Perpetua" w:cs="Arial"/>
          <w:sz w:val="28"/>
          <w:szCs w:val="28"/>
        </w:rPr>
        <w:t xml:space="preserve"> </w:t>
      </w:r>
      <w:r w:rsidR="009601CB" w:rsidRPr="002106B2">
        <w:rPr>
          <w:rFonts w:ascii="Perpetua" w:hAnsi="Perpetua" w:cs="Arial"/>
          <w:sz w:val="28"/>
          <w:szCs w:val="28"/>
        </w:rPr>
        <w:t xml:space="preserve">Budgets for a SANE Trust Fund making it a strong possibility that this will be established.  </w:t>
      </w:r>
      <w:r w:rsidR="002106B2">
        <w:rPr>
          <w:rFonts w:ascii="Perpetua" w:hAnsi="Perpetua" w:cs="Arial"/>
          <w:sz w:val="28"/>
          <w:szCs w:val="28"/>
        </w:rPr>
        <w:t>The Board engaged in a conversation about the potential uses of funding in the SANE Trust:</w:t>
      </w:r>
    </w:p>
    <w:p w:rsidR="002106B2" w:rsidRPr="008F78EA" w:rsidRDefault="00054083" w:rsidP="00A60DDF">
      <w:pPr>
        <w:pStyle w:val="ListParagraph"/>
        <w:numPr>
          <w:ilvl w:val="0"/>
          <w:numId w:val="8"/>
        </w:numPr>
        <w:spacing w:after="0" w:line="240" w:lineRule="auto"/>
        <w:rPr>
          <w:rFonts w:ascii="Perpetua" w:hAnsi="Perpetua" w:cs="Arial"/>
          <w:sz w:val="28"/>
          <w:szCs w:val="28"/>
          <w:u w:val="single"/>
        </w:rPr>
      </w:pPr>
      <w:r w:rsidRPr="002106B2">
        <w:rPr>
          <w:rFonts w:ascii="Perpetua" w:hAnsi="Perpetua" w:cs="Arial"/>
          <w:sz w:val="28"/>
          <w:szCs w:val="28"/>
        </w:rPr>
        <w:t xml:space="preserve">The SANE Trust will supplement not supplant any state funding for SANE services.  Funds could coverage things such as training, </w:t>
      </w:r>
      <w:r w:rsidR="00BC522C" w:rsidRPr="002106B2">
        <w:rPr>
          <w:rFonts w:ascii="Perpetua" w:hAnsi="Perpetua" w:cs="Arial"/>
          <w:sz w:val="28"/>
          <w:szCs w:val="28"/>
        </w:rPr>
        <w:t>outreach, program and telenursing services and possibly a SANE Follow-Up Nurse position.</w:t>
      </w:r>
      <w:r w:rsidR="002106B2">
        <w:rPr>
          <w:rFonts w:ascii="Perpetua" w:hAnsi="Perpetua" w:cs="Arial"/>
          <w:sz w:val="28"/>
          <w:szCs w:val="28"/>
        </w:rPr>
        <w:t xml:space="preserve">  </w:t>
      </w:r>
      <w:r w:rsidR="002106B2" w:rsidRPr="002106B2">
        <w:rPr>
          <w:rFonts w:ascii="Perpetua" w:hAnsi="Perpetua" w:cs="Arial"/>
          <w:sz w:val="28"/>
          <w:szCs w:val="28"/>
        </w:rPr>
        <w:t xml:space="preserve">The language was written broadly to include wrap-around patient services as well. </w:t>
      </w:r>
      <w:r w:rsidR="009601CB">
        <w:rPr>
          <w:rFonts w:ascii="Perpetua" w:hAnsi="Perpetua" w:cs="Arial"/>
          <w:sz w:val="28"/>
          <w:szCs w:val="28"/>
        </w:rPr>
        <w:t xml:space="preserve">MA SANE has recently been approached by several hospitals/hospital systems inquiring about funding SANE services for their </w:t>
      </w:r>
      <w:r w:rsidR="008D60E2">
        <w:rPr>
          <w:rFonts w:ascii="Perpetua" w:hAnsi="Perpetua" w:cs="Arial"/>
          <w:sz w:val="28"/>
          <w:szCs w:val="28"/>
        </w:rPr>
        <w:t xml:space="preserve">hospital/hospital system.  </w:t>
      </w:r>
      <w:r w:rsidR="00A60DDF">
        <w:rPr>
          <w:rFonts w:ascii="Perpetua" w:hAnsi="Perpetua" w:cs="Arial"/>
          <w:sz w:val="28"/>
          <w:szCs w:val="28"/>
        </w:rPr>
        <w:t>While some requests are to provide funding for MA SANE services, other</w:t>
      </w:r>
      <w:r w:rsidR="002106B2">
        <w:rPr>
          <w:rFonts w:ascii="Perpetua" w:hAnsi="Perpetua" w:cs="Arial"/>
          <w:sz w:val="28"/>
          <w:szCs w:val="28"/>
        </w:rPr>
        <w:t xml:space="preserve"> requests</w:t>
      </w:r>
      <w:r w:rsidR="00A60DDF">
        <w:rPr>
          <w:rFonts w:ascii="Perpetua" w:hAnsi="Perpetua" w:cs="Arial"/>
          <w:sz w:val="28"/>
          <w:szCs w:val="28"/>
        </w:rPr>
        <w:t xml:space="preserve"> seem to be to run an internal program within their system but have the nurses trained to be SANEs by MDPH.</w:t>
      </w:r>
      <w:r w:rsidR="002106B2">
        <w:rPr>
          <w:rFonts w:ascii="Perpetua" w:hAnsi="Perpetua" w:cs="Arial"/>
          <w:sz w:val="28"/>
          <w:szCs w:val="28"/>
        </w:rPr>
        <w:t xml:space="preserve">  </w:t>
      </w:r>
      <w:r w:rsidR="008D60E2" w:rsidRPr="00A60DDF">
        <w:rPr>
          <w:rFonts w:ascii="Perpetua" w:hAnsi="Perpetua" w:cs="Arial"/>
          <w:sz w:val="28"/>
          <w:szCs w:val="28"/>
        </w:rPr>
        <w:t xml:space="preserve">These requests </w:t>
      </w:r>
      <w:r w:rsidR="002106B2">
        <w:rPr>
          <w:rFonts w:ascii="Perpetua" w:hAnsi="Perpetua" w:cs="Arial"/>
          <w:sz w:val="28"/>
          <w:szCs w:val="28"/>
        </w:rPr>
        <w:t>raise</w:t>
      </w:r>
      <w:r w:rsidR="002106B2" w:rsidRPr="00A60DDF">
        <w:rPr>
          <w:rFonts w:ascii="Perpetua" w:hAnsi="Perpetua" w:cs="Arial"/>
          <w:sz w:val="28"/>
          <w:szCs w:val="28"/>
        </w:rPr>
        <w:t xml:space="preserve"> </w:t>
      </w:r>
      <w:r w:rsidR="009601CB" w:rsidRPr="00A60DDF">
        <w:rPr>
          <w:rFonts w:ascii="Perpetua" w:hAnsi="Perpetua" w:cs="Arial"/>
          <w:sz w:val="28"/>
          <w:szCs w:val="28"/>
        </w:rPr>
        <w:t xml:space="preserve">serious </w:t>
      </w:r>
      <w:r w:rsidR="002106B2">
        <w:rPr>
          <w:rFonts w:ascii="Perpetua" w:hAnsi="Perpetua" w:cs="Arial"/>
          <w:sz w:val="28"/>
          <w:szCs w:val="28"/>
        </w:rPr>
        <w:t xml:space="preserve">policy questions and </w:t>
      </w:r>
      <w:proofErr w:type="gramStart"/>
      <w:r w:rsidR="002106B2">
        <w:rPr>
          <w:rFonts w:ascii="Perpetua" w:hAnsi="Perpetua" w:cs="Arial"/>
          <w:sz w:val="28"/>
          <w:szCs w:val="28"/>
        </w:rPr>
        <w:t xml:space="preserve">require </w:t>
      </w:r>
      <w:r w:rsidR="009601CB" w:rsidRPr="00A60DDF">
        <w:rPr>
          <w:rFonts w:ascii="Perpetua" w:hAnsi="Perpetua" w:cs="Arial"/>
          <w:sz w:val="28"/>
          <w:szCs w:val="28"/>
        </w:rPr>
        <w:t xml:space="preserve"> further</w:t>
      </w:r>
      <w:proofErr w:type="gramEnd"/>
      <w:r w:rsidR="009601CB" w:rsidRPr="00A60DDF">
        <w:rPr>
          <w:rFonts w:ascii="Perpetua" w:hAnsi="Perpetua" w:cs="Arial"/>
          <w:sz w:val="28"/>
          <w:szCs w:val="28"/>
        </w:rPr>
        <w:t xml:space="preserve"> </w:t>
      </w:r>
      <w:r w:rsidR="002106B2">
        <w:rPr>
          <w:rFonts w:ascii="Perpetua" w:hAnsi="Perpetua" w:cs="Arial"/>
          <w:sz w:val="28"/>
          <w:szCs w:val="28"/>
        </w:rPr>
        <w:t xml:space="preserve">consideration and </w:t>
      </w:r>
      <w:r w:rsidR="009601CB" w:rsidRPr="00A60DDF">
        <w:rPr>
          <w:rFonts w:ascii="Perpetua" w:hAnsi="Perpetua" w:cs="Arial"/>
          <w:sz w:val="28"/>
          <w:szCs w:val="28"/>
        </w:rPr>
        <w:t>discussion</w:t>
      </w:r>
      <w:r w:rsidR="002106B2">
        <w:rPr>
          <w:rFonts w:ascii="Perpetua" w:hAnsi="Perpetua" w:cs="Arial"/>
          <w:sz w:val="28"/>
          <w:szCs w:val="28"/>
        </w:rPr>
        <w:t>. Issues include:</w:t>
      </w:r>
    </w:p>
    <w:p w:rsidR="002106B2" w:rsidRPr="008F78EA" w:rsidRDefault="009601CB" w:rsidP="008F78EA">
      <w:pPr>
        <w:pStyle w:val="ListParagraph"/>
        <w:numPr>
          <w:ilvl w:val="1"/>
          <w:numId w:val="8"/>
        </w:numPr>
        <w:spacing w:after="0" w:line="240" w:lineRule="auto"/>
        <w:rPr>
          <w:rFonts w:ascii="Perpetua" w:hAnsi="Perpetua" w:cs="Arial"/>
          <w:sz w:val="28"/>
          <w:szCs w:val="28"/>
          <w:u w:val="single"/>
        </w:rPr>
      </w:pPr>
      <w:r w:rsidRPr="00A60DDF">
        <w:rPr>
          <w:rFonts w:ascii="Perpetua" w:hAnsi="Perpetua" w:cs="Arial"/>
          <w:sz w:val="28"/>
          <w:szCs w:val="28"/>
        </w:rPr>
        <w:t xml:space="preserve"> </w:t>
      </w:r>
      <w:r w:rsidR="00437DB6">
        <w:rPr>
          <w:rFonts w:ascii="Perpetua" w:hAnsi="Perpetua" w:cs="Arial"/>
          <w:sz w:val="28"/>
          <w:szCs w:val="28"/>
        </w:rPr>
        <w:t>T</w:t>
      </w:r>
      <w:r w:rsidR="002106B2">
        <w:rPr>
          <w:rFonts w:ascii="Perpetua" w:hAnsi="Perpetua" w:cs="Arial"/>
          <w:sz w:val="28"/>
          <w:szCs w:val="28"/>
        </w:rPr>
        <w:t>he need to maintain the</w:t>
      </w:r>
      <w:r w:rsidRPr="00A60DDF">
        <w:rPr>
          <w:rFonts w:ascii="Perpetua" w:hAnsi="Perpetua" w:cs="Arial"/>
          <w:sz w:val="28"/>
          <w:szCs w:val="28"/>
        </w:rPr>
        <w:t xml:space="preserve"> integrity of the MA SANE Program including training, certification</w:t>
      </w:r>
      <w:r w:rsidR="00A60DDF" w:rsidRPr="00A60DDF">
        <w:rPr>
          <w:rFonts w:ascii="Perpetua" w:hAnsi="Perpetua" w:cs="Arial"/>
          <w:sz w:val="28"/>
          <w:szCs w:val="28"/>
        </w:rPr>
        <w:t>, monitoring</w:t>
      </w:r>
      <w:r w:rsidRPr="00A60DDF">
        <w:rPr>
          <w:rFonts w:ascii="Perpetua" w:hAnsi="Perpetua" w:cs="Arial"/>
          <w:sz w:val="28"/>
          <w:szCs w:val="28"/>
        </w:rPr>
        <w:t xml:space="preserve"> and quality standards.  </w:t>
      </w:r>
    </w:p>
    <w:p w:rsidR="009601CB" w:rsidRPr="00A60DDF" w:rsidRDefault="00437DB6" w:rsidP="008F78EA">
      <w:pPr>
        <w:pStyle w:val="ListParagraph"/>
        <w:numPr>
          <w:ilvl w:val="1"/>
          <w:numId w:val="8"/>
        </w:numPr>
        <w:spacing w:after="0" w:line="240" w:lineRule="auto"/>
        <w:rPr>
          <w:rFonts w:ascii="Perpetua" w:hAnsi="Perpetua" w:cs="Arial"/>
          <w:sz w:val="28"/>
          <w:szCs w:val="28"/>
          <w:u w:val="single"/>
        </w:rPr>
      </w:pPr>
      <w:r>
        <w:rPr>
          <w:rFonts w:ascii="Perpetua" w:hAnsi="Perpetua" w:cs="Arial"/>
          <w:sz w:val="28"/>
          <w:szCs w:val="28"/>
        </w:rPr>
        <w:lastRenderedPageBreak/>
        <w:t>E</w:t>
      </w:r>
      <w:r w:rsidR="002106B2">
        <w:rPr>
          <w:rFonts w:ascii="Perpetua" w:hAnsi="Perpetua" w:cs="Arial"/>
          <w:sz w:val="28"/>
          <w:szCs w:val="28"/>
        </w:rPr>
        <w:t>quity in</w:t>
      </w:r>
      <w:r w:rsidR="009601CB" w:rsidRPr="00A60DDF">
        <w:rPr>
          <w:rFonts w:ascii="Perpetua" w:hAnsi="Perpetua" w:cs="Arial"/>
          <w:sz w:val="28"/>
          <w:szCs w:val="28"/>
        </w:rPr>
        <w:t xml:space="preserve"> having some hospitals pay for SANE servic</w:t>
      </w:r>
      <w:r w:rsidR="008D60E2" w:rsidRPr="00A60DDF">
        <w:rPr>
          <w:rFonts w:ascii="Perpetua" w:hAnsi="Perpetua" w:cs="Arial"/>
          <w:sz w:val="28"/>
          <w:szCs w:val="28"/>
        </w:rPr>
        <w:t>es while other hospitals do not and w</w:t>
      </w:r>
      <w:r w:rsidR="00A60DDF" w:rsidRPr="00A60DDF">
        <w:rPr>
          <w:rFonts w:ascii="Perpetua" w:hAnsi="Perpetua" w:cs="Arial"/>
          <w:sz w:val="28"/>
          <w:szCs w:val="28"/>
        </w:rPr>
        <w:t>hether we should further explore some level of payment by hospitals on a sliding scale.</w:t>
      </w:r>
      <w:r w:rsidR="00A60DDF">
        <w:rPr>
          <w:rFonts w:ascii="Perpetua" w:hAnsi="Perpetua" w:cs="Arial"/>
          <w:sz w:val="28"/>
          <w:szCs w:val="28"/>
        </w:rPr>
        <w:t xml:space="preserve"> </w:t>
      </w:r>
      <w:r w:rsidR="002106B2">
        <w:rPr>
          <w:rFonts w:ascii="Perpetua" w:hAnsi="Perpetua" w:cs="Arial"/>
          <w:sz w:val="28"/>
          <w:szCs w:val="28"/>
        </w:rPr>
        <w:t>(</w:t>
      </w:r>
      <w:r w:rsidR="00A60DDF">
        <w:rPr>
          <w:rFonts w:ascii="Perpetua" w:hAnsi="Perpetua" w:cs="Arial"/>
          <w:sz w:val="28"/>
          <w:szCs w:val="28"/>
        </w:rPr>
        <w:t>Should non-profit and for profit hospitals be expected to contribute in equal amounts</w:t>
      </w:r>
      <w:r w:rsidR="002106B2">
        <w:rPr>
          <w:rFonts w:ascii="Perpetua" w:hAnsi="Perpetua" w:cs="Arial"/>
          <w:sz w:val="28"/>
          <w:szCs w:val="28"/>
        </w:rPr>
        <w:t>?)</w:t>
      </w:r>
      <w:r w:rsidR="00A60DDF">
        <w:rPr>
          <w:rFonts w:ascii="Perpetua" w:hAnsi="Perpetua" w:cs="Arial"/>
          <w:sz w:val="28"/>
          <w:szCs w:val="28"/>
        </w:rPr>
        <w:t xml:space="preserve"> </w:t>
      </w:r>
      <w:r w:rsidR="00A60DDF" w:rsidRPr="00A60DDF">
        <w:rPr>
          <w:rFonts w:ascii="Perpetua" w:hAnsi="Perpetua" w:cs="Arial"/>
          <w:sz w:val="28"/>
          <w:szCs w:val="28"/>
        </w:rPr>
        <w:t xml:space="preserve"> </w:t>
      </w:r>
    </w:p>
    <w:p w:rsidR="00A60DDF" w:rsidRPr="00A60DDF" w:rsidRDefault="00A60DDF" w:rsidP="008F78EA">
      <w:pPr>
        <w:pStyle w:val="ListParagraph"/>
        <w:numPr>
          <w:ilvl w:val="1"/>
          <w:numId w:val="8"/>
        </w:numPr>
        <w:spacing w:after="0" w:line="240" w:lineRule="auto"/>
        <w:rPr>
          <w:rFonts w:ascii="Perpetua" w:hAnsi="Perpetua" w:cs="Arial"/>
          <w:sz w:val="28"/>
          <w:szCs w:val="28"/>
          <w:u w:val="single"/>
        </w:rPr>
      </w:pPr>
      <w:r>
        <w:rPr>
          <w:rFonts w:ascii="Perpetua" w:hAnsi="Perpetua" w:cs="Arial"/>
          <w:sz w:val="28"/>
          <w:szCs w:val="28"/>
        </w:rPr>
        <w:t xml:space="preserve">Could there be a SANE membership fee to provide technical assistance and services with tiered payment base on volume and utilization?  Could a cost to benefit analysis be done and also reviewed in relation to the hospitals that have been receiving SANE services at no cost for 10 – 20 years. </w:t>
      </w:r>
    </w:p>
    <w:p w:rsidR="00437DB6" w:rsidRPr="00437DB6" w:rsidRDefault="00A60DDF" w:rsidP="008F78EA">
      <w:pPr>
        <w:pStyle w:val="ListParagraph"/>
        <w:numPr>
          <w:ilvl w:val="1"/>
          <w:numId w:val="8"/>
        </w:numPr>
        <w:spacing w:after="0" w:line="240" w:lineRule="auto"/>
        <w:rPr>
          <w:rFonts w:ascii="Perpetua" w:hAnsi="Perpetua" w:cs="Arial"/>
          <w:sz w:val="28"/>
          <w:szCs w:val="28"/>
          <w:u w:val="single"/>
        </w:rPr>
      </w:pPr>
      <w:r>
        <w:rPr>
          <w:rFonts w:ascii="Perpetua" w:hAnsi="Perpetua" w:cs="Arial"/>
          <w:sz w:val="28"/>
          <w:szCs w:val="28"/>
        </w:rPr>
        <w:t xml:space="preserve">How </w:t>
      </w:r>
      <w:r w:rsidR="002106B2">
        <w:rPr>
          <w:rFonts w:ascii="Perpetua" w:hAnsi="Perpetua" w:cs="Arial"/>
          <w:sz w:val="28"/>
          <w:szCs w:val="28"/>
        </w:rPr>
        <w:t xml:space="preserve">would </w:t>
      </w:r>
      <w:r>
        <w:rPr>
          <w:rFonts w:ascii="Perpetua" w:hAnsi="Perpetua" w:cs="Arial"/>
          <w:sz w:val="28"/>
          <w:szCs w:val="28"/>
        </w:rPr>
        <w:t>we also ensure that a RCC response</w:t>
      </w:r>
      <w:r w:rsidR="002106B2">
        <w:rPr>
          <w:rFonts w:ascii="Perpetua" w:hAnsi="Perpetua" w:cs="Arial"/>
          <w:sz w:val="28"/>
          <w:szCs w:val="28"/>
        </w:rPr>
        <w:t xml:space="preserve"> would be included at hospitals paying for the training and ove</w:t>
      </w:r>
      <w:r w:rsidR="00772AEB">
        <w:rPr>
          <w:rFonts w:ascii="Perpetua" w:hAnsi="Perpetua" w:cs="Arial"/>
          <w:sz w:val="28"/>
          <w:szCs w:val="28"/>
        </w:rPr>
        <w:t>rsight of their exclusive SANEs?</w:t>
      </w:r>
    </w:p>
    <w:p w:rsidR="008F78EA" w:rsidRPr="00A60DDF" w:rsidRDefault="008F78EA" w:rsidP="008F78EA">
      <w:pPr>
        <w:pStyle w:val="ListParagraph"/>
        <w:numPr>
          <w:ilvl w:val="1"/>
          <w:numId w:val="8"/>
        </w:numPr>
        <w:spacing w:after="0" w:line="240" w:lineRule="auto"/>
        <w:rPr>
          <w:rFonts w:ascii="Perpetua" w:hAnsi="Perpetua" w:cs="Arial"/>
          <w:sz w:val="28"/>
          <w:szCs w:val="28"/>
          <w:u w:val="single"/>
        </w:rPr>
      </w:pPr>
      <w:r>
        <w:rPr>
          <w:rFonts w:ascii="Perpetua" w:hAnsi="Perpetua" w:cs="Arial"/>
          <w:sz w:val="28"/>
          <w:szCs w:val="28"/>
        </w:rPr>
        <w:t xml:space="preserve">A trauma-informed, partnered response by SANE and a RCC advocate, along with </w:t>
      </w:r>
      <w:r w:rsidR="00437DB6">
        <w:rPr>
          <w:rFonts w:ascii="Perpetua" w:hAnsi="Perpetua" w:cs="Arial"/>
          <w:sz w:val="28"/>
          <w:szCs w:val="28"/>
        </w:rPr>
        <w:t xml:space="preserve">appropriate </w:t>
      </w:r>
      <w:r>
        <w:rPr>
          <w:rFonts w:ascii="Perpetua" w:hAnsi="Perpetua" w:cs="Arial"/>
          <w:sz w:val="28"/>
          <w:szCs w:val="28"/>
        </w:rPr>
        <w:t xml:space="preserve">follow-up services may have a protective impact for sexual assault patients against </w:t>
      </w:r>
      <w:r w:rsidR="00437DB6">
        <w:rPr>
          <w:rFonts w:ascii="Perpetua" w:hAnsi="Perpetua" w:cs="Arial"/>
          <w:sz w:val="28"/>
          <w:szCs w:val="28"/>
        </w:rPr>
        <w:t xml:space="preserve">long term </w:t>
      </w:r>
      <w:r>
        <w:rPr>
          <w:rFonts w:ascii="Perpetua" w:hAnsi="Perpetua" w:cs="Arial"/>
          <w:sz w:val="28"/>
          <w:szCs w:val="28"/>
        </w:rPr>
        <w:t>health</w:t>
      </w:r>
      <w:r w:rsidR="00437DB6">
        <w:rPr>
          <w:rFonts w:ascii="Perpetua" w:hAnsi="Perpetua" w:cs="Arial"/>
          <w:sz w:val="28"/>
          <w:szCs w:val="28"/>
        </w:rPr>
        <w:t xml:space="preserve"> and behavioral health</w:t>
      </w:r>
      <w:r>
        <w:rPr>
          <w:rFonts w:ascii="Perpetua" w:hAnsi="Perpetua" w:cs="Arial"/>
          <w:sz w:val="28"/>
          <w:szCs w:val="28"/>
        </w:rPr>
        <w:t xml:space="preserve"> issues. These are important messages when explaining the value to healthcare systems. </w:t>
      </w:r>
    </w:p>
    <w:p w:rsidR="00A60DDF" w:rsidRDefault="00A60DDF" w:rsidP="00A60DDF">
      <w:pPr>
        <w:spacing w:after="0" w:line="240" w:lineRule="auto"/>
        <w:rPr>
          <w:rFonts w:ascii="Perpetua" w:hAnsi="Perpetua" w:cs="Arial"/>
          <w:sz w:val="28"/>
          <w:szCs w:val="28"/>
          <w:u w:val="single"/>
        </w:rPr>
      </w:pPr>
    </w:p>
    <w:p w:rsidR="00A60DDF" w:rsidRPr="00A60DDF" w:rsidRDefault="00A60DDF" w:rsidP="00A60DDF">
      <w:pPr>
        <w:spacing w:after="0" w:line="240" w:lineRule="auto"/>
        <w:rPr>
          <w:rFonts w:ascii="Perpetua" w:hAnsi="Perpetua" w:cs="Arial"/>
          <w:sz w:val="28"/>
          <w:szCs w:val="28"/>
        </w:rPr>
      </w:pPr>
      <w:r w:rsidRPr="00A60DDF">
        <w:rPr>
          <w:rFonts w:ascii="Perpetua" w:hAnsi="Perpetua" w:cs="Arial"/>
          <w:sz w:val="28"/>
          <w:szCs w:val="28"/>
        </w:rPr>
        <w:t xml:space="preserve">All members agreed that if the SANE Trust is established, we will need </w:t>
      </w:r>
      <w:r w:rsidR="002106B2">
        <w:rPr>
          <w:rFonts w:ascii="Perpetua" w:hAnsi="Perpetua" w:cs="Arial"/>
          <w:sz w:val="28"/>
          <w:szCs w:val="28"/>
        </w:rPr>
        <w:t xml:space="preserve">to establish </w:t>
      </w:r>
      <w:r w:rsidRPr="00A60DDF">
        <w:rPr>
          <w:rFonts w:ascii="Perpetua" w:hAnsi="Perpetua" w:cs="Arial"/>
          <w:sz w:val="28"/>
          <w:szCs w:val="28"/>
        </w:rPr>
        <w:t>a Subcommittee to help explore these issues further.</w:t>
      </w:r>
    </w:p>
    <w:p w:rsidR="00F453B1" w:rsidRPr="00266A94" w:rsidRDefault="00F453B1" w:rsidP="00F453B1">
      <w:pPr>
        <w:pStyle w:val="ListParagraph"/>
        <w:spacing w:after="0" w:line="240" w:lineRule="auto"/>
        <w:ind w:left="1440"/>
        <w:rPr>
          <w:rFonts w:ascii="Perpetua" w:hAnsi="Perpetua" w:cs="Arial"/>
          <w:sz w:val="28"/>
          <w:szCs w:val="28"/>
        </w:rPr>
      </w:pPr>
    </w:p>
    <w:p w:rsidR="002106B2" w:rsidRPr="009601CB" w:rsidRDefault="00F453B1" w:rsidP="00F453B1">
      <w:pPr>
        <w:spacing w:after="0" w:line="240" w:lineRule="auto"/>
        <w:rPr>
          <w:rFonts w:ascii="Perpetua" w:hAnsi="Perpetua" w:cs="Arial"/>
          <w:b/>
          <w:sz w:val="28"/>
          <w:szCs w:val="28"/>
          <w:u w:val="single"/>
        </w:rPr>
      </w:pPr>
      <w:r w:rsidRPr="009601CB">
        <w:rPr>
          <w:rFonts w:ascii="Perpetua" w:hAnsi="Perpetua" w:cs="Arial"/>
          <w:b/>
          <w:sz w:val="28"/>
          <w:szCs w:val="28"/>
          <w:u w:val="single"/>
        </w:rPr>
        <w:t>SANE Program Updates</w:t>
      </w:r>
    </w:p>
    <w:p w:rsidR="00F453B1" w:rsidRPr="008F78EA" w:rsidRDefault="00F453B1" w:rsidP="002106B2">
      <w:pPr>
        <w:spacing w:after="0" w:line="240" w:lineRule="auto"/>
        <w:rPr>
          <w:rFonts w:ascii="Perpetua" w:hAnsi="Perpetua" w:cs="Arial"/>
          <w:b/>
          <w:sz w:val="28"/>
          <w:szCs w:val="28"/>
          <w:u w:val="single"/>
        </w:rPr>
      </w:pPr>
      <w:r w:rsidRPr="008F78EA">
        <w:rPr>
          <w:rFonts w:ascii="Perpetua" w:hAnsi="Perpetua" w:cs="Arial"/>
          <w:b/>
          <w:sz w:val="28"/>
          <w:szCs w:val="28"/>
        </w:rPr>
        <w:t>Personnel</w:t>
      </w:r>
    </w:p>
    <w:p w:rsidR="009601CB" w:rsidRPr="009601CB" w:rsidRDefault="009601CB" w:rsidP="00F453B1">
      <w:pPr>
        <w:pStyle w:val="ListParagraph"/>
        <w:numPr>
          <w:ilvl w:val="1"/>
          <w:numId w:val="10"/>
        </w:numPr>
        <w:spacing w:after="0" w:line="240" w:lineRule="auto"/>
        <w:rPr>
          <w:rFonts w:ascii="Perpetua" w:hAnsi="Perpetua" w:cs="Arial"/>
          <w:sz w:val="28"/>
          <w:szCs w:val="28"/>
          <w:u w:val="single"/>
        </w:rPr>
      </w:pPr>
      <w:r w:rsidRPr="009601CB">
        <w:rPr>
          <w:rFonts w:ascii="Perpetua" w:hAnsi="Perpetua" w:cs="Arial"/>
          <w:sz w:val="28"/>
          <w:szCs w:val="28"/>
        </w:rPr>
        <w:t>Sandy Hebenstreit has resigned her position effective July 30</w:t>
      </w:r>
      <w:r w:rsidRPr="009601CB">
        <w:rPr>
          <w:rFonts w:ascii="Perpetua" w:hAnsi="Perpetua" w:cs="Arial"/>
          <w:sz w:val="28"/>
          <w:szCs w:val="28"/>
          <w:vertAlign w:val="superscript"/>
        </w:rPr>
        <w:t>th</w:t>
      </w:r>
      <w:r w:rsidRPr="009601CB">
        <w:rPr>
          <w:rFonts w:ascii="Perpetua" w:hAnsi="Perpetua" w:cs="Arial"/>
          <w:sz w:val="28"/>
          <w:szCs w:val="28"/>
        </w:rPr>
        <w:t xml:space="preserve">.  </w:t>
      </w:r>
      <w:r w:rsidR="009F02C7" w:rsidRPr="009601CB">
        <w:rPr>
          <w:rFonts w:ascii="Perpetua" w:hAnsi="Perpetua" w:cs="Arial"/>
          <w:sz w:val="28"/>
          <w:szCs w:val="28"/>
        </w:rPr>
        <w:t xml:space="preserve"> </w:t>
      </w:r>
    </w:p>
    <w:p w:rsidR="009601CB" w:rsidRDefault="009601CB" w:rsidP="009601CB">
      <w:pPr>
        <w:spacing w:after="0" w:line="240" w:lineRule="auto"/>
        <w:rPr>
          <w:rFonts w:ascii="Perpetua" w:hAnsi="Perpetua" w:cs="Arial"/>
          <w:sz w:val="28"/>
          <w:szCs w:val="28"/>
        </w:rPr>
      </w:pPr>
    </w:p>
    <w:p w:rsidR="009601CB" w:rsidRDefault="009601CB" w:rsidP="009601CB">
      <w:pPr>
        <w:spacing w:after="0" w:line="240" w:lineRule="auto"/>
        <w:rPr>
          <w:rFonts w:ascii="Perpetua" w:hAnsi="Perpetua" w:cs="Arial"/>
          <w:sz w:val="28"/>
          <w:szCs w:val="28"/>
        </w:rPr>
      </w:pPr>
      <w:r w:rsidRPr="009601CB">
        <w:rPr>
          <w:rFonts w:ascii="Perpetua" w:hAnsi="Perpetua" w:cs="Arial"/>
          <w:b/>
          <w:sz w:val="28"/>
          <w:szCs w:val="28"/>
        </w:rPr>
        <w:t>EMS Point of Entry</w:t>
      </w:r>
      <w:r>
        <w:rPr>
          <w:rFonts w:ascii="Perpetua" w:hAnsi="Perpetua" w:cs="Arial"/>
          <w:b/>
          <w:sz w:val="28"/>
          <w:szCs w:val="28"/>
        </w:rPr>
        <w:t xml:space="preserve"> (POE)</w:t>
      </w:r>
      <w:r>
        <w:rPr>
          <w:rFonts w:ascii="Perpetua" w:hAnsi="Perpetua" w:cs="Arial"/>
          <w:sz w:val="28"/>
          <w:szCs w:val="28"/>
        </w:rPr>
        <w:t xml:space="preserve"> – In March 2015, the DPH Office of Emergency Medical Services issued a  bulletin to all statewide EMS providers notifying them the MDPH-SANE sites are now considered POE locations.  This means that EMS providers, transporting a sexual assault patient, can by-pass the nearest hospital with the patient’s consent and take the patient to a designated MDPH-SANE site.  </w:t>
      </w:r>
    </w:p>
    <w:p w:rsidR="009601CB" w:rsidRDefault="009601CB" w:rsidP="009601CB">
      <w:pPr>
        <w:spacing w:after="0" w:line="240" w:lineRule="auto"/>
        <w:rPr>
          <w:rFonts w:ascii="Perpetua" w:hAnsi="Perpetua" w:cs="Arial"/>
          <w:sz w:val="28"/>
          <w:szCs w:val="28"/>
        </w:rPr>
      </w:pPr>
    </w:p>
    <w:p w:rsidR="009F02C7" w:rsidRPr="00E376FB" w:rsidRDefault="009F02C7" w:rsidP="009601CB">
      <w:pPr>
        <w:spacing w:after="0" w:line="240" w:lineRule="auto"/>
        <w:rPr>
          <w:rFonts w:ascii="Perpetua" w:hAnsi="Perpetua" w:cs="Arial"/>
          <w:sz w:val="28"/>
          <w:szCs w:val="28"/>
          <w:u w:val="single"/>
        </w:rPr>
      </w:pPr>
      <w:r w:rsidRPr="009601CB">
        <w:rPr>
          <w:rFonts w:ascii="Perpetua" w:hAnsi="Perpetua" w:cs="Arial"/>
          <w:b/>
          <w:sz w:val="28"/>
          <w:szCs w:val="28"/>
        </w:rPr>
        <w:t>Adolescent Task Force</w:t>
      </w:r>
      <w:r w:rsidR="009601CB">
        <w:rPr>
          <w:rFonts w:ascii="Perpetua" w:hAnsi="Perpetua" w:cs="Arial"/>
          <w:b/>
          <w:sz w:val="28"/>
          <w:szCs w:val="28"/>
        </w:rPr>
        <w:t xml:space="preserve"> – </w:t>
      </w:r>
      <w:r w:rsidR="009601CB" w:rsidRPr="00C526AA">
        <w:rPr>
          <w:rFonts w:ascii="Perpetua" w:hAnsi="Perpetua" w:cs="Arial"/>
          <w:sz w:val="28"/>
          <w:szCs w:val="28"/>
        </w:rPr>
        <w:t>The taskforce has met twice</w:t>
      </w:r>
      <w:r w:rsidR="00E376FB">
        <w:rPr>
          <w:rFonts w:ascii="Perpetua" w:hAnsi="Perpetua" w:cs="Arial"/>
          <w:sz w:val="28"/>
          <w:szCs w:val="28"/>
        </w:rPr>
        <w:t xml:space="preserve">.  There have been some very rich discussions and most recently each professional group is explaining their role in responding to Adolescent Sexual Assault patients.  We hope to develop best practice guidelines that consider the developmental needs of adolescents.  The Taskforce has determined that it is committed to meeting for as long as required to do this in a comprehensive way. Staff from the Office of the Child Advocate and the Office of the Attorney General, have recently joined the group.  </w:t>
      </w:r>
      <w:r w:rsidR="00C526AA" w:rsidRPr="00E376FB">
        <w:rPr>
          <w:rFonts w:ascii="Perpetua" w:hAnsi="Perpetua" w:cs="Arial"/>
          <w:sz w:val="28"/>
          <w:szCs w:val="28"/>
        </w:rPr>
        <w:t>The meetings are held at the Disabled Persons’ Protection Commission in Braintree and we are grateful to Nancy Alterio for</w:t>
      </w:r>
      <w:r w:rsidR="00E376FB" w:rsidRPr="00E376FB">
        <w:rPr>
          <w:rFonts w:ascii="Perpetua" w:hAnsi="Perpetua" w:cs="Arial"/>
          <w:sz w:val="28"/>
          <w:szCs w:val="28"/>
        </w:rPr>
        <w:t xml:space="preserve"> hosting and facilitating these meetings.</w:t>
      </w:r>
      <w:r w:rsidR="00C526AA" w:rsidRPr="00E376FB">
        <w:rPr>
          <w:rFonts w:ascii="Perpetua" w:hAnsi="Perpetua" w:cs="Arial"/>
          <w:sz w:val="28"/>
          <w:szCs w:val="28"/>
        </w:rPr>
        <w:t xml:space="preserve">  </w:t>
      </w:r>
    </w:p>
    <w:p w:rsidR="009F02C7" w:rsidRPr="00266A94" w:rsidRDefault="009F02C7" w:rsidP="009F02C7">
      <w:pPr>
        <w:spacing w:after="0" w:line="240" w:lineRule="auto"/>
        <w:rPr>
          <w:rFonts w:ascii="Perpetua" w:hAnsi="Perpetua" w:cs="Arial"/>
          <w:sz w:val="28"/>
          <w:szCs w:val="28"/>
          <w:u w:val="single"/>
        </w:rPr>
      </w:pPr>
    </w:p>
    <w:p w:rsidR="00E376FB" w:rsidRDefault="00E376FB" w:rsidP="009F02C7">
      <w:pPr>
        <w:spacing w:after="0" w:line="240" w:lineRule="auto"/>
        <w:rPr>
          <w:rFonts w:ascii="Perpetua" w:hAnsi="Perpetua" w:cs="Arial"/>
          <w:sz w:val="28"/>
          <w:szCs w:val="28"/>
        </w:rPr>
      </w:pPr>
    </w:p>
    <w:p w:rsidR="00437DB6" w:rsidRDefault="009F02C7" w:rsidP="009F02C7">
      <w:pPr>
        <w:spacing w:after="0" w:line="240" w:lineRule="auto"/>
        <w:rPr>
          <w:rFonts w:ascii="Perpetua" w:hAnsi="Perpetua" w:cs="Arial"/>
          <w:b/>
          <w:sz w:val="28"/>
          <w:szCs w:val="28"/>
        </w:rPr>
      </w:pPr>
      <w:r w:rsidRPr="00E376FB">
        <w:rPr>
          <w:rFonts w:ascii="Perpetua" w:hAnsi="Perpetua" w:cs="Arial"/>
          <w:b/>
          <w:sz w:val="28"/>
          <w:szCs w:val="28"/>
        </w:rPr>
        <w:t>Meeting adjourned at 11:50</w:t>
      </w:r>
      <w:r w:rsidR="00E376FB">
        <w:rPr>
          <w:rFonts w:ascii="Perpetua" w:hAnsi="Perpetua" w:cs="Arial"/>
          <w:b/>
          <w:sz w:val="28"/>
          <w:szCs w:val="28"/>
        </w:rPr>
        <w:t xml:space="preserve"> AM</w:t>
      </w:r>
    </w:p>
    <w:p w:rsidR="00437DB6" w:rsidRDefault="00437DB6" w:rsidP="009F02C7">
      <w:pPr>
        <w:spacing w:after="0" w:line="240" w:lineRule="auto"/>
        <w:rPr>
          <w:rFonts w:ascii="Perpetua" w:hAnsi="Perpetua" w:cs="Arial"/>
          <w:b/>
          <w:sz w:val="28"/>
          <w:szCs w:val="28"/>
        </w:rPr>
      </w:pPr>
    </w:p>
    <w:p w:rsidR="00437DB6" w:rsidRDefault="00437DB6" w:rsidP="009F02C7">
      <w:pPr>
        <w:spacing w:after="0" w:line="240" w:lineRule="auto"/>
        <w:rPr>
          <w:rFonts w:ascii="Perpetua" w:hAnsi="Perpetua" w:cs="Arial"/>
          <w:b/>
          <w:sz w:val="28"/>
          <w:szCs w:val="28"/>
        </w:rPr>
      </w:pPr>
    </w:p>
    <w:p w:rsidR="00437DB6" w:rsidRDefault="00437DB6" w:rsidP="00437DB6">
      <w:pPr>
        <w:rPr>
          <w:rFonts w:ascii="Perpetua" w:hAnsi="Perpetua" w:cs="Arial"/>
          <w:b/>
          <w:sz w:val="28"/>
          <w:szCs w:val="28"/>
        </w:rPr>
      </w:pPr>
      <w:r>
        <w:rPr>
          <w:rFonts w:ascii="Perpetua" w:hAnsi="Perpetua" w:cs="Arial"/>
          <w:b/>
          <w:sz w:val="28"/>
          <w:szCs w:val="28"/>
        </w:rPr>
        <w:t>Updates on Items covered in the June 13</w:t>
      </w:r>
      <w:r w:rsidRPr="00150639">
        <w:rPr>
          <w:rFonts w:ascii="Perpetua" w:hAnsi="Perpetua" w:cs="Arial"/>
          <w:b/>
          <w:sz w:val="28"/>
          <w:szCs w:val="28"/>
          <w:vertAlign w:val="superscript"/>
        </w:rPr>
        <w:t>th</w:t>
      </w:r>
      <w:r>
        <w:rPr>
          <w:rFonts w:ascii="Perpetua" w:hAnsi="Perpetua" w:cs="Arial"/>
          <w:b/>
          <w:sz w:val="28"/>
          <w:szCs w:val="28"/>
        </w:rPr>
        <w:t xml:space="preserve"> Agenda:</w:t>
      </w:r>
    </w:p>
    <w:p w:rsidR="00437DB6" w:rsidRDefault="00437DB6" w:rsidP="00437DB6">
      <w:pPr>
        <w:spacing w:after="0" w:line="240" w:lineRule="auto"/>
        <w:jc w:val="center"/>
        <w:rPr>
          <w:rFonts w:ascii="Perpetua" w:hAnsi="Perpetua" w:cs="Arial"/>
          <w:b/>
          <w:sz w:val="28"/>
          <w:szCs w:val="28"/>
        </w:rPr>
      </w:pPr>
    </w:p>
    <w:p w:rsidR="00437DB6" w:rsidRDefault="00437DB6" w:rsidP="00437DB6">
      <w:pPr>
        <w:spacing w:after="0" w:line="240" w:lineRule="auto"/>
        <w:rPr>
          <w:rFonts w:ascii="Perpetua" w:hAnsi="Perpetua" w:cs="Arial"/>
          <w:b/>
          <w:sz w:val="28"/>
          <w:szCs w:val="28"/>
        </w:rPr>
      </w:pPr>
      <w:r>
        <w:rPr>
          <w:rFonts w:ascii="Perpetua" w:hAnsi="Perpetua" w:cs="Arial"/>
          <w:b/>
          <w:sz w:val="28"/>
          <w:szCs w:val="28"/>
        </w:rPr>
        <w:t>SANE State Funding:</w:t>
      </w:r>
    </w:p>
    <w:p w:rsidR="00437DB6" w:rsidRDefault="00437DB6" w:rsidP="00437DB6">
      <w:pPr>
        <w:spacing w:after="0" w:line="240" w:lineRule="auto"/>
        <w:rPr>
          <w:rFonts w:ascii="Perpetua" w:hAnsi="Perpetua" w:cs="Arial"/>
          <w:sz w:val="28"/>
          <w:szCs w:val="28"/>
        </w:rPr>
      </w:pPr>
      <w:r>
        <w:rPr>
          <w:rFonts w:ascii="Perpetua" w:hAnsi="Perpetua" w:cs="Arial"/>
          <w:sz w:val="28"/>
          <w:szCs w:val="28"/>
        </w:rPr>
        <w:t>The final state FY17 budget included the $180K funded earmark for MACA.  (Note that MACA receives a ~$570K procured contract through funding from the SANE Account.)  This earmark was vetoed by the Governor, but overridden by the legislature.</w:t>
      </w:r>
    </w:p>
    <w:p w:rsidR="00437DB6" w:rsidRDefault="00437DB6" w:rsidP="00437DB6">
      <w:pPr>
        <w:spacing w:after="0" w:line="240" w:lineRule="auto"/>
        <w:rPr>
          <w:rFonts w:ascii="Perpetua" w:hAnsi="Perpetua" w:cs="Arial"/>
          <w:sz w:val="28"/>
          <w:szCs w:val="28"/>
        </w:rPr>
      </w:pPr>
    </w:p>
    <w:p w:rsidR="00437DB6" w:rsidRDefault="00437DB6" w:rsidP="00437DB6">
      <w:pPr>
        <w:spacing w:after="0" w:line="240" w:lineRule="auto"/>
        <w:rPr>
          <w:rFonts w:ascii="Perpetua" w:hAnsi="Perpetua" w:cs="Arial"/>
          <w:sz w:val="28"/>
          <w:szCs w:val="28"/>
        </w:rPr>
      </w:pPr>
      <w:r>
        <w:rPr>
          <w:rFonts w:ascii="Perpetua" w:hAnsi="Perpetua" w:cs="Arial"/>
          <w:sz w:val="28"/>
          <w:szCs w:val="28"/>
        </w:rPr>
        <w:t>In the supplemental budget passed in September, the earmarking language in the SANE account was changed to $750K for MACA.</w:t>
      </w:r>
    </w:p>
    <w:p w:rsidR="00437DB6" w:rsidRPr="009C7BB4" w:rsidRDefault="00437DB6" w:rsidP="00437DB6">
      <w:pPr>
        <w:spacing w:after="0" w:line="240" w:lineRule="auto"/>
        <w:rPr>
          <w:rFonts w:ascii="Perpetua" w:hAnsi="Perpetua" w:cs="Arial"/>
          <w:sz w:val="28"/>
          <w:szCs w:val="28"/>
        </w:rPr>
      </w:pPr>
    </w:p>
    <w:p w:rsidR="00437DB6" w:rsidRDefault="00437DB6" w:rsidP="00437DB6">
      <w:pPr>
        <w:spacing w:after="0" w:line="240" w:lineRule="auto"/>
        <w:rPr>
          <w:rFonts w:ascii="Perpetua" w:hAnsi="Perpetua" w:cs="Arial"/>
          <w:b/>
          <w:sz w:val="28"/>
          <w:szCs w:val="28"/>
        </w:rPr>
      </w:pPr>
      <w:r>
        <w:rPr>
          <w:rFonts w:ascii="Perpetua" w:hAnsi="Perpetua" w:cs="Arial"/>
          <w:b/>
          <w:sz w:val="28"/>
          <w:szCs w:val="28"/>
        </w:rPr>
        <w:t>FY15/FY16 Service Delivery:</w:t>
      </w:r>
    </w:p>
    <w:p w:rsidR="00437DB6" w:rsidRDefault="00437DB6" w:rsidP="00437DB6">
      <w:pPr>
        <w:spacing w:after="0" w:line="240" w:lineRule="auto"/>
        <w:rPr>
          <w:rFonts w:ascii="Perpetua" w:hAnsi="Perpetua" w:cs="Arial"/>
          <w:sz w:val="28"/>
          <w:szCs w:val="28"/>
        </w:rPr>
      </w:pPr>
      <w:r>
        <w:rPr>
          <w:rFonts w:ascii="Perpetua" w:hAnsi="Perpetua" w:cs="Arial"/>
          <w:sz w:val="28"/>
          <w:szCs w:val="28"/>
        </w:rPr>
        <w:t>Since the June 13</w:t>
      </w:r>
      <w:r w:rsidRPr="00150639">
        <w:rPr>
          <w:rFonts w:ascii="Perpetua" w:hAnsi="Perpetua" w:cs="Arial"/>
          <w:sz w:val="28"/>
          <w:szCs w:val="28"/>
          <w:vertAlign w:val="superscript"/>
        </w:rPr>
        <w:t>th</w:t>
      </w:r>
      <w:r>
        <w:rPr>
          <w:rFonts w:ascii="Perpetua" w:hAnsi="Perpetua" w:cs="Arial"/>
          <w:sz w:val="28"/>
          <w:szCs w:val="28"/>
        </w:rPr>
        <w:t xml:space="preserve"> meeting, we have final figures in for service delivery all of in FY16.  They are:</w:t>
      </w:r>
    </w:p>
    <w:p w:rsidR="00437DB6" w:rsidRPr="00266A94" w:rsidRDefault="00437DB6" w:rsidP="00437DB6">
      <w:pPr>
        <w:rPr>
          <w:rFonts w:ascii="Perpetua" w:hAnsi="Perpetua" w:cs="Arial"/>
          <w:b/>
          <w:sz w:val="28"/>
          <w:szCs w:val="28"/>
        </w:rPr>
      </w:pPr>
    </w:p>
    <w:tbl>
      <w:tblPr>
        <w:tblStyle w:val="TableGrid"/>
        <w:tblW w:w="0" w:type="auto"/>
        <w:tblLook w:val="04A0" w:firstRow="1" w:lastRow="0" w:firstColumn="1" w:lastColumn="0" w:noHBand="0" w:noVBand="1"/>
      </w:tblPr>
      <w:tblGrid>
        <w:gridCol w:w="2394"/>
        <w:gridCol w:w="2394"/>
        <w:gridCol w:w="2394"/>
        <w:gridCol w:w="2394"/>
      </w:tblGrid>
      <w:tr w:rsidR="00437DB6" w:rsidRPr="00266A94" w:rsidTr="00A32450">
        <w:tc>
          <w:tcPr>
            <w:tcW w:w="4788" w:type="dxa"/>
            <w:gridSpan w:val="2"/>
            <w:shd w:val="clear" w:color="auto" w:fill="B2A1C7" w:themeFill="accent4" w:themeFillTint="99"/>
          </w:tcPr>
          <w:p w:rsidR="00437DB6" w:rsidRPr="00266A94" w:rsidRDefault="00437DB6" w:rsidP="00A32450">
            <w:pPr>
              <w:jc w:val="center"/>
              <w:rPr>
                <w:rFonts w:ascii="Perpetua" w:hAnsi="Perpetua" w:cs="Arial"/>
                <w:sz w:val="28"/>
                <w:szCs w:val="28"/>
              </w:rPr>
            </w:pPr>
            <w:r w:rsidRPr="008D60E2">
              <w:rPr>
                <w:rFonts w:ascii="Perpetua" w:hAnsi="Perpetua" w:cs="Arial"/>
                <w:color w:val="FFFFFF" w:themeColor="background1"/>
                <w:sz w:val="28"/>
                <w:szCs w:val="28"/>
              </w:rPr>
              <w:t>Adult Adolescent</w:t>
            </w:r>
          </w:p>
        </w:tc>
        <w:tc>
          <w:tcPr>
            <w:tcW w:w="4788" w:type="dxa"/>
            <w:gridSpan w:val="2"/>
            <w:shd w:val="clear" w:color="auto" w:fill="548DD4" w:themeFill="text2" w:themeFillTint="99"/>
          </w:tcPr>
          <w:p w:rsidR="00437DB6" w:rsidRPr="008D60E2" w:rsidRDefault="00437DB6" w:rsidP="00A32450">
            <w:pPr>
              <w:jc w:val="center"/>
              <w:rPr>
                <w:rFonts w:ascii="Perpetua" w:hAnsi="Perpetua" w:cs="Arial"/>
                <w:sz w:val="28"/>
                <w:szCs w:val="28"/>
              </w:rPr>
            </w:pPr>
            <w:r w:rsidRPr="008D60E2">
              <w:rPr>
                <w:rFonts w:ascii="Perpetua" w:hAnsi="Perpetua" w:cs="Arial"/>
                <w:color w:val="FFFFFF" w:themeColor="background1"/>
                <w:sz w:val="28"/>
                <w:szCs w:val="28"/>
              </w:rPr>
              <w:t>CAC/Pediatric SANE</w:t>
            </w:r>
          </w:p>
        </w:tc>
      </w:tr>
      <w:tr w:rsidR="00437DB6" w:rsidRPr="00266A94" w:rsidTr="00A32450">
        <w:tc>
          <w:tcPr>
            <w:tcW w:w="2394" w:type="dxa"/>
          </w:tcPr>
          <w:p w:rsidR="00437DB6" w:rsidRPr="00266A94" w:rsidRDefault="00437DB6" w:rsidP="00A32450">
            <w:pPr>
              <w:jc w:val="center"/>
              <w:rPr>
                <w:rFonts w:ascii="Perpetua" w:hAnsi="Perpetua" w:cs="Arial"/>
                <w:sz w:val="28"/>
                <w:szCs w:val="28"/>
              </w:rPr>
            </w:pPr>
            <w:r w:rsidRPr="00266A94">
              <w:rPr>
                <w:rFonts w:ascii="Perpetua" w:hAnsi="Perpetua" w:cs="Arial"/>
                <w:sz w:val="28"/>
                <w:szCs w:val="28"/>
              </w:rPr>
              <w:t>FY ‘16</w:t>
            </w:r>
          </w:p>
        </w:tc>
        <w:tc>
          <w:tcPr>
            <w:tcW w:w="2394" w:type="dxa"/>
          </w:tcPr>
          <w:p w:rsidR="00437DB6" w:rsidRPr="00266A94" w:rsidRDefault="00437DB6" w:rsidP="00A32450">
            <w:pPr>
              <w:jc w:val="center"/>
              <w:rPr>
                <w:rFonts w:ascii="Perpetua" w:hAnsi="Perpetua" w:cs="Arial"/>
                <w:sz w:val="28"/>
                <w:szCs w:val="28"/>
              </w:rPr>
            </w:pPr>
            <w:r>
              <w:rPr>
                <w:rFonts w:ascii="Perpetua" w:hAnsi="Perpetua" w:cs="Arial"/>
                <w:sz w:val="28"/>
                <w:szCs w:val="28"/>
              </w:rPr>
              <w:t>1051</w:t>
            </w:r>
          </w:p>
        </w:tc>
        <w:tc>
          <w:tcPr>
            <w:tcW w:w="2394" w:type="dxa"/>
          </w:tcPr>
          <w:p w:rsidR="00437DB6" w:rsidRPr="00266A94" w:rsidRDefault="00437DB6" w:rsidP="00A32450">
            <w:pPr>
              <w:jc w:val="center"/>
              <w:rPr>
                <w:rFonts w:ascii="Perpetua" w:hAnsi="Perpetua" w:cs="Arial"/>
                <w:sz w:val="28"/>
                <w:szCs w:val="28"/>
              </w:rPr>
            </w:pPr>
            <w:r w:rsidRPr="00266A94">
              <w:rPr>
                <w:rFonts w:ascii="Perpetua" w:hAnsi="Perpetua" w:cs="Arial"/>
                <w:sz w:val="28"/>
                <w:szCs w:val="28"/>
              </w:rPr>
              <w:t>FY ‘16</w:t>
            </w:r>
          </w:p>
        </w:tc>
        <w:tc>
          <w:tcPr>
            <w:tcW w:w="2394" w:type="dxa"/>
          </w:tcPr>
          <w:p w:rsidR="00437DB6" w:rsidRPr="00266A94" w:rsidRDefault="00437DB6" w:rsidP="00A32450">
            <w:pPr>
              <w:jc w:val="center"/>
              <w:rPr>
                <w:rFonts w:ascii="Perpetua" w:hAnsi="Perpetua" w:cs="Arial"/>
                <w:sz w:val="28"/>
                <w:szCs w:val="28"/>
              </w:rPr>
            </w:pPr>
            <w:r>
              <w:rPr>
                <w:rFonts w:ascii="Perpetua" w:hAnsi="Perpetua" w:cs="Arial"/>
                <w:sz w:val="28"/>
                <w:szCs w:val="28"/>
              </w:rPr>
              <w:t>889</w:t>
            </w:r>
          </w:p>
        </w:tc>
      </w:tr>
      <w:tr w:rsidR="00437DB6" w:rsidRPr="00266A94" w:rsidTr="00A32450">
        <w:tc>
          <w:tcPr>
            <w:tcW w:w="2394" w:type="dxa"/>
          </w:tcPr>
          <w:p w:rsidR="00437DB6" w:rsidRPr="00266A94" w:rsidRDefault="00437DB6" w:rsidP="00A32450">
            <w:pPr>
              <w:jc w:val="center"/>
              <w:rPr>
                <w:rFonts w:ascii="Perpetua" w:hAnsi="Perpetua" w:cs="Arial"/>
                <w:sz w:val="28"/>
                <w:szCs w:val="28"/>
              </w:rPr>
            </w:pPr>
            <w:r w:rsidRPr="00266A94">
              <w:rPr>
                <w:rFonts w:ascii="Perpetua" w:hAnsi="Perpetua" w:cs="Arial"/>
                <w:sz w:val="28"/>
                <w:szCs w:val="28"/>
              </w:rPr>
              <w:t>FY ‘15</w:t>
            </w:r>
          </w:p>
        </w:tc>
        <w:tc>
          <w:tcPr>
            <w:tcW w:w="2394" w:type="dxa"/>
          </w:tcPr>
          <w:p w:rsidR="00437DB6" w:rsidRPr="00266A94" w:rsidRDefault="00437DB6" w:rsidP="00A32450">
            <w:pPr>
              <w:jc w:val="center"/>
              <w:rPr>
                <w:rFonts w:ascii="Perpetua" w:hAnsi="Perpetua" w:cs="Arial"/>
                <w:sz w:val="28"/>
                <w:szCs w:val="28"/>
              </w:rPr>
            </w:pPr>
            <w:r w:rsidRPr="00266A94">
              <w:rPr>
                <w:rFonts w:ascii="Perpetua" w:hAnsi="Perpetua" w:cs="Arial"/>
                <w:sz w:val="28"/>
                <w:szCs w:val="28"/>
              </w:rPr>
              <w:t>900</w:t>
            </w:r>
          </w:p>
        </w:tc>
        <w:tc>
          <w:tcPr>
            <w:tcW w:w="2394" w:type="dxa"/>
          </w:tcPr>
          <w:p w:rsidR="00437DB6" w:rsidRPr="00266A94" w:rsidRDefault="00437DB6" w:rsidP="00A32450">
            <w:pPr>
              <w:jc w:val="center"/>
              <w:rPr>
                <w:rFonts w:ascii="Perpetua" w:hAnsi="Perpetua" w:cs="Arial"/>
                <w:sz w:val="28"/>
                <w:szCs w:val="28"/>
              </w:rPr>
            </w:pPr>
            <w:r>
              <w:rPr>
                <w:rFonts w:ascii="Perpetua" w:hAnsi="Perpetua" w:cs="Arial"/>
                <w:sz w:val="28"/>
                <w:szCs w:val="28"/>
              </w:rPr>
              <w:t xml:space="preserve">FY </w:t>
            </w:r>
            <w:r w:rsidRPr="00266A94">
              <w:rPr>
                <w:rFonts w:ascii="Perpetua" w:hAnsi="Perpetua" w:cs="Arial"/>
                <w:sz w:val="28"/>
                <w:szCs w:val="28"/>
              </w:rPr>
              <w:t>’15</w:t>
            </w:r>
          </w:p>
        </w:tc>
        <w:tc>
          <w:tcPr>
            <w:tcW w:w="2394" w:type="dxa"/>
          </w:tcPr>
          <w:p w:rsidR="00437DB6" w:rsidRPr="00266A94" w:rsidRDefault="00437DB6" w:rsidP="00A32450">
            <w:pPr>
              <w:jc w:val="center"/>
              <w:rPr>
                <w:rFonts w:ascii="Perpetua" w:hAnsi="Perpetua" w:cs="Arial"/>
                <w:sz w:val="28"/>
                <w:szCs w:val="28"/>
              </w:rPr>
            </w:pPr>
            <w:r w:rsidRPr="00266A94">
              <w:rPr>
                <w:rFonts w:ascii="Perpetua" w:hAnsi="Perpetua" w:cs="Arial"/>
                <w:sz w:val="28"/>
                <w:szCs w:val="28"/>
              </w:rPr>
              <w:t>751</w:t>
            </w:r>
          </w:p>
        </w:tc>
      </w:tr>
    </w:tbl>
    <w:p w:rsidR="00437DB6" w:rsidRPr="00150639" w:rsidRDefault="00437DB6" w:rsidP="00437DB6">
      <w:pPr>
        <w:spacing w:after="0" w:line="240" w:lineRule="auto"/>
        <w:rPr>
          <w:rFonts w:ascii="Perpetua" w:hAnsi="Perpetua" w:cs="Arial"/>
          <w:sz w:val="28"/>
          <w:szCs w:val="28"/>
        </w:rPr>
      </w:pPr>
    </w:p>
    <w:p w:rsidR="00437DB6" w:rsidRPr="00266A94" w:rsidRDefault="00437DB6" w:rsidP="00437DB6">
      <w:pPr>
        <w:spacing w:after="0" w:line="240" w:lineRule="auto"/>
        <w:rPr>
          <w:rFonts w:ascii="Perpetua" w:hAnsi="Perpetua" w:cs="Arial"/>
          <w:sz w:val="28"/>
          <w:szCs w:val="28"/>
        </w:rPr>
      </w:pPr>
      <w:r w:rsidRPr="00266A94">
        <w:rPr>
          <w:rFonts w:ascii="Perpetua" w:hAnsi="Perpetua" w:cs="Arial"/>
          <w:sz w:val="28"/>
          <w:szCs w:val="28"/>
        </w:rPr>
        <w:tab/>
      </w:r>
    </w:p>
    <w:p w:rsidR="00437DB6" w:rsidRDefault="00437DB6" w:rsidP="00437DB6">
      <w:pPr>
        <w:spacing w:after="0" w:line="240" w:lineRule="auto"/>
        <w:rPr>
          <w:rFonts w:ascii="Perpetua" w:hAnsi="Perpetua" w:cs="Arial"/>
          <w:b/>
          <w:sz w:val="28"/>
          <w:szCs w:val="28"/>
        </w:rPr>
      </w:pPr>
      <w:r>
        <w:rPr>
          <w:rFonts w:ascii="Perpetua" w:hAnsi="Perpetua" w:cs="Arial"/>
          <w:b/>
          <w:sz w:val="28"/>
          <w:szCs w:val="28"/>
        </w:rPr>
        <w:t>FY17 Expansion:</w:t>
      </w:r>
    </w:p>
    <w:p w:rsidR="00437DB6" w:rsidRDefault="00437DB6" w:rsidP="00437DB6">
      <w:pPr>
        <w:spacing w:after="0" w:line="240" w:lineRule="auto"/>
        <w:rPr>
          <w:rFonts w:ascii="Perpetua" w:hAnsi="Perpetua" w:cs="Arial"/>
          <w:sz w:val="28"/>
          <w:szCs w:val="28"/>
        </w:rPr>
      </w:pPr>
      <w:r w:rsidRPr="00150639">
        <w:rPr>
          <w:rFonts w:ascii="Perpetua" w:hAnsi="Perpetua" w:cs="Arial"/>
          <w:sz w:val="28"/>
          <w:szCs w:val="28"/>
        </w:rPr>
        <w:t>There was internal interest in the position for the Middlesex County Pediatric SANE position, and since our meeting, Mildrine Tulysse, the Bristol County Pedi SANE, has accepted the position at the MCAC.</w:t>
      </w:r>
    </w:p>
    <w:p w:rsidR="00437DB6" w:rsidRDefault="00437DB6" w:rsidP="00437DB6">
      <w:pPr>
        <w:spacing w:after="0" w:line="240" w:lineRule="auto"/>
        <w:rPr>
          <w:rFonts w:ascii="Perpetua" w:hAnsi="Perpetua" w:cs="Arial"/>
          <w:sz w:val="28"/>
          <w:szCs w:val="28"/>
        </w:rPr>
      </w:pPr>
    </w:p>
    <w:p w:rsidR="00437DB6" w:rsidRDefault="00437DB6" w:rsidP="00437DB6">
      <w:pPr>
        <w:spacing w:after="0" w:line="240" w:lineRule="auto"/>
        <w:rPr>
          <w:rFonts w:ascii="Perpetua" w:hAnsi="Perpetua" w:cs="Arial"/>
          <w:sz w:val="28"/>
          <w:szCs w:val="28"/>
        </w:rPr>
      </w:pPr>
      <w:r>
        <w:rPr>
          <w:rFonts w:ascii="Perpetua" w:hAnsi="Perpetua" w:cs="Arial"/>
          <w:b/>
          <w:sz w:val="28"/>
          <w:szCs w:val="28"/>
        </w:rPr>
        <w:t>SANE Trust</w:t>
      </w:r>
      <w:r>
        <w:rPr>
          <w:rFonts w:ascii="Perpetua" w:hAnsi="Perpetua" w:cs="Arial"/>
          <w:sz w:val="28"/>
          <w:szCs w:val="28"/>
        </w:rPr>
        <w:t>:</w:t>
      </w:r>
    </w:p>
    <w:p w:rsidR="00437DB6" w:rsidRPr="002106B2" w:rsidRDefault="00437DB6" w:rsidP="00437DB6">
      <w:pPr>
        <w:spacing w:after="0" w:line="240" w:lineRule="auto"/>
        <w:rPr>
          <w:rFonts w:ascii="Perpetua" w:hAnsi="Perpetua" w:cs="Arial"/>
          <w:sz w:val="28"/>
          <w:szCs w:val="28"/>
        </w:rPr>
      </w:pPr>
      <w:r>
        <w:rPr>
          <w:rFonts w:ascii="Perpetua" w:hAnsi="Perpetua" w:cs="Arial"/>
          <w:sz w:val="28"/>
          <w:szCs w:val="28"/>
        </w:rPr>
        <w:t>Language for the establishment of a SANE Trust was included in the final budget.  The Trust has been established at DPH and has already received contributions.  Board members and others interested in contributing may do so via check made payable to: Massachusetts Department of Public Health and indicate “SANE Trust” in the memo line.</w:t>
      </w:r>
    </w:p>
    <w:p w:rsidR="00437DB6" w:rsidRDefault="00437DB6" w:rsidP="00437DB6">
      <w:pPr>
        <w:spacing w:after="0" w:line="240" w:lineRule="auto"/>
        <w:rPr>
          <w:rFonts w:ascii="Perpetua" w:hAnsi="Perpetua" w:cs="Arial"/>
          <w:sz w:val="28"/>
          <w:szCs w:val="28"/>
        </w:rPr>
      </w:pPr>
    </w:p>
    <w:p w:rsidR="00437DB6" w:rsidRPr="00150639" w:rsidRDefault="00437DB6" w:rsidP="00437DB6">
      <w:pPr>
        <w:spacing w:after="0" w:line="240" w:lineRule="auto"/>
        <w:rPr>
          <w:rFonts w:ascii="Perpetua" w:hAnsi="Perpetua" w:cs="Arial"/>
          <w:sz w:val="28"/>
          <w:szCs w:val="28"/>
        </w:rPr>
      </w:pPr>
    </w:p>
    <w:p w:rsidR="00150639" w:rsidRPr="00150639" w:rsidRDefault="00150639" w:rsidP="008B1CFC">
      <w:pPr>
        <w:spacing w:after="0" w:line="240" w:lineRule="auto"/>
        <w:rPr>
          <w:rFonts w:ascii="Perpetua" w:hAnsi="Perpetua" w:cs="Arial"/>
          <w:sz w:val="28"/>
          <w:szCs w:val="28"/>
        </w:rPr>
      </w:pPr>
    </w:p>
    <w:sectPr w:rsidR="00150639" w:rsidRPr="00150639" w:rsidSect="00150639">
      <w:type w:val="continuous"/>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8BC" w:rsidRDefault="00DD28BC" w:rsidP="002A76D0">
      <w:pPr>
        <w:spacing w:after="0" w:line="240" w:lineRule="auto"/>
      </w:pPr>
      <w:r>
        <w:separator/>
      </w:r>
    </w:p>
  </w:endnote>
  <w:endnote w:type="continuationSeparator" w:id="0">
    <w:p w:rsidR="00DD28BC" w:rsidRDefault="00DD28BC" w:rsidP="002A7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8BC" w:rsidRDefault="00DD28BC" w:rsidP="002A76D0">
      <w:pPr>
        <w:spacing w:after="0" w:line="240" w:lineRule="auto"/>
      </w:pPr>
      <w:r>
        <w:separator/>
      </w:r>
    </w:p>
  </w:footnote>
  <w:footnote w:type="continuationSeparator" w:id="0">
    <w:p w:rsidR="00DD28BC" w:rsidRDefault="00DD28BC" w:rsidP="002A76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474C"/>
    <w:multiLevelType w:val="hybridMultilevel"/>
    <w:tmpl w:val="081ECF70"/>
    <w:lvl w:ilvl="0" w:tplc="01BCF8F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F01B4"/>
    <w:multiLevelType w:val="hybridMultilevel"/>
    <w:tmpl w:val="963C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45F5F"/>
    <w:multiLevelType w:val="hybridMultilevel"/>
    <w:tmpl w:val="FE4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A75EBC"/>
    <w:multiLevelType w:val="hybridMultilevel"/>
    <w:tmpl w:val="3F76049C"/>
    <w:lvl w:ilvl="0" w:tplc="96746A64">
      <w:start w:val="1"/>
      <w:numFmt w:val="bullet"/>
      <w:lvlText w:val=""/>
      <w:lvlJc w:val="left"/>
      <w:pPr>
        <w:ind w:left="780" w:hanging="360"/>
      </w:pPr>
      <w:rPr>
        <w:rFonts w:ascii="Symbol" w:hAnsi="Symbol" w:hint="default"/>
        <w:color w:val="auto"/>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338F358B"/>
    <w:multiLevelType w:val="hybridMultilevel"/>
    <w:tmpl w:val="EAA8D0CC"/>
    <w:lvl w:ilvl="0" w:tplc="01BCF8F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13325B"/>
    <w:multiLevelType w:val="hybridMultilevel"/>
    <w:tmpl w:val="2F36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292A40"/>
    <w:multiLevelType w:val="hybridMultilevel"/>
    <w:tmpl w:val="4646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A2549"/>
    <w:multiLevelType w:val="hybridMultilevel"/>
    <w:tmpl w:val="2700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285414"/>
    <w:multiLevelType w:val="hybridMultilevel"/>
    <w:tmpl w:val="0D885ACE"/>
    <w:lvl w:ilvl="0" w:tplc="96746A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FE64CE"/>
    <w:multiLevelType w:val="hybridMultilevel"/>
    <w:tmpl w:val="4FEEDA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4822D75"/>
    <w:multiLevelType w:val="hybridMultilevel"/>
    <w:tmpl w:val="516C25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65792A19"/>
    <w:multiLevelType w:val="hybridMultilevel"/>
    <w:tmpl w:val="8EF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E473F6"/>
    <w:multiLevelType w:val="hybridMultilevel"/>
    <w:tmpl w:val="D37CC6AA"/>
    <w:lvl w:ilvl="0" w:tplc="04090001">
      <w:start w:val="1"/>
      <w:numFmt w:val="bullet"/>
      <w:lvlText w:val=""/>
      <w:lvlJc w:val="left"/>
      <w:pPr>
        <w:ind w:left="4305" w:hanging="360"/>
      </w:pPr>
      <w:rPr>
        <w:rFonts w:ascii="Symbol" w:hAnsi="Symbol"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13">
    <w:nsid w:val="7A333B57"/>
    <w:multiLevelType w:val="hybridMultilevel"/>
    <w:tmpl w:val="D8B08F1C"/>
    <w:lvl w:ilvl="0" w:tplc="96746A64">
      <w:start w:val="1"/>
      <w:numFmt w:val="bullet"/>
      <w:lvlText w:val=""/>
      <w:lvlJc w:val="left"/>
      <w:pPr>
        <w:ind w:left="720" w:hanging="360"/>
      </w:pPr>
      <w:rPr>
        <w:rFonts w:ascii="Symbol" w:hAnsi="Symbol" w:hint="default"/>
        <w:color w:val="auto"/>
      </w:rPr>
    </w:lvl>
    <w:lvl w:ilvl="1" w:tplc="567C31E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2"/>
  </w:num>
  <w:num w:numId="4">
    <w:abstractNumId w:val="1"/>
  </w:num>
  <w:num w:numId="5">
    <w:abstractNumId w:val="4"/>
  </w:num>
  <w:num w:numId="6">
    <w:abstractNumId w:val="9"/>
  </w:num>
  <w:num w:numId="7">
    <w:abstractNumId w:val="13"/>
  </w:num>
  <w:num w:numId="8">
    <w:abstractNumId w:val="3"/>
  </w:num>
  <w:num w:numId="9">
    <w:abstractNumId w:val="8"/>
  </w:num>
  <w:num w:numId="10">
    <w:abstractNumId w:val="0"/>
  </w:num>
  <w:num w:numId="11">
    <w:abstractNumId w:val="11"/>
  </w:num>
  <w:num w:numId="12">
    <w:abstractNumId w:val="5"/>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6D0"/>
    <w:rsid w:val="00054083"/>
    <w:rsid w:val="000D3D9B"/>
    <w:rsid w:val="00122298"/>
    <w:rsid w:val="00150639"/>
    <w:rsid w:val="001B0F44"/>
    <w:rsid w:val="001D0203"/>
    <w:rsid w:val="002106B2"/>
    <w:rsid w:val="00266A94"/>
    <w:rsid w:val="00295707"/>
    <w:rsid w:val="002A76D0"/>
    <w:rsid w:val="002D43EF"/>
    <w:rsid w:val="003316FC"/>
    <w:rsid w:val="00437DB6"/>
    <w:rsid w:val="00533792"/>
    <w:rsid w:val="00570E75"/>
    <w:rsid w:val="005A23BF"/>
    <w:rsid w:val="005F442E"/>
    <w:rsid w:val="006869C6"/>
    <w:rsid w:val="00692CAB"/>
    <w:rsid w:val="006B374C"/>
    <w:rsid w:val="00772AEB"/>
    <w:rsid w:val="007B3665"/>
    <w:rsid w:val="008B1CFC"/>
    <w:rsid w:val="008D60E2"/>
    <w:rsid w:val="008F78EA"/>
    <w:rsid w:val="009601CB"/>
    <w:rsid w:val="00974290"/>
    <w:rsid w:val="009C7BB4"/>
    <w:rsid w:val="009F02C7"/>
    <w:rsid w:val="00A60DDF"/>
    <w:rsid w:val="00BC522C"/>
    <w:rsid w:val="00C03D6C"/>
    <w:rsid w:val="00C50D08"/>
    <w:rsid w:val="00C526AA"/>
    <w:rsid w:val="00C73B1B"/>
    <w:rsid w:val="00D40862"/>
    <w:rsid w:val="00D9026F"/>
    <w:rsid w:val="00DD28BC"/>
    <w:rsid w:val="00DD581D"/>
    <w:rsid w:val="00E376FB"/>
    <w:rsid w:val="00E924E0"/>
    <w:rsid w:val="00ED5929"/>
    <w:rsid w:val="00F453B1"/>
    <w:rsid w:val="00FC2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6D0"/>
    <w:pPr>
      <w:ind w:left="720"/>
      <w:contextualSpacing/>
    </w:pPr>
  </w:style>
  <w:style w:type="table" w:styleId="TableGrid">
    <w:name w:val="Table Grid"/>
    <w:basedOn w:val="TableNormal"/>
    <w:rsid w:val="002A76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A76D0"/>
    <w:pPr>
      <w:spacing w:after="0" w:line="240" w:lineRule="auto"/>
    </w:pPr>
    <w:rPr>
      <w:sz w:val="20"/>
      <w:szCs w:val="20"/>
    </w:rPr>
  </w:style>
  <w:style w:type="character" w:customStyle="1" w:styleId="FootnoteTextChar">
    <w:name w:val="Footnote Text Char"/>
    <w:basedOn w:val="DefaultParagraphFont"/>
    <w:link w:val="FootnoteText"/>
    <w:rsid w:val="002A76D0"/>
    <w:rPr>
      <w:sz w:val="20"/>
      <w:szCs w:val="20"/>
    </w:rPr>
  </w:style>
  <w:style w:type="character" w:styleId="FootnoteReference">
    <w:name w:val="footnote reference"/>
    <w:basedOn w:val="DefaultParagraphFont"/>
    <w:rsid w:val="002A76D0"/>
    <w:rPr>
      <w:vertAlign w:val="superscript"/>
    </w:rPr>
  </w:style>
  <w:style w:type="character" w:styleId="CommentReference">
    <w:name w:val="annotation reference"/>
    <w:basedOn w:val="DefaultParagraphFont"/>
    <w:uiPriority w:val="99"/>
    <w:semiHidden/>
    <w:unhideWhenUsed/>
    <w:rsid w:val="00E376FB"/>
    <w:rPr>
      <w:sz w:val="16"/>
      <w:szCs w:val="16"/>
    </w:rPr>
  </w:style>
  <w:style w:type="paragraph" w:styleId="CommentText">
    <w:name w:val="annotation text"/>
    <w:basedOn w:val="Normal"/>
    <w:link w:val="CommentTextChar"/>
    <w:uiPriority w:val="99"/>
    <w:semiHidden/>
    <w:unhideWhenUsed/>
    <w:rsid w:val="00E376FB"/>
    <w:pPr>
      <w:spacing w:line="240" w:lineRule="auto"/>
    </w:pPr>
    <w:rPr>
      <w:sz w:val="20"/>
      <w:szCs w:val="20"/>
    </w:rPr>
  </w:style>
  <w:style w:type="character" w:customStyle="1" w:styleId="CommentTextChar">
    <w:name w:val="Comment Text Char"/>
    <w:basedOn w:val="DefaultParagraphFont"/>
    <w:link w:val="CommentText"/>
    <w:uiPriority w:val="99"/>
    <w:semiHidden/>
    <w:rsid w:val="00E376FB"/>
    <w:rPr>
      <w:sz w:val="20"/>
      <w:szCs w:val="20"/>
    </w:rPr>
  </w:style>
  <w:style w:type="paragraph" w:styleId="CommentSubject">
    <w:name w:val="annotation subject"/>
    <w:basedOn w:val="CommentText"/>
    <w:next w:val="CommentText"/>
    <w:link w:val="CommentSubjectChar"/>
    <w:uiPriority w:val="99"/>
    <w:semiHidden/>
    <w:unhideWhenUsed/>
    <w:rsid w:val="00E376FB"/>
    <w:rPr>
      <w:b/>
      <w:bCs/>
    </w:rPr>
  </w:style>
  <w:style w:type="character" w:customStyle="1" w:styleId="CommentSubjectChar">
    <w:name w:val="Comment Subject Char"/>
    <w:basedOn w:val="CommentTextChar"/>
    <w:link w:val="CommentSubject"/>
    <w:uiPriority w:val="99"/>
    <w:semiHidden/>
    <w:rsid w:val="00E376FB"/>
    <w:rPr>
      <w:b/>
      <w:bCs/>
      <w:sz w:val="20"/>
      <w:szCs w:val="20"/>
    </w:rPr>
  </w:style>
  <w:style w:type="paragraph" w:styleId="BalloonText">
    <w:name w:val="Balloon Text"/>
    <w:basedOn w:val="Normal"/>
    <w:link w:val="BalloonTextChar"/>
    <w:uiPriority w:val="99"/>
    <w:semiHidden/>
    <w:unhideWhenUsed/>
    <w:rsid w:val="00E37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6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6D0"/>
    <w:pPr>
      <w:ind w:left="720"/>
      <w:contextualSpacing/>
    </w:pPr>
  </w:style>
  <w:style w:type="table" w:styleId="TableGrid">
    <w:name w:val="Table Grid"/>
    <w:basedOn w:val="TableNormal"/>
    <w:rsid w:val="002A76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A76D0"/>
    <w:pPr>
      <w:spacing w:after="0" w:line="240" w:lineRule="auto"/>
    </w:pPr>
    <w:rPr>
      <w:sz w:val="20"/>
      <w:szCs w:val="20"/>
    </w:rPr>
  </w:style>
  <w:style w:type="character" w:customStyle="1" w:styleId="FootnoteTextChar">
    <w:name w:val="Footnote Text Char"/>
    <w:basedOn w:val="DefaultParagraphFont"/>
    <w:link w:val="FootnoteText"/>
    <w:rsid w:val="002A76D0"/>
    <w:rPr>
      <w:sz w:val="20"/>
      <w:szCs w:val="20"/>
    </w:rPr>
  </w:style>
  <w:style w:type="character" w:styleId="FootnoteReference">
    <w:name w:val="footnote reference"/>
    <w:basedOn w:val="DefaultParagraphFont"/>
    <w:rsid w:val="002A76D0"/>
    <w:rPr>
      <w:vertAlign w:val="superscript"/>
    </w:rPr>
  </w:style>
  <w:style w:type="character" w:styleId="CommentReference">
    <w:name w:val="annotation reference"/>
    <w:basedOn w:val="DefaultParagraphFont"/>
    <w:uiPriority w:val="99"/>
    <w:semiHidden/>
    <w:unhideWhenUsed/>
    <w:rsid w:val="00E376FB"/>
    <w:rPr>
      <w:sz w:val="16"/>
      <w:szCs w:val="16"/>
    </w:rPr>
  </w:style>
  <w:style w:type="paragraph" w:styleId="CommentText">
    <w:name w:val="annotation text"/>
    <w:basedOn w:val="Normal"/>
    <w:link w:val="CommentTextChar"/>
    <w:uiPriority w:val="99"/>
    <w:semiHidden/>
    <w:unhideWhenUsed/>
    <w:rsid w:val="00E376FB"/>
    <w:pPr>
      <w:spacing w:line="240" w:lineRule="auto"/>
    </w:pPr>
    <w:rPr>
      <w:sz w:val="20"/>
      <w:szCs w:val="20"/>
    </w:rPr>
  </w:style>
  <w:style w:type="character" w:customStyle="1" w:styleId="CommentTextChar">
    <w:name w:val="Comment Text Char"/>
    <w:basedOn w:val="DefaultParagraphFont"/>
    <w:link w:val="CommentText"/>
    <w:uiPriority w:val="99"/>
    <w:semiHidden/>
    <w:rsid w:val="00E376FB"/>
    <w:rPr>
      <w:sz w:val="20"/>
      <w:szCs w:val="20"/>
    </w:rPr>
  </w:style>
  <w:style w:type="paragraph" w:styleId="CommentSubject">
    <w:name w:val="annotation subject"/>
    <w:basedOn w:val="CommentText"/>
    <w:next w:val="CommentText"/>
    <w:link w:val="CommentSubjectChar"/>
    <w:uiPriority w:val="99"/>
    <w:semiHidden/>
    <w:unhideWhenUsed/>
    <w:rsid w:val="00E376FB"/>
    <w:rPr>
      <w:b/>
      <w:bCs/>
    </w:rPr>
  </w:style>
  <w:style w:type="character" w:customStyle="1" w:styleId="CommentSubjectChar">
    <w:name w:val="Comment Subject Char"/>
    <w:basedOn w:val="CommentTextChar"/>
    <w:link w:val="CommentSubject"/>
    <w:uiPriority w:val="99"/>
    <w:semiHidden/>
    <w:rsid w:val="00E376FB"/>
    <w:rPr>
      <w:b/>
      <w:bCs/>
      <w:sz w:val="20"/>
      <w:szCs w:val="20"/>
    </w:rPr>
  </w:style>
  <w:style w:type="paragraph" w:styleId="BalloonText">
    <w:name w:val="Balloon Text"/>
    <w:basedOn w:val="Normal"/>
    <w:link w:val="BalloonTextChar"/>
    <w:uiPriority w:val="99"/>
    <w:semiHidden/>
    <w:unhideWhenUsed/>
    <w:rsid w:val="00E37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6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6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B29A6-37B8-4B24-A8DC-E18A6A6DC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1181</Words>
  <Characters>6734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7900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2017-01-19T19:40:00Z</dcterms:created>
  <dc:creator>Kwan, Shannon (DPH)</dc:creator>
  <lastModifiedBy>DBeaujour</lastModifiedBy>
  <dcterms:modified xsi:type="dcterms:W3CDTF">2017-01-19T19:40:00Z</dcterms:modified>
  <revision>2</revision>
</coreProperties>
</file>