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D45207">
        <w:rPr>
          <w:b/>
          <w:bCs/>
        </w:rPr>
        <w:t>July 12</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297ECE" w:rsidRPr="00297ECE" w:rsidRDefault="00297ECE" w:rsidP="00297ECE">
      <w:pPr>
        <w:spacing w:after="0" w:line="240" w:lineRule="auto"/>
        <w:jc w:val="center"/>
        <w:rPr>
          <w:rFonts w:ascii="Times New Roman" w:eastAsia="MS Mincho" w:hAnsi="Times New Roman" w:cs="Times New Roman"/>
          <w:b/>
          <w:szCs w:val="20"/>
          <w:lang w:eastAsia="ja-JP"/>
        </w:rPr>
      </w:pPr>
      <w:r w:rsidRPr="00297ECE">
        <w:rPr>
          <w:rFonts w:ascii="Times New Roman" w:eastAsia="MS Mincho" w:hAnsi="Times New Roman" w:cs="Times New Roman"/>
          <w:b/>
          <w:szCs w:val="20"/>
          <w:lang w:eastAsia="ja-JP"/>
        </w:rPr>
        <w:lastRenderedPageBreak/>
        <w:t>PUBLIC HEALTH COUNCIL</w:t>
      </w:r>
    </w:p>
    <w:p w:rsidR="00297ECE" w:rsidRPr="00297ECE" w:rsidRDefault="00297ECE" w:rsidP="00297ECE">
      <w:pPr>
        <w:spacing w:after="0" w:line="240" w:lineRule="auto"/>
        <w:jc w:val="center"/>
        <w:rPr>
          <w:rFonts w:ascii="Times New Roman" w:eastAsia="MS Mincho" w:hAnsi="Times New Roman" w:cs="Times New Roman"/>
          <w:b/>
          <w:szCs w:val="20"/>
          <w:lang w:eastAsia="ja-JP"/>
        </w:rPr>
      </w:pPr>
      <w:r w:rsidRPr="00297ECE">
        <w:rPr>
          <w:rFonts w:ascii="Times New Roman" w:eastAsia="MS Mincho" w:hAnsi="Times New Roman" w:cs="Times New Roman"/>
          <w:b/>
          <w:szCs w:val="20"/>
          <w:lang w:eastAsia="ja-JP"/>
        </w:rPr>
        <w:t>MASSACHUSETTS DEPARTMENT OF PUBLIC HEALTH</w:t>
      </w:r>
    </w:p>
    <w:p w:rsidR="00297ECE" w:rsidRPr="00297ECE" w:rsidRDefault="00297ECE" w:rsidP="00297ECE">
      <w:pPr>
        <w:spacing w:after="0" w:line="240" w:lineRule="auto"/>
        <w:jc w:val="center"/>
        <w:rPr>
          <w:rFonts w:ascii="Times New Roman" w:eastAsia="MS Mincho" w:hAnsi="Times New Roman" w:cs="Times New Roman"/>
          <w:b/>
          <w:szCs w:val="20"/>
          <w:lang w:eastAsia="ja-JP"/>
        </w:rPr>
      </w:pPr>
      <w:r w:rsidRPr="00297ECE">
        <w:rPr>
          <w:rFonts w:ascii="Times New Roman" w:eastAsia="MS Mincho" w:hAnsi="Times New Roman" w:cs="Times New Roman"/>
          <w:b/>
          <w:szCs w:val="20"/>
          <w:lang w:eastAsia="ja-JP"/>
        </w:rPr>
        <w:t>Henry I. Bowditch Public Health Council Room, 2</w:t>
      </w:r>
      <w:r w:rsidRPr="00297ECE">
        <w:rPr>
          <w:rFonts w:ascii="Times New Roman" w:eastAsia="MS Mincho" w:hAnsi="Times New Roman" w:cs="Times New Roman"/>
          <w:b/>
          <w:szCs w:val="20"/>
          <w:vertAlign w:val="superscript"/>
          <w:lang w:eastAsia="ja-JP"/>
        </w:rPr>
        <w:t>nd</w:t>
      </w:r>
      <w:r w:rsidRPr="00297ECE">
        <w:rPr>
          <w:rFonts w:ascii="Times New Roman" w:eastAsia="MS Mincho" w:hAnsi="Times New Roman" w:cs="Times New Roman"/>
          <w:b/>
          <w:szCs w:val="20"/>
          <w:lang w:eastAsia="ja-JP"/>
        </w:rPr>
        <w:t xml:space="preserve"> Floor</w:t>
      </w:r>
    </w:p>
    <w:p w:rsidR="00297ECE" w:rsidRPr="00297ECE" w:rsidRDefault="00297ECE" w:rsidP="00297ECE">
      <w:pPr>
        <w:spacing w:after="0" w:line="240" w:lineRule="auto"/>
        <w:jc w:val="center"/>
        <w:rPr>
          <w:rFonts w:ascii="Times New Roman" w:eastAsia="MS Mincho" w:hAnsi="Times New Roman" w:cs="Times New Roman"/>
          <w:b/>
          <w:szCs w:val="20"/>
          <w:lang w:eastAsia="ja-JP"/>
        </w:rPr>
      </w:pPr>
      <w:r w:rsidRPr="00297ECE">
        <w:rPr>
          <w:rFonts w:ascii="Times New Roman" w:eastAsia="MS Mincho" w:hAnsi="Times New Roman" w:cs="Times New Roman"/>
          <w:b/>
          <w:szCs w:val="20"/>
          <w:lang w:eastAsia="ja-JP"/>
        </w:rPr>
        <w:t>250 Washington Street, Boston MA</w:t>
      </w:r>
    </w:p>
    <w:p w:rsidR="00297ECE" w:rsidRPr="00297ECE" w:rsidRDefault="00297ECE" w:rsidP="00297ECE">
      <w:pPr>
        <w:spacing w:after="0" w:line="240" w:lineRule="auto"/>
        <w:jc w:val="center"/>
        <w:rPr>
          <w:rFonts w:ascii="Times New Roman" w:eastAsia="MS Mincho" w:hAnsi="Times New Roman" w:cs="Times New Roman"/>
          <w:b/>
          <w:szCs w:val="20"/>
          <w:lang w:eastAsia="ja-JP"/>
        </w:rPr>
      </w:pPr>
    </w:p>
    <w:p w:rsidR="00297ECE" w:rsidRPr="00297ECE" w:rsidRDefault="00297ECE" w:rsidP="00297ECE">
      <w:pPr>
        <w:tabs>
          <w:tab w:val="right" w:pos="9540"/>
        </w:tabs>
        <w:spacing w:after="0" w:line="240" w:lineRule="auto"/>
        <w:rPr>
          <w:rFonts w:ascii="Times New Roman" w:eastAsia="MS Mincho" w:hAnsi="Times New Roman" w:cs="Times New Roman"/>
          <w:szCs w:val="20"/>
          <w:u w:val="single"/>
          <w:lang w:eastAsia="ja-JP"/>
        </w:rPr>
      </w:pPr>
      <w:r w:rsidRPr="00297ECE">
        <w:rPr>
          <w:rFonts w:ascii="Times New Roman" w:eastAsia="MS Mincho" w:hAnsi="Times New Roman" w:cs="Times New Roman"/>
          <w:szCs w:val="20"/>
          <w:u w:val="single"/>
          <w:lang w:eastAsia="ja-JP"/>
        </w:rPr>
        <w:tab/>
      </w:r>
    </w:p>
    <w:p w:rsidR="00297ECE" w:rsidRPr="00297ECE" w:rsidRDefault="00297ECE" w:rsidP="00297ECE">
      <w:pPr>
        <w:tabs>
          <w:tab w:val="right" w:pos="9540"/>
        </w:tabs>
        <w:spacing w:after="0" w:line="240" w:lineRule="auto"/>
        <w:rPr>
          <w:rFonts w:ascii="Times New Roman" w:eastAsia="MS Mincho" w:hAnsi="Times New Roman" w:cs="Times New Roman"/>
          <w:b/>
          <w:szCs w:val="20"/>
          <w:lang w:eastAsia="ja-JP"/>
        </w:rPr>
      </w:pPr>
    </w:p>
    <w:p w:rsidR="00297ECE" w:rsidRPr="00297ECE" w:rsidRDefault="00297ECE" w:rsidP="00297ECE">
      <w:pPr>
        <w:tabs>
          <w:tab w:val="right" w:pos="9540"/>
        </w:tabs>
        <w:spacing w:after="0" w:line="240" w:lineRule="auto"/>
        <w:rPr>
          <w:rFonts w:ascii="Times New Roman" w:eastAsia="MS Mincho" w:hAnsi="Times New Roman" w:cs="Times New Roman"/>
          <w:b/>
          <w:szCs w:val="20"/>
          <w:lang w:eastAsia="ja-JP"/>
        </w:rPr>
      </w:pPr>
      <w:r w:rsidRPr="00297ECE">
        <w:rPr>
          <w:rFonts w:ascii="Times New Roman" w:eastAsia="MS Mincho" w:hAnsi="Times New Roman" w:cs="Times New Roman"/>
          <w:b/>
          <w:szCs w:val="20"/>
          <w:lang w:eastAsia="ja-JP"/>
        </w:rPr>
        <w:t>Docket:  Wednesday, July 12, 2017 - 9:00 AM</w:t>
      </w:r>
    </w:p>
    <w:p w:rsidR="00297ECE" w:rsidRPr="00297ECE" w:rsidRDefault="00297ECE" w:rsidP="00297ECE">
      <w:pPr>
        <w:tabs>
          <w:tab w:val="right" w:pos="9540"/>
        </w:tabs>
        <w:spacing w:after="0" w:line="240" w:lineRule="auto"/>
        <w:rPr>
          <w:rFonts w:ascii="Times New Roman" w:eastAsia="MS Mincho" w:hAnsi="Times New Roman" w:cs="Times New Roman"/>
          <w:szCs w:val="20"/>
          <w:u w:val="single"/>
          <w:lang w:eastAsia="ja-JP"/>
        </w:rPr>
      </w:pPr>
      <w:r w:rsidRPr="00297ECE">
        <w:rPr>
          <w:rFonts w:ascii="Times New Roman" w:eastAsia="MS Mincho" w:hAnsi="Times New Roman" w:cs="Times New Roman"/>
          <w:szCs w:val="20"/>
          <w:u w:val="single"/>
          <w:lang w:eastAsia="ja-JP"/>
        </w:rPr>
        <w:tab/>
      </w:r>
    </w:p>
    <w:p w:rsidR="00297ECE" w:rsidRPr="00297ECE" w:rsidRDefault="00297ECE" w:rsidP="00297ECE">
      <w:pPr>
        <w:autoSpaceDE w:val="0"/>
        <w:autoSpaceDN w:val="0"/>
        <w:adjustRightInd w:val="0"/>
        <w:spacing w:after="0" w:line="240" w:lineRule="auto"/>
        <w:rPr>
          <w:rFonts w:ascii="Times New Roman" w:eastAsia="MS Mincho" w:hAnsi="Times New Roman" w:cs="Times New Roman"/>
          <w:szCs w:val="20"/>
          <w:u w:val="single"/>
          <w:lang w:eastAsia="ja-JP"/>
        </w:rPr>
      </w:pPr>
    </w:p>
    <w:p w:rsidR="00297ECE" w:rsidRPr="00297ECE" w:rsidRDefault="00297ECE" w:rsidP="00297ECE">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297ECE">
        <w:rPr>
          <w:rFonts w:ascii="Times New Roman" w:eastAsia="MS Mincho" w:hAnsi="Times New Roman" w:cs="Times New Roman"/>
          <w:b/>
          <w:bCs/>
          <w:szCs w:val="20"/>
          <w:lang w:eastAsia="ja-JP"/>
        </w:rPr>
        <w:t>ROUTINE ITEMS</w:t>
      </w:r>
      <w:r w:rsidRPr="00297ECE">
        <w:rPr>
          <w:rFonts w:ascii="Times New Roman" w:eastAsia="MS Mincho" w:hAnsi="Times New Roman" w:cs="Times New Roman"/>
          <w:szCs w:val="20"/>
          <w:lang w:eastAsia="ja-JP"/>
        </w:rPr>
        <w:t xml:space="preserve">   </w:t>
      </w:r>
    </w:p>
    <w:p w:rsidR="00297ECE" w:rsidRPr="00297ECE" w:rsidRDefault="00297ECE" w:rsidP="00297EC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7ECE">
        <w:rPr>
          <w:rFonts w:ascii="Times New Roman" w:eastAsia="MS Mincho" w:hAnsi="Times New Roman" w:cs="Times New Roman"/>
          <w:szCs w:val="20"/>
          <w:lang w:eastAsia="ja-JP"/>
        </w:rPr>
        <w:t xml:space="preserve">Introductions </w:t>
      </w:r>
    </w:p>
    <w:p w:rsidR="00297ECE" w:rsidRPr="00297ECE" w:rsidRDefault="00297ECE" w:rsidP="00297EC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97ECE" w:rsidRPr="00297ECE" w:rsidRDefault="00297ECE" w:rsidP="00297EC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7ECE">
        <w:rPr>
          <w:rFonts w:ascii="Times New Roman" w:eastAsia="MS Mincho" w:hAnsi="Times New Roman" w:cs="Times New Roman"/>
          <w:szCs w:val="20"/>
          <w:lang w:eastAsia="ja-JP"/>
        </w:rPr>
        <w:t>Updates from Commissioner Monica Bharel, MD, MPH</w:t>
      </w:r>
    </w:p>
    <w:p w:rsidR="00297ECE" w:rsidRPr="00297ECE" w:rsidRDefault="00297ECE" w:rsidP="00297EC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97ECE" w:rsidRPr="00297ECE" w:rsidRDefault="00297ECE" w:rsidP="00297EC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7ECE">
        <w:rPr>
          <w:rFonts w:ascii="Times New Roman" w:eastAsia="MS Mincho" w:hAnsi="Times New Roman" w:cs="Times New Roman"/>
          <w:szCs w:val="20"/>
          <w:lang w:eastAsia="ja-JP"/>
        </w:rPr>
        <w:t xml:space="preserve">Record of the Public Health Council June 14, 2017 Meeting </w:t>
      </w:r>
      <w:r w:rsidRPr="00297ECE">
        <w:rPr>
          <w:rFonts w:ascii="Times New Roman" w:eastAsia="MS Mincho" w:hAnsi="Times New Roman" w:cs="Times New Roman"/>
          <w:b/>
          <w:szCs w:val="20"/>
          <w:lang w:eastAsia="ja-JP"/>
        </w:rPr>
        <w:t>(Vote)</w:t>
      </w:r>
    </w:p>
    <w:p w:rsidR="00297ECE" w:rsidRPr="00297ECE" w:rsidRDefault="00297ECE" w:rsidP="00297ECE">
      <w:pPr>
        <w:spacing w:after="0" w:line="240" w:lineRule="auto"/>
        <w:rPr>
          <w:rFonts w:ascii="Times New Roman" w:eastAsia="Calibri" w:hAnsi="Times New Roman" w:cs="Times New Roman"/>
          <w:b/>
          <w:szCs w:val="20"/>
        </w:rPr>
      </w:pPr>
    </w:p>
    <w:p w:rsidR="00297ECE" w:rsidRPr="00297ECE" w:rsidRDefault="00297ECE" w:rsidP="00297ECE">
      <w:pPr>
        <w:numPr>
          <w:ilvl w:val="0"/>
          <w:numId w:val="4"/>
        </w:numPr>
        <w:spacing w:after="0" w:line="240" w:lineRule="auto"/>
        <w:contextualSpacing/>
        <w:rPr>
          <w:rFonts w:ascii="Times New Roman" w:eastAsia="Calibri" w:hAnsi="Times New Roman" w:cs="Times New Roman"/>
          <w:b/>
          <w:szCs w:val="20"/>
        </w:rPr>
      </w:pPr>
      <w:r w:rsidRPr="00297ECE">
        <w:rPr>
          <w:rFonts w:ascii="Times New Roman" w:eastAsia="Calibri" w:hAnsi="Times New Roman" w:cs="Times New Roman"/>
          <w:b/>
          <w:szCs w:val="20"/>
        </w:rPr>
        <w:t>DETERMINATION OF NEED</w:t>
      </w:r>
    </w:p>
    <w:p w:rsidR="00297ECE" w:rsidRPr="00297ECE" w:rsidRDefault="00297ECE" w:rsidP="00297ECE">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297ECE">
        <w:rPr>
          <w:rFonts w:ascii="Times New Roman" w:eastAsia="Calibri" w:hAnsi="Times New Roman" w:cs="Times New Roman"/>
          <w:szCs w:val="20"/>
        </w:rPr>
        <w:t>Implementation Update:  Boston Children’s Hospital provides an update on the Community Health Initiatives process to-date for Project No. 4-3C47, a request for substantial capital expenditure approved by the Council on October 20, 2016</w:t>
      </w:r>
    </w:p>
    <w:p w:rsidR="00297ECE" w:rsidRPr="00297ECE" w:rsidRDefault="00297ECE" w:rsidP="00297ECE">
      <w:pPr>
        <w:autoSpaceDE w:val="0"/>
        <w:autoSpaceDN w:val="0"/>
        <w:adjustRightInd w:val="0"/>
        <w:spacing w:after="0" w:line="240" w:lineRule="auto"/>
        <w:rPr>
          <w:rFonts w:ascii="Times New Roman" w:eastAsia="Calibri" w:hAnsi="Times New Roman" w:cs="Times New Roman"/>
          <w:b/>
          <w:szCs w:val="20"/>
        </w:rPr>
      </w:pPr>
    </w:p>
    <w:p w:rsidR="00297ECE" w:rsidRPr="00297ECE" w:rsidRDefault="00297ECE" w:rsidP="00297ECE">
      <w:pPr>
        <w:numPr>
          <w:ilvl w:val="0"/>
          <w:numId w:val="4"/>
        </w:numPr>
        <w:spacing w:after="0" w:line="240" w:lineRule="auto"/>
        <w:contextualSpacing/>
        <w:rPr>
          <w:rFonts w:ascii="Times New Roman" w:eastAsia="Calibri" w:hAnsi="Times New Roman" w:cs="Times New Roman"/>
          <w:b/>
          <w:szCs w:val="20"/>
        </w:rPr>
      </w:pPr>
      <w:r w:rsidRPr="00297ECE">
        <w:rPr>
          <w:rFonts w:ascii="Times New Roman" w:eastAsia="Calibri" w:hAnsi="Times New Roman" w:cs="Times New Roman"/>
          <w:b/>
          <w:szCs w:val="20"/>
        </w:rPr>
        <w:t>FINAL REGULATIONS</w:t>
      </w:r>
    </w:p>
    <w:p w:rsidR="00297ECE" w:rsidRPr="00297ECE" w:rsidRDefault="00297ECE" w:rsidP="00297ECE">
      <w:pPr>
        <w:numPr>
          <w:ilvl w:val="0"/>
          <w:numId w:val="20"/>
        </w:numPr>
        <w:spacing w:after="0" w:line="240" w:lineRule="auto"/>
        <w:ind w:left="900"/>
        <w:contextualSpacing/>
        <w:rPr>
          <w:rFonts w:ascii="Times New Roman" w:eastAsia="Calibri" w:hAnsi="Times New Roman" w:cs="Times New Roman"/>
          <w:szCs w:val="20"/>
        </w:rPr>
      </w:pPr>
      <w:r w:rsidRPr="00297ECE">
        <w:rPr>
          <w:rFonts w:ascii="Times New Roman" w:eastAsia="Calibri" w:hAnsi="Times New Roman" w:cs="Times New Roman"/>
          <w:szCs w:val="20"/>
        </w:rPr>
        <w:t xml:space="preserve">Request for approval to rescind 105 CMR 131.000, </w:t>
      </w:r>
      <w:r w:rsidRPr="00297ECE">
        <w:rPr>
          <w:rFonts w:ascii="Times New Roman" w:eastAsia="Calibri" w:hAnsi="Times New Roman" w:cs="Times New Roman"/>
          <w:i/>
          <w:szCs w:val="20"/>
        </w:rPr>
        <w:t xml:space="preserve">The Operation of the Advocacy Office </w:t>
      </w:r>
      <w:r w:rsidRPr="00297ECE">
        <w:rPr>
          <w:rFonts w:ascii="Times New Roman" w:eastAsia="Calibri" w:hAnsi="Times New Roman" w:cs="Times New Roman"/>
          <w:b/>
          <w:szCs w:val="20"/>
        </w:rPr>
        <w:t>(Vote)</w:t>
      </w:r>
    </w:p>
    <w:p w:rsidR="00297ECE" w:rsidRPr="00297ECE" w:rsidRDefault="00297ECE" w:rsidP="00297ECE">
      <w:pPr>
        <w:spacing w:after="0" w:line="240" w:lineRule="auto"/>
        <w:rPr>
          <w:rFonts w:ascii="Times New Roman" w:eastAsia="Calibri" w:hAnsi="Times New Roman" w:cs="Times New Roman"/>
          <w:szCs w:val="20"/>
        </w:rPr>
      </w:pPr>
    </w:p>
    <w:p w:rsidR="00297ECE" w:rsidRPr="00297ECE" w:rsidRDefault="00297ECE" w:rsidP="00297ECE">
      <w:pPr>
        <w:numPr>
          <w:ilvl w:val="0"/>
          <w:numId w:val="4"/>
        </w:numPr>
        <w:spacing w:after="0" w:line="240" w:lineRule="auto"/>
        <w:contextualSpacing/>
        <w:rPr>
          <w:rFonts w:ascii="Times New Roman" w:eastAsia="Calibri" w:hAnsi="Times New Roman" w:cs="Times New Roman"/>
          <w:b/>
          <w:szCs w:val="20"/>
        </w:rPr>
      </w:pPr>
      <w:r w:rsidRPr="00297ECE">
        <w:rPr>
          <w:rFonts w:ascii="Times New Roman" w:eastAsia="Calibri" w:hAnsi="Times New Roman" w:cs="Times New Roman"/>
          <w:b/>
          <w:szCs w:val="20"/>
        </w:rPr>
        <w:t xml:space="preserve">INFORMATIONAL PRESENTATIONS </w:t>
      </w:r>
    </w:p>
    <w:p w:rsidR="00297ECE" w:rsidRPr="00297ECE" w:rsidRDefault="00297ECE" w:rsidP="00297ECE">
      <w:pPr>
        <w:numPr>
          <w:ilvl w:val="0"/>
          <w:numId w:val="22"/>
        </w:numPr>
        <w:spacing w:after="0" w:line="240" w:lineRule="auto"/>
        <w:ind w:left="900"/>
        <w:contextualSpacing/>
        <w:rPr>
          <w:rFonts w:ascii="Times New Roman" w:eastAsia="Calibri" w:hAnsi="Times New Roman" w:cs="Times New Roman"/>
          <w:b/>
          <w:szCs w:val="20"/>
        </w:rPr>
      </w:pPr>
      <w:r w:rsidRPr="00297ECE">
        <w:rPr>
          <w:rFonts w:ascii="Times New Roman" w:eastAsia="Calibri" w:hAnsi="Times New Roman" w:cs="Times New Roman"/>
          <w:szCs w:val="20"/>
        </w:rPr>
        <w:t>Informational presentation on Mosquito-borne Disease Surveillance and Response in Massachusetts</w:t>
      </w:r>
    </w:p>
    <w:p w:rsidR="00297ECE" w:rsidRPr="00297ECE" w:rsidRDefault="00297ECE" w:rsidP="00297ECE">
      <w:pPr>
        <w:tabs>
          <w:tab w:val="left" w:pos="900"/>
        </w:tabs>
        <w:spacing w:after="0" w:line="240" w:lineRule="auto"/>
        <w:ind w:left="1440" w:hanging="270"/>
        <w:rPr>
          <w:rFonts w:ascii="Times New Roman" w:eastAsia="Calibri" w:hAnsi="Times New Roman" w:cs="Times New Roman"/>
          <w:b/>
          <w:szCs w:val="20"/>
        </w:rPr>
      </w:pPr>
    </w:p>
    <w:p w:rsidR="00297ECE" w:rsidRPr="00297ECE" w:rsidRDefault="00297ECE" w:rsidP="00297ECE">
      <w:pPr>
        <w:pBdr>
          <w:bottom w:val="single" w:sz="6" w:space="1" w:color="auto"/>
        </w:pBdr>
        <w:spacing w:after="0" w:line="240" w:lineRule="auto"/>
        <w:rPr>
          <w:rFonts w:ascii="Times New Roman" w:eastAsia="MS Mincho" w:hAnsi="Times New Roman" w:cs="Times New Roman"/>
          <w:szCs w:val="20"/>
          <w:lang w:eastAsia="ja-JP"/>
        </w:rPr>
      </w:pPr>
    </w:p>
    <w:p w:rsidR="00297ECE" w:rsidRPr="00297ECE" w:rsidRDefault="00297ECE" w:rsidP="00297ECE">
      <w:pPr>
        <w:spacing w:after="0" w:line="240" w:lineRule="auto"/>
        <w:rPr>
          <w:rFonts w:ascii="Times New Roman" w:eastAsia="MS Mincho" w:hAnsi="Times New Roman" w:cs="Times New Roman"/>
          <w:szCs w:val="20"/>
          <w:lang w:eastAsia="ja-JP"/>
        </w:rPr>
      </w:pPr>
    </w:p>
    <w:p w:rsidR="00297ECE" w:rsidRPr="00297ECE" w:rsidRDefault="00297ECE" w:rsidP="00297ECE">
      <w:pPr>
        <w:pBdr>
          <w:bottom w:val="single" w:sz="6" w:space="1" w:color="auto"/>
        </w:pBdr>
        <w:spacing w:after="0" w:line="240" w:lineRule="auto"/>
        <w:jc w:val="both"/>
        <w:rPr>
          <w:rFonts w:ascii="Times New Roman" w:eastAsia="MS Mincho" w:hAnsi="Times New Roman" w:cs="Times New Roman"/>
          <w:i/>
          <w:szCs w:val="20"/>
          <w:lang w:eastAsia="ja-JP"/>
        </w:rPr>
      </w:pPr>
      <w:r w:rsidRPr="00297ECE">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297ECE" w:rsidRPr="00297ECE" w:rsidRDefault="00297ECE" w:rsidP="00297ECE">
      <w:pPr>
        <w:pBdr>
          <w:bottom w:val="single" w:sz="6" w:space="1" w:color="auto"/>
        </w:pBdr>
        <w:spacing w:after="0" w:line="240" w:lineRule="auto"/>
        <w:jc w:val="both"/>
        <w:rPr>
          <w:rFonts w:ascii="Times New Roman" w:eastAsia="MS Mincho" w:hAnsi="Times New Roman" w:cs="Times New Roman"/>
          <w:i/>
          <w:szCs w:val="20"/>
          <w:lang w:eastAsia="ja-JP"/>
        </w:rPr>
      </w:pPr>
    </w:p>
    <w:p w:rsidR="00077B61" w:rsidRDefault="00077B61" w:rsidP="002104DB">
      <w:pPr>
        <w:jc w:val="center"/>
        <w:rPr>
          <w:b/>
          <w:sz w:val="21"/>
          <w:szCs w:val="21"/>
        </w:rPr>
      </w:pPr>
    </w:p>
    <w:p w:rsidR="00297ECE" w:rsidRDefault="00297ECE" w:rsidP="002104DB">
      <w:pPr>
        <w:jc w:val="center"/>
        <w:rPr>
          <w:b/>
          <w:sz w:val="21"/>
          <w:szCs w:val="21"/>
        </w:rPr>
      </w:pPr>
    </w:p>
    <w:p w:rsidR="00297ECE" w:rsidRDefault="00297ECE" w:rsidP="002104DB">
      <w:pPr>
        <w:jc w:val="center"/>
        <w:rPr>
          <w:b/>
          <w:sz w:val="21"/>
          <w:szCs w:val="21"/>
        </w:rPr>
      </w:pPr>
    </w:p>
    <w:p w:rsidR="00297ECE" w:rsidRDefault="00297ECE" w:rsidP="002104DB">
      <w:pPr>
        <w:jc w:val="center"/>
        <w:rPr>
          <w:b/>
          <w:sz w:val="21"/>
          <w:szCs w:val="21"/>
        </w:rPr>
      </w:pPr>
    </w:p>
    <w:p w:rsidR="00297ECE" w:rsidRDefault="00297ECE" w:rsidP="002104DB">
      <w:pPr>
        <w:jc w:val="center"/>
        <w:rPr>
          <w:b/>
          <w:sz w:val="21"/>
          <w:szCs w:val="21"/>
        </w:rPr>
      </w:pPr>
    </w:p>
    <w:p w:rsidR="001F6C84" w:rsidRPr="00DD56C0" w:rsidRDefault="001F6C84" w:rsidP="002104DB">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297ECE">
        <w:rPr>
          <w:sz w:val="21"/>
          <w:szCs w:val="21"/>
        </w:rPr>
        <w:t>Ju</w:t>
      </w:r>
      <w:r w:rsidR="00EE548C">
        <w:rPr>
          <w:sz w:val="21"/>
          <w:szCs w:val="21"/>
        </w:rPr>
        <w:t>ly 1</w:t>
      </w:r>
      <w:r w:rsidR="003156B6">
        <w:rPr>
          <w:sz w:val="21"/>
          <w:szCs w:val="21"/>
        </w:rPr>
        <w:t>2</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293C5E">
        <w:rPr>
          <w:sz w:val="21"/>
          <w:szCs w:val="21"/>
        </w:rPr>
        <w:t xml:space="preserve"> 9:1</w:t>
      </w:r>
      <w:r w:rsidR="00297ECE">
        <w:rPr>
          <w:sz w:val="21"/>
          <w:szCs w:val="21"/>
        </w:rPr>
        <w:t>2</w:t>
      </w:r>
      <w:proofErr w:type="gramStart"/>
      <w:r w:rsidRPr="006D5B2C">
        <w:rPr>
          <w:sz w:val="21"/>
          <w:szCs w:val="21"/>
        </w:rPr>
        <w:t>AM</w:t>
      </w:r>
      <w:proofErr w:type="gramEnd"/>
      <w:r w:rsidRPr="006D5B2C">
        <w:rPr>
          <w:b/>
        </w:rPr>
        <w:t xml:space="preserve"> </w:t>
      </w:r>
      <w:r w:rsidRPr="00C31055">
        <w:rPr>
          <w:b/>
          <w:sz w:val="21"/>
          <w:szCs w:val="21"/>
        </w:rPr>
        <w:t xml:space="preserve">Ending Time: </w:t>
      </w:r>
      <w:r w:rsidR="002104DB">
        <w:rPr>
          <w:sz w:val="21"/>
          <w:szCs w:val="21"/>
        </w:rPr>
        <w:t>1</w:t>
      </w:r>
      <w:r w:rsidR="003156B6">
        <w:rPr>
          <w:sz w:val="21"/>
          <w:szCs w:val="21"/>
        </w:rPr>
        <w:t>0</w:t>
      </w:r>
      <w:r w:rsidR="002104DB">
        <w:rPr>
          <w:sz w:val="21"/>
          <w:szCs w:val="21"/>
        </w:rPr>
        <w:t>:</w:t>
      </w:r>
      <w:r w:rsidR="003156B6">
        <w:rPr>
          <w:sz w:val="21"/>
          <w:szCs w:val="21"/>
        </w:rPr>
        <w:t>47</w:t>
      </w:r>
      <w:r w:rsidR="002104DB">
        <w:rPr>
          <w:sz w:val="21"/>
          <w:szCs w:val="21"/>
        </w:rPr>
        <w:t>P</w:t>
      </w:r>
      <w:r w:rsidRPr="00C31055">
        <w:rPr>
          <w:sz w:val="21"/>
          <w:szCs w:val="21"/>
        </w:rPr>
        <w:t>M</w:t>
      </w:r>
    </w:p>
    <w:tbl>
      <w:tblPr>
        <w:tblpPr w:leftFromText="180" w:rightFromText="180" w:vertAnchor="text" w:horzAnchor="margin" w:tblpXSpec="center" w:tblpY="179"/>
        <w:tblW w:w="313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458"/>
        <w:gridCol w:w="1177"/>
        <w:gridCol w:w="1801"/>
        <w:gridCol w:w="1547"/>
      </w:tblGrid>
      <w:tr w:rsidR="001D405F" w:rsidRPr="001F6C84" w:rsidTr="001D405F">
        <w:trPr>
          <w:trHeight w:val="2343"/>
          <w:tblHeader/>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3156B6">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 xml:space="preserve">Record of the Public Health Council </w:t>
            </w:r>
            <w:r w:rsidR="003156B6">
              <w:rPr>
                <w:rFonts w:ascii="Calibri" w:eastAsia="Calibri" w:hAnsi="Calibri" w:cs="Calibri"/>
                <w:b/>
                <w:bCs/>
                <w:color w:val="000000"/>
                <w:sz w:val="16"/>
                <w:szCs w:val="16"/>
                <w:u w:color="000000"/>
                <w:bdr w:val="nil"/>
              </w:rPr>
              <w:t>June</w:t>
            </w:r>
            <w:r w:rsidR="003156B6" w:rsidRPr="002104DB">
              <w:rPr>
                <w:rFonts w:ascii="Calibri" w:eastAsia="Calibri" w:hAnsi="Calibri" w:cs="Calibri"/>
                <w:b/>
                <w:bCs/>
                <w:color w:val="000000"/>
                <w:sz w:val="16"/>
                <w:szCs w:val="16"/>
                <w:u w:color="000000"/>
                <w:bdr w:val="nil"/>
              </w:rPr>
              <w:t xml:space="preserve"> </w:t>
            </w:r>
            <w:r w:rsidR="003156B6">
              <w:rPr>
                <w:rFonts w:ascii="Calibri" w:eastAsia="Calibri" w:hAnsi="Calibri" w:cs="Calibri"/>
                <w:b/>
                <w:bCs/>
                <w:color w:val="000000"/>
                <w:sz w:val="16"/>
                <w:szCs w:val="16"/>
                <w:u w:color="000000"/>
                <w:bdr w:val="nil"/>
              </w:rPr>
              <w:t>14</w:t>
            </w:r>
            <w:r w:rsidRPr="002104DB">
              <w:rPr>
                <w:rFonts w:ascii="Calibri" w:eastAsia="Calibri" w:hAnsi="Calibri" w:cs="Calibri"/>
                <w:b/>
                <w:bCs/>
                <w:color w:val="000000"/>
                <w:sz w:val="16"/>
                <w:szCs w:val="16"/>
                <w:u w:color="000000"/>
                <w:bdr w:val="nil"/>
              </w:rPr>
              <w:t>, 2017 Meeting (Vote)</w:t>
            </w:r>
          </w:p>
        </w:tc>
        <w:tc>
          <w:tcPr>
            <w:tcW w:w="1294" w:type="pct"/>
            <w:tcBorders>
              <w:top w:val="single" w:sz="4" w:space="0" w:color="000000"/>
              <w:left w:val="single" w:sz="4" w:space="0" w:color="000000"/>
              <w:bottom w:val="single" w:sz="4" w:space="0" w:color="000000"/>
              <w:right w:val="single" w:sz="4" w:space="0" w:color="000000"/>
            </w:tcBorders>
          </w:tcPr>
          <w:p w:rsidR="001D405F" w:rsidRPr="00EE548C" w:rsidRDefault="001D405F" w:rsidP="00EE548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EE548C">
              <w:rPr>
                <w:rFonts w:ascii="Calibri" w:eastAsia="Calibri" w:hAnsi="Calibri" w:cs="Calibri"/>
                <w:b/>
                <w:bCs/>
                <w:color w:val="000000"/>
                <w:sz w:val="16"/>
                <w:szCs w:val="16"/>
                <w:u w:color="000000"/>
                <w:bdr w:val="nil"/>
              </w:rPr>
              <w:t>FINAL REGULATIONS</w:t>
            </w:r>
          </w:p>
          <w:p w:rsidR="001D405F" w:rsidRPr="00EE548C" w:rsidRDefault="001D405F" w:rsidP="00EE548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EE548C">
              <w:rPr>
                <w:rFonts w:ascii="Calibri" w:eastAsia="Calibri" w:hAnsi="Calibri" w:cs="Calibri"/>
                <w:b/>
                <w:bCs/>
                <w:color w:val="000000"/>
                <w:sz w:val="16"/>
                <w:szCs w:val="16"/>
                <w:u w:color="000000"/>
                <w:bdr w:val="nil"/>
              </w:rPr>
              <w:t>Request for approval to rescind 105 CMR 131.000, The Operation of the Advocacy Office (Vote)</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69"/>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1D405F" w:rsidRPr="001F6C84" w:rsidTr="001D405F">
        <w:tblPrEx>
          <w:shd w:val="clear" w:color="auto" w:fill="auto"/>
        </w:tblPrEx>
        <w:trPr>
          <w:trHeight w:val="28"/>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31338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31338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sz w:val="16"/>
                <w:szCs w:val="16"/>
              </w:rPr>
            </w:pPr>
            <w:r>
              <w:rPr>
                <w:sz w:val="16"/>
                <w:szCs w:val="16"/>
              </w:rPr>
              <w:t>Absent</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sz w:val="16"/>
                <w:szCs w:val="16"/>
              </w:rPr>
            </w:pPr>
            <w:r>
              <w:rPr>
                <w:sz w:val="16"/>
                <w:szCs w:val="16"/>
              </w:rPr>
              <w:t>Absent</w:t>
            </w:r>
          </w:p>
        </w:tc>
      </w:tr>
      <w:tr w:rsidR="001D405F" w:rsidRPr="001F6C84" w:rsidTr="001D405F">
        <w:tblPrEx>
          <w:shd w:val="clear" w:color="auto" w:fill="auto"/>
        </w:tblPrEx>
        <w:trPr>
          <w:trHeight w:val="289"/>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31338A" w:rsidP="00DD56C0">
            <w:pPr>
              <w:jc w:val="center"/>
              <w:rPr>
                <w:rFonts w:ascii="Calibri" w:hAnsi="Calibri"/>
                <w:sz w:val="16"/>
                <w:szCs w:val="16"/>
              </w:rPr>
            </w:pPr>
            <w:r>
              <w:rPr>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31338A" w:rsidP="00DD56C0">
            <w:pPr>
              <w:jc w:val="center"/>
              <w:rPr>
                <w:rFonts w:ascii="Calibri" w:hAnsi="Calibri"/>
                <w:sz w:val="16"/>
                <w:szCs w:val="16"/>
              </w:rPr>
            </w:pPr>
            <w:r>
              <w:rPr>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31338A"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27"/>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31338A" w:rsidP="00DD56C0">
            <w:pPr>
              <w:jc w:val="center"/>
              <w:rPr>
                <w:sz w:val="16"/>
                <w:szCs w:val="16"/>
              </w:rPr>
            </w:pPr>
            <w:r>
              <w:rPr>
                <w:sz w:val="16"/>
                <w:szCs w:val="16"/>
              </w:rPr>
              <w:t>Absent</w:t>
            </w:r>
          </w:p>
        </w:tc>
        <w:tc>
          <w:tcPr>
            <w:tcW w:w="1294" w:type="pct"/>
            <w:tcBorders>
              <w:top w:val="single" w:sz="4" w:space="0" w:color="000000"/>
              <w:left w:val="single" w:sz="4" w:space="0" w:color="000000"/>
              <w:bottom w:val="single" w:sz="4" w:space="0" w:color="000000"/>
              <w:right w:val="single" w:sz="4" w:space="0" w:color="000000"/>
            </w:tcBorders>
          </w:tcPr>
          <w:p w:rsidR="001D405F" w:rsidRDefault="0031338A" w:rsidP="00DD56C0">
            <w:pPr>
              <w:jc w:val="center"/>
              <w:rPr>
                <w:sz w:val="16"/>
                <w:szCs w:val="16"/>
              </w:rPr>
            </w:pPr>
            <w:r>
              <w:rPr>
                <w:sz w:val="16"/>
                <w:szCs w:val="16"/>
              </w:rPr>
              <w:t>Absent</w:t>
            </w:r>
          </w:p>
        </w:tc>
      </w:tr>
      <w:tr w:rsidR="001D405F" w:rsidRPr="001F6C84" w:rsidTr="001D405F">
        <w:tblPrEx>
          <w:shd w:val="clear" w:color="auto" w:fill="auto"/>
        </w:tblPrEx>
        <w:trPr>
          <w:trHeight w:val="6"/>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1D405F" w:rsidP="00DD56C0">
            <w:pPr>
              <w:jc w:val="center"/>
              <w:rPr>
                <w:rFonts w:ascii="Calibri" w:hAnsi="Calibri"/>
                <w:sz w:val="16"/>
                <w:szCs w:val="16"/>
              </w:rPr>
            </w:pPr>
            <w:r>
              <w:rPr>
                <w:rFonts w:ascii="Calibri" w:hAnsi="Calibri"/>
                <w:sz w:val="16"/>
                <w:szCs w:val="16"/>
              </w:rPr>
              <w:t>Yes</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6"/>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F6C84"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5" w:type="pct"/>
            <w:tcBorders>
              <w:top w:val="single" w:sz="4" w:space="0" w:color="000000"/>
              <w:left w:val="single" w:sz="4" w:space="0" w:color="000000"/>
              <w:bottom w:val="single" w:sz="4" w:space="0" w:color="000000"/>
              <w:right w:val="single" w:sz="4" w:space="0" w:color="000000"/>
            </w:tcBorders>
          </w:tcPr>
          <w:p w:rsidR="001D405F" w:rsidRPr="001F6C84" w:rsidRDefault="0031338A" w:rsidP="00DD56C0">
            <w:pPr>
              <w:jc w:val="center"/>
              <w:rPr>
                <w:rFonts w:ascii="Calibri" w:hAnsi="Calibri"/>
                <w:sz w:val="16"/>
                <w:szCs w:val="16"/>
              </w:rPr>
            </w:pPr>
            <w:r>
              <w:rPr>
                <w:rFonts w:ascii="Calibri" w:hAnsi="Calibri"/>
                <w:sz w:val="16"/>
                <w:szCs w:val="16"/>
              </w:rPr>
              <w:t>Yes</w:t>
            </w:r>
            <w:r w:rsidR="001D405F">
              <w:rPr>
                <w:rFonts w:ascii="Calibri" w:hAnsi="Calibri"/>
                <w:sz w:val="16"/>
                <w:szCs w:val="16"/>
              </w:rPr>
              <w:t xml:space="preserve"> </w:t>
            </w:r>
          </w:p>
        </w:tc>
        <w:tc>
          <w:tcPr>
            <w:tcW w:w="1294" w:type="pct"/>
            <w:tcBorders>
              <w:top w:val="single" w:sz="4" w:space="0" w:color="000000"/>
              <w:left w:val="single" w:sz="4" w:space="0" w:color="000000"/>
              <w:bottom w:val="single" w:sz="4" w:space="0" w:color="000000"/>
              <w:right w:val="single" w:sz="4" w:space="0" w:color="000000"/>
            </w:tcBorders>
          </w:tcPr>
          <w:p w:rsidR="001D405F" w:rsidRDefault="001D405F" w:rsidP="00DD56C0">
            <w:pPr>
              <w:jc w:val="center"/>
              <w:rPr>
                <w:rFonts w:ascii="Calibri" w:hAnsi="Calibri"/>
                <w:sz w:val="16"/>
                <w:szCs w:val="16"/>
              </w:rPr>
            </w:pPr>
            <w:r>
              <w:rPr>
                <w:rFonts w:ascii="Calibri" w:hAnsi="Calibri"/>
                <w:sz w:val="16"/>
                <w:szCs w:val="16"/>
              </w:rPr>
              <w:t>Yes</w:t>
            </w:r>
          </w:p>
        </w:tc>
      </w:tr>
      <w:tr w:rsidR="001D405F" w:rsidRPr="001F6C84" w:rsidTr="001D405F">
        <w:tblPrEx>
          <w:shd w:val="clear" w:color="auto" w:fill="auto"/>
        </w:tblPrEx>
        <w:trPr>
          <w:trHeight w:val="173"/>
        </w:trPr>
        <w:tc>
          <w:tcPr>
            <w:tcW w:w="12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405F" w:rsidRPr="001C38FC" w:rsidRDefault="001D405F"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405F" w:rsidRPr="001C38FC" w:rsidRDefault="0031338A"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Present, 2</w:t>
            </w:r>
            <w:r w:rsidR="001D405F">
              <w:rPr>
                <w:rFonts w:ascii="Calibri" w:eastAsia="Calibri" w:hAnsi="Calibri" w:cs="Calibri"/>
                <w:b/>
                <w:color w:val="000000"/>
                <w:sz w:val="16"/>
                <w:szCs w:val="16"/>
                <w:u w:color="000000"/>
                <w:bdr w:val="nil"/>
              </w:rPr>
              <w:t xml:space="preserve"> Members</w:t>
            </w:r>
            <w:r w:rsidR="001D405F" w:rsidRPr="001C38FC">
              <w:rPr>
                <w:rFonts w:ascii="Calibri" w:eastAsia="Calibri" w:hAnsi="Calibri" w:cs="Calibri"/>
                <w:b/>
                <w:color w:val="000000"/>
                <w:sz w:val="16"/>
                <w:szCs w:val="16"/>
                <w:u w:color="000000"/>
                <w:bdr w:val="nil"/>
              </w:rPr>
              <w:t xml:space="preserve"> Absent</w:t>
            </w:r>
          </w:p>
        </w:tc>
        <w:tc>
          <w:tcPr>
            <w:tcW w:w="1505" w:type="pct"/>
            <w:tcBorders>
              <w:top w:val="single" w:sz="4" w:space="0" w:color="000000"/>
              <w:left w:val="single" w:sz="4" w:space="0" w:color="000000"/>
              <w:bottom w:val="single" w:sz="4" w:space="0" w:color="000000"/>
              <w:right w:val="single" w:sz="4" w:space="0" w:color="000000"/>
            </w:tcBorders>
          </w:tcPr>
          <w:p w:rsidR="001D405F" w:rsidRPr="001C38FC" w:rsidRDefault="0031338A" w:rsidP="0031338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w:t>
            </w:r>
            <w:r w:rsidR="001D405F">
              <w:rPr>
                <w:rFonts w:ascii="Calibri" w:eastAsia="Calibri" w:hAnsi="Calibri" w:cs="Calibri"/>
                <w:b/>
                <w:color w:val="000000"/>
                <w:sz w:val="16"/>
                <w:szCs w:val="16"/>
                <w:u w:color="000000"/>
                <w:bdr w:val="nil"/>
              </w:rPr>
              <w:t>Memb</w:t>
            </w:r>
            <w:r>
              <w:rPr>
                <w:rFonts w:ascii="Calibri" w:eastAsia="Calibri" w:hAnsi="Calibri" w:cs="Calibri"/>
                <w:b/>
                <w:color w:val="000000"/>
                <w:sz w:val="16"/>
                <w:szCs w:val="16"/>
                <w:u w:color="000000"/>
                <w:bdr w:val="nil"/>
              </w:rPr>
              <w:t>ers Approved, 2 members Absent</w:t>
            </w:r>
          </w:p>
        </w:tc>
        <w:tc>
          <w:tcPr>
            <w:tcW w:w="1294" w:type="pct"/>
            <w:tcBorders>
              <w:top w:val="single" w:sz="4" w:space="0" w:color="000000"/>
              <w:left w:val="single" w:sz="4" w:space="0" w:color="000000"/>
              <w:bottom w:val="single" w:sz="4" w:space="0" w:color="000000"/>
              <w:right w:val="single" w:sz="4" w:space="0" w:color="000000"/>
            </w:tcBorders>
          </w:tcPr>
          <w:p w:rsidR="001D405F" w:rsidRDefault="0031338A" w:rsidP="0031338A">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Approved, 2</w:t>
            </w:r>
            <w:r w:rsidR="001D405F">
              <w:rPr>
                <w:rFonts w:ascii="Calibri" w:eastAsia="Calibri" w:hAnsi="Calibri" w:cs="Calibri"/>
                <w:b/>
                <w:color w:val="000000"/>
                <w:sz w:val="16"/>
                <w:szCs w:val="16"/>
                <w:u w:color="000000"/>
                <w:bdr w:val="nil"/>
              </w:rPr>
              <w:t xml:space="preserve"> members Absent</w:t>
            </w:r>
          </w:p>
        </w:tc>
      </w:tr>
    </w:tbl>
    <w:p w:rsidR="00051B52" w:rsidRDefault="00051B52"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1D405F" w:rsidRDefault="001D405F" w:rsidP="006D5B2C">
      <w:pPr>
        <w:spacing w:after="0" w:line="240" w:lineRule="auto"/>
        <w:rPr>
          <w:b/>
        </w:rPr>
      </w:pPr>
    </w:p>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3156B6">
        <w:t xml:space="preserve">July </w:t>
      </w:r>
      <w:r w:rsidR="00051B52">
        <w:t>1</w:t>
      </w:r>
      <w:r w:rsidR="00740E08">
        <w:t>2</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051B52" w:rsidRDefault="00E85E8E" w:rsidP="00051B52">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Edward Bernstein, MD;</w:t>
      </w:r>
      <w:r w:rsidR="00B4748D">
        <w:rPr>
          <w:color w:val="auto"/>
        </w:rPr>
        <w:t xml:space="preserve"> Lissette Blondet;</w:t>
      </w:r>
      <w:r w:rsidR="00215F02">
        <w:rPr>
          <w:color w:val="auto"/>
        </w:rPr>
        <w:t xml:space="preserve"> Derek Brindisi; </w:t>
      </w:r>
      <w:r w:rsidR="0031338A">
        <w:rPr>
          <w:color w:val="auto"/>
        </w:rPr>
        <w:t xml:space="preserve">Harold Cox; </w:t>
      </w:r>
      <w:r w:rsidR="0041609E">
        <w:rPr>
          <w:color w:val="auto"/>
        </w:rPr>
        <w:t>John Cunningham, PhD;</w:t>
      </w:r>
      <w:r w:rsidR="0031338A">
        <w:rPr>
          <w:color w:val="auto"/>
        </w:rPr>
        <w:t xml:space="preserve"> Meg Doherty;</w:t>
      </w:r>
      <w:r>
        <w:rPr>
          <w:color w:val="auto"/>
        </w:rPr>
        <w:t xml:space="preserve"> </w:t>
      </w:r>
      <w:r w:rsidR="00DD56C0">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w:t>
      </w:r>
      <w:r w:rsidR="00B4748D" w:rsidRPr="00DD56C0">
        <w:rPr>
          <w:color w:val="auto"/>
        </w:rPr>
        <w:t xml:space="preserve">Secretary Francisco </w:t>
      </w:r>
      <w:proofErr w:type="spellStart"/>
      <w:r w:rsidR="00B4748D" w:rsidRPr="00DD56C0">
        <w:rPr>
          <w:color w:val="auto"/>
        </w:rPr>
        <w:t>Ureña</w:t>
      </w:r>
      <w:proofErr w:type="spellEnd"/>
      <w:r w:rsidR="00051B52">
        <w:rPr>
          <w:color w:val="auto"/>
        </w:rPr>
        <w:t xml:space="preserve"> and 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051B52">
        <w:rPr>
          <w:color w:val="auto"/>
        </w:rPr>
        <w:t xml:space="preserve"> Michele David, MD; and </w:t>
      </w:r>
      <w:r w:rsidR="0031338A">
        <w:rPr>
          <w:color w:val="auto"/>
        </w:rPr>
        <w:t xml:space="preserve">Lucilia Prates-Ramos </w:t>
      </w:r>
    </w:p>
    <w:p w:rsidR="00051B52" w:rsidRPr="001F5279" w:rsidRDefault="00051B52"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w:t>
      </w:r>
      <w:r w:rsidR="0031338A">
        <w:rPr>
          <w:color w:val="auto"/>
        </w:rPr>
        <w:t>2</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BF1E31" w:rsidRDefault="00BF1E31"/>
    <w:p w:rsidR="00C60855" w:rsidRPr="00E60DF3" w:rsidRDefault="00C60855" w:rsidP="00C60855">
      <w:r>
        <w:rPr>
          <w:b/>
        </w:rPr>
        <w:t>ROUTINE ITEMS</w:t>
      </w:r>
    </w:p>
    <w:p w:rsidR="00C60855" w:rsidRDefault="00C60855" w:rsidP="00C60855">
      <w:pPr>
        <w:rPr>
          <w:b/>
        </w:rPr>
      </w:pPr>
      <w:r>
        <w:rPr>
          <w:b/>
        </w:rPr>
        <w:t>Updates from Commissioner Monica Bharel, M.D., MPH</w:t>
      </w:r>
    </w:p>
    <w:p w:rsidR="00661E1A" w:rsidRDefault="00156147" w:rsidP="006F2832">
      <w:r>
        <w:t xml:space="preserve">The Commissioner began by </w:t>
      </w:r>
      <w:r w:rsidR="006F2832">
        <w:t xml:space="preserve">informing the Council that Marc </w:t>
      </w:r>
      <w:r w:rsidR="006F2832" w:rsidRPr="006F2832">
        <w:t xml:space="preserve">Nascarella, Director of DPH’s Environmental Toxicology Program was recently nominated and selected to participate in a federal review panel examining the US Environmental Protection Agency’s Safe Drinking Water Act assessment of lead in drinking water.  </w:t>
      </w:r>
    </w:p>
    <w:p w:rsidR="006F2832" w:rsidRDefault="006F2832" w:rsidP="006F2832">
      <w:pPr>
        <w:rPr>
          <w:bCs/>
        </w:rPr>
      </w:pPr>
      <w:r>
        <w:rPr>
          <w:bCs/>
        </w:rPr>
        <w:t xml:space="preserve">Mr. </w:t>
      </w:r>
      <w:r w:rsidRPr="006F2832">
        <w:t>Nascarella</w:t>
      </w:r>
      <w:r w:rsidRPr="006F2832">
        <w:rPr>
          <w:bCs/>
        </w:rPr>
        <w:t xml:space="preserve"> was one of a small number of national experts who provided critical review comments during a 2-day meeting this month to evaluate scientific modeling that defined the relationship between lead levels in drinking</w:t>
      </w:r>
      <w:r>
        <w:rPr>
          <w:bCs/>
        </w:rPr>
        <w:t xml:space="preserve"> water and blood lead levels.  </w:t>
      </w:r>
      <w:r w:rsidRPr="006F2832">
        <w:rPr>
          <w:bCs/>
        </w:rPr>
        <w:t>His nomination to thi</w:t>
      </w:r>
      <w:r>
        <w:rPr>
          <w:bCs/>
        </w:rPr>
        <w:t>s panel is a testimony to his</w:t>
      </w:r>
      <w:r w:rsidRPr="006F2832">
        <w:rPr>
          <w:bCs/>
        </w:rPr>
        <w:t xml:space="preserve"> widely recognized toxicology expertise, and we are grateful for the knowledge and skill he brings to the Department on a daily basis.</w:t>
      </w:r>
    </w:p>
    <w:p w:rsidR="006F2832" w:rsidRPr="006F2832" w:rsidRDefault="006F2832" w:rsidP="006F2832">
      <w:pPr>
        <w:rPr>
          <w:bCs/>
        </w:rPr>
      </w:pPr>
      <w:r>
        <w:rPr>
          <w:bCs/>
        </w:rPr>
        <w:t xml:space="preserve">The Commissioner went on to inform the Council that the </w:t>
      </w:r>
      <w:r w:rsidRPr="006F2832">
        <w:rPr>
          <w:bCs/>
        </w:rPr>
        <w:t>Special Commission on Local and Regional Public Health, recently established in state law, held its inaugural meeting on June 23rd.</w:t>
      </w:r>
      <w:r>
        <w:rPr>
          <w:bCs/>
        </w:rPr>
        <w:t xml:space="preserve"> </w:t>
      </w:r>
      <w:r w:rsidRPr="006F2832">
        <w:rPr>
          <w:bCs/>
        </w:rPr>
        <w:t xml:space="preserve">The 25-member Commission includes representatives of executive branch agencies, legislators, representatives of organizations named in the legislation, and appointees by the Governor. The Commission is charged with “assessing the effectiveness and efficiency of municipal and regional public health systems and making recommendations regarding how to strengthen the delivery of public health services and preventive measures”. </w:t>
      </w:r>
    </w:p>
    <w:p w:rsidR="006F2832" w:rsidRPr="006F2832" w:rsidRDefault="006F2832" w:rsidP="006F2832">
      <w:pPr>
        <w:rPr>
          <w:bCs/>
        </w:rPr>
      </w:pPr>
    </w:p>
    <w:p w:rsidR="006F2832" w:rsidRDefault="006F2832" w:rsidP="006F2832">
      <w:pPr>
        <w:rPr>
          <w:bCs/>
        </w:rPr>
      </w:pPr>
      <w:r w:rsidRPr="006F2832">
        <w:rPr>
          <w:bCs/>
        </w:rPr>
        <w:lastRenderedPageBreak/>
        <w:t>At the first meeting, the Commission received an overview of the Massachusetts local public health system and a recommended approach to achieve its goals through June 2018.</w:t>
      </w:r>
      <w:r>
        <w:rPr>
          <w:bCs/>
        </w:rPr>
        <w:t xml:space="preserve"> Commissioner Bharel then thanked </w:t>
      </w:r>
      <w:r w:rsidRPr="006F2832">
        <w:rPr>
          <w:bCs/>
        </w:rPr>
        <w:t>Ron O’Connor, Director of the Office of Local and Regional Health, for the role he and his team played in bringing the Commission together and emphasizing the critical role local public health plays in creating a healthy Massachusetts.</w:t>
      </w:r>
    </w:p>
    <w:p w:rsidR="006F2832" w:rsidRDefault="006F2832" w:rsidP="006F2832">
      <w:pPr>
        <w:rPr>
          <w:bCs/>
        </w:rPr>
      </w:pPr>
      <w:r>
        <w:rPr>
          <w:bCs/>
        </w:rPr>
        <w:t xml:space="preserve">Commissioner Bharel also highlighted </w:t>
      </w:r>
      <w:r w:rsidRPr="006F2832">
        <w:rPr>
          <w:bCs/>
        </w:rPr>
        <w:t xml:space="preserve">the efforts of </w:t>
      </w:r>
      <w:r>
        <w:rPr>
          <w:bCs/>
        </w:rPr>
        <w:t xml:space="preserve">Council member, </w:t>
      </w:r>
      <w:r w:rsidRPr="006F2832">
        <w:rPr>
          <w:bCs/>
        </w:rPr>
        <w:t>Harold Cox</w:t>
      </w:r>
      <w:r>
        <w:rPr>
          <w:bCs/>
        </w:rPr>
        <w:t>, and his work with the Commission</w:t>
      </w:r>
      <w:r w:rsidRPr="006F2832">
        <w:rPr>
          <w:bCs/>
        </w:rPr>
        <w:t>.  Dean Cox is chair of Massachusetts Public Health Regionalization Project (MPHRP) Working Group, whose work provides a strong foundation for many of the issues the Commission will address.  In that role, he also represents the wor</w:t>
      </w:r>
      <w:r>
        <w:rPr>
          <w:bCs/>
        </w:rPr>
        <w:t xml:space="preserve">king group on the Commission. </w:t>
      </w:r>
      <w:r w:rsidRPr="006F2832">
        <w:rPr>
          <w:bCs/>
        </w:rPr>
        <w:t xml:space="preserve">Through work with the Massachusetts Public Health Association, the Association was instrumental in establishing the Commission.  </w:t>
      </w:r>
    </w:p>
    <w:p w:rsidR="00812197" w:rsidRPr="00812197" w:rsidRDefault="00812197" w:rsidP="00812197">
      <w:pPr>
        <w:rPr>
          <w:bCs/>
        </w:rPr>
      </w:pPr>
      <w:r>
        <w:rPr>
          <w:bCs/>
        </w:rPr>
        <w:t xml:space="preserve">Next, the Commissioner </w:t>
      </w:r>
      <w:r w:rsidRPr="00812197">
        <w:rPr>
          <w:bCs/>
        </w:rPr>
        <w:t>recognize</w:t>
      </w:r>
      <w:r>
        <w:rPr>
          <w:bCs/>
        </w:rPr>
        <w:t>d</w:t>
      </w:r>
      <w:r w:rsidRPr="00812197">
        <w:rPr>
          <w:bCs/>
        </w:rPr>
        <w:t xml:space="preserve"> the Office of Preparedness and Emergency Management (OPEM) and our Department Operations Center for their role </w:t>
      </w:r>
      <w:r>
        <w:rPr>
          <w:bCs/>
        </w:rPr>
        <w:t xml:space="preserve">in </w:t>
      </w:r>
      <w:r w:rsidRPr="00812197">
        <w:rPr>
          <w:bCs/>
        </w:rPr>
        <w:t>supporting two recent events in Boston: 2017 Sail Boston and the July 4th Celebrations.</w:t>
      </w:r>
    </w:p>
    <w:p w:rsidR="00812197" w:rsidRDefault="00812197" w:rsidP="00812197">
      <w:pPr>
        <w:rPr>
          <w:bCs/>
        </w:rPr>
      </w:pPr>
      <w:r w:rsidRPr="00812197">
        <w:rPr>
          <w:bCs/>
        </w:rPr>
        <w:t xml:space="preserve">2017 Sail Boston was a weeklong maritime festival that took place throughout the City of Boston and the harbor from June 16 – 22.  During the event, the City hosted ships participating in the </w:t>
      </w:r>
      <w:proofErr w:type="spellStart"/>
      <w:r w:rsidRPr="00812197">
        <w:rPr>
          <w:bCs/>
        </w:rPr>
        <w:t>Rendez-Vous</w:t>
      </w:r>
      <w:proofErr w:type="spellEnd"/>
      <w:r w:rsidRPr="00812197">
        <w:rPr>
          <w:bCs/>
        </w:rPr>
        <w:t xml:space="preserve"> 2017 Tall Ships Regatta, a trans-Atlantic race that began in England and finishes in Quebec City. The Department Operations Center activated on Saturday, June 17, to maintain situational awareness for any incidents or events that might occur during the Grand Parade of Sails, the largest event of the week. </w:t>
      </w:r>
    </w:p>
    <w:p w:rsidR="00812197" w:rsidRDefault="00812197" w:rsidP="00812197">
      <w:pPr>
        <w:rPr>
          <w:bCs/>
        </w:rPr>
      </w:pPr>
      <w:proofErr w:type="gramStart"/>
      <w:r w:rsidRPr="00812197">
        <w:rPr>
          <w:bCs/>
        </w:rPr>
        <w:t>Staff from the Office of Preparedness and Emergency Management were</w:t>
      </w:r>
      <w:proofErr w:type="gramEnd"/>
      <w:r w:rsidRPr="00812197">
        <w:rPr>
          <w:bCs/>
        </w:rPr>
        <w:t xml:space="preserve"> present in the DOC along with a representative of the HHS Assistant Secretary </w:t>
      </w:r>
      <w:r w:rsidR="00667552">
        <w:rPr>
          <w:bCs/>
        </w:rPr>
        <w:t xml:space="preserve">for Preparedness and Response. </w:t>
      </w:r>
      <w:r w:rsidRPr="00812197">
        <w:rPr>
          <w:bCs/>
        </w:rPr>
        <w:t>The Department Operations Center was also activated on July 4th with to monitor events statewide rel</w:t>
      </w:r>
      <w:r w:rsidR="00667552">
        <w:rPr>
          <w:bCs/>
        </w:rPr>
        <w:t xml:space="preserve">ated to July 4th celebrations. </w:t>
      </w:r>
      <w:r w:rsidRPr="00812197">
        <w:rPr>
          <w:bCs/>
        </w:rPr>
        <w:t>A tremendous amount of planning and preparation takes place to ensure events like this are</w:t>
      </w:r>
      <w:r w:rsidR="00667552">
        <w:rPr>
          <w:bCs/>
        </w:rPr>
        <w:t xml:space="preserve"> safe for all.  Commissioner Bharel </w:t>
      </w:r>
      <w:r w:rsidRPr="00812197">
        <w:rPr>
          <w:bCs/>
        </w:rPr>
        <w:t>thank</w:t>
      </w:r>
      <w:r w:rsidR="00667552">
        <w:rPr>
          <w:bCs/>
        </w:rPr>
        <w:t>ed the</w:t>
      </w:r>
      <w:r w:rsidRPr="00812197">
        <w:rPr>
          <w:bCs/>
        </w:rPr>
        <w:t xml:space="preserve"> OPEM </w:t>
      </w:r>
      <w:r w:rsidR="00667552">
        <w:rPr>
          <w:bCs/>
        </w:rPr>
        <w:t xml:space="preserve">team </w:t>
      </w:r>
      <w:r w:rsidRPr="00812197">
        <w:rPr>
          <w:bCs/>
        </w:rPr>
        <w:t xml:space="preserve">for playing such a critical role in keeping the Commonwealth safe and prepared while residents and visitors are able to enjoy these world-class events.  </w:t>
      </w:r>
    </w:p>
    <w:p w:rsidR="00667552" w:rsidRPr="00667552" w:rsidRDefault="00667552" w:rsidP="00667552">
      <w:pPr>
        <w:rPr>
          <w:bCs/>
        </w:rPr>
      </w:pPr>
      <w:r w:rsidRPr="00667552">
        <w:rPr>
          <w:bCs/>
        </w:rPr>
        <w:t xml:space="preserve">Recently, DPH had several staff participate in EOHHS’s Mentoring, Aspiring Supervisor and Succession Planning Program, which is designed to address workforce planning and development by cultivating a highly skilled workforce that can deliver innovative solutions and approaches that enhance EOHHS service delivery.  </w:t>
      </w:r>
    </w:p>
    <w:p w:rsidR="00667552" w:rsidRPr="00667552" w:rsidRDefault="00667552" w:rsidP="00667552">
      <w:pPr>
        <w:rPr>
          <w:bCs/>
        </w:rPr>
      </w:pPr>
      <w:r w:rsidRPr="00667552">
        <w:rPr>
          <w:bCs/>
        </w:rPr>
        <w:t xml:space="preserve">DPH </w:t>
      </w:r>
      <w:proofErr w:type="gramStart"/>
      <w:r w:rsidRPr="00667552">
        <w:rPr>
          <w:bCs/>
        </w:rPr>
        <w:t>staff were</w:t>
      </w:r>
      <w:proofErr w:type="gramEnd"/>
      <w:r w:rsidRPr="00667552">
        <w:rPr>
          <w:bCs/>
        </w:rPr>
        <w:t xml:space="preserve"> represented on all three Program tracks - Aspiring Supervisor, Program Director, and Senior Leader. </w:t>
      </w:r>
      <w:r>
        <w:rPr>
          <w:bCs/>
        </w:rPr>
        <w:t xml:space="preserve">The Commissioner was able to </w:t>
      </w:r>
      <w:r w:rsidRPr="00667552">
        <w:rPr>
          <w:bCs/>
        </w:rPr>
        <w:t xml:space="preserve">attend the ceremony and thank each of our graduates individually. </w:t>
      </w:r>
    </w:p>
    <w:p w:rsidR="00667552" w:rsidRPr="00667552" w:rsidRDefault="00667552" w:rsidP="00667552">
      <w:pPr>
        <w:rPr>
          <w:bCs/>
        </w:rPr>
      </w:pPr>
      <w:r w:rsidRPr="00667552">
        <w:rPr>
          <w:bCs/>
        </w:rPr>
        <w:t>Participants completed extensive course work, accomplished the goals they identified, and implemented projects that add value to the important work and se</w:t>
      </w:r>
      <w:r>
        <w:rPr>
          <w:bCs/>
        </w:rPr>
        <w:t>rvices provided by our agency. T</w:t>
      </w:r>
      <w:r w:rsidRPr="00667552">
        <w:rPr>
          <w:bCs/>
        </w:rPr>
        <w:t xml:space="preserve">he graduates’ final projects ranged from educational program developments, customer service improvements and process </w:t>
      </w:r>
      <w:r w:rsidRPr="00667552">
        <w:rPr>
          <w:bCs/>
        </w:rPr>
        <w:lastRenderedPageBreak/>
        <w:t xml:space="preserve">updates to workflow enhancements and data analysis assessments. These projects continuously improve the work that we do by using data effectively, addressing social determinants of health, and eliminating disparities to meet our mission and vision. </w:t>
      </w:r>
    </w:p>
    <w:p w:rsidR="00667552" w:rsidRPr="00812197" w:rsidRDefault="00667552" w:rsidP="00667552">
      <w:pPr>
        <w:rPr>
          <w:bCs/>
        </w:rPr>
      </w:pPr>
      <w:r w:rsidRPr="00667552">
        <w:rPr>
          <w:bCs/>
        </w:rPr>
        <w:t xml:space="preserve">The work of DPH, unlike virtually any other state agency, touches everyone, and the work of the </w:t>
      </w:r>
      <w:proofErr w:type="spellStart"/>
      <w:r w:rsidRPr="00667552">
        <w:rPr>
          <w:bCs/>
        </w:rPr>
        <w:t>MasSP</w:t>
      </w:r>
      <w:proofErr w:type="spellEnd"/>
      <w:r w:rsidRPr="00667552">
        <w:rPr>
          <w:bCs/>
        </w:rPr>
        <w:t xml:space="preserve"> participants benefits the agency, the individuals we serve, and the ove</w:t>
      </w:r>
      <w:r>
        <w:rPr>
          <w:bCs/>
        </w:rPr>
        <w:t>rall health of Commonwealth.  The Commissioner congratulated the participants on a job well done.</w:t>
      </w:r>
    </w:p>
    <w:p w:rsidR="00667552" w:rsidRPr="00667552" w:rsidRDefault="00667552" w:rsidP="00667552">
      <w:pPr>
        <w:rPr>
          <w:bCs/>
        </w:rPr>
      </w:pPr>
      <w:r>
        <w:rPr>
          <w:bCs/>
        </w:rPr>
        <w:t xml:space="preserve">She also announced that </w:t>
      </w:r>
      <w:r w:rsidRPr="00667552">
        <w:rPr>
          <w:bCs/>
        </w:rPr>
        <w:t>Massachusetts was one of four states recently chosen by the Association for State Public Health Officials (ASTHO) and the Center for Connected Health Policy (CCHP) to take part in their Telehealth Te</w:t>
      </w:r>
      <w:r>
        <w:rPr>
          <w:bCs/>
        </w:rPr>
        <w:t xml:space="preserve">chnical Assistance Initiative. </w:t>
      </w:r>
      <w:r w:rsidRPr="00667552">
        <w:rPr>
          <w:bCs/>
        </w:rPr>
        <w:t xml:space="preserve">DPH hosted a meeting to explore opportunities in telehealth on June 22nd.  </w:t>
      </w:r>
    </w:p>
    <w:p w:rsidR="00667552" w:rsidRPr="00667552" w:rsidRDefault="00667552" w:rsidP="00667552">
      <w:pPr>
        <w:rPr>
          <w:bCs/>
        </w:rPr>
      </w:pPr>
      <w:r w:rsidRPr="00667552">
        <w:rPr>
          <w:bCs/>
        </w:rPr>
        <w:t xml:space="preserve">Thirty-four individuals representing many of the Department’s bureaus and offices participated in the meeting, which included an overview of telehealth policies and strategies, and a facilitated discussion of potential opportunities to use telehealth for the advancement of public health in Massachusetts.  </w:t>
      </w:r>
    </w:p>
    <w:p w:rsidR="00667552" w:rsidRPr="00667552" w:rsidRDefault="00667552" w:rsidP="00667552">
      <w:pPr>
        <w:rPr>
          <w:bCs/>
        </w:rPr>
      </w:pPr>
      <w:r w:rsidRPr="00667552">
        <w:rPr>
          <w:bCs/>
        </w:rPr>
        <w:t xml:space="preserve">At the conclusion of the meeting, participants agreed to share lessons learned with their colleagues and identify concrete opportunities for possible adoption of telehealth strategies within their respective bureaus.  </w:t>
      </w:r>
    </w:p>
    <w:p w:rsidR="00667552" w:rsidRDefault="00667552" w:rsidP="00667552">
      <w:pPr>
        <w:rPr>
          <w:bCs/>
        </w:rPr>
      </w:pPr>
      <w:r w:rsidRPr="00667552">
        <w:rPr>
          <w:bCs/>
        </w:rPr>
        <w:t>The ASTHO/CCHP technical assistance team is preparing a summary of the group’s discussion which can be used as a tool to facilitate development of pilot telehealth programs throughout the agency.  This effort is just one of many ways DPH staff are working to use data and technology in ways that benefit Massachusetts residents, improve access to needed health services, and further the Department’s efforts to drive precision public health.</w:t>
      </w:r>
    </w:p>
    <w:p w:rsidR="00B35E22" w:rsidRDefault="00B35E22" w:rsidP="00B35E22">
      <w:pPr>
        <w:rPr>
          <w:bCs/>
        </w:rPr>
      </w:pPr>
      <w:r>
        <w:rPr>
          <w:bCs/>
        </w:rPr>
        <w:t xml:space="preserve">Commissioner Bharel informed the Council that in June, she </w:t>
      </w:r>
      <w:r w:rsidRPr="00B35E22">
        <w:rPr>
          <w:bCs/>
        </w:rPr>
        <w:t xml:space="preserve">joined representatives from the CMS Region One office for a visit to the Mashpee Wampanoag Tribe’s reservation.  The Tribe declared a state of emergency in 2016 due to the effects of the opioid epidemic on members.  </w:t>
      </w:r>
      <w:r>
        <w:rPr>
          <w:bCs/>
        </w:rPr>
        <w:t>Her</w:t>
      </w:r>
      <w:r w:rsidRPr="00B35E22">
        <w:rPr>
          <w:bCs/>
        </w:rPr>
        <w:t xml:space="preserve"> visit focused on ways the Tribe can collaborate with state government to further their day-to-day efforts to combat this disease, while furthering the Tribe’s mission to build resources and service capacity in one’s life that will develop and maintain self-sufficiency in all ar</w:t>
      </w:r>
      <w:r>
        <w:rPr>
          <w:bCs/>
        </w:rPr>
        <w:t xml:space="preserve">eas of life.  While visiting, she </w:t>
      </w:r>
      <w:r w:rsidRPr="00B35E22">
        <w:rPr>
          <w:bCs/>
        </w:rPr>
        <w:t xml:space="preserve">was able to tour medical and dental facilities on the reservation, as well as </w:t>
      </w:r>
      <w:proofErr w:type="gramStart"/>
      <w:r w:rsidRPr="00B35E22">
        <w:rPr>
          <w:bCs/>
        </w:rPr>
        <w:t>discuss</w:t>
      </w:r>
      <w:proofErr w:type="gramEnd"/>
      <w:r w:rsidRPr="00B35E22">
        <w:rPr>
          <w:bCs/>
        </w:rPr>
        <w:t xml:space="preserve"> the role public health plays in addressing and preve</w:t>
      </w:r>
      <w:r>
        <w:rPr>
          <w:bCs/>
        </w:rPr>
        <w:t xml:space="preserve">nting substance use disorder.  </w:t>
      </w:r>
    </w:p>
    <w:p w:rsidR="00B35E22" w:rsidRDefault="00B35E22" w:rsidP="00B35E22">
      <w:pPr>
        <w:rPr>
          <w:bCs/>
        </w:rPr>
      </w:pPr>
      <w:r>
        <w:rPr>
          <w:bCs/>
        </w:rPr>
        <w:t xml:space="preserve">The Commissioner then informed the Council that she was able to see </w:t>
      </w:r>
      <w:r w:rsidRPr="00B35E22">
        <w:rPr>
          <w:bCs/>
        </w:rPr>
        <w:t xml:space="preserve">the recently opened New </w:t>
      </w:r>
      <w:proofErr w:type="spellStart"/>
      <w:r w:rsidRPr="00B35E22">
        <w:rPr>
          <w:bCs/>
        </w:rPr>
        <w:t>Joelyn’s</w:t>
      </w:r>
      <w:proofErr w:type="spellEnd"/>
      <w:r w:rsidRPr="00B35E22">
        <w:rPr>
          <w:bCs/>
        </w:rPr>
        <w:t xml:space="preserve"> Home – a 24-bed recovery home providing a</w:t>
      </w:r>
      <w:r>
        <w:rPr>
          <w:bCs/>
        </w:rPr>
        <w:t xml:space="preserve">ddiction treatment to women.  She had </w:t>
      </w:r>
      <w:r w:rsidRPr="00B35E22">
        <w:rPr>
          <w:bCs/>
        </w:rPr>
        <w:t xml:space="preserve">the pleasure of speaking with staff and clients at the Home, and tour the beautiful facility.  The center adds much needed capacity in the city of Boston, and will help women suffering from addiction get into treatment.     </w:t>
      </w:r>
    </w:p>
    <w:p w:rsidR="00B35E22" w:rsidRDefault="00B35E22" w:rsidP="00B35E22">
      <w:pPr>
        <w:rPr>
          <w:bCs/>
        </w:rPr>
      </w:pPr>
      <w:r>
        <w:rPr>
          <w:bCs/>
        </w:rPr>
        <w:t xml:space="preserve">Upon the conclusion of her updates, the Commissioner asked if the Council had any questions or comments. </w:t>
      </w:r>
    </w:p>
    <w:p w:rsidR="00B35E22" w:rsidRDefault="00B35E22" w:rsidP="00B35E22">
      <w:pPr>
        <w:rPr>
          <w:bCs/>
        </w:rPr>
      </w:pPr>
      <w:r>
        <w:rPr>
          <w:bCs/>
        </w:rPr>
        <w:lastRenderedPageBreak/>
        <w:t>Secretary Ure</w:t>
      </w:r>
      <w:r w:rsidR="00934F7F">
        <w:rPr>
          <w:bCs/>
        </w:rPr>
        <w:t>ña thanked the Department and OPEM for their work and preparation for Sail Boston as well as the July 4</w:t>
      </w:r>
      <w:r w:rsidR="00934F7F" w:rsidRPr="00934F7F">
        <w:rPr>
          <w:bCs/>
          <w:vertAlign w:val="superscript"/>
        </w:rPr>
        <w:t>th</w:t>
      </w:r>
      <w:r w:rsidR="00934F7F">
        <w:rPr>
          <w:bCs/>
        </w:rPr>
        <w:t xml:space="preserve"> events. </w:t>
      </w:r>
    </w:p>
    <w:p w:rsidR="00934F7F" w:rsidRDefault="00934F7F" w:rsidP="00B35E22">
      <w:pPr>
        <w:rPr>
          <w:bCs/>
        </w:rPr>
      </w:pPr>
      <w:r>
        <w:rPr>
          <w:bCs/>
        </w:rPr>
        <w:t>Mr. Lanzikos commented on an article that discussed the opioid prescribing practices of dental offices. He asked if there were a plan of action regarding this or if it is something the Department has recognized.</w:t>
      </w:r>
    </w:p>
    <w:p w:rsidR="00934F7F" w:rsidRDefault="00934F7F" w:rsidP="00B35E22">
      <w:pPr>
        <w:rPr>
          <w:bCs/>
        </w:rPr>
      </w:pPr>
      <w:r>
        <w:rPr>
          <w:bCs/>
        </w:rPr>
        <w:t xml:space="preserve">Commissioner Bharel replied that we’ve had tremendous success in working with the </w:t>
      </w:r>
      <w:r w:rsidR="003119A9">
        <w:rPr>
          <w:bCs/>
        </w:rPr>
        <w:t>deans</w:t>
      </w:r>
      <w:r>
        <w:rPr>
          <w:bCs/>
        </w:rPr>
        <w:t xml:space="preserve"> of all four medical schools along with the </w:t>
      </w:r>
      <w:r w:rsidR="003119A9">
        <w:rPr>
          <w:bCs/>
        </w:rPr>
        <w:t>deans</w:t>
      </w:r>
      <w:r>
        <w:rPr>
          <w:bCs/>
        </w:rPr>
        <w:t xml:space="preserve"> of </w:t>
      </w:r>
      <w:r w:rsidR="009112E5">
        <w:rPr>
          <w:bCs/>
        </w:rPr>
        <w:t xml:space="preserve">all three dental schools. </w:t>
      </w:r>
      <w:r w:rsidR="00867AA5">
        <w:rPr>
          <w:bCs/>
        </w:rPr>
        <w:t>In the la</w:t>
      </w:r>
      <w:r w:rsidR="00837E9E">
        <w:rPr>
          <w:bCs/>
        </w:rPr>
        <w:t>st quarterly opioid update, since 2015 there has been a 25% decrease in the volume of schedule 2 opioids</w:t>
      </w:r>
      <w:r w:rsidR="007F34BB">
        <w:rPr>
          <w:bCs/>
        </w:rPr>
        <w:t xml:space="preserve"> that are out in t</w:t>
      </w:r>
      <w:r w:rsidR="00FF5416">
        <w:rPr>
          <w:bCs/>
        </w:rPr>
        <w:t xml:space="preserve">he community in Massachusetts. </w:t>
      </w:r>
    </w:p>
    <w:p w:rsidR="00B35E22" w:rsidRPr="00B35E22" w:rsidRDefault="00B35E22" w:rsidP="00B35E22">
      <w:pPr>
        <w:rPr>
          <w:bCs/>
        </w:rPr>
      </w:pPr>
      <w:r>
        <w:rPr>
          <w:bCs/>
        </w:rPr>
        <w:t xml:space="preserve">Meg Doherty arrives at 9:15am. Lissette Blondet arrives at 9:23am. </w:t>
      </w:r>
    </w:p>
    <w:p w:rsidR="00661E1A" w:rsidRPr="00606C5B" w:rsidRDefault="00BA6152" w:rsidP="00156147">
      <w:r>
        <w:t xml:space="preserve"> </w:t>
      </w:r>
      <w:r w:rsidR="00B63EC6">
        <w:t>With no further questions or comments the Commissioner proceeded with the docket.</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F96C04">
        <w:rPr>
          <w:b/>
        </w:rPr>
        <w:t>June 14</w:t>
      </w:r>
      <w:r w:rsidR="003A608C">
        <w:rPr>
          <w:b/>
        </w:rPr>
        <w:t>,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D97144">
        <w:t>June 14</w:t>
      </w:r>
      <w:r w:rsidR="003A608C">
        <w:t>, 2017</w:t>
      </w:r>
      <w:r>
        <w:t xml:space="preserve"> meeting minutes.</w:t>
      </w:r>
      <w:r w:rsidR="006F0169">
        <w:t xml:space="preserve"> </w:t>
      </w:r>
    </w:p>
    <w:p w:rsidR="00B63EC6" w:rsidRDefault="001E79C2" w:rsidP="007C511D">
      <w:r>
        <w:t xml:space="preserve">Seeing none, the Commissioner asked for a motion to accept the </w:t>
      </w:r>
      <w:r w:rsidR="00BF1E31">
        <w:t xml:space="preserve">minutes. </w:t>
      </w:r>
      <w:r w:rsidR="00D97144">
        <w:t>Mr. Lanzikos</w:t>
      </w:r>
      <w:r w:rsidR="00BF1E31">
        <w:t xml:space="preserve"> made the motion and Dr. </w:t>
      </w:r>
      <w:r w:rsidR="00D97144">
        <w:t>Woodward</w:t>
      </w:r>
      <w:r w:rsidR="00B63EC6">
        <w:t xml:space="preserve"> </w:t>
      </w:r>
      <w:r w:rsidR="00BF1E31">
        <w:t>seconded i</w:t>
      </w:r>
      <w:r w:rsidR="00D97144">
        <w:t>t. All present approved.</w:t>
      </w:r>
    </w:p>
    <w:p w:rsidR="00D97144" w:rsidRPr="00D97144" w:rsidRDefault="00D97144" w:rsidP="00D97144">
      <w:pPr>
        <w:pStyle w:val="NoSpacing"/>
        <w:rPr>
          <w:b/>
        </w:rPr>
      </w:pPr>
      <w:r w:rsidRPr="00D97144">
        <w:rPr>
          <w:b/>
        </w:rPr>
        <w:t>2. DETERMINATION OF NEED</w:t>
      </w:r>
    </w:p>
    <w:p w:rsidR="00D97144" w:rsidRDefault="00D97144" w:rsidP="00B12560">
      <w:pPr>
        <w:pStyle w:val="NoSpacing"/>
        <w:rPr>
          <w:b/>
        </w:rPr>
      </w:pPr>
      <w:r w:rsidRPr="00D97144">
        <w:rPr>
          <w:b/>
        </w:rPr>
        <w:t>a. Implementation Update:  Boston Children’s Hospital provides an update on the Community Health Initiatives process to-date for Project No. 4-3C47, a request for substantial capital expenditure approved by the Council on October 20, 2016</w:t>
      </w:r>
    </w:p>
    <w:p w:rsidR="00B12560" w:rsidRPr="00B12560" w:rsidRDefault="00B12560" w:rsidP="00B12560">
      <w:pPr>
        <w:pStyle w:val="NoSpacing"/>
        <w:rPr>
          <w:b/>
        </w:rPr>
      </w:pPr>
    </w:p>
    <w:p w:rsidR="00B12560" w:rsidRPr="00B12560" w:rsidRDefault="00F84BEE" w:rsidP="00B12560">
      <w:r>
        <w:t xml:space="preserve">The Commissioner then invited </w:t>
      </w:r>
      <w:r w:rsidR="00B12560" w:rsidRPr="00B12560">
        <w:t xml:space="preserve">Dr. Shari </w:t>
      </w:r>
      <w:proofErr w:type="spellStart"/>
      <w:r w:rsidR="00B12560" w:rsidRPr="00B12560">
        <w:t>Nethersole</w:t>
      </w:r>
      <w:proofErr w:type="spellEnd"/>
      <w:r w:rsidR="00B12560" w:rsidRPr="00B12560">
        <w:t xml:space="preserve">, Executive Director of the Office of Community Health at Boston Children’s Hospital, to the table to update </w:t>
      </w:r>
      <w:r w:rsidR="00B12560">
        <w:t>the Council</w:t>
      </w:r>
      <w:r w:rsidR="00B12560" w:rsidRPr="00B12560">
        <w:t xml:space="preserve"> on the Hospital’s Community Health Initiative planning as part of implementing its recently approved </w:t>
      </w:r>
      <w:proofErr w:type="spellStart"/>
      <w:r w:rsidR="00B12560" w:rsidRPr="00B12560">
        <w:t>DoN</w:t>
      </w:r>
      <w:proofErr w:type="spellEnd"/>
      <w:r w:rsidR="00B12560" w:rsidRPr="00B12560">
        <w:t xml:space="preserve"> Project.  The Hospital is bringing this update to the Council in response to feedback and questions on CHI planning during </w:t>
      </w:r>
      <w:proofErr w:type="spellStart"/>
      <w:r w:rsidR="00B12560" w:rsidRPr="00B12560">
        <w:t>DoN</w:t>
      </w:r>
      <w:proofErr w:type="spellEnd"/>
      <w:r w:rsidR="00B12560" w:rsidRPr="00B12560">
        <w:t xml:space="preserve"> staff review of the project and recommendation at the October 2016 PHC meeting.</w:t>
      </w:r>
    </w:p>
    <w:p w:rsidR="00F84BEE" w:rsidRDefault="00266713" w:rsidP="007C511D">
      <w:r>
        <w:t>Josh Greenberg, Vice President of Government Relations at Boston Children’s Hospital was also present to answer questions.</w:t>
      </w:r>
      <w:r w:rsidR="00EC4A55">
        <w:t xml:space="preserve"> </w:t>
      </w:r>
    </w:p>
    <w:p w:rsidR="00EC4A55" w:rsidRDefault="00EC4A55" w:rsidP="007C511D">
      <w:r>
        <w:t>Upon the conclusion of their presentation, the Council was asked if they had any questions or comments.</w:t>
      </w:r>
    </w:p>
    <w:p w:rsidR="005C6F90" w:rsidRDefault="008F0A1B" w:rsidP="007C511D">
      <w:r>
        <w:t>Ms. Blondet inquired about the independent evaluator.</w:t>
      </w:r>
    </w:p>
    <w:p w:rsidR="008F0A1B" w:rsidRDefault="008F0A1B" w:rsidP="007C511D">
      <w:r>
        <w:lastRenderedPageBreak/>
        <w:t xml:space="preserve">Dr. </w:t>
      </w:r>
      <w:proofErr w:type="spellStart"/>
      <w:r>
        <w:t>Nethersole</w:t>
      </w:r>
      <w:proofErr w:type="spellEnd"/>
      <w:r>
        <w:t xml:space="preserve"> </w:t>
      </w:r>
      <w:r w:rsidR="00EE718A">
        <w:t xml:space="preserve">replied that the scope of work has yet to be signed but will shortly and confirmed that it was an independent evaluator. </w:t>
      </w:r>
    </w:p>
    <w:p w:rsidR="00EE718A" w:rsidRDefault="00EE718A" w:rsidP="007C511D">
      <w:r>
        <w:t>Ms. Blondet then inquired about the behavioral health expertise on the strategic planning committee.</w:t>
      </w:r>
    </w:p>
    <w:p w:rsidR="00EE718A" w:rsidRDefault="00EE718A" w:rsidP="007C511D">
      <w:r>
        <w:t xml:space="preserve">Dr. </w:t>
      </w:r>
      <w:proofErr w:type="spellStart"/>
      <w:r>
        <w:t>Nethersole</w:t>
      </w:r>
      <w:proofErr w:type="spellEnd"/>
      <w:r>
        <w:t xml:space="preserve"> replied that </w:t>
      </w:r>
      <w:r w:rsidR="00205D8F">
        <w:t>one of the representatives from Children’s Hospital is the head of their community mental health program and has 20 years of experience providing mental health services for Boston Public Schools.</w:t>
      </w:r>
    </w:p>
    <w:p w:rsidR="00205D8F" w:rsidRDefault="00205D8F" w:rsidP="007C511D">
      <w:r>
        <w:t xml:space="preserve">Dr. Bernstein noted the previous concern of the funnel affect </w:t>
      </w:r>
      <w:r w:rsidR="00C60124">
        <w:t xml:space="preserve">from </w:t>
      </w:r>
      <w:r w:rsidR="009B054A">
        <w:t>bringing</w:t>
      </w:r>
      <w:r w:rsidR="00C60124">
        <w:t xml:space="preserve"> patients to Children’s Hospital </w:t>
      </w:r>
      <w:r>
        <w:t xml:space="preserve">on </w:t>
      </w:r>
      <w:r w:rsidR="009B054A">
        <w:t>outlying</w:t>
      </w:r>
      <w:r w:rsidR="00C60124">
        <w:t xml:space="preserve"> hospitals and</w:t>
      </w:r>
      <w:r w:rsidR="009B054A">
        <w:t xml:space="preserve"> their</w:t>
      </w:r>
      <w:r w:rsidR="00C60124">
        <w:t xml:space="preserve"> communities. He then asked if those communities had been included in t</w:t>
      </w:r>
      <w:r w:rsidR="003156B6">
        <w:t>h</w:t>
      </w:r>
      <w:r w:rsidR="00C60124">
        <w:t>is process.</w:t>
      </w:r>
    </w:p>
    <w:p w:rsidR="00C60124" w:rsidRDefault="00C60124" w:rsidP="007C511D">
      <w:r>
        <w:t xml:space="preserve">Dr. </w:t>
      </w:r>
      <w:proofErr w:type="spellStart"/>
      <w:r>
        <w:t>Nethersole</w:t>
      </w:r>
      <w:proofErr w:type="spellEnd"/>
      <w:r>
        <w:t xml:space="preserve"> informed him that </w:t>
      </w:r>
      <w:r w:rsidR="009B054A">
        <w:t xml:space="preserve">the focus of their community health initiative is Greater Boston recognizing that there is also an opportunity for statewide impact. The statewide impact would more than likely be on the policy, advocacy and workforce development side. In terms of programmatic or collective impact approaches they do need to be geographic rather than statewide so that there is focus on the communities, particularly those that are underserved. </w:t>
      </w:r>
    </w:p>
    <w:p w:rsidR="009B054A" w:rsidRDefault="009B054A" w:rsidP="007C511D">
      <w:r>
        <w:t xml:space="preserve">Dr. Bernstein asked what </w:t>
      </w:r>
      <w:proofErr w:type="gramStart"/>
      <w:r>
        <w:t>did they learn</w:t>
      </w:r>
      <w:proofErr w:type="gramEnd"/>
      <w:r>
        <w:t xml:space="preserve"> in this process about how to address substance abuse disorders. </w:t>
      </w:r>
    </w:p>
    <w:p w:rsidR="009B054A" w:rsidRDefault="009B054A" w:rsidP="007C511D">
      <w:r>
        <w:t xml:space="preserve">Dr. </w:t>
      </w:r>
      <w:proofErr w:type="spellStart"/>
      <w:r>
        <w:t>Nethersole</w:t>
      </w:r>
      <w:proofErr w:type="spellEnd"/>
      <w:r>
        <w:t xml:space="preserve"> </w:t>
      </w:r>
      <w:r w:rsidR="00777A0E">
        <w:t xml:space="preserve">stated that is always a difficult one since that are pediatric focused institution. She noted that in regards to substance abuse they are focused on prevention as well family and mental health support. In terms of mental health services for those that are already addicted, that was not something that was strongly proposed by the advisory committee. </w:t>
      </w:r>
    </w:p>
    <w:p w:rsidR="00777A0E" w:rsidRDefault="00777A0E" w:rsidP="007C511D">
      <w:r>
        <w:t xml:space="preserve">Dr. Bernstein replied that that is unfortunate considering there are many young people becoming addicted at an earlier age. </w:t>
      </w:r>
    </w:p>
    <w:p w:rsidR="00777A0E" w:rsidRDefault="00777A0E" w:rsidP="007C511D">
      <w:r>
        <w:t xml:space="preserve">Dr. </w:t>
      </w:r>
      <w:proofErr w:type="spellStart"/>
      <w:r>
        <w:t>Nethersole</w:t>
      </w:r>
      <w:proofErr w:type="spellEnd"/>
      <w:r>
        <w:t xml:space="preserve"> replied that that is why the prevention piece is </w:t>
      </w:r>
      <w:r w:rsidR="00A046F6">
        <w:t>critical</w:t>
      </w:r>
      <w:r>
        <w:t>.</w:t>
      </w:r>
    </w:p>
    <w:p w:rsidR="00A046F6" w:rsidRDefault="00A046F6" w:rsidP="007C511D">
      <w:r>
        <w:t xml:space="preserve">Dr. Bernstein noted that there should be some consideration to intervention and behavioral health support for those already addicted because their addiction can cause a ripple effect on the rest of their peers. </w:t>
      </w:r>
    </w:p>
    <w:p w:rsidR="00A046F6" w:rsidRDefault="00A046F6" w:rsidP="007C511D">
      <w:r>
        <w:t xml:space="preserve">Dr. </w:t>
      </w:r>
      <w:proofErr w:type="spellStart"/>
      <w:r>
        <w:t>Nethersole</w:t>
      </w:r>
      <w:proofErr w:type="spellEnd"/>
      <w:r>
        <w:t xml:space="preserve"> explained that substance abuse is included in their behavioral health work.</w:t>
      </w:r>
    </w:p>
    <w:p w:rsidR="00A046F6" w:rsidRDefault="00A046F6" w:rsidP="007C511D">
      <w:r>
        <w:t xml:space="preserve">Mr. Greenberg also noted that the work they have done in terms of mental health integration in the school setting has substantially </w:t>
      </w:r>
      <w:r w:rsidRPr="003156B6">
        <w:t xml:space="preserve">involved </w:t>
      </w:r>
      <w:r w:rsidR="003156B6">
        <w:t>SBIRT</w:t>
      </w:r>
      <w:r w:rsidRPr="003156B6">
        <w:t xml:space="preserve"> related approaches</w:t>
      </w:r>
      <w:r>
        <w:t xml:space="preserve">. </w:t>
      </w:r>
    </w:p>
    <w:p w:rsidR="00A046F6" w:rsidRDefault="00A046F6" w:rsidP="007C511D">
      <w:r>
        <w:t>Mr.</w:t>
      </w:r>
      <w:r w:rsidR="00E975B7">
        <w:t xml:space="preserve"> Brindisi noted that in October there was much discussion about the need for this construction, specifically pointing to the fact that they serve a wider population beyond the Greater Boston area. Mr. Brindisi inquired on whether they would be coming back to inform the Council on how these dollars are used in communities beyond Greater Boston aside from the policy aspect. </w:t>
      </w:r>
    </w:p>
    <w:p w:rsidR="00E975B7" w:rsidRDefault="00E975B7" w:rsidP="007C511D">
      <w:r>
        <w:lastRenderedPageBreak/>
        <w:t xml:space="preserve">Dr. </w:t>
      </w:r>
      <w:proofErr w:type="spellStart"/>
      <w:r>
        <w:t>Nethersole</w:t>
      </w:r>
      <w:proofErr w:type="spellEnd"/>
      <w:r>
        <w:t xml:space="preserve"> informed Mr. Brindisi and the hospital that they would be happy to come back. She also noted that it is not only policy on a statewide level, but also workforce development particularly in behavioral health and with community health workers.</w:t>
      </w:r>
    </w:p>
    <w:p w:rsidR="00E975B7" w:rsidRDefault="00E975B7" w:rsidP="007C511D">
      <w:r>
        <w:t xml:space="preserve">Mr. Lanzikos asked if they were drawing on the experience and work of other organizations around the country that are focused on the health needs of children and their families. </w:t>
      </w:r>
    </w:p>
    <w:p w:rsidR="00E975B7" w:rsidRDefault="00E975B7" w:rsidP="007C511D">
      <w:r>
        <w:t xml:space="preserve">Dr. </w:t>
      </w:r>
      <w:proofErr w:type="spellStart"/>
      <w:r>
        <w:t>Nethersole</w:t>
      </w:r>
      <w:proofErr w:type="spellEnd"/>
      <w:r>
        <w:t xml:space="preserve"> informed him that </w:t>
      </w:r>
      <w:r w:rsidR="009519FF">
        <w:t>they are absolutely doing so and discuss best practices with their colleagues at other children’s hospitals. They are also looking local institutions such as Boston Medical Center.</w:t>
      </w:r>
    </w:p>
    <w:p w:rsidR="009519FF" w:rsidRDefault="009519FF" w:rsidP="007C511D">
      <w:r>
        <w:t>Commissioner Bharel then asked if there were any additional comments or questions. Seeing none, she proceeded with the docket.</w:t>
      </w:r>
    </w:p>
    <w:p w:rsidR="009519FF" w:rsidRPr="009519FF" w:rsidRDefault="009519FF" w:rsidP="009519FF">
      <w:pPr>
        <w:pStyle w:val="NoSpacing"/>
        <w:rPr>
          <w:b/>
        </w:rPr>
      </w:pPr>
      <w:r w:rsidRPr="009519FF">
        <w:rPr>
          <w:b/>
        </w:rPr>
        <w:t>3.  FINAL REGULATIONS</w:t>
      </w:r>
    </w:p>
    <w:p w:rsidR="009519FF" w:rsidRPr="009519FF" w:rsidRDefault="009519FF" w:rsidP="009519FF">
      <w:pPr>
        <w:pStyle w:val="NoSpacing"/>
        <w:rPr>
          <w:b/>
        </w:rPr>
      </w:pPr>
      <w:r>
        <w:rPr>
          <w:b/>
        </w:rPr>
        <w:t xml:space="preserve">a. </w:t>
      </w:r>
      <w:r w:rsidRPr="009519FF">
        <w:rPr>
          <w:b/>
        </w:rPr>
        <w:t xml:space="preserve">Request for approval to rescind 105 CMR 131.000, </w:t>
      </w:r>
      <w:r w:rsidRPr="009519FF">
        <w:rPr>
          <w:b/>
          <w:i/>
        </w:rPr>
        <w:t xml:space="preserve">The Operation of the Advocacy Office </w:t>
      </w:r>
      <w:r w:rsidRPr="009519FF">
        <w:rPr>
          <w:b/>
        </w:rPr>
        <w:t>(Vote)</w:t>
      </w:r>
    </w:p>
    <w:p w:rsidR="009519FF" w:rsidRDefault="009519FF" w:rsidP="009519FF">
      <w:pPr>
        <w:ind w:right="144"/>
        <w:contextualSpacing/>
        <w:rPr>
          <w:rFonts w:ascii="Times New Roman" w:eastAsia="Times New Roman" w:hAnsi="Times New Roman"/>
          <w:sz w:val="24"/>
        </w:rPr>
      </w:pPr>
    </w:p>
    <w:p w:rsidR="00E71372" w:rsidRPr="00E71372" w:rsidRDefault="00E71372" w:rsidP="00E71372">
      <w:pPr>
        <w:ind w:right="144"/>
        <w:contextualSpacing/>
        <w:rPr>
          <w:rFonts w:eastAsia="Times New Roman"/>
        </w:rPr>
      </w:pPr>
      <w:r w:rsidRPr="00E71372">
        <w:rPr>
          <w:rFonts w:eastAsia="Times New Roman"/>
        </w:rPr>
        <w:t xml:space="preserve">The Commissioner then invited Lauren Nelson, Director of Policy and Quality Improvement for the Bureau of Health Care Safety and Quality; Sherman Lohnes, Director of the Division of Health Care Facility Licensure and Certification within the Bureau of Health Care Safety and Quality; and Rebecca Rodman, Deputy General Counsel to request approval to rescind 105 CMR 131.000, </w:t>
      </w:r>
      <w:r w:rsidRPr="00E71372">
        <w:rPr>
          <w:rFonts w:eastAsia="Times New Roman"/>
          <w:i/>
        </w:rPr>
        <w:t>The Operation of the Advocacy Office</w:t>
      </w:r>
      <w:r w:rsidRPr="00E71372">
        <w:rPr>
          <w:rFonts w:eastAsia="Times New Roman"/>
        </w:rPr>
        <w:t xml:space="preserve">.  </w:t>
      </w:r>
    </w:p>
    <w:p w:rsidR="00E71372" w:rsidRPr="00E71372" w:rsidRDefault="00E71372" w:rsidP="00E71372">
      <w:pPr>
        <w:ind w:right="144"/>
        <w:contextualSpacing/>
        <w:rPr>
          <w:rFonts w:eastAsia="Times New Roman"/>
        </w:rPr>
      </w:pPr>
    </w:p>
    <w:p w:rsidR="00E71372" w:rsidRPr="00E71372" w:rsidRDefault="00E71372" w:rsidP="00E71372">
      <w:pPr>
        <w:ind w:right="144"/>
        <w:contextualSpacing/>
        <w:rPr>
          <w:rFonts w:eastAsia="Times New Roman"/>
        </w:rPr>
      </w:pPr>
      <w:r w:rsidRPr="00E71372">
        <w:rPr>
          <w:rFonts w:eastAsia="Times New Roman"/>
        </w:rPr>
        <w:t xml:space="preserve">Upon the conclusion of their presentation, the Commissioner asked the Council if they had any questions or comments. </w:t>
      </w:r>
    </w:p>
    <w:p w:rsidR="00E71372" w:rsidRPr="00E71372" w:rsidRDefault="00E71372" w:rsidP="00E71372">
      <w:pPr>
        <w:ind w:right="144"/>
        <w:contextualSpacing/>
        <w:rPr>
          <w:rFonts w:eastAsia="Times New Roman"/>
        </w:rPr>
      </w:pPr>
    </w:p>
    <w:p w:rsidR="00E71372" w:rsidRPr="00E71372" w:rsidRDefault="00E71372" w:rsidP="00E71372">
      <w:pPr>
        <w:ind w:right="144"/>
        <w:contextualSpacing/>
        <w:rPr>
          <w:rFonts w:eastAsia="Times New Roman"/>
        </w:rPr>
      </w:pPr>
      <w:r w:rsidRPr="00E71372">
        <w:rPr>
          <w:rFonts w:eastAsia="Times New Roman"/>
        </w:rPr>
        <w:t>Seeing none, the Commissioner asked for a motion to approve the rescission of 105 CMR 131.000.</w:t>
      </w:r>
    </w:p>
    <w:p w:rsidR="00E71372" w:rsidRPr="00E71372" w:rsidRDefault="00E71372" w:rsidP="00E71372">
      <w:pPr>
        <w:ind w:right="144"/>
        <w:contextualSpacing/>
        <w:rPr>
          <w:rFonts w:eastAsia="Times New Roman"/>
        </w:rPr>
      </w:pPr>
    </w:p>
    <w:p w:rsidR="009519FF" w:rsidRPr="003023A9" w:rsidRDefault="00E71372" w:rsidP="009519FF">
      <w:pPr>
        <w:ind w:right="144"/>
        <w:contextualSpacing/>
        <w:rPr>
          <w:rFonts w:eastAsia="Times New Roman"/>
        </w:rPr>
      </w:pPr>
      <w:r w:rsidRPr="00E71372">
        <w:rPr>
          <w:rFonts w:eastAsia="Times New Roman"/>
        </w:rPr>
        <w:t>Dr. Woodward made the motion, Dr. Bernstein seconded it. All present members approved.</w:t>
      </w:r>
    </w:p>
    <w:p w:rsidR="009519FF" w:rsidRPr="00E71372" w:rsidRDefault="00E71372" w:rsidP="00E71372">
      <w:pPr>
        <w:pStyle w:val="NoSpacing"/>
        <w:rPr>
          <w:b/>
        </w:rPr>
      </w:pPr>
      <w:r w:rsidRPr="00E71372">
        <w:rPr>
          <w:rFonts w:ascii="Times New Roman" w:eastAsia="Times New Roman" w:hAnsi="Times New Roman"/>
          <w:b/>
          <w:sz w:val="24"/>
        </w:rPr>
        <w:t xml:space="preserve">4. </w:t>
      </w:r>
      <w:r w:rsidR="009519FF" w:rsidRPr="00E71372">
        <w:rPr>
          <w:b/>
        </w:rPr>
        <w:t xml:space="preserve">INFORMATIONAL PRESENTATIONS </w:t>
      </w:r>
    </w:p>
    <w:p w:rsidR="009519FF" w:rsidRDefault="00E71372" w:rsidP="00E71372">
      <w:pPr>
        <w:pStyle w:val="NoSpacing"/>
        <w:rPr>
          <w:b/>
        </w:rPr>
      </w:pPr>
      <w:r w:rsidRPr="00E71372">
        <w:rPr>
          <w:b/>
        </w:rPr>
        <w:t xml:space="preserve">a. </w:t>
      </w:r>
      <w:r>
        <w:rPr>
          <w:b/>
        </w:rPr>
        <w:t>I</w:t>
      </w:r>
      <w:r w:rsidR="009519FF" w:rsidRPr="00E71372">
        <w:rPr>
          <w:b/>
        </w:rPr>
        <w:t>nformational presentation on Mosquito-borne Disease Surveillance and Response in Massachusetts</w:t>
      </w:r>
    </w:p>
    <w:p w:rsidR="00E71372" w:rsidRDefault="00E71372" w:rsidP="00E71372">
      <w:pPr>
        <w:pStyle w:val="NoSpacing"/>
        <w:rPr>
          <w:b/>
        </w:rPr>
      </w:pPr>
    </w:p>
    <w:p w:rsidR="00E71372" w:rsidRDefault="00E71372" w:rsidP="00E71372">
      <w:pPr>
        <w:pStyle w:val="NoSpacing"/>
      </w:pPr>
      <w:r>
        <w:t xml:space="preserve">Commissioner Bharel invited </w:t>
      </w:r>
      <w:r w:rsidRPr="00E71372">
        <w:t xml:space="preserve">Dr. Katie Brown, Deputy State Epidemiologist and State Public Health Veterinarian, </w:t>
      </w:r>
      <w:r>
        <w:t>to</w:t>
      </w:r>
      <w:r w:rsidRPr="00E71372">
        <w:t xml:space="preserve"> present an update on mosquito-borne disease surveillance in Massachusetts.  </w:t>
      </w:r>
    </w:p>
    <w:p w:rsidR="00E71372" w:rsidRDefault="00E71372" w:rsidP="00E71372">
      <w:pPr>
        <w:pStyle w:val="NoSpacing"/>
      </w:pPr>
    </w:p>
    <w:p w:rsidR="00E71372" w:rsidRDefault="00E71372" w:rsidP="00E71372">
      <w:pPr>
        <w:pStyle w:val="NoSpacing"/>
      </w:pPr>
      <w:r>
        <w:t xml:space="preserve">Upon the conclusion of her presentation, Dr. Brown was asked what </w:t>
      </w:r>
      <w:r w:rsidR="00FC127C">
        <w:t>could</w:t>
      </w:r>
      <w:r>
        <w:t xml:space="preserve"> be done on an individual level to protect themselves from West Nile and EEE.</w:t>
      </w:r>
    </w:p>
    <w:p w:rsidR="00E71372" w:rsidRDefault="00E71372" w:rsidP="00E71372">
      <w:pPr>
        <w:pStyle w:val="NoSpacing"/>
      </w:pPr>
    </w:p>
    <w:p w:rsidR="00FC127C" w:rsidRDefault="00FC127C" w:rsidP="00FC127C">
      <w:pPr>
        <w:pStyle w:val="NoSpacing"/>
      </w:pPr>
      <w:r>
        <w:t xml:space="preserve">Dr. Brown informed the Council that </w:t>
      </w:r>
      <w:r w:rsidRPr="00FC127C">
        <w:t>during mosquito season to prevent bites</w:t>
      </w:r>
      <w:r>
        <w:t xml:space="preserve"> individuals should use repellents for clothing and skin.</w:t>
      </w:r>
      <w:r w:rsidRPr="00FC127C">
        <w:t xml:space="preserve"> </w:t>
      </w:r>
      <w:r>
        <w:t xml:space="preserve">She also noted the importance of wearing </w:t>
      </w:r>
      <w:r w:rsidRPr="00FC127C">
        <w:t>long sleeves and pants</w:t>
      </w:r>
      <w:r w:rsidR="00E11AA0">
        <w:t xml:space="preserve"> on cooler days and mentioned</w:t>
      </w:r>
      <w:r>
        <w:t xml:space="preserve"> that the mosquitoes most likely to carry disease are </w:t>
      </w:r>
      <w:r w:rsidR="00E11AA0">
        <w:t xml:space="preserve">most </w:t>
      </w:r>
      <w:r>
        <w:t>active at dusk and dawn.</w:t>
      </w:r>
      <w:r w:rsidRPr="00FC127C">
        <w:t xml:space="preserve"> </w:t>
      </w:r>
      <w:r w:rsidR="00E11AA0">
        <w:t xml:space="preserve">She also asked that individuals look for mosquito breeding sites and keep </w:t>
      </w:r>
      <w:r w:rsidRPr="00FC127C">
        <w:t>gutters</w:t>
      </w:r>
      <w:r w:rsidR="00E11AA0">
        <w:t xml:space="preserve"> clean</w:t>
      </w:r>
      <w:r w:rsidRPr="00FC127C">
        <w:t xml:space="preserve">, </w:t>
      </w:r>
      <w:r w:rsidR="00E11AA0">
        <w:t xml:space="preserve">empty </w:t>
      </w:r>
      <w:r w:rsidRPr="00FC127C">
        <w:lastRenderedPageBreak/>
        <w:t>flower pots</w:t>
      </w:r>
      <w:r w:rsidR="00E11AA0">
        <w:t>, bird baths etc. with sitting water.</w:t>
      </w:r>
      <w:r w:rsidRPr="00FC127C">
        <w:t xml:space="preserve"> </w:t>
      </w:r>
      <w:r w:rsidR="00E11AA0">
        <w:t>She also encouraged people to k</w:t>
      </w:r>
      <w:r w:rsidRPr="00FC127C">
        <w:t xml:space="preserve">eep track </w:t>
      </w:r>
      <w:r w:rsidR="00E11AA0">
        <w:t>of level of risk in their area and areas where they are likely to travel.</w:t>
      </w:r>
    </w:p>
    <w:p w:rsidR="00E11AA0" w:rsidRDefault="00E11AA0" w:rsidP="00FC127C">
      <w:pPr>
        <w:pStyle w:val="NoSpacing"/>
      </w:pPr>
    </w:p>
    <w:p w:rsidR="00E11AA0" w:rsidRDefault="00E11AA0" w:rsidP="00FC127C">
      <w:pPr>
        <w:pStyle w:val="NoSpacing"/>
      </w:pPr>
      <w:r>
        <w:t>Commissioner Bharel also noted that all of this information is also available on our website.</w:t>
      </w:r>
    </w:p>
    <w:p w:rsidR="00E11AA0" w:rsidRDefault="00E11AA0" w:rsidP="00FC127C">
      <w:pPr>
        <w:pStyle w:val="NoSpacing"/>
      </w:pPr>
    </w:p>
    <w:p w:rsidR="00E11AA0" w:rsidRDefault="00E11AA0" w:rsidP="00FC127C">
      <w:pPr>
        <w:pStyle w:val="NoSpacing"/>
      </w:pPr>
      <w:r>
        <w:t>Dean Cox asked how many deaths have been seen from the number of cases that have been identified.</w:t>
      </w:r>
    </w:p>
    <w:p w:rsidR="00E11AA0" w:rsidRDefault="00E11AA0" w:rsidP="00FC127C">
      <w:pPr>
        <w:pStyle w:val="NoSpacing"/>
      </w:pPr>
    </w:p>
    <w:p w:rsidR="00E11AA0" w:rsidRDefault="00E11AA0" w:rsidP="00FC127C">
      <w:pPr>
        <w:pStyle w:val="NoSpacing"/>
      </w:pPr>
      <w:r>
        <w:t>Dr. Brown replied that she doesn’t have the exact information at hand but for EEE cases overall there is a 30-40% mortality rate. She noted that in earlier cases of EEE the mortality rate was higher but as medical care has improved the rates have decreased. For West Nile virus the</w:t>
      </w:r>
      <w:r w:rsidR="00354518">
        <w:t>re are not many fatalities and the ones that do occur tend to happen in at-risk populations (individuals over the age of 60).</w:t>
      </w:r>
    </w:p>
    <w:p w:rsidR="00354518" w:rsidRDefault="00354518" w:rsidP="00FC127C">
      <w:pPr>
        <w:pStyle w:val="NoSpacing"/>
      </w:pPr>
    </w:p>
    <w:p w:rsidR="00354518" w:rsidRDefault="00354518" w:rsidP="00FC127C">
      <w:pPr>
        <w:pStyle w:val="NoSpacing"/>
      </w:pPr>
      <w:r>
        <w:t>Dean Cox then asked who is responsible for mosquito control districts.</w:t>
      </w:r>
    </w:p>
    <w:p w:rsidR="00E11AA0" w:rsidRDefault="00E11AA0" w:rsidP="00FC127C">
      <w:pPr>
        <w:pStyle w:val="NoSpacing"/>
      </w:pPr>
    </w:p>
    <w:p w:rsidR="00354518" w:rsidRDefault="00354518" w:rsidP="00FC127C">
      <w:pPr>
        <w:pStyle w:val="NoSpacing"/>
      </w:pPr>
      <w:r>
        <w:t>Dr. Brown informed them that in Massachusetts, mosquito control districts are essentially a su</w:t>
      </w:r>
      <w:r w:rsidR="00FE4C48">
        <w:t xml:space="preserve">bscription service. Communities choose whether or not they would like to opt in and the communities themselves fund the service. She stated that this can be a problem for communities with </w:t>
      </w:r>
      <w:proofErr w:type="gramStart"/>
      <w:r w:rsidR="00FE4C48">
        <w:t>less resources</w:t>
      </w:r>
      <w:proofErr w:type="gramEnd"/>
      <w:r w:rsidR="00FE4C48">
        <w:t xml:space="preserve">. </w:t>
      </w:r>
    </w:p>
    <w:p w:rsidR="00FE4C48" w:rsidRDefault="00FE4C48" w:rsidP="00FC127C">
      <w:pPr>
        <w:pStyle w:val="NoSpacing"/>
      </w:pPr>
    </w:p>
    <w:p w:rsidR="00FE4C48" w:rsidRDefault="00FE4C48" w:rsidP="00FC127C">
      <w:pPr>
        <w:pStyle w:val="NoSpacing"/>
      </w:pPr>
      <w:r>
        <w:t>Dean Cox asked if the mosquito control district is responsible for spraying, surveillance, etc.</w:t>
      </w:r>
    </w:p>
    <w:p w:rsidR="00FE4C48" w:rsidRDefault="00FE4C48" w:rsidP="00FC127C">
      <w:pPr>
        <w:pStyle w:val="NoSpacing"/>
      </w:pPr>
    </w:p>
    <w:p w:rsidR="00FE4C48" w:rsidRDefault="00FE4C48" w:rsidP="00FC127C">
      <w:pPr>
        <w:pStyle w:val="NoSpacing"/>
      </w:pPr>
      <w:r>
        <w:t xml:space="preserve">Dr. Brown noted that in addition to mosquito surveillance they also provide control that consist of spraying but can also include </w:t>
      </w:r>
      <w:proofErr w:type="spellStart"/>
      <w:r>
        <w:t>larviciding</w:t>
      </w:r>
      <w:proofErr w:type="spellEnd"/>
      <w:r>
        <w:t xml:space="preserve">. They also help with water management to help prevent mosquito breeding grounds and provide education to residents. </w:t>
      </w:r>
    </w:p>
    <w:p w:rsidR="00FE4C48" w:rsidRDefault="00FE4C48" w:rsidP="00FC127C">
      <w:pPr>
        <w:pStyle w:val="NoSpacing"/>
      </w:pPr>
    </w:p>
    <w:p w:rsidR="00FE4C48" w:rsidRDefault="00FE4C48" w:rsidP="00FC127C">
      <w:pPr>
        <w:pStyle w:val="NoSpacing"/>
      </w:pPr>
      <w:r>
        <w:t xml:space="preserve">Dean Cox </w:t>
      </w:r>
      <w:r w:rsidR="006A5D49">
        <w:t xml:space="preserve">asked if Dr. Brown had any information on </w:t>
      </w:r>
      <w:proofErr w:type="spellStart"/>
      <w:r w:rsidR="006A5D49">
        <w:t>Zika</w:t>
      </w:r>
      <w:proofErr w:type="spellEnd"/>
      <w:r w:rsidR="006A5D49">
        <w:t xml:space="preserve"> and the status of the mosquito that carries the disease.</w:t>
      </w:r>
    </w:p>
    <w:p w:rsidR="006A5D49" w:rsidRDefault="006A5D49" w:rsidP="00FC127C">
      <w:pPr>
        <w:pStyle w:val="NoSpacing"/>
      </w:pPr>
    </w:p>
    <w:p w:rsidR="006A5D49" w:rsidRDefault="006A5D49" w:rsidP="00FC127C">
      <w:pPr>
        <w:pStyle w:val="NoSpacing"/>
      </w:pPr>
      <w:r>
        <w:t xml:space="preserve">Dr. Brown informed the Council that the species of mosquito is most responsible for </w:t>
      </w:r>
      <w:r w:rsidR="00956166">
        <w:t xml:space="preserve">spreading </w:t>
      </w:r>
      <w:proofErr w:type="spellStart"/>
      <w:r w:rsidR="00956166">
        <w:t>Zika</w:t>
      </w:r>
      <w:proofErr w:type="spellEnd"/>
      <w:r>
        <w:t xml:space="preserve"> is the </w:t>
      </w:r>
      <w:proofErr w:type="spellStart"/>
      <w:r w:rsidR="00A702FC" w:rsidRPr="00792773">
        <w:rPr>
          <w:i/>
        </w:rPr>
        <w:t>A</w:t>
      </w:r>
      <w:r w:rsidRPr="00792773">
        <w:rPr>
          <w:i/>
        </w:rPr>
        <w:t>edes</w:t>
      </w:r>
      <w:proofErr w:type="spellEnd"/>
      <w:r w:rsidRPr="00792773">
        <w:rPr>
          <w:i/>
        </w:rPr>
        <w:t xml:space="preserve"> </w:t>
      </w:r>
      <w:proofErr w:type="spellStart"/>
      <w:r w:rsidRPr="00792773">
        <w:rPr>
          <w:i/>
        </w:rPr>
        <w:t>aegypti</w:t>
      </w:r>
      <w:proofErr w:type="spellEnd"/>
      <w:r>
        <w:t xml:space="preserve"> also known as the yellow fever mosquito. It is perfect vector mosquito and can spread </w:t>
      </w:r>
      <w:r w:rsidR="00956166">
        <w:t xml:space="preserve">a number of mosquito borne diseases. She went on to say that it remains a tropical species of mosquito and has not shown the same capabilities of surviving in colder climates like </w:t>
      </w:r>
      <w:proofErr w:type="spellStart"/>
      <w:r w:rsidR="00A702FC" w:rsidRPr="00792773">
        <w:rPr>
          <w:i/>
        </w:rPr>
        <w:t>A</w:t>
      </w:r>
      <w:r w:rsidR="00956166" w:rsidRPr="00792773">
        <w:rPr>
          <w:i/>
        </w:rPr>
        <w:t>edes</w:t>
      </w:r>
      <w:proofErr w:type="spellEnd"/>
      <w:r w:rsidR="00956166" w:rsidRPr="00792773">
        <w:rPr>
          <w:i/>
        </w:rPr>
        <w:t xml:space="preserve"> </w:t>
      </w:r>
      <w:proofErr w:type="spellStart"/>
      <w:r w:rsidR="00956166" w:rsidRPr="00792773">
        <w:rPr>
          <w:i/>
        </w:rPr>
        <w:t>albopictus</w:t>
      </w:r>
      <w:proofErr w:type="spellEnd"/>
      <w:r w:rsidR="00956166">
        <w:t xml:space="preserve"> has. We do not have populations of </w:t>
      </w:r>
      <w:proofErr w:type="spellStart"/>
      <w:r w:rsidR="00A702FC" w:rsidRPr="00792773">
        <w:rPr>
          <w:i/>
        </w:rPr>
        <w:t>A</w:t>
      </w:r>
      <w:r w:rsidR="00956166" w:rsidRPr="00792773">
        <w:rPr>
          <w:i/>
        </w:rPr>
        <w:t>edes</w:t>
      </w:r>
      <w:proofErr w:type="spellEnd"/>
      <w:r w:rsidR="00956166" w:rsidRPr="00792773">
        <w:rPr>
          <w:i/>
        </w:rPr>
        <w:t xml:space="preserve"> </w:t>
      </w:r>
      <w:proofErr w:type="spellStart"/>
      <w:r w:rsidR="00956166" w:rsidRPr="00792773">
        <w:rPr>
          <w:i/>
        </w:rPr>
        <w:t>aegypti</w:t>
      </w:r>
      <w:proofErr w:type="spellEnd"/>
      <w:r w:rsidR="00956166">
        <w:t xml:space="preserve"> close to us in Massachusetts. In places where </w:t>
      </w:r>
      <w:proofErr w:type="spellStart"/>
      <w:r w:rsidR="00956166">
        <w:t>Zika</w:t>
      </w:r>
      <w:proofErr w:type="spellEnd"/>
      <w:r w:rsidR="00956166">
        <w:t xml:space="preserve"> virus outbreaks were occurring</w:t>
      </w:r>
      <w:r w:rsidR="00F46AEF">
        <w:t xml:space="preserve"> there has been a dramatic decline in cases, this</w:t>
      </w:r>
      <w:r w:rsidR="00747C91">
        <w:t xml:space="preserve"> was somewhat anticipated due to a large number of the population being infected that is now immune.</w:t>
      </w:r>
      <w:r w:rsidR="003F5A54">
        <w:t xml:space="preserve"> Since humans are the reservoir for this virus the epidemic cannot be sustained</w:t>
      </w:r>
      <w:r w:rsidR="00F46AEF">
        <w:t xml:space="preserve"> </w:t>
      </w:r>
      <w:r w:rsidR="003F5A54">
        <w:t xml:space="preserve">and so it is likely to become an endemic and circulate a low level. Florida and Texas do have </w:t>
      </w:r>
      <w:proofErr w:type="spellStart"/>
      <w:r w:rsidR="00A702FC" w:rsidRPr="00792773">
        <w:rPr>
          <w:i/>
        </w:rPr>
        <w:t>A</w:t>
      </w:r>
      <w:r w:rsidR="003F5A54" w:rsidRPr="00792773">
        <w:rPr>
          <w:i/>
        </w:rPr>
        <w:t>edes</w:t>
      </w:r>
      <w:proofErr w:type="spellEnd"/>
      <w:r w:rsidR="003F5A54" w:rsidRPr="00792773">
        <w:rPr>
          <w:i/>
        </w:rPr>
        <w:t xml:space="preserve"> </w:t>
      </w:r>
      <w:proofErr w:type="spellStart"/>
      <w:r w:rsidR="003F5A54" w:rsidRPr="00792773">
        <w:rPr>
          <w:i/>
        </w:rPr>
        <w:t>aegypti</w:t>
      </w:r>
      <w:proofErr w:type="spellEnd"/>
      <w:r w:rsidR="00802805">
        <w:t xml:space="preserve"> there were small parts of the area that saw local transmissions. Since the virus had been introduced by individuals traveling if we have fewer people infected in those countries the number of cases seen in Florida and Texas should be less. Dr. Brown also noted that Florida has a superb mosquito control system as well as surveillance. She also noted that she agrees with Dean Cox as to developing a </w:t>
      </w:r>
      <w:r w:rsidR="00A751CF">
        <w:t>mosquito control district in the western part of Massachusetts unfortunately, since it is a local decision it does require mun</w:t>
      </w:r>
      <w:r w:rsidR="00660265">
        <w:t xml:space="preserve">icipalities to make a final decision. The Department of Agricultural Resources and DPH have been working closely with them to support them in the process and trying to get them to a point where we can get something going. </w:t>
      </w:r>
      <w:r w:rsidR="00A751CF">
        <w:t xml:space="preserve"> </w:t>
      </w:r>
    </w:p>
    <w:p w:rsidR="00660265" w:rsidRDefault="00660265" w:rsidP="00FC127C">
      <w:pPr>
        <w:pStyle w:val="NoSpacing"/>
      </w:pPr>
    </w:p>
    <w:p w:rsidR="00660265" w:rsidRDefault="00660265" w:rsidP="00FC127C">
      <w:pPr>
        <w:pStyle w:val="NoSpacing"/>
      </w:pPr>
      <w:r>
        <w:t xml:space="preserve">Ms. Blondet asked how financially effective is it for people to send ticks to the lab in Amherst. </w:t>
      </w:r>
    </w:p>
    <w:p w:rsidR="00660265" w:rsidRDefault="00660265" w:rsidP="00FC127C">
      <w:pPr>
        <w:pStyle w:val="NoSpacing"/>
      </w:pPr>
      <w:r>
        <w:t xml:space="preserve">Dr. Brown replied that the lab at UMass Amherst is not making much money on this but they are playing an important role in terms of tick surveillance. If you find a tick attached to you and send it in to get </w:t>
      </w:r>
      <w:r>
        <w:lastRenderedPageBreak/>
        <w:t xml:space="preserve">tested if it’s carrying any of the pathogens it does not necessarily mean that you were exposed, if you were exposed it does not necessarily mean you are going to get sick with those pathogens. She noted the importance of keeping it in </w:t>
      </w:r>
      <w:r w:rsidR="000449B9">
        <w:t>perspective</w:t>
      </w:r>
      <w:r>
        <w:t xml:space="preserve"> of what that result actually means. </w:t>
      </w:r>
      <w:r w:rsidR="002C69E1">
        <w:t xml:space="preserve">Most people who develop </w:t>
      </w:r>
      <w:proofErr w:type="spellStart"/>
      <w:proofErr w:type="gramStart"/>
      <w:r w:rsidR="002C69E1">
        <w:t>lyme</w:t>
      </w:r>
      <w:proofErr w:type="spellEnd"/>
      <w:proofErr w:type="gramEnd"/>
      <w:r w:rsidR="002C69E1">
        <w:t xml:space="preserve"> disease, </w:t>
      </w:r>
      <w:proofErr w:type="spellStart"/>
      <w:r w:rsidR="002C69E1" w:rsidRPr="002C69E1">
        <w:t>anaplasmosis</w:t>
      </w:r>
      <w:proofErr w:type="spellEnd"/>
      <w:r w:rsidR="002C69E1">
        <w:t xml:space="preserve">, etc. do not remember the tick bite that they had so there is a risk of putting too much clinical stock in the results from a single tick. The broader utility from the testing done at UMass Amherst allows people to look </w:t>
      </w:r>
      <w:r w:rsidR="006707EF">
        <w:t xml:space="preserve">up how many ticks have been submitted in their community along with their results. </w:t>
      </w:r>
    </w:p>
    <w:p w:rsidR="00F46AEF" w:rsidRDefault="00F46AEF" w:rsidP="00FC127C">
      <w:pPr>
        <w:pStyle w:val="NoSpacing"/>
      </w:pPr>
    </w:p>
    <w:p w:rsidR="00FC127C" w:rsidRPr="00FC127C" w:rsidRDefault="001248CB" w:rsidP="00FC127C">
      <w:pPr>
        <w:pStyle w:val="NoSpacing"/>
      </w:pPr>
      <w:r>
        <w:t>Dr. Woodward noted that there seems to be more dog ticks than deer ticks this season. He asked her what her thoughts are on this.</w:t>
      </w:r>
    </w:p>
    <w:p w:rsidR="00FC127C" w:rsidRDefault="00FC127C" w:rsidP="00FC127C">
      <w:pPr>
        <w:pStyle w:val="NoSpacing"/>
      </w:pPr>
    </w:p>
    <w:p w:rsidR="001248CB" w:rsidRPr="00FC127C" w:rsidRDefault="001248CB" w:rsidP="00FC127C">
      <w:pPr>
        <w:pStyle w:val="NoSpacing"/>
      </w:pPr>
      <w:r>
        <w:t xml:space="preserve">Dr. Brown stated that dog ticks can spread Rocky Mountain spotted fever and </w:t>
      </w:r>
      <w:r w:rsidR="00A702FC">
        <w:t>t</w:t>
      </w:r>
      <w:r w:rsidRPr="001248CB">
        <w:t>ularemia</w:t>
      </w:r>
      <w:r>
        <w:t xml:space="preserve"> but both of those diseases are rare in Massachusetts. There was a prediction in early spring by ecologist that this would be a bad blacklegged tick year. What has actually happened has been an increase in the American dog tick year possibly due to seasonal changes that supported one population rather than the other. She also noted that tick </w:t>
      </w:r>
      <w:r w:rsidR="00A702FC">
        <w:t xml:space="preserve">populations </w:t>
      </w:r>
      <w:r>
        <w:t xml:space="preserve">are extremely localized. </w:t>
      </w:r>
    </w:p>
    <w:p w:rsidR="00FC127C" w:rsidRPr="00FC127C" w:rsidRDefault="00FC127C" w:rsidP="00FC127C">
      <w:pPr>
        <w:pStyle w:val="NoSpacing"/>
      </w:pPr>
      <w:r w:rsidRPr="00FC127C">
        <w:br/>
      </w:r>
      <w:r w:rsidR="001248CB">
        <w:t xml:space="preserve">Mr. Brindisi stated that some counties are hiring their own entomologist. He then asked how </w:t>
      </w:r>
      <w:proofErr w:type="gramStart"/>
      <w:r w:rsidR="001248CB">
        <w:t>are they</w:t>
      </w:r>
      <w:proofErr w:type="gramEnd"/>
      <w:r w:rsidR="001248CB">
        <w:t xml:space="preserve"> integrating with county entomologist. </w:t>
      </w:r>
    </w:p>
    <w:p w:rsidR="00FC127C" w:rsidRPr="00FC127C" w:rsidRDefault="00FC127C" w:rsidP="00FC127C">
      <w:pPr>
        <w:pStyle w:val="NoSpacing"/>
      </w:pPr>
    </w:p>
    <w:p w:rsidR="001248CB" w:rsidRDefault="001248CB" w:rsidP="00FC127C">
      <w:pPr>
        <w:pStyle w:val="NoSpacing"/>
      </w:pPr>
      <w:r>
        <w:t>Dr. Brown informed Mr. Brindisi that the Barnstable county model is wonderful and has had a benefit. The entomologist on the Cape is not only cooperating with UMass Amherst on</w:t>
      </w:r>
      <w:r w:rsidR="001D1FB3">
        <w:t xml:space="preserve"> providing tick information but has also been a great educational resource. </w:t>
      </w:r>
    </w:p>
    <w:p w:rsidR="00FC127C" w:rsidRPr="00FC127C" w:rsidRDefault="001248CB" w:rsidP="00FC127C">
      <w:pPr>
        <w:pStyle w:val="NoSpacing"/>
      </w:pPr>
      <w:r>
        <w:t xml:space="preserve"> </w:t>
      </w:r>
    </w:p>
    <w:p w:rsidR="009C69AF" w:rsidRDefault="009C69AF" w:rsidP="00FC127C">
      <w:pPr>
        <w:pStyle w:val="NoSpacing"/>
      </w:pPr>
      <w:r>
        <w:t xml:space="preserve">Ms. Doherty noted that her town is part of the Plymouth County group that </w:t>
      </w:r>
      <w:r w:rsidR="001D1FB3">
        <w:t>has signed a contract with</w:t>
      </w:r>
      <w:r>
        <w:t xml:space="preserve"> UMass Amherst. She noted the importance of the education component. </w:t>
      </w:r>
    </w:p>
    <w:p w:rsidR="009C69AF" w:rsidRDefault="009C69AF" w:rsidP="00FC127C">
      <w:pPr>
        <w:pStyle w:val="NoSpacing"/>
      </w:pPr>
    </w:p>
    <w:p w:rsidR="009C69AF" w:rsidRDefault="009C69AF" w:rsidP="00FC127C">
      <w:pPr>
        <w:pStyle w:val="NoSpacing"/>
      </w:pPr>
      <w:r>
        <w:t>Mr. Lanzikos asked about the introduction of sterile male mosquitos to interrupt the breeding cycle and whether it is effective.</w:t>
      </w:r>
    </w:p>
    <w:p w:rsidR="009C69AF" w:rsidRDefault="009C69AF" w:rsidP="00FC127C">
      <w:pPr>
        <w:pStyle w:val="NoSpacing"/>
      </w:pPr>
    </w:p>
    <w:p w:rsidR="00FC127C" w:rsidRDefault="009C69AF" w:rsidP="00FC127C">
      <w:pPr>
        <w:pStyle w:val="NoSpacing"/>
      </w:pPr>
      <w:r>
        <w:t xml:space="preserve">Dr. Brown noted that most of that work has been done with </w:t>
      </w:r>
      <w:proofErr w:type="spellStart"/>
      <w:r w:rsidR="00A702FC" w:rsidRPr="00792773">
        <w:rPr>
          <w:i/>
        </w:rPr>
        <w:t>A</w:t>
      </w:r>
      <w:r w:rsidRPr="00792773">
        <w:rPr>
          <w:i/>
        </w:rPr>
        <w:t>edes</w:t>
      </w:r>
      <w:proofErr w:type="spellEnd"/>
      <w:r w:rsidRPr="00792773">
        <w:rPr>
          <w:i/>
        </w:rPr>
        <w:t xml:space="preserve"> </w:t>
      </w:r>
      <w:proofErr w:type="spellStart"/>
      <w:r w:rsidRPr="00792773">
        <w:rPr>
          <w:i/>
        </w:rPr>
        <w:t>aegypti</w:t>
      </w:r>
      <w:proofErr w:type="spellEnd"/>
      <w:r>
        <w:t>. She informed him that there is some data that suggests it would be helpful in a real world situation however; there is a concern in releasing something that is a genetically modified organism. She is looking forward to it being used internationally so that they can gain more data on the benefits.</w:t>
      </w:r>
    </w:p>
    <w:p w:rsidR="009C69AF" w:rsidRDefault="009C69AF" w:rsidP="00FC127C">
      <w:pPr>
        <w:pStyle w:val="NoSpacing"/>
      </w:pPr>
    </w:p>
    <w:p w:rsidR="009C69AF" w:rsidRPr="00FC127C" w:rsidRDefault="009C69AF" w:rsidP="00FC127C">
      <w:pPr>
        <w:pStyle w:val="NoSpacing"/>
      </w:pPr>
      <w:r>
        <w:t xml:space="preserve">Mr. Lanzikos asked if they have been tracking what’s happening with the bee population as we spray for mosquitoes. </w:t>
      </w:r>
    </w:p>
    <w:p w:rsidR="009C69AF" w:rsidRDefault="009C69AF" w:rsidP="00FC127C">
      <w:pPr>
        <w:pStyle w:val="NoSpacing"/>
      </w:pPr>
    </w:p>
    <w:p w:rsidR="00491D8E" w:rsidRDefault="009C69AF" w:rsidP="00FC127C">
      <w:pPr>
        <w:pStyle w:val="NoSpacing"/>
      </w:pPr>
      <w:r>
        <w:t xml:space="preserve">Dr. Brown replied that although she is not a bee specialist there </w:t>
      </w:r>
      <w:r w:rsidR="00491D8E">
        <w:t>is one</w:t>
      </w:r>
      <w:r>
        <w:t xml:space="preserve"> at the Department of Agricultural Resources that works with them. One of the most important things that mosquito control does is capture the mosquito population but does n</w:t>
      </w:r>
      <w:r w:rsidR="00491D8E">
        <w:t xml:space="preserve">ot target other flying insects, by paying attention to timing, ultra-low volume droplets. </w:t>
      </w:r>
    </w:p>
    <w:p w:rsidR="00491D8E" w:rsidRDefault="00491D8E" w:rsidP="00FC127C">
      <w:pPr>
        <w:pStyle w:val="NoSpacing"/>
      </w:pPr>
    </w:p>
    <w:p w:rsidR="00491D8E" w:rsidRDefault="00491D8E" w:rsidP="00FC127C">
      <w:pPr>
        <w:pStyle w:val="NoSpacing"/>
      </w:pPr>
      <w:r>
        <w:t>Secretary Ureña asked about outreach regarding the netting of rain barrels.</w:t>
      </w:r>
    </w:p>
    <w:p w:rsidR="00CA14BE" w:rsidRDefault="00491D8E" w:rsidP="00CA14BE">
      <w:pPr>
        <w:pStyle w:val="NoSpacing"/>
      </w:pPr>
      <w:r>
        <w:t xml:space="preserve">Dr. Brown noted that they have relied on the mosquito control districts to handle that type of outreach because they are in the community can see where that is needed. She informed him that they have not </w:t>
      </w:r>
      <w:r>
        <w:lastRenderedPageBreak/>
        <w:t xml:space="preserve">put out any information regarding this but do work closely with the mosquito control districts on the </w:t>
      </w:r>
      <w:r w:rsidR="00FC127C" w:rsidRPr="00FC127C">
        <w:br/>
      </w:r>
    </w:p>
    <w:p w:rsidR="00CA14BE" w:rsidRDefault="00491D8E" w:rsidP="00CA14BE">
      <w:pPr>
        <w:pStyle w:val="NoSpacing"/>
      </w:pPr>
      <w:r>
        <w:t>With no further questions, t</w:t>
      </w:r>
      <w:r w:rsidR="00CA14BE">
        <w:t xml:space="preserve">he Commissioner reminded the </w:t>
      </w:r>
      <w:r>
        <w:t>Council that the next meeting is</w:t>
      </w:r>
      <w:r w:rsidR="00CA14BE">
        <w:t xml:space="preserve"> Wednesday, </w:t>
      </w:r>
      <w:r w:rsidR="001248CB">
        <w:t>August</w:t>
      </w:r>
      <w:r w:rsidR="00CA14BE">
        <w:t xml:space="preserve"> </w:t>
      </w:r>
      <w:r w:rsidR="001248CB">
        <w:t>9</w:t>
      </w:r>
      <w:r w:rsidR="00CA14BE">
        <w:t xml:space="preserve">, 2017 at 9AM. She then asked for a motion to adjourn. </w:t>
      </w:r>
      <w:r w:rsidR="001248CB">
        <w:t xml:space="preserve">Ms. Doherty </w:t>
      </w:r>
      <w:r w:rsidR="00CA14BE">
        <w:t>made the motion</w:t>
      </w:r>
      <w:r w:rsidR="001248CB">
        <w:t xml:space="preserve"> Mr. Brindisi</w:t>
      </w:r>
      <w:r w:rsidR="00CA14BE">
        <w:t xml:space="preserve"> seconded it. All present members approved.</w:t>
      </w:r>
    </w:p>
    <w:p w:rsidR="00CA14BE" w:rsidRDefault="00CA14BE" w:rsidP="00CA14BE">
      <w:pPr>
        <w:pStyle w:val="NoSpacing"/>
      </w:pPr>
    </w:p>
    <w:p w:rsidR="002E455C" w:rsidRPr="009922F3" w:rsidRDefault="001248CB" w:rsidP="00621A81">
      <w:pPr>
        <w:pBdr>
          <w:bottom w:val="single" w:sz="4" w:space="1" w:color="auto"/>
        </w:pBdr>
      </w:pPr>
      <w:r>
        <w:t>The meeting adjourned at 10:47A</w:t>
      </w:r>
      <w:r w:rsidR="00D2467A" w:rsidRPr="00D2467A">
        <w:t>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4D" w:rsidRDefault="007A714D" w:rsidP="008E65F5">
      <w:pPr>
        <w:spacing w:after="0" w:line="240" w:lineRule="auto"/>
      </w:pPr>
      <w:r>
        <w:separator/>
      </w:r>
    </w:p>
  </w:endnote>
  <w:endnote w:type="continuationSeparator" w:id="0">
    <w:p w:rsidR="007A714D" w:rsidRDefault="007A714D" w:rsidP="008E65F5">
      <w:pPr>
        <w:spacing w:after="0" w:line="240" w:lineRule="auto"/>
      </w:pPr>
      <w:r>
        <w:continuationSeparator/>
      </w:r>
    </w:p>
  </w:endnote>
  <w:endnote w:type="continuationNotice" w:id="1">
    <w:p w:rsidR="007A714D" w:rsidRDefault="007A7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956166" w:rsidRDefault="00956166">
        <w:pPr>
          <w:pStyle w:val="Footer"/>
          <w:jc w:val="center"/>
        </w:pPr>
        <w:r>
          <w:fldChar w:fldCharType="begin"/>
        </w:r>
        <w:r>
          <w:instrText xml:space="preserve"> PAGE   \* MERGEFORMAT </w:instrText>
        </w:r>
        <w:r>
          <w:fldChar w:fldCharType="separate"/>
        </w:r>
        <w:r w:rsidR="00DB1461">
          <w:rPr>
            <w:noProof/>
          </w:rPr>
          <w:t>12</w:t>
        </w:r>
        <w:r>
          <w:rPr>
            <w:noProof/>
          </w:rPr>
          <w:fldChar w:fldCharType="end"/>
        </w:r>
      </w:p>
    </w:sdtContent>
  </w:sdt>
  <w:p w:rsidR="00956166" w:rsidRDefault="00956166">
    <w:pPr>
      <w:pStyle w:val="Footer"/>
    </w:pPr>
  </w:p>
  <w:p w:rsidR="00956166" w:rsidRDefault="009561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4D" w:rsidRDefault="007A714D" w:rsidP="008E65F5">
      <w:pPr>
        <w:spacing w:after="0" w:line="240" w:lineRule="auto"/>
      </w:pPr>
      <w:r>
        <w:separator/>
      </w:r>
    </w:p>
  </w:footnote>
  <w:footnote w:type="continuationSeparator" w:id="0">
    <w:p w:rsidR="007A714D" w:rsidRDefault="007A714D" w:rsidP="008E65F5">
      <w:pPr>
        <w:spacing w:after="0" w:line="240" w:lineRule="auto"/>
      </w:pPr>
      <w:r>
        <w:continuationSeparator/>
      </w:r>
    </w:p>
  </w:footnote>
  <w:footnote w:type="continuationNotice" w:id="1">
    <w:p w:rsidR="007A714D" w:rsidRDefault="007A71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166" w:rsidRDefault="009561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57E23"/>
    <w:multiLevelType w:val="hybridMultilevel"/>
    <w:tmpl w:val="9816251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02B4F"/>
    <w:multiLevelType w:val="hybridMultilevel"/>
    <w:tmpl w:val="4468C3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F62C4"/>
    <w:multiLevelType w:val="hybridMultilevel"/>
    <w:tmpl w:val="048A6B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4"/>
  </w:num>
  <w:num w:numId="4">
    <w:abstractNumId w:val="5"/>
  </w:num>
  <w:num w:numId="5">
    <w:abstractNumId w:val="10"/>
  </w:num>
  <w:num w:numId="6">
    <w:abstractNumId w:val="13"/>
  </w:num>
  <w:num w:numId="7">
    <w:abstractNumId w:val="16"/>
  </w:num>
  <w:num w:numId="8">
    <w:abstractNumId w:val="22"/>
  </w:num>
  <w:num w:numId="9">
    <w:abstractNumId w:val="7"/>
  </w:num>
  <w:num w:numId="10">
    <w:abstractNumId w:val="6"/>
  </w:num>
  <w:num w:numId="11">
    <w:abstractNumId w:val="15"/>
  </w:num>
  <w:num w:numId="12">
    <w:abstractNumId w:val="2"/>
  </w:num>
  <w:num w:numId="13">
    <w:abstractNumId w:val="21"/>
  </w:num>
  <w:num w:numId="14">
    <w:abstractNumId w:val="23"/>
  </w:num>
  <w:num w:numId="15">
    <w:abstractNumId w:val="9"/>
  </w:num>
  <w:num w:numId="16">
    <w:abstractNumId w:val="24"/>
  </w:num>
  <w:num w:numId="17">
    <w:abstractNumId w:val="3"/>
  </w:num>
  <w:num w:numId="18">
    <w:abstractNumId w:val="17"/>
  </w:num>
  <w:num w:numId="19">
    <w:abstractNumId w:val="12"/>
  </w:num>
  <w:num w:numId="20">
    <w:abstractNumId w:val="0"/>
  </w:num>
  <w:num w:numId="21">
    <w:abstractNumId w:val="1"/>
  </w:num>
  <w:num w:numId="22">
    <w:abstractNumId w:val="8"/>
  </w:num>
  <w:num w:numId="23">
    <w:abstractNumId w:val="11"/>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37B2"/>
    <w:rsid w:val="000449B9"/>
    <w:rsid w:val="00046ACA"/>
    <w:rsid w:val="00051B52"/>
    <w:rsid w:val="000633B8"/>
    <w:rsid w:val="000666FD"/>
    <w:rsid w:val="00070276"/>
    <w:rsid w:val="000757F4"/>
    <w:rsid w:val="00075D0B"/>
    <w:rsid w:val="00077B61"/>
    <w:rsid w:val="00077C3A"/>
    <w:rsid w:val="000869EC"/>
    <w:rsid w:val="00090886"/>
    <w:rsid w:val="00096255"/>
    <w:rsid w:val="000A272D"/>
    <w:rsid w:val="000B2339"/>
    <w:rsid w:val="000B2CD6"/>
    <w:rsid w:val="000C2329"/>
    <w:rsid w:val="000C3E04"/>
    <w:rsid w:val="000C7FA3"/>
    <w:rsid w:val="000D050E"/>
    <w:rsid w:val="000D0753"/>
    <w:rsid w:val="000D1661"/>
    <w:rsid w:val="000D6217"/>
    <w:rsid w:val="000D6889"/>
    <w:rsid w:val="000E1C7A"/>
    <w:rsid w:val="000E2717"/>
    <w:rsid w:val="000E2D04"/>
    <w:rsid w:val="000E327D"/>
    <w:rsid w:val="000E4058"/>
    <w:rsid w:val="000E6E84"/>
    <w:rsid w:val="000F251E"/>
    <w:rsid w:val="000F4CE6"/>
    <w:rsid w:val="000F546F"/>
    <w:rsid w:val="000F64A9"/>
    <w:rsid w:val="001025E7"/>
    <w:rsid w:val="00110286"/>
    <w:rsid w:val="00112F59"/>
    <w:rsid w:val="00122911"/>
    <w:rsid w:val="001248CB"/>
    <w:rsid w:val="00127AE9"/>
    <w:rsid w:val="001329E2"/>
    <w:rsid w:val="001345F0"/>
    <w:rsid w:val="00136DAA"/>
    <w:rsid w:val="00141590"/>
    <w:rsid w:val="00147AC4"/>
    <w:rsid w:val="001503B0"/>
    <w:rsid w:val="00156147"/>
    <w:rsid w:val="001666C1"/>
    <w:rsid w:val="00172877"/>
    <w:rsid w:val="00182DF2"/>
    <w:rsid w:val="00183FAC"/>
    <w:rsid w:val="00185D6C"/>
    <w:rsid w:val="00187079"/>
    <w:rsid w:val="00194FB8"/>
    <w:rsid w:val="001A5330"/>
    <w:rsid w:val="001A7108"/>
    <w:rsid w:val="001B2033"/>
    <w:rsid w:val="001C01EB"/>
    <w:rsid w:val="001C2DC8"/>
    <w:rsid w:val="001C38FC"/>
    <w:rsid w:val="001C6C7E"/>
    <w:rsid w:val="001D1FB3"/>
    <w:rsid w:val="001D405F"/>
    <w:rsid w:val="001D441F"/>
    <w:rsid w:val="001E08CD"/>
    <w:rsid w:val="001E79C2"/>
    <w:rsid w:val="001F0052"/>
    <w:rsid w:val="001F576D"/>
    <w:rsid w:val="001F6C84"/>
    <w:rsid w:val="00203C08"/>
    <w:rsid w:val="0020477B"/>
    <w:rsid w:val="00204AA0"/>
    <w:rsid w:val="00205D8F"/>
    <w:rsid w:val="002104DB"/>
    <w:rsid w:val="00212BDC"/>
    <w:rsid w:val="0021321E"/>
    <w:rsid w:val="00213619"/>
    <w:rsid w:val="00215F02"/>
    <w:rsid w:val="0021620A"/>
    <w:rsid w:val="00222CFA"/>
    <w:rsid w:val="00224D17"/>
    <w:rsid w:val="00227981"/>
    <w:rsid w:val="00230B4E"/>
    <w:rsid w:val="00252ACC"/>
    <w:rsid w:val="00253924"/>
    <w:rsid w:val="00264F8A"/>
    <w:rsid w:val="00266713"/>
    <w:rsid w:val="002674E4"/>
    <w:rsid w:val="00272029"/>
    <w:rsid w:val="002750C1"/>
    <w:rsid w:val="00275FA2"/>
    <w:rsid w:val="002809C4"/>
    <w:rsid w:val="00286017"/>
    <w:rsid w:val="00286950"/>
    <w:rsid w:val="0028726E"/>
    <w:rsid w:val="002923E8"/>
    <w:rsid w:val="00293C5E"/>
    <w:rsid w:val="00297ECE"/>
    <w:rsid w:val="002A5224"/>
    <w:rsid w:val="002A7EA3"/>
    <w:rsid w:val="002B46EA"/>
    <w:rsid w:val="002B62EC"/>
    <w:rsid w:val="002B734A"/>
    <w:rsid w:val="002C47C4"/>
    <w:rsid w:val="002C69E1"/>
    <w:rsid w:val="002C702D"/>
    <w:rsid w:val="002E0C8A"/>
    <w:rsid w:val="002E0EC2"/>
    <w:rsid w:val="002E3FFA"/>
    <w:rsid w:val="002E455C"/>
    <w:rsid w:val="002F07A5"/>
    <w:rsid w:val="002F44EB"/>
    <w:rsid w:val="003023A9"/>
    <w:rsid w:val="003024F9"/>
    <w:rsid w:val="00307C7C"/>
    <w:rsid w:val="003119A9"/>
    <w:rsid w:val="00311AA4"/>
    <w:rsid w:val="0031338A"/>
    <w:rsid w:val="00313D25"/>
    <w:rsid w:val="003156B6"/>
    <w:rsid w:val="0032122E"/>
    <w:rsid w:val="0032189B"/>
    <w:rsid w:val="003230AD"/>
    <w:rsid w:val="003234DA"/>
    <w:rsid w:val="0033115B"/>
    <w:rsid w:val="00333B58"/>
    <w:rsid w:val="0034236D"/>
    <w:rsid w:val="00346760"/>
    <w:rsid w:val="00347FE3"/>
    <w:rsid w:val="00350EC8"/>
    <w:rsid w:val="00354518"/>
    <w:rsid w:val="00354B5F"/>
    <w:rsid w:val="00360355"/>
    <w:rsid w:val="00364B00"/>
    <w:rsid w:val="003757BF"/>
    <w:rsid w:val="00375852"/>
    <w:rsid w:val="003801CA"/>
    <w:rsid w:val="00381FDA"/>
    <w:rsid w:val="00390051"/>
    <w:rsid w:val="003A22C7"/>
    <w:rsid w:val="003A40C8"/>
    <w:rsid w:val="003A41B6"/>
    <w:rsid w:val="003A608C"/>
    <w:rsid w:val="003B05E5"/>
    <w:rsid w:val="003C1E9A"/>
    <w:rsid w:val="003D08EE"/>
    <w:rsid w:val="003D3A46"/>
    <w:rsid w:val="003D7E69"/>
    <w:rsid w:val="003E3611"/>
    <w:rsid w:val="003E504E"/>
    <w:rsid w:val="003E74C4"/>
    <w:rsid w:val="003F1A9A"/>
    <w:rsid w:val="003F5A54"/>
    <w:rsid w:val="00401FE7"/>
    <w:rsid w:val="00403BF6"/>
    <w:rsid w:val="00406C02"/>
    <w:rsid w:val="004114B3"/>
    <w:rsid w:val="0041609E"/>
    <w:rsid w:val="00416AB4"/>
    <w:rsid w:val="00420461"/>
    <w:rsid w:val="00421B42"/>
    <w:rsid w:val="00425954"/>
    <w:rsid w:val="00426A19"/>
    <w:rsid w:val="004277CA"/>
    <w:rsid w:val="00427DCA"/>
    <w:rsid w:val="00437C8C"/>
    <w:rsid w:val="00446CAB"/>
    <w:rsid w:val="00455C6E"/>
    <w:rsid w:val="00463E0D"/>
    <w:rsid w:val="00481CE0"/>
    <w:rsid w:val="00481E1F"/>
    <w:rsid w:val="004826C7"/>
    <w:rsid w:val="00482FAC"/>
    <w:rsid w:val="00483CA8"/>
    <w:rsid w:val="00484781"/>
    <w:rsid w:val="004855C2"/>
    <w:rsid w:val="00487570"/>
    <w:rsid w:val="00491D8E"/>
    <w:rsid w:val="00495C29"/>
    <w:rsid w:val="00497E27"/>
    <w:rsid w:val="004A3193"/>
    <w:rsid w:val="004D03D6"/>
    <w:rsid w:val="004D417C"/>
    <w:rsid w:val="004D5A67"/>
    <w:rsid w:val="004D6928"/>
    <w:rsid w:val="004E57E0"/>
    <w:rsid w:val="004F16E8"/>
    <w:rsid w:val="004F1D4A"/>
    <w:rsid w:val="004F4463"/>
    <w:rsid w:val="004F4C20"/>
    <w:rsid w:val="004F5BFF"/>
    <w:rsid w:val="004F6288"/>
    <w:rsid w:val="00505690"/>
    <w:rsid w:val="00506978"/>
    <w:rsid w:val="005115F5"/>
    <w:rsid w:val="00513D2B"/>
    <w:rsid w:val="0052162C"/>
    <w:rsid w:val="005216B1"/>
    <w:rsid w:val="005352B9"/>
    <w:rsid w:val="005438CE"/>
    <w:rsid w:val="00550447"/>
    <w:rsid w:val="00551578"/>
    <w:rsid w:val="00552012"/>
    <w:rsid w:val="005547C3"/>
    <w:rsid w:val="00565298"/>
    <w:rsid w:val="00565ABD"/>
    <w:rsid w:val="005677AD"/>
    <w:rsid w:val="00585836"/>
    <w:rsid w:val="005912EB"/>
    <w:rsid w:val="005A0E95"/>
    <w:rsid w:val="005A2866"/>
    <w:rsid w:val="005A541B"/>
    <w:rsid w:val="005A57BF"/>
    <w:rsid w:val="005B0356"/>
    <w:rsid w:val="005C0968"/>
    <w:rsid w:val="005C3E1F"/>
    <w:rsid w:val="005C6F90"/>
    <w:rsid w:val="005D0BD1"/>
    <w:rsid w:val="005D0C44"/>
    <w:rsid w:val="005D791D"/>
    <w:rsid w:val="005E111A"/>
    <w:rsid w:val="005E33F3"/>
    <w:rsid w:val="005E7748"/>
    <w:rsid w:val="005F3984"/>
    <w:rsid w:val="005F71B4"/>
    <w:rsid w:val="00601B0A"/>
    <w:rsid w:val="00603E61"/>
    <w:rsid w:val="0060688B"/>
    <w:rsid w:val="00606C5B"/>
    <w:rsid w:val="00612FAA"/>
    <w:rsid w:val="00613497"/>
    <w:rsid w:val="006143DA"/>
    <w:rsid w:val="00620CAE"/>
    <w:rsid w:val="00621A81"/>
    <w:rsid w:val="00623A67"/>
    <w:rsid w:val="00632916"/>
    <w:rsid w:val="006338AF"/>
    <w:rsid w:val="00635CD0"/>
    <w:rsid w:val="00646BC2"/>
    <w:rsid w:val="00655D7A"/>
    <w:rsid w:val="00660265"/>
    <w:rsid w:val="00661E1A"/>
    <w:rsid w:val="00663749"/>
    <w:rsid w:val="006648C1"/>
    <w:rsid w:val="00666DF3"/>
    <w:rsid w:val="00667552"/>
    <w:rsid w:val="00667BDC"/>
    <w:rsid w:val="006707EF"/>
    <w:rsid w:val="0067479C"/>
    <w:rsid w:val="00675B03"/>
    <w:rsid w:val="00681C33"/>
    <w:rsid w:val="0068238F"/>
    <w:rsid w:val="00686592"/>
    <w:rsid w:val="006914A3"/>
    <w:rsid w:val="00694F8F"/>
    <w:rsid w:val="00697A90"/>
    <w:rsid w:val="006A5D49"/>
    <w:rsid w:val="006A73FB"/>
    <w:rsid w:val="006C6D67"/>
    <w:rsid w:val="006D3404"/>
    <w:rsid w:val="006D44B0"/>
    <w:rsid w:val="006D5B2C"/>
    <w:rsid w:val="006E2E67"/>
    <w:rsid w:val="006E378E"/>
    <w:rsid w:val="006E5F02"/>
    <w:rsid w:val="006E7E2A"/>
    <w:rsid w:val="006F0169"/>
    <w:rsid w:val="006F2832"/>
    <w:rsid w:val="006F69AA"/>
    <w:rsid w:val="00703DD1"/>
    <w:rsid w:val="00713F90"/>
    <w:rsid w:val="00716F82"/>
    <w:rsid w:val="00732A2D"/>
    <w:rsid w:val="00735074"/>
    <w:rsid w:val="00740E08"/>
    <w:rsid w:val="00745620"/>
    <w:rsid w:val="00747C91"/>
    <w:rsid w:val="0075116C"/>
    <w:rsid w:val="00753D30"/>
    <w:rsid w:val="007544C6"/>
    <w:rsid w:val="00763CA3"/>
    <w:rsid w:val="00764E56"/>
    <w:rsid w:val="00764F66"/>
    <w:rsid w:val="00765FBB"/>
    <w:rsid w:val="00766134"/>
    <w:rsid w:val="00771F54"/>
    <w:rsid w:val="00775BC2"/>
    <w:rsid w:val="00775DBD"/>
    <w:rsid w:val="00777A0E"/>
    <w:rsid w:val="0078296E"/>
    <w:rsid w:val="00787165"/>
    <w:rsid w:val="00792403"/>
    <w:rsid w:val="00792773"/>
    <w:rsid w:val="00794F10"/>
    <w:rsid w:val="0079718F"/>
    <w:rsid w:val="007A0C42"/>
    <w:rsid w:val="007A5768"/>
    <w:rsid w:val="007A714D"/>
    <w:rsid w:val="007B02B2"/>
    <w:rsid w:val="007B3952"/>
    <w:rsid w:val="007B460F"/>
    <w:rsid w:val="007B4652"/>
    <w:rsid w:val="007B5579"/>
    <w:rsid w:val="007C3AC2"/>
    <w:rsid w:val="007C49BC"/>
    <w:rsid w:val="007C511D"/>
    <w:rsid w:val="007D72F0"/>
    <w:rsid w:val="007F32E0"/>
    <w:rsid w:val="007F34BB"/>
    <w:rsid w:val="007F3825"/>
    <w:rsid w:val="007F42EB"/>
    <w:rsid w:val="007F7492"/>
    <w:rsid w:val="007F78E5"/>
    <w:rsid w:val="007F7CD1"/>
    <w:rsid w:val="00802805"/>
    <w:rsid w:val="0080530E"/>
    <w:rsid w:val="00812197"/>
    <w:rsid w:val="00812B1C"/>
    <w:rsid w:val="00812D11"/>
    <w:rsid w:val="00813C7F"/>
    <w:rsid w:val="00816499"/>
    <w:rsid w:val="008170CF"/>
    <w:rsid w:val="00817288"/>
    <w:rsid w:val="00833422"/>
    <w:rsid w:val="00834488"/>
    <w:rsid w:val="008368A4"/>
    <w:rsid w:val="00837109"/>
    <w:rsid w:val="00837E9E"/>
    <w:rsid w:val="00840704"/>
    <w:rsid w:val="00847B32"/>
    <w:rsid w:val="00854E22"/>
    <w:rsid w:val="00860456"/>
    <w:rsid w:val="008637C6"/>
    <w:rsid w:val="00865637"/>
    <w:rsid w:val="008659B4"/>
    <w:rsid w:val="00867AA5"/>
    <w:rsid w:val="00875CE4"/>
    <w:rsid w:val="0087689F"/>
    <w:rsid w:val="00876AD6"/>
    <w:rsid w:val="00877D83"/>
    <w:rsid w:val="008825BC"/>
    <w:rsid w:val="00883474"/>
    <w:rsid w:val="00884BE5"/>
    <w:rsid w:val="008A0009"/>
    <w:rsid w:val="008A03F7"/>
    <w:rsid w:val="008A4EAC"/>
    <w:rsid w:val="008A6886"/>
    <w:rsid w:val="008B2B4E"/>
    <w:rsid w:val="008B51D0"/>
    <w:rsid w:val="008B6505"/>
    <w:rsid w:val="008C19BD"/>
    <w:rsid w:val="008C311D"/>
    <w:rsid w:val="008C4FEA"/>
    <w:rsid w:val="008D0F89"/>
    <w:rsid w:val="008D4EA0"/>
    <w:rsid w:val="008E110D"/>
    <w:rsid w:val="008E15A4"/>
    <w:rsid w:val="008E37CB"/>
    <w:rsid w:val="008E65F5"/>
    <w:rsid w:val="008E78DC"/>
    <w:rsid w:val="008F0A1B"/>
    <w:rsid w:val="008F0AA5"/>
    <w:rsid w:val="008F19CA"/>
    <w:rsid w:val="008F1F0B"/>
    <w:rsid w:val="008F5227"/>
    <w:rsid w:val="00906F11"/>
    <w:rsid w:val="00910935"/>
    <w:rsid w:val="00910CA6"/>
    <w:rsid w:val="009112E5"/>
    <w:rsid w:val="009117DB"/>
    <w:rsid w:val="00920E2C"/>
    <w:rsid w:val="0092114A"/>
    <w:rsid w:val="00934F7F"/>
    <w:rsid w:val="009351BC"/>
    <w:rsid w:val="009416AA"/>
    <w:rsid w:val="00941F54"/>
    <w:rsid w:val="00946557"/>
    <w:rsid w:val="009519FF"/>
    <w:rsid w:val="00955818"/>
    <w:rsid w:val="00956166"/>
    <w:rsid w:val="0095674F"/>
    <w:rsid w:val="00960072"/>
    <w:rsid w:val="00962AC3"/>
    <w:rsid w:val="0096655B"/>
    <w:rsid w:val="00976C7A"/>
    <w:rsid w:val="00981C44"/>
    <w:rsid w:val="00983C2E"/>
    <w:rsid w:val="00984BAA"/>
    <w:rsid w:val="009869F5"/>
    <w:rsid w:val="00990D74"/>
    <w:rsid w:val="0099120F"/>
    <w:rsid w:val="009922F3"/>
    <w:rsid w:val="009A285D"/>
    <w:rsid w:val="009A6C0A"/>
    <w:rsid w:val="009B054A"/>
    <w:rsid w:val="009B2A62"/>
    <w:rsid w:val="009B2EBE"/>
    <w:rsid w:val="009B351E"/>
    <w:rsid w:val="009B3CCB"/>
    <w:rsid w:val="009C2887"/>
    <w:rsid w:val="009C555A"/>
    <w:rsid w:val="009C69AF"/>
    <w:rsid w:val="009F42B7"/>
    <w:rsid w:val="00A046F6"/>
    <w:rsid w:val="00A11310"/>
    <w:rsid w:val="00A1673B"/>
    <w:rsid w:val="00A17680"/>
    <w:rsid w:val="00A201A6"/>
    <w:rsid w:val="00A218DA"/>
    <w:rsid w:val="00A218F5"/>
    <w:rsid w:val="00A22FCF"/>
    <w:rsid w:val="00A27402"/>
    <w:rsid w:val="00A335C1"/>
    <w:rsid w:val="00A36088"/>
    <w:rsid w:val="00A37203"/>
    <w:rsid w:val="00A3755A"/>
    <w:rsid w:val="00A40A7C"/>
    <w:rsid w:val="00A45A93"/>
    <w:rsid w:val="00A53E41"/>
    <w:rsid w:val="00A55BB9"/>
    <w:rsid w:val="00A702FC"/>
    <w:rsid w:val="00A751CF"/>
    <w:rsid w:val="00A811A5"/>
    <w:rsid w:val="00A827A4"/>
    <w:rsid w:val="00A8352A"/>
    <w:rsid w:val="00A904BD"/>
    <w:rsid w:val="00A94DD6"/>
    <w:rsid w:val="00AA33AD"/>
    <w:rsid w:val="00AB7B79"/>
    <w:rsid w:val="00AB7D91"/>
    <w:rsid w:val="00AD16ED"/>
    <w:rsid w:val="00AD6BCC"/>
    <w:rsid w:val="00AE321F"/>
    <w:rsid w:val="00AF1BA8"/>
    <w:rsid w:val="00B00921"/>
    <w:rsid w:val="00B014AF"/>
    <w:rsid w:val="00B01851"/>
    <w:rsid w:val="00B03672"/>
    <w:rsid w:val="00B04230"/>
    <w:rsid w:val="00B057AC"/>
    <w:rsid w:val="00B124B9"/>
    <w:rsid w:val="00B12560"/>
    <w:rsid w:val="00B2146A"/>
    <w:rsid w:val="00B25362"/>
    <w:rsid w:val="00B25ECF"/>
    <w:rsid w:val="00B277A9"/>
    <w:rsid w:val="00B3148A"/>
    <w:rsid w:val="00B32F43"/>
    <w:rsid w:val="00B3456B"/>
    <w:rsid w:val="00B35E22"/>
    <w:rsid w:val="00B45F70"/>
    <w:rsid w:val="00B4748D"/>
    <w:rsid w:val="00B5503F"/>
    <w:rsid w:val="00B5701D"/>
    <w:rsid w:val="00B62F16"/>
    <w:rsid w:val="00B63EC6"/>
    <w:rsid w:val="00B712C0"/>
    <w:rsid w:val="00B71D7E"/>
    <w:rsid w:val="00B77F15"/>
    <w:rsid w:val="00B80116"/>
    <w:rsid w:val="00B826A0"/>
    <w:rsid w:val="00B867CB"/>
    <w:rsid w:val="00B907D1"/>
    <w:rsid w:val="00B97E67"/>
    <w:rsid w:val="00BA6152"/>
    <w:rsid w:val="00BA7400"/>
    <w:rsid w:val="00BB3762"/>
    <w:rsid w:val="00BD02C6"/>
    <w:rsid w:val="00BD0A1A"/>
    <w:rsid w:val="00BD0C71"/>
    <w:rsid w:val="00BD3DCA"/>
    <w:rsid w:val="00BD53DE"/>
    <w:rsid w:val="00BE1F86"/>
    <w:rsid w:val="00BE275B"/>
    <w:rsid w:val="00BF0E3D"/>
    <w:rsid w:val="00BF1E31"/>
    <w:rsid w:val="00C040CB"/>
    <w:rsid w:val="00C31055"/>
    <w:rsid w:val="00C32045"/>
    <w:rsid w:val="00C35876"/>
    <w:rsid w:val="00C4535C"/>
    <w:rsid w:val="00C5655B"/>
    <w:rsid w:val="00C56DF6"/>
    <w:rsid w:val="00C577BE"/>
    <w:rsid w:val="00C57907"/>
    <w:rsid w:val="00C60124"/>
    <w:rsid w:val="00C60855"/>
    <w:rsid w:val="00C62AB3"/>
    <w:rsid w:val="00C65F1E"/>
    <w:rsid w:val="00C67787"/>
    <w:rsid w:val="00C74BE0"/>
    <w:rsid w:val="00C74FCD"/>
    <w:rsid w:val="00C75B97"/>
    <w:rsid w:val="00C85401"/>
    <w:rsid w:val="00C965B8"/>
    <w:rsid w:val="00C966F2"/>
    <w:rsid w:val="00CA04C2"/>
    <w:rsid w:val="00CA14BE"/>
    <w:rsid w:val="00CA1FEE"/>
    <w:rsid w:val="00CA4888"/>
    <w:rsid w:val="00CA6008"/>
    <w:rsid w:val="00CB03D6"/>
    <w:rsid w:val="00CB0A82"/>
    <w:rsid w:val="00CB2DA3"/>
    <w:rsid w:val="00CB7E06"/>
    <w:rsid w:val="00CC03A3"/>
    <w:rsid w:val="00CC29A7"/>
    <w:rsid w:val="00CC2B9C"/>
    <w:rsid w:val="00CC6C87"/>
    <w:rsid w:val="00CC7310"/>
    <w:rsid w:val="00CD318F"/>
    <w:rsid w:val="00CE0D78"/>
    <w:rsid w:val="00CE3FFE"/>
    <w:rsid w:val="00CE4C8C"/>
    <w:rsid w:val="00CE5DB0"/>
    <w:rsid w:val="00D04723"/>
    <w:rsid w:val="00D07404"/>
    <w:rsid w:val="00D13697"/>
    <w:rsid w:val="00D151F5"/>
    <w:rsid w:val="00D2467A"/>
    <w:rsid w:val="00D24D5E"/>
    <w:rsid w:val="00D25333"/>
    <w:rsid w:val="00D30073"/>
    <w:rsid w:val="00D366F1"/>
    <w:rsid w:val="00D4292C"/>
    <w:rsid w:val="00D44627"/>
    <w:rsid w:val="00D45207"/>
    <w:rsid w:val="00D50AE2"/>
    <w:rsid w:val="00D53B09"/>
    <w:rsid w:val="00D55C7A"/>
    <w:rsid w:val="00D64CDA"/>
    <w:rsid w:val="00D70A0B"/>
    <w:rsid w:val="00D76734"/>
    <w:rsid w:val="00D779B4"/>
    <w:rsid w:val="00D818CA"/>
    <w:rsid w:val="00D87721"/>
    <w:rsid w:val="00D92463"/>
    <w:rsid w:val="00D933A2"/>
    <w:rsid w:val="00D97144"/>
    <w:rsid w:val="00DA044B"/>
    <w:rsid w:val="00DA3CE5"/>
    <w:rsid w:val="00DA429D"/>
    <w:rsid w:val="00DB1461"/>
    <w:rsid w:val="00DC09E0"/>
    <w:rsid w:val="00DD1C64"/>
    <w:rsid w:val="00DD3DB4"/>
    <w:rsid w:val="00DD56C0"/>
    <w:rsid w:val="00DD64B2"/>
    <w:rsid w:val="00DD6C06"/>
    <w:rsid w:val="00DE0F5C"/>
    <w:rsid w:val="00DF317C"/>
    <w:rsid w:val="00DF6DD8"/>
    <w:rsid w:val="00E06FA9"/>
    <w:rsid w:val="00E073AD"/>
    <w:rsid w:val="00E11AA0"/>
    <w:rsid w:val="00E11BEE"/>
    <w:rsid w:val="00E15BBD"/>
    <w:rsid w:val="00E16C8E"/>
    <w:rsid w:val="00E256EC"/>
    <w:rsid w:val="00E27B86"/>
    <w:rsid w:val="00E3407E"/>
    <w:rsid w:val="00E402FA"/>
    <w:rsid w:val="00E40850"/>
    <w:rsid w:val="00E422B2"/>
    <w:rsid w:val="00E424FC"/>
    <w:rsid w:val="00E43F8A"/>
    <w:rsid w:val="00E553B2"/>
    <w:rsid w:val="00E5556E"/>
    <w:rsid w:val="00E57F46"/>
    <w:rsid w:val="00E610CC"/>
    <w:rsid w:val="00E65EB1"/>
    <w:rsid w:val="00E70B77"/>
    <w:rsid w:val="00E71372"/>
    <w:rsid w:val="00E73ABE"/>
    <w:rsid w:val="00E74090"/>
    <w:rsid w:val="00E850BC"/>
    <w:rsid w:val="00E853E9"/>
    <w:rsid w:val="00E85E8E"/>
    <w:rsid w:val="00E975B7"/>
    <w:rsid w:val="00EA3309"/>
    <w:rsid w:val="00EA4002"/>
    <w:rsid w:val="00EB1E67"/>
    <w:rsid w:val="00EB6980"/>
    <w:rsid w:val="00EC4A55"/>
    <w:rsid w:val="00EC7B74"/>
    <w:rsid w:val="00ED37C3"/>
    <w:rsid w:val="00ED3999"/>
    <w:rsid w:val="00EE1B80"/>
    <w:rsid w:val="00EE520F"/>
    <w:rsid w:val="00EE548C"/>
    <w:rsid w:val="00EE6839"/>
    <w:rsid w:val="00EE718A"/>
    <w:rsid w:val="00EF406F"/>
    <w:rsid w:val="00F062E4"/>
    <w:rsid w:val="00F13E67"/>
    <w:rsid w:val="00F14433"/>
    <w:rsid w:val="00F1465F"/>
    <w:rsid w:val="00F21A32"/>
    <w:rsid w:val="00F21DB6"/>
    <w:rsid w:val="00F2358F"/>
    <w:rsid w:val="00F3341A"/>
    <w:rsid w:val="00F34986"/>
    <w:rsid w:val="00F35A3C"/>
    <w:rsid w:val="00F35E47"/>
    <w:rsid w:val="00F373D5"/>
    <w:rsid w:val="00F46AEF"/>
    <w:rsid w:val="00F5343D"/>
    <w:rsid w:val="00F537BF"/>
    <w:rsid w:val="00F551B1"/>
    <w:rsid w:val="00F600DC"/>
    <w:rsid w:val="00F723DE"/>
    <w:rsid w:val="00F763EB"/>
    <w:rsid w:val="00F80612"/>
    <w:rsid w:val="00F84BEE"/>
    <w:rsid w:val="00F87F49"/>
    <w:rsid w:val="00F91251"/>
    <w:rsid w:val="00F96C04"/>
    <w:rsid w:val="00F9751C"/>
    <w:rsid w:val="00F97E97"/>
    <w:rsid w:val="00FA1D84"/>
    <w:rsid w:val="00FA7B41"/>
    <w:rsid w:val="00FA7C46"/>
    <w:rsid w:val="00FB11E8"/>
    <w:rsid w:val="00FB1D10"/>
    <w:rsid w:val="00FB2FC1"/>
    <w:rsid w:val="00FB385A"/>
    <w:rsid w:val="00FB78E1"/>
    <w:rsid w:val="00FC00C8"/>
    <w:rsid w:val="00FC127C"/>
    <w:rsid w:val="00FC24B0"/>
    <w:rsid w:val="00FC4145"/>
    <w:rsid w:val="00FC7FFA"/>
    <w:rsid w:val="00FD039A"/>
    <w:rsid w:val="00FD4CA6"/>
    <w:rsid w:val="00FE1169"/>
    <w:rsid w:val="00FE1F31"/>
    <w:rsid w:val="00FE4C48"/>
    <w:rsid w:val="00FE59C5"/>
    <w:rsid w:val="00FE6CA0"/>
    <w:rsid w:val="00FE7D9A"/>
    <w:rsid w:val="00FF5416"/>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1486-CA29-4BB5-8D8D-38C32585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3801</Words>
  <Characters>21672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25423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2017-08-21T18:30:00Z</dcterms:created>
  <dc:creator>user1</dc:creator>
  <lastModifiedBy/>
  <lastPrinted>2017-05-05T18:43:00Z</lastPrinted>
  <dcterms:modified xsi:type="dcterms:W3CDTF">2017-08-21T18:30:00Z</dcterms:modified>
  <revision>2</revision>
</coreProperties>
</file>